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6045" w14:textId="77777777" w:rsidR="00FE6D33" w:rsidRPr="007C20CA" w:rsidRDefault="00FE6D33" w:rsidP="00FE6D33">
      <w:pPr>
        <w:spacing w:after="0" w:line="280" w:lineRule="exact"/>
        <w:rPr>
          <w:rFonts w:ascii="Calibri" w:hAnsi="Calibri" w:cs="Calibri"/>
          <w:color w:val="000000"/>
        </w:rPr>
      </w:pPr>
      <w:bookmarkStart w:id="0" w:name="_Toc534811589"/>
      <w:bookmarkStart w:id="1" w:name="_Toc534887048"/>
      <w:bookmarkStart w:id="2" w:name="_Toc534896685"/>
      <w:bookmarkStart w:id="3" w:name="_Toc90649426"/>
      <w:bookmarkStart w:id="4" w:name="_Toc508884198"/>
      <w:bookmarkStart w:id="5" w:name="_Toc508979019"/>
      <w:bookmarkStart w:id="6" w:name="_Toc508979072"/>
      <w:bookmarkStart w:id="7" w:name="_Toc508979140"/>
      <w:bookmarkStart w:id="8" w:name="_Toc508980117"/>
      <w:bookmarkStart w:id="9" w:name="_Toc508980193"/>
      <w:bookmarkStart w:id="10" w:name="_Toc509585494"/>
      <w:bookmarkStart w:id="11" w:name="_Toc509585517"/>
      <w:bookmarkStart w:id="12" w:name="_Toc508884235"/>
      <w:bookmarkStart w:id="13" w:name="_Toc508979170"/>
      <w:bookmarkStart w:id="14" w:name="_Toc509404148"/>
      <w:bookmarkStart w:id="15" w:name="_Toc509585529"/>
      <w:bookmarkStart w:id="16" w:name="_Toc509826287"/>
      <w:bookmarkStart w:id="17" w:name="_Toc534811618"/>
      <w:bookmarkStart w:id="18" w:name="_Toc534887092"/>
      <w:bookmarkStart w:id="19" w:name="_Toc534896702"/>
      <w:bookmarkStart w:id="20" w:name="_Toc90649480"/>
      <w:r w:rsidRPr="007C20CA">
        <w:rPr>
          <w:rFonts w:ascii="Calibri" w:hAnsi="Calibri" w:cs="Calibri"/>
          <w:color w:val="000000"/>
        </w:rPr>
        <w:t xml:space="preserve">TO: </w:t>
      </w:r>
      <w:r w:rsidRPr="007C20CA">
        <w:rPr>
          <w:rFonts w:ascii="Calibri" w:hAnsi="Calibri" w:cs="Calibri"/>
          <w:color w:val="000000"/>
        </w:rPr>
        <w:tab/>
        <w:t>Carrie Mears, Chair, Valuation of Securities (E) Task Force</w:t>
      </w:r>
    </w:p>
    <w:p w14:paraId="4410376B" w14:textId="77777777" w:rsidR="00FE6D33" w:rsidRPr="007C20CA" w:rsidRDefault="00FE6D33" w:rsidP="00FE6D33">
      <w:pPr>
        <w:spacing w:after="0" w:line="280" w:lineRule="exact"/>
        <w:rPr>
          <w:rFonts w:ascii="Calibri" w:hAnsi="Calibri" w:cs="Calibri"/>
          <w:color w:val="000000"/>
        </w:rPr>
      </w:pPr>
      <w:r w:rsidRPr="007C20CA">
        <w:rPr>
          <w:rFonts w:ascii="Calibri" w:hAnsi="Calibri" w:cs="Calibri"/>
          <w:color w:val="000000"/>
        </w:rPr>
        <w:tab/>
        <w:t xml:space="preserve">Members of the Valuation of Securities (E) Task Force </w:t>
      </w:r>
    </w:p>
    <w:p w14:paraId="3D2AE38E" w14:textId="77777777" w:rsidR="00FE6D33" w:rsidRPr="007C20CA" w:rsidRDefault="00FE6D33" w:rsidP="00FE6D33">
      <w:pPr>
        <w:spacing w:after="0" w:line="280" w:lineRule="exact"/>
        <w:rPr>
          <w:rFonts w:ascii="Calibri" w:hAnsi="Calibri" w:cs="Calibri"/>
          <w:color w:val="000000"/>
        </w:rPr>
      </w:pPr>
    </w:p>
    <w:p w14:paraId="316896B4" w14:textId="77777777" w:rsidR="00FE6D33" w:rsidRPr="007C20CA" w:rsidRDefault="00FE6D33" w:rsidP="00FE6D33">
      <w:pPr>
        <w:spacing w:after="0" w:line="280" w:lineRule="exact"/>
        <w:rPr>
          <w:rFonts w:ascii="Calibri" w:hAnsi="Calibri" w:cs="Calibri"/>
          <w:color w:val="000000"/>
        </w:rPr>
      </w:pPr>
      <w:r w:rsidRPr="007C20CA">
        <w:rPr>
          <w:rFonts w:ascii="Calibri" w:hAnsi="Calibri" w:cs="Calibri"/>
          <w:color w:val="000000"/>
        </w:rPr>
        <w:t>FROM:</w:t>
      </w:r>
      <w:r w:rsidRPr="007C20CA">
        <w:rPr>
          <w:rFonts w:ascii="Calibri" w:hAnsi="Calibri" w:cs="Calibri"/>
          <w:color w:val="000000"/>
        </w:rPr>
        <w:tab/>
        <w:t>Eric Kolchinsky, Director, NAIC Structured Securities Group (SSG) and Capital Markets Bureau</w:t>
      </w:r>
    </w:p>
    <w:p w14:paraId="146A423F" w14:textId="77777777" w:rsidR="00FE6D33" w:rsidRPr="007C20CA" w:rsidRDefault="00FE6D33" w:rsidP="00FE6D33">
      <w:pPr>
        <w:spacing w:after="0" w:line="280" w:lineRule="exact"/>
        <w:ind w:firstLine="720"/>
        <w:rPr>
          <w:rFonts w:ascii="Calibri" w:hAnsi="Calibri" w:cs="Calibri"/>
          <w:color w:val="000000"/>
        </w:rPr>
      </w:pPr>
      <w:r w:rsidRPr="007C20CA">
        <w:rPr>
          <w:rFonts w:ascii="Calibri" w:hAnsi="Calibri" w:cs="Calibri"/>
          <w:color w:val="000000"/>
        </w:rPr>
        <w:t>Charles A. Therriault, Director, NAIC Securities Valuation Office (SVO)</w:t>
      </w:r>
    </w:p>
    <w:p w14:paraId="4B7C2FF8" w14:textId="77777777" w:rsidR="00FE6D33" w:rsidRPr="007C20CA" w:rsidRDefault="00FE6D33" w:rsidP="00FE6D33">
      <w:pPr>
        <w:spacing w:after="0" w:line="280" w:lineRule="exact"/>
        <w:ind w:firstLine="720"/>
        <w:rPr>
          <w:rFonts w:ascii="Calibri" w:hAnsi="Calibri" w:cs="Calibri"/>
          <w:color w:val="000000"/>
        </w:rPr>
      </w:pPr>
      <w:r w:rsidRPr="007C20CA">
        <w:rPr>
          <w:rFonts w:ascii="Calibri" w:hAnsi="Calibri" w:cs="Calibri"/>
          <w:color w:val="000000"/>
        </w:rPr>
        <w:t>Marc Perlman, Managing Investment Counsel, NAIC Securities Valuation Office (SVO)</w:t>
      </w:r>
    </w:p>
    <w:p w14:paraId="76492910" w14:textId="77777777" w:rsidR="00FE6D33" w:rsidRPr="007C20CA" w:rsidRDefault="00FE6D33" w:rsidP="00FE6D33">
      <w:pPr>
        <w:spacing w:after="0" w:line="280" w:lineRule="exact"/>
        <w:rPr>
          <w:rFonts w:ascii="Calibri" w:hAnsi="Calibri" w:cs="Calibri"/>
          <w:color w:val="000000"/>
        </w:rPr>
      </w:pPr>
    </w:p>
    <w:p w14:paraId="6FB94132" w14:textId="4791E97F" w:rsidR="00FE6D33" w:rsidRPr="007C20CA" w:rsidRDefault="00FE6D33" w:rsidP="00FE6D33">
      <w:pPr>
        <w:spacing w:after="0" w:line="280" w:lineRule="exact"/>
        <w:ind w:left="720" w:hanging="720"/>
        <w:rPr>
          <w:rFonts w:ascii="Calibri" w:hAnsi="Calibri" w:cs="Calibri"/>
          <w:color w:val="000000"/>
        </w:rPr>
      </w:pPr>
      <w:r w:rsidRPr="007C20CA">
        <w:rPr>
          <w:rFonts w:ascii="Calibri" w:hAnsi="Calibri" w:cs="Calibri"/>
          <w:color w:val="000000"/>
        </w:rPr>
        <w:t>RE:</w:t>
      </w:r>
      <w:r w:rsidRPr="007C20CA">
        <w:rPr>
          <w:rFonts w:ascii="Calibri" w:hAnsi="Calibri" w:cs="Calibri"/>
          <w:color w:val="000000"/>
        </w:rPr>
        <w:tab/>
      </w:r>
      <w:r w:rsidR="00345867">
        <w:rPr>
          <w:rFonts w:ascii="Calibri" w:hAnsi="Calibri" w:cs="Calibri"/>
          <w:color w:val="000000"/>
        </w:rPr>
        <w:t>Clarify</w:t>
      </w:r>
      <w:r w:rsidR="00345867" w:rsidRPr="007C20CA">
        <w:rPr>
          <w:rFonts w:ascii="Calibri" w:hAnsi="Calibri" w:cs="Calibri"/>
          <w:color w:val="000000"/>
        </w:rPr>
        <w:t xml:space="preserve"> </w:t>
      </w:r>
      <w:r w:rsidR="00D038A5" w:rsidRPr="007C20CA">
        <w:rPr>
          <w:rFonts w:ascii="Calibri" w:hAnsi="Calibri" w:cs="Calibri"/>
          <w:color w:val="000000"/>
        </w:rPr>
        <w:t xml:space="preserve">the Definition of an NAIC Designation </w:t>
      </w:r>
      <w:r w:rsidR="008263CD">
        <w:rPr>
          <w:rFonts w:ascii="Calibri" w:hAnsi="Calibri" w:cs="Calibri"/>
          <w:color w:val="000000"/>
        </w:rPr>
        <w:t>in</w:t>
      </w:r>
      <w:r w:rsidR="008263CD" w:rsidRPr="007C20CA">
        <w:rPr>
          <w:rFonts w:ascii="Calibri" w:hAnsi="Calibri" w:cs="Calibri"/>
          <w:color w:val="000000"/>
        </w:rPr>
        <w:t xml:space="preserve"> </w:t>
      </w:r>
      <w:r w:rsidR="00D038A5" w:rsidRPr="007C20CA">
        <w:rPr>
          <w:rFonts w:ascii="Calibri" w:hAnsi="Calibri" w:cs="Calibri"/>
          <w:color w:val="000000"/>
        </w:rPr>
        <w:t>Part</w:t>
      </w:r>
      <w:r w:rsidR="003B591F" w:rsidRPr="007C20CA">
        <w:rPr>
          <w:rFonts w:ascii="Calibri" w:hAnsi="Calibri" w:cs="Calibri"/>
          <w:color w:val="000000"/>
        </w:rPr>
        <w:t>s</w:t>
      </w:r>
      <w:r w:rsidR="00D038A5" w:rsidRPr="007C20CA">
        <w:rPr>
          <w:rFonts w:ascii="Calibri" w:hAnsi="Calibri" w:cs="Calibri"/>
          <w:color w:val="000000"/>
        </w:rPr>
        <w:t xml:space="preserve"> One and Two</w:t>
      </w:r>
      <w:r w:rsidR="00D66345">
        <w:rPr>
          <w:rFonts w:ascii="Calibri" w:hAnsi="Calibri" w:cs="Calibri"/>
          <w:color w:val="000000"/>
        </w:rPr>
        <w:t xml:space="preserve"> of the </w:t>
      </w:r>
      <w:r w:rsidR="00D66345" w:rsidRPr="007C20CA">
        <w:rPr>
          <w:rFonts w:ascii="Calibri" w:hAnsi="Calibri" w:cs="Calibri"/>
          <w:i/>
          <w:iCs/>
          <w:color w:val="000000" w:themeColor="text1"/>
        </w:rPr>
        <w:t>Purposes and Procedures Manual of the NAIC Investment Analysis Office</w:t>
      </w:r>
    </w:p>
    <w:p w14:paraId="31071B11" w14:textId="77777777" w:rsidR="00FE6D33" w:rsidRPr="007C20CA" w:rsidRDefault="00FE6D33" w:rsidP="00FE6D33">
      <w:pPr>
        <w:pBdr>
          <w:bottom w:val="single" w:sz="4" w:space="1" w:color="auto"/>
        </w:pBdr>
        <w:spacing w:after="0" w:line="280" w:lineRule="exact"/>
        <w:rPr>
          <w:rFonts w:ascii="Calibri" w:hAnsi="Calibri" w:cs="Calibri"/>
          <w:color w:val="000000"/>
        </w:rPr>
      </w:pPr>
    </w:p>
    <w:p w14:paraId="78A63769" w14:textId="47DC7106" w:rsidR="00FE6D33" w:rsidRPr="007C20CA" w:rsidRDefault="00FE6D33" w:rsidP="00FE6D33">
      <w:pPr>
        <w:pBdr>
          <w:bottom w:val="single" w:sz="4" w:space="1" w:color="auto"/>
        </w:pBdr>
        <w:spacing w:after="0" w:line="280" w:lineRule="exact"/>
        <w:rPr>
          <w:rFonts w:ascii="Calibri" w:hAnsi="Calibri" w:cs="Calibri"/>
          <w:color w:val="000000"/>
        </w:rPr>
      </w:pPr>
      <w:r w:rsidRPr="007C20CA">
        <w:rPr>
          <w:rFonts w:ascii="Calibri" w:hAnsi="Calibri" w:cs="Calibri"/>
          <w:color w:val="000000"/>
        </w:rPr>
        <w:t>DATE:</w:t>
      </w:r>
      <w:r w:rsidRPr="007C20CA">
        <w:rPr>
          <w:rFonts w:ascii="Calibri" w:hAnsi="Calibri" w:cs="Calibri"/>
          <w:color w:val="000000"/>
        </w:rPr>
        <w:tab/>
      </w:r>
      <w:r w:rsidR="00345867">
        <w:rPr>
          <w:rFonts w:ascii="Calibri" w:hAnsi="Calibri" w:cs="Calibri"/>
          <w:color w:val="000000"/>
        </w:rPr>
        <w:t>September 30</w:t>
      </w:r>
      <w:r w:rsidRPr="007C20CA">
        <w:rPr>
          <w:rFonts w:ascii="Calibri" w:hAnsi="Calibri" w:cs="Calibri"/>
          <w:color w:val="000000"/>
        </w:rPr>
        <w:t>, 2022</w:t>
      </w:r>
    </w:p>
    <w:p w14:paraId="1BA8A7FD" w14:textId="77777777" w:rsidR="00FE6D33" w:rsidRPr="007C20CA" w:rsidRDefault="00FE6D33" w:rsidP="00FE6D33">
      <w:pPr>
        <w:spacing w:after="0" w:line="280" w:lineRule="exact"/>
        <w:rPr>
          <w:rFonts w:ascii="Calibri" w:hAnsi="Calibri" w:cs="Calibri"/>
          <w:color w:val="000000"/>
        </w:rPr>
      </w:pPr>
    </w:p>
    <w:p w14:paraId="30415DAB" w14:textId="7F703C33" w:rsidR="00FE6D33" w:rsidRPr="007C20CA" w:rsidRDefault="00FE6D33" w:rsidP="000429F7">
      <w:pPr>
        <w:spacing w:after="0" w:line="280" w:lineRule="exact"/>
        <w:jc w:val="both"/>
        <w:rPr>
          <w:rFonts w:ascii="Calibri" w:hAnsi="Calibri" w:cs="Calibri"/>
          <w:color w:val="000000" w:themeColor="text1"/>
        </w:rPr>
      </w:pPr>
      <w:r w:rsidRPr="007C20CA">
        <w:rPr>
          <w:rFonts w:ascii="Calibri" w:hAnsi="Calibri" w:cs="Calibri"/>
          <w:b/>
          <w:bCs/>
          <w:color w:val="000000" w:themeColor="text1"/>
        </w:rPr>
        <w:t xml:space="preserve">Summary:  </w:t>
      </w:r>
      <w:r w:rsidR="00BC4ABC" w:rsidRPr="007C20CA">
        <w:rPr>
          <w:rFonts w:ascii="Calibri" w:hAnsi="Calibri" w:cs="Calibri"/>
          <w:color w:val="000000" w:themeColor="text1"/>
        </w:rPr>
        <w:t xml:space="preserve">As noted in Part One of the </w:t>
      </w:r>
      <w:r w:rsidR="00BC4ABC" w:rsidRPr="007C20CA">
        <w:rPr>
          <w:rFonts w:ascii="Calibri" w:hAnsi="Calibri" w:cs="Calibri"/>
          <w:i/>
          <w:iCs/>
          <w:color w:val="000000" w:themeColor="text1"/>
        </w:rPr>
        <w:t xml:space="preserve">Purposes and Procedures Manual of the NAIC </w:t>
      </w:r>
      <w:r w:rsidR="0030392D" w:rsidRPr="007C20CA">
        <w:rPr>
          <w:rFonts w:ascii="Calibri" w:hAnsi="Calibri" w:cs="Calibri"/>
          <w:i/>
          <w:iCs/>
          <w:color w:val="000000" w:themeColor="text1"/>
        </w:rPr>
        <w:t>Investment Analysis Office</w:t>
      </w:r>
      <w:r w:rsidR="0030392D" w:rsidRPr="007C20CA">
        <w:rPr>
          <w:rFonts w:ascii="Calibri" w:hAnsi="Calibri" w:cs="Calibri"/>
          <w:color w:val="000000" w:themeColor="text1"/>
        </w:rPr>
        <w:t xml:space="preserve"> (P&amp;P Manual), </w:t>
      </w:r>
      <w:r w:rsidR="00B358CA" w:rsidRPr="007C20CA">
        <w:rPr>
          <w:rFonts w:ascii="Calibri" w:hAnsi="Calibri" w:cs="Calibri"/>
          <w:color w:val="000000" w:themeColor="text1"/>
        </w:rPr>
        <w:t>NAIC Designations and NAIC Designation Categories serve many purposes</w:t>
      </w:r>
      <w:r w:rsidRPr="007C20CA">
        <w:rPr>
          <w:rFonts w:ascii="Calibri" w:hAnsi="Calibri" w:cs="Calibri"/>
          <w:color w:val="000000" w:themeColor="text1"/>
        </w:rPr>
        <w:t xml:space="preserve">.  </w:t>
      </w:r>
      <w:r w:rsidR="00B82843" w:rsidRPr="007C20CA">
        <w:rPr>
          <w:rFonts w:ascii="Calibri" w:hAnsi="Calibri" w:cs="Calibri"/>
          <w:color w:val="000000" w:themeColor="text1"/>
        </w:rPr>
        <w:t>NAIC Designations and other S</w:t>
      </w:r>
      <w:r w:rsidR="00B3726B" w:rsidRPr="007C20CA">
        <w:rPr>
          <w:rFonts w:ascii="Calibri" w:hAnsi="Calibri" w:cs="Calibri"/>
          <w:color w:val="000000" w:themeColor="text1"/>
        </w:rPr>
        <w:t>ecurities Valuation Office (SVO)</w:t>
      </w:r>
      <w:r w:rsidR="00B82843" w:rsidRPr="007C20CA">
        <w:rPr>
          <w:rFonts w:ascii="Calibri" w:hAnsi="Calibri" w:cs="Calibri"/>
          <w:color w:val="000000" w:themeColor="text1"/>
        </w:rPr>
        <w:t xml:space="preserve"> and </w:t>
      </w:r>
      <w:r w:rsidR="00B3726B" w:rsidRPr="007C20CA">
        <w:rPr>
          <w:rFonts w:ascii="Calibri" w:hAnsi="Calibri" w:cs="Calibri"/>
          <w:color w:val="000000" w:themeColor="text1"/>
        </w:rPr>
        <w:t xml:space="preserve">Structured </w:t>
      </w:r>
      <w:r w:rsidR="00B82843" w:rsidRPr="007C20CA">
        <w:rPr>
          <w:rFonts w:ascii="Calibri" w:hAnsi="Calibri" w:cs="Calibri"/>
          <w:color w:val="000000" w:themeColor="text1"/>
        </w:rPr>
        <w:t>S</w:t>
      </w:r>
      <w:r w:rsidR="00B3726B" w:rsidRPr="007C20CA">
        <w:rPr>
          <w:rFonts w:ascii="Calibri" w:hAnsi="Calibri" w:cs="Calibri"/>
          <w:color w:val="000000" w:themeColor="text1"/>
        </w:rPr>
        <w:t>ecurity group (S</w:t>
      </w:r>
      <w:r w:rsidR="00B82843" w:rsidRPr="007C20CA">
        <w:rPr>
          <w:rFonts w:ascii="Calibri" w:hAnsi="Calibri" w:cs="Calibri"/>
          <w:color w:val="000000" w:themeColor="text1"/>
        </w:rPr>
        <w:t>SG</w:t>
      </w:r>
      <w:r w:rsidR="00B3726B" w:rsidRPr="007C20CA">
        <w:rPr>
          <w:rFonts w:ascii="Calibri" w:hAnsi="Calibri" w:cs="Calibri"/>
          <w:color w:val="000000" w:themeColor="text1"/>
        </w:rPr>
        <w:t xml:space="preserve">) </w:t>
      </w:r>
      <w:r w:rsidR="00876106">
        <w:rPr>
          <w:rFonts w:ascii="Calibri" w:hAnsi="Calibri" w:cs="Calibri"/>
          <w:color w:val="000000" w:themeColor="text1"/>
        </w:rPr>
        <w:t>(</w:t>
      </w:r>
      <w:r w:rsidR="003D27B8" w:rsidRPr="007C20CA">
        <w:rPr>
          <w:rFonts w:ascii="Calibri" w:hAnsi="Calibri" w:cs="Calibri"/>
          <w:color w:val="000000" w:themeColor="text1"/>
        </w:rPr>
        <w:t>collectively</w:t>
      </w:r>
      <w:r w:rsidR="00876106">
        <w:rPr>
          <w:rFonts w:ascii="Calibri" w:hAnsi="Calibri" w:cs="Calibri"/>
          <w:color w:val="000000" w:themeColor="text1"/>
        </w:rPr>
        <w:t>,</w:t>
      </w:r>
      <w:r w:rsidR="003D27B8" w:rsidRPr="007C20CA">
        <w:rPr>
          <w:rFonts w:ascii="Calibri" w:hAnsi="Calibri" w:cs="Calibri"/>
          <w:color w:val="000000" w:themeColor="text1"/>
        </w:rPr>
        <w:t xml:space="preserve"> the Investment Analysis Office (IAO)</w:t>
      </w:r>
      <w:r w:rsidR="00876106">
        <w:rPr>
          <w:rFonts w:ascii="Calibri" w:hAnsi="Calibri" w:cs="Calibri"/>
          <w:color w:val="000000" w:themeColor="text1"/>
        </w:rPr>
        <w:t>)</w:t>
      </w:r>
      <w:r w:rsidR="003D27B8" w:rsidRPr="007C20CA">
        <w:rPr>
          <w:rFonts w:ascii="Calibri" w:hAnsi="Calibri" w:cs="Calibri"/>
          <w:color w:val="000000" w:themeColor="text1"/>
        </w:rPr>
        <w:t xml:space="preserve"> </w:t>
      </w:r>
      <w:r w:rsidR="00B82843" w:rsidRPr="007C20CA">
        <w:rPr>
          <w:rFonts w:ascii="Calibri" w:hAnsi="Calibri" w:cs="Calibri"/>
          <w:color w:val="000000" w:themeColor="text1"/>
        </w:rPr>
        <w:t xml:space="preserve">products are standards identified in the NAIC Policy Statement and Financial Regulation Standards (SFRS) that </w:t>
      </w:r>
      <w:r w:rsidR="00AA00DC">
        <w:rPr>
          <w:rFonts w:ascii="Calibri" w:hAnsi="Calibri" w:cs="Calibri"/>
          <w:color w:val="000000" w:themeColor="text1"/>
        </w:rPr>
        <w:t xml:space="preserve">states, </w:t>
      </w:r>
      <w:r w:rsidR="00AA00DC" w:rsidRPr="007C20CA">
        <w:rPr>
          <w:rFonts w:ascii="Calibri" w:hAnsi="Calibri" w:cs="Calibri"/>
          <w:color w:val="000000" w:themeColor="text1"/>
        </w:rPr>
        <w:t>as participants in the Accreditation Program administered by the Financial Regulation Standards and Accreditation (F) Committee</w:t>
      </w:r>
      <w:r w:rsidR="00AA00DC">
        <w:rPr>
          <w:rFonts w:ascii="Calibri" w:hAnsi="Calibri" w:cs="Calibri"/>
          <w:color w:val="000000" w:themeColor="text1"/>
        </w:rPr>
        <w:t>,</w:t>
      </w:r>
      <w:r w:rsidR="00AA00DC" w:rsidRPr="007C20CA">
        <w:rPr>
          <w:rFonts w:ascii="Calibri" w:hAnsi="Calibri" w:cs="Calibri"/>
          <w:color w:val="000000" w:themeColor="text1"/>
        </w:rPr>
        <w:t xml:space="preserve"> </w:t>
      </w:r>
      <w:r w:rsidR="00B82843" w:rsidRPr="007C20CA">
        <w:rPr>
          <w:rFonts w:ascii="Calibri" w:hAnsi="Calibri" w:cs="Calibri"/>
          <w:color w:val="000000" w:themeColor="text1"/>
        </w:rPr>
        <w:t>have incorporated into law.</w:t>
      </w:r>
      <w:r w:rsidR="0050092A" w:rsidRPr="007C20CA">
        <w:rPr>
          <w:rFonts w:ascii="Calibri" w:hAnsi="Calibri" w:cs="Calibri"/>
          <w:color w:val="000000" w:themeColor="text1"/>
        </w:rPr>
        <w:t xml:space="preserve">  Part A of the SFRS identifies laws and regulations deemed necessary to financial solvency regulation</w:t>
      </w:r>
      <w:r w:rsidR="006A1BA7" w:rsidRPr="007C20CA">
        <w:rPr>
          <w:rFonts w:ascii="Calibri" w:hAnsi="Calibri" w:cs="Calibri"/>
          <w:color w:val="000000" w:themeColor="text1"/>
        </w:rPr>
        <w:t>, which includes, directly or indirectly, t</w:t>
      </w:r>
      <w:r w:rsidR="0093285C" w:rsidRPr="007C20CA">
        <w:rPr>
          <w:rFonts w:ascii="Calibri" w:hAnsi="Calibri" w:cs="Calibri"/>
          <w:color w:val="000000" w:themeColor="text1"/>
        </w:rPr>
        <w:t>he a</w:t>
      </w:r>
      <w:r w:rsidR="0050092A" w:rsidRPr="007C20CA">
        <w:rPr>
          <w:rFonts w:ascii="Calibri" w:hAnsi="Calibri" w:cs="Calibri"/>
          <w:color w:val="000000" w:themeColor="text1"/>
        </w:rPr>
        <w:t xml:space="preserve">nalytical products of the </w:t>
      </w:r>
      <w:r w:rsidR="000C1955">
        <w:rPr>
          <w:rFonts w:ascii="Calibri" w:hAnsi="Calibri" w:cs="Calibri"/>
          <w:color w:val="000000" w:themeColor="text1"/>
        </w:rPr>
        <w:t>IAO</w:t>
      </w:r>
      <w:r w:rsidR="00BF0B3A" w:rsidRPr="007C20CA">
        <w:rPr>
          <w:rFonts w:ascii="Calibri" w:hAnsi="Calibri" w:cs="Calibri"/>
          <w:color w:val="000000" w:themeColor="text1"/>
        </w:rPr>
        <w:t>.  These standards include the following:</w:t>
      </w:r>
    </w:p>
    <w:p w14:paraId="46CFB912" w14:textId="77777777" w:rsidR="00BF0B3A" w:rsidRPr="007C20CA" w:rsidRDefault="00BF0B3A" w:rsidP="000429F7">
      <w:pPr>
        <w:spacing w:after="0" w:line="280" w:lineRule="exact"/>
        <w:jc w:val="both"/>
        <w:rPr>
          <w:rFonts w:ascii="Calibri" w:hAnsi="Calibri" w:cs="Calibri"/>
          <w:color w:val="000000" w:themeColor="text1"/>
        </w:rPr>
      </w:pPr>
    </w:p>
    <w:p w14:paraId="1B726DDC" w14:textId="77777777" w:rsidR="00DC112E" w:rsidRPr="007C20CA" w:rsidRDefault="00B3726B" w:rsidP="000429F7">
      <w:pPr>
        <w:pStyle w:val="ListParagraph"/>
        <w:numPr>
          <w:ilvl w:val="0"/>
          <w:numId w:val="18"/>
        </w:numPr>
        <w:spacing w:line="280" w:lineRule="exact"/>
        <w:jc w:val="both"/>
        <w:rPr>
          <w:rFonts w:ascii="Calibri" w:hAnsi="Calibri" w:cs="Calibri"/>
          <w:color w:val="000000"/>
          <w:sz w:val="22"/>
          <w:szCs w:val="22"/>
        </w:rPr>
      </w:pPr>
      <w:r w:rsidRPr="007C20CA">
        <w:rPr>
          <w:rFonts w:ascii="Calibri" w:hAnsi="Calibri" w:cs="Calibri"/>
          <w:color w:val="000000"/>
          <w:sz w:val="22"/>
          <w:szCs w:val="22"/>
        </w:rPr>
        <w:t xml:space="preserve">Standard 5 requires that insurer-owned securities be assessed in accordance with the standards promulgated by the NAIC IAO. </w:t>
      </w:r>
    </w:p>
    <w:p w14:paraId="02093A78" w14:textId="3503EAE6" w:rsidR="00B3726B" w:rsidRPr="007C20CA" w:rsidRDefault="00B3726B" w:rsidP="000429F7">
      <w:pPr>
        <w:pStyle w:val="ListParagraph"/>
        <w:numPr>
          <w:ilvl w:val="0"/>
          <w:numId w:val="18"/>
        </w:numPr>
        <w:spacing w:line="280" w:lineRule="exact"/>
        <w:jc w:val="both"/>
        <w:rPr>
          <w:rFonts w:ascii="Calibri" w:hAnsi="Calibri" w:cs="Calibri"/>
          <w:color w:val="000000"/>
          <w:sz w:val="22"/>
          <w:szCs w:val="22"/>
        </w:rPr>
      </w:pPr>
      <w:r w:rsidRPr="007C20CA">
        <w:rPr>
          <w:rFonts w:ascii="Calibri" w:hAnsi="Calibri" w:cs="Calibri"/>
          <w:color w:val="000000"/>
          <w:sz w:val="22"/>
          <w:szCs w:val="22"/>
        </w:rPr>
        <w:t>Standard 2 refers to the NAIC Risk-Based Capital (RBC) for Insurers Model Act (#312</w:t>
      </w:r>
      <w:r w:rsidR="00C9777C">
        <w:rPr>
          <w:rFonts w:ascii="Calibri" w:hAnsi="Calibri" w:cs="Calibri"/>
          <w:color w:val="000000"/>
          <w:sz w:val="22"/>
          <w:szCs w:val="22"/>
        </w:rPr>
        <w:t>)</w:t>
      </w:r>
      <w:r w:rsidRPr="007C20CA">
        <w:rPr>
          <w:rFonts w:ascii="Calibri" w:hAnsi="Calibri" w:cs="Calibri"/>
          <w:color w:val="000000"/>
          <w:sz w:val="22"/>
          <w:szCs w:val="22"/>
        </w:rPr>
        <w:t xml:space="preserve"> which assigns RBC factors for securities based on their credit risk as quantified by NAIC Designations. </w:t>
      </w:r>
    </w:p>
    <w:p w14:paraId="3714BD79" w14:textId="77777777" w:rsidR="00B3726B" w:rsidRPr="007C20CA" w:rsidRDefault="00B3726B" w:rsidP="000429F7">
      <w:pPr>
        <w:pStyle w:val="ListParagraph"/>
        <w:numPr>
          <w:ilvl w:val="0"/>
          <w:numId w:val="18"/>
        </w:numPr>
        <w:spacing w:line="280" w:lineRule="exact"/>
        <w:jc w:val="both"/>
        <w:rPr>
          <w:rFonts w:ascii="Calibri" w:hAnsi="Calibri" w:cs="Calibri"/>
          <w:color w:val="000000"/>
          <w:sz w:val="22"/>
          <w:szCs w:val="22"/>
        </w:rPr>
      </w:pPr>
      <w:r w:rsidRPr="007C20CA">
        <w:rPr>
          <w:rFonts w:ascii="Calibri" w:hAnsi="Calibri" w:cs="Calibri"/>
          <w:color w:val="000000"/>
          <w:sz w:val="22"/>
          <w:szCs w:val="22"/>
        </w:rPr>
        <w:t xml:space="preserve">Standard 3 refers to the NAIC Accounting Practices and Procedures Manual, which uses NAIC Designations produced by the SVO and/or Price Grids produced by the SSG for statutory accounting purposes including to identify the valuation rules that apply to an investment. </w:t>
      </w:r>
    </w:p>
    <w:p w14:paraId="31B5A76C" w14:textId="77777777" w:rsidR="00B3726B" w:rsidRPr="007C20CA" w:rsidRDefault="00B3726B" w:rsidP="000429F7">
      <w:pPr>
        <w:pStyle w:val="ListParagraph"/>
        <w:numPr>
          <w:ilvl w:val="0"/>
          <w:numId w:val="18"/>
        </w:numPr>
        <w:spacing w:line="280" w:lineRule="exact"/>
        <w:jc w:val="both"/>
        <w:rPr>
          <w:rFonts w:ascii="Calibri" w:hAnsi="Calibri" w:cs="Calibri"/>
          <w:color w:val="000000"/>
          <w:sz w:val="22"/>
          <w:szCs w:val="22"/>
        </w:rPr>
      </w:pPr>
      <w:r w:rsidRPr="007C20CA">
        <w:rPr>
          <w:rFonts w:ascii="Calibri" w:hAnsi="Calibri" w:cs="Calibri"/>
          <w:color w:val="000000"/>
          <w:sz w:val="22"/>
          <w:szCs w:val="22"/>
        </w:rPr>
        <w:t xml:space="preserve">Standard 8 refers to state investment regulations which often incorporate NAIC model law provisions that relate asset allocations to credit quality or credit risk quantified by NAIC Designations. </w:t>
      </w:r>
    </w:p>
    <w:p w14:paraId="06BB08D4" w14:textId="03F9FCC4" w:rsidR="00BF0B3A" w:rsidRPr="007C20CA" w:rsidRDefault="00B3726B" w:rsidP="000429F7">
      <w:pPr>
        <w:pStyle w:val="ListParagraph"/>
        <w:numPr>
          <w:ilvl w:val="0"/>
          <w:numId w:val="18"/>
        </w:numPr>
        <w:spacing w:line="280" w:lineRule="exact"/>
        <w:jc w:val="both"/>
        <w:rPr>
          <w:rFonts w:ascii="Calibri" w:hAnsi="Calibri" w:cs="Calibri"/>
          <w:i/>
          <w:iCs/>
          <w:color w:val="000000"/>
          <w:sz w:val="22"/>
          <w:szCs w:val="22"/>
        </w:rPr>
      </w:pPr>
      <w:r w:rsidRPr="007C20CA">
        <w:rPr>
          <w:rFonts w:ascii="Calibri" w:hAnsi="Calibri" w:cs="Calibri"/>
          <w:color w:val="000000"/>
          <w:sz w:val="22"/>
          <w:szCs w:val="22"/>
        </w:rPr>
        <w:lastRenderedPageBreak/>
        <w:t xml:space="preserve">Standard 10 refers to the NAIC Credit for Reinsurance Model Law (#785), which refers to insurer-owned securities compiled by the SVO and identified on the List of Investment Securities, and in a separate provision, letters of credits issued by the banks and non-bank financial institutions whose name is placed on the NAIC List of Qualified U.S. Financial Institutions administered by the SVO, as eligible for use as collateral in reinsurance transactions. </w:t>
      </w:r>
      <w:r w:rsidR="008037C3" w:rsidRPr="007C20CA">
        <w:rPr>
          <w:rFonts w:ascii="Calibri" w:hAnsi="Calibri" w:cs="Calibri"/>
          <w:color w:val="000000"/>
          <w:sz w:val="22"/>
          <w:szCs w:val="22"/>
        </w:rPr>
        <w:br/>
      </w:r>
    </w:p>
    <w:p w14:paraId="178BEFA1" w14:textId="20C98790" w:rsidR="008037C3" w:rsidRPr="007C20CA" w:rsidRDefault="008037C3" w:rsidP="000429F7">
      <w:pPr>
        <w:spacing w:line="280" w:lineRule="exact"/>
        <w:jc w:val="both"/>
        <w:rPr>
          <w:rFonts w:ascii="Calibri" w:hAnsi="Calibri" w:cs="Calibri"/>
          <w:color w:val="000000"/>
        </w:rPr>
      </w:pPr>
      <w:r w:rsidRPr="007C20CA">
        <w:rPr>
          <w:rFonts w:ascii="Calibri" w:hAnsi="Calibri" w:cs="Calibri"/>
          <w:color w:val="000000"/>
        </w:rPr>
        <w:t>The</w:t>
      </w:r>
      <w:r w:rsidR="00520294" w:rsidRPr="007C20CA">
        <w:rPr>
          <w:rFonts w:ascii="Calibri" w:hAnsi="Calibri" w:cs="Calibri"/>
          <w:color w:val="000000"/>
        </w:rPr>
        <w:t>se</w:t>
      </w:r>
      <w:r w:rsidRPr="007C20CA">
        <w:rPr>
          <w:rFonts w:ascii="Calibri" w:hAnsi="Calibri" w:cs="Calibri"/>
          <w:color w:val="000000"/>
        </w:rPr>
        <w:t xml:space="preserve"> standard</w:t>
      </w:r>
      <w:r w:rsidR="003C751E" w:rsidRPr="007C20CA">
        <w:rPr>
          <w:rFonts w:ascii="Calibri" w:hAnsi="Calibri" w:cs="Calibri"/>
          <w:color w:val="000000"/>
        </w:rPr>
        <w:t xml:space="preserve">s have been included </w:t>
      </w:r>
      <w:r w:rsidR="00D96A21">
        <w:rPr>
          <w:rFonts w:ascii="Calibri" w:hAnsi="Calibri" w:cs="Calibri"/>
          <w:color w:val="000000"/>
        </w:rPr>
        <w:t>in this me</w:t>
      </w:r>
      <w:r w:rsidR="00BD2F41">
        <w:rPr>
          <w:rFonts w:ascii="Calibri" w:hAnsi="Calibri" w:cs="Calibri"/>
          <w:color w:val="000000"/>
        </w:rPr>
        <w:t>morandum</w:t>
      </w:r>
      <w:r w:rsidR="00167130">
        <w:rPr>
          <w:rFonts w:ascii="Calibri" w:hAnsi="Calibri" w:cs="Calibri"/>
          <w:color w:val="000000"/>
        </w:rPr>
        <w:t xml:space="preserve"> </w:t>
      </w:r>
      <w:r w:rsidR="003C751E" w:rsidRPr="007C20CA">
        <w:rPr>
          <w:rFonts w:ascii="Calibri" w:hAnsi="Calibri" w:cs="Calibri"/>
          <w:color w:val="000000"/>
        </w:rPr>
        <w:t xml:space="preserve">to highlight the </w:t>
      </w:r>
      <w:r w:rsidR="00B238D2" w:rsidRPr="007C20CA">
        <w:rPr>
          <w:rFonts w:ascii="Calibri" w:hAnsi="Calibri" w:cs="Calibri"/>
          <w:color w:val="000000"/>
        </w:rPr>
        <w:t>many</w:t>
      </w:r>
      <w:r w:rsidR="003C751E" w:rsidRPr="007C20CA">
        <w:rPr>
          <w:rFonts w:ascii="Calibri" w:hAnsi="Calibri" w:cs="Calibri"/>
          <w:color w:val="000000"/>
        </w:rPr>
        <w:t xml:space="preserve"> ways in which NAIC Designations </w:t>
      </w:r>
      <w:r w:rsidR="003F2B27" w:rsidRPr="007C20CA">
        <w:rPr>
          <w:rFonts w:ascii="Calibri" w:hAnsi="Calibri" w:cs="Calibri"/>
          <w:color w:val="000000"/>
        </w:rPr>
        <w:t xml:space="preserve">are used within NAIC guidance for </w:t>
      </w:r>
      <w:r w:rsidR="00BD2F41">
        <w:rPr>
          <w:rFonts w:ascii="Calibri" w:hAnsi="Calibri" w:cs="Calibri"/>
          <w:color w:val="000000"/>
        </w:rPr>
        <w:t>differen</w:t>
      </w:r>
      <w:r w:rsidR="00374C55">
        <w:rPr>
          <w:rFonts w:ascii="Calibri" w:hAnsi="Calibri" w:cs="Calibri"/>
          <w:color w:val="000000"/>
        </w:rPr>
        <w:t>t</w:t>
      </w:r>
      <w:r w:rsidR="003F2B27" w:rsidRPr="007C20CA">
        <w:rPr>
          <w:rFonts w:ascii="Calibri" w:hAnsi="Calibri" w:cs="Calibri"/>
          <w:color w:val="000000"/>
        </w:rPr>
        <w:t xml:space="preserve"> purpose</w:t>
      </w:r>
      <w:r w:rsidR="00B238D2" w:rsidRPr="007C20CA">
        <w:rPr>
          <w:rFonts w:ascii="Calibri" w:hAnsi="Calibri" w:cs="Calibri"/>
          <w:color w:val="000000"/>
        </w:rPr>
        <w:t>s</w:t>
      </w:r>
      <w:r w:rsidR="003F2B27" w:rsidRPr="007C20CA">
        <w:rPr>
          <w:rFonts w:ascii="Calibri" w:hAnsi="Calibri" w:cs="Calibri"/>
          <w:color w:val="000000"/>
        </w:rPr>
        <w:t xml:space="preserve">.  </w:t>
      </w:r>
      <w:r w:rsidR="001B1E6B">
        <w:rPr>
          <w:rFonts w:ascii="Calibri" w:hAnsi="Calibri" w:cs="Calibri"/>
          <w:color w:val="000000"/>
        </w:rPr>
        <w:t>T</w:t>
      </w:r>
      <w:r w:rsidR="00660C2D">
        <w:rPr>
          <w:rFonts w:ascii="Calibri" w:hAnsi="Calibri" w:cs="Calibri"/>
          <w:color w:val="000000"/>
        </w:rPr>
        <w:t>hese varied uses</w:t>
      </w:r>
      <w:r w:rsidR="00A61698">
        <w:rPr>
          <w:rFonts w:ascii="Calibri" w:hAnsi="Calibri" w:cs="Calibri"/>
          <w:color w:val="000000"/>
        </w:rPr>
        <w:t xml:space="preserve"> in regulatory guidance</w:t>
      </w:r>
      <w:r w:rsidR="001B1E6B">
        <w:rPr>
          <w:rFonts w:ascii="Calibri" w:hAnsi="Calibri" w:cs="Calibri"/>
          <w:color w:val="000000"/>
        </w:rPr>
        <w:t xml:space="preserve"> also highlight </w:t>
      </w:r>
      <w:r w:rsidR="003F2B27" w:rsidRPr="007C20CA">
        <w:rPr>
          <w:rFonts w:ascii="Calibri" w:hAnsi="Calibri" w:cs="Calibri"/>
          <w:color w:val="000000"/>
        </w:rPr>
        <w:t>why NAIC Designations differ from Credit Rating Provider (CRP) ratings</w:t>
      </w:r>
      <w:r w:rsidR="00B238D2" w:rsidRPr="007C20CA">
        <w:rPr>
          <w:rFonts w:ascii="Calibri" w:hAnsi="Calibri" w:cs="Calibri"/>
          <w:color w:val="000000"/>
        </w:rPr>
        <w:t>.</w:t>
      </w:r>
      <w:r w:rsidR="004F2D5D" w:rsidRPr="007C20CA">
        <w:rPr>
          <w:rFonts w:ascii="Calibri" w:hAnsi="Calibri" w:cs="Calibri"/>
          <w:color w:val="000000"/>
        </w:rPr>
        <w:t xml:space="preserve"> </w:t>
      </w:r>
      <w:r w:rsidR="0007746B" w:rsidRPr="007C20CA">
        <w:rPr>
          <w:rFonts w:ascii="Calibri" w:hAnsi="Calibri" w:cs="Calibri"/>
          <w:color w:val="000000"/>
        </w:rPr>
        <w:t xml:space="preserve"> The</w:t>
      </w:r>
      <w:r w:rsidR="00416640">
        <w:rPr>
          <w:rFonts w:ascii="Calibri" w:hAnsi="Calibri" w:cs="Calibri"/>
          <w:color w:val="000000"/>
        </w:rPr>
        <w:t xml:space="preserve"> </w:t>
      </w:r>
      <w:r w:rsidR="001B1E6B">
        <w:rPr>
          <w:rFonts w:ascii="Calibri" w:hAnsi="Calibri" w:cs="Calibri"/>
          <w:color w:val="000000"/>
        </w:rPr>
        <w:t xml:space="preserve">current </w:t>
      </w:r>
      <w:r w:rsidR="00416640">
        <w:rPr>
          <w:rFonts w:ascii="Calibri" w:hAnsi="Calibri" w:cs="Calibri"/>
          <w:color w:val="000000"/>
        </w:rPr>
        <w:t xml:space="preserve">definition </w:t>
      </w:r>
      <w:r w:rsidR="0000519C">
        <w:rPr>
          <w:rFonts w:ascii="Calibri" w:hAnsi="Calibri" w:cs="Calibri"/>
          <w:color w:val="000000"/>
        </w:rPr>
        <w:t>of an NAIC Design</w:t>
      </w:r>
      <w:r w:rsidR="00D97FDD">
        <w:rPr>
          <w:rFonts w:ascii="Calibri" w:hAnsi="Calibri" w:cs="Calibri"/>
          <w:color w:val="000000"/>
        </w:rPr>
        <w:t xml:space="preserve">ation </w:t>
      </w:r>
      <w:r w:rsidR="00DA378C">
        <w:rPr>
          <w:rFonts w:ascii="Calibri" w:hAnsi="Calibri" w:cs="Calibri"/>
          <w:color w:val="000000"/>
        </w:rPr>
        <w:t xml:space="preserve">in the </w:t>
      </w:r>
      <w:r w:rsidR="003D1245" w:rsidRPr="007C20CA">
        <w:rPr>
          <w:rFonts w:ascii="Calibri" w:hAnsi="Calibri" w:cs="Calibri"/>
          <w:color w:val="000000"/>
        </w:rPr>
        <w:t xml:space="preserve">P&amp;P Manual </w:t>
      </w:r>
      <w:r w:rsidR="00953B37">
        <w:rPr>
          <w:rFonts w:ascii="Calibri" w:hAnsi="Calibri" w:cs="Calibri"/>
          <w:color w:val="000000"/>
        </w:rPr>
        <w:t xml:space="preserve">does not clearly associate </w:t>
      </w:r>
      <w:r w:rsidR="000028BC">
        <w:rPr>
          <w:rFonts w:ascii="Calibri" w:hAnsi="Calibri" w:cs="Calibri"/>
          <w:color w:val="000000"/>
        </w:rPr>
        <w:t>its</w:t>
      </w:r>
      <w:r w:rsidR="00DA378C">
        <w:rPr>
          <w:rFonts w:ascii="Calibri" w:hAnsi="Calibri" w:cs="Calibri"/>
          <w:color w:val="000000"/>
        </w:rPr>
        <w:t xml:space="preserve"> </w:t>
      </w:r>
      <w:r w:rsidR="00DE1C3C" w:rsidRPr="007C20CA">
        <w:rPr>
          <w:rFonts w:ascii="Calibri" w:hAnsi="Calibri" w:cs="Calibri"/>
          <w:color w:val="000000"/>
        </w:rPr>
        <w:t xml:space="preserve">use </w:t>
      </w:r>
      <w:r w:rsidR="008340DB">
        <w:rPr>
          <w:rFonts w:ascii="Calibri" w:hAnsi="Calibri" w:cs="Calibri"/>
          <w:color w:val="000000"/>
        </w:rPr>
        <w:t>for</w:t>
      </w:r>
      <w:r w:rsidR="008340DB" w:rsidRPr="007C20CA">
        <w:rPr>
          <w:rFonts w:ascii="Calibri" w:hAnsi="Calibri" w:cs="Calibri"/>
          <w:color w:val="000000"/>
        </w:rPr>
        <w:t xml:space="preserve"> </w:t>
      </w:r>
      <w:r w:rsidR="000C0110" w:rsidRPr="007C20CA">
        <w:rPr>
          <w:rFonts w:ascii="Calibri" w:hAnsi="Calibri" w:cs="Calibri"/>
          <w:color w:val="000000"/>
        </w:rPr>
        <w:t xml:space="preserve">these </w:t>
      </w:r>
      <w:r w:rsidR="00897CA5">
        <w:rPr>
          <w:rFonts w:ascii="Calibri" w:hAnsi="Calibri" w:cs="Calibri"/>
          <w:color w:val="000000"/>
        </w:rPr>
        <w:t>purpose</w:t>
      </w:r>
      <w:r w:rsidR="008340DB">
        <w:rPr>
          <w:rFonts w:ascii="Calibri" w:hAnsi="Calibri" w:cs="Calibri"/>
          <w:color w:val="000000"/>
        </w:rPr>
        <w:t>s</w:t>
      </w:r>
      <w:r w:rsidR="00897CA5">
        <w:rPr>
          <w:rFonts w:ascii="Calibri" w:hAnsi="Calibri" w:cs="Calibri"/>
          <w:color w:val="000000"/>
        </w:rPr>
        <w:t xml:space="preserve"> and </w:t>
      </w:r>
      <w:r w:rsidR="000C0110" w:rsidRPr="007C20CA">
        <w:rPr>
          <w:rFonts w:ascii="Calibri" w:hAnsi="Calibri" w:cs="Calibri"/>
          <w:color w:val="000000"/>
        </w:rPr>
        <w:t>standards</w:t>
      </w:r>
      <w:r w:rsidR="007E1053" w:rsidRPr="007C20CA">
        <w:rPr>
          <w:rFonts w:ascii="Calibri" w:hAnsi="Calibri" w:cs="Calibri"/>
          <w:color w:val="000000"/>
        </w:rPr>
        <w:t xml:space="preserve">.  The attached amendment </w:t>
      </w:r>
      <w:r w:rsidR="00977281" w:rsidRPr="007C20CA">
        <w:rPr>
          <w:rFonts w:ascii="Calibri" w:hAnsi="Calibri" w:cs="Calibri"/>
          <w:color w:val="000000"/>
        </w:rPr>
        <w:t>propose</w:t>
      </w:r>
      <w:r w:rsidR="00246487" w:rsidRPr="007C20CA">
        <w:rPr>
          <w:rFonts w:ascii="Calibri" w:hAnsi="Calibri" w:cs="Calibri"/>
          <w:color w:val="000000"/>
        </w:rPr>
        <w:t>s change</w:t>
      </w:r>
      <w:r w:rsidR="0003078F">
        <w:rPr>
          <w:rFonts w:ascii="Calibri" w:hAnsi="Calibri" w:cs="Calibri"/>
          <w:color w:val="000000"/>
        </w:rPr>
        <w:t>s</w:t>
      </w:r>
      <w:r w:rsidR="00246487" w:rsidRPr="007C20CA">
        <w:rPr>
          <w:rFonts w:ascii="Calibri" w:hAnsi="Calibri" w:cs="Calibri"/>
          <w:color w:val="000000"/>
        </w:rPr>
        <w:t xml:space="preserve"> in Part One and Part Two</w:t>
      </w:r>
      <w:r w:rsidR="004B4ADD">
        <w:rPr>
          <w:rFonts w:ascii="Calibri" w:hAnsi="Calibri" w:cs="Calibri"/>
          <w:color w:val="000000"/>
        </w:rPr>
        <w:t xml:space="preserve"> of the P&amp;P Manual</w:t>
      </w:r>
      <w:r w:rsidR="00246487" w:rsidRPr="007C20CA">
        <w:rPr>
          <w:rFonts w:ascii="Calibri" w:hAnsi="Calibri" w:cs="Calibri"/>
          <w:color w:val="000000"/>
        </w:rPr>
        <w:t xml:space="preserve"> to </w:t>
      </w:r>
      <w:r w:rsidR="004569B3">
        <w:rPr>
          <w:rFonts w:ascii="Calibri" w:hAnsi="Calibri" w:cs="Calibri"/>
          <w:color w:val="000000"/>
        </w:rPr>
        <w:t xml:space="preserve">clearly articulate </w:t>
      </w:r>
      <w:r w:rsidR="00420671" w:rsidRPr="007C20CA">
        <w:rPr>
          <w:rFonts w:ascii="Calibri" w:hAnsi="Calibri" w:cs="Calibri"/>
          <w:color w:val="000000"/>
        </w:rPr>
        <w:t xml:space="preserve">that the assignment of an NAIC Designation </w:t>
      </w:r>
      <w:r w:rsidR="00B3685C">
        <w:rPr>
          <w:rFonts w:ascii="Calibri" w:hAnsi="Calibri" w:cs="Calibri"/>
          <w:color w:val="000000"/>
        </w:rPr>
        <w:t xml:space="preserve">to a security </w:t>
      </w:r>
      <w:r w:rsidR="00420671" w:rsidRPr="007C20CA">
        <w:rPr>
          <w:rFonts w:ascii="Calibri" w:hAnsi="Calibri" w:cs="Calibri"/>
          <w:color w:val="000000"/>
        </w:rPr>
        <w:t>considers</w:t>
      </w:r>
      <w:r w:rsidR="00535614">
        <w:rPr>
          <w:rFonts w:ascii="Calibri" w:hAnsi="Calibri" w:cs="Calibri"/>
          <w:color w:val="000000"/>
        </w:rPr>
        <w:t xml:space="preserve"> and/or reflects</w:t>
      </w:r>
      <w:r w:rsidR="00420671" w:rsidRPr="007C20CA">
        <w:rPr>
          <w:rFonts w:ascii="Calibri" w:hAnsi="Calibri" w:cs="Calibri"/>
          <w:color w:val="000000"/>
        </w:rPr>
        <w:t xml:space="preserve"> </w:t>
      </w:r>
      <w:r w:rsidR="00246487" w:rsidRPr="007C20CA">
        <w:rPr>
          <w:rFonts w:ascii="Calibri" w:hAnsi="Calibri" w:cs="Calibri"/>
          <w:color w:val="000000"/>
        </w:rPr>
        <w:t>the following</w:t>
      </w:r>
      <w:r w:rsidR="00DD6C1E" w:rsidRPr="007C20CA">
        <w:rPr>
          <w:rFonts w:ascii="Calibri" w:hAnsi="Calibri" w:cs="Calibri"/>
          <w:color w:val="000000"/>
        </w:rPr>
        <w:t>:</w:t>
      </w:r>
    </w:p>
    <w:p w14:paraId="0E1BB5F0" w14:textId="75F166C8" w:rsidR="00F72DA4" w:rsidRPr="007C20CA" w:rsidRDefault="00535614" w:rsidP="000429F7">
      <w:pPr>
        <w:pStyle w:val="ListParagraph"/>
        <w:numPr>
          <w:ilvl w:val="0"/>
          <w:numId w:val="23"/>
        </w:numPr>
        <w:spacing w:line="280" w:lineRule="exact"/>
        <w:jc w:val="both"/>
        <w:rPr>
          <w:rFonts w:ascii="Calibri" w:hAnsi="Calibri" w:cs="Calibri"/>
          <w:color w:val="000000"/>
          <w:sz w:val="22"/>
          <w:szCs w:val="22"/>
        </w:rPr>
      </w:pPr>
      <w:r>
        <w:rPr>
          <w:rFonts w:ascii="Calibri" w:hAnsi="Calibri" w:cs="Calibri"/>
          <w:color w:val="000000"/>
          <w:sz w:val="22"/>
          <w:szCs w:val="22"/>
        </w:rPr>
        <w:t>The</w:t>
      </w:r>
      <w:r w:rsidR="001832CC" w:rsidRPr="007C20CA">
        <w:rPr>
          <w:rFonts w:ascii="Calibri" w:hAnsi="Calibri" w:cs="Calibri"/>
          <w:color w:val="000000"/>
          <w:sz w:val="22"/>
          <w:szCs w:val="22"/>
        </w:rPr>
        <w:t xml:space="preserve"> likelihood of timely payment of principal and/or interest, as appropriate</w:t>
      </w:r>
      <w:r w:rsidR="00F72DA4" w:rsidRPr="007C20CA">
        <w:rPr>
          <w:rFonts w:ascii="Calibri" w:hAnsi="Calibri" w:cs="Calibri"/>
          <w:color w:val="000000"/>
          <w:sz w:val="22"/>
          <w:szCs w:val="22"/>
        </w:rPr>
        <w:t>.</w:t>
      </w:r>
    </w:p>
    <w:p w14:paraId="4CE01DFB" w14:textId="77777777" w:rsidR="006E3694" w:rsidRPr="007C20CA" w:rsidRDefault="00F72DA4" w:rsidP="000429F7">
      <w:pPr>
        <w:pStyle w:val="ListParagraph"/>
        <w:numPr>
          <w:ilvl w:val="0"/>
          <w:numId w:val="23"/>
        </w:numPr>
        <w:spacing w:line="280" w:lineRule="exact"/>
        <w:jc w:val="both"/>
        <w:rPr>
          <w:rFonts w:ascii="Calibri" w:hAnsi="Calibri" w:cs="Calibri"/>
          <w:color w:val="000000"/>
          <w:sz w:val="22"/>
          <w:szCs w:val="22"/>
        </w:rPr>
      </w:pPr>
      <w:r w:rsidRPr="007C20CA">
        <w:rPr>
          <w:rFonts w:ascii="Calibri" w:hAnsi="Calibri" w:cs="Calibri"/>
          <w:color w:val="000000"/>
          <w:sz w:val="22"/>
          <w:szCs w:val="22"/>
        </w:rPr>
        <w:t>T</w:t>
      </w:r>
      <w:r w:rsidR="001832CC" w:rsidRPr="007C20CA">
        <w:rPr>
          <w:rFonts w:ascii="Calibri" w:hAnsi="Calibri" w:cs="Calibri"/>
          <w:color w:val="000000"/>
          <w:sz w:val="22"/>
          <w:szCs w:val="22"/>
        </w:rPr>
        <w:t>he probability of default</w:t>
      </w:r>
      <w:r w:rsidR="006E3694" w:rsidRPr="007C20CA">
        <w:rPr>
          <w:rFonts w:ascii="Calibri" w:hAnsi="Calibri" w:cs="Calibri"/>
          <w:color w:val="000000"/>
          <w:sz w:val="22"/>
          <w:szCs w:val="22"/>
        </w:rPr>
        <w:t>.</w:t>
      </w:r>
    </w:p>
    <w:p w14:paraId="585F2C27" w14:textId="64E69AA6" w:rsidR="00DD6C1E" w:rsidRPr="007C20CA" w:rsidRDefault="006E3694" w:rsidP="000429F7">
      <w:pPr>
        <w:pStyle w:val="ListParagraph"/>
        <w:numPr>
          <w:ilvl w:val="0"/>
          <w:numId w:val="23"/>
        </w:numPr>
        <w:spacing w:line="280" w:lineRule="exact"/>
        <w:jc w:val="both"/>
        <w:rPr>
          <w:rFonts w:ascii="Calibri" w:hAnsi="Calibri" w:cs="Calibri"/>
          <w:color w:val="000000"/>
          <w:sz w:val="22"/>
          <w:szCs w:val="22"/>
        </w:rPr>
      </w:pPr>
      <w:r w:rsidRPr="007C20CA">
        <w:rPr>
          <w:rFonts w:ascii="Calibri" w:hAnsi="Calibri" w:cs="Calibri"/>
          <w:color w:val="000000"/>
          <w:sz w:val="22"/>
          <w:szCs w:val="22"/>
        </w:rPr>
        <w:t>T</w:t>
      </w:r>
      <w:r w:rsidR="001832CC" w:rsidRPr="007C20CA">
        <w:rPr>
          <w:rFonts w:ascii="Calibri" w:hAnsi="Calibri" w:cs="Calibri"/>
          <w:color w:val="000000"/>
          <w:sz w:val="22"/>
          <w:szCs w:val="22"/>
        </w:rPr>
        <w:t>he appropriateness and consistency of the risk-based capital model factor that will be applied to the security given its level of risk.</w:t>
      </w:r>
    </w:p>
    <w:p w14:paraId="7A70CDF3" w14:textId="6A840FEA" w:rsidR="006A5F0A" w:rsidRPr="007C20CA" w:rsidRDefault="001D65FE" w:rsidP="000429F7">
      <w:pPr>
        <w:pStyle w:val="ListParagraph"/>
        <w:numPr>
          <w:ilvl w:val="0"/>
          <w:numId w:val="23"/>
        </w:numPr>
        <w:spacing w:line="280" w:lineRule="exact"/>
        <w:jc w:val="both"/>
        <w:rPr>
          <w:rFonts w:ascii="Calibri" w:hAnsi="Calibri" w:cs="Calibri"/>
          <w:color w:val="000000"/>
          <w:sz w:val="22"/>
          <w:szCs w:val="22"/>
        </w:rPr>
      </w:pPr>
      <w:r>
        <w:rPr>
          <w:rFonts w:ascii="Calibri" w:hAnsi="Calibri" w:cs="Calibri"/>
          <w:color w:val="000000"/>
          <w:sz w:val="22"/>
          <w:szCs w:val="22"/>
        </w:rPr>
        <w:t>S</w:t>
      </w:r>
      <w:r w:rsidRPr="007C20CA">
        <w:rPr>
          <w:rFonts w:ascii="Calibri" w:hAnsi="Calibri" w:cs="Calibri"/>
          <w:color w:val="000000"/>
          <w:sz w:val="22"/>
          <w:szCs w:val="22"/>
        </w:rPr>
        <w:t>tatutory</w:t>
      </w:r>
      <w:r w:rsidR="00B606AB" w:rsidRPr="007C20CA">
        <w:rPr>
          <w:rFonts w:ascii="Calibri" w:hAnsi="Calibri" w:cs="Calibri"/>
          <w:color w:val="000000"/>
          <w:sz w:val="22"/>
          <w:szCs w:val="22"/>
        </w:rPr>
        <w:t xml:space="preserve"> accounting, reporting, state investment laws and other purposes identified in the NAIC Financial Regulation Standards and Accreditation Program and/or other NAIC developed regulatory guidance embodied in state law.</w:t>
      </w:r>
    </w:p>
    <w:p w14:paraId="7E1F13BD" w14:textId="315360A4" w:rsidR="00707C79" w:rsidRPr="007C20CA" w:rsidRDefault="00FE6D33" w:rsidP="000429F7">
      <w:pPr>
        <w:spacing w:line="280" w:lineRule="exact"/>
        <w:jc w:val="both"/>
        <w:rPr>
          <w:rFonts w:cstheme="minorHAnsi"/>
        </w:rPr>
      </w:pPr>
      <w:r w:rsidRPr="007C20CA">
        <w:br/>
      </w:r>
      <w:r w:rsidRPr="007C20CA">
        <w:rPr>
          <w:rFonts w:ascii="Calibri" w:hAnsi="Calibri" w:cs="Calibri"/>
          <w:b/>
          <w:bCs/>
          <w:color w:val="000000" w:themeColor="text1"/>
        </w:rPr>
        <w:t>Recommendation:</w:t>
      </w:r>
      <w:r w:rsidRPr="007C20CA">
        <w:rPr>
          <w:rFonts w:ascii="Calibri" w:hAnsi="Calibri" w:cs="Calibri"/>
          <w:color w:val="000000" w:themeColor="text1"/>
        </w:rPr>
        <w:t xml:space="preserve">  The SVO recommend</w:t>
      </w:r>
      <w:r w:rsidR="00064A16" w:rsidRPr="007C20CA">
        <w:rPr>
          <w:rFonts w:ascii="Calibri" w:hAnsi="Calibri" w:cs="Calibri"/>
          <w:color w:val="000000" w:themeColor="text1"/>
        </w:rPr>
        <w:t>s</w:t>
      </w:r>
      <w:r w:rsidRPr="007C20CA">
        <w:rPr>
          <w:rFonts w:ascii="Calibri" w:hAnsi="Calibri" w:cs="Calibri"/>
          <w:color w:val="000000" w:themeColor="text1"/>
        </w:rPr>
        <w:t xml:space="preserve"> adoption of th</w:t>
      </w:r>
      <w:r w:rsidR="00C82EAC" w:rsidRPr="007C20CA">
        <w:rPr>
          <w:rFonts w:ascii="Calibri" w:hAnsi="Calibri" w:cs="Calibri"/>
          <w:color w:val="000000" w:themeColor="text1"/>
        </w:rPr>
        <w:t xml:space="preserve">is </w:t>
      </w:r>
      <w:r w:rsidR="00DB21C7" w:rsidRPr="007C20CA">
        <w:rPr>
          <w:rFonts w:ascii="Calibri" w:hAnsi="Calibri" w:cs="Calibri"/>
          <w:color w:val="000000" w:themeColor="text1"/>
        </w:rPr>
        <w:t xml:space="preserve">proposed </w:t>
      </w:r>
      <w:r w:rsidR="00C82EAC" w:rsidRPr="007C20CA">
        <w:rPr>
          <w:rFonts w:ascii="Calibri" w:hAnsi="Calibri" w:cs="Calibri"/>
          <w:color w:val="000000" w:themeColor="text1"/>
        </w:rPr>
        <w:t xml:space="preserve">amendment </w:t>
      </w:r>
      <w:r w:rsidR="00B260B4">
        <w:rPr>
          <w:rFonts w:ascii="Calibri" w:hAnsi="Calibri" w:cs="Calibri"/>
          <w:color w:val="000000" w:themeColor="text1"/>
        </w:rPr>
        <w:t>updating</w:t>
      </w:r>
      <w:r w:rsidR="00C82EAC" w:rsidRPr="007C20CA">
        <w:rPr>
          <w:rFonts w:ascii="Calibri" w:hAnsi="Calibri" w:cs="Calibri"/>
          <w:color w:val="000000" w:themeColor="text1"/>
        </w:rPr>
        <w:t xml:space="preserve"> the definition </w:t>
      </w:r>
      <w:r w:rsidR="00E76E10" w:rsidRPr="007C20CA">
        <w:rPr>
          <w:rFonts w:ascii="Calibri" w:hAnsi="Calibri" w:cs="Calibri"/>
          <w:color w:val="000000" w:themeColor="text1"/>
        </w:rPr>
        <w:t>of an NAIC De</w:t>
      </w:r>
      <w:r w:rsidR="00D14BBB" w:rsidRPr="007C20CA">
        <w:rPr>
          <w:rFonts w:ascii="Calibri" w:hAnsi="Calibri" w:cs="Calibri"/>
          <w:color w:val="000000" w:themeColor="text1"/>
        </w:rPr>
        <w:t>signation in</w:t>
      </w:r>
      <w:r w:rsidRPr="007C20CA">
        <w:rPr>
          <w:rFonts w:ascii="Calibri" w:hAnsi="Calibri" w:cs="Calibri"/>
          <w:color w:val="000000" w:themeColor="text1"/>
        </w:rPr>
        <w:t xml:space="preserve"> the P&amp;P Manual</w:t>
      </w:r>
      <w:r w:rsidR="00B260B4">
        <w:rPr>
          <w:rFonts w:ascii="Calibri" w:hAnsi="Calibri" w:cs="Calibri"/>
          <w:color w:val="000000" w:themeColor="text1"/>
        </w:rPr>
        <w:t xml:space="preserve"> to </w:t>
      </w:r>
      <w:r w:rsidR="00B526DC">
        <w:rPr>
          <w:rFonts w:ascii="Calibri" w:hAnsi="Calibri" w:cs="Calibri"/>
          <w:color w:val="000000" w:themeColor="text1"/>
        </w:rPr>
        <w:t>clearly link</w:t>
      </w:r>
      <w:r w:rsidR="000F48DD">
        <w:rPr>
          <w:rFonts w:ascii="Calibri" w:hAnsi="Calibri" w:cs="Calibri"/>
          <w:color w:val="000000" w:themeColor="text1"/>
        </w:rPr>
        <w:t xml:space="preserve"> its use </w:t>
      </w:r>
      <w:r w:rsidR="00E16C5A" w:rsidRPr="00E16C5A">
        <w:rPr>
          <w:rFonts w:ascii="Calibri" w:hAnsi="Calibri" w:cs="Calibri"/>
          <w:color w:val="000000" w:themeColor="text1"/>
        </w:rPr>
        <w:t>in the NAIC Policy Statement and Financial Regulation Standards (SFRS)</w:t>
      </w:r>
      <w:r w:rsidR="00D14BBB" w:rsidRPr="007C20CA">
        <w:rPr>
          <w:rFonts w:ascii="Calibri" w:hAnsi="Calibri" w:cs="Calibri"/>
          <w:color w:val="000000" w:themeColor="text1"/>
        </w:rPr>
        <w:t xml:space="preserve">. </w:t>
      </w:r>
      <w:r w:rsidR="00A95561">
        <w:rPr>
          <w:rFonts w:ascii="Calibri" w:hAnsi="Calibri" w:cs="Calibri"/>
          <w:color w:val="000000" w:themeColor="text1"/>
        </w:rPr>
        <w:t xml:space="preserve"> T</w:t>
      </w:r>
      <w:r w:rsidR="00707C79" w:rsidRPr="007C20CA">
        <w:rPr>
          <w:rFonts w:cstheme="minorHAnsi"/>
        </w:rPr>
        <w:t xml:space="preserve">he proposed text changes to P&amp;P Manual are shown below with additions in </w:t>
      </w:r>
      <w:r w:rsidR="00707C79" w:rsidRPr="007C20CA">
        <w:rPr>
          <w:rFonts w:cstheme="minorHAnsi"/>
          <w:color w:val="FF0000"/>
          <w:u w:val="single"/>
        </w:rPr>
        <w:t>red underline</w:t>
      </w:r>
      <w:r w:rsidR="00707C79" w:rsidRPr="007C20CA">
        <w:rPr>
          <w:rFonts w:cstheme="minorHAnsi"/>
        </w:rPr>
        <w:t xml:space="preserve">, deletions in </w:t>
      </w:r>
      <w:r w:rsidR="00707C79" w:rsidRPr="007C20CA">
        <w:rPr>
          <w:rFonts w:cstheme="minorHAnsi"/>
          <w:strike/>
          <w:color w:val="FF0000"/>
        </w:rPr>
        <w:t>red strikethrough</w:t>
      </w:r>
      <w:r w:rsidR="00707C79" w:rsidRPr="007C20CA">
        <w:rPr>
          <w:rFonts w:cstheme="minorHAnsi"/>
        </w:rPr>
        <w:t xml:space="preserve"> as it would appear in the 2022 P&amp;P Manual format.</w:t>
      </w:r>
    </w:p>
    <w:p w14:paraId="7DF36964" w14:textId="77777777" w:rsidR="00707C79" w:rsidRDefault="00707C79" w:rsidP="00FE6D33">
      <w:pPr>
        <w:spacing w:line="280" w:lineRule="exact"/>
        <w:rPr>
          <w:rFonts w:ascii="Calibri" w:hAnsi="Calibri" w:cs="Calibri"/>
          <w:color w:val="000000"/>
          <w:sz w:val="20"/>
          <w:szCs w:val="20"/>
        </w:rPr>
      </w:pPr>
    </w:p>
    <w:p w14:paraId="44C832C6" w14:textId="77777777" w:rsidR="001D0F9E" w:rsidRDefault="001D0F9E">
      <w:pPr>
        <w:rPr>
          <w:rFonts w:ascii="Garamond" w:eastAsia="Calibri" w:hAnsi="Garamond" w:cs="Times New Roman"/>
          <w:b/>
          <w:bCs/>
          <w:smallCaps/>
          <w:color w:val="000000" w:themeColor="text1"/>
          <w:kern w:val="32"/>
          <w:sz w:val="24"/>
          <w:szCs w:val="24"/>
        </w:rPr>
      </w:pPr>
      <w:r>
        <w:br w:type="page"/>
      </w:r>
    </w:p>
    <w:p w14:paraId="3E9A49D7" w14:textId="093E036E" w:rsidR="00946DCB" w:rsidRPr="00765CB2" w:rsidRDefault="00114A78" w:rsidP="00051FA6">
      <w:pPr>
        <w:pStyle w:val="Heading2"/>
      </w:pPr>
      <w:r w:rsidRPr="00621942">
        <w:lastRenderedPageBreak/>
        <w:t xml:space="preserve">Part One: </w:t>
      </w:r>
      <w:r w:rsidR="001A41A1">
        <w:br/>
      </w:r>
      <w:r w:rsidRPr="00621942">
        <w:t>Policies of the NAIC Valuation of Securities (E) Task Force</w:t>
      </w:r>
      <w:r w:rsidR="00E76361" w:rsidRPr="00621942">
        <w:br/>
      </w:r>
      <w:r w:rsidRPr="00765CB2">
        <w:br/>
      </w:r>
      <w:r w:rsidR="00601084" w:rsidRPr="00765CB2">
        <w:t>ABOUT THIS MANUAL</w:t>
      </w:r>
    </w:p>
    <w:p w14:paraId="6128581F" w14:textId="32923EBC" w:rsidR="00693FAA" w:rsidRPr="00765CB2" w:rsidRDefault="00693FAA" w:rsidP="00693FAA">
      <w:pPr>
        <w:rPr>
          <w:rFonts w:ascii="Garamond" w:hAnsi="Garamond"/>
          <w:sz w:val="24"/>
          <w:szCs w:val="24"/>
        </w:rPr>
      </w:pPr>
      <w:r w:rsidRPr="00765CB2">
        <w:rPr>
          <w:rFonts w:ascii="Garamond" w:hAnsi="Garamond"/>
          <w:sz w:val="24"/>
          <w:szCs w:val="24"/>
        </w:rPr>
        <w:t>…</w:t>
      </w:r>
    </w:p>
    <w:p w14:paraId="257AA87E" w14:textId="77777777" w:rsidR="005A0594" w:rsidRPr="00765CB2" w:rsidRDefault="005A0594" w:rsidP="00FF08F4">
      <w:pPr>
        <w:pStyle w:val="Heading4"/>
        <w:spacing w:before="240"/>
        <w:jc w:val="both"/>
        <w:rPr>
          <w:rFonts w:ascii="Garamond" w:hAnsi="Garamond"/>
          <w:b/>
          <w:bCs/>
          <w:i w:val="0"/>
          <w:color w:val="auto"/>
          <w:sz w:val="24"/>
          <w:szCs w:val="24"/>
        </w:rPr>
      </w:pPr>
      <w:bookmarkStart w:id="21" w:name="_Toc534811543"/>
      <w:bookmarkStart w:id="22" w:name="_Toc534886996"/>
      <w:bookmarkStart w:id="23" w:name="_Toc90649374"/>
      <w:r w:rsidRPr="00765CB2">
        <w:rPr>
          <w:rFonts w:ascii="Garamond" w:hAnsi="Garamond"/>
          <w:b/>
          <w:bCs/>
          <w:i w:val="0"/>
          <w:color w:val="auto"/>
          <w:sz w:val="24"/>
          <w:szCs w:val="24"/>
        </w:rPr>
        <w:t>Expression of NAIC Standards in State Law and Regulatory Processes</w:t>
      </w:r>
      <w:bookmarkEnd w:id="21"/>
      <w:bookmarkEnd w:id="22"/>
      <w:bookmarkEnd w:id="23"/>
    </w:p>
    <w:p w14:paraId="6D9EA185" w14:textId="77777777" w:rsidR="005A0594" w:rsidRPr="00765CB2" w:rsidRDefault="005A0594" w:rsidP="00A33403">
      <w:pPr>
        <w:pStyle w:val="ListParagraph"/>
        <w:keepLines/>
        <w:numPr>
          <w:ilvl w:val="0"/>
          <w:numId w:val="10"/>
        </w:numPr>
        <w:autoSpaceDE w:val="0"/>
        <w:autoSpaceDN w:val="0"/>
        <w:adjustRightInd w:val="0"/>
        <w:spacing w:before="120" w:after="120" w:line="276" w:lineRule="auto"/>
        <w:contextualSpacing w:val="0"/>
        <w:jc w:val="both"/>
        <w:rPr>
          <w:rFonts w:ascii="Garamond" w:hAnsi="Garamond"/>
        </w:rPr>
      </w:pPr>
      <w:r w:rsidRPr="00765CB2">
        <w:rPr>
          <w:rFonts w:ascii="Garamond" w:hAnsi="Garamond"/>
        </w:rPr>
        <w:t>NAIC Designations and other SVO and SSG products are standards identified in the NAIC Policy Statement and Financial Regulation Standards (SFRS)</w:t>
      </w:r>
      <w:r w:rsidRPr="00765CB2">
        <w:rPr>
          <w:rFonts w:ascii="Garamond" w:hAnsi="Garamond"/>
        </w:rPr>
        <w:fldChar w:fldCharType="begin"/>
      </w:r>
      <w:r w:rsidRPr="00765CB2">
        <w:rPr>
          <w:rFonts w:ascii="Garamond" w:hAnsi="Garamond"/>
        </w:rPr>
        <w:instrText xml:space="preserve"> XE "Statement and Financial Regulation Standards (SFRS)" </w:instrText>
      </w:r>
      <w:r w:rsidRPr="00765CB2">
        <w:rPr>
          <w:rFonts w:ascii="Garamond" w:hAnsi="Garamond"/>
        </w:rPr>
        <w:fldChar w:fldCharType="end"/>
      </w:r>
      <w:r w:rsidRPr="00765CB2">
        <w:rPr>
          <w:rFonts w:ascii="Garamond" w:hAnsi="Garamond"/>
        </w:rPr>
        <w:t xml:space="preserve"> that have been incorporated into state law by the States as participants in the Accreditation Program administered by the Financial Regulation Standards and Accreditation (F) Committee. Information about the F Committee and the Accreditation Program can be accessed here: </w:t>
      </w:r>
      <w:r w:rsidRPr="00765CB2">
        <w:rPr>
          <w:rStyle w:val="Hyperlink"/>
          <w:rFonts w:ascii="Garamond" w:hAnsi="Garamond"/>
        </w:rPr>
        <w:t>www.naic.org/cmte_f.htm</w:t>
      </w:r>
      <w:r w:rsidRPr="00765CB2">
        <w:rPr>
          <w:rFonts w:ascii="Garamond" w:hAnsi="Garamond"/>
        </w:rPr>
        <w:t xml:space="preserve">. </w:t>
      </w:r>
    </w:p>
    <w:p w14:paraId="79A74A8C" w14:textId="77777777" w:rsidR="005A0594" w:rsidRPr="00765CB2" w:rsidRDefault="005A0594" w:rsidP="005A0594">
      <w:pPr>
        <w:pStyle w:val="ListParagraph"/>
        <w:keepLines/>
        <w:numPr>
          <w:ilvl w:val="0"/>
          <w:numId w:val="10"/>
        </w:numPr>
        <w:autoSpaceDE w:val="0"/>
        <w:autoSpaceDN w:val="0"/>
        <w:adjustRightInd w:val="0"/>
        <w:spacing w:before="120" w:after="120" w:line="276" w:lineRule="auto"/>
        <w:contextualSpacing w:val="0"/>
        <w:jc w:val="both"/>
        <w:rPr>
          <w:rFonts w:ascii="Garamond" w:hAnsi="Garamond"/>
        </w:rPr>
      </w:pPr>
      <w:r w:rsidRPr="00765CB2">
        <w:rPr>
          <w:rFonts w:ascii="Garamond" w:hAnsi="Garamond"/>
        </w:rPr>
        <w:t xml:space="preserve">Part A of the SFRS identifies laws and regulations deemed necessary to financial solvency regulation. Analytical products of the SVO and SSG [sometimes collectively called the Investment Analysis Office (IAO)] are directly or indirectly incorporated into SFRS Part A standards. </w:t>
      </w:r>
    </w:p>
    <w:p w14:paraId="3605100E" w14:textId="77777777" w:rsidR="008D6D33" w:rsidRPr="00765CB2" w:rsidRDefault="005A0594" w:rsidP="002A1835">
      <w:pPr>
        <w:pStyle w:val="Sublisting"/>
        <w:numPr>
          <w:ilvl w:val="0"/>
          <w:numId w:val="20"/>
        </w:numPr>
      </w:pPr>
      <w:r w:rsidRPr="00765CB2">
        <w:t xml:space="preserve">Standard 5 requires that insurer-owned securities be assessed in accordance with the standards promulgated by the NAIC IAO. </w:t>
      </w:r>
    </w:p>
    <w:p w14:paraId="21E3D7F8" w14:textId="5F6875CF" w:rsidR="005A0594" w:rsidRPr="00765CB2" w:rsidRDefault="005A0594" w:rsidP="002A1835">
      <w:pPr>
        <w:pStyle w:val="Sublisting"/>
        <w:numPr>
          <w:ilvl w:val="0"/>
          <w:numId w:val="20"/>
        </w:numPr>
      </w:pPr>
      <w:r w:rsidRPr="00765CB2">
        <w:t>Standard 2 refers to the NAIC Risk-Based Capital (RBC) for Insurers Model Act (#312</w:t>
      </w:r>
      <w:r w:rsidR="00F25681">
        <w:t>)</w:t>
      </w:r>
      <w:r w:rsidRPr="00765CB2">
        <w:t xml:space="preserve"> which assigns RBC factors for securities based on their credit risk as quantified by NAIC Designations. </w:t>
      </w:r>
    </w:p>
    <w:p w14:paraId="3CE1095B" w14:textId="77777777" w:rsidR="005A0594" w:rsidRPr="00765CB2" w:rsidRDefault="005A0594" w:rsidP="002A1835">
      <w:pPr>
        <w:pStyle w:val="Sublisting"/>
        <w:numPr>
          <w:ilvl w:val="0"/>
          <w:numId w:val="20"/>
        </w:numPr>
      </w:pPr>
      <w:r w:rsidRPr="00765CB2">
        <w:t>Standard 3 refers to the NAIC Accounting Practices and Procedures Manual</w:t>
      </w:r>
      <w:r w:rsidRPr="00765CB2">
        <w:fldChar w:fldCharType="begin"/>
      </w:r>
      <w:r w:rsidRPr="00765CB2">
        <w:instrText xml:space="preserve"> XE "Accounting Practices and Procedures Manual" </w:instrText>
      </w:r>
      <w:r w:rsidRPr="00765CB2">
        <w:fldChar w:fldCharType="end"/>
      </w:r>
      <w:r w:rsidRPr="00765CB2">
        <w:t xml:space="preserve">, which uses NAIC Designations produced by the SVO and/or Price Grids produced by the SSG for statutory accounting purposes including to identify the valuation rules that apply to an investment. </w:t>
      </w:r>
    </w:p>
    <w:p w14:paraId="2030ADBF" w14:textId="77777777" w:rsidR="005A0594" w:rsidRPr="00765CB2" w:rsidRDefault="005A0594" w:rsidP="002A1835">
      <w:pPr>
        <w:pStyle w:val="Sublisting"/>
        <w:numPr>
          <w:ilvl w:val="0"/>
          <w:numId w:val="20"/>
        </w:numPr>
      </w:pPr>
      <w:r w:rsidRPr="00765CB2">
        <w:t xml:space="preserve">Standard 8 refers to state investment regulations which often incorporate NAIC model law provisions that relate asset allocations to credit quality or credit risk quantified by NAIC Designations. </w:t>
      </w:r>
    </w:p>
    <w:p w14:paraId="11AAA891" w14:textId="77777777" w:rsidR="00DE7008" w:rsidRPr="00765CB2" w:rsidRDefault="00DE7008" w:rsidP="002A1835">
      <w:pPr>
        <w:pStyle w:val="Sublisting"/>
        <w:numPr>
          <w:ilvl w:val="0"/>
          <w:numId w:val="20"/>
        </w:numPr>
      </w:pPr>
      <w:r w:rsidRPr="00765CB2">
        <w:t>Standard 10 refers to the NAIC Credit for Reinsurance Model Law (#785)</w:t>
      </w:r>
      <w:r w:rsidRPr="00765CB2">
        <w:fldChar w:fldCharType="begin"/>
      </w:r>
      <w:r w:rsidRPr="00765CB2">
        <w:instrText xml:space="preserve"> XE "Credit for Reinsurance Model Law (#785)" </w:instrText>
      </w:r>
      <w:r w:rsidRPr="00765CB2">
        <w:fldChar w:fldCharType="end"/>
      </w:r>
      <w:r w:rsidRPr="00765CB2">
        <w:t xml:space="preserve">, which refers to insurer-owned securities compiled by the SVO and identified on the List of Investment Securities, and in a separate provision, letters of credits issued by the banks and non-bank financial institutions whose name is placed on the NAIC List of Qualified U.S. Financial Institutions administered by the SVO, as eligible for use as collateral in reinsurance transactions. </w:t>
      </w:r>
    </w:p>
    <w:p w14:paraId="5B11727B" w14:textId="77777777" w:rsidR="00DE7008" w:rsidRPr="00765CB2" w:rsidRDefault="00DE7008" w:rsidP="00DE7008">
      <w:pPr>
        <w:pStyle w:val="ListParagraph"/>
        <w:keepLines/>
        <w:numPr>
          <w:ilvl w:val="0"/>
          <w:numId w:val="10"/>
        </w:numPr>
        <w:autoSpaceDE w:val="0"/>
        <w:autoSpaceDN w:val="0"/>
        <w:adjustRightInd w:val="0"/>
        <w:spacing w:before="120" w:after="120" w:line="276" w:lineRule="auto"/>
        <w:contextualSpacing w:val="0"/>
        <w:jc w:val="both"/>
        <w:rPr>
          <w:rFonts w:ascii="Garamond" w:hAnsi="Garamond"/>
        </w:rPr>
      </w:pPr>
      <w:r w:rsidRPr="00765CB2">
        <w:rPr>
          <w:rFonts w:ascii="Garamond" w:hAnsi="Garamond"/>
        </w:rPr>
        <w:lastRenderedPageBreak/>
        <w:t xml:space="preserve">NAIC Designations and other analytical products of the SVO and SSG are produced solely for the benefit of NAIC members in their capacity as state insurance department officials for use in the NAIC Financial Regulation Standards and Accreditation Program as described above. To ensure NAIC members have a central source from which to obtain information about insurer-owned securities (including their NAIC Designations) the VOS/TF has identified the AVS+ Products as the depository for information compiled by the SVO in the SVO List of Investment Securities. </w:t>
      </w:r>
    </w:p>
    <w:p w14:paraId="2D3E97C6" w14:textId="3BF2EE52" w:rsidR="00752823" w:rsidRPr="00765CB2" w:rsidRDefault="00752823" w:rsidP="00752823">
      <w:pPr>
        <w:keepLines/>
        <w:autoSpaceDE w:val="0"/>
        <w:autoSpaceDN w:val="0"/>
        <w:adjustRightInd w:val="0"/>
        <w:spacing w:before="120" w:after="120"/>
        <w:ind w:left="720"/>
        <w:jc w:val="both"/>
        <w:rPr>
          <w:rFonts w:ascii="Garamond" w:hAnsi="Garamond"/>
          <w:sz w:val="24"/>
          <w:szCs w:val="24"/>
        </w:rPr>
      </w:pPr>
      <w:r w:rsidRPr="00765CB2">
        <w:rPr>
          <w:rFonts w:ascii="Garamond" w:hAnsi="Garamond"/>
          <w:sz w:val="24"/>
          <w:szCs w:val="24"/>
        </w:rPr>
        <w:t>…</w:t>
      </w:r>
    </w:p>
    <w:p w14:paraId="4709CDD6" w14:textId="77777777" w:rsidR="007A7571" w:rsidRPr="00765CB2" w:rsidRDefault="007A7571" w:rsidP="002C45C7">
      <w:pPr>
        <w:pStyle w:val="Heading4"/>
        <w:spacing w:before="240"/>
        <w:jc w:val="both"/>
        <w:rPr>
          <w:rFonts w:ascii="Garamond" w:hAnsi="Garamond"/>
          <w:b/>
          <w:bCs/>
          <w:i w:val="0"/>
          <w:color w:val="auto"/>
          <w:sz w:val="24"/>
          <w:szCs w:val="24"/>
        </w:rPr>
      </w:pPr>
      <w:r w:rsidRPr="00765CB2">
        <w:rPr>
          <w:rFonts w:ascii="Garamond" w:hAnsi="Garamond"/>
          <w:b/>
          <w:bCs/>
          <w:i w:val="0"/>
          <w:color w:val="auto"/>
          <w:sz w:val="24"/>
          <w:szCs w:val="24"/>
        </w:rPr>
        <w:t xml:space="preserve">NAIC Designations </w:t>
      </w:r>
    </w:p>
    <w:p w14:paraId="5E2A579E" w14:textId="4B539E18" w:rsidR="007A7571" w:rsidRPr="00765CB2" w:rsidRDefault="007A7571" w:rsidP="005E11C9">
      <w:pPr>
        <w:pStyle w:val="ListParagraph"/>
        <w:keepLines/>
        <w:autoSpaceDE w:val="0"/>
        <w:autoSpaceDN w:val="0"/>
        <w:adjustRightInd w:val="0"/>
        <w:spacing w:before="120" w:after="120" w:line="276" w:lineRule="auto"/>
        <w:ind w:left="1080" w:hanging="360"/>
        <w:contextualSpacing w:val="0"/>
        <w:jc w:val="both"/>
        <w:rPr>
          <w:rFonts w:ascii="Garamond" w:eastAsiaTheme="minorHAnsi" w:hAnsi="Garamond"/>
        </w:rPr>
      </w:pPr>
      <w:r w:rsidRPr="00765CB2">
        <w:rPr>
          <w:rFonts w:ascii="Garamond" w:eastAsiaTheme="minorHAnsi" w:hAnsi="Garamond"/>
        </w:rPr>
        <w:t>37.</w:t>
      </w:r>
      <w:r w:rsidRPr="00765CB2">
        <w:rPr>
          <w:rFonts w:ascii="Garamond" w:eastAsiaTheme="minorHAnsi" w:hAnsi="Garamond"/>
        </w:rPr>
        <w:tab/>
        <w:t>The SVO’s analysis of credit risk (hereafter defined), is expressed as an opinion of credit quality by assignment of an NAIC Designation that is notched to reflect the position of the specific liability in the issuer’s capital structure. Collectively, NAIC Designations as defined in this Manual describe a credit quality-risk gradation range from highest quality (least risk) to lowest quality (greatest risk).</w:t>
      </w:r>
      <w:r w:rsidR="00D716EE">
        <w:rPr>
          <w:rFonts w:ascii="Garamond" w:eastAsiaTheme="minorHAnsi" w:hAnsi="Garamond"/>
        </w:rPr>
        <w:t xml:space="preserve"> </w:t>
      </w:r>
      <w:r w:rsidRPr="00765CB2">
        <w:rPr>
          <w:rFonts w:ascii="Garamond" w:eastAsiaTheme="minorHAnsi" w:hAnsi="Garamond"/>
        </w:rPr>
        <w:t xml:space="preserve">NAIC Designations express opinions about credit risk except when accompanied by the NAIC Designation subscript, described below. </w:t>
      </w:r>
    </w:p>
    <w:p w14:paraId="1970302D" w14:textId="7529A71A" w:rsidR="007A7571" w:rsidRPr="00765CB2" w:rsidRDefault="007A7571" w:rsidP="002D177B">
      <w:pPr>
        <w:pStyle w:val="Sublisting"/>
        <w:numPr>
          <w:ilvl w:val="0"/>
          <w:numId w:val="22"/>
        </w:numPr>
      </w:pPr>
      <w:r w:rsidRPr="00765CB2">
        <w:t xml:space="preserve">Credit risk is defined as the relative financial capability of an obligor to make the payments contractually promised to a lender. Credit analysis is performed solely for the purpose of designating the quality of an investment made by an insurance company so that the NAIC member’s department of insurance can better identify regulatory treatment. </w:t>
      </w:r>
    </w:p>
    <w:p w14:paraId="7FF4F7C6" w14:textId="5EDEDB9E" w:rsidR="007A7571" w:rsidRPr="00765CB2" w:rsidRDefault="007A7571" w:rsidP="002D177B">
      <w:pPr>
        <w:pStyle w:val="Sublisting"/>
        <w:numPr>
          <w:ilvl w:val="0"/>
          <w:numId w:val="22"/>
        </w:numPr>
      </w:pPr>
      <w:r w:rsidRPr="00765CB2">
        <w:t xml:space="preserve">Credit risk is assessed by analyzing the information and documentation provided to the SVO by the reporting insurance company and its advisors. The SVO does not audit the information submitted and assumes the information to be timely, accurate and reliable. </w:t>
      </w:r>
    </w:p>
    <w:p w14:paraId="73D2676E" w14:textId="30A6D105" w:rsidR="007A7571" w:rsidRPr="00765CB2" w:rsidRDefault="007A7571" w:rsidP="002D177B">
      <w:pPr>
        <w:pStyle w:val="Sublisting"/>
        <w:numPr>
          <w:ilvl w:val="0"/>
          <w:numId w:val="22"/>
        </w:numPr>
      </w:pPr>
      <w:r w:rsidRPr="00765CB2">
        <w:t xml:space="preserve">The ability of an insurance company to realize payment on a financial obligation can be affected by factors not related to credit risk or by the </w:t>
      </w:r>
      <w:proofErr w:type="gramStart"/>
      <w:r w:rsidRPr="00765CB2">
        <w:t>manner in which</w:t>
      </w:r>
      <w:proofErr w:type="gramEnd"/>
      <w:r w:rsidRPr="00765CB2">
        <w:t xml:space="preserve"> the repayment promise has been structured. </w:t>
      </w:r>
    </w:p>
    <w:p w14:paraId="441FD7A4" w14:textId="111C81E4" w:rsidR="00401EA2" w:rsidRPr="008D61D3" w:rsidRDefault="00D716EE" w:rsidP="008873C9">
      <w:pPr>
        <w:pStyle w:val="Sublisting"/>
        <w:numPr>
          <w:ilvl w:val="0"/>
          <w:numId w:val="22"/>
        </w:numPr>
        <w:rPr>
          <w:color w:val="FF0000"/>
        </w:rPr>
      </w:pPr>
      <w:r>
        <w:rPr>
          <w:color w:val="FF0000"/>
          <w:u w:val="single"/>
        </w:rPr>
        <w:t xml:space="preserve">An </w:t>
      </w:r>
      <w:r w:rsidR="00401EA2" w:rsidRPr="008D61D3">
        <w:rPr>
          <w:color w:val="FF0000"/>
          <w:u w:val="single"/>
        </w:rPr>
        <w:t>NAIC Designation reflect</w:t>
      </w:r>
      <w:r w:rsidR="007B0103">
        <w:rPr>
          <w:color w:val="FF0000"/>
          <w:u w:val="single"/>
        </w:rPr>
        <w:t>s</w:t>
      </w:r>
      <w:r w:rsidR="00401EA2" w:rsidRPr="008D61D3">
        <w:rPr>
          <w:color w:val="FF0000"/>
          <w:u w:val="single"/>
        </w:rPr>
        <w:t xml:space="preserve"> the likelihood of timely payment of principal and interest, as appropriate</w:t>
      </w:r>
      <w:r w:rsidR="005C38BA" w:rsidRPr="008D61D3">
        <w:rPr>
          <w:color w:val="FF0000"/>
          <w:u w:val="single"/>
        </w:rPr>
        <w:t xml:space="preserve">, and the probability of </w:t>
      </w:r>
      <w:r w:rsidR="00066F55">
        <w:rPr>
          <w:color w:val="FF0000"/>
          <w:u w:val="single"/>
        </w:rPr>
        <w:t xml:space="preserve">principal </w:t>
      </w:r>
      <w:r w:rsidR="00C52C9B">
        <w:rPr>
          <w:color w:val="FF0000"/>
          <w:u w:val="single"/>
        </w:rPr>
        <w:t>and</w:t>
      </w:r>
      <w:r w:rsidR="00066F55">
        <w:rPr>
          <w:color w:val="FF0000"/>
          <w:u w:val="single"/>
        </w:rPr>
        <w:t xml:space="preserve"> interest </w:t>
      </w:r>
      <w:r w:rsidR="00EF2467">
        <w:rPr>
          <w:color w:val="FF0000"/>
          <w:u w:val="single"/>
        </w:rPr>
        <w:t xml:space="preserve">payment </w:t>
      </w:r>
      <w:r w:rsidR="005C38BA" w:rsidRPr="008D61D3">
        <w:rPr>
          <w:color w:val="FF0000"/>
          <w:u w:val="single"/>
        </w:rPr>
        <w:t>default.</w:t>
      </w:r>
    </w:p>
    <w:p w14:paraId="634A805E" w14:textId="519EF42D" w:rsidR="00186F2D" w:rsidRPr="00540B3B" w:rsidRDefault="007B0103" w:rsidP="008873C9">
      <w:pPr>
        <w:pStyle w:val="Sublisting"/>
        <w:numPr>
          <w:ilvl w:val="0"/>
          <w:numId w:val="22"/>
        </w:numPr>
        <w:rPr>
          <w:color w:val="FF0000"/>
          <w:u w:val="single"/>
        </w:rPr>
      </w:pPr>
      <w:r>
        <w:rPr>
          <w:color w:val="FF0000"/>
          <w:u w:val="single"/>
        </w:rPr>
        <w:t xml:space="preserve">An </w:t>
      </w:r>
      <w:r w:rsidR="00540B3B" w:rsidRPr="00540B3B">
        <w:rPr>
          <w:color w:val="FF0000"/>
          <w:u w:val="single"/>
        </w:rPr>
        <w:t xml:space="preserve">NAIC Designation </w:t>
      </w:r>
      <w:r w:rsidR="00540B3B">
        <w:rPr>
          <w:color w:val="FF0000"/>
          <w:u w:val="single"/>
        </w:rPr>
        <w:t>reflect</w:t>
      </w:r>
      <w:r>
        <w:rPr>
          <w:color w:val="FF0000"/>
          <w:u w:val="single"/>
        </w:rPr>
        <w:t>s</w:t>
      </w:r>
      <w:r w:rsidR="00186F2D" w:rsidRPr="00540B3B">
        <w:rPr>
          <w:color w:val="FF0000"/>
          <w:u w:val="single"/>
        </w:rPr>
        <w:t xml:space="preserve"> the appropriateness and consistency of the risk-based capital model factor that will be applied to the security given its level of risk.  </w:t>
      </w:r>
    </w:p>
    <w:p w14:paraId="697B29DC" w14:textId="47AEDC4D" w:rsidR="008D61D3" w:rsidRPr="001C4681" w:rsidRDefault="00E07495" w:rsidP="008873C9">
      <w:pPr>
        <w:pStyle w:val="Sublisting"/>
        <w:numPr>
          <w:ilvl w:val="0"/>
          <w:numId w:val="22"/>
        </w:numPr>
        <w:rPr>
          <w:color w:val="FF0000"/>
          <w:u w:val="single"/>
        </w:rPr>
      </w:pPr>
      <w:r>
        <w:rPr>
          <w:color w:val="FF0000"/>
          <w:u w:val="single"/>
        </w:rPr>
        <w:lastRenderedPageBreak/>
        <w:t xml:space="preserve">An </w:t>
      </w:r>
      <w:r w:rsidR="008D61D3" w:rsidRPr="001C4681">
        <w:rPr>
          <w:color w:val="FF0000"/>
          <w:u w:val="single"/>
        </w:rPr>
        <w:t xml:space="preserve">NAIC Designation </w:t>
      </w:r>
      <w:r w:rsidR="00160EBC">
        <w:rPr>
          <w:color w:val="FF0000"/>
          <w:u w:val="single"/>
        </w:rPr>
        <w:t xml:space="preserve">must be considered in the </w:t>
      </w:r>
      <w:r w:rsidR="00516B42">
        <w:rPr>
          <w:color w:val="FF0000"/>
          <w:u w:val="single"/>
        </w:rPr>
        <w:t>conte</w:t>
      </w:r>
      <w:r w:rsidR="00726BE0">
        <w:rPr>
          <w:color w:val="FF0000"/>
          <w:u w:val="single"/>
        </w:rPr>
        <w:t xml:space="preserve">xt of </w:t>
      </w:r>
      <w:r w:rsidR="00233E58">
        <w:rPr>
          <w:color w:val="FF0000"/>
          <w:u w:val="single"/>
        </w:rPr>
        <w:t>its</w:t>
      </w:r>
      <w:r w:rsidR="00726BE0">
        <w:rPr>
          <w:color w:val="FF0000"/>
          <w:u w:val="single"/>
        </w:rPr>
        <w:t xml:space="preserve"> </w:t>
      </w:r>
      <w:r w:rsidR="008D61D3" w:rsidRPr="001C4681">
        <w:rPr>
          <w:color w:val="FF0000"/>
          <w:u w:val="single"/>
        </w:rPr>
        <w:t xml:space="preserve">appropriateness and consistency </w:t>
      </w:r>
      <w:r w:rsidR="00DB7D90">
        <w:rPr>
          <w:color w:val="FF0000"/>
          <w:u w:val="single"/>
        </w:rPr>
        <w:t>of</w:t>
      </w:r>
      <w:r w:rsidR="008D61D3" w:rsidRPr="001C4681">
        <w:rPr>
          <w:color w:val="FF0000"/>
          <w:u w:val="single"/>
        </w:rPr>
        <w:t xml:space="preserve"> use in the NAIC Policy Statement and Financial Regulation Standards (SFRS).</w:t>
      </w:r>
    </w:p>
    <w:p w14:paraId="69D6D494" w14:textId="245EF21E" w:rsidR="007A7571" w:rsidRPr="00765CB2" w:rsidRDefault="007A7571" w:rsidP="002D177B">
      <w:pPr>
        <w:pStyle w:val="Sublisting"/>
        <w:numPr>
          <w:ilvl w:val="0"/>
          <w:numId w:val="22"/>
        </w:numPr>
      </w:pPr>
      <w:r w:rsidRPr="00765CB2">
        <w:t xml:space="preserve">NAIC Designations do not measure other risks or factors that may affect repayment, such as volatility/interest rate, prepayment, </w:t>
      </w:r>
      <w:proofErr w:type="gramStart"/>
      <w:r w:rsidRPr="00765CB2">
        <w:t>extension</w:t>
      </w:r>
      <w:proofErr w:type="gramEnd"/>
      <w:r w:rsidRPr="00765CB2">
        <w:t xml:space="preserve"> or liquidity risk. </w:t>
      </w:r>
    </w:p>
    <w:p w14:paraId="7E872B9B" w14:textId="3ACEFDD9" w:rsidR="00693FAA" w:rsidRDefault="007A7571" w:rsidP="002D177B">
      <w:pPr>
        <w:pStyle w:val="Sublisting"/>
        <w:numPr>
          <w:ilvl w:val="0"/>
          <w:numId w:val="22"/>
        </w:numPr>
      </w:pPr>
      <w:r w:rsidRPr="00765CB2">
        <w:t>An NAIC Designation must be interpreted by the NAIC member in context of the NAIC Financial Regulation Standards and Accreditation Program, other characteristics of the investment, and the specific financial and regulatory status of the insurance company.</w:t>
      </w:r>
    </w:p>
    <w:p w14:paraId="10F2033F" w14:textId="12604BA9" w:rsidR="002F0C6F" w:rsidRDefault="0093461F" w:rsidP="007E4BAA">
      <w:pPr>
        <w:rPr>
          <w:rFonts w:ascii="Garamond" w:hAnsi="Garamond"/>
          <w:sz w:val="24"/>
          <w:szCs w:val="24"/>
        </w:rPr>
      </w:pPr>
      <w:r>
        <w:rPr>
          <w:rFonts w:ascii="Garamond" w:hAnsi="Garamond"/>
          <w:sz w:val="24"/>
          <w:szCs w:val="24"/>
        </w:rPr>
        <w:t>…</w:t>
      </w:r>
    </w:p>
    <w:bookmarkEnd w:id="0"/>
    <w:bookmarkEnd w:id="1"/>
    <w:bookmarkEnd w:id="2"/>
    <w:bookmarkEnd w:id="3"/>
    <w:bookmarkEnd w:id="4"/>
    <w:bookmarkEnd w:id="5"/>
    <w:bookmarkEnd w:id="6"/>
    <w:bookmarkEnd w:id="7"/>
    <w:bookmarkEnd w:id="8"/>
    <w:bookmarkEnd w:id="9"/>
    <w:bookmarkEnd w:id="10"/>
    <w:bookmarkEnd w:id="11"/>
    <w:p w14:paraId="0D434F18" w14:textId="248C0055" w:rsidR="00C75B73" w:rsidRPr="00765CB2" w:rsidRDefault="00EC4759" w:rsidP="00051FA6">
      <w:pPr>
        <w:pStyle w:val="Heading2"/>
      </w:pPr>
      <w:r w:rsidRPr="005C0B72">
        <w:lastRenderedPageBreak/>
        <w:t>Part Two</w:t>
      </w:r>
      <w:r w:rsidR="0064523B">
        <w:br/>
      </w:r>
      <w:r w:rsidRPr="005C0B72">
        <w:t xml:space="preserve">Operational and Administrative Instructions </w:t>
      </w:r>
      <w:r w:rsidR="00060396">
        <w:br/>
      </w:r>
      <w:r w:rsidRPr="005C0B72">
        <w:t>Applicable to the SVO</w:t>
      </w:r>
      <w:r w:rsidRPr="00765CB2">
        <w:br/>
      </w:r>
      <w:r w:rsidRPr="00765CB2">
        <w:br/>
      </w:r>
      <w:r w:rsidR="00C75B73" w:rsidRPr="00765CB2">
        <w:t>Production of NAIC Designations</w:t>
      </w:r>
      <w:bookmarkEnd w:id="12"/>
      <w:bookmarkEnd w:id="13"/>
      <w:bookmarkEnd w:id="14"/>
      <w:bookmarkEnd w:id="15"/>
      <w:bookmarkEnd w:id="16"/>
      <w:bookmarkEnd w:id="17"/>
      <w:bookmarkEnd w:id="18"/>
      <w:bookmarkEnd w:id="19"/>
      <w:bookmarkEnd w:id="20"/>
    </w:p>
    <w:p w14:paraId="6A3DFD18" w14:textId="77777777" w:rsidR="00C75B73" w:rsidRPr="00765CB2" w:rsidRDefault="00C75B73" w:rsidP="00C75B73">
      <w:pPr>
        <w:pStyle w:val="Heading3"/>
      </w:pPr>
      <w:bookmarkStart w:id="24" w:name="_Toc534887093"/>
      <w:bookmarkStart w:id="25" w:name="_Toc534896703"/>
      <w:bookmarkStart w:id="26" w:name="_Toc90649481"/>
      <w:r w:rsidRPr="00765CB2">
        <w:t>NAIC Designations</w:t>
      </w:r>
      <w:bookmarkEnd w:id="24"/>
      <w:bookmarkEnd w:id="25"/>
      <w:bookmarkEnd w:id="26"/>
      <w:r w:rsidRPr="00765CB2">
        <w:fldChar w:fldCharType="begin"/>
      </w:r>
      <w:r w:rsidRPr="00765CB2">
        <w:instrText xml:space="preserve"> XE "</w:instrText>
      </w:r>
      <w:r w:rsidRPr="00765CB2">
        <w:rPr>
          <w:b w:val="0"/>
          <w:bCs/>
        </w:rPr>
        <w:instrText>NAIC Designations</w:instrText>
      </w:r>
      <w:r w:rsidRPr="00765CB2">
        <w:instrText xml:space="preserve">" </w:instrText>
      </w:r>
      <w:r w:rsidRPr="00765CB2">
        <w:fldChar w:fldCharType="end"/>
      </w:r>
    </w:p>
    <w:p w14:paraId="67237674" w14:textId="0DAFC5B9" w:rsidR="00C75B73" w:rsidRPr="00765CB2" w:rsidRDefault="00C75B73" w:rsidP="2CE4EFB3">
      <w:pPr>
        <w:pStyle w:val="ListParagraph"/>
        <w:keepLines/>
        <w:numPr>
          <w:ilvl w:val="0"/>
          <w:numId w:val="11"/>
        </w:numPr>
        <w:autoSpaceDE w:val="0"/>
        <w:autoSpaceDN w:val="0"/>
        <w:adjustRightInd w:val="0"/>
        <w:spacing w:before="120" w:after="120" w:line="276" w:lineRule="auto"/>
        <w:jc w:val="both"/>
        <w:rPr>
          <w:rFonts w:ascii="Garamond" w:hAnsi="Garamond"/>
        </w:rPr>
      </w:pPr>
      <w:r w:rsidRPr="00765CB2">
        <w:rPr>
          <w:rFonts w:ascii="Garamond" w:hAnsi="Garamond"/>
        </w:rPr>
        <w:t>NAIC Designations are proprietary symbols of the NAIC. The SVO and sometimes the SSG produce NAIC Designations for insurer-owned securities using the policies, procedures or methodologies adopted by the VOS/TF in this Manual. NAIC Designations identify a category or band of credit risk</w:t>
      </w:r>
      <w:r w:rsidR="0025052D" w:rsidRPr="00765CB2">
        <w:rPr>
          <w:rFonts w:ascii="Garamond" w:hAnsi="Garamond"/>
        </w:rPr>
        <w:t xml:space="preserve"> </w:t>
      </w:r>
      <w:r w:rsidR="006C12C1" w:rsidRPr="00765CB2">
        <w:rPr>
          <w:rFonts w:ascii="Garamond" w:hAnsi="Garamond"/>
          <w:color w:val="FF0000"/>
          <w:u w:val="single"/>
        </w:rPr>
        <w:t xml:space="preserve">that </w:t>
      </w:r>
      <w:r w:rsidR="0025052D" w:rsidRPr="00765CB2">
        <w:rPr>
          <w:rFonts w:ascii="Garamond" w:hAnsi="Garamond"/>
          <w:color w:val="FF0000"/>
          <w:u w:val="single"/>
        </w:rPr>
        <w:t>reflect</w:t>
      </w:r>
      <w:r w:rsidR="006C12C1" w:rsidRPr="00765CB2">
        <w:rPr>
          <w:rFonts w:ascii="Garamond" w:hAnsi="Garamond"/>
          <w:color w:val="FF0000"/>
          <w:u w:val="single"/>
        </w:rPr>
        <w:t>s</w:t>
      </w:r>
      <w:r w:rsidR="0025052D" w:rsidRPr="00765CB2">
        <w:rPr>
          <w:rFonts w:ascii="Garamond" w:hAnsi="Garamond"/>
          <w:color w:val="FF0000"/>
          <w:u w:val="single"/>
        </w:rPr>
        <w:t xml:space="preserve"> the </w:t>
      </w:r>
      <w:r w:rsidR="00ED1740">
        <w:rPr>
          <w:rFonts w:ascii="Garamond" w:hAnsi="Garamond"/>
          <w:color w:val="FF0000"/>
          <w:u w:val="single"/>
        </w:rPr>
        <w:t>likelihood of</w:t>
      </w:r>
      <w:r w:rsidR="00C47598" w:rsidRPr="00765CB2">
        <w:rPr>
          <w:rFonts w:ascii="Garamond" w:hAnsi="Garamond"/>
          <w:color w:val="FF0000"/>
          <w:u w:val="single"/>
        </w:rPr>
        <w:t xml:space="preserve"> </w:t>
      </w:r>
      <w:r w:rsidR="0025052D" w:rsidRPr="00765CB2">
        <w:rPr>
          <w:rFonts w:ascii="Garamond" w:hAnsi="Garamond"/>
          <w:color w:val="FF0000"/>
          <w:u w:val="single"/>
        </w:rPr>
        <w:t>timely paymen</w:t>
      </w:r>
      <w:r w:rsidR="00F60257" w:rsidRPr="00765CB2">
        <w:rPr>
          <w:rFonts w:ascii="Garamond" w:hAnsi="Garamond"/>
          <w:color w:val="FF0000"/>
          <w:u w:val="single"/>
        </w:rPr>
        <w:t xml:space="preserve">t of principal and interest, as appropriate, </w:t>
      </w:r>
      <w:r w:rsidR="009F3573" w:rsidRPr="00765CB2">
        <w:rPr>
          <w:rFonts w:ascii="Garamond" w:hAnsi="Garamond"/>
          <w:color w:val="FF0000"/>
          <w:u w:val="single"/>
        </w:rPr>
        <w:t>the probability</w:t>
      </w:r>
      <w:r w:rsidR="00C47598" w:rsidRPr="00765CB2">
        <w:rPr>
          <w:rFonts w:ascii="Garamond" w:hAnsi="Garamond"/>
          <w:color w:val="FF0000"/>
          <w:u w:val="single"/>
        </w:rPr>
        <w:t xml:space="preserve"> of</w:t>
      </w:r>
      <w:r w:rsidR="00710236" w:rsidRPr="00765CB2">
        <w:rPr>
          <w:rFonts w:ascii="Garamond" w:hAnsi="Garamond"/>
          <w:color w:val="FF0000"/>
          <w:u w:val="single"/>
        </w:rPr>
        <w:t xml:space="preserve"> </w:t>
      </w:r>
      <w:r w:rsidR="00C52C9B">
        <w:rPr>
          <w:rFonts w:ascii="Garamond" w:hAnsi="Garamond"/>
          <w:color w:val="FF0000"/>
          <w:u w:val="single"/>
        </w:rPr>
        <w:t xml:space="preserve">principal and interest payment </w:t>
      </w:r>
      <w:r w:rsidR="00C47598" w:rsidRPr="00765CB2">
        <w:rPr>
          <w:rFonts w:ascii="Garamond" w:hAnsi="Garamond"/>
          <w:color w:val="FF0000"/>
          <w:u w:val="single"/>
        </w:rPr>
        <w:t>default</w:t>
      </w:r>
      <w:r w:rsidR="00710236" w:rsidRPr="00765CB2">
        <w:rPr>
          <w:rFonts w:ascii="Garamond" w:hAnsi="Garamond"/>
          <w:color w:val="FF0000"/>
          <w:u w:val="single"/>
        </w:rPr>
        <w:t>,</w:t>
      </w:r>
      <w:r w:rsidR="00C47598" w:rsidRPr="00765CB2">
        <w:rPr>
          <w:rFonts w:ascii="Garamond" w:hAnsi="Garamond"/>
          <w:color w:val="FF0000"/>
          <w:u w:val="single"/>
        </w:rPr>
        <w:t xml:space="preserve"> </w:t>
      </w:r>
      <w:r w:rsidR="000C447C" w:rsidRPr="00765CB2">
        <w:rPr>
          <w:rFonts w:ascii="Garamond" w:hAnsi="Garamond"/>
          <w:color w:val="FF0000"/>
          <w:u w:val="single"/>
        </w:rPr>
        <w:t xml:space="preserve">and </w:t>
      </w:r>
      <w:r w:rsidR="009929AB" w:rsidRPr="00765CB2">
        <w:rPr>
          <w:rFonts w:ascii="Garamond" w:hAnsi="Garamond"/>
          <w:color w:val="FF0000"/>
          <w:u w:val="single"/>
        </w:rPr>
        <w:t xml:space="preserve">the </w:t>
      </w:r>
      <w:r w:rsidR="00B97DDB" w:rsidRPr="00765CB2">
        <w:rPr>
          <w:rFonts w:ascii="Garamond" w:hAnsi="Garamond"/>
          <w:color w:val="FF0000"/>
          <w:u w:val="single"/>
        </w:rPr>
        <w:t>appropriate</w:t>
      </w:r>
      <w:r w:rsidR="009E5EDD" w:rsidRPr="00765CB2">
        <w:rPr>
          <w:rFonts w:ascii="Garamond" w:hAnsi="Garamond"/>
          <w:color w:val="FF0000"/>
          <w:u w:val="single"/>
        </w:rPr>
        <w:t>ness</w:t>
      </w:r>
      <w:r w:rsidR="00D57C8B" w:rsidRPr="00765CB2">
        <w:rPr>
          <w:rFonts w:ascii="Garamond" w:hAnsi="Garamond"/>
          <w:color w:val="FF0000"/>
          <w:u w:val="single"/>
        </w:rPr>
        <w:t xml:space="preserve"> </w:t>
      </w:r>
      <w:r w:rsidR="00B97DDB" w:rsidRPr="00765CB2">
        <w:rPr>
          <w:rFonts w:ascii="Garamond" w:hAnsi="Garamond"/>
          <w:color w:val="FF0000"/>
          <w:u w:val="single"/>
        </w:rPr>
        <w:t xml:space="preserve">and consistency </w:t>
      </w:r>
      <w:r w:rsidR="000C2DFE" w:rsidRPr="000C2DFE">
        <w:rPr>
          <w:rFonts w:ascii="Garamond" w:hAnsi="Garamond"/>
          <w:color w:val="FF0000"/>
          <w:u w:val="single"/>
        </w:rPr>
        <w:t>of its use in the NAIC Policy Statement and Financial Regulation Standards (SFRS) including</w:t>
      </w:r>
      <w:r w:rsidR="00B97DDB" w:rsidRPr="00765CB2">
        <w:rPr>
          <w:rFonts w:ascii="Garamond" w:hAnsi="Garamond"/>
          <w:color w:val="FF0000"/>
          <w:u w:val="single"/>
        </w:rPr>
        <w:t xml:space="preserve"> the</w:t>
      </w:r>
      <w:r w:rsidR="00783200" w:rsidRPr="00765CB2">
        <w:rPr>
          <w:rFonts w:ascii="Garamond" w:hAnsi="Garamond"/>
          <w:color w:val="FF0000"/>
          <w:u w:val="single"/>
        </w:rPr>
        <w:t xml:space="preserve"> </w:t>
      </w:r>
      <w:r w:rsidR="00145168" w:rsidRPr="00765CB2">
        <w:rPr>
          <w:rFonts w:ascii="Garamond" w:hAnsi="Garamond"/>
          <w:color w:val="FF0000"/>
          <w:u w:val="single"/>
        </w:rPr>
        <w:t xml:space="preserve">risk-based capital model </w:t>
      </w:r>
      <w:r w:rsidR="00AB0913" w:rsidRPr="00765CB2">
        <w:rPr>
          <w:rFonts w:ascii="Garamond" w:hAnsi="Garamond"/>
          <w:color w:val="FF0000"/>
          <w:u w:val="single"/>
        </w:rPr>
        <w:t xml:space="preserve">factor </w:t>
      </w:r>
      <w:r w:rsidR="00727908" w:rsidRPr="00765CB2">
        <w:rPr>
          <w:rFonts w:ascii="Garamond" w:hAnsi="Garamond"/>
          <w:color w:val="FF0000"/>
          <w:u w:val="single"/>
        </w:rPr>
        <w:t>that will be applied to the security given its level of risk</w:t>
      </w:r>
      <w:r w:rsidRPr="00765CB2">
        <w:rPr>
          <w:rFonts w:ascii="Garamond" w:hAnsi="Garamond"/>
        </w:rPr>
        <w:t xml:space="preserve">. </w:t>
      </w:r>
      <w:r w:rsidR="00817270">
        <w:rPr>
          <w:rFonts w:ascii="Garamond" w:hAnsi="Garamond"/>
        </w:rPr>
        <w:t xml:space="preserve"> </w:t>
      </w:r>
      <w:r w:rsidRPr="00765CB2">
        <w:rPr>
          <w:rFonts w:ascii="Garamond" w:hAnsi="Garamond"/>
        </w:rPr>
        <w:t>NAIC Designations are produced for statutory accounting, reporting, state investment laws and other purposes identified in the NAIC Financial Regulation Standards and Accreditation Program and/or other NAIC developed regulatory guidance embodied in state law. NAIC Designations are adjusted in accordance with the notching procedures described below so that an NAIC Designation for a given security reflects the position of that specific security in the issuer’s capital structure</w:t>
      </w:r>
      <w:r w:rsidR="00EC1FD8">
        <w:rPr>
          <w:rFonts w:ascii="Garamond" w:hAnsi="Garamond"/>
        </w:rPr>
        <w:t>,</w:t>
      </w:r>
      <w:r w:rsidR="00E15AD9">
        <w:rPr>
          <w:rFonts w:ascii="Garamond" w:hAnsi="Garamond"/>
        </w:rPr>
        <w:t xml:space="preserve"> </w:t>
      </w:r>
      <w:r w:rsidR="00EF4491" w:rsidRPr="006C305A">
        <w:rPr>
          <w:rFonts w:ascii="Garamond" w:hAnsi="Garamond"/>
          <w:color w:val="FF0000"/>
          <w:u w:val="single"/>
        </w:rPr>
        <w:t xml:space="preserve">the </w:t>
      </w:r>
      <w:r w:rsidR="009929AB" w:rsidRPr="00765CB2">
        <w:rPr>
          <w:rFonts w:ascii="Garamond" w:hAnsi="Garamond"/>
          <w:color w:val="FF0000"/>
          <w:u w:val="single"/>
        </w:rPr>
        <w:t xml:space="preserve">likelihood </w:t>
      </w:r>
      <w:r w:rsidR="0075604A" w:rsidRPr="00765CB2">
        <w:rPr>
          <w:rFonts w:ascii="Garamond" w:hAnsi="Garamond"/>
          <w:color w:val="FF0000"/>
          <w:u w:val="single"/>
        </w:rPr>
        <w:t xml:space="preserve">of timely payment and </w:t>
      </w:r>
      <w:r w:rsidR="00E01995" w:rsidRPr="00765CB2">
        <w:rPr>
          <w:rFonts w:ascii="Garamond" w:hAnsi="Garamond"/>
          <w:color w:val="FF0000"/>
          <w:u w:val="single"/>
        </w:rPr>
        <w:t xml:space="preserve">risk of </w:t>
      </w:r>
      <w:r w:rsidR="00051FA6">
        <w:rPr>
          <w:rFonts w:ascii="Garamond" w:hAnsi="Garamond"/>
          <w:color w:val="FF0000"/>
          <w:u w:val="single"/>
        </w:rPr>
        <w:t xml:space="preserve">payment </w:t>
      </w:r>
      <w:r w:rsidR="00E01995" w:rsidRPr="00765CB2">
        <w:rPr>
          <w:rFonts w:ascii="Garamond" w:hAnsi="Garamond"/>
          <w:color w:val="FF0000"/>
          <w:u w:val="single"/>
        </w:rPr>
        <w:t>default</w:t>
      </w:r>
      <w:r w:rsidRPr="00765CB2">
        <w:rPr>
          <w:rFonts w:ascii="Garamond" w:hAnsi="Garamond"/>
        </w:rPr>
        <w:t xml:space="preserve">. NAIC Designations may also be adjusted by notching to reflect the existence of other non-payment risk in the specific security in accordance with the procedures described in this Manual. </w:t>
      </w:r>
    </w:p>
    <w:p w14:paraId="6D1C1E69" w14:textId="5380E2EA" w:rsidR="00C13164" w:rsidRPr="00765CB2" w:rsidRDefault="004071C1" w:rsidP="00F85BD6">
      <w:pPr>
        <w:tabs>
          <w:tab w:val="left" w:pos="6156"/>
        </w:tabs>
        <w:rPr>
          <w:rFonts w:ascii="Garamond" w:hAnsi="Garamond"/>
          <w:color w:val="C00000"/>
          <w:sz w:val="24"/>
          <w:szCs w:val="24"/>
        </w:rPr>
      </w:pPr>
      <w:r w:rsidRPr="00765CB2">
        <w:rPr>
          <w:rFonts w:ascii="Garamond" w:hAnsi="Garamond"/>
          <w:color w:val="000000" w:themeColor="text1"/>
          <w:sz w:val="24"/>
          <w:szCs w:val="24"/>
        </w:rPr>
        <w:t>…</w:t>
      </w:r>
      <w:r w:rsidR="00F85BD6">
        <w:rPr>
          <w:rFonts w:ascii="Garamond" w:hAnsi="Garamond"/>
          <w:color w:val="000000" w:themeColor="text1"/>
          <w:sz w:val="24"/>
          <w:szCs w:val="24"/>
        </w:rPr>
        <w:tab/>
      </w:r>
    </w:p>
    <w:p w14:paraId="2393D886" w14:textId="55C9CAE1" w:rsidR="004071C1" w:rsidRPr="00BB4774" w:rsidRDefault="00A86BD2" w:rsidP="00B20F11">
      <w:pPr>
        <w:rPr>
          <w:rFonts w:cstheme="minorHAnsi"/>
          <w:sz w:val="20"/>
          <w:szCs w:val="20"/>
        </w:rPr>
      </w:pPr>
      <w:r w:rsidRPr="00BB4774">
        <w:rPr>
          <w:rFonts w:cstheme="minorHAnsi"/>
          <w:sz w:val="20"/>
          <w:szCs w:val="20"/>
        </w:rPr>
        <w:fldChar w:fldCharType="begin"/>
      </w:r>
      <w:r w:rsidRPr="00BB4774">
        <w:rPr>
          <w:rFonts w:cstheme="minorHAnsi"/>
          <w:sz w:val="20"/>
          <w:szCs w:val="20"/>
        </w:rPr>
        <w:instrText xml:space="preserve"> FILENAME  \p  \* MERGEFORMAT </w:instrText>
      </w:r>
      <w:r w:rsidRPr="00BB4774">
        <w:rPr>
          <w:rFonts w:cstheme="minorHAnsi"/>
          <w:sz w:val="20"/>
          <w:szCs w:val="20"/>
        </w:rPr>
        <w:fldChar w:fldCharType="separate"/>
      </w:r>
      <w:r w:rsidR="00BB4774" w:rsidRPr="00BB4774">
        <w:rPr>
          <w:rFonts w:cstheme="minorHAnsi"/>
          <w:noProof/>
          <w:sz w:val="20"/>
          <w:szCs w:val="20"/>
        </w:rPr>
        <w:t>https://naiconline.sharepoint.com/teams/SVOVOSTaskForce/Shared Documents/Meetings/2022/2022-10-20 - Interim Meeting/04-Definition of NAIC Designation Part Two/2022-012.01 P&amp;P Definition of NAIC Desig.docx</w:t>
      </w:r>
      <w:r w:rsidRPr="00BB4774">
        <w:rPr>
          <w:rFonts w:cstheme="minorHAnsi"/>
          <w:sz w:val="20"/>
          <w:szCs w:val="20"/>
        </w:rPr>
        <w:fldChar w:fldCharType="end"/>
      </w:r>
    </w:p>
    <w:p w14:paraId="47FF4EE8" w14:textId="77777777" w:rsidR="00850927" w:rsidRDefault="00850927" w:rsidP="00850927">
      <w:pPr>
        <w:rPr>
          <w:rFonts w:ascii="Garamond" w:hAnsi="Garamond"/>
          <w:sz w:val="24"/>
          <w:szCs w:val="24"/>
        </w:rPr>
      </w:pPr>
    </w:p>
    <w:p w14:paraId="408635D5" w14:textId="77CC12F4" w:rsidR="00850927" w:rsidRPr="00850927" w:rsidRDefault="00850927" w:rsidP="00F85BD6">
      <w:pPr>
        <w:tabs>
          <w:tab w:val="left" w:pos="6768"/>
        </w:tabs>
        <w:rPr>
          <w:rFonts w:ascii="Garamond" w:hAnsi="Garamond"/>
          <w:sz w:val="24"/>
          <w:szCs w:val="24"/>
        </w:rPr>
      </w:pPr>
      <w:r>
        <w:rPr>
          <w:rFonts w:ascii="Garamond" w:hAnsi="Garamond"/>
          <w:sz w:val="24"/>
          <w:szCs w:val="24"/>
        </w:rPr>
        <w:tab/>
      </w:r>
    </w:p>
    <w:sectPr w:rsidR="00850927" w:rsidRPr="00850927" w:rsidSect="00B065D1">
      <w:headerReference w:type="default" r:id="rId12"/>
      <w:footerReference w:type="default" r:id="rId13"/>
      <w:headerReference w:type="first" r:id="rId14"/>
      <w:footerReference w:type="first" r:id="rId15"/>
      <w:type w:val="continuous"/>
      <w:pgSz w:w="12240" w:h="15840" w:code="1"/>
      <w:pgMar w:top="1800" w:right="1440" w:bottom="1440" w:left="1440" w:header="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9726" w14:textId="77777777" w:rsidR="00175C7C" w:rsidRDefault="00175C7C" w:rsidP="007B033C">
      <w:pPr>
        <w:spacing w:after="0" w:line="240" w:lineRule="auto"/>
      </w:pPr>
      <w:r>
        <w:separator/>
      </w:r>
    </w:p>
  </w:endnote>
  <w:endnote w:type="continuationSeparator" w:id="0">
    <w:p w14:paraId="4B97B9BE" w14:textId="77777777" w:rsidR="00175C7C" w:rsidRDefault="00175C7C" w:rsidP="007B033C">
      <w:pPr>
        <w:spacing w:after="0" w:line="240" w:lineRule="auto"/>
      </w:pPr>
      <w:r>
        <w:continuationSeparator/>
      </w:r>
    </w:p>
  </w:endnote>
  <w:endnote w:type="continuationNotice" w:id="1">
    <w:p w14:paraId="009ED4A0" w14:textId="77777777" w:rsidR="00175C7C" w:rsidRDefault="00175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A8B8C"/>
        <w:sz w:val="20"/>
        <w:szCs w:val="20"/>
      </w:rPr>
      <w:id w:val="1932851421"/>
      <w:docPartObj>
        <w:docPartGallery w:val="Page Numbers (Bottom of Page)"/>
        <w:docPartUnique/>
      </w:docPartObj>
    </w:sdtPr>
    <w:sdtEndPr>
      <w:rPr>
        <w:rFonts w:ascii="Times New Roman" w:hAnsi="Times New Roman" w:cs="Times New Roman"/>
        <w:noProof/>
      </w:rPr>
    </w:sdtEndPr>
    <w:sdtContent>
      <w:p w14:paraId="10170EC7" w14:textId="77777777" w:rsidR="00393E4E" w:rsidRPr="00070005" w:rsidRDefault="00C13164" w:rsidP="0058796E">
        <w:pPr>
          <w:pStyle w:val="Footer"/>
          <w:jc w:val="right"/>
          <w:rPr>
            <w:rFonts w:ascii="Times New Roman" w:hAnsi="Times New Roman" w:cs="Times New Roman"/>
            <w:color w:val="8A8B8C"/>
            <w:sz w:val="20"/>
            <w:szCs w:val="20"/>
          </w:rPr>
        </w:pPr>
        <w:r>
          <w:rPr>
            <w:noProof/>
            <w:color w:val="8A8B8C"/>
            <w:sz w:val="20"/>
            <w:szCs w:val="20"/>
          </w:rPr>
          <w:drawing>
            <wp:anchor distT="0" distB="0" distL="114300" distR="114300" simplePos="0" relativeHeight="251658240" behindDoc="1" locked="0" layoutInCell="1" allowOverlap="1" wp14:anchorId="2D1E3974" wp14:editId="7B8EE5BD">
              <wp:simplePos x="0" y="0"/>
              <wp:positionH relativeFrom="page">
                <wp:posOffset>0</wp:posOffset>
              </wp:positionH>
              <wp:positionV relativeFrom="page">
                <wp:posOffset>9370711</wp:posOffset>
              </wp:positionV>
              <wp:extent cx="7772400" cy="68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r>
          <w:rPr>
            <w:color w:val="8A8B8C"/>
            <w:sz w:val="20"/>
            <w:szCs w:val="20"/>
          </w:rPr>
          <w:tab/>
        </w:r>
        <w:r>
          <w:rPr>
            <w:color w:val="8A8B8C"/>
            <w:sz w:val="20"/>
            <w:szCs w:val="20"/>
          </w:rPr>
          <w:tab/>
        </w:r>
        <w:r w:rsidR="00070005">
          <w:rPr>
            <w:color w:val="8A8B8C"/>
            <w:sz w:val="20"/>
            <w:szCs w:val="20"/>
          </w:rPr>
          <w:tab/>
        </w:r>
        <w:r w:rsidR="00393E4E" w:rsidRPr="00070005">
          <w:rPr>
            <w:rFonts w:ascii="Calibri" w:hAnsi="Calibri" w:cs="Calibri"/>
            <w:color w:val="8A8B8C"/>
            <w:sz w:val="20"/>
            <w:szCs w:val="20"/>
          </w:rPr>
          <w:fldChar w:fldCharType="begin"/>
        </w:r>
        <w:r w:rsidR="00393E4E" w:rsidRPr="00070005">
          <w:rPr>
            <w:rFonts w:ascii="Calibri" w:hAnsi="Calibri" w:cs="Calibri"/>
            <w:color w:val="8A8B8C"/>
            <w:sz w:val="20"/>
            <w:szCs w:val="20"/>
          </w:rPr>
          <w:instrText xml:space="preserve"> PAGE   \* MERGEFORMAT </w:instrText>
        </w:r>
        <w:r w:rsidR="00393E4E" w:rsidRPr="00070005">
          <w:rPr>
            <w:rFonts w:ascii="Calibri" w:hAnsi="Calibri" w:cs="Calibri"/>
            <w:color w:val="8A8B8C"/>
            <w:sz w:val="20"/>
            <w:szCs w:val="20"/>
          </w:rPr>
          <w:fldChar w:fldCharType="separate"/>
        </w:r>
        <w:r w:rsidR="00393E4E" w:rsidRPr="00070005">
          <w:rPr>
            <w:rFonts w:ascii="Calibri" w:hAnsi="Calibri" w:cs="Calibri"/>
            <w:noProof/>
            <w:color w:val="8A8B8C"/>
            <w:sz w:val="20"/>
            <w:szCs w:val="20"/>
          </w:rPr>
          <w:t>2</w:t>
        </w:r>
        <w:r w:rsidR="00393E4E" w:rsidRPr="00070005">
          <w:rPr>
            <w:rFonts w:ascii="Calibri" w:hAnsi="Calibri" w:cs="Calibri"/>
            <w:noProof/>
            <w:color w:val="8A8B8C"/>
            <w:sz w:val="20"/>
            <w:szCs w:val="20"/>
          </w:rPr>
          <w:fldChar w:fldCharType="end"/>
        </w:r>
      </w:p>
    </w:sdtContent>
  </w:sdt>
  <w:p w14:paraId="5F9EA4AF" w14:textId="77777777" w:rsidR="00393E4E" w:rsidRPr="00070005" w:rsidRDefault="00393E4E">
    <w:pPr>
      <w:pStyle w:val="Footer"/>
      <w:rPr>
        <w:color w:val="8A8B8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DA70" w14:textId="2DCB7931" w:rsidR="00393E4E" w:rsidRPr="00CB7C45" w:rsidRDefault="00DB4801" w:rsidP="0058796E">
    <w:pPr>
      <w:pStyle w:val="Footer"/>
      <w:jc w:val="right"/>
      <w:rPr>
        <w:rFonts w:ascii="Times New Roman" w:hAnsi="Times New Roman" w:cs="Times New Roman"/>
        <w:color w:val="8A8B8C"/>
        <w:sz w:val="20"/>
        <w:szCs w:val="20"/>
      </w:rPr>
    </w:pPr>
    <w:r>
      <w:rPr>
        <w:rFonts w:ascii="Calibri" w:hAnsi="Calibri" w:cs="Calibri"/>
        <w:noProof/>
        <w:color w:val="8A8B8C"/>
        <w:sz w:val="20"/>
        <w:szCs w:val="20"/>
      </w:rPr>
      <w:drawing>
        <wp:anchor distT="0" distB="0" distL="0" distR="0" simplePos="0" relativeHeight="251658242" behindDoc="1" locked="0" layoutInCell="1" allowOverlap="1" wp14:anchorId="71F50F2F" wp14:editId="1FF5B6EC">
          <wp:simplePos x="0" y="0"/>
          <wp:positionH relativeFrom="page">
            <wp:posOffset>-12700</wp:posOffset>
          </wp:positionH>
          <wp:positionV relativeFrom="page">
            <wp:posOffset>9130665</wp:posOffset>
          </wp:positionV>
          <wp:extent cx="7772400" cy="1371600"/>
          <wp:effectExtent l="0" t="0" r="0" b="0"/>
          <wp:wrapTopAndBottom/>
          <wp:docPr id="14" name="Picture 1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6A05F03F" w14:textId="77777777" w:rsidR="00393E4E" w:rsidRDefault="0039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CBA8" w14:textId="77777777" w:rsidR="00175C7C" w:rsidRDefault="00175C7C" w:rsidP="007B033C">
      <w:pPr>
        <w:spacing w:after="0" w:line="240" w:lineRule="auto"/>
      </w:pPr>
      <w:r>
        <w:separator/>
      </w:r>
    </w:p>
  </w:footnote>
  <w:footnote w:type="continuationSeparator" w:id="0">
    <w:p w14:paraId="089B514F" w14:textId="77777777" w:rsidR="00175C7C" w:rsidRDefault="00175C7C" w:rsidP="007B033C">
      <w:pPr>
        <w:spacing w:after="0" w:line="240" w:lineRule="auto"/>
      </w:pPr>
      <w:r>
        <w:continuationSeparator/>
      </w:r>
    </w:p>
  </w:footnote>
  <w:footnote w:type="continuationNotice" w:id="1">
    <w:p w14:paraId="73338B46" w14:textId="77777777" w:rsidR="00175C7C" w:rsidRDefault="00175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809A" w14:textId="77777777" w:rsidR="00624278" w:rsidRDefault="00624278" w:rsidP="00624278">
    <w:pPr>
      <w:pStyle w:val="Header"/>
      <w:jc w:val="right"/>
      <w:rPr>
        <w:rFonts w:ascii="Times New Roman" w:hAnsi="Times New Roman" w:cs="Times New Roman"/>
        <w:sz w:val="20"/>
        <w:szCs w:val="20"/>
      </w:rPr>
    </w:pPr>
  </w:p>
  <w:p w14:paraId="7BC4470B" w14:textId="77777777" w:rsidR="00624278" w:rsidRPr="00DB2ABC" w:rsidRDefault="00624278" w:rsidP="00624278">
    <w:pPr>
      <w:pStyle w:val="Header"/>
      <w:jc w:val="right"/>
      <w:rPr>
        <w:rFonts w:ascii="Times New Roman" w:hAnsi="Times New Roman" w:cs="Times New Roman"/>
        <w:sz w:val="20"/>
        <w:szCs w:val="20"/>
      </w:rPr>
    </w:pPr>
    <w:r w:rsidRPr="00DB2ABC">
      <w:rPr>
        <w:rFonts w:ascii="Times New Roman" w:hAnsi="Times New Roman" w:cs="Times New Roman"/>
        <w:sz w:val="20"/>
        <w:szCs w:val="20"/>
      </w:rPr>
      <w:t>Valuation of Securities (E) Task Force</w:t>
    </w:r>
  </w:p>
  <w:p w14:paraId="1B636F37" w14:textId="77777777" w:rsidR="003B2847" w:rsidRDefault="003B2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2005" w14:textId="48848F56" w:rsidR="008857C8" w:rsidRPr="00DB2ABC" w:rsidRDefault="008857C8" w:rsidP="008857C8">
    <w:pPr>
      <w:pStyle w:val="Header"/>
      <w:jc w:val="right"/>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r w:rsidRPr="00DB2ABC">
      <w:rPr>
        <w:rFonts w:ascii="Times New Roman" w:hAnsi="Times New Roman" w:cs="Times New Roman"/>
        <w:noProof/>
        <w:sz w:val="20"/>
        <w:szCs w:val="20"/>
      </w:rPr>
      <w:drawing>
        <wp:anchor distT="0" distB="164465" distL="0" distR="0" simplePos="0" relativeHeight="251658241" behindDoc="1" locked="1" layoutInCell="1" allowOverlap="0" wp14:anchorId="24C9179E" wp14:editId="29438E3E">
          <wp:simplePos x="0" y="0"/>
          <wp:positionH relativeFrom="page">
            <wp:posOffset>-15240</wp:posOffset>
          </wp:positionH>
          <wp:positionV relativeFrom="page">
            <wp:posOffset>760730</wp:posOffset>
          </wp:positionV>
          <wp:extent cx="7696200" cy="1135380"/>
          <wp:effectExtent l="0" t="0" r="0" b="7620"/>
          <wp:wrapTopAndBottom/>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6200" cy="1135380"/>
                  </a:xfrm>
                  <a:prstGeom prst="rect">
                    <a:avLst/>
                  </a:prstGeom>
                </pic:spPr>
              </pic:pic>
            </a:graphicData>
          </a:graphic>
          <wp14:sizeRelH relativeFrom="margin">
            <wp14:pctWidth>0</wp14:pctWidth>
          </wp14:sizeRelH>
          <wp14:sizeRelV relativeFrom="margin">
            <wp14:pctHeight>0</wp14:pctHeight>
          </wp14:sizeRelV>
        </wp:anchor>
      </w:drawing>
    </w:r>
  </w:p>
  <w:p w14:paraId="3FF4086E" w14:textId="77777777" w:rsidR="008857C8" w:rsidRPr="00DB2ABC" w:rsidRDefault="008857C8" w:rsidP="008857C8">
    <w:pPr>
      <w:pStyle w:val="Header"/>
      <w:jc w:val="right"/>
      <w:rPr>
        <w:rFonts w:ascii="Times New Roman" w:hAnsi="Times New Roman" w:cs="Times New Roman"/>
        <w:sz w:val="20"/>
        <w:szCs w:val="20"/>
      </w:rPr>
    </w:pPr>
    <w:r w:rsidRPr="00DB2ABC">
      <w:rPr>
        <w:rFonts w:ascii="Times New Roman" w:hAnsi="Times New Roman" w:cs="Times New Roman"/>
        <w:sz w:val="20"/>
        <w:szCs w:val="20"/>
      </w:rPr>
      <w:t>Valuation of Securities (E) Task Force</w:t>
    </w:r>
  </w:p>
  <w:p w14:paraId="5613848A" w14:textId="1FE4E53D" w:rsidR="00393E4E" w:rsidRDefault="0039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88D"/>
    <w:multiLevelType w:val="hybridMultilevel"/>
    <w:tmpl w:val="AC0E0792"/>
    <w:lvl w:ilvl="0" w:tplc="87DA5112">
      <w:start w:val="3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1B3C"/>
    <w:multiLevelType w:val="hybridMultilevel"/>
    <w:tmpl w:val="01FCA0D2"/>
    <w:lvl w:ilvl="0" w:tplc="21D08F80">
      <w:start w:val="2"/>
      <w:numFmt w:val="decimal"/>
      <w:lvlText w:val="%1."/>
      <w:lvlJc w:val="left"/>
      <w:pPr>
        <w:tabs>
          <w:tab w:val="num" w:pos="720"/>
        </w:tabs>
        <w:ind w:left="720" w:hanging="360"/>
      </w:pPr>
    </w:lvl>
    <w:lvl w:ilvl="1" w:tplc="CB2255BA" w:tentative="1">
      <w:start w:val="1"/>
      <w:numFmt w:val="decimal"/>
      <w:lvlText w:val="%2."/>
      <w:lvlJc w:val="left"/>
      <w:pPr>
        <w:tabs>
          <w:tab w:val="num" w:pos="1440"/>
        </w:tabs>
        <w:ind w:left="1440" w:hanging="360"/>
      </w:pPr>
    </w:lvl>
    <w:lvl w:ilvl="2" w:tplc="5420E200" w:tentative="1">
      <w:start w:val="1"/>
      <w:numFmt w:val="decimal"/>
      <w:lvlText w:val="%3."/>
      <w:lvlJc w:val="left"/>
      <w:pPr>
        <w:tabs>
          <w:tab w:val="num" w:pos="2160"/>
        </w:tabs>
        <w:ind w:left="2160" w:hanging="360"/>
      </w:pPr>
    </w:lvl>
    <w:lvl w:ilvl="3" w:tplc="AAB46230" w:tentative="1">
      <w:start w:val="1"/>
      <w:numFmt w:val="decimal"/>
      <w:lvlText w:val="%4."/>
      <w:lvlJc w:val="left"/>
      <w:pPr>
        <w:tabs>
          <w:tab w:val="num" w:pos="2880"/>
        </w:tabs>
        <w:ind w:left="2880" w:hanging="360"/>
      </w:pPr>
    </w:lvl>
    <w:lvl w:ilvl="4" w:tplc="24DA2240" w:tentative="1">
      <w:start w:val="1"/>
      <w:numFmt w:val="decimal"/>
      <w:lvlText w:val="%5."/>
      <w:lvlJc w:val="left"/>
      <w:pPr>
        <w:tabs>
          <w:tab w:val="num" w:pos="3600"/>
        </w:tabs>
        <w:ind w:left="3600" w:hanging="360"/>
      </w:pPr>
    </w:lvl>
    <w:lvl w:ilvl="5" w:tplc="725C9398" w:tentative="1">
      <w:start w:val="1"/>
      <w:numFmt w:val="decimal"/>
      <w:lvlText w:val="%6."/>
      <w:lvlJc w:val="left"/>
      <w:pPr>
        <w:tabs>
          <w:tab w:val="num" w:pos="4320"/>
        </w:tabs>
        <w:ind w:left="4320" w:hanging="360"/>
      </w:pPr>
    </w:lvl>
    <w:lvl w:ilvl="6" w:tplc="B1D49F24" w:tentative="1">
      <w:start w:val="1"/>
      <w:numFmt w:val="decimal"/>
      <w:lvlText w:val="%7."/>
      <w:lvlJc w:val="left"/>
      <w:pPr>
        <w:tabs>
          <w:tab w:val="num" w:pos="5040"/>
        </w:tabs>
        <w:ind w:left="5040" w:hanging="360"/>
      </w:pPr>
    </w:lvl>
    <w:lvl w:ilvl="7" w:tplc="CBECDB8E" w:tentative="1">
      <w:start w:val="1"/>
      <w:numFmt w:val="decimal"/>
      <w:lvlText w:val="%8."/>
      <w:lvlJc w:val="left"/>
      <w:pPr>
        <w:tabs>
          <w:tab w:val="num" w:pos="5760"/>
        </w:tabs>
        <w:ind w:left="5760" w:hanging="360"/>
      </w:pPr>
    </w:lvl>
    <w:lvl w:ilvl="8" w:tplc="87E4C5EE" w:tentative="1">
      <w:start w:val="1"/>
      <w:numFmt w:val="decimal"/>
      <w:lvlText w:val="%9."/>
      <w:lvlJc w:val="left"/>
      <w:pPr>
        <w:tabs>
          <w:tab w:val="num" w:pos="6480"/>
        </w:tabs>
        <w:ind w:left="6480" w:hanging="360"/>
      </w:pPr>
    </w:lvl>
  </w:abstractNum>
  <w:abstractNum w:abstractNumId="2" w15:restartNumberingAfterBreak="0">
    <w:nsid w:val="097A3341"/>
    <w:multiLevelType w:val="hybridMultilevel"/>
    <w:tmpl w:val="8FE85D96"/>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 w15:restartNumberingAfterBreak="0">
    <w:nsid w:val="09CA3567"/>
    <w:multiLevelType w:val="multilevel"/>
    <w:tmpl w:val="F02A10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853A97"/>
    <w:multiLevelType w:val="hybridMultilevel"/>
    <w:tmpl w:val="F02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C1D23"/>
    <w:multiLevelType w:val="hybridMultilevel"/>
    <w:tmpl w:val="197296F4"/>
    <w:lvl w:ilvl="0" w:tplc="7C2C00DE">
      <w:start w:val="4"/>
      <w:numFmt w:val="decimal"/>
      <w:lvlText w:val="%1."/>
      <w:lvlJc w:val="left"/>
      <w:pPr>
        <w:tabs>
          <w:tab w:val="num" w:pos="720"/>
        </w:tabs>
        <w:ind w:left="720" w:hanging="360"/>
      </w:pPr>
    </w:lvl>
    <w:lvl w:ilvl="1" w:tplc="B866A4A8" w:tentative="1">
      <w:start w:val="1"/>
      <w:numFmt w:val="decimal"/>
      <w:lvlText w:val="%2."/>
      <w:lvlJc w:val="left"/>
      <w:pPr>
        <w:tabs>
          <w:tab w:val="num" w:pos="1440"/>
        </w:tabs>
        <w:ind w:left="1440" w:hanging="360"/>
      </w:pPr>
    </w:lvl>
    <w:lvl w:ilvl="2" w:tplc="33C4594C" w:tentative="1">
      <w:start w:val="1"/>
      <w:numFmt w:val="decimal"/>
      <w:lvlText w:val="%3."/>
      <w:lvlJc w:val="left"/>
      <w:pPr>
        <w:tabs>
          <w:tab w:val="num" w:pos="2160"/>
        </w:tabs>
        <w:ind w:left="2160" w:hanging="360"/>
      </w:pPr>
    </w:lvl>
    <w:lvl w:ilvl="3" w:tplc="482A09A4" w:tentative="1">
      <w:start w:val="1"/>
      <w:numFmt w:val="decimal"/>
      <w:lvlText w:val="%4."/>
      <w:lvlJc w:val="left"/>
      <w:pPr>
        <w:tabs>
          <w:tab w:val="num" w:pos="2880"/>
        </w:tabs>
        <w:ind w:left="2880" w:hanging="360"/>
      </w:pPr>
    </w:lvl>
    <w:lvl w:ilvl="4" w:tplc="55AE7EA6" w:tentative="1">
      <w:start w:val="1"/>
      <w:numFmt w:val="decimal"/>
      <w:lvlText w:val="%5."/>
      <w:lvlJc w:val="left"/>
      <w:pPr>
        <w:tabs>
          <w:tab w:val="num" w:pos="3600"/>
        </w:tabs>
        <w:ind w:left="3600" w:hanging="360"/>
      </w:pPr>
    </w:lvl>
    <w:lvl w:ilvl="5" w:tplc="159414C4" w:tentative="1">
      <w:start w:val="1"/>
      <w:numFmt w:val="decimal"/>
      <w:lvlText w:val="%6."/>
      <w:lvlJc w:val="left"/>
      <w:pPr>
        <w:tabs>
          <w:tab w:val="num" w:pos="4320"/>
        </w:tabs>
        <w:ind w:left="4320" w:hanging="360"/>
      </w:pPr>
    </w:lvl>
    <w:lvl w:ilvl="6" w:tplc="2994A196" w:tentative="1">
      <w:start w:val="1"/>
      <w:numFmt w:val="decimal"/>
      <w:lvlText w:val="%7."/>
      <w:lvlJc w:val="left"/>
      <w:pPr>
        <w:tabs>
          <w:tab w:val="num" w:pos="5040"/>
        </w:tabs>
        <w:ind w:left="5040" w:hanging="360"/>
      </w:pPr>
    </w:lvl>
    <w:lvl w:ilvl="7" w:tplc="983CD078" w:tentative="1">
      <w:start w:val="1"/>
      <w:numFmt w:val="decimal"/>
      <w:lvlText w:val="%8."/>
      <w:lvlJc w:val="left"/>
      <w:pPr>
        <w:tabs>
          <w:tab w:val="num" w:pos="5760"/>
        </w:tabs>
        <w:ind w:left="5760" w:hanging="360"/>
      </w:pPr>
    </w:lvl>
    <w:lvl w:ilvl="8" w:tplc="3F76DEAC" w:tentative="1">
      <w:start w:val="1"/>
      <w:numFmt w:val="decimal"/>
      <w:lvlText w:val="%9."/>
      <w:lvlJc w:val="left"/>
      <w:pPr>
        <w:tabs>
          <w:tab w:val="num" w:pos="6480"/>
        </w:tabs>
        <w:ind w:left="6480" w:hanging="360"/>
      </w:pPr>
    </w:lvl>
  </w:abstractNum>
  <w:abstractNum w:abstractNumId="6" w15:restartNumberingAfterBreak="0">
    <w:nsid w:val="23AD5E19"/>
    <w:multiLevelType w:val="hybridMultilevel"/>
    <w:tmpl w:val="0AFEF6C4"/>
    <w:lvl w:ilvl="0" w:tplc="81AC1344">
      <w:start w:val="1"/>
      <w:numFmt w:val="bullet"/>
      <w:lvlText w:val=""/>
      <w:lvlJc w:val="left"/>
      <w:pPr>
        <w:ind w:left="1800" w:hanging="360"/>
      </w:pPr>
      <w:rPr>
        <w:rFonts w:ascii="Wingdings" w:hAnsi="Wingdings" w:hint="default"/>
      </w:rPr>
    </w:lvl>
    <w:lvl w:ilvl="1" w:tplc="9064E23A">
      <w:numFmt w:val="bullet"/>
      <w:lvlText w:val=""/>
      <w:lvlJc w:val="left"/>
      <w:pPr>
        <w:ind w:left="2520" w:hanging="360"/>
      </w:pPr>
      <w:rPr>
        <w:rFonts w:ascii="Garamond" w:eastAsiaTheme="majorEastAsia" w:hAnsi="Garamond" w:cstheme="maj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50819"/>
    <w:multiLevelType w:val="hybridMultilevel"/>
    <w:tmpl w:val="E1F623AA"/>
    <w:lvl w:ilvl="0" w:tplc="FFFFFFFF">
      <w:start w:val="88"/>
      <w:numFmt w:val="decimal"/>
      <w:lvlText w:val="%1."/>
      <w:lvlJc w:val="left"/>
      <w:pPr>
        <w:ind w:left="1080" w:hanging="360"/>
      </w:pPr>
      <w:rPr>
        <w:rFonts w:hint="default"/>
      </w:rPr>
    </w:lvl>
    <w:lvl w:ilvl="1" w:tplc="FFFFFFFF">
      <w:start w:val="1"/>
      <w:numFmt w:val="upp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9E852F6"/>
    <w:multiLevelType w:val="hybridMultilevel"/>
    <w:tmpl w:val="BE48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9E66F"/>
    <w:multiLevelType w:val="hybridMultilevel"/>
    <w:tmpl w:val="F3BC106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782B2D"/>
    <w:multiLevelType w:val="hybridMultilevel"/>
    <w:tmpl w:val="29423FAE"/>
    <w:lvl w:ilvl="0" w:tplc="671CFC4C">
      <w:start w:val="6"/>
      <w:numFmt w:val="decimal"/>
      <w:lvlText w:val="%1."/>
      <w:lvlJc w:val="left"/>
      <w:pPr>
        <w:tabs>
          <w:tab w:val="num" w:pos="720"/>
        </w:tabs>
        <w:ind w:left="720" w:hanging="360"/>
      </w:pPr>
    </w:lvl>
    <w:lvl w:ilvl="1" w:tplc="BD283DE0">
      <w:numFmt w:val="bullet"/>
      <w:lvlText w:val="–"/>
      <w:lvlJc w:val="left"/>
      <w:pPr>
        <w:tabs>
          <w:tab w:val="num" w:pos="1440"/>
        </w:tabs>
        <w:ind w:left="1440" w:hanging="360"/>
      </w:pPr>
      <w:rPr>
        <w:rFonts w:ascii="Times New Roman" w:hAnsi="Times New Roman" w:hint="default"/>
      </w:rPr>
    </w:lvl>
    <w:lvl w:ilvl="2" w:tplc="35CC30E2">
      <w:numFmt w:val="bullet"/>
      <w:lvlText w:val="•"/>
      <w:lvlJc w:val="left"/>
      <w:pPr>
        <w:tabs>
          <w:tab w:val="num" w:pos="2160"/>
        </w:tabs>
        <w:ind w:left="2160" w:hanging="360"/>
      </w:pPr>
      <w:rPr>
        <w:rFonts w:ascii="Times New Roman" w:hAnsi="Times New Roman" w:hint="default"/>
      </w:rPr>
    </w:lvl>
    <w:lvl w:ilvl="3" w:tplc="B1626BA4" w:tentative="1">
      <w:start w:val="1"/>
      <w:numFmt w:val="decimal"/>
      <w:lvlText w:val="%4."/>
      <w:lvlJc w:val="left"/>
      <w:pPr>
        <w:tabs>
          <w:tab w:val="num" w:pos="2880"/>
        </w:tabs>
        <w:ind w:left="2880" w:hanging="360"/>
      </w:pPr>
    </w:lvl>
    <w:lvl w:ilvl="4" w:tplc="0A92FADE" w:tentative="1">
      <w:start w:val="1"/>
      <w:numFmt w:val="decimal"/>
      <w:lvlText w:val="%5."/>
      <w:lvlJc w:val="left"/>
      <w:pPr>
        <w:tabs>
          <w:tab w:val="num" w:pos="3600"/>
        </w:tabs>
        <w:ind w:left="3600" w:hanging="360"/>
      </w:pPr>
    </w:lvl>
    <w:lvl w:ilvl="5" w:tplc="C2BAFBDA" w:tentative="1">
      <w:start w:val="1"/>
      <w:numFmt w:val="decimal"/>
      <w:lvlText w:val="%6."/>
      <w:lvlJc w:val="left"/>
      <w:pPr>
        <w:tabs>
          <w:tab w:val="num" w:pos="4320"/>
        </w:tabs>
        <w:ind w:left="4320" w:hanging="360"/>
      </w:pPr>
    </w:lvl>
    <w:lvl w:ilvl="6" w:tplc="9A4E0A64" w:tentative="1">
      <w:start w:val="1"/>
      <w:numFmt w:val="decimal"/>
      <w:lvlText w:val="%7."/>
      <w:lvlJc w:val="left"/>
      <w:pPr>
        <w:tabs>
          <w:tab w:val="num" w:pos="5040"/>
        </w:tabs>
        <w:ind w:left="5040" w:hanging="360"/>
      </w:pPr>
    </w:lvl>
    <w:lvl w:ilvl="7" w:tplc="F3AEFB62" w:tentative="1">
      <w:start w:val="1"/>
      <w:numFmt w:val="decimal"/>
      <w:lvlText w:val="%8."/>
      <w:lvlJc w:val="left"/>
      <w:pPr>
        <w:tabs>
          <w:tab w:val="num" w:pos="5760"/>
        </w:tabs>
        <w:ind w:left="5760" w:hanging="360"/>
      </w:pPr>
    </w:lvl>
    <w:lvl w:ilvl="8" w:tplc="7C1CAF6E" w:tentative="1">
      <w:start w:val="1"/>
      <w:numFmt w:val="decimal"/>
      <w:lvlText w:val="%9."/>
      <w:lvlJc w:val="left"/>
      <w:pPr>
        <w:tabs>
          <w:tab w:val="num" w:pos="6480"/>
        </w:tabs>
        <w:ind w:left="6480" w:hanging="360"/>
      </w:pPr>
    </w:lvl>
  </w:abstractNum>
  <w:abstractNum w:abstractNumId="11" w15:restartNumberingAfterBreak="0">
    <w:nsid w:val="31124373"/>
    <w:multiLevelType w:val="hybridMultilevel"/>
    <w:tmpl w:val="BE6496D8"/>
    <w:lvl w:ilvl="0" w:tplc="4AF650D4">
      <w:start w:val="3"/>
      <w:numFmt w:val="decimal"/>
      <w:lvlText w:val="%1."/>
      <w:lvlJc w:val="left"/>
      <w:pPr>
        <w:tabs>
          <w:tab w:val="num" w:pos="720"/>
        </w:tabs>
        <w:ind w:left="720" w:hanging="360"/>
      </w:pPr>
    </w:lvl>
    <w:lvl w:ilvl="1" w:tplc="2D86BAC2" w:tentative="1">
      <w:start w:val="1"/>
      <w:numFmt w:val="decimal"/>
      <w:lvlText w:val="%2."/>
      <w:lvlJc w:val="left"/>
      <w:pPr>
        <w:tabs>
          <w:tab w:val="num" w:pos="1440"/>
        </w:tabs>
        <w:ind w:left="1440" w:hanging="360"/>
      </w:pPr>
    </w:lvl>
    <w:lvl w:ilvl="2" w:tplc="5C0A4BCC" w:tentative="1">
      <w:start w:val="1"/>
      <w:numFmt w:val="decimal"/>
      <w:lvlText w:val="%3."/>
      <w:lvlJc w:val="left"/>
      <w:pPr>
        <w:tabs>
          <w:tab w:val="num" w:pos="2160"/>
        </w:tabs>
        <w:ind w:left="2160" w:hanging="360"/>
      </w:pPr>
    </w:lvl>
    <w:lvl w:ilvl="3" w:tplc="465CC84E" w:tentative="1">
      <w:start w:val="1"/>
      <w:numFmt w:val="decimal"/>
      <w:lvlText w:val="%4."/>
      <w:lvlJc w:val="left"/>
      <w:pPr>
        <w:tabs>
          <w:tab w:val="num" w:pos="2880"/>
        </w:tabs>
        <w:ind w:left="2880" w:hanging="360"/>
      </w:pPr>
    </w:lvl>
    <w:lvl w:ilvl="4" w:tplc="12CEF0FC" w:tentative="1">
      <w:start w:val="1"/>
      <w:numFmt w:val="decimal"/>
      <w:lvlText w:val="%5."/>
      <w:lvlJc w:val="left"/>
      <w:pPr>
        <w:tabs>
          <w:tab w:val="num" w:pos="3600"/>
        </w:tabs>
        <w:ind w:left="3600" w:hanging="360"/>
      </w:pPr>
    </w:lvl>
    <w:lvl w:ilvl="5" w:tplc="917A81AC" w:tentative="1">
      <w:start w:val="1"/>
      <w:numFmt w:val="decimal"/>
      <w:lvlText w:val="%6."/>
      <w:lvlJc w:val="left"/>
      <w:pPr>
        <w:tabs>
          <w:tab w:val="num" w:pos="4320"/>
        </w:tabs>
        <w:ind w:left="4320" w:hanging="360"/>
      </w:pPr>
    </w:lvl>
    <w:lvl w:ilvl="6" w:tplc="2BA83DD8" w:tentative="1">
      <w:start w:val="1"/>
      <w:numFmt w:val="decimal"/>
      <w:lvlText w:val="%7."/>
      <w:lvlJc w:val="left"/>
      <w:pPr>
        <w:tabs>
          <w:tab w:val="num" w:pos="5040"/>
        </w:tabs>
        <w:ind w:left="5040" w:hanging="360"/>
      </w:pPr>
    </w:lvl>
    <w:lvl w:ilvl="7" w:tplc="D5A47A64" w:tentative="1">
      <w:start w:val="1"/>
      <w:numFmt w:val="decimal"/>
      <w:lvlText w:val="%8."/>
      <w:lvlJc w:val="left"/>
      <w:pPr>
        <w:tabs>
          <w:tab w:val="num" w:pos="5760"/>
        </w:tabs>
        <w:ind w:left="5760" w:hanging="360"/>
      </w:pPr>
    </w:lvl>
    <w:lvl w:ilvl="8" w:tplc="F0103460" w:tentative="1">
      <w:start w:val="1"/>
      <w:numFmt w:val="decimal"/>
      <w:lvlText w:val="%9."/>
      <w:lvlJc w:val="left"/>
      <w:pPr>
        <w:tabs>
          <w:tab w:val="num" w:pos="6480"/>
        </w:tabs>
        <w:ind w:left="6480" w:hanging="360"/>
      </w:pPr>
    </w:lvl>
  </w:abstractNum>
  <w:abstractNum w:abstractNumId="12" w15:restartNumberingAfterBreak="0">
    <w:nsid w:val="31442862"/>
    <w:multiLevelType w:val="hybridMultilevel"/>
    <w:tmpl w:val="C1961234"/>
    <w:lvl w:ilvl="0" w:tplc="F2CAC5F4">
      <w:start w:val="4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18F"/>
    <w:multiLevelType w:val="hybridMultilevel"/>
    <w:tmpl w:val="10086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B7E5838"/>
    <w:multiLevelType w:val="hybridMultilevel"/>
    <w:tmpl w:val="B88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10D55"/>
    <w:multiLevelType w:val="hybridMultilevel"/>
    <w:tmpl w:val="5DA4C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40341"/>
    <w:multiLevelType w:val="hybridMultilevel"/>
    <w:tmpl w:val="2BD85F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B8C4AFA"/>
    <w:multiLevelType w:val="hybridMultilevel"/>
    <w:tmpl w:val="419EC940"/>
    <w:lvl w:ilvl="0" w:tplc="2CC01C2E">
      <w:start w:val="6"/>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4104B0"/>
    <w:multiLevelType w:val="hybridMultilevel"/>
    <w:tmpl w:val="2A8CBC00"/>
    <w:lvl w:ilvl="0" w:tplc="64021C2A">
      <w:start w:val="8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81D74"/>
    <w:multiLevelType w:val="hybridMultilevel"/>
    <w:tmpl w:val="417A5FBE"/>
    <w:lvl w:ilvl="0" w:tplc="B91E629A">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00F97"/>
    <w:multiLevelType w:val="hybridMultilevel"/>
    <w:tmpl w:val="AEDCADD2"/>
    <w:lvl w:ilvl="0" w:tplc="AD0A0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5760E"/>
    <w:multiLevelType w:val="hybridMultilevel"/>
    <w:tmpl w:val="8BAE03B2"/>
    <w:lvl w:ilvl="0" w:tplc="968AC928">
      <w:start w:val="1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E2636"/>
    <w:multiLevelType w:val="hybridMultilevel"/>
    <w:tmpl w:val="5DA88932"/>
    <w:lvl w:ilvl="0" w:tplc="C0D073E8">
      <w:start w:val="7"/>
      <w:numFmt w:val="decimal"/>
      <w:lvlText w:val="%1."/>
      <w:lvlJc w:val="left"/>
      <w:pPr>
        <w:tabs>
          <w:tab w:val="num" w:pos="720"/>
        </w:tabs>
        <w:ind w:left="720" w:hanging="360"/>
      </w:pPr>
    </w:lvl>
    <w:lvl w:ilvl="1" w:tplc="28C44C10">
      <w:numFmt w:val="bullet"/>
      <w:lvlText w:val="–"/>
      <w:lvlJc w:val="left"/>
      <w:pPr>
        <w:tabs>
          <w:tab w:val="num" w:pos="1440"/>
        </w:tabs>
        <w:ind w:left="1440" w:hanging="360"/>
      </w:pPr>
      <w:rPr>
        <w:rFonts w:ascii="Times New Roman" w:hAnsi="Times New Roman" w:hint="default"/>
      </w:rPr>
    </w:lvl>
    <w:lvl w:ilvl="2" w:tplc="5B94DAB4">
      <w:numFmt w:val="bullet"/>
      <w:lvlText w:val="•"/>
      <w:lvlJc w:val="left"/>
      <w:pPr>
        <w:tabs>
          <w:tab w:val="num" w:pos="2160"/>
        </w:tabs>
        <w:ind w:left="2160" w:hanging="360"/>
      </w:pPr>
      <w:rPr>
        <w:rFonts w:ascii="Times New Roman" w:hAnsi="Times New Roman" w:hint="default"/>
      </w:rPr>
    </w:lvl>
    <w:lvl w:ilvl="3" w:tplc="A356B44A" w:tentative="1">
      <w:start w:val="1"/>
      <w:numFmt w:val="decimal"/>
      <w:lvlText w:val="%4."/>
      <w:lvlJc w:val="left"/>
      <w:pPr>
        <w:tabs>
          <w:tab w:val="num" w:pos="2880"/>
        </w:tabs>
        <w:ind w:left="2880" w:hanging="360"/>
      </w:pPr>
    </w:lvl>
    <w:lvl w:ilvl="4" w:tplc="0B38E064" w:tentative="1">
      <w:start w:val="1"/>
      <w:numFmt w:val="decimal"/>
      <w:lvlText w:val="%5."/>
      <w:lvlJc w:val="left"/>
      <w:pPr>
        <w:tabs>
          <w:tab w:val="num" w:pos="3600"/>
        </w:tabs>
        <w:ind w:left="3600" w:hanging="360"/>
      </w:pPr>
    </w:lvl>
    <w:lvl w:ilvl="5" w:tplc="FD844260" w:tentative="1">
      <w:start w:val="1"/>
      <w:numFmt w:val="decimal"/>
      <w:lvlText w:val="%6."/>
      <w:lvlJc w:val="left"/>
      <w:pPr>
        <w:tabs>
          <w:tab w:val="num" w:pos="4320"/>
        </w:tabs>
        <w:ind w:left="4320" w:hanging="360"/>
      </w:pPr>
    </w:lvl>
    <w:lvl w:ilvl="6" w:tplc="C9E05056" w:tentative="1">
      <w:start w:val="1"/>
      <w:numFmt w:val="decimal"/>
      <w:lvlText w:val="%7."/>
      <w:lvlJc w:val="left"/>
      <w:pPr>
        <w:tabs>
          <w:tab w:val="num" w:pos="5040"/>
        </w:tabs>
        <w:ind w:left="5040" w:hanging="360"/>
      </w:pPr>
    </w:lvl>
    <w:lvl w:ilvl="7" w:tplc="7C009112" w:tentative="1">
      <w:start w:val="1"/>
      <w:numFmt w:val="decimal"/>
      <w:lvlText w:val="%8."/>
      <w:lvlJc w:val="left"/>
      <w:pPr>
        <w:tabs>
          <w:tab w:val="num" w:pos="5760"/>
        </w:tabs>
        <w:ind w:left="5760" w:hanging="360"/>
      </w:pPr>
    </w:lvl>
    <w:lvl w:ilvl="8" w:tplc="0D003760" w:tentative="1">
      <w:start w:val="1"/>
      <w:numFmt w:val="decimal"/>
      <w:lvlText w:val="%9."/>
      <w:lvlJc w:val="left"/>
      <w:pPr>
        <w:tabs>
          <w:tab w:val="num" w:pos="6480"/>
        </w:tabs>
        <w:ind w:left="6480" w:hanging="360"/>
      </w:pPr>
    </w:lvl>
  </w:abstractNum>
  <w:num w:numId="1" w16cid:durableId="1280601835">
    <w:abstractNumId w:val="9"/>
  </w:num>
  <w:num w:numId="2" w16cid:durableId="2023622855">
    <w:abstractNumId w:val="1"/>
  </w:num>
  <w:num w:numId="3" w16cid:durableId="1046372388">
    <w:abstractNumId w:val="11"/>
  </w:num>
  <w:num w:numId="4" w16cid:durableId="1873150611">
    <w:abstractNumId w:val="5"/>
  </w:num>
  <w:num w:numId="5" w16cid:durableId="1829595707">
    <w:abstractNumId w:val="10"/>
  </w:num>
  <w:num w:numId="6" w16cid:durableId="531459274">
    <w:abstractNumId w:val="22"/>
  </w:num>
  <w:num w:numId="7" w16cid:durableId="118384484">
    <w:abstractNumId w:val="4"/>
  </w:num>
  <w:num w:numId="8" w16cid:durableId="734425975">
    <w:abstractNumId w:val="3"/>
  </w:num>
  <w:num w:numId="9" w16cid:durableId="758137068">
    <w:abstractNumId w:val="20"/>
  </w:num>
  <w:num w:numId="10" w16cid:durableId="1581254910">
    <w:abstractNumId w:val="17"/>
  </w:num>
  <w:num w:numId="11" w16cid:durableId="1289433454">
    <w:abstractNumId w:val="21"/>
  </w:num>
  <w:num w:numId="12" w16cid:durableId="1592736053">
    <w:abstractNumId w:val="7"/>
  </w:num>
  <w:num w:numId="13" w16cid:durableId="1828479310">
    <w:abstractNumId w:val="12"/>
  </w:num>
  <w:num w:numId="14" w16cid:durableId="1903060039">
    <w:abstractNumId w:val="6"/>
  </w:num>
  <w:num w:numId="15" w16cid:durableId="17776886">
    <w:abstractNumId w:val="19"/>
  </w:num>
  <w:num w:numId="16" w16cid:durableId="1812017163">
    <w:abstractNumId w:val="18"/>
  </w:num>
  <w:num w:numId="17" w16cid:durableId="1481458068">
    <w:abstractNumId w:val="0"/>
  </w:num>
  <w:num w:numId="18" w16cid:durableId="1344473572">
    <w:abstractNumId w:val="8"/>
  </w:num>
  <w:num w:numId="19" w16cid:durableId="2031176917">
    <w:abstractNumId w:val="13"/>
  </w:num>
  <w:num w:numId="20" w16cid:durableId="330834984">
    <w:abstractNumId w:val="2"/>
  </w:num>
  <w:num w:numId="21" w16cid:durableId="1431312073">
    <w:abstractNumId w:val="15"/>
  </w:num>
  <w:num w:numId="22" w16cid:durableId="300505709">
    <w:abstractNumId w:val="16"/>
  </w:num>
  <w:num w:numId="23" w16cid:durableId="7174345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50"/>
    <w:rsid w:val="00000AAC"/>
    <w:rsid w:val="000028BC"/>
    <w:rsid w:val="00004393"/>
    <w:rsid w:val="0000519C"/>
    <w:rsid w:val="000060FF"/>
    <w:rsid w:val="00016BD5"/>
    <w:rsid w:val="000217C0"/>
    <w:rsid w:val="000233CC"/>
    <w:rsid w:val="00023E61"/>
    <w:rsid w:val="00027727"/>
    <w:rsid w:val="0003078F"/>
    <w:rsid w:val="000368D7"/>
    <w:rsid w:val="000429F7"/>
    <w:rsid w:val="00044755"/>
    <w:rsid w:val="00051FA6"/>
    <w:rsid w:val="00053A56"/>
    <w:rsid w:val="00060396"/>
    <w:rsid w:val="0006224C"/>
    <w:rsid w:val="00064A16"/>
    <w:rsid w:val="00066F55"/>
    <w:rsid w:val="00070005"/>
    <w:rsid w:val="00070E1F"/>
    <w:rsid w:val="00074A0D"/>
    <w:rsid w:val="00076B06"/>
    <w:rsid w:val="0007746B"/>
    <w:rsid w:val="00081354"/>
    <w:rsid w:val="00085CDD"/>
    <w:rsid w:val="00094241"/>
    <w:rsid w:val="00095315"/>
    <w:rsid w:val="000A1E3C"/>
    <w:rsid w:val="000A266C"/>
    <w:rsid w:val="000B6787"/>
    <w:rsid w:val="000C0110"/>
    <w:rsid w:val="000C1955"/>
    <w:rsid w:val="000C2DFE"/>
    <w:rsid w:val="000C447C"/>
    <w:rsid w:val="000C7E42"/>
    <w:rsid w:val="000D5CD7"/>
    <w:rsid w:val="000D76E2"/>
    <w:rsid w:val="000D7BA9"/>
    <w:rsid w:val="000E441A"/>
    <w:rsid w:val="000F31CA"/>
    <w:rsid w:val="000F48DD"/>
    <w:rsid w:val="000F7770"/>
    <w:rsid w:val="001062A4"/>
    <w:rsid w:val="00114A78"/>
    <w:rsid w:val="00116256"/>
    <w:rsid w:val="0012302F"/>
    <w:rsid w:val="0012752F"/>
    <w:rsid w:val="00145168"/>
    <w:rsid w:val="00151CC8"/>
    <w:rsid w:val="001529D2"/>
    <w:rsid w:val="00160EBC"/>
    <w:rsid w:val="001653A5"/>
    <w:rsid w:val="00165A60"/>
    <w:rsid w:val="00167130"/>
    <w:rsid w:val="00175C7C"/>
    <w:rsid w:val="001832CC"/>
    <w:rsid w:val="0018390A"/>
    <w:rsid w:val="00184150"/>
    <w:rsid w:val="00186C87"/>
    <w:rsid w:val="00186F2D"/>
    <w:rsid w:val="001922A9"/>
    <w:rsid w:val="001A41A1"/>
    <w:rsid w:val="001A4373"/>
    <w:rsid w:val="001A46F4"/>
    <w:rsid w:val="001B1E6B"/>
    <w:rsid w:val="001B2AD4"/>
    <w:rsid w:val="001B5933"/>
    <w:rsid w:val="001C4681"/>
    <w:rsid w:val="001D0F9E"/>
    <w:rsid w:val="001D2F23"/>
    <w:rsid w:val="001D3CDB"/>
    <w:rsid w:val="001D65FE"/>
    <w:rsid w:val="001D7A73"/>
    <w:rsid w:val="001E0720"/>
    <w:rsid w:val="001F0B60"/>
    <w:rsid w:val="001F10B1"/>
    <w:rsid w:val="001F7821"/>
    <w:rsid w:val="002110CD"/>
    <w:rsid w:val="00222E5F"/>
    <w:rsid w:val="0022465A"/>
    <w:rsid w:val="002264C5"/>
    <w:rsid w:val="00233E58"/>
    <w:rsid w:val="00246487"/>
    <w:rsid w:val="0025052D"/>
    <w:rsid w:val="002515C7"/>
    <w:rsid w:val="00254478"/>
    <w:rsid w:val="002558FC"/>
    <w:rsid w:val="002566DC"/>
    <w:rsid w:val="00264D91"/>
    <w:rsid w:val="00277E0F"/>
    <w:rsid w:val="002822E6"/>
    <w:rsid w:val="00285393"/>
    <w:rsid w:val="002915ED"/>
    <w:rsid w:val="0029470F"/>
    <w:rsid w:val="0029503E"/>
    <w:rsid w:val="00296D57"/>
    <w:rsid w:val="002A1835"/>
    <w:rsid w:val="002A2F38"/>
    <w:rsid w:val="002A43A9"/>
    <w:rsid w:val="002B06C5"/>
    <w:rsid w:val="002B2300"/>
    <w:rsid w:val="002B2F6F"/>
    <w:rsid w:val="002B66C1"/>
    <w:rsid w:val="002B7D4E"/>
    <w:rsid w:val="002C1E86"/>
    <w:rsid w:val="002C29E0"/>
    <w:rsid w:val="002C45C7"/>
    <w:rsid w:val="002D177B"/>
    <w:rsid w:val="002E3055"/>
    <w:rsid w:val="002F0229"/>
    <w:rsid w:val="002F0C6F"/>
    <w:rsid w:val="002F1062"/>
    <w:rsid w:val="0030392D"/>
    <w:rsid w:val="00306782"/>
    <w:rsid w:val="003120E0"/>
    <w:rsid w:val="00313EE5"/>
    <w:rsid w:val="0032059D"/>
    <w:rsid w:val="0032571A"/>
    <w:rsid w:val="003264C1"/>
    <w:rsid w:val="00327344"/>
    <w:rsid w:val="0033304A"/>
    <w:rsid w:val="00337F40"/>
    <w:rsid w:val="00341F2D"/>
    <w:rsid w:val="00345867"/>
    <w:rsid w:val="00345CAE"/>
    <w:rsid w:val="00353B06"/>
    <w:rsid w:val="0036056A"/>
    <w:rsid w:val="0036277C"/>
    <w:rsid w:val="00373815"/>
    <w:rsid w:val="00374C55"/>
    <w:rsid w:val="00375D0B"/>
    <w:rsid w:val="00377548"/>
    <w:rsid w:val="00377652"/>
    <w:rsid w:val="003813A7"/>
    <w:rsid w:val="00382256"/>
    <w:rsid w:val="0038327B"/>
    <w:rsid w:val="00393E4E"/>
    <w:rsid w:val="00394B4B"/>
    <w:rsid w:val="003955B0"/>
    <w:rsid w:val="003A0C99"/>
    <w:rsid w:val="003A22CC"/>
    <w:rsid w:val="003A7218"/>
    <w:rsid w:val="003B0DAB"/>
    <w:rsid w:val="003B2847"/>
    <w:rsid w:val="003B3E07"/>
    <w:rsid w:val="003B4222"/>
    <w:rsid w:val="003B484D"/>
    <w:rsid w:val="003B49AA"/>
    <w:rsid w:val="003B591F"/>
    <w:rsid w:val="003B78CD"/>
    <w:rsid w:val="003C16A4"/>
    <w:rsid w:val="003C751E"/>
    <w:rsid w:val="003D1245"/>
    <w:rsid w:val="003D27B8"/>
    <w:rsid w:val="003E0F8F"/>
    <w:rsid w:val="003F03A5"/>
    <w:rsid w:val="003F2B27"/>
    <w:rsid w:val="003F2EF7"/>
    <w:rsid w:val="003F7BB2"/>
    <w:rsid w:val="004009A2"/>
    <w:rsid w:val="00401EA2"/>
    <w:rsid w:val="00403838"/>
    <w:rsid w:val="00406699"/>
    <w:rsid w:val="004071C1"/>
    <w:rsid w:val="0040739C"/>
    <w:rsid w:val="00416640"/>
    <w:rsid w:val="00420671"/>
    <w:rsid w:val="00421683"/>
    <w:rsid w:val="004366B4"/>
    <w:rsid w:val="00443807"/>
    <w:rsid w:val="00447D5D"/>
    <w:rsid w:val="00453A9E"/>
    <w:rsid w:val="004569B3"/>
    <w:rsid w:val="00466F8F"/>
    <w:rsid w:val="00467418"/>
    <w:rsid w:val="00467768"/>
    <w:rsid w:val="00472A46"/>
    <w:rsid w:val="00477C1E"/>
    <w:rsid w:val="00482A37"/>
    <w:rsid w:val="004933F2"/>
    <w:rsid w:val="00493D28"/>
    <w:rsid w:val="00496E4E"/>
    <w:rsid w:val="004A28C5"/>
    <w:rsid w:val="004A3B61"/>
    <w:rsid w:val="004B4ADD"/>
    <w:rsid w:val="004C720C"/>
    <w:rsid w:val="004D2722"/>
    <w:rsid w:val="004D27A9"/>
    <w:rsid w:val="004F2D5D"/>
    <w:rsid w:val="004F37A9"/>
    <w:rsid w:val="004F5165"/>
    <w:rsid w:val="004F7EF6"/>
    <w:rsid w:val="0050092A"/>
    <w:rsid w:val="0050299A"/>
    <w:rsid w:val="005129F3"/>
    <w:rsid w:val="0051629B"/>
    <w:rsid w:val="00516B42"/>
    <w:rsid w:val="00520294"/>
    <w:rsid w:val="00520450"/>
    <w:rsid w:val="0052239F"/>
    <w:rsid w:val="00523A65"/>
    <w:rsid w:val="00526DD6"/>
    <w:rsid w:val="0053111C"/>
    <w:rsid w:val="00533036"/>
    <w:rsid w:val="00534845"/>
    <w:rsid w:val="00535614"/>
    <w:rsid w:val="005357B1"/>
    <w:rsid w:val="00536EFB"/>
    <w:rsid w:val="005370F3"/>
    <w:rsid w:val="00540B3B"/>
    <w:rsid w:val="00540BBF"/>
    <w:rsid w:val="00540E30"/>
    <w:rsid w:val="00547C04"/>
    <w:rsid w:val="0055552B"/>
    <w:rsid w:val="0055649C"/>
    <w:rsid w:val="00564EE5"/>
    <w:rsid w:val="00567A85"/>
    <w:rsid w:val="005703E4"/>
    <w:rsid w:val="00574D43"/>
    <w:rsid w:val="0057575E"/>
    <w:rsid w:val="00576B43"/>
    <w:rsid w:val="0058796E"/>
    <w:rsid w:val="00587F12"/>
    <w:rsid w:val="00587F85"/>
    <w:rsid w:val="0059283B"/>
    <w:rsid w:val="005A0594"/>
    <w:rsid w:val="005A7A3C"/>
    <w:rsid w:val="005B2524"/>
    <w:rsid w:val="005B46EC"/>
    <w:rsid w:val="005B6F77"/>
    <w:rsid w:val="005B7ACD"/>
    <w:rsid w:val="005C0B72"/>
    <w:rsid w:val="005C38BA"/>
    <w:rsid w:val="005C51F1"/>
    <w:rsid w:val="005D5382"/>
    <w:rsid w:val="005D579F"/>
    <w:rsid w:val="005E11C9"/>
    <w:rsid w:val="005E4EB9"/>
    <w:rsid w:val="005E6054"/>
    <w:rsid w:val="005E6AEE"/>
    <w:rsid w:val="005F0E7E"/>
    <w:rsid w:val="005F10E5"/>
    <w:rsid w:val="005F1C90"/>
    <w:rsid w:val="00601084"/>
    <w:rsid w:val="0060296F"/>
    <w:rsid w:val="00605847"/>
    <w:rsid w:val="006146BF"/>
    <w:rsid w:val="00615430"/>
    <w:rsid w:val="00617A35"/>
    <w:rsid w:val="00621822"/>
    <w:rsid w:val="00621942"/>
    <w:rsid w:val="00621ADC"/>
    <w:rsid w:val="00624278"/>
    <w:rsid w:val="0064164C"/>
    <w:rsid w:val="0064523B"/>
    <w:rsid w:val="00646E43"/>
    <w:rsid w:val="006569D5"/>
    <w:rsid w:val="00660C2D"/>
    <w:rsid w:val="00667F30"/>
    <w:rsid w:val="00670E30"/>
    <w:rsid w:val="0067511D"/>
    <w:rsid w:val="00684AA1"/>
    <w:rsid w:val="006854C7"/>
    <w:rsid w:val="00686005"/>
    <w:rsid w:val="00686D13"/>
    <w:rsid w:val="006877CB"/>
    <w:rsid w:val="006902CE"/>
    <w:rsid w:val="00690C11"/>
    <w:rsid w:val="00692F87"/>
    <w:rsid w:val="00693FAA"/>
    <w:rsid w:val="006A1BA7"/>
    <w:rsid w:val="006A41CA"/>
    <w:rsid w:val="006A5F0A"/>
    <w:rsid w:val="006B0570"/>
    <w:rsid w:val="006B35F9"/>
    <w:rsid w:val="006B49D4"/>
    <w:rsid w:val="006C12C1"/>
    <w:rsid w:val="006C1F92"/>
    <w:rsid w:val="006C305A"/>
    <w:rsid w:val="006C543C"/>
    <w:rsid w:val="006D780F"/>
    <w:rsid w:val="006E0889"/>
    <w:rsid w:val="006E3694"/>
    <w:rsid w:val="006F2A01"/>
    <w:rsid w:val="00707C79"/>
    <w:rsid w:val="00710236"/>
    <w:rsid w:val="00716704"/>
    <w:rsid w:val="00716FCA"/>
    <w:rsid w:val="00717CA4"/>
    <w:rsid w:val="0072002D"/>
    <w:rsid w:val="007203B8"/>
    <w:rsid w:val="00726BE0"/>
    <w:rsid w:val="00726F4D"/>
    <w:rsid w:val="00727908"/>
    <w:rsid w:val="007307A7"/>
    <w:rsid w:val="007322A9"/>
    <w:rsid w:val="00736D19"/>
    <w:rsid w:val="00744E52"/>
    <w:rsid w:val="0075039C"/>
    <w:rsid w:val="00751F4A"/>
    <w:rsid w:val="00752823"/>
    <w:rsid w:val="0075604A"/>
    <w:rsid w:val="0075743B"/>
    <w:rsid w:val="0076239A"/>
    <w:rsid w:val="00765CB2"/>
    <w:rsid w:val="00783200"/>
    <w:rsid w:val="007835C9"/>
    <w:rsid w:val="00792E2F"/>
    <w:rsid w:val="007937AB"/>
    <w:rsid w:val="007946A5"/>
    <w:rsid w:val="00796F98"/>
    <w:rsid w:val="0079759F"/>
    <w:rsid w:val="007A27FE"/>
    <w:rsid w:val="007A44DE"/>
    <w:rsid w:val="007A46E9"/>
    <w:rsid w:val="007A49EB"/>
    <w:rsid w:val="007A5591"/>
    <w:rsid w:val="007A7065"/>
    <w:rsid w:val="007A7571"/>
    <w:rsid w:val="007A7CB7"/>
    <w:rsid w:val="007A7F2F"/>
    <w:rsid w:val="007B0103"/>
    <w:rsid w:val="007B033C"/>
    <w:rsid w:val="007B07CF"/>
    <w:rsid w:val="007C1325"/>
    <w:rsid w:val="007C18F6"/>
    <w:rsid w:val="007C20CA"/>
    <w:rsid w:val="007C36D5"/>
    <w:rsid w:val="007D1174"/>
    <w:rsid w:val="007D20DE"/>
    <w:rsid w:val="007D2DEB"/>
    <w:rsid w:val="007D5558"/>
    <w:rsid w:val="007E1053"/>
    <w:rsid w:val="007E2A2C"/>
    <w:rsid w:val="007E2F04"/>
    <w:rsid w:val="007E4BAA"/>
    <w:rsid w:val="00800C8D"/>
    <w:rsid w:val="0080204B"/>
    <w:rsid w:val="008037C3"/>
    <w:rsid w:val="008062EA"/>
    <w:rsid w:val="0080669F"/>
    <w:rsid w:val="00817270"/>
    <w:rsid w:val="008263CD"/>
    <w:rsid w:val="008340DB"/>
    <w:rsid w:val="00834A5B"/>
    <w:rsid w:val="008351FD"/>
    <w:rsid w:val="00835539"/>
    <w:rsid w:val="0084008D"/>
    <w:rsid w:val="0084212A"/>
    <w:rsid w:val="00845289"/>
    <w:rsid w:val="00845A2D"/>
    <w:rsid w:val="00846073"/>
    <w:rsid w:val="00850927"/>
    <w:rsid w:val="00851A16"/>
    <w:rsid w:val="00851B2E"/>
    <w:rsid w:val="008629CB"/>
    <w:rsid w:val="008648FF"/>
    <w:rsid w:val="00870453"/>
    <w:rsid w:val="008752F2"/>
    <w:rsid w:val="00876106"/>
    <w:rsid w:val="0087642E"/>
    <w:rsid w:val="008769DC"/>
    <w:rsid w:val="00884188"/>
    <w:rsid w:val="008857C8"/>
    <w:rsid w:val="008873C9"/>
    <w:rsid w:val="00894E52"/>
    <w:rsid w:val="00895486"/>
    <w:rsid w:val="00896093"/>
    <w:rsid w:val="008973F0"/>
    <w:rsid w:val="00897775"/>
    <w:rsid w:val="00897CA5"/>
    <w:rsid w:val="008A4F7C"/>
    <w:rsid w:val="008B2300"/>
    <w:rsid w:val="008B2BED"/>
    <w:rsid w:val="008B33F2"/>
    <w:rsid w:val="008B3CA4"/>
    <w:rsid w:val="008B43EA"/>
    <w:rsid w:val="008B6511"/>
    <w:rsid w:val="008C16E7"/>
    <w:rsid w:val="008D4846"/>
    <w:rsid w:val="008D61D3"/>
    <w:rsid w:val="008D6D33"/>
    <w:rsid w:val="008E2ACA"/>
    <w:rsid w:val="008E2F26"/>
    <w:rsid w:val="008E404A"/>
    <w:rsid w:val="008F3144"/>
    <w:rsid w:val="00901699"/>
    <w:rsid w:val="00911393"/>
    <w:rsid w:val="00916C5F"/>
    <w:rsid w:val="00920696"/>
    <w:rsid w:val="009219E6"/>
    <w:rsid w:val="00923809"/>
    <w:rsid w:val="00923D29"/>
    <w:rsid w:val="0092473A"/>
    <w:rsid w:val="0093285C"/>
    <w:rsid w:val="0093461F"/>
    <w:rsid w:val="0093723D"/>
    <w:rsid w:val="00937247"/>
    <w:rsid w:val="00946DCB"/>
    <w:rsid w:val="0095038C"/>
    <w:rsid w:val="00953B37"/>
    <w:rsid w:val="00957BBB"/>
    <w:rsid w:val="00960E43"/>
    <w:rsid w:val="00963648"/>
    <w:rsid w:val="009727F8"/>
    <w:rsid w:val="00977281"/>
    <w:rsid w:val="00981815"/>
    <w:rsid w:val="009818FF"/>
    <w:rsid w:val="00981B76"/>
    <w:rsid w:val="00983C89"/>
    <w:rsid w:val="009929AB"/>
    <w:rsid w:val="009A3412"/>
    <w:rsid w:val="009A7148"/>
    <w:rsid w:val="009A7D4A"/>
    <w:rsid w:val="009A7FF4"/>
    <w:rsid w:val="009B7B55"/>
    <w:rsid w:val="009C2008"/>
    <w:rsid w:val="009C489D"/>
    <w:rsid w:val="009E427B"/>
    <w:rsid w:val="009E4591"/>
    <w:rsid w:val="009E5EDD"/>
    <w:rsid w:val="009F3573"/>
    <w:rsid w:val="009F40A9"/>
    <w:rsid w:val="009F6B4D"/>
    <w:rsid w:val="009F6D69"/>
    <w:rsid w:val="009F7C1D"/>
    <w:rsid w:val="00A01798"/>
    <w:rsid w:val="00A01E36"/>
    <w:rsid w:val="00A10DED"/>
    <w:rsid w:val="00A117FC"/>
    <w:rsid w:val="00A12AA5"/>
    <w:rsid w:val="00A15E95"/>
    <w:rsid w:val="00A1676D"/>
    <w:rsid w:val="00A1727E"/>
    <w:rsid w:val="00A33403"/>
    <w:rsid w:val="00A4106B"/>
    <w:rsid w:val="00A46C3D"/>
    <w:rsid w:val="00A52894"/>
    <w:rsid w:val="00A560B3"/>
    <w:rsid w:val="00A61698"/>
    <w:rsid w:val="00A779B0"/>
    <w:rsid w:val="00A801A3"/>
    <w:rsid w:val="00A86BD2"/>
    <w:rsid w:val="00A935A1"/>
    <w:rsid w:val="00A939C8"/>
    <w:rsid w:val="00A95561"/>
    <w:rsid w:val="00AA00DC"/>
    <w:rsid w:val="00AB0913"/>
    <w:rsid w:val="00AC0FC3"/>
    <w:rsid w:val="00AC1D86"/>
    <w:rsid w:val="00AD467E"/>
    <w:rsid w:val="00AD517C"/>
    <w:rsid w:val="00AE6DFF"/>
    <w:rsid w:val="00AF0D4E"/>
    <w:rsid w:val="00B00F7F"/>
    <w:rsid w:val="00B022FD"/>
    <w:rsid w:val="00B023DC"/>
    <w:rsid w:val="00B065D1"/>
    <w:rsid w:val="00B20F11"/>
    <w:rsid w:val="00B23839"/>
    <w:rsid w:val="00B238D2"/>
    <w:rsid w:val="00B260B4"/>
    <w:rsid w:val="00B313EC"/>
    <w:rsid w:val="00B358CA"/>
    <w:rsid w:val="00B3685C"/>
    <w:rsid w:val="00B3726B"/>
    <w:rsid w:val="00B51503"/>
    <w:rsid w:val="00B526DC"/>
    <w:rsid w:val="00B53658"/>
    <w:rsid w:val="00B550A0"/>
    <w:rsid w:val="00B606AB"/>
    <w:rsid w:val="00B63DAC"/>
    <w:rsid w:val="00B64CB5"/>
    <w:rsid w:val="00B72D72"/>
    <w:rsid w:val="00B758EC"/>
    <w:rsid w:val="00B81C3E"/>
    <w:rsid w:val="00B82843"/>
    <w:rsid w:val="00B8472C"/>
    <w:rsid w:val="00B855A5"/>
    <w:rsid w:val="00B967B2"/>
    <w:rsid w:val="00B96A16"/>
    <w:rsid w:val="00B97DDB"/>
    <w:rsid w:val="00BA23CF"/>
    <w:rsid w:val="00BA3ACA"/>
    <w:rsid w:val="00BA4B5B"/>
    <w:rsid w:val="00BB2E47"/>
    <w:rsid w:val="00BB4774"/>
    <w:rsid w:val="00BC4ABC"/>
    <w:rsid w:val="00BC6F8C"/>
    <w:rsid w:val="00BD2F41"/>
    <w:rsid w:val="00BD66E7"/>
    <w:rsid w:val="00BE3298"/>
    <w:rsid w:val="00BE5179"/>
    <w:rsid w:val="00BE7245"/>
    <w:rsid w:val="00BF0B3A"/>
    <w:rsid w:val="00BF2E89"/>
    <w:rsid w:val="00BF48A8"/>
    <w:rsid w:val="00BF48B3"/>
    <w:rsid w:val="00BF5205"/>
    <w:rsid w:val="00C12AFA"/>
    <w:rsid w:val="00C13164"/>
    <w:rsid w:val="00C149D7"/>
    <w:rsid w:val="00C21040"/>
    <w:rsid w:val="00C30AAB"/>
    <w:rsid w:val="00C36615"/>
    <w:rsid w:val="00C41EB0"/>
    <w:rsid w:val="00C44580"/>
    <w:rsid w:val="00C471CB"/>
    <w:rsid w:val="00C47598"/>
    <w:rsid w:val="00C5246A"/>
    <w:rsid w:val="00C52C9B"/>
    <w:rsid w:val="00C53455"/>
    <w:rsid w:val="00C60F43"/>
    <w:rsid w:val="00C634E1"/>
    <w:rsid w:val="00C644B5"/>
    <w:rsid w:val="00C7326D"/>
    <w:rsid w:val="00C735BA"/>
    <w:rsid w:val="00C75B73"/>
    <w:rsid w:val="00C76CC6"/>
    <w:rsid w:val="00C822D9"/>
    <w:rsid w:val="00C82EAC"/>
    <w:rsid w:val="00C86C61"/>
    <w:rsid w:val="00C92927"/>
    <w:rsid w:val="00C9777C"/>
    <w:rsid w:val="00CA12B1"/>
    <w:rsid w:val="00CA1D47"/>
    <w:rsid w:val="00CB12D4"/>
    <w:rsid w:val="00CB1EE0"/>
    <w:rsid w:val="00CB6AD2"/>
    <w:rsid w:val="00CB72A0"/>
    <w:rsid w:val="00CB7871"/>
    <w:rsid w:val="00CB7C45"/>
    <w:rsid w:val="00CC0CA1"/>
    <w:rsid w:val="00CC46EA"/>
    <w:rsid w:val="00CD129B"/>
    <w:rsid w:val="00CD1847"/>
    <w:rsid w:val="00CD3519"/>
    <w:rsid w:val="00CD6E53"/>
    <w:rsid w:val="00CD7830"/>
    <w:rsid w:val="00CF4A11"/>
    <w:rsid w:val="00D002B2"/>
    <w:rsid w:val="00D0369C"/>
    <w:rsid w:val="00D038A5"/>
    <w:rsid w:val="00D04344"/>
    <w:rsid w:val="00D10F19"/>
    <w:rsid w:val="00D113EE"/>
    <w:rsid w:val="00D12BE9"/>
    <w:rsid w:val="00D14BBB"/>
    <w:rsid w:val="00D16B73"/>
    <w:rsid w:val="00D17092"/>
    <w:rsid w:val="00D35DB3"/>
    <w:rsid w:val="00D40659"/>
    <w:rsid w:val="00D57C8B"/>
    <w:rsid w:val="00D66345"/>
    <w:rsid w:val="00D716EE"/>
    <w:rsid w:val="00D73EE9"/>
    <w:rsid w:val="00D74802"/>
    <w:rsid w:val="00D74C9F"/>
    <w:rsid w:val="00D80D2D"/>
    <w:rsid w:val="00D8397B"/>
    <w:rsid w:val="00D84BC5"/>
    <w:rsid w:val="00D85E1F"/>
    <w:rsid w:val="00D86079"/>
    <w:rsid w:val="00D86C1C"/>
    <w:rsid w:val="00D96A21"/>
    <w:rsid w:val="00D97FDD"/>
    <w:rsid w:val="00DA378C"/>
    <w:rsid w:val="00DA58D5"/>
    <w:rsid w:val="00DA5DA1"/>
    <w:rsid w:val="00DB0A98"/>
    <w:rsid w:val="00DB21C7"/>
    <w:rsid w:val="00DB328F"/>
    <w:rsid w:val="00DB3A65"/>
    <w:rsid w:val="00DB3A9A"/>
    <w:rsid w:val="00DB4801"/>
    <w:rsid w:val="00DB6297"/>
    <w:rsid w:val="00DB7D90"/>
    <w:rsid w:val="00DC0E2B"/>
    <w:rsid w:val="00DC112E"/>
    <w:rsid w:val="00DD1999"/>
    <w:rsid w:val="00DD4DEA"/>
    <w:rsid w:val="00DD6C1E"/>
    <w:rsid w:val="00DE1C3C"/>
    <w:rsid w:val="00DE7008"/>
    <w:rsid w:val="00DE7D8A"/>
    <w:rsid w:val="00DF5F21"/>
    <w:rsid w:val="00DF6144"/>
    <w:rsid w:val="00E00C6E"/>
    <w:rsid w:val="00E01995"/>
    <w:rsid w:val="00E07495"/>
    <w:rsid w:val="00E10A7B"/>
    <w:rsid w:val="00E11A01"/>
    <w:rsid w:val="00E15AD9"/>
    <w:rsid w:val="00E16C5A"/>
    <w:rsid w:val="00E22AEB"/>
    <w:rsid w:val="00E26D76"/>
    <w:rsid w:val="00E343CD"/>
    <w:rsid w:val="00E35A2B"/>
    <w:rsid w:val="00E44FE4"/>
    <w:rsid w:val="00E45A68"/>
    <w:rsid w:val="00E465AD"/>
    <w:rsid w:val="00E60427"/>
    <w:rsid w:val="00E6119F"/>
    <w:rsid w:val="00E62DAE"/>
    <w:rsid w:val="00E70434"/>
    <w:rsid w:val="00E73B8F"/>
    <w:rsid w:val="00E74D46"/>
    <w:rsid w:val="00E76361"/>
    <w:rsid w:val="00E76B76"/>
    <w:rsid w:val="00E76E10"/>
    <w:rsid w:val="00E81E8F"/>
    <w:rsid w:val="00E836AF"/>
    <w:rsid w:val="00E85654"/>
    <w:rsid w:val="00E945DD"/>
    <w:rsid w:val="00E9498C"/>
    <w:rsid w:val="00E96087"/>
    <w:rsid w:val="00E97234"/>
    <w:rsid w:val="00EA1F8E"/>
    <w:rsid w:val="00EA2EBD"/>
    <w:rsid w:val="00EA4F6F"/>
    <w:rsid w:val="00EA78F7"/>
    <w:rsid w:val="00EB2DC8"/>
    <w:rsid w:val="00EB615C"/>
    <w:rsid w:val="00EB669E"/>
    <w:rsid w:val="00EB6F79"/>
    <w:rsid w:val="00EC1FD8"/>
    <w:rsid w:val="00EC4759"/>
    <w:rsid w:val="00ED1740"/>
    <w:rsid w:val="00EE05A5"/>
    <w:rsid w:val="00EE3CAB"/>
    <w:rsid w:val="00EE5F3A"/>
    <w:rsid w:val="00EE6100"/>
    <w:rsid w:val="00EF05A4"/>
    <w:rsid w:val="00EF2467"/>
    <w:rsid w:val="00EF4491"/>
    <w:rsid w:val="00F02D25"/>
    <w:rsid w:val="00F03CC8"/>
    <w:rsid w:val="00F07AB9"/>
    <w:rsid w:val="00F1305C"/>
    <w:rsid w:val="00F1754D"/>
    <w:rsid w:val="00F244FB"/>
    <w:rsid w:val="00F25681"/>
    <w:rsid w:val="00F50635"/>
    <w:rsid w:val="00F5219D"/>
    <w:rsid w:val="00F526A0"/>
    <w:rsid w:val="00F5492A"/>
    <w:rsid w:val="00F54D24"/>
    <w:rsid w:val="00F556FD"/>
    <w:rsid w:val="00F60257"/>
    <w:rsid w:val="00F60A51"/>
    <w:rsid w:val="00F64211"/>
    <w:rsid w:val="00F654F7"/>
    <w:rsid w:val="00F72DA4"/>
    <w:rsid w:val="00F85BD6"/>
    <w:rsid w:val="00F9727E"/>
    <w:rsid w:val="00F97B88"/>
    <w:rsid w:val="00FA0D4C"/>
    <w:rsid w:val="00FA2F58"/>
    <w:rsid w:val="00FA48BC"/>
    <w:rsid w:val="00FA6E73"/>
    <w:rsid w:val="00FB2296"/>
    <w:rsid w:val="00FB4094"/>
    <w:rsid w:val="00FB75BC"/>
    <w:rsid w:val="00FB78C9"/>
    <w:rsid w:val="00FD661B"/>
    <w:rsid w:val="00FE1ACC"/>
    <w:rsid w:val="00FE6376"/>
    <w:rsid w:val="00FE6D33"/>
    <w:rsid w:val="00FF08F4"/>
    <w:rsid w:val="00FF0E59"/>
    <w:rsid w:val="00FF3554"/>
    <w:rsid w:val="00FF70D3"/>
    <w:rsid w:val="00FF79B6"/>
    <w:rsid w:val="00FF7DCD"/>
    <w:rsid w:val="04F420C0"/>
    <w:rsid w:val="0B0FC034"/>
    <w:rsid w:val="0C64B35D"/>
    <w:rsid w:val="2CE4EFB3"/>
    <w:rsid w:val="3BAA2E58"/>
    <w:rsid w:val="3D53DF91"/>
    <w:rsid w:val="3EE137A2"/>
    <w:rsid w:val="40FD101D"/>
    <w:rsid w:val="5414BBAC"/>
    <w:rsid w:val="5EAFF85D"/>
    <w:rsid w:val="5F8DBA21"/>
    <w:rsid w:val="6A6AC598"/>
    <w:rsid w:val="729AE874"/>
    <w:rsid w:val="7578298B"/>
    <w:rsid w:val="77B31DB5"/>
    <w:rsid w:val="7A9DDA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FBD5E"/>
  <w15:chartTrackingRefBased/>
  <w15:docId w15:val="{778D2414-A7AE-4C2F-8C25-9B8B03CA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051FA6"/>
    <w:pPr>
      <w:keepNext/>
      <w:pageBreakBefore/>
      <w:pBdr>
        <w:bottom w:val="thinThickSmallGap" w:sz="24" w:space="1" w:color="auto"/>
      </w:pBdr>
      <w:spacing w:before="360" w:after="240" w:line="240" w:lineRule="auto"/>
      <w:outlineLvl w:val="1"/>
    </w:pPr>
    <w:rPr>
      <w:rFonts w:ascii="Garamond" w:eastAsia="Calibri" w:hAnsi="Garamond" w:cs="Times New Roman"/>
      <w:b/>
      <w:bCs/>
      <w:smallCaps/>
      <w:color w:val="000000" w:themeColor="text1"/>
      <w:kern w:val="32"/>
      <w:sz w:val="24"/>
      <w:szCs w:val="24"/>
    </w:rPr>
  </w:style>
  <w:style w:type="paragraph" w:styleId="Heading3">
    <w:name w:val="heading 3"/>
    <w:basedOn w:val="Normal"/>
    <w:next w:val="Normal"/>
    <w:link w:val="Heading3Char"/>
    <w:qFormat/>
    <w:rsid w:val="00C75B73"/>
    <w:pPr>
      <w:keepNext/>
      <w:pBdr>
        <w:top w:val="single" w:sz="4" w:space="1" w:color="auto"/>
        <w:left w:val="single" w:sz="4" w:space="4" w:color="auto"/>
        <w:bottom w:val="single" w:sz="4" w:space="1" w:color="auto"/>
        <w:right w:val="single" w:sz="4" w:space="4" w:color="auto"/>
      </w:pBdr>
      <w:spacing w:before="240" w:after="120"/>
      <w:jc w:val="center"/>
      <w:outlineLvl w:val="2"/>
    </w:pPr>
    <w:rPr>
      <w:rFonts w:ascii="Garamond" w:hAnsi="Garamond" w:cs="Times New Roman"/>
      <w:b/>
      <w:smallCaps/>
      <w:sz w:val="24"/>
      <w:szCs w:val="24"/>
    </w:rPr>
  </w:style>
  <w:style w:type="paragraph" w:styleId="Heading4">
    <w:name w:val="heading 4"/>
    <w:basedOn w:val="Normal"/>
    <w:next w:val="Normal"/>
    <w:link w:val="Heading4Char"/>
    <w:uiPriority w:val="9"/>
    <w:unhideWhenUsed/>
    <w:qFormat/>
    <w:rsid w:val="00114A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3C"/>
  </w:style>
  <w:style w:type="paragraph" w:styleId="Footer">
    <w:name w:val="footer"/>
    <w:basedOn w:val="Normal"/>
    <w:link w:val="FooterChar"/>
    <w:uiPriority w:val="99"/>
    <w:unhideWhenUsed/>
    <w:rsid w:val="007B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3C"/>
  </w:style>
  <w:style w:type="paragraph" w:customStyle="1" w:styleId="Default">
    <w:name w:val="Default"/>
    <w:rsid w:val="00C735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1B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B2E"/>
    <w:rPr>
      <w:i/>
      <w:iCs/>
    </w:rPr>
  </w:style>
  <w:style w:type="character" w:styleId="Hyperlink">
    <w:name w:val="Hyperlink"/>
    <w:basedOn w:val="DefaultParagraphFont"/>
    <w:uiPriority w:val="99"/>
    <w:semiHidden/>
    <w:unhideWhenUsed/>
    <w:rsid w:val="00851B2E"/>
    <w:rPr>
      <w:color w:val="0000FF"/>
      <w:u w:val="single"/>
    </w:rPr>
  </w:style>
  <w:style w:type="paragraph" w:styleId="BalloonText">
    <w:name w:val="Balloon Text"/>
    <w:basedOn w:val="Normal"/>
    <w:link w:val="BalloonTextChar"/>
    <w:uiPriority w:val="99"/>
    <w:semiHidden/>
    <w:unhideWhenUsed/>
    <w:rsid w:val="009A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12"/>
    <w:rPr>
      <w:rFonts w:ascii="Segoe UI" w:hAnsi="Segoe UI" w:cs="Segoe UI"/>
      <w:sz w:val="18"/>
      <w:szCs w:val="18"/>
    </w:rPr>
  </w:style>
  <w:style w:type="character" w:styleId="CommentReference">
    <w:name w:val="annotation reference"/>
    <w:basedOn w:val="DefaultParagraphFont"/>
    <w:uiPriority w:val="99"/>
    <w:semiHidden/>
    <w:unhideWhenUsed/>
    <w:rsid w:val="003C16A4"/>
    <w:rPr>
      <w:sz w:val="16"/>
      <w:szCs w:val="16"/>
    </w:rPr>
  </w:style>
  <w:style w:type="paragraph" w:styleId="CommentText">
    <w:name w:val="annotation text"/>
    <w:basedOn w:val="Normal"/>
    <w:link w:val="CommentTextChar"/>
    <w:uiPriority w:val="99"/>
    <w:unhideWhenUsed/>
    <w:rsid w:val="003C16A4"/>
    <w:pPr>
      <w:spacing w:line="240" w:lineRule="auto"/>
    </w:pPr>
    <w:rPr>
      <w:sz w:val="20"/>
      <w:szCs w:val="20"/>
    </w:rPr>
  </w:style>
  <w:style w:type="character" w:customStyle="1" w:styleId="CommentTextChar">
    <w:name w:val="Comment Text Char"/>
    <w:basedOn w:val="DefaultParagraphFont"/>
    <w:link w:val="CommentText"/>
    <w:uiPriority w:val="99"/>
    <w:rsid w:val="003C16A4"/>
    <w:rPr>
      <w:sz w:val="20"/>
      <w:szCs w:val="20"/>
    </w:rPr>
  </w:style>
  <w:style w:type="paragraph" w:styleId="CommentSubject">
    <w:name w:val="annotation subject"/>
    <w:basedOn w:val="CommentText"/>
    <w:next w:val="CommentText"/>
    <w:link w:val="CommentSubjectChar"/>
    <w:uiPriority w:val="99"/>
    <w:semiHidden/>
    <w:unhideWhenUsed/>
    <w:rsid w:val="003C16A4"/>
    <w:rPr>
      <w:b/>
      <w:bCs/>
    </w:rPr>
  </w:style>
  <w:style w:type="character" w:customStyle="1" w:styleId="CommentSubjectChar">
    <w:name w:val="Comment Subject Char"/>
    <w:basedOn w:val="CommentTextChar"/>
    <w:link w:val="CommentSubject"/>
    <w:uiPriority w:val="99"/>
    <w:semiHidden/>
    <w:rsid w:val="003C16A4"/>
    <w:rPr>
      <w:b/>
      <w:bCs/>
      <w:sz w:val="20"/>
      <w:szCs w:val="20"/>
    </w:rPr>
  </w:style>
  <w:style w:type="paragraph" w:styleId="ListParagraph">
    <w:name w:val="List Paragraph"/>
    <w:basedOn w:val="Normal"/>
    <w:link w:val="ListParagraphChar"/>
    <w:uiPriority w:val="34"/>
    <w:qFormat/>
    <w:rsid w:val="00751F4A"/>
    <w:pPr>
      <w:spacing w:after="0" w:line="240" w:lineRule="auto"/>
      <w:ind w:left="720"/>
      <w:contextualSpacing/>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8607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2Char">
    <w:name w:val="Heading 2 Char"/>
    <w:basedOn w:val="DefaultParagraphFont"/>
    <w:link w:val="Heading2"/>
    <w:rsid w:val="00051FA6"/>
    <w:rPr>
      <w:rFonts w:ascii="Garamond" w:eastAsia="Calibri" w:hAnsi="Garamond" w:cs="Times New Roman"/>
      <w:b/>
      <w:bCs/>
      <w:smallCaps/>
      <w:color w:val="000000" w:themeColor="text1"/>
      <w:kern w:val="32"/>
      <w:sz w:val="24"/>
      <w:szCs w:val="24"/>
    </w:rPr>
  </w:style>
  <w:style w:type="character" w:customStyle="1" w:styleId="Heading3Char">
    <w:name w:val="Heading 3 Char"/>
    <w:basedOn w:val="DefaultParagraphFont"/>
    <w:link w:val="Heading3"/>
    <w:rsid w:val="00C75B73"/>
    <w:rPr>
      <w:rFonts w:ascii="Garamond" w:hAnsi="Garamond" w:cs="Times New Roman"/>
      <w:b/>
      <w:smallCaps/>
      <w:sz w:val="24"/>
      <w:szCs w:val="24"/>
    </w:rPr>
  </w:style>
  <w:style w:type="character" w:customStyle="1" w:styleId="ListParagraphChar">
    <w:name w:val="List Paragraph Char"/>
    <w:basedOn w:val="DefaultParagraphFont"/>
    <w:link w:val="ListParagraph"/>
    <w:uiPriority w:val="34"/>
    <w:rsid w:val="00C75B7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46E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114A78"/>
    <w:rPr>
      <w:rFonts w:asciiTheme="majorHAnsi" w:eastAsiaTheme="majorEastAsia" w:hAnsiTheme="majorHAnsi" w:cstheme="majorBidi"/>
      <w:i/>
      <w:iCs/>
      <w:color w:val="365F91" w:themeColor="accent1" w:themeShade="BF"/>
    </w:rPr>
  </w:style>
  <w:style w:type="paragraph" w:customStyle="1" w:styleId="Sublisting">
    <w:name w:val="Sublisting"/>
    <w:basedOn w:val="ListParagraph"/>
    <w:qFormat/>
    <w:rsid w:val="00453A9E"/>
    <w:pPr>
      <w:keepLines/>
      <w:autoSpaceDE w:val="0"/>
      <w:autoSpaceDN w:val="0"/>
      <w:adjustRightInd w:val="0"/>
      <w:spacing w:before="120" w:line="276" w:lineRule="auto"/>
      <w:ind w:left="0"/>
      <w:contextualSpacing w:val="0"/>
      <w:jc w:val="both"/>
    </w:pPr>
    <w:rPr>
      <w:rFonts w:ascii="Garamond" w:eastAsiaTheme="minorHAnsi" w:hAnsi="Garamond"/>
    </w:rPr>
  </w:style>
  <w:style w:type="paragraph" w:styleId="Revision">
    <w:name w:val="Revision"/>
    <w:hidden/>
    <w:uiPriority w:val="99"/>
    <w:semiHidden/>
    <w:rsid w:val="00C63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085">
      <w:bodyDiv w:val="1"/>
      <w:marLeft w:val="0"/>
      <w:marRight w:val="0"/>
      <w:marTop w:val="0"/>
      <w:marBottom w:val="0"/>
      <w:divBdr>
        <w:top w:val="none" w:sz="0" w:space="0" w:color="auto"/>
        <w:left w:val="none" w:sz="0" w:space="0" w:color="auto"/>
        <w:bottom w:val="none" w:sz="0" w:space="0" w:color="auto"/>
        <w:right w:val="none" w:sz="0" w:space="0" w:color="auto"/>
      </w:divBdr>
      <w:divsChild>
        <w:div w:id="1103837265">
          <w:marLeft w:val="806"/>
          <w:marRight w:val="0"/>
          <w:marTop w:val="115"/>
          <w:marBottom w:val="0"/>
          <w:divBdr>
            <w:top w:val="none" w:sz="0" w:space="0" w:color="auto"/>
            <w:left w:val="none" w:sz="0" w:space="0" w:color="auto"/>
            <w:bottom w:val="none" w:sz="0" w:space="0" w:color="auto"/>
            <w:right w:val="none" w:sz="0" w:space="0" w:color="auto"/>
          </w:divBdr>
        </w:div>
      </w:divsChild>
    </w:div>
    <w:div w:id="531772719">
      <w:bodyDiv w:val="1"/>
      <w:marLeft w:val="0"/>
      <w:marRight w:val="0"/>
      <w:marTop w:val="0"/>
      <w:marBottom w:val="0"/>
      <w:divBdr>
        <w:top w:val="none" w:sz="0" w:space="0" w:color="auto"/>
        <w:left w:val="none" w:sz="0" w:space="0" w:color="auto"/>
        <w:bottom w:val="none" w:sz="0" w:space="0" w:color="auto"/>
        <w:right w:val="none" w:sz="0" w:space="0" w:color="auto"/>
      </w:divBdr>
    </w:div>
    <w:div w:id="1095832601">
      <w:bodyDiv w:val="1"/>
      <w:marLeft w:val="0"/>
      <w:marRight w:val="0"/>
      <w:marTop w:val="0"/>
      <w:marBottom w:val="0"/>
      <w:divBdr>
        <w:top w:val="none" w:sz="0" w:space="0" w:color="auto"/>
        <w:left w:val="none" w:sz="0" w:space="0" w:color="auto"/>
        <w:bottom w:val="none" w:sz="0" w:space="0" w:color="auto"/>
        <w:right w:val="none" w:sz="0" w:space="0" w:color="auto"/>
      </w:divBdr>
    </w:div>
    <w:div w:id="1474757760">
      <w:bodyDiv w:val="1"/>
      <w:marLeft w:val="0"/>
      <w:marRight w:val="0"/>
      <w:marTop w:val="0"/>
      <w:marBottom w:val="0"/>
      <w:divBdr>
        <w:top w:val="none" w:sz="0" w:space="0" w:color="auto"/>
        <w:left w:val="none" w:sz="0" w:space="0" w:color="auto"/>
        <w:bottom w:val="none" w:sz="0" w:space="0" w:color="auto"/>
        <w:right w:val="none" w:sz="0" w:space="0" w:color="auto"/>
      </w:divBdr>
    </w:div>
    <w:div w:id="1520581754">
      <w:bodyDiv w:val="1"/>
      <w:marLeft w:val="0"/>
      <w:marRight w:val="0"/>
      <w:marTop w:val="0"/>
      <w:marBottom w:val="0"/>
      <w:divBdr>
        <w:top w:val="none" w:sz="0" w:space="0" w:color="auto"/>
        <w:left w:val="none" w:sz="0" w:space="0" w:color="auto"/>
        <w:bottom w:val="none" w:sz="0" w:space="0" w:color="auto"/>
        <w:right w:val="none" w:sz="0" w:space="0" w:color="auto"/>
      </w:divBdr>
      <w:divsChild>
        <w:div w:id="1789664223">
          <w:marLeft w:val="806"/>
          <w:marRight w:val="0"/>
          <w:marTop w:val="115"/>
          <w:marBottom w:val="0"/>
          <w:divBdr>
            <w:top w:val="none" w:sz="0" w:space="0" w:color="auto"/>
            <w:left w:val="none" w:sz="0" w:space="0" w:color="auto"/>
            <w:bottom w:val="none" w:sz="0" w:space="0" w:color="auto"/>
            <w:right w:val="none" w:sz="0" w:space="0" w:color="auto"/>
          </w:divBdr>
        </w:div>
      </w:divsChild>
    </w:div>
    <w:div w:id="1534809897">
      <w:bodyDiv w:val="1"/>
      <w:marLeft w:val="0"/>
      <w:marRight w:val="0"/>
      <w:marTop w:val="0"/>
      <w:marBottom w:val="0"/>
      <w:divBdr>
        <w:top w:val="none" w:sz="0" w:space="0" w:color="auto"/>
        <w:left w:val="none" w:sz="0" w:space="0" w:color="auto"/>
        <w:bottom w:val="none" w:sz="0" w:space="0" w:color="auto"/>
        <w:right w:val="none" w:sz="0" w:space="0" w:color="auto"/>
      </w:divBdr>
      <w:divsChild>
        <w:div w:id="262230082">
          <w:marLeft w:val="806"/>
          <w:marRight w:val="0"/>
          <w:marTop w:val="115"/>
          <w:marBottom w:val="0"/>
          <w:divBdr>
            <w:top w:val="none" w:sz="0" w:space="0" w:color="auto"/>
            <w:left w:val="none" w:sz="0" w:space="0" w:color="auto"/>
            <w:bottom w:val="none" w:sz="0" w:space="0" w:color="auto"/>
            <w:right w:val="none" w:sz="0" w:space="0" w:color="auto"/>
          </w:divBdr>
        </w:div>
        <w:div w:id="307636005">
          <w:marLeft w:val="1800"/>
          <w:marRight w:val="0"/>
          <w:marTop w:val="86"/>
          <w:marBottom w:val="0"/>
          <w:divBdr>
            <w:top w:val="none" w:sz="0" w:space="0" w:color="auto"/>
            <w:left w:val="none" w:sz="0" w:space="0" w:color="auto"/>
            <w:bottom w:val="none" w:sz="0" w:space="0" w:color="auto"/>
            <w:right w:val="none" w:sz="0" w:space="0" w:color="auto"/>
          </w:divBdr>
        </w:div>
        <w:div w:id="543447213">
          <w:marLeft w:val="1166"/>
          <w:marRight w:val="0"/>
          <w:marTop w:val="96"/>
          <w:marBottom w:val="0"/>
          <w:divBdr>
            <w:top w:val="none" w:sz="0" w:space="0" w:color="auto"/>
            <w:left w:val="none" w:sz="0" w:space="0" w:color="auto"/>
            <w:bottom w:val="none" w:sz="0" w:space="0" w:color="auto"/>
            <w:right w:val="none" w:sz="0" w:space="0" w:color="auto"/>
          </w:divBdr>
        </w:div>
        <w:div w:id="809903387">
          <w:marLeft w:val="1800"/>
          <w:marRight w:val="0"/>
          <w:marTop w:val="86"/>
          <w:marBottom w:val="0"/>
          <w:divBdr>
            <w:top w:val="none" w:sz="0" w:space="0" w:color="auto"/>
            <w:left w:val="none" w:sz="0" w:space="0" w:color="auto"/>
            <w:bottom w:val="none" w:sz="0" w:space="0" w:color="auto"/>
            <w:right w:val="none" w:sz="0" w:space="0" w:color="auto"/>
          </w:divBdr>
        </w:div>
        <w:div w:id="1157258181">
          <w:marLeft w:val="1800"/>
          <w:marRight w:val="0"/>
          <w:marTop w:val="86"/>
          <w:marBottom w:val="0"/>
          <w:divBdr>
            <w:top w:val="none" w:sz="0" w:space="0" w:color="auto"/>
            <w:left w:val="none" w:sz="0" w:space="0" w:color="auto"/>
            <w:bottom w:val="none" w:sz="0" w:space="0" w:color="auto"/>
            <w:right w:val="none" w:sz="0" w:space="0" w:color="auto"/>
          </w:divBdr>
        </w:div>
        <w:div w:id="1832285245">
          <w:marLeft w:val="1800"/>
          <w:marRight w:val="0"/>
          <w:marTop w:val="86"/>
          <w:marBottom w:val="0"/>
          <w:divBdr>
            <w:top w:val="none" w:sz="0" w:space="0" w:color="auto"/>
            <w:left w:val="none" w:sz="0" w:space="0" w:color="auto"/>
            <w:bottom w:val="none" w:sz="0" w:space="0" w:color="auto"/>
            <w:right w:val="none" w:sz="0" w:space="0" w:color="auto"/>
          </w:divBdr>
        </w:div>
      </w:divsChild>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sChild>
        <w:div w:id="909196758">
          <w:marLeft w:val="1800"/>
          <w:marRight w:val="0"/>
          <w:marTop w:val="86"/>
          <w:marBottom w:val="0"/>
          <w:divBdr>
            <w:top w:val="none" w:sz="0" w:space="0" w:color="auto"/>
            <w:left w:val="none" w:sz="0" w:space="0" w:color="auto"/>
            <w:bottom w:val="none" w:sz="0" w:space="0" w:color="auto"/>
            <w:right w:val="none" w:sz="0" w:space="0" w:color="auto"/>
          </w:divBdr>
        </w:div>
        <w:div w:id="1116024982">
          <w:marLeft w:val="1166"/>
          <w:marRight w:val="0"/>
          <w:marTop w:val="96"/>
          <w:marBottom w:val="0"/>
          <w:divBdr>
            <w:top w:val="none" w:sz="0" w:space="0" w:color="auto"/>
            <w:left w:val="none" w:sz="0" w:space="0" w:color="auto"/>
            <w:bottom w:val="none" w:sz="0" w:space="0" w:color="auto"/>
            <w:right w:val="none" w:sz="0" w:space="0" w:color="auto"/>
          </w:divBdr>
        </w:div>
        <w:div w:id="1448694226">
          <w:marLeft w:val="1166"/>
          <w:marRight w:val="0"/>
          <w:marTop w:val="96"/>
          <w:marBottom w:val="0"/>
          <w:divBdr>
            <w:top w:val="none" w:sz="0" w:space="0" w:color="auto"/>
            <w:left w:val="none" w:sz="0" w:space="0" w:color="auto"/>
            <w:bottom w:val="none" w:sz="0" w:space="0" w:color="auto"/>
            <w:right w:val="none" w:sz="0" w:space="0" w:color="auto"/>
          </w:divBdr>
        </w:div>
        <w:div w:id="2033066262">
          <w:marLeft w:val="806"/>
          <w:marRight w:val="0"/>
          <w:marTop w:val="115"/>
          <w:marBottom w:val="0"/>
          <w:divBdr>
            <w:top w:val="none" w:sz="0" w:space="0" w:color="auto"/>
            <w:left w:val="none" w:sz="0" w:space="0" w:color="auto"/>
            <w:bottom w:val="none" w:sz="0" w:space="0" w:color="auto"/>
            <w:right w:val="none" w:sz="0" w:space="0" w:color="auto"/>
          </w:divBdr>
        </w:div>
        <w:div w:id="2121682402">
          <w:marLeft w:val="1800"/>
          <w:marRight w:val="0"/>
          <w:marTop w:val="86"/>
          <w:marBottom w:val="0"/>
          <w:divBdr>
            <w:top w:val="none" w:sz="0" w:space="0" w:color="auto"/>
            <w:left w:val="none" w:sz="0" w:space="0" w:color="auto"/>
            <w:bottom w:val="none" w:sz="0" w:space="0" w:color="auto"/>
            <w:right w:val="none" w:sz="0" w:space="0" w:color="auto"/>
          </w:divBdr>
        </w:div>
      </w:divsChild>
    </w:div>
    <w:div w:id="1739478558">
      <w:bodyDiv w:val="1"/>
      <w:marLeft w:val="0"/>
      <w:marRight w:val="0"/>
      <w:marTop w:val="0"/>
      <w:marBottom w:val="0"/>
      <w:divBdr>
        <w:top w:val="none" w:sz="0" w:space="0" w:color="auto"/>
        <w:left w:val="none" w:sz="0" w:space="0" w:color="auto"/>
        <w:bottom w:val="none" w:sz="0" w:space="0" w:color="auto"/>
        <w:right w:val="none" w:sz="0" w:space="0" w:color="auto"/>
      </w:divBdr>
      <w:divsChild>
        <w:div w:id="1116412495">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erriault\AppData\Local\Temp\1\Templafy\WordVsto\MANTAINING%20SOLVENT%20MARKETS%20THROUGH%20COV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258B85D741946BC0EBD289EA07974" ma:contentTypeVersion="10" ma:contentTypeDescription="Create a new document." ma:contentTypeScope="" ma:versionID="d8093722c358e46fdd3a0d3378744d85">
  <xsd:schema xmlns:xsd="http://www.w3.org/2001/XMLSchema" xmlns:xs="http://www.w3.org/2001/XMLSchema" xmlns:p="http://schemas.microsoft.com/office/2006/metadata/properties" xmlns:ns2="ecb55538-6dac-43ba-9ba8-f511d066a6d8" xmlns:ns3="ae0627e0-74cc-48e6-bab4-2960ffa22704" targetNamespace="http://schemas.microsoft.com/office/2006/metadata/properties" ma:root="true" ma:fieldsID="98d28c7015bff1f1627106c46f6db45d" ns2:_="" ns3:_="">
    <xsd:import namespace="ecb55538-6dac-43ba-9ba8-f511d066a6d8"/>
    <xsd:import namespace="ae0627e0-74cc-48e6-bab4-2960ffa22704"/>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5538-6dac-43ba-9ba8-f511d066a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627e0-74cc-48e6-bab4-2960ffa227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templateName":"SVO_Letterhead_orange_r1","templateDescription":"","enableDocumentContentUpdater":fals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cb55538-6dac-43ba-9ba8-f511d066a6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EF754B70-40DD-414D-BC68-69061BF96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5538-6dac-43ba-9ba8-f511d066a6d8"/>
    <ds:schemaRef ds:uri="ae0627e0-74cc-48e6-bab4-2960ffa22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91B5-05F1-485F-A79A-3ACCA8C26571}">
  <ds:schemaRefs/>
</ds:datastoreItem>
</file>

<file path=customXml/itemProps3.xml><?xml version="1.0" encoding="utf-8"?>
<ds:datastoreItem xmlns:ds="http://schemas.openxmlformats.org/officeDocument/2006/customXml" ds:itemID="{2B63B39E-4E0A-4450-AE0D-18B00C848D6D}">
  <ds:schemaRefs>
    <ds:schemaRef ds:uri="http://schemas.microsoft.com/office/2006/metadata/properties"/>
    <ds:schemaRef ds:uri="http://schemas.microsoft.com/office/infopath/2007/PartnerControls"/>
    <ds:schemaRef ds:uri="ecb55538-6dac-43ba-9ba8-f511d066a6d8"/>
  </ds:schemaRefs>
</ds:datastoreItem>
</file>

<file path=customXml/itemProps4.xml><?xml version="1.0" encoding="utf-8"?>
<ds:datastoreItem xmlns:ds="http://schemas.openxmlformats.org/officeDocument/2006/customXml" ds:itemID="{2566D686-936C-4B96-8BAE-643818C0E716}">
  <ds:schemaRefs>
    <ds:schemaRef ds:uri="http://schemas.microsoft.com/sharepoint/v3/contenttype/forms"/>
  </ds:schemaRefs>
</ds:datastoreItem>
</file>

<file path=customXml/itemProps5.xml><?xml version="1.0" encoding="utf-8"?>
<ds:datastoreItem xmlns:ds="http://schemas.openxmlformats.org/officeDocument/2006/customXml" ds:itemID="{0457A940-0715-4EF7-8856-493D01923CDB}">
  <ds:schemaRefs/>
</ds:datastoreItem>
</file>

<file path=docProps/app.xml><?xml version="1.0" encoding="utf-8"?>
<Properties xmlns="http://schemas.openxmlformats.org/officeDocument/2006/extended-properties" xmlns:vt="http://schemas.openxmlformats.org/officeDocument/2006/docPropsVTypes">
  <Template>MANTAINING SOLVENT MARKETS THROUGH COVID.dotx</Template>
  <TotalTime>159</TotalTime>
  <Pages>6</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MANTAINING SOLVENT MARKETS THROUGH COVID</dc:title>
  <dc:subject/>
  <dc:creator>Therriault, Charles A.</dc:creator>
  <cp:keywords/>
  <dc:description/>
  <cp:lastModifiedBy>Genao-Rosado, Denise</cp:lastModifiedBy>
  <cp:revision>91</cp:revision>
  <dcterms:created xsi:type="dcterms:W3CDTF">2022-09-30T15:39:00Z</dcterms:created>
  <dcterms:modified xsi:type="dcterms:W3CDTF">2022-10-20T20:28:00Z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637691431143155409</vt:lpwstr>
  </property>
  <property fmtid="{D5CDD505-2E9C-101B-9397-08002B2CF9AE}" pid="4" name="TemplafyUserProfileId">
    <vt:lpwstr>637715526061231281</vt:lpwstr>
  </property>
  <property fmtid="{D5CDD505-2E9C-101B-9397-08002B2CF9AE}" pid="5" name="TemplafyFromBlank">
    <vt:bool>false</vt:bool>
  </property>
  <property fmtid="{D5CDD505-2E9C-101B-9397-08002B2CF9AE}" pid="6" name="ContentTypeId">
    <vt:lpwstr>0x01010075D258B85D741946BC0EBD289EA07974</vt:lpwstr>
  </property>
</Properties>
</file>