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F7B44" w14:textId="18B22C59" w:rsidR="001344A7" w:rsidRPr="00F276B0" w:rsidRDefault="002B0499" w:rsidP="001344A7">
      <w:pPr>
        <w:spacing w:line="280" w:lineRule="exact"/>
        <w:rPr>
          <w:rFonts w:cstheme="minorHAnsi"/>
        </w:rPr>
      </w:pPr>
      <w:r>
        <w:rPr>
          <w:rFonts w:cstheme="minorHAnsi"/>
        </w:rPr>
        <w:t xml:space="preserve"> </w:t>
      </w:r>
      <w:r w:rsidR="001344A7" w:rsidRPr="00F276B0">
        <w:rPr>
          <w:rFonts w:cstheme="minorHAnsi"/>
        </w:rPr>
        <w:t xml:space="preserve">TO: </w:t>
      </w:r>
      <w:r w:rsidR="001344A7" w:rsidRPr="00F276B0">
        <w:rPr>
          <w:rFonts w:cstheme="minorHAnsi"/>
        </w:rPr>
        <w:tab/>
      </w:r>
      <w:r w:rsidR="00A14B95">
        <w:rPr>
          <w:rFonts w:cstheme="minorHAnsi"/>
        </w:rPr>
        <w:t>Carrie Mears</w:t>
      </w:r>
      <w:r w:rsidR="001344A7" w:rsidRPr="00F276B0">
        <w:rPr>
          <w:rFonts w:cstheme="minorHAnsi"/>
        </w:rPr>
        <w:t>, Chair, Valuation of Securities (E) Task Force</w:t>
      </w:r>
      <w:r w:rsidR="001344A7" w:rsidRPr="00F276B0">
        <w:rPr>
          <w:rFonts w:cstheme="minorHAnsi"/>
        </w:rPr>
        <w:br/>
      </w:r>
      <w:r w:rsidR="001344A7" w:rsidRPr="00F276B0">
        <w:rPr>
          <w:rFonts w:cstheme="minorHAnsi"/>
        </w:rPr>
        <w:tab/>
        <w:t xml:space="preserve">Members of the Valuation of Securities (E) Task Force </w:t>
      </w:r>
    </w:p>
    <w:p w14:paraId="6CF9A807" w14:textId="52741875" w:rsidR="001344A7" w:rsidRPr="00F276B0" w:rsidRDefault="001344A7" w:rsidP="001344A7">
      <w:pPr>
        <w:spacing w:line="280" w:lineRule="exact"/>
        <w:ind w:left="720" w:hanging="720"/>
        <w:rPr>
          <w:rFonts w:cstheme="minorHAnsi"/>
        </w:rPr>
      </w:pPr>
      <w:r w:rsidRPr="00F276B0">
        <w:rPr>
          <w:rFonts w:cstheme="minorHAnsi"/>
        </w:rPr>
        <w:t>FROM:</w:t>
      </w:r>
      <w:r w:rsidRPr="00F276B0">
        <w:rPr>
          <w:rFonts w:cstheme="minorHAnsi"/>
        </w:rPr>
        <w:tab/>
        <w:t>Charles A. Therriault, Director, NAIC Securities Valuation Office (SVO)</w:t>
      </w:r>
      <w:r w:rsidRPr="00F276B0">
        <w:rPr>
          <w:rFonts w:cstheme="minorHAnsi"/>
        </w:rPr>
        <w:br/>
        <w:t>Marc Perlman, Managing Investment Counsel, NAIC Securities Valuation Office (SVO)</w:t>
      </w:r>
    </w:p>
    <w:p w14:paraId="69430DCD" w14:textId="6F8C90F5" w:rsidR="001344A7" w:rsidRPr="00F276B0" w:rsidRDefault="001344A7" w:rsidP="001344A7">
      <w:pPr>
        <w:spacing w:line="280" w:lineRule="exact"/>
        <w:rPr>
          <w:rFonts w:cstheme="minorHAnsi"/>
        </w:rPr>
      </w:pPr>
      <w:r w:rsidRPr="00F276B0">
        <w:rPr>
          <w:rFonts w:cstheme="minorHAnsi"/>
        </w:rPr>
        <w:t>CC:</w:t>
      </w:r>
      <w:r w:rsidRPr="00F276B0">
        <w:rPr>
          <w:rFonts w:cstheme="minorHAnsi"/>
        </w:rPr>
        <w:tab/>
        <w:t>Eric Kolchinsky, Director, NAIC Structured Securities Group (SSG) and Capital Markets Bureau</w:t>
      </w:r>
    </w:p>
    <w:p w14:paraId="4D804F15" w14:textId="0122C124" w:rsidR="001344A7" w:rsidRPr="00F276B0" w:rsidRDefault="001344A7" w:rsidP="001344A7">
      <w:pPr>
        <w:spacing w:line="280" w:lineRule="exact"/>
        <w:ind w:left="720" w:hanging="720"/>
        <w:rPr>
          <w:rFonts w:cstheme="minorHAnsi"/>
        </w:rPr>
      </w:pPr>
      <w:r w:rsidRPr="00F276B0">
        <w:rPr>
          <w:rFonts w:cstheme="minorHAnsi"/>
        </w:rPr>
        <w:t>RE:</w:t>
      </w:r>
      <w:r w:rsidRPr="00F276B0">
        <w:rPr>
          <w:rFonts w:cstheme="minorHAnsi"/>
        </w:rPr>
        <w:tab/>
      </w:r>
      <w:r w:rsidR="000D3654">
        <w:rPr>
          <w:rFonts w:cstheme="minorHAnsi"/>
        </w:rPr>
        <w:t xml:space="preserve">Proposed </w:t>
      </w:r>
      <w:r w:rsidR="00D82809">
        <w:rPr>
          <w:rFonts w:cstheme="minorHAnsi"/>
        </w:rPr>
        <w:t>Amen</w:t>
      </w:r>
      <w:r w:rsidR="000D3654">
        <w:rPr>
          <w:rFonts w:cstheme="minorHAnsi"/>
        </w:rPr>
        <w:t xml:space="preserve">dment to Define and Add Guidance for </w:t>
      </w:r>
      <w:r w:rsidR="00D82809">
        <w:rPr>
          <w:rFonts w:cstheme="minorHAnsi"/>
        </w:rPr>
        <w:t xml:space="preserve">Structured </w:t>
      </w:r>
      <w:r w:rsidR="000B7D60">
        <w:rPr>
          <w:rFonts w:cstheme="minorHAnsi"/>
        </w:rPr>
        <w:t xml:space="preserve">Equity </w:t>
      </w:r>
      <w:r w:rsidR="00C5048A">
        <w:rPr>
          <w:rFonts w:cstheme="minorHAnsi"/>
        </w:rPr>
        <w:t>and</w:t>
      </w:r>
      <w:r w:rsidR="000B7D60">
        <w:rPr>
          <w:rFonts w:cstheme="minorHAnsi"/>
        </w:rPr>
        <w:t xml:space="preserve"> </w:t>
      </w:r>
      <w:r w:rsidR="00D82809">
        <w:rPr>
          <w:rFonts w:cstheme="minorHAnsi"/>
        </w:rPr>
        <w:t>Funds</w:t>
      </w:r>
      <w:r w:rsidR="00483656" w:rsidRPr="00483656">
        <w:rPr>
          <w:rFonts w:cstheme="minorHAnsi"/>
        </w:rPr>
        <w:t xml:space="preserve"> </w:t>
      </w:r>
      <w:r w:rsidR="000D3654">
        <w:rPr>
          <w:rFonts w:cstheme="minorHAnsi"/>
        </w:rPr>
        <w:t>to</w:t>
      </w:r>
      <w:r w:rsidR="00F317EC">
        <w:rPr>
          <w:rFonts w:cstheme="minorHAnsi"/>
        </w:rPr>
        <w:t xml:space="preserve"> the </w:t>
      </w:r>
      <w:r w:rsidR="00C95C07">
        <w:rPr>
          <w:rFonts w:cstheme="minorHAnsi"/>
        </w:rPr>
        <w:t>P&amp;P Manual</w:t>
      </w:r>
    </w:p>
    <w:p w14:paraId="57E47438" w14:textId="59E77D99" w:rsidR="001344A7" w:rsidRPr="00F276B0" w:rsidRDefault="001344A7" w:rsidP="001344A7">
      <w:pPr>
        <w:pBdr>
          <w:bottom w:val="single" w:sz="4" w:space="1" w:color="auto"/>
        </w:pBdr>
        <w:spacing w:line="280" w:lineRule="exact"/>
        <w:rPr>
          <w:rFonts w:cstheme="minorHAnsi"/>
        </w:rPr>
      </w:pPr>
      <w:r w:rsidRPr="00F276B0">
        <w:rPr>
          <w:rFonts w:cstheme="minorHAnsi"/>
        </w:rPr>
        <w:t>DATE:</w:t>
      </w:r>
      <w:r w:rsidRPr="00F276B0">
        <w:rPr>
          <w:rFonts w:cstheme="minorHAnsi"/>
        </w:rPr>
        <w:tab/>
      </w:r>
      <w:r w:rsidR="00E6788D">
        <w:rPr>
          <w:rFonts w:cstheme="minorHAnsi"/>
        </w:rPr>
        <w:t>November 28</w:t>
      </w:r>
      <w:r w:rsidR="00DC5932">
        <w:rPr>
          <w:rFonts w:cstheme="minorHAnsi"/>
        </w:rPr>
        <w:t>, 2022</w:t>
      </w:r>
    </w:p>
    <w:p w14:paraId="2EF237E6" w14:textId="4968BD9D" w:rsidR="00A0287F" w:rsidRDefault="003B3B93" w:rsidP="009C5D4C">
      <w:pPr>
        <w:spacing w:line="240" w:lineRule="auto"/>
        <w:jc w:val="both"/>
      </w:pPr>
      <w:proofErr w:type="gramStart"/>
      <w:r w:rsidRPr="4E5C1DB1">
        <w:rPr>
          <w:b/>
        </w:rPr>
        <w:t xml:space="preserve">Summary </w:t>
      </w:r>
      <w:r w:rsidR="00B97C3B" w:rsidRPr="4E5C1DB1">
        <w:rPr>
          <w:b/>
        </w:rPr>
        <w:t xml:space="preserve"> </w:t>
      </w:r>
      <w:r w:rsidRPr="4E5C1DB1">
        <w:rPr>
          <w:b/>
        </w:rPr>
        <w:t>–</w:t>
      </w:r>
      <w:proofErr w:type="gramEnd"/>
      <w:r w:rsidRPr="4E5C1DB1">
        <w:t xml:space="preserve">  </w:t>
      </w:r>
      <w:r w:rsidR="00DC5932" w:rsidRPr="4E5C1DB1">
        <w:t xml:space="preserve">The SVO has </w:t>
      </w:r>
      <w:r w:rsidR="00157C4D" w:rsidRPr="4E5C1DB1">
        <w:t>processed several</w:t>
      </w:r>
      <w:r w:rsidR="009901E4" w:rsidRPr="4E5C1DB1">
        <w:t xml:space="preserve"> </w:t>
      </w:r>
      <w:r w:rsidR="009D75A2" w:rsidRPr="4E5C1DB1">
        <w:t xml:space="preserve">private letter </w:t>
      </w:r>
      <w:r w:rsidR="008C5160" w:rsidRPr="4E5C1DB1">
        <w:t xml:space="preserve">rating (PLR) </w:t>
      </w:r>
      <w:r w:rsidR="009D75A2" w:rsidRPr="4E5C1DB1">
        <w:t xml:space="preserve">filings </w:t>
      </w:r>
      <w:r w:rsidR="005033ED" w:rsidRPr="4E5C1DB1">
        <w:t xml:space="preserve">for investments </w:t>
      </w:r>
      <w:r w:rsidR="00F03E90" w:rsidRPr="4E5C1DB1">
        <w:t>in</w:t>
      </w:r>
      <w:r w:rsidR="006825CA" w:rsidRPr="4E5C1DB1">
        <w:t xml:space="preserve"> notes issued by</w:t>
      </w:r>
      <w:r w:rsidR="0089081A">
        <w:t>,</w:t>
      </w:r>
      <w:r w:rsidR="00F24418" w:rsidRPr="4E5C1DB1">
        <w:t xml:space="preserve"> and </w:t>
      </w:r>
      <w:r w:rsidR="0025537A">
        <w:t>of</w:t>
      </w:r>
      <w:r w:rsidR="0025537A" w:rsidRPr="4E5C1DB1">
        <w:t xml:space="preserve"> </w:t>
      </w:r>
      <w:r w:rsidR="00F24418" w:rsidRPr="4E5C1DB1">
        <w:t>equity or limited partnership interests in</w:t>
      </w:r>
      <w:r w:rsidR="0025537A">
        <w:t>,</w:t>
      </w:r>
      <w:r w:rsidR="00F24418" w:rsidRPr="4E5C1DB1">
        <w:t xml:space="preserve"> </w:t>
      </w:r>
      <w:r w:rsidR="00DD2AE2" w:rsidRPr="4E5C1DB1">
        <w:t xml:space="preserve">a special purpose </w:t>
      </w:r>
      <w:r w:rsidR="00360323" w:rsidRPr="4E5C1DB1">
        <w:t>vehicle</w:t>
      </w:r>
      <w:r w:rsidR="002F25B5" w:rsidRPr="4E5C1DB1">
        <w:t>,</w:t>
      </w:r>
      <w:r w:rsidR="00360323" w:rsidRPr="4E5C1DB1">
        <w:t xml:space="preserve"> trust</w:t>
      </w:r>
      <w:r w:rsidR="00ED1EB5" w:rsidRPr="4E5C1DB1">
        <w:t xml:space="preserve">, limited liability </w:t>
      </w:r>
      <w:r w:rsidR="00E053CC" w:rsidRPr="4E5C1DB1">
        <w:t>company</w:t>
      </w:r>
      <w:r w:rsidR="00C310D3" w:rsidRPr="4E5C1DB1">
        <w:t>,</w:t>
      </w:r>
      <w:r w:rsidR="00DE120F" w:rsidRPr="4E5C1DB1">
        <w:t xml:space="preserve"> </w:t>
      </w:r>
      <w:r w:rsidR="000049CB" w:rsidRPr="4E5C1DB1">
        <w:t>limited partnership</w:t>
      </w:r>
      <w:r w:rsidR="00C310D3" w:rsidRPr="4E5C1DB1">
        <w:t xml:space="preserve"> </w:t>
      </w:r>
      <w:r w:rsidR="00C80AC8" w:rsidRPr="4E5C1DB1">
        <w:t xml:space="preserve">or other legal entity </w:t>
      </w:r>
      <w:r w:rsidR="0084794C" w:rsidRPr="4E5C1DB1">
        <w:t>that</w:t>
      </w:r>
      <w:r w:rsidR="0045712F" w:rsidRPr="4E5C1DB1">
        <w:t xml:space="preserve"> operates as a </w:t>
      </w:r>
      <w:r w:rsidR="0077573F" w:rsidRPr="4E5C1DB1">
        <w:t xml:space="preserve">feeder </w:t>
      </w:r>
      <w:r w:rsidR="0045712F" w:rsidRPr="4E5C1DB1">
        <w:t>fund</w:t>
      </w:r>
      <w:r w:rsidR="00B53E12" w:rsidRPr="4E5C1DB1">
        <w:t xml:space="preserve"> which itself</w:t>
      </w:r>
      <w:r w:rsidR="000B7D60" w:rsidRPr="4E5C1DB1">
        <w:t xml:space="preserve"> </w:t>
      </w:r>
      <w:r w:rsidR="008C4419" w:rsidRPr="4E5C1DB1">
        <w:t>invests</w:t>
      </w:r>
      <w:r w:rsidR="00B53E12" w:rsidRPr="4E5C1DB1">
        <w:t>, directly or indirectly,</w:t>
      </w:r>
      <w:r w:rsidR="000B7D60" w:rsidRPr="4E5C1DB1">
        <w:t xml:space="preserve"> </w:t>
      </w:r>
      <w:r w:rsidR="008C4419" w:rsidRPr="4E5C1DB1">
        <w:t>in</w:t>
      </w:r>
      <w:r w:rsidR="00601005" w:rsidRPr="4E5C1DB1">
        <w:t xml:space="preserve"> one</w:t>
      </w:r>
      <w:r w:rsidR="008C4419" w:rsidRPr="4E5C1DB1">
        <w:t xml:space="preserve"> or more</w:t>
      </w:r>
      <w:r w:rsidR="00970421" w:rsidRPr="4E5C1DB1">
        <w:t xml:space="preserve"> funds</w:t>
      </w:r>
      <w:r w:rsidR="00EA0A53">
        <w:t xml:space="preserve"> or other equity investments</w:t>
      </w:r>
      <w:r w:rsidR="004F27FF" w:rsidRPr="4E5C1DB1">
        <w:t xml:space="preserve">.  </w:t>
      </w:r>
      <w:r w:rsidR="00E91B6D" w:rsidRPr="4E5C1DB1">
        <w:t xml:space="preserve">The </w:t>
      </w:r>
      <w:r w:rsidR="00724ED6" w:rsidRPr="4E5C1DB1">
        <w:t xml:space="preserve">SVO </w:t>
      </w:r>
      <w:r w:rsidR="001E3160" w:rsidRPr="4E5C1DB1">
        <w:t>is</w:t>
      </w:r>
      <w:r w:rsidR="00724ED6" w:rsidRPr="4E5C1DB1">
        <w:t xml:space="preserve"> concern</w:t>
      </w:r>
      <w:r w:rsidR="001E3160" w:rsidRPr="4E5C1DB1">
        <w:t>ed</w:t>
      </w:r>
      <w:r w:rsidR="00724ED6" w:rsidRPr="4E5C1DB1">
        <w:t xml:space="preserve"> about this </w:t>
      </w:r>
      <w:r w:rsidR="00DB2965" w:rsidRPr="4E5C1DB1">
        <w:t xml:space="preserve">general </w:t>
      </w:r>
      <w:r w:rsidR="00724ED6" w:rsidRPr="4E5C1DB1">
        <w:t>structure</w:t>
      </w:r>
      <w:r w:rsidR="001E3160" w:rsidRPr="4E5C1DB1">
        <w:t xml:space="preserve"> for the following r</w:t>
      </w:r>
      <w:r w:rsidR="002E5FB8" w:rsidRPr="4E5C1DB1">
        <w:t>easons</w:t>
      </w:r>
      <w:r w:rsidR="00724ED6" w:rsidRPr="4E5C1DB1">
        <w:t xml:space="preserve">: </w:t>
      </w:r>
    </w:p>
    <w:p w14:paraId="7CB56E08" w14:textId="00F150E3" w:rsidR="00491F97" w:rsidRPr="002B5E2E" w:rsidRDefault="00444EDE" w:rsidP="00022037">
      <w:pPr>
        <w:pStyle w:val="ListParagraph"/>
        <w:numPr>
          <w:ilvl w:val="0"/>
          <w:numId w:val="27"/>
        </w:numPr>
        <w:spacing w:line="240" w:lineRule="auto"/>
        <w:rPr>
          <w:rFonts w:cstheme="minorHAnsi"/>
        </w:rPr>
      </w:pPr>
      <w:r w:rsidRPr="00B64C28">
        <w:rPr>
          <w:rFonts w:asciiTheme="minorHAnsi" w:hAnsiTheme="minorHAnsi" w:cstheme="minorHAnsi"/>
          <w:sz w:val="22"/>
          <w:szCs w:val="22"/>
          <w:u w:val="single"/>
        </w:rPr>
        <w:t>Circumvent Regulatory Guidance</w:t>
      </w:r>
      <w:r>
        <w:rPr>
          <w:rFonts w:asciiTheme="minorHAnsi" w:hAnsiTheme="minorHAnsi" w:cstheme="minorHAnsi"/>
          <w:sz w:val="22"/>
          <w:szCs w:val="22"/>
        </w:rPr>
        <w:t xml:space="preserve"> - </w:t>
      </w:r>
      <w:r w:rsidR="005551A5" w:rsidRPr="002B5E2E">
        <w:rPr>
          <w:rFonts w:asciiTheme="minorHAnsi" w:hAnsiTheme="minorHAnsi" w:cstheme="minorHAnsi"/>
          <w:sz w:val="22"/>
          <w:szCs w:val="22"/>
        </w:rPr>
        <w:t xml:space="preserve">With the introduction of an intervening </w:t>
      </w:r>
      <w:r w:rsidR="004B3BC4" w:rsidRPr="002B5E2E">
        <w:rPr>
          <w:rFonts w:asciiTheme="minorHAnsi" w:hAnsiTheme="minorHAnsi" w:cstheme="minorHAnsi"/>
          <w:sz w:val="22"/>
          <w:szCs w:val="22"/>
        </w:rPr>
        <w:t xml:space="preserve">entity as debt issuer, </w:t>
      </w:r>
      <w:r w:rsidR="00A545C9">
        <w:rPr>
          <w:rFonts w:asciiTheme="minorHAnsi" w:hAnsiTheme="minorHAnsi" w:cstheme="minorHAnsi"/>
          <w:sz w:val="22"/>
          <w:szCs w:val="22"/>
        </w:rPr>
        <w:t xml:space="preserve">if the investment is in substance an equity investment, the format of the investment </w:t>
      </w:r>
      <w:r w:rsidR="00DB4D03" w:rsidRPr="002B5E2E">
        <w:rPr>
          <w:rFonts w:asciiTheme="minorHAnsi" w:hAnsiTheme="minorHAnsi" w:cstheme="minorHAnsi"/>
          <w:sz w:val="22"/>
          <w:szCs w:val="22"/>
        </w:rPr>
        <w:t>circumvent</w:t>
      </w:r>
      <w:r w:rsidR="00A20323" w:rsidRPr="002B5E2E">
        <w:rPr>
          <w:rFonts w:asciiTheme="minorHAnsi" w:hAnsiTheme="minorHAnsi" w:cstheme="minorHAnsi"/>
          <w:sz w:val="22"/>
          <w:szCs w:val="22"/>
        </w:rPr>
        <w:t>s</w:t>
      </w:r>
      <w:r w:rsidR="00DB4D03" w:rsidRPr="002B5E2E">
        <w:rPr>
          <w:rFonts w:asciiTheme="minorHAnsi" w:hAnsiTheme="minorHAnsi" w:cstheme="minorHAnsi"/>
          <w:sz w:val="22"/>
          <w:szCs w:val="22"/>
        </w:rPr>
        <w:t xml:space="preserve"> regulatory guidance </w:t>
      </w:r>
      <w:r w:rsidR="00EA0DC8" w:rsidRPr="002B5E2E">
        <w:rPr>
          <w:rFonts w:asciiTheme="minorHAnsi" w:hAnsiTheme="minorHAnsi" w:cstheme="minorHAnsi"/>
          <w:sz w:val="22"/>
          <w:szCs w:val="22"/>
        </w:rPr>
        <w:t xml:space="preserve">established </w:t>
      </w:r>
      <w:r w:rsidR="00DB4D03" w:rsidRPr="002B5E2E">
        <w:rPr>
          <w:rFonts w:asciiTheme="minorHAnsi" w:hAnsiTheme="minorHAnsi" w:cstheme="minorHAnsi"/>
          <w:sz w:val="22"/>
          <w:szCs w:val="22"/>
        </w:rPr>
        <w:t>by this Task Force</w:t>
      </w:r>
      <w:r w:rsidR="00EA0DC8" w:rsidRPr="002B5E2E">
        <w:rPr>
          <w:rFonts w:asciiTheme="minorHAnsi" w:hAnsiTheme="minorHAnsi" w:cstheme="minorHAnsi"/>
          <w:sz w:val="22"/>
          <w:szCs w:val="22"/>
        </w:rPr>
        <w:t xml:space="preserve">, </w:t>
      </w:r>
      <w:r w:rsidR="00DB4D03" w:rsidRPr="002B5E2E">
        <w:rPr>
          <w:rFonts w:asciiTheme="minorHAnsi" w:hAnsiTheme="minorHAnsi" w:cstheme="minorHAnsi"/>
          <w:sz w:val="22"/>
          <w:szCs w:val="22"/>
        </w:rPr>
        <w:t>the Statu</w:t>
      </w:r>
      <w:r w:rsidR="00EA0DC8" w:rsidRPr="002B5E2E">
        <w:rPr>
          <w:rFonts w:asciiTheme="minorHAnsi" w:hAnsiTheme="minorHAnsi" w:cstheme="minorHAnsi"/>
          <w:sz w:val="22"/>
          <w:szCs w:val="22"/>
        </w:rPr>
        <w:t xml:space="preserve">tory Accounting Principles (E) Working Group and the Capital Adequacy (E) Task Force </w:t>
      </w:r>
      <w:r w:rsidR="00A545C9">
        <w:rPr>
          <w:rFonts w:asciiTheme="minorHAnsi" w:hAnsiTheme="minorHAnsi" w:cstheme="minorHAnsi"/>
          <w:sz w:val="22"/>
          <w:szCs w:val="22"/>
        </w:rPr>
        <w:t xml:space="preserve">for the reporting of equity investments </w:t>
      </w:r>
      <w:r w:rsidR="00C37181" w:rsidRPr="002B5E2E">
        <w:rPr>
          <w:rFonts w:asciiTheme="minorHAnsi" w:hAnsiTheme="minorHAnsi" w:cstheme="minorHAnsi"/>
          <w:sz w:val="22"/>
          <w:szCs w:val="22"/>
        </w:rPr>
        <w:t>unless, in the case of funds, the SVO determines</w:t>
      </w:r>
      <w:r w:rsidR="00C27270" w:rsidRPr="002B5E2E">
        <w:rPr>
          <w:rFonts w:asciiTheme="minorHAnsi" w:hAnsiTheme="minorHAnsi" w:cstheme="minorHAnsi"/>
          <w:sz w:val="22"/>
          <w:szCs w:val="22"/>
        </w:rPr>
        <w:t xml:space="preserve"> that </w:t>
      </w:r>
      <w:r w:rsidR="00C37181" w:rsidRPr="002B5E2E">
        <w:rPr>
          <w:rFonts w:asciiTheme="minorHAnsi" w:hAnsiTheme="minorHAnsi" w:cstheme="minorHAnsi"/>
          <w:sz w:val="22"/>
          <w:szCs w:val="22"/>
        </w:rPr>
        <w:t>the</w:t>
      </w:r>
      <w:r w:rsidR="00C27270" w:rsidRPr="002B5E2E">
        <w:rPr>
          <w:rFonts w:asciiTheme="minorHAnsi" w:hAnsiTheme="minorHAnsi" w:cstheme="minorHAnsi"/>
          <w:sz w:val="22"/>
          <w:szCs w:val="22"/>
        </w:rPr>
        <w:t xml:space="preserve"> fun</w:t>
      </w:r>
      <w:r w:rsidR="00A20323" w:rsidRPr="002B5E2E">
        <w:rPr>
          <w:rFonts w:asciiTheme="minorHAnsi" w:hAnsiTheme="minorHAnsi" w:cstheme="minorHAnsi"/>
          <w:sz w:val="22"/>
          <w:szCs w:val="22"/>
        </w:rPr>
        <w:t>d</w:t>
      </w:r>
      <w:r w:rsidR="008317DB" w:rsidRPr="002B5E2E">
        <w:rPr>
          <w:rFonts w:asciiTheme="minorHAnsi" w:hAnsiTheme="minorHAnsi" w:cstheme="minorHAnsi"/>
          <w:sz w:val="22"/>
          <w:szCs w:val="22"/>
        </w:rPr>
        <w:t xml:space="preserve"> produces fixed</w:t>
      </w:r>
      <w:r w:rsidR="00A0287F" w:rsidRPr="002B5E2E">
        <w:rPr>
          <w:rFonts w:asciiTheme="minorHAnsi" w:hAnsiTheme="minorHAnsi" w:cstheme="minorHAnsi"/>
          <w:sz w:val="22"/>
          <w:szCs w:val="22"/>
        </w:rPr>
        <w:t>-income like cash flows</w:t>
      </w:r>
      <w:r w:rsidR="00A20323" w:rsidRPr="002B5E2E">
        <w:rPr>
          <w:rFonts w:asciiTheme="minorHAnsi" w:hAnsiTheme="minorHAnsi" w:cstheme="minorHAnsi"/>
          <w:sz w:val="22"/>
          <w:szCs w:val="22"/>
        </w:rPr>
        <w:t xml:space="preserve"> and is therefore eligible for </w:t>
      </w:r>
      <w:r w:rsidR="00A545C9">
        <w:rPr>
          <w:rFonts w:asciiTheme="minorHAnsi" w:hAnsiTheme="minorHAnsi" w:cstheme="minorHAnsi"/>
          <w:sz w:val="22"/>
          <w:szCs w:val="22"/>
        </w:rPr>
        <w:t>specific classification</w:t>
      </w:r>
      <w:r w:rsidR="00C37181" w:rsidRPr="002B5E2E">
        <w:rPr>
          <w:rFonts w:asciiTheme="minorHAnsi" w:hAnsiTheme="minorHAnsi" w:cstheme="minorHAnsi"/>
          <w:sz w:val="22"/>
          <w:szCs w:val="22"/>
        </w:rPr>
        <w:t xml:space="preserve">, </w:t>
      </w:r>
      <w:r w:rsidR="000A52B3" w:rsidRPr="002B5E2E">
        <w:rPr>
          <w:rFonts w:asciiTheme="minorHAnsi" w:hAnsiTheme="minorHAnsi" w:cstheme="minorHAnsi"/>
          <w:sz w:val="22"/>
          <w:szCs w:val="22"/>
        </w:rPr>
        <w:t xml:space="preserve">and </w:t>
      </w:r>
      <w:r w:rsidR="00BE2B57">
        <w:rPr>
          <w:rFonts w:asciiTheme="minorHAnsi" w:hAnsiTheme="minorHAnsi" w:cstheme="minorHAnsi"/>
          <w:sz w:val="22"/>
          <w:szCs w:val="22"/>
        </w:rPr>
        <w:t xml:space="preserve"> </w:t>
      </w:r>
      <w:r w:rsidR="000A52B3" w:rsidRPr="002B5E2E">
        <w:rPr>
          <w:rFonts w:asciiTheme="minorHAnsi" w:hAnsiTheme="minorHAnsi" w:cstheme="minorHAnsi"/>
          <w:sz w:val="22"/>
          <w:szCs w:val="22"/>
        </w:rPr>
        <w:t>that equity and fund investments are ineligible to use credit rating provider (CRP) ratings in the assignment of an NAIC Designation</w:t>
      </w:r>
      <w:r w:rsidR="000677E0">
        <w:rPr>
          <w:rFonts w:asciiTheme="minorHAnsi" w:hAnsiTheme="minorHAnsi" w:cstheme="minorHAnsi"/>
          <w:sz w:val="22"/>
          <w:szCs w:val="22"/>
        </w:rPr>
        <w:t>.</w:t>
      </w:r>
      <w:r w:rsidR="00DB22EF" w:rsidRPr="00097B98">
        <w:rPr>
          <w:rFonts w:asciiTheme="minorHAnsi" w:hAnsiTheme="minorHAnsi" w:cstheme="minorHAnsi"/>
          <w:b/>
          <w:bCs/>
          <w:sz w:val="22"/>
          <w:szCs w:val="22"/>
        </w:rPr>
        <w:br/>
      </w:r>
      <w:r w:rsidR="00661ADC">
        <w:rPr>
          <w:rFonts w:asciiTheme="minorHAnsi" w:hAnsiTheme="minorHAnsi" w:cstheme="minorHAnsi"/>
          <w:b/>
          <w:bCs/>
          <w:sz w:val="22"/>
          <w:szCs w:val="22"/>
        </w:rPr>
        <w:br/>
      </w:r>
      <w:r w:rsidR="00DB22EF" w:rsidRPr="00097B98">
        <w:rPr>
          <w:rFonts w:asciiTheme="minorHAnsi" w:hAnsiTheme="minorHAnsi" w:cstheme="minorHAnsi"/>
          <w:b/>
          <w:bCs/>
          <w:sz w:val="22"/>
          <w:szCs w:val="22"/>
        </w:rPr>
        <w:t xml:space="preserve">All non-SEC registered funds are required to be reported on Schedule BA. </w:t>
      </w:r>
      <w:r w:rsidR="000677E0">
        <w:rPr>
          <w:rFonts w:asciiTheme="minorHAnsi" w:hAnsiTheme="minorHAnsi" w:cstheme="minorHAnsi"/>
          <w:b/>
          <w:bCs/>
          <w:sz w:val="22"/>
          <w:szCs w:val="22"/>
        </w:rPr>
        <w:t xml:space="preserve"> </w:t>
      </w:r>
      <w:r w:rsidR="00DB22EF" w:rsidRPr="00097B98">
        <w:rPr>
          <w:rFonts w:asciiTheme="minorHAnsi" w:hAnsiTheme="minorHAnsi" w:cstheme="minorHAnsi"/>
          <w:b/>
          <w:bCs/>
          <w:sz w:val="22"/>
          <w:szCs w:val="22"/>
        </w:rPr>
        <w:t>Life insurance entities are permitted to file investments in private equity funds, partnerships, limited liability companies and joint ventures to the SVO for specific classification on Schedule BA</w:t>
      </w:r>
      <w:proofErr w:type="gramStart"/>
      <w:r w:rsidR="00DB22EF" w:rsidRPr="00097B98">
        <w:rPr>
          <w:rFonts w:asciiTheme="minorHAnsi" w:hAnsiTheme="minorHAnsi" w:cstheme="minorHAnsi"/>
          <w:b/>
          <w:bCs/>
          <w:sz w:val="22"/>
          <w:szCs w:val="22"/>
        </w:rPr>
        <w:t>.</w:t>
      </w:r>
      <w:r w:rsidR="002C749D">
        <w:rPr>
          <w:rFonts w:asciiTheme="minorHAnsi" w:hAnsiTheme="minorHAnsi" w:cstheme="minorHAnsi"/>
          <w:b/>
          <w:bCs/>
          <w:sz w:val="22"/>
          <w:szCs w:val="22"/>
        </w:rPr>
        <w:t>;</w:t>
      </w:r>
      <w:proofErr w:type="gramEnd"/>
    </w:p>
    <w:p w14:paraId="75C54498" w14:textId="3ABA37EF" w:rsidR="000505C4" w:rsidRPr="002B5E2E" w:rsidRDefault="00F064A5" w:rsidP="00022037">
      <w:pPr>
        <w:pStyle w:val="ListParagraph"/>
        <w:numPr>
          <w:ilvl w:val="0"/>
          <w:numId w:val="27"/>
        </w:numPr>
        <w:spacing w:line="240" w:lineRule="auto"/>
        <w:rPr>
          <w:rFonts w:cstheme="minorHAnsi"/>
        </w:rPr>
      </w:pPr>
      <w:r w:rsidRPr="00B64C28">
        <w:rPr>
          <w:rFonts w:asciiTheme="minorHAnsi" w:hAnsiTheme="minorHAnsi" w:cstheme="minorHAnsi"/>
          <w:sz w:val="22"/>
          <w:szCs w:val="22"/>
          <w:u w:val="single"/>
        </w:rPr>
        <w:t>Reliance on Ratings</w:t>
      </w:r>
      <w:r>
        <w:rPr>
          <w:rFonts w:asciiTheme="minorHAnsi" w:hAnsiTheme="minorHAnsi" w:cstheme="minorHAnsi"/>
          <w:sz w:val="22"/>
          <w:szCs w:val="22"/>
        </w:rPr>
        <w:t xml:space="preserve"> - </w:t>
      </w:r>
      <w:r w:rsidR="000505C4" w:rsidRPr="002B5E2E">
        <w:rPr>
          <w:rFonts w:asciiTheme="minorHAnsi" w:hAnsiTheme="minorHAnsi" w:cstheme="minorHAnsi"/>
          <w:sz w:val="22"/>
          <w:szCs w:val="22"/>
        </w:rPr>
        <w:t xml:space="preserve">These </w:t>
      </w:r>
      <w:r w:rsidR="00F4392E" w:rsidRPr="002B5E2E">
        <w:rPr>
          <w:rFonts w:asciiTheme="minorHAnsi" w:hAnsiTheme="minorHAnsi" w:cstheme="minorHAnsi"/>
          <w:sz w:val="22"/>
          <w:szCs w:val="22"/>
        </w:rPr>
        <w:t xml:space="preserve">investments are being reported as bonds and </w:t>
      </w:r>
      <w:r w:rsidR="00BD1F87" w:rsidRPr="002B5E2E">
        <w:rPr>
          <w:rFonts w:asciiTheme="minorHAnsi" w:hAnsiTheme="minorHAnsi" w:cstheme="minorHAnsi"/>
          <w:sz w:val="22"/>
          <w:szCs w:val="22"/>
        </w:rPr>
        <w:t>receiv</w:t>
      </w:r>
      <w:r w:rsidR="00F4392E" w:rsidRPr="002B5E2E">
        <w:rPr>
          <w:rFonts w:asciiTheme="minorHAnsi" w:hAnsiTheme="minorHAnsi" w:cstheme="minorHAnsi"/>
          <w:sz w:val="22"/>
          <w:szCs w:val="22"/>
        </w:rPr>
        <w:t>ing a</w:t>
      </w:r>
      <w:r w:rsidR="00BD1F87" w:rsidRPr="002B5E2E">
        <w:rPr>
          <w:rFonts w:asciiTheme="minorHAnsi" w:hAnsiTheme="minorHAnsi" w:cstheme="minorHAnsi"/>
          <w:sz w:val="22"/>
          <w:szCs w:val="22"/>
        </w:rPr>
        <w:t xml:space="preserve"> bond </w:t>
      </w:r>
      <w:r w:rsidR="00F4392E" w:rsidRPr="002B5E2E">
        <w:rPr>
          <w:rFonts w:asciiTheme="minorHAnsi" w:hAnsiTheme="minorHAnsi" w:cstheme="minorHAnsi"/>
          <w:sz w:val="22"/>
          <w:szCs w:val="22"/>
        </w:rPr>
        <w:t>risk-based capital (</w:t>
      </w:r>
      <w:r w:rsidR="00BD1F87" w:rsidRPr="002B5E2E">
        <w:rPr>
          <w:rFonts w:asciiTheme="minorHAnsi" w:hAnsiTheme="minorHAnsi" w:cstheme="minorHAnsi"/>
          <w:sz w:val="22"/>
          <w:szCs w:val="22"/>
        </w:rPr>
        <w:t>RBC</w:t>
      </w:r>
      <w:r w:rsidR="00F4392E" w:rsidRPr="002B5E2E">
        <w:rPr>
          <w:rFonts w:asciiTheme="minorHAnsi" w:hAnsiTheme="minorHAnsi" w:cstheme="minorHAnsi"/>
          <w:sz w:val="22"/>
          <w:szCs w:val="22"/>
        </w:rPr>
        <w:t>)</w:t>
      </w:r>
      <w:r w:rsidR="00BD1F87" w:rsidRPr="002B5E2E">
        <w:rPr>
          <w:rFonts w:asciiTheme="minorHAnsi" w:hAnsiTheme="minorHAnsi" w:cstheme="minorHAnsi"/>
          <w:sz w:val="22"/>
          <w:szCs w:val="22"/>
        </w:rPr>
        <w:t xml:space="preserve"> factor</w:t>
      </w:r>
      <w:r w:rsidR="00E65C6F" w:rsidRPr="002B5E2E">
        <w:rPr>
          <w:rFonts w:asciiTheme="minorHAnsi" w:hAnsiTheme="minorHAnsi" w:cstheme="minorHAnsi"/>
          <w:sz w:val="22"/>
          <w:szCs w:val="22"/>
        </w:rPr>
        <w:t xml:space="preserve"> </w:t>
      </w:r>
      <w:r w:rsidR="00A4079C" w:rsidRPr="002B5E2E">
        <w:rPr>
          <w:rFonts w:asciiTheme="minorHAnsi" w:hAnsiTheme="minorHAnsi" w:cstheme="minorHAnsi"/>
          <w:sz w:val="22"/>
          <w:szCs w:val="22"/>
        </w:rPr>
        <w:t xml:space="preserve">based </w:t>
      </w:r>
      <w:r w:rsidR="00F4392E" w:rsidRPr="002B5E2E">
        <w:rPr>
          <w:rFonts w:asciiTheme="minorHAnsi" w:hAnsiTheme="minorHAnsi" w:cstheme="minorHAnsi"/>
          <w:sz w:val="22"/>
          <w:szCs w:val="22"/>
        </w:rPr>
        <w:t xml:space="preserve">upon </w:t>
      </w:r>
      <w:r w:rsidR="00C51061" w:rsidRPr="002B5E2E">
        <w:rPr>
          <w:rFonts w:asciiTheme="minorHAnsi" w:hAnsiTheme="minorHAnsi" w:cstheme="minorHAnsi"/>
          <w:sz w:val="22"/>
          <w:szCs w:val="22"/>
        </w:rPr>
        <w:t xml:space="preserve">the </w:t>
      </w:r>
      <w:r w:rsidR="00532E1F" w:rsidRPr="002B5E2E">
        <w:rPr>
          <w:rFonts w:asciiTheme="minorHAnsi" w:hAnsiTheme="minorHAnsi" w:cstheme="minorHAnsi"/>
          <w:sz w:val="22"/>
          <w:szCs w:val="22"/>
        </w:rPr>
        <w:t xml:space="preserve">mechanical </w:t>
      </w:r>
      <w:r w:rsidR="00535C12" w:rsidRPr="002B5E2E">
        <w:rPr>
          <w:rFonts w:asciiTheme="minorHAnsi" w:hAnsiTheme="minorHAnsi" w:cstheme="minorHAnsi"/>
          <w:sz w:val="22"/>
          <w:szCs w:val="22"/>
        </w:rPr>
        <w:t xml:space="preserve">assignment of NAIC </w:t>
      </w:r>
      <w:r w:rsidR="00692FCD">
        <w:rPr>
          <w:rFonts w:asciiTheme="minorHAnsi" w:hAnsiTheme="minorHAnsi" w:cstheme="minorHAnsi"/>
          <w:sz w:val="22"/>
          <w:szCs w:val="22"/>
        </w:rPr>
        <w:t>D</w:t>
      </w:r>
      <w:r w:rsidR="00692FCD" w:rsidRPr="002B5E2E">
        <w:rPr>
          <w:rFonts w:asciiTheme="minorHAnsi" w:hAnsiTheme="minorHAnsi" w:cstheme="minorHAnsi"/>
          <w:sz w:val="22"/>
          <w:szCs w:val="22"/>
        </w:rPr>
        <w:t xml:space="preserve">esignations </w:t>
      </w:r>
      <w:r w:rsidR="000E5047" w:rsidRPr="002B5E2E">
        <w:rPr>
          <w:rFonts w:asciiTheme="minorHAnsi" w:hAnsiTheme="minorHAnsi" w:cstheme="minorHAnsi"/>
          <w:sz w:val="22"/>
          <w:szCs w:val="22"/>
        </w:rPr>
        <w:t>that rel</w:t>
      </w:r>
      <w:r w:rsidR="00F46780">
        <w:rPr>
          <w:rFonts w:asciiTheme="minorHAnsi" w:hAnsiTheme="minorHAnsi" w:cstheme="minorHAnsi"/>
          <w:sz w:val="22"/>
          <w:szCs w:val="22"/>
        </w:rPr>
        <w:t>y</w:t>
      </w:r>
      <w:r w:rsidR="000E5047" w:rsidRPr="002B5E2E">
        <w:rPr>
          <w:rFonts w:asciiTheme="minorHAnsi" w:hAnsiTheme="minorHAnsi" w:cstheme="minorHAnsi"/>
          <w:sz w:val="22"/>
          <w:szCs w:val="22"/>
        </w:rPr>
        <w:t xml:space="preserve"> u</w:t>
      </w:r>
      <w:r w:rsidR="00E60A41" w:rsidRPr="002B5E2E">
        <w:rPr>
          <w:rFonts w:asciiTheme="minorHAnsi" w:hAnsiTheme="minorHAnsi" w:cstheme="minorHAnsi"/>
          <w:sz w:val="22"/>
          <w:szCs w:val="22"/>
        </w:rPr>
        <w:t xml:space="preserve">pon </w:t>
      </w:r>
      <w:r w:rsidR="007241BE">
        <w:rPr>
          <w:rFonts w:asciiTheme="minorHAnsi" w:hAnsiTheme="minorHAnsi" w:cstheme="minorHAnsi"/>
          <w:sz w:val="22"/>
          <w:szCs w:val="22"/>
        </w:rPr>
        <w:t xml:space="preserve">Credit Rating Provider (CRP) </w:t>
      </w:r>
      <w:r w:rsidR="00E60A41" w:rsidRPr="002B5E2E">
        <w:rPr>
          <w:rFonts w:asciiTheme="minorHAnsi" w:hAnsiTheme="minorHAnsi" w:cstheme="minorHAnsi"/>
          <w:sz w:val="22"/>
          <w:szCs w:val="22"/>
        </w:rPr>
        <w:t xml:space="preserve">ratings </w:t>
      </w:r>
      <w:r w:rsidR="00535C12" w:rsidRPr="002B5E2E">
        <w:rPr>
          <w:rFonts w:asciiTheme="minorHAnsi" w:hAnsiTheme="minorHAnsi" w:cstheme="minorHAnsi"/>
          <w:sz w:val="22"/>
          <w:szCs w:val="22"/>
        </w:rPr>
        <w:t xml:space="preserve">through the </w:t>
      </w:r>
      <w:r w:rsidR="00A4079C" w:rsidRPr="002B5E2E">
        <w:rPr>
          <w:rFonts w:asciiTheme="minorHAnsi" w:hAnsiTheme="minorHAnsi" w:cstheme="minorHAnsi"/>
          <w:sz w:val="22"/>
          <w:szCs w:val="22"/>
        </w:rPr>
        <w:t xml:space="preserve">filing exempt </w:t>
      </w:r>
      <w:r w:rsidR="00532E1F" w:rsidRPr="002B5E2E">
        <w:rPr>
          <w:rFonts w:asciiTheme="minorHAnsi" w:hAnsiTheme="minorHAnsi" w:cstheme="minorHAnsi"/>
          <w:sz w:val="22"/>
          <w:szCs w:val="22"/>
        </w:rPr>
        <w:t>process</w:t>
      </w:r>
      <w:r w:rsidR="007241BE">
        <w:rPr>
          <w:rFonts w:asciiTheme="minorHAnsi" w:hAnsiTheme="minorHAnsi" w:cstheme="minorHAnsi"/>
          <w:sz w:val="22"/>
          <w:szCs w:val="22"/>
        </w:rPr>
        <w:t xml:space="preserve">. The use of CRP ratings </w:t>
      </w:r>
      <w:r w:rsidR="005E7D9B">
        <w:rPr>
          <w:rFonts w:asciiTheme="minorHAnsi" w:hAnsiTheme="minorHAnsi" w:cstheme="minorHAnsi"/>
          <w:sz w:val="22"/>
          <w:szCs w:val="22"/>
        </w:rPr>
        <w:t xml:space="preserve">would </w:t>
      </w:r>
      <w:r w:rsidR="00491F97" w:rsidRPr="002B5E2E">
        <w:rPr>
          <w:rFonts w:asciiTheme="minorHAnsi" w:hAnsiTheme="minorHAnsi" w:cstheme="minorHAnsi"/>
          <w:sz w:val="22"/>
          <w:szCs w:val="22"/>
        </w:rPr>
        <w:t xml:space="preserve">not </w:t>
      </w:r>
      <w:r w:rsidR="00F71B01">
        <w:rPr>
          <w:rFonts w:asciiTheme="minorHAnsi" w:hAnsiTheme="minorHAnsi" w:cstheme="minorHAnsi"/>
          <w:sz w:val="22"/>
          <w:szCs w:val="22"/>
        </w:rPr>
        <w:t xml:space="preserve">be </w:t>
      </w:r>
      <w:r w:rsidR="00491F97" w:rsidRPr="002B5E2E">
        <w:rPr>
          <w:rFonts w:asciiTheme="minorHAnsi" w:hAnsiTheme="minorHAnsi" w:cstheme="minorHAnsi"/>
          <w:sz w:val="22"/>
          <w:szCs w:val="22"/>
        </w:rPr>
        <w:t xml:space="preserve">permitted </w:t>
      </w:r>
      <w:r w:rsidR="000505C4" w:rsidRPr="002B5E2E">
        <w:rPr>
          <w:rFonts w:asciiTheme="minorHAnsi" w:hAnsiTheme="minorHAnsi" w:cstheme="minorHAnsi"/>
          <w:sz w:val="22"/>
          <w:szCs w:val="22"/>
        </w:rPr>
        <w:t>for</w:t>
      </w:r>
      <w:r w:rsidR="007806A1" w:rsidRPr="002B5E2E">
        <w:rPr>
          <w:rFonts w:asciiTheme="minorHAnsi" w:hAnsiTheme="minorHAnsi" w:cstheme="minorHAnsi"/>
          <w:sz w:val="22"/>
          <w:szCs w:val="22"/>
        </w:rPr>
        <w:t xml:space="preserve"> the</w:t>
      </w:r>
      <w:r w:rsidR="000505C4" w:rsidRPr="002B5E2E">
        <w:rPr>
          <w:rFonts w:asciiTheme="minorHAnsi" w:hAnsiTheme="minorHAnsi" w:cstheme="minorHAnsi"/>
          <w:sz w:val="22"/>
          <w:szCs w:val="22"/>
        </w:rPr>
        <w:t xml:space="preserve"> fund or equity investments</w:t>
      </w:r>
      <w:r w:rsidR="007806A1" w:rsidRPr="002B5E2E">
        <w:rPr>
          <w:rFonts w:asciiTheme="minorHAnsi" w:hAnsiTheme="minorHAnsi" w:cstheme="minorHAnsi"/>
          <w:sz w:val="22"/>
          <w:szCs w:val="22"/>
        </w:rPr>
        <w:t xml:space="preserve"> which underly these notes</w:t>
      </w:r>
      <w:r w:rsidR="007241BE">
        <w:rPr>
          <w:rFonts w:asciiTheme="minorHAnsi" w:hAnsiTheme="minorHAnsi" w:cstheme="minorHAnsi"/>
          <w:sz w:val="22"/>
          <w:szCs w:val="22"/>
        </w:rPr>
        <w:t xml:space="preserve"> if the equity or fund investment w</w:t>
      </w:r>
      <w:r w:rsidR="005E7D9B">
        <w:rPr>
          <w:rFonts w:asciiTheme="minorHAnsi" w:hAnsiTheme="minorHAnsi" w:cstheme="minorHAnsi"/>
          <w:sz w:val="22"/>
          <w:szCs w:val="22"/>
        </w:rPr>
        <w:t>ere</w:t>
      </w:r>
      <w:r w:rsidR="007241BE">
        <w:rPr>
          <w:rFonts w:asciiTheme="minorHAnsi" w:hAnsiTheme="minorHAnsi" w:cstheme="minorHAnsi"/>
          <w:sz w:val="22"/>
          <w:szCs w:val="22"/>
        </w:rPr>
        <w:t xml:space="preserve"> held </w:t>
      </w:r>
      <w:proofErr w:type="gramStart"/>
      <w:r w:rsidR="007241BE">
        <w:rPr>
          <w:rFonts w:asciiTheme="minorHAnsi" w:hAnsiTheme="minorHAnsi" w:cstheme="minorHAnsi"/>
          <w:sz w:val="22"/>
          <w:szCs w:val="22"/>
        </w:rPr>
        <w:t>directly</w:t>
      </w:r>
      <w:r w:rsidR="00F4392E" w:rsidRPr="002B5E2E">
        <w:rPr>
          <w:rFonts w:asciiTheme="minorHAnsi" w:hAnsiTheme="minorHAnsi" w:cstheme="minorHAnsi"/>
          <w:sz w:val="22"/>
          <w:szCs w:val="22"/>
        </w:rPr>
        <w:t>;</w:t>
      </w:r>
      <w:proofErr w:type="gramEnd"/>
      <w:r w:rsidR="00206D3C" w:rsidRPr="002B5E2E">
        <w:rPr>
          <w:rFonts w:asciiTheme="minorHAnsi" w:hAnsiTheme="minorHAnsi" w:cstheme="minorHAnsi"/>
          <w:sz w:val="22"/>
          <w:szCs w:val="22"/>
        </w:rPr>
        <w:t xml:space="preserve"> </w:t>
      </w:r>
    </w:p>
    <w:p w14:paraId="112E3F54" w14:textId="6746D9C7" w:rsidR="000505C4" w:rsidRPr="002B5E2E" w:rsidRDefault="009A778B" w:rsidP="00022037">
      <w:pPr>
        <w:pStyle w:val="ListParagraph"/>
        <w:numPr>
          <w:ilvl w:val="0"/>
          <w:numId w:val="27"/>
        </w:numPr>
        <w:spacing w:line="240" w:lineRule="auto"/>
        <w:rPr>
          <w:rFonts w:cstheme="minorHAnsi"/>
        </w:rPr>
      </w:pPr>
      <w:r w:rsidRPr="00B64C28">
        <w:rPr>
          <w:rFonts w:asciiTheme="minorHAnsi" w:hAnsiTheme="minorHAnsi" w:cstheme="minorHAnsi"/>
          <w:sz w:val="22"/>
          <w:szCs w:val="22"/>
          <w:u w:val="single"/>
        </w:rPr>
        <w:t xml:space="preserve">RBC </w:t>
      </w:r>
      <w:r w:rsidR="007241BE">
        <w:rPr>
          <w:rFonts w:asciiTheme="minorHAnsi" w:hAnsiTheme="minorHAnsi" w:cstheme="minorHAnsi"/>
          <w:sz w:val="22"/>
          <w:szCs w:val="22"/>
          <w:u w:val="single"/>
        </w:rPr>
        <w:t xml:space="preserve">/ Investment Limit </w:t>
      </w:r>
      <w:r w:rsidRPr="00B64C28">
        <w:rPr>
          <w:rFonts w:asciiTheme="minorHAnsi" w:hAnsiTheme="minorHAnsi" w:cstheme="minorHAnsi"/>
          <w:sz w:val="22"/>
          <w:szCs w:val="22"/>
          <w:u w:val="single"/>
        </w:rPr>
        <w:t>Arbitrage</w:t>
      </w:r>
      <w:r>
        <w:rPr>
          <w:rFonts w:asciiTheme="minorHAnsi" w:hAnsiTheme="minorHAnsi" w:cstheme="minorHAnsi"/>
          <w:sz w:val="22"/>
          <w:szCs w:val="22"/>
        </w:rPr>
        <w:t xml:space="preserve"> - </w:t>
      </w:r>
      <w:r w:rsidR="000505C4" w:rsidRPr="002B5E2E">
        <w:rPr>
          <w:rFonts w:asciiTheme="minorHAnsi" w:hAnsiTheme="minorHAnsi" w:cstheme="minorHAnsi"/>
          <w:sz w:val="22"/>
          <w:szCs w:val="22"/>
        </w:rPr>
        <w:t xml:space="preserve">The </w:t>
      </w:r>
      <w:r w:rsidR="00986CA7" w:rsidRPr="002B5E2E">
        <w:rPr>
          <w:rFonts w:asciiTheme="minorHAnsi" w:hAnsiTheme="minorHAnsi" w:cstheme="minorHAnsi"/>
          <w:sz w:val="22"/>
          <w:szCs w:val="22"/>
        </w:rPr>
        <w:t xml:space="preserve">structure </w:t>
      </w:r>
      <w:r w:rsidR="00C23733">
        <w:rPr>
          <w:rFonts w:asciiTheme="minorHAnsi" w:hAnsiTheme="minorHAnsi" w:cstheme="minorHAnsi"/>
          <w:sz w:val="22"/>
          <w:szCs w:val="22"/>
        </w:rPr>
        <w:t>may permit</w:t>
      </w:r>
      <w:r w:rsidR="00C23733" w:rsidRPr="002B5E2E">
        <w:rPr>
          <w:rFonts w:asciiTheme="minorHAnsi" w:hAnsiTheme="minorHAnsi" w:cstheme="minorHAnsi"/>
          <w:sz w:val="22"/>
          <w:szCs w:val="22"/>
        </w:rPr>
        <w:t xml:space="preserve"> </w:t>
      </w:r>
      <w:r w:rsidR="007241BE">
        <w:rPr>
          <w:rFonts w:asciiTheme="minorHAnsi" w:hAnsiTheme="minorHAnsi" w:cstheme="minorHAnsi"/>
          <w:sz w:val="22"/>
          <w:szCs w:val="22"/>
        </w:rPr>
        <w:t xml:space="preserve">in-substance equity and fund investments to obtain improved RBC </w:t>
      </w:r>
      <w:r w:rsidR="00C14FF7">
        <w:rPr>
          <w:rFonts w:asciiTheme="minorHAnsi" w:hAnsiTheme="minorHAnsi" w:cstheme="minorHAnsi"/>
          <w:sz w:val="22"/>
          <w:szCs w:val="22"/>
        </w:rPr>
        <w:t xml:space="preserve">treatment </w:t>
      </w:r>
      <w:r w:rsidR="007241BE">
        <w:rPr>
          <w:rFonts w:asciiTheme="minorHAnsi" w:hAnsiTheme="minorHAnsi" w:cstheme="minorHAnsi"/>
          <w:sz w:val="22"/>
          <w:szCs w:val="22"/>
        </w:rPr>
        <w:t xml:space="preserve">than what would be received if the investment had been directly reported. </w:t>
      </w:r>
      <w:r w:rsidR="00297A3E">
        <w:rPr>
          <w:rFonts w:asciiTheme="minorHAnsi" w:hAnsiTheme="minorHAnsi" w:cstheme="minorHAnsi"/>
          <w:sz w:val="22"/>
          <w:szCs w:val="22"/>
        </w:rPr>
        <w:t xml:space="preserve"> </w:t>
      </w:r>
      <w:r w:rsidR="007241BE">
        <w:rPr>
          <w:rFonts w:asciiTheme="minorHAnsi" w:hAnsiTheme="minorHAnsi" w:cstheme="minorHAnsi"/>
          <w:sz w:val="22"/>
          <w:szCs w:val="22"/>
        </w:rPr>
        <w:t xml:space="preserve">In addition to </w:t>
      </w:r>
      <w:r w:rsidR="00DD08B7">
        <w:rPr>
          <w:rFonts w:asciiTheme="minorHAnsi" w:hAnsiTheme="minorHAnsi" w:cstheme="minorHAnsi"/>
          <w:sz w:val="22"/>
          <w:szCs w:val="22"/>
        </w:rPr>
        <w:t xml:space="preserve">improved </w:t>
      </w:r>
      <w:r w:rsidR="007241BE">
        <w:rPr>
          <w:rFonts w:asciiTheme="minorHAnsi" w:hAnsiTheme="minorHAnsi" w:cstheme="minorHAnsi"/>
          <w:sz w:val="22"/>
          <w:szCs w:val="22"/>
        </w:rPr>
        <w:t>RBC</w:t>
      </w:r>
      <w:r w:rsidR="00DD08B7">
        <w:rPr>
          <w:rFonts w:asciiTheme="minorHAnsi" w:hAnsiTheme="minorHAnsi" w:cstheme="minorHAnsi"/>
          <w:sz w:val="22"/>
          <w:szCs w:val="22"/>
        </w:rPr>
        <w:t xml:space="preserve"> treatment</w:t>
      </w:r>
      <w:r w:rsidR="007241BE">
        <w:rPr>
          <w:rFonts w:asciiTheme="minorHAnsi" w:hAnsiTheme="minorHAnsi" w:cstheme="minorHAnsi"/>
          <w:sz w:val="22"/>
          <w:szCs w:val="22"/>
        </w:rPr>
        <w:t>, the structures could permit entities to hold more underlying equity / fund investments tha</w:t>
      </w:r>
      <w:r w:rsidR="004A31C7">
        <w:rPr>
          <w:rFonts w:asciiTheme="minorHAnsi" w:hAnsiTheme="minorHAnsi" w:cstheme="minorHAnsi"/>
          <w:sz w:val="22"/>
          <w:szCs w:val="22"/>
        </w:rPr>
        <w:t>n</w:t>
      </w:r>
      <w:r w:rsidR="007241BE">
        <w:rPr>
          <w:rFonts w:asciiTheme="minorHAnsi" w:hAnsiTheme="minorHAnsi" w:cstheme="minorHAnsi"/>
          <w:sz w:val="22"/>
          <w:szCs w:val="22"/>
        </w:rPr>
        <w:t xml:space="preserve"> what would be permitted under state investment law</w:t>
      </w:r>
      <w:r w:rsidR="00F4392E" w:rsidRPr="002B5E2E">
        <w:rPr>
          <w:rFonts w:asciiTheme="minorHAnsi" w:hAnsiTheme="minorHAnsi" w:cstheme="minorHAnsi"/>
          <w:sz w:val="22"/>
          <w:szCs w:val="22"/>
        </w:rPr>
        <w:t>;</w:t>
      </w:r>
      <w:r w:rsidR="000505C4" w:rsidRPr="002B5E2E">
        <w:rPr>
          <w:rFonts w:asciiTheme="minorHAnsi" w:hAnsiTheme="minorHAnsi" w:cstheme="minorHAnsi"/>
          <w:sz w:val="22"/>
          <w:szCs w:val="22"/>
        </w:rPr>
        <w:t xml:space="preserve"> and</w:t>
      </w:r>
      <w:r w:rsidR="00AC562E" w:rsidRPr="002B5E2E">
        <w:rPr>
          <w:rFonts w:asciiTheme="minorHAnsi" w:hAnsiTheme="minorHAnsi" w:cstheme="minorHAnsi"/>
          <w:sz w:val="22"/>
          <w:szCs w:val="22"/>
        </w:rPr>
        <w:t xml:space="preserve"> </w:t>
      </w:r>
    </w:p>
    <w:p w14:paraId="29D36B72" w14:textId="6C791413" w:rsidR="00514CF3" w:rsidRDefault="009A778B" w:rsidP="00514CF3">
      <w:pPr>
        <w:pStyle w:val="ListParagraph"/>
        <w:numPr>
          <w:ilvl w:val="0"/>
          <w:numId w:val="27"/>
        </w:numPr>
        <w:spacing w:line="240" w:lineRule="auto"/>
        <w:rPr>
          <w:rFonts w:cstheme="minorHAnsi"/>
        </w:rPr>
      </w:pPr>
      <w:r w:rsidRPr="00B64C28">
        <w:rPr>
          <w:rFonts w:asciiTheme="minorHAnsi" w:hAnsiTheme="minorHAnsi" w:cstheme="minorHAnsi"/>
          <w:sz w:val="22"/>
          <w:szCs w:val="22"/>
          <w:u w:val="single"/>
        </w:rPr>
        <w:lastRenderedPageBreak/>
        <w:t>Transparency</w:t>
      </w:r>
      <w:r>
        <w:rPr>
          <w:rFonts w:asciiTheme="minorHAnsi" w:hAnsiTheme="minorHAnsi" w:cstheme="minorHAnsi"/>
          <w:sz w:val="22"/>
          <w:szCs w:val="22"/>
        </w:rPr>
        <w:t xml:space="preserve"> - </w:t>
      </w:r>
      <w:r w:rsidR="000505C4" w:rsidRPr="002B5E2E">
        <w:rPr>
          <w:rFonts w:asciiTheme="minorHAnsi" w:hAnsiTheme="minorHAnsi" w:cstheme="minorHAnsi"/>
          <w:sz w:val="22"/>
          <w:szCs w:val="22"/>
        </w:rPr>
        <w:t xml:space="preserve">The </w:t>
      </w:r>
      <w:r w:rsidR="00B23DB7" w:rsidRPr="002B5E2E">
        <w:rPr>
          <w:rFonts w:asciiTheme="minorHAnsi" w:hAnsiTheme="minorHAnsi" w:cstheme="minorHAnsi"/>
          <w:sz w:val="22"/>
          <w:szCs w:val="22"/>
        </w:rPr>
        <w:t>structure</w:t>
      </w:r>
      <w:r w:rsidR="003F69F0">
        <w:rPr>
          <w:rFonts w:asciiTheme="minorHAnsi" w:hAnsiTheme="minorHAnsi" w:cstheme="minorHAnsi"/>
          <w:sz w:val="22"/>
          <w:szCs w:val="22"/>
        </w:rPr>
        <w:t>s</w:t>
      </w:r>
      <w:r w:rsidR="009A6494">
        <w:rPr>
          <w:rFonts w:asciiTheme="minorHAnsi" w:hAnsiTheme="minorHAnsi" w:cstheme="minorHAnsi"/>
          <w:sz w:val="22"/>
          <w:szCs w:val="22"/>
        </w:rPr>
        <w:t xml:space="preserve"> </w:t>
      </w:r>
      <w:r w:rsidR="00532F0B">
        <w:rPr>
          <w:rFonts w:asciiTheme="minorHAnsi" w:hAnsiTheme="minorHAnsi" w:cstheme="minorHAnsi"/>
          <w:sz w:val="22"/>
          <w:szCs w:val="22"/>
        </w:rPr>
        <w:t xml:space="preserve">typically </w:t>
      </w:r>
      <w:r w:rsidR="009A6494">
        <w:rPr>
          <w:rFonts w:asciiTheme="minorHAnsi" w:hAnsiTheme="minorHAnsi" w:cstheme="minorHAnsi"/>
          <w:sz w:val="22"/>
          <w:szCs w:val="22"/>
        </w:rPr>
        <w:t>use</w:t>
      </w:r>
      <w:r w:rsidR="009625A8">
        <w:rPr>
          <w:rFonts w:asciiTheme="minorHAnsi" w:hAnsiTheme="minorHAnsi" w:cstheme="minorHAnsi"/>
          <w:sz w:val="22"/>
          <w:szCs w:val="22"/>
        </w:rPr>
        <w:t xml:space="preserve"> </w:t>
      </w:r>
      <w:r w:rsidR="003F1D9B">
        <w:rPr>
          <w:rFonts w:asciiTheme="minorHAnsi" w:hAnsiTheme="minorHAnsi" w:cstheme="minorHAnsi"/>
          <w:sz w:val="22"/>
          <w:szCs w:val="22"/>
        </w:rPr>
        <w:t>two or more</w:t>
      </w:r>
      <w:r w:rsidR="006A256D">
        <w:rPr>
          <w:rFonts w:asciiTheme="minorHAnsi" w:hAnsiTheme="minorHAnsi" w:cstheme="minorHAnsi"/>
          <w:sz w:val="22"/>
          <w:szCs w:val="22"/>
        </w:rPr>
        <w:t xml:space="preserve"> </w:t>
      </w:r>
      <w:r w:rsidR="00BC74CC">
        <w:rPr>
          <w:rFonts w:asciiTheme="minorHAnsi" w:hAnsiTheme="minorHAnsi" w:cstheme="minorHAnsi"/>
          <w:sz w:val="22"/>
          <w:szCs w:val="22"/>
        </w:rPr>
        <w:t xml:space="preserve">interconnected </w:t>
      </w:r>
      <w:r w:rsidR="00FE1F68">
        <w:rPr>
          <w:rFonts w:asciiTheme="minorHAnsi" w:hAnsiTheme="minorHAnsi" w:cstheme="minorHAnsi"/>
          <w:sz w:val="22"/>
          <w:szCs w:val="22"/>
        </w:rPr>
        <w:t>non-public</w:t>
      </w:r>
      <w:r w:rsidR="00620CA9">
        <w:rPr>
          <w:rFonts w:asciiTheme="minorHAnsi" w:hAnsiTheme="minorHAnsi" w:cstheme="minorHAnsi"/>
          <w:sz w:val="22"/>
          <w:szCs w:val="22"/>
        </w:rPr>
        <w:t xml:space="preserve"> </w:t>
      </w:r>
      <w:r w:rsidR="008C4A2E">
        <w:rPr>
          <w:rFonts w:asciiTheme="minorHAnsi" w:hAnsiTheme="minorHAnsi" w:cstheme="minorHAnsi"/>
          <w:sz w:val="22"/>
          <w:szCs w:val="22"/>
        </w:rPr>
        <w:t xml:space="preserve">private </w:t>
      </w:r>
      <w:r w:rsidR="00620CA9">
        <w:rPr>
          <w:rFonts w:asciiTheme="minorHAnsi" w:hAnsiTheme="minorHAnsi" w:cstheme="minorHAnsi"/>
          <w:sz w:val="22"/>
          <w:szCs w:val="22"/>
        </w:rPr>
        <w:t>entities</w:t>
      </w:r>
      <w:r w:rsidR="00FE1F68">
        <w:rPr>
          <w:rFonts w:asciiTheme="minorHAnsi" w:hAnsiTheme="minorHAnsi" w:cstheme="minorHAnsi"/>
          <w:sz w:val="22"/>
          <w:szCs w:val="22"/>
        </w:rPr>
        <w:t xml:space="preserve"> </w:t>
      </w:r>
      <w:r w:rsidR="001053A6">
        <w:rPr>
          <w:rFonts w:asciiTheme="minorHAnsi" w:hAnsiTheme="minorHAnsi" w:cstheme="minorHAnsi"/>
          <w:sz w:val="22"/>
          <w:szCs w:val="22"/>
        </w:rPr>
        <w:t xml:space="preserve">through which </w:t>
      </w:r>
      <w:r w:rsidR="004E42F5">
        <w:rPr>
          <w:rFonts w:asciiTheme="minorHAnsi" w:hAnsiTheme="minorHAnsi" w:cstheme="minorHAnsi"/>
          <w:sz w:val="22"/>
          <w:szCs w:val="22"/>
        </w:rPr>
        <w:t>the</w:t>
      </w:r>
      <w:r w:rsidR="001053A6">
        <w:rPr>
          <w:rFonts w:asciiTheme="minorHAnsi" w:hAnsiTheme="minorHAnsi" w:cstheme="minorHAnsi"/>
          <w:sz w:val="22"/>
          <w:szCs w:val="22"/>
        </w:rPr>
        <w:t xml:space="preserve"> </w:t>
      </w:r>
      <w:r w:rsidR="001D7A47">
        <w:rPr>
          <w:rFonts w:asciiTheme="minorHAnsi" w:hAnsiTheme="minorHAnsi" w:cstheme="minorHAnsi"/>
          <w:sz w:val="22"/>
          <w:szCs w:val="22"/>
        </w:rPr>
        <w:t>non-public</w:t>
      </w:r>
      <w:r w:rsidR="00EB4301">
        <w:rPr>
          <w:rFonts w:asciiTheme="minorHAnsi" w:hAnsiTheme="minorHAnsi" w:cstheme="minorHAnsi"/>
          <w:sz w:val="22"/>
          <w:szCs w:val="22"/>
        </w:rPr>
        <w:t xml:space="preserve"> and</w:t>
      </w:r>
      <w:r w:rsidR="008D6087">
        <w:rPr>
          <w:rFonts w:asciiTheme="minorHAnsi" w:hAnsiTheme="minorHAnsi" w:cstheme="minorHAnsi"/>
          <w:sz w:val="22"/>
          <w:szCs w:val="22"/>
        </w:rPr>
        <w:t xml:space="preserve"> privately rated</w:t>
      </w:r>
      <w:r w:rsidR="001D7A47">
        <w:rPr>
          <w:rFonts w:asciiTheme="minorHAnsi" w:hAnsiTheme="minorHAnsi" w:cstheme="minorHAnsi"/>
          <w:sz w:val="22"/>
          <w:szCs w:val="22"/>
        </w:rPr>
        <w:t xml:space="preserve"> </w:t>
      </w:r>
      <w:r w:rsidR="00F56B4B">
        <w:rPr>
          <w:rFonts w:asciiTheme="minorHAnsi" w:hAnsiTheme="minorHAnsi" w:cstheme="minorHAnsi"/>
          <w:sz w:val="22"/>
          <w:szCs w:val="22"/>
        </w:rPr>
        <w:t xml:space="preserve">“bond” </w:t>
      </w:r>
      <w:r w:rsidR="00FE1F68">
        <w:rPr>
          <w:rFonts w:asciiTheme="minorHAnsi" w:hAnsiTheme="minorHAnsi" w:cstheme="minorHAnsi"/>
          <w:sz w:val="22"/>
          <w:szCs w:val="22"/>
        </w:rPr>
        <w:t>securities</w:t>
      </w:r>
      <w:r w:rsidR="004F7AA3">
        <w:rPr>
          <w:rFonts w:asciiTheme="minorHAnsi" w:hAnsiTheme="minorHAnsi" w:cstheme="minorHAnsi"/>
          <w:sz w:val="22"/>
          <w:szCs w:val="22"/>
        </w:rPr>
        <w:t xml:space="preserve"> </w:t>
      </w:r>
      <w:r w:rsidR="009A1A95">
        <w:rPr>
          <w:rFonts w:asciiTheme="minorHAnsi" w:hAnsiTheme="minorHAnsi" w:cstheme="minorHAnsi"/>
          <w:sz w:val="22"/>
          <w:szCs w:val="22"/>
        </w:rPr>
        <w:t xml:space="preserve">are issued </w:t>
      </w:r>
      <w:r w:rsidR="001D7A47">
        <w:rPr>
          <w:rFonts w:asciiTheme="minorHAnsi" w:hAnsiTheme="minorHAnsi" w:cstheme="minorHAnsi"/>
          <w:sz w:val="22"/>
          <w:szCs w:val="22"/>
        </w:rPr>
        <w:t>that are backed by</w:t>
      </w:r>
      <w:r w:rsidR="008C4A2E">
        <w:rPr>
          <w:rFonts w:asciiTheme="minorHAnsi" w:hAnsiTheme="minorHAnsi" w:cstheme="minorHAnsi"/>
          <w:sz w:val="22"/>
          <w:szCs w:val="22"/>
        </w:rPr>
        <w:t xml:space="preserve"> </w:t>
      </w:r>
      <w:r w:rsidR="008934E3">
        <w:rPr>
          <w:rFonts w:asciiTheme="minorHAnsi" w:hAnsiTheme="minorHAnsi" w:cstheme="minorHAnsi"/>
          <w:sz w:val="22"/>
          <w:szCs w:val="22"/>
        </w:rPr>
        <w:t>invest</w:t>
      </w:r>
      <w:r w:rsidR="006A256D">
        <w:rPr>
          <w:rFonts w:asciiTheme="minorHAnsi" w:hAnsiTheme="minorHAnsi" w:cstheme="minorHAnsi"/>
          <w:sz w:val="22"/>
          <w:szCs w:val="22"/>
        </w:rPr>
        <w:t xml:space="preserve">ments </w:t>
      </w:r>
      <w:r w:rsidR="00C331E2">
        <w:rPr>
          <w:rFonts w:asciiTheme="minorHAnsi" w:hAnsiTheme="minorHAnsi" w:cstheme="minorHAnsi"/>
          <w:sz w:val="22"/>
          <w:szCs w:val="22"/>
        </w:rPr>
        <w:t xml:space="preserve">in non-public </w:t>
      </w:r>
      <w:r w:rsidR="006A256D">
        <w:rPr>
          <w:rFonts w:asciiTheme="minorHAnsi" w:hAnsiTheme="minorHAnsi" w:cstheme="minorHAnsi"/>
          <w:sz w:val="22"/>
          <w:szCs w:val="22"/>
        </w:rPr>
        <w:t>assets</w:t>
      </w:r>
      <w:r w:rsidR="00AB770D">
        <w:rPr>
          <w:rFonts w:asciiTheme="minorHAnsi" w:hAnsiTheme="minorHAnsi" w:cstheme="minorHAnsi"/>
          <w:sz w:val="22"/>
          <w:szCs w:val="22"/>
        </w:rPr>
        <w:t xml:space="preserve">.  The many non-public </w:t>
      </w:r>
      <w:r w:rsidR="00BC74CC">
        <w:rPr>
          <w:rFonts w:asciiTheme="minorHAnsi" w:hAnsiTheme="minorHAnsi" w:cstheme="minorHAnsi"/>
          <w:sz w:val="22"/>
          <w:szCs w:val="22"/>
        </w:rPr>
        <w:t xml:space="preserve">private </w:t>
      </w:r>
      <w:r w:rsidR="00AB770D">
        <w:rPr>
          <w:rFonts w:asciiTheme="minorHAnsi" w:hAnsiTheme="minorHAnsi" w:cstheme="minorHAnsi"/>
          <w:sz w:val="22"/>
          <w:szCs w:val="22"/>
        </w:rPr>
        <w:t>layers</w:t>
      </w:r>
      <w:r w:rsidR="00C331E2">
        <w:rPr>
          <w:rFonts w:asciiTheme="minorHAnsi" w:hAnsiTheme="minorHAnsi" w:cstheme="minorHAnsi"/>
          <w:sz w:val="22"/>
          <w:szCs w:val="22"/>
        </w:rPr>
        <w:t xml:space="preserve"> </w:t>
      </w:r>
      <w:r w:rsidR="00732227" w:rsidRPr="002B5E2E">
        <w:rPr>
          <w:rFonts w:asciiTheme="minorHAnsi" w:hAnsiTheme="minorHAnsi" w:cstheme="minorHAnsi"/>
          <w:sz w:val="22"/>
          <w:szCs w:val="22"/>
        </w:rPr>
        <w:t>den</w:t>
      </w:r>
      <w:r w:rsidR="00EB744E">
        <w:rPr>
          <w:rFonts w:asciiTheme="minorHAnsi" w:hAnsiTheme="minorHAnsi" w:cstheme="minorHAnsi"/>
          <w:sz w:val="22"/>
          <w:szCs w:val="22"/>
        </w:rPr>
        <w:t>y</w:t>
      </w:r>
      <w:r w:rsidR="00732227" w:rsidRPr="002B5E2E">
        <w:rPr>
          <w:rFonts w:asciiTheme="minorHAnsi" w:hAnsiTheme="minorHAnsi" w:cstheme="minorHAnsi"/>
          <w:sz w:val="22"/>
          <w:szCs w:val="22"/>
        </w:rPr>
        <w:t xml:space="preserve"> regulators</w:t>
      </w:r>
      <w:r w:rsidR="00BD1B25">
        <w:rPr>
          <w:rFonts w:asciiTheme="minorHAnsi" w:hAnsiTheme="minorHAnsi" w:cstheme="minorHAnsi"/>
          <w:sz w:val="22"/>
          <w:szCs w:val="22"/>
        </w:rPr>
        <w:t xml:space="preserve">, and possibly insurer investors, </w:t>
      </w:r>
      <w:r w:rsidR="00B41214" w:rsidRPr="002B5E2E">
        <w:rPr>
          <w:rFonts w:asciiTheme="minorHAnsi" w:hAnsiTheme="minorHAnsi" w:cstheme="minorHAnsi"/>
          <w:sz w:val="22"/>
          <w:szCs w:val="22"/>
        </w:rPr>
        <w:t xml:space="preserve">transparency </w:t>
      </w:r>
      <w:r w:rsidR="00AA4410" w:rsidRPr="002B5E2E">
        <w:rPr>
          <w:rFonts w:asciiTheme="minorHAnsi" w:hAnsiTheme="minorHAnsi" w:cstheme="minorHAnsi"/>
          <w:sz w:val="22"/>
          <w:szCs w:val="22"/>
        </w:rPr>
        <w:t xml:space="preserve">into </w:t>
      </w:r>
      <w:r w:rsidR="00B41214" w:rsidRPr="002B5E2E">
        <w:rPr>
          <w:rFonts w:asciiTheme="minorHAnsi" w:hAnsiTheme="minorHAnsi" w:cstheme="minorHAnsi"/>
          <w:sz w:val="22"/>
          <w:szCs w:val="22"/>
        </w:rPr>
        <w:t>the</w:t>
      </w:r>
      <w:r w:rsidR="008D2464" w:rsidRPr="002B5E2E">
        <w:rPr>
          <w:rFonts w:asciiTheme="minorHAnsi" w:hAnsiTheme="minorHAnsi" w:cstheme="minorHAnsi"/>
          <w:sz w:val="22"/>
          <w:szCs w:val="22"/>
        </w:rPr>
        <w:t xml:space="preserve"> </w:t>
      </w:r>
      <w:r w:rsidR="002376B6" w:rsidRPr="002B5E2E">
        <w:rPr>
          <w:rFonts w:asciiTheme="minorHAnsi" w:hAnsiTheme="minorHAnsi" w:cstheme="minorHAnsi"/>
          <w:sz w:val="22"/>
          <w:szCs w:val="22"/>
        </w:rPr>
        <w:t xml:space="preserve">true </w:t>
      </w:r>
      <w:r w:rsidR="004D3BB2">
        <w:rPr>
          <w:rFonts w:asciiTheme="minorHAnsi" w:hAnsiTheme="minorHAnsi" w:cstheme="minorHAnsi"/>
          <w:sz w:val="22"/>
          <w:szCs w:val="22"/>
        </w:rPr>
        <w:t xml:space="preserve">underlying </w:t>
      </w:r>
      <w:r w:rsidR="007806A1" w:rsidRPr="002B5E2E">
        <w:rPr>
          <w:rFonts w:asciiTheme="minorHAnsi" w:hAnsiTheme="minorHAnsi" w:cstheme="minorHAnsi"/>
          <w:sz w:val="22"/>
          <w:szCs w:val="22"/>
        </w:rPr>
        <w:t>risks</w:t>
      </w:r>
      <w:r w:rsidR="00A112B1">
        <w:rPr>
          <w:rFonts w:asciiTheme="minorHAnsi" w:hAnsiTheme="minorHAnsi" w:cstheme="minorHAnsi"/>
          <w:sz w:val="22"/>
          <w:szCs w:val="22"/>
        </w:rPr>
        <w:t>, credit exposure</w:t>
      </w:r>
      <w:r w:rsidR="007806A1" w:rsidRPr="002B5E2E">
        <w:rPr>
          <w:rFonts w:asciiTheme="minorHAnsi" w:hAnsiTheme="minorHAnsi" w:cstheme="minorHAnsi"/>
          <w:sz w:val="22"/>
          <w:szCs w:val="22"/>
        </w:rPr>
        <w:t xml:space="preserve"> </w:t>
      </w:r>
      <w:r w:rsidR="00A902E0">
        <w:rPr>
          <w:rFonts w:asciiTheme="minorHAnsi" w:hAnsiTheme="minorHAnsi" w:cstheme="minorHAnsi"/>
          <w:sz w:val="22"/>
          <w:szCs w:val="22"/>
        </w:rPr>
        <w:t xml:space="preserve">and nature </w:t>
      </w:r>
      <w:r w:rsidR="008D2464" w:rsidRPr="002B5E2E">
        <w:rPr>
          <w:rFonts w:asciiTheme="minorHAnsi" w:hAnsiTheme="minorHAnsi" w:cstheme="minorHAnsi"/>
          <w:sz w:val="22"/>
          <w:szCs w:val="22"/>
        </w:rPr>
        <w:t>of the</w:t>
      </w:r>
      <w:r w:rsidR="00CF51BF" w:rsidRPr="002B5E2E">
        <w:rPr>
          <w:rFonts w:asciiTheme="minorHAnsi" w:hAnsiTheme="minorHAnsi" w:cstheme="minorHAnsi"/>
          <w:sz w:val="22"/>
          <w:szCs w:val="22"/>
        </w:rPr>
        <w:t xml:space="preserve"> investment</w:t>
      </w:r>
      <w:r w:rsidR="00153A54">
        <w:rPr>
          <w:rFonts w:asciiTheme="minorHAnsi" w:hAnsiTheme="minorHAnsi" w:cstheme="minorHAnsi"/>
          <w:sz w:val="22"/>
          <w:szCs w:val="22"/>
        </w:rPr>
        <w:t>. T</w:t>
      </w:r>
      <w:r w:rsidR="00466DB4">
        <w:rPr>
          <w:rFonts w:asciiTheme="minorHAnsi" w:hAnsiTheme="minorHAnsi" w:cstheme="minorHAnsi"/>
          <w:sz w:val="22"/>
          <w:szCs w:val="22"/>
        </w:rPr>
        <w:t xml:space="preserve">he </w:t>
      </w:r>
      <w:r w:rsidR="00E724F6">
        <w:rPr>
          <w:rFonts w:asciiTheme="minorHAnsi" w:hAnsiTheme="minorHAnsi" w:cstheme="minorHAnsi"/>
          <w:sz w:val="22"/>
          <w:szCs w:val="22"/>
        </w:rPr>
        <w:t>notes</w:t>
      </w:r>
      <w:r w:rsidR="00D27776">
        <w:rPr>
          <w:rFonts w:asciiTheme="minorHAnsi" w:hAnsiTheme="minorHAnsi" w:cstheme="minorHAnsi"/>
          <w:sz w:val="22"/>
          <w:szCs w:val="22"/>
        </w:rPr>
        <w:t xml:space="preserve"> </w:t>
      </w:r>
      <w:r w:rsidR="00E7537F">
        <w:rPr>
          <w:rFonts w:asciiTheme="minorHAnsi" w:hAnsiTheme="minorHAnsi" w:cstheme="minorHAnsi"/>
          <w:sz w:val="22"/>
          <w:szCs w:val="22"/>
        </w:rPr>
        <w:t xml:space="preserve">issued </w:t>
      </w:r>
      <w:r w:rsidR="007C096F">
        <w:rPr>
          <w:rFonts w:asciiTheme="minorHAnsi" w:hAnsiTheme="minorHAnsi" w:cstheme="minorHAnsi"/>
          <w:sz w:val="22"/>
          <w:szCs w:val="22"/>
        </w:rPr>
        <w:t xml:space="preserve">are </w:t>
      </w:r>
      <w:r w:rsidR="00BF27F8" w:rsidRPr="002B5E2E">
        <w:rPr>
          <w:rFonts w:asciiTheme="minorHAnsi" w:hAnsiTheme="minorHAnsi" w:cstheme="minorHAnsi"/>
          <w:sz w:val="22"/>
          <w:szCs w:val="22"/>
        </w:rPr>
        <w:t>described</w:t>
      </w:r>
      <w:r w:rsidR="00D27776">
        <w:rPr>
          <w:rFonts w:asciiTheme="minorHAnsi" w:hAnsiTheme="minorHAnsi" w:cstheme="minorHAnsi"/>
          <w:sz w:val="22"/>
          <w:szCs w:val="22"/>
        </w:rPr>
        <w:t xml:space="preserve"> </w:t>
      </w:r>
      <w:r w:rsidR="003206B7">
        <w:rPr>
          <w:rFonts w:asciiTheme="minorHAnsi" w:hAnsiTheme="minorHAnsi" w:cstheme="minorHAnsi"/>
          <w:sz w:val="22"/>
          <w:szCs w:val="22"/>
        </w:rPr>
        <w:t>generically</w:t>
      </w:r>
      <w:r w:rsidR="007C096F">
        <w:rPr>
          <w:rFonts w:asciiTheme="minorHAnsi" w:hAnsiTheme="minorHAnsi" w:cstheme="minorHAnsi"/>
          <w:sz w:val="22"/>
          <w:szCs w:val="22"/>
        </w:rPr>
        <w:t xml:space="preserve"> as</w:t>
      </w:r>
      <w:r w:rsidR="00BF27F8" w:rsidRPr="002B5E2E">
        <w:rPr>
          <w:rFonts w:asciiTheme="minorHAnsi" w:hAnsiTheme="minorHAnsi" w:cstheme="minorHAnsi"/>
          <w:sz w:val="22"/>
          <w:szCs w:val="22"/>
        </w:rPr>
        <w:t xml:space="preserve"> a “senior note”</w:t>
      </w:r>
      <w:r w:rsidR="00F4392E" w:rsidRPr="002B5E2E">
        <w:rPr>
          <w:rFonts w:asciiTheme="minorHAnsi" w:hAnsiTheme="minorHAnsi" w:cstheme="minorHAnsi"/>
          <w:sz w:val="22"/>
          <w:szCs w:val="22"/>
        </w:rPr>
        <w:t xml:space="preserve"> or “term loan”</w:t>
      </w:r>
      <w:r w:rsidR="00ED2396">
        <w:rPr>
          <w:rFonts w:asciiTheme="minorHAnsi" w:hAnsiTheme="minorHAnsi" w:cstheme="minorHAnsi"/>
          <w:sz w:val="22"/>
          <w:szCs w:val="22"/>
        </w:rPr>
        <w:t xml:space="preserve"> </w:t>
      </w:r>
      <w:r w:rsidR="003D2F93">
        <w:rPr>
          <w:rFonts w:asciiTheme="minorHAnsi" w:hAnsiTheme="minorHAnsi" w:cstheme="minorHAnsi"/>
          <w:sz w:val="22"/>
          <w:szCs w:val="22"/>
        </w:rPr>
        <w:t xml:space="preserve">further </w:t>
      </w:r>
      <w:r w:rsidR="00ED2396">
        <w:rPr>
          <w:rFonts w:asciiTheme="minorHAnsi" w:hAnsiTheme="minorHAnsi" w:cstheme="minorHAnsi"/>
          <w:sz w:val="22"/>
          <w:szCs w:val="22"/>
        </w:rPr>
        <w:t>obscur</w:t>
      </w:r>
      <w:r w:rsidR="006A0468">
        <w:rPr>
          <w:rFonts w:asciiTheme="minorHAnsi" w:hAnsiTheme="minorHAnsi" w:cstheme="minorHAnsi"/>
          <w:sz w:val="22"/>
          <w:szCs w:val="22"/>
        </w:rPr>
        <w:t>ing their</w:t>
      </w:r>
      <w:r w:rsidR="00856A25">
        <w:rPr>
          <w:rFonts w:asciiTheme="minorHAnsi" w:hAnsiTheme="minorHAnsi" w:cstheme="minorHAnsi"/>
          <w:sz w:val="22"/>
          <w:szCs w:val="22"/>
        </w:rPr>
        <w:t xml:space="preserve"> </w:t>
      </w:r>
      <w:r w:rsidR="00FC5769">
        <w:rPr>
          <w:rFonts w:asciiTheme="minorHAnsi" w:hAnsiTheme="minorHAnsi" w:cstheme="minorHAnsi"/>
          <w:sz w:val="22"/>
          <w:szCs w:val="22"/>
        </w:rPr>
        <w:t xml:space="preserve">actual </w:t>
      </w:r>
      <w:r w:rsidR="004B754A">
        <w:rPr>
          <w:rFonts w:asciiTheme="minorHAnsi" w:hAnsiTheme="minorHAnsi" w:cstheme="minorHAnsi"/>
          <w:sz w:val="22"/>
          <w:szCs w:val="22"/>
        </w:rPr>
        <w:t>structure a</w:t>
      </w:r>
      <w:r w:rsidR="00ED2396">
        <w:rPr>
          <w:rFonts w:asciiTheme="minorHAnsi" w:hAnsiTheme="minorHAnsi" w:cstheme="minorHAnsi"/>
          <w:sz w:val="22"/>
          <w:szCs w:val="22"/>
        </w:rPr>
        <w:t>nd complexity</w:t>
      </w:r>
      <w:r w:rsidR="00153A54">
        <w:rPr>
          <w:rFonts w:asciiTheme="minorHAnsi" w:hAnsiTheme="minorHAnsi" w:cstheme="minorHAnsi"/>
          <w:sz w:val="22"/>
          <w:szCs w:val="22"/>
        </w:rPr>
        <w:t>.</w:t>
      </w:r>
      <w:r w:rsidR="00E42640" w:rsidRPr="002B5E2E">
        <w:rPr>
          <w:rFonts w:asciiTheme="minorHAnsi" w:hAnsiTheme="minorHAnsi" w:cstheme="minorHAnsi"/>
          <w:sz w:val="22"/>
          <w:szCs w:val="22"/>
        </w:rPr>
        <w:t xml:space="preserve"> </w:t>
      </w:r>
      <w:r w:rsidR="00856A25">
        <w:rPr>
          <w:rFonts w:asciiTheme="minorHAnsi" w:hAnsiTheme="minorHAnsi" w:cstheme="minorHAnsi"/>
          <w:sz w:val="22"/>
          <w:szCs w:val="22"/>
        </w:rPr>
        <w:t xml:space="preserve">These structures can </w:t>
      </w:r>
      <w:r w:rsidR="006A0468">
        <w:rPr>
          <w:rFonts w:asciiTheme="minorHAnsi" w:hAnsiTheme="minorHAnsi" w:cstheme="minorHAnsi"/>
          <w:sz w:val="22"/>
          <w:szCs w:val="22"/>
        </w:rPr>
        <w:t>invest in</w:t>
      </w:r>
      <w:r w:rsidR="00856A25">
        <w:rPr>
          <w:rFonts w:asciiTheme="minorHAnsi" w:hAnsiTheme="minorHAnsi" w:cstheme="minorHAnsi"/>
          <w:sz w:val="22"/>
          <w:szCs w:val="22"/>
        </w:rPr>
        <w:t xml:space="preserve"> any asset</w:t>
      </w:r>
      <w:r w:rsidR="004640B3" w:rsidRPr="002B5E2E">
        <w:rPr>
          <w:rFonts w:asciiTheme="minorHAnsi" w:hAnsiTheme="minorHAnsi" w:cstheme="minorHAnsi"/>
          <w:sz w:val="22"/>
          <w:szCs w:val="22"/>
        </w:rPr>
        <w:t xml:space="preserve"> includ</w:t>
      </w:r>
      <w:r w:rsidR="00BE7651">
        <w:rPr>
          <w:rFonts w:asciiTheme="minorHAnsi" w:hAnsiTheme="minorHAnsi" w:cstheme="minorHAnsi"/>
          <w:sz w:val="22"/>
          <w:szCs w:val="22"/>
        </w:rPr>
        <w:t>ing</w:t>
      </w:r>
      <w:r w:rsidR="004640B3" w:rsidRPr="002B5E2E">
        <w:rPr>
          <w:rFonts w:asciiTheme="minorHAnsi" w:hAnsiTheme="minorHAnsi" w:cstheme="minorHAnsi"/>
          <w:sz w:val="22"/>
          <w:szCs w:val="22"/>
        </w:rPr>
        <w:t xml:space="preserve"> affiliate</w:t>
      </w:r>
      <w:r w:rsidR="002376B6" w:rsidRPr="002B5E2E">
        <w:rPr>
          <w:rFonts w:asciiTheme="minorHAnsi" w:hAnsiTheme="minorHAnsi" w:cstheme="minorHAnsi"/>
          <w:sz w:val="22"/>
          <w:szCs w:val="22"/>
        </w:rPr>
        <w:t xml:space="preserve"> investments</w:t>
      </w:r>
      <w:r w:rsidR="00F4392E" w:rsidRPr="002B5E2E">
        <w:rPr>
          <w:rFonts w:asciiTheme="minorHAnsi" w:hAnsiTheme="minorHAnsi" w:cstheme="minorHAnsi"/>
          <w:sz w:val="22"/>
          <w:szCs w:val="22"/>
        </w:rPr>
        <w:t>, non-fixed income investments</w:t>
      </w:r>
      <w:r w:rsidR="00B00194">
        <w:rPr>
          <w:rFonts w:asciiTheme="minorHAnsi" w:hAnsiTheme="minorHAnsi" w:cstheme="minorHAnsi"/>
          <w:sz w:val="22"/>
          <w:szCs w:val="22"/>
        </w:rPr>
        <w:t xml:space="preserve">, derivatives, </w:t>
      </w:r>
      <w:r w:rsidR="001D0FCF">
        <w:rPr>
          <w:rFonts w:asciiTheme="minorHAnsi" w:hAnsiTheme="minorHAnsi" w:cstheme="minorHAnsi"/>
          <w:sz w:val="22"/>
          <w:szCs w:val="22"/>
        </w:rPr>
        <w:t>borrowings</w:t>
      </w:r>
      <w:r w:rsidR="001D0FCF" w:rsidRPr="002B5E2E">
        <w:rPr>
          <w:rFonts w:asciiTheme="minorHAnsi" w:hAnsiTheme="minorHAnsi" w:cstheme="minorHAnsi"/>
          <w:sz w:val="22"/>
          <w:szCs w:val="22"/>
        </w:rPr>
        <w:t xml:space="preserve"> </w:t>
      </w:r>
      <w:r w:rsidR="001D0FCF">
        <w:rPr>
          <w:rFonts w:asciiTheme="minorHAnsi" w:hAnsiTheme="minorHAnsi" w:cstheme="minorHAnsi"/>
          <w:sz w:val="22"/>
          <w:szCs w:val="22"/>
        </w:rPr>
        <w:t xml:space="preserve">for the purpose of </w:t>
      </w:r>
      <w:r w:rsidR="00F17898">
        <w:rPr>
          <w:rFonts w:asciiTheme="minorHAnsi" w:hAnsiTheme="minorHAnsi" w:cstheme="minorHAnsi"/>
          <w:sz w:val="22"/>
          <w:szCs w:val="22"/>
        </w:rPr>
        <w:t xml:space="preserve">leverage </w:t>
      </w:r>
      <w:r w:rsidR="00BE7651">
        <w:rPr>
          <w:rFonts w:asciiTheme="minorHAnsi" w:hAnsiTheme="minorHAnsi" w:cstheme="minorHAnsi"/>
          <w:sz w:val="22"/>
          <w:szCs w:val="22"/>
        </w:rPr>
        <w:t>and</w:t>
      </w:r>
      <w:r w:rsidR="00BE7651" w:rsidRPr="002B5E2E">
        <w:rPr>
          <w:rFonts w:asciiTheme="minorHAnsi" w:hAnsiTheme="minorHAnsi" w:cstheme="minorHAnsi"/>
          <w:sz w:val="22"/>
          <w:szCs w:val="22"/>
        </w:rPr>
        <w:t xml:space="preserve"> </w:t>
      </w:r>
      <w:r w:rsidR="00A441C1" w:rsidRPr="002B5E2E">
        <w:rPr>
          <w:rFonts w:asciiTheme="minorHAnsi" w:hAnsiTheme="minorHAnsi" w:cstheme="minorHAnsi"/>
          <w:sz w:val="22"/>
          <w:szCs w:val="22"/>
        </w:rPr>
        <w:t>non-admitted asset</w:t>
      </w:r>
      <w:r w:rsidR="003D1BE1" w:rsidRPr="002B5E2E">
        <w:rPr>
          <w:rFonts w:asciiTheme="minorHAnsi" w:hAnsiTheme="minorHAnsi" w:cstheme="minorHAnsi"/>
          <w:sz w:val="22"/>
          <w:szCs w:val="22"/>
        </w:rPr>
        <w:t>s</w:t>
      </w:r>
      <w:r w:rsidR="00A441C1" w:rsidRPr="002B5E2E">
        <w:rPr>
          <w:rFonts w:asciiTheme="minorHAnsi" w:hAnsiTheme="minorHAnsi" w:cstheme="minorHAnsi"/>
          <w:sz w:val="22"/>
          <w:szCs w:val="22"/>
        </w:rPr>
        <w:t xml:space="preserve">. </w:t>
      </w:r>
    </w:p>
    <w:p w14:paraId="642D9437" w14:textId="2DC20416" w:rsidR="00DB4D03" w:rsidRPr="00514CF3" w:rsidRDefault="00514CF3" w:rsidP="00556C15">
      <w:pPr>
        <w:spacing w:line="240" w:lineRule="auto"/>
        <w:jc w:val="both"/>
        <w:rPr>
          <w:rFonts w:cstheme="minorHAnsi"/>
        </w:rPr>
      </w:pPr>
      <w:r>
        <w:rPr>
          <w:rFonts w:cstheme="minorHAnsi"/>
        </w:rPr>
        <w:t xml:space="preserve">It is </w:t>
      </w:r>
      <w:r w:rsidR="00C66188">
        <w:rPr>
          <w:rFonts w:cstheme="minorHAnsi"/>
        </w:rPr>
        <w:t xml:space="preserve">possible </w:t>
      </w:r>
      <w:r w:rsidR="003E60FD">
        <w:rPr>
          <w:rFonts w:cstheme="minorHAnsi"/>
        </w:rPr>
        <w:t>that many of the transaction</w:t>
      </w:r>
      <w:r w:rsidR="007E2BFE">
        <w:rPr>
          <w:rFonts w:cstheme="minorHAnsi"/>
        </w:rPr>
        <w:t xml:space="preserve">s </w:t>
      </w:r>
      <w:r w:rsidR="00496F6B">
        <w:rPr>
          <w:rFonts w:cstheme="minorHAnsi"/>
        </w:rPr>
        <w:t>the SVO has</w:t>
      </w:r>
      <w:r w:rsidR="007E2BFE">
        <w:rPr>
          <w:rFonts w:cstheme="minorHAnsi"/>
        </w:rPr>
        <w:t xml:space="preserve"> processed would not qualify as bonds eligible for </w:t>
      </w:r>
      <w:r w:rsidR="00F91568">
        <w:rPr>
          <w:rFonts w:cstheme="minorHAnsi"/>
        </w:rPr>
        <w:t>Schedule D</w:t>
      </w:r>
      <w:r w:rsidR="00D32311">
        <w:rPr>
          <w:rFonts w:cstheme="minorHAnsi"/>
        </w:rPr>
        <w:t>-1</w:t>
      </w:r>
      <w:r w:rsidR="00F91568">
        <w:rPr>
          <w:rFonts w:cstheme="minorHAnsi"/>
        </w:rPr>
        <w:t xml:space="preserve"> reporting according to the principles-based bond definition currently being drafted by the Statutory Accounting Principles (E) Working Group</w:t>
      </w:r>
      <w:r w:rsidR="00C66188">
        <w:rPr>
          <w:rFonts w:cstheme="minorHAnsi"/>
        </w:rPr>
        <w:t>, while others likely will</w:t>
      </w:r>
      <w:r w:rsidR="008B461E">
        <w:rPr>
          <w:rFonts w:cstheme="minorHAnsi"/>
        </w:rPr>
        <w:t xml:space="preserve"> qualify</w:t>
      </w:r>
      <w:r w:rsidR="000C190A">
        <w:rPr>
          <w:rFonts w:cstheme="minorHAnsi"/>
        </w:rPr>
        <w:t xml:space="preserve">. </w:t>
      </w:r>
      <w:r w:rsidR="00C66188">
        <w:rPr>
          <w:rFonts w:cstheme="minorHAnsi"/>
        </w:rPr>
        <w:t xml:space="preserve">The bond definition requires a review of the substance </w:t>
      </w:r>
      <w:r w:rsidR="00E30807">
        <w:rPr>
          <w:rFonts w:cstheme="minorHAnsi"/>
        </w:rPr>
        <w:t xml:space="preserve">of the investment to determine whether it has the substance of a bond; most significantly, that the ultimate underlying collateral has fixed income cash flows. In either case however, the </w:t>
      </w:r>
      <w:r w:rsidR="008B5038">
        <w:rPr>
          <w:rFonts w:cstheme="minorHAnsi"/>
        </w:rPr>
        <w:t xml:space="preserve">use of a fund intermediary has the potential to be abused and requires significant judgment to understand the substance and nature of the ultimate underlying risk. </w:t>
      </w:r>
      <w:r w:rsidR="001A2700">
        <w:rPr>
          <w:rFonts w:cstheme="minorHAnsi"/>
        </w:rPr>
        <w:t xml:space="preserve">This has already been recognized by the establishment of processes for the SVO to provide NAIC Designations for fixed-income-like funds. </w:t>
      </w:r>
      <w:r w:rsidR="0072356F">
        <w:rPr>
          <w:rFonts w:cstheme="minorHAnsi"/>
        </w:rPr>
        <w:t xml:space="preserve"> </w:t>
      </w:r>
      <w:r w:rsidR="001A2700">
        <w:rPr>
          <w:rFonts w:cstheme="minorHAnsi"/>
        </w:rPr>
        <w:t>It would then follow that debt instruments backed by the types of funds that would ordinarily be required to be filed with the SVO, should follow the same process.</w:t>
      </w:r>
      <w:r w:rsidR="004640B3" w:rsidRPr="00514CF3">
        <w:rPr>
          <w:rFonts w:cstheme="minorHAnsi"/>
        </w:rPr>
        <w:t xml:space="preserve"> </w:t>
      </w:r>
    </w:p>
    <w:p w14:paraId="0EE0A3E4" w14:textId="1087335D" w:rsidR="007512EC" w:rsidRDefault="00B14E5F" w:rsidP="009C5D4C">
      <w:pPr>
        <w:spacing w:line="240" w:lineRule="auto"/>
        <w:jc w:val="both"/>
        <w:rPr>
          <w:rFonts w:cstheme="minorHAnsi"/>
        </w:rPr>
      </w:pPr>
      <w:r w:rsidRPr="006C2B3B">
        <w:rPr>
          <w:rFonts w:cstheme="minorHAnsi"/>
          <w:b/>
          <w:bCs/>
        </w:rPr>
        <w:t>Regulatory</w:t>
      </w:r>
      <w:r w:rsidR="006C2B3B" w:rsidRPr="006C2B3B">
        <w:rPr>
          <w:rFonts w:cstheme="minorHAnsi"/>
          <w:b/>
          <w:bCs/>
        </w:rPr>
        <w:t xml:space="preserve"> Guidance</w:t>
      </w:r>
      <w:r w:rsidR="006C2B3B">
        <w:rPr>
          <w:rFonts w:cstheme="minorHAnsi"/>
        </w:rPr>
        <w:t xml:space="preserve"> </w:t>
      </w:r>
      <w:proofErr w:type="gramStart"/>
      <w:r w:rsidR="006C2B3B">
        <w:rPr>
          <w:rFonts w:cstheme="minorHAnsi"/>
        </w:rPr>
        <w:t xml:space="preserve">- </w:t>
      </w:r>
      <w:r w:rsidR="00724ED6">
        <w:rPr>
          <w:rFonts w:cstheme="minorHAnsi"/>
        </w:rPr>
        <w:t xml:space="preserve"> </w:t>
      </w:r>
      <w:r w:rsidR="0035266F">
        <w:rPr>
          <w:rFonts w:cstheme="minorHAnsi"/>
        </w:rPr>
        <w:t>As</w:t>
      </w:r>
      <w:proofErr w:type="gramEnd"/>
      <w:r w:rsidR="0035266F">
        <w:rPr>
          <w:rFonts w:cstheme="minorHAnsi"/>
        </w:rPr>
        <w:t xml:space="preserve"> noted in </w:t>
      </w:r>
      <w:r w:rsidR="00C95C07">
        <w:rPr>
          <w:rFonts w:cstheme="minorHAnsi"/>
        </w:rPr>
        <w:t xml:space="preserve">the </w:t>
      </w:r>
      <w:r w:rsidR="00C95C07" w:rsidRPr="00C95C07">
        <w:rPr>
          <w:rFonts w:cstheme="minorHAnsi"/>
          <w:i/>
          <w:iCs/>
        </w:rPr>
        <w:t>Purposes and Procedures Manual of the NAIC Investment Analysis Office</w:t>
      </w:r>
      <w:r w:rsidR="00C95C07">
        <w:rPr>
          <w:rFonts w:cstheme="minorHAnsi"/>
        </w:rPr>
        <w:t xml:space="preserve"> (P&amp;P Manual)</w:t>
      </w:r>
      <w:r w:rsidR="00E612D7">
        <w:rPr>
          <w:rFonts w:cstheme="minorHAnsi"/>
        </w:rPr>
        <w:t xml:space="preserve">, </w:t>
      </w:r>
      <w:r w:rsidR="00325B52">
        <w:rPr>
          <w:rFonts w:cstheme="minorHAnsi"/>
        </w:rPr>
        <w:t xml:space="preserve">Part </w:t>
      </w:r>
      <w:r w:rsidR="00AC5228">
        <w:rPr>
          <w:rFonts w:cstheme="minorHAnsi"/>
        </w:rPr>
        <w:t>One</w:t>
      </w:r>
      <w:r w:rsidR="00855EC7">
        <w:rPr>
          <w:rFonts w:cstheme="minorHAnsi"/>
        </w:rPr>
        <w:t>,</w:t>
      </w:r>
      <w:r w:rsidR="00AC5228">
        <w:rPr>
          <w:rFonts w:cstheme="minorHAnsi"/>
        </w:rPr>
        <w:t xml:space="preserve"> Policies of the NAIC Valuation of Securities (E) Task Force</w:t>
      </w:r>
      <w:r w:rsidR="00D15ABF">
        <w:rPr>
          <w:rFonts w:cstheme="minorHAnsi"/>
        </w:rPr>
        <w:t xml:space="preserve">, </w:t>
      </w:r>
      <w:r w:rsidR="00E612D7">
        <w:rPr>
          <w:rFonts w:cstheme="minorHAnsi"/>
        </w:rPr>
        <w:t xml:space="preserve">paragraph </w:t>
      </w:r>
      <w:r w:rsidR="00371351" w:rsidRPr="00371351">
        <w:rPr>
          <w:rFonts w:cstheme="minorHAnsi"/>
        </w:rPr>
        <w:t>112</w:t>
      </w:r>
      <w:r w:rsidR="007512EC">
        <w:rPr>
          <w:rFonts w:cstheme="minorHAnsi"/>
        </w:rPr>
        <w:t xml:space="preserve">: </w:t>
      </w:r>
    </w:p>
    <w:p w14:paraId="446BB3A9" w14:textId="37B890F7" w:rsidR="009C5D4C" w:rsidRDefault="00371351" w:rsidP="00EE3439">
      <w:pPr>
        <w:spacing w:line="240" w:lineRule="auto"/>
        <w:ind w:left="360"/>
        <w:jc w:val="both"/>
        <w:rPr>
          <w:rFonts w:cstheme="minorHAnsi"/>
          <w:i/>
          <w:iCs/>
        </w:rPr>
      </w:pPr>
      <w:r w:rsidRPr="00371351">
        <w:rPr>
          <w:rFonts w:cstheme="minorHAnsi"/>
          <w:i/>
          <w:iCs/>
        </w:rPr>
        <w:t>The “fixed-income-like” regulatory treatment accorded under this Section only applies to funds that the SVO has verified meet eligibility criteria established by the VOS/TF and been assigned NAIC Designations or reviewed under the verification procedures and added to an NAIC List or other NAIC compilation process as hereafter discussed in this section. The use of NAIC CRP credit ratings under the filing exempt process discussed in Part Three of this Manual shall not be an acceptable basis to apply for and receive the regulatory treatment specified in this section.</w:t>
      </w:r>
    </w:p>
    <w:p w14:paraId="1196FC91" w14:textId="6D4ECAA4" w:rsidR="0090385D" w:rsidRPr="00390046" w:rsidRDefault="00F647AF" w:rsidP="0090385D">
      <w:pPr>
        <w:spacing w:line="240" w:lineRule="auto"/>
        <w:jc w:val="both"/>
        <w:rPr>
          <w:rFonts w:cstheme="minorHAnsi"/>
        </w:rPr>
      </w:pPr>
      <w:r>
        <w:rPr>
          <w:rFonts w:cstheme="minorHAnsi"/>
        </w:rPr>
        <w:t>Equity and f</w:t>
      </w:r>
      <w:r w:rsidR="007F6308">
        <w:rPr>
          <w:rFonts w:cstheme="minorHAnsi"/>
        </w:rPr>
        <w:t>und</w:t>
      </w:r>
      <w:r>
        <w:rPr>
          <w:rFonts w:cstheme="minorHAnsi"/>
        </w:rPr>
        <w:t xml:space="preserve"> investments</w:t>
      </w:r>
      <w:r w:rsidR="007F6308">
        <w:rPr>
          <w:rFonts w:cstheme="minorHAnsi"/>
        </w:rPr>
        <w:t xml:space="preserve"> </w:t>
      </w:r>
      <w:r w:rsidR="000633DB">
        <w:rPr>
          <w:rFonts w:cstheme="minorHAnsi"/>
        </w:rPr>
        <w:t xml:space="preserve">that are </w:t>
      </w:r>
      <w:r w:rsidR="008F2B46">
        <w:rPr>
          <w:rFonts w:cstheme="minorHAnsi"/>
        </w:rPr>
        <w:t>structured through</w:t>
      </w:r>
      <w:r w:rsidR="007751F3">
        <w:rPr>
          <w:rFonts w:cstheme="minorHAnsi"/>
        </w:rPr>
        <w:t xml:space="preserve"> another legal </w:t>
      </w:r>
      <w:r>
        <w:rPr>
          <w:rFonts w:cstheme="minorHAnsi"/>
        </w:rPr>
        <w:t xml:space="preserve">entity </w:t>
      </w:r>
      <w:r w:rsidR="007751F3">
        <w:rPr>
          <w:rFonts w:cstheme="minorHAnsi"/>
        </w:rPr>
        <w:t xml:space="preserve">have been able to </w:t>
      </w:r>
      <w:r w:rsidR="005E7D9B">
        <w:rPr>
          <w:rFonts w:cstheme="minorHAnsi"/>
        </w:rPr>
        <w:t>qualify</w:t>
      </w:r>
      <w:r w:rsidR="004528F7">
        <w:rPr>
          <w:rFonts w:cstheme="minorHAnsi"/>
        </w:rPr>
        <w:t xml:space="preserve"> as ‘bonds’ under the current definition </w:t>
      </w:r>
      <w:r w:rsidR="003842A9">
        <w:rPr>
          <w:rFonts w:cstheme="minorHAnsi"/>
        </w:rPr>
        <w:t xml:space="preserve">due to </w:t>
      </w:r>
      <w:r w:rsidR="004528F7">
        <w:rPr>
          <w:rFonts w:cstheme="minorHAnsi"/>
        </w:rPr>
        <w:t>the</w:t>
      </w:r>
      <w:r w:rsidR="005223CB">
        <w:rPr>
          <w:rFonts w:cstheme="minorHAnsi"/>
        </w:rPr>
        <w:t>ir</w:t>
      </w:r>
      <w:r w:rsidR="004528F7">
        <w:rPr>
          <w:rFonts w:cstheme="minorHAnsi"/>
        </w:rPr>
        <w:t xml:space="preserve"> legal form (instead of substance</w:t>
      </w:r>
      <w:r w:rsidR="00C50E29">
        <w:rPr>
          <w:rFonts w:cstheme="minorHAnsi"/>
        </w:rPr>
        <w:t xml:space="preserve"> as with the proposed bond definition</w:t>
      </w:r>
      <w:r w:rsidR="004528F7">
        <w:rPr>
          <w:rFonts w:cstheme="minorHAnsi"/>
        </w:rPr>
        <w:t xml:space="preserve">) and </w:t>
      </w:r>
      <w:r w:rsidR="00A317D1">
        <w:rPr>
          <w:rFonts w:cstheme="minorHAnsi"/>
        </w:rPr>
        <w:t xml:space="preserve">bypass </w:t>
      </w:r>
      <w:r w:rsidR="004528F7">
        <w:rPr>
          <w:rFonts w:cstheme="minorHAnsi"/>
        </w:rPr>
        <w:t>reporting</w:t>
      </w:r>
      <w:r w:rsidR="001A0BC0">
        <w:rPr>
          <w:rFonts w:cstheme="minorHAnsi"/>
        </w:rPr>
        <w:t xml:space="preserve"> </w:t>
      </w:r>
      <w:r w:rsidR="00A317D1">
        <w:rPr>
          <w:rFonts w:cstheme="minorHAnsi"/>
        </w:rPr>
        <w:t xml:space="preserve">requirements </w:t>
      </w:r>
      <w:r w:rsidR="004528F7">
        <w:rPr>
          <w:rFonts w:cstheme="minorHAnsi"/>
        </w:rPr>
        <w:t xml:space="preserve">for equity and fund investments. </w:t>
      </w:r>
      <w:r w:rsidR="00BA774A">
        <w:rPr>
          <w:rFonts w:cstheme="minorHAnsi"/>
        </w:rPr>
        <w:t xml:space="preserve">These structures have </w:t>
      </w:r>
      <w:r w:rsidR="00D83C63">
        <w:rPr>
          <w:rFonts w:cstheme="minorHAnsi"/>
        </w:rPr>
        <w:t xml:space="preserve">sometimes </w:t>
      </w:r>
      <w:r w:rsidR="00BA774A">
        <w:rPr>
          <w:rFonts w:cstheme="minorHAnsi"/>
        </w:rPr>
        <w:t xml:space="preserve">been referred to generically as “Rated Notes”, but they may be called other names. </w:t>
      </w:r>
      <w:r w:rsidR="004627D7">
        <w:rPr>
          <w:rFonts w:cstheme="minorHAnsi"/>
        </w:rPr>
        <w:t>The name may change but the general framework is the same: an equity or fund investment is transformed into what the insurer reports as a bond through the insertion of an intervening entity, which issues a note that, due to a CRP rating, receives the statutory treatment of a bond for accounting, reporting, RBC and NAIC Designation purposes.</w:t>
      </w:r>
      <w:r w:rsidR="00CF27D0">
        <w:rPr>
          <w:rFonts w:cstheme="minorHAnsi"/>
        </w:rPr>
        <w:t xml:space="preserve"> </w:t>
      </w:r>
      <w:r w:rsidR="004528F7">
        <w:rPr>
          <w:rFonts w:cstheme="minorHAnsi"/>
        </w:rPr>
        <w:t xml:space="preserve">This process </w:t>
      </w:r>
      <w:r w:rsidR="00A317D1">
        <w:rPr>
          <w:rFonts w:cstheme="minorHAnsi"/>
        </w:rPr>
        <w:t>exploit</w:t>
      </w:r>
      <w:r w:rsidR="004528F7">
        <w:rPr>
          <w:rFonts w:cstheme="minorHAnsi"/>
        </w:rPr>
        <w:t>s</w:t>
      </w:r>
      <w:r w:rsidR="00A317D1">
        <w:rPr>
          <w:rFonts w:cstheme="minorHAnsi"/>
        </w:rPr>
        <w:t xml:space="preserve"> </w:t>
      </w:r>
      <w:r w:rsidR="003616D5">
        <w:rPr>
          <w:rFonts w:cstheme="minorHAnsi"/>
        </w:rPr>
        <w:t xml:space="preserve">the inherent </w:t>
      </w:r>
      <w:r>
        <w:rPr>
          <w:rFonts w:cstheme="minorHAnsi"/>
        </w:rPr>
        <w:t>weakness</w:t>
      </w:r>
      <w:r w:rsidR="003616D5">
        <w:rPr>
          <w:rFonts w:cstheme="minorHAnsi"/>
        </w:rPr>
        <w:t xml:space="preserve"> with</w:t>
      </w:r>
      <w:r>
        <w:rPr>
          <w:rFonts w:cstheme="minorHAnsi"/>
        </w:rPr>
        <w:t>in</w:t>
      </w:r>
      <w:r w:rsidR="003616D5">
        <w:rPr>
          <w:rFonts w:cstheme="minorHAnsi"/>
        </w:rPr>
        <w:t xml:space="preserve"> the </w:t>
      </w:r>
      <w:r w:rsidR="00EA395E">
        <w:rPr>
          <w:rFonts w:cstheme="minorHAnsi"/>
        </w:rPr>
        <w:t>F</w:t>
      </w:r>
      <w:r w:rsidR="003616D5">
        <w:rPr>
          <w:rFonts w:cstheme="minorHAnsi"/>
        </w:rPr>
        <w:t xml:space="preserve">iling </w:t>
      </w:r>
      <w:r w:rsidR="00EA395E">
        <w:rPr>
          <w:rFonts w:cstheme="minorHAnsi"/>
        </w:rPr>
        <w:t xml:space="preserve">Exempt </w:t>
      </w:r>
      <w:r w:rsidR="003616D5">
        <w:rPr>
          <w:rFonts w:cstheme="minorHAnsi"/>
        </w:rPr>
        <w:t>process</w:t>
      </w:r>
      <w:r w:rsidR="00276779">
        <w:rPr>
          <w:rFonts w:cstheme="minorHAnsi"/>
        </w:rPr>
        <w:t xml:space="preserve"> </w:t>
      </w:r>
      <w:r w:rsidR="007B41D9">
        <w:rPr>
          <w:rFonts w:cstheme="minorHAnsi"/>
        </w:rPr>
        <w:t>where</w:t>
      </w:r>
      <w:r w:rsidR="00276779">
        <w:rPr>
          <w:rFonts w:cstheme="minorHAnsi"/>
        </w:rPr>
        <w:t xml:space="preserve"> anyt</w:t>
      </w:r>
      <w:r w:rsidR="00B67ABC">
        <w:rPr>
          <w:rFonts w:cstheme="minorHAnsi"/>
        </w:rPr>
        <w:t xml:space="preserve">hing with a CRP rating </w:t>
      </w:r>
      <w:r w:rsidR="00882767">
        <w:rPr>
          <w:rFonts w:cstheme="minorHAnsi"/>
        </w:rPr>
        <w:t xml:space="preserve">is </w:t>
      </w:r>
      <w:r w:rsidR="007B41D9">
        <w:rPr>
          <w:rFonts w:cstheme="minorHAnsi"/>
        </w:rPr>
        <w:t xml:space="preserve">assumed to be a “bond” and </w:t>
      </w:r>
      <w:r w:rsidR="00882767">
        <w:rPr>
          <w:rFonts w:cstheme="minorHAnsi"/>
        </w:rPr>
        <w:t xml:space="preserve">automatically treated as </w:t>
      </w:r>
      <w:r w:rsidR="005605D3">
        <w:rPr>
          <w:rFonts w:cstheme="minorHAnsi"/>
        </w:rPr>
        <w:t>such</w:t>
      </w:r>
      <w:r w:rsidR="005B05EE">
        <w:rPr>
          <w:rFonts w:cstheme="minorHAnsi"/>
        </w:rPr>
        <w:t xml:space="preserve"> despite its underlying </w:t>
      </w:r>
      <w:r w:rsidR="00D12918">
        <w:rPr>
          <w:rFonts w:cstheme="minorHAnsi"/>
        </w:rPr>
        <w:t xml:space="preserve">assets, </w:t>
      </w:r>
      <w:r w:rsidR="00CB372D">
        <w:rPr>
          <w:rFonts w:cstheme="minorHAnsi"/>
        </w:rPr>
        <w:t>structure,</w:t>
      </w:r>
      <w:r w:rsidR="005B05EE">
        <w:rPr>
          <w:rFonts w:cstheme="minorHAnsi"/>
        </w:rPr>
        <w:t xml:space="preserve"> or risk</w:t>
      </w:r>
      <w:r>
        <w:rPr>
          <w:rFonts w:cstheme="minorHAnsi"/>
        </w:rPr>
        <w:t xml:space="preserve">.  </w:t>
      </w:r>
      <w:r w:rsidR="00941D07">
        <w:rPr>
          <w:rFonts w:cstheme="minorHAnsi"/>
        </w:rPr>
        <w:t>The</w:t>
      </w:r>
      <w:r w:rsidR="00B94A20">
        <w:rPr>
          <w:rFonts w:cstheme="minorHAnsi"/>
        </w:rPr>
        <w:t>se</w:t>
      </w:r>
      <w:r w:rsidR="00941D07">
        <w:rPr>
          <w:rFonts w:cstheme="minorHAnsi"/>
        </w:rPr>
        <w:t xml:space="preserve"> </w:t>
      </w:r>
      <w:r w:rsidR="00D83C63">
        <w:rPr>
          <w:rFonts w:cstheme="minorHAnsi"/>
        </w:rPr>
        <w:t xml:space="preserve">transactions </w:t>
      </w:r>
      <w:r w:rsidR="00A371A1">
        <w:rPr>
          <w:rFonts w:cstheme="minorHAnsi"/>
        </w:rPr>
        <w:t>can</w:t>
      </w:r>
      <w:r w:rsidR="00707D05">
        <w:rPr>
          <w:rFonts w:cstheme="minorHAnsi"/>
        </w:rPr>
        <w:t xml:space="preserve"> also permit the deferral of </w:t>
      </w:r>
      <w:r w:rsidR="00941D07">
        <w:rPr>
          <w:rFonts w:cstheme="minorHAnsi"/>
        </w:rPr>
        <w:t>interest</w:t>
      </w:r>
      <w:r w:rsidR="00E92EFB">
        <w:rPr>
          <w:rFonts w:cstheme="minorHAnsi"/>
        </w:rPr>
        <w:t xml:space="preserve"> </w:t>
      </w:r>
      <w:r w:rsidR="00304F35">
        <w:rPr>
          <w:rFonts w:cstheme="minorHAnsi"/>
        </w:rPr>
        <w:t>and/</w:t>
      </w:r>
      <w:r w:rsidR="00E92EFB">
        <w:rPr>
          <w:rFonts w:cstheme="minorHAnsi"/>
        </w:rPr>
        <w:t>or</w:t>
      </w:r>
      <w:r w:rsidR="00941D07">
        <w:rPr>
          <w:rFonts w:cstheme="minorHAnsi"/>
        </w:rPr>
        <w:t xml:space="preserve"> principal</w:t>
      </w:r>
      <w:r w:rsidR="00B94A20">
        <w:rPr>
          <w:rFonts w:cstheme="minorHAnsi"/>
        </w:rPr>
        <w:t xml:space="preserve"> payments</w:t>
      </w:r>
      <w:r w:rsidR="00A371A1">
        <w:rPr>
          <w:rFonts w:cstheme="minorHAnsi"/>
        </w:rPr>
        <w:t>, sometimes without cap</w:t>
      </w:r>
      <w:r w:rsidR="006F26CE">
        <w:rPr>
          <w:rFonts w:cstheme="minorHAnsi"/>
        </w:rPr>
        <w:t xml:space="preserve">italization and </w:t>
      </w:r>
      <w:r w:rsidR="00941D07">
        <w:rPr>
          <w:rFonts w:cstheme="minorHAnsi"/>
        </w:rPr>
        <w:t>without being an event of default</w:t>
      </w:r>
      <w:r w:rsidR="006F26CE">
        <w:rPr>
          <w:rFonts w:cstheme="minorHAnsi"/>
        </w:rPr>
        <w:t xml:space="preserve">, introducing </w:t>
      </w:r>
      <w:r w:rsidR="00CF27D0">
        <w:rPr>
          <w:rFonts w:cstheme="minorHAnsi"/>
        </w:rPr>
        <w:t xml:space="preserve">additional </w:t>
      </w:r>
      <w:r w:rsidR="0061694F">
        <w:rPr>
          <w:rFonts w:cstheme="minorHAnsi"/>
        </w:rPr>
        <w:t>other non-payment risks</w:t>
      </w:r>
      <w:r w:rsidR="00972CEA">
        <w:rPr>
          <w:rFonts w:cstheme="minorHAnsi"/>
        </w:rPr>
        <w:t xml:space="preserve"> not reflected in </w:t>
      </w:r>
      <w:r w:rsidR="00202368">
        <w:rPr>
          <w:rFonts w:cstheme="minorHAnsi"/>
        </w:rPr>
        <w:t>the</w:t>
      </w:r>
      <w:r w:rsidR="00972CEA">
        <w:rPr>
          <w:rFonts w:cstheme="minorHAnsi"/>
        </w:rPr>
        <w:t xml:space="preserve"> CRP rating</w:t>
      </w:r>
      <w:r w:rsidR="00E33895">
        <w:rPr>
          <w:rFonts w:cstheme="minorHAnsi"/>
        </w:rPr>
        <w:t>s used in</w:t>
      </w:r>
      <w:r w:rsidR="00972CEA">
        <w:rPr>
          <w:rFonts w:cstheme="minorHAnsi"/>
        </w:rPr>
        <w:t xml:space="preserve"> the FE process</w:t>
      </w:r>
      <w:r w:rsidR="00941D07">
        <w:rPr>
          <w:rFonts w:cstheme="minorHAnsi"/>
        </w:rPr>
        <w:t xml:space="preserve">.  </w:t>
      </w:r>
      <w:r w:rsidR="0090385D">
        <w:rPr>
          <w:rFonts w:cstheme="minorHAnsi"/>
        </w:rPr>
        <w:t xml:space="preserve"> </w:t>
      </w:r>
    </w:p>
    <w:p w14:paraId="23BE5FD8" w14:textId="06C0121D" w:rsidR="00342EEA" w:rsidRDefault="003E71E5" w:rsidP="009C5D4C">
      <w:pPr>
        <w:spacing w:line="240" w:lineRule="auto"/>
        <w:jc w:val="both"/>
        <w:rPr>
          <w:rFonts w:cstheme="minorHAnsi"/>
        </w:rPr>
      </w:pPr>
      <w:r>
        <w:rPr>
          <w:noProof/>
        </w:rPr>
        <w:lastRenderedPageBreak/>
        <mc:AlternateContent>
          <mc:Choice Requires="wps">
            <w:drawing>
              <wp:anchor distT="0" distB="0" distL="114300" distR="114300" simplePos="0" relativeHeight="251658243" behindDoc="0" locked="0" layoutInCell="1" allowOverlap="1" wp14:anchorId="0FA8E39F" wp14:editId="4260C2F3">
                <wp:simplePos x="0" y="0"/>
                <wp:positionH relativeFrom="column">
                  <wp:posOffset>3482340</wp:posOffset>
                </wp:positionH>
                <wp:positionV relativeFrom="paragraph">
                  <wp:posOffset>2633980</wp:posOffset>
                </wp:positionV>
                <wp:extent cx="2494280" cy="190500"/>
                <wp:effectExtent l="0" t="0" r="1270" b="0"/>
                <wp:wrapSquare wrapText="bothSides"/>
                <wp:docPr id="6" name="Text Box 6"/>
                <wp:cNvGraphicFramePr/>
                <a:graphic xmlns:a="http://schemas.openxmlformats.org/drawingml/2006/main">
                  <a:graphicData uri="http://schemas.microsoft.com/office/word/2010/wordprocessingShape">
                    <wps:wsp>
                      <wps:cNvSpPr txBox="1"/>
                      <wps:spPr>
                        <a:xfrm>
                          <a:off x="0" y="0"/>
                          <a:ext cx="2494280" cy="190500"/>
                        </a:xfrm>
                        <a:prstGeom prst="rect">
                          <a:avLst/>
                        </a:prstGeom>
                        <a:solidFill>
                          <a:prstClr val="white"/>
                        </a:solidFill>
                        <a:ln>
                          <a:noFill/>
                        </a:ln>
                      </wps:spPr>
                      <wps:txbx>
                        <w:txbxContent>
                          <w:p w14:paraId="6F571D14" w14:textId="1A05F039" w:rsidR="00BC184B" w:rsidRPr="00762140" w:rsidRDefault="00BC184B" w:rsidP="00BC184B">
                            <w:pPr>
                              <w:pStyle w:val="Caption"/>
                              <w:rPr>
                                <w:rFonts w:cstheme="minorHAnsi"/>
                                <w:noProof/>
                              </w:rPr>
                            </w:pPr>
                            <w:r>
                              <w:t xml:space="preserve">Figure </w:t>
                            </w:r>
                            <w:r>
                              <w:fldChar w:fldCharType="begin"/>
                            </w:r>
                            <w:r>
                              <w:instrText>SEQ Figure \* ARABIC</w:instrText>
                            </w:r>
                            <w:r>
                              <w:fldChar w:fldCharType="separate"/>
                            </w:r>
                            <w:r w:rsidR="001863DE">
                              <w:rPr>
                                <w:noProof/>
                              </w:rPr>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8E39F" id="_x0000_t202" coordsize="21600,21600" o:spt="202" path="m,l,21600r21600,l21600,xe">
                <v:stroke joinstyle="miter"/>
                <v:path gradientshapeok="t" o:connecttype="rect"/>
              </v:shapetype>
              <v:shape id="Text Box 6" o:spid="_x0000_s1026" type="#_x0000_t202" style="position:absolute;left:0;text-align:left;margin-left:274.2pt;margin-top:207.4pt;width:196.4pt;height: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" stroked="f">
                <v:textbox inset="0,0,0,0">
                  <w:txbxContent>
                    <w:p w14:paraId="6F571D14" w14:textId="1A05F039" w:rsidR="00BC184B" w:rsidRPr="00762140" w:rsidRDefault="00BC184B" w:rsidP="00BC184B">
                      <w:pPr>
                        <w:pStyle w:val="Caption"/>
                        <w:rPr>
                          <w:rFonts w:cstheme="minorHAnsi"/>
                          <w:noProof/>
                        </w:rPr>
                      </w:pPr>
                      <w:r>
                        <w:t xml:space="preserve">Figure </w:t>
                      </w:r>
                      <w:r>
                        <w:fldChar w:fldCharType="begin"/>
                      </w:r>
                      <w:r>
                        <w:instrText>SEQ Figure \* ARABIC</w:instrText>
                      </w:r>
                      <w:r>
                        <w:fldChar w:fldCharType="separate"/>
                      </w:r>
                      <w:r w:rsidR="001863DE">
                        <w:rPr>
                          <w:noProof/>
                        </w:rPr>
                        <w:t>1</w:t>
                      </w:r>
                      <w:r>
                        <w:fldChar w:fldCharType="end"/>
                      </w:r>
                    </w:p>
                  </w:txbxContent>
                </v:textbox>
                <w10:wrap type="square"/>
              </v:shape>
            </w:pict>
          </mc:Fallback>
        </mc:AlternateContent>
      </w:r>
      <w:r w:rsidR="0010778F">
        <w:rPr>
          <w:rFonts w:cstheme="minorHAnsi"/>
          <w:i/>
          <w:iCs/>
          <w:noProof/>
        </w:rPr>
        <w:drawing>
          <wp:anchor distT="0" distB="0" distL="114300" distR="114300" simplePos="0" relativeHeight="251658245" behindDoc="0" locked="0" layoutInCell="1" allowOverlap="1" wp14:anchorId="210D089D" wp14:editId="5EFEF1A9">
            <wp:simplePos x="0" y="0"/>
            <wp:positionH relativeFrom="column">
              <wp:posOffset>3434080</wp:posOffset>
            </wp:positionH>
            <wp:positionV relativeFrom="paragraph">
              <wp:posOffset>561340</wp:posOffset>
            </wp:positionV>
            <wp:extent cx="2431415" cy="2031365"/>
            <wp:effectExtent l="0" t="0" r="0" b="6985"/>
            <wp:wrapSquare wrapText="bothSides"/>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1415" cy="2031365"/>
                    </a:xfrm>
                    <a:prstGeom prst="rect">
                      <a:avLst/>
                    </a:prstGeom>
                    <a:noFill/>
                  </pic:spPr>
                </pic:pic>
              </a:graphicData>
            </a:graphic>
          </wp:anchor>
        </w:drawing>
      </w:r>
      <w:r w:rsidR="005274E7">
        <w:rPr>
          <w:rFonts w:cstheme="minorHAnsi"/>
          <w:b/>
          <w:bCs/>
        </w:rPr>
        <w:t>E</w:t>
      </w:r>
      <w:r w:rsidR="00C75C77">
        <w:rPr>
          <w:rFonts w:cstheme="minorHAnsi"/>
          <w:b/>
          <w:bCs/>
        </w:rPr>
        <w:t xml:space="preserve">xample </w:t>
      </w:r>
      <w:r w:rsidR="00390046" w:rsidRPr="00213172">
        <w:rPr>
          <w:rFonts w:cstheme="minorHAnsi"/>
          <w:b/>
          <w:bCs/>
        </w:rPr>
        <w:t>Structure</w:t>
      </w:r>
      <w:r w:rsidR="00C75C77">
        <w:rPr>
          <w:rFonts w:cstheme="minorHAnsi"/>
          <w:b/>
          <w:bCs/>
        </w:rPr>
        <w:t>s and RBC Impact</w:t>
      </w:r>
      <w:r w:rsidR="00390046">
        <w:rPr>
          <w:rFonts w:cstheme="minorHAnsi"/>
        </w:rPr>
        <w:t xml:space="preserve"> </w:t>
      </w:r>
      <w:r w:rsidR="003A6295">
        <w:rPr>
          <w:rFonts w:cstheme="minorHAnsi"/>
        </w:rPr>
        <w:t>–</w:t>
      </w:r>
      <w:r w:rsidR="00213172">
        <w:rPr>
          <w:rFonts w:cstheme="minorHAnsi"/>
        </w:rPr>
        <w:t xml:space="preserve"> </w:t>
      </w:r>
      <w:r w:rsidR="00E40679">
        <w:rPr>
          <w:rFonts w:cstheme="minorHAnsi"/>
        </w:rPr>
        <w:t xml:space="preserve">The </w:t>
      </w:r>
      <w:r w:rsidR="00924D00">
        <w:rPr>
          <w:rFonts w:cstheme="minorHAnsi"/>
        </w:rPr>
        <w:t>typical</w:t>
      </w:r>
      <w:r w:rsidR="00F85074">
        <w:rPr>
          <w:rFonts w:cstheme="minorHAnsi"/>
        </w:rPr>
        <w:t xml:space="preserve"> structure </w:t>
      </w:r>
      <w:r w:rsidR="005E58F9">
        <w:rPr>
          <w:rFonts w:cstheme="minorHAnsi"/>
        </w:rPr>
        <w:t>for</w:t>
      </w:r>
      <w:r w:rsidR="00F85074">
        <w:rPr>
          <w:rFonts w:cstheme="minorHAnsi"/>
        </w:rPr>
        <w:t xml:space="preserve"> </w:t>
      </w:r>
      <w:r w:rsidR="000613A8">
        <w:rPr>
          <w:rFonts w:cstheme="minorHAnsi"/>
        </w:rPr>
        <w:t xml:space="preserve">these investments starts with </w:t>
      </w:r>
      <w:r w:rsidR="00924D00">
        <w:rPr>
          <w:rFonts w:cstheme="minorHAnsi"/>
        </w:rPr>
        <w:t>a source entity</w:t>
      </w:r>
      <w:r w:rsidR="00BC3574">
        <w:rPr>
          <w:rFonts w:cstheme="minorHAnsi"/>
        </w:rPr>
        <w:t xml:space="preserve">, the Main Fund in </w:t>
      </w:r>
      <w:r w:rsidR="00BC3574" w:rsidRPr="00BC3574">
        <w:rPr>
          <w:rFonts w:cstheme="minorHAnsi"/>
          <w:i/>
          <w:iCs/>
        </w:rPr>
        <w:t>Figure 1</w:t>
      </w:r>
      <w:r w:rsidR="00BC3574">
        <w:rPr>
          <w:rFonts w:cstheme="minorHAnsi"/>
        </w:rPr>
        <w:t xml:space="preserve">, that holds the </w:t>
      </w:r>
      <w:r w:rsidR="00EA7E74">
        <w:rPr>
          <w:rFonts w:cstheme="minorHAnsi"/>
        </w:rPr>
        <w:t>underlying assets</w:t>
      </w:r>
      <w:r w:rsidR="00C50E29">
        <w:rPr>
          <w:rFonts w:cstheme="minorHAnsi"/>
        </w:rPr>
        <w:t xml:space="preserve">, which </w:t>
      </w:r>
      <w:r w:rsidR="00D402FF">
        <w:rPr>
          <w:rFonts w:cstheme="minorHAnsi"/>
        </w:rPr>
        <w:t>may be</w:t>
      </w:r>
      <w:r w:rsidR="00C50E29">
        <w:rPr>
          <w:rFonts w:cstheme="minorHAnsi"/>
        </w:rPr>
        <w:t xml:space="preserve"> fixed income investments</w:t>
      </w:r>
      <w:r w:rsidR="00EA7E74" w:rsidRPr="77941ED6">
        <w:t>,</w:t>
      </w:r>
      <w:r w:rsidR="004640AE">
        <w:rPr>
          <w:rFonts w:cstheme="minorHAnsi"/>
        </w:rPr>
        <w:t xml:space="preserve"> but there can be many variations</w:t>
      </w:r>
      <w:r w:rsidR="000402A8">
        <w:rPr>
          <w:rFonts w:cstheme="minorHAnsi"/>
        </w:rPr>
        <w:t xml:space="preserve"> in the </w:t>
      </w:r>
      <w:r w:rsidR="007F4CA3">
        <w:rPr>
          <w:rFonts w:cstheme="minorHAnsi"/>
        </w:rPr>
        <w:t xml:space="preserve">type </w:t>
      </w:r>
      <w:r w:rsidR="007A69F8">
        <w:rPr>
          <w:rFonts w:cstheme="minorHAnsi"/>
        </w:rPr>
        <w:t xml:space="preserve">and nature </w:t>
      </w:r>
      <w:r w:rsidR="007F4CA3">
        <w:rPr>
          <w:rFonts w:cstheme="minorHAnsi"/>
        </w:rPr>
        <w:t xml:space="preserve">of </w:t>
      </w:r>
      <w:r w:rsidR="007A69F8">
        <w:rPr>
          <w:rFonts w:cstheme="minorHAnsi"/>
        </w:rPr>
        <w:t xml:space="preserve">the </w:t>
      </w:r>
      <w:r w:rsidR="000402A8">
        <w:rPr>
          <w:rFonts w:cstheme="minorHAnsi"/>
        </w:rPr>
        <w:t>underlying asset</w:t>
      </w:r>
      <w:r w:rsidR="00EA7E74">
        <w:rPr>
          <w:rFonts w:cstheme="minorHAnsi"/>
        </w:rPr>
        <w:t>.</w:t>
      </w:r>
      <w:r w:rsidR="00924D00">
        <w:rPr>
          <w:rFonts w:cstheme="minorHAnsi"/>
        </w:rPr>
        <w:t xml:space="preserve"> </w:t>
      </w:r>
      <w:r w:rsidR="004640AE">
        <w:rPr>
          <w:rFonts w:cstheme="minorHAnsi"/>
        </w:rPr>
        <w:t xml:space="preserve"> </w:t>
      </w:r>
      <w:r w:rsidR="00A32AEA">
        <w:rPr>
          <w:rFonts w:cstheme="minorHAnsi"/>
        </w:rPr>
        <w:t>If the</w:t>
      </w:r>
      <w:r w:rsidR="00EA7E74">
        <w:rPr>
          <w:rFonts w:cstheme="minorHAnsi"/>
        </w:rPr>
        <w:t xml:space="preserve"> Main Fund</w:t>
      </w:r>
      <w:r w:rsidR="003B1A5F">
        <w:rPr>
          <w:rFonts w:cstheme="minorHAnsi"/>
        </w:rPr>
        <w:t xml:space="preserve">, managed by </w:t>
      </w:r>
      <w:r w:rsidR="00B413B6">
        <w:rPr>
          <w:rFonts w:cstheme="minorHAnsi"/>
        </w:rPr>
        <w:t>General Partner</w:t>
      </w:r>
      <w:r w:rsidR="004C47E0">
        <w:rPr>
          <w:rFonts w:cstheme="minorHAnsi"/>
        </w:rPr>
        <w:t>s</w:t>
      </w:r>
      <w:r w:rsidR="00B413B6">
        <w:rPr>
          <w:rFonts w:cstheme="minorHAnsi"/>
        </w:rPr>
        <w:t xml:space="preserve"> (GP),</w:t>
      </w:r>
      <w:r w:rsidR="00EA7E74">
        <w:rPr>
          <w:rFonts w:cstheme="minorHAnsi"/>
        </w:rPr>
        <w:t xml:space="preserve"> </w:t>
      </w:r>
      <w:r w:rsidR="00A32AEA">
        <w:rPr>
          <w:rFonts w:cstheme="minorHAnsi"/>
        </w:rPr>
        <w:t xml:space="preserve">were to sell </w:t>
      </w:r>
      <w:r w:rsidR="008D4578">
        <w:rPr>
          <w:rFonts w:cstheme="minorHAnsi"/>
        </w:rPr>
        <w:t xml:space="preserve">Limited Partnership Interests </w:t>
      </w:r>
      <w:r w:rsidR="00AB3B36">
        <w:rPr>
          <w:rFonts w:cstheme="minorHAnsi"/>
        </w:rPr>
        <w:t xml:space="preserve">(LP Interest) </w:t>
      </w:r>
      <w:r w:rsidR="00A32AEA">
        <w:rPr>
          <w:rFonts w:cstheme="minorHAnsi"/>
        </w:rPr>
        <w:t>direct</w:t>
      </w:r>
      <w:r w:rsidR="00042152">
        <w:rPr>
          <w:rFonts w:cstheme="minorHAnsi"/>
        </w:rPr>
        <w:t xml:space="preserve">ly </w:t>
      </w:r>
      <w:r w:rsidR="008D4578">
        <w:rPr>
          <w:rFonts w:cstheme="minorHAnsi"/>
        </w:rPr>
        <w:t xml:space="preserve">to </w:t>
      </w:r>
      <w:r w:rsidR="00042152">
        <w:rPr>
          <w:rFonts w:cstheme="minorHAnsi"/>
        </w:rPr>
        <w:t>an insurer, as investor, the</w:t>
      </w:r>
      <w:r w:rsidR="00DF7B80">
        <w:rPr>
          <w:rFonts w:cstheme="minorHAnsi"/>
        </w:rPr>
        <w:t xml:space="preserve"> </w:t>
      </w:r>
      <w:r w:rsidR="00AB3B36">
        <w:rPr>
          <w:rFonts w:cstheme="minorHAnsi"/>
        </w:rPr>
        <w:t xml:space="preserve">LP </w:t>
      </w:r>
      <w:r w:rsidR="00DF7B80">
        <w:rPr>
          <w:rFonts w:cstheme="minorHAnsi"/>
        </w:rPr>
        <w:t xml:space="preserve">Interest </w:t>
      </w:r>
      <w:r w:rsidR="0051253D">
        <w:rPr>
          <w:rFonts w:cstheme="minorHAnsi"/>
        </w:rPr>
        <w:t xml:space="preserve">would typically fall under </w:t>
      </w:r>
      <w:r w:rsidR="0051253D" w:rsidRPr="00334282">
        <w:rPr>
          <w:rFonts w:cstheme="minorHAnsi"/>
          <w:i/>
          <w:iCs/>
          <w:u w:val="single"/>
        </w:rPr>
        <w:t>SSAP No. 48 – Joint Ventures</w:t>
      </w:r>
      <w:r w:rsidR="0024655A" w:rsidRPr="00334282">
        <w:rPr>
          <w:rFonts w:cstheme="minorHAnsi"/>
          <w:i/>
          <w:iCs/>
          <w:u w:val="single"/>
        </w:rPr>
        <w:t xml:space="preserve">, Partnerships and Limited </w:t>
      </w:r>
      <w:r w:rsidR="00334282" w:rsidRPr="00334282">
        <w:rPr>
          <w:rFonts w:cstheme="minorHAnsi"/>
          <w:i/>
          <w:iCs/>
          <w:u w:val="single"/>
        </w:rPr>
        <w:t>Liability Companies</w:t>
      </w:r>
      <w:r w:rsidR="00334282">
        <w:rPr>
          <w:rFonts w:cstheme="minorHAnsi"/>
        </w:rPr>
        <w:t xml:space="preserve"> and be reported on Schedule BA. </w:t>
      </w:r>
      <w:r w:rsidR="00C50E29">
        <w:rPr>
          <w:rFonts w:cstheme="minorHAnsi"/>
        </w:rPr>
        <w:t xml:space="preserve">The investment would then receive an equity RBC charge unless filed with the SVO for a NAIC Designation. </w:t>
      </w:r>
      <w:r w:rsidR="00277BC4">
        <w:rPr>
          <w:rFonts w:cstheme="minorHAnsi"/>
        </w:rPr>
        <w:t xml:space="preserve">However, </w:t>
      </w:r>
      <w:r w:rsidR="0019095D">
        <w:rPr>
          <w:rFonts w:cstheme="minorHAnsi"/>
        </w:rPr>
        <w:t xml:space="preserve">in a structured </w:t>
      </w:r>
      <w:r w:rsidR="0001619A">
        <w:rPr>
          <w:rFonts w:cstheme="minorHAnsi"/>
        </w:rPr>
        <w:t xml:space="preserve">equity and funds </w:t>
      </w:r>
      <w:r w:rsidR="00D24D5F">
        <w:rPr>
          <w:rFonts w:cstheme="minorHAnsi"/>
        </w:rPr>
        <w:t xml:space="preserve">transaction, </w:t>
      </w:r>
      <w:r w:rsidR="004F5119">
        <w:rPr>
          <w:rFonts w:cstheme="minorHAnsi"/>
        </w:rPr>
        <w:t xml:space="preserve">an </w:t>
      </w:r>
      <w:r w:rsidR="00F846B4">
        <w:rPr>
          <w:rFonts w:cstheme="minorHAnsi"/>
        </w:rPr>
        <w:t xml:space="preserve">investor in the </w:t>
      </w:r>
      <w:r w:rsidR="00277BC4">
        <w:rPr>
          <w:rFonts w:cstheme="minorHAnsi"/>
        </w:rPr>
        <w:t xml:space="preserve">Main Fund </w:t>
      </w:r>
      <w:proofErr w:type="gramStart"/>
      <w:r w:rsidR="00A46DD1">
        <w:rPr>
          <w:rFonts w:cstheme="minorHAnsi"/>
        </w:rPr>
        <w:t>is able to</w:t>
      </w:r>
      <w:proofErr w:type="gramEnd"/>
      <w:r w:rsidR="00A46DD1">
        <w:rPr>
          <w:rFonts w:cstheme="minorHAnsi"/>
        </w:rPr>
        <w:t xml:space="preserve"> </w:t>
      </w:r>
      <w:r w:rsidR="002028F5">
        <w:rPr>
          <w:rFonts w:cstheme="minorHAnsi"/>
        </w:rPr>
        <w:t xml:space="preserve">circumvent </w:t>
      </w:r>
      <w:r w:rsidR="00C85903">
        <w:rPr>
          <w:rFonts w:cstheme="minorHAnsi"/>
        </w:rPr>
        <w:t xml:space="preserve">regulatory guidance </w:t>
      </w:r>
      <w:r w:rsidR="000714D7">
        <w:rPr>
          <w:rFonts w:cstheme="minorHAnsi"/>
        </w:rPr>
        <w:t>when</w:t>
      </w:r>
      <w:r w:rsidR="00277BC4">
        <w:rPr>
          <w:rFonts w:cstheme="minorHAnsi"/>
        </w:rPr>
        <w:t xml:space="preserve"> </w:t>
      </w:r>
      <w:r w:rsidR="005206FC">
        <w:rPr>
          <w:rFonts w:cstheme="minorHAnsi"/>
        </w:rPr>
        <w:t xml:space="preserve">the </w:t>
      </w:r>
      <w:r w:rsidR="00277BC4">
        <w:rPr>
          <w:rFonts w:cstheme="minorHAnsi"/>
        </w:rPr>
        <w:t xml:space="preserve">LP Interest </w:t>
      </w:r>
      <w:r w:rsidR="005206FC">
        <w:rPr>
          <w:rFonts w:cstheme="minorHAnsi"/>
        </w:rPr>
        <w:t xml:space="preserve">is </w:t>
      </w:r>
      <w:r w:rsidR="00F01333">
        <w:rPr>
          <w:rFonts w:cstheme="minorHAnsi"/>
        </w:rPr>
        <w:t xml:space="preserve">routed through </w:t>
      </w:r>
      <w:r w:rsidR="00D24D5F">
        <w:rPr>
          <w:rFonts w:cstheme="minorHAnsi"/>
        </w:rPr>
        <w:t xml:space="preserve">an intermediate </w:t>
      </w:r>
      <w:r w:rsidR="00A8524B">
        <w:rPr>
          <w:rFonts w:cstheme="minorHAnsi"/>
        </w:rPr>
        <w:t xml:space="preserve">private </w:t>
      </w:r>
      <w:r w:rsidR="00D24D5F">
        <w:rPr>
          <w:rFonts w:cstheme="minorHAnsi"/>
        </w:rPr>
        <w:t>entity</w:t>
      </w:r>
      <w:r w:rsidR="009C4BF3">
        <w:rPr>
          <w:rFonts w:cstheme="minorHAnsi"/>
        </w:rPr>
        <w:t>, the</w:t>
      </w:r>
      <w:r w:rsidR="00B97019">
        <w:rPr>
          <w:rFonts w:cstheme="minorHAnsi"/>
        </w:rPr>
        <w:t xml:space="preserve"> </w:t>
      </w:r>
      <w:r w:rsidR="00123828">
        <w:rPr>
          <w:rFonts w:cstheme="minorHAnsi"/>
        </w:rPr>
        <w:t xml:space="preserve">Debt Feeder Fund in </w:t>
      </w:r>
      <w:r w:rsidR="00123828" w:rsidRPr="00123828">
        <w:rPr>
          <w:rFonts w:cstheme="minorHAnsi"/>
          <w:i/>
          <w:iCs/>
        </w:rPr>
        <w:t>Figure 1</w:t>
      </w:r>
      <w:r w:rsidR="00123828">
        <w:rPr>
          <w:rFonts w:cstheme="minorHAnsi"/>
        </w:rPr>
        <w:t>,</w:t>
      </w:r>
      <w:r w:rsidR="00E40679">
        <w:rPr>
          <w:rFonts w:cstheme="minorHAnsi"/>
        </w:rPr>
        <w:t xml:space="preserve"> </w:t>
      </w:r>
      <w:r w:rsidR="00141F98">
        <w:rPr>
          <w:rFonts w:cstheme="minorHAnsi"/>
        </w:rPr>
        <w:t xml:space="preserve">which </w:t>
      </w:r>
      <w:r w:rsidR="00E40679">
        <w:rPr>
          <w:rFonts w:cstheme="minorHAnsi"/>
        </w:rPr>
        <w:t xml:space="preserve">issues </w:t>
      </w:r>
      <w:r w:rsidR="00F22772">
        <w:rPr>
          <w:rFonts w:cstheme="minorHAnsi"/>
        </w:rPr>
        <w:t>one or more tranches of notes</w:t>
      </w:r>
      <w:r w:rsidR="00E40679">
        <w:rPr>
          <w:rFonts w:cstheme="minorHAnsi"/>
        </w:rPr>
        <w:t xml:space="preserve"> and </w:t>
      </w:r>
      <w:r w:rsidR="00B97019">
        <w:rPr>
          <w:rFonts w:cstheme="minorHAnsi"/>
        </w:rPr>
        <w:t xml:space="preserve">possibly </w:t>
      </w:r>
      <w:r w:rsidR="00E40679">
        <w:rPr>
          <w:rFonts w:cstheme="minorHAnsi"/>
        </w:rPr>
        <w:t>a small equity or limited partnership interest</w:t>
      </w:r>
      <w:r w:rsidR="00821FE7">
        <w:rPr>
          <w:rFonts w:cstheme="minorHAnsi"/>
        </w:rPr>
        <w:t xml:space="preserve"> in itself</w:t>
      </w:r>
      <w:r w:rsidR="00E40679">
        <w:rPr>
          <w:rFonts w:cstheme="minorHAnsi"/>
        </w:rPr>
        <w:t xml:space="preserve">.  </w:t>
      </w:r>
    </w:p>
    <w:p w14:paraId="2F2CC9DC" w14:textId="6DD32FA7" w:rsidR="00342EEA" w:rsidRDefault="00ED17AC" w:rsidP="009C5D4C">
      <w:pPr>
        <w:spacing w:line="240" w:lineRule="auto"/>
        <w:jc w:val="both"/>
        <w:rPr>
          <w:rFonts w:cstheme="minorHAnsi"/>
        </w:rPr>
      </w:pPr>
      <w:r>
        <w:rPr>
          <w:rFonts w:cstheme="minorHAnsi"/>
        </w:rPr>
        <w:t xml:space="preserve">In the PLR filing that alerted the SVO to this type of investment, the assets underlying the structure were purported to be “B” quality </w:t>
      </w:r>
      <w:r w:rsidR="006935D9">
        <w:rPr>
          <w:rFonts w:cstheme="minorHAnsi"/>
        </w:rPr>
        <w:t xml:space="preserve">fixed income </w:t>
      </w:r>
      <w:r>
        <w:rPr>
          <w:rFonts w:cstheme="minorHAnsi"/>
        </w:rPr>
        <w:t xml:space="preserve">investments.  Specific details about the underlying investments were not provided and there was no transparency as to whether they were bonds, mortgage loans, real estate, affiliate notes or some other type of asset.  The transaction was described as a </w:t>
      </w:r>
      <w:r w:rsidR="002E5C6D">
        <w:rPr>
          <w:rFonts w:cstheme="minorHAnsi"/>
        </w:rPr>
        <w:t>Debt F</w:t>
      </w:r>
      <w:r>
        <w:rPr>
          <w:rFonts w:cstheme="minorHAnsi"/>
        </w:rPr>
        <w:t xml:space="preserve">eeder </w:t>
      </w:r>
      <w:r w:rsidR="002E5C6D">
        <w:rPr>
          <w:rFonts w:cstheme="minorHAnsi"/>
        </w:rPr>
        <w:t>F</w:t>
      </w:r>
      <w:r>
        <w:rPr>
          <w:rFonts w:cstheme="minorHAnsi"/>
        </w:rPr>
        <w:t>und issuing “investment units” comprised of 90% Senior Notes and 10% limited partnership interest, implying that the investor must participate in both, though this joining of the note to equity may not always be required in other structures.  The weighted average life of the assets was identified as four-</w:t>
      </w:r>
      <w:proofErr w:type="gramStart"/>
      <w:r>
        <w:rPr>
          <w:rFonts w:cstheme="minorHAnsi"/>
        </w:rPr>
        <w:t>years</w:t>
      </w:r>
      <w:proofErr w:type="gramEnd"/>
      <w:r>
        <w:rPr>
          <w:rFonts w:cstheme="minorHAnsi"/>
        </w:rPr>
        <w:t xml:space="preserve"> but the Senior Notes had a remaining term of 12 years and paid interest of 8.00%, which could be deferred without capitalization.  The Senior Notes were rated BBB+ by a CRP.  </w:t>
      </w:r>
    </w:p>
    <w:p w14:paraId="22F7AA15" w14:textId="54E87E50" w:rsidR="003B1A5F" w:rsidRDefault="00E40679" w:rsidP="009C5D4C">
      <w:pPr>
        <w:spacing w:line="240" w:lineRule="auto"/>
        <w:jc w:val="both"/>
        <w:rPr>
          <w:rFonts w:cstheme="minorHAnsi"/>
        </w:rPr>
      </w:pPr>
      <w:r>
        <w:rPr>
          <w:rFonts w:cstheme="minorHAnsi"/>
        </w:rPr>
        <w:t xml:space="preserve">The </w:t>
      </w:r>
      <w:r w:rsidR="001049CE">
        <w:rPr>
          <w:rFonts w:cstheme="minorHAnsi"/>
        </w:rPr>
        <w:t>issuing</w:t>
      </w:r>
      <w:r w:rsidR="00141F98">
        <w:rPr>
          <w:rFonts w:cstheme="minorHAnsi"/>
        </w:rPr>
        <w:t xml:space="preserve"> Debt Feeder Fund </w:t>
      </w:r>
      <w:r w:rsidR="0087473C">
        <w:rPr>
          <w:rFonts w:cstheme="minorHAnsi"/>
        </w:rPr>
        <w:t xml:space="preserve">sells </w:t>
      </w:r>
      <w:r w:rsidR="004414B9">
        <w:rPr>
          <w:rFonts w:cstheme="minorHAnsi"/>
        </w:rPr>
        <w:t>the</w:t>
      </w:r>
      <w:r w:rsidR="00CC5C23">
        <w:rPr>
          <w:rFonts w:cstheme="minorHAnsi"/>
        </w:rPr>
        <w:t xml:space="preserve"> “investment u</w:t>
      </w:r>
      <w:r w:rsidR="007F39A6">
        <w:rPr>
          <w:rFonts w:cstheme="minorHAnsi"/>
        </w:rPr>
        <w:t>nits”</w:t>
      </w:r>
      <w:r w:rsidR="004414B9">
        <w:rPr>
          <w:rFonts w:cstheme="minorHAnsi"/>
        </w:rPr>
        <w:t xml:space="preserve"> </w:t>
      </w:r>
      <w:r w:rsidR="007F39A6">
        <w:rPr>
          <w:rFonts w:cstheme="minorHAnsi"/>
        </w:rPr>
        <w:t>(</w:t>
      </w:r>
      <w:r w:rsidR="00FC4F5C">
        <w:rPr>
          <w:rFonts w:cstheme="minorHAnsi"/>
        </w:rPr>
        <w:t xml:space="preserve">a </w:t>
      </w:r>
      <w:r w:rsidR="004414B9">
        <w:rPr>
          <w:rFonts w:cstheme="minorHAnsi"/>
        </w:rPr>
        <w:t xml:space="preserve">note and </w:t>
      </w:r>
      <w:r w:rsidR="007F39A6">
        <w:rPr>
          <w:rFonts w:cstheme="minorHAnsi"/>
        </w:rPr>
        <w:t>LP Interest)</w:t>
      </w:r>
      <w:r w:rsidR="0010725F">
        <w:rPr>
          <w:rFonts w:cstheme="minorHAnsi"/>
        </w:rPr>
        <w:t xml:space="preserve"> to insurers who report the note as </w:t>
      </w:r>
      <w:r w:rsidR="007D76D3">
        <w:rPr>
          <w:rFonts w:cstheme="minorHAnsi"/>
        </w:rPr>
        <w:t xml:space="preserve">a </w:t>
      </w:r>
      <w:r w:rsidR="0010725F">
        <w:rPr>
          <w:rFonts w:cstheme="minorHAnsi"/>
        </w:rPr>
        <w:t xml:space="preserve">“bond” under </w:t>
      </w:r>
      <w:r w:rsidR="0098278B" w:rsidRPr="0098278B">
        <w:rPr>
          <w:rFonts w:cstheme="minorHAnsi"/>
          <w:i/>
          <w:iCs/>
          <w:u w:val="single"/>
        </w:rPr>
        <w:t xml:space="preserve">SSAP No. 26R </w:t>
      </w:r>
      <w:r w:rsidR="0098278B">
        <w:rPr>
          <w:rFonts w:cstheme="minorHAnsi"/>
          <w:i/>
          <w:iCs/>
          <w:u w:val="single"/>
        </w:rPr>
        <w:t>–</w:t>
      </w:r>
      <w:r w:rsidR="0098278B" w:rsidRPr="0098278B">
        <w:rPr>
          <w:rFonts w:cstheme="minorHAnsi"/>
          <w:i/>
          <w:iCs/>
          <w:u w:val="single"/>
        </w:rPr>
        <w:t xml:space="preserve"> Bonds</w:t>
      </w:r>
      <w:r w:rsidR="0098278B">
        <w:rPr>
          <w:rFonts w:cstheme="minorHAnsi"/>
        </w:rPr>
        <w:t xml:space="preserve"> and the small portion of equity</w:t>
      </w:r>
      <w:r w:rsidR="00471297">
        <w:rPr>
          <w:rFonts w:cstheme="minorHAnsi"/>
        </w:rPr>
        <w:t xml:space="preserve"> </w:t>
      </w:r>
      <w:r w:rsidR="00F5347B">
        <w:rPr>
          <w:rFonts w:cstheme="minorHAnsi"/>
        </w:rPr>
        <w:t xml:space="preserve">as a </w:t>
      </w:r>
      <w:r w:rsidR="004528F7">
        <w:rPr>
          <w:rFonts w:cstheme="minorHAnsi"/>
        </w:rPr>
        <w:t xml:space="preserve">joint venture or </w:t>
      </w:r>
      <w:r w:rsidR="00F5347B">
        <w:rPr>
          <w:rFonts w:cstheme="minorHAnsi"/>
        </w:rPr>
        <w:t xml:space="preserve">LP Interest under </w:t>
      </w:r>
      <w:r w:rsidR="00F5347B" w:rsidRPr="00334282">
        <w:rPr>
          <w:rFonts w:cstheme="minorHAnsi"/>
          <w:i/>
          <w:iCs/>
          <w:u w:val="single"/>
        </w:rPr>
        <w:t>SSAP No. 48 – Joint Ventures, Partnerships and Limited Liability Companies</w:t>
      </w:r>
      <w:r w:rsidR="00F5347B">
        <w:rPr>
          <w:rFonts w:cstheme="minorHAnsi"/>
          <w:i/>
          <w:iCs/>
          <w:u w:val="single"/>
        </w:rPr>
        <w:t>.</w:t>
      </w:r>
      <w:r w:rsidR="00617696" w:rsidRPr="00F5347B">
        <w:rPr>
          <w:rFonts w:cstheme="minorHAnsi"/>
          <w:i/>
          <w:iCs/>
        </w:rPr>
        <w:t xml:space="preserve"> </w:t>
      </w:r>
      <w:r w:rsidR="003F560F" w:rsidRPr="009C1E93">
        <w:rPr>
          <w:rFonts w:cstheme="minorHAnsi"/>
        </w:rPr>
        <w:t xml:space="preserve"> </w:t>
      </w:r>
      <w:r w:rsidR="00292BF0">
        <w:rPr>
          <w:rFonts w:cstheme="minorHAnsi"/>
        </w:rPr>
        <w:t>There is no</w:t>
      </w:r>
      <w:r w:rsidR="008F4E20">
        <w:rPr>
          <w:rFonts w:cstheme="minorHAnsi"/>
        </w:rPr>
        <w:t xml:space="preserve"> t</w:t>
      </w:r>
      <w:r w:rsidR="00C41F1C" w:rsidRPr="009C1E93">
        <w:rPr>
          <w:rFonts w:cstheme="minorHAnsi"/>
        </w:rPr>
        <w:t>ran</w:t>
      </w:r>
      <w:r w:rsidR="008F4E20">
        <w:rPr>
          <w:rFonts w:cstheme="minorHAnsi"/>
        </w:rPr>
        <w:t>sparen</w:t>
      </w:r>
      <w:r w:rsidR="00292BF0">
        <w:rPr>
          <w:rFonts w:cstheme="minorHAnsi"/>
        </w:rPr>
        <w:t xml:space="preserve">cy </w:t>
      </w:r>
      <w:r w:rsidR="00181F2A">
        <w:rPr>
          <w:rFonts w:cstheme="minorHAnsi"/>
        </w:rPr>
        <w:t>that the</w:t>
      </w:r>
      <w:r w:rsidR="00C41F1C" w:rsidRPr="009C1E93">
        <w:rPr>
          <w:rFonts w:cstheme="minorHAnsi"/>
        </w:rPr>
        <w:t xml:space="preserve"> note</w:t>
      </w:r>
      <w:r w:rsidR="00181F2A">
        <w:rPr>
          <w:rFonts w:cstheme="minorHAnsi"/>
        </w:rPr>
        <w:t xml:space="preserve">s </w:t>
      </w:r>
      <w:r w:rsidR="00D62072">
        <w:rPr>
          <w:rFonts w:cstheme="minorHAnsi"/>
        </w:rPr>
        <w:t>issued by the Debt Feed</w:t>
      </w:r>
      <w:r w:rsidR="00E14CB9">
        <w:rPr>
          <w:rFonts w:cstheme="minorHAnsi"/>
        </w:rPr>
        <w:t>er</w:t>
      </w:r>
      <w:r w:rsidR="00D62072">
        <w:rPr>
          <w:rFonts w:cstheme="minorHAnsi"/>
        </w:rPr>
        <w:t xml:space="preserve"> Fund </w:t>
      </w:r>
      <w:r w:rsidR="00181F2A">
        <w:rPr>
          <w:rFonts w:cstheme="minorHAnsi"/>
        </w:rPr>
        <w:t xml:space="preserve">are backed </w:t>
      </w:r>
      <w:r w:rsidR="001F5770">
        <w:rPr>
          <w:rFonts w:cstheme="minorHAnsi"/>
        </w:rPr>
        <w:t xml:space="preserve">only </w:t>
      </w:r>
      <w:r w:rsidR="00181F2A">
        <w:rPr>
          <w:rFonts w:cstheme="minorHAnsi"/>
        </w:rPr>
        <w:t>by a</w:t>
      </w:r>
      <w:r w:rsidR="00975EC4">
        <w:rPr>
          <w:rFonts w:cstheme="minorHAnsi"/>
        </w:rPr>
        <w:t xml:space="preserve"> separate</w:t>
      </w:r>
      <w:r w:rsidR="00181F2A">
        <w:rPr>
          <w:rFonts w:cstheme="minorHAnsi"/>
        </w:rPr>
        <w:t xml:space="preserve"> LP Interest</w:t>
      </w:r>
      <w:r w:rsidR="00C41F1C" w:rsidRPr="008F2324">
        <w:rPr>
          <w:rFonts w:cstheme="minorHAnsi"/>
        </w:rPr>
        <w:t xml:space="preserve"> </w:t>
      </w:r>
      <w:r w:rsidR="00D62072">
        <w:rPr>
          <w:rFonts w:cstheme="minorHAnsi"/>
        </w:rPr>
        <w:t>in the Main Fund.</w:t>
      </w:r>
      <w:r w:rsidR="00C41F1C" w:rsidRPr="008F2324">
        <w:rPr>
          <w:rFonts w:cstheme="minorHAnsi"/>
        </w:rPr>
        <w:t xml:space="preserve"> </w:t>
      </w:r>
      <w:r w:rsidR="00D62072">
        <w:rPr>
          <w:rFonts w:cstheme="minorHAnsi"/>
        </w:rPr>
        <w:t xml:space="preserve"> </w:t>
      </w:r>
      <w:r w:rsidR="003F560F" w:rsidRPr="003F560F">
        <w:rPr>
          <w:rFonts w:cstheme="minorHAnsi"/>
        </w:rPr>
        <w:t>E</w:t>
      </w:r>
      <w:r w:rsidR="00617696">
        <w:rPr>
          <w:rFonts w:cstheme="minorHAnsi"/>
        </w:rPr>
        <w:t>ither directly or indirectly</w:t>
      </w:r>
      <w:r w:rsidR="005C545D">
        <w:rPr>
          <w:rFonts w:cstheme="minorHAnsi"/>
        </w:rPr>
        <w:t>,</w:t>
      </w:r>
      <w:r w:rsidR="001A7302">
        <w:rPr>
          <w:rFonts w:cstheme="minorHAnsi"/>
        </w:rPr>
        <w:t xml:space="preserve"> </w:t>
      </w:r>
      <w:r w:rsidR="00686845">
        <w:rPr>
          <w:rFonts w:cstheme="minorHAnsi"/>
        </w:rPr>
        <w:t>a</w:t>
      </w:r>
      <w:r w:rsidR="005C545D">
        <w:rPr>
          <w:rFonts w:cstheme="minorHAnsi"/>
        </w:rPr>
        <w:t xml:space="preserve">n investment in </w:t>
      </w:r>
      <w:r w:rsidR="00686845">
        <w:rPr>
          <w:rFonts w:cstheme="minorHAnsi"/>
        </w:rPr>
        <w:t>a limited partner</w:t>
      </w:r>
      <w:r w:rsidR="00F84E10">
        <w:rPr>
          <w:rFonts w:cstheme="minorHAnsi"/>
        </w:rPr>
        <w:t>ship in</w:t>
      </w:r>
      <w:r w:rsidR="002A6EFB">
        <w:rPr>
          <w:rFonts w:cstheme="minorHAnsi"/>
        </w:rPr>
        <w:t xml:space="preserve">terest </w:t>
      </w:r>
      <w:r w:rsidR="001B35BA">
        <w:rPr>
          <w:rFonts w:cstheme="minorHAnsi"/>
        </w:rPr>
        <w:t xml:space="preserve">or equity investment </w:t>
      </w:r>
      <w:r w:rsidR="00C72534">
        <w:rPr>
          <w:rFonts w:cstheme="minorHAnsi"/>
        </w:rPr>
        <w:t>is transformed in</w:t>
      </w:r>
      <w:r w:rsidR="001B35BA">
        <w:rPr>
          <w:rFonts w:cstheme="minorHAnsi"/>
        </w:rPr>
        <w:t>to</w:t>
      </w:r>
      <w:r w:rsidR="00C72534">
        <w:rPr>
          <w:rFonts w:cstheme="minorHAnsi"/>
        </w:rPr>
        <w:t xml:space="preserve"> a “bond” because </w:t>
      </w:r>
      <w:r w:rsidR="003B1A5F">
        <w:rPr>
          <w:rFonts w:cstheme="minorHAnsi"/>
        </w:rPr>
        <w:t xml:space="preserve">of </w:t>
      </w:r>
      <w:r w:rsidR="00AF2291">
        <w:rPr>
          <w:rFonts w:cstheme="minorHAnsi"/>
        </w:rPr>
        <w:t>its</w:t>
      </w:r>
      <w:r w:rsidR="003B1A5F">
        <w:rPr>
          <w:rFonts w:cstheme="minorHAnsi"/>
        </w:rPr>
        <w:t xml:space="preserve"> legal structure</w:t>
      </w:r>
      <w:r w:rsidR="00C50E29">
        <w:rPr>
          <w:rFonts w:cstheme="minorHAnsi"/>
        </w:rPr>
        <w:t>, without any review of its substance as a fixed-income instrument</w:t>
      </w:r>
      <w:r w:rsidR="00D85A59">
        <w:rPr>
          <w:rFonts w:cstheme="minorHAnsi"/>
        </w:rPr>
        <w:t>, which</w:t>
      </w:r>
      <w:r w:rsidR="00C50E29">
        <w:rPr>
          <w:rFonts w:cstheme="minorHAnsi"/>
        </w:rPr>
        <w:t xml:space="preserve"> would be required under the proposed bond definition</w:t>
      </w:r>
      <w:r w:rsidR="00346FA1">
        <w:rPr>
          <w:rFonts w:cstheme="minorHAnsi"/>
        </w:rPr>
        <w:t xml:space="preserve"> and </w:t>
      </w:r>
      <w:r w:rsidR="00223A63">
        <w:rPr>
          <w:rFonts w:cstheme="minorHAnsi"/>
        </w:rPr>
        <w:t xml:space="preserve">is </w:t>
      </w:r>
      <w:r w:rsidR="00D74A02">
        <w:rPr>
          <w:rFonts w:cstheme="minorHAnsi"/>
        </w:rPr>
        <w:t>require</w:t>
      </w:r>
      <w:r w:rsidR="00C54FB4">
        <w:rPr>
          <w:rFonts w:cstheme="minorHAnsi"/>
        </w:rPr>
        <w:t>d</w:t>
      </w:r>
      <w:r w:rsidR="00D74A02">
        <w:rPr>
          <w:rFonts w:cstheme="minorHAnsi"/>
        </w:rPr>
        <w:t xml:space="preserve"> today in </w:t>
      </w:r>
      <w:r w:rsidR="00C442FE">
        <w:rPr>
          <w:rFonts w:cstheme="minorHAnsi"/>
        </w:rPr>
        <w:t xml:space="preserve">the P&amp;P Manual </w:t>
      </w:r>
      <w:proofErr w:type="gramStart"/>
      <w:r w:rsidR="001B340A">
        <w:rPr>
          <w:rFonts w:cstheme="minorHAnsi"/>
        </w:rPr>
        <w:t xml:space="preserve">in order </w:t>
      </w:r>
      <w:r w:rsidR="002A2408">
        <w:rPr>
          <w:rFonts w:cstheme="minorHAnsi"/>
        </w:rPr>
        <w:t>to</w:t>
      </w:r>
      <w:proofErr w:type="gramEnd"/>
      <w:r w:rsidR="002A2408">
        <w:rPr>
          <w:rFonts w:cstheme="minorHAnsi"/>
        </w:rPr>
        <w:t xml:space="preserve"> assign an</w:t>
      </w:r>
      <w:r w:rsidR="00C442FE" w:rsidRPr="00C442FE">
        <w:rPr>
          <w:rFonts w:cstheme="minorHAnsi"/>
        </w:rPr>
        <w:t xml:space="preserve"> NAIC Designation</w:t>
      </w:r>
      <w:r w:rsidR="002A2408">
        <w:rPr>
          <w:rFonts w:cstheme="minorHAnsi"/>
        </w:rPr>
        <w:t xml:space="preserve"> to </w:t>
      </w:r>
      <w:r w:rsidR="0038478A">
        <w:rPr>
          <w:rFonts w:cstheme="minorHAnsi"/>
        </w:rPr>
        <w:t xml:space="preserve">non-registered </w:t>
      </w:r>
      <w:r w:rsidR="00F21EC7">
        <w:rPr>
          <w:rFonts w:cstheme="minorHAnsi"/>
        </w:rPr>
        <w:t>private fund</w:t>
      </w:r>
      <w:r w:rsidR="00C54FB4">
        <w:rPr>
          <w:rFonts w:cstheme="minorHAnsi"/>
        </w:rPr>
        <w:t>s</w:t>
      </w:r>
      <w:r w:rsidR="00F21EC7">
        <w:rPr>
          <w:rFonts w:cstheme="minorHAnsi"/>
        </w:rPr>
        <w:t xml:space="preserve"> with underlying assets </w:t>
      </w:r>
      <w:r w:rsidR="00202FE8">
        <w:rPr>
          <w:rFonts w:cstheme="minorHAnsi"/>
        </w:rPr>
        <w:t>having characteristics of bonds or preferred stock</w:t>
      </w:r>
      <w:r w:rsidR="003B1A5F">
        <w:rPr>
          <w:rFonts w:cstheme="minorHAnsi"/>
        </w:rPr>
        <w:t xml:space="preserve">. </w:t>
      </w:r>
    </w:p>
    <w:p w14:paraId="01DDEAAE" w14:textId="7642B3FA" w:rsidR="00390046" w:rsidRPr="00390046" w:rsidRDefault="00932EF2" w:rsidP="009C5D4C">
      <w:pPr>
        <w:spacing w:line="240" w:lineRule="auto"/>
        <w:jc w:val="both"/>
        <w:rPr>
          <w:rFonts w:cstheme="minorHAnsi"/>
        </w:rPr>
      </w:pPr>
      <w:r w:rsidRPr="004365CE">
        <w:rPr>
          <w:noProof/>
        </w:rPr>
        <w:lastRenderedPageBreak/>
        <w:drawing>
          <wp:anchor distT="0" distB="0" distL="114300" distR="114300" simplePos="0" relativeHeight="251658240" behindDoc="0" locked="0" layoutInCell="1" allowOverlap="1" wp14:anchorId="12F4F329" wp14:editId="0E4D3362">
            <wp:simplePos x="0" y="0"/>
            <wp:positionH relativeFrom="column">
              <wp:posOffset>3282315</wp:posOffset>
            </wp:positionH>
            <wp:positionV relativeFrom="paragraph">
              <wp:posOffset>357798</wp:posOffset>
            </wp:positionV>
            <wp:extent cx="2689225" cy="2171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922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4926">
        <w:rPr>
          <w:rFonts w:cstheme="minorHAnsi"/>
        </w:rPr>
        <w:t xml:space="preserve">Continuing </w:t>
      </w:r>
      <w:r w:rsidR="00BD3A2D">
        <w:rPr>
          <w:rFonts w:cstheme="minorHAnsi"/>
        </w:rPr>
        <w:t>th</w:t>
      </w:r>
      <w:r w:rsidR="000B4926">
        <w:rPr>
          <w:rFonts w:cstheme="minorHAnsi"/>
        </w:rPr>
        <w:t>is</w:t>
      </w:r>
      <w:r w:rsidR="00BD3A2D">
        <w:rPr>
          <w:rFonts w:cstheme="minorHAnsi"/>
        </w:rPr>
        <w:t xml:space="preserve"> example </w:t>
      </w:r>
      <w:r w:rsidR="001973BC">
        <w:rPr>
          <w:rFonts w:cstheme="minorHAnsi"/>
        </w:rPr>
        <w:t xml:space="preserve">in </w:t>
      </w:r>
      <w:r w:rsidR="001973BC" w:rsidRPr="001973BC">
        <w:rPr>
          <w:rFonts w:cstheme="minorHAnsi"/>
          <w:i/>
          <w:iCs/>
        </w:rPr>
        <w:t xml:space="preserve">Figure </w:t>
      </w:r>
      <w:r w:rsidR="00BD556D">
        <w:rPr>
          <w:rFonts w:cstheme="minorHAnsi"/>
          <w:i/>
          <w:iCs/>
        </w:rPr>
        <w:t>2</w:t>
      </w:r>
      <w:r w:rsidR="00D5274F">
        <w:rPr>
          <w:rFonts w:cstheme="minorHAnsi"/>
          <w:i/>
          <w:iCs/>
        </w:rPr>
        <w:t>,</w:t>
      </w:r>
      <w:r w:rsidR="001973BC">
        <w:rPr>
          <w:rFonts w:cstheme="minorHAnsi"/>
        </w:rPr>
        <w:t xml:space="preserve"> </w:t>
      </w:r>
      <w:r w:rsidR="00BD3A2D">
        <w:rPr>
          <w:rFonts w:cstheme="minorHAnsi"/>
        </w:rPr>
        <w:t>t</w:t>
      </w:r>
      <w:r w:rsidR="003B3AC6">
        <w:rPr>
          <w:rFonts w:cstheme="minorHAnsi"/>
        </w:rPr>
        <w:t xml:space="preserve">he </w:t>
      </w:r>
      <w:r w:rsidR="00A44D0F">
        <w:rPr>
          <w:rFonts w:cstheme="minorHAnsi"/>
        </w:rPr>
        <w:t xml:space="preserve">Debt Feeder Fund, </w:t>
      </w:r>
      <w:r w:rsidR="003B0AE2">
        <w:rPr>
          <w:rFonts w:cstheme="minorHAnsi"/>
        </w:rPr>
        <w:t>as issuer</w:t>
      </w:r>
      <w:r w:rsidR="00A44D0F">
        <w:rPr>
          <w:rFonts w:cstheme="minorHAnsi"/>
        </w:rPr>
        <w:t>,</w:t>
      </w:r>
      <w:r w:rsidR="003B3AC6">
        <w:rPr>
          <w:rFonts w:cstheme="minorHAnsi"/>
        </w:rPr>
        <w:t xml:space="preserve"> </w:t>
      </w:r>
      <w:r w:rsidR="00BD3A2D">
        <w:rPr>
          <w:rFonts w:cstheme="minorHAnsi"/>
        </w:rPr>
        <w:t>issue</w:t>
      </w:r>
      <w:r w:rsidR="00A55774">
        <w:rPr>
          <w:rFonts w:cstheme="minorHAnsi"/>
        </w:rPr>
        <w:t>s</w:t>
      </w:r>
      <w:r w:rsidR="00BD3A2D">
        <w:rPr>
          <w:rFonts w:cstheme="minorHAnsi"/>
        </w:rPr>
        <w:t xml:space="preserve"> $90 million in notes</w:t>
      </w:r>
      <w:r w:rsidR="00200054">
        <w:rPr>
          <w:rFonts w:cstheme="minorHAnsi"/>
        </w:rPr>
        <w:t xml:space="preserve"> </w:t>
      </w:r>
      <w:r w:rsidR="00FB78FC">
        <w:rPr>
          <w:rFonts w:cstheme="minorHAnsi"/>
        </w:rPr>
        <w:t xml:space="preserve">and $10 </w:t>
      </w:r>
      <w:r w:rsidR="00A55774">
        <w:rPr>
          <w:rFonts w:cstheme="minorHAnsi"/>
        </w:rPr>
        <w:t xml:space="preserve">million </w:t>
      </w:r>
      <w:r w:rsidR="00FB78FC">
        <w:rPr>
          <w:rFonts w:cstheme="minorHAnsi"/>
        </w:rPr>
        <w:t xml:space="preserve">in </w:t>
      </w:r>
      <w:r w:rsidR="006854B0">
        <w:rPr>
          <w:rFonts w:cstheme="minorHAnsi"/>
        </w:rPr>
        <w:t>LP</w:t>
      </w:r>
      <w:r w:rsidR="00FB78FC">
        <w:rPr>
          <w:rFonts w:cstheme="minorHAnsi"/>
        </w:rPr>
        <w:t xml:space="preserve"> interests</w:t>
      </w:r>
      <w:r w:rsidR="0028709B">
        <w:rPr>
          <w:rFonts w:cstheme="minorHAnsi"/>
        </w:rPr>
        <w:t xml:space="preserve"> </w:t>
      </w:r>
      <w:r w:rsidR="000E354C">
        <w:rPr>
          <w:rFonts w:cstheme="minorHAnsi"/>
        </w:rPr>
        <w:t>that are purchased by insurers</w:t>
      </w:r>
      <w:r w:rsidR="00A55774">
        <w:rPr>
          <w:rFonts w:cstheme="minorHAnsi"/>
        </w:rPr>
        <w:t>.</w:t>
      </w:r>
      <w:r w:rsidR="0028709B">
        <w:rPr>
          <w:rFonts w:cstheme="minorHAnsi"/>
        </w:rPr>
        <w:t xml:space="preserve"> </w:t>
      </w:r>
      <w:r w:rsidR="00A55774">
        <w:rPr>
          <w:rFonts w:cstheme="minorHAnsi"/>
        </w:rPr>
        <w:t xml:space="preserve"> The </w:t>
      </w:r>
      <w:r w:rsidR="00FB78FC">
        <w:rPr>
          <w:rFonts w:cstheme="minorHAnsi"/>
        </w:rPr>
        <w:t xml:space="preserve">$100 </w:t>
      </w:r>
      <w:r w:rsidR="005B4BB8">
        <w:rPr>
          <w:rFonts w:cstheme="minorHAnsi"/>
        </w:rPr>
        <w:t xml:space="preserve">million in total proceeds </w:t>
      </w:r>
      <w:r w:rsidR="000E354C">
        <w:rPr>
          <w:rFonts w:cstheme="minorHAnsi"/>
        </w:rPr>
        <w:t xml:space="preserve">are used </w:t>
      </w:r>
      <w:r w:rsidR="00A71275">
        <w:rPr>
          <w:rFonts w:cstheme="minorHAnsi"/>
        </w:rPr>
        <w:t xml:space="preserve">by the Debt Feeder Fund to </w:t>
      </w:r>
      <w:r w:rsidR="003B64E0">
        <w:rPr>
          <w:rFonts w:cstheme="minorHAnsi"/>
        </w:rPr>
        <w:t xml:space="preserve">acquire </w:t>
      </w:r>
      <w:r w:rsidR="00DB3418">
        <w:rPr>
          <w:rFonts w:cstheme="minorHAnsi"/>
        </w:rPr>
        <w:t>an</w:t>
      </w:r>
      <w:r w:rsidR="003B64E0">
        <w:rPr>
          <w:rFonts w:cstheme="minorHAnsi"/>
        </w:rPr>
        <w:t xml:space="preserve"> LP Interest in the Main Fund</w:t>
      </w:r>
      <w:r w:rsidR="00DB3418">
        <w:rPr>
          <w:rFonts w:cstheme="minorHAnsi"/>
        </w:rPr>
        <w:t xml:space="preserve">. </w:t>
      </w:r>
      <w:r w:rsidR="00D02F75">
        <w:rPr>
          <w:rFonts w:cstheme="minorHAnsi"/>
        </w:rPr>
        <w:t xml:space="preserve"> </w:t>
      </w:r>
      <w:r w:rsidR="00DB3418">
        <w:rPr>
          <w:rFonts w:cstheme="minorHAnsi"/>
        </w:rPr>
        <w:t>The Main Fund</w:t>
      </w:r>
      <w:r w:rsidR="003B64E0">
        <w:rPr>
          <w:rFonts w:cstheme="minorHAnsi"/>
        </w:rPr>
        <w:t xml:space="preserve"> uses </w:t>
      </w:r>
      <w:r w:rsidR="00047FD1">
        <w:rPr>
          <w:rFonts w:cstheme="minorHAnsi"/>
        </w:rPr>
        <w:t xml:space="preserve">proceeds from </w:t>
      </w:r>
      <w:r w:rsidR="00F12E43">
        <w:rPr>
          <w:rFonts w:cstheme="minorHAnsi"/>
        </w:rPr>
        <w:t xml:space="preserve">Debt Feeder Fund’s </w:t>
      </w:r>
      <w:r w:rsidR="00047FD1">
        <w:rPr>
          <w:rFonts w:cstheme="minorHAnsi"/>
        </w:rPr>
        <w:t xml:space="preserve">LP Interest </w:t>
      </w:r>
      <w:r w:rsidR="00F12E43">
        <w:rPr>
          <w:rFonts w:cstheme="minorHAnsi"/>
        </w:rPr>
        <w:t xml:space="preserve">investment </w:t>
      </w:r>
      <w:r w:rsidR="005B4BB8">
        <w:rPr>
          <w:rFonts w:cstheme="minorHAnsi"/>
        </w:rPr>
        <w:t xml:space="preserve">to invest in </w:t>
      </w:r>
      <w:r w:rsidR="00226C19">
        <w:rPr>
          <w:rFonts w:cstheme="minorHAnsi"/>
        </w:rPr>
        <w:t xml:space="preserve">what are reported to be </w:t>
      </w:r>
      <w:r w:rsidR="005B4BB8">
        <w:rPr>
          <w:rFonts w:cstheme="minorHAnsi"/>
        </w:rPr>
        <w:t xml:space="preserve">“B” rated </w:t>
      </w:r>
      <w:r w:rsidR="00F142D0">
        <w:rPr>
          <w:rFonts w:cstheme="minorHAnsi"/>
        </w:rPr>
        <w:t xml:space="preserve">fixed income </w:t>
      </w:r>
      <w:r w:rsidR="005B4BB8">
        <w:rPr>
          <w:rFonts w:cstheme="minorHAnsi"/>
        </w:rPr>
        <w:t>securities</w:t>
      </w:r>
      <w:r w:rsidR="004229C8">
        <w:rPr>
          <w:rFonts w:cstheme="minorHAnsi"/>
        </w:rPr>
        <w:t xml:space="preserve"> </w:t>
      </w:r>
    </w:p>
    <w:p w14:paraId="3856797E" w14:textId="46D94949" w:rsidR="00362F87" w:rsidRDefault="00932EF2" w:rsidP="004402C8">
      <w:pPr>
        <w:spacing w:line="240" w:lineRule="auto"/>
        <w:jc w:val="both"/>
        <w:rPr>
          <w:rFonts w:cstheme="minorHAnsi"/>
        </w:rPr>
      </w:pPr>
      <w:r>
        <w:rPr>
          <w:noProof/>
        </w:rPr>
        <mc:AlternateContent>
          <mc:Choice Requires="wps">
            <w:drawing>
              <wp:anchor distT="0" distB="0" distL="114300" distR="114300" simplePos="0" relativeHeight="251658241" behindDoc="0" locked="0" layoutInCell="1" allowOverlap="1" wp14:anchorId="1636D8A3" wp14:editId="7494798D">
                <wp:simplePos x="0" y="0"/>
                <wp:positionH relativeFrom="column">
                  <wp:posOffset>3284855</wp:posOffset>
                </wp:positionH>
                <wp:positionV relativeFrom="paragraph">
                  <wp:posOffset>1483946</wp:posOffset>
                </wp:positionV>
                <wp:extent cx="2689225" cy="177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689225" cy="177800"/>
                        </a:xfrm>
                        <a:prstGeom prst="rect">
                          <a:avLst/>
                        </a:prstGeom>
                        <a:solidFill>
                          <a:prstClr val="white"/>
                        </a:solidFill>
                        <a:ln>
                          <a:noFill/>
                        </a:ln>
                      </wps:spPr>
                      <wps:txbx>
                        <w:txbxContent>
                          <w:p w14:paraId="7936CB81" w14:textId="3F4413CF" w:rsidR="00851C0D" w:rsidRPr="00E17C1D" w:rsidRDefault="00851C0D" w:rsidP="00851C0D">
                            <w:pPr>
                              <w:pStyle w:val="Caption"/>
                            </w:pPr>
                            <w:r>
                              <w:t xml:space="preserve">Figure </w:t>
                            </w:r>
                            <w:r w:rsidR="00BB34C5">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36D8A3" id="Text Box 4" o:spid="_x0000_s1027" type="#_x0000_t202" style="position:absolute;left:0;text-align:left;margin-left:258.65pt;margin-top:116.85pt;width:211.75pt;height:14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" stroked="f">
                <v:textbox inset="0,0,0,0">
                  <w:txbxContent>
                    <w:p w14:paraId="7936CB81" w14:textId="3F4413CF" w:rsidR="00851C0D" w:rsidRPr="00E17C1D" w:rsidRDefault="00851C0D" w:rsidP="00851C0D">
                      <w:pPr>
                        <w:pStyle w:val="Caption"/>
                      </w:pPr>
                      <w:r>
                        <w:t xml:space="preserve">Figure </w:t>
                      </w:r>
                      <w:r w:rsidR="00BB34C5">
                        <w:t>2</w:t>
                      </w:r>
                    </w:p>
                  </w:txbxContent>
                </v:textbox>
                <w10:wrap type="square"/>
              </v:shape>
            </w:pict>
          </mc:Fallback>
        </mc:AlternateContent>
      </w:r>
      <w:r w:rsidR="005A3B11">
        <w:rPr>
          <w:rFonts w:cstheme="minorHAnsi"/>
        </w:rPr>
        <w:t xml:space="preserve">By </w:t>
      </w:r>
      <w:r w:rsidR="009347EA">
        <w:rPr>
          <w:rFonts w:cstheme="minorHAnsi"/>
        </w:rPr>
        <w:t>investing in</w:t>
      </w:r>
      <w:r w:rsidR="005A3B11">
        <w:rPr>
          <w:rFonts w:cstheme="minorHAnsi"/>
        </w:rPr>
        <w:t xml:space="preserve"> the investment </w:t>
      </w:r>
      <w:r w:rsidR="009347EA">
        <w:rPr>
          <w:rFonts w:cstheme="minorHAnsi"/>
        </w:rPr>
        <w:t>units</w:t>
      </w:r>
      <w:r w:rsidR="00B268E1">
        <w:rPr>
          <w:rFonts w:cstheme="minorHAnsi"/>
        </w:rPr>
        <w:t xml:space="preserve"> issued by the </w:t>
      </w:r>
      <w:r w:rsidR="00702E08">
        <w:rPr>
          <w:rFonts w:cstheme="minorHAnsi"/>
        </w:rPr>
        <w:t xml:space="preserve">Debt </w:t>
      </w:r>
      <w:r w:rsidR="008C2BC8">
        <w:rPr>
          <w:rFonts w:cstheme="minorHAnsi"/>
        </w:rPr>
        <w:t>F</w:t>
      </w:r>
      <w:r w:rsidR="00B268E1">
        <w:rPr>
          <w:rFonts w:cstheme="minorHAnsi"/>
        </w:rPr>
        <w:t xml:space="preserve">eeder </w:t>
      </w:r>
      <w:r w:rsidR="008C2BC8">
        <w:rPr>
          <w:rFonts w:cstheme="minorHAnsi"/>
        </w:rPr>
        <w:t>F</w:t>
      </w:r>
      <w:r w:rsidR="00B268E1">
        <w:rPr>
          <w:rFonts w:cstheme="minorHAnsi"/>
        </w:rPr>
        <w:t>und</w:t>
      </w:r>
      <w:r w:rsidR="007E347C">
        <w:rPr>
          <w:rFonts w:cstheme="minorHAnsi"/>
        </w:rPr>
        <w:t>,</w:t>
      </w:r>
      <w:r w:rsidR="009347EA">
        <w:rPr>
          <w:rFonts w:cstheme="minorHAnsi"/>
        </w:rPr>
        <w:t xml:space="preserve"> a</w:t>
      </w:r>
      <w:r w:rsidR="00F82843">
        <w:rPr>
          <w:rFonts w:cstheme="minorHAnsi"/>
        </w:rPr>
        <w:t xml:space="preserve">n insurer is able </w:t>
      </w:r>
      <w:r w:rsidR="00941DCB">
        <w:rPr>
          <w:rFonts w:cstheme="minorHAnsi"/>
        </w:rPr>
        <w:t xml:space="preserve">circumvent regulatory </w:t>
      </w:r>
      <w:r w:rsidR="0036151A">
        <w:rPr>
          <w:rFonts w:cstheme="minorHAnsi"/>
        </w:rPr>
        <w:t xml:space="preserve">guidance </w:t>
      </w:r>
      <w:r w:rsidR="004F6ACC">
        <w:rPr>
          <w:rFonts w:cstheme="minorHAnsi"/>
        </w:rPr>
        <w:t>b</w:t>
      </w:r>
      <w:r w:rsidR="00C102F7">
        <w:rPr>
          <w:rFonts w:cstheme="minorHAnsi"/>
        </w:rPr>
        <w:t>y</w:t>
      </w:r>
      <w:r w:rsidR="004F6ACC">
        <w:rPr>
          <w:rFonts w:cstheme="minorHAnsi"/>
        </w:rPr>
        <w:t xml:space="preserve"> transforming</w:t>
      </w:r>
      <w:r w:rsidR="005A3B11">
        <w:rPr>
          <w:rFonts w:cstheme="minorHAnsi"/>
        </w:rPr>
        <w:t xml:space="preserve"> </w:t>
      </w:r>
      <w:r w:rsidR="004349A9">
        <w:rPr>
          <w:rFonts w:cstheme="minorHAnsi"/>
        </w:rPr>
        <w:t xml:space="preserve">the </w:t>
      </w:r>
      <w:r w:rsidR="00C12C3D">
        <w:rPr>
          <w:rFonts w:cstheme="minorHAnsi"/>
        </w:rPr>
        <w:t>M</w:t>
      </w:r>
      <w:r w:rsidR="00A35275">
        <w:rPr>
          <w:rFonts w:cstheme="minorHAnsi"/>
        </w:rPr>
        <w:t xml:space="preserve">ain </w:t>
      </w:r>
      <w:r w:rsidR="00C12C3D">
        <w:rPr>
          <w:rFonts w:cstheme="minorHAnsi"/>
        </w:rPr>
        <w:t>F</w:t>
      </w:r>
      <w:r w:rsidR="00A35275">
        <w:rPr>
          <w:rFonts w:cstheme="minorHAnsi"/>
        </w:rPr>
        <w:t>und</w:t>
      </w:r>
      <w:r w:rsidR="005017ED">
        <w:rPr>
          <w:rFonts w:cstheme="minorHAnsi"/>
        </w:rPr>
        <w:t>’</w:t>
      </w:r>
      <w:r w:rsidR="00A35275">
        <w:rPr>
          <w:rFonts w:cstheme="minorHAnsi"/>
        </w:rPr>
        <w:t xml:space="preserve">s </w:t>
      </w:r>
      <w:r w:rsidR="005A3B11">
        <w:rPr>
          <w:rFonts w:cstheme="minorHAnsi"/>
        </w:rPr>
        <w:t>investment</w:t>
      </w:r>
      <w:r w:rsidR="00FE41F5">
        <w:rPr>
          <w:rFonts w:cstheme="minorHAnsi"/>
        </w:rPr>
        <w:t>s</w:t>
      </w:r>
      <w:r w:rsidR="005A3B11">
        <w:rPr>
          <w:rFonts w:cstheme="minorHAnsi"/>
        </w:rPr>
        <w:t xml:space="preserve"> </w:t>
      </w:r>
      <w:r w:rsidR="006F166D">
        <w:rPr>
          <w:rFonts w:cstheme="minorHAnsi"/>
        </w:rPr>
        <w:t xml:space="preserve">in “B” rated </w:t>
      </w:r>
      <w:r w:rsidR="00F25745">
        <w:rPr>
          <w:rFonts w:cstheme="minorHAnsi"/>
        </w:rPr>
        <w:t xml:space="preserve">loans </w:t>
      </w:r>
      <w:r w:rsidR="00695047">
        <w:rPr>
          <w:rFonts w:cstheme="minorHAnsi"/>
        </w:rPr>
        <w:t xml:space="preserve">into </w:t>
      </w:r>
      <w:r w:rsidR="00A35275">
        <w:rPr>
          <w:rFonts w:cstheme="minorHAnsi"/>
        </w:rPr>
        <w:t xml:space="preserve">a </w:t>
      </w:r>
      <w:r w:rsidR="00695047">
        <w:rPr>
          <w:rFonts w:cstheme="minorHAnsi"/>
        </w:rPr>
        <w:t>much higher</w:t>
      </w:r>
      <w:r w:rsidR="008A2E32">
        <w:rPr>
          <w:rFonts w:cstheme="minorHAnsi"/>
        </w:rPr>
        <w:t xml:space="preserve"> rated note </w:t>
      </w:r>
      <w:r w:rsidR="00844080">
        <w:rPr>
          <w:rFonts w:cstheme="minorHAnsi"/>
        </w:rPr>
        <w:t>due to the</w:t>
      </w:r>
      <w:r w:rsidR="005A3B11">
        <w:rPr>
          <w:rFonts w:cstheme="minorHAnsi"/>
        </w:rPr>
        <w:t xml:space="preserve"> intervening legal </w:t>
      </w:r>
      <w:r w:rsidR="00F25745">
        <w:rPr>
          <w:rFonts w:cstheme="minorHAnsi"/>
        </w:rPr>
        <w:t>entity</w:t>
      </w:r>
      <w:r w:rsidR="007F20F3">
        <w:rPr>
          <w:rFonts w:cstheme="minorHAnsi"/>
        </w:rPr>
        <w:t>.</w:t>
      </w:r>
      <w:r w:rsidR="00171D89">
        <w:rPr>
          <w:rFonts w:cstheme="minorHAnsi"/>
        </w:rPr>
        <w:t xml:space="preserve"> </w:t>
      </w:r>
      <w:r w:rsidR="007F20F3">
        <w:rPr>
          <w:rFonts w:cstheme="minorHAnsi"/>
        </w:rPr>
        <w:t xml:space="preserve"> </w:t>
      </w:r>
      <w:r w:rsidR="00BF3323">
        <w:rPr>
          <w:rFonts w:cstheme="minorHAnsi"/>
        </w:rPr>
        <w:t>A</w:t>
      </w:r>
      <w:r w:rsidR="005A3B11">
        <w:rPr>
          <w:rFonts w:cstheme="minorHAnsi"/>
        </w:rPr>
        <w:t xml:space="preserve">n insurer </w:t>
      </w:r>
      <w:r w:rsidR="00BF3323">
        <w:rPr>
          <w:rFonts w:cstheme="minorHAnsi"/>
        </w:rPr>
        <w:t xml:space="preserve">investing in the </w:t>
      </w:r>
      <w:r w:rsidR="00171D89">
        <w:rPr>
          <w:rFonts w:cstheme="minorHAnsi"/>
        </w:rPr>
        <w:t xml:space="preserve">investment unit </w:t>
      </w:r>
      <w:r w:rsidR="00635775">
        <w:rPr>
          <w:rFonts w:cstheme="minorHAnsi"/>
        </w:rPr>
        <w:t>(</w:t>
      </w:r>
      <w:r w:rsidR="00312A94">
        <w:rPr>
          <w:rFonts w:cstheme="minorHAnsi"/>
        </w:rPr>
        <w:t xml:space="preserve">note </w:t>
      </w:r>
      <w:r w:rsidR="004A434B">
        <w:rPr>
          <w:rFonts w:cstheme="minorHAnsi"/>
        </w:rPr>
        <w:t>and equity</w:t>
      </w:r>
      <w:r w:rsidR="00635775">
        <w:rPr>
          <w:rFonts w:cstheme="minorHAnsi"/>
        </w:rPr>
        <w:t>)</w:t>
      </w:r>
      <w:r w:rsidR="00171D89">
        <w:rPr>
          <w:rFonts w:cstheme="minorHAnsi"/>
        </w:rPr>
        <w:t xml:space="preserve"> </w:t>
      </w:r>
      <w:r w:rsidR="005A3B11">
        <w:rPr>
          <w:rFonts w:cstheme="minorHAnsi"/>
        </w:rPr>
        <w:t xml:space="preserve">would be able to dramatically reduce </w:t>
      </w:r>
      <w:r w:rsidR="00FA1AC2">
        <w:rPr>
          <w:rFonts w:cstheme="minorHAnsi"/>
        </w:rPr>
        <w:t xml:space="preserve">its </w:t>
      </w:r>
      <w:r w:rsidR="005A3B11">
        <w:rPr>
          <w:rFonts w:cstheme="minorHAnsi"/>
        </w:rPr>
        <w:t xml:space="preserve">risk-based capital </w:t>
      </w:r>
      <w:r w:rsidR="007B41CA">
        <w:rPr>
          <w:rFonts w:cstheme="minorHAnsi"/>
        </w:rPr>
        <w:t xml:space="preserve">versus </w:t>
      </w:r>
      <w:r w:rsidR="00652AB6">
        <w:rPr>
          <w:rFonts w:cstheme="minorHAnsi"/>
        </w:rPr>
        <w:t xml:space="preserve">reporting </w:t>
      </w:r>
      <w:r w:rsidR="00DF2C23">
        <w:rPr>
          <w:rFonts w:cstheme="minorHAnsi"/>
        </w:rPr>
        <w:t>an LP Interest</w:t>
      </w:r>
      <w:r w:rsidR="005A3B11">
        <w:rPr>
          <w:rFonts w:cstheme="minorHAnsi"/>
        </w:rPr>
        <w:t xml:space="preserve"> investment</w:t>
      </w:r>
      <w:r w:rsidR="00BB5247">
        <w:rPr>
          <w:rFonts w:cstheme="minorHAnsi"/>
        </w:rPr>
        <w:t xml:space="preserve"> in</w:t>
      </w:r>
      <w:r w:rsidR="005A3B11">
        <w:rPr>
          <w:rFonts w:cstheme="minorHAnsi"/>
        </w:rPr>
        <w:t xml:space="preserve"> the </w:t>
      </w:r>
      <w:r w:rsidR="00DF2C23">
        <w:rPr>
          <w:rFonts w:cstheme="minorHAnsi"/>
        </w:rPr>
        <w:t>main fund hold</w:t>
      </w:r>
      <w:r w:rsidR="00DB6ED0">
        <w:rPr>
          <w:rFonts w:cstheme="minorHAnsi"/>
        </w:rPr>
        <w:t>ing</w:t>
      </w:r>
      <w:r w:rsidR="00DF2C23">
        <w:rPr>
          <w:rFonts w:cstheme="minorHAnsi"/>
        </w:rPr>
        <w:t xml:space="preserve"> </w:t>
      </w:r>
      <w:r w:rsidR="007B41CA">
        <w:rPr>
          <w:rFonts w:cstheme="minorHAnsi"/>
        </w:rPr>
        <w:t>“B” rated loans</w:t>
      </w:r>
      <w:r w:rsidR="00C030A0">
        <w:rPr>
          <w:rFonts w:cstheme="minorHAnsi"/>
        </w:rPr>
        <w:t xml:space="preserve"> but</w:t>
      </w:r>
      <w:r w:rsidR="005A3B11">
        <w:rPr>
          <w:rFonts w:cstheme="minorHAnsi"/>
        </w:rPr>
        <w:t xml:space="preserve"> </w:t>
      </w:r>
      <w:r w:rsidR="00A21846">
        <w:rPr>
          <w:rFonts w:cstheme="minorHAnsi"/>
        </w:rPr>
        <w:t xml:space="preserve">be exposed to </w:t>
      </w:r>
      <w:r w:rsidR="005A3B11">
        <w:rPr>
          <w:rFonts w:cstheme="minorHAnsi"/>
        </w:rPr>
        <w:t xml:space="preserve">identical economic risk.  </w:t>
      </w:r>
      <w:r w:rsidR="002A31BA">
        <w:rPr>
          <w:rFonts w:cstheme="minorHAnsi"/>
        </w:rPr>
        <w:t>Using the information provided</w:t>
      </w:r>
      <w:r w:rsidR="007C0D01">
        <w:rPr>
          <w:rFonts w:cstheme="minorHAnsi"/>
        </w:rPr>
        <w:t xml:space="preserve"> </w:t>
      </w:r>
      <w:r w:rsidR="00207300">
        <w:rPr>
          <w:rFonts w:cstheme="minorHAnsi"/>
        </w:rPr>
        <w:t xml:space="preserve">in the PLR </w:t>
      </w:r>
      <w:r w:rsidR="007C0D01">
        <w:rPr>
          <w:rFonts w:cstheme="minorHAnsi"/>
        </w:rPr>
        <w:t>implies</w:t>
      </w:r>
      <w:r w:rsidR="004D4858">
        <w:rPr>
          <w:rFonts w:cstheme="minorHAnsi"/>
        </w:rPr>
        <w:t xml:space="preserve">, as noted in </w:t>
      </w:r>
      <w:r w:rsidR="004D4858" w:rsidRPr="00440B5D">
        <w:rPr>
          <w:rFonts w:cstheme="minorHAnsi"/>
          <w:i/>
          <w:iCs/>
        </w:rPr>
        <w:t>Figure 2</w:t>
      </w:r>
      <w:r w:rsidR="004D4858">
        <w:rPr>
          <w:rFonts w:cstheme="minorHAnsi"/>
        </w:rPr>
        <w:t>,</w:t>
      </w:r>
      <w:r w:rsidR="007C0D01">
        <w:rPr>
          <w:rFonts w:cstheme="minorHAnsi"/>
        </w:rPr>
        <w:t xml:space="preserve"> </w:t>
      </w:r>
      <w:r w:rsidR="008359FD">
        <w:rPr>
          <w:rFonts w:cstheme="minorHAnsi"/>
        </w:rPr>
        <w:t>the</w:t>
      </w:r>
      <w:r w:rsidR="007C0D01">
        <w:rPr>
          <w:rFonts w:cstheme="minorHAnsi"/>
        </w:rPr>
        <w:t xml:space="preserve"> insurer </w:t>
      </w:r>
      <w:r w:rsidR="00C53CB0">
        <w:rPr>
          <w:rFonts w:cstheme="minorHAnsi"/>
        </w:rPr>
        <w:t xml:space="preserve">making this investment </w:t>
      </w:r>
      <w:r w:rsidR="007C0D01">
        <w:rPr>
          <w:rFonts w:cstheme="minorHAnsi"/>
        </w:rPr>
        <w:t xml:space="preserve">could reduce </w:t>
      </w:r>
      <w:r w:rsidR="00216210">
        <w:rPr>
          <w:rFonts w:cstheme="minorHAnsi"/>
        </w:rPr>
        <w:t xml:space="preserve">its </w:t>
      </w:r>
      <w:r w:rsidR="007C0D01">
        <w:rPr>
          <w:rFonts w:cstheme="minorHAnsi"/>
        </w:rPr>
        <w:t>risk-based capital by 56.6%</w:t>
      </w:r>
      <w:r w:rsidR="003E680B">
        <w:rPr>
          <w:rFonts w:cstheme="minorHAnsi"/>
        </w:rPr>
        <w:t>,</w:t>
      </w:r>
      <w:r w:rsidR="003E680B" w:rsidRPr="004D4858">
        <w:rPr>
          <w:rFonts w:cstheme="minorHAnsi"/>
        </w:rPr>
        <w:t xml:space="preserve"> </w:t>
      </w:r>
      <w:r w:rsidR="003E680B">
        <w:rPr>
          <w:rFonts w:cstheme="minorHAnsi"/>
        </w:rPr>
        <w:t>an RBC factor</w:t>
      </w:r>
      <w:r w:rsidR="003E680B" w:rsidRPr="004D4858">
        <w:rPr>
          <w:rFonts w:cstheme="minorHAnsi"/>
        </w:rPr>
        <w:t xml:space="preserve"> </w:t>
      </w:r>
      <w:r w:rsidR="00256539">
        <w:rPr>
          <w:rFonts w:cstheme="minorHAnsi"/>
        </w:rPr>
        <w:t xml:space="preserve">reduction of </w:t>
      </w:r>
      <w:r w:rsidR="003E680B">
        <w:rPr>
          <w:rFonts w:cstheme="minorHAnsi"/>
        </w:rPr>
        <w:t>5.40</w:t>
      </w:r>
      <w:r w:rsidR="003E680B" w:rsidRPr="004D4858">
        <w:rPr>
          <w:rFonts w:cstheme="minorHAnsi"/>
        </w:rPr>
        <w:t>%</w:t>
      </w:r>
      <w:r w:rsidR="003E680B">
        <w:rPr>
          <w:rFonts w:cstheme="minorHAnsi"/>
        </w:rPr>
        <w:t>,</w:t>
      </w:r>
      <w:r w:rsidR="007C0D01">
        <w:rPr>
          <w:rFonts w:cstheme="minorHAnsi"/>
        </w:rPr>
        <w:t xml:space="preserve"> </w:t>
      </w:r>
      <w:r w:rsidR="00A84662">
        <w:rPr>
          <w:rFonts w:cstheme="minorHAnsi"/>
        </w:rPr>
        <w:t xml:space="preserve">if </w:t>
      </w:r>
      <w:r w:rsidR="00E4506A">
        <w:rPr>
          <w:rFonts w:cstheme="minorHAnsi"/>
        </w:rPr>
        <w:t xml:space="preserve">it </w:t>
      </w:r>
      <w:r w:rsidR="00A84662">
        <w:rPr>
          <w:rFonts w:cstheme="minorHAnsi"/>
        </w:rPr>
        <w:t xml:space="preserve">invested in the investment unit </w:t>
      </w:r>
      <w:r w:rsidR="005A3B11">
        <w:rPr>
          <w:rFonts w:cstheme="minorHAnsi"/>
        </w:rPr>
        <w:t>(</w:t>
      </w:r>
      <w:r w:rsidR="003E0870">
        <w:rPr>
          <w:rFonts w:cstheme="minorHAnsi"/>
        </w:rPr>
        <w:t xml:space="preserve">note </w:t>
      </w:r>
      <w:r w:rsidR="005A3B11">
        <w:rPr>
          <w:rFonts w:cstheme="minorHAnsi"/>
        </w:rPr>
        <w:t xml:space="preserve">and equity) </w:t>
      </w:r>
      <w:r w:rsidR="004C12D6">
        <w:rPr>
          <w:rFonts w:cstheme="minorHAnsi"/>
        </w:rPr>
        <w:t xml:space="preserve">with the note rated by a CRP </w:t>
      </w:r>
      <w:r w:rsidR="00A84662">
        <w:rPr>
          <w:rFonts w:cstheme="minorHAnsi"/>
        </w:rPr>
        <w:t>instead of investing in the underlying assets directly</w:t>
      </w:r>
      <w:r w:rsidR="00305B9D">
        <w:rPr>
          <w:rFonts w:cstheme="minorHAnsi"/>
        </w:rPr>
        <w:t xml:space="preserve"> </w:t>
      </w:r>
      <w:r w:rsidR="000633DB">
        <w:rPr>
          <w:rFonts w:cstheme="minorHAnsi"/>
        </w:rPr>
        <w:t>while</w:t>
      </w:r>
      <w:r w:rsidR="00305B9D">
        <w:rPr>
          <w:rFonts w:cstheme="minorHAnsi"/>
        </w:rPr>
        <w:t xml:space="preserve"> maintain</w:t>
      </w:r>
      <w:r w:rsidR="000633DB">
        <w:rPr>
          <w:rFonts w:cstheme="minorHAnsi"/>
        </w:rPr>
        <w:t>ing</w:t>
      </w:r>
      <w:r w:rsidR="00305B9D">
        <w:rPr>
          <w:rFonts w:cstheme="minorHAnsi"/>
        </w:rPr>
        <w:t xml:space="preserve"> the exact same economic exposure</w:t>
      </w:r>
      <w:r w:rsidR="00A84662">
        <w:rPr>
          <w:rFonts w:cstheme="minorHAnsi"/>
        </w:rPr>
        <w:t>.</w:t>
      </w:r>
      <w:r w:rsidR="004365CE" w:rsidRPr="004365CE">
        <w:rPr>
          <w:rFonts w:cstheme="minorHAnsi"/>
        </w:rPr>
        <w:t xml:space="preserve"> </w:t>
      </w:r>
      <w:r w:rsidR="0073331C">
        <w:rPr>
          <w:rFonts w:cstheme="minorHAnsi"/>
        </w:rPr>
        <w:t xml:space="preserve"> </w:t>
      </w:r>
      <w:r w:rsidR="00B3163C">
        <w:rPr>
          <w:rFonts w:cstheme="minorHAnsi"/>
        </w:rPr>
        <w:t xml:space="preserve">If a Health or Property Casualty insurer invested in this structure the risk-based capital arbitrage advantage could be significantly higher because those insurers cannot take advantage of an SVO assigned NAIC Designation for a Schedule BA Non-Registered Private Fund with Underlying Assets Having the Characteristics of Bonds or Preferred Stock in their RBC reporting schedules.  </w:t>
      </w:r>
      <w:r w:rsidR="00C72C93">
        <w:rPr>
          <w:rFonts w:cstheme="minorHAnsi"/>
        </w:rPr>
        <w:t xml:space="preserve">If the </w:t>
      </w:r>
      <w:r w:rsidR="00D201E2">
        <w:rPr>
          <w:rFonts w:cstheme="minorHAnsi"/>
        </w:rPr>
        <w:t>note</w:t>
      </w:r>
      <w:r w:rsidR="00244CCC">
        <w:rPr>
          <w:rFonts w:cstheme="minorHAnsi"/>
        </w:rPr>
        <w:t>’s NAIC Designation was not derived from</w:t>
      </w:r>
      <w:r w:rsidR="00D201E2">
        <w:rPr>
          <w:rFonts w:cstheme="minorHAnsi"/>
        </w:rPr>
        <w:t xml:space="preserve"> </w:t>
      </w:r>
      <w:r w:rsidR="00AE148B">
        <w:rPr>
          <w:rFonts w:cstheme="minorHAnsi"/>
        </w:rPr>
        <w:t>this</w:t>
      </w:r>
      <w:r w:rsidR="00D201E2">
        <w:rPr>
          <w:rFonts w:cstheme="minorHAnsi"/>
        </w:rPr>
        <w:t xml:space="preserve"> CRP </w:t>
      </w:r>
      <w:r w:rsidR="00AC1DF2">
        <w:rPr>
          <w:rFonts w:cstheme="minorHAnsi"/>
        </w:rPr>
        <w:t xml:space="preserve">PLR </w:t>
      </w:r>
      <w:r w:rsidR="00D201E2">
        <w:rPr>
          <w:rFonts w:cstheme="minorHAnsi"/>
        </w:rPr>
        <w:t>rating</w:t>
      </w:r>
      <w:r w:rsidR="00D46AA7">
        <w:rPr>
          <w:rFonts w:cstheme="minorHAnsi"/>
        </w:rPr>
        <w:t>,</w:t>
      </w:r>
      <w:r w:rsidR="00D201E2">
        <w:rPr>
          <w:rFonts w:cstheme="minorHAnsi"/>
        </w:rPr>
        <w:t xml:space="preserve"> t</w:t>
      </w:r>
      <w:r w:rsidR="00715FAA">
        <w:rPr>
          <w:rFonts w:cstheme="minorHAnsi"/>
        </w:rPr>
        <w:t>he</w:t>
      </w:r>
      <w:r w:rsidR="00665AB2">
        <w:rPr>
          <w:rFonts w:cstheme="minorHAnsi"/>
        </w:rPr>
        <w:t xml:space="preserve"> </w:t>
      </w:r>
      <w:r w:rsidR="00556072">
        <w:rPr>
          <w:rFonts w:cstheme="minorHAnsi"/>
        </w:rPr>
        <w:t>risk-based capital</w:t>
      </w:r>
      <w:r w:rsidR="00665AB2">
        <w:rPr>
          <w:rFonts w:cstheme="minorHAnsi"/>
        </w:rPr>
        <w:t xml:space="preserve"> </w:t>
      </w:r>
      <w:r w:rsidR="00011846">
        <w:rPr>
          <w:rFonts w:cstheme="minorHAnsi"/>
        </w:rPr>
        <w:t xml:space="preserve">arbitrage </w:t>
      </w:r>
      <w:r w:rsidR="00FA0A58">
        <w:rPr>
          <w:rFonts w:cstheme="minorHAnsi"/>
        </w:rPr>
        <w:t>neutral</w:t>
      </w:r>
      <w:r w:rsidR="00011846">
        <w:rPr>
          <w:rFonts w:cstheme="minorHAnsi"/>
        </w:rPr>
        <w:t xml:space="preserve"> NAIC Designation </w:t>
      </w:r>
      <w:r w:rsidR="00E80F1B">
        <w:rPr>
          <w:rFonts w:cstheme="minorHAnsi"/>
        </w:rPr>
        <w:t xml:space="preserve">Category </w:t>
      </w:r>
      <w:r w:rsidR="00011846">
        <w:rPr>
          <w:rFonts w:cstheme="minorHAnsi"/>
        </w:rPr>
        <w:t xml:space="preserve">for the notes </w:t>
      </w:r>
      <w:r w:rsidR="00FA0A58">
        <w:rPr>
          <w:rFonts w:cstheme="minorHAnsi"/>
        </w:rPr>
        <w:t>w</w:t>
      </w:r>
      <w:r w:rsidR="00011846">
        <w:rPr>
          <w:rFonts w:cstheme="minorHAnsi"/>
        </w:rPr>
        <w:t>ould be</w:t>
      </w:r>
      <w:r w:rsidR="00633F6F">
        <w:rPr>
          <w:rFonts w:cstheme="minorHAnsi"/>
        </w:rPr>
        <w:t xml:space="preserve"> an NAIC </w:t>
      </w:r>
      <w:r w:rsidR="002D2FA9">
        <w:rPr>
          <w:rFonts w:cstheme="minorHAnsi"/>
        </w:rPr>
        <w:t>4</w:t>
      </w:r>
      <w:r w:rsidR="00633F6F">
        <w:rPr>
          <w:rFonts w:cstheme="minorHAnsi"/>
        </w:rPr>
        <w:t>.</w:t>
      </w:r>
      <w:r w:rsidR="0027683B">
        <w:rPr>
          <w:rFonts w:cstheme="minorHAnsi"/>
        </w:rPr>
        <w:t>A</w:t>
      </w:r>
      <w:r w:rsidR="00C25B98">
        <w:rPr>
          <w:rFonts w:cstheme="minorHAnsi"/>
        </w:rPr>
        <w:t xml:space="preserve"> and the LP Inter</w:t>
      </w:r>
      <w:r w:rsidR="007F48AE">
        <w:rPr>
          <w:rFonts w:cstheme="minorHAnsi"/>
        </w:rPr>
        <w:t>est would receive an NAIC 6 equivalent treatment</w:t>
      </w:r>
      <w:r w:rsidR="00633F6F">
        <w:rPr>
          <w:rFonts w:cstheme="minorHAnsi"/>
        </w:rPr>
        <w:t>.</w:t>
      </w:r>
      <w:r w:rsidR="003C2EF1">
        <w:rPr>
          <w:rFonts w:cstheme="minorHAnsi"/>
        </w:rPr>
        <w:t xml:space="preserve">  </w:t>
      </w:r>
      <w:r w:rsidR="00496615">
        <w:rPr>
          <w:rFonts w:cstheme="minorHAnsi"/>
        </w:rPr>
        <w:t>It is worth noting that th</w:t>
      </w:r>
      <w:r w:rsidR="000D27BF">
        <w:rPr>
          <w:rFonts w:cstheme="minorHAnsi"/>
        </w:rPr>
        <w:t xml:space="preserve">e difference in this example </w:t>
      </w:r>
      <w:r w:rsidR="00496615">
        <w:rPr>
          <w:rFonts w:cstheme="minorHAnsi"/>
        </w:rPr>
        <w:t>is similar in concept to the RBC reduction that occurs through a CLO from owning the underlying loans directly.</w:t>
      </w:r>
      <w:r w:rsidR="003A1EA8">
        <w:rPr>
          <w:rFonts w:cstheme="minorHAnsi"/>
        </w:rPr>
        <w:t xml:space="preserve"> </w:t>
      </w:r>
      <w:r w:rsidR="00362F87">
        <w:rPr>
          <w:rFonts w:cstheme="minorHAnsi"/>
        </w:rPr>
        <w:t xml:space="preserve">  </w:t>
      </w:r>
    </w:p>
    <w:p w14:paraId="070A416D" w14:textId="2C5F945A" w:rsidR="00670E21" w:rsidRDefault="005727CB" w:rsidP="004402C8">
      <w:pPr>
        <w:spacing w:line="240" w:lineRule="auto"/>
        <w:jc w:val="both"/>
        <w:rPr>
          <w:rFonts w:cstheme="minorHAnsi"/>
        </w:rPr>
      </w:pPr>
      <w:r>
        <w:rPr>
          <w:noProof/>
        </w:rPr>
        <w:lastRenderedPageBreak/>
        <mc:AlternateContent>
          <mc:Choice Requires="wps">
            <w:drawing>
              <wp:anchor distT="0" distB="0" distL="114300" distR="114300" simplePos="0" relativeHeight="251658242" behindDoc="0" locked="0" layoutInCell="1" allowOverlap="1" wp14:anchorId="1754867F" wp14:editId="71A0E4C8">
                <wp:simplePos x="0" y="0"/>
                <wp:positionH relativeFrom="column">
                  <wp:posOffset>3225800</wp:posOffset>
                </wp:positionH>
                <wp:positionV relativeFrom="paragraph">
                  <wp:posOffset>2791753</wp:posOffset>
                </wp:positionV>
                <wp:extent cx="2689225" cy="222250"/>
                <wp:effectExtent l="0" t="0" r="0" b="6350"/>
                <wp:wrapSquare wrapText="bothSides"/>
                <wp:docPr id="8" name="Text Box 8"/>
                <wp:cNvGraphicFramePr/>
                <a:graphic xmlns:a="http://schemas.openxmlformats.org/drawingml/2006/main">
                  <a:graphicData uri="http://schemas.microsoft.com/office/word/2010/wordprocessingShape">
                    <wps:wsp>
                      <wps:cNvSpPr txBox="1"/>
                      <wps:spPr>
                        <a:xfrm>
                          <a:off x="0" y="0"/>
                          <a:ext cx="2689225" cy="222250"/>
                        </a:xfrm>
                        <a:prstGeom prst="rect">
                          <a:avLst/>
                        </a:prstGeom>
                        <a:solidFill>
                          <a:prstClr val="white"/>
                        </a:solidFill>
                        <a:ln>
                          <a:noFill/>
                        </a:ln>
                      </wps:spPr>
                      <wps:txbx>
                        <w:txbxContent>
                          <w:p w14:paraId="16704B6F" w14:textId="17DA4796" w:rsidR="00670E21" w:rsidRPr="006B1EE3" w:rsidRDefault="00670E21" w:rsidP="00670E21">
                            <w:pPr>
                              <w:pStyle w:val="Caption"/>
                            </w:pPr>
                            <w:r>
                              <w:t xml:space="preserve">Figure </w:t>
                            </w:r>
                            <w:r w:rsidR="00BB34C5">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54867F" id="Text Box 8" o:spid="_x0000_s1028" type="#_x0000_t202" style="position:absolute;left:0;text-align:left;margin-left:254pt;margin-top:219.8pt;width:211.75pt;height:17.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" stroked="f">
                <v:textbox inset="0,0,0,0">
                  <w:txbxContent>
                    <w:p w14:paraId="16704B6F" w14:textId="17DA4796" w:rsidR="00670E21" w:rsidRPr="006B1EE3" w:rsidRDefault="00670E21" w:rsidP="00670E21">
                      <w:pPr>
                        <w:pStyle w:val="Caption"/>
                      </w:pPr>
                      <w:r>
                        <w:t xml:space="preserve">Figure </w:t>
                      </w:r>
                      <w:r w:rsidR="00BB34C5">
                        <w:t>3</w:t>
                      </w:r>
                    </w:p>
                  </w:txbxContent>
                </v:textbox>
                <w10:wrap type="square"/>
              </v:shape>
            </w:pict>
          </mc:Fallback>
        </mc:AlternateContent>
      </w:r>
      <w:r w:rsidR="00620623" w:rsidRPr="007B255C">
        <w:rPr>
          <w:noProof/>
        </w:rPr>
        <w:drawing>
          <wp:anchor distT="0" distB="0" distL="114300" distR="114300" simplePos="0" relativeHeight="251658244" behindDoc="0" locked="0" layoutInCell="1" allowOverlap="1" wp14:anchorId="4E52DAF3" wp14:editId="13EEA6C9">
            <wp:simplePos x="0" y="0"/>
            <wp:positionH relativeFrom="column">
              <wp:posOffset>3230293</wp:posOffset>
            </wp:positionH>
            <wp:positionV relativeFrom="paragraph">
              <wp:posOffset>461059</wp:posOffset>
            </wp:positionV>
            <wp:extent cx="2689225" cy="22364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9225" cy="2236470"/>
                    </a:xfrm>
                    <a:prstGeom prst="rect">
                      <a:avLst/>
                    </a:prstGeom>
                    <a:noFill/>
                    <a:ln>
                      <a:noFill/>
                    </a:ln>
                  </pic:spPr>
                </pic:pic>
              </a:graphicData>
            </a:graphic>
            <wp14:sizeRelH relativeFrom="page">
              <wp14:pctWidth>0</wp14:pctWidth>
            </wp14:sizeRelH>
            <wp14:sizeRelV relativeFrom="page">
              <wp14:pctHeight>0</wp14:pctHeight>
            </wp14:sizeRelV>
          </wp:anchor>
        </w:drawing>
      </w:r>
      <w:r w:rsidR="00EF098B">
        <w:rPr>
          <w:rFonts w:cstheme="minorHAnsi"/>
        </w:rPr>
        <w:t>Another example transaction</w:t>
      </w:r>
      <w:r w:rsidR="00200054">
        <w:rPr>
          <w:rFonts w:cstheme="minorHAnsi"/>
        </w:rPr>
        <w:t xml:space="preserve"> that the SVO received as a </w:t>
      </w:r>
      <w:r w:rsidR="008C5160">
        <w:rPr>
          <w:rFonts w:cstheme="minorHAnsi"/>
        </w:rPr>
        <w:t>PLR filing</w:t>
      </w:r>
      <w:r w:rsidR="004733D5">
        <w:rPr>
          <w:rFonts w:cstheme="minorHAnsi"/>
        </w:rPr>
        <w:t xml:space="preserve"> in which </w:t>
      </w:r>
      <w:r w:rsidR="00D03131">
        <w:rPr>
          <w:rFonts w:cstheme="minorHAnsi"/>
        </w:rPr>
        <w:t xml:space="preserve">a </w:t>
      </w:r>
      <w:r w:rsidR="00017CB1">
        <w:rPr>
          <w:rFonts w:cstheme="minorHAnsi"/>
        </w:rPr>
        <w:t xml:space="preserve">private equity interest is converted into </w:t>
      </w:r>
      <w:r w:rsidR="00CB1B76">
        <w:rPr>
          <w:rFonts w:cstheme="minorHAnsi"/>
        </w:rPr>
        <w:t>a “bond”</w:t>
      </w:r>
      <w:r w:rsidR="00EF098B">
        <w:rPr>
          <w:rFonts w:cstheme="minorHAnsi"/>
        </w:rPr>
        <w:t xml:space="preserve"> involves a limited liability corporation (LLC) </w:t>
      </w:r>
      <w:r w:rsidR="00175B02">
        <w:rPr>
          <w:rFonts w:cstheme="minorHAnsi"/>
        </w:rPr>
        <w:t xml:space="preserve">whose sole asset is </w:t>
      </w:r>
      <w:r w:rsidR="00EF098B">
        <w:rPr>
          <w:rFonts w:cstheme="minorHAnsi"/>
        </w:rPr>
        <w:t xml:space="preserve">an equity interest in a commercial real estate investment brokers partnership.  </w:t>
      </w:r>
      <w:r w:rsidR="00862F98">
        <w:rPr>
          <w:rFonts w:cstheme="minorHAnsi"/>
        </w:rPr>
        <w:t xml:space="preserve">  </w:t>
      </w:r>
      <w:r w:rsidR="00EF098B">
        <w:rPr>
          <w:rFonts w:cstheme="minorHAnsi"/>
        </w:rPr>
        <w:t>The LLC issue</w:t>
      </w:r>
      <w:r w:rsidR="00862F98">
        <w:rPr>
          <w:rFonts w:cstheme="minorHAnsi"/>
        </w:rPr>
        <w:t>s</w:t>
      </w:r>
      <w:r w:rsidR="00EF098B">
        <w:rPr>
          <w:rFonts w:cstheme="minorHAnsi"/>
        </w:rPr>
        <w:t xml:space="preserve"> two term loans, </w:t>
      </w:r>
      <w:r w:rsidR="004402C8">
        <w:rPr>
          <w:rFonts w:cstheme="minorHAnsi"/>
        </w:rPr>
        <w:t>T</w:t>
      </w:r>
      <w:r w:rsidR="00EF098B">
        <w:rPr>
          <w:rFonts w:cstheme="minorHAnsi"/>
        </w:rPr>
        <w:t xml:space="preserve">erm </w:t>
      </w:r>
      <w:r w:rsidR="004402C8">
        <w:rPr>
          <w:rFonts w:cstheme="minorHAnsi"/>
        </w:rPr>
        <w:t>L</w:t>
      </w:r>
      <w:r w:rsidR="00EF098B">
        <w:rPr>
          <w:rFonts w:cstheme="minorHAnsi"/>
        </w:rPr>
        <w:t xml:space="preserve">oan A for $55 million </w:t>
      </w:r>
      <w:r w:rsidR="00862F98">
        <w:rPr>
          <w:rFonts w:cstheme="minorHAnsi"/>
        </w:rPr>
        <w:t xml:space="preserve">with a CRP rating of BBB- </w:t>
      </w:r>
      <w:r w:rsidR="00EF098B">
        <w:rPr>
          <w:rFonts w:cstheme="minorHAnsi"/>
        </w:rPr>
        <w:t xml:space="preserve">and </w:t>
      </w:r>
      <w:r w:rsidR="004402C8">
        <w:rPr>
          <w:rFonts w:cstheme="minorHAnsi"/>
        </w:rPr>
        <w:t>T</w:t>
      </w:r>
      <w:r w:rsidR="00EF098B">
        <w:rPr>
          <w:rFonts w:cstheme="minorHAnsi"/>
        </w:rPr>
        <w:t xml:space="preserve">erm </w:t>
      </w:r>
      <w:r w:rsidR="004402C8">
        <w:rPr>
          <w:rFonts w:cstheme="minorHAnsi"/>
        </w:rPr>
        <w:t>L</w:t>
      </w:r>
      <w:r w:rsidR="00EF098B">
        <w:rPr>
          <w:rFonts w:cstheme="minorHAnsi"/>
        </w:rPr>
        <w:t>oan B for</w:t>
      </w:r>
      <w:r w:rsidR="004402C8">
        <w:rPr>
          <w:rFonts w:cstheme="minorHAnsi"/>
        </w:rPr>
        <w:t xml:space="preserve"> $55 million</w:t>
      </w:r>
      <w:r w:rsidR="00862F98">
        <w:rPr>
          <w:rFonts w:cstheme="minorHAnsi"/>
        </w:rPr>
        <w:t xml:space="preserve"> with a CRP rating of BB</w:t>
      </w:r>
      <w:r w:rsidR="004402C8">
        <w:rPr>
          <w:rFonts w:cstheme="minorHAnsi"/>
        </w:rPr>
        <w:t>.</w:t>
      </w:r>
      <w:r w:rsidR="00EF098B">
        <w:rPr>
          <w:rFonts w:cstheme="minorHAnsi"/>
        </w:rPr>
        <w:t xml:space="preserve"> </w:t>
      </w:r>
      <w:r w:rsidR="00862F98">
        <w:rPr>
          <w:rFonts w:cstheme="minorHAnsi"/>
        </w:rPr>
        <w:t xml:space="preserve"> </w:t>
      </w:r>
      <w:r w:rsidR="00EF098B">
        <w:rPr>
          <w:rFonts w:cstheme="minorHAnsi"/>
        </w:rPr>
        <w:t xml:space="preserve">The </w:t>
      </w:r>
      <w:r w:rsidR="00862F98">
        <w:rPr>
          <w:rFonts w:cstheme="minorHAnsi"/>
        </w:rPr>
        <w:t xml:space="preserve">LLC’s </w:t>
      </w:r>
      <w:r w:rsidR="00EF098B">
        <w:rPr>
          <w:rFonts w:cstheme="minorHAnsi"/>
        </w:rPr>
        <w:t xml:space="preserve">only source of revenue to make scheduled payments is from </w:t>
      </w:r>
      <w:r w:rsidR="00614025">
        <w:rPr>
          <w:rFonts w:cstheme="minorHAnsi"/>
        </w:rPr>
        <w:t xml:space="preserve">distributions on the </w:t>
      </w:r>
      <w:r w:rsidR="004D448E">
        <w:rPr>
          <w:rFonts w:cstheme="minorHAnsi"/>
        </w:rPr>
        <w:t xml:space="preserve">partnership </w:t>
      </w:r>
      <w:r w:rsidR="00831A91">
        <w:rPr>
          <w:rFonts w:cstheme="minorHAnsi"/>
        </w:rPr>
        <w:t>equity investment</w:t>
      </w:r>
      <w:r w:rsidR="00E857F9">
        <w:rPr>
          <w:rFonts w:cstheme="minorHAnsi"/>
        </w:rPr>
        <w:t xml:space="preserve"> but this is not trans</w:t>
      </w:r>
      <w:r w:rsidR="0077289E">
        <w:rPr>
          <w:rFonts w:cstheme="minorHAnsi"/>
        </w:rPr>
        <w:t>parent because the investments are reported as bonds</w:t>
      </w:r>
      <w:r w:rsidR="00EF098B">
        <w:rPr>
          <w:rFonts w:cstheme="minorHAnsi"/>
        </w:rPr>
        <w:t xml:space="preserve">.  </w:t>
      </w:r>
      <w:r w:rsidR="004402C8">
        <w:rPr>
          <w:rFonts w:cstheme="minorHAnsi"/>
        </w:rPr>
        <w:t>I</w:t>
      </w:r>
      <w:r w:rsidR="004402C8" w:rsidRPr="004402C8">
        <w:rPr>
          <w:rFonts w:cstheme="minorHAnsi"/>
        </w:rPr>
        <w:t>nterest and principal payments on the</w:t>
      </w:r>
      <w:r w:rsidR="004402C8">
        <w:rPr>
          <w:rFonts w:cstheme="minorHAnsi"/>
        </w:rPr>
        <w:t xml:space="preserve"> </w:t>
      </w:r>
      <w:r w:rsidR="004402C8" w:rsidRPr="004402C8">
        <w:rPr>
          <w:rFonts w:cstheme="minorHAnsi"/>
        </w:rPr>
        <w:t xml:space="preserve">Term Loans are both permitted to </w:t>
      </w:r>
      <w:proofErr w:type="gramStart"/>
      <w:r w:rsidR="004402C8" w:rsidRPr="004402C8">
        <w:rPr>
          <w:rFonts w:cstheme="minorHAnsi"/>
        </w:rPr>
        <w:t>accrue</w:t>
      </w:r>
      <w:proofErr w:type="gramEnd"/>
      <w:r w:rsidR="004402C8" w:rsidRPr="004402C8">
        <w:rPr>
          <w:rFonts w:cstheme="minorHAnsi"/>
        </w:rPr>
        <w:t xml:space="preserve"> and non-payment does not constitute an event of default.</w:t>
      </w:r>
      <w:r w:rsidR="00862F98">
        <w:rPr>
          <w:rFonts w:cstheme="minorHAnsi"/>
        </w:rPr>
        <w:t xml:space="preserve">  The Term Loans are subordinate to other payment obligations of the LLC including administrative fees</w:t>
      </w:r>
      <w:r w:rsidR="00615090">
        <w:rPr>
          <w:rFonts w:cstheme="minorHAnsi"/>
        </w:rPr>
        <w:t>.  The PLR mention</w:t>
      </w:r>
      <w:r w:rsidR="00B85A6D">
        <w:rPr>
          <w:rFonts w:cstheme="minorHAnsi"/>
        </w:rPr>
        <w:t>ed</w:t>
      </w:r>
      <w:r w:rsidR="00073737">
        <w:rPr>
          <w:rFonts w:cstheme="minorHAnsi"/>
        </w:rPr>
        <w:t xml:space="preserve"> that</w:t>
      </w:r>
      <w:r w:rsidR="00862F98">
        <w:rPr>
          <w:rFonts w:cstheme="minorHAnsi"/>
        </w:rPr>
        <w:t xml:space="preserve"> </w:t>
      </w:r>
      <w:r w:rsidR="00CB135D">
        <w:rPr>
          <w:rFonts w:cstheme="minorHAnsi"/>
        </w:rPr>
        <w:t xml:space="preserve">a prior issuance </w:t>
      </w:r>
      <w:r w:rsidR="002404ED">
        <w:rPr>
          <w:rFonts w:cstheme="minorHAnsi"/>
        </w:rPr>
        <w:t xml:space="preserve">prioritized the payment </w:t>
      </w:r>
      <w:r w:rsidR="00933844">
        <w:rPr>
          <w:rFonts w:cstheme="minorHAnsi"/>
        </w:rPr>
        <w:t>of the LLC’s manage</w:t>
      </w:r>
      <w:r w:rsidR="006C0399">
        <w:rPr>
          <w:rFonts w:cstheme="minorHAnsi"/>
        </w:rPr>
        <w:t xml:space="preserve">ment fees </w:t>
      </w:r>
      <w:r w:rsidR="00DE2B4B">
        <w:rPr>
          <w:rFonts w:cstheme="minorHAnsi"/>
        </w:rPr>
        <w:t xml:space="preserve">above </w:t>
      </w:r>
      <w:r w:rsidR="00BA1D98">
        <w:rPr>
          <w:rFonts w:cstheme="minorHAnsi"/>
        </w:rPr>
        <w:t>payment</w:t>
      </w:r>
      <w:r w:rsidR="00DE2B4B">
        <w:rPr>
          <w:rFonts w:cstheme="minorHAnsi"/>
        </w:rPr>
        <w:t>s</w:t>
      </w:r>
      <w:r w:rsidR="00AE46DC">
        <w:rPr>
          <w:rFonts w:cstheme="minorHAnsi"/>
        </w:rPr>
        <w:t xml:space="preserve"> to</w:t>
      </w:r>
      <w:r w:rsidR="003D15E9">
        <w:rPr>
          <w:rFonts w:cstheme="minorHAnsi"/>
        </w:rPr>
        <w:t xml:space="preserve"> in</w:t>
      </w:r>
      <w:r w:rsidR="006C6599">
        <w:rPr>
          <w:rFonts w:cstheme="minorHAnsi"/>
        </w:rPr>
        <w:t>vestors</w:t>
      </w:r>
      <w:r w:rsidR="00626022">
        <w:rPr>
          <w:rFonts w:cstheme="minorHAnsi"/>
        </w:rPr>
        <w:t>,</w:t>
      </w:r>
      <w:r w:rsidR="00FB1748">
        <w:rPr>
          <w:rFonts w:cstheme="minorHAnsi"/>
        </w:rPr>
        <w:t xml:space="preserve"> which implies </w:t>
      </w:r>
      <w:r w:rsidR="00626022">
        <w:rPr>
          <w:rFonts w:cstheme="minorHAnsi"/>
        </w:rPr>
        <w:t xml:space="preserve">it possessed </w:t>
      </w:r>
      <w:r w:rsidR="00FB1748">
        <w:rPr>
          <w:rFonts w:cstheme="minorHAnsi"/>
        </w:rPr>
        <w:t>a</w:t>
      </w:r>
      <w:r w:rsidR="00626022">
        <w:rPr>
          <w:rFonts w:cstheme="minorHAnsi"/>
        </w:rPr>
        <w:t>dditional risk</w:t>
      </w:r>
      <w:r w:rsidR="00862F98">
        <w:rPr>
          <w:rFonts w:cstheme="minorHAnsi"/>
        </w:rPr>
        <w:t xml:space="preserve">.  </w:t>
      </w:r>
    </w:p>
    <w:p w14:paraId="09E9FFE3" w14:textId="03CE226E" w:rsidR="00EF098B" w:rsidRDefault="00862F98" w:rsidP="004402C8">
      <w:pPr>
        <w:spacing w:line="240" w:lineRule="auto"/>
        <w:jc w:val="both"/>
        <w:rPr>
          <w:rFonts w:cstheme="minorHAnsi"/>
        </w:rPr>
      </w:pPr>
      <w:r>
        <w:rPr>
          <w:rFonts w:cstheme="minorHAnsi"/>
        </w:rPr>
        <w:t xml:space="preserve">From this </w:t>
      </w:r>
      <w:r w:rsidR="004D4858" w:rsidRPr="004D4858">
        <w:rPr>
          <w:rFonts w:cstheme="minorHAnsi"/>
        </w:rPr>
        <w:t xml:space="preserve">information </w:t>
      </w:r>
      <w:r w:rsidR="0036552D">
        <w:rPr>
          <w:rFonts w:cstheme="minorHAnsi"/>
        </w:rPr>
        <w:t xml:space="preserve">the SVO estimated </w:t>
      </w:r>
      <w:r w:rsidR="004D4858" w:rsidRPr="004D4858">
        <w:rPr>
          <w:rFonts w:cstheme="minorHAnsi"/>
        </w:rPr>
        <w:t xml:space="preserve">in </w:t>
      </w:r>
      <w:r w:rsidR="004D4858" w:rsidRPr="0082106A">
        <w:rPr>
          <w:rFonts w:cstheme="minorHAnsi"/>
          <w:i/>
        </w:rPr>
        <w:t>Figure 3</w:t>
      </w:r>
      <w:r w:rsidR="00213292">
        <w:rPr>
          <w:rFonts w:cstheme="minorHAnsi"/>
          <w:i/>
        </w:rPr>
        <w:t xml:space="preserve"> </w:t>
      </w:r>
      <w:r w:rsidR="00213292" w:rsidRPr="00EF3885">
        <w:rPr>
          <w:rFonts w:cstheme="minorHAnsi"/>
          <w:iCs/>
        </w:rPr>
        <w:t>that</w:t>
      </w:r>
      <w:r w:rsidR="004D4858" w:rsidRPr="004D4858">
        <w:rPr>
          <w:rFonts w:cstheme="minorHAnsi"/>
        </w:rPr>
        <w:t xml:space="preserve"> </w:t>
      </w:r>
      <w:r w:rsidR="004D4858">
        <w:rPr>
          <w:rFonts w:cstheme="minorHAnsi"/>
        </w:rPr>
        <w:t>an</w:t>
      </w:r>
      <w:r w:rsidR="004D4858" w:rsidRPr="004D4858">
        <w:rPr>
          <w:rFonts w:cstheme="minorHAnsi"/>
        </w:rPr>
        <w:t xml:space="preserve"> insurer could reduce </w:t>
      </w:r>
      <w:r w:rsidR="00E15D89">
        <w:rPr>
          <w:rFonts w:cstheme="minorHAnsi"/>
        </w:rPr>
        <w:t>its</w:t>
      </w:r>
      <w:r w:rsidR="00E15D89" w:rsidRPr="004D4858">
        <w:rPr>
          <w:rFonts w:cstheme="minorHAnsi"/>
        </w:rPr>
        <w:t xml:space="preserve"> </w:t>
      </w:r>
      <w:r w:rsidR="004D4858" w:rsidRPr="004D4858">
        <w:rPr>
          <w:rFonts w:cstheme="minorHAnsi"/>
        </w:rPr>
        <w:t xml:space="preserve">risk-based capital by </w:t>
      </w:r>
      <w:r w:rsidR="00670E21">
        <w:rPr>
          <w:rFonts w:cstheme="minorHAnsi"/>
        </w:rPr>
        <w:t>8</w:t>
      </w:r>
      <w:r w:rsidR="002F6440">
        <w:rPr>
          <w:rFonts w:cstheme="minorHAnsi"/>
        </w:rPr>
        <w:t>8</w:t>
      </w:r>
      <w:r w:rsidR="00670E21">
        <w:rPr>
          <w:rFonts w:cstheme="minorHAnsi"/>
        </w:rPr>
        <w:t>.</w:t>
      </w:r>
      <w:r w:rsidR="002F6440">
        <w:rPr>
          <w:rFonts w:cstheme="minorHAnsi"/>
        </w:rPr>
        <w:t>8</w:t>
      </w:r>
      <w:r w:rsidR="004D4858" w:rsidRPr="004D4858">
        <w:rPr>
          <w:rFonts w:cstheme="minorHAnsi"/>
        </w:rPr>
        <w:t>%</w:t>
      </w:r>
      <w:r w:rsidR="00670E21">
        <w:rPr>
          <w:rFonts w:cstheme="minorHAnsi"/>
        </w:rPr>
        <w:t>,</w:t>
      </w:r>
      <w:r w:rsidR="004D4858" w:rsidRPr="004D4858">
        <w:rPr>
          <w:rFonts w:cstheme="minorHAnsi"/>
        </w:rPr>
        <w:t xml:space="preserve"> </w:t>
      </w:r>
      <w:r w:rsidR="00670E21">
        <w:rPr>
          <w:rFonts w:cstheme="minorHAnsi"/>
        </w:rPr>
        <w:t>an RBC factor</w:t>
      </w:r>
      <w:r w:rsidR="004D4858" w:rsidRPr="004D4858">
        <w:rPr>
          <w:rFonts w:cstheme="minorHAnsi"/>
        </w:rPr>
        <w:t xml:space="preserve"> </w:t>
      </w:r>
      <w:r w:rsidR="00256539">
        <w:rPr>
          <w:rFonts w:cstheme="minorHAnsi"/>
        </w:rPr>
        <w:t xml:space="preserve">reduction of </w:t>
      </w:r>
      <w:r w:rsidR="00670E21">
        <w:rPr>
          <w:rFonts w:cstheme="minorHAnsi"/>
        </w:rPr>
        <w:t>2</w:t>
      </w:r>
      <w:r w:rsidR="002F6440">
        <w:rPr>
          <w:rFonts w:cstheme="minorHAnsi"/>
        </w:rPr>
        <w:t>6.65</w:t>
      </w:r>
      <w:r w:rsidR="004D4858" w:rsidRPr="004D4858">
        <w:rPr>
          <w:rFonts w:cstheme="minorHAnsi"/>
        </w:rPr>
        <w:t>%</w:t>
      </w:r>
      <w:r w:rsidR="00670E21">
        <w:rPr>
          <w:rFonts w:cstheme="minorHAnsi"/>
        </w:rPr>
        <w:t>,</w:t>
      </w:r>
      <w:r w:rsidR="004D4858" w:rsidRPr="004D4858">
        <w:rPr>
          <w:rFonts w:cstheme="minorHAnsi"/>
        </w:rPr>
        <w:t xml:space="preserve"> if they </w:t>
      </w:r>
      <w:r w:rsidR="00670E21">
        <w:rPr>
          <w:rFonts w:cstheme="minorHAnsi"/>
        </w:rPr>
        <w:t xml:space="preserve">purchased </w:t>
      </w:r>
      <w:r w:rsidR="002640C4">
        <w:rPr>
          <w:rFonts w:cstheme="minorHAnsi"/>
        </w:rPr>
        <w:t>the</w:t>
      </w:r>
      <w:r w:rsidR="00670E21">
        <w:rPr>
          <w:rFonts w:cstheme="minorHAnsi"/>
        </w:rPr>
        <w:t xml:space="preserve"> two Term Loans</w:t>
      </w:r>
      <w:r w:rsidR="004D4858" w:rsidRPr="004D4858">
        <w:rPr>
          <w:rFonts w:cstheme="minorHAnsi"/>
        </w:rPr>
        <w:t xml:space="preserve"> instead of </w:t>
      </w:r>
      <w:r w:rsidR="00465222">
        <w:rPr>
          <w:rFonts w:cstheme="minorHAnsi"/>
        </w:rPr>
        <w:t xml:space="preserve">reporting the </w:t>
      </w:r>
      <w:r w:rsidR="00210BAE">
        <w:rPr>
          <w:rFonts w:cstheme="minorHAnsi"/>
        </w:rPr>
        <w:t xml:space="preserve">equity </w:t>
      </w:r>
      <w:r w:rsidR="004D4858" w:rsidRPr="004D4858">
        <w:rPr>
          <w:rFonts w:cstheme="minorHAnsi"/>
        </w:rPr>
        <w:t>invest</w:t>
      </w:r>
      <w:r w:rsidR="00210BAE">
        <w:rPr>
          <w:rFonts w:cstheme="minorHAnsi"/>
        </w:rPr>
        <w:t>ment</w:t>
      </w:r>
      <w:r w:rsidR="004D4858" w:rsidRPr="004D4858">
        <w:rPr>
          <w:rFonts w:cstheme="minorHAnsi"/>
        </w:rPr>
        <w:t xml:space="preserve"> in the </w:t>
      </w:r>
      <w:r w:rsidR="00670E21">
        <w:rPr>
          <w:rFonts w:cstheme="minorHAnsi"/>
        </w:rPr>
        <w:t xml:space="preserve">partnership. </w:t>
      </w:r>
      <w:r w:rsidR="00775D16">
        <w:rPr>
          <w:rFonts w:cstheme="minorHAnsi"/>
        </w:rPr>
        <w:t>If the note</w:t>
      </w:r>
      <w:r w:rsidR="002A7318">
        <w:rPr>
          <w:rFonts w:cstheme="minorHAnsi"/>
        </w:rPr>
        <w:t>s</w:t>
      </w:r>
      <w:r w:rsidR="00775D16">
        <w:rPr>
          <w:rFonts w:cstheme="minorHAnsi"/>
        </w:rPr>
        <w:t xml:space="preserve"> did not rely upon a CRP rating</w:t>
      </w:r>
      <w:r w:rsidR="00775D16" w:rsidRPr="008E4EFB">
        <w:rPr>
          <w:rFonts w:cstheme="minorHAnsi"/>
        </w:rPr>
        <w:t xml:space="preserve"> </w:t>
      </w:r>
      <w:r w:rsidR="00D00AE4">
        <w:rPr>
          <w:rFonts w:cstheme="minorHAnsi"/>
        </w:rPr>
        <w:t xml:space="preserve">for assignment of an NAIC Designation, </w:t>
      </w:r>
      <w:r w:rsidR="002A7318">
        <w:rPr>
          <w:rFonts w:cstheme="minorHAnsi"/>
        </w:rPr>
        <w:t>t</w:t>
      </w:r>
      <w:r w:rsidR="008E4EFB" w:rsidRPr="008E4EFB">
        <w:rPr>
          <w:rFonts w:cstheme="minorHAnsi"/>
        </w:rPr>
        <w:t xml:space="preserve">he </w:t>
      </w:r>
      <w:r w:rsidR="00176C55">
        <w:rPr>
          <w:rFonts w:cstheme="minorHAnsi"/>
        </w:rPr>
        <w:t>risk-based capital</w:t>
      </w:r>
      <w:r w:rsidR="008E4EFB" w:rsidRPr="008E4EFB">
        <w:rPr>
          <w:rFonts w:cstheme="minorHAnsi"/>
        </w:rPr>
        <w:t xml:space="preserve"> arbitrage </w:t>
      </w:r>
      <w:r w:rsidR="00A86160">
        <w:rPr>
          <w:rFonts w:cstheme="minorHAnsi"/>
        </w:rPr>
        <w:t xml:space="preserve">neutral </w:t>
      </w:r>
      <w:r w:rsidR="008E4EFB" w:rsidRPr="008E4EFB">
        <w:rPr>
          <w:rFonts w:cstheme="minorHAnsi"/>
        </w:rPr>
        <w:t xml:space="preserve">NAIC Designation </w:t>
      </w:r>
      <w:r w:rsidR="00F50AA5">
        <w:rPr>
          <w:rFonts w:cstheme="minorHAnsi"/>
        </w:rPr>
        <w:t xml:space="preserve">Category </w:t>
      </w:r>
      <w:r w:rsidR="008E4EFB" w:rsidRPr="008E4EFB">
        <w:rPr>
          <w:rFonts w:cstheme="minorHAnsi"/>
        </w:rPr>
        <w:t>for the</w:t>
      </w:r>
      <w:r w:rsidR="002A7318">
        <w:rPr>
          <w:rFonts w:cstheme="minorHAnsi"/>
        </w:rPr>
        <w:t>m</w:t>
      </w:r>
      <w:r w:rsidR="008E4EFB" w:rsidRPr="008E4EFB">
        <w:rPr>
          <w:rFonts w:cstheme="minorHAnsi"/>
        </w:rPr>
        <w:t xml:space="preserve"> </w:t>
      </w:r>
      <w:r w:rsidR="00F66E59">
        <w:rPr>
          <w:rFonts w:cstheme="minorHAnsi"/>
        </w:rPr>
        <w:t>w</w:t>
      </w:r>
      <w:r w:rsidR="008E4EFB" w:rsidRPr="008E4EFB">
        <w:rPr>
          <w:rFonts w:cstheme="minorHAnsi"/>
        </w:rPr>
        <w:t xml:space="preserve">ould </w:t>
      </w:r>
      <w:r w:rsidR="002A7318">
        <w:rPr>
          <w:rFonts w:cstheme="minorHAnsi"/>
        </w:rPr>
        <w:t xml:space="preserve">be </w:t>
      </w:r>
      <w:r w:rsidR="008E4EFB" w:rsidRPr="008E4EFB">
        <w:rPr>
          <w:rFonts w:cstheme="minorHAnsi"/>
        </w:rPr>
        <w:t xml:space="preserve">an NAIC </w:t>
      </w:r>
      <w:r w:rsidR="006375B9">
        <w:rPr>
          <w:rFonts w:cstheme="minorHAnsi"/>
        </w:rPr>
        <w:t xml:space="preserve">6 </w:t>
      </w:r>
      <w:r w:rsidR="007C40CF">
        <w:rPr>
          <w:rFonts w:cstheme="minorHAnsi"/>
        </w:rPr>
        <w:t>as the underlying investment is equity</w:t>
      </w:r>
      <w:r w:rsidR="008E4EFB" w:rsidRPr="008E4EFB">
        <w:rPr>
          <w:rFonts w:cstheme="minorHAnsi"/>
        </w:rPr>
        <w:t>.</w:t>
      </w:r>
    </w:p>
    <w:p w14:paraId="1605A795" w14:textId="73711E47" w:rsidR="00C0214B" w:rsidRPr="009C5D4C" w:rsidRDefault="00C0214B" w:rsidP="004402C8">
      <w:pPr>
        <w:spacing w:line="240" w:lineRule="auto"/>
        <w:jc w:val="both"/>
        <w:rPr>
          <w:rFonts w:cstheme="minorHAnsi"/>
        </w:rPr>
      </w:pPr>
    </w:p>
    <w:p w14:paraId="5FD565BB" w14:textId="039CFD9A" w:rsidR="00737181" w:rsidRPr="00AF72FB" w:rsidRDefault="00860E3C" w:rsidP="009C5D4C">
      <w:pPr>
        <w:spacing w:line="240" w:lineRule="auto"/>
        <w:jc w:val="both"/>
        <w:rPr>
          <w:rFonts w:cstheme="minorHAnsi"/>
        </w:rPr>
      </w:pPr>
      <w:r w:rsidRPr="00B74AD5">
        <w:rPr>
          <w:rFonts w:cstheme="minorHAnsi"/>
          <w:b/>
          <w:bCs/>
        </w:rPr>
        <w:t>Reco</w:t>
      </w:r>
      <w:r w:rsidR="00B74AD5" w:rsidRPr="00B74AD5">
        <w:rPr>
          <w:rFonts w:cstheme="minorHAnsi"/>
          <w:b/>
          <w:bCs/>
        </w:rPr>
        <w:t>mmendation</w:t>
      </w:r>
      <w:r w:rsidR="00B74AD5">
        <w:rPr>
          <w:rFonts w:cstheme="minorHAnsi"/>
        </w:rPr>
        <w:t xml:space="preserve"> </w:t>
      </w:r>
      <w:r w:rsidR="00244B69">
        <w:rPr>
          <w:rFonts w:cstheme="minorHAnsi"/>
        </w:rPr>
        <w:t>–</w:t>
      </w:r>
      <w:r w:rsidR="00B74AD5">
        <w:rPr>
          <w:rFonts w:cstheme="minorHAnsi"/>
        </w:rPr>
        <w:t xml:space="preserve"> </w:t>
      </w:r>
      <w:r w:rsidR="00244B69">
        <w:rPr>
          <w:rFonts w:cstheme="minorHAnsi"/>
        </w:rPr>
        <w:t>Given the magnitude of th</w:t>
      </w:r>
      <w:r w:rsidR="006F0095">
        <w:rPr>
          <w:rFonts w:cstheme="minorHAnsi"/>
        </w:rPr>
        <w:t>ese</w:t>
      </w:r>
      <w:r w:rsidR="00244B69">
        <w:rPr>
          <w:rFonts w:cstheme="minorHAnsi"/>
        </w:rPr>
        <w:t xml:space="preserve"> RBC arbitrage</w:t>
      </w:r>
      <w:r w:rsidR="00820E7D">
        <w:rPr>
          <w:rFonts w:cstheme="minorHAnsi"/>
        </w:rPr>
        <w:t xml:space="preserve"> opportunit</w:t>
      </w:r>
      <w:r w:rsidR="006F0095">
        <w:rPr>
          <w:rFonts w:cstheme="minorHAnsi"/>
        </w:rPr>
        <w:t>ies</w:t>
      </w:r>
      <w:r w:rsidR="00132FA7">
        <w:rPr>
          <w:rFonts w:cstheme="minorHAnsi"/>
        </w:rPr>
        <w:t xml:space="preserve">, </w:t>
      </w:r>
      <w:r w:rsidR="000D27BF">
        <w:rPr>
          <w:rFonts w:cstheme="minorHAnsi"/>
        </w:rPr>
        <w:t xml:space="preserve">the judgment involved in assessing the nature of the ultimate risk, </w:t>
      </w:r>
      <w:r w:rsidR="00DA5AF6">
        <w:rPr>
          <w:rFonts w:cstheme="minorHAnsi"/>
        </w:rPr>
        <w:t>the lack of</w:t>
      </w:r>
      <w:r w:rsidR="00D42DFD">
        <w:rPr>
          <w:rFonts w:cstheme="minorHAnsi"/>
        </w:rPr>
        <w:t xml:space="preserve"> transparency, circumvention of regulatory guidance and the </w:t>
      </w:r>
      <w:r w:rsidR="00ED039C">
        <w:rPr>
          <w:rFonts w:cstheme="minorHAnsi"/>
        </w:rPr>
        <w:t xml:space="preserve">reliance on CRP ratings to accomplish these ends, </w:t>
      </w:r>
      <w:r w:rsidR="00132FA7">
        <w:rPr>
          <w:rFonts w:cstheme="minorHAnsi"/>
        </w:rPr>
        <w:t xml:space="preserve">the SVO proposes amending the P&amp;P Manual </w:t>
      </w:r>
      <w:r w:rsidR="00F01884">
        <w:rPr>
          <w:rFonts w:cstheme="minorHAnsi"/>
        </w:rPr>
        <w:t xml:space="preserve">to </w:t>
      </w:r>
      <w:r w:rsidR="003D0F95">
        <w:rPr>
          <w:rFonts w:cstheme="minorHAnsi"/>
        </w:rPr>
        <w:t xml:space="preserve">include </w:t>
      </w:r>
      <w:r w:rsidR="004774FF">
        <w:rPr>
          <w:rFonts w:cstheme="minorHAnsi"/>
        </w:rPr>
        <w:t xml:space="preserve">a definition </w:t>
      </w:r>
      <w:r w:rsidR="00D46176">
        <w:rPr>
          <w:rFonts w:cstheme="minorHAnsi"/>
        </w:rPr>
        <w:t xml:space="preserve">for </w:t>
      </w:r>
      <w:r w:rsidR="003D0F95">
        <w:rPr>
          <w:rFonts w:cstheme="minorHAnsi"/>
        </w:rPr>
        <w:t xml:space="preserve">Structured </w:t>
      </w:r>
      <w:r w:rsidR="00CB135D">
        <w:rPr>
          <w:rFonts w:cstheme="minorHAnsi"/>
        </w:rPr>
        <w:t xml:space="preserve">Equity </w:t>
      </w:r>
      <w:r w:rsidR="000C7DE1">
        <w:rPr>
          <w:rFonts w:cstheme="minorHAnsi"/>
        </w:rPr>
        <w:t xml:space="preserve">and </w:t>
      </w:r>
      <w:r w:rsidR="003D0F95">
        <w:rPr>
          <w:rFonts w:cstheme="minorHAnsi"/>
        </w:rPr>
        <w:t>Fund</w:t>
      </w:r>
      <w:r>
        <w:rPr>
          <w:rFonts w:cstheme="minorHAnsi"/>
        </w:rPr>
        <w:t xml:space="preserve"> and </w:t>
      </w:r>
      <w:r w:rsidR="00E57795">
        <w:rPr>
          <w:rFonts w:cstheme="minorHAnsi"/>
        </w:rPr>
        <w:t xml:space="preserve">to </w:t>
      </w:r>
      <w:r w:rsidR="0094062F">
        <w:rPr>
          <w:rFonts w:cstheme="minorHAnsi"/>
        </w:rPr>
        <w:t xml:space="preserve">exclude </w:t>
      </w:r>
      <w:r w:rsidR="00E57795">
        <w:rPr>
          <w:rFonts w:cstheme="minorHAnsi"/>
        </w:rPr>
        <w:t xml:space="preserve">such </w:t>
      </w:r>
      <w:r w:rsidR="00820E7D">
        <w:rPr>
          <w:rFonts w:cstheme="minorHAnsi"/>
        </w:rPr>
        <w:t xml:space="preserve">investments </w:t>
      </w:r>
      <w:r w:rsidR="00C80413">
        <w:rPr>
          <w:rFonts w:cstheme="minorHAnsi"/>
        </w:rPr>
        <w:t xml:space="preserve">from </w:t>
      </w:r>
      <w:r w:rsidR="0094062F">
        <w:rPr>
          <w:rFonts w:cstheme="minorHAnsi"/>
        </w:rPr>
        <w:t>Filing Exemption</w:t>
      </w:r>
      <w:r w:rsidR="00E57795">
        <w:rPr>
          <w:rFonts w:cstheme="minorHAnsi"/>
        </w:rPr>
        <w:t xml:space="preserve"> eligibility</w:t>
      </w:r>
      <w:r w:rsidR="0094062F">
        <w:rPr>
          <w:rFonts w:cstheme="minorHAnsi"/>
        </w:rPr>
        <w:t>.</w:t>
      </w:r>
      <w:r w:rsidR="00CB135D">
        <w:rPr>
          <w:rFonts w:cstheme="minorHAnsi"/>
        </w:rPr>
        <w:t xml:space="preserve">  Th</w:t>
      </w:r>
      <w:r w:rsidR="00367B15">
        <w:rPr>
          <w:rFonts w:cstheme="minorHAnsi"/>
        </w:rPr>
        <w:t>e</w:t>
      </w:r>
      <w:r w:rsidR="00CB135D">
        <w:rPr>
          <w:rFonts w:cstheme="minorHAnsi"/>
        </w:rPr>
        <w:t xml:space="preserve"> proposed amendment would not change how the investment is classified for reporting by the </w:t>
      </w:r>
      <w:proofErr w:type="gramStart"/>
      <w:r w:rsidR="00CB135D">
        <w:rPr>
          <w:rFonts w:cstheme="minorHAnsi"/>
        </w:rPr>
        <w:t>insurer</w:t>
      </w:r>
      <w:proofErr w:type="gramEnd"/>
      <w:r w:rsidR="00CB135D">
        <w:rPr>
          <w:rFonts w:cstheme="minorHAnsi"/>
        </w:rPr>
        <w:t xml:space="preserve"> but it would ensure that the NAIC Designation and Category assigned are appropriate for the risk</w:t>
      </w:r>
      <w:r w:rsidR="0051446F">
        <w:rPr>
          <w:rFonts w:cstheme="minorHAnsi"/>
        </w:rPr>
        <w:t xml:space="preserve"> and eliminate th</w:t>
      </w:r>
      <w:r w:rsidR="000F7CD5">
        <w:rPr>
          <w:rFonts w:cstheme="minorHAnsi"/>
        </w:rPr>
        <w:t>is version of RBC arbitrage</w:t>
      </w:r>
      <w:r w:rsidR="00CB135D">
        <w:rPr>
          <w:rFonts w:cstheme="minorHAnsi"/>
        </w:rPr>
        <w:t xml:space="preserve">. </w:t>
      </w:r>
    </w:p>
    <w:p w14:paraId="64849EEB" w14:textId="21C7D8C7" w:rsidR="001261CF" w:rsidRDefault="003B3B93" w:rsidP="00006D4F">
      <w:pPr>
        <w:spacing w:line="240" w:lineRule="auto"/>
        <w:jc w:val="both"/>
        <w:rPr>
          <w:rFonts w:ascii="Times New Roman" w:eastAsia="Calibri" w:hAnsi="Times New Roman" w:cs="Times New Roman"/>
          <w:b/>
          <w:bCs/>
          <w:smallCaps/>
          <w:color w:val="000000"/>
          <w:sz w:val="28"/>
          <w:szCs w:val="28"/>
        </w:rPr>
      </w:pPr>
      <w:r w:rsidRPr="00EE2067">
        <w:rPr>
          <w:rFonts w:cstheme="minorHAnsi"/>
          <w:b/>
          <w:bCs/>
        </w:rPr>
        <w:t xml:space="preserve">Proposed Amendment - </w:t>
      </w:r>
      <w:r w:rsidR="00EE2067" w:rsidRPr="00EE2067">
        <w:rPr>
          <w:rFonts w:cstheme="minorHAnsi"/>
        </w:rPr>
        <w:t xml:space="preserve">The </w:t>
      </w:r>
      <w:r w:rsidR="00132FA7">
        <w:rPr>
          <w:rFonts w:cstheme="minorHAnsi"/>
        </w:rPr>
        <w:t xml:space="preserve">proposed </w:t>
      </w:r>
      <w:r w:rsidR="00EE2067" w:rsidRPr="00EE2067">
        <w:rPr>
          <w:rFonts w:cstheme="minorHAnsi"/>
        </w:rPr>
        <w:t>text</w:t>
      </w:r>
      <w:r w:rsidR="00F105C5">
        <w:rPr>
          <w:rFonts w:cstheme="minorHAnsi"/>
        </w:rPr>
        <w:t xml:space="preserve"> changes to </w:t>
      </w:r>
      <w:r w:rsidR="00132FA7">
        <w:rPr>
          <w:rFonts w:cstheme="minorHAnsi"/>
        </w:rPr>
        <w:t xml:space="preserve">the </w:t>
      </w:r>
      <w:r w:rsidR="00714209">
        <w:rPr>
          <w:rFonts w:cstheme="minorHAnsi"/>
        </w:rPr>
        <w:t>P&amp;P Manual are</w:t>
      </w:r>
      <w:r w:rsidR="00EE2067" w:rsidRPr="00EE2067">
        <w:rPr>
          <w:rFonts w:cstheme="minorHAnsi"/>
        </w:rPr>
        <w:t xml:space="preserve"> shown below</w:t>
      </w:r>
      <w:r w:rsidR="00850528">
        <w:rPr>
          <w:rFonts w:cstheme="minorHAnsi"/>
        </w:rPr>
        <w:t xml:space="preserve"> with</w:t>
      </w:r>
      <w:r w:rsidR="00EE2067" w:rsidRPr="00EE2067">
        <w:rPr>
          <w:rFonts w:cstheme="minorHAnsi"/>
        </w:rPr>
        <w:t xml:space="preserve"> </w:t>
      </w:r>
      <w:r w:rsidR="00EE2067">
        <w:rPr>
          <w:rFonts w:cstheme="minorHAnsi"/>
        </w:rPr>
        <w:t>addition</w:t>
      </w:r>
      <w:r w:rsidR="00850528">
        <w:rPr>
          <w:rFonts w:cstheme="minorHAnsi"/>
        </w:rPr>
        <w:t xml:space="preserve">s </w:t>
      </w:r>
      <w:r w:rsidR="00EE2067" w:rsidRPr="00EE2067">
        <w:rPr>
          <w:rFonts w:cstheme="minorHAnsi"/>
        </w:rPr>
        <w:t xml:space="preserve">in </w:t>
      </w:r>
      <w:r w:rsidR="00EE2067" w:rsidRPr="00EE2067">
        <w:rPr>
          <w:rFonts w:cstheme="minorHAnsi"/>
          <w:color w:val="FF0000"/>
          <w:u w:val="single"/>
        </w:rPr>
        <w:t>red underline</w:t>
      </w:r>
      <w:r w:rsidR="00EE2067">
        <w:rPr>
          <w:rFonts w:cstheme="minorHAnsi"/>
        </w:rPr>
        <w:t xml:space="preserve"> and deletions in </w:t>
      </w:r>
      <w:r w:rsidR="00EE2067" w:rsidRPr="00EE2067">
        <w:rPr>
          <w:rFonts w:cstheme="minorHAnsi"/>
          <w:strike/>
          <w:color w:val="FF0000"/>
        </w:rPr>
        <w:t>red strikethrough</w:t>
      </w:r>
      <w:r w:rsidR="00EE2067" w:rsidRPr="00EE2067">
        <w:rPr>
          <w:rFonts w:cstheme="minorHAnsi"/>
        </w:rPr>
        <w:t>, as it would appear in the 202</w:t>
      </w:r>
      <w:r w:rsidR="00551D98">
        <w:rPr>
          <w:rFonts w:cstheme="minorHAnsi"/>
        </w:rPr>
        <w:t>2</w:t>
      </w:r>
      <w:r w:rsidR="00EE2067" w:rsidRPr="00EE2067">
        <w:rPr>
          <w:rFonts w:cstheme="minorHAnsi"/>
        </w:rPr>
        <w:t xml:space="preserve"> P&amp;P Manual format.</w:t>
      </w:r>
      <w:r w:rsidR="00E24749">
        <w:rPr>
          <w:rFonts w:ascii="Times New Roman" w:eastAsia="Calibri" w:hAnsi="Times New Roman" w:cs="Times New Roman"/>
          <w:b/>
          <w:bCs/>
          <w:smallCaps/>
          <w:color w:val="000000"/>
          <w:sz w:val="28"/>
          <w:szCs w:val="28"/>
        </w:rPr>
        <w:br w:type="page"/>
      </w:r>
    </w:p>
    <w:p w14:paraId="063FAADE" w14:textId="77777777" w:rsidR="001261CF" w:rsidRPr="00E66633" w:rsidRDefault="001261CF" w:rsidP="00E66633">
      <w:pPr>
        <w:pStyle w:val="Heading1"/>
        <w:keepLines w:val="0"/>
        <w:spacing w:before="120" w:after="360" w:line="240" w:lineRule="auto"/>
        <w:jc w:val="center"/>
        <w:rPr>
          <w:rFonts w:ascii="Garamond" w:eastAsia="Calibri" w:hAnsi="Garamond" w:cs="Times New Roman"/>
          <w:b/>
          <w:bCs/>
          <w:smallCaps/>
          <w:color w:val="000000"/>
          <w:sz w:val="28"/>
          <w:szCs w:val="28"/>
        </w:rPr>
        <w:sectPr w:rsidR="001261CF" w:rsidRPr="00E66633" w:rsidSect="00887E57">
          <w:headerReference w:type="default" r:id="rId14"/>
          <w:footerReference w:type="even" r:id="rId15"/>
          <w:footerReference w:type="default" r:id="rId16"/>
          <w:headerReference w:type="first" r:id="rId17"/>
          <w:footerReference w:type="first" r:id="rId18"/>
          <w:pgSz w:w="12240" w:h="15840" w:code="1"/>
          <w:pgMar w:top="3460" w:right="1440" w:bottom="1440" w:left="1440" w:header="360" w:footer="720" w:gutter="0"/>
          <w:pgNumType w:start="1"/>
          <w:cols w:space="720"/>
          <w:titlePg/>
          <w:docGrid w:linePitch="360"/>
        </w:sectPr>
      </w:pPr>
      <w:bookmarkStart w:id="0" w:name="_Toc508884157"/>
      <w:bookmarkStart w:id="1" w:name="_Toc508979004"/>
      <w:bookmarkStart w:id="2" w:name="_Toc508979057"/>
      <w:bookmarkStart w:id="3" w:name="_Toc508979104"/>
      <w:bookmarkStart w:id="4" w:name="_Toc508980102"/>
      <w:bookmarkStart w:id="5" w:name="_Toc508980178"/>
      <w:bookmarkStart w:id="6" w:name="_Toc509585487"/>
      <w:bookmarkStart w:id="7" w:name="_Toc509585510"/>
      <w:bookmarkStart w:id="8" w:name="_Toc534811537"/>
      <w:bookmarkStart w:id="9" w:name="_Toc534886990"/>
      <w:bookmarkStart w:id="10" w:name="_Toc534896671"/>
      <w:bookmarkStart w:id="11" w:name="_Toc90649368"/>
      <w:r w:rsidRPr="00E66633">
        <w:rPr>
          <w:rFonts w:ascii="Garamond" w:eastAsia="Calibri" w:hAnsi="Garamond" w:cs="Times New Roman"/>
          <w:b/>
          <w:bCs/>
          <w:smallCaps/>
          <w:color w:val="000000"/>
          <w:sz w:val="28"/>
          <w:szCs w:val="28"/>
        </w:rPr>
        <w:lastRenderedPageBreak/>
        <w:t xml:space="preserve">Part One </w:t>
      </w:r>
      <w:r w:rsidRPr="00E66633">
        <w:rPr>
          <w:rFonts w:ascii="Garamond" w:eastAsia="Calibri" w:hAnsi="Garamond" w:cs="Times New Roman"/>
          <w:b/>
          <w:bCs/>
          <w:smallCaps/>
          <w:color w:val="000000"/>
          <w:sz w:val="28"/>
          <w:szCs w:val="28"/>
        </w:rPr>
        <w:br/>
        <w:t>Policies of the NAIC Valuation of Securities (E) Task Force</w:t>
      </w:r>
      <w:bookmarkEnd w:id="0"/>
      <w:bookmarkEnd w:id="1"/>
      <w:bookmarkEnd w:id="2"/>
      <w:bookmarkEnd w:id="3"/>
      <w:bookmarkEnd w:id="4"/>
      <w:bookmarkEnd w:id="5"/>
      <w:bookmarkEnd w:id="6"/>
      <w:bookmarkEnd w:id="7"/>
      <w:bookmarkEnd w:id="8"/>
      <w:bookmarkEnd w:id="9"/>
      <w:bookmarkEnd w:id="10"/>
      <w:bookmarkEnd w:id="11"/>
    </w:p>
    <w:p w14:paraId="0271D5FC" w14:textId="4ED17AE2" w:rsidR="00E24749" w:rsidRPr="00F527E4" w:rsidRDefault="00E24749" w:rsidP="00E24749">
      <w:pPr>
        <w:pStyle w:val="Heading2"/>
        <w:keepLines w:val="0"/>
        <w:pageBreakBefore/>
        <w:pBdr>
          <w:bottom w:val="thinThickSmallGap" w:sz="24" w:space="1" w:color="auto"/>
        </w:pBdr>
        <w:spacing w:before="360" w:after="240" w:line="240" w:lineRule="auto"/>
        <w:rPr>
          <w:rFonts w:ascii="Garamond" w:eastAsia="Calibri" w:hAnsi="Garamond" w:cs="Times New Roman"/>
          <w:b/>
          <w:bCs/>
          <w:smallCaps/>
          <w:color w:val="000000" w:themeColor="text1"/>
          <w:kern w:val="32"/>
          <w:sz w:val="24"/>
          <w:szCs w:val="24"/>
        </w:rPr>
      </w:pPr>
      <w:r w:rsidRPr="00F527E4">
        <w:rPr>
          <w:rFonts w:ascii="Garamond" w:eastAsia="Calibri" w:hAnsi="Garamond" w:cs="Times New Roman"/>
          <w:b/>
          <w:bCs/>
          <w:smallCaps/>
          <w:color w:val="000000" w:themeColor="text1"/>
          <w:kern w:val="32"/>
          <w:sz w:val="24"/>
          <w:szCs w:val="24"/>
        </w:rPr>
        <w:lastRenderedPageBreak/>
        <w:t>Policies Applicable to Specific Asset Classes</w:t>
      </w:r>
    </w:p>
    <w:p w14:paraId="642AD34D" w14:textId="77777777" w:rsidR="00E24749" w:rsidRPr="00977821" w:rsidRDefault="00E24749" w:rsidP="00E24749">
      <w:r>
        <w:t xml:space="preserve">. . . </w:t>
      </w:r>
    </w:p>
    <w:p w14:paraId="59F91800" w14:textId="42B603AA" w:rsidR="00E24749" w:rsidRPr="00B52D1E" w:rsidRDefault="003B6A84" w:rsidP="00E24749">
      <w:pPr>
        <w:pStyle w:val="Heading3"/>
        <w:rPr>
          <w:color w:val="FF0000"/>
        </w:rPr>
      </w:pPr>
      <w:bookmarkStart w:id="12" w:name="_Toc508884215"/>
      <w:bookmarkStart w:id="13" w:name="_Toc508979032"/>
      <w:bookmarkStart w:id="14" w:name="_Toc508979085"/>
      <w:bookmarkStart w:id="15" w:name="_Toc508979157"/>
      <w:bookmarkStart w:id="16" w:name="_Toc508980130"/>
      <w:bookmarkStart w:id="17" w:name="_Toc508980206"/>
      <w:bookmarkStart w:id="18" w:name="_Toc509585501"/>
      <w:bookmarkStart w:id="19" w:name="_Toc509585524"/>
      <w:bookmarkStart w:id="20" w:name="_Toc534811604"/>
      <w:bookmarkStart w:id="21" w:name="_Toc534887068"/>
      <w:bookmarkStart w:id="22" w:name="_Toc534896696"/>
      <w:r w:rsidRPr="00B52D1E">
        <w:rPr>
          <w:color w:val="FF0000"/>
        </w:rPr>
        <w:t xml:space="preserve">Structured </w:t>
      </w:r>
      <w:r w:rsidR="00B3410E">
        <w:rPr>
          <w:color w:val="FF0000"/>
        </w:rPr>
        <w:t xml:space="preserve">Equity </w:t>
      </w:r>
      <w:r w:rsidR="000C7DE1">
        <w:rPr>
          <w:color w:val="FF0000"/>
        </w:rPr>
        <w:t>and</w:t>
      </w:r>
      <w:r w:rsidR="00B3410E">
        <w:rPr>
          <w:color w:val="FF0000"/>
        </w:rPr>
        <w:t xml:space="preserve"> </w:t>
      </w:r>
      <w:r w:rsidRPr="00B52D1E">
        <w:rPr>
          <w:color w:val="FF0000"/>
        </w:rPr>
        <w:t>Funds</w:t>
      </w:r>
    </w:p>
    <w:p w14:paraId="54D511C8" w14:textId="77777777" w:rsidR="00E24749" w:rsidRPr="00B52D1E" w:rsidRDefault="00E24749" w:rsidP="00FE311F">
      <w:pPr>
        <w:pStyle w:val="Heading4"/>
        <w:spacing w:before="240" w:line="276" w:lineRule="auto"/>
        <w:jc w:val="both"/>
        <w:rPr>
          <w:rFonts w:ascii="Garamond" w:hAnsi="Garamond"/>
          <w:b/>
          <w:bCs/>
          <w:i w:val="0"/>
          <w:color w:val="FF0000"/>
          <w:sz w:val="24"/>
          <w:szCs w:val="24"/>
        </w:rPr>
      </w:pPr>
      <w:bookmarkStart w:id="23" w:name="_Toc90649454"/>
      <w:r w:rsidRPr="00B52D1E">
        <w:rPr>
          <w:rFonts w:ascii="Garamond" w:hAnsi="Garamond"/>
          <w:b/>
          <w:bCs/>
          <w:i w:val="0"/>
          <w:color w:val="FF0000"/>
          <w:sz w:val="24"/>
          <w:szCs w:val="24"/>
        </w:rPr>
        <w:t>Intent</w:t>
      </w:r>
      <w:bookmarkEnd w:id="23"/>
    </w:p>
    <w:p w14:paraId="0D1811B5" w14:textId="5DFCF2B4" w:rsidR="00E24749" w:rsidRPr="00A8794B" w:rsidRDefault="00E24749" w:rsidP="00A8794B">
      <w:pPr>
        <w:pStyle w:val="ListParagraph"/>
        <w:numPr>
          <w:ilvl w:val="0"/>
          <w:numId w:val="22"/>
        </w:numPr>
        <w:ind w:left="1080" w:hanging="360"/>
        <w:rPr>
          <w:rFonts w:cs="Garamond"/>
          <w:color w:val="FF0000"/>
          <w:u w:val="single"/>
        </w:rPr>
      </w:pPr>
      <w:r w:rsidRPr="00A8794B">
        <w:rPr>
          <w:rFonts w:cs="Garamond"/>
          <w:color w:val="FF0000"/>
          <w:u w:val="single"/>
        </w:rPr>
        <w:t xml:space="preserve">Transactions meeting the criteria of </w:t>
      </w:r>
      <w:r w:rsidR="00A8794B">
        <w:rPr>
          <w:rFonts w:cs="Garamond"/>
          <w:color w:val="FF0000"/>
          <w:u w:val="single"/>
        </w:rPr>
        <w:t xml:space="preserve">Structured </w:t>
      </w:r>
      <w:r w:rsidR="00B3410E">
        <w:rPr>
          <w:rFonts w:cs="Garamond"/>
          <w:color w:val="FF0000"/>
          <w:u w:val="single"/>
        </w:rPr>
        <w:t xml:space="preserve">Equity </w:t>
      </w:r>
      <w:r w:rsidR="000C7DE1">
        <w:rPr>
          <w:rFonts w:cs="Garamond"/>
          <w:color w:val="FF0000"/>
          <w:u w:val="single"/>
        </w:rPr>
        <w:t>and</w:t>
      </w:r>
      <w:r w:rsidR="00B3410E">
        <w:rPr>
          <w:rFonts w:cs="Garamond"/>
          <w:color w:val="FF0000"/>
          <w:u w:val="single"/>
        </w:rPr>
        <w:t xml:space="preserve"> </w:t>
      </w:r>
      <w:r w:rsidR="00A8794B">
        <w:rPr>
          <w:rFonts w:cs="Garamond"/>
          <w:color w:val="FF0000"/>
          <w:u w:val="single"/>
        </w:rPr>
        <w:t>Fund</w:t>
      </w:r>
      <w:r w:rsidR="00B3410E">
        <w:rPr>
          <w:rFonts w:cs="Garamond"/>
          <w:color w:val="FF0000"/>
          <w:u w:val="single"/>
        </w:rPr>
        <w:t>s</w:t>
      </w:r>
      <w:r w:rsidRPr="00A8794B">
        <w:rPr>
          <w:rFonts w:cs="Garamond"/>
          <w:color w:val="FF0000"/>
          <w:u w:val="single"/>
        </w:rPr>
        <w:t xml:space="preserve"> as defined in Part Three of this Manual must </w:t>
      </w:r>
      <w:r w:rsidR="00F054AF" w:rsidRPr="00F054AF">
        <w:rPr>
          <w:rFonts w:cs="Garamond"/>
          <w:color w:val="FF0000"/>
          <w:u w:val="single"/>
        </w:rPr>
        <w:t>be submitted to</w:t>
      </w:r>
      <w:r w:rsidR="00A834AB">
        <w:rPr>
          <w:rFonts w:cs="Garamond"/>
          <w:color w:val="FF0000"/>
          <w:u w:val="single"/>
        </w:rPr>
        <w:t xml:space="preserve"> the </w:t>
      </w:r>
      <w:r w:rsidR="00F054AF" w:rsidRPr="00F054AF">
        <w:rPr>
          <w:rFonts w:cs="Garamond"/>
          <w:color w:val="FF0000"/>
          <w:u w:val="single"/>
        </w:rPr>
        <w:t>SVO</w:t>
      </w:r>
      <w:r w:rsidR="00A834AB">
        <w:rPr>
          <w:rFonts w:cs="Garamond"/>
          <w:color w:val="FF0000"/>
          <w:u w:val="single"/>
        </w:rPr>
        <w:t xml:space="preserve"> for </w:t>
      </w:r>
      <w:r w:rsidR="00F054AF" w:rsidRPr="00F054AF">
        <w:rPr>
          <w:rFonts w:cs="Garamond"/>
          <w:color w:val="FF0000"/>
          <w:u w:val="single"/>
        </w:rPr>
        <w:t>review</w:t>
      </w:r>
      <w:r w:rsidRPr="00A8794B">
        <w:rPr>
          <w:rFonts w:cs="Garamond"/>
          <w:color w:val="FF0000"/>
          <w:u w:val="single"/>
        </w:rPr>
        <w:t xml:space="preserve">. </w:t>
      </w:r>
    </w:p>
    <w:bookmarkEnd w:id="12"/>
    <w:bookmarkEnd w:id="13"/>
    <w:bookmarkEnd w:id="14"/>
    <w:bookmarkEnd w:id="15"/>
    <w:bookmarkEnd w:id="16"/>
    <w:bookmarkEnd w:id="17"/>
    <w:bookmarkEnd w:id="18"/>
    <w:bookmarkEnd w:id="19"/>
    <w:bookmarkEnd w:id="20"/>
    <w:bookmarkEnd w:id="21"/>
    <w:bookmarkEnd w:id="22"/>
    <w:p w14:paraId="74094047" w14:textId="17C1C658" w:rsidR="00E047B1" w:rsidRPr="008D07C9" w:rsidRDefault="008D07C9" w:rsidP="0050729B">
      <w:pPr>
        <w:pStyle w:val="ListParagraph"/>
        <w:ind w:left="1440" w:firstLine="0"/>
        <w:rPr>
          <w:rFonts w:cs="Garamond"/>
          <w:color w:val="FF0000"/>
          <w:u w:val="single"/>
        </w:rPr>
      </w:pPr>
      <w:r w:rsidRPr="00026690">
        <w:rPr>
          <w:rFonts w:cs="Garamond"/>
          <w:b/>
          <w:bCs/>
          <w:color w:val="FF0000"/>
          <w:u w:val="single"/>
        </w:rPr>
        <w:t xml:space="preserve">NOTE: </w:t>
      </w:r>
      <w:r w:rsidRPr="00026690">
        <w:rPr>
          <w:rFonts w:cs="Garamond"/>
          <w:color w:val="FF0000"/>
          <w:u w:val="single"/>
        </w:rPr>
        <w:t>See “Structured Equity and Funds” in Part Three for filing instructions</w:t>
      </w:r>
      <w:r w:rsidR="005E5A19" w:rsidRPr="00026690">
        <w:rPr>
          <w:rFonts w:cs="Garamond"/>
          <w:color w:val="FF0000"/>
          <w:u w:val="single"/>
        </w:rPr>
        <w:t xml:space="preserve">, documentation requirements and methodology applicable to Structured Equity and </w:t>
      </w:r>
      <w:proofErr w:type="spellStart"/>
      <w:r w:rsidR="005E5A19" w:rsidRPr="00026690">
        <w:rPr>
          <w:rFonts w:cs="Garamond"/>
          <w:color w:val="FF0000"/>
          <w:u w:val="single"/>
        </w:rPr>
        <w:t>Funds</w:t>
      </w:r>
      <w:proofErr w:type="spellEnd"/>
      <w:r w:rsidR="005E5A19" w:rsidRPr="00026690">
        <w:rPr>
          <w:rFonts w:cs="Garamond"/>
          <w:color w:val="FF0000"/>
          <w:u w:val="single"/>
        </w:rPr>
        <w:t xml:space="preserve"> investments</w:t>
      </w:r>
      <w:r w:rsidR="00FA347F" w:rsidRPr="00026690">
        <w:rPr>
          <w:rFonts w:cs="Garamond"/>
          <w:color w:val="FF0000"/>
          <w:u w:val="single"/>
        </w:rPr>
        <w:t>.</w:t>
      </w:r>
    </w:p>
    <w:p w14:paraId="3A7DAD65" w14:textId="6F6BFD61" w:rsidR="00E24749" w:rsidRDefault="00E24749">
      <w:pPr>
        <w:rPr>
          <w:rFonts w:ascii="Times New Roman" w:eastAsia="Calibri" w:hAnsi="Times New Roman" w:cs="Times New Roman"/>
          <w:b/>
          <w:bCs/>
          <w:smallCaps/>
          <w:color w:val="000000"/>
          <w:sz w:val="28"/>
          <w:szCs w:val="28"/>
        </w:rPr>
      </w:pPr>
    </w:p>
    <w:p w14:paraId="35765FC2" w14:textId="77777777" w:rsidR="00CD5583" w:rsidRDefault="00CD5583">
      <w:pPr>
        <w:rPr>
          <w:rFonts w:ascii="Times New Roman" w:eastAsia="Calibri" w:hAnsi="Times New Roman" w:cs="Times New Roman"/>
          <w:b/>
          <w:bCs/>
          <w:smallCaps/>
          <w:color w:val="000000"/>
          <w:sz w:val="28"/>
          <w:szCs w:val="28"/>
        </w:rPr>
      </w:pPr>
      <w:r>
        <w:rPr>
          <w:rFonts w:ascii="Times New Roman" w:eastAsia="Calibri" w:hAnsi="Times New Roman" w:cs="Times New Roman"/>
          <w:b/>
          <w:bCs/>
          <w:smallCaps/>
          <w:color w:val="000000"/>
          <w:sz w:val="28"/>
          <w:szCs w:val="28"/>
        </w:rPr>
        <w:br w:type="page"/>
      </w:r>
    </w:p>
    <w:p w14:paraId="477EB741" w14:textId="42E06458" w:rsidR="00CE1E46" w:rsidRPr="00E8270F" w:rsidRDefault="00CE1E46" w:rsidP="00E8270F">
      <w:pPr>
        <w:spacing w:after="200" w:line="276" w:lineRule="auto"/>
        <w:jc w:val="center"/>
        <w:rPr>
          <w:rFonts w:ascii="Times New Roman" w:eastAsia="Calibri" w:hAnsi="Times New Roman" w:cs="Times New Roman"/>
          <w:b/>
          <w:bCs/>
          <w:smallCaps/>
          <w:color w:val="000000"/>
          <w:sz w:val="28"/>
          <w:szCs w:val="28"/>
        </w:rPr>
      </w:pPr>
      <w:r w:rsidRPr="00E8270F">
        <w:rPr>
          <w:rFonts w:ascii="Times New Roman" w:eastAsia="Calibri" w:hAnsi="Times New Roman" w:cs="Times New Roman"/>
          <w:b/>
          <w:bCs/>
          <w:smallCaps/>
          <w:color w:val="000000"/>
          <w:sz w:val="28"/>
          <w:szCs w:val="28"/>
        </w:rPr>
        <w:lastRenderedPageBreak/>
        <w:t xml:space="preserve">Part </w:t>
      </w:r>
      <w:r w:rsidR="00431E34" w:rsidRPr="00E8270F">
        <w:rPr>
          <w:rFonts w:ascii="Times New Roman" w:eastAsia="Calibri" w:hAnsi="Times New Roman" w:cs="Times New Roman"/>
          <w:b/>
          <w:bCs/>
          <w:smallCaps/>
          <w:color w:val="000000"/>
          <w:sz w:val="28"/>
          <w:szCs w:val="28"/>
        </w:rPr>
        <w:t>Three</w:t>
      </w:r>
    </w:p>
    <w:p w14:paraId="63490138" w14:textId="5D4582C8" w:rsidR="00CE1E46" w:rsidRPr="00E8270F" w:rsidRDefault="00431E34" w:rsidP="00E8270F">
      <w:pPr>
        <w:spacing w:after="200" w:line="276" w:lineRule="auto"/>
        <w:jc w:val="center"/>
        <w:rPr>
          <w:rFonts w:ascii="Times New Roman" w:eastAsia="Calibri" w:hAnsi="Times New Roman" w:cs="Times New Roman"/>
          <w:b/>
          <w:bCs/>
          <w:smallCaps/>
          <w:color w:val="000000"/>
          <w:sz w:val="28"/>
          <w:szCs w:val="28"/>
        </w:rPr>
      </w:pPr>
      <w:r w:rsidRPr="00E8270F">
        <w:rPr>
          <w:rFonts w:ascii="Times New Roman" w:eastAsia="Calibri" w:hAnsi="Times New Roman" w:cs="Times New Roman"/>
          <w:b/>
          <w:bCs/>
          <w:smallCaps/>
          <w:color w:val="000000"/>
          <w:sz w:val="28"/>
          <w:szCs w:val="28"/>
        </w:rPr>
        <w:t>SVO Procedures and Methodology for Production of NAIC Designations</w:t>
      </w:r>
    </w:p>
    <w:p w14:paraId="09AF1DE4" w14:textId="20D46BEF" w:rsidR="000731EE" w:rsidRDefault="00431E34" w:rsidP="0020511B">
      <w:pPr>
        <w:rPr>
          <w:rFonts w:ascii="TimesNewRomanPSMT" w:hAnsi="TimesNewRomanPSMT" w:cs="TimesNewRomanPSMT"/>
        </w:rPr>
      </w:pPr>
      <w:r>
        <w:rPr>
          <w:rFonts w:ascii="TimesNewRomanPSMT" w:hAnsi="TimesNewRomanPSMT" w:cs="TimesNewRomanPSMT"/>
        </w:rPr>
        <w:br w:type="page"/>
      </w:r>
    </w:p>
    <w:p w14:paraId="7C0B2721" w14:textId="77777777" w:rsidR="001C209D" w:rsidRPr="00812F3B" w:rsidRDefault="001C209D" w:rsidP="00812F3B">
      <w:pPr>
        <w:pStyle w:val="Heading2"/>
        <w:keepLines w:val="0"/>
        <w:pageBreakBefore/>
        <w:pBdr>
          <w:bottom w:val="thinThickSmallGap" w:sz="24" w:space="1" w:color="auto"/>
        </w:pBdr>
        <w:spacing w:before="360" w:after="240" w:line="240" w:lineRule="auto"/>
        <w:rPr>
          <w:rFonts w:ascii="Garamond" w:eastAsia="Calibri" w:hAnsi="Garamond" w:cs="Times New Roman"/>
          <w:b/>
          <w:bCs/>
          <w:smallCaps/>
          <w:color w:val="000000" w:themeColor="text1"/>
          <w:kern w:val="32"/>
          <w:sz w:val="24"/>
          <w:szCs w:val="24"/>
        </w:rPr>
      </w:pPr>
      <w:bookmarkStart w:id="24" w:name="_Toc508884332"/>
      <w:bookmarkStart w:id="25" w:name="_Toc508979194"/>
      <w:bookmarkStart w:id="26" w:name="_Toc509585551"/>
      <w:bookmarkStart w:id="27" w:name="_Toc534811640"/>
      <w:bookmarkStart w:id="28" w:name="_Toc534887217"/>
      <w:bookmarkStart w:id="29" w:name="_Toc534896734"/>
      <w:bookmarkStart w:id="30" w:name="_Toc90649607"/>
      <w:r w:rsidRPr="00812F3B">
        <w:rPr>
          <w:rFonts w:ascii="Garamond" w:eastAsia="Calibri" w:hAnsi="Garamond" w:cs="Times New Roman"/>
          <w:b/>
          <w:bCs/>
          <w:smallCaps/>
          <w:color w:val="000000" w:themeColor="text1"/>
          <w:kern w:val="32"/>
          <w:sz w:val="24"/>
          <w:szCs w:val="24"/>
        </w:rPr>
        <w:lastRenderedPageBreak/>
        <w:t>Procedure Applicable to Filing Exempt (FE) Securities</w:t>
      </w:r>
      <w:r w:rsidRPr="00812F3B">
        <w:rPr>
          <w:rFonts w:ascii="Garamond" w:eastAsia="Calibri" w:hAnsi="Garamond" w:cs="Times New Roman"/>
          <w:b/>
          <w:bCs/>
          <w:smallCaps/>
          <w:color w:val="000000" w:themeColor="text1"/>
          <w:kern w:val="32"/>
          <w:sz w:val="24"/>
          <w:szCs w:val="24"/>
        </w:rPr>
        <w:fldChar w:fldCharType="begin"/>
      </w:r>
      <w:r w:rsidRPr="00812F3B">
        <w:rPr>
          <w:rFonts w:ascii="Garamond" w:eastAsia="Calibri" w:hAnsi="Garamond" w:cs="Times New Roman"/>
          <w:b/>
          <w:bCs/>
          <w:smallCaps/>
          <w:color w:val="000000" w:themeColor="text1"/>
          <w:kern w:val="32"/>
          <w:sz w:val="24"/>
          <w:szCs w:val="24"/>
        </w:rPr>
        <w:instrText xml:space="preserve"> XE "Filing Exempt (FE) Securities" </w:instrText>
      </w:r>
      <w:r w:rsidRPr="00812F3B">
        <w:rPr>
          <w:rFonts w:ascii="Garamond" w:eastAsia="Calibri" w:hAnsi="Garamond" w:cs="Times New Roman"/>
          <w:b/>
          <w:bCs/>
          <w:smallCaps/>
          <w:color w:val="000000" w:themeColor="text1"/>
          <w:kern w:val="32"/>
          <w:sz w:val="24"/>
          <w:szCs w:val="24"/>
        </w:rPr>
        <w:fldChar w:fldCharType="end"/>
      </w:r>
      <w:r w:rsidRPr="00812F3B">
        <w:rPr>
          <w:rFonts w:ascii="Garamond" w:eastAsia="Calibri" w:hAnsi="Garamond" w:cs="Times New Roman"/>
          <w:b/>
          <w:bCs/>
          <w:smallCaps/>
          <w:color w:val="000000" w:themeColor="text1"/>
          <w:kern w:val="32"/>
          <w:sz w:val="24"/>
          <w:szCs w:val="24"/>
        </w:rPr>
        <w:t xml:space="preserve"> and Private Letter (PL) Rating Securities</w:t>
      </w:r>
      <w:bookmarkEnd w:id="24"/>
      <w:bookmarkEnd w:id="25"/>
      <w:bookmarkEnd w:id="26"/>
      <w:bookmarkEnd w:id="27"/>
      <w:bookmarkEnd w:id="28"/>
      <w:bookmarkEnd w:id="29"/>
      <w:bookmarkEnd w:id="30"/>
      <w:r w:rsidRPr="00812F3B">
        <w:rPr>
          <w:rFonts w:ascii="Garamond" w:eastAsia="Calibri" w:hAnsi="Garamond" w:cs="Times New Roman"/>
          <w:b/>
          <w:bCs/>
          <w:smallCaps/>
          <w:color w:val="000000" w:themeColor="text1"/>
          <w:kern w:val="32"/>
          <w:sz w:val="24"/>
          <w:szCs w:val="24"/>
        </w:rPr>
        <w:fldChar w:fldCharType="begin"/>
      </w:r>
      <w:r w:rsidRPr="00812F3B">
        <w:rPr>
          <w:rFonts w:ascii="Garamond" w:eastAsia="Calibri" w:hAnsi="Garamond" w:cs="Times New Roman"/>
          <w:b/>
          <w:bCs/>
          <w:smallCaps/>
          <w:color w:val="000000" w:themeColor="text1"/>
          <w:kern w:val="32"/>
          <w:sz w:val="24"/>
          <w:szCs w:val="24"/>
        </w:rPr>
        <w:instrText xml:space="preserve"> XE "Private Letter (PL) Rating Securities" </w:instrText>
      </w:r>
      <w:r w:rsidRPr="00812F3B">
        <w:rPr>
          <w:rFonts w:ascii="Garamond" w:eastAsia="Calibri" w:hAnsi="Garamond" w:cs="Times New Roman"/>
          <w:b/>
          <w:bCs/>
          <w:smallCaps/>
          <w:color w:val="000000" w:themeColor="text1"/>
          <w:kern w:val="32"/>
          <w:sz w:val="24"/>
          <w:szCs w:val="24"/>
        </w:rPr>
        <w:fldChar w:fldCharType="end"/>
      </w:r>
      <w:r w:rsidRPr="00812F3B">
        <w:rPr>
          <w:rFonts w:ascii="Garamond" w:eastAsia="Calibri" w:hAnsi="Garamond" w:cs="Times New Roman"/>
          <w:b/>
          <w:bCs/>
          <w:smallCaps/>
          <w:color w:val="000000" w:themeColor="text1"/>
          <w:kern w:val="32"/>
          <w:sz w:val="24"/>
          <w:szCs w:val="24"/>
        </w:rPr>
        <w:t xml:space="preserve"> </w:t>
      </w:r>
    </w:p>
    <w:p w14:paraId="6BC2E8DD" w14:textId="77777777" w:rsidR="000D38A2" w:rsidRPr="00B751F4" w:rsidRDefault="000D38A2">
      <w:pPr>
        <w:rPr>
          <w:rFonts w:ascii="Garamond" w:eastAsia="Calibri" w:hAnsi="Garamond" w:cs="Times New Roman"/>
          <w:b/>
          <w:bCs/>
          <w:smallCaps/>
          <w:color w:val="000000" w:themeColor="text1"/>
          <w:kern w:val="32"/>
          <w:sz w:val="24"/>
          <w:szCs w:val="24"/>
        </w:rPr>
      </w:pPr>
      <w:r w:rsidRPr="00B751F4">
        <w:rPr>
          <w:rFonts w:ascii="Garamond" w:eastAsia="Calibri" w:hAnsi="Garamond" w:cs="Times New Roman"/>
          <w:b/>
          <w:bCs/>
          <w:smallCaps/>
          <w:color w:val="000000" w:themeColor="text1"/>
          <w:kern w:val="32"/>
          <w:sz w:val="24"/>
          <w:szCs w:val="24"/>
        </w:rPr>
        <w:t>…</w:t>
      </w:r>
    </w:p>
    <w:p w14:paraId="1E361995" w14:textId="77777777" w:rsidR="00C36A2A" w:rsidRPr="00F6765F" w:rsidRDefault="00C36A2A" w:rsidP="00F6765F">
      <w:pPr>
        <w:pStyle w:val="Heading4"/>
        <w:spacing w:before="240" w:line="276" w:lineRule="auto"/>
        <w:jc w:val="both"/>
        <w:rPr>
          <w:rFonts w:ascii="Garamond" w:hAnsi="Garamond"/>
          <w:b/>
          <w:bCs/>
          <w:i w:val="0"/>
          <w:color w:val="000000" w:themeColor="text1"/>
          <w:sz w:val="24"/>
          <w:szCs w:val="24"/>
        </w:rPr>
      </w:pPr>
      <w:bookmarkStart w:id="31" w:name="_Toc534887219"/>
      <w:bookmarkStart w:id="32" w:name="_Toc90649610"/>
      <w:bookmarkStart w:id="33" w:name="_Hlk56588729"/>
      <w:r w:rsidRPr="00F6765F">
        <w:rPr>
          <w:rFonts w:ascii="Garamond" w:hAnsi="Garamond"/>
          <w:b/>
          <w:bCs/>
          <w:i w:val="0"/>
          <w:color w:val="000000" w:themeColor="text1"/>
          <w:sz w:val="24"/>
          <w:szCs w:val="24"/>
        </w:rPr>
        <w:t>Specific Populations of Securities Not Eligible for Filing Exemption</w:t>
      </w:r>
      <w:bookmarkEnd w:id="31"/>
      <w:bookmarkEnd w:id="32"/>
      <w:r w:rsidRPr="00F6765F">
        <w:rPr>
          <w:rFonts w:ascii="Garamond" w:hAnsi="Garamond"/>
          <w:b/>
          <w:bCs/>
          <w:i w:val="0"/>
          <w:color w:val="000000" w:themeColor="text1"/>
          <w:sz w:val="24"/>
          <w:szCs w:val="24"/>
        </w:rPr>
        <w:fldChar w:fldCharType="begin"/>
      </w:r>
      <w:r w:rsidRPr="00F6765F">
        <w:rPr>
          <w:rFonts w:ascii="Garamond" w:hAnsi="Garamond"/>
          <w:b/>
          <w:bCs/>
          <w:i w:val="0"/>
          <w:color w:val="000000" w:themeColor="text1"/>
          <w:sz w:val="24"/>
          <w:szCs w:val="24"/>
        </w:rPr>
        <w:instrText xml:space="preserve"> XE "Filing Exempt (FE) Securities:Specific Populations of Securities Not Eligible for Filing Exemption; SCA Investments; Catastrophe-Linked Bonds" </w:instrText>
      </w:r>
      <w:r w:rsidRPr="00F6765F">
        <w:rPr>
          <w:rFonts w:ascii="Garamond" w:hAnsi="Garamond"/>
          <w:b/>
          <w:bCs/>
          <w:i w:val="0"/>
          <w:color w:val="000000" w:themeColor="text1"/>
          <w:sz w:val="24"/>
          <w:szCs w:val="24"/>
        </w:rPr>
        <w:fldChar w:fldCharType="end"/>
      </w:r>
    </w:p>
    <w:bookmarkEnd w:id="33"/>
    <w:p w14:paraId="1C8028D2" w14:textId="77777777" w:rsidR="00C36A2A" w:rsidRDefault="00C36A2A" w:rsidP="00C36A2A">
      <w:pPr>
        <w:pStyle w:val="ListParagraph"/>
        <w:numPr>
          <w:ilvl w:val="0"/>
          <w:numId w:val="1"/>
        </w:numPr>
        <w:rPr>
          <w:color w:val="000000" w:themeColor="text1"/>
        </w:rPr>
      </w:pPr>
      <w:r w:rsidRPr="006657B8">
        <w:rPr>
          <w:color w:val="000000" w:themeColor="text1"/>
        </w:rPr>
        <w:t>The filing exemption procedure does not apply to:</w:t>
      </w:r>
    </w:p>
    <w:p w14:paraId="60A0A996" w14:textId="45BF3EC2" w:rsidR="006D665D" w:rsidRDefault="006D665D" w:rsidP="006D665D">
      <w:pPr>
        <w:pStyle w:val="ListParagraph"/>
        <w:ind w:firstLine="0"/>
        <w:rPr>
          <w:color w:val="000000" w:themeColor="text1"/>
        </w:rPr>
      </w:pPr>
      <w:r>
        <w:rPr>
          <w:color w:val="000000" w:themeColor="text1"/>
        </w:rPr>
        <w:t>…</w:t>
      </w:r>
    </w:p>
    <w:p w14:paraId="7A1B258F" w14:textId="7D71608B" w:rsidR="00F32F4B" w:rsidRPr="004E7850" w:rsidRDefault="00F32F4B" w:rsidP="00F32F4B">
      <w:pPr>
        <w:pStyle w:val="Sublisting"/>
        <w:numPr>
          <w:ilvl w:val="0"/>
          <w:numId w:val="4"/>
        </w:numPr>
        <w:ind w:left="1800"/>
        <w:rPr>
          <w:color w:val="000000" w:themeColor="text1"/>
          <w:u w:val="single"/>
        </w:rPr>
      </w:pPr>
      <w:r w:rsidRPr="004E7850">
        <w:rPr>
          <w:b/>
          <w:color w:val="FF0000"/>
          <w:u w:val="single"/>
        </w:rPr>
        <w:t xml:space="preserve">Structured Equity </w:t>
      </w:r>
      <w:r w:rsidR="000C7DE1">
        <w:rPr>
          <w:b/>
          <w:color w:val="FF0000"/>
          <w:u w:val="single"/>
        </w:rPr>
        <w:t>and</w:t>
      </w:r>
      <w:r w:rsidRPr="004E7850">
        <w:rPr>
          <w:b/>
          <w:color w:val="FF0000"/>
          <w:u w:val="single"/>
        </w:rPr>
        <w:t xml:space="preserve"> Funds - </w:t>
      </w:r>
      <w:r w:rsidRPr="004E7850">
        <w:rPr>
          <w:color w:val="FF0000"/>
          <w:u w:val="single"/>
        </w:rPr>
        <w:t xml:space="preserve">Transactions meeting the criteria of </w:t>
      </w:r>
      <w:r w:rsidR="00941169" w:rsidRPr="004E7850">
        <w:rPr>
          <w:color w:val="FF0000"/>
          <w:u w:val="single"/>
        </w:rPr>
        <w:t xml:space="preserve">Structured Equity </w:t>
      </w:r>
      <w:r w:rsidR="000C7DE1">
        <w:rPr>
          <w:color w:val="FF0000"/>
          <w:u w:val="single"/>
        </w:rPr>
        <w:t>and</w:t>
      </w:r>
      <w:r w:rsidR="00941169" w:rsidRPr="004E7850">
        <w:rPr>
          <w:color w:val="FF0000"/>
          <w:u w:val="single"/>
        </w:rPr>
        <w:t xml:space="preserve"> Funds </w:t>
      </w:r>
      <w:r w:rsidRPr="004E7850">
        <w:rPr>
          <w:color w:val="FF0000"/>
          <w:u w:val="single"/>
        </w:rPr>
        <w:t xml:space="preserve">as specified in this Manual </w:t>
      </w:r>
      <w:r w:rsidR="00526576" w:rsidRPr="004E7850">
        <w:rPr>
          <w:color w:val="FF0000"/>
          <w:u w:val="single"/>
        </w:rPr>
        <w:t xml:space="preserve">are not eligible for filing exemption </w:t>
      </w:r>
      <w:r w:rsidR="007F10B2" w:rsidRPr="004E7850">
        <w:rPr>
          <w:color w:val="FF0000"/>
          <w:u w:val="single"/>
        </w:rPr>
        <w:t>and</w:t>
      </w:r>
      <w:r w:rsidR="00526576" w:rsidRPr="004E7850">
        <w:rPr>
          <w:color w:val="FF0000"/>
          <w:u w:val="single"/>
        </w:rPr>
        <w:t xml:space="preserve"> </w:t>
      </w:r>
      <w:r w:rsidR="00D97953">
        <w:rPr>
          <w:color w:val="FF0000"/>
          <w:u w:val="single"/>
        </w:rPr>
        <w:t xml:space="preserve">are </w:t>
      </w:r>
      <w:r w:rsidR="00526576" w:rsidRPr="004E7850">
        <w:rPr>
          <w:color w:val="FF0000"/>
          <w:u w:val="single"/>
        </w:rPr>
        <w:t xml:space="preserve">subject to assessment by </w:t>
      </w:r>
      <w:r w:rsidRPr="004E7850">
        <w:rPr>
          <w:color w:val="FF0000"/>
          <w:u w:val="single"/>
        </w:rPr>
        <w:t>SVO.</w:t>
      </w:r>
      <w:r w:rsidR="00C746FC" w:rsidRPr="00FC58F0">
        <w:rPr>
          <w:color w:val="FF0000"/>
        </w:rPr>
        <w:t xml:space="preserve"> </w:t>
      </w:r>
      <w:r w:rsidR="00C746FC" w:rsidRPr="00FC58F0">
        <w:rPr>
          <w:color w:val="FF0000"/>
        </w:rPr>
        <w:tab/>
      </w:r>
      <w:r w:rsidRPr="004E7850">
        <w:rPr>
          <w:color w:val="000000" w:themeColor="text1"/>
          <w:u w:val="single"/>
        </w:rPr>
        <w:br/>
      </w:r>
    </w:p>
    <w:p w14:paraId="68FB9714" w14:textId="77777777" w:rsidR="006D665D" w:rsidRDefault="006D665D" w:rsidP="006D665D">
      <w:pPr>
        <w:pStyle w:val="ListParagraph"/>
        <w:ind w:firstLine="0"/>
        <w:rPr>
          <w:color w:val="000000" w:themeColor="text1"/>
        </w:rPr>
      </w:pPr>
    </w:p>
    <w:p w14:paraId="2CED0AC4" w14:textId="1D3740F0" w:rsidR="001C209D" w:rsidRDefault="001C209D">
      <w:pPr>
        <w:rPr>
          <w:rFonts w:ascii="Garamond" w:eastAsia="Calibri" w:hAnsi="Garamond" w:cs="Times New Roman"/>
          <w:b/>
          <w:bCs/>
          <w:smallCaps/>
          <w:color w:val="FF0000"/>
          <w:kern w:val="32"/>
          <w:sz w:val="24"/>
          <w:szCs w:val="24"/>
        </w:rPr>
      </w:pPr>
      <w:r>
        <w:rPr>
          <w:rFonts w:ascii="Garamond" w:eastAsia="Calibri" w:hAnsi="Garamond" w:cs="Times New Roman"/>
          <w:b/>
          <w:bCs/>
          <w:smallCaps/>
          <w:color w:val="FF0000"/>
          <w:kern w:val="32"/>
          <w:sz w:val="24"/>
          <w:szCs w:val="24"/>
        </w:rPr>
        <w:br w:type="page"/>
      </w:r>
    </w:p>
    <w:p w14:paraId="5B85BD49" w14:textId="0C8654B3" w:rsidR="000731EE" w:rsidRPr="000065A2" w:rsidRDefault="00A67CAC" w:rsidP="005F631A">
      <w:pPr>
        <w:pStyle w:val="Heading2"/>
        <w:keepLines w:val="0"/>
        <w:pageBreakBefore/>
        <w:pBdr>
          <w:bottom w:val="thinThickSmallGap" w:sz="24" w:space="1" w:color="auto"/>
        </w:pBdr>
        <w:spacing w:before="360" w:after="240" w:line="240" w:lineRule="auto"/>
        <w:ind w:left="-270"/>
        <w:rPr>
          <w:rFonts w:ascii="Garamond" w:eastAsia="Calibri" w:hAnsi="Garamond" w:cs="Times New Roman"/>
          <w:b/>
          <w:bCs/>
          <w:smallCaps/>
          <w:color w:val="FF0000"/>
          <w:kern w:val="32"/>
          <w:sz w:val="24"/>
          <w:szCs w:val="24"/>
        </w:rPr>
      </w:pPr>
      <w:r w:rsidRPr="000065A2">
        <w:rPr>
          <w:rFonts w:ascii="Garamond" w:eastAsia="Calibri" w:hAnsi="Garamond" w:cs="Times New Roman"/>
          <w:b/>
          <w:bCs/>
          <w:smallCaps/>
          <w:color w:val="FF0000"/>
          <w:kern w:val="32"/>
          <w:sz w:val="24"/>
          <w:szCs w:val="24"/>
        </w:rPr>
        <w:lastRenderedPageBreak/>
        <w:t xml:space="preserve">Structured </w:t>
      </w:r>
      <w:r w:rsidR="00B3410E">
        <w:rPr>
          <w:rFonts w:ascii="Garamond" w:eastAsia="Calibri" w:hAnsi="Garamond" w:cs="Times New Roman"/>
          <w:b/>
          <w:bCs/>
          <w:smallCaps/>
          <w:color w:val="FF0000"/>
          <w:kern w:val="32"/>
          <w:sz w:val="24"/>
          <w:szCs w:val="24"/>
        </w:rPr>
        <w:t xml:space="preserve">Equity </w:t>
      </w:r>
      <w:r w:rsidR="000C7DE1">
        <w:rPr>
          <w:rFonts w:ascii="Garamond" w:eastAsia="Calibri" w:hAnsi="Garamond" w:cs="Times New Roman"/>
          <w:b/>
          <w:bCs/>
          <w:smallCaps/>
          <w:color w:val="FF0000"/>
          <w:kern w:val="32"/>
          <w:sz w:val="24"/>
          <w:szCs w:val="24"/>
        </w:rPr>
        <w:t>and</w:t>
      </w:r>
      <w:r w:rsidR="00B3410E">
        <w:rPr>
          <w:rFonts w:ascii="Garamond" w:eastAsia="Calibri" w:hAnsi="Garamond" w:cs="Times New Roman"/>
          <w:b/>
          <w:bCs/>
          <w:smallCaps/>
          <w:color w:val="FF0000"/>
          <w:kern w:val="32"/>
          <w:sz w:val="24"/>
          <w:szCs w:val="24"/>
        </w:rPr>
        <w:t xml:space="preserve"> </w:t>
      </w:r>
      <w:r w:rsidRPr="000065A2">
        <w:rPr>
          <w:rFonts w:ascii="Garamond" w:eastAsia="Calibri" w:hAnsi="Garamond" w:cs="Times New Roman"/>
          <w:b/>
          <w:bCs/>
          <w:smallCaps/>
          <w:color w:val="FF0000"/>
          <w:kern w:val="32"/>
          <w:sz w:val="24"/>
          <w:szCs w:val="24"/>
        </w:rPr>
        <w:t>Fund</w:t>
      </w:r>
    </w:p>
    <w:p w14:paraId="66962FFE" w14:textId="24DCCE98" w:rsidR="000F1F23" w:rsidRPr="0068185E" w:rsidRDefault="0065163F" w:rsidP="0065163F">
      <w:pPr>
        <w:autoSpaceDE w:val="0"/>
        <w:autoSpaceDN w:val="0"/>
        <w:adjustRightInd w:val="0"/>
        <w:spacing w:after="0" w:line="240" w:lineRule="auto"/>
        <w:ind w:hanging="270"/>
        <w:rPr>
          <w:rFonts w:ascii="Garamond-Bold" w:hAnsi="Garamond-Bold" w:cs="Garamond-Bold"/>
          <w:b/>
          <w:bCs/>
          <w:color w:val="FF0000"/>
          <w:sz w:val="24"/>
          <w:szCs w:val="24"/>
          <w:u w:val="single"/>
        </w:rPr>
      </w:pPr>
      <w:r w:rsidRPr="0068185E">
        <w:rPr>
          <w:rFonts w:ascii="Garamond-Bold" w:hAnsi="Garamond-Bold" w:cs="Garamond-Bold"/>
          <w:b/>
          <w:bCs/>
          <w:color w:val="FF0000"/>
          <w:sz w:val="24"/>
          <w:szCs w:val="24"/>
          <w:u w:val="single"/>
        </w:rPr>
        <w:t>Definition</w:t>
      </w:r>
    </w:p>
    <w:p w14:paraId="5B65DF39" w14:textId="0223F292" w:rsidR="008E1CC1" w:rsidRPr="0068185E" w:rsidRDefault="0065163F" w:rsidP="00E07FC6">
      <w:pPr>
        <w:pStyle w:val="ListParagraph"/>
        <w:numPr>
          <w:ilvl w:val="0"/>
          <w:numId w:val="25"/>
        </w:numPr>
        <w:spacing w:after="0" w:line="240" w:lineRule="auto"/>
        <w:ind w:left="450"/>
        <w:rPr>
          <w:rFonts w:cs="Garamond"/>
          <w:color w:val="FF0000"/>
          <w:u w:val="single"/>
        </w:rPr>
      </w:pPr>
      <w:r w:rsidRPr="0068185E">
        <w:rPr>
          <w:rFonts w:cs="Garamond"/>
          <w:color w:val="FF0000"/>
          <w:u w:val="single"/>
        </w:rPr>
        <w:t xml:space="preserve"> </w:t>
      </w:r>
      <w:r>
        <w:tab/>
      </w:r>
      <w:r w:rsidR="00DB0335" w:rsidRPr="0068185E">
        <w:rPr>
          <w:rFonts w:cs="Garamond"/>
          <w:color w:val="FF0000"/>
          <w:u w:val="single"/>
        </w:rPr>
        <w:t xml:space="preserve">A Structured </w:t>
      </w:r>
      <w:r w:rsidR="00B3410E" w:rsidRPr="0068185E">
        <w:rPr>
          <w:rFonts w:cs="Garamond"/>
          <w:color w:val="FF0000"/>
          <w:u w:val="single"/>
        </w:rPr>
        <w:t xml:space="preserve">Equity </w:t>
      </w:r>
      <w:r w:rsidR="000C7DE1">
        <w:rPr>
          <w:rFonts w:cs="Garamond"/>
          <w:color w:val="FF0000"/>
          <w:u w:val="single"/>
        </w:rPr>
        <w:t>and</w:t>
      </w:r>
      <w:r w:rsidR="00B3410E" w:rsidRPr="0068185E">
        <w:rPr>
          <w:rFonts w:cs="Garamond"/>
          <w:color w:val="FF0000"/>
          <w:u w:val="single"/>
        </w:rPr>
        <w:t xml:space="preserve"> </w:t>
      </w:r>
      <w:r w:rsidR="00DB0335" w:rsidRPr="0068185E">
        <w:rPr>
          <w:rFonts w:cs="Garamond"/>
          <w:color w:val="FF0000"/>
          <w:u w:val="single"/>
        </w:rPr>
        <w:t>Fund</w:t>
      </w:r>
      <w:r w:rsidR="00F708B8">
        <w:rPr>
          <w:rFonts w:cs="Garamond"/>
          <w:color w:val="FF0000"/>
          <w:u w:val="single"/>
        </w:rPr>
        <w:t xml:space="preserve"> inve</w:t>
      </w:r>
      <w:r w:rsidR="003E00E8">
        <w:rPr>
          <w:rFonts w:cs="Garamond"/>
          <w:color w:val="FF0000"/>
          <w:u w:val="single"/>
        </w:rPr>
        <w:t>stment is a note issued by</w:t>
      </w:r>
      <w:r w:rsidR="00AB156F">
        <w:rPr>
          <w:rFonts w:cs="Garamond"/>
          <w:color w:val="FF0000"/>
          <w:u w:val="single"/>
        </w:rPr>
        <w:t>,</w:t>
      </w:r>
      <w:r w:rsidR="003E00E8">
        <w:rPr>
          <w:rFonts w:cs="Garamond"/>
          <w:color w:val="FF0000"/>
          <w:u w:val="single"/>
        </w:rPr>
        <w:t xml:space="preserve"> or equity or limited partnership interest in</w:t>
      </w:r>
      <w:r w:rsidR="00AB156F">
        <w:rPr>
          <w:rFonts w:cs="Garamond"/>
          <w:color w:val="FF0000"/>
          <w:u w:val="single"/>
        </w:rPr>
        <w:t>,</w:t>
      </w:r>
      <w:r w:rsidR="00DB0335" w:rsidRPr="0068185E">
        <w:rPr>
          <w:rFonts w:cs="Garamond"/>
          <w:color w:val="FF0000"/>
          <w:u w:val="single"/>
        </w:rPr>
        <w:t xml:space="preserve"> </w:t>
      </w:r>
      <w:r w:rsidR="00B3410E" w:rsidRPr="0068185E">
        <w:rPr>
          <w:rFonts w:cs="Garamond"/>
          <w:color w:val="FF0000"/>
          <w:u w:val="single"/>
        </w:rPr>
        <w:t xml:space="preserve">a special purpose vehicle, trust, limited liability company, </w:t>
      </w:r>
      <w:r w:rsidR="00ED1DC1">
        <w:rPr>
          <w:rFonts w:cs="Garamond"/>
          <w:color w:val="FF0000"/>
          <w:u w:val="single"/>
        </w:rPr>
        <w:t>limited partnership</w:t>
      </w:r>
      <w:r w:rsidR="00A91201">
        <w:rPr>
          <w:rFonts w:cs="Garamond"/>
          <w:color w:val="FF0000"/>
          <w:u w:val="single"/>
        </w:rPr>
        <w:t>,</w:t>
      </w:r>
      <w:r w:rsidR="00ED1DC1">
        <w:rPr>
          <w:rFonts w:cs="Garamond"/>
          <w:color w:val="FF0000"/>
          <w:u w:val="single"/>
        </w:rPr>
        <w:t xml:space="preserve"> </w:t>
      </w:r>
      <w:r w:rsidR="00B3410E" w:rsidRPr="0068185E">
        <w:rPr>
          <w:rFonts w:cs="Garamond"/>
          <w:color w:val="FF0000"/>
          <w:u w:val="single"/>
        </w:rPr>
        <w:t>or other legal entity type</w:t>
      </w:r>
      <w:r w:rsidR="003C7D55">
        <w:rPr>
          <w:rFonts w:cs="Garamond"/>
          <w:color w:val="FF0000"/>
          <w:u w:val="single"/>
        </w:rPr>
        <w:t>, as issuer,</w:t>
      </w:r>
      <w:r w:rsidR="00B3410E" w:rsidRPr="0068185E">
        <w:rPr>
          <w:rFonts w:cs="Garamond"/>
          <w:color w:val="FF0000"/>
          <w:u w:val="single"/>
        </w:rPr>
        <w:t xml:space="preserve"> </w:t>
      </w:r>
      <w:r w:rsidR="009117F3">
        <w:rPr>
          <w:rFonts w:cs="Garamond"/>
          <w:color w:val="FF0000"/>
          <w:u w:val="single"/>
        </w:rPr>
        <w:t xml:space="preserve">the contractually promised payments of </w:t>
      </w:r>
      <w:r w:rsidR="00AB156F">
        <w:rPr>
          <w:rFonts w:cs="Garamond"/>
          <w:color w:val="FF0000"/>
          <w:u w:val="single"/>
        </w:rPr>
        <w:t>which</w:t>
      </w:r>
      <w:r w:rsidR="00B813DE" w:rsidRPr="0068185E">
        <w:rPr>
          <w:rFonts w:cs="Garamond"/>
          <w:color w:val="FF0000"/>
          <w:u w:val="single"/>
        </w:rPr>
        <w:t xml:space="preserve"> </w:t>
      </w:r>
      <w:r w:rsidR="009117F3">
        <w:rPr>
          <w:rFonts w:cs="Garamond"/>
          <w:color w:val="FF0000"/>
          <w:u w:val="single"/>
        </w:rPr>
        <w:t>are</w:t>
      </w:r>
      <w:r w:rsidR="00B813DE" w:rsidRPr="0068185E">
        <w:rPr>
          <w:rFonts w:cs="Garamond"/>
          <w:color w:val="FF0000"/>
          <w:u w:val="single"/>
        </w:rPr>
        <w:t xml:space="preserve"> </w:t>
      </w:r>
      <w:r w:rsidR="00B3410E" w:rsidRPr="0068185E">
        <w:rPr>
          <w:rFonts w:cs="Garamond"/>
          <w:color w:val="FF0000"/>
          <w:u w:val="single"/>
        </w:rPr>
        <w:t xml:space="preserve">wholly </w:t>
      </w:r>
      <w:r w:rsidR="00B813DE" w:rsidRPr="0068185E">
        <w:rPr>
          <w:rFonts w:cs="Garamond"/>
          <w:color w:val="FF0000"/>
          <w:u w:val="single"/>
        </w:rPr>
        <w:t>depend</w:t>
      </w:r>
      <w:r w:rsidR="00BD6E12" w:rsidRPr="0068185E">
        <w:rPr>
          <w:rFonts w:cs="Garamond"/>
          <w:color w:val="FF0000"/>
          <w:u w:val="single"/>
        </w:rPr>
        <w:t>ent</w:t>
      </w:r>
      <w:r w:rsidR="00E2164C">
        <w:rPr>
          <w:rFonts w:cs="Garamond"/>
          <w:color w:val="FF0000"/>
          <w:u w:val="single"/>
        </w:rPr>
        <w:t xml:space="preserve">, </w:t>
      </w:r>
      <w:proofErr w:type="gramStart"/>
      <w:r w:rsidR="00E2164C">
        <w:rPr>
          <w:rFonts w:cs="Garamond"/>
          <w:color w:val="FF0000"/>
          <w:u w:val="single"/>
        </w:rPr>
        <w:t>directly</w:t>
      </w:r>
      <w:proofErr w:type="gramEnd"/>
      <w:r w:rsidR="00E2164C">
        <w:rPr>
          <w:rFonts w:cs="Garamond"/>
          <w:color w:val="FF0000"/>
          <w:u w:val="single"/>
        </w:rPr>
        <w:t xml:space="preserve"> or indirectly,</w:t>
      </w:r>
      <w:r w:rsidR="00BD6E12" w:rsidRPr="0068185E">
        <w:rPr>
          <w:rFonts w:cs="Garamond"/>
          <w:color w:val="FF0000"/>
          <w:u w:val="single"/>
        </w:rPr>
        <w:t xml:space="preserve"> upon </w:t>
      </w:r>
      <w:r w:rsidR="00A51F5B" w:rsidRPr="0068185E">
        <w:rPr>
          <w:rFonts w:cs="Garamond"/>
          <w:color w:val="FF0000"/>
          <w:u w:val="single"/>
        </w:rPr>
        <w:t xml:space="preserve">payments </w:t>
      </w:r>
      <w:r w:rsidR="003A3341">
        <w:rPr>
          <w:rFonts w:cs="Garamond"/>
          <w:color w:val="FF0000"/>
          <w:u w:val="single"/>
        </w:rPr>
        <w:t xml:space="preserve">or </w:t>
      </w:r>
      <w:r w:rsidR="00854865">
        <w:rPr>
          <w:rFonts w:cs="Garamond"/>
          <w:color w:val="FF0000"/>
          <w:u w:val="single"/>
        </w:rPr>
        <w:t xml:space="preserve">distributions </w:t>
      </w:r>
      <w:r w:rsidR="00A51F5B" w:rsidRPr="0068185E">
        <w:rPr>
          <w:rFonts w:cs="Garamond"/>
          <w:color w:val="FF0000"/>
          <w:u w:val="single"/>
        </w:rPr>
        <w:t xml:space="preserve">from </w:t>
      </w:r>
      <w:r w:rsidR="00EB1740">
        <w:rPr>
          <w:rFonts w:cs="Garamond"/>
          <w:color w:val="FF0000"/>
          <w:u w:val="single"/>
        </w:rPr>
        <w:t>one or more</w:t>
      </w:r>
      <w:r w:rsidR="00854865">
        <w:rPr>
          <w:rFonts w:cs="Garamond"/>
          <w:color w:val="FF0000"/>
          <w:u w:val="single"/>
        </w:rPr>
        <w:t xml:space="preserve"> underlying</w:t>
      </w:r>
      <w:r w:rsidR="00854865" w:rsidRPr="0068185E">
        <w:rPr>
          <w:rFonts w:cs="Garamond"/>
          <w:color w:val="FF0000"/>
          <w:u w:val="single"/>
        </w:rPr>
        <w:t xml:space="preserve"> </w:t>
      </w:r>
      <w:r w:rsidR="00B3410E" w:rsidRPr="0068185E">
        <w:rPr>
          <w:rFonts w:cs="Garamond"/>
          <w:color w:val="FF0000"/>
          <w:u w:val="single"/>
        </w:rPr>
        <w:t xml:space="preserve">equity </w:t>
      </w:r>
      <w:r w:rsidR="009C0676">
        <w:rPr>
          <w:rFonts w:cs="Garamond"/>
          <w:color w:val="FF0000"/>
          <w:u w:val="single"/>
        </w:rPr>
        <w:t xml:space="preserve">or </w:t>
      </w:r>
      <w:r w:rsidR="004A0EA1">
        <w:rPr>
          <w:rFonts w:cs="Garamond"/>
          <w:color w:val="FF0000"/>
          <w:u w:val="single"/>
        </w:rPr>
        <w:t>fund</w:t>
      </w:r>
      <w:r w:rsidR="004A0EA1" w:rsidRPr="0068185E">
        <w:rPr>
          <w:rFonts w:cs="Garamond"/>
          <w:color w:val="FF0000"/>
          <w:u w:val="single"/>
        </w:rPr>
        <w:t xml:space="preserve"> </w:t>
      </w:r>
      <w:r w:rsidR="00B3410E" w:rsidRPr="0068185E">
        <w:rPr>
          <w:rFonts w:cs="Garamond"/>
          <w:color w:val="FF0000"/>
          <w:u w:val="single"/>
        </w:rPr>
        <w:t>investment</w:t>
      </w:r>
      <w:r w:rsidR="00763737">
        <w:rPr>
          <w:rFonts w:cs="Garamond"/>
          <w:color w:val="FF0000"/>
          <w:u w:val="single"/>
        </w:rPr>
        <w:t>s</w:t>
      </w:r>
      <w:r w:rsidR="00482E86" w:rsidRPr="0068185E">
        <w:rPr>
          <w:rFonts w:cs="Garamond"/>
          <w:color w:val="FF0000"/>
          <w:u w:val="single"/>
        </w:rPr>
        <w:t>.  The inclusion</w:t>
      </w:r>
      <w:r w:rsidR="00A419CB" w:rsidRPr="0068185E">
        <w:rPr>
          <w:rFonts w:cs="Garamond"/>
          <w:color w:val="FF0000"/>
          <w:u w:val="single"/>
        </w:rPr>
        <w:t xml:space="preserve"> of an</w:t>
      </w:r>
      <w:r w:rsidR="00482E86" w:rsidRPr="0068185E">
        <w:rPr>
          <w:rFonts w:cs="Garamond"/>
          <w:color w:val="FF0000"/>
          <w:u w:val="single"/>
        </w:rPr>
        <w:t xml:space="preserve"> inter</w:t>
      </w:r>
      <w:r w:rsidR="00A419CB" w:rsidRPr="0068185E">
        <w:rPr>
          <w:rFonts w:cs="Garamond"/>
          <w:color w:val="FF0000"/>
          <w:u w:val="single"/>
        </w:rPr>
        <w:t>vening</w:t>
      </w:r>
      <w:r w:rsidR="00482E86" w:rsidRPr="0068185E">
        <w:rPr>
          <w:rFonts w:cs="Garamond"/>
          <w:color w:val="FF0000"/>
          <w:u w:val="single"/>
        </w:rPr>
        <w:t xml:space="preserve"> </w:t>
      </w:r>
      <w:r w:rsidR="001E3765" w:rsidRPr="0068185E">
        <w:rPr>
          <w:rFonts w:cs="Garamond"/>
          <w:color w:val="FF0000"/>
          <w:u w:val="single"/>
        </w:rPr>
        <w:t>legal entit</w:t>
      </w:r>
      <w:r w:rsidR="00A419CB" w:rsidRPr="0068185E">
        <w:rPr>
          <w:rFonts w:cs="Garamond"/>
          <w:color w:val="FF0000"/>
          <w:u w:val="single"/>
        </w:rPr>
        <w:t>y</w:t>
      </w:r>
      <w:r w:rsidR="004457E3">
        <w:rPr>
          <w:rFonts w:cs="Garamond"/>
          <w:color w:val="FF0000"/>
          <w:u w:val="single"/>
        </w:rPr>
        <w:t xml:space="preserve"> or entities</w:t>
      </w:r>
      <w:r w:rsidR="001E3765" w:rsidRPr="0068185E">
        <w:rPr>
          <w:rFonts w:cs="Garamond"/>
          <w:color w:val="FF0000"/>
          <w:u w:val="single"/>
        </w:rPr>
        <w:t xml:space="preserve"> </w:t>
      </w:r>
      <w:r w:rsidR="00480007" w:rsidRPr="0068185E">
        <w:rPr>
          <w:rFonts w:cs="Garamond"/>
          <w:color w:val="FF0000"/>
          <w:u w:val="single"/>
        </w:rPr>
        <w:t>between</w:t>
      </w:r>
      <w:r w:rsidR="00297251" w:rsidRPr="0068185E">
        <w:rPr>
          <w:rFonts w:cs="Garamond"/>
          <w:color w:val="FF0000"/>
          <w:u w:val="single"/>
        </w:rPr>
        <w:t xml:space="preserve"> the Structured </w:t>
      </w:r>
      <w:r w:rsidR="00A419CB" w:rsidRPr="0068185E">
        <w:rPr>
          <w:rFonts w:cs="Garamond"/>
          <w:color w:val="FF0000"/>
          <w:u w:val="single"/>
        </w:rPr>
        <w:t xml:space="preserve">Equity </w:t>
      </w:r>
      <w:r w:rsidR="000C7DE1">
        <w:rPr>
          <w:rFonts w:cs="Garamond"/>
          <w:color w:val="FF0000"/>
          <w:u w:val="single"/>
        </w:rPr>
        <w:t>and</w:t>
      </w:r>
      <w:r w:rsidR="00A419CB" w:rsidRPr="0068185E">
        <w:rPr>
          <w:rFonts w:cs="Garamond"/>
          <w:color w:val="FF0000"/>
          <w:u w:val="single"/>
        </w:rPr>
        <w:t xml:space="preserve"> </w:t>
      </w:r>
      <w:r w:rsidR="00297251" w:rsidRPr="0068185E">
        <w:rPr>
          <w:rFonts w:cs="Garamond"/>
          <w:color w:val="FF0000"/>
          <w:u w:val="single"/>
        </w:rPr>
        <w:t>Fund</w:t>
      </w:r>
      <w:r w:rsidR="00F3275A">
        <w:rPr>
          <w:rFonts w:cs="Garamond"/>
          <w:color w:val="FF0000"/>
          <w:u w:val="single"/>
        </w:rPr>
        <w:t xml:space="preserve"> investment</w:t>
      </w:r>
      <w:r w:rsidR="001C7DA6">
        <w:rPr>
          <w:rFonts w:cs="Garamond"/>
          <w:color w:val="FF0000"/>
          <w:u w:val="single"/>
        </w:rPr>
        <w:t xml:space="preserve"> issuer</w:t>
      </w:r>
      <w:r w:rsidR="00F3275A">
        <w:rPr>
          <w:rFonts w:cs="Garamond"/>
          <w:color w:val="FF0000"/>
          <w:u w:val="single"/>
        </w:rPr>
        <w:t xml:space="preserve"> and the </w:t>
      </w:r>
      <w:r w:rsidR="00EB1740">
        <w:rPr>
          <w:rFonts w:cs="Garamond"/>
          <w:color w:val="FF0000"/>
          <w:u w:val="single"/>
        </w:rPr>
        <w:t xml:space="preserve">underlying </w:t>
      </w:r>
      <w:r w:rsidR="00B96F03">
        <w:rPr>
          <w:rFonts w:cs="Garamond"/>
          <w:color w:val="FF0000"/>
          <w:u w:val="single"/>
        </w:rPr>
        <w:t xml:space="preserve">equity or </w:t>
      </w:r>
      <w:r w:rsidR="00EB1740">
        <w:rPr>
          <w:rFonts w:cs="Garamond"/>
          <w:color w:val="FF0000"/>
          <w:u w:val="single"/>
        </w:rPr>
        <w:t>fund</w:t>
      </w:r>
      <w:r w:rsidR="00712140">
        <w:rPr>
          <w:rFonts w:cs="Garamond"/>
          <w:color w:val="FF0000"/>
          <w:u w:val="single"/>
        </w:rPr>
        <w:t>(s)</w:t>
      </w:r>
      <w:r w:rsidR="00271510">
        <w:rPr>
          <w:rFonts w:cs="Garamond"/>
          <w:color w:val="FF0000"/>
          <w:u w:val="single"/>
        </w:rPr>
        <w:t>,</w:t>
      </w:r>
      <w:r w:rsidR="00297251" w:rsidRPr="0068185E">
        <w:rPr>
          <w:rFonts w:cs="Garamond"/>
          <w:color w:val="FF0000"/>
          <w:u w:val="single"/>
        </w:rPr>
        <w:t xml:space="preserve"> </w:t>
      </w:r>
      <w:r w:rsidR="001E3765" w:rsidRPr="0068185E">
        <w:rPr>
          <w:rFonts w:cs="Garamond"/>
          <w:color w:val="FF0000"/>
          <w:u w:val="single"/>
        </w:rPr>
        <w:t xml:space="preserve">does not </w:t>
      </w:r>
      <w:r w:rsidR="0081351A">
        <w:rPr>
          <w:rFonts w:cs="Garamond"/>
          <w:color w:val="FF0000"/>
          <w:u w:val="single"/>
        </w:rPr>
        <w:t xml:space="preserve">change the </w:t>
      </w:r>
      <w:r w:rsidR="00990CFD">
        <w:rPr>
          <w:rFonts w:cs="Garamond"/>
          <w:color w:val="FF0000"/>
          <w:u w:val="single"/>
        </w:rPr>
        <w:t>risk</w:t>
      </w:r>
      <w:r w:rsidR="0081351A">
        <w:rPr>
          <w:rFonts w:cs="Garamond"/>
          <w:color w:val="FF0000"/>
          <w:u w:val="single"/>
        </w:rPr>
        <w:t xml:space="preserve"> </w:t>
      </w:r>
      <w:r w:rsidR="00F4237F" w:rsidRPr="0068185E">
        <w:rPr>
          <w:rFonts w:cs="Garamond"/>
          <w:color w:val="FF0000"/>
          <w:u w:val="single"/>
        </w:rPr>
        <w:t xml:space="preserve">that the </w:t>
      </w:r>
      <w:r w:rsidR="0081351A">
        <w:rPr>
          <w:rFonts w:cs="Garamond"/>
          <w:color w:val="FF0000"/>
          <w:u w:val="single"/>
        </w:rPr>
        <w:t xml:space="preserve">insurer </w:t>
      </w:r>
      <w:r w:rsidR="00F4237F" w:rsidRPr="0068185E">
        <w:rPr>
          <w:rFonts w:cs="Garamond"/>
          <w:color w:val="FF0000"/>
          <w:u w:val="single"/>
        </w:rPr>
        <w:t xml:space="preserve">investment is ultimately </w:t>
      </w:r>
      <w:r w:rsidR="00BD7F13" w:rsidRPr="0068185E">
        <w:rPr>
          <w:rFonts w:cs="Garamond"/>
          <w:color w:val="FF0000"/>
          <w:u w:val="single"/>
        </w:rPr>
        <w:t>dependent</w:t>
      </w:r>
      <w:r w:rsidR="00432E03" w:rsidRPr="0003153E">
        <w:rPr>
          <w:rFonts w:cs="Garamond"/>
          <w:color w:val="FF0000"/>
          <w:u w:val="single"/>
        </w:rPr>
        <w:t>, in</w:t>
      </w:r>
      <w:r w:rsidR="003D4BD7" w:rsidRPr="0003153E">
        <w:rPr>
          <w:rFonts w:cs="Garamond"/>
          <w:color w:val="FF0000"/>
          <w:u w:val="single"/>
        </w:rPr>
        <w:t xml:space="preserve"> </w:t>
      </w:r>
      <w:r w:rsidR="00432E03" w:rsidRPr="0003153E">
        <w:rPr>
          <w:rFonts w:cs="Garamond"/>
          <w:color w:val="FF0000"/>
          <w:u w:val="single"/>
        </w:rPr>
        <w:t>whole or in</w:t>
      </w:r>
      <w:r w:rsidR="003D4BD7" w:rsidRPr="0003153E">
        <w:rPr>
          <w:rFonts w:cs="Garamond"/>
          <w:color w:val="FF0000"/>
          <w:u w:val="single"/>
        </w:rPr>
        <w:t xml:space="preserve"> </w:t>
      </w:r>
      <w:r w:rsidR="00432E03" w:rsidRPr="0003153E">
        <w:rPr>
          <w:rFonts w:cs="Garamond"/>
          <w:color w:val="FF0000"/>
          <w:u w:val="single"/>
        </w:rPr>
        <w:t>part,</w:t>
      </w:r>
      <w:r w:rsidR="00BD7F13" w:rsidRPr="0068185E">
        <w:rPr>
          <w:rFonts w:cs="Garamond"/>
          <w:color w:val="FF0000"/>
          <w:u w:val="single"/>
        </w:rPr>
        <w:t xml:space="preserve"> upon </w:t>
      </w:r>
      <w:r w:rsidR="0034740C">
        <w:rPr>
          <w:rFonts w:cs="Garamond"/>
          <w:color w:val="FF0000"/>
          <w:u w:val="single"/>
        </w:rPr>
        <w:t xml:space="preserve">an investment in </w:t>
      </w:r>
      <w:r w:rsidR="007C1D97">
        <w:rPr>
          <w:rFonts w:cs="Garamond"/>
          <w:color w:val="FF0000"/>
          <w:u w:val="single"/>
        </w:rPr>
        <w:t xml:space="preserve">equity or </w:t>
      </w:r>
      <w:r w:rsidR="0034740C">
        <w:rPr>
          <w:rFonts w:cs="Garamond"/>
          <w:color w:val="FF0000"/>
          <w:u w:val="single"/>
        </w:rPr>
        <w:t xml:space="preserve">one or more funds </w:t>
      </w:r>
      <w:r w:rsidR="00030AF2">
        <w:rPr>
          <w:rFonts w:cs="Garamond"/>
          <w:color w:val="FF0000"/>
          <w:u w:val="single"/>
        </w:rPr>
        <w:t>and</w:t>
      </w:r>
      <w:r w:rsidR="0034740C">
        <w:rPr>
          <w:rFonts w:cs="Garamond"/>
          <w:color w:val="FF0000"/>
          <w:u w:val="single"/>
        </w:rPr>
        <w:t xml:space="preserve"> </w:t>
      </w:r>
      <w:r w:rsidR="00D22125">
        <w:rPr>
          <w:rFonts w:cs="Garamond"/>
          <w:color w:val="FF0000"/>
          <w:u w:val="single"/>
        </w:rPr>
        <w:t>its</w:t>
      </w:r>
      <w:r w:rsidR="0034740C">
        <w:rPr>
          <w:rFonts w:cs="Garamond"/>
          <w:color w:val="FF0000"/>
          <w:u w:val="single"/>
        </w:rPr>
        <w:t xml:space="preserve"> </w:t>
      </w:r>
      <w:r w:rsidRPr="0068185E">
        <w:rPr>
          <w:rFonts w:cs="Garamond"/>
          <w:color w:val="FF0000"/>
          <w:u w:val="single"/>
        </w:rPr>
        <w:t>underlying investments</w:t>
      </w:r>
      <w:r w:rsidR="003548F8" w:rsidRPr="0068185E">
        <w:rPr>
          <w:rFonts w:cs="Garamond"/>
          <w:color w:val="FF0000"/>
          <w:u w:val="single"/>
        </w:rPr>
        <w:t>.</w:t>
      </w:r>
      <w:r w:rsidRPr="0068185E">
        <w:rPr>
          <w:rFonts w:cs="Garamond"/>
          <w:color w:val="FF0000"/>
          <w:u w:val="single"/>
        </w:rPr>
        <w:t xml:space="preserve"> </w:t>
      </w:r>
      <w:r w:rsidR="001B2CEA" w:rsidRPr="0068185E">
        <w:rPr>
          <w:rFonts w:cs="Garamond"/>
          <w:color w:val="FF0000"/>
          <w:u w:val="single"/>
        </w:rPr>
        <w:t xml:space="preserve"> </w:t>
      </w:r>
      <w:r w:rsidR="002F0208" w:rsidRPr="0068185E">
        <w:rPr>
          <w:rFonts w:cs="Garamond"/>
          <w:color w:val="FF0000"/>
          <w:u w:val="single"/>
        </w:rPr>
        <w:t>Any design that circumvents th</w:t>
      </w:r>
      <w:r w:rsidR="00006D4F" w:rsidRPr="0068185E">
        <w:rPr>
          <w:rFonts w:cs="Garamond"/>
          <w:color w:val="FF0000"/>
          <w:u w:val="single"/>
        </w:rPr>
        <w:t>is</w:t>
      </w:r>
      <w:r w:rsidR="002F0208" w:rsidRPr="0068185E">
        <w:rPr>
          <w:rFonts w:cs="Garamond"/>
          <w:color w:val="FF0000"/>
          <w:u w:val="single"/>
        </w:rPr>
        <w:t xml:space="preserve"> definition, and related example</w:t>
      </w:r>
      <w:r w:rsidR="0085652F">
        <w:rPr>
          <w:rFonts w:cs="Garamond"/>
          <w:color w:val="FF0000"/>
          <w:u w:val="single"/>
        </w:rPr>
        <w:t>s</w:t>
      </w:r>
      <w:r w:rsidR="002F0208" w:rsidRPr="0068185E">
        <w:rPr>
          <w:rFonts w:cs="Garamond"/>
          <w:color w:val="FF0000"/>
          <w:u w:val="single"/>
        </w:rPr>
        <w:t>, through technical means but which in substance achieves the same ends or poses the same risk, shall be deemed a Structured</w:t>
      </w:r>
      <w:r w:rsidR="003F2060">
        <w:rPr>
          <w:rFonts w:cs="Garamond"/>
          <w:color w:val="FF0000"/>
          <w:u w:val="single"/>
        </w:rPr>
        <w:t xml:space="preserve"> Equity </w:t>
      </w:r>
      <w:r w:rsidR="000C7DE1">
        <w:rPr>
          <w:rFonts w:cs="Garamond"/>
          <w:color w:val="FF0000"/>
          <w:u w:val="single"/>
        </w:rPr>
        <w:t>and</w:t>
      </w:r>
      <w:r w:rsidR="038D3F28" w:rsidRPr="00C2437E">
        <w:rPr>
          <w:rFonts w:cs="Garamond"/>
          <w:color w:val="FF0000"/>
          <w:u w:val="single"/>
        </w:rPr>
        <w:t xml:space="preserve"> </w:t>
      </w:r>
      <w:r w:rsidR="002F0208" w:rsidRPr="0068185E">
        <w:rPr>
          <w:rFonts w:cs="Garamond"/>
          <w:color w:val="FF0000"/>
          <w:u w:val="single"/>
        </w:rPr>
        <w:t>Fund.</w:t>
      </w:r>
    </w:p>
    <w:p w14:paraId="7D1E37D3" w14:textId="77777777" w:rsidR="008E1CC1" w:rsidRPr="0068185E" w:rsidRDefault="008E1CC1" w:rsidP="008E1CC1">
      <w:pPr>
        <w:autoSpaceDE w:val="0"/>
        <w:autoSpaceDN w:val="0"/>
        <w:adjustRightInd w:val="0"/>
        <w:spacing w:after="0" w:line="240" w:lineRule="auto"/>
        <w:rPr>
          <w:rFonts w:ascii="Garamond" w:hAnsi="Garamond" w:cs="Garamond"/>
          <w:color w:val="FF0000"/>
          <w:sz w:val="24"/>
          <w:szCs w:val="24"/>
          <w:u w:val="single"/>
        </w:rPr>
      </w:pPr>
    </w:p>
    <w:p w14:paraId="6C65348D" w14:textId="72A46916" w:rsidR="006E0A5F" w:rsidRPr="0068185E" w:rsidRDefault="008E1CC1" w:rsidP="006E0A5F">
      <w:pPr>
        <w:autoSpaceDE w:val="0"/>
        <w:autoSpaceDN w:val="0"/>
        <w:adjustRightInd w:val="0"/>
        <w:spacing w:after="0" w:line="240" w:lineRule="auto"/>
        <w:ind w:hanging="270"/>
        <w:rPr>
          <w:rFonts w:ascii="Garamond-Bold" w:hAnsi="Garamond-Bold" w:cs="Garamond-Bold"/>
          <w:b/>
          <w:bCs/>
          <w:color w:val="FF0000"/>
          <w:sz w:val="24"/>
          <w:szCs w:val="24"/>
          <w:u w:val="single"/>
        </w:rPr>
      </w:pPr>
      <w:r w:rsidRPr="0068185E">
        <w:rPr>
          <w:rFonts w:ascii="Garamond-Bold" w:hAnsi="Garamond-Bold" w:cs="Garamond-Bold"/>
          <w:b/>
          <w:bCs/>
          <w:color w:val="FF0000"/>
          <w:sz w:val="24"/>
          <w:szCs w:val="24"/>
          <w:u w:val="single"/>
        </w:rPr>
        <w:t>Example Transactions</w:t>
      </w:r>
    </w:p>
    <w:p w14:paraId="6DC124F8" w14:textId="226EBC3D" w:rsidR="000065A2" w:rsidRPr="0068185E" w:rsidRDefault="00DC05F5" w:rsidP="00F623C0">
      <w:pPr>
        <w:pStyle w:val="ListParagraph"/>
        <w:numPr>
          <w:ilvl w:val="0"/>
          <w:numId w:val="25"/>
        </w:numPr>
        <w:spacing w:after="0" w:line="240" w:lineRule="auto"/>
        <w:ind w:left="450" w:firstLine="0"/>
        <w:rPr>
          <w:rFonts w:cs="Garamond"/>
          <w:color w:val="FF0000"/>
          <w:u w:val="single"/>
        </w:rPr>
      </w:pPr>
      <w:r w:rsidRPr="0068185E">
        <w:rPr>
          <w:rFonts w:cs="Garamond"/>
          <w:i/>
          <w:iCs/>
          <w:color w:val="FF0000"/>
          <w:u w:val="single"/>
        </w:rPr>
        <w:t>Example 1</w:t>
      </w:r>
      <w:r w:rsidRPr="0068185E">
        <w:rPr>
          <w:rFonts w:cs="Garamond"/>
          <w:color w:val="FF0000"/>
          <w:u w:val="single"/>
        </w:rPr>
        <w:t xml:space="preserve"> -</w:t>
      </w:r>
      <w:r w:rsidR="00F623C0" w:rsidRPr="0068185E">
        <w:rPr>
          <w:rFonts w:cs="Garamond"/>
          <w:color w:val="FF0000"/>
          <w:u w:val="single"/>
        </w:rPr>
        <w:t xml:space="preserve"> </w:t>
      </w:r>
      <w:r w:rsidR="00CC7769" w:rsidRPr="0068185E">
        <w:rPr>
          <w:rFonts w:cs="Garamond"/>
          <w:color w:val="FF0000"/>
          <w:u w:val="single"/>
        </w:rPr>
        <w:t xml:space="preserve">The </w:t>
      </w:r>
      <w:r w:rsidR="00706EC2" w:rsidRPr="0068185E">
        <w:rPr>
          <w:rFonts w:cs="Garamond"/>
          <w:color w:val="FF0000"/>
          <w:u w:val="single"/>
        </w:rPr>
        <w:t xml:space="preserve">Structured </w:t>
      </w:r>
      <w:r w:rsidR="00A419CB" w:rsidRPr="0068185E">
        <w:rPr>
          <w:rFonts w:cs="Garamond"/>
          <w:color w:val="FF0000"/>
          <w:u w:val="single"/>
        </w:rPr>
        <w:t xml:space="preserve">Equity </w:t>
      </w:r>
      <w:r w:rsidR="000C7DE1">
        <w:rPr>
          <w:rFonts w:cs="Garamond"/>
          <w:color w:val="FF0000"/>
          <w:u w:val="single"/>
        </w:rPr>
        <w:t>and</w:t>
      </w:r>
      <w:r w:rsidR="00A419CB" w:rsidRPr="0068185E">
        <w:rPr>
          <w:rFonts w:cs="Garamond"/>
          <w:color w:val="FF0000"/>
          <w:u w:val="single"/>
        </w:rPr>
        <w:t xml:space="preserve"> </w:t>
      </w:r>
      <w:r w:rsidR="00706EC2" w:rsidRPr="0068185E">
        <w:rPr>
          <w:rFonts w:cs="Garamond"/>
          <w:color w:val="FF0000"/>
          <w:u w:val="single"/>
        </w:rPr>
        <w:t>Fund i</w:t>
      </w:r>
      <w:r w:rsidR="00CC7769" w:rsidRPr="0068185E">
        <w:rPr>
          <w:rFonts w:cs="Garamond"/>
          <w:color w:val="FF0000"/>
          <w:u w:val="single"/>
        </w:rPr>
        <w:t xml:space="preserve">ssuing </w:t>
      </w:r>
      <w:r w:rsidR="00706EC2" w:rsidRPr="0068185E">
        <w:rPr>
          <w:rFonts w:cs="Garamond"/>
          <w:color w:val="FF0000"/>
          <w:u w:val="single"/>
        </w:rPr>
        <w:t>e</w:t>
      </w:r>
      <w:r w:rsidR="00CC7769" w:rsidRPr="0068185E">
        <w:rPr>
          <w:rFonts w:cs="Garamond"/>
          <w:color w:val="FF0000"/>
          <w:u w:val="single"/>
        </w:rPr>
        <w:t>ntity issues a note</w:t>
      </w:r>
      <w:r w:rsidR="007E39E5">
        <w:rPr>
          <w:rFonts w:cs="Garamond"/>
          <w:color w:val="FF0000"/>
          <w:u w:val="single"/>
        </w:rPr>
        <w:t xml:space="preserve"> </w:t>
      </w:r>
      <w:r w:rsidR="00CC7769" w:rsidRPr="0068185E">
        <w:rPr>
          <w:rFonts w:cs="Garamond"/>
          <w:color w:val="FF0000"/>
          <w:u w:val="single"/>
        </w:rPr>
        <w:t xml:space="preserve">and a small equity or limited partnership </w:t>
      </w:r>
      <w:proofErr w:type="gramStart"/>
      <w:r w:rsidR="00CC7769" w:rsidRPr="0068185E">
        <w:rPr>
          <w:rFonts w:cs="Garamond"/>
          <w:color w:val="FF0000"/>
          <w:u w:val="single"/>
        </w:rPr>
        <w:t>interests</w:t>
      </w:r>
      <w:r w:rsidR="007D7331">
        <w:rPr>
          <w:rFonts w:cs="Garamond"/>
          <w:color w:val="FF0000"/>
          <w:u w:val="single"/>
        </w:rPr>
        <w:t xml:space="preserve"> in itself</w:t>
      </w:r>
      <w:proofErr w:type="gramEnd"/>
      <w:r w:rsidR="00CC7769" w:rsidRPr="0068185E">
        <w:rPr>
          <w:rFonts w:cs="Garamond"/>
          <w:color w:val="FF0000"/>
          <w:u w:val="single"/>
        </w:rPr>
        <w:t xml:space="preserve">.  The </w:t>
      </w:r>
      <w:r w:rsidR="00BB1EB4" w:rsidRPr="0068185E">
        <w:rPr>
          <w:rFonts w:cs="Garamond"/>
          <w:color w:val="FF0000"/>
          <w:u w:val="single"/>
        </w:rPr>
        <w:t xml:space="preserve">Structured </w:t>
      </w:r>
      <w:r w:rsidR="00A419CB" w:rsidRPr="0068185E">
        <w:rPr>
          <w:rFonts w:cs="Garamond"/>
          <w:color w:val="FF0000"/>
          <w:u w:val="single"/>
        </w:rPr>
        <w:t xml:space="preserve">Equity </w:t>
      </w:r>
      <w:r w:rsidR="000C7DE1">
        <w:rPr>
          <w:rFonts w:cs="Garamond"/>
          <w:color w:val="FF0000"/>
          <w:u w:val="single"/>
        </w:rPr>
        <w:t>and</w:t>
      </w:r>
      <w:r w:rsidR="00A419CB" w:rsidRPr="0068185E">
        <w:rPr>
          <w:rFonts w:cs="Garamond"/>
          <w:color w:val="FF0000"/>
          <w:u w:val="single"/>
        </w:rPr>
        <w:t xml:space="preserve"> </w:t>
      </w:r>
      <w:r w:rsidR="00BB1EB4" w:rsidRPr="0068185E">
        <w:rPr>
          <w:rFonts w:cs="Garamond"/>
          <w:color w:val="FF0000"/>
          <w:u w:val="single"/>
        </w:rPr>
        <w:t>Fund</w:t>
      </w:r>
      <w:r w:rsidR="00CC7769" w:rsidRPr="0068185E">
        <w:rPr>
          <w:rFonts w:cs="Garamond"/>
          <w:color w:val="FF0000"/>
          <w:u w:val="single"/>
        </w:rPr>
        <w:t xml:space="preserve"> </w:t>
      </w:r>
      <w:r w:rsidR="00F906D2">
        <w:rPr>
          <w:rFonts w:cs="Garamond"/>
          <w:color w:val="FF0000"/>
          <w:u w:val="single"/>
        </w:rPr>
        <w:t>investment issuer</w:t>
      </w:r>
      <w:r w:rsidR="00CC7769" w:rsidRPr="0068185E">
        <w:rPr>
          <w:rFonts w:cs="Garamond"/>
          <w:color w:val="FF0000"/>
          <w:u w:val="single"/>
        </w:rPr>
        <w:t xml:space="preserve"> </w:t>
      </w:r>
      <w:r w:rsidR="00174046">
        <w:rPr>
          <w:rFonts w:cs="Garamond"/>
          <w:color w:val="FF0000"/>
          <w:u w:val="single"/>
        </w:rPr>
        <w:t>invests</w:t>
      </w:r>
      <w:r w:rsidR="00174046" w:rsidRPr="0068185E">
        <w:rPr>
          <w:rFonts w:cs="Garamond"/>
          <w:color w:val="FF0000"/>
          <w:u w:val="single"/>
        </w:rPr>
        <w:t xml:space="preserve"> </w:t>
      </w:r>
      <w:r w:rsidR="00CC7769" w:rsidRPr="0068185E">
        <w:rPr>
          <w:rFonts w:cs="Garamond"/>
          <w:color w:val="FF0000"/>
          <w:u w:val="single"/>
        </w:rPr>
        <w:t xml:space="preserve">the </w:t>
      </w:r>
      <w:r w:rsidR="00174046">
        <w:rPr>
          <w:rFonts w:cs="Garamond"/>
          <w:color w:val="FF0000"/>
          <w:u w:val="single"/>
        </w:rPr>
        <w:t>issuance</w:t>
      </w:r>
      <w:r w:rsidR="00CC7769" w:rsidRPr="0068185E">
        <w:rPr>
          <w:rFonts w:cs="Garamond"/>
          <w:color w:val="FF0000"/>
          <w:u w:val="single"/>
        </w:rPr>
        <w:t xml:space="preserve"> proceeds directly or indirectly in </w:t>
      </w:r>
      <w:r w:rsidR="00D15DB3" w:rsidRPr="0068185E">
        <w:rPr>
          <w:rFonts w:cs="Garamond"/>
          <w:color w:val="FF0000"/>
          <w:u w:val="single"/>
        </w:rPr>
        <w:t xml:space="preserve">other underlying investments that may or may not be </w:t>
      </w:r>
      <w:r w:rsidRPr="0068185E">
        <w:rPr>
          <w:rFonts w:cs="Garamond"/>
          <w:color w:val="FF0000"/>
          <w:u w:val="single"/>
        </w:rPr>
        <w:t>admitted assets or fixed income like.</w:t>
      </w:r>
      <w:r w:rsidR="00CC7769" w:rsidRPr="0068185E">
        <w:rPr>
          <w:rFonts w:cs="Garamond"/>
          <w:color w:val="FF0000"/>
          <w:u w:val="single"/>
        </w:rPr>
        <w:t xml:space="preserve">  </w:t>
      </w:r>
      <w:r w:rsidR="00F82F38" w:rsidRPr="0068185E">
        <w:rPr>
          <w:rFonts w:cs="Garamond"/>
          <w:color w:val="FF0000"/>
          <w:u w:val="single"/>
        </w:rPr>
        <w:t>The insure</w:t>
      </w:r>
      <w:r w:rsidR="00375598" w:rsidRPr="0068185E">
        <w:rPr>
          <w:rFonts w:cs="Garamond"/>
          <w:color w:val="FF0000"/>
          <w:u w:val="single"/>
        </w:rPr>
        <w:t>r</w:t>
      </w:r>
      <w:r w:rsidR="00F82F38" w:rsidRPr="0068185E">
        <w:rPr>
          <w:rFonts w:cs="Garamond"/>
          <w:color w:val="FF0000"/>
          <w:u w:val="single"/>
        </w:rPr>
        <w:t xml:space="preserve"> may invest in the </w:t>
      </w:r>
      <w:r w:rsidR="00174046">
        <w:rPr>
          <w:rFonts w:cs="Garamond"/>
          <w:color w:val="FF0000"/>
          <w:u w:val="single"/>
        </w:rPr>
        <w:t>notes</w:t>
      </w:r>
      <w:r w:rsidR="00174046" w:rsidRPr="0068185E">
        <w:rPr>
          <w:rFonts w:cs="Garamond"/>
          <w:color w:val="FF0000"/>
          <w:u w:val="single"/>
        </w:rPr>
        <w:t xml:space="preserve"> </w:t>
      </w:r>
      <w:r w:rsidR="00EB0DA2" w:rsidRPr="0068185E">
        <w:rPr>
          <w:rFonts w:cs="Garamond"/>
          <w:color w:val="FF0000"/>
          <w:u w:val="single"/>
        </w:rPr>
        <w:t xml:space="preserve">or </w:t>
      </w:r>
      <w:proofErr w:type="gramStart"/>
      <w:r w:rsidR="00EB0DA2" w:rsidRPr="0068185E">
        <w:rPr>
          <w:rFonts w:cs="Garamond"/>
          <w:color w:val="FF0000"/>
          <w:u w:val="single"/>
        </w:rPr>
        <w:t>equity, and</w:t>
      </w:r>
      <w:proofErr w:type="gramEnd"/>
      <w:r w:rsidR="00EB0DA2" w:rsidRPr="0068185E">
        <w:rPr>
          <w:rFonts w:cs="Garamond"/>
          <w:color w:val="FF0000"/>
          <w:u w:val="single"/>
        </w:rPr>
        <w:t xml:space="preserve"> may be required to invest in both as part of an investment unit</w:t>
      </w:r>
      <w:r w:rsidR="00135A5E" w:rsidRPr="0068185E">
        <w:rPr>
          <w:rFonts w:cs="Garamond"/>
          <w:color w:val="FF0000"/>
          <w:u w:val="single"/>
        </w:rPr>
        <w:t xml:space="preserve">. </w:t>
      </w:r>
      <w:r w:rsidR="00251141" w:rsidRPr="0068185E">
        <w:rPr>
          <w:rFonts w:cs="Garamond"/>
          <w:color w:val="FF0000"/>
          <w:u w:val="single"/>
        </w:rPr>
        <w:br/>
      </w:r>
      <w:r w:rsidR="00A419CB" w:rsidRPr="0068185E">
        <w:rPr>
          <w:rFonts w:cs="Garamond"/>
          <w:color w:val="FF0000"/>
          <w:u w:val="single"/>
        </w:rPr>
        <w:t>T</w:t>
      </w:r>
      <w:r w:rsidR="00CC7769" w:rsidRPr="0068185E">
        <w:rPr>
          <w:rFonts w:cs="Garamond"/>
          <w:color w:val="FF0000"/>
          <w:u w:val="single"/>
        </w:rPr>
        <w:t xml:space="preserve">he </w:t>
      </w:r>
      <w:r w:rsidR="00F623C0" w:rsidRPr="0068185E">
        <w:rPr>
          <w:rFonts w:cs="Garamond"/>
          <w:color w:val="FF0000"/>
          <w:u w:val="single"/>
        </w:rPr>
        <w:t xml:space="preserve">Structured </w:t>
      </w:r>
      <w:r w:rsidR="00A419CB" w:rsidRPr="0068185E">
        <w:rPr>
          <w:rFonts w:cs="Garamond"/>
          <w:color w:val="FF0000"/>
          <w:u w:val="single"/>
        </w:rPr>
        <w:t xml:space="preserve">Equity </w:t>
      </w:r>
      <w:r w:rsidR="000C7DE1">
        <w:rPr>
          <w:rFonts w:cs="Garamond"/>
          <w:color w:val="FF0000"/>
          <w:u w:val="single"/>
        </w:rPr>
        <w:t>and</w:t>
      </w:r>
      <w:r w:rsidR="00A419CB" w:rsidRPr="0068185E">
        <w:rPr>
          <w:rFonts w:cs="Garamond"/>
          <w:color w:val="FF0000"/>
          <w:u w:val="single"/>
        </w:rPr>
        <w:t xml:space="preserve"> </w:t>
      </w:r>
      <w:r w:rsidR="00F623C0" w:rsidRPr="0068185E">
        <w:rPr>
          <w:rFonts w:cs="Garamond"/>
          <w:color w:val="FF0000"/>
          <w:u w:val="single"/>
        </w:rPr>
        <w:t xml:space="preserve">Fund </w:t>
      </w:r>
      <w:r w:rsidR="00BC6696">
        <w:rPr>
          <w:rFonts w:cs="Garamond"/>
          <w:color w:val="FF0000"/>
          <w:u w:val="single"/>
        </w:rPr>
        <w:t xml:space="preserve">issuer </w:t>
      </w:r>
      <w:r w:rsidR="00A419CB" w:rsidRPr="0068185E">
        <w:rPr>
          <w:rFonts w:cs="Garamond"/>
          <w:color w:val="FF0000"/>
          <w:u w:val="single"/>
        </w:rPr>
        <w:t>in th</w:t>
      </w:r>
      <w:r w:rsidR="005C2F19" w:rsidRPr="0068185E">
        <w:rPr>
          <w:rFonts w:cs="Garamond"/>
          <w:color w:val="FF0000"/>
          <w:u w:val="single"/>
        </w:rPr>
        <w:t xml:space="preserve">is </w:t>
      </w:r>
      <w:r w:rsidR="00A419CB" w:rsidRPr="0068185E">
        <w:rPr>
          <w:rFonts w:cs="Garamond"/>
          <w:color w:val="FF0000"/>
          <w:u w:val="single"/>
        </w:rPr>
        <w:t xml:space="preserve">example is </w:t>
      </w:r>
      <w:r w:rsidR="005C2F19" w:rsidRPr="0068185E">
        <w:rPr>
          <w:rFonts w:cs="Garamond"/>
          <w:color w:val="FF0000"/>
          <w:u w:val="single"/>
        </w:rPr>
        <w:t xml:space="preserve">a feeder fund that </w:t>
      </w:r>
      <w:r w:rsidR="00CC7769" w:rsidRPr="0068185E">
        <w:rPr>
          <w:rFonts w:cs="Garamond"/>
          <w:color w:val="FF0000"/>
          <w:u w:val="single"/>
        </w:rPr>
        <w:t xml:space="preserve">issues $90 million in notes and $10 </w:t>
      </w:r>
      <w:r w:rsidR="00BC6696">
        <w:rPr>
          <w:rFonts w:cs="Garamond"/>
          <w:color w:val="FF0000"/>
          <w:u w:val="single"/>
        </w:rPr>
        <w:t>million</w:t>
      </w:r>
      <w:r w:rsidR="00CC7769" w:rsidRPr="0068185E">
        <w:rPr>
          <w:rFonts w:cs="Garamond"/>
          <w:color w:val="FF0000"/>
          <w:u w:val="single"/>
        </w:rPr>
        <w:t xml:space="preserve"> in limited partnership interests and uses the $100 million in total proceeds to invest</w:t>
      </w:r>
      <w:r w:rsidR="00DA67FB" w:rsidRPr="0068185E">
        <w:rPr>
          <w:rFonts w:cs="Garamond"/>
          <w:color w:val="FF0000"/>
          <w:u w:val="single"/>
        </w:rPr>
        <w:t xml:space="preserve">, either directly or indirectly </w:t>
      </w:r>
      <w:r w:rsidR="00C310C3" w:rsidRPr="0068185E">
        <w:rPr>
          <w:rFonts w:cs="Garamond"/>
          <w:color w:val="FF0000"/>
          <w:u w:val="single"/>
        </w:rPr>
        <w:t>through a main fund,</w:t>
      </w:r>
      <w:r w:rsidR="00CC7769" w:rsidRPr="0068185E">
        <w:rPr>
          <w:rFonts w:cs="Garamond"/>
          <w:color w:val="FF0000"/>
          <w:u w:val="single"/>
        </w:rPr>
        <w:t xml:space="preserve"> in “B” rated securities</w:t>
      </w:r>
      <w:r w:rsidR="005C2F19" w:rsidRPr="0068185E">
        <w:rPr>
          <w:rFonts w:cs="Garamond"/>
          <w:color w:val="FF0000"/>
          <w:u w:val="single"/>
        </w:rPr>
        <w:t xml:space="preserve">. </w:t>
      </w:r>
      <w:r w:rsidR="003004C7" w:rsidRPr="0068185E">
        <w:rPr>
          <w:rFonts w:cs="Garamond"/>
          <w:color w:val="FF0000"/>
          <w:u w:val="single"/>
        </w:rPr>
        <w:t xml:space="preserve"> </w:t>
      </w:r>
      <w:r w:rsidR="005C2F19" w:rsidRPr="0068185E">
        <w:rPr>
          <w:rFonts w:cs="Garamond"/>
          <w:color w:val="FF0000"/>
          <w:u w:val="single"/>
        </w:rPr>
        <w:t>I</w:t>
      </w:r>
      <w:r w:rsidR="00F60A9C" w:rsidRPr="0068185E">
        <w:rPr>
          <w:rFonts w:cs="Garamond"/>
          <w:color w:val="FF0000"/>
          <w:u w:val="single"/>
        </w:rPr>
        <w:t>nsurer</w:t>
      </w:r>
      <w:r w:rsidR="005C2F19" w:rsidRPr="0068185E">
        <w:rPr>
          <w:rFonts w:cs="Garamond"/>
          <w:color w:val="FF0000"/>
          <w:u w:val="single"/>
        </w:rPr>
        <w:t>s</w:t>
      </w:r>
      <w:r w:rsidR="00F60A9C" w:rsidRPr="0068185E">
        <w:rPr>
          <w:rFonts w:cs="Garamond"/>
          <w:color w:val="FF0000"/>
          <w:u w:val="single"/>
        </w:rPr>
        <w:t xml:space="preserve"> purchase</w:t>
      </w:r>
      <w:r w:rsidR="003004C7" w:rsidRPr="0068185E">
        <w:rPr>
          <w:rFonts w:cs="Garamond"/>
          <w:color w:val="FF0000"/>
          <w:u w:val="single"/>
        </w:rPr>
        <w:t xml:space="preserve"> </w:t>
      </w:r>
      <w:r w:rsidR="003B76A3" w:rsidRPr="0068185E">
        <w:rPr>
          <w:rFonts w:cs="Garamond"/>
          <w:color w:val="FF0000"/>
          <w:u w:val="single"/>
        </w:rPr>
        <w:t>investment unit</w:t>
      </w:r>
      <w:r w:rsidR="003004C7" w:rsidRPr="0068185E">
        <w:rPr>
          <w:rFonts w:cs="Garamond"/>
          <w:color w:val="FF0000"/>
          <w:u w:val="single"/>
        </w:rPr>
        <w:t>s</w:t>
      </w:r>
      <w:r w:rsidR="003B76A3" w:rsidRPr="0068185E">
        <w:rPr>
          <w:rFonts w:cs="Garamond"/>
          <w:color w:val="FF0000"/>
          <w:u w:val="single"/>
        </w:rPr>
        <w:t xml:space="preserve"> comprised of 90% Senior Notes and 10% limited partnership interest.  The </w:t>
      </w:r>
      <w:r w:rsidR="006C768D" w:rsidRPr="0068185E">
        <w:rPr>
          <w:rFonts w:cs="Garamond"/>
          <w:color w:val="FF0000"/>
          <w:u w:val="single"/>
        </w:rPr>
        <w:t xml:space="preserve">bonds are described as </w:t>
      </w:r>
      <w:r w:rsidR="003B76A3" w:rsidRPr="0068185E">
        <w:rPr>
          <w:rFonts w:cs="Garamond"/>
          <w:color w:val="FF0000"/>
          <w:u w:val="single"/>
        </w:rPr>
        <w:t xml:space="preserve">Senior Notes </w:t>
      </w:r>
      <w:r w:rsidR="005C62E4" w:rsidRPr="0068185E">
        <w:rPr>
          <w:rFonts w:cs="Garamond"/>
          <w:color w:val="FF0000"/>
          <w:u w:val="single"/>
        </w:rPr>
        <w:t xml:space="preserve">with and </w:t>
      </w:r>
      <w:r w:rsidR="003B76A3" w:rsidRPr="0068185E">
        <w:rPr>
          <w:rFonts w:cs="Garamond"/>
          <w:color w:val="FF0000"/>
          <w:u w:val="single"/>
        </w:rPr>
        <w:t>interest</w:t>
      </w:r>
      <w:r w:rsidR="005C62E4" w:rsidRPr="0068185E">
        <w:rPr>
          <w:rFonts w:cs="Garamond"/>
          <w:color w:val="FF0000"/>
          <w:u w:val="single"/>
        </w:rPr>
        <w:t xml:space="preserve"> of 8.00</w:t>
      </w:r>
      <w:r w:rsidR="005A1DA2" w:rsidRPr="0068185E">
        <w:rPr>
          <w:rFonts w:cs="Garamond"/>
          <w:color w:val="FF0000"/>
          <w:u w:val="single"/>
        </w:rPr>
        <w:t>%</w:t>
      </w:r>
      <w:r w:rsidR="005C62E4" w:rsidRPr="0068185E">
        <w:rPr>
          <w:rFonts w:cs="Garamond"/>
          <w:color w:val="FF0000"/>
          <w:u w:val="single"/>
        </w:rPr>
        <w:t xml:space="preserve"> but interest payments can be</w:t>
      </w:r>
      <w:r w:rsidR="003B76A3" w:rsidRPr="0068185E">
        <w:rPr>
          <w:rFonts w:cs="Garamond"/>
          <w:color w:val="FF0000"/>
          <w:u w:val="single"/>
        </w:rPr>
        <w:t xml:space="preserve"> deferred</w:t>
      </w:r>
      <w:r w:rsidR="007B6583">
        <w:rPr>
          <w:rFonts w:cs="Garamond"/>
          <w:color w:val="FF0000"/>
          <w:u w:val="single"/>
        </w:rPr>
        <w:t xml:space="preserve"> without capitalization</w:t>
      </w:r>
      <w:r w:rsidR="003B76A3" w:rsidRPr="0068185E">
        <w:rPr>
          <w:rFonts w:cs="Garamond"/>
          <w:color w:val="FF0000"/>
          <w:u w:val="single"/>
        </w:rPr>
        <w:t>.  The Senior Notes were rated BBB+ by the CRP.</w:t>
      </w:r>
      <w:r w:rsidR="00755B8F" w:rsidRPr="0068185E">
        <w:rPr>
          <w:rFonts w:cs="Garamond"/>
          <w:color w:val="FF0000"/>
          <w:u w:val="single"/>
        </w:rPr>
        <w:t xml:space="preserve"> </w:t>
      </w:r>
    </w:p>
    <w:p w14:paraId="6F097475" w14:textId="55F6B88F" w:rsidR="00A419CB" w:rsidRPr="0068185E" w:rsidRDefault="00A419CB" w:rsidP="00F623C0">
      <w:pPr>
        <w:pStyle w:val="ListParagraph"/>
        <w:numPr>
          <w:ilvl w:val="0"/>
          <w:numId w:val="25"/>
        </w:numPr>
        <w:spacing w:after="0" w:line="240" w:lineRule="auto"/>
        <w:ind w:left="450" w:firstLine="0"/>
        <w:rPr>
          <w:rFonts w:cs="Garamond"/>
          <w:color w:val="FF0000"/>
          <w:u w:val="single"/>
        </w:rPr>
      </w:pPr>
      <w:r w:rsidRPr="0068185E">
        <w:rPr>
          <w:rFonts w:cs="Garamond"/>
          <w:i/>
          <w:iCs/>
          <w:color w:val="FF0000"/>
          <w:u w:val="single"/>
        </w:rPr>
        <w:t>Example 2</w:t>
      </w:r>
      <w:r w:rsidRPr="0068185E">
        <w:rPr>
          <w:rFonts w:cs="Garamond"/>
          <w:color w:val="FF0000"/>
          <w:u w:val="single"/>
        </w:rPr>
        <w:t xml:space="preserve"> </w:t>
      </w:r>
      <w:r w:rsidR="00135A5E" w:rsidRPr="0068185E">
        <w:rPr>
          <w:rFonts w:cs="Garamond"/>
          <w:color w:val="FF0000"/>
          <w:u w:val="single"/>
        </w:rPr>
        <w:t>–</w:t>
      </w:r>
      <w:r w:rsidRPr="0068185E">
        <w:rPr>
          <w:rFonts w:cs="Garamond"/>
          <w:color w:val="FF0000"/>
          <w:u w:val="single"/>
        </w:rPr>
        <w:t xml:space="preserve"> </w:t>
      </w:r>
      <w:r w:rsidR="00135A5E" w:rsidRPr="0068185E">
        <w:rPr>
          <w:rFonts w:cs="Garamond"/>
          <w:color w:val="FF0000"/>
          <w:u w:val="single"/>
        </w:rPr>
        <w:t xml:space="preserve">The Structured Equity </w:t>
      </w:r>
      <w:r w:rsidR="000C7DE1">
        <w:rPr>
          <w:rFonts w:cs="Garamond"/>
          <w:color w:val="FF0000"/>
          <w:u w:val="single"/>
        </w:rPr>
        <w:t>and</w:t>
      </w:r>
      <w:r w:rsidR="00135A5E" w:rsidRPr="0068185E">
        <w:rPr>
          <w:rFonts w:cs="Garamond"/>
          <w:color w:val="FF0000"/>
          <w:u w:val="single"/>
        </w:rPr>
        <w:t xml:space="preserve"> Fund</w:t>
      </w:r>
      <w:r w:rsidR="005961B4" w:rsidRPr="0068185E">
        <w:rPr>
          <w:rFonts w:cs="Garamond"/>
          <w:color w:val="FF0000"/>
          <w:u w:val="single"/>
        </w:rPr>
        <w:t xml:space="preserve"> issuing entity</w:t>
      </w:r>
      <w:r w:rsidR="00135A5E" w:rsidRPr="0068185E">
        <w:rPr>
          <w:rFonts w:cs="Garamond"/>
          <w:color w:val="FF0000"/>
          <w:u w:val="single"/>
        </w:rPr>
        <w:t xml:space="preserve"> is</w:t>
      </w:r>
      <w:r w:rsidRPr="0068185E">
        <w:rPr>
          <w:rFonts w:cs="Garamond"/>
          <w:color w:val="FF0000"/>
          <w:u w:val="single"/>
        </w:rPr>
        <w:t xml:space="preserve"> a limited liability corporation (LLC) </w:t>
      </w:r>
      <w:r w:rsidR="00626082">
        <w:rPr>
          <w:rFonts w:cs="Garamond"/>
          <w:color w:val="FF0000"/>
          <w:u w:val="single"/>
        </w:rPr>
        <w:t>whose sole asset is</w:t>
      </w:r>
      <w:r w:rsidR="00626082" w:rsidRPr="0068185E">
        <w:rPr>
          <w:rFonts w:cs="Garamond"/>
          <w:color w:val="FF0000"/>
          <w:u w:val="single"/>
        </w:rPr>
        <w:t xml:space="preserve"> </w:t>
      </w:r>
      <w:r w:rsidRPr="0068185E">
        <w:rPr>
          <w:rFonts w:cs="Garamond"/>
          <w:color w:val="FF0000"/>
          <w:u w:val="single"/>
        </w:rPr>
        <w:t xml:space="preserve">an equity interest in a commercial real estate investment brokers partnership.  </w:t>
      </w:r>
      <w:r w:rsidR="005961B4" w:rsidRPr="0068185E">
        <w:rPr>
          <w:rFonts w:cs="Garamond"/>
          <w:color w:val="FF0000"/>
          <w:u w:val="single"/>
        </w:rPr>
        <w:t>T</w:t>
      </w:r>
      <w:r w:rsidRPr="0068185E">
        <w:rPr>
          <w:rFonts w:cs="Garamond"/>
          <w:color w:val="FF0000"/>
          <w:u w:val="single"/>
        </w:rPr>
        <w:t xml:space="preserve">he private equity interest is converted into a bond </w:t>
      </w:r>
      <w:r w:rsidR="00135A5E" w:rsidRPr="0068185E">
        <w:rPr>
          <w:rFonts w:cs="Garamond"/>
          <w:color w:val="FF0000"/>
          <w:u w:val="single"/>
        </w:rPr>
        <w:t>through</w:t>
      </w:r>
      <w:r w:rsidRPr="0068185E">
        <w:rPr>
          <w:rFonts w:cs="Garamond"/>
          <w:color w:val="FF0000"/>
          <w:u w:val="single"/>
        </w:rPr>
        <w:t xml:space="preserve"> an intervening LLC entity that issues two Term Loans</w:t>
      </w:r>
      <w:r w:rsidR="005961B4" w:rsidRPr="0068185E">
        <w:rPr>
          <w:rFonts w:cs="Garamond"/>
          <w:color w:val="FF0000"/>
          <w:u w:val="single"/>
        </w:rPr>
        <w:t xml:space="preserve">, </w:t>
      </w:r>
      <w:r w:rsidRPr="0068185E">
        <w:rPr>
          <w:rFonts w:cs="Garamond"/>
          <w:color w:val="FF0000"/>
          <w:u w:val="single"/>
        </w:rPr>
        <w:t xml:space="preserve">both </w:t>
      </w:r>
      <w:r w:rsidR="005961B4" w:rsidRPr="0068185E">
        <w:rPr>
          <w:rFonts w:cs="Garamond"/>
          <w:color w:val="FF0000"/>
          <w:u w:val="single"/>
        </w:rPr>
        <w:t xml:space="preserve">of which </w:t>
      </w:r>
      <w:r w:rsidRPr="0068185E">
        <w:rPr>
          <w:rFonts w:cs="Garamond"/>
          <w:color w:val="FF0000"/>
          <w:u w:val="single"/>
        </w:rPr>
        <w:t xml:space="preserve">received a </w:t>
      </w:r>
      <w:r w:rsidR="00366750">
        <w:rPr>
          <w:rFonts w:cs="Garamond"/>
          <w:color w:val="FF0000"/>
          <w:u w:val="single"/>
        </w:rPr>
        <w:t xml:space="preserve">NAIC </w:t>
      </w:r>
      <w:r w:rsidRPr="0068185E">
        <w:rPr>
          <w:rFonts w:cs="Garamond"/>
          <w:color w:val="FF0000"/>
          <w:u w:val="single"/>
        </w:rPr>
        <w:t xml:space="preserve">CRP rating.  The LLC issues two term loans, Term Loan A for $55 million with a </w:t>
      </w:r>
      <w:r w:rsidR="00366750">
        <w:rPr>
          <w:rFonts w:cs="Garamond"/>
          <w:color w:val="FF0000"/>
          <w:u w:val="single"/>
        </w:rPr>
        <w:t>NAIC</w:t>
      </w:r>
      <w:r w:rsidR="00366750" w:rsidRPr="0068185E">
        <w:rPr>
          <w:rFonts w:cs="Garamond"/>
          <w:color w:val="FF0000"/>
          <w:u w:val="single"/>
        </w:rPr>
        <w:t xml:space="preserve"> </w:t>
      </w:r>
      <w:r w:rsidRPr="0068185E">
        <w:rPr>
          <w:rFonts w:cs="Garamond"/>
          <w:color w:val="FF0000"/>
          <w:u w:val="single"/>
        </w:rPr>
        <w:t xml:space="preserve">CRP rating of BBB- and Term Loan B for $55 million with a </w:t>
      </w:r>
      <w:r w:rsidR="00366750">
        <w:rPr>
          <w:rFonts w:cs="Garamond"/>
          <w:color w:val="FF0000"/>
          <w:u w:val="single"/>
        </w:rPr>
        <w:t>NAIC</w:t>
      </w:r>
      <w:r w:rsidR="00366750" w:rsidRPr="0068185E">
        <w:rPr>
          <w:rFonts w:cs="Garamond"/>
          <w:color w:val="FF0000"/>
          <w:u w:val="single"/>
        </w:rPr>
        <w:t xml:space="preserve"> </w:t>
      </w:r>
      <w:r w:rsidRPr="0068185E">
        <w:rPr>
          <w:rFonts w:cs="Garamond"/>
          <w:color w:val="FF0000"/>
          <w:u w:val="single"/>
        </w:rPr>
        <w:t xml:space="preserve">CRP rating of BB.  The LLC’s only source of revenue to make scheduled payments </w:t>
      </w:r>
      <w:r w:rsidR="005A1DA2" w:rsidRPr="0068185E">
        <w:rPr>
          <w:rFonts w:cs="Garamond"/>
          <w:color w:val="FF0000"/>
          <w:u w:val="single"/>
        </w:rPr>
        <w:t xml:space="preserve">on the Term Loans </w:t>
      </w:r>
      <w:r w:rsidRPr="0068185E">
        <w:rPr>
          <w:rFonts w:cs="Garamond"/>
          <w:color w:val="FF0000"/>
          <w:u w:val="single"/>
        </w:rPr>
        <w:t xml:space="preserve">is from </w:t>
      </w:r>
      <w:r w:rsidR="00465AEC">
        <w:rPr>
          <w:rFonts w:cs="Garamond"/>
          <w:color w:val="FF0000"/>
          <w:u w:val="single"/>
        </w:rPr>
        <w:t xml:space="preserve">distributions from </w:t>
      </w:r>
      <w:r w:rsidRPr="0068185E">
        <w:rPr>
          <w:rFonts w:cs="Garamond"/>
          <w:color w:val="FF0000"/>
          <w:u w:val="single"/>
        </w:rPr>
        <w:t xml:space="preserve">its equity investment in the partnership.  Interest and principal payments on the Term Loans are both permitted to </w:t>
      </w:r>
      <w:proofErr w:type="gramStart"/>
      <w:r w:rsidRPr="0068185E">
        <w:rPr>
          <w:rFonts w:cs="Garamond"/>
          <w:color w:val="FF0000"/>
          <w:u w:val="single"/>
        </w:rPr>
        <w:t>accrue</w:t>
      </w:r>
      <w:proofErr w:type="gramEnd"/>
      <w:r w:rsidRPr="0068185E">
        <w:rPr>
          <w:rFonts w:cs="Garamond"/>
          <w:color w:val="FF0000"/>
          <w:u w:val="single"/>
        </w:rPr>
        <w:t xml:space="preserve"> and non-payment does not constitute an event of default.  The Term Loans are subordinate to other payment obligations of the LLC including administrative fees and management fees.  </w:t>
      </w:r>
    </w:p>
    <w:p w14:paraId="125A1129" w14:textId="77777777" w:rsidR="006E0A5F" w:rsidRPr="0068185E" w:rsidRDefault="006E0A5F" w:rsidP="006E0A5F">
      <w:pPr>
        <w:autoSpaceDE w:val="0"/>
        <w:autoSpaceDN w:val="0"/>
        <w:adjustRightInd w:val="0"/>
        <w:spacing w:after="0" w:line="240" w:lineRule="auto"/>
        <w:ind w:hanging="270"/>
        <w:rPr>
          <w:rFonts w:ascii="Garamond-Bold" w:hAnsi="Garamond-Bold" w:cs="Garamond-Bold"/>
          <w:b/>
          <w:bCs/>
          <w:color w:val="FF0000"/>
          <w:sz w:val="24"/>
          <w:szCs w:val="24"/>
          <w:u w:val="single"/>
        </w:rPr>
      </w:pPr>
    </w:p>
    <w:p w14:paraId="0E1FBFE2" w14:textId="4D5ECE6F" w:rsidR="006E0A5F" w:rsidRPr="0068185E" w:rsidRDefault="006E0A5F" w:rsidP="009044B4">
      <w:pPr>
        <w:pStyle w:val="ListParagraph"/>
        <w:spacing w:after="0" w:line="240" w:lineRule="auto"/>
        <w:ind w:left="450" w:firstLine="0"/>
        <w:rPr>
          <w:rFonts w:cs="Garamond"/>
          <w:color w:val="FF0000"/>
          <w:u w:val="single"/>
        </w:rPr>
      </w:pPr>
    </w:p>
    <w:p w14:paraId="2BE6728F" w14:textId="2941D59A" w:rsidR="00282306" w:rsidRPr="00BE48AD" w:rsidRDefault="00282306" w:rsidP="00282306">
      <w:pPr>
        <w:pStyle w:val="Heading3"/>
        <w:rPr>
          <w:color w:val="FF0000"/>
        </w:rPr>
      </w:pPr>
      <w:bookmarkStart w:id="34" w:name="_Toc90649797"/>
      <w:r w:rsidRPr="00BE48AD">
        <w:rPr>
          <w:color w:val="FF0000"/>
        </w:rPr>
        <w:lastRenderedPageBreak/>
        <w:t>Required Documentation and Analytical Procedures</w:t>
      </w:r>
      <w:bookmarkEnd w:id="34"/>
      <w:r w:rsidRPr="00BE48AD">
        <w:rPr>
          <w:color w:val="FF0000"/>
        </w:rPr>
        <w:t xml:space="preserve"> </w:t>
      </w:r>
      <w:r w:rsidRPr="00BE48AD">
        <w:rPr>
          <w:color w:val="FF0000"/>
        </w:rPr>
        <w:fldChar w:fldCharType="begin"/>
      </w:r>
      <w:r w:rsidRPr="00BE48AD">
        <w:rPr>
          <w:color w:val="FF0000"/>
        </w:rPr>
        <w:instrText xml:space="preserve"> XE "Fund List:Required Documentation, Analytical Procedures and Eligibility Criteria" </w:instrText>
      </w:r>
      <w:r w:rsidRPr="00BE48AD">
        <w:rPr>
          <w:color w:val="FF0000"/>
        </w:rPr>
        <w:fldChar w:fldCharType="end"/>
      </w:r>
    </w:p>
    <w:p w14:paraId="2FAA03A4" w14:textId="7B91778A" w:rsidR="00686000" w:rsidRDefault="00686000" w:rsidP="00BE48AD">
      <w:pPr>
        <w:pStyle w:val="Heading4"/>
        <w:spacing w:before="240" w:line="276" w:lineRule="auto"/>
        <w:jc w:val="both"/>
        <w:rPr>
          <w:rFonts w:cs="Garamond"/>
          <w:color w:val="FF0000"/>
          <w:u w:val="single"/>
        </w:rPr>
      </w:pPr>
      <w:r w:rsidRPr="00283CFA">
        <w:rPr>
          <w:rFonts w:ascii="Garamond" w:hAnsi="Garamond"/>
          <w:b/>
          <w:bCs/>
          <w:i w:val="0"/>
          <w:color w:val="FF0000"/>
          <w:sz w:val="24"/>
          <w:szCs w:val="24"/>
        </w:rPr>
        <w:t>Documentation</w:t>
      </w:r>
    </w:p>
    <w:p w14:paraId="7310EB35" w14:textId="383CE356" w:rsidR="006E0A5F" w:rsidRPr="0068185E" w:rsidRDefault="00294733" w:rsidP="00504AE0">
      <w:pPr>
        <w:pStyle w:val="ListParagraph"/>
        <w:numPr>
          <w:ilvl w:val="0"/>
          <w:numId w:val="25"/>
        </w:numPr>
        <w:spacing w:after="0" w:line="240" w:lineRule="auto"/>
        <w:ind w:left="450" w:firstLine="0"/>
        <w:rPr>
          <w:rFonts w:cs="Garamond"/>
          <w:color w:val="FF0000"/>
          <w:u w:val="single"/>
        </w:rPr>
      </w:pPr>
      <w:r w:rsidRPr="00294733">
        <w:rPr>
          <w:rFonts w:cs="Garamond"/>
          <w:color w:val="FF0000"/>
          <w:u w:val="single"/>
        </w:rPr>
        <w:t xml:space="preserve">An insurance company investing in a Structured Equity </w:t>
      </w:r>
      <w:r w:rsidR="00997957">
        <w:rPr>
          <w:rFonts w:cs="Garamond"/>
          <w:color w:val="FF0000"/>
          <w:u w:val="single"/>
        </w:rPr>
        <w:t>and</w:t>
      </w:r>
      <w:r w:rsidRPr="00294733">
        <w:rPr>
          <w:rFonts w:cs="Garamond"/>
          <w:color w:val="FF0000"/>
          <w:u w:val="single"/>
        </w:rPr>
        <w:t xml:space="preserve"> Fund </w:t>
      </w:r>
      <w:r w:rsidR="00184C6E">
        <w:rPr>
          <w:rFonts w:cs="Garamond"/>
          <w:color w:val="FF0000"/>
          <w:u w:val="single"/>
        </w:rPr>
        <w:t>issuance</w:t>
      </w:r>
      <w:r w:rsidRPr="00294733">
        <w:rPr>
          <w:rFonts w:cs="Garamond"/>
          <w:color w:val="FF0000"/>
          <w:u w:val="single"/>
        </w:rPr>
        <w:t xml:space="preserve"> shall provide information sufficient for the SVO to conduct a look through </w:t>
      </w:r>
      <w:r w:rsidR="00F83406">
        <w:rPr>
          <w:rFonts w:cs="Garamond"/>
          <w:color w:val="FF0000"/>
          <w:u w:val="single"/>
        </w:rPr>
        <w:t xml:space="preserve">assessment </w:t>
      </w:r>
      <w:r w:rsidRPr="00294733">
        <w:rPr>
          <w:rFonts w:cs="Garamond"/>
          <w:color w:val="FF0000"/>
          <w:u w:val="single"/>
        </w:rPr>
        <w:t xml:space="preserve">and credit </w:t>
      </w:r>
      <w:r w:rsidR="00F83406">
        <w:rPr>
          <w:rFonts w:cs="Garamond"/>
          <w:color w:val="FF0000"/>
          <w:u w:val="single"/>
        </w:rPr>
        <w:t>risk</w:t>
      </w:r>
      <w:r w:rsidRPr="00294733">
        <w:rPr>
          <w:rFonts w:cs="Garamond"/>
          <w:color w:val="FF0000"/>
          <w:u w:val="single"/>
        </w:rPr>
        <w:t xml:space="preserve"> assessment</w:t>
      </w:r>
      <w:r w:rsidR="003A4DDF">
        <w:rPr>
          <w:rFonts w:cs="Garamond"/>
          <w:color w:val="FF0000"/>
          <w:u w:val="single"/>
        </w:rPr>
        <w:t>,</w:t>
      </w:r>
      <w:r w:rsidR="00D9384E">
        <w:rPr>
          <w:rFonts w:cs="Garamond"/>
          <w:color w:val="FF0000"/>
          <w:u w:val="single"/>
        </w:rPr>
        <w:t xml:space="preserve"> as </w:t>
      </w:r>
      <w:r w:rsidR="00D976BA">
        <w:rPr>
          <w:rFonts w:cs="Garamond"/>
          <w:color w:val="FF0000"/>
          <w:u w:val="single"/>
        </w:rPr>
        <w:t xml:space="preserve">described </w:t>
      </w:r>
      <w:r w:rsidR="00772E7C">
        <w:rPr>
          <w:rFonts w:cs="Garamond"/>
          <w:color w:val="FF0000"/>
          <w:u w:val="single"/>
        </w:rPr>
        <w:t xml:space="preserve">below </w:t>
      </w:r>
      <w:r w:rsidR="00D976BA">
        <w:rPr>
          <w:rFonts w:cs="Garamond"/>
          <w:color w:val="FF0000"/>
          <w:u w:val="single"/>
        </w:rPr>
        <w:t xml:space="preserve">in </w:t>
      </w:r>
      <w:r w:rsidR="006E0A5F" w:rsidRPr="0068185E">
        <w:rPr>
          <w:rFonts w:cs="Garamond"/>
          <w:color w:val="FF0000"/>
          <w:u w:val="single"/>
        </w:rPr>
        <w:t xml:space="preserve">this </w:t>
      </w:r>
      <w:r w:rsidR="00772E7C">
        <w:rPr>
          <w:rFonts w:cs="Garamond"/>
          <w:color w:val="FF0000"/>
          <w:u w:val="single"/>
        </w:rPr>
        <w:t>section</w:t>
      </w:r>
      <w:r w:rsidR="00D67D2B">
        <w:rPr>
          <w:rFonts w:cs="Garamond"/>
          <w:color w:val="FF0000"/>
          <w:u w:val="single"/>
        </w:rPr>
        <w:t xml:space="preserve">. </w:t>
      </w:r>
      <w:r w:rsidR="00C26A0D" w:rsidRPr="00C26A0D">
        <w:rPr>
          <w:rFonts w:cs="Garamond"/>
          <w:color w:val="FF0000"/>
          <w:u w:val="single"/>
        </w:rPr>
        <w:t xml:space="preserve">The entity issuing the Structured Equity </w:t>
      </w:r>
      <w:r w:rsidR="00997957">
        <w:rPr>
          <w:rFonts w:cs="Garamond"/>
          <w:color w:val="FF0000"/>
          <w:u w:val="single"/>
        </w:rPr>
        <w:t>and</w:t>
      </w:r>
      <w:r w:rsidR="00C26A0D" w:rsidRPr="00C26A0D">
        <w:rPr>
          <w:rFonts w:cs="Garamond"/>
          <w:color w:val="FF0000"/>
          <w:u w:val="single"/>
        </w:rPr>
        <w:t xml:space="preserve"> Fund may also provide this information through a completed RTAS Application </w:t>
      </w:r>
      <w:r w:rsidR="007F3958">
        <w:rPr>
          <w:rFonts w:cs="Garamond"/>
          <w:color w:val="FF0000"/>
          <w:u w:val="single"/>
        </w:rPr>
        <w:t xml:space="preserve">sponsored by the insurer </w:t>
      </w:r>
      <w:r w:rsidR="00C26A0D" w:rsidRPr="00C26A0D">
        <w:rPr>
          <w:rFonts w:cs="Garamond"/>
          <w:color w:val="FF0000"/>
          <w:u w:val="single"/>
        </w:rPr>
        <w:t xml:space="preserve">(Information about the RTAS process is contained here: </w:t>
      </w:r>
      <w:hyperlink r:id="rId19" w:history="1">
        <w:r w:rsidR="00C26A0D" w:rsidRPr="009017E9">
          <w:rPr>
            <w:rStyle w:val="Hyperlink"/>
            <w:rFonts w:cs="Garamond"/>
          </w:rPr>
          <w:t>www.naic.org/documents/svo_rtas_app.pdf</w:t>
        </w:r>
      </w:hyperlink>
      <w:r w:rsidR="00C26A0D" w:rsidRPr="00C26A0D">
        <w:rPr>
          <w:rFonts w:cs="Garamond"/>
          <w:color w:val="FF0000"/>
          <w:u w:val="single"/>
        </w:rPr>
        <w:t>)</w:t>
      </w:r>
      <w:r w:rsidR="006A6441">
        <w:rPr>
          <w:rFonts w:cs="Garamond"/>
          <w:color w:val="FF0000"/>
          <w:u w:val="single"/>
        </w:rPr>
        <w:t xml:space="preserve">.  The </w:t>
      </w:r>
      <w:r w:rsidR="006E0A5F" w:rsidRPr="0068185E">
        <w:rPr>
          <w:rFonts w:cs="Garamond"/>
          <w:color w:val="FF0000"/>
          <w:u w:val="single"/>
        </w:rPr>
        <w:t xml:space="preserve">following additional information is required for </w:t>
      </w:r>
      <w:r w:rsidR="002C614C">
        <w:rPr>
          <w:rFonts w:cs="Garamond"/>
          <w:color w:val="FF0000"/>
          <w:u w:val="single"/>
        </w:rPr>
        <w:t xml:space="preserve">a </w:t>
      </w:r>
      <w:r w:rsidR="00BC230E" w:rsidRPr="0068185E">
        <w:rPr>
          <w:rFonts w:cs="Garamond"/>
          <w:color w:val="FF0000"/>
          <w:u w:val="single"/>
        </w:rPr>
        <w:t xml:space="preserve">Structured </w:t>
      </w:r>
      <w:r w:rsidR="007F29C9">
        <w:rPr>
          <w:rFonts w:cs="Garamond"/>
          <w:color w:val="FF0000"/>
          <w:u w:val="single"/>
        </w:rPr>
        <w:t xml:space="preserve">Equity </w:t>
      </w:r>
      <w:r w:rsidR="00997957">
        <w:rPr>
          <w:rFonts w:cs="Garamond"/>
          <w:color w:val="FF0000"/>
          <w:u w:val="single"/>
        </w:rPr>
        <w:t>and</w:t>
      </w:r>
      <w:r w:rsidR="007F29C9">
        <w:rPr>
          <w:rFonts w:cs="Garamond"/>
          <w:color w:val="FF0000"/>
          <w:u w:val="single"/>
        </w:rPr>
        <w:t xml:space="preserve"> </w:t>
      </w:r>
      <w:r w:rsidR="00BC230E" w:rsidRPr="0068185E">
        <w:rPr>
          <w:rFonts w:cs="Garamond"/>
          <w:color w:val="FF0000"/>
          <w:u w:val="single"/>
        </w:rPr>
        <w:t>Fund</w:t>
      </w:r>
      <w:r w:rsidR="006E0A5F" w:rsidRPr="0068185E">
        <w:rPr>
          <w:rFonts w:cs="Garamond"/>
          <w:color w:val="FF0000"/>
          <w:u w:val="single"/>
        </w:rPr>
        <w:t>:</w:t>
      </w:r>
    </w:p>
    <w:p w14:paraId="6B1C539A" w14:textId="57995259" w:rsidR="006E0A5F" w:rsidRPr="0068185E" w:rsidRDefault="006E0A5F" w:rsidP="009B64C7">
      <w:pPr>
        <w:pStyle w:val="Sublisting"/>
        <w:numPr>
          <w:ilvl w:val="0"/>
          <w:numId w:val="24"/>
        </w:numPr>
        <w:rPr>
          <w:color w:val="FF0000"/>
          <w:u w:val="single"/>
        </w:rPr>
      </w:pPr>
      <w:r w:rsidRPr="0068185E">
        <w:rPr>
          <w:color w:val="FF0000"/>
          <w:u w:val="single"/>
        </w:rPr>
        <w:t>Disclosure of any Subsidiary, Controlled or Affiliated relationship</w:t>
      </w:r>
      <w:r w:rsidR="00171959">
        <w:rPr>
          <w:color w:val="FF0000"/>
          <w:u w:val="single"/>
        </w:rPr>
        <w:t xml:space="preserve">, </w:t>
      </w:r>
      <w:r w:rsidR="0053399E">
        <w:rPr>
          <w:color w:val="FF0000"/>
          <w:u w:val="single"/>
        </w:rPr>
        <w:t xml:space="preserve">as </w:t>
      </w:r>
      <w:r w:rsidR="00D255E3">
        <w:rPr>
          <w:color w:val="FF0000"/>
          <w:u w:val="single"/>
        </w:rPr>
        <w:t xml:space="preserve">described </w:t>
      </w:r>
      <w:r w:rsidR="0053399E">
        <w:rPr>
          <w:color w:val="FF0000"/>
          <w:u w:val="single"/>
        </w:rPr>
        <w:t>in this manual</w:t>
      </w:r>
      <w:r w:rsidR="00A02329">
        <w:rPr>
          <w:color w:val="FF0000"/>
          <w:u w:val="single"/>
        </w:rPr>
        <w:t xml:space="preserve"> and the </w:t>
      </w:r>
      <w:r w:rsidR="00A02329" w:rsidRPr="00BE48AD">
        <w:rPr>
          <w:i/>
          <w:iCs/>
          <w:color w:val="FF0000"/>
          <w:u w:val="single"/>
        </w:rPr>
        <w:t xml:space="preserve">Accounting Practices </w:t>
      </w:r>
      <w:r w:rsidR="001960B6" w:rsidRPr="00BE48AD">
        <w:rPr>
          <w:i/>
          <w:iCs/>
          <w:color w:val="FF0000"/>
          <w:u w:val="single"/>
        </w:rPr>
        <w:t>&amp;</w:t>
      </w:r>
      <w:r w:rsidR="00A02329" w:rsidRPr="00BE48AD">
        <w:rPr>
          <w:i/>
          <w:iCs/>
          <w:color w:val="FF0000"/>
          <w:u w:val="single"/>
        </w:rPr>
        <w:t xml:space="preserve"> Procedures Manual</w:t>
      </w:r>
      <w:r w:rsidR="00A02329">
        <w:rPr>
          <w:color w:val="FF0000"/>
          <w:u w:val="single"/>
        </w:rPr>
        <w:t>,</w:t>
      </w:r>
      <w:r w:rsidRPr="0068185E">
        <w:rPr>
          <w:color w:val="FF0000"/>
          <w:u w:val="single"/>
        </w:rPr>
        <w:t xml:space="preserve"> between the </w:t>
      </w:r>
      <w:r w:rsidR="00FB160E">
        <w:rPr>
          <w:color w:val="FF0000"/>
          <w:u w:val="single"/>
        </w:rPr>
        <w:t xml:space="preserve">issuer, </w:t>
      </w:r>
      <w:r w:rsidRPr="0068185E">
        <w:rPr>
          <w:color w:val="FF0000"/>
          <w:u w:val="single"/>
        </w:rPr>
        <w:t>any</w:t>
      </w:r>
      <w:r w:rsidR="00FB160E">
        <w:rPr>
          <w:color w:val="FF0000"/>
          <w:u w:val="single"/>
        </w:rPr>
        <w:t xml:space="preserve"> intermediate </w:t>
      </w:r>
      <w:r w:rsidR="000460E1">
        <w:rPr>
          <w:color w:val="FF0000"/>
          <w:u w:val="single"/>
        </w:rPr>
        <w:t>entity,</w:t>
      </w:r>
      <w:r w:rsidRPr="0068185E">
        <w:rPr>
          <w:color w:val="FF0000"/>
          <w:u w:val="single"/>
        </w:rPr>
        <w:t xml:space="preserve"> any of the underlying investments</w:t>
      </w:r>
      <w:r w:rsidR="00386487">
        <w:rPr>
          <w:color w:val="FF0000"/>
          <w:u w:val="single"/>
        </w:rPr>
        <w:t>, including the parties from which they were acquired,</w:t>
      </w:r>
      <w:r w:rsidRPr="0068185E">
        <w:rPr>
          <w:color w:val="FF0000"/>
          <w:u w:val="single"/>
        </w:rPr>
        <w:t xml:space="preserve"> and the insurer.</w:t>
      </w:r>
    </w:p>
    <w:p w14:paraId="2ACF4681" w14:textId="7FF1BC9E" w:rsidR="002F1C35" w:rsidRDefault="006E0A5F" w:rsidP="00CA2D56">
      <w:pPr>
        <w:pStyle w:val="Sublisting"/>
        <w:numPr>
          <w:ilvl w:val="0"/>
          <w:numId w:val="24"/>
        </w:numPr>
        <w:rPr>
          <w:color w:val="FF0000"/>
          <w:u w:val="single"/>
        </w:rPr>
      </w:pPr>
      <w:r w:rsidRPr="00CA2D56">
        <w:rPr>
          <w:color w:val="FF0000"/>
          <w:u w:val="single"/>
        </w:rPr>
        <w:t xml:space="preserve">Prior four quarterly financial statements, if produced, </w:t>
      </w:r>
      <w:r w:rsidR="005E0FCD">
        <w:rPr>
          <w:color w:val="FF0000"/>
          <w:u w:val="single"/>
        </w:rPr>
        <w:t xml:space="preserve">and </w:t>
      </w:r>
      <w:r w:rsidRPr="00CA2D56">
        <w:rPr>
          <w:color w:val="FF0000"/>
          <w:u w:val="single"/>
        </w:rPr>
        <w:t xml:space="preserve">trustee or collateral agent reports from the </w:t>
      </w:r>
      <w:r w:rsidR="009F0EF2" w:rsidRPr="00CA2D56">
        <w:rPr>
          <w:color w:val="FF0000"/>
          <w:u w:val="single"/>
        </w:rPr>
        <w:t xml:space="preserve">Structured </w:t>
      </w:r>
      <w:r w:rsidR="00F45E17" w:rsidRPr="00CA2D56">
        <w:rPr>
          <w:color w:val="FF0000"/>
          <w:u w:val="single"/>
        </w:rPr>
        <w:t xml:space="preserve">Equity </w:t>
      </w:r>
      <w:r w:rsidR="00997957">
        <w:rPr>
          <w:color w:val="FF0000"/>
          <w:u w:val="single"/>
        </w:rPr>
        <w:t>and</w:t>
      </w:r>
      <w:r w:rsidR="00F45E17" w:rsidRPr="00CA2D56">
        <w:rPr>
          <w:color w:val="FF0000"/>
          <w:u w:val="single"/>
        </w:rPr>
        <w:t xml:space="preserve"> </w:t>
      </w:r>
      <w:r w:rsidR="009F0EF2" w:rsidRPr="00CA2D56">
        <w:rPr>
          <w:color w:val="FF0000"/>
          <w:u w:val="single"/>
        </w:rPr>
        <w:t>Fund</w:t>
      </w:r>
      <w:r w:rsidRPr="00CA2D56">
        <w:rPr>
          <w:color w:val="FF0000"/>
          <w:u w:val="single"/>
        </w:rPr>
        <w:t xml:space="preserve"> </w:t>
      </w:r>
      <w:r w:rsidR="00FE694F">
        <w:rPr>
          <w:color w:val="FF0000"/>
          <w:u w:val="single"/>
        </w:rPr>
        <w:t>issuer</w:t>
      </w:r>
      <w:r w:rsidRPr="00CA2D56">
        <w:rPr>
          <w:color w:val="FF0000"/>
          <w:u w:val="single"/>
        </w:rPr>
        <w:t xml:space="preserve"> sufficient to identify: security specific details of each underlying investment (security identifier, descriptive information, all Eligible NAIC CRP Credit Ratings (if any), par value, market value, and explanation as to how the market value was determined).</w:t>
      </w:r>
    </w:p>
    <w:p w14:paraId="1EC88E68" w14:textId="7AED96B6" w:rsidR="00E50545" w:rsidRPr="00E50545" w:rsidRDefault="008A2A63" w:rsidP="00E50545">
      <w:pPr>
        <w:pStyle w:val="ListParagraph"/>
        <w:numPr>
          <w:ilvl w:val="0"/>
          <w:numId w:val="24"/>
        </w:numPr>
        <w:rPr>
          <w:color w:val="FF0000"/>
          <w:u w:val="single"/>
        </w:rPr>
      </w:pPr>
      <w:r w:rsidRPr="00E50545">
        <w:rPr>
          <w:color w:val="FF0000"/>
          <w:u w:val="single"/>
        </w:rPr>
        <w:t>The legal agreement</w:t>
      </w:r>
      <w:r w:rsidR="00BC17B7" w:rsidRPr="00E50545">
        <w:rPr>
          <w:color w:val="FF0000"/>
          <w:u w:val="single"/>
        </w:rPr>
        <w:t>(</w:t>
      </w:r>
      <w:r w:rsidRPr="00E50545">
        <w:rPr>
          <w:color w:val="FF0000"/>
          <w:u w:val="single"/>
        </w:rPr>
        <w:t>s</w:t>
      </w:r>
      <w:r w:rsidR="00BC17B7" w:rsidRPr="00E50545">
        <w:rPr>
          <w:color w:val="FF0000"/>
          <w:u w:val="single"/>
        </w:rPr>
        <w:t xml:space="preserve">) governing the Structured Equity </w:t>
      </w:r>
      <w:r w:rsidR="00997957">
        <w:rPr>
          <w:color w:val="FF0000"/>
          <w:u w:val="single"/>
        </w:rPr>
        <w:t>and</w:t>
      </w:r>
      <w:r w:rsidR="00BC17B7" w:rsidRPr="00E50545">
        <w:rPr>
          <w:color w:val="FF0000"/>
          <w:u w:val="single"/>
        </w:rPr>
        <w:t xml:space="preserve"> Fund</w:t>
      </w:r>
      <w:r w:rsidR="00891AAB">
        <w:rPr>
          <w:color w:val="FF0000"/>
          <w:u w:val="single"/>
        </w:rPr>
        <w:t xml:space="preserve"> structure</w:t>
      </w:r>
      <w:r w:rsidR="004E6587">
        <w:rPr>
          <w:color w:val="FF0000"/>
          <w:u w:val="single"/>
        </w:rPr>
        <w:t>, the securities it issues</w:t>
      </w:r>
      <w:r w:rsidR="00FD53F7">
        <w:rPr>
          <w:color w:val="FF0000"/>
          <w:u w:val="single"/>
        </w:rPr>
        <w:t>,</w:t>
      </w:r>
      <w:r w:rsidR="004E6587">
        <w:rPr>
          <w:color w:val="FF0000"/>
          <w:u w:val="single"/>
        </w:rPr>
        <w:t xml:space="preserve">  investments </w:t>
      </w:r>
      <w:r w:rsidR="00FD53F7">
        <w:rPr>
          <w:color w:val="FF0000"/>
          <w:u w:val="single"/>
        </w:rPr>
        <w:t xml:space="preserve">it has made and any other agreement </w:t>
      </w:r>
      <w:r w:rsidR="00495E24">
        <w:rPr>
          <w:color w:val="FF0000"/>
          <w:u w:val="single"/>
        </w:rPr>
        <w:t xml:space="preserve">potentially </w:t>
      </w:r>
      <w:r w:rsidR="004421C6">
        <w:rPr>
          <w:color w:val="FF0000"/>
          <w:u w:val="single"/>
        </w:rPr>
        <w:t xml:space="preserve">impacting </w:t>
      </w:r>
      <w:r w:rsidR="00495E24">
        <w:rPr>
          <w:color w:val="FF0000"/>
          <w:u w:val="single"/>
        </w:rPr>
        <w:t xml:space="preserve">payments to </w:t>
      </w:r>
      <w:r w:rsidR="008C39BA">
        <w:rPr>
          <w:color w:val="FF0000"/>
          <w:u w:val="single"/>
        </w:rPr>
        <w:t>investors</w:t>
      </w:r>
      <w:r w:rsidR="00AF4B37" w:rsidRPr="00E50545">
        <w:rPr>
          <w:color w:val="FF0000"/>
          <w:u w:val="single"/>
        </w:rPr>
        <w:t xml:space="preserve">; </w:t>
      </w:r>
      <w:r w:rsidR="00067757">
        <w:rPr>
          <w:color w:val="FF0000"/>
          <w:u w:val="single"/>
        </w:rPr>
        <w:t>including</w:t>
      </w:r>
      <w:r w:rsidR="00AF4B37" w:rsidRPr="00E50545">
        <w:rPr>
          <w:color w:val="FF0000"/>
          <w:u w:val="single"/>
        </w:rPr>
        <w:t xml:space="preserve">, </w:t>
      </w:r>
      <w:r w:rsidR="00A50AB6">
        <w:rPr>
          <w:color w:val="FF0000"/>
          <w:u w:val="single"/>
        </w:rPr>
        <w:t>but not limited to,</w:t>
      </w:r>
      <w:r w:rsidR="00AF4B37" w:rsidRPr="00E50545">
        <w:rPr>
          <w:color w:val="FF0000"/>
          <w:u w:val="single"/>
        </w:rPr>
        <w:t xml:space="preserve"> Prospectus and Statement of Additional Information (SAI)</w:t>
      </w:r>
      <w:r w:rsidR="00E50545" w:rsidRPr="00E50545">
        <w:rPr>
          <w:color w:val="FF0000"/>
          <w:u w:val="single"/>
        </w:rPr>
        <w:t>, the Private Placement Memorandum, Limited Partnership Agreement or Limited Liability Company Agreement, the Subscription Agreement</w:t>
      </w:r>
      <w:r w:rsidR="00521C08">
        <w:rPr>
          <w:color w:val="FF0000"/>
          <w:u w:val="single"/>
        </w:rPr>
        <w:t>,</w:t>
      </w:r>
      <w:r w:rsidR="00E50545" w:rsidRPr="00E50545">
        <w:rPr>
          <w:color w:val="FF0000"/>
          <w:u w:val="single"/>
        </w:rPr>
        <w:t xml:space="preserve"> the Form D, if one has been filed</w:t>
      </w:r>
      <w:r w:rsidR="00521C08">
        <w:rPr>
          <w:color w:val="FF0000"/>
          <w:u w:val="single"/>
        </w:rPr>
        <w:t xml:space="preserve">, and any </w:t>
      </w:r>
      <w:r w:rsidR="0076362F">
        <w:rPr>
          <w:color w:val="FF0000"/>
          <w:u w:val="single"/>
        </w:rPr>
        <w:t xml:space="preserve">sale or </w:t>
      </w:r>
      <w:r w:rsidR="00283FE9">
        <w:rPr>
          <w:color w:val="FF0000"/>
          <w:u w:val="single"/>
        </w:rPr>
        <w:t>transfer agreements</w:t>
      </w:r>
      <w:r w:rsidR="00E50545" w:rsidRPr="00E50545">
        <w:rPr>
          <w:color w:val="FF0000"/>
          <w:u w:val="single"/>
        </w:rPr>
        <w:t>.</w:t>
      </w:r>
    </w:p>
    <w:p w14:paraId="447E5286" w14:textId="5BFE6FC7" w:rsidR="008F14DF" w:rsidRPr="008F14DF" w:rsidRDefault="000B5B4D" w:rsidP="008F14DF">
      <w:pPr>
        <w:pStyle w:val="ListParagraph"/>
        <w:numPr>
          <w:ilvl w:val="0"/>
          <w:numId w:val="24"/>
        </w:numPr>
        <w:rPr>
          <w:color w:val="FF0000"/>
          <w:u w:val="single"/>
        </w:rPr>
      </w:pPr>
      <w:r w:rsidRPr="008F14DF">
        <w:rPr>
          <w:color w:val="FF0000"/>
          <w:u w:val="single"/>
        </w:rPr>
        <w:t xml:space="preserve">Schedules of the fund’s portfolio securities and assets with a description of the security, the CUSIP or other security identifier and NRSRO credit ratings for the last four quarters of the fund’s existence. </w:t>
      </w:r>
      <w:r w:rsidR="0060089B">
        <w:rPr>
          <w:color w:val="FF0000"/>
          <w:u w:val="single"/>
        </w:rPr>
        <w:t xml:space="preserve"> </w:t>
      </w:r>
      <w:r w:rsidRPr="008F14DF">
        <w:rPr>
          <w:color w:val="FF0000"/>
          <w:u w:val="single"/>
        </w:rPr>
        <w:t xml:space="preserve">For funds which use derivative transactions or other derivative instruments, the schedule shall include </w:t>
      </w:r>
      <w:r w:rsidR="00F737DE">
        <w:rPr>
          <w:color w:val="FF0000"/>
          <w:u w:val="single"/>
        </w:rPr>
        <w:t xml:space="preserve">information </w:t>
      </w:r>
      <w:r w:rsidRPr="008F14DF">
        <w:rPr>
          <w:color w:val="FF0000"/>
          <w:u w:val="single"/>
        </w:rPr>
        <w:t>for each derivativ</w:t>
      </w:r>
      <w:r w:rsidR="00F737DE">
        <w:rPr>
          <w:color w:val="FF0000"/>
          <w:u w:val="single"/>
        </w:rPr>
        <w:t>e.</w:t>
      </w:r>
    </w:p>
    <w:p w14:paraId="47224614" w14:textId="3F524531" w:rsidR="00585FF4" w:rsidRPr="00BE48AD" w:rsidRDefault="00082BA1" w:rsidP="00BE48AD">
      <w:pPr>
        <w:pStyle w:val="Heading4"/>
        <w:spacing w:before="240" w:line="276" w:lineRule="auto"/>
        <w:jc w:val="both"/>
        <w:rPr>
          <w:rFonts w:ascii="Garamond" w:hAnsi="Garamond"/>
          <w:b/>
          <w:bCs/>
          <w:color w:val="FF0000"/>
          <w:sz w:val="24"/>
          <w:szCs w:val="24"/>
        </w:rPr>
      </w:pPr>
      <w:r w:rsidRPr="004E3390">
        <w:rPr>
          <w:rFonts w:ascii="Garamond" w:hAnsi="Garamond"/>
          <w:b/>
          <w:bCs/>
          <w:i w:val="0"/>
          <w:color w:val="FF0000"/>
          <w:sz w:val="24"/>
          <w:szCs w:val="24"/>
        </w:rPr>
        <w:t>A</w:t>
      </w:r>
      <w:r w:rsidR="0085705E" w:rsidRPr="00BE48AD">
        <w:rPr>
          <w:rFonts w:ascii="Garamond" w:hAnsi="Garamond"/>
          <w:b/>
          <w:bCs/>
          <w:i w:val="0"/>
          <w:color w:val="FF0000"/>
          <w:sz w:val="24"/>
          <w:szCs w:val="24"/>
        </w:rPr>
        <w:t>nalytical Procedures</w:t>
      </w:r>
    </w:p>
    <w:p w14:paraId="647DD430" w14:textId="4D17821A" w:rsidR="00E57EB8" w:rsidRPr="0003153E" w:rsidRDefault="00704E2D" w:rsidP="00704E2D">
      <w:pPr>
        <w:pStyle w:val="ListParagraph"/>
        <w:numPr>
          <w:ilvl w:val="0"/>
          <w:numId w:val="25"/>
        </w:numPr>
        <w:spacing w:after="0" w:line="240" w:lineRule="auto"/>
        <w:ind w:left="450" w:firstLine="0"/>
        <w:rPr>
          <w:rFonts w:cs="Garamond"/>
          <w:color w:val="FF0000"/>
          <w:u w:val="single"/>
        </w:rPr>
      </w:pPr>
      <w:r w:rsidRPr="0003153E">
        <w:rPr>
          <w:rFonts w:cs="Garamond"/>
          <w:color w:val="FF0000"/>
          <w:u w:val="single"/>
        </w:rPr>
        <w:t xml:space="preserve">Credit Risk Assessment – </w:t>
      </w:r>
      <w:r w:rsidR="00ED7EAF" w:rsidRPr="0003153E">
        <w:rPr>
          <w:rFonts w:cs="Garamond"/>
          <w:color w:val="FF0000"/>
          <w:u w:val="single"/>
        </w:rPr>
        <w:t xml:space="preserve">The SVO </w:t>
      </w:r>
      <w:r w:rsidR="001D6381" w:rsidRPr="0003153E">
        <w:rPr>
          <w:rFonts w:cs="Garamond"/>
          <w:color w:val="FF0000"/>
          <w:u w:val="single"/>
        </w:rPr>
        <w:t>may</w:t>
      </w:r>
      <w:r w:rsidR="00036F0E" w:rsidRPr="0003153E">
        <w:rPr>
          <w:rFonts w:cs="Garamond"/>
          <w:color w:val="FF0000"/>
          <w:u w:val="single"/>
        </w:rPr>
        <w:t xml:space="preserve">, in accordance with </w:t>
      </w:r>
      <w:r w:rsidR="005F3433" w:rsidRPr="0003153E">
        <w:rPr>
          <w:rFonts w:cs="Garamond"/>
          <w:color w:val="FF0000"/>
          <w:u w:val="single"/>
        </w:rPr>
        <w:t>authority granted to it Part One,</w:t>
      </w:r>
      <w:r w:rsidR="001D6381" w:rsidRPr="0003153E">
        <w:rPr>
          <w:rFonts w:cs="Garamond"/>
          <w:color w:val="FF0000"/>
          <w:u w:val="single"/>
        </w:rPr>
        <w:t xml:space="preserve"> </w:t>
      </w:r>
      <w:r w:rsidR="00084817" w:rsidRPr="0003153E">
        <w:rPr>
          <w:rFonts w:cs="Garamond"/>
          <w:color w:val="FF0000"/>
          <w:u w:val="single"/>
        </w:rPr>
        <w:t>apply an</w:t>
      </w:r>
      <w:r w:rsidR="00A057D9" w:rsidRPr="0003153E">
        <w:rPr>
          <w:rFonts w:cs="Garamond"/>
          <w:color w:val="FF0000"/>
          <w:u w:val="single"/>
        </w:rPr>
        <w:t xml:space="preserve">y methodology </w:t>
      </w:r>
      <w:r w:rsidR="00EB1BDD" w:rsidRPr="0003153E">
        <w:rPr>
          <w:rFonts w:cs="Garamond"/>
          <w:color w:val="FF0000"/>
          <w:u w:val="single"/>
        </w:rPr>
        <w:t>i</w:t>
      </w:r>
      <w:r w:rsidR="00425A50" w:rsidRPr="0003153E">
        <w:rPr>
          <w:rFonts w:cs="Garamond"/>
          <w:color w:val="FF0000"/>
          <w:u w:val="single"/>
        </w:rPr>
        <w:t>t</w:t>
      </w:r>
      <w:r w:rsidR="00EB1BDD" w:rsidRPr="0003153E">
        <w:rPr>
          <w:rFonts w:cs="Garamond"/>
          <w:color w:val="FF0000"/>
          <w:u w:val="single"/>
        </w:rPr>
        <w:t xml:space="preserve"> deems </w:t>
      </w:r>
      <w:r w:rsidR="00425A50" w:rsidRPr="0003153E">
        <w:rPr>
          <w:rFonts w:cs="Garamond"/>
          <w:color w:val="FF0000"/>
          <w:u w:val="single"/>
        </w:rPr>
        <w:t>appropriate</w:t>
      </w:r>
      <w:r w:rsidR="00465079" w:rsidRPr="0003153E">
        <w:rPr>
          <w:rFonts w:cs="Garamond"/>
          <w:color w:val="FF0000"/>
          <w:u w:val="single"/>
        </w:rPr>
        <w:t xml:space="preserve"> </w:t>
      </w:r>
      <w:r w:rsidR="000B4396" w:rsidRPr="0003153E">
        <w:rPr>
          <w:rFonts w:cs="Garamond"/>
          <w:color w:val="FF0000"/>
          <w:u w:val="single"/>
        </w:rPr>
        <w:t xml:space="preserve">to assess </w:t>
      </w:r>
      <w:r w:rsidRPr="0003153E">
        <w:rPr>
          <w:rFonts w:cs="Garamond"/>
          <w:color w:val="FF0000"/>
          <w:u w:val="single"/>
        </w:rPr>
        <w:t xml:space="preserve">the credit </w:t>
      </w:r>
      <w:proofErr w:type="gramStart"/>
      <w:r w:rsidRPr="0003153E">
        <w:rPr>
          <w:rFonts w:cs="Garamond"/>
          <w:color w:val="FF0000"/>
          <w:u w:val="single"/>
        </w:rPr>
        <w:t xml:space="preserve">risk </w:t>
      </w:r>
      <w:r w:rsidR="002832D5" w:rsidRPr="0003153E">
        <w:rPr>
          <w:rFonts w:cs="Garamond"/>
          <w:color w:val="FF0000"/>
          <w:u w:val="single"/>
        </w:rPr>
        <w:t xml:space="preserve"> of</w:t>
      </w:r>
      <w:proofErr w:type="gramEnd"/>
      <w:r w:rsidR="002832D5" w:rsidRPr="0003153E">
        <w:rPr>
          <w:rFonts w:cs="Garamond"/>
          <w:color w:val="FF0000"/>
          <w:u w:val="single"/>
        </w:rPr>
        <w:t xml:space="preserve"> </w:t>
      </w:r>
      <w:r w:rsidR="005C363C" w:rsidRPr="0003153E">
        <w:rPr>
          <w:rFonts w:cs="Garamond"/>
          <w:color w:val="FF0000"/>
          <w:u w:val="single"/>
        </w:rPr>
        <w:t>a</w:t>
      </w:r>
      <w:r w:rsidR="002E7960" w:rsidRPr="0003153E">
        <w:rPr>
          <w:rFonts w:cs="Garamond"/>
          <w:color w:val="FF0000"/>
          <w:u w:val="single"/>
        </w:rPr>
        <w:t xml:space="preserve"> </w:t>
      </w:r>
      <w:r w:rsidR="003615CE" w:rsidRPr="0003153E">
        <w:rPr>
          <w:rFonts w:cs="Garamond"/>
          <w:color w:val="FF0000"/>
          <w:u w:val="single"/>
        </w:rPr>
        <w:t xml:space="preserve">Structured Equity </w:t>
      </w:r>
      <w:r w:rsidR="00997957" w:rsidRPr="0003153E">
        <w:rPr>
          <w:rFonts w:cs="Garamond"/>
          <w:color w:val="FF0000"/>
          <w:u w:val="single"/>
        </w:rPr>
        <w:t>and</w:t>
      </w:r>
      <w:r w:rsidR="003615CE" w:rsidRPr="0003153E">
        <w:rPr>
          <w:rFonts w:cs="Garamond"/>
          <w:color w:val="FF0000"/>
          <w:u w:val="single"/>
        </w:rPr>
        <w:t xml:space="preserve"> </w:t>
      </w:r>
      <w:r w:rsidR="00AB7BA5" w:rsidRPr="0003153E">
        <w:rPr>
          <w:rFonts w:cs="Garamond"/>
          <w:color w:val="FF0000"/>
          <w:u w:val="single"/>
        </w:rPr>
        <w:t xml:space="preserve">Fund issuance </w:t>
      </w:r>
      <w:r w:rsidR="002E7960" w:rsidRPr="0003153E">
        <w:rPr>
          <w:rFonts w:cs="Garamond"/>
          <w:color w:val="FF0000"/>
          <w:u w:val="single"/>
        </w:rPr>
        <w:t xml:space="preserve">and its </w:t>
      </w:r>
      <w:r w:rsidR="00DA5B29" w:rsidRPr="0003153E">
        <w:rPr>
          <w:rFonts w:cs="Garamond"/>
          <w:color w:val="FF0000"/>
          <w:u w:val="single"/>
        </w:rPr>
        <w:t xml:space="preserve">ultimate </w:t>
      </w:r>
      <w:r w:rsidRPr="0003153E">
        <w:rPr>
          <w:rFonts w:cs="Garamond"/>
          <w:color w:val="FF0000"/>
          <w:u w:val="single"/>
        </w:rPr>
        <w:t xml:space="preserve">underlying </w:t>
      </w:r>
      <w:r w:rsidR="008B3043" w:rsidRPr="0003153E">
        <w:rPr>
          <w:rFonts w:cs="Garamond"/>
          <w:color w:val="FF0000"/>
          <w:u w:val="single"/>
        </w:rPr>
        <w:t>assets</w:t>
      </w:r>
      <w:r w:rsidR="002A578C" w:rsidRPr="0003153E">
        <w:rPr>
          <w:rFonts w:cs="Garamond"/>
          <w:color w:val="FF0000"/>
          <w:u w:val="single"/>
        </w:rPr>
        <w:t xml:space="preserve"> </w:t>
      </w:r>
      <w:r w:rsidR="006B353E" w:rsidRPr="0003153E">
        <w:rPr>
          <w:rFonts w:cs="Garamond"/>
          <w:color w:val="FF0000"/>
          <w:u w:val="single"/>
        </w:rPr>
        <w:t xml:space="preserve">identified </w:t>
      </w:r>
      <w:r w:rsidR="00B02DD9" w:rsidRPr="0003153E">
        <w:rPr>
          <w:rFonts w:cs="Garamond"/>
          <w:color w:val="FF0000"/>
          <w:u w:val="single"/>
        </w:rPr>
        <w:t xml:space="preserve">pursuant </w:t>
      </w:r>
      <w:r w:rsidR="00AB7BA5" w:rsidRPr="0003153E">
        <w:rPr>
          <w:rFonts w:cs="Garamond"/>
          <w:color w:val="FF0000"/>
          <w:u w:val="single"/>
        </w:rPr>
        <w:t>a</w:t>
      </w:r>
      <w:r w:rsidR="00B02DD9" w:rsidRPr="0003153E">
        <w:rPr>
          <w:rFonts w:cs="Garamond"/>
          <w:color w:val="FF0000"/>
          <w:u w:val="single"/>
        </w:rPr>
        <w:t xml:space="preserve"> look-through assessment</w:t>
      </w:r>
      <w:r w:rsidR="00AC3426" w:rsidRPr="0003153E">
        <w:rPr>
          <w:rFonts w:cs="Garamond"/>
          <w:color w:val="FF0000"/>
          <w:u w:val="single"/>
        </w:rPr>
        <w:t xml:space="preserve">.  Such </w:t>
      </w:r>
      <w:r w:rsidR="00814F5A" w:rsidRPr="0003153E">
        <w:rPr>
          <w:rFonts w:cs="Garamond"/>
          <w:color w:val="FF0000"/>
          <w:u w:val="single"/>
        </w:rPr>
        <w:t>methodologies include,</w:t>
      </w:r>
      <w:r w:rsidR="00064C74" w:rsidRPr="0003153E">
        <w:rPr>
          <w:rFonts w:cs="Garamond"/>
          <w:color w:val="FF0000"/>
          <w:u w:val="single"/>
        </w:rPr>
        <w:t xml:space="preserve"> but </w:t>
      </w:r>
      <w:r w:rsidR="00814F5A" w:rsidRPr="0003153E">
        <w:rPr>
          <w:rFonts w:cs="Garamond"/>
          <w:color w:val="FF0000"/>
          <w:u w:val="single"/>
        </w:rPr>
        <w:t xml:space="preserve">are </w:t>
      </w:r>
      <w:r w:rsidR="00064C74" w:rsidRPr="0003153E">
        <w:rPr>
          <w:rFonts w:cs="Garamond"/>
          <w:color w:val="FF0000"/>
          <w:u w:val="single"/>
        </w:rPr>
        <w:t>not limited to,</w:t>
      </w:r>
      <w:r w:rsidRPr="0003153E">
        <w:rPr>
          <w:rFonts w:cs="Garamond"/>
          <w:color w:val="FF0000"/>
          <w:u w:val="single"/>
        </w:rPr>
        <w:t xml:space="preserve"> a weighted average rating factor </w:t>
      </w:r>
      <w:r w:rsidR="00730389" w:rsidRPr="0003153E">
        <w:rPr>
          <w:rFonts w:cs="Garamond"/>
          <w:color w:val="FF0000"/>
          <w:u w:val="single"/>
        </w:rPr>
        <w:t xml:space="preserve">(WARF) </w:t>
      </w:r>
      <w:r w:rsidRPr="0003153E">
        <w:rPr>
          <w:rFonts w:cs="Garamond"/>
          <w:color w:val="FF0000"/>
          <w:u w:val="single"/>
        </w:rPr>
        <w:t xml:space="preserve">methodology </w:t>
      </w:r>
      <w:r w:rsidR="000D3C0F" w:rsidRPr="0003153E">
        <w:rPr>
          <w:rFonts w:cs="Garamond"/>
          <w:color w:val="FF0000"/>
          <w:u w:val="single"/>
        </w:rPr>
        <w:t>or</w:t>
      </w:r>
      <w:r w:rsidR="003023F2" w:rsidRPr="0003153E">
        <w:rPr>
          <w:rFonts w:cs="Garamond"/>
          <w:color w:val="FF0000"/>
          <w:u w:val="single"/>
        </w:rPr>
        <w:t xml:space="preserve"> </w:t>
      </w:r>
      <w:r w:rsidR="008A5032" w:rsidRPr="0003153E">
        <w:rPr>
          <w:rFonts w:cs="Garamond"/>
          <w:color w:val="FF0000"/>
          <w:u w:val="single"/>
        </w:rPr>
        <w:t>a</w:t>
      </w:r>
      <w:r w:rsidR="00D84BF6" w:rsidRPr="0003153E">
        <w:rPr>
          <w:rFonts w:cs="Garamond"/>
          <w:color w:val="FF0000"/>
          <w:u w:val="single"/>
        </w:rPr>
        <w:t xml:space="preserve"> </w:t>
      </w:r>
      <w:r w:rsidR="003023F2" w:rsidRPr="0003153E">
        <w:rPr>
          <w:rFonts w:cs="Garamond"/>
          <w:color w:val="FF0000"/>
          <w:u w:val="single"/>
        </w:rPr>
        <w:t>CRP</w:t>
      </w:r>
      <w:r w:rsidR="00F659AC" w:rsidRPr="0003153E">
        <w:rPr>
          <w:rFonts w:cs="Garamond"/>
          <w:color w:val="FF0000"/>
          <w:u w:val="single"/>
        </w:rPr>
        <w:t>’s</w:t>
      </w:r>
      <w:r w:rsidR="00E940DA" w:rsidRPr="0003153E">
        <w:rPr>
          <w:rFonts w:cs="Garamond"/>
          <w:color w:val="FF0000"/>
          <w:u w:val="single"/>
        </w:rPr>
        <w:t xml:space="preserve"> </w:t>
      </w:r>
      <w:r w:rsidR="003023F2" w:rsidRPr="0003153E">
        <w:rPr>
          <w:rFonts w:cs="Garamond"/>
          <w:color w:val="FF0000"/>
          <w:u w:val="single"/>
        </w:rPr>
        <w:t xml:space="preserve">rating </w:t>
      </w:r>
      <w:r w:rsidR="0032175B" w:rsidRPr="0003153E">
        <w:rPr>
          <w:rFonts w:cs="Garamond"/>
          <w:color w:val="FF0000"/>
          <w:u w:val="single"/>
        </w:rPr>
        <w:t xml:space="preserve">rationale </w:t>
      </w:r>
      <w:r w:rsidR="009E510B" w:rsidRPr="0003153E">
        <w:rPr>
          <w:rFonts w:cs="Garamond"/>
          <w:color w:val="FF0000"/>
          <w:u w:val="single"/>
        </w:rPr>
        <w:t>analysis</w:t>
      </w:r>
      <w:r w:rsidR="008A5032" w:rsidRPr="0003153E">
        <w:rPr>
          <w:rFonts w:cs="Garamond"/>
          <w:color w:val="FF0000"/>
          <w:u w:val="single"/>
        </w:rPr>
        <w:t xml:space="preserve"> of the issuance</w:t>
      </w:r>
      <w:r w:rsidR="005F3847" w:rsidRPr="0003153E">
        <w:rPr>
          <w:rFonts w:cs="Garamond"/>
          <w:color w:val="FF0000"/>
          <w:u w:val="single"/>
        </w:rPr>
        <w:t>, notched as t</w:t>
      </w:r>
      <w:r w:rsidR="00FD1C34" w:rsidRPr="0003153E">
        <w:rPr>
          <w:rFonts w:cs="Garamond"/>
          <w:color w:val="FF0000"/>
          <w:u w:val="single"/>
        </w:rPr>
        <w:t>he SVO</w:t>
      </w:r>
      <w:r w:rsidR="005F3847" w:rsidRPr="0003153E">
        <w:rPr>
          <w:rFonts w:cs="Garamond"/>
          <w:color w:val="FF0000"/>
          <w:u w:val="single"/>
        </w:rPr>
        <w:t xml:space="preserve"> deems appropriate</w:t>
      </w:r>
      <w:r w:rsidR="009F7A60" w:rsidRPr="0003153E">
        <w:rPr>
          <w:rFonts w:cs="Garamond"/>
          <w:color w:val="FF0000"/>
          <w:u w:val="single"/>
        </w:rPr>
        <w:t xml:space="preserve"> t</w:t>
      </w:r>
      <w:r w:rsidR="00611FA0" w:rsidRPr="0003153E">
        <w:rPr>
          <w:rFonts w:cs="Garamond"/>
          <w:color w:val="FF0000"/>
          <w:u w:val="single"/>
        </w:rPr>
        <w:t>o eliminate any risk-based capital arbitrage that may exist through this structure</w:t>
      </w:r>
      <w:r w:rsidR="00847D50" w:rsidRPr="0003153E">
        <w:rPr>
          <w:rFonts w:cs="Garamond"/>
          <w:color w:val="FF0000"/>
          <w:u w:val="single"/>
        </w:rPr>
        <w:t>.</w:t>
      </w:r>
      <w:r w:rsidR="00814F5A" w:rsidRPr="0003153E">
        <w:rPr>
          <w:rFonts w:cs="Garamond"/>
          <w:color w:val="FF0000"/>
          <w:u w:val="single"/>
        </w:rPr>
        <w:t xml:space="preserve">  </w:t>
      </w:r>
    </w:p>
    <w:p w14:paraId="1E0B2E00" w14:textId="5E9D6AE2" w:rsidR="00704E2D" w:rsidRDefault="004268C5" w:rsidP="00343DC0">
      <w:pPr>
        <w:pStyle w:val="ListParagraph"/>
        <w:spacing w:after="0" w:line="240" w:lineRule="auto"/>
        <w:ind w:left="450" w:firstLine="0"/>
        <w:rPr>
          <w:rFonts w:cs="Garamond"/>
          <w:color w:val="FF0000"/>
          <w:u w:val="single"/>
        </w:rPr>
      </w:pPr>
      <w:r w:rsidRPr="0003153E">
        <w:rPr>
          <w:rFonts w:cs="Garamond"/>
          <w:color w:val="FF0000"/>
          <w:u w:val="single"/>
        </w:rPr>
        <w:lastRenderedPageBreak/>
        <w:t xml:space="preserve">The NAIC Designation and Category </w:t>
      </w:r>
      <w:r w:rsidR="00E90C5C" w:rsidRPr="0003153E">
        <w:rPr>
          <w:rFonts w:cs="Garamond"/>
          <w:color w:val="FF0000"/>
          <w:u w:val="single"/>
        </w:rPr>
        <w:t xml:space="preserve">assigned to </w:t>
      </w:r>
      <w:r w:rsidRPr="0003153E">
        <w:rPr>
          <w:rFonts w:cs="Garamond"/>
          <w:color w:val="FF0000"/>
          <w:u w:val="single"/>
        </w:rPr>
        <w:t xml:space="preserve">each </w:t>
      </w:r>
      <w:r w:rsidR="00E019D4" w:rsidRPr="0003153E">
        <w:rPr>
          <w:rFonts w:cs="Garamond"/>
          <w:color w:val="FF0000"/>
          <w:u w:val="single"/>
        </w:rPr>
        <w:t xml:space="preserve">security issued by the Structured Equity </w:t>
      </w:r>
      <w:r w:rsidR="00997957" w:rsidRPr="0003153E">
        <w:rPr>
          <w:rFonts w:cs="Garamond"/>
          <w:color w:val="FF0000"/>
          <w:u w:val="single"/>
        </w:rPr>
        <w:t>and</w:t>
      </w:r>
      <w:r w:rsidR="00E019D4" w:rsidRPr="0003153E">
        <w:rPr>
          <w:rFonts w:cs="Garamond"/>
          <w:color w:val="FF0000"/>
          <w:u w:val="single"/>
        </w:rPr>
        <w:t xml:space="preserve"> Fund</w:t>
      </w:r>
      <w:r w:rsidR="00E90C5C" w:rsidRPr="0003153E">
        <w:rPr>
          <w:rFonts w:cs="Garamond"/>
          <w:color w:val="FF0000"/>
          <w:u w:val="single"/>
        </w:rPr>
        <w:t xml:space="preserve"> </w:t>
      </w:r>
      <w:r w:rsidR="00E323BC" w:rsidRPr="0003153E">
        <w:rPr>
          <w:rFonts w:cs="Garamond"/>
          <w:color w:val="FF0000"/>
          <w:u w:val="single"/>
        </w:rPr>
        <w:t>issuer</w:t>
      </w:r>
      <w:r w:rsidR="00E90C5C" w:rsidRPr="0003153E">
        <w:rPr>
          <w:rFonts w:cs="Garamond"/>
          <w:color w:val="FF0000"/>
          <w:u w:val="single"/>
        </w:rPr>
        <w:t xml:space="preserve"> </w:t>
      </w:r>
      <w:r w:rsidR="00847D50" w:rsidRPr="0003153E">
        <w:rPr>
          <w:rFonts w:cs="Garamond"/>
          <w:color w:val="FF0000"/>
          <w:u w:val="single"/>
        </w:rPr>
        <w:t>may</w:t>
      </w:r>
      <w:r w:rsidR="00E90C5C" w:rsidRPr="0003153E">
        <w:rPr>
          <w:rFonts w:cs="Garamond"/>
          <w:color w:val="FF0000"/>
          <w:u w:val="single"/>
        </w:rPr>
        <w:t xml:space="preserve"> </w:t>
      </w:r>
      <w:r w:rsidR="00DA5B29" w:rsidRPr="0003153E">
        <w:rPr>
          <w:rFonts w:cs="Garamond"/>
          <w:color w:val="FF0000"/>
          <w:u w:val="single"/>
        </w:rPr>
        <w:t>also</w:t>
      </w:r>
      <w:r w:rsidR="00A43280" w:rsidRPr="0003153E">
        <w:rPr>
          <w:rFonts w:cs="Garamond"/>
          <w:color w:val="FF0000"/>
          <w:u w:val="single"/>
        </w:rPr>
        <w:t xml:space="preserve"> be</w:t>
      </w:r>
      <w:r w:rsidR="00DA5B29" w:rsidRPr="0003153E">
        <w:rPr>
          <w:rFonts w:cs="Garamond"/>
          <w:color w:val="FF0000"/>
          <w:u w:val="single"/>
        </w:rPr>
        <w:t xml:space="preserve"> </w:t>
      </w:r>
      <w:r w:rsidR="007E305A" w:rsidRPr="0003153E">
        <w:rPr>
          <w:rFonts w:cs="Garamond"/>
          <w:color w:val="FF0000"/>
          <w:u w:val="single"/>
        </w:rPr>
        <w:t xml:space="preserve">adjusted to </w:t>
      </w:r>
      <w:r w:rsidR="00FB702A" w:rsidRPr="0003153E">
        <w:rPr>
          <w:rFonts w:cs="Garamond"/>
          <w:color w:val="FF0000"/>
          <w:u w:val="single"/>
        </w:rPr>
        <w:t>reflect</w:t>
      </w:r>
      <w:r w:rsidR="00E90C5C" w:rsidRPr="0003153E">
        <w:rPr>
          <w:rFonts w:cs="Garamond"/>
          <w:color w:val="FF0000"/>
          <w:u w:val="single"/>
        </w:rPr>
        <w:t xml:space="preserve"> </w:t>
      </w:r>
      <w:r w:rsidR="00354B0C" w:rsidRPr="0003153E">
        <w:rPr>
          <w:rFonts w:cs="Garamond"/>
          <w:color w:val="FF0000"/>
          <w:u w:val="single"/>
        </w:rPr>
        <w:t xml:space="preserve">any credit </w:t>
      </w:r>
      <w:r w:rsidR="00B905AA" w:rsidRPr="0003153E">
        <w:rPr>
          <w:rFonts w:cs="Garamond"/>
          <w:color w:val="FF0000"/>
          <w:u w:val="single"/>
        </w:rPr>
        <w:t xml:space="preserve">support </w:t>
      </w:r>
      <w:r w:rsidR="00402E3D" w:rsidRPr="0003153E">
        <w:rPr>
          <w:rFonts w:cs="Garamond"/>
          <w:color w:val="FF0000"/>
          <w:u w:val="single"/>
        </w:rPr>
        <w:t>within the</w:t>
      </w:r>
      <w:r w:rsidR="00FD1442" w:rsidRPr="0003153E">
        <w:rPr>
          <w:rFonts w:cs="Garamond"/>
          <w:color w:val="FF0000"/>
          <w:u w:val="single"/>
        </w:rPr>
        <w:t xml:space="preserve"> structure</w:t>
      </w:r>
      <w:r w:rsidR="00402E3D" w:rsidRPr="0003153E">
        <w:rPr>
          <w:rFonts w:cs="Garamond"/>
          <w:color w:val="FF0000"/>
          <w:u w:val="single"/>
        </w:rPr>
        <w:t xml:space="preserve"> </w:t>
      </w:r>
      <w:r w:rsidR="00354B0C" w:rsidRPr="0003153E">
        <w:rPr>
          <w:rFonts w:cs="Garamond"/>
          <w:color w:val="FF0000"/>
          <w:u w:val="single"/>
        </w:rPr>
        <w:t>including</w:t>
      </w:r>
      <w:r w:rsidR="00A06D3B" w:rsidRPr="0003153E">
        <w:rPr>
          <w:rFonts w:cs="Garamond"/>
          <w:color w:val="FF0000"/>
          <w:u w:val="single"/>
        </w:rPr>
        <w:t xml:space="preserve">, </w:t>
      </w:r>
      <w:r w:rsidR="005875A9" w:rsidRPr="0003153E">
        <w:rPr>
          <w:rFonts w:cs="Garamond"/>
          <w:color w:val="FF0000"/>
          <w:u w:val="single"/>
        </w:rPr>
        <w:t>but not limited to</w:t>
      </w:r>
      <w:r w:rsidR="00A06D3B" w:rsidRPr="0003153E">
        <w:rPr>
          <w:rFonts w:cs="Garamond"/>
          <w:color w:val="FF0000"/>
          <w:u w:val="single"/>
        </w:rPr>
        <w:t>,</w:t>
      </w:r>
      <w:r w:rsidR="00B905AA" w:rsidRPr="0003153E">
        <w:rPr>
          <w:rFonts w:cs="Garamond"/>
          <w:color w:val="FF0000"/>
          <w:u w:val="single"/>
        </w:rPr>
        <w:t xml:space="preserve"> subordinat</w:t>
      </w:r>
      <w:r w:rsidR="0034107C" w:rsidRPr="0003153E">
        <w:rPr>
          <w:rFonts w:cs="Garamond"/>
          <w:color w:val="FF0000"/>
          <w:u w:val="single"/>
        </w:rPr>
        <w:t>ion</w:t>
      </w:r>
      <w:r w:rsidR="00354B0C" w:rsidRPr="0003153E">
        <w:rPr>
          <w:rFonts w:cs="Garamond"/>
          <w:color w:val="FF0000"/>
          <w:u w:val="single"/>
        </w:rPr>
        <w:t xml:space="preserve">, </w:t>
      </w:r>
      <w:r w:rsidR="00FD01BB" w:rsidRPr="0003153E">
        <w:rPr>
          <w:rFonts w:cs="Garamond"/>
          <w:color w:val="FF0000"/>
          <w:u w:val="single"/>
        </w:rPr>
        <w:t xml:space="preserve">guarantees, </w:t>
      </w:r>
      <w:r w:rsidR="00B07F0A" w:rsidRPr="0003153E">
        <w:rPr>
          <w:rFonts w:cs="Garamond"/>
          <w:color w:val="FF0000"/>
          <w:u w:val="single"/>
        </w:rPr>
        <w:t>insurance,</w:t>
      </w:r>
      <w:r w:rsidR="00B905AA" w:rsidRPr="0003153E">
        <w:rPr>
          <w:rFonts w:cs="Garamond"/>
          <w:color w:val="FF0000"/>
          <w:u w:val="single"/>
        </w:rPr>
        <w:t xml:space="preserve"> </w:t>
      </w:r>
      <w:r w:rsidR="00977DDE" w:rsidRPr="0003153E">
        <w:rPr>
          <w:rFonts w:cs="Garamond"/>
          <w:color w:val="FF0000"/>
          <w:u w:val="single"/>
        </w:rPr>
        <w:t xml:space="preserve">or </w:t>
      </w:r>
      <w:r w:rsidR="00B905AA" w:rsidRPr="0003153E">
        <w:rPr>
          <w:rFonts w:cs="Garamond"/>
          <w:color w:val="FF0000"/>
          <w:u w:val="single"/>
        </w:rPr>
        <w:t>equity</w:t>
      </w:r>
      <w:r w:rsidR="00A07E6C" w:rsidRPr="0003153E">
        <w:rPr>
          <w:rFonts w:cs="Garamond"/>
          <w:color w:val="FF0000"/>
          <w:u w:val="single"/>
        </w:rPr>
        <w:t xml:space="preserve">. </w:t>
      </w:r>
      <w:r w:rsidR="00191A93" w:rsidRPr="0003153E">
        <w:rPr>
          <w:rFonts w:cs="Garamond"/>
          <w:color w:val="FF0000"/>
          <w:u w:val="single"/>
        </w:rPr>
        <w:t xml:space="preserve"> </w:t>
      </w:r>
      <w:r w:rsidR="00A07E6C" w:rsidRPr="0003153E">
        <w:rPr>
          <w:rFonts w:cs="Garamond"/>
          <w:color w:val="FF0000"/>
          <w:u w:val="single"/>
        </w:rPr>
        <w:t>T</w:t>
      </w:r>
      <w:r w:rsidR="00977DDE" w:rsidRPr="0003153E">
        <w:rPr>
          <w:rFonts w:cs="Garamond"/>
          <w:color w:val="FF0000"/>
          <w:u w:val="single"/>
        </w:rPr>
        <w:t xml:space="preserve">he objective </w:t>
      </w:r>
      <w:r w:rsidR="003F60BB" w:rsidRPr="0003153E">
        <w:rPr>
          <w:rFonts w:cs="Garamond"/>
          <w:color w:val="FF0000"/>
          <w:u w:val="single"/>
        </w:rPr>
        <w:t xml:space="preserve">of </w:t>
      </w:r>
      <w:r w:rsidR="00B10130" w:rsidRPr="0003153E">
        <w:rPr>
          <w:rFonts w:cs="Garamond"/>
          <w:color w:val="FF0000"/>
          <w:u w:val="single"/>
        </w:rPr>
        <w:t>the SVO</w:t>
      </w:r>
      <w:r w:rsidR="00FD7EED" w:rsidRPr="0003153E">
        <w:rPr>
          <w:rFonts w:cs="Garamond"/>
          <w:color w:val="FF0000"/>
          <w:u w:val="single"/>
        </w:rPr>
        <w:t xml:space="preserve">’s </w:t>
      </w:r>
      <w:r w:rsidR="00EB59AC" w:rsidRPr="0003153E">
        <w:rPr>
          <w:rFonts w:cs="Garamond"/>
          <w:color w:val="FF0000"/>
          <w:u w:val="single"/>
        </w:rPr>
        <w:t xml:space="preserve">analysis </w:t>
      </w:r>
      <w:r w:rsidR="007A3D69" w:rsidRPr="0003153E">
        <w:rPr>
          <w:rFonts w:cs="Garamond"/>
          <w:color w:val="FF0000"/>
          <w:u w:val="single"/>
        </w:rPr>
        <w:t xml:space="preserve">is to </w:t>
      </w:r>
      <w:r w:rsidR="003F60BB" w:rsidRPr="0003153E">
        <w:rPr>
          <w:rFonts w:cs="Garamond"/>
          <w:color w:val="FF0000"/>
          <w:u w:val="single"/>
        </w:rPr>
        <w:t>ensur</w:t>
      </w:r>
      <w:r w:rsidR="007A3D69" w:rsidRPr="0003153E">
        <w:rPr>
          <w:rFonts w:cs="Garamond"/>
          <w:color w:val="FF0000"/>
          <w:u w:val="single"/>
        </w:rPr>
        <w:t>e</w:t>
      </w:r>
      <w:r w:rsidR="003F60BB" w:rsidRPr="0003153E">
        <w:rPr>
          <w:rFonts w:cs="Garamond"/>
          <w:color w:val="FF0000"/>
          <w:u w:val="single"/>
        </w:rPr>
        <w:t xml:space="preserve"> that the </w:t>
      </w:r>
      <w:r w:rsidR="00586EF4" w:rsidRPr="0003153E">
        <w:rPr>
          <w:rFonts w:cs="Garamond"/>
          <w:color w:val="FF0000"/>
          <w:u w:val="single"/>
        </w:rPr>
        <w:t>overall risk assessment</w:t>
      </w:r>
      <w:r w:rsidR="007D3959" w:rsidRPr="0003153E">
        <w:rPr>
          <w:rFonts w:cs="Garamond"/>
          <w:color w:val="FF0000"/>
          <w:u w:val="single"/>
        </w:rPr>
        <w:t xml:space="preserve"> </w:t>
      </w:r>
      <w:r w:rsidR="00BF31DF" w:rsidRPr="0003153E">
        <w:rPr>
          <w:rFonts w:cs="Garamond"/>
          <w:color w:val="FF0000"/>
          <w:u w:val="single"/>
        </w:rPr>
        <w:t xml:space="preserve">will </w:t>
      </w:r>
      <w:r w:rsidR="00165315" w:rsidRPr="0003153E">
        <w:rPr>
          <w:rFonts w:cs="Garamond"/>
          <w:color w:val="FF0000"/>
          <w:u w:val="single"/>
        </w:rPr>
        <w:t>be</w:t>
      </w:r>
      <w:r w:rsidR="00AD0CD1" w:rsidRPr="0003153E">
        <w:rPr>
          <w:rFonts w:cs="Garamond"/>
          <w:color w:val="FF0000"/>
          <w:u w:val="single"/>
        </w:rPr>
        <w:t xml:space="preserve"> risk-based capital </w:t>
      </w:r>
      <w:r w:rsidR="007D0A47" w:rsidRPr="0003153E">
        <w:rPr>
          <w:rFonts w:cs="Garamond"/>
          <w:color w:val="FF0000"/>
          <w:u w:val="single"/>
        </w:rPr>
        <w:t xml:space="preserve">neutral </w:t>
      </w:r>
      <w:r w:rsidR="007B267D" w:rsidRPr="0003153E">
        <w:rPr>
          <w:rFonts w:cs="Garamond"/>
          <w:color w:val="FF0000"/>
          <w:u w:val="single"/>
        </w:rPr>
        <w:t>when compar</w:t>
      </w:r>
      <w:r w:rsidR="00864CF6" w:rsidRPr="0003153E">
        <w:rPr>
          <w:rFonts w:cs="Garamond"/>
          <w:color w:val="FF0000"/>
          <w:u w:val="single"/>
        </w:rPr>
        <w:t>ing</w:t>
      </w:r>
      <w:r w:rsidR="000876D5" w:rsidRPr="0003153E">
        <w:rPr>
          <w:rFonts w:cs="Garamond"/>
          <w:color w:val="FF0000"/>
          <w:u w:val="single"/>
        </w:rPr>
        <w:t xml:space="preserve"> the ultimate underlying assets</w:t>
      </w:r>
      <w:r w:rsidR="007B267D" w:rsidRPr="0003153E">
        <w:rPr>
          <w:rFonts w:cs="Garamond"/>
          <w:color w:val="FF0000"/>
          <w:u w:val="single"/>
        </w:rPr>
        <w:t xml:space="preserve"> to the securities issued by</w:t>
      </w:r>
      <w:r w:rsidR="005743DF" w:rsidRPr="0003153E">
        <w:rPr>
          <w:rFonts w:cs="Garamond"/>
          <w:color w:val="FF0000"/>
          <w:u w:val="single"/>
        </w:rPr>
        <w:t xml:space="preserve"> </w:t>
      </w:r>
      <w:proofErr w:type="gramStart"/>
      <w:r w:rsidR="005743DF" w:rsidRPr="0003153E">
        <w:rPr>
          <w:rFonts w:cs="Garamond"/>
          <w:color w:val="FF0000"/>
          <w:u w:val="single"/>
        </w:rPr>
        <w:t xml:space="preserve">the </w:t>
      </w:r>
      <w:r w:rsidR="000B0FA7" w:rsidRPr="0003153E">
        <w:rPr>
          <w:rFonts w:cs="Garamond"/>
          <w:color w:val="FF0000"/>
          <w:u w:val="single"/>
        </w:rPr>
        <w:t xml:space="preserve"> Structured</w:t>
      </w:r>
      <w:proofErr w:type="gramEnd"/>
      <w:r w:rsidR="000B0FA7" w:rsidRPr="0003153E">
        <w:rPr>
          <w:rFonts w:cs="Garamond"/>
          <w:color w:val="FF0000"/>
          <w:u w:val="single"/>
        </w:rPr>
        <w:t xml:space="preserve"> Equity and Fund</w:t>
      </w:r>
      <w:r w:rsidR="0034107C" w:rsidRPr="0003153E">
        <w:rPr>
          <w:rFonts w:cs="Garamond"/>
          <w:color w:val="FF0000"/>
          <w:u w:val="single"/>
        </w:rPr>
        <w:t>.</w:t>
      </w:r>
      <w:r w:rsidR="0034107C">
        <w:rPr>
          <w:rFonts w:cs="Garamond"/>
          <w:color w:val="FF0000"/>
          <w:u w:val="single"/>
        </w:rPr>
        <w:t xml:space="preserve"> </w:t>
      </w:r>
    </w:p>
    <w:p w14:paraId="7E8279C3" w14:textId="4392C831" w:rsidR="00C73FEC" w:rsidRPr="00C73FEC" w:rsidRDefault="00C73FEC" w:rsidP="00BE48AD">
      <w:pPr>
        <w:pStyle w:val="ListParagraph"/>
        <w:numPr>
          <w:ilvl w:val="0"/>
          <w:numId w:val="25"/>
        </w:numPr>
        <w:spacing w:after="0" w:line="240" w:lineRule="auto"/>
        <w:ind w:left="450" w:firstLine="0"/>
        <w:rPr>
          <w:rFonts w:cs="Garamond"/>
          <w:color w:val="FF0000"/>
          <w:u w:val="single"/>
        </w:rPr>
      </w:pPr>
      <w:r w:rsidRPr="00C73FEC">
        <w:rPr>
          <w:rFonts w:cs="Garamond"/>
          <w:color w:val="FF0000"/>
          <w:u w:val="single"/>
        </w:rPr>
        <w:t xml:space="preserve">Look-through Assessment – A qualitative and quantitative evaluation of </w:t>
      </w:r>
      <w:r w:rsidR="009D6ED6">
        <w:rPr>
          <w:rFonts w:cs="Garamond"/>
          <w:color w:val="FF0000"/>
          <w:u w:val="single"/>
        </w:rPr>
        <w:t>all</w:t>
      </w:r>
      <w:r w:rsidRPr="00C73FEC">
        <w:rPr>
          <w:rFonts w:cs="Garamond"/>
          <w:color w:val="FF0000"/>
          <w:u w:val="single"/>
        </w:rPr>
        <w:t xml:space="preserve"> </w:t>
      </w:r>
      <w:r w:rsidR="00BF29A8">
        <w:rPr>
          <w:rFonts w:cs="Garamond"/>
          <w:color w:val="FF0000"/>
          <w:u w:val="single"/>
        </w:rPr>
        <w:t xml:space="preserve">securities and </w:t>
      </w:r>
      <w:r w:rsidR="00340E2C">
        <w:rPr>
          <w:rFonts w:cs="Garamond"/>
          <w:color w:val="FF0000"/>
          <w:u w:val="single"/>
        </w:rPr>
        <w:t>assets</w:t>
      </w:r>
      <w:r w:rsidR="00BF29A8">
        <w:rPr>
          <w:rFonts w:cs="Garamond"/>
          <w:color w:val="FF0000"/>
          <w:u w:val="single"/>
        </w:rPr>
        <w:t xml:space="preserve"> underlying a</w:t>
      </w:r>
      <w:r w:rsidRPr="00C73FEC">
        <w:rPr>
          <w:rFonts w:cs="Garamond"/>
          <w:color w:val="FF0000"/>
          <w:u w:val="single"/>
        </w:rPr>
        <w:t xml:space="preserve"> </w:t>
      </w:r>
      <w:r w:rsidR="0002256D" w:rsidRPr="003615CE">
        <w:rPr>
          <w:rFonts w:cs="Garamond"/>
          <w:color w:val="FF0000"/>
          <w:u w:val="single"/>
        </w:rPr>
        <w:t xml:space="preserve">Structured Equity </w:t>
      </w:r>
      <w:r w:rsidR="00D44E49">
        <w:rPr>
          <w:rFonts w:cs="Garamond"/>
          <w:color w:val="FF0000"/>
          <w:u w:val="single"/>
        </w:rPr>
        <w:t>and</w:t>
      </w:r>
      <w:r w:rsidR="0002256D" w:rsidRPr="003615CE">
        <w:rPr>
          <w:rFonts w:cs="Garamond"/>
          <w:color w:val="FF0000"/>
          <w:u w:val="single"/>
        </w:rPr>
        <w:t xml:space="preserve"> Fund</w:t>
      </w:r>
      <w:r w:rsidR="0002256D" w:rsidRPr="00C73FEC">
        <w:rPr>
          <w:rFonts w:cs="Garamond"/>
          <w:color w:val="FF0000"/>
          <w:u w:val="single"/>
        </w:rPr>
        <w:t xml:space="preserve"> </w:t>
      </w:r>
      <w:r w:rsidR="00DD084E">
        <w:rPr>
          <w:rFonts w:cs="Garamond"/>
          <w:color w:val="FF0000"/>
          <w:u w:val="single"/>
        </w:rPr>
        <w:t>investment</w:t>
      </w:r>
      <w:r w:rsidRPr="00C73FEC">
        <w:rPr>
          <w:rFonts w:cs="Garamond"/>
          <w:color w:val="FF0000"/>
          <w:u w:val="single"/>
        </w:rPr>
        <w:t>, encompassing the following criteria:</w:t>
      </w:r>
    </w:p>
    <w:p w14:paraId="6E861E88" w14:textId="5454D2FD" w:rsidR="00C73FEC" w:rsidRPr="00386340" w:rsidRDefault="00C73FEC" w:rsidP="00BE48AD">
      <w:pPr>
        <w:pStyle w:val="Sublisting"/>
        <w:numPr>
          <w:ilvl w:val="0"/>
          <w:numId w:val="24"/>
        </w:numPr>
        <w:rPr>
          <w:color w:val="FF0000"/>
          <w:u w:val="single"/>
        </w:rPr>
      </w:pPr>
      <w:r w:rsidRPr="00386340">
        <w:rPr>
          <w:color w:val="FF0000"/>
          <w:u w:val="single"/>
        </w:rPr>
        <w:t xml:space="preserve">Verify the </w:t>
      </w:r>
      <w:r w:rsidR="0059693E">
        <w:rPr>
          <w:color w:val="FF0000"/>
          <w:u w:val="single"/>
        </w:rPr>
        <w:t>type of assets</w:t>
      </w:r>
      <w:r w:rsidR="00F62635">
        <w:rPr>
          <w:color w:val="FF0000"/>
          <w:u w:val="single"/>
        </w:rPr>
        <w:t xml:space="preserve"> and assess </w:t>
      </w:r>
      <w:r w:rsidR="00587EA8">
        <w:rPr>
          <w:color w:val="FF0000"/>
          <w:u w:val="single"/>
        </w:rPr>
        <w:t>their credit risk</w:t>
      </w:r>
      <w:r w:rsidR="00EF6D8C">
        <w:rPr>
          <w:color w:val="FF0000"/>
          <w:u w:val="single"/>
        </w:rPr>
        <w:t xml:space="preserve">, including </w:t>
      </w:r>
      <w:r w:rsidR="002C4943">
        <w:rPr>
          <w:color w:val="FF0000"/>
          <w:u w:val="single"/>
        </w:rPr>
        <w:t>performing an independent a</w:t>
      </w:r>
      <w:r w:rsidR="00A74C70">
        <w:rPr>
          <w:color w:val="FF0000"/>
          <w:u w:val="single"/>
        </w:rPr>
        <w:t>ssessment of credit ris</w:t>
      </w:r>
      <w:r w:rsidR="00A74C70" w:rsidRPr="0003153E">
        <w:rPr>
          <w:color w:val="FF0000"/>
          <w:u w:val="single"/>
        </w:rPr>
        <w:t>k</w:t>
      </w:r>
      <w:r w:rsidR="00650247" w:rsidRPr="0003153E">
        <w:rPr>
          <w:color w:val="FF0000"/>
          <w:u w:val="single"/>
        </w:rPr>
        <w:t>, as necessary</w:t>
      </w:r>
      <w:r w:rsidRPr="0003153E">
        <w:rPr>
          <w:color w:val="FF0000"/>
          <w:u w:val="single"/>
        </w:rPr>
        <w:t>.</w:t>
      </w:r>
    </w:p>
    <w:p w14:paraId="2A4E2871" w14:textId="29A47537" w:rsidR="00C73FEC" w:rsidRPr="004E774C" w:rsidRDefault="00673916" w:rsidP="00BE48AD">
      <w:pPr>
        <w:pStyle w:val="Sublisting"/>
        <w:numPr>
          <w:ilvl w:val="0"/>
          <w:numId w:val="24"/>
        </w:numPr>
        <w:rPr>
          <w:color w:val="FF0000"/>
          <w:u w:val="single"/>
        </w:rPr>
      </w:pPr>
      <w:r w:rsidRPr="004E774C">
        <w:rPr>
          <w:color w:val="FF0000"/>
          <w:u w:val="single"/>
        </w:rPr>
        <w:t>Assess which</w:t>
      </w:r>
      <w:r w:rsidR="00C73FEC" w:rsidRPr="004E774C">
        <w:rPr>
          <w:color w:val="FF0000"/>
          <w:u w:val="single"/>
        </w:rPr>
        <w:t xml:space="preserve"> </w:t>
      </w:r>
      <w:r w:rsidR="00D80956" w:rsidRPr="004E774C">
        <w:rPr>
          <w:color w:val="FF0000"/>
          <w:u w:val="single"/>
        </w:rPr>
        <w:t xml:space="preserve">assets </w:t>
      </w:r>
      <w:r w:rsidR="00C73FEC" w:rsidRPr="004E774C">
        <w:rPr>
          <w:color w:val="FF0000"/>
          <w:u w:val="single"/>
        </w:rPr>
        <w:t xml:space="preserve">are consistent </w:t>
      </w:r>
      <w:r w:rsidR="00EC6977" w:rsidRPr="004E774C">
        <w:rPr>
          <w:color w:val="FF0000"/>
          <w:u w:val="single"/>
        </w:rPr>
        <w:t>with</w:t>
      </w:r>
      <w:r w:rsidR="006D378C" w:rsidRPr="004E774C">
        <w:rPr>
          <w:color w:val="FF0000"/>
          <w:u w:val="single"/>
        </w:rPr>
        <w:t xml:space="preserve"> a</w:t>
      </w:r>
      <w:r w:rsidR="00C73FEC" w:rsidRPr="004E774C">
        <w:rPr>
          <w:color w:val="FF0000"/>
          <w:u w:val="single"/>
        </w:rPr>
        <w:t xml:space="preserve"> fixed income </w:t>
      </w:r>
      <w:r w:rsidR="00634F27" w:rsidRPr="004E774C">
        <w:rPr>
          <w:color w:val="FF0000"/>
          <w:u w:val="single"/>
        </w:rPr>
        <w:t>like</w:t>
      </w:r>
      <w:r w:rsidR="00C73FEC" w:rsidRPr="004E774C">
        <w:rPr>
          <w:color w:val="FF0000"/>
          <w:u w:val="single"/>
        </w:rPr>
        <w:t xml:space="preserve"> investment</w:t>
      </w:r>
      <w:r w:rsidR="00634F27" w:rsidRPr="004E774C">
        <w:rPr>
          <w:color w:val="FF0000"/>
          <w:u w:val="single"/>
        </w:rPr>
        <w:t xml:space="preserve"> and which assets are equity in nature</w:t>
      </w:r>
      <w:r w:rsidR="00C73FEC" w:rsidRPr="004E774C">
        <w:rPr>
          <w:color w:val="FF0000"/>
          <w:u w:val="single"/>
        </w:rPr>
        <w:t>.</w:t>
      </w:r>
    </w:p>
    <w:p w14:paraId="213A80DE" w14:textId="46E17DF5" w:rsidR="00BC223F" w:rsidRPr="004E774C" w:rsidRDefault="00BC223F" w:rsidP="00BE48AD">
      <w:pPr>
        <w:pStyle w:val="Sublisting"/>
        <w:numPr>
          <w:ilvl w:val="0"/>
          <w:numId w:val="24"/>
        </w:numPr>
        <w:rPr>
          <w:color w:val="FF0000"/>
          <w:u w:val="single"/>
        </w:rPr>
      </w:pPr>
      <w:r w:rsidRPr="004E774C">
        <w:rPr>
          <w:color w:val="FF0000"/>
          <w:u w:val="single"/>
        </w:rPr>
        <w:t xml:space="preserve">Review each underlying fund for consistency with the </w:t>
      </w:r>
      <w:r w:rsidR="00A21B8C" w:rsidRPr="004E774C">
        <w:rPr>
          <w:color w:val="FF0000"/>
          <w:u w:val="single"/>
        </w:rPr>
        <w:t xml:space="preserve">NAIC Funds List guidelines </w:t>
      </w:r>
      <w:r w:rsidR="00EF78F6" w:rsidRPr="004E774C">
        <w:rPr>
          <w:color w:val="FF0000"/>
          <w:u w:val="single"/>
        </w:rPr>
        <w:t>provided in this manual</w:t>
      </w:r>
      <w:r w:rsidR="007D4013" w:rsidRPr="004E774C">
        <w:rPr>
          <w:color w:val="FF0000"/>
          <w:u w:val="single"/>
        </w:rPr>
        <w:t>.  Those</w:t>
      </w:r>
      <w:r w:rsidR="00B435A7" w:rsidRPr="004E774C">
        <w:rPr>
          <w:color w:val="FF0000"/>
          <w:u w:val="single"/>
        </w:rPr>
        <w:t xml:space="preserve"> which do not meet the guidelines for inclusion on a NAIC Funds List </w:t>
      </w:r>
      <w:r w:rsidR="00F06220" w:rsidRPr="004E774C">
        <w:rPr>
          <w:color w:val="FF0000"/>
          <w:u w:val="single"/>
        </w:rPr>
        <w:t>shall</w:t>
      </w:r>
      <w:r w:rsidR="00B435A7" w:rsidRPr="004E774C">
        <w:rPr>
          <w:color w:val="FF0000"/>
          <w:u w:val="single"/>
        </w:rPr>
        <w:t xml:space="preserve"> be deemed to </w:t>
      </w:r>
      <w:r w:rsidR="00130DB1" w:rsidRPr="004E774C">
        <w:rPr>
          <w:color w:val="FF0000"/>
          <w:u w:val="single"/>
        </w:rPr>
        <w:t>have a NAIC 6 Designation for purposes of the credit risk assessment.</w:t>
      </w:r>
    </w:p>
    <w:p w14:paraId="1F23BFB7" w14:textId="51C60DE2" w:rsidR="00C73FEC" w:rsidRPr="00386340" w:rsidRDefault="00C73FEC" w:rsidP="00BE48AD">
      <w:pPr>
        <w:pStyle w:val="Sublisting"/>
        <w:numPr>
          <w:ilvl w:val="0"/>
          <w:numId w:val="24"/>
        </w:numPr>
        <w:rPr>
          <w:color w:val="FF0000"/>
          <w:u w:val="single"/>
        </w:rPr>
      </w:pPr>
      <w:r w:rsidRPr="00386340">
        <w:rPr>
          <w:color w:val="FF0000"/>
          <w:u w:val="single"/>
        </w:rPr>
        <w:t xml:space="preserve">Evaluate the extent to which the composition of </w:t>
      </w:r>
      <w:r w:rsidR="003472C2">
        <w:rPr>
          <w:color w:val="FF0000"/>
          <w:u w:val="single"/>
        </w:rPr>
        <w:t>a</w:t>
      </w:r>
      <w:r w:rsidR="003472C2" w:rsidRPr="00386340">
        <w:rPr>
          <w:color w:val="FF0000"/>
          <w:u w:val="single"/>
        </w:rPr>
        <w:t xml:space="preserve"> </w:t>
      </w:r>
      <w:r w:rsidR="003472C2" w:rsidRPr="003472C2">
        <w:rPr>
          <w:color w:val="FF0000"/>
          <w:u w:val="single"/>
        </w:rPr>
        <w:t>Structured Equity and Fund</w:t>
      </w:r>
      <w:r w:rsidR="00C33B6C">
        <w:rPr>
          <w:color w:val="FF0000"/>
          <w:u w:val="single"/>
        </w:rPr>
        <w:t>’s</w:t>
      </w:r>
      <w:r w:rsidR="003472C2" w:rsidRPr="003472C2">
        <w:rPr>
          <w:color w:val="FF0000"/>
          <w:u w:val="single"/>
        </w:rPr>
        <w:t xml:space="preserve"> </w:t>
      </w:r>
      <w:r w:rsidR="00F372D9">
        <w:rPr>
          <w:color w:val="FF0000"/>
          <w:u w:val="single"/>
        </w:rPr>
        <w:t>underlying investment(s)</w:t>
      </w:r>
      <w:r w:rsidRPr="00386340">
        <w:rPr>
          <w:color w:val="FF0000"/>
          <w:u w:val="single"/>
        </w:rPr>
        <w:t xml:space="preserve"> </w:t>
      </w:r>
      <w:r w:rsidR="00C33B6C">
        <w:rPr>
          <w:color w:val="FF0000"/>
          <w:u w:val="single"/>
        </w:rPr>
        <w:t xml:space="preserve">in </w:t>
      </w:r>
      <w:r w:rsidR="00901337">
        <w:rPr>
          <w:color w:val="FF0000"/>
          <w:u w:val="single"/>
        </w:rPr>
        <w:t>a</w:t>
      </w:r>
      <w:r w:rsidR="00C33B6C">
        <w:rPr>
          <w:color w:val="FF0000"/>
          <w:u w:val="single"/>
        </w:rPr>
        <w:t xml:space="preserve"> fund</w:t>
      </w:r>
      <w:r w:rsidR="006819C0">
        <w:rPr>
          <w:color w:val="FF0000"/>
          <w:u w:val="single"/>
        </w:rPr>
        <w:t xml:space="preserve">(s) </w:t>
      </w:r>
      <w:r w:rsidRPr="00386340">
        <w:rPr>
          <w:color w:val="FF0000"/>
          <w:u w:val="single"/>
        </w:rPr>
        <w:t xml:space="preserve">can vary under normal market conditions given the </w:t>
      </w:r>
      <w:r w:rsidR="006819C0">
        <w:rPr>
          <w:color w:val="FF0000"/>
          <w:u w:val="single"/>
        </w:rPr>
        <w:t xml:space="preserve">underlying </w:t>
      </w:r>
      <w:r w:rsidRPr="00386340">
        <w:rPr>
          <w:color w:val="FF0000"/>
          <w:u w:val="single"/>
        </w:rPr>
        <w:t xml:space="preserve">fund’s policies and investment strategies and the extent to which the composition of the </w:t>
      </w:r>
      <w:r w:rsidR="006819C0">
        <w:rPr>
          <w:color w:val="FF0000"/>
          <w:u w:val="single"/>
        </w:rPr>
        <w:t>underlying</w:t>
      </w:r>
      <w:r w:rsidR="00E605C8">
        <w:rPr>
          <w:color w:val="FF0000"/>
          <w:u w:val="single"/>
        </w:rPr>
        <w:t xml:space="preserve"> </w:t>
      </w:r>
      <w:r w:rsidRPr="00386340">
        <w:rPr>
          <w:color w:val="FF0000"/>
          <w:u w:val="single"/>
        </w:rPr>
        <w:t xml:space="preserve">fund’s portfolio may vary under abnormal market conditions and the extent to which changes in composition of the </w:t>
      </w:r>
      <w:r w:rsidR="00E605C8">
        <w:rPr>
          <w:color w:val="FF0000"/>
          <w:u w:val="single"/>
        </w:rPr>
        <w:t xml:space="preserve">underlying </w:t>
      </w:r>
      <w:r w:rsidRPr="00386340">
        <w:rPr>
          <w:color w:val="FF0000"/>
          <w:u w:val="single"/>
        </w:rPr>
        <w:t xml:space="preserve">fund’s portfolio in abnormal market conditions may persist given the </w:t>
      </w:r>
      <w:r w:rsidR="00E605C8">
        <w:rPr>
          <w:color w:val="FF0000"/>
          <w:u w:val="single"/>
        </w:rPr>
        <w:t xml:space="preserve">underlying </w:t>
      </w:r>
      <w:r w:rsidRPr="00386340">
        <w:rPr>
          <w:color w:val="FF0000"/>
          <w:u w:val="single"/>
        </w:rPr>
        <w:t>fund’s leverage profile or other relevant factors.</w:t>
      </w:r>
    </w:p>
    <w:p w14:paraId="45617821" w14:textId="79E76D0E" w:rsidR="00C2013E" w:rsidRPr="00BE48AD" w:rsidRDefault="00C2013E" w:rsidP="00BE48AD">
      <w:pPr>
        <w:pStyle w:val="Heading4"/>
        <w:spacing w:before="240" w:line="276" w:lineRule="auto"/>
        <w:jc w:val="both"/>
        <w:rPr>
          <w:b/>
          <w:bCs/>
          <w:color w:val="FF0000"/>
        </w:rPr>
      </w:pPr>
      <w:r w:rsidRPr="00BE48AD">
        <w:rPr>
          <w:rFonts w:ascii="Garamond" w:hAnsi="Garamond"/>
          <w:b/>
          <w:bCs/>
          <w:i w:val="0"/>
          <w:color w:val="FF0000"/>
          <w:sz w:val="24"/>
          <w:szCs w:val="24"/>
        </w:rPr>
        <w:t>Methodology</w:t>
      </w:r>
    </w:p>
    <w:p w14:paraId="474A6FAA" w14:textId="77777777" w:rsidR="00C2013E" w:rsidRPr="00C2013E" w:rsidRDefault="00C2013E" w:rsidP="00C2013E">
      <w:pPr>
        <w:pStyle w:val="ListParagraph"/>
        <w:numPr>
          <w:ilvl w:val="0"/>
          <w:numId w:val="25"/>
        </w:numPr>
        <w:spacing w:after="0" w:line="240" w:lineRule="auto"/>
        <w:rPr>
          <w:rFonts w:cs="Garamond"/>
          <w:color w:val="FF0000"/>
          <w:u w:val="single"/>
        </w:rPr>
      </w:pPr>
      <w:r w:rsidRPr="00C2013E">
        <w:rPr>
          <w:rFonts w:cs="Garamond"/>
          <w:color w:val="FF0000"/>
          <w:u w:val="single"/>
        </w:rPr>
        <w:t>The SVO shall:</w:t>
      </w:r>
    </w:p>
    <w:p w14:paraId="0DAAB942" w14:textId="338EC014" w:rsidR="00C2013E" w:rsidRPr="00367473" w:rsidRDefault="00C2013E" w:rsidP="00BE48AD">
      <w:pPr>
        <w:pStyle w:val="Sublisting"/>
        <w:numPr>
          <w:ilvl w:val="0"/>
          <w:numId w:val="24"/>
        </w:numPr>
        <w:rPr>
          <w:color w:val="FF0000"/>
          <w:u w:val="single"/>
        </w:rPr>
      </w:pPr>
      <w:r w:rsidRPr="00F80196">
        <w:rPr>
          <w:color w:val="FF0000"/>
          <w:u w:val="single"/>
        </w:rPr>
        <w:t>Conduct a look-through assessmen</w:t>
      </w:r>
      <w:r w:rsidRPr="00367473">
        <w:rPr>
          <w:color w:val="FF0000"/>
          <w:u w:val="single"/>
        </w:rPr>
        <w:t>t</w:t>
      </w:r>
      <w:r w:rsidR="00936CE5" w:rsidRPr="00367473">
        <w:rPr>
          <w:color w:val="FF0000"/>
          <w:u w:val="single"/>
        </w:rPr>
        <w:t xml:space="preserve"> (as explained above in this section)</w:t>
      </w:r>
      <w:r w:rsidR="00367473" w:rsidRPr="00367473">
        <w:rPr>
          <w:color w:val="FF0000"/>
          <w:u w:val="single"/>
        </w:rPr>
        <w:t>.</w:t>
      </w:r>
    </w:p>
    <w:p w14:paraId="6991CD0D" w14:textId="50390315" w:rsidR="00C2013E" w:rsidRPr="00F80196" w:rsidRDefault="00C2013E" w:rsidP="00BE48AD">
      <w:pPr>
        <w:pStyle w:val="Sublisting"/>
        <w:numPr>
          <w:ilvl w:val="0"/>
          <w:numId w:val="24"/>
        </w:numPr>
        <w:rPr>
          <w:color w:val="FF0000"/>
          <w:u w:val="single"/>
        </w:rPr>
      </w:pPr>
      <w:r w:rsidRPr="00F80196">
        <w:rPr>
          <w:color w:val="FF0000"/>
          <w:u w:val="single"/>
        </w:rPr>
        <w:t xml:space="preserve">Conduct a credit-risk assessment </w:t>
      </w:r>
      <w:r w:rsidR="00936CE5" w:rsidRPr="00AE1E77">
        <w:rPr>
          <w:color w:val="FF0000"/>
          <w:u w:val="single"/>
        </w:rPr>
        <w:t>(as explained above in this section)</w:t>
      </w:r>
      <w:r w:rsidR="00936CE5">
        <w:rPr>
          <w:color w:val="FF0000"/>
          <w:u w:val="single"/>
        </w:rPr>
        <w:t xml:space="preserve"> </w:t>
      </w:r>
      <w:r w:rsidRPr="00F80196">
        <w:rPr>
          <w:color w:val="FF0000"/>
          <w:u w:val="single"/>
        </w:rPr>
        <w:t xml:space="preserve">to determine the credit risk of the </w:t>
      </w:r>
      <w:r w:rsidR="000F7071" w:rsidRPr="000F7071">
        <w:rPr>
          <w:color w:val="FF0000"/>
          <w:u w:val="single"/>
        </w:rPr>
        <w:t xml:space="preserve">Structured Equity </w:t>
      </w:r>
      <w:r w:rsidR="00D44E49">
        <w:rPr>
          <w:color w:val="FF0000"/>
          <w:u w:val="single"/>
        </w:rPr>
        <w:t>and</w:t>
      </w:r>
      <w:r w:rsidR="000F7071" w:rsidRPr="000F7071">
        <w:rPr>
          <w:color w:val="FF0000"/>
          <w:u w:val="single"/>
        </w:rPr>
        <w:t xml:space="preserve"> Fund</w:t>
      </w:r>
      <w:r w:rsidR="00953F5A">
        <w:rPr>
          <w:color w:val="FF0000"/>
          <w:u w:val="single"/>
        </w:rPr>
        <w:t>’s</w:t>
      </w:r>
      <w:r w:rsidR="000F7071" w:rsidRPr="000F7071">
        <w:rPr>
          <w:color w:val="FF0000"/>
          <w:u w:val="single"/>
        </w:rPr>
        <w:t xml:space="preserve"> </w:t>
      </w:r>
      <w:r w:rsidR="001938C0">
        <w:rPr>
          <w:color w:val="FF0000"/>
          <w:u w:val="single"/>
        </w:rPr>
        <w:t xml:space="preserve">underlying </w:t>
      </w:r>
      <w:r w:rsidR="0075010F">
        <w:rPr>
          <w:color w:val="FF0000"/>
          <w:u w:val="single"/>
        </w:rPr>
        <w:t>assets</w:t>
      </w:r>
      <w:r w:rsidR="001938C0">
        <w:rPr>
          <w:color w:val="FF0000"/>
          <w:u w:val="single"/>
        </w:rPr>
        <w:t xml:space="preserve"> and </w:t>
      </w:r>
      <w:r w:rsidRPr="00F80196">
        <w:rPr>
          <w:color w:val="FF0000"/>
          <w:u w:val="single"/>
        </w:rPr>
        <w:t>cash flows</w:t>
      </w:r>
      <w:r w:rsidR="0075010F">
        <w:rPr>
          <w:color w:val="FF0000"/>
          <w:u w:val="single"/>
        </w:rPr>
        <w:t xml:space="preserve"> sufficient to make </w:t>
      </w:r>
      <w:r w:rsidR="009105A5">
        <w:rPr>
          <w:color w:val="FF0000"/>
          <w:u w:val="single"/>
        </w:rPr>
        <w:t>cash payments to the investors in the securities issued</w:t>
      </w:r>
      <w:r w:rsidRPr="00F80196">
        <w:rPr>
          <w:color w:val="FF0000"/>
          <w:u w:val="single"/>
        </w:rPr>
        <w:t>.</w:t>
      </w:r>
    </w:p>
    <w:p w14:paraId="2AD95168" w14:textId="17486DA0" w:rsidR="00585FF4" w:rsidRPr="005659A4" w:rsidRDefault="00585FF4" w:rsidP="008E23FA">
      <w:pPr>
        <w:pStyle w:val="ListParagraph"/>
        <w:ind w:left="720" w:firstLine="0"/>
        <w:rPr>
          <w:rFonts w:cstheme="minorHAnsi"/>
          <w:sz w:val="18"/>
          <w:szCs w:val="18"/>
        </w:rPr>
      </w:pPr>
    </w:p>
    <w:p w14:paraId="2DEE1923" w14:textId="77777777" w:rsidR="00585FF4" w:rsidRDefault="00585FF4" w:rsidP="00585FF4">
      <w:pPr>
        <w:rPr>
          <w:rFonts w:cstheme="minorHAnsi"/>
          <w:sz w:val="18"/>
          <w:szCs w:val="18"/>
        </w:rPr>
      </w:pPr>
    </w:p>
    <w:p w14:paraId="1F7D7454" w14:textId="77777777" w:rsidR="00585FF4" w:rsidRDefault="00585FF4" w:rsidP="00585FF4">
      <w:pPr>
        <w:rPr>
          <w:rFonts w:cstheme="minorHAnsi"/>
          <w:sz w:val="18"/>
          <w:szCs w:val="18"/>
        </w:rPr>
      </w:pPr>
    </w:p>
    <w:p w14:paraId="0F2D36CE" w14:textId="00C6F481" w:rsidR="00585FF4" w:rsidRPr="000F55AD" w:rsidRDefault="00D703E3" w:rsidP="00D703E3">
      <w:pPr>
        <w:rPr>
          <w:rFonts w:cstheme="minorHAnsi"/>
          <w:sz w:val="18"/>
          <w:szCs w:val="18"/>
        </w:rPr>
      </w:pPr>
      <w:r>
        <w:rPr>
          <w:rFonts w:cstheme="minorHAnsi"/>
          <w:sz w:val="18"/>
          <w:szCs w:val="18"/>
        </w:rPr>
        <w:fldChar w:fldCharType="begin"/>
      </w:r>
      <w:r>
        <w:rPr>
          <w:rFonts w:cstheme="minorHAnsi"/>
          <w:sz w:val="18"/>
          <w:szCs w:val="18"/>
        </w:rPr>
        <w:instrText xml:space="preserve"> FILENAME  \p  \* MERGEFORMAT </w:instrText>
      </w:r>
      <w:r>
        <w:rPr>
          <w:rFonts w:cstheme="minorHAnsi"/>
          <w:sz w:val="18"/>
          <w:szCs w:val="18"/>
        </w:rPr>
        <w:fldChar w:fldCharType="separate"/>
      </w:r>
      <w:r w:rsidR="001C318E">
        <w:rPr>
          <w:rFonts w:cstheme="minorHAnsi"/>
          <w:noProof/>
          <w:sz w:val="18"/>
          <w:szCs w:val="18"/>
        </w:rPr>
        <w:t>https://naiconline.sharepoint.com/teams/SVOVOSTaskForce/Shared Documents/Meetings/2022/00 Work in Progress/Structured Equity and Funds/2022-xxx.xx Task Force 2022 Amend PP Structured Equity and FundsV10.docx</w:t>
      </w:r>
      <w:r>
        <w:rPr>
          <w:rFonts w:cstheme="minorHAnsi"/>
          <w:sz w:val="18"/>
          <w:szCs w:val="18"/>
        </w:rPr>
        <w:fldChar w:fldCharType="end"/>
      </w:r>
    </w:p>
    <w:sectPr w:rsidR="00585FF4" w:rsidRPr="000F55AD" w:rsidSect="003B3B93">
      <w:headerReference w:type="even" r:id="rId20"/>
      <w:headerReference w:type="default" r:id="rId21"/>
      <w:footerReference w:type="default" r:id="rId22"/>
      <w:headerReference w:type="first" r:id="rId23"/>
      <w:footerReference w:type="first" r:id="rId24"/>
      <w:pgSz w:w="12240" w:h="15840"/>
      <w:pgMar w:top="1440" w:right="1440" w:bottom="172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8F707" w14:textId="77777777" w:rsidR="00A0141F" w:rsidRDefault="00A0141F" w:rsidP="001344A7">
      <w:pPr>
        <w:spacing w:after="0" w:line="240" w:lineRule="auto"/>
      </w:pPr>
      <w:r>
        <w:separator/>
      </w:r>
    </w:p>
  </w:endnote>
  <w:endnote w:type="continuationSeparator" w:id="0">
    <w:p w14:paraId="1511598C" w14:textId="77777777" w:rsidR="00A0141F" w:rsidRDefault="00A0141F" w:rsidP="001344A7">
      <w:pPr>
        <w:spacing w:after="0" w:line="240" w:lineRule="auto"/>
      </w:pPr>
      <w:r>
        <w:continuationSeparator/>
      </w:r>
    </w:p>
  </w:endnote>
  <w:endnote w:type="continuationNotice" w:id="1">
    <w:p w14:paraId="3940EC1A" w14:textId="77777777" w:rsidR="00A0141F" w:rsidRDefault="00A014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ramond-Bol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7C8F" w14:textId="77777777" w:rsidR="001261CF" w:rsidRPr="00AD19F0" w:rsidRDefault="001261CF" w:rsidP="00C003CA">
    <w:pPr>
      <w:tabs>
        <w:tab w:val="center" w:pos="5040"/>
      </w:tabs>
      <w:rPr>
        <w:sz w:val="20"/>
      </w:rPr>
    </w:pPr>
    <w:r w:rsidRPr="00AD19F0">
      <w:rPr>
        <w:sz w:val="20"/>
      </w:rPr>
      <w:t>© 20</w:t>
    </w:r>
    <w:r>
      <w:rPr>
        <w:sz w:val="20"/>
      </w:rPr>
      <w:t>21</w:t>
    </w:r>
    <w:r w:rsidRPr="00AD19F0">
      <w:rPr>
        <w:sz w:val="20"/>
      </w:rPr>
      <w:t xml:space="preserve"> National Association of Insurance Commissioners</w:t>
    </w:r>
    <w:r w:rsidRPr="00AD19F0">
      <w:rPr>
        <w:sz w:val="20"/>
      </w:rPr>
      <w:tab/>
    </w:r>
    <w:r w:rsidRPr="00D14015">
      <w:rPr>
        <w:sz w:val="20"/>
      </w:rPr>
      <w:fldChar w:fldCharType="begin"/>
    </w:r>
    <w:r w:rsidRPr="00D14015">
      <w:rPr>
        <w:sz w:val="20"/>
      </w:rPr>
      <w:instrText xml:space="preserve"> PAGE   \* MERGEFORMAT </w:instrText>
    </w:r>
    <w:r w:rsidRPr="00D14015">
      <w:rPr>
        <w:sz w:val="20"/>
      </w:rPr>
      <w:fldChar w:fldCharType="separate"/>
    </w:r>
    <w:r>
      <w:rPr>
        <w:noProof/>
        <w:sz w:val="20"/>
      </w:rPr>
      <w:t>56</w:t>
    </w:r>
    <w:r w:rsidRPr="00D14015">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D60C" w14:textId="64A6397F" w:rsidR="00887E57" w:rsidRDefault="00887E57" w:rsidP="00887E57">
    <w:pPr>
      <w:pStyle w:val="Footer"/>
      <w:jc w:val="right"/>
    </w:pPr>
    <w:r w:rsidRPr="003D761D">
      <w:rPr>
        <w:sz w:val="20"/>
      </w:rPr>
      <w:t>© 20</w:t>
    </w:r>
    <w:r>
      <w:rPr>
        <w:sz w:val="20"/>
      </w:rPr>
      <w:t>22</w:t>
    </w:r>
    <w:r w:rsidRPr="003D761D">
      <w:rPr>
        <w:sz w:val="20"/>
      </w:rPr>
      <w:t xml:space="preserve"> National Association of Insurance Commissioners </w:t>
    </w:r>
    <w:r>
      <w:rPr>
        <w:sz w:val="20"/>
      </w:rPr>
      <w:tab/>
      <w:t>Page:</w:t>
    </w:r>
    <w:r w:rsidRPr="00EC4119">
      <w:rPr>
        <w:sz w:val="20"/>
      </w:rPr>
      <w:fldChar w:fldCharType="begin"/>
    </w:r>
    <w:r w:rsidRPr="003D761D">
      <w:rPr>
        <w:sz w:val="20"/>
      </w:rPr>
      <w:instrText xml:space="preserve"> PAGE   \* MERGEFORMAT </w:instrText>
    </w:r>
    <w:r w:rsidRPr="00EC4119">
      <w:rPr>
        <w:sz w:val="20"/>
      </w:rPr>
      <w:fldChar w:fldCharType="separate"/>
    </w:r>
    <w:r>
      <w:t>2</w:t>
    </w:r>
    <w:r w:rsidRPr="00EC4119">
      <w:rPr>
        <w:noProof/>
        <w:sz w:val="20"/>
      </w:rPr>
      <w:fldChar w:fldCharType="end"/>
    </w:r>
  </w:p>
  <w:p w14:paraId="3F3C5C0E" w14:textId="13F539B8" w:rsidR="001969A1" w:rsidRDefault="001969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0762" w14:textId="171B0953" w:rsidR="006E5251" w:rsidRDefault="006E5251">
    <w:pPr>
      <w:pStyle w:val="Footer"/>
    </w:pPr>
    <w:r>
      <w:rPr>
        <w:noProof/>
      </w:rPr>
      <w:drawing>
        <wp:anchor distT="0" distB="0" distL="114300" distR="114300" simplePos="0" relativeHeight="251662338" behindDoc="1" locked="0" layoutInCell="1" allowOverlap="1" wp14:anchorId="03416257" wp14:editId="46491D3F">
          <wp:simplePos x="0" y="0"/>
          <wp:positionH relativeFrom="page">
            <wp:posOffset>6350</wp:posOffset>
          </wp:positionH>
          <wp:positionV relativeFrom="page">
            <wp:posOffset>9176385</wp:posOffset>
          </wp:positionV>
          <wp:extent cx="7772400" cy="82550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10;&#10;Description automatically generated"/>
                  <pic:cNvPicPr/>
                </pic:nvPicPr>
                <pic:blipFill rotWithShape="1">
                  <a:blip r:embed="rId1">
                    <a:extLst>
                      <a:ext uri="{28A0092B-C50C-407E-A947-70E740481C1C}">
                        <a14:useLocalDpi xmlns:a14="http://schemas.microsoft.com/office/drawing/2010/main" val="0"/>
                      </a:ext>
                    </a:extLst>
                  </a:blip>
                  <a:srcRect l="408" t="4167" r="-408" b="35648"/>
                  <a:stretch/>
                </pic:blipFill>
                <pic:spPr bwMode="auto">
                  <a:xfrm>
                    <a:off x="0" y="0"/>
                    <a:ext cx="7772400" cy="825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6ABA" w14:textId="42F94D20" w:rsidR="001344A7" w:rsidRDefault="001344A7">
    <w:pPr>
      <w:pStyle w:val="Footer"/>
    </w:pPr>
    <w:r>
      <w:t xml:space="preserve">Page </w:t>
    </w:r>
    <w:r>
      <w:fldChar w:fldCharType="begin"/>
    </w:r>
    <w:r>
      <w:instrText xml:space="preserve"> PAGE  \* Arabic  \* MERGEFORMAT </w:instrText>
    </w:r>
    <w:r>
      <w:fldChar w:fldCharType="separate"/>
    </w:r>
    <w:r>
      <w:rPr>
        <w:noProof/>
      </w:rPr>
      <w:t>2</w:t>
    </w:r>
    <w:r>
      <w:fldChar w:fldCharType="end"/>
    </w:r>
    <w:r>
      <w:t xml:space="preserve"> of </w:t>
    </w:r>
    <w:fldSimple w:instr="NUMPAGES   \* MERGEFORMAT">
      <w:r>
        <w:rPr>
          <w:noProof/>
        </w:rPr>
        <w:t>8</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CDB7" w14:textId="3F2CB49B" w:rsidR="001344A7" w:rsidRDefault="001344A7">
    <w:pPr>
      <w:pStyle w:val="Footer"/>
    </w:pPr>
    <w:r>
      <w:rPr>
        <w:noProof/>
      </w:rPr>
      <w:drawing>
        <wp:anchor distT="0" distB="0" distL="114300" distR="114300" simplePos="0" relativeHeight="251658240" behindDoc="1" locked="0" layoutInCell="1" allowOverlap="1" wp14:anchorId="311970F5" wp14:editId="656277CD">
          <wp:simplePos x="0" y="0"/>
          <wp:positionH relativeFrom="page">
            <wp:posOffset>-12700</wp:posOffset>
          </wp:positionH>
          <wp:positionV relativeFrom="page">
            <wp:posOffset>8928100</wp:posOffset>
          </wp:positionV>
          <wp:extent cx="7772400" cy="8255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
                    <a:extLst>
                      <a:ext uri="{28A0092B-C50C-407E-A947-70E740481C1C}">
                        <a14:useLocalDpi xmlns:a14="http://schemas.microsoft.com/office/drawing/2010/main" val="0"/>
                      </a:ext>
                    </a:extLst>
                  </a:blip>
                  <a:srcRect l="408" t="4167" r="-408" b="35648"/>
                  <a:stretch/>
                </pic:blipFill>
                <pic:spPr bwMode="auto">
                  <a:xfrm>
                    <a:off x="0" y="0"/>
                    <a:ext cx="7772400" cy="825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CEF02" w14:textId="77777777" w:rsidR="00A0141F" w:rsidRDefault="00A0141F" w:rsidP="001344A7">
      <w:pPr>
        <w:spacing w:after="0" w:line="240" w:lineRule="auto"/>
      </w:pPr>
      <w:r>
        <w:separator/>
      </w:r>
    </w:p>
  </w:footnote>
  <w:footnote w:type="continuationSeparator" w:id="0">
    <w:p w14:paraId="298BC52C" w14:textId="77777777" w:rsidR="00A0141F" w:rsidRDefault="00A0141F" w:rsidP="001344A7">
      <w:pPr>
        <w:spacing w:after="0" w:line="240" w:lineRule="auto"/>
      </w:pPr>
      <w:r>
        <w:continuationSeparator/>
      </w:r>
    </w:p>
  </w:footnote>
  <w:footnote w:type="continuationNotice" w:id="1">
    <w:p w14:paraId="1CB89B45" w14:textId="77777777" w:rsidR="00A0141F" w:rsidRDefault="00A014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8FB1" w14:textId="77777777" w:rsidR="00183998" w:rsidRPr="00DB2ABC" w:rsidRDefault="00183998" w:rsidP="00183998">
    <w:pPr>
      <w:pStyle w:val="Header"/>
      <w:jc w:val="right"/>
      <w:rPr>
        <w:rFonts w:ascii="Times New Roman" w:hAnsi="Times New Roman" w:cs="Times New Roman"/>
        <w:sz w:val="20"/>
        <w:szCs w:val="20"/>
      </w:rPr>
    </w:pPr>
    <w:r w:rsidRPr="00DB2ABC">
      <w:rPr>
        <w:rFonts w:ascii="Times New Roman" w:hAnsi="Times New Roman" w:cs="Times New Roman"/>
        <w:sz w:val="20"/>
        <w:szCs w:val="20"/>
      </w:rPr>
      <w:t>Valuation of Securities (E) Task Force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C206" w14:textId="274EDA19" w:rsidR="001422D4" w:rsidRPr="005710FB" w:rsidRDefault="001422D4" w:rsidP="001422D4">
    <w:pPr>
      <w:pStyle w:val="NoSpacing"/>
      <w:jc w:val="right"/>
      <w:rPr>
        <w:rFonts w:cstheme="minorHAnsi"/>
        <w:sz w:val="20"/>
        <w:szCs w:val="20"/>
      </w:rPr>
    </w:pPr>
    <w:r w:rsidRPr="005710FB">
      <w:rPr>
        <w:rFonts w:cstheme="minorHAnsi"/>
        <w:sz w:val="20"/>
        <w:szCs w:val="20"/>
      </w:rPr>
      <w:t>Valuation of Securities (E) Task Force</w:t>
    </w:r>
  </w:p>
  <w:p w14:paraId="14E1D7D0" w14:textId="77777777" w:rsidR="00691AB2" w:rsidRDefault="00691AB2">
    <w:pPr>
      <w:pStyle w:val="Header"/>
    </w:pPr>
  </w:p>
  <w:p w14:paraId="11B0AC8E" w14:textId="487E6E75" w:rsidR="00691AB2" w:rsidRDefault="00691AB2">
    <w:pPr>
      <w:pStyle w:val="Header"/>
    </w:pPr>
    <w:r w:rsidRPr="00DB2ABC">
      <w:rPr>
        <w:rFonts w:ascii="Times New Roman" w:hAnsi="Times New Roman" w:cs="Times New Roman"/>
        <w:noProof/>
        <w:sz w:val="20"/>
        <w:szCs w:val="20"/>
      </w:rPr>
      <w:drawing>
        <wp:anchor distT="0" distB="164465" distL="0" distR="0" simplePos="0" relativeHeight="251664386" behindDoc="1" locked="1" layoutInCell="1" allowOverlap="0" wp14:anchorId="356058CB" wp14:editId="417CCF82">
          <wp:simplePos x="0" y="0"/>
          <wp:positionH relativeFrom="page">
            <wp:posOffset>6350</wp:posOffset>
          </wp:positionH>
          <wp:positionV relativeFrom="page">
            <wp:posOffset>721995</wp:posOffset>
          </wp:positionV>
          <wp:extent cx="7752080" cy="1143000"/>
          <wp:effectExtent l="0" t="0" r="1270" b="0"/>
          <wp:wrapTopAndBottom/>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2080"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18E6" w14:textId="72A49C31" w:rsidR="00E04A02" w:rsidRDefault="00E04A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0CBAD" w14:textId="77777777" w:rsidR="007C353B" w:rsidRDefault="007C353B" w:rsidP="007C353B">
    <w:pPr>
      <w:pStyle w:val="Header"/>
      <w:jc w:val="right"/>
      <w:rPr>
        <w:rFonts w:ascii="Times New Roman" w:hAnsi="Times New Roman"/>
        <w:sz w:val="20"/>
        <w:szCs w:val="20"/>
      </w:rPr>
    </w:pPr>
    <w:r w:rsidRPr="004409E3">
      <w:rPr>
        <w:rFonts w:ascii="Times New Roman" w:hAnsi="Times New Roman"/>
        <w:sz w:val="20"/>
        <w:szCs w:val="20"/>
      </w:rPr>
      <w:t>Valuation of Securities (E) Task Force</w:t>
    </w:r>
  </w:p>
  <w:p w14:paraId="75340320" w14:textId="77777777" w:rsidR="007C353B" w:rsidRPr="004409E3" w:rsidRDefault="007C353B" w:rsidP="007C353B">
    <w:pPr>
      <w:pStyle w:val="Header"/>
      <w:jc w:val="right"/>
      <w:rPr>
        <w:rFonts w:ascii="Times New Roman" w:hAnsi="Times New Roman"/>
        <w:sz w:val="20"/>
        <w:szCs w:val="20"/>
      </w:rPr>
    </w:pPr>
  </w:p>
  <w:p w14:paraId="4E0BDC16" w14:textId="02B2AA38" w:rsidR="001344A7" w:rsidRDefault="001344A7" w:rsidP="00A72C3A">
    <w:pPr>
      <w:pStyle w:val="Header"/>
      <w:jc w:val="right"/>
    </w:pPr>
  </w:p>
  <w:p w14:paraId="524116B7" w14:textId="261159E7" w:rsidR="001344A7" w:rsidRDefault="001344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A5CC" w14:textId="3283DDB1" w:rsidR="007C353B" w:rsidRDefault="007C353B" w:rsidP="007C353B">
    <w:pPr>
      <w:pStyle w:val="Header"/>
      <w:jc w:val="right"/>
      <w:rPr>
        <w:rFonts w:ascii="Times New Roman" w:hAnsi="Times New Roman"/>
        <w:sz w:val="20"/>
        <w:szCs w:val="20"/>
      </w:rPr>
    </w:pPr>
    <w:bookmarkStart w:id="35" w:name="_Hlk71186803"/>
    <w:r w:rsidRPr="004409E3">
      <w:rPr>
        <w:rFonts w:ascii="Times New Roman" w:hAnsi="Times New Roman"/>
        <w:sz w:val="20"/>
        <w:szCs w:val="20"/>
      </w:rPr>
      <w:t>Valuation of Securities (E) Task Force</w:t>
    </w:r>
  </w:p>
  <w:p w14:paraId="1755F8B8" w14:textId="56118CF7" w:rsidR="001344A7" w:rsidRDefault="00BC0728" w:rsidP="00BC0728">
    <w:pPr>
      <w:pStyle w:val="Header"/>
      <w:tabs>
        <w:tab w:val="left" w:pos="3280"/>
      </w:tabs>
    </w:pPr>
    <w:r>
      <w:rPr>
        <w:noProof/>
      </w:rPr>
      <w:drawing>
        <wp:anchor distT="0" distB="164465" distL="0" distR="0" simplePos="0" relativeHeight="251658241" behindDoc="1" locked="1" layoutInCell="1" allowOverlap="0" wp14:anchorId="2CD8063E" wp14:editId="351D26AF">
          <wp:simplePos x="0" y="0"/>
          <wp:positionH relativeFrom="page">
            <wp:posOffset>52705</wp:posOffset>
          </wp:positionH>
          <wp:positionV relativeFrom="page">
            <wp:posOffset>945515</wp:posOffset>
          </wp:positionV>
          <wp:extent cx="7772400" cy="97726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
                    <a:extLst>
                      <a:ext uri="{28A0092B-C50C-407E-A947-70E740481C1C}">
                        <a14:useLocalDpi xmlns:a14="http://schemas.microsoft.com/office/drawing/2010/main" val="0"/>
                      </a:ext>
                    </a:extLst>
                  </a:blip>
                  <a:srcRect t="16575" b="8605"/>
                  <a:stretch/>
                </pic:blipFill>
                <pic:spPr bwMode="auto">
                  <a:xfrm>
                    <a:off x="0" y="0"/>
                    <a:ext cx="7772400" cy="977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3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BE8"/>
    <w:multiLevelType w:val="hybridMultilevel"/>
    <w:tmpl w:val="E38060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D6B51"/>
    <w:multiLevelType w:val="hybridMultilevel"/>
    <w:tmpl w:val="9836D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C0FA3"/>
    <w:multiLevelType w:val="hybridMultilevel"/>
    <w:tmpl w:val="4F8ABD0C"/>
    <w:lvl w:ilvl="0" w:tplc="53D69724">
      <w:start w:val="118"/>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B76DDF"/>
    <w:multiLevelType w:val="hybridMultilevel"/>
    <w:tmpl w:val="0FA454FA"/>
    <w:lvl w:ilvl="0" w:tplc="032278EA">
      <w:start w:val="9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F33469"/>
    <w:multiLevelType w:val="hybridMultilevel"/>
    <w:tmpl w:val="B226DC72"/>
    <w:lvl w:ilvl="0" w:tplc="0DAA9CA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D15E08"/>
    <w:multiLevelType w:val="hybridMultilevel"/>
    <w:tmpl w:val="8638A07C"/>
    <w:lvl w:ilvl="0" w:tplc="9A5A0FF0">
      <w:start w:val="116"/>
      <w:numFmt w:val="decimal"/>
      <w:lvlText w:val="%1."/>
      <w:lvlJc w:val="left"/>
      <w:pPr>
        <w:ind w:left="1080" w:hanging="360"/>
      </w:pPr>
      <w:rPr>
        <w:rFonts w:hint="default"/>
      </w:rPr>
    </w:lvl>
    <w:lvl w:ilvl="1" w:tplc="FFFFFFFF">
      <w:start w:val="1"/>
      <w:numFmt w:val="upp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19F86C47"/>
    <w:multiLevelType w:val="singleLevel"/>
    <w:tmpl w:val="F124901E"/>
    <w:lvl w:ilvl="0">
      <w:start w:val="1"/>
      <w:numFmt w:val="lowerLetter"/>
      <w:pStyle w:val="ListNumber2"/>
      <w:lvlText w:val="%1."/>
      <w:lvlJc w:val="left"/>
      <w:pPr>
        <w:tabs>
          <w:tab w:val="num" w:pos="0"/>
        </w:tabs>
        <w:ind w:left="1440" w:hanging="720"/>
      </w:pPr>
      <w:rPr>
        <w:rFonts w:hint="default"/>
      </w:rPr>
    </w:lvl>
  </w:abstractNum>
  <w:abstractNum w:abstractNumId="7" w15:restartNumberingAfterBreak="0">
    <w:nsid w:val="1C0640E3"/>
    <w:multiLevelType w:val="hybridMultilevel"/>
    <w:tmpl w:val="F55A1E44"/>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135981"/>
    <w:multiLevelType w:val="hybridMultilevel"/>
    <w:tmpl w:val="F398C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D5E19"/>
    <w:multiLevelType w:val="hybridMultilevel"/>
    <w:tmpl w:val="0AFEF6C4"/>
    <w:lvl w:ilvl="0" w:tplc="81AC1344">
      <w:start w:val="1"/>
      <w:numFmt w:val="bullet"/>
      <w:lvlText w:val=""/>
      <w:lvlJc w:val="left"/>
      <w:pPr>
        <w:ind w:left="270" w:hanging="360"/>
      </w:pPr>
      <w:rPr>
        <w:rFonts w:ascii="Wingdings" w:hAnsi="Wingdings" w:hint="default"/>
      </w:rPr>
    </w:lvl>
    <w:lvl w:ilvl="1" w:tplc="9064E23A">
      <w:numFmt w:val="bullet"/>
      <w:lvlText w:val=""/>
      <w:lvlJc w:val="left"/>
      <w:pPr>
        <w:ind w:left="990" w:hanging="360"/>
      </w:pPr>
      <w:rPr>
        <w:rFonts w:ascii="Garamond" w:eastAsiaTheme="majorEastAsia" w:hAnsi="Garamond" w:cstheme="majorBidi"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15:restartNumberingAfterBreak="0">
    <w:nsid w:val="24741EA3"/>
    <w:multiLevelType w:val="hybridMultilevel"/>
    <w:tmpl w:val="4C781DC0"/>
    <w:lvl w:ilvl="0" w:tplc="9052FC70">
      <w:start w:val="1"/>
      <w:numFmt w:val="bullet"/>
      <w:lvlText w:val=""/>
      <w:lvlJc w:val="left"/>
      <w:pPr>
        <w:ind w:left="1800" w:hanging="360"/>
      </w:pPr>
      <w:rPr>
        <w:rFonts w:ascii="Wingdings" w:hAnsi="Wingdings" w:hint="default"/>
        <w:strike w:val="0"/>
        <w:color w:val="000000"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9427B5A"/>
    <w:multiLevelType w:val="hybridMultilevel"/>
    <w:tmpl w:val="CE0654AC"/>
    <w:lvl w:ilvl="0" w:tplc="FFFFFFFF">
      <w:start w:val="1"/>
      <w:numFmt w:val="decimal"/>
      <w:lvlText w:val="%1."/>
      <w:lvlJc w:val="left"/>
      <w:pPr>
        <w:ind w:left="1080" w:hanging="360"/>
      </w:pPr>
      <w:rPr>
        <w:rFonts w:hint="default"/>
      </w:rPr>
    </w:lvl>
    <w:lvl w:ilvl="1" w:tplc="FFFFFFFF">
      <w:start w:val="1"/>
      <w:numFmt w:val="upp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9F42274"/>
    <w:multiLevelType w:val="hybridMultilevel"/>
    <w:tmpl w:val="3DAC7B54"/>
    <w:lvl w:ilvl="0" w:tplc="474CA1BC">
      <w:start w:val="9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152FB4"/>
    <w:multiLevelType w:val="hybridMultilevel"/>
    <w:tmpl w:val="F03005FE"/>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0503BB"/>
    <w:multiLevelType w:val="hybridMultilevel"/>
    <w:tmpl w:val="72C8D47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B57BEB"/>
    <w:multiLevelType w:val="hybridMultilevel"/>
    <w:tmpl w:val="5BF42D8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825108"/>
    <w:multiLevelType w:val="hybridMultilevel"/>
    <w:tmpl w:val="23B09B4E"/>
    <w:lvl w:ilvl="0" w:tplc="04090001">
      <w:start w:val="1"/>
      <w:numFmt w:val="bullet"/>
      <w:lvlText w:val=""/>
      <w:lvlJc w:val="left"/>
      <w:pPr>
        <w:ind w:left="2523" w:hanging="360"/>
      </w:pPr>
      <w:rPr>
        <w:rFonts w:ascii="Symbol" w:hAnsi="Symbol" w:hint="default"/>
      </w:rPr>
    </w:lvl>
    <w:lvl w:ilvl="1" w:tplc="04090003" w:tentative="1">
      <w:start w:val="1"/>
      <w:numFmt w:val="bullet"/>
      <w:lvlText w:val="o"/>
      <w:lvlJc w:val="left"/>
      <w:pPr>
        <w:ind w:left="3243" w:hanging="360"/>
      </w:pPr>
      <w:rPr>
        <w:rFonts w:ascii="Courier New" w:hAnsi="Courier New" w:cs="Courier New" w:hint="default"/>
      </w:rPr>
    </w:lvl>
    <w:lvl w:ilvl="2" w:tplc="04090005" w:tentative="1">
      <w:start w:val="1"/>
      <w:numFmt w:val="bullet"/>
      <w:lvlText w:val=""/>
      <w:lvlJc w:val="left"/>
      <w:pPr>
        <w:ind w:left="3963" w:hanging="360"/>
      </w:pPr>
      <w:rPr>
        <w:rFonts w:ascii="Wingdings" w:hAnsi="Wingdings" w:hint="default"/>
      </w:rPr>
    </w:lvl>
    <w:lvl w:ilvl="3" w:tplc="04090001" w:tentative="1">
      <w:start w:val="1"/>
      <w:numFmt w:val="bullet"/>
      <w:lvlText w:val=""/>
      <w:lvlJc w:val="left"/>
      <w:pPr>
        <w:ind w:left="4683" w:hanging="360"/>
      </w:pPr>
      <w:rPr>
        <w:rFonts w:ascii="Symbol" w:hAnsi="Symbol" w:hint="default"/>
      </w:rPr>
    </w:lvl>
    <w:lvl w:ilvl="4" w:tplc="04090003" w:tentative="1">
      <w:start w:val="1"/>
      <w:numFmt w:val="bullet"/>
      <w:lvlText w:val="o"/>
      <w:lvlJc w:val="left"/>
      <w:pPr>
        <w:ind w:left="5403" w:hanging="360"/>
      </w:pPr>
      <w:rPr>
        <w:rFonts w:ascii="Courier New" w:hAnsi="Courier New" w:cs="Courier New" w:hint="default"/>
      </w:rPr>
    </w:lvl>
    <w:lvl w:ilvl="5" w:tplc="04090005" w:tentative="1">
      <w:start w:val="1"/>
      <w:numFmt w:val="bullet"/>
      <w:lvlText w:val=""/>
      <w:lvlJc w:val="left"/>
      <w:pPr>
        <w:ind w:left="6123" w:hanging="360"/>
      </w:pPr>
      <w:rPr>
        <w:rFonts w:ascii="Wingdings" w:hAnsi="Wingdings" w:hint="default"/>
      </w:rPr>
    </w:lvl>
    <w:lvl w:ilvl="6" w:tplc="04090001" w:tentative="1">
      <w:start w:val="1"/>
      <w:numFmt w:val="bullet"/>
      <w:lvlText w:val=""/>
      <w:lvlJc w:val="left"/>
      <w:pPr>
        <w:ind w:left="6843" w:hanging="360"/>
      </w:pPr>
      <w:rPr>
        <w:rFonts w:ascii="Symbol" w:hAnsi="Symbol" w:hint="default"/>
      </w:rPr>
    </w:lvl>
    <w:lvl w:ilvl="7" w:tplc="04090003" w:tentative="1">
      <w:start w:val="1"/>
      <w:numFmt w:val="bullet"/>
      <w:lvlText w:val="o"/>
      <w:lvlJc w:val="left"/>
      <w:pPr>
        <w:ind w:left="7563" w:hanging="360"/>
      </w:pPr>
      <w:rPr>
        <w:rFonts w:ascii="Courier New" w:hAnsi="Courier New" w:cs="Courier New" w:hint="default"/>
      </w:rPr>
    </w:lvl>
    <w:lvl w:ilvl="8" w:tplc="04090005" w:tentative="1">
      <w:start w:val="1"/>
      <w:numFmt w:val="bullet"/>
      <w:lvlText w:val=""/>
      <w:lvlJc w:val="left"/>
      <w:pPr>
        <w:ind w:left="8283" w:hanging="360"/>
      </w:pPr>
      <w:rPr>
        <w:rFonts w:ascii="Wingdings" w:hAnsi="Wingdings" w:hint="default"/>
      </w:rPr>
    </w:lvl>
  </w:abstractNum>
  <w:abstractNum w:abstractNumId="17" w15:restartNumberingAfterBreak="0">
    <w:nsid w:val="465328D4"/>
    <w:multiLevelType w:val="hybridMultilevel"/>
    <w:tmpl w:val="F9C2547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E5A0B09"/>
    <w:multiLevelType w:val="hybridMultilevel"/>
    <w:tmpl w:val="0DE2E024"/>
    <w:lvl w:ilvl="0" w:tplc="1F8CA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14032C"/>
    <w:multiLevelType w:val="hybridMultilevel"/>
    <w:tmpl w:val="A992B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79049A"/>
    <w:multiLevelType w:val="hybridMultilevel"/>
    <w:tmpl w:val="5994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0147D1"/>
    <w:multiLevelType w:val="hybridMultilevel"/>
    <w:tmpl w:val="DED2BB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8C4AFA"/>
    <w:multiLevelType w:val="hybridMultilevel"/>
    <w:tmpl w:val="DC705A6A"/>
    <w:lvl w:ilvl="0" w:tplc="9F9828AE">
      <w:start w:val="1"/>
      <w:numFmt w:val="decimal"/>
      <w:lvlText w:val="%1."/>
      <w:lvlJc w:val="left"/>
      <w:pPr>
        <w:ind w:left="1080" w:hanging="360"/>
      </w:pPr>
      <w:rPr>
        <w:rFonts w:hint="default"/>
      </w:rPr>
    </w:lvl>
    <w:lvl w:ilvl="1" w:tplc="B3B6E81C">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C92EB6"/>
    <w:multiLevelType w:val="hybridMultilevel"/>
    <w:tmpl w:val="04908252"/>
    <w:lvl w:ilvl="0" w:tplc="ED9C1026">
      <w:start w:val="9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0B4BAF"/>
    <w:multiLevelType w:val="hybridMultilevel"/>
    <w:tmpl w:val="FED6E860"/>
    <w:lvl w:ilvl="0" w:tplc="0B02A80A">
      <w:start w:val="118"/>
      <w:numFmt w:val="bullet"/>
      <w:lvlText w:val=""/>
      <w:lvlJc w:val="left"/>
      <w:pPr>
        <w:ind w:left="720" w:hanging="360"/>
      </w:pPr>
      <w:rPr>
        <w:rFonts w:ascii="Symbol" w:eastAsiaTheme="minorHAnsi" w:hAnsi="Symbol" w:cstheme="minorBidi" w:hint="default"/>
        <w:b/>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9C5B03"/>
    <w:multiLevelType w:val="hybridMultilevel"/>
    <w:tmpl w:val="013A90EC"/>
    <w:lvl w:ilvl="0" w:tplc="80A26194">
      <w:start w:val="8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BB4CDC"/>
    <w:multiLevelType w:val="hybridMultilevel"/>
    <w:tmpl w:val="B6DEE8F2"/>
    <w:lvl w:ilvl="0" w:tplc="0D548AA2">
      <w:start w:val="313"/>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7CB6290C"/>
    <w:multiLevelType w:val="hybridMultilevel"/>
    <w:tmpl w:val="EDFC9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D823070"/>
    <w:multiLevelType w:val="hybridMultilevel"/>
    <w:tmpl w:val="171E58BA"/>
    <w:lvl w:ilvl="0" w:tplc="3294A24A">
      <w:start w:val="320"/>
      <w:numFmt w:val="decimal"/>
      <w:lvlText w:val="%1."/>
      <w:lvlJc w:val="left"/>
      <w:pPr>
        <w:ind w:left="111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050635">
    <w:abstractNumId w:val="22"/>
  </w:num>
  <w:num w:numId="2" w16cid:durableId="206986836">
    <w:abstractNumId w:val="4"/>
  </w:num>
  <w:num w:numId="3" w16cid:durableId="1649550470">
    <w:abstractNumId w:val="25"/>
  </w:num>
  <w:num w:numId="4" w16cid:durableId="68814903">
    <w:abstractNumId w:val="9"/>
  </w:num>
  <w:num w:numId="5" w16cid:durableId="1105804815">
    <w:abstractNumId w:val="3"/>
  </w:num>
  <w:num w:numId="6" w16cid:durableId="1662997962">
    <w:abstractNumId w:val="23"/>
  </w:num>
  <w:num w:numId="7" w16cid:durableId="2026667639">
    <w:abstractNumId w:val="9"/>
  </w:num>
  <w:num w:numId="8" w16cid:durableId="486433527">
    <w:abstractNumId w:val="13"/>
  </w:num>
  <w:num w:numId="9" w16cid:durableId="1891069762">
    <w:abstractNumId w:val="7"/>
  </w:num>
  <w:num w:numId="10" w16cid:durableId="1659074666">
    <w:abstractNumId w:val="12"/>
  </w:num>
  <w:num w:numId="11" w16cid:durableId="1117211796">
    <w:abstractNumId w:val="10"/>
  </w:num>
  <w:num w:numId="12" w16cid:durableId="720982629">
    <w:abstractNumId w:val="17"/>
  </w:num>
  <w:num w:numId="13" w16cid:durableId="753743174">
    <w:abstractNumId w:val="8"/>
  </w:num>
  <w:num w:numId="14" w16cid:durableId="1153373128">
    <w:abstractNumId w:val="20"/>
  </w:num>
  <w:num w:numId="15" w16cid:durableId="46956346">
    <w:abstractNumId w:val="14"/>
  </w:num>
  <w:num w:numId="16" w16cid:durableId="452552219">
    <w:abstractNumId w:val="21"/>
  </w:num>
  <w:num w:numId="17" w16cid:durableId="1563252953">
    <w:abstractNumId w:val="27"/>
  </w:num>
  <w:num w:numId="18" w16cid:durableId="228007175">
    <w:abstractNumId w:val="19"/>
  </w:num>
  <w:num w:numId="19" w16cid:durableId="385835744">
    <w:abstractNumId w:val="16"/>
  </w:num>
  <w:num w:numId="20" w16cid:durableId="1525483695">
    <w:abstractNumId w:val="0"/>
  </w:num>
  <w:num w:numId="21" w16cid:durableId="1837257691">
    <w:abstractNumId w:val="5"/>
  </w:num>
  <w:num w:numId="22" w16cid:durableId="1972518046">
    <w:abstractNumId w:val="2"/>
  </w:num>
  <w:num w:numId="23" w16cid:durableId="1870416211">
    <w:abstractNumId w:val="26"/>
  </w:num>
  <w:num w:numId="24" w16cid:durableId="1466579305">
    <w:abstractNumId w:val="15"/>
  </w:num>
  <w:num w:numId="25" w16cid:durableId="2013139386">
    <w:abstractNumId w:val="28"/>
  </w:num>
  <w:num w:numId="26" w16cid:durableId="402411519">
    <w:abstractNumId w:val="1"/>
  </w:num>
  <w:num w:numId="27" w16cid:durableId="925654846">
    <w:abstractNumId w:val="18"/>
  </w:num>
  <w:num w:numId="28" w16cid:durableId="132217212">
    <w:abstractNumId w:val="11"/>
  </w:num>
  <w:num w:numId="29" w16cid:durableId="257912440">
    <w:abstractNumId w:val="6"/>
    <w:lvlOverride w:ilvl="0">
      <w:startOverride w:val="1"/>
    </w:lvlOverride>
  </w:num>
  <w:num w:numId="30" w16cid:durableId="629749610">
    <w:abstractNumId w:val="6"/>
  </w:num>
  <w:num w:numId="31" w16cid:durableId="7325842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B0"/>
    <w:rsid w:val="000015C7"/>
    <w:rsid w:val="00002727"/>
    <w:rsid w:val="00002C67"/>
    <w:rsid w:val="00002ECB"/>
    <w:rsid w:val="000049CB"/>
    <w:rsid w:val="000065A2"/>
    <w:rsid w:val="00006B7C"/>
    <w:rsid w:val="00006D4F"/>
    <w:rsid w:val="00006E9A"/>
    <w:rsid w:val="00011846"/>
    <w:rsid w:val="00012763"/>
    <w:rsid w:val="00013530"/>
    <w:rsid w:val="00015411"/>
    <w:rsid w:val="0001572C"/>
    <w:rsid w:val="00015B00"/>
    <w:rsid w:val="00015C48"/>
    <w:rsid w:val="0001619A"/>
    <w:rsid w:val="00017C72"/>
    <w:rsid w:val="00017CB1"/>
    <w:rsid w:val="000204A3"/>
    <w:rsid w:val="00020A9A"/>
    <w:rsid w:val="00022037"/>
    <w:rsid w:val="0002212B"/>
    <w:rsid w:val="00022444"/>
    <w:rsid w:val="0002256D"/>
    <w:rsid w:val="0002301B"/>
    <w:rsid w:val="000236F6"/>
    <w:rsid w:val="000249BF"/>
    <w:rsid w:val="00026690"/>
    <w:rsid w:val="00027229"/>
    <w:rsid w:val="00027607"/>
    <w:rsid w:val="00027942"/>
    <w:rsid w:val="00030AF2"/>
    <w:rsid w:val="0003153E"/>
    <w:rsid w:val="00033E7B"/>
    <w:rsid w:val="00035DE8"/>
    <w:rsid w:val="00036146"/>
    <w:rsid w:val="00036F0E"/>
    <w:rsid w:val="000402A8"/>
    <w:rsid w:val="00042152"/>
    <w:rsid w:val="0004280D"/>
    <w:rsid w:val="00043A70"/>
    <w:rsid w:val="000449F2"/>
    <w:rsid w:val="00044BAA"/>
    <w:rsid w:val="000460E1"/>
    <w:rsid w:val="0004610B"/>
    <w:rsid w:val="000473E0"/>
    <w:rsid w:val="00047FD1"/>
    <w:rsid w:val="000505C4"/>
    <w:rsid w:val="000566EE"/>
    <w:rsid w:val="00056806"/>
    <w:rsid w:val="00057B94"/>
    <w:rsid w:val="00060244"/>
    <w:rsid w:val="000613A8"/>
    <w:rsid w:val="00062FE9"/>
    <w:rsid w:val="000633DB"/>
    <w:rsid w:val="00064C74"/>
    <w:rsid w:val="00065487"/>
    <w:rsid w:val="00066FDC"/>
    <w:rsid w:val="000673C6"/>
    <w:rsid w:val="00067587"/>
    <w:rsid w:val="00067757"/>
    <w:rsid w:val="000677E0"/>
    <w:rsid w:val="000707E5"/>
    <w:rsid w:val="000714D7"/>
    <w:rsid w:val="0007157E"/>
    <w:rsid w:val="000731EE"/>
    <w:rsid w:val="00073737"/>
    <w:rsid w:val="00074EC3"/>
    <w:rsid w:val="00074FC5"/>
    <w:rsid w:val="00075527"/>
    <w:rsid w:val="00075912"/>
    <w:rsid w:val="00075F9D"/>
    <w:rsid w:val="00076321"/>
    <w:rsid w:val="00077E4D"/>
    <w:rsid w:val="00082775"/>
    <w:rsid w:val="00082BA1"/>
    <w:rsid w:val="00083E18"/>
    <w:rsid w:val="00084817"/>
    <w:rsid w:val="00085050"/>
    <w:rsid w:val="00085E0C"/>
    <w:rsid w:val="000876D5"/>
    <w:rsid w:val="00094E4C"/>
    <w:rsid w:val="00095411"/>
    <w:rsid w:val="00095BC1"/>
    <w:rsid w:val="00095D87"/>
    <w:rsid w:val="000969B9"/>
    <w:rsid w:val="0009757D"/>
    <w:rsid w:val="00097B98"/>
    <w:rsid w:val="000A06FC"/>
    <w:rsid w:val="000A1A6A"/>
    <w:rsid w:val="000A2CC4"/>
    <w:rsid w:val="000A2FDD"/>
    <w:rsid w:val="000A3F6B"/>
    <w:rsid w:val="000A52B3"/>
    <w:rsid w:val="000A7E2E"/>
    <w:rsid w:val="000B0FA7"/>
    <w:rsid w:val="000B2777"/>
    <w:rsid w:val="000B35E0"/>
    <w:rsid w:val="000B421B"/>
    <w:rsid w:val="000B4396"/>
    <w:rsid w:val="000B4926"/>
    <w:rsid w:val="000B5289"/>
    <w:rsid w:val="000B5B4D"/>
    <w:rsid w:val="000B6849"/>
    <w:rsid w:val="000B6DBD"/>
    <w:rsid w:val="000B7D60"/>
    <w:rsid w:val="000C190A"/>
    <w:rsid w:val="000C1AF5"/>
    <w:rsid w:val="000C1B2B"/>
    <w:rsid w:val="000C1B4E"/>
    <w:rsid w:val="000C3185"/>
    <w:rsid w:val="000C3575"/>
    <w:rsid w:val="000C379F"/>
    <w:rsid w:val="000C6BE6"/>
    <w:rsid w:val="000C7DE1"/>
    <w:rsid w:val="000D27BF"/>
    <w:rsid w:val="000D35B9"/>
    <w:rsid w:val="000D3654"/>
    <w:rsid w:val="000D38A2"/>
    <w:rsid w:val="000D3C0F"/>
    <w:rsid w:val="000D4A48"/>
    <w:rsid w:val="000D587A"/>
    <w:rsid w:val="000D5E14"/>
    <w:rsid w:val="000D671B"/>
    <w:rsid w:val="000D6802"/>
    <w:rsid w:val="000D707E"/>
    <w:rsid w:val="000E354C"/>
    <w:rsid w:val="000E5047"/>
    <w:rsid w:val="000E52C4"/>
    <w:rsid w:val="000E5A36"/>
    <w:rsid w:val="000E7238"/>
    <w:rsid w:val="000F0526"/>
    <w:rsid w:val="000F1F23"/>
    <w:rsid w:val="000F55AD"/>
    <w:rsid w:val="000F578C"/>
    <w:rsid w:val="000F62E3"/>
    <w:rsid w:val="000F6AE4"/>
    <w:rsid w:val="000F7071"/>
    <w:rsid w:val="000F7814"/>
    <w:rsid w:val="000F7CD5"/>
    <w:rsid w:val="00101E6E"/>
    <w:rsid w:val="0010475E"/>
    <w:rsid w:val="001049CE"/>
    <w:rsid w:val="001053A6"/>
    <w:rsid w:val="0010725F"/>
    <w:rsid w:val="0010778F"/>
    <w:rsid w:val="00110850"/>
    <w:rsid w:val="0011448D"/>
    <w:rsid w:val="00114608"/>
    <w:rsid w:val="00115746"/>
    <w:rsid w:val="001158E2"/>
    <w:rsid w:val="00117530"/>
    <w:rsid w:val="00117C42"/>
    <w:rsid w:val="00123828"/>
    <w:rsid w:val="00124D97"/>
    <w:rsid w:val="00125E99"/>
    <w:rsid w:val="001261CF"/>
    <w:rsid w:val="0012720A"/>
    <w:rsid w:val="00130DB1"/>
    <w:rsid w:val="00132FA7"/>
    <w:rsid w:val="001344A7"/>
    <w:rsid w:val="00135568"/>
    <w:rsid w:val="00135A5E"/>
    <w:rsid w:val="00140183"/>
    <w:rsid w:val="001413F3"/>
    <w:rsid w:val="00141F98"/>
    <w:rsid w:val="001422D4"/>
    <w:rsid w:val="001427D8"/>
    <w:rsid w:val="001436A9"/>
    <w:rsid w:val="00143FC7"/>
    <w:rsid w:val="0014533D"/>
    <w:rsid w:val="00152B50"/>
    <w:rsid w:val="00153A54"/>
    <w:rsid w:val="001561B1"/>
    <w:rsid w:val="00156EDA"/>
    <w:rsid w:val="00157405"/>
    <w:rsid w:val="00157C4D"/>
    <w:rsid w:val="00157CC5"/>
    <w:rsid w:val="00161138"/>
    <w:rsid w:val="0016160C"/>
    <w:rsid w:val="001621DE"/>
    <w:rsid w:val="001636E5"/>
    <w:rsid w:val="001648DC"/>
    <w:rsid w:val="00164901"/>
    <w:rsid w:val="00165315"/>
    <w:rsid w:val="001665AA"/>
    <w:rsid w:val="00166A20"/>
    <w:rsid w:val="00171000"/>
    <w:rsid w:val="001712FF"/>
    <w:rsid w:val="00171959"/>
    <w:rsid w:val="00171D89"/>
    <w:rsid w:val="00172C2D"/>
    <w:rsid w:val="00174046"/>
    <w:rsid w:val="00175B02"/>
    <w:rsid w:val="00175B56"/>
    <w:rsid w:val="00175D70"/>
    <w:rsid w:val="00176C55"/>
    <w:rsid w:val="00180945"/>
    <w:rsid w:val="00181F2A"/>
    <w:rsid w:val="001834AC"/>
    <w:rsid w:val="00183998"/>
    <w:rsid w:val="001844A6"/>
    <w:rsid w:val="00184C6E"/>
    <w:rsid w:val="00185696"/>
    <w:rsid w:val="001863DE"/>
    <w:rsid w:val="001873AA"/>
    <w:rsid w:val="0019095D"/>
    <w:rsid w:val="00191633"/>
    <w:rsid w:val="00191A93"/>
    <w:rsid w:val="001921B4"/>
    <w:rsid w:val="001926F7"/>
    <w:rsid w:val="00192FEA"/>
    <w:rsid w:val="001938C0"/>
    <w:rsid w:val="00193F06"/>
    <w:rsid w:val="001960B6"/>
    <w:rsid w:val="001969A1"/>
    <w:rsid w:val="001973BC"/>
    <w:rsid w:val="001A0BC0"/>
    <w:rsid w:val="001A2700"/>
    <w:rsid w:val="001A41FD"/>
    <w:rsid w:val="001A607B"/>
    <w:rsid w:val="001A7302"/>
    <w:rsid w:val="001A77C2"/>
    <w:rsid w:val="001B2CEA"/>
    <w:rsid w:val="001B340A"/>
    <w:rsid w:val="001B35BA"/>
    <w:rsid w:val="001B4DFC"/>
    <w:rsid w:val="001B5527"/>
    <w:rsid w:val="001B5B9C"/>
    <w:rsid w:val="001B74B9"/>
    <w:rsid w:val="001C0EEF"/>
    <w:rsid w:val="001C10C4"/>
    <w:rsid w:val="001C165C"/>
    <w:rsid w:val="001C191C"/>
    <w:rsid w:val="001C209D"/>
    <w:rsid w:val="001C2975"/>
    <w:rsid w:val="001C304C"/>
    <w:rsid w:val="001C318E"/>
    <w:rsid w:val="001C6154"/>
    <w:rsid w:val="001C7DA6"/>
    <w:rsid w:val="001C7FE2"/>
    <w:rsid w:val="001D0FCF"/>
    <w:rsid w:val="001D22A0"/>
    <w:rsid w:val="001D2807"/>
    <w:rsid w:val="001D31AF"/>
    <w:rsid w:val="001D3958"/>
    <w:rsid w:val="001D5E83"/>
    <w:rsid w:val="001D6381"/>
    <w:rsid w:val="001D7A47"/>
    <w:rsid w:val="001E23DC"/>
    <w:rsid w:val="001E3160"/>
    <w:rsid w:val="001E3765"/>
    <w:rsid w:val="001E4E15"/>
    <w:rsid w:val="001E63C8"/>
    <w:rsid w:val="001F40AB"/>
    <w:rsid w:val="001F4F6D"/>
    <w:rsid w:val="001F5770"/>
    <w:rsid w:val="001F6848"/>
    <w:rsid w:val="00200054"/>
    <w:rsid w:val="00200F62"/>
    <w:rsid w:val="00202368"/>
    <w:rsid w:val="002028F5"/>
    <w:rsid w:val="00202FE8"/>
    <w:rsid w:val="00203B24"/>
    <w:rsid w:val="00203C28"/>
    <w:rsid w:val="0020511B"/>
    <w:rsid w:val="00206D3C"/>
    <w:rsid w:val="00207300"/>
    <w:rsid w:val="00210B66"/>
    <w:rsid w:val="00210BAE"/>
    <w:rsid w:val="00210BB6"/>
    <w:rsid w:val="00210D56"/>
    <w:rsid w:val="0021117D"/>
    <w:rsid w:val="00213172"/>
    <w:rsid w:val="00213292"/>
    <w:rsid w:val="002146AB"/>
    <w:rsid w:val="00216089"/>
    <w:rsid w:val="00216210"/>
    <w:rsid w:val="00217138"/>
    <w:rsid w:val="00223A63"/>
    <w:rsid w:val="00224795"/>
    <w:rsid w:val="00225669"/>
    <w:rsid w:val="00226C19"/>
    <w:rsid w:val="00226CCD"/>
    <w:rsid w:val="002304A8"/>
    <w:rsid w:val="00231369"/>
    <w:rsid w:val="002323F8"/>
    <w:rsid w:val="00232596"/>
    <w:rsid w:val="00236C9C"/>
    <w:rsid w:val="00236FBB"/>
    <w:rsid w:val="002376B6"/>
    <w:rsid w:val="002404ED"/>
    <w:rsid w:val="00241DF7"/>
    <w:rsid w:val="00242444"/>
    <w:rsid w:val="002425AB"/>
    <w:rsid w:val="0024294A"/>
    <w:rsid w:val="00242B01"/>
    <w:rsid w:val="002433E5"/>
    <w:rsid w:val="00244B69"/>
    <w:rsid w:val="00244CCC"/>
    <w:rsid w:val="0024655A"/>
    <w:rsid w:val="00246818"/>
    <w:rsid w:val="00251141"/>
    <w:rsid w:val="00252591"/>
    <w:rsid w:val="00252957"/>
    <w:rsid w:val="00253F2E"/>
    <w:rsid w:val="0025537A"/>
    <w:rsid w:val="00256539"/>
    <w:rsid w:val="00263B25"/>
    <w:rsid w:val="002640C4"/>
    <w:rsid w:val="0026466C"/>
    <w:rsid w:val="00264C4F"/>
    <w:rsid w:val="00264DCF"/>
    <w:rsid w:val="00265120"/>
    <w:rsid w:val="00266E2E"/>
    <w:rsid w:val="002706DD"/>
    <w:rsid w:val="00270EB8"/>
    <w:rsid w:val="00271510"/>
    <w:rsid w:val="00271686"/>
    <w:rsid w:val="00271FA0"/>
    <w:rsid w:val="002742E3"/>
    <w:rsid w:val="002746F8"/>
    <w:rsid w:val="00276645"/>
    <w:rsid w:val="00276779"/>
    <w:rsid w:val="0027683B"/>
    <w:rsid w:val="00277653"/>
    <w:rsid w:val="00277BC4"/>
    <w:rsid w:val="00280597"/>
    <w:rsid w:val="00282306"/>
    <w:rsid w:val="002832D5"/>
    <w:rsid w:val="00283FE9"/>
    <w:rsid w:val="0028709B"/>
    <w:rsid w:val="00290A67"/>
    <w:rsid w:val="00292BF0"/>
    <w:rsid w:val="00294733"/>
    <w:rsid w:val="00297118"/>
    <w:rsid w:val="00297251"/>
    <w:rsid w:val="00297A3E"/>
    <w:rsid w:val="002A02B0"/>
    <w:rsid w:val="002A2408"/>
    <w:rsid w:val="002A31BA"/>
    <w:rsid w:val="002A3C69"/>
    <w:rsid w:val="002A4EDB"/>
    <w:rsid w:val="002A5709"/>
    <w:rsid w:val="002A578C"/>
    <w:rsid w:val="002A612D"/>
    <w:rsid w:val="002A683D"/>
    <w:rsid w:val="002A6EFB"/>
    <w:rsid w:val="002A7318"/>
    <w:rsid w:val="002B0183"/>
    <w:rsid w:val="002B0499"/>
    <w:rsid w:val="002B1701"/>
    <w:rsid w:val="002B2E11"/>
    <w:rsid w:val="002B5398"/>
    <w:rsid w:val="002B5CFA"/>
    <w:rsid w:val="002B5E2E"/>
    <w:rsid w:val="002B6A25"/>
    <w:rsid w:val="002B6FE1"/>
    <w:rsid w:val="002C214F"/>
    <w:rsid w:val="002C2E52"/>
    <w:rsid w:val="002C3E4F"/>
    <w:rsid w:val="002C441E"/>
    <w:rsid w:val="002C48B4"/>
    <w:rsid w:val="002C4943"/>
    <w:rsid w:val="002C4F67"/>
    <w:rsid w:val="002C5A71"/>
    <w:rsid w:val="002C614C"/>
    <w:rsid w:val="002C71F9"/>
    <w:rsid w:val="002C749D"/>
    <w:rsid w:val="002D087B"/>
    <w:rsid w:val="002D29BF"/>
    <w:rsid w:val="002D2FA9"/>
    <w:rsid w:val="002D31F3"/>
    <w:rsid w:val="002D33F9"/>
    <w:rsid w:val="002D3B2C"/>
    <w:rsid w:val="002D448A"/>
    <w:rsid w:val="002D4872"/>
    <w:rsid w:val="002E29E9"/>
    <w:rsid w:val="002E5C6D"/>
    <w:rsid w:val="002E5FB8"/>
    <w:rsid w:val="002E6E1A"/>
    <w:rsid w:val="002E7960"/>
    <w:rsid w:val="002F0208"/>
    <w:rsid w:val="002F065F"/>
    <w:rsid w:val="002F1A09"/>
    <w:rsid w:val="002F1C35"/>
    <w:rsid w:val="002F25B5"/>
    <w:rsid w:val="002F25C2"/>
    <w:rsid w:val="002F276C"/>
    <w:rsid w:val="002F5203"/>
    <w:rsid w:val="002F6440"/>
    <w:rsid w:val="002F6D15"/>
    <w:rsid w:val="002F6D57"/>
    <w:rsid w:val="003004C7"/>
    <w:rsid w:val="0030089B"/>
    <w:rsid w:val="00300CB0"/>
    <w:rsid w:val="003023F2"/>
    <w:rsid w:val="00302A4B"/>
    <w:rsid w:val="00302AB2"/>
    <w:rsid w:val="00304F1F"/>
    <w:rsid w:val="00304F35"/>
    <w:rsid w:val="003050E2"/>
    <w:rsid w:val="00305925"/>
    <w:rsid w:val="00305B9D"/>
    <w:rsid w:val="0030606F"/>
    <w:rsid w:val="00307FDD"/>
    <w:rsid w:val="0031033A"/>
    <w:rsid w:val="00310849"/>
    <w:rsid w:val="00312A94"/>
    <w:rsid w:val="00314811"/>
    <w:rsid w:val="00314D93"/>
    <w:rsid w:val="003206B7"/>
    <w:rsid w:val="00320B80"/>
    <w:rsid w:val="0032175B"/>
    <w:rsid w:val="003224C7"/>
    <w:rsid w:val="003225EB"/>
    <w:rsid w:val="00323AD0"/>
    <w:rsid w:val="00324E73"/>
    <w:rsid w:val="00324FC1"/>
    <w:rsid w:val="00325B52"/>
    <w:rsid w:val="00325F38"/>
    <w:rsid w:val="0033167B"/>
    <w:rsid w:val="00331CA3"/>
    <w:rsid w:val="00334282"/>
    <w:rsid w:val="0033518E"/>
    <w:rsid w:val="00340E2C"/>
    <w:rsid w:val="0034107C"/>
    <w:rsid w:val="00341DB0"/>
    <w:rsid w:val="003426BF"/>
    <w:rsid w:val="00342EEA"/>
    <w:rsid w:val="00342FAB"/>
    <w:rsid w:val="003432DE"/>
    <w:rsid w:val="00343786"/>
    <w:rsid w:val="00343DC0"/>
    <w:rsid w:val="00345B53"/>
    <w:rsid w:val="00346AEE"/>
    <w:rsid w:val="00346FA1"/>
    <w:rsid w:val="003472C2"/>
    <w:rsid w:val="0034740C"/>
    <w:rsid w:val="00347D8F"/>
    <w:rsid w:val="003503B3"/>
    <w:rsid w:val="003513EF"/>
    <w:rsid w:val="0035266F"/>
    <w:rsid w:val="0035414A"/>
    <w:rsid w:val="003548F8"/>
    <w:rsid w:val="00354B0C"/>
    <w:rsid w:val="003555FC"/>
    <w:rsid w:val="00356853"/>
    <w:rsid w:val="0035734F"/>
    <w:rsid w:val="003579A5"/>
    <w:rsid w:val="00360323"/>
    <w:rsid w:val="00360473"/>
    <w:rsid w:val="00360B8B"/>
    <w:rsid w:val="0036151A"/>
    <w:rsid w:val="003615CE"/>
    <w:rsid w:val="003616D5"/>
    <w:rsid w:val="0036217E"/>
    <w:rsid w:val="00362F87"/>
    <w:rsid w:val="0036552D"/>
    <w:rsid w:val="0036563F"/>
    <w:rsid w:val="00365D5C"/>
    <w:rsid w:val="00366750"/>
    <w:rsid w:val="00367473"/>
    <w:rsid w:val="00367B15"/>
    <w:rsid w:val="0037017F"/>
    <w:rsid w:val="00371048"/>
    <w:rsid w:val="00371351"/>
    <w:rsid w:val="0037453D"/>
    <w:rsid w:val="0037469A"/>
    <w:rsid w:val="00375598"/>
    <w:rsid w:val="00375C0E"/>
    <w:rsid w:val="00381B37"/>
    <w:rsid w:val="003836B5"/>
    <w:rsid w:val="00383BE1"/>
    <w:rsid w:val="003842A9"/>
    <w:rsid w:val="0038478A"/>
    <w:rsid w:val="0038596D"/>
    <w:rsid w:val="00386340"/>
    <w:rsid w:val="00386487"/>
    <w:rsid w:val="003878DE"/>
    <w:rsid w:val="00390046"/>
    <w:rsid w:val="00390B11"/>
    <w:rsid w:val="0039329C"/>
    <w:rsid w:val="00397129"/>
    <w:rsid w:val="0039765C"/>
    <w:rsid w:val="003A1EA8"/>
    <w:rsid w:val="003A3341"/>
    <w:rsid w:val="003A4DDF"/>
    <w:rsid w:val="003A6295"/>
    <w:rsid w:val="003B0AE2"/>
    <w:rsid w:val="003B1A5F"/>
    <w:rsid w:val="003B28D3"/>
    <w:rsid w:val="003B3AC6"/>
    <w:rsid w:val="003B3B93"/>
    <w:rsid w:val="003B3C7F"/>
    <w:rsid w:val="003B64E0"/>
    <w:rsid w:val="003B6A84"/>
    <w:rsid w:val="003B76A3"/>
    <w:rsid w:val="003C2EF1"/>
    <w:rsid w:val="003C5BC6"/>
    <w:rsid w:val="003C5F3E"/>
    <w:rsid w:val="003C7158"/>
    <w:rsid w:val="003C77C8"/>
    <w:rsid w:val="003C79FE"/>
    <w:rsid w:val="003C7D55"/>
    <w:rsid w:val="003D055C"/>
    <w:rsid w:val="003D0657"/>
    <w:rsid w:val="003D0696"/>
    <w:rsid w:val="003D0F95"/>
    <w:rsid w:val="003D15E9"/>
    <w:rsid w:val="003D1BE1"/>
    <w:rsid w:val="003D28C8"/>
    <w:rsid w:val="003D2F93"/>
    <w:rsid w:val="003D3051"/>
    <w:rsid w:val="003D336F"/>
    <w:rsid w:val="003D3BD3"/>
    <w:rsid w:val="003D4BD7"/>
    <w:rsid w:val="003D4E7A"/>
    <w:rsid w:val="003D6279"/>
    <w:rsid w:val="003E00E8"/>
    <w:rsid w:val="003E0870"/>
    <w:rsid w:val="003E10C5"/>
    <w:rsid w:val="003E41D6"/>
    <w:rsid w:val="003E5254"/>
    <w:rsid w:val="003E5902"/>
    <w:rsid w:val="003E60FD"/>
    <w:rsid w:val="003E680B"/>
    <w:rsid w:val="003E71E5"/>
    <w:rsid w:val="003F1D9B"/>
    <w:rsid w:val="003F2060"/>
    <w:rsid w:val="003F2365"/>
    <w:rsid w:val="003F3B90"/>
    <w:rsid w:val="003F4194"/>
    <w:rsid w:val="003F560F"/>
    <w:rsid w:val="003F60BB"/>
    <w:rsid w:val="003F69F0"/>
    <w:rsid w:val="003F7AA1"/>
    <w:rsid w:val="00400FAA"/>
    <w:rsid w:val="00402E3D"/>
    <w:rsid w:val="004031EC"/>
    <w:rsid w:val="00403734"/>
    <w:rsid w:val="00407B37"/>
    <w:rsid w:val="004104BE"/>
    <w:rsid w:val="004106E7"/>
    <w:rsid w:val="00412E85"/>
    <w:rsid w:val="004140C3"/>
    <w:rsid w:val="004145D7"/>
    <w:rsid w:val="00414A67"/>
    <w:rsid w:val="00414C77"/>
    <w:rsid w:val="00416382"/>
    <w:rsid w:val="00421AFA"/>
    <w:rsid w:val="004220A8"/>
    <w:rsid w:val="00422227"/>
    <w:rsid w:val="004229C8"/>
    <w:rsid w:val="00422D30"/>
    <w:rsid w:val="00424941"/>
    <w:rsid w:val="004255F5"/>
    <w:rsid w:val="00425A50"/>
    <w:rsid w:val="00426415"/>
    <w:rsid w:val="004268C5"/>
    <w:rsid w:val="00431E34"/>
    <w:rsid w:val="00432534"/>
    <w:rsid w:val="00432E03"/>
    <w:rsid w:val="004339AE"/>
    <w:rsid w:val="0043401B"/>
    <w:rsid w:val="004349A9"/>
    <w:rsid w:val="004365CE"/>
    <w:rsid w:val="004402C8"/>
    <w:rsid w:val="00440544"/>
    <w:rsid w:val="00440B5D"/>
    <w:rsid w:val="00440F60"/>
    <w:rsid w:val="00441147"/>
    <w:rsid w:val="004414B9"/>
    <w:rsid w:val="00441ABB"/>
    <w:rsid w:val="004421C6"/>
    <w:rsid w:val="00442F22"/>
    <w:rsid w:val="004443F0"/>
    <w:rsid w:val="00444EDE"/>
    <w:rsid w:val="004457E3"/>
    <w:rsid w:val="0045024B"/>
    <w:rsid w:val="00451461"/>
    <w:rsid w:val="004528F7"/>
    <w:rsid w:val="00453494"/>
    <w:rsid w:val="004549A6"/>
    <w:rsid w:val="004559BF"/>
    <w:rsid w:val="0045640A"/>
    <w:rsid w:val="0045712F"/>
    <w:rsid w:val="004608D4"/>
    <w:rsid w:val="0046238D"/>
    <w:rsid w:val="004627D7"/>
    <w:rsid w:val="004640AE"/>
    <w:rsid w:val="004640B3"/>
    <w:rsid w:val="00464C29"/>
    <w:rsid w:val="00465079"/>
    <w:rsid w:val="00465222"/>
    <w:rsid w:val="00465AEC"/>
    <w:rsid w:val="004663DD"/>
    <w:rsid w:val="0046685F"/>
    <w:rsid w:val="00466DB4"/>
    <w:rsid w:val="00467794"/>
    <w:rsid w:val="00470D48"/>
    <w:rsid w:val="00470E09"/>
    <w:rsid w:val="00471297"/>
    <w:rsid w:val="00472C43"/>
    <w:rsid w:val="004733D5"/>
    <w:rsid w:val="004733EF"/>
    <w:rsid w:val="00475B60"/>
    <w:rsid w:val="0047745B"/>
    <w:rsid w:val="004774FF"/>
    <w:rsid w:val="00480007"/>
    <w:rsid w:val="00480A42"/>
    <w:rsid w:val="004822C6"/>
    <w:rsid w:val="00482A2F"/>
    <w:rsid w:val="00482AB4"/>
    <w:rsid w:val="00482E86"/>
    <w:rsid w:val="00483656"/>
    <w:rsid w:val="0049177F"/>
    <w:rsid w:val="00491F97"/>
    <w:rsid w:val="00492902"/>
    <w:rsid w:val="00495E24"/>
    <w:rsid w:val="00496615"/>
    <w:rsid w:val="00496F6B"/>
    <w:rsid w:val="004A051D"/>
    <w:rsid w:val="004A0EA1"/>
    <w:rsid w:val="004A1ED6"/>
    <w:rsid w:val="004A2839"/>
    <w:rsid w:val="004A2862"/>
    <w:rsid w:val="004A31C7"/>
    <w:rsid w:val="004A434B"/>
    <w:rsid w:val="004A4C08"/>
    <w:rsid w:val="004A4E7A"/>
    <w:rsid w:val="004A5522"/>
    <w:rsid w:val="004A5727"/>
    <w:rsid w:val="004A7252"/>
    <w:rsid w:val="004B154E"/>
    <w:rsid w:val="004B3A96"/>
    <w:rsid w:val="004B3BC4"/>
    <w:rsid w:val="004B43CE"/>
    <w:rsid w:val="004B46C0"/>
    <w:rsid w:val="004B754A"/>
    <w:rsid w:val="004C09E1"/>
    <w:rsid w:val="004C12D6"/>
    <w:rsid w:val="004C31E9"/>
    <w:rsid w:val="004C47E0"/>
    <w:rsid w:val="004C5229"/>
    <w:rsid w:val="004C5C48"/>
    <w:rsid w:val="004C5E51"/>
    <w:rsid w:val="004C6755"/>
    <w:rsid w:val="004C7320"/>
    <w:rsid w:val="004D063D"/>
    <w:rsid w:val="004D3BB2"/>
    <w:rsid w:val="004D448E"/>
    <w:rsid w:val="004D4703"/>
    <w:rsid w:val="004D4858"/>
    <w:rsid w:val="004D5CED"/>
    <w:rsid w:val="004D7DA6"/>
    <w:rsid w:val="004E0291"/>
    <w:rsid w:val="004E0F97"/>
    <w:rsid w:val="004E12CE"/>
    <w:rsid w:val="004E13B0"/>
    <w:rsid w:val="004E3390"/>
    <w:rsid w:val="004E3668"/>
    <w:rsid w:val="004E3802"/>
    <w:rsid w:val="004E42F5"/>
    <w:rsid w:val="004E6587"/>
    <w:rsid w:val="004E774C"/>
    <w:rsid w:val="004E7850"/>
    <w:rsid w:val="004E7A8A"/>
    <w:rsid w:val="004E7B06"/>
    <w:rsid w:val="004F27FF"/>
    <w:rsid w:val="004F2B66"/>
    <w:rsid w:val="004F3840"/>
    <w:rsid w:val="004F5119"/>
    <w:rsid w:val="004F6ACC"/>
    <w:rsid w:val="004F7AA3"/>
    <w:rsid w:val="004F7B03"/>
    <w:rsid w:val="005017ED"/>
    <w:rsid w:val="005033ED"/>
    <w:rsid w:val="00504AE0"/>
    <w:rsid w:val="005052C6"/>
    <w:rsid w:val="00505D0B"/>
    <w:rsid w:val="0050729B"/>
    <w:rsid w:val="0051253D"/>
    <w:rsid w:val="0051446F"/>
    <w:rsid w:val="0051464C"/>
    <w:rsid w:val="005148FB"/>
    <w:rsid w:val="00514CF3"/>
    <w:rsid w:val="00515BFB"/>
    <w:rsid w:val="005176E5"/>
    <w:rsid w:val="005206FC"/>
    <w:rsid w:val="00521C08"/>
    <w:rsid w:val="005223CB"/>
    <w:rsid w:val="005232AD"/>
    <w:rsid w:val="00523EE3"/>
    <w:rsid w:val="00526576"/>
    <w:rsid w:val="005274E7"/>
    <w:rsid w:val="0053085B"/>
    <w:rsid w:val="005321A7"/>
    <w:rsid w:val="00532E1F"/>
    <w:rsid w:val="00532F0B"/>
    <w:rsid w:val="0053399E"/>
    <w:rsid w:val="0053583E"/>
    <w:rsid w:val="00535C12"/>
    <w:rsid w:val="00540610"/>
    <w:rsid w:val="00541094"/>
    <w:rsid w:val="00542368"/>
    <w:rsid w:val="00542843"/>
    <w:rsid w:val="005439B0"/>
    <w:rsid w:val="005446BA"/>
    <w:rsid w:val="005469A2"/>
    <w:rsid w:val="0055095E"/>
    <w:rsid w:val="00551D98"/>
    <w:rsid w:val="005543FE"/>
    <w:rsid w:val="005547CB"/>
    <w:rsid w:val="005551A5"/>
    <w:rsid w:val="00556072"/>
    <w:rsid w:val="00556C15"/>
    <w:rsid w:val="005605D3"/>
    <w:rsid w:val="005624CA"/>
    <w:rsid w:val="0056339D"/>
    <w:rsid w:val="00563756"/>
    <w:rsid w:val="00564D43"/>
    <w:rsid w:val="005659A4"/>
    <w:rsid w:val="005669DE"/>
    <w:rsid w:val="005677CC"/>
    <w:rsid w:val="005710FB"/>
    <w:rsid w:val="00571565"/>
    <w:rsid w:val="0057170D"/>
    <w:rsid w:val="005727CB"/>
    <w:rsid w:val="005743DF"/>
    <w:rsid w:val="00574F30"/>
    <w:rsid w:val="00580C4F"/>
    <w:rsid w:val="00580DE6"/>
    <w:rsid w:val="00581D2C"/>
    <w:rsid w:val="00583643"/>
    <w:rsid w:val="00583D37"/>
    <w:rsid w:val="00585D34"/>
    <w:rsid w:val="00585FF4"/>
    <w:rsid w:val="00586E83"/>
    <w:rsid w:val="00586EF4"/>
    <w:rsid w:val="005875A9"/>
    <w:rsid w:val="00587EA8"/>
    <w:rsid w:val="00592F48"/>
    <w:rsid w:val="00596074"/>
    <w:rsid w:val="005961B4"/>
    <w:rsid w:val="0059693E"/>
    <w:rsid w:val="005977FB"/>
    <w:rsid w:val="005A155A"/>
    <w:rsid w:val="005A1DA2"/>
    <w:rsid w:val="005A25BF"/>
    <w:rsid w:val="005A3B11"/>
    <w:rsid w:val="005A6E3C"/>
    <w:rsid w:val="005A7CD8"/>
    <w:rsid w:val="005B05EE"/>
    <w:rsid w:val="005B14F4"/>
    <w:rsid w:val="005B417D"/>
    <w:rsid w:val="005B42D1"/>
    <w:rsid w:val="005B4BB8"/>
    <w:rsid w:val="005C1D07"/>
    <w:rsid w:val="005C2F19"/>
    <w:rsid w:val="005C3110"/>
    <w:rsid w:val="005C363C"/>
    <w:rsid w:val="005C525B"/>
    <w:rsid w:val="005C545D"/>
    <w:rsid w:val="005C62E4"/>
    <w:rsid w:val="005C6A76"/>
    <w:rsid w:val="005C75A1"/>
    <w:rsid w:val="005D459D"/>
    <w:rsid w:val="005D55FF"/>
    <w:rsid w:val="005D5A01"/>
    <w:rsid w:val="005E002A"/>
    <w:rsid w:val="005E0FCD"/>
    <w:rsid w:val="005E1CBE"/>
    <w:rsid w:val="005E2C8B"/>
    <w:rsid w:val="005E2D6B"/>
    <w:rsid w:val="005E4C0D"/>
    <w:rsid w:val="005E4CDE"/>
    <w:rsid w:val="005E58F9"/>
    <w:rsid w:val="005E5A19"/>
    <w:rsid w:val="005E6B4B"/>
    <w:rsid w:val="005E7D9B"/>
    <w:rsid w:val="005F31C4"/>
    <w:rsid w:val="005F3433"/>
    <w:rsid w:val="005F3847"/>
    <w:rsid w:val="005F398C"/>
    <w:rsid w:val="005F3ECD"/>
    <w:rsid w:val="005F4599"/>
    <w:rsid w:val="005F631A"/>
    <w:rsid w:val="005F7126"/>
    <w:rsid w:val="005F7E92"/>
    <w:rsid w:val="00600564"/>
    <w:rsid w:val="0060089B"/>
    <w:rsid w:val="00601005"/>
    <w:rsid w:val="006012C9"/>
    <w:rsid w:val="0060150D"/>
    <w:rsid w:val="006040E0"/>
    <w:rsid w:val="00611730"/>
    <w:rsid w:val="00611FA0"/>
    <w:rsid w:val="006120C2"/>
    <w:rsid w:val="00614025"/>
    <w:rsid w:val="00615090"/>
    <w:rsid w:val="006160DC"/>
    <w:rsid w:val="0061694F"/>
    <w:rsid w:val="00616A78"/>
    <w:rsid w:val="006173FF"/>
    <w:rsid w:val="00617696"/>
    <w:rsid w:val="00620504"/>
    <w:rsid w:val="00620623"/>
    <w:rsid w:val="00620CA9"/>
    <w:rsid w:val="00623476"/>
    <w:rsid w:val="0062447C"/>
    <w:rsid w:val="00624538"/>
    <w:rsid w:val="00624693"/>
    <w:rsid w:val="00624726"/>
    <w:rsid w:val="00626022"/>
    <w:rsid w:val="00626082"/>
    <w:rsid w:val="0062738B"/>
    <w:rsid w:val="00627853"/>
    <w:rsid w:val="00631D91"/>
    <w:rsid w:val="0063214D"/>
    <w:rsid w:val="00633F6F"/>
    <w:rsid w:val="00634F27"/>
    <w:rsid w:val="00635775"/>
    <w:rsid w:val="00635DB7"/>
    <w:rsid w:val="00635F4D"/>
    <w:rsid w:val="00636232"/>
    <w:rsid w:val="006375B9"/>
    <w:rsid w:val="00640BB2"/>
    <w:rsid w:val="006455C7"/>
    <w:rsid w:val="006477FD"/>
    <w:rsid w:val="00650247"/>
    <w:rsid w:val="00650401"/>
    <w:rsid w:val="0065163F"/>
    <w:rsid w:val="00651877"/>
    <w:rsid w:val="00651BB1"/>
    <w:rsid w:val="00652317"/>
    <w:rsid w:val="00652AB6"/>
    <w:rsid w:val="00655719"/>
    <w:rsid w:val="00657CA9"/>
    <w:rsid w:val="00661ADC"/>
    <w:rsid w:val="0066319F"/>
    <w:rsid w:val="00664CE3"/>
    <w:rsid w:val="00665AB2"/>
    <w:rsid w:val="00665ABF"/>
    <w:rsid w:val="00666B21"/>
    <w:rsid w:val="006707A9"/>
    <w:rsid w:val="00670A4D"/>
    <w:rsid w:val="00670E21"/>
    <w:rsid w:val="006731B9"/>
    <w:rsid w:val="00673916"/>
    <w:rsid w:val="00673FDA"/>
    <w:rsid w:val="006779B4"/>
    <w:rsid w:val="006779C9"/>
    <w:rsid w:val="006804ED"/>
    <w:rsid w:val="00680F14"/>
    <w:rsid w:val="0068185E"/>
    <w:rsid w:val="006819C0"/>
    <w:rsid w:val="00681ED0"/>
    <w:rsid w:val="006825CA"/>
    <w:rsid w:val="006829E7"/>
    <w:rsid w:val="00683253"/>
    <w:rsid w:val="0068440D"/>
    <w:rsid w:val="006854B0"/>
    <w:rsid w:val="00686000"/>
    <w:rsid w:val="0068677A"/>
    <w:rsid w:val="00686845"/>
    <w:rsid w:val="00686FB5"/>
    <w:rsid w:val="00687731"/>
    <w:rsid w:val="00688929"/>
    <w:rsid w:val="00690974"/>
    <w:rsid w:val="00691AB2"/>
    <w:rsid w:val="006921BD"/>
    <w:rsid w:val="006922B4"/>
    <w:rsid w:val="00692FCD"/>
    <w:rsid w:val="006935D9"/>
    <w:rsid w:val="00693E3D"/>
    <w:rsid w:val="0069483E"/>
    <w:rsid w:val="00695047"/>
    <w:rsid w:val="00696B2D"/>
    <w:rsid w:val="006A0468"/>
    <w:rsid w:val="006A256D"/>
    <w:rsid w:val="006A5608"/>
    <w:rsid w:val="006A5C75"/>
    <w:rsid w:val="006A6441"/>
    <w:rsid w:val="006A6B97"/>
    <w:rsid w:val="006A7CA3"/>
    <w:rsid w:val="006B1980"/>
    <w:rsid w:val="006B1F17"/>
    <w:rsid w:val="006B1FDD"/>
    <w:rsid w:val="006B280D"/>
    <w:rsid w:val="006B300B"/>
    <w:rsid w:val="006B3464"/>
    <w:rsid w:val="006B353E"/>
    <w:rsid w:val="006B3C0B"/>
    <w:rsid w:val="006B3C60"/>
    <w:rsid w:val="006C0399"/>
    <w:rsid w:val="006C03B2"/>
    <w:rsid w:val="006C068B"/>
    <w:rsid w:val="006C2B3B"/>
    <w:rsid w:val="006C4469"/>
    <w:rsid w:val="006C6599"/>
    <w:rsid w:val="006C768D"/>
    <w:rsid w:val="006D05D8"/>
    <w:rsid w:val="006D1EBF"/>
    <w:rsid w:val="006D3160"/>
    <w:rsid w:val="006D378C"/>
    <w:rsid w:val="006D46F1"/>
    <w:rsid w:val="006D665D"/>
    <w:rsid w:val="006E059E"/>
    <w:rsid w:val="006E0780"/>
    <w:rsid w:val="006E0A5F"/>
    <w:rsid w:val="006E122F"/>
    <w:rsid w:val="006E141C"/>
    <w:rsid w:val="006E26BB"/>
    <w:rsid w:val="006E34EF"/>
    <w:rsid w:val="006E4176"/>
    <w:rsid w:val="006E482E"/>
    <w:rsid w:val="006E5251"/>
    <w:rsid w:val="006F0095"/>
    <w:rsid w:val="006F1460"/>
    <w:rsid w:val="006F166D"/>
    <w:rsid w:val="006F1BC2"/>
    <w:rsid w:val="006F1C7B"/>
    <w:rsid w:val="006F26CE"/>
    <w:rsid w:val="006F2C42"/>
    <w:rsid w:val="006F6F0A"/>
    <w:rsid w:val="006F7198"/>
    <w:rsid w:val="00700052"/>
    <w:rsid w:val="0070063C"/>
    <w:rsid w:val="007007C3"/>
    <w:rsid w:val="00702E08"/>
    <w:rsid w:val="00703C23"/>
    <w:rsid w:val="00704E2D"/>
    <w:rsid w:val="00706EC2"/>
    <w:rsid w:val="00707851"/>
    <w:rsid w:val="00707D05"/>
    <w:rsid w:val="00710305"/>
    <w:rsid w:val="00710E29"/>
    <w:rsid w:val="007115E3"/>
    <w:rsid w:val="00712140"/>
    <w:rsid w:val="00712834"/>
    <w:rsid w:val="00713417"/>
    <w:rsid w:val="00714209"/>
    <w:rsid w:val="00715FAA"/>
    <w:rsid w:val="007174A5"/>
    <w:rsid w:val="00717DC0"/>
    <w:rsid w:val="007228DE"/>
    <w:rsid w:val="0072356F"/>
    <w:rsid w:val="007241BE"/>
    <w:rsid w:val="00724ED6"/>
    <w:rsid w:val="00724FCB"/>
    <w:rsid w:val="00730389"/>
    <w:rsid w:val="00732227"/>
    <w:rsid w:val="0073331C"/>
    <w:rsid w:val="00733825"/>
    <w:rsid w:val="0073544A"/>
    <w:rsid w:val="00735D30"/>
    <w:rsid w:val="00737181"/>
    <w:rsid w:val="007372F1"/>
    <w:rsid w:val="007377E3"/>
    <w:rsid w:val="0074092C"/>
    <w:rsid w:val="007414D8"/>
    <w:rsid w:val="007427CB"/>
    <w:rsid w:val="00742DD6"/>
    <w:rsid w:val="00743B84"/>
    <w:rsid w:val="007447D6"/>
    <w:rsid w:val="0075010F"/>
    <w:rsid w:val="007512EC"/>
    <w:rsid w:val="007547B9"/>
    <w:rsid w:val="00755B8F"/>
    <w:rsid w:val="00757E2A"/>
    <w:rsid w:val="007625BA"/>
    <w:rsid w:val="00762D04"/>
    <w:rsid w:val="0076362F"/>
    <w:rsid w:val="00763737"/>
    <w:rsid w:val="00763E0B"/>
    <w:rsid w:val="007648E4"/>
    <w:rsid w:val="00764DB0"/>
    <w:rsid w:val="0077289E"/>
    <w:rsid w:val="00772E7C"/>
    <w:rsid w:val="007746E9"/>
    <w:rsid w:val="007749B7"/>
    <w:rsid w:val="00774B9D"/>
    <w:rsid w:val="007751F3"/>
    <w:rsid w:val="0077573F"/>
    <w:rsid w:val="0077597D"/>
    <w:rsid w:val="00775D16"/>
    <w:rsid w:val="00777896"/>
    <w:rsid w:val="00777DC6"/>
    <w:rsid w:val="007806A1"/>
    <w:rsid w:val="00780CB6"/>
    <w:rsid w:val="0078306E"/>
    <w:rsid w:val="00783E09"/>
    <w:rsid w:val="00790333"/>
    <w:rsid w:val="00790F3A"/>
    <w:rsid w:val="00793ABD"/>
    <w:rsid w:val="00794710"/>
    <w:rsid w:val="00796FBE"/>
    <w:rsid w:val="007A0D49"/>
    <w:rsid w:val="007A107A"/>
    <w:rsid w:val="007A2DFF"/>
    <w:rsid w:val="007A3D69"/>
    <w:rsid w:val="007A3E06"/>
    <w:rsid w:val="007A4636"/>
    <w:rsid w:val="007A4BB2"/>
    <w:rsid w:val="007A6749"/>
    <w:rsid w:val="007A69F8"/>
    <w:rsid w:val="007A7BA9"/>
    <w:rsid w:val="007B050D"/>
    <w:rsid w:val="007B109F"/>
    <w:rsid w:val="007B1CA1"/>
    <w:rsid w:val="007B255C"/>
    <w:rsid w:val="007B267D"/>
    <w:rsid w:val="007B41CA"/>
    <w:rsid w:val="007B41D9"/>
    <w:rsid w:val="007B4B06"/>
    <w:rsid w:val="007B6583"/>
    <w:rsid w:val="007C0936"/>
    <w:rsid w:val="007C096F"/>
    <w:rsid w:val="007C0D01"/>
    <w:rsid w:val="007C13FE"/>
    <w:rsid w:val="007C1D97"/>
    <w:rsid w:val="007C2879"/>
    <w:rsid w:val="007C353B"/>
    <w:rsid w:val="007C40CF"/>
    <w:rsid w:val="007C63B1"/>
    <w:rsid w:val="007C7086"/>
    <w:rsid w:val="007C7D5F"/>
    <w:rsid w:val="007D08CF"/>
    <w:rsid w:val="007D0A47"/>
    <w:rsid w:val="007D3959"/>
    <w:rsid w:val="007D4013"/>
    <w:rsid w:val="007D46E1"/>
    <w:rsid w:val="007D5387"/>
    <w:rsid w:val="007D7331"/>
    <w:rsid w:val="007D76D3"/>
    <w:rsid w:val="007E2943"/>
    <w:rsid w:val="007E2BFE"/>
    <w:rsid w:val="007E2E7E"/>
    <w:rsid w:val="007E305A"/>
    <w:rsid w:val="007E347C"/>
    <w:rsid w:val="007E39E5"/>
    <w:rsid w:val="007E3D7B"/>
    <w:rsid w:val="007E499A"/>
    <w:rsid w:val="007E69A7"/>
    <w:rsid w:val="007E7A1D"/>
    <w:rsid w:val="007E7B7D"/>
    <w:rsid w:val="007F086D"/>
    <w:rsid w:val="007F10B2"/>
    <w:rsid w:val="007F20F3"/>
    <w:rsid w:val="007F29C9"/>
    <w:rsid w:val="007F30D6"/>
    <w:rsid w:val="007F3232"/>
    <w:rsid w:val="007F3958"/>
    <w:rsid w:val="007F39A6"/>
    <w:rsid w:val="007F3C5C"/>
    <w:rsid w:val="007F48AE"/>
    <w:rsid w:val="007F4CA3"/>
    <w:rsid w:val="007F6308"/>
    <w:rsid w:val="00801BB7"/>
    <w:rsid w:val="00802696"/>
    <w:rsid w:val="00803FF1"/>
    <w:rsid w:val="00805581"/>
    <w:rsid w:val="00805977"/>
    <w:rsid w:val="00805B19"/>
    <w:rsid w:val="00812F3B"/>
    <w:rsid w:val="0081351A"/>
    <w:rsid w:val="00813E8F"/>
    <w:rsid w:val="00814EF7"/>
    <w:rsid w:val="00814F5A"/>
    <w:rsid w:val="00815E7E"/>
    <w:rsid w:val="00816382"/>
    <w:rsid w:val="00817C3D"/>
    <w:rsid w:val="00817E26"/>
    <w:rsid w:val="00820E7D"/>
    <w:rsid w:val="0082106A"/>
    <w:rsid w:val="00821B89"/>
    <w:rsid w:val="00821FE7"/>
    <w:rsid w:val="00823771"/>
    <w:rsid w:val="00824A25"/>
    <w:rsid w:val="00824AAB"/>
    <w:rsid w:val="00824ACC"/>
    <w:rsid w:val="00825A3F"/>
    <w:rsid w:val="00825F90"/>
    <w:rsid w:val="00826090"/>
    <w:rsid w:val="008304FF"/>
    <w:rsid w:val="008317DB"/>
    <w:rsid w:val="00831A91"/>
    <w:rsid w:val="00831D60"/>
    <w:rsid w:val="00831F5D"/>
    <w:rsid w:val="00832104"/>
    <w:rsid w:val="00833E4A"/>
    <w:rsid w:val="00833E8B"/>
    <w:rsid w:val="0083524A"/>
    <w:rsid w:val="008359FD"/>
    <w:rsid w:val="00836CA4"/>
    <w:rsid w:val="00837120"/>
    <w:rsid w:val="008404F3"/>
    <w:rsid w:val="00840BB2"/>
    <w:rsid w:val="00844080"/>
    <w:rsid w:val="00844E80"/>
    <w:rsid w:val="008453AD"/>
    <w:rsid w:val="00846AE7"/>
    <w:rsid w:val="008477A1"/>
    <w:rsid w:val="0084794C"/>
    <w:rsid w:val="00847BB1"/>
    <w:rsid w:val="00847D50"/>
    <w:rsid w:val="00850528"/>
    <w:rsid w:val="00850DB6"/>
    <w:rsid w:val="008512B5"/>
    <w:rsid w:val="00851B36"/>
    <w:rsid w:val="00851C0D"/>
    <w:rsid w:val="00853A7F"/>
    <w:rsid w:val="00853D34"/>
    <w:rsid w:val="0085479A"/>
    <w:rsid w:val="00854865"/>
    <w:rsid w:val="00854DD5"/>
    <w:rsid w:val="00855EC7"/>
    <w:rsid w:val="0085652F"/>
    <w:rsid w:val="00856A25"/>
    <w:rsid w:val="0085705E"/>
    <w:rsid w:val="008571AD"/>
    <w:rsid w:val="00860A63"/>
    <w:rsid w:val="00860E3C"/>
    <w:rsid w:val="008612A9"/>
    <w:rsid w:val="008626BB"/>
    <w:rsid w:val="00862F98"/>
    <w:rsid w:val="00863227"/>
    <w:rsid w:val="00863431"/>
    <w:rsid w:val="008635C6"/>
    <w:rsid w:val="00864CF6"/>
    <w:rsid w:val="00865966"/>
    <w:rsid w:val="0086729D"/>
    <w:rsid w:val="00867B71"/>
    <w:rsid w:val="008705A3"/>
    <w:rsid w:val="00870D80"/>
    <w:rsid w:val="0087473C"/>
    <w:rsid w:val="008779FC"/>
    <w:rsid w:val="00877C8E"/>
    <w:rsid w:val="00880691"/>
    <w:rsid w:val="0088174B"/>
    <w:rsid w:val="00882414"/>
    <w:rsid w:val="00882767"/>
    <w:rsid w:val="00883A1F"/>
    <w:rsid w:val="00883B32"/>
    <w:rsid w:val="00883F98"/>
    <w:rsid w:val="008843B0"/>
    <w:rsid w:val="008870AD"/>
    <w:rsid w:val="00887E57"/>
    <w:rsid w:val="0089081A"/>
    <w:rsid w:val="00890BDC"/>
    <w:rsid w:val="00891762"/>
    <w:rsid w:val="00891AAB"/>
    <w:rsid w:val="008934E3"/>
    <w:rsid w:val="00893535"/>
    <w:rsid w:val="008938B5"/>
    <w:rsid w:val="00894A4B"/>
    <w:rsid w:val="00894D06"/>
    <w:rsid w:val="00894FDA"/>
    <w:rsid w:val="00895086"/>
    <w:rsid w:val="00895C9C"/>
    <w:rsid w:val="008A0E16"/>
    <w:rsid w:val="008A27A2"/>
    <w:rsid w:val="008A2A49"/>
    <w:rsid w:val="008A2A63"/>
    <w:rsid w:val="008A2E32"/>
    <w:rsid w:val="008A5032"/>
    <w:rsid w:val="008A57B0"/>
    <w:rsid w:val="008B01B8"/>
    <w:rsid w:val="008B0C45"/>
    <w:rsid w:val="008B3043"/>
    <w:rsid w:val="008B461E"/>
    <w:rsid w:val="008B4804"/>
    <w:rsid w:val="008B5038"/>
    <w:rsid w:val="008C2BC8"/>
    <w:rsid w:val="008C39BA"/>
    <w:rsid w:val="008C43AD"/>
    <w:rsid w:val="008C4419"/>
    <w:rsid w:val="008C4A2E"/>
    <w:rsid w:val="008C5160"/>
    <w:rsid w:val="008D07C9"/>
    <w:rsid w:val="008D0F67"/>
    <w:rsid w:val="008D178D"/>
    <w:rsid w:val="008D2464"/>
    <w:rsid w:val="008D3F45"/>
    <w:rsid w:val="008D4461"/>
    <w:rsid w:val="008D4547"/>
    <w:rsid w:val="008D4578"/>
    <w:rsid w:val="008D6087"/>
    <w:rsid w:val="008D6F34"/>
    <w:rsid w:val="008E0E24"/>
    <w:rsid w:val="008E18DC"/>
    <w:rsid w:val="008E1CC1"/>
    <w:rsid w:val="008E23FA"/>
    <w:rsid w:val="008E297D"/>
    <w:rsid w:val="008E3E82"/>
    <w:rsid w:val="008E4EFB"/>
    <w:rsid w:val="008E5091"/>
    <w:rsid w:val="008F14DF"/>
    <w:rsid w:val="008F2324"/>
    <w:rsid w:val="008F2B46"/>
    <w:rsid w:val="008F2E08"/>
    <w:rsid w:val="008F460F"/>
    <w:rsid w:val="008F4E20"/>
    <w:rsid w:val="008F5251"/>
    <w:rsid w:val="008F5DF0"/>
    <w:rsid w:val="008F6EB8"/>
    <w:rsid w:val="00901337"/>
    <w:rsid w:val="0090385D"/>
    <w:rsid w:val="009044B4"/>
    <w:rsid w:val="00905B89"/>
    <w:rsid w:val="00905DB5"/>
    <w:rsid w:val="00906488"/>
    <w:rsid w:val="00907271"/>
    <w:rsid w:val="00907CEA"/>
    <w:rsid w:val="009105A5"/>
    <w:rsid w:val="0091074A"/>
    <w:rsid w:val="0091094E"/>
    <w:rsid w:val="009117F3"/>
    <w:rsid w:val="00914F50"/>
    <w:rsid w:val="009151F0"/>
    <w:rsid w:val="0091556A"/>
    <w:rsid w:val="00917F94"/>
    <w:rsid w:val="00923C83"/>
    <w:rsid w:val="00924D00"/>
    <w:rsid w:val="0092633C"/>
    <w:rsid w:val="00926426"/>
    <w:rsid w:val="0092700D"/>
    <w:rsid w:val="00932EF2"/>
    <w:rsid w:val="00933844"/>
    <w:rsid w:val="009339CC"/>
    <w:rsid w:val="009347EA"/>
    <w:rsid w:val="00935B1D"/>
    <w:rsid w:val="00935E01"/>
    <w:rsid w:val="009363E6"/>
    <w:rsid w:val="00936CE5"/>
    <w:rsid w:val="00937E41"/>
    <w:rsid w:val="0094062F"/>
    <w:rsid w:val="00941169"/>
    <w:rsid w:val="00941C03"/>
    <w:rsid w:val="00941D07"/>
    <w:rsid w:val="00941DCB"/>
    <w:rsid w:val="009428E1"/>
    <w:rsid w:val="00942ED3"/>
    <w:rsid w:val="009438A7"/>
    <w:rsid w:val="009477B3"/>
    <w:rsid w:val="00950FC2"/>
    <w:rsid w:val="00953F5A"/>
    <w:rsid w:val="00954B9C"/>
    <w:rsid w:val="0095668C"/>
    <w:rsid w:val="00956F72"/>
    <w:rsid w:val="0096083C"/>
    <w:rsid w:val="00960B4B"/>
    <w:rsid w:val="00961381"/>
    <w:rsid w:val="00961C25"/>
    <w:rsid w:val="00962187"/>
    <w:rsid w:val="009623F5"/>
    <w:rsid w:val="009625A8"/>
    <w:rsid w:val="00962CB1"/>
    <w:rsid w:val="00965217"/>
    <w:rsid w:val="00966EF5"/>
    <w:rsid w:val="009674B4"/>
    <w:rsid w:val="00970421"/>
    <w:rsid w:val="009728CB"/>
    <w:rsid w:val="00972CEA"/>
    <w:rsid w:val="0097552D"/>
    <w:rsid w:val="00975EC4"/>
    <w:rsid w:val="0097697B"/>
    <w:rsid w:val="009774ED"/>
    <w:rsid w:val="00977DDE"/>
    <w:rsid w:val="0098046D"/>
    <w:rsid w:val="00980ACF"/>
    <w:rsid w:val="0098278B"/>
    <w:rsid w:val="00983D0F"/>
    <w:rsid w:val="00986CA7"/>
    <w:rsid w:val="00990001"/>
    <w:rsid w:val="00990061"/>
    <w:rsid w:val="009901E4"/>
    <w:rsid w:val="009907C5"/>
    <w:rsid w:val="00990CFD"/>
    <w:rsid w:val="00992C0D"/>
    <w:rsid w:val="009932CD"/>
    <w:rsid w:val="00996874"/>
    <w:rsid w:val="00997957"/>
    <w:rsid w:val="009A0B30"/>
    <w:rsid w:val="009A117D"/>
    <w:rsid w:val="009A1209"/>
    <w:rsid w:val="009A1A95"/>
    <w:rsid w:val="009A3D52"/>
    <w:rsid w:val="009A5005"/>
    <w:rsid w:val="009A5060"/>
    <w:rsid w:val="009A5A9E"/>
    <w:rsid w:val="009A6494"/>
    <w:rsid w:val="009A778B"/>
    <w:rsid w:val="009B3135"/>
    <w:rsid w:val="009B314C"/>
    <w:rsid w:val="009B4F75"/>
    <w:rsid w:val="009B59BE"/>
    <w:rsid w:val="009B64C7"/>
    <w:rsid w:val="009B7862"/>
    <w:rsid w:val="009B7ED5"/>
    <w:rsid w:val="009C0676"/>
    <w:rsid w:val="009C1B6C"/>
    <w:rsid w:val="009C1E93"/>
    <w:rsid w:val="009C3A0E"/>
    <w:rsid w:val="009C4BF3"/>
    <w:rsid w:val="009C4CA4"/>
    <w:rsid w:val="009C5999"/>
    <w:rsid w:val="009C5D4C"/>
    <w:rsid w:val="009C7969"/>
    <w:rsid w:val="009D1757"/>
    <w:rsid w:val="009D6B9F"/>
    <w:rsid w:val="009D6ED6"/>
    <w:rsid w:val="009D75A2"/>
    <w:rsid w:val="009D7903"/>
    <w:rsid w:val="009E085C"/>
    <w:rsid w:val="009E0F64"/>
    <w:rsid w:val="009E1AA0"/>
    <w:rsid w:val="009E3380"/>
    <w:rsid w:val="009E3F90"/>
    <w:rsid w:val="009E510B"/>
    <w:rsid w:val="009E6332"/>
    <w:rsid w:val="009F0258"/>
    <w:rsid w:val="009F0EF2"/>
    <w:rsid w:val="009F429E"/>
    <w:rsid w:val="009F48CA"/>
    <w:rsid w:val="009F4A9D"/>
    <w:rsid w:val="009F5AE9"/>
    <w:rsid w:val="009F7A60"/>
    <w:rsid w:val="009F7D85"/>
    <w:rsid w:val="00A0141F"/>
    <w:rsid w:val="00A01CA6"/>
    <w:rsid w:val="00A02329"/>
    <w:rsid w:val="00A0287F"/>
    <w:rsid w:val="00A02993"/>
    <w:rsid w:val="00A03AFB"/>
    <w:rsid w:val="00A04C69"/>
    <w:rsid w:val="00A057D9"/>
    <w:rsid w:val="00A05D9F"/>
    <w:rsid w:val="00A06D3B"/>
    <w:rsid w:val="00A07E6C"/>
    <w:rsid w:val="00A1007C"/>
    <w:rsid w:val="00A10900"/>
    <w:rsid w:val="00A112B1"/>
    <w:rsid w:val="00A12B10"/>
    <w:rsid w:val="00A132FE"/>
    <w:rsid w:val="00A139CB"/>
    <w:rsid w:val="00A13D14"/>
    <w:rsid w:val="00A14B95"/>
    <w:rsid w:val="00A176FE"/>
    <w:rsid w:val="00A1778D"/>
    <w:rsid w:val="00A17A80"/>
    <w:rsid w:val="00A20323"/>
    <w:rsid w:val="00A21846"/>
    <w:rsid w:val="00A21B8C"/>
    <w:rsid w:val="00A270D0"/>
    <w:rsid w:val="00A27A35"/>
    <w:rsid w:val="00A315E3"/>
    <w:rsid w:val="00A317D1"/>
    <w:rsid w:val="00A32AEA"/>
    <w:rsid w:val="00A33D40"/>
    <w:rsid w:val="00A35275"/>
    <w:rsid w:val="00A3692C"/>
    <w:rsid w:val="00A371A1"/>
    <w:rsid w:val="00A3728C"/>
    <w:rsid w:val="00A4079C"/>
    <w:rsid w:val="00A40BEF"/>
    <w:rsid w:val="00A4119E"/>
    <w:rsid w:val="00A413DC"/>
    <w:rsid w:val="00A419CB"/>
    <w:rsid w:val="00A42800"/>
    <w:rsid w:val="00A43280"/>
    <w:rsid w:val="00A441C1"/>
    <w:rsid w:val="00A44317"/>
    <w:rsid w:val="00A445D1"/>
    <w:rsid w:val="00A44D0F"/>
    <w:rsid w:val="00A46DD1"/>
    <w:rsid w:val="00A47BC1"/>
    <w:rsid w:val="00A50AB6"/>
    <w:rsid w:val="00A51E04"/>
    <w:rsid w:val="00A51F5B"/>
    <w:rsid w:val="00A5334B"/>
    <w:rsid w:val="00A53B52"/>
    <w:rsid w:val="00A545C9"/>
    <w:rsid w:val="00A55774"/>
    <w:rsid w:val="00A600E0"/>
    <w:rsid w:val="00A61E43"/>
    <w:rsid w:val="00A67CAC"/>
    <w:rsid w:val="00A7097D"/>
    <w:rsid w:val="00A71275"/>
    <w:rsid w:val="00A71B00"/>
    <w:rsid w:val="00A71EFA"/>
    <w:rsid w:val="00A72C3A"/>
    <w:rsid w:val="00A74C70"/>
    <w:rsid w:val="00A77C46"/>
    <w:rsid w:val="00A8002B"/>
    <w:rsid w:val="00A80050"/>
    <w:rsid w:val="00A834AB"/>
    <w:rsid w:val="00A84662"/>
    <w:rsid w:val="00A8524B"/>
    <w:rsid w:val="00A86160"/>
    <w:rsid w:val="00A878F7"/>
    <w:rsid w:val="00A8794B"/>
    <w:rsid w:val="00A902E0"/>
    <w:rsid w:val="00A91201"/>
    <w:rsid w:val="00A91B72"/>
    <w:rsid w:val="00A933A0"/>
    <w:rsid w:val="00A936A4"/>
    <w:rsid w:val="00A9460D"/>
    <w:rsid w:val="00A95592"/>
    <w:rsid w:val="00A95DB0"/>
    <w:rsid w:val="00A95F07"/>
    <w:rsid w:val="00AA193F"/>
    <w:rsid w:val="00AA2597"/>
    <w:rsid w:val="00AA3833"/>
    <w:rsid w:val="00AA4410"/>
    <w:rsid w:val="00AA5E3E"/>
    <w:rsid w:val="00AA6331"/>
    <w:rsid w:val="00AB10C0"/>
    <w:rsid w:val="00AB156F"/>
    <w:rsid w:val="00AB1CAC"/>
    <w:rsid w:val="00AB3B36"/>
    <w:rsid w:val="00AB5331"/>
    <w:rsid w:val="00AB770D"/>
    <w:rsid w:val="00AB7B42"/>
    <w:rsid w:val="00AB7BA5"/>
    <w:rsid w:val="00AC0818"/>
    <w:rsid w:val="00AC1DF2"/>
    <w:rsid w:val="00AC3426"/>
    <w:rsid w:val="00AC413A"/>
    <w:rsid w:val="00AC5228"/>
    <w:rsid w:val="00AC562E"/>
    <w:rsid w:val="00AC6390"/>
    <w:rsid w:val="00AD0CD1"/>
    <w:rsid w:val="00AD3363"/>
    <w:rsid w:val="00AD3A85"/>
    <w:rsid w:val="00AD3D0A"/>
    <w:rsid w:val="00AD3EB9"/>
    <w:rsid w:val="00AD3F91"/>
    <w:rsid w:val="00AD55FD"/>
    <w:rsid w:val="00AE00DB"/>
    <w:rsid w:val="00AE0BEF"/>
    <w:rsid w:val="00AE1101"/>
    <w:rsid w:val="00AE148B"/>
    <w:rsid w:val="00AE1E77"/>
    <w:rsid w:val="00AE46DC"/>
    <w:rsid w:val="00AE5270"/>
    <w:rsid w:val="00AF2291"/>
    <w:rsid w:val="00AF4B37"/>
    <w:rsid w:val="00AF72FB"/>
    <w:rsid w:val="00AF75A9"/>
    <w:rsid w:val="00AF75E4"/>
    <w:rsid w:val="00AF7A37"/>
    <w:rsid w:val="00B00194"/>
    <w:rsid w:val="00B02DD9"/>
    <w:rsid w:val="00B054D6"/>
    <w:rsid w:val="00B059C2"/>
    <w:rsid w:val="00B06293"/>
    <w:rsid w:val="00B07F0A"/>
    <w:rsid w:val="00B10130"/>
    <w:rsid w:val="00B1070F"/>
    <w:rsid w:val="00B11793"/>
    <w:rsid w:val="00B126EA"/>
    <w:rsid w:val="00B14E5F"/>
    <w:rsid w:val="00B15780"/>
    <w:rsid w:val="00B17718"/>
    <w:rsid w:val="00B1792B"/>
    <w:rsid w:val="00B208FF"/>
    <w:rsid w:val="00B2276D"/>
    <w:rsid w:val="00B23DB7"/>
    <w:rsid w:val="00B25DBA"/>
    <w:rsid w:val="00B268E1"/>
    <w:rsid w:val="00B277EC"/>
    <w:rsid w:val="00B3163C"/>
    <w:rsid w:val="00B32743"/>
    <w:rsid w:val="00B3410E"/>
    <w:rsid w:val="00B3453B"/>
    <w:rsid w:val="00B365FE"/>
    <w:rsid w:val="00B37600"/>
    <w:rsid w:val="00B37807"/>
    <w:rsid w:val="00B41214"/>
    <w:rsid w:val="00B413B6"/>
    <w:rsid w:val="00B415BB"/>
    <w:rsid w:val="00B41F77"/>
    <w:rsid w:val="00B42066"/>
    <w:rsid w:val="00B435A7"/>
    <w:rsid w:val="00B43E6D"/>
    <w:rsid w:val="00B45035"/>
    <w:rsid w:val="00B4620F"/>
    <w:rsid w:val="00B46FE4"/>
    <w:rsid w:val="00B51B20"/>
    <w:rsid w:val="00B52D1E"/>
    <w:rsid w:val="00B53057"/>
    <w:rsid w:val="00B53E12"/>
    <w:rsid w:val="00B54051"/>
    <w:rsid w:val="00B54C39"/>
    <w:rsid w:val="00B64C28"/>
    <w:rsid w:val="00B65767"/>
    <w:rsid w:val="00B66006"/>
    <w:rsid w:val="00B66AB3"/>
    <w:rsid w:val="00B67ABC"/>
    <w:rsid w:val="00B70306"/>
    <w:rsid w:val="00B70AA4"/>
    <w:rsid w:val="00B73372"/>
    <w:rsid w:val="00B73726"/>
    <w:rsid w:val="00B74AD5"/>
    <w:rsid w:val="00B74DEE"/>
    <w:rsid w:val="00B751F4"/>
    <w:rsid w:val="00B7666C"/>
    <w:rsid w:val="00B76AD8"/>
    <w:rsid w:val="00B773E1"/>
    <w:rsid w:val="00B813DE"/>
    <w:rsid w:val="00B82719"/>
    <w:rsid w:val="00B834B3"/>
    <w:rsid w:val="00B8518C"/>
    <w:rsid w:val="00B85A6D"/>
    <w:rsid w:val="00B862AC"/>
    <w:rsid w:val="00B905AA"/>
    <w:rsid w:val="00B90607"/>
    <w:rsid w:val="00B947FB"/>
    <w:rsid w:val="00B94A20"/>
    <w:rsid w:val="00B96F03"/>
    <w:rsid w:val="00B97019"/>
    <w:rsid w:val="00B97278"/>
    <w:rsid w:val="00B97C3B"/>
    <w:rsid w:val="00BA0A57"/>
    <w:rsid w:val="00BA0AC1"/>
    <w:rsid w:val="00BA1BD0"/>
    <w:rsid w:val="00BA1D98"/>
    <w:rsid w:val="00BA217F"/>
    <w:rsid w:val="00BA246B"/>
    <w:rsid w:val="00BA2550"/>
    <w:rsid w:val="00BA34B8"/>
    <w:rsid w:val="00BA4535"/>
    <w:rsid w:val="00BA5731"/>
    <w:rsid w:val="00BA5FA8"/>
    <w:rsid w:val="00BA6EDA"/>
    <w:rsid w:val="00BA7610"/>
    <w:rsid w:val="00BA774A"/>
    <w:rsid w:val="00BB1EB4"/>
    <w:rsid w:val="00BB2D16"/>
    <w:rsid w:val="00BB34C5"/>
    <w:rsid w:val="00BB3F2B"/>
    <w:rsid w:val="00BB5247"/>
    <w:rsid w:val="00BB617B"/>
    <w:rsid w:val="00BC0728"/>
    <w:rsid w:val="00BC116D"/>
    <w:rsid w:val="00BC17B7"/>
    <w:rsid w:val="00BC184B"/>
    <w:rsid w:val="00BC223F"/>
    <w:rsid w:val="00BC230E"/>
    <w:rsid w:val="00BC234B"/>
    <w:rsid w:val="00BC3574"/>
    <w:rsid w:val="00BC4241"/>
    <w:rsid w:val="00BC6696"/>
    <w:rsid w:val="00BC6EB3"/>
    <w:rsid w:val="00BC74CC"/>
    <w:rsid w:val="00BD02DF"/>
    <w:rsid w:val="00BD1B25"/>
    <w:rsid w:val="00BD1F87"/>
    <w:rsid w:val="00BD2160"/>
    <w:rsid w:val="00BD3A2D"/>
    <w:rsid w:val="00BD556D"/>
    <w:rsid w:val="00BD5D3D"/>
    <w:rsid w:val="00BD6E12"/>
    <w:rsid w:val="00BD71E1"/>
    <w:rsid w:val="00BD75F1"/>
    <w:rsid w:val="00BD7672"/>
    <w:rsid w:val="00BD7F13"/>
    <w:rsid w:val="00BE1EB5"/>
    <w:rsid w:val="00BE2B57"/>
    <w:rsid w:val="00BE48AD"/>
    <w:rsid w:val="00BE60FC"/>
    <w:rsid w:val="00BE6564"/>
    <w:rsid w:val="00BE7651"/>
    <w:rsid w:val="00BE7737"/>
    <w:rsid w:val="00BF27F8"/>
    <w:rsid w:val="00BF29A8"/>
    <w:rsid w:val="00BF31DF"/>
    <w:rsid w:val="00BF3323"/>
    <w:rsid w:val="00BF4984"/>
    <w:rsid w:val="00C002F6"/>
    <w:rsid w:val="00C003CA"/>
    <w:rsid w:val="00C0214B"/>
    <w:rsid w:val="00C030A0"/>
    <w:rsid w:val="00C05F39"/>
    <w:rsid w:val="00C0666D"/>
    <w:rsid w:val="00C102F7"/>
    <w:rsid w:val="00C1281E"/>
    <w:rsid w:val="00C12C3D"/>
    <w:rsid w:val="00C1321D"/>
    <w:rsid w:val="00C1366A"/>
    <w:rsid w:val="00C1423E"/>
    <w:rsid w:val="00C14FF7"/>
    <w:rsid w:val="00C15F11"/>
    <w:rsid w:val="00C2013E"/>
    <w:rsid w:val="00C20896"/>
    <w:rsid w:val="00C23089"/>
    <w:rsid w:val="00C23733"/>
    <w:rsid w:val="00C2437E"/>
    <w:rsid w:val="00C25B98"/>
    <w:rsid w:val="00C2691C"/>
    <w:rsid w:val="00C26A0D"/>
    <w:rsid w:val="00C2707A"/>
    <w:rsid w:val="00C27270"/>
    <w:rsid w:val="00C273E8"/>
    <w:rsid w:val="00C27787"/>
    <w:rsid w:val="00C3087A"/>
    <w:rsid w:val="00C310C3"/>
    <w:rsid w:val="00C310D3"/>
    <w:rsid w:val="00C31311"/>
    <w:rsid w:val="00C314BB"/>
    <w:rsid w:val="00C3186F"/>
    <w:rsid w:val="00C331E2"/>
    <w:rsid w:val="00C33B6C"/>
    <w:rsid w:val="00C358B4"/>
    <w:rsid w:val="00C36A2A"/>
    <w:rsid w:val="00C37181"/>
    <w:rsid w:val="00C41557"/>
    <w:rsid w:val="00C41F1C"/>
    <w:rsid w:val="00C442FE"/>
    <w:rsid w:val="00C444F8"/>
    <w:rsid w:val="00C5048A"/>
    <w:rsid w:val="00C50E29"/>
    <w:rsid w:val="00C51061"/>
    <w:rsid w:val="00C52412"/>
    <w:rsid w:val="00C52FF4"/>
    <w:rsid w:val="00C53AF1"/>
    <w:rsid w:val="00C53CB0"/>
    <w:rsid w:val="00C54C2B"/>
    <w:rsid w:val="00C54FB4"/>
    <w:rsid w:val="00C602A5"/>
    <w:rsid w:val="00C60EDA"/>
    <w:rsid w:val="00C627E1"/>
    <w:rsid w:val="00C64749"/>
    <w:rsid w:val="00C64CE1"/>
    <w:rsid w:val="00C66188"/>
    <w:rsid w:val="00C66360"/>
    <w:rsid w:val="00C67897"/>
    <w:rsid w:val="00C72534"/>
    <w:rsid w:val="00C72ACD"/>
    <w:rsid w:val="00C72C93"/>
    <w:rsid w:val="00C72E9C"/>
    <w:rsid w:val="00C73FEC"/>
    <w:rsid w:val="00C742A2"/>
    <w:rsid w:val="00C746FC"/>
    <w:rsid w:val="00C75C77"/>
    <w:rsid w:val="00C80413"/>
    <w:rsid w:val="00C80755"/>
    <w:rsid w:val="00C80AC8"/>
    <w:rsid w:val="00C80CD1"/>
    <w:rsid w:val="00C85903"/>
    <w:rsid w:val="00C8604A"/>
    <w:rsid w:val="00C8664C"/>
    <w:rsid w:val="00C870FE"/>
    <w:rsid w:val="00C87A1F"/>
    <w:rsid w:val="00C91DBB"/>
    <w:rsid w:val="00C935D4"/>
    <w:rsid w:val="00C95C07"/>
    <w:rsid w:val="00C976CE"/>
    <w:rsid w:val="00CA1F62"/>
    <w:rsid w:val="00CA25FE"/>
    <w:rsid w:val="00CA2C03"/>
    <w:rsid w:val="00CA2D56"/>
    <w:rsid w:val="00CA3064"/>
    <w:rsid w:val="00CA36B3"/>
    <w:rsid w:val="00CA57D1"/>
    <w:rsid w:val="00CA5C26"/>
    <w:rsid w:val="00CB135D"/>
    <w:rsid w:val="00CB1B76"/>
    <w:rsid w:val="00CB2454"/>
    <w:rsid w:val="00CB372D"/>
    <w:rsid w:val="00CB48C1"/>
    <w:rsid w:val="00CB50D8"/>
    <w:rsid w:val="00CB5808"/>
    <w:rsid w:val="00CB661C"/>
    <w:rsid w:val="00CB6E29"/>
    <w:rsid w:val="00CC1D25"/>
    <w:rsid w:val="00CC5C23"/>
    <w:rsid w:val="00CC68A0"/>
    <w:rsid w:val="00CC771F"/>
    <w:rsid w:val="00CC7769"/>
    <w:rsid w:val="00CD07F9"/>
    <w:rsid w:val="00CD2D88"/>
    <w:rsid w:val="00CD35F8"/>
    <w:rsid w:val="00CD4398"/>
    <w:rsid w:val="00CD4995"/>
    <w:rsid w:val="00CD5583"/>
    <w:rsid w:val="00CD6855"/>
    <w:rsid w:val="00CE1E46"/>
    <w:rsid w:val="00CE2163"/>
    <w:rsid w:val="00CE276C"/>
    <w:rsid w:val="00CE3275"/>
    <w:rsid w:val="00CE533B"/>
    <w:rsid w:val="00CE6B92"/>
    <w:rsid w:val="00CE7113"/>
    <w:rsid w:val="00CE79B4"/>
    <w:rsid w:val="00CF0E5C"/>
    <w:rsid w:val="00CF16B1"/>
    <w:rsid w:val="00CF27D0"/>
    <w:rsid w:val="00CF4237"/>
    <w:rsid w:val="00CF4779"/>
    <w:rsid w:val="00CF51BF"/>
    <w:rsid w:val="00CF55D0"/>
    <w:rsid w:val="00D00AE4"/>
    <w:rsid w:val="00D0277A"/>
    <w:rsid w:val="00D02F75"/>
    <w:rsid w:val="00D03131"/>
    <w:rsid w:val="00D06F79"/>
    <w:rsid w:val="00D072EF"/>
    <w:rsid w:val="00D10872"/>
    <w:rsid w:val="00D12918"/>
    <w:rsid w:val="00D14761"/>
    <w:rsid w:val="00D14ECB"/>
    <w:rsid w:val="00D1522B"/>
    <w:rsid w:val="00D15467"/>
    <w:rsid w:val="00D15ABF"/>
    <w:rsid w:val="00D15DB3"/>
    <w:rsid w:val="00D17E98"/>
    <w:rsid w:val="00D17F27"/>
    <w:rsid w:val="00D201E2"/>
    <w:rsid w:val="00D202D8"/>
    <w:rsid w:val="00D209F9"/>
    <w:rsid w:val="00D211CB"/>
    <w:rsid w:val="00D21A58"/>
    <w:rsid w:val="00D22125"/>
    <w:rsid w:val="00D2286F"/>
    <w:rsid w:val="00D24491"/>
    <w:rsid w:val="00D24D5F"/>
    <w:rsid w:val="00D255E3"/>
    <w:rsid w:val="00D25A59"/>
    <w:rsid w:val="00D25DFB"/>
    <w:rsid w:val="00D27302"/>
    <w:rsid w:val="00D27776"/>
    <w:rsid w:val="00D27EA6"/>
    <w:rsid w:val="00D31149"/>
    <w:rsid w:val="00D32311"/>
    <w:rsid w:val="00D333B4"/>
    <w:rsid w:val="00D345AB"/>
    <w:rsid w:val="00D34928"/>
    <w:rsid w:val="00D354B2"/>
    <w:rsid w:val="00D373D9"/>
    <w:rsid w:val="00D402FF"/>
    <w:rsid w:val="00D42DFD"/>
    <w:rsid w:val="00D42FC2"/>
    <w:rsid w:val="00D43DBC"/>
    <w:rsid w:val="00D44AF9"/>
    <w:rsid w:val="00D44C58"/>
    <w:rsid w:val="00D44CB6"/>
    <w:rsid w:val="00D44E49"/>
    <w:rsid w:val="00D46176"/>
    <w:rsid w:val="00D46AA7"/>
    <w:rsid w:val="00D50D49"/>
    <w:rsid w:val="00D5274F"/>
    <w:rsid w:val="00D53F7D"/>
    <w:rsid w:val="00D55C50"/>
    <w:rsid w:val="00D56B53"/>
    <w:rsid w:val="00D56C45"/>
    <w:rsid w:val="00D60BAB"/>
    <w:rsid w:val="00D61475"/>
    <w:rsid w:val="00D62072"/>
    <w:rsid w:val="00D62209"/>
    <w:rsid w:val="00D62E17"/>
    <w:rsid w:val="00D63762"/>
    <w:rsid w:val="00D637AC"/>
    <w:rsid w:val="00D65B64"/>
    <w:rsid w:val="00D67512"/>
    <w:rsid w:val="00D67D2B"/>
    <w:rsid w:val="00D703E3"/>
    <w:rsid w:val="00D71EE4"/>
    <w:rsid w:val="00D74A02"/>
    <w:rsid w:val="00D758B0"/>
    <w:rsid w:val="00D80956"/>
    <w:rsid w:val="00D82809"/>
    <w:rsid w:val="00D83C63"/>
    <w:rsid w:val="00D84BF6"/>
    <w:rsid w:val="00D85A59"/>
    <w:rsid w:val="00D93731"/>
    <w:rsid w:val="00D9384E"/>
    <w:rsid w:val="00D957F2"/>
    <w:rsid w:val="00D97530"/>
    <w:rsid w:val="00D976BA"/>
    <w:rsid w:val="00D97953"/>
    <w:rsid w:val="00DA0302"/>
    <w:rsid w:val="00DA3804"/>
    <w:rsid w:val="00DA5382"/>
    <w:rsid w:val="00DA5AF6"/>
    <w:rsid w:val="00DA5B29"/>
    <w:rsid w:val="00DA67FB"/>
    <w:rsid w:val="00DB0335"/>
    <w:rsid w:val="00DB1870"/>
    <w:rsid w:val="00DB22EF"/>
    <w:rsid w:val="00DB2965"/>
    <w:rsid w:val="00DB301C"/>
    <w:rsid w:val="00DB3418"/>
    <w:rsid w:val="00DB40E4"/>
    <w:rsid w:val="00DB44F1"/>
    <w:rsid w:val="00DB4D03"/>
    <w:rsid w:val="00DB6ED0"/>
    <w:rsid w:val="00DC05F5"/>
    <w:rsid w:val="00DC1486"/>
    <w:rsid w:val="00DC1BAF"/>
    <w:rsid w:val="00DC1C20"/>
    <w:rsid w:val="00DC5932"/>
    <w:rsid w:val="00DD01C1"/>
    <w:rsid w:val="00DD031B"/>
    <w:rsid w:val="00DD084E"/>
    <w:rsid w:val="00DD08B7"/>
    <w:rsid w:val="00DD2436"/>
    <w:rsid w:val="00DD2AE2"/>
    <w:rsid w:val="00DD3FDD"/>
    <w:rsid w:val="00DD4763"/>
    <w:rsid w:val="00DE120F"/>
    <w:rsid w:val="00DE12AA"/>
    <w:rsid w:val="00DE1803"/>
    <w:rsid w:val="00DE2B4B"/>
    <w:rsid w:val="00DE4E0B"/>
    <w:rsid w:val="00DE6258"/>
    <w:rsid w:val="00DE6606"/>
    <w:rsid w:val="00DE685E"/>
    <w:rsid w:val="00DF2C23"/>
    <w:rsid w:val="00DF4B04"/>
    <w:rsid w:val="00DF7B80"/>
    <w:rsid w:val="00E008DF"/>
    <w:rsid w:val="00E019D4"/>
    <w:rsid w:val="00E03397"/>
    <w:rsid w:val="00E035B0"/>
    <w:rsid w:val="00E047B1"/>
    <w:rsid w:val="00E04A02"/>
    <w:rsid w:val="00E053CC"/>
    <w:rsid w:val="00E07FC6"/>
    <w:rsid w:val="00E127A8"/>
    <w:rsid w:val="00E13D93"/>
    <w:rsid w:val="00E14CB9"/>
    <w:rsid w:val="00E151C8"/>
    <w:rsid w:val="00E15D89"/>
    <w:rsid w:val="00E1655D"/>
    <w:rsid w:val="00E17B00"/>
    <w:rsid w:val="00E2164C"/>
    <w:rsid w:val="00E24749"/>
    <w:rsid w:val="00E262CC"/>
    <w:rsid w:val="00E2652C"/>
    <w:rsid w:val="00E27283"/>
    <w:rsid w:val="00E30807"/>
    <w:rsid w:val="00E308FB"/>
    <w:rsid w:val="00E323BC"/>
    <w:rsid w:val="00E3283C"/>
    <w:rsid w:val="00E3345D"/>
    <w:rsid w:val="00E33895"/>
    <w:rsid w:val="00E344EE"/>
    <w:rsid w:val="00E40679"/>
    <w:rsid w:val="00E41CF9"/>
    <w:rsid w:val="00E41E39"/>
    <w:rsid w:val="00E42640"/>
    <w:rsid w:val="00E434DF"/>
    <w:rsid w:val="00E4382A"/>
    <w:rsid w:val="00E4506A"/>
    <w:rsid w:val="00E46AAA"/>
    <w:rsid w:val="00E50545"/>
    <w:rsid w:val="00E52EF1"/>
    <w:rsid w:val="00E54BC9"/>
    <w:rsid w:val="00E5649E"/>
    <w:rsid w:val="00E57795"/>
    <w:rsid w:val="00E57EB8"/>
    <w:rsid w:val="00E605C8"/>
    <w:rsid w:val="00E60A41"/>
    <w:rsid w:val="00E611FD"/>
    <w:rsid w:val="00E612D7"/>
    <w:rsid w:val="00E63912"/>
    <w:rsid w:val="00E65042"/>
    <w:rsid w:val="00E65C6F"/>
    <w:rsid w:val="00E66633"/>
    <w:rsid w:val="00E6788D"/>
    <w:rsid w:val="00E71E7A"/>
    <w:rsid w:val="00E72000"/>
    <w:rsid w:val="00E724F6"/>
    <w:rsid w:val="00E748D2"/>
    <w:rsid w:val="00E7537F"/>
    <w:rsid w:val="00E7587F"/>
    <w:rsid w:val="00E75FAD"/>
    <w:rsid w:val="00E76C7B"/>
    <w:rsid w:val="00E77409"/>
    <w:rsid w:val="00E80F1B"/>
    <w:rsid w:val="00E815B6"/>
    <w:rsid w:val="00E8189D"/>
    <w:rsid w:val="00E81F4E"/>
    <w:rsid w:val="00E8270F"/>
    <w:rsid w:val="00E8294E"/>
    <w:rsid w:val="00E857F9"/>
    <w:rsid w:val="00E86F82"/>
    <w:rsid w:val="00E87C2E"/>
    <w:rsid w:val="00E90202"/>
    <w:rsid w:val="00E90C5C"/>
    <w:rsid w:val="00E91B6D"/>
    <w:rsid w:val="00E92EFB"/>
    <w:rsid w:val="00E940DA"/>
    <w:rsid w:val="00E94539"/>
    <w:rsid w:val="00E96924"/>
    <w:rsid w:val="00E979F1"/>
    <w:rsid w:val="00EA0A53"/>
    <w:rsid w:val="00EA0B2D"/>
    <w:rsid w:val="00EA0DC8"/>
    <w:rsid w:val="00EA10FC"/>
    <w:rsid w:val="00EA1311"/>
    <w:rsid w:val="00EA395E"/>
    <w:rsid w:val="00EA4CB3"/>
    <w:rsid w:val="00EA5BCD"/>
    <w:rsid w:val="00EA7E74"/>
    <w:rsid w:val="00EB0DA2"/>
    <w:rsid w:val="00EB15B3"/>
    <w:rsid w:val="00EB1740"/>
    <w:rsid w:val="00EB1BDD"/>
    <w:rsid w:val="00EB350E"/>
    <w:rsid w:val="00EB4301"/>
    <w:rsid w:val="00EB59AC"/>
    <w:rsid w:val="00EB7155"/>
    <w:rsid w:val="00EB744E"/>
    <w:rsid w:val="00EC2A53"/>
    <w:rsid w:val="00EC6977"/>
    <w:rsid w:val="00EC7022"/>
    <w:rsid w:val="00EC7245"/>
    <w:rsid w:val="00ED039C"/>
    <w:rsid w:val="00ED0808"/>
    <w:rsid w:val="00ED17AC"/>
    <w:rsid w:val="00ED1DC1"/>
    <w:rsid w:val="00ED1EB5"/>
    <w:rsid w:val="00ED2396"/>
    <w:rsid w:val="00ED23F0"/>
    <w:rsid w:val="00ED2843"/>
    <w:rsid w:val="00ED2A26"/>
    <w:rsid w:val="00ED364C"/>
    <w:rsid w:val="00ED5BC1"/>
    <w:rsid w:val="00ED67D3"/>
    <w:rsid w:val="00ED69F7"/>
    <w:rsid w:val="00ED7EAF"/>
    <w:rsid w:val="00EE02D6"/>
    <w:rsid w:val="00EE0AEB"/>
    <w:rsid w:val="00EE2046"/>
    <w:rsid w:val="00EE2067"/>
    <w:rsid w:val="00EE3439"/>
    <w:rsid w:val="00EE3DB4"/>
    <w:rsid w:val="00EE4B0B"/>
    <w:rsid w:val="00EE7DBE"/>
    <w:rsid w:val="00EF098B"/>
    <w:rsid w:val="00EF0C2D"/>
    <w:rsid w:val="00EF2CD8"/>
    <w:rsid w:val="00EF3885"/>
    <w:rsid w:val="00EF6D8C"/>
    <w:rsid w:val="00EF78F6"/>
    <w:rsid w:val="00EF7ABC"/>
    <w:rsid w:val="00EF7E62"/>
    <w:rsid w:val="00F01333"/>
    <w:rsid w:val="00F01884"/>
    <w:rsid w:val="00F01A6C"/>
    <w:rsid w:val="00F023E7"/>
    <w:rsid w:val="00F02854"/>
    <w:rsid w:val="00F03E90"/>
    <w:rsid w:val="00F04759"/>
    <w:rsid w:val="00F054AF"/>
    <w:rsid w:val="00F06220"/>
    <w:rsid w:val="00F064A5"/>
    <w:rsid w:val="00F06EA3"/>
    <w:rsid w:val="00F103F2"/>
    <w:rsid w:val="00F105C5"/>
    <w:rsid w:val="00F11011"/>
    <w:rsid w:val="00F117FC"/>
    <w:rsid w:val="00F12E43"/>
    <w:rsid w:val="00F139A4"/>
    <w:rsid w:val="00F142D0"/>
    <w:rsid w:val="00F17898"/>
    <w:rsid w:val="00F20208"/>
    <w:rsid w:val="00F20FF8"/>
    <w:rsid w:val="00F211B5"/>
    <w:rsid w:val="00F21EC7"/>
    <w:rsid w:val="00F22772"/>
    <w:rsid w:val="00F24418"/>
    <w:rsid w:val="00F25745"/>
    <w:rsid w:val="00F268DF"/>
    <w:rsid w:val="00F276B0"/>
    <w:rsid w:val="00F317EC"/>
    <w:rsid w:val="00F31960"/>
    <w:rsid w:val="00F3229C"/>
    <w:rsid w:val="00F3275A"/>
    <w:rsid w:val="00F32F4B"/>
    <w:rsid w:val="00F372D9"/>
    <w:rsid w:val="00F37E48"/>
    <w:rsid w:val="00F4126A"/>
    <w:rsid w:val="00F4237F"/>
    <w:rsid w:val="00F43150"/>
    <w:rsid w:val="00F4392E"/>
    <w:rsid w:val="00F44815"/>
    <w:rsid w:val="00F45E17"/>
    <w:rsid w:val="00F46780"/>
    <w:rsid w:val="00F5039F"/>
    <w:rsid w:val="00F50681"/>
    <w:rsid w:val="00F50AA5"/>
    <w:rsid w:val="00F51357"/>
    <w:rsid w:val="00F51DB1"/>
    <w:rsid w:val="00F5347B"/>
    <w:rsid w:val="00F55C85"/>
    <w:rsid w:val="00F56690"/>
    <w:rsid w:val="00F56B4B"/>
    <w:rsid w:val="00F5738D"/>
    <w:rsid w:val="00F6076C"/>
    <w:rsid w:val="00F60A9C"/>
    <w:rsid w:val="00F623C0"/>
    <w:rsid w:val="00F62635"/>
    <w:rsid w:val="00F647AF"/>
    <w:rsid w:val="00F64D0D"/>
    <w:rsid w:val="00F6512D"/>
    <w:rsid w:val="00F659AC"/>
    <w:rsid w:val="00F66E59"/>
    <w:rsid w:val="00F6765F"/>
    <w:rsid w:val="00F708B8"/>
    <w:rsid w:val="00F719BF"/>
    <w:rsid w:val="00F71B01"/>
    <w:rsid w:val="00F71DED"/>
    <w:rsid w:val="00F72021"/>
    <w:rsid w:val="00F737DE"/>
    <w:rsid w:val="00F73F72"/>
    <w:rsid w:val="00F75491"/>
    <w:rsid w:val="00F77B4D"/>
    <w:rsid w:val="00F77BC3"/>
    <w:rsid w:val="00F80196"/>
    <w:rsid w:val="00F80FD7"/>
    <w:rsid w:val="00F81EE8"/>
    <w:rsid w:val="00F82843"/>
    <w:rsid w:val="00F82F38"/>
    <w:rsid w:val="00F83406"/>
    <w:rsid w:val="00F843D3"/>
    <w:rsid w:val="00F846B4"/>
    <w:rsid w:val="00F84E10"/>
    <w:rsid w:val="00F85074"/>
    <w:rsid w:val="00F85CB9"/>
    <w:rsid w:val="00F85D45"/>
    <w:rsid w:val="00F87126"/>
    <w:rsid w:val="00F906D2"/>
    <w:rsid w:val="00F9076E"/>
    <w:rsid w:val="00F909CA"/>
    <w:rsid w:val="00F90B2F"/>
    <w:rsid w:val="00F91381"/>
    <w:rsid w:val="00F9154F"/>
    <w:rsid w:val="00F91568"/>
    <w:rsid w:val="00F93FD6"/>
    <w:rsid w:val="00F9760C"/>
    <w:rsid w:val="00F97FBD"/>
    <w:rsid w:val="00FA0A58"/>
    <w:rsid w:val="00FA1AC2"/>
    <w:rsid w:val="00FA347F"/>
    <w:rsid w:val="00FA37AA"/>
    <w:rsid w:val="00FA3BC6"/>
    <w:rsid w:val="00FA3E6A"/>
    <w:rsid w:val="00FA431C"/>
    <w:rsid w:val="00FA5CD7"/>
    <w:rsid w:val="00FA648B"/>
    <w:rsid w:val="00FB1357"/>
    <w:rsid w:val="00FB160E"/>
    <w:rsid w:val="00FB1748"/>
    <w:rsid w:val="00FB2A57"/>
    <w:rsid w:val="00FB54D7"/>
    <w:rsid w:val="00FB58E8"/>
    <w:rsid w:val="00FB6460"/>
    <w:rsid w:val="00FB702A"/>
    <w:rsid w:val="00FB78FC"/>
    <w:rsid w:val="00FC05FD"/>
    <w:rsid w:val="00FC15FB"/>
    <w:rsid w:val="00FC2F1C"/>
    <w:rsid w:val="00FC315F"/>
    <w:rsid w:val="00FC4F5C"/>
    <w:rsid w:val="00FC5769"/>
    <w:rsid w:val="00FC58F0"/>
    <w:rsid w:val="00FC734B"/>
    <w:rsid w:val="00FD01BB"/>
    <w:rsid w:val="00FD1442"/>
    <w:rsid w:val="00FD1C34"/>
    <w:rsid w:val="00FD53F7"/>
    <w:rsid w:val="00FD586C"/>
    <w:rsid w:val="00FD63C8"/>
    <w:rsid w:val="00FD6DC8"/>
    <w:rsid w:val="00FD7A6F"/>
    <w:rsid w:val="00FD7E06"/>
    <w:rsid w:val="00FD7EED"/>
    <w:rsid w:val="00FE0A67"/>
    <w:rsid w:val="00FE1F68"/>
    <w:rsid w:val="00FE311F"/>
    <w:rsid w:val="00FE41F5"/>
    <w:rsid w:val="00FE4D7A"/>
    <w:rsid w:val="00FE524A"/>
    <w:rsid w:val="00FE5E1C"/>
    <w:rsid w:val="00FE694F"/>
    <w:rsid w:val="00FF4133"/>
    <w:rsid w:val="00FF63A9"/>
    <w:rsid w:val="00FF7E9E"/>
    <w:rsid w:val="01A8C7A1"/>
    <w:rsid w:val="034C0EC0"/>
    <w:rsid w:val="038D3F28"/>
    <w:rsid w:val="099307A5"/>
    <w:rsid w:val="0A70AA15"/>
    <w:rsid w:val="0A754170"/>
    <w:rsid w:val="0BCB6448"/>
    <w:rsid w:val="0E43C850"/>
    <w:rsid w:val="0E8A2268"/>
    <w:rsid w:val="11DD5BF0"/>
    <w:rsid w:val="14A65B40"/>
    <w:rsid w:val="185F1D3A"/>
    <w:rsid w:val="1EC7B465"/>
    <w:rsid w:val="21596DB8"/>
    <w:rsid w:val="27BE94F9"/>
    <w:rsid w:val="2F82DABE"/>
    <w:rsid w:val="32E030FE"/>
    <w:rsid w:val="345DCFF6"/>
    <w:rsid w:val="3640EDF4"/>
    <w:rsid w:val="380F4A33"/>
    <w:rsid w:val="3A3147B2"/>
    <w:rsid w:val="3A4AC615"/>
    <w:rsid w:val="3B41CE8A"/>
    <w:rsid w:val="3CF5F33F"/>
    <w:rsid w:val="3E0ADACA"/>
    <w:rsid w:val="3FADE358"/>
    <w:rsid w:val="40E1A3ED"/>
    <w:rsid w:val="42A00DC2"/>
    <w:rsid w:val="49C640A6"/>
    <w:rsid w:val="4BF4653D"/>
    <w:rsid w:val="4C0E16BD"/>
    <w:rsid w:val="4E5C1DB1"/>
    <w:rsid w:val="4E73F175"/>
    <w:rsid w:val="53DC1BB9"/>
    <w:rsid w:val="55B54D37"/>
    <w:rsid w:val="5697CB3A"/>
    <w:rsid w:val="58B089EC"/>
    <w:rsid w:val="5A7E1B1B"/>
    <w:rsid w:val="6424BCDA"/>
    <w:rsid w:val="66DE6DA9"/>
    <w:rsid w:val="6D26E03C"/>
    <w:rsid w:val="71655464"/>
    <w:rsid w:val="71D31796"/>
    <w:rsid w:val="73BE138D"/>
    <w:rsid w:val="758EB9DB"/>
    <w:rsid w:val="776308DC"/>
    <w:rsid w:val="77941ED6"/>
    <w:rsid w:val="7C65F847"/>
    <w:rsid w:val="7D08FA9B"/>
    <w:rsid w:val="7E25A42E"/>
    <w:rsid w:val="7EA24705"/>
    <w:rsid w:val="7EC034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47569"/>
  <w15:chartTrackingRefBased/>
  <w15:docId w15:val="{1AEE747B-FC53-4645-86A7-783256EF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64D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564D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564D43"/>
    <w:pPr>
      <w:keepNext/>
      <w:pBdr>
        <w:top w:val="single" w:sz="4" w:space="1" w:color="auto"/>
        <w:left w:val="single" w:sz="4" w:space="4" w:color="auto"/>
        <w:bottom w:val="single" w:sz="4" w:space="1" w:color="auto"/>
        <w:right w:val="single" w:sz="4" w:space="4" w:color="auto"/>
      </w:pBdr>
      <w:spacing w:before="240" w:after="120" w:line="276" w:lineRule="auto"/>
      <w:jc w:val="center"/>
      <w:outlineLvl w:val="2"/>
    </w:pPr>
    <w:rPr>
      <w:rFonts w:ascii="Garamond" w:hAnsi="Garamond" w:cs="Times New Roman"/>
      <w:b/>
      <w:smallCaps/>
      <w:sz w:val="24"/>
      <w:szCs w:val="24"/>
    </w:rPr>
  </w:style>
  <w:style w:type="paragraph" w:styleId="Heading4">
    <w:name w:val="heading 4"/>
    <w:basedOn w:val="Normal"/>
    <w:next w:val="Normal"/>
    <w:link w:val="Heading4Char"/>
    <w:uiPriority w:val="9"/>
    <w:unhideWhenUsed/>
    <w:qFormat/>
    <w:rsid w:val="00564D4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663D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4663D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4663D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5719"/>
    <w:pPr>
      <w:keepLines/>
      <w:autoSpaceDE w:val="0"/>
      <w:autoSpaceDN w:val="0"/>
      <w:adjustRightInd w:val="0"/>
      <w:spacing w:before="120" w:after="120" w:line="276" w:lineRule="auto"/>
      <w:ind w:left="1080" w:hanging="360"/>
      <w:jc w:val="both"/>
    </w:pPr>
    <w:rPr>
      <w:rFonts w:ascii="Garamond" w:hAnsi="Garamond" w:cs="Times New Roman"/>
      <w:sz w:val="24"/>
      <w:szCs w:val="24"/>
    </w:rPr>
  </w:style>
  <w:style w:type="character" w:customStyle="1" w:styleId="ListParagraphChar">
    <w:name w:val="List Paragraph Char"/>
    <w:basedOn w:val="DefaultParagraphFont"/>
    <w:link w:val="ListParagraph"/>
    <w:uiPriority w:val="34"/>
    <w:rsid w:val="00655719"/>
    <w:rPr>
      <w:rFonts w:ascii="Garamond" w:hAnsi="Garamond" w:cs="Times New Roman"/>
      <w:sz w:val="24"/>
      <w:szCs w:val="24"/>
    </w:rPr>
  </w:style>
  <w:style w:type="character" w:customStyle="1" w:styleId="Heading3Char">
    <w:name w:val="Heading 3 Char"/>
    <w:basedOn w:val="DefaultParagraphFont"/>
    <w:link w:val="Heading3"/>
    <w:rsid w:val="00564D43"/>
    <w:rPr>
      <w:rFonts w:ascii="Garamond" w:hAnsi="Garamond" w:cs="Times New Roman"/>
      <w:b/>
      <w:smallCaps/>
      <w:sz w:val="24"/>
      <w:szCs w:val="24"/>
    </w:rPr>
  </w:style>
  <w:style w:type="character" w:customStyle="1" w:styleId="Heading1Char">
    <w:name w:val="Heading 1 Char"/>
    <w:basedOn w:val="DefaultParagraphFont"/>
    <w:link w:val="Heading1"/>
    <w:rsid w:val="00564D4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564D43"/>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564D43"/>
    <w:rPr>
      <w:rFonts w:asciiTheme="majorHAnsi" w:eastAsiaTheme="majorEastAsia" w:hAnsiTheme="majorHAnsi" w:cstheme="majorBidi"/>
      <w:i/>
      <w:iCs/>
      <w:color w:val="2F5496" w:themeColor="accent1" w:themeShade="BF"/>
    </w:rPr>
  </w:style>
  <w:style w:type="paragraph" w:customStyle="1" w:styleId="Sublisting">
    <w:name w:val="Sublisting"/>
    <w:basedOn w:val="ListParagraph"/>
    <w:qFormat/>
    <w:rsid w:val="00F31960"/>
    <w:pPr>
      <w:spacing w:after="0"/>
      <w:ind w:left="0" w:firstLine="0"/>
    </w:pPr>
  </w:style>
  <w:style w:type="paragraph" w:styleId="Header">
    <w:name w:val="header"/>
    <w:basedOn w:val="Normal"/>
    <w:link w:val="HeaderChar"/>
    <w:uiPriority w:val="99"/>
    <w:unhideWhenUsed/>
    <w:rsid w:val="00134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4A7"/>
  </w:style>
  <w:style w:type="paragraph" w:styleId="Footer">
    <w:name w:val="footer"/>
    <w:basedOn w:val="Normal"/>
    <w:link w:val="FooterChar"/>
    <w:uiPriority w:val="99"/>
    <w:unhideWhenUsed/>
    <w:rsid w:val="00134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4A7"/>
  </w:style>
  <w:style w:type="character" w:styleId="CommentReference">
    <w:name w:val="annotation reference"/>
    <w:basedOn w:val="DefaultParagraphFont"/>
    <w:uiPriority w:val="99"/>
    <w:semiHidden/>
    <w:unhideWhenUsed/>
    <w:rsid w:val="00302A4B"/>
    <w:rPr>
      <w:sz w:val="16"/>
      <w:szCs w:val="16"/>
    </w:rPr>
  </w:style>
  <w:style w:type="paragraph" w:styleId="CommentText">
    <w:name w:val="annotation text"/>
    <w:basedOn w:val="Normal"/>
    <w:link w:val="CommentTextChar"/>
    <w:uiPriority w:val="99"/>
    <w:unhideWhenUsed/>
    <w:rsid w:val="00302A4B"/>
    <w:pPr>
      <w:spacing w:line="240" w:lineRule="auto"/>
    </w:pPr>
    <w:rPr>
      <w:sz w:val="20"/>
      <w:szCs w:val="20"/>
    </w:rPr>
  </w:style>
  <w:style w:type="character" w:customStyle="1" w:styleId="CommentTextChar">
    <w:name w:val="Comment Text Char"/>
    <w:basedOn w:val="DefaultParagraphFont"/>
    <w:link w:val="CommentText"/>
    <w:uiPriority w:val="99"/>
    <w:rsid w:val="00302A4B"/>
    <w:rPr>
      <w:sz w:val="20"/>
      <w:szCs w:val="20"/>
    </w:rPr>
  </w:style>
  <w:style w:type="paragraph" w:styleId="CommentSubject">
    <w:name w:val="annotation subject"/>
    <w:basedOn w:val="CommentText"/>
    <w:next w:val="CommentText"/>
    <w:link w:val="CommentSubjectChar"/>
    <w:uiPriority w:val="99"/>
    <w:semiHidden/>
    <w:unhideWhenUsed/>
    <w:rsid w:val="00302A4B"/>
    <w:rPr>
      <w:b/>
      <w:bCs/>
    </w:rPr>
  </w:style>
  <w:style w:type="character" w:customStyle="1" w:styleId="CommentSubjectChar">
    <w:name w:val="Comment Subject Char"/>
    <w:basedOn w:val="CommentTextChar"/>
    <w:link w:val="CommentSubject"/>
    <w:uiPriority w:val="99"/>
    <w:semiHidden/>
    <w:rsid w:val="00302A4B"/>
    <w:rPr>
      <w:b/>
      <w:bCs/>
      <w:sz w:val="20"/>
      <w:szCs w:val="20"/>
    </w:rPr>
  </w:style>
  <w:style w:type="character" w:customStyle="1" w:styleId="Heading5Char">
    <w:name w:val="Heading 5 Char"/>
    <w:basedOn w:val="DefaultParagraphFont"/>
    <w:link w:val="Heading5"/>
    <w:uiPriority w:val="9"/>
    <w:rsid w:val="004663D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4663D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4663DD"/>
    <w:rPr>
      <w:rFonts w:asciiTheme="majorHAnsi" w:eastAsiaTheme="majorEastAsia" w:hAnsiTheme="majorHAnsi" w:cstheme="majorBidi"/>
      <w:i/>
      <w:iCs/>
      <w:color w:val="1F3763" w:themeColor="accent1" w:themeShade="7F"/>
    </w:rPr>
  </w:style>
  <w:style w:type="paragraph" w:styleId="Revision">
    <w:name w:val="Revision"/>
    <w:hidden/>
    <w:uiPriority w:val="99"/>
    <w:semiHidden/>
    <w:rsid w:val="0065163F"/>
    <w:pPr>
      <w:spacing w:after="0" w:line="240" w:lineRule="auto"/>
    </w:pPr>
  </w:style>
  <w:style w:type="paragraph" w:customStyle="1" w:styleId="Default">
    <w:name w:val="Default"/>
    <w:rsid w:val="00737181"/>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851C0D"/>
    <w:pPr>
      <w:spacing w:after="200" w:line="240" w:lineRule="auto"/>
    </w:pPr>
    <w:rPr>
      <w:i/>
      <w:iCs/>
      <w:color w:val="44546A" w:themeColor="text2"/>
      <w:sz w:val="18"/>
      <w:szCs w:val="18"/>
    </w:rPr>
  </w:style>
  <w:style w:type="character" w:styleId="Hyperlink">
    <w:name w:val="Hyperlink"/>
    <w:basedOn w:val="DefaultParagraphFont"/>
    <w:uiPriority w:val="99"/>
    <w:unhideWhenUsed/>
    <w:rsid w:val="00C26A0D"/>
    <w:rPr>
      <w:color w:val="0563C1" w:themeColor="hyperlink"/>
      <w:u w:val="single"/>
    </w:rPr>
  </w:style>
  <w:style w:type="character" w:styleId="UnresolvedMention">
    <w:name w:val="Unresolved Mention"/>
    <w:basedOn w:val="DefaultParagraphFont"/>
    <w:uiPriority w:val="99"/>
    <w:semiHidden/>
    <w:unhideWhenUsed/>
    <w:rsid w:val="00C26A0D"/>
    <w:rPr>
      <w:color w:val="605E5C"/>
      <w:shd w:val="clear" w:color="auto" w:fill="E1DFDD"/>
    </w:rPr>
  </w:style>
  <w:style w:type="paragraph" w:styleId="FootnoteText">
    <w:name w:val="footnote text"/>
    <w:basedOn w:val="Normal"/>
    <w:link w:val="FootnoteTextChar"/>
    <w:uiPriority w:val="99"/>
    <w:semiHidden/>
    <w:unhideWhenUsed/>
    <w:rsid w:val="00A545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45C9"/>
    <w:rPr>
      <w:sz w:val="20"/>
      <w:szCs w:val="20"/>
    </w:rPr>
  </w:style>
  <w:style w:type="character" w:styleId="FootnoteReference">
    <w:name w:val="footnote reference"/>
    <w:basedOn w:val="DefaultParagraphFont"/>
    <w:uiPriority w:val="99"/>
    <w:semiHidden/>
    <w:unhideWhenUsed/>
    <w:rsid w:val="00A545C9"/>
    <w:rPr>
      <w:vertAlign w:val="superscript"/>
    </w:rPr>
  </w:style>
  <w:style w:type="paragraph" w:styleId="ListNumber2">
    <w:name w:val="List Number 2"/>
    <w:basedOn w:val="Normal"/>
    <w:rsid w:val="0091556A"/>
    <w:pPr>
      <w:numPr>
        <w:numId w:val="29"/>
      </w:numPr>
      <w:spacing w:after="220" w:line="240" w:lineRule="auto"/>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2F2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76C"/>
    <w:rPr>
      <w:rFonts w:ascii="Segoe UI" w:hAnsi="Segoe UI" w:cs="Segoe UI"/>
      <w:sz w:val="18"/>
      <w:szCs w:val="18"/>
    </w:rPr>
  </w:style>
  <w:style w:type="paragraph" w:styleId="NoSpacing">
    <w:name w:val="No Spacing"/>
    <w:link w:val="NoSpacingChar"/>
    <w:uiPriority w:val="1"/>
    <w:qFormat/>
    <w:rsid w:val="001422D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422D4"/>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naic.org/documents/svo_rtas_app.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cb55538-6dac-43ba-9ba8-f511d066a6d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D258B85D741946BC0EBD289EA07974" ma:contentTypeVersion="10" ma:contentTypeDescription="Create a new document." ma:contentTypeScope="" ma:versionID="033d1808178fa39f7c9231b61215d78c">
  <xsd:schema xmlns:xsd="http://www.w3.org/2001/XMLSchema" xmlns:xs="http://www.w3.org/2001/XMLSchema" xmlns:p="http://schemas.microsoft.com/office/2006/metadata/properties" xmlns:ns2="ecb55538-6dac-43ba-9ba8-f511d066a6d8" xmlns:ns3="ae0627e0-74cc-48e6-bab4-2960ffa22704" targetNamespace="http://schemas.microsoft.com/office/2006/metadata/properties" ma:root="true" ma:fieldsID="f918b7739dce904435527306bb9b64f3" ns2:_="" ns3:_="">
    <xsd:import namespace="ecb55538-6dac-43ba-9ba8-f511d066a6d8"/>
    <xsd:import namespace="ae0627e0-74cc-48e6-bab4-2960ffa22704"/>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55538-6dac-43ba-9ba8-f511d066a6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0627e0-74cc-48e6-bab4-2960ffa2270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44B54-39AE-4B6F-B988-CB9CF9AE50FC}">
  <ds:schemaRefs>
    <ds:schemaRef ds:uri="http://schemas.microsoft.com/sharepoint/v3/contenttype/forms"/>
  </ds:schemaRefs>
</ds:datastoreItem>
</file>

<file path=customXml/itemProps2.xml><?xml version="1.0" encoding="utf-8"?>
<ds:datastoreItem xmlns:ds="http://schemas.openxmlformats.org/officeDocument/2006/customXml" ds:itemID="{DDA43C4F-55E1-4D9D-A70A-0C315AE867CE}">
  <ds:schemaRefs>
    <ds:schemaRef ds:uri="http://schemas.microsoft.com/office/2006/documentManagement/types"/>
    <ds:schemaRef ds:uri="http://www.w3.org/XML/1998/namespace"/>
    <ds:schemaRef ds:uri="http://purl.org/dc/terms/"/>
    <ds:schemaRef ds:uri="ecb55538-6dac-43ba-9ba8-f511d066a6d8"/>
    <ds:schemaRef ds:uri="http://purl.org/dc/dcmitype/"/>
    <ds:schemaRef ds:uri="ae0627e0-74cc-48e6-bab4-2960ffa22704"/>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279477E7-766C-4A65-9C58-7FE7A995D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b55538-6dac-43ba-9ba8-f511d066a6d8"/>
    <ds:schemaRef ds:uri="ae0627e0-74cc-48e6-bab4-2960ffa22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2FE59-4D64-41D1-BAB3-F3E24A15F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12</Pages>
  <Words>3397</Words>
  <Characters>19774</Characters>
  <Application>Microsoft Office Word</Application>
  <DocSecurity>0</DocSecurity>
  <Lines>1040</Lines>
  <Paragraphs>472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Perlman, Marc</dc:creator>
  <cp:keywords/>
  <dc:description/>
  <cp:lastModifiedBy>Genao-Rosado, Denise</cp:lastModifiedBy>
  <cp:revision>35</cp:revision>
  <cp:lastPrinted>2022-08-22T13:05:00Z</cp:lastPrinted>
  <dcterms:created xsi:type="dcterms:W3CDTF">2022-11-11T13:43:00Z</dcterms:created>
  <dcterms:modified xsi:type="dcterms:W3CDTF">2022-12-15T15:38:00Z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0x01010075D258B85D741946BC0EBD289EA07974</vt:lpwstr>
  </property>
  <property fmtid="{D5CDD505-2E9C-101B-9397-08002B2CF9AE}" pid="3" name="Order">
    <vt:r8>2567200</vt:r8>
  </property>
</Properties>
</file>