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44573" w14:textId="6C2D1CED" w:rsidR="00944175" w:rsidRPr="00240DC3" w:rsidRDefault="00944175" w:rsidP="56EAAC51">
      <w:pPr>
        <w:tabs>
          <w:tab w:val="left" w:pos="360"/>
        </w:tabs>
        <w:spacing w:after="0" w:line="240" w:lineRule="auto"/>
        <w:contextualSpacing/>
        <w:rPr>
          <w:rFonts w:eastAsia="Times New Roman"/>
          <w:spacing w:val="2"/>
        </w:rPr>
      </w:pPr>
      <w:r w:rsidRPr="56EAAC51">
        <w:rPr>
          <w:rFonts w:eastAsia="Times New Roman"/>
          <w:spacing w:val="2"/>
        </w:rPr>
        <w:t xml:space="preserve">Draft: </w:t>
      </w:r>
      <w:r w:rsidR="5E6C35FA" w:rsidRPr="56EAAC51">
        <w:rPr>
          <w:rFonts w:eastAsia="Times New Roman"/>
          <w:spacing w:val="2"/>
        </w:rPr>
        <w:t>8</w:t>
      </w:r>
      <w:r w:rsidRPr="56EAAC51">
        <w:rPr>
          <w:rFonts w:eastAsia="Times New Roman"/>
          <w:spacing w:val="2"/>
        </w:rPr>
        <w:t>/</w:t>
      </w:r>
      <w:r w:rsidR="427B40BA" w:rsidRPr="56EAAC51">
        <w:rPr>
          <w:rFonts w:eastAsia="Times New Roman"/>
          <w:spacing w:val="2"/>
        </w:rPr>
        <w:t>2</w:t>
      </w:r>
      <w:r w:rsidR="004C2621">
        <w:rPr>
          <w:rFonts w:eastAsia="Times New Roman"/>
          <w:spacing w:val="2"/>
        </w:rPr>
        <w:t>0</w:t>
      </w:r>
      <w:r w:rsidR="427B40BA" w:rsidRPr="56EAAC51">
        <w:rPr>
          <w:rFonts w:eastAsia="Times New Roman"/>
          <w:spacing w:val="2"/>
        </w:rPr>
        <w:t>/2</w:t>
      </w:r>
      <w:r w:rsidR="004C2621">
        <w:rPr>
          <w:rFonts w:eastAsia="Times New Roman"/>
          <w:spacing w:val="2"/>
        </w:rPr>
        <w:t>4</w:t>
      </w:r>
    </w:p>
    <w:p w14:paraId="53290E57" w14:textId="4CC6D56B" w:rsidR="00944175" w:rsidRPr="00240DC3" w:rsidRDefault="00944175" w:rsidP="56EAAC51">
      <w:pPr>
        <w:tabs>
          <w:tab w:val="left" w:pos="360"/>
        </w:tabs>
        <w:spacing w:after="0" w:line="240" w:lineRule="auto"/>
        <w:contextualSpacing/>
        <w:rPr>
          <w:rFonts w:eastAsia="Times New Roman"/>
          <w:i/>
          <w:iCs/>
          <w:spacing w:val="2"/>
        </w:rPr>
      </w:pPr>
      <w:r w:rsidRPr="56EAAC51">
        <w:rPr>
          <w:rFonts w:eastAsia="Times New Roman"/>
          <w:i/>
          <w:iCs/>
          <w:spacing w:val="2"/>
        </w:rPr>
        <w:t xml:space="preserve">Adopted by the Executive (EX) Committee and Plenary, </w:t>
      </w:r>
      <w:proofErr w:type="spellStart"/>
      <w:r w:rsidR="00BA7333" w:rsidRPr="56EAAC51">
        <w:rPr>
          <w:rFonts w:eastAsia="Times New Roman"/>
          <w:i/>
          <w:iCs/>
          <w:spacing w:val="2"/>
        </w:rPr>
        <w:t>Xxx</w:t>
      </w:r>
      <w:proofErr w:type="spellEnd"/>
      <w:r w:rsidRPr="56EAAC51">
        <w:rPr>
          <w:rFonts w:eastAsia="Times New Roman"/>
          <w:i/>
          <w:iCs/>
          <w:spacing w:val="2"/>
        </w:rPr>
        <w:t>. xx, 202</w:t>
      </w:r>
      <w:r w:rsidR="004C2621">
        <w:rPr>
          <w:rFonts w:eastAsia="Times New Roman"/>
          <w:i/>
          <w:iCs/>
          <w:spacing w:val="2"/>
        </w:rPr>
        <w:t>4</w:t>
      </w:r>
    </w:p>
    <w:p w14:paraId="6917F6F8" w14:textId="3AC1A39C" w:rsidR="00944175" w:rsidRPr="00240DC3" w:rsidRDefault="00944175" w:rsidP="56EAAC51">
      <w:pPr>
        <w:tabs>
          <w:tab w:val="left" w:pos="360"/>
        </w:tabs>
        <w:spacing w:after="0" w:line="240" w:lineRule="auto"/>
        <w:contextualSpacing/>
        <w:rPr>
          <w:rFonts w:eastAsia="Times New Roman"/>
          <w:i/>
          <w:iCs/>
          <w:spacing w:val="2"/>
        </w:rPr>
      </w:pPr>
      <w:r w:rsidRPr="56EAAC51">
        <w:rPr>
          <w:rFonts w:eastAsia="Times New Roman"/>
          <w:i/>
          <w:iCs/>
          <w:spacing w:val="2"/>
        </w:rPr>
        <w:t xml:space="preserve">Adopted by the Financial Condition (E) Committee, </w:t>
      </w:r>
      <w:proofErr w:type="spellStart"/>
      <w:r w:rsidR="00BA7333" w:rsidRPr="56EAAC51">
        <w:rPr>
          <w:rFonts w:eastAsia="Times New Roman"/>
          <w:i/>
          <w:iCs/>
          <w:spacing w:val="2"/>
        </w:rPr>
        <w:t>Xxx</w:t>
      </w:r>
      <w:proofErr w:type="spellEnd"/>
      <w:r w:rsidRPr="56EAAC51">
        <w:rPr>
          <w:rFonts w:eastAsia="Times New Roman"/>
          <w:i/>
          <w:iCs/>
          <w:spacing w:val="2"/>
        </w:rPr>
        <w:t>. xx, 202</w:t>
      </w:r>
      <w:r w:rsidR="004C2621">
        <w:rPr>
          <w:rFonts w:eastAsia="Times New Roman"/>
          <w:i/>
          <w:iCs/>
          <w:spacing w:val="2"/>
        </w:rPr>
        <w:t>4</w:t>
      </w:r>
    </w:p>
    <w:p w14:paraId="076501D8" w14:textId="42EA3A7B" w:rsidR="00944175" w:rsidRPr="00E74ADE" w:rsidRDefault="00944175" w:rsidP="00E74ADE">
      <w:pPr>
        <w:tabs>
          <w:tab w:val="left" w:pos="360"/>
        </w:tabs>
        <w:spacing w:after="0" w:line="240" w:lineRule="auto"/>
        <w:contextualSpacing/>
        <w:rPr>
          <w:rFonts w:eastAsia="Times New Roman" w:cstheme="minorHAnsi"/>
          <w:i/>
          <w:iCs/>
          <w:spacing w:val="2"/>
        </w:rPr>
      </w:pPr>
      <w:r w:rsidRPr="00240DC3">
        <w:rPr>
          <w:rFonts w:eastAsia="Times New Roman" w:cstheme="minorHAnsi"/>
          <w:i/>
          <w:iCs/>
          <w:spacing w:val="2"/>
        </w:rPr>
        <w:t xml:space="preserve">Adopted by the </w:t>
      </w:r>
      <w:r>
        <w:rPr>
          <w:rFonts w:eastAsia="Times New Roman" w:cstheme="minorHAnsi"/>
          <w:i/>
          <w:iCs/>
          <w:spacing w:val="2"/>
        </w:rPr>
        <w:t>Examination Oversight</w:t>
      </w:r>
      <w:r w:rsidRPr="00240DC3">
        <w:rPr>
          <w:rFonts w:eastAsia="Times New Roman" w:cstheme="minorHAnsi"/>
          <w:i/>
          <w:iCs/>
          <w:spacing w:val="2"/>
        </w:rPr>
        <w:t xml:space="preserve"> (E) Task Force, TBD</w:t>
      </w:r>
    </w:p>
    <w:p w14:paraId="189963A2" w14:textId="77777777" w:rsidR="00944175" w:rsidRDefault="00944175" w:rsidP="00CD3F12">
      <w:pPr>
        <w:spacing w:after="0" w:line="240" w:lineRule="auto"/>
        <w:contextualSpacing/>
        <w:jc w:val="center"/>
        <w:rPr>
          <w:rFonts w:eastAsia="Times New Roman" w:cstheme="minorHAnsi"/>
          <w:b/>
          <w:bCs/>
        </w:rPr>
      </w:pPr>
    </w:p>
    <w:p w14:paraId="00BE9971" w14:textId="7FD75D8A" w:rsidR="000913BC" w:rsidRPr="00E74ADE" w:rsidRDefault="000913BC" w:rsidP="56EAAC51">
      <w:pPr>
        <w:spacing w:after="0" w:line="240" w:lineRule="auto"/>
        <w:contextualSpacing/>
        <w:jc w:val="center"/>
        <w:rPr>
          <w:rFonts w:eastAsia="Times New Roman"/>
        </w:rPr>
      </w:pPr>
      <w:r w:rsidRPr="56EAAC51">
        <w:rPr>
          <w:rFonts w:eastAsia="Times New Roman"/>
          <w:b/>
          <w:bCs/>
        </w:rPr>
        <w:t>202</w:t>
      </w:r>
      <w:r w:rsidR="004C2621">
        <w:rPr>
          <w:rFonts w:eastAsia="Times New Roman"/>
          <w:b/>
          <w:bCs/>
        </w:rPr>
        <w:t>5</w:t>
      </w:r>
      <w:r w:rsidR="009A3C01" w:rsidRPr="56EAAC51">
        <w:rPr>
          <w:rFonts w:eastAsia="Times New Roman"/>
          <w:b/>
          <w:bCs/>
        </w:rPr>
        <w:t xml:space="preserve"> </w:t>
      </w:r>
      <w:r w:rsidRPr="56EAAC51">
        <w:rPr>
          <w:rFonts w:eastAsia="Times New Roman"/>
          <w:b/>
          <w:bCs/>
        </w:rPr>
        <w:t>Proposed Charges</w:t>
      </w:r>
    </w:p>
    <w:p w14:paraId="2B113A73" w14:textId="77777777" w:rsidR="000913BC" w:rsidRPr="00E74ADE" w:rsidRDefault="000913BC" w:rsidP="00CD3F12">
      <w:pPr>
        <w:spacing w:after="0" w:line="240" w:lineRule="auto"/>
        <w:contextualSpacing/>
        <w:rPr>
          <w:rFonts w:eastAsia="Times New Roman" w:cstheme="minorHAnsi"/>
        </w:rPr>
      </w:pPr>
    </w:p>
    <w:p w14:paraId="4EFC22AC" w14:textId="77777777" w:rsidR="000913BC" w:rsidRPr="00E74ADE" w:rsidRDefault="000913BC" w:rsidP="00CD3F12">
      <w:pPr>
        <w:spacing w:after="0" w:line="240" w:lineRule="auto"/>
        <w:contextualSpacing/>
        <w:jc w:val="center"/>
        <w:rPr>
          <w:rFonts w:eastAsia="Times New Roman" w:cstheme="minorHAnsi"/>
          <w:b/>
          <w:bCs/>
        </w:rPr>
      </w:pPr>
      <w:r w:rsidRPr="00E74ADE">
        <w:rPr>
          <w:rFonts w:eastAsia="Times New Roman" w:cstheme="minorHAnsi"/>
          <w:b/>
          <w:bCs/>
        </w:rPr>
        <w:t>EXAMINATION OVERSIGHT (E) TASK FORCE</w:t>
      </w:r>
    </w:p>
    <w:p w14:paraId="39CAFE1C" w14:textId="77777777" w:rsidR="000913BC" w:rsidRPr="00E74ADE" w:rsidRDefault="000913BC" w:rsidP="00CD3F12">
      <w:pPr>
        <w:spacing w:after="0" w:line="240" w:lineRule="auto"/>
        <w:contextualSpacing/>
        <w:rPr>
          <w:rFonts w:eastAsia="Times New Roman" w:cstheme="minorHAnsi"/>
        </w:rPr>
      </w:pPr>
    </w:p>
    <w:p w14:paraId="3B833D42" w14:textId="5B194E6D" w:rsidR="000913BC" w:rsidRPr="004D0C78" w:rsidRDefault="000913BC" w:rsidP="00CD3F12">
      <w:pPr>
        <w:spacing w:after="0" w:line="240" w:lineRule="auto"/>
        <w:contextualSpacing/>
        <w:jc w:val="both"/>
        <w:rPr>
          <w:rFonts w:eastAsia="Times New Roman" w:cstheme="minorHAnsi"/>
        </w:rPr>
      </w:pPr>
      <w:r w:rsidRPr="004D0C78">
        <w:rPr>
          <w:rFonts w:eastAsia="Times New Roman" w:cstheme="minorHAnsi"/>
        </w:rPr>
        <w:t>The mission of the Examination Oversight (E) Task Force is to monitor, develop</w:t>
      </w:r>
      <w:r w:rsidR="001E6D14">
        <w:rPr>
          <w:rFonts w:eastAsia="Times New Roman" w:cstheme="minorHAnsi"/>
        </w:rPr>
        <w:t>,</w:t>
      </w:r>
      <w:r w:rsidRPr="004D0C78">
        <w:rPr>
          <w:rFonts w:eastAsia="Times New Roman" w:cstheme="minorHAnsi"/>
        </w:rPr>
        <w:t xml:space="preserve"> and implement tools for the risk-focused surveillance process. For financial examinations and analysis, this includes maintenance of the </w:t>
      </w:r>
      <w:r w:rsidRPr="004D0C78">
        <w:rPr>
          <w:rFonts w:eastAsia="Times New Roman" w:cstheme="minorHAnsi"/>
          <w:i/>
          <w:iCs/>
        </w:rPr>
        <w:t>Financial Condition Examiners Handbook </w:t>
      </w:r>
      <w:r w:rsidRPr="004D0C78">
        <w:rPr>
          <w:rFonts w:eastAsia="Times New Roman" w:cstheme="minorHAnsi"/>
        </w:rPr>
        <w:t xml:space="preserve">and </w:t>
      </w:r>
      <w:r w:rsidRPr="004D0C78">
        <w:rPr>
          <w:rFonts w:eastAsia="Times New Roman" w:cstheme="minorHAnsi"/>
          <w:i/>
          <w:iCs/>
        </w:rPr>
        <w:t>Financial Analysis Handbook </w:t>
      </w:r>
      <w:r w:rsidRPr="004D0C78">
        <w:rPr>
          <w:rFonts w:eastAsia="Times New Roman" w:cstheme="minorHAnsi"/>
        </w:rPr>
        <w:t>to provide guidance to examiners and analysts using a risk-focused approach to solvency regulation and to encourage effective communication and coordination between examiners, analysts</w:t>
      </w:r>
      <w:r w:rsidR="00D854A5">
        <w:rPr>
          <w:rFonts w:eastAsia="Times New Roman" w:cstheme="minorHAnsi"/>
        </w:rPr>
        <w:t>,</w:t>
      </w:r>
      <w:r w:rsidRPr="004D0C78">
        <w:rPr>
          <w:rFonts w:eastAsia="Times New Roman" w:cstheme="minorHAnsi"/>
        </w:rPr>
        <w:t xml:space="preserve"> and other </w:t>
      </w:r>
      <w:r w:rsidR="00D854A5">
        <w:rPr>
          <w:rFonts w:eastAsia="Times New Roman" w:cstheme="minorHAnsi"/>
        </w:rPr>
        <w:t xml:space="preserve">state insurance </w:t>
      </w:r>
      <w:r w:rsidRPr="004D0C78">
        <w:rPr>
          <w:rFonts w:eastAsia="Times New Roman" w:cstheme="minorHAnsi"/>
        </w:rPr>
        <w:t xml:space="preserve">regulators. In addition, the mission of the Task Force is to: </w:t>
      </w:r>
      <w:r w:rsidR="00E874AA">
        <w:rPr>
          <w:rFonts w:eastAsia="Times New Roman" w:cstheme="minorHAnsi"/>
        </w:rPr>
        <w:t xml:space="preserve">1) </w:t>
      </w:r>
      <w:r w:rsidRPr="004D0C78">
        <w:rPr>
          <w:rFonts w:eastAsia="Times New Roman" w:cstheme="minorHAnsi"/>
        </w:rPr>
        <w:t xml:space="preserve">monitor and refine regulatory tools of the risk-focused surveillance process, including Financial Analysis Solvency Tools (FAST) such as company profiles and the FAST ratio scoring system; </w:t>
      </w:r>
      <w:r w:rsidR="00A41EB3">
        <w:rPr>
          <w:rFonts w:eastAsia="Times New Roman" w:cstheme="minorHAnsi"/>
        </w:rPr>
        <w:t xml:space="preserve">2) </w:t>
      </w:r>
      <w:r w:rsidRPr="004D0C78">
        <w:rPr>
          <w:rFonts w:eastAsia="Times New Roman" w:cstheme="minorHAnsi"/>
        </w:rPr>
        <w:t xml:space="preserve">oversee financial examiner and analyst use of electronic software tools; </w:t>
      </w:r>
      <w:r w:rsidR="00A41EB3">
        <w:rPr>
          <w:rFonts w:eastAsia="Times New Roman" w:cstheme="minorHAnsi"/>
        </w:rPr>
        <w:t xml:space="preserve">3) </w:t>
      </w:r>
      <w:r w:rsidRPr="004D0C78">
        <w:rPr>
          <w:rFonts w:eastAsia="Times New Roman" w:cstheme="minorHAnsi"/>
        </w:rPr>
        <w:t xml:space="preserve">monitor the progress of coordination efforts among the states in conducting examinations and the sharing of information necessary to solvency monitoring; </w:t>
      </w:r>
      <w:r w:rsidR="00A41EB3">
        <w:rPr>
          <w:rFonts w:eastAsia="Times New Roman" w:cstheme="minorHAnsi"/>
        </w:rPr>
        <w:t xml:space="preserve">4) </w:t>
      </w:r>
      <w:r w:rsidRPr="004D0C78">
        <w:rPr>
          <w:rFonts w:eastAsia="Times New Roman" w:cstheme="minorHAnsi"/>
        </w:rPr>
        <w:t xml:space="preserve">establish procedures for the flow of information between the states about troubled companies; </w:t>
      </w:r>
      <w:r w:rsidR="00A41EB3">
        <w:rPr>
          <w:rFonts w:eastAsia="Times New Roman" w:cstheme="minorHAnsi"/>
        </w:rPr>
        <w:t xml:space="preserve">5) </w:t>
      </w:r>
      <w:r w:rsidRPr="004D0C78">
        <w:rPr>
          <w:rFonts w:eastAsia="Times New Roman" w:cstheme="minorHAnsi"/>
        </w:rPr>
        <w:t xml:space="preserve">maintain an effective approach to the review of information technology (IT) general controls; and </w:t>
      </w:r>
      <w:r w:rsidR="00A41EB3">
        <w:rPr>
          <w:rFonts w:eastAsia="Times New Roman" w:cstheme="minorHAnsi"/>
        </w:rPr>
        <w:t xml:space="preserve">6) </w:t>
      </w:r>
      <w:r w:rsidRPr="004D0C78">
        <w:rPr>
          <w:rFonts w:eastAsia="Times New Roman" w:cstheme="minorHAnsi"/>
        </w:rPr>
        <w:t>monitor the timeliness of financial examinations.</w:t>
      </w:r>
    </w:p>
    <w:p w14:paraId="32B1121E" w14:textId="6C4AF16E" w:rsidR="000913BC" w:rsidRDefault="000913BC" w:rsidP="00CD3F12">
      <w:pPr>
        <w:tabs>
          <w:tab w:val="num" w:pos="720"/>
          <w:tab w:val="num" w:pos="1440"/>
        </w:tabs>
        <w:spacing w:after="0" w:line="240" w:lineRule="auto"/>
        <w:contextualSpacing/>
        <w:rPr>
          <w:rFonts w:eastAsia="Times New Roman" w:cstheme="minorHAnsi"/>
          <w:color w:val="111821"/>
        </w:rPr>
      </w:pPr>
    </w:p>
    <w:p w14:paraId="121CF456" w14:textId="72787E1E" w:rsidR="001E6D14" w:rsidRPr="004D0C78" w:rsidRDefault="001E6D14" w:rsidP="004D0C78">
      <w:pPr>
        <w:spacing w:after="0" w:line="240" w:lineRule="auto"/>
        <w:contextualSpacing/>
        <w:jc w:val="both"/>
        <w:rPr>
          <w:rFonts w:eastAsia="Times New Roman" w:cstheme="minorHAnsi"/>
        </w:rPr>
      </w:pPr>
      <w:r w:rsidRPr="00240DC3">
        <w:rPr>
          <w:rFonts w:eastAsia="Times New Roman" w:cstheme="minorHAnsi"/>
          <w:b/>
          <w:bCs/>
        </w:rPr>
        <w:t>Ongoing Support of NAIC Programs, Products</w:t>
      </w:r>
      <w:r>
        <w:rPr>
          <w:rFonts w:eastAsia="Times New Roman" w:cstheme="minorHAnsi"/>
          <w:b/>
          <w:bCs/>
        </w:rPr>
        <w:t>,</w:t>
      </w:r>
      <w:r w:rsidRPr="00240DC3">
        <w:rPr>
          <w:rFonts w:eastAsia="Times New Roman" w:cstheme="minorHAnsi"/>
          <w:b/>
          <w:bCs/>
        </w:rPr>
        <w:t xml:space="preserve"> or Services</w:t>
      </w:r>
    </w:p>
    <w:p w14:paraId="53E49C88" w14:textId="77777777" w:rsidR="001E6D14" w:rsidRPr="004D0C78" w:rsidRDefault="001E6D14" w:rsidP="00CD3F12">
      <w:pPr>
        <w:tabs>
          <w:tab w:val="num" w:pos="720"/>
          <w:tab w:val="num" w:pos="1440"/>
        </w:tabs>
        <w:spacing w:after="0" w:line="240" w:lineRule="auto"/>
        <w:contextualSpacing/>
        <w:rPr>
          <w:rFonts w:eastAsia="Times New Roman" w:cstheme="minorHAnsi"/>
          <w:color w:val="111821"/>
        </w:rPr>
      </w:pPr>
    </w:p>
    <w:p w14:paraId="6D631BD6" w14:textId="20C7F93B" w:rsidR="00C25C8A" w:rsidRPr="004D0C78" w:rsidRDefault="00C25C8A" w:rsidP="004D0C78">
      <w:pPr>
        <w:pStyle w:val="ListParagraph"/>
        <w:numPr>
          <w:ilvl w:val="0"/>
          <w:numId w:val="10"/>
        </w:numPr>
        <w:spacing w:after="0" w:line="240" w:lineRule="auto"/>
        <w:ind w:left="360"/>
        <w:rPr>
          <w:rFonts w:cstheme="minorHAnsi"/>
        </w:rPr>
      </w:pPr>
      <w:r w:rsidRPr="004D0C78">
        <w:rPr>
          <w:rFonts w:eastAsia="Times New Roman" w:cstheme="minorHAnsi"/>
          <w:color w:val="111821"/>
        </w:rPr>
        <w:t>The </w:t>
      </w:r>
      <w:r w:rsidRPr="004D0C78">
        <w:rPr>
          <w:rFonts w:eastAsia="Times New Roman" w:cstheme="minorHAnsi"/>
          <w:b/>
          <w:bCs/>
          <w:color w:val="111821"/>
        </w:rPr>
        <w:t>Examination Oversight (E) Task Force</w:t>
      </w:r>
      <w:r w:rsidRPr="004D0C78">
        <w:rPr>
          <w:rFonts w:eastAsia="Times New Roman" w:cstheme="minorHAnsi"/>
          <w:color w:val="111821"/>
        </w:rPr>
        <w:t> will:</w:t>
      </w:r>
    </w:p>
    <w:p w14:paraId="4188F650" w14:textId="3EA8D0E8" w:rsidR="00C25C8A" w:rsidRPr="004D0C78" w:rsidRDefault="00C25C8A" w:rsidP="00CD3F12">
      <w:pPr>
        <w:pStyle w:val="ListParagraph"/>
        <w:numPr>
          <w:ilvl w:val="0"/>
          <w:numId w:val="8"/>
        </w:numPr>
        <w:tabs>
          <w:tab w:val="num" w:pos="720"/>
          <w:tab w:val="num" w:pos="1440"/>
        </w:tabs>
        <w:spacing w:after="0" w:line="240" w:lineRule="auto"/>
        <w:rPr>
          <w:rFonts w:cstheme="minorHAnsi"/>
        </w:rPr>
      </w:pPr>
      <w:r w:rsidRPr="004D0C78">
        <w:rPr>
          <w:rFonts w:cstheme="minorHAnsi"/>
        </w:rPr>
        <w:t>Accomplish its mission using the following groups:</w:t>
      </w:r>
    </w:p>
    <w:p w14:paraId="3E5E3427" w14:textId="77777777" w:rsidR="00C25C8A" w:rsidRPr="004D0C78" w:rsidRDefault="00C25C8A" w:rsidP="00CD3F12">
      <w:pPr>
        <w:numPr>
          <w:ilvl w:val="0"/>
          <w:numId w:val="2"/>
        </w:numPr>
        <w:spacing w:after="0" w:line="240" w:lineRule="auto"/>
        <w:contextualSpacing/>
        <w:rPr>
          <w:rFonts w:cstheme="minorHAnsi"/>
        </w:rPr>
      </w:pPr>
      <w:r w:rsidRPr="004D0C78">
        <w:rPr>
          <w:rFonts w:cstheme="minorHAnsi"/>
        </w:rPr>
        <w:t>Electronic Workpaper (E) Working Group.</w:t>
      </w:r>
    </w:p>
    <w:p w14:paraId="3F0394E2" w14:textId="77777777" w:rsidR="00C25C8A" w:rsidRPr="004D0C78" w:rsidRDefault="00C25C8A" w:rsidP="00CD3F12">
      <w:pPr>
        <w:numPr>
          <w:ilvl w:val="0"/>
          <w:numId w:val="2"/>
        </w:numPr>
        <w:spacing w:after="0" w:line="240" w:lineRule="auto"/>
        <w:contextualSpacing/>
        <w:rPr>
          <w:rFonts w:cstheme="minorHAnsi"/>
        </w:rPr>
      </w:pPr>
      <w:r w:rsidRPr="004D0C78">
        <w:rPr>
          <w:rFonts w:cstheme="minorHAnsi"/>
        </w:rPr>
        <w:t>Financial Analysis Solvency Tools (E) Working Group.</w:t>
      </w:r>
    </w:p>
    <w:p w14:paraId="07737E58" w14:textId="77777777" w:rsidR="00C25C8A" w:rsidRPr="004D0C78" w:rsidRDefault="00C25C8A" w:rsidP="00CD3F12">
      <w:pPr>
        <w:numPr>
          <w:ilvl w:val="0"/>
          <w:numId w:val="2"/>
        </w:numPr>
        <w:spacing w:after="0" w:line="240" w:lineRule="auto"/>
        <w:contextualSpacing/>
        <w:rPr>
          <w:rFonts w:cstheme="minorHAnsi"/>
        </w:rPr>
      </w:pPr>
      <w:r w:rsidRPr="004D0C78">
        <w:rPr>
          <w:rFonts w:cstheme="minorHAnsi"/>
        </w:rPr>
        <w:t>Financial Examiners Coordination (E) Working Group.</w:t>
      </w:r>
    </w:p>
    <w:p w14:paraId="74C29A15" w14:textId="77777777" w:rsidR="00C25C8A" w:rsidRPr="004D0C78" w:rsidRDefault="00C25C8A" w:rsidP="00CD3F12">
      <w:pPr>
        <w:numPr>
          <w:ilvl w:val="0"/>
          <w:numId w:val="2"/>
        </w:numPr>
        <w:spacing w:after="0" w:line="240" w:lineRule="auto"/>
        <w:contextualSpacing/>
        <w:rPr>
          <w:rFonts w:cstheme="minorHAnsi"/>
        </w:rPr>
      </w:pPr>
      <w:r w:rsidRPr="004D0C78">
        <w:rPr>
          <w:rFonts w:cstheme="minorHAnsi"/>
        </w:rPr>
        <w:t>Financial Examiners Handbook (E) Technical Group.</w:t>
      </w:r>
    </w:p>
    <w:p w14:paraId="689E0698" w14:textId="7DFDC134" w:rsidR="00C25C8A" w:rsidRPr="004D0C78" w:rsidRDefault="00C25C8A" w:rsidP="00CD3F12">
      <w:pPr>
        <w:numPr>
          <w:ilvl w:val="0"/>
          <w:numId w:val="2"/>
        </w:numPr>
        <w:spacing w:after="0" w:line="240" w:lineRule="auto"/>
        <w:contextualSpacing/>
        <w:rPr>
          <w:rFonts w:cstheme="minorHAnsi"/>
        </w:rPr>
      </w:pPr>
      <w:r w:rsidRPr="004D0C78">
        <w:rPr>
          <w:rFonts w:cstheme="minorHAnsi"/>
        </w:rPr>
        <w:t>IT Examination (E) Working Group.</w:t>
      </w:r>
    </w:p>
    <w:p w14:paraId="6F6AC2A3" w14:textId="77777777" w:rsidR="000913BC" w:rsidRPr="004D0C78" w:rsidRDefault="000913BC" w:rsidP="00CD3F12">
      <w:pPr>
        <w:spacing w:after="0" w:line="240" w:lineRule="auto"/>
        <w:ind w:left="1080"/>
        <w:contextualSpacing/>
        <w:rPr>
          <w:rFonts w:cstheme="minorHAnsi"/>
        </w:rPr>
      </w:pPr>
    </w:p>
    <w:p w14:paraId="47B21BF0" w14:textId="77777777" w:rsidR="00C25C8A" w:rsidRPr="004D0C78" w:rsidRDefault="00C25C8A" w:rsidP="004D0C78">
      <w:pPr>
        <w:pStyle w:val="ListParagraph"/>
        <w:numPr>
          <w:ilvl w:val="0"/>
          <w:numId w:val="10"/>
        </w:numPr>
        <w:spacing w:after="0" w:line="240" w:lineRule="auto"/>
        <w:ind w:left="360"/>
        <w:rPr>
          <w:rFonts w:eastAsia="Times New Roman" w:cstheme="minorHAnsi"/>
          <w:color w:val="111821"/>
        </w:rPr>
      </w:pPr>
      <w:r w:rsidRPr="004D0C78">
        <w:rPr>
          <w:rFonts w:eastAsia="Times New Roman" w:cstheme="minorHAnsi"/>
          <w:color w:val="111821"/>
        </w:rPr>
        <w:t>The </w:t>
      </w:r>
      <w:r w:rsidRPr="004D0C78">
        <w:rPr>
          <w:rFonts w:eastAsia="Times New Roman" w:cstheme="minorHAnsi"/>
          <w:b/>
          <w:bCs/>
          <w:color w:val="111821"/>
        </w:rPr>
        <w:t>Electronic Workpaper (E) Working Group </w:t>
      </w:r>
      <w:r w:rsidRPr="004D0C78">
        <w:rPr>
          <w:rFonts w:eastAsia="Times New Roman" w:cstheme="minorHAnsi"/>
          <w:color w:val="111821"/>
        </w:rPr>
        <w:t>will:</w:t>
      </w:r>
    </w:p>
    <w:p w14:paraId="3C09B850" w14:textId="77777777" w:rsidR="00B60001" w:rsidRPr="00B60001" w:rsidRDefault="00B60001" w:rsidP="00B60001">
      <w:pPr>
        <w:pStyle w:val="ListParagraph"/>
        <w:numPr>
          <w:ilvl w:val="0"/>
          <w:numId w:val="16"/>
        </w:numPr>
        <w:spacing w:after="0" w:line="240" w:lineRule="auto"/>
        <w:rPr>
          <w:rFonts w:eastAsia="Times New Roman" w:cstheme="minorHAnsi"/>
          <w:color w:val="111821"/>
        </w:rPr>
      </w:pPr>
      <w:r w:rsidRPr="00B60001">
        <w:rPr>
          <w:rFonts w:eastAsia="Times New Roman" w:cstheme="minorHAnsi"/>
          <w:color w:val="111821"/>
        </w:rPr>
        <w:t>Monitor and support the state insurance departments in using electronic workpaper software tools to conduct and document solvency monitoring activities.</w:t>
      </w:r>
    </w:p>
    <w:p w14:paraId="5BF099B2" w14:textId="77777777" w:rsidR="00B60001" w:rsidRPr="00B60001" w:rsidRDefault="00B60001" w:rsidP="00B60001">
      <w:pPr>
        <w:pStyle w:val="ListParagraph"/>
        <w:numPr>
          <w:ilvl w:val="0"/>
          <w:numId w:val="16"/>
        </w:numPr>
        <w:spacing w:after="0" w:line="240" w:lineRule="auto"/>
        <w:rPr>
          <w:rFonts w:eastAsia="Times New Roman" w:cstheme="minorHAnsi"/>
          <w:color w:val="111821"/>
        </w:rPr>
      </w:pPr>
      <w:r w:rsidRPr="00B60001">
        <w:rPr>
          <w:rFonts w:eastAsia="Times New Roman" w:cstheme="minorHAnsi"/>
          <w:color w:val="111821"/>
        </w:rPr>
        <w:t>Provide ongoing oversight in the transition of electronic workpaper work to the TeamMate+ application.</w:t>
      </w:r>
    </w:p>
    <w:p w14:paraId="38452A31" w14:textId="77777777" w:rsidR="00B60001" w:rsidRPr="00B60001" w:rsidRDefault="00B60001" w:rsidP="00B60001">
      <w:pPr>
        <w:pStyle w:val="ListParagraph"/>
        <w:numPr>
          <w:ilvl w:val="0"/>
          <w:numId w:val="16"/>
        </w:numPr>
        <w:spacing w:after="0" w:line="240" w:lineRule="auto"/>
        <w:rPr>
          <w:rFonts w:eastAsia="Times New Roman" w:cstheme="minorHAnsi"/>
          <w:color w:val="111821"/>
        </w:rPr>
      </w:pPr>
      <w:r w:rsidRPr="00B60001">
        <w:rPr>
          <w:rFonts w:eastAsia="Times New Roman" w:cstheme="minorHAnsi"/>
          <w:color w:val="111821"/>
        </w:rPr>
        <w:t>Monitor state insurance regulator use of TeamMate+ to proactively identify best practices and improvements to the application, as necessary.</w:t>
      </w:r>
    </w:p>
    <w:p w14:paraId="6E908C78" w14:textId="77777777" w:rsidR="00A135D0" w:rsidRPr="004D0C78" w:rsidRDefault="00A135D0" w:rsidP="00CD3F12">
      <w:pPr>
        <w:spacing w:after="0" w:line="240" w:lineRule="auto"/>
        <w:ind w:left="720"/>
        <w:contextualSpacing/>
        <w:rPr>
          <w:rFonts w:eastAsia="Times New Roman" w:cstheme="minorHAnsi"/>
          <w:color w:val="111821"/>
        </w:rPr>
      </w:pPr>
    </w:p>
    <w:p w14:paraId="484CB600" w14:textId="77777777" w:rsidR="00C25C8A" w:rsidRPr="004D0C78" w:rsidRDefault="00C25C8A" w:rsidP="004D0C78">
      <w:pPr>
        <w:pStyle w:val="ListParagraph"/>
        <w:numPr>
          <w:ilvl w:val="0"/>
          <w:numId w:val="10"/>
        </w:numPr>
        <w:spacing w:after="0" w:line="240" w:lineRule="auto"/>
        <w:ind w:left="360"/>
        <w:rPr>
          <w:rFonts w:eastAsia="Times New Roman" w:cstheme="minorHAnsi"/>
          <w:color w:val="111821"/>
        </w:rPr>
      </w:pPr>
      <w:r w:rsidRPr="004D0C78">
        <w:rPr>
          <w:rFonts w:eastAsia="Times New Roman" w:cstheme="minorHAnsi"/>
          <w:color w:val="111821"/>
        </w:rPr>
        <w:t>The </w:t>
      </w:r>
      <w:r w:rsidRPr="004D0C78">
        <w:rPr>
          <w:rFonts w:eastAsia="Times New Roman" w:cstheme="minorHAnsi"/>
          <w:b/>
          <w:bCs/>
          <w:color w:val="111821"/>
        </w:rPr>
        <w:t>Financial Analysis Solvency Tools (E) Working Group </w:t>
      </w:r>
      <w:r w:rsidRPr="004D0C78">
        <w:rPr>
          <w:rFonts w:eastAsia="Times New Roman" w:cstheme="minorHAnsi"/>
          <w:color w:val="111821"/>
        </w:rPr>
        <w:t>will:</w:t>
      </w:r>
    </w:p>
    <w:p w14:paraId="258AC01A" w14:textId="77777777" w:rsidR="00A62893" w:rsidRPr="005723D6" w:rsidRDefault="00A62893" w:rsidP="005723D6">
      <w:pPr>
        <w:numPr>
          <w:ilvl w:val="0"/>
          <w:numId w:val="13"/>
        </w:numPr>
        <w:spacing w:after="0" w:line="240" w:lineRule="auto"/>
        <w:contextualSpacing/>
        <w:jc w:val="both"/>
        <w:rPr>
          <w:rFonts w:eastAsia="Times New Roman" w:cstheme="minorHAnsi"/>
          <w:color w:val="111821"/>
        </w:rPr>
      </w:pPr>
      <w:r w:rsidRPr="005723D6">
        <w:rPr>
          <w:rFonts w:eastAsia="Times New Roman" w:cstheme="minorHAnsi"/>
          <w:color w:val="111821"/>
        </w:rPr>
        <w:t>Provide ongoing maintenance and enhancements to the Financial Analysis Handbook and related applications for changes to the NAIC annual/quarterly financial statement blanks based on input from other regulators and the work or referrals from other NAIC committees, task forces, and working groups to develop, as well as enhancements developed to assist in the risk-focused analysis and monitoring of the financial condition of insurance companies and groups.</w:t>
      </w:r>
    </w:p>
    <w:p w14:paraId="56F8655C" w14:textId="77777777" w:rsidR="00A62893" w:rsidRPr="005723D6" w:rsidRDefault="00A62893" w:rsidP="005723D6">
      <w:pPr>
        <w:numPr>
          <w:ilvl w:val="0"/>
          <w:numId w:val="13"/>
        </w:numPr>
        <w:spacing w:after="0" w:line="240" w:lineRule="auto"/>
        <w:contextualSpacing/>
        <w:jc w:val="both"/>
        <w:rPr>
          <w:rFonts w:eastAsia="Times New Roman" w:cstheme="minorHAnsi"/>
          <w:color w:val="111821"/>
        </w:rPr>
      </w:pPr>
      <w:r w:rsidRPr="005723D6">
        <w:rPr>
          <w:rFonts w:eastAsia="Times New Roman" w:cstheme="minorHAnsi"/>
          <w:color w:val="111821"/>
        </w:rPr>
        <w:t>Provide ongoing development maintenance and enhancements to the automated financial solvency tools that were developed to assist in conducting risk-focused analysis and the monitoring of the financial condition of insurance companies and groups. Prioritize and perform analysis to ensure that the tools remain reliable and accurate.</w:t>
      </w:r>
    </w:p>
    <w:p w14:paraId="0F47060D" w14:textId="125551F1" w:rsidR="004A2B76" w:rsidRDefault="00A62893" w:rsidP="005723D6">
      <w:pPr>
        <w:numPr>
          <w:ilvl w:val="0"/>
          <w:numId w:val="13"/>
        </w:numPr>
        <w:spacing w:after="0" w:line="240" w:lineRule="auto"/>
        <w:contextualSpacing/>
        <w:jc w:val="both"/>
        <w:rPr>
          <w:rFonts w:eastAsia="Times New Roman" w:cstheme="minorHAnsi"/>
          <w:color w:val="111821"/>
        </w:rPr>
      </w:pPr>
      <w:r w:rsidRPr="00A62893">
        <w:rPr>
          <w:rFonts w:eastAsia="Times New Roman" w:cstheme="minorHAnsi"/>
          <w:color w:val="111821"/>
        </w:rPr>
        <w:lastRenderedPageBreak/>
        <w:t xml:space="preserve">Coordinate with the Financial Examiners Handbook (E) Technical Group and the Risk-Focused Surveillance (E) Working Group, as appropriate, to develop and maintain guidance </w:t>
      </w:r>
      <w:proofErr w:type="gramStart"/>
      <w:r w:rsidRPr="00A62893">
        <w:rPr>
          <w:rFonts w:eastAsia="Times New Roman" w:cstheme="minorHAnsi"/>
          <w:color w:val="111821"/>
        </w:rPr>
        <w:t>in order to</w:t>
      </w:r>
      <w:proofErr w:type="gramEnd"/>
      <w:r w:rsidRPr="00A62893">
        <w:rPr>
          <w:rFonts w:eastAsia="Times New Roman" w:cstheme="minorHAnsi"/>
          <w:color w:val="111821"/>
        </w:rPr>
        <w:t xml:space="preserve"> provide effective solvency monitoring.</w:t>
      </w:r>
    </w:p>
    <w:p w14:paraId="4FE0333A" w14:textId="77777777" w:rsidR="005723D6" w:rsidRPr="00381C81" w:rsidRDefault="005723D6" w:rsidP="005723D6">
      <w:pPr>
        <w:spacing w:after="0" w:line="240" w:lineRule="auto"/>
        <w:ind w:left="720"/>
        <w:contextualSpacing/>
        <w:jc w:val="both"/>
        <w:rPr>
          <w:rFonts w:eastAsia="Times New Roman" w:cstheme="minorHAnsi"/>
          <w:color w:val="111821"/>
        </w:rPr>
      </w:pPr>
    </w:p>
    <w:p w14:paraId="649DBFD7" w14:textId="77777777" w:rsidR="00C25C8A" w:rsidRPr="00381C81" w:rsidRDefault="00C25C8A" w:rsidP="00381C81">
      <w:pPr>
        <w:pStyle w:val="ListParagraph"/>
        <w:numPr>
          <w:ilvl w:val="0"/>
          <w:numId w:val="10"/>
        </w:numPr>
        <w:spacing w:after="0" w:line="240" w:lineRule="auto"/>
        <w:ind w:left="360"/>
        <w:rPr>
          <w:rFonts w:eastAsia="Times New Roman" w:cstheme="minorHAnsi"/>
          <w:color w:val="111821"/>
        </w:rPr>
      </w:pPr>
      <w:r w:rsidRPr="00381C81">
        <w:rPr>
          <w:rFonts w:eastAsia="Times New Roman" w:cstheme="minorHAnsi"/>
          <w:color w:val="111821"/>
        </w:rPr>
        <w:t>The </w:t>
      </w:r>
      <w:r w:rsidRPr="00381C81">
        <w:rPr>
          <w:rFonts w:eastAsia="Times New Roman" w:cstheme="minorHAnsi"/>
          <w:b/>
          <w:bCs/>
          <w:color w:val="111821"/>
        </w:rPr>
        <w:t>Financial Examiners Coordination (E) Working Group </w:t>
      </w:r>
      <w:r w:rsidRPr="00381C81">
        <w:rPr>
          <w:rFonts w:eastAsia="Times New Roman" w:cstheme="minorHAnsi"/>
          <w:color w:val="111821"/>
        </w:rPr>
        <w:t>will:</w:t>
      </w:r>
    </w:p>
    <w:p w14:paraId="79741F51" w14:textId="77777777" w:rsidR="00663EB7" w:rsidRPr="00663EB7" w:rsidRDefault="00663EB7" w:rsidP="00663EB7">
      <w:pPr>
        <w:pStyle w:val="ListParagraph"/>
        <w:numPr>
          <w:ilvl w:val="0"/>
          <w:numId w:val="14"/>
        </w:numPr>
        <w:spacing w:after="0" w:line="240" w:lineRule="auto"/>
        <w:rPr>
          <w:rFonts w:eastAsia="Times New Roman" w:cstheme="minorHAnsi"/>
          <w:color w:val="111821"/>
        </w:rPr>
      </w:pPr>
      <w:r w:rsidRPr="00663EB7">
        <w:rPr>
          <w:rFonts w:eastAsia="Times New Roman" w:cstheme="minorHAnsi"/>
          <w:color w:val="111821"/>
        </w:rPr>
        <w:t>Develop enhancements that encourage the coordination of examination activities for holding company groups.</w:t>
      </w:r>
    </w:p>
    <w:p w14:paraId="76E255C5" w14:textId="77777777" w:rsidR="00663EB7" w:rsidRPr="00663EB7" w:rsidRDefault="00663EB7" w:rsidP="00663EB7">
      <w:pPr>
        <w:pStyle w:val="ListParagraph"/>
        <w:numPr>
          <w:ilvl w:val="0"/>
          <w:numId w:val="14"/>
        </w:numPr>
        <w:spacing w:after="0" w:line="240" w:lineRule="auto"/>
        <w:rPr>
          <w:rFonts w:eastAsia="Times New Roman" w:cstheme="minorHAnsi"/>
          <w:color w:val="111821"/>
        </w:rPr>
      </w:pPr>
      <w:r w:rsidRPr="00663EB7">
        <w:rPr>
          <w:rFonts w:eastAsia="Times New Roman" w:cstheme="minorHAnsi"/>
          <w:color w:val="111821"/>
        </w:rPr>
        <w:t>Promote coordination by assisting and advising domiciliary regulators and exam-coordinating states on the most appropriate regulatory strategies, methods, and actions regarding financial examinations of holding company groups.</w:t>
      </w:r>
    </w:p>
    <w:p w14:paraId="64015456" w14:textId="77777777" w:rsidR="00663EB7" w:rsidRPr="00663EB7" w:rsidRDefault="00663EB7" w:rsidP="00663EB7">
      <w:pPr>
        <w:pStyle w:val="ListParagraph"/>
        <w:numPr>
          <w:ilvl w:val="0"/>
          <w:numId w:val="14"/>
        </w:numPr>
        <w:spacing w:after="0" w:line="240" w:lineRule="auto"/>
        <w:rPr>
          <w:rFonts w:eastAsia="Times New Roman" w:cstheme="minorHAnsi"/>
          <w:color w:val="111821"/>
        </w:rPr>
      </w:pPr>
      <w:r w:rsidRPr="00663EB7">
        <w:rPr>
          <w:rFonts w:eastAsia="Times New Roman" w:cstheme="minorHAnsi"/>
          <w:color w:val="111821"/>
        </w:rPr>
        <w:t>Facilitate communication among regulators regarding common practices and issues arising from coordinating examination efforts.</w:t>
      </w:r>
    </w:p>
    <w:p w14:paraId="220D4521" w14:textId="77777777" w:rsidR="00663EB7" w:rsidRPr="00663EB7" w:rsidRDefault="00663EB7" w:rsidP="00663EB7">
      <w:pPr>
        <w:pStyle w:val="ListParagraph"/>
        <w:numPr>
          <w:ilvl w:val="0"/>
          <w:numId w:val="14"/>
        </w:numPr>
        <w:spacing w:after="0" w:line="240" w:lineRule="auto"/>
        <w:rPr>
          <w:rFonts w:eastAsia="Times New Roman" w:cstheme="minorHAnsi"/>
          <w:color w:val="111821"/>
        </w:rPr>
      </w:pPr>
      <w:r w:rsidRPr="00663EB7">
        <w:rPr>
          <w:rFonts w:eastAsia="Times New Roman" w:cstheme="minorHAnsi"/>
          <w:color w:val="111821"/>
        </w:rPr>
        <w:t>Provide ongoing maintenance and enhancements to the Financial Exam Electronic Tracking System (FEETS).</w:t>
      </w:r>
    </w:p>
    <w:p w14:paraId="1A68A6E5" w14:textId="77777777" w:rsidR="000B3F2A" w:rsidRPr="00381C81" w:rsidRDefault="000B3F2A" w:rsidP="00381C81">
      <w:pPr>
        <w:spacing w:after="0" w:line="240" w:lineRule="auto"/>
        <w:contextualSpacing/>
        <w:rPr>
          <w:rFonts w:eastAsia="Times New Roman" w:cstheme="minorHAnsi"/>
          <w:color w:val="111821"/>
        </w:rPr>
      </w:pPr>
    </w:p>
    <w:p w14:paraId="36E26169" w14:textId="4E152679" w:rsidR="00C25C8A" w:rsidRPr="00381C81" w:rsidRDefault="00C25C8A" w:rsidP="00381C81">
      <w:pPr>
        <w:pStyle w:val="ListParagraph"/>
        <w:numPr>
          <w:ilvl w:val="0"/>
          <w:numId w:val="10"/>
        </w:numPr>
        <w:spacing w:after="0" w:line="240" w:lineRule="auto"/>
        <w:ind w:left="360"/>
        <w:rPr>
          <w:rFonts w:eastAsia="Times New Roman" w:cstheme="minorHAnsi"/>
          <w:color w:val="111821"/>
        </w:rPr>
      </w:pPr>
      <w:r w:rsidRPr="00381C81">
        <w:rPr>
          <w:rFonts w:eastAsia="Times New Roman" w:cstheme="minorHAnsi"/>
          <w:color w:val="111821"/>
        </w:rPr>
        <w:t>The </w:t>
      </w:r>
      <w:r w:rsidRPr="00381C81">
        <w:rPr>
          <w:rFonts w:eastAsia="Times New Roman" w:cstheme="minorHAnsi"/>
          <w:b/>
          <w:bCs/>
          <w:color w:val="111821"/>
        </w:rPr>
        <w:t>Financial Examiners Handbook (E) Technical Group </w:t>
      </w:r>
      <w:r w:rsidRPr="00381C81">
        <w:rPr>
          <w:rFonts w:eastAsia="Times New Roman" w:cstheme="minorHAnsi"/>
          <w:color w:val="111821"/>
        </w:rPr>
        <w:t>will:</w:t>
      </w:r>
    </w:p>
    <w:p w14:paraId="5E30F999" w14:textId="77777777" w:rsidR="000C6A4B" w:rsidRPr="000C6A4B" w:rsidRDefault="000C6A4B" w:rsidP="000C6A4B">
      <w:pPr>
        <w:numPr>
          <w:ilvl w:val="0"/>
          <w:numId w:val="6"/>
        </w:numPr>
        <w:spacing w:after="0" w:line="240" w:lineRule="auto"/>
        <w:contextualSpacing/>
        <w:jc w:val="both"/>
        <w:rPr>
          <w:rFonts w:eastAsia="Times New Roman" w:cstheme="minorHAnsi"/>
          <w:color w:val="111821"/>
        </w:rPr>
      </w:pPr>
      <w:r w:rsidRPr="000C6A4B">
        <w:rPr>
          <w:rFonts w:eastAsia="Times New Roman" w:cstheme="minorHAnsi"/>
          <w:color w:val="111821"/>
        </w:rPr>
        <w:t>Continually review the Financial Condition Examiners Handbook, and revise when appropriate.</w:t>
      </w:r>
    </w:p>
    <w:p w14:paraId="17E43B13" w14:textId="77777777" w:rsidR="000C6A4B" w:rsidRPr="000C6A4B" w:rsidRDefault="000C6A4B" w:rsidP="000C6A4B">
      <w:pPr>
        <w:numPr>
          <w:ilvl w:val="0"/>
          <w:numId w:val="6"/>
        </w:numPr>
        <w:spacing w:after="0" w:line="240" w:lineRule="auto"/>
        <w:contextualSpacing/>
        <w:jc w:val="both"/>
        <w:rPr>
          <w:rFonts w:eastAsia="Times New Roman" w:cstheme="minorHAnsi"/>
          <w:color w:val="111821"/>
        </w:rPr>
      </w:pPr>
      <w:r w:rsidRPr="000C6A4B">
        <w:rPr>
          <w:rFonts w:eastAsia="Times New Roman" w:cstheme="minorHAnsi"/>
          <w:color w:val="111821"/>
        </w:rPr>
        <w:t>Coordinate with the Risk-Focused Surveillance (E) Working Group to monitor the implementation of the risk-assessment process by developing additional guidance and exhibits within the Financial Condition Examiners Handbook, including consideration of potential redundancies affected by the examination process, corporate governance, and other guidance as needed to assist examiners in completing financial condition examinations.</w:t>
      </w:r>
    </w:p>
    <w:p w14:paraId="29BB0F3C" w14:textId="77777777" w:rsidR="000C6A4B" w:rsidRPr="000C6A4B" w:rsidRDefault="000C6A4B" w:rsidP="000C6A4B">
      <w:pPr>
        <w:numPr>
          <w:ilvl w:val="0"/>
          <w:numId w:val="6"/>
        </w:numPr>
        <w:spacing w:after="0" w:line="240" w:lineRule="auto"/>
        <w:contextualSpacing/>
        <w:jc w:val="both"/>
        <w:rPr>
          <w:rFonts w:eastAsia="Times New Roman" w:cstheme="minorHAnsi"/>
          <w:color w:val="111821"/>
        </w:rPr>
      </w:pPr>
      <w:r w:rsidRPr="000C6A4B">
        <w:rPr>
          <w:rFonts w:eastAsia="Times New Roman" w:cstheme="minorHAnsi"/>
          <w:color w:val="111821"/>
        </w:rPr>
        <w:t>Coordinate with the Financial Analysis Solvency Tools (E) Working Group and the Risk-Focused Surveillance (E) Working Group, as appropriate, to develop and maintain guidance to provide effective solvency monitoring.</w:t>
      </w:r>
    </w:p>
    <w:p w14:paraId="084447A4" w14:textId="77777777" w:rsidR="000C6A4B" w:rsidRPr="000C6A4B" w:rsidRDefault="000C6A4B" w:rsidP="000C6A4B">
      <w:pPr>
        <w:numPr>
          <w:ilvl w:val="0"/>
          <w:numId w:val="6"/>
        </w:numPr>
        <w:spacing w:after="0" w:line="240" w:lineRule="auto"/>
        <w:contextualSpacing/>
        <w:jc w:val="both"/>
        <w:rPr>
          <w:rFonts w:eastAsia="Times New Roman" w:cstheme="minorHAnsi"/>
          <w:color w:val="111821"/>
        </w:rPr>
      </w:pPr>
      <w:r w:rsidRPr="000C6A4B">
        <w:rPr>
          <w:rFonts w:eastAsia="Times New Roman" w:cstheme="minorHAnsi"/>
          <w:color w:val="111821"/>
        </w:rPr>
        <w:t>Coordinate with the Information Technology (IT) Examination (E) Working Group and the Financial Examiners Coordination (E) Working Group to maintain specialized areas of guidance within the Financial Condition Examiners Handbook related to the charges of these specific working groups.</w:t>
      </w:r>
    </w:p>
    <w:p w14:paraId="44833E4D" w14:textId="357EFDDA" w:rsidR="00C25C8A" w:rsidRPr="000C6A4B" w:rsidRDefault="00C25C8A" w:rsidP="000C6A4B">
      <w:pPr>
        <w:spacing w:after="0" w:line="240" w:lineRule="auto"/>
        <w:ind w:left="720"/>
        <w:contextualSpacing/>
        <w:jc w:val="both"/>
        <w:rPr>
          <w:rFonts w:eastAsia="Times New Roman" w:cstheme="minorHAnsi"/>
          <w:color w:val="111821"/>
        </w:rPr>
      </w:pPr>
    </w:p>
    <w:p w14:paraId="730EA43F" w14:textId="77777777" w:rsidR="000B3F2A" w:rsidRPr="00262E7B" w:rsidRDefault="000B3F2A" w:rsidP="00262E7B">
      <w:pPr>
        <w:spacing w:after="0" w:line="240" w:lineRule="auto"/>
        <w:contextualSpacing/>
        <w:rPr>
          <w:rFonts w:eastAsia="Times New Roman" w:cstheme="minorHAnsi"/>
          <w:color w:val="111821"/>
        </w:rPr>
      </w:pPr>
    </w:p>
    <w:p w14:paraId="65FB4CC9" w14:textId="2F7A4D5A" w:rsidR="00C25C8A" w:rsidRPr="00262E7B" w:rsidRDefault="00C25C8A" w:rsidP="00262E7B">
      <w:pPr>
        <w:pStyle w:val="ListParagraph"/>
        <w:numPr>
          <w:ilvl w:val="0"/>
          <w:numId w:val="10"/>
        </w:numPr>
        <w:spacing w:after="0" w:line="240" w:lineRule="auto"/>
        <w:ind w:left="360"/>
        <w:rPr>
          <w:rFonts w:eastAsia="Times New Roman" w:cstheme="minorHAnsi"/>
          <w:color w:val="111821"/>
        </w:rPr>
      </w:pPr>
      <w:bookmarkStart w:id="0" w:name="_Hlk81982915"/>
      <w:r w:rsidRPr="00262E7B">
        <w:rPr>
          <w:rFonts w:eastAsia="Times New Roman" w:cstheme="minorHAnsi"/>
          <w:color w:val="111821"/>
        </w:rPr>
        <w:t>The </w:t>
      </w:r>
      <w:r w:rsidRPr="00262E7B">
        <w:rPr>
          <w:rFonts w:eastAsia="Times New Roman" w:cstheme="minorHAnsi"/>
          <w:b/>
          <w:bCs/>
          <w:color w:val="111821"/>
        </w:rPr>
        <w:t>IT Examination (E) Working Group </w:t>
      </w:r>
      <w:r w:rsidRPr="00262E7B">
        <w:rPr>
          <w:rFonts w:eastAsia="Times New Roman" w:cstheme="minorHAnsi"/>
          <w:color w:val="111821"/>
        </w:rPr>
        <w:t>will:</w:t>
      </w:r>
    </w:p>
    <w:p w14:paraId="7D75AA76" w14:textId="77777777" w:rsidR="004C03F2" w:rsidRPr="004C03F2" w:rsidRDefault="004C03F2" w:rsidP="004C03F2">
      <w:pPr>
        <w:pStyle w:val="ListParagraph"/>
        <w:numPr>
          <w:ilvl w:val="0"/>
          <w:numId w:val="15"/>
        </w:numPr>
        <w:spacing w:after="0" w:line="240" w:lineRule="auto"/>
        <w:jc w:val="both"/>
        <w:rPr>
          <w:rFonts w:eastAsia="Times New Roman" w:cstheme="minorHAnsi"/>
          <w:color w:val="111821"/>
        </w:rPr>
      </w:pPr>
      <w:bookmarkStart w:id="1" w:name="_Hlk81981418"/>
      <w:r w:rsidRPr="004C03F2">
        <w:rPr>
          <w:rFonts w:eastAsia="Times New Roman" w:cstheme="minorHAnsi"/>
          <w:color w:val="111821"/>
        </w:rPr>
        <w:t>Continually review, develop, and revise the guidance in the Financial Condition Examiners Handbook and other related tools, as needed, to address IT risks.</w:t>
      </w:r>
    </w:p>
    <w:p w14:paraId="26196E26" w14:textId="77777777" w:rsidR="004C03F2" w:rsidRPr="004C03F2" w:rsidRDefault="004C03F2" w:rsidP="004C03F2">
      <w:pPr>
        <w:pStyle w:val="ListParagraph"/>
        <w:numPr>
          <w:ilvl w:val="0"/>
          <w:numId w:val="15"/>
        </w:numPr>
        <w:spacing w:after="0" w:line="240" w:lineRule="auto"/>
        <w:jc w:val="both"/>
        <w:rPr>
          <w:rFonts w:eastAsia="Times New Roman" w:cstheme="minorHAnsi"/>
          <w:color w:val="111821"/>
        </w:rPr>
      </w:pPr>
      <w:r w:rsidRPr="004C03F2">
        <w:rPr>
          <w:rFonts w:eastAsia="Times New Roman" w:cstheme="minorHAnsi"/>
          <w:color w:val="111821"/>
        </w:rPr>
        <w:t>Coordinate with the Cybersecurity (H) Working Group to monitor cybersecurity trends, including emerging and/or ongoing vulnerabilities, and develop guidance within the Financial Condition Examiners Handbook or other tools, if necessary, to support IT examiners.</w:t>
      </w:r>
    </w:p>
    <w:p w14:paraId="3E64520F" w14:textId="77777777" w:rsidR="00773CEB" w:rsidRDefault="00773CEB" w:rsidP="00773CEB">
      <w:pPr>
        <w:spacing w:after="0" w:line="240" w:lineRule="auto"/>
        <w:contextualSpacing/>
        <w:jc w:val="both"/>
        <w:rPr>
          <w:rFonts w:eastAsia="Times New Roman" w:cstheme="minorHAnsi"/>
          <w:color w:val="111821"/>
        </w:rPr>
      </w:pPr>
    </w:p>
    <w:p w14:paraId="5EAB87EA" w14:textId="723BC39B" w:rsidR="00773CEB" w:rsidRDefault="00773CEB" w:rsidP="00773CEB">
      <w:pPr>
        <w:spacing w:after="0" w:line="240" w:lineRule="auto"/>
        <w:contextualSpacing/>
        <w:jc w:val="both"/>
        <w:rPr>
          <w:rFonts w:eastAsia="Times New Roman" w:cstheme="minorHAnsi"/>
          <w:color w:val="111821"/>
        </w:rPr>
      </w:pPr>
      <w:r>
        <w:rPr>
          <w:rFonts w:eastAsia="Times New Roman" w:cstheme="minorHAnsi"/>
          <w:color w:val="111821"/>
        </w:rPr>
        <w:t xml:space="preserve">NAIC Support Staff: </w:t>
      </w:r>
      <w:r w:rsidR="00DB3116">
        <w:rPr>
          <w:rFonts w:eastAsia="Times New Roman" w:cstheme="minorHAnsi"/>
          <w:color w:val="111821"/>
        </w:rPr>
        <w:t>Bailey Henning</w:t>
      </w:r>
    </w:p>
    <w:bookmarkEnd w:id="0"/>
    <w:bookmarkEnd w:id="1"/>
    <w:p w14:paraId="6ED81CA6" w14:textId="77777777" w:rsidR="00B47012" w:rsidRDefault="00B47012" w:rsidP="00B47012">
      <w:pPr>
        <w:spacing w:after="0" w:line="240" w:lineRule="auto"/>
        <w:contextualSpacing/>
        <w:rPr>
          <w:rFonts w:eastAsia="Times New Roman" w:cstheme="minorHAnsi"/>
        </w:rPr>
      </w:pPr>
    </w:p>
    <w:p w14:paraId="070DA481" w14:textId="4429427E" w:rsidR="00C43995" w:rsidRPr="00244CDC" w:rsidRDefault="00945758" w:rsidP="56EAAC51">
      <w:pPr>
        <w:spacing w:after="200" w:line="276" w:lineRule="auto"/>
        <w:contextualSpacing/>
        <w:jc w:val="both"/>
      </w:pPr>
      <w:r w:rsidRPr="56EAAC51">
        <w:rPr>
          <w:sz w:val="18"/>
          <w:szCs w:val="18"/>
        </w:rPr>
        <w:t>Committee Charges/202</w:t>
      </w:r>
      <w:r w:rsidR="003D3E66">
        <w:rPr>
          <w:sz w:val="18"/>
          <w:szCs w:val="18"/>
        </w:rPr>
        <w:t>5</w:t>
      </w:r>
      <w:r w:rsidRPr="56EAAC51">
        <w:rPr>
          <w:sz w:val="18"/>
          <w:szCs w:val="18"/>
        </w:rPr>
        <w:t>/</w:t>
      </w:r>
      <w:r w:rsidR="2D7B8B28" w:rsidRPr="56EAAC51">
        <w:rPr>
          <w:sz w:val="18"/>
          <w:szCs w:val="18"/>
        </w:rPr>
        <w:t>D</w:t>
      </w:r>
      <w:r w:rsidRPr="56EAAC51">
        <w:rPr>
          <w:sz w:val="18"/>
          <w:szCs w:val="18"/>
        </w:rPr>
        <w:t>raft Charges</w:t>
      </w:r>
      <w:r w:rsidR="00A45791" w:rsidRPr="56EAAC51">
        <w:rPr>
          <w:sz w:val="18"/>
          <w:szCs w:val="18"/>
        </w:rPr>
        <w:t>/EOTF</w:t>
      </w:r>
    </w:p>
    <w:sectPr w:rsidR="00C43995" w:rsidRPr="00244CDC" w:rsidSect="004D0C78">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6F1B7" w14:textId="77777777" w:rsidR="00184AE9" w:rsidRDefault="00184AE9" w:rsidP="00CE32D4">
      <w:pPr>
        <w:spacing w:after="0" w:line="240" w:lineRule="auto"/>
      </w:pPr>
      <w:r>
        <w:separator/>
      </w:r>
    </w:p>
  </w:endnote>
  <w:endnote w:type="continuationSeparator" w:id="0">
    <w:p w14:paraId="4064D753" w14:textId="77777777" w:rsidR="00184AE9" w:rsidRDefault="00184AE9" w:rsidP="00CE32D4">
      <w:pPr>
        <w:spacing w:after="0" w:line="240" w:lineRule="auto"/>
      </w:pPr>
      <w:r>
        <w:continuationSeparator/>
      </w:r>
    </w:p>
  </w:endnote>
  <w:endnote w:type="continuationNotice" w:id="1">
    <w:p w14:paraId="1CB07203" w14:textId="77777777" w:rsidR="00184AE9" w:rsidRDefault="00184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BA71" w14:textId="327699B2" w:rsidR="00CE32D4" w:rsidRPr="00E74ADE" w:rsidRDefault="00CE32D4" w:rsidP="00E74ADE">
    <w:pPr>
      <w:tabs>
        <w:tab w:val="center" w:pos="5040"/>
        <w:tab w:val="right" w:pos="8640"/>
        <w:tab w:val="left" w:pos="8820"/>
      </w:tabs>
      <w:spacing w:after="0" w:line="240" w:lineRule="auto"/>
      <w:rPr>
        <w:rFonts w:ascii="Calibri" w:eastAsia="Times New Roman" w:hAnsi="Calibri" w:cs="Calibri"/>
        <w:sz w:val="24"/>
        <w:szCs w:val="24"/>
      </w:rPr>
    </w:pPr>
    <w:r w:rsidRPr="0F62BD39">
      <w:rPr>
        <w:rFonts w:ascii="Calibri" w:eastAsia="Times New Roman" w:hAnsi="Calibri" w:cs="Calibri"/>
        <w:sz w:val="20"/>
        <w:szCs w:val="20"/>
      </w:rPr>
      <w:t xml:space="preserve">© </w:t>
    </w:r>
    <w:r w:rsidR="0F62BD39" w:rsidRPr="0F62BD39">
      <w:rPr>
        <w:rFonts w:ascii="Calibri" w:eastAsia="Times New Roman" w:hAnsi="Calibri" w:cs="Calibri"/>
        <w:sz w:val="20"/>
        <w:szCs w:val="20"/>
      </w:rPr>
      <w:t>202</w:t>
    </w:r>
    <w:r w:rsidR="003D3E66">
      <w:rPr>
        <w:rFonts w:ascii="Calibri" w:eastAsia="Times New Roman" w:hAnsi="Calibri" w:cs="Calibri"/>
        <w:sz w:val="20"/>
        <w:szCs w:val="20"/>
      </w:rPr>
      <w:t>4</w:t>
    </w:r>
    <w:r w:rsidRPr="0F62BD39">
      <w:rPr>
        <w:rFonts w:ascii="Calibri" w:eastAsia="Times New Roman" w:hAnsi="Calibri" w:cs="Calibri"/>
        <w:sz w:val="20"/>
        <w:szCs w:val="20"/>
      </w:rPr>
      <w:t xml:space="preserve"> National Association of Insurance Commissioners</w:t>
    </w:r>
    <w:r>
      <w:tab/>
    </w:r>
    <w:r w:rsidRPr="00CE32D4">
      <w:rPr>
        <w:rFonts w:ascii="Calibri" w:eastAsia="Times New Roman" w:hAnsi="Calibri" w:cs="Calibri"/>
        <w:sz w:val="20"/>
        <w:szCs w:val="20"/>
      </w:rPr>
      <w:fldChar w:fldCharType="begin"/>
    </w:r>
    <w:r w:rsidRPr="00CE32D4">
      <w:rPr>
        <w:rFonts w:ascii="Calibri" w:eastAsia="Times New Roman" w:hAnsi="Calibri" w:cs="Calibri"/>
        <w:sz w:val="20"/>
        <w:szCs w:val="20"/>
      </w:rPr>
      <w:instrText xml:space="preserve"> PAGE </w:instrText>
    </w:r>
    <w:r w:rsidRPr="00CE32D4">
      <w:rPr>
        <w:rFonts w:ascii="Calibri" w:eastAsia="Times New Roman" w:hAnsi="Calibri" w:cs="Calibri"/>
        <w:sz w:val="20"/>
        <w:szCs w:val="20"/>
      </w:rPr>
      <w:fldChar w:fldCharType="separate"/>
    </w:r>
    <w:r w:rsidRPr="00CE32D4">
      <w:rPr>
        <w:rFonts w:ascii="Calibri" w:eastAsia="Times New Roman" w:hAnsi="Calibri" w:cs="Calibri"/>
        <w:sz w:val="20"/>
        <w:szCs w:val="20"/>
      </w:rPr>
      <w:t>1</w:t>
    </w:r>
    <w:r w:rsidRPr="00CE32D4">
      <w:rPr>
        <w:rFonts w:ascii="Calibri" w:eastAsia="Times New Roman"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9EDD2" w14:textId="77777777" w:rsidR="00184AE9" w:rsidRDefault="00184AE9" w:rsidP="00CE32D4">
      <w:pPr>
        <w:spacing w:after="0" w:line="240" w:lineRule="auto"/>
      </w:pPr>
      <w:r>
        <w:separator/>
      </w:r>
    </w:p>
  </w:footnote>
  <w:footnote w:type="continuationSeparator" w:id="0">
    <w:p w14:paraId="7A8B7D4C" w14:textId="77777777" w:rsidR="00184AE9" w:rsidRDefault="00184AE9" w:rsidP="00CE32D4">
      <w:pPr>
        <w:spacing w:after="0" w:line="240" w:lineRule="auto"/>
      </w:pPr>
      <w:r>
        <w:continuationSeparator/>
      </w:r>
    </w:p>
  </w:footnote>
  <w:footnote w:type="continuationNotice" w:id="1">
    <w:p w14:paraId="0834918E" w14:textId="77777777" w:rsidR="00184AE9" w:rsidRDefault="00184A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F95"/>
    <w:multiLevelType w:val="multilevel"/>
    <w:tmpl w:val="F906EDA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4310"/>
    <w:multiLevelType w:val="multilevel"/>
    <w:tmpl w:val="A5A2A9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13B13"/>
    <w:multiLevelType w:val="hybridMultilevel"/>
    <w:tmpl w:val="B7B0702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84706"/>
    <w:multiLevelType w:val="hybridMultilevel"/>
    <w:tmpl w:val="0BE6C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B7EA9"/>
    <w:multiLevelType w:val="multilevel"/>
    <w:tmpl w:val="6FC450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7FE6E6B"/>
    <w:multiLevelType w:val="hybridMultilevel"/>
    <w:tmpl w:val="44480A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74F85"/>
    <w:multiLevelType w:val="hybridMultilevel"/>
    <w:tmpl w:val="E48C9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4541D"/>
    <w:multiLevelType w:val="multilevel"/>
    <w:tmpl w:val="BA422B54"/>
    <w:lvl w:ilvl="0">
      <w:start w:val="1"/>
      <w:numFmt w:val="lowerRoman"/>
      <w:lvlText w:val="%1."/>
      <w:lvlJc w:val="left"/>
      <w:pPr>
        <w:tabs>
          <w:tab w:val="num" w:pos="1080"/>
        </w:tabs>
        <w:ind w:left="1080" w:hanging="360"/>
      </w:pPr>
      <w:rPr>
        <w:rFonts w:hint="default"/>
        <w:i w:val="0"/>
        <w:iCs w:val="0"/>
        <w:sz w:val="20"/>
        <w:szCs w:val="20"/>
      </w:rPr>
    </w:lvl>
    <w:lvl w:ilvl="1">
      <w:start w:val="1"/>
      <w:numFmt w:val="upp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4E330A5"/>
    <w:multiLevelType w:val="hybridMultilevel"/>
    <w:tmpl w:val="CF6295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00F8F"/>
    <w:multiLevelType w:val="multilevel"/>
    <w:tmpl w:val="4242673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F96B6F"/>
    <w:multiLevelType w:val="hybridMultilevel"/>
    <w:tmpl w:val="252C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86970"/>
    <w:multiLevelType w:val="multilevel"/>
    <w:tmpl w:val="BF50EE3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E6043"/>
    <w:multiLevelType w:val="multilevel"/>
    <w:tmpl w:val="F0AA3EE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A57091"/>
    <w:multiLevelType w:val="multilevel"/>
    <w:tmpl w:val="6FC450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4E83C01"/>
    <w:multiLevelType w:val="multilevel"/>
    <w:tmpl w:val="5E9E4B12"/>
    <w:lvl w:ilvl="0">
      <w:start w:val="1"/>
      <w:numFmt w:val="upperLetter"/>
      <w:lvlText w:val="%1."/>
      <w:lvlJc w:val="left"/>
      <w:pPr>
        <w:tabs>
          <w:tab w:val="num" w:pos="720"/>
        </w:tabs>
        <w:ind w:left="720" w:hanging="360"/>
      </w:pPr>
      <w:rPr>
        <w:rFonts w:hint="default"/>
        <w:i w:val="0"/>
        <w:iCs w:val="0"/>
        <w:sz w:val="22"/>
        <w:szCs w:val="22"/>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0B5A5D"/>
    <w:multiLevelType w:val="multilevel"/>
    <w:tmpl w:val="BCEC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84834">
    <w:abstractNumId w:val="15"/>
  </w:num>
  <w:num w:numId="2" w16cid:durableId="288056432">
    <w:abstractNumId w:val="7"/>
  </w:num>
  <w:num w:numId="3" w16cid:durableId="1315599196">
    <w:abstractNumId w:val="1"/>
  </w:num>
  <w:num w:numId="4" w16cid:durableId="1835416120">
    <w:abstractNumId w:val="0"/>
  </w:num>
  <w:num w:numId="5" w16cid:durableId="1712342235">
    <w:abstractNumId w:val="9"/>
  </w:num>
  <w:num w:numId="6" w16cid:durableId="2129276477">
    <w:abstractNumId w:val="11"/>
  </w:num>
  <w:num w:numId="7" w16cid:durableId="1709640352">
    <w:abstractNumId w:val="12"/>
  </w:num>
  <w:num w:numId="8" w16cid:durableId="1625234056">
    <w:abstractNumId w:val="5"/>
  </w:num>
  <w:num w:numId="9" w16cid:durableId="2083067749">
    <w:abstractNumId w:val="13"/>
  </w:num>
  <w:num w:numId="10" w16cid:durableId="885987391">
    <w:abstractNumId w:val="10"/>
  </w:num>
  <w:num w:numId="11" w16cid:durableId="1503084842">
    <w:abstractNumId w:val="6"/>
  </w:num>
  <w:num w:numId="12" w16cid:durableId="1101216898">
    <w:abstractNumId w:val="14"/>
  </w:num>
  <w:num w:numId="13" w16cid:durableId="1609585085">
    <w:abstractNumId w:val="4"/>
  </w:num>
  <w:num w:numId="14" w16cid:durableId="123928697">
    <w:abstractNumId w:val="2"/>
  </w:num>
  <w:num w:numId="15" w16cid:durableId="863860226">
    <w:abstractNumId w:val="3"/>
  </w:num>
  <w:num w:numId="16" w16cid:durableId="192619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8A"/>
    <w:rsid w:val="000913BC"/>
    <w:rsid w:val="000B3F2A"/>
    <w:rsid w:val="000C33B0"/>
    <w:rsid w:val="000C6A4B"/>
    <w:rsid w:val="000E2E2E"/>
    <w:rsid w:val="000F0231"/>
    <w:rsid w:val="001258E9"/>
    <w:rsid w:val="00184AE9"/>
    <w:rsid w:val="001A58B7"/>
    <w:rsid w:val="001C0FA2"/>
    <w:rsid w:val="001E6D14"/>
    <w:rsid w:val="00211C33"/>
    <w:rsid w:val="00211C4E"/>
    <w:rsid w:val="00244CDC"/>
    <w:rsid w:val="00262E7B"/>
    <w:rsid w:val="00287715"/>
    <w:rsid w:val="00332036"/>
    <w:rsid w:val="00381C81"/>
    <w:rsid w:val="00397F94"/>
    <w:rsid w:val="003D3E66"/>
    <w:rsid w:val="004028EA"/>
    <w:rsid w:val="00410760"/>
    <w:rsid w:val="004652A5"/>
    <w:rsid w:val="00490983"/>
    <w:rsid w:val="004A2B76"/>
    <w:rsid w:val="004A54AE"/>
    <w:rsid w:val="004C03F2"/>
    <w:rsid w:val="004C2621"/>
    <w:rsid w:val="004D0C78"/>
    <w:rsid w:val="005723D6"/>
    <w:rsid w:val="005A05BD"/>
    <w:rsid w:val="00606ABE"/>
    <w:rsid w:val="00612BCE"/>
    <w:rsid w:val="006301C8"/>
    <w:rsid w:val="00651BBE"/>
    <w:rsid w:val="00663EB7"/>
    <w:rsid w:val="0071409C"/>
    <w:rsid w:val="00727E17"/>
    <w:rsid w:val="00731961"/>
    <w:rsid w:val="00756CD6"/>
    <w:rsid w:val="007657D7"/>
    <w:rsid w:val="00773CEB"/>
    <w:rsid w:val="00781BE1"/>
    <w:rsid w:val="00867D36"/>
    <w:rsid w:val="00870CB7"/>
    <w:rsid w:val="008C39E5"/>
    <w:rsid w:val="008C4523"/>
    <w:rsid w:val="00944175"/>
    <w:rsid w:val="00945758"/>
    <w:rsid w:val="009967DA"/>
    <w:rsid w:val="009A3C01"/>
    <w:rsid w:val="009A5527"/>
    <w:rsid w:val="009C4CFC"/>
    <w:rsid w:val="00A114B5"/>
    <w:rsid w:val="00A135D0"/>
    <w:rsid w:val="00A41EB3"/>
    <w:rsid w:val="00A45791"/>
    <w:rsid w:val="00A62893"/>
    <w:rsid w:val="00A76E27"/>
    <w:rsid w:val="00A84102"/>
    <w:rsid w:val="00AE585A"/>
    <w:rsid w:val="00AE7318"/>
    <w:rsid w:val="00B47012"/>
    <w:rsid w:val="00B60001"/>
    <w:rsid w:val="00B806EC"/>
    <w:rsid w:val="00BA7333"/>
    <w:rsid w:val="00BB1AA9"/>
    <w:rsid w:val="00C25C8A"/>
    <w:rsid w:val="00C43995"/>
    <w:rsid w:val="00CD3F12"/>
    <w:rsid w:val="00CE32D4"/>
    <w:rsid w:val="00CE5059"/>
    <w:rsid w:val="00D053EA"/>
    <w:rsid w:val="00D478A4"/>
    <w:rsid w:val="00D651E4"/>
    <w:rsid w:val="00D854A5"/>
    <w:rsid w:val="00DB3116"/>
    <w:rsid w:val="00DF3670"/>
    <w:rsid w:val="00E0522D"/>
    <w:rsid w:val="00E74ADE"/>
    <w:rsid w:val="00E800F2"/>
    <w:rsid w:val="00E874AA"/>
    <w:rsid w:val="00EE4E60"/>
    <w:rsid w:val="00EE6A4D"/>
    <w:rsid w:val="00F20EBF"/>
    <w:rsid w:val="00FC7B70"/>
    <w:rsid w:val="063E0E3C"/>
    <w:rsid w:val="09A4D9F7"/>
    <w:rsid w:val="0F62BD39"/>
    <w:rsid w:val="14F1691B"/>
    <w:rsid w:val="1799659E"/>
    <w:rsid w:val="1CFA8C09"/>
    <w:rsid w:val="2564FECD"/>
    <w:rsid w:val="26CC7135"/>
    <w:rsid w:val="2D1F828B"/>
    <w:rsid w:val="2D7B8B28"/>
    <w:rsid w:val="2E211EA6"/>
    <w:rsid w:val="2EF0DC41"/>
    <w:rsid w:val="314433B8"/>
    <w:rsid w:val="3A21AC4A"/>
    <w:rsid w:val="427B40BA"/>
    <w:rsid w:val="49DAF2DB"/>
    <w:rsid w:val="4C7E5C51"/>
    <w:rsid w:val="51448E1E"/>
    <w:rsid w:val="56EAAC51"/>
    <w:rsid w:val="57FB92B3"/>
    <w:rsid w:val="58CE4D21"/>
    <w:rsid w:val="5ACAE625"/>
    <w:rsid w:val="5E6C35FA"/>
    <w:rsid w:val="5F9F22F4"/>
    <w:rsid w:val="6ABD19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8F9D"/>
  <w15:chartTrackingRefBased/>
  <w15:docId w15:val="{27469B9F-FDD6-488A-ABE9-53273D51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C8A"/>
    <w:rPr>
      <w:color w:val="0563C1" w:themeColor="hyperlink"/>
      <w:u w:val="single"/>
    </w:rPr>
  </w:style>
  <w:style w:type="character" w:styleId="UnresolvedMention">
    <w:name w:val="Unresolved Mention"/>
    <w:basedOn w:val="DefaultParagraphFont"/>
    <w:uiPriority w:val="99"/>
    <w:semiHidden/>
    <w:unhideWhenUsed/>
    <w:rsid w:val="00C25C8A"/>
    <w:rPr>
      <w:color w:val="605E5C"/>
      <w:shd w:val="clear" w:color="auto" w:fill="E1DFDD"/>
    </w:rPr>
  </w:style>
  <w:style w:type="paragraph" w:styleId="NormalWeb">
    <w:name w:val="Normal (Web)"/>
    <w:basedOn w:val="Normal"/>
    <w:uiPriority w:val="99"/>
    <w:semiHidden/>
    <w:unhideWhenUsed/>
    <w:rsid w:val="00C25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C8A"/>
    <w:rPr>
      <w:b/>
      <w:bCs/>
    </w:rPr>
  </w:style>
  <w:style w:type="character" w:styleId="Emphasis">
    <w:name w:val="Emphasis"/>
    <w:basedOn w:val="DefaultParagraphFont"/>
    <w:uiPriority w:val="20"/>
    <w:qFormat/>
    <w:rsid w:val="00C25C8A"/>
    <w:rPr>
      <w:i/>
      <w:iCs/>
    </w:rPr>
  </w:style>
  <w:style w:type="paragraph" w:styleId="ListParagraph">
    <w:name w:val="List Paragraph"/>
    <w:basedOn w:val="Normal"/>
    <w:uiPriority w:val="34"/>
    <w:qFormat/>
    <w:rsid w:val="00C25C8A"/>
    <w:pPr>
      <w:ind w:left="720"/>
      <w:contextualSpacing/>
    </w:pPr>
  </w:style>
  <w:style w:type="paragraph" w:styleId="Revision">
    <w:name w:val="Revision"/>
    <w:hidden/>
    <w:uiPriority w:val="99"/>
    <w:semiHidden/>
    <w:rsid w:val="00A114B5"/>
    <w:pPr>
      <w:spacing w:after="0" w:line="240" w:lineRule="auto"/>
    </w:pPr>
  </w:style>
  <w:style w:type="paragraph" w:styleId="Header">
    <w:name w:val="header"/>
    <w:basedOn w:val="Normal"/>
    <w:link w:val="HeaderChar"/>
    <w:uiPriority w:val="99"/>
    <w:unhideWhenUsed/>
    <w:rsid w:val="00CE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D4"/>
  </w:style>
  <w:style w:type="paragraph" w:styleId="Footer">
    <w:name w:val="footer"/>
    <w:basedOn w:val="Normal"/>
    <w:link w:val="FooterChar"/>
    <w:uiPriority w:val="99"/>
    <w:unhideWhenUsed/>
    <w:rsid w:val="00CE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D4"/>
  </w:style>
  <w:style w:type="character" w:styleId="CommentReference">
    <w:name w:val="annotation reference"/>
    <w:basedOn w:val="DefaultParagraphFont"/>
    <w:unhideWhenUsed/>
    <w:rsid w:val="00B47012"/>
    <w:rPr>
      <w:sz w:val="16"/>
      <w:szCs w:val="16"/>
    </w:rPr>
  </w:style>
  <w:style w:type="paragraph" w:styleId="CommentText">
    <w:name w:val="annotation text"/>
    <w:basedOn w:val="Normal"/>
    <w:link w:val="CommentTextChar"/>
    <w:unhideWhenUsed/>
    <w:rsid w:val="00B47012"/>
    <w:pPr>
      <w:spacing w:after="200" w:line="240" w:lineRule="auto"/>
    </w:pPr>
    <w:rPr>
      <w:sz w:val="20"/>
      <w:szCs w:val="20"/>
    </w:rPr>
  </w:style>
  <w:style w:type="character" w:customStyle="1" w:styleId="CommentTextChar">
    <w:name w:val="Comment Text Char"/>
    <w:basedOn w:val="DefaultParagraphFont"/>
    <w:link w:val="CommentText"/>
    <w:rsid w:val="00B47012"/>
    <w:rPr>
      <w:sz w:val="20"/>
      <w:szCs w:val="20"/>
    </w:rPr>
  </w:style>
  <w:style w:type="table" w:styleId="TableGrid">
    <w:name w:val="Table Grid"/>
    <w:basedOn w:val="TableNormal"/>
    <w:uiPriority w:val="59"/>
    <w:rsid w:val="00410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16032">
      <w:bodyDiv w:val="1"/>
      <w:marLeft w:val="0"/>
      <w:marRight w:val="0"/>
      <w:marTop w:val="0"/>
      <w:marBottom w:val="0"/>
      <w:divBdr>
        <w:top w:val="none" w:sz="0" w:space="0" w:color="auto"/>
        <w:left w:val="none" w:sz="0" w:space="0" w:color="auto"/>
        <w:bottom w:val="none" w:sz="0" w:space="0" w:color="auto"/>
        <w:right w:val="none" w:sz="0" w:space="0" w:color="auto"/>
      </w:divBdr>
    </w:div>
    <w:div w:id="452212149">
      <w:bodyDiv w:val="1"/>
      <w:marLeft w:val="0"/>
      <w:marRight w:val="0"/>
      <w:marTop w:val="0"/>
      <w:marBottom w:val="0"/>
      <w:divBdr>
        <w:top w:val="none" w:sz="0" w:space="0" w:color="auto"/>
        <w:left w:val="none" w:sz="0" w:space="0" w:color="auto"/>
        <w:bottom w:val="none" w:sz="0" w:space="0" w:color="auto"/>
        <w:right w:val="none" w:sz="0" w:space="0" w:color="auto"/>
      </w:divBdr>
    </w:div>
    <w:div w:id="581838531">
      <w:bodyDiv w:val="1"/>
      <w:marLeft w:val="0"/>
      <w:marRight w:val="0"/>
      <w:marTop w:val="0"/>
      <w:marBottom w:val="0"/>
      <w:divBdr>
        <w:top w:val="none" w:sz="0" w:space="0" w:color="auto"/>
        <w:left w:val="none" w:sz="0" w:space="0" w:color="auto"/>
        <w:bottom w:val="none" w:sz="0" w:space="0" w:color="auto"/>
        <w:right w:val="none" w:sz="0" w:space="0" w:color="auto"/>
      </w:divBdr>
    </w:div>
    <w:div w:id="606934277">
      <w:bodyDiv w:val="1"/>
      <w:marLeft w:val="0"/>
      <w:marRight w:val="0"/>
      <w:marTop w:val="0"/>
      <w:marBottom w:val="0"/>
      <w:divBdr>
        <w:top w:val="none" w:sz="0" w:space="0" w:color="auto"/>
        <w:left w:val="none" w:sz="0" w:space="0" w:color="auto"/>
        <w:bottom w:val="none" w:sz="0" w:space="0" w:color="auto"/>
        <w:right w:val="none" w:sz="0" w:space="0" w:color="auto"/>
      </w:divBdr>
    </w:div>
    <w:div w:id="720523021">
      <w:bodyDiv w:val="1"/>
      <w:marLeft w:val="0"/>
      <w:marRight w:val="0"/>
      <w:marTop w:val="0"/>
      <w:marBottom w:val="0"/>
      <w:divBdr>
        <w:top w:val="none" w:sz="0" w:space="0" w:color="auto"/>
        <w:left w:val="none" w:sz="0" w:space="0" w:color="auto"/>
        <w:bottom w:val="none" w:sz="0" w:space="0" w:color="auto"/>
        <w:right w:val="none" w:sz="0" w:space="0" w:color="auto"/>
      </w:divBdr>
      <w:divsChild>
        <w:div w:id="36203784">
          <w:marLeft w:val="0"/>
          <w:marRight w:val="0"/>
          <w:marTop w:val="0"/>
          <w:marBottom w:val="0"/>
          <w:divBdr>
            <w:top w:val="none" w:sz="0" w:space="0" w:color="auto"/>
            <w:left w:val="none" w:sz="0" w:space="0" w:color="auto"/>
            <w:bottom w:val="none" w:sz="0" w:space="0" w:color="auto"/>
            <w:right w:val="none" w:sz="0" w:space="0" w:color="auto"/>
          </w:divBdr>
        </w:div>
        <w:div w:id="386728524">
          <w:marLeft w:val="0"/>
          <w:marRight w:val="0"/>
          <w:marTop w:val="0"/>
          <w:marBottom w:val="0"/>
          <w:divBdr>
            <w:top w:val="none" w:sz="0" w:space="0" w:color="auto"/>
            <w:left w:val="none" w:sz="0" w:space="0" w:color="auto"/>
            <w:bottom w:val="none" w:sz="0" w:space="0" w:color="auto"/>
            <w:right w:val="none" w:sz="0" w:space="0" w:color="auto"/>
          </w:divBdr>
          <w:divsChild>
            <w:div w:id="286202202">
              <w:marLeft w:val="0"/>
              <w:marRight w:val="0"/>
              <w:marTop w:val="0"/>
              <w:marBottom w:val="0"/>
              <w:divBdr>
                <w:top w:val="none" w:sz="0" w:space="0" w:color="auto"/>
                <w:left w:val="none" w:sz="0" w:space="0" w:color="auto"/>
                <w:bottom w:val="none" w:sz="0" w:space="0" w:color="auto"/>
                <w:right w:val="none" w:sz="0" w:space="0" w:color="auto"/>
              </w:divBdr>
            </w:div>
          </w:divsChild>
        </w:div>
        <w:div w:id="770246050">
          <w:marLeft w:val="0"/>
          <w:marRight w:val="0"/>
          <w:marTop w:val="0"/>
          <w:marBottom w:val="0"/>
          <w:divBdr>
            <w:top w:val="none" w:sz="0" w:space="0" w:color="auto"/>
            <w:left w:val="none" w:sz="0" w:space="0" w:color="auto"/>
            <w:bottom w:val="none" w:sz="0" w:space="0" w:color="auto"/>
            <w:right w:val="none" w:sz="0" w:space="0" w:color="auto"/>
          </w:divBdr>
        </w:div>
      </w:divsChild>
    </w:div>
    <w:div w:id="1291786117">
      <w:bodyDiv w:val="1"/>
      <w:marLeft w:val="0"/>
      <w:marRight w:val="0"/>
      <w:marTop w:val="0"/>
      <w:marBottom w:val="0"/>
      <w:divBdr>
        <w:top w:val="none" w:sz="0" w:space="0" w:color="auto"/>
        <w:left w:val="none" w:sz="0" w:space="0" w:color="auto"/>
        <w:bottom w:val="none" w:sz="0" w:space="0" w:color="auto"/>
        <w:right w:val="none" w:sz="0" w:space="0" w:color="auto"/>
      </w:divBdr>
    </w:div>
    <w:div w:id="1399284372">
      <w:bodyDiv w:val="1"/>
      <w:marLeft w:val="0"/>
      <w:marRight w:val="0"/>
      <w:marTop w:val="0"/>
      <w:marBottom w:val="0"/>
      <w:divBdr>
        <w:top w:val="none" w:sz="0" w:space="0" w:color="auto"/>
        <w:left w:val="none" w:sz="0" w:space="0" w:color="auto"/>
        <w:bottom w:val="none" w:sz="0" w:space="0" w:color="auto"/>
        <w:right w:val="none" w:sz="0" w:space="0" w:color="auto"/>
      </w:divBdr>
    </w:div>
    <w:div w:id="1422218303">
      <w:bodyDiv w:val="1"/>
      <w:marLeft w:val="0"/>
      <w:marRight w:val="0"/>
      <w:marTop w:val="0"/>
      <w:marBottom w:val="0"/>
      <w:divBdr>
        <w:top w:val="none" w:sz="0" w:space="0" w:color="auto"/>
        <w:left w:val="none" w:sz="0" w:space="0" w:color="auto"/>
        <w:bottom w:val="none" w:sz="0" w:space="0" w:color="auto"/>
        <w:right w:val="none" w:sz="0" w:space="0" w:color="auto"/>
      </w:divBdr>
      <w:divsChild>
        <w:div w:id="265694724">
          <w:marLeft w:val="0"/>
          <w:marRight w:val="0"/>
          <w:marTop w:val="0"/>
          <w:marBottom w:val="0"/>
          <w:divBdr>
            <w:top w:val="none" w:sz="0" w:space="0" w:color="auto"/>
            <w:left w:val="none" w:sz="0" w:space="0" w:color="auto"/>
            <w:bottom w:val="none" w:sz="0" w:space="0" w:color="auto"/>
            <w:right w:val="none" w:sz="0" w:space="0" w:color="auto"/>
          </w:divBdr>
          <w:divsChild>
            <w:div w:id="1950383937">
              <w:marLeft w:val="0"/>
              <w:marRight w:val="0"/>
              <w:marTop w:val="0"/>
              <w:marBottom w:val="0"/>
              <w:divBdr>
                <w:top w:val="none" w:sz="0" w:space="0" w:color="auto"/>
                <w:left w:val="none" w:sz="0" w:space="0" w:color="auto"/>
                <w:bottom w:val="none" w:sz="0" w:space="0" w:color="auto"/>
                <w:right w:val="none" w:sz="0" w:space="0" w:color="auto"/>
              </w:divBdr>
            </w:div>
          </w:divsChild>
        </w:div>
        <w:div w:id="902176863">
          <w:marLeft w:val="0"/>
          <w:marRight w:val="0"/>
          <w:marTop w:val="0"/>
          <w:marBottom w:val="0"/>
          <w:divBdr>
            <w:top w:val="none" w:sz="0" w:space="0" w:color="auto"/>
            <w:left w:val="none" w:sz="0" w:space="0" w:color="auto"/>
            <w:bottom w:val="none" w:sz="0" w:space="0" w:color="auto"/>
            <w:right w:val="none" w:sz="0" w:space="0" w:color="auto"/>
          </w:divBdr>
        </w:div>
        <w:div w:id="1347293944">
          <w:marLeft w:val="0"/>
          <w:marRight w:val="0"/>
          <w:marTop w:val="0"/>
          <w:marBottom w:val="0"/>
          <w:divBdr>
            <w:top w:val="none" w:sz="0" w:space="0" w:color="auto"/>
            <w:left w:val="none" w:sz="0" w:space="0" w:color="auto"/>
            <w:bottom w:val="none" w:sz="0" w:space="0" w:color="auto"/>
            <w:right w:val="none" w:sz="0" w:space="0" w:color="auto"/>
          </w:divBdr>
        </w:div>
      </w:divsChild>
    </w:div>
    <w:div w:id="1550417172">
      <w:bodyDiv w:val="1"/>
      <w:marLeft w:val="0"/>
      <w:marRight w:val="0"/>
      <w:marTop w:val="0"/>
      <w:marBottom w:val="0"/>
      <w:divBdr>
        <w:top w:val="none" w:sz="0" w:space="0" w:color="auto"/>
        <w:left w:val="none" w:sz="0" w:space="0" w:color="auto"/>
        <w:bottom w:val="none" w:sz="0" w:space="0" w:color="auto"/>
        <w:right w:val="none" w:sz="0" w:space="0" w:color="auto"/>
      </w:divBdr>
    </w:div>
    <w:div w:id="1827210048">
      <w:bodyDiv w:val="1"/>
      <w:marLeft w:val="0"/>
      <w:marRight w:val="0"/>
      <w:marTop w:val="0"/>
      <w:marBottom w:val="0"/>
      <w:divBdr>
        <w:top w:val="none" w:sz="0" w:space="0" w:color="auto"/>
        <w:left w:val="none" w:sz="0" w:space="0" w:color="auto"/>
        <w:bottom w:val="none" w:sz="0" w:space="0" w:color="auto"/>
        <w:right w:val="none" w:sz="0" w:space="0" w:color="auto"/>
      </w:divBdr>
    </w:div>
    <w:div w:id="1862282912">
      <w:bodyDiv w:val="1"/>
      <w:marLeft w:val="0"/>
      <w:marRight w:val="0"/>
      <w:marTop w:val="0"/>
      <w:marBottom w:val="0"/>
      <w:divBdr>
        <w:top w:val="none" w:sz="0" w:space="0" w:color="auto"/>
        <w:left w:val="none" w:sz="0" w:space="0" w:color="auto"/>
        <w:bottom w:val="none" w:sz="0" w:space="0" w:color="auto"/>
        <w:right w:val="none" w:sz="0" w:space="0" w:color="auto"/>
      </w:divBdr>
    </w:div>
    <w:div w:id="19435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ing_x0020_Period xmlns="192bc822-ce81-4768-96eb-4db37e3f4460" xsi:nil="true"/>
    <Category xmlns="192bc822-ce81-4768-96eb-4db37e3f4460" xsi:nil="true"/>
    <Year xmlns="192bc822-ce81-4768-96eb-4db37e3f4460" xsi:nil="true"/>
    <Meeting_x0020_Date xmlns="192bc822-ce81-4768-96eb-4db37e3f4460" xsi:nil="true"/>
    <Document_x0020_Type xmlns="192bc822-ce81-4768-96eb-4db37e3f44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9BA77FADB42F4C8B1C55C5594AF843" ma:contentTypeVersion="13" ma:contentTypeDescription="Create a new document." ma:contentTypeScope="" ma:versionID="2cbc86e824eef3624c5b2d57f03d80ba">
  <xsd:schema xmlns:xsd="http://www.w3.org/2001/XMLSchema" xmlns:xs="http://www.w3.org/2001/XMLSchema" xmlns:p="http://schemas.microsoft.com/office/2006/metadata/properties" xmlns:ns2="192bc822-ce81-4768-96eb-4db37e3f4460" xmlns:ns3="e42a5c1d-f60b-4625-aa8b-e9a7a61480dd" targetNamespace="http://schemas.microsoft.com/office/2006/metadata/properties" ma:root="true" ma:fieldsID="c85ff4394f9c688e852a08f4bf21ce82" ns2:_="" ns3:_="">
    <xsd:import namespace="192bc822-ce81-4768-96eb-4db37e3f4460"/>
    <xsd:import namespace="e42a5c1d-f60b-4625-aa8b-e9a7a61480dd"/>
    <xsd:element name="properties">
      <xsd:complexType>
        <xsd:sequence>
          <xsd:element name="documentManagement">
            <xsd:complexType>
              <xsd:all>
                <xsd:element ref="ns2:Reporting_x0020_Period" minOccurs="0"/>
                <xsd:element ref="ns2:Year" minOccurs="0"/>
                <xsd:element ref="ns2:Category" minOccurs="0"/>
                <xsd:element ref="ns2:MediaServiceMetadata" minOccurs="0"/>
                <xsd:element ref="ns2:MediaServiceFastMetadata" minOccurs="0"/>
                <xsd:element ref="ns2:Meeting_x0020_Date" minOccurs="0"/>
                <xsd:element ref="ns2:Document_x0020_Typ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bc822-ce81-4768-96eb-4db37e3f4460" elementFormDefault="qualified">
    <xsd:import namespace="http://schemas.microsoft.com/office/2006/documentManagement/types"/>
    <xsd:import namespace="http://schemas.microsoft.com/office/infopath/2007/PartnerControls"/>
    <xsd:element name="Reporting_x0020_Period" ma:index="8" nillable="true" ma:displayName="Reporting Period" ma:format="Dropdown" ma:internalName="Reporting_x0020_Period">
      <xsd:simpleType>
        <xsd:restriction base="dms:Choice">
          <xsd:enumeration value="18-Month"/>
          <xsd:enumeration value="22-Month"/>
          <xsd:enumeration value="NA"/>
        </xsd:restriction>
      </xsd:simpleType>
    </xsd:element>
    <xsd:element name="Year" ma:index="9" nillable="true" ma:displayName="Year" ma:internalName="Year">
      <xsd:simpleType>
        <xsd:restriction base="dms:Text">
          <xsd:maxLength value="255"/>
        </xsd:restriction>
      </xsd:simpleType>
    </xsd:element>
    <xsd:element name="Category" ma:index="10" nillable="true" ma:displayName="Category" ma:internalName="Category">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eting_x0020_Date" ma:index="13" nillable="true" ma:displayName="Meeting Date" ma:format="DateOnly" ma:internalName="Meeting_x0020_Date">
      <xsd:simpleType>
        <xsd:restriction base="dms:DateTime"/>
      </xsd:simpleType>
    </xsd:element>
    <xsd:element name="Document_x0020_Type" ma:index="14" nillable="true" ma:displayName="Document Type" ma:internalName="Document_x0020_Type">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a5c1d-f60b-4625-aa8b-e9a7a61480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E4A07-D5DE-4AF1-80E3-4344B1F53716}">
  <ds:schemaRefs>
    <ds:schemaRef ds:uri="http://schemas.microsoft.com/sharepoint/v3/contenttype/forms"/>
  </ds:schemaRefs>
</ds:datastoreItem>
</file>

<file path=customXml/itemProps2.xml><?xml version="1.0" encoding="utf-8"?>
<ds:datastoreItem xmlns:ds="http://schemas.openxmlformats.org/officeDocument/2006/customXml" ds:itemID="{503307DC-583D-4856-A7C5-D818D46ED027}">
  <ds:schemaRefs>
    <ds:schemaRef ds:uri="http://schemas.microsoft.com/office/2006/metadata/properties"/>
    <ds:schemaRef ds:uri="http://schemas.microsoft.com/office/infopath/2007/PartnerControls"/>
    <ds:schemaRef ds:uri="192bc822-ce81-4768-96eb-4db37e3f4460"/>
  </ds:schemaRefs>
</ds:datastoreItem>
</file>

<file path=customXml/itemProps3.xml><?xml version="1.0" encoding="utf-8"?>
<ds:datastoreItem xmlns:ds="http://schemas.openxmlformats.org/officeDocument/2006/customXml" ds:itemID="{4936BB44-6490-4E6C-9271-581D2E9C6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bc822-ce81-4768-96eb-4db37e3f4460"/>
    <ds:schemaRef ds:uri="e42a5c1d-f60b-4625-aa8b-e9a7a6148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Bailey</dc:creator>
  <cp:keywords/>
  <dc:description/>
  <cp:lastModifiedBy>Henning, Bailey</cp:lastModifiedBy>
  <cp:revision>78</cp:revision>
  <dcterms:created xsi:type="dcterms:W3CDTF">2021-09-07T10:33:00Z</dcterms:created>
  <dcterms:modified xsi:type="dcterms:W3CDTF">2024-08-20T15:50:00Z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0x010100FE9BA77FADB42F4C8B1C55C5594AF843</vt:lpwstr>
  </property>
</Properties>
</file>