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A7EF774"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606E9C" w:rsidRPr="00606E9C">
        <w:rPr>
          <w:b/>
          <w:i/>
          <w:iCs/>
          <w:sz w:val="22"/>
          <w:szCs w:val="22"/>
        </w:rPr>
        <w:t>ASU 202</w:t>
      </w:r>
      <w:r w:rsidR="004A0C47">
        <w:rPr>
          <w:b/>
          <w:i/>
          <w:iCs/>
          <w:sz w:val="22"/>
          <w:szCs w:val="22"/>
        </w:rPr>
        <w:t>1</w:t>
      </w:r>
      <w:r w:rsidR="00606E9C" w:rsidRPr="00606E9C">
        <w:rPr>
          <w:b/>
          <w:i/>
          <w:iCs/>
          <w:sz w:val="22"/>
          <w:szCs w:val="22"/>
        </w:rPr>
        <w:t>-</w:t>
      </w:r>
      <w:r w:rsidR="00606E9C" w:rsidRPr="00A7294B">
        <w:rPr>
          <w:b/>
          <w:i/>
          <w:iCs/>
          <w:sz w:val="22"/>
          <w:szCs w:val="22"/>
        </w:rPr>
        <w:t>01</w:t>
      </w:r>
      <w:r w:rsidR="004F59C0">
        <w:rPr>
          <w:b/>
          <w:i/>
          <w:iCs/>
          <w:sz w:val="22"/>
          <w:szCs w:val="22"/>
        </w:rPr>
        <w:t>,</w:t>
      </w:r>
      <w:r w:rsidR="00606E9C" w:rsidRPr="00606E9C">
        <w:rPr>
          <w:b/>
          <w:i/>
          <w:iCs/>
          <w:sz w:val="22"/>
          <w:szCs w:val="22"/>
        </w:rPr>
        <w:t xml:space="preserve"> </w:t>
      </w:r>
      <w:r w:rsidR="00514368" w:rsidRPr="00606E9C">
        <w:rPr>
          <w:b/>
          <w:i/>
          <w:iCs/>
          <w:sz w:val="22"/>
          <w:szCs w:val="22"/>
        </w:rPr>
        <w:t>Reference Rate Reform</w:t>
      </w:r>
      <w:r w:rsidR="00B35D49">
        <w:rPr>
          <w:b/>
          <w:sz w:val="22"/>
          <w:szCs w:val="22"/>
        </w:rPr>
        <w:t xml:space="preserve">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232F92BE" w:rsidR="006B37DD" w:rsidRPr="00016321" w:rsidRDefault="006B37DD" w:rsidP="00F46AF2">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F05FE6">
        <w:rPr>
          <w:sz w:val="22"/>
          <w:szCs w:val="22"/>
        </w:rPr>
      </w:r>
      <w:r w:rsidR="00F05FE6">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05FE6">
        <w:rPr>
          <w:sz w:val="22"/>
          <w:szCs w:val="22"/>
        </w:rPr>
      </w:r>
      <w:r w:rsidR="00F05FE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05FE6">
        <w:rPr>
          <w:sz w:val="22"/>
          <w:szCs w:val="22"/>
        </w:rPr>
      </w:r>
      <w:r w:rsidR="00F05FE6">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05FE6">
        <w:rPr>
          <w:sz w:val="22"/>
          <w:szCs w:val="22"/>
        </w:rPr>
      </w:r>
      <w:r w:rsidR="00F05FE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05FE6">
        <w:rPr>
          <w:sz w:val="22"/>
          <w:szCs w:val="22"/>
        </w:rPr>
      </w:r>
      <w:r w:rsidR="00F05FE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05FE6">
        <w:rPr>
          <w:sz w:val="22"/>
          <w:szCs w:val="22"/>
        </w:rPr>
      </w:r>
      <w:r w:rsidR="00F05FE6">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05FE6">
        <w:rPr>
          <w:sz w:val="22"/>
          <w:szCs w:val="22"/>
        </w:rPr>
      </w:r>
      <w:r w:rsidR="00F05FE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05FE6">
        <w:rPr>
          <w:sz w:val="22"/>
          <w:szCs w:val="22"/>
        </w:rPr>
      </w:r>
      <w:r w:rsidR="00F05FE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05FE6">
        <w:rPr>
          <w:sz w:val="22"/>
          <w:szCs w:val="22"/>
        </w:rPr>
      </w:r>
      <w:r w:rsidR="00F05FE6">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1469CFDA" w:rsidR="002A1316" w:rsidRDefault="002A1316" w:rsidP="00B30CA0">
      <w:pPr>
        <w:pStyle w:val="BodyText2"/>
        <w:rPr>
          <w:bCs w:val="0"/>
          <w:szCs w:val="22"/>
        </w:rPr>
      </w:pPr>
      <w:r w:rsidRPr="00016321">
        <w:rPr>
          <w:bCs w:val="0"/>
          <w:szCs w:val="22"/>
        </w:rPr>
        <w:t>Description of Issue:</w:t>
      </w:r>
    </w:p>
    <w:p w14:paraId="477B246D" w14:textId="0DA61A88" w:rsidR="003E36C8" w:rsidRDefault="00445F66" w:rsidP="00D52ADA">
      <w:pPr>
        <w:pStyle w:val="BodyText2"/>
        <w:rPr>
          <w:b w:val="0"/>
          <w:bCs w:val="0"/>
          <w:szCs w:val="22"/>
        </w:rPr>
      </w:pPr>
      <w:r>
        <w:rPr>
          <w:b w:val="0"/>
          <w:bCs w:val="0"/>
          <w:szCs w:val="22"/>
        </w:rPr>
        <w:t>In March 2020, t</w:t>
      </w:r>
      <w:r w:rsidR="00430891" w:rsidRPr="0064771B">
        <w:rPr>
          <w:b w:val="0"/>
          <w:bCs w:val="0"/>
          <w:szCs w:val="22"/>
        </w:rPr>
        <w:t xml:space="preserve">he </w:t>
      </w:r>
      <w:r w:rsidR="006A5E72" w:rsidRPr="0064771B">
        <w:rPr>
          <w:b w:val="0"/>
          <w:bCs w:val="0"/>
          <w:szCs w:val="22"/>
        </w:rPr>
        <w:t>F</w:t>
      </w:r>
      <w:r w:rsidR="00430891" w:rsidRPr="0064771B">
        <w:rPr>
          <w:b w:val="0"/>
          <w:bCs w:val="0"/>
          <w:szCs w:val="22"/>
        </w:rPr>
        <w:t xml:space="preserve">inancial </w:t>
      </w:r>
      <w:r w:rsidR="006A5E72" w:rsidRPr="0064771B">
        <w:rPr>
          <w:b w:val="0"/>
          <w:bCs w:val="0"/>
          <w:szCs w:val="22"/>
        </w:rPr>
        <w:t>A</w:t>
      </w:r>
      <w:r w:rsidR="00430891" w:rsidRPr="0064771B">
        <w:rPr>
          <w:b w:val="0"/>
          <w:bCs w:val="0"/>
          <w:szCs w:val="22"/>
        </w:rPr>
        <w:t xml:space="preserve">ccounting </w:t>
      </w:r>
      <w:r w:rsidR="006A5E72" w:rsidRPr="0064771B">
        <w:rPr>
          <w:b w:val="0"/>
          <w:bCs w:val="0"/>
          <w:szCs w:val="22"/>
        </w:rPr>
        <w:t>S</w:t>
      </w:r>
      <w:r w:rsidR="00430891" w:rsidRPr="0064771B">
        <w:rPr>
          <w:b w:val="0"/>
          <w:bCs w:val="0"/>
          <w:szCs w:val="22"/>
        </w:rPr>
        <w:t xml:space="preserve">tandards </w:t>
      </w:r>
      <w:r w:rsidR="006A5E72" w:rsidRPr="0064771B">
        <w:rPr>
          <w:b w:val="0"/>
          <w:bCs w:val="0"/>
          <w:szCs w:val="22"/>
        </w:rPr>
        <w:t>B</w:t>
      </w:r>
      <w:r w:rsidR="00430891" w:rsidRPr="0064771B">
        <w:rPr>
          <w:b w:val="0"/>
          <w:bCs w:val="0"/>
          <w:szCs w:val="22"/>
        </w:rPr>
        <w:t>oard (</w:t>
      </w:r>
      <w:r w:rsidR="00430891" w:rsidRPr="0064771B" w:rsidDel="00430891">
        <w:rPr>
          <w:b w:val="0"/>
          <w:bCs w:val="0"/>
          <w:szCs w:val="22"/>
        </w:rPr>
        <w:t>FASB</w:t>
      </w:r>
      <w:r w:rsidR="00430891" w:rsidRPr="0064771B">
        <w:rPr>
          <w:b w:val="0"/>
          <w:bCs w:val="0"/>
          <w:szCs w:val="22"/>
        </w:rPr>
        <w:t>)</w:t>
      </w:r>
      <w:r w:rsidR="00430891" w:rsidRPr="0064771B" w:rsidDel="00430891">
        <w:rPr>
          <w:b w:val="0"/>
          <w:bCs w:val="0"/>
          <w:szCs w:val="22"/>
        </w:rPr>
        <w:t xml:space="preserve"> issued </w:t>
      </w:r>
      <w:r w:rsidR="00430891" w:rsidRPr="004A0C47" w:rsidDel="00430891">
        <w:rPr>
          <w:b w:val="0"/>
          <w:bCs w:val="0"/>
          <w:i/>
          <w:iCs/>
          <w:szCs w:val="22"/>
        </w:rPr>
        <w:t>ASU 2020-04</w:t>
      </w:r>
      <w:r w:rsidR="006F6923">
        <w:rPr>
          <w:b w:val="0"/>
          <w:bCs w:val="0"/>
          <w:i/>
          <w:iCs/>
          <w:szCs w:val="22"/>
        </w:rPr>
        <w:t>,</w:t>
      </w:r>
      <w:r w:rsidR="00430891" w:rsidRPr="0064771B">
        <w:t xml:space="preserve"> </w:t>
      </w:r>
      <w:r w:rsidR="00430891" w:rsidRPr="0064771B">
        <w:rPr>
          <w:b w:val="0"/>
          <w:bCs w:val="0"/>
          <w:i/>
          <w:iCs/>
        </w:rPr>
        <w:t>Reference Rate Reform (Topic 848) Facilitation of the Effects of Reference Rate Reform on Financial Reporting</w:t>
      </w:r>
      <w:r w:rsidR="00430891" w:rsidRPr="0064771B">
        <w:t xml:space="preserve"> </w:t>
      </w:r>
      <w:r w:rsidR="00430891" w:rsidRPr="0064771B" w:rsidDel="00430891">
        <w:rPr>
          <w:b w:val="0"/>
          <w:bCs w:val="0"/>
          <w:szCs w:val="22"/>
        </w:rPr>
        <w:t xml:space="preserve">to ensure the financial reporting </w:t>
      </w:r>
      <w:r w:rsidR="005B54B0">
        <w:rPr>
          <w:b w:val="0"/>
          <w:bCs w:val="0"/>
          <w:szCs w:val="22"/>
        </w:rPr>
        <w:t xml:space="preserve">of hedging relationships </w:t>
      </w:r>
      <w:r w:rsidR="00430891" w:rsidRPr="0064771B" w:rsidDel="00430891">
        <w:rPr>
          <w:b w:val="0"/>
          <w:bCs w:val="0"/>
          <w:szCs w:val="22"/>
        </w:rPr>
        <w:t xml:space="preserve">would reflect </w:t>
      </w:r>
      <w:r w:rsidR="004F59C0">
        <w:rPr>
          <w:b w:val="0"/>
          <w:bCs w:val="0"/>
          <w:szCs w:val="22"/>
        </w:rPr>
        <w:t>a</w:t>
      </w:r>
      <w:r w:rsidR="00430891" w:rsidRPr="0064771B" w:rsidDel="00430891">
        <w:rPr>
          <w:b w:val="0"/>
          <w:bCs w:val="0"/>
          <w:szCs w:val="22"/>
        </w:rPr>
        <w:t xml:space="preserve"> </w:t>
      </w:r>
      <w:r w:rsidR="00430891" w:rsidRPr="004F59C0" w:rsidDel="00430891">
        <w:rPr>
          <w:b w:val="0"/>
          <w:bCs w:val="0"/>
          <w:szCs w:val="22"/>
          <w:u w:val="single"/>
        </w:rPr>
        <w:t xml:space="preserve">continuation of </w:t>
      </w:r>
      <w:r w:rsidR="00316138" w:rsidRPr="004F59C0">
        <w:rPr>
          <w:b w:val="0"/>
          <w:bCs w:val="0"/>
          <w:szCs w:val="22"/>
          <w:u w:val="single"/>
        </w:rPr>
        <w:t xml:space="preserve">the original </w:t>
      </w:r>
      <w:r w:rsidR="00430891" w:rsidRPr="004F59C0" w:rsidDel="00430891">
        <w:rPr>
          <w:b w:val="0"/>
          <w:bCs w:val="0"/>
          <w:szCs w:val="22"/>
          <w:u w:val="single"/>
        </w:rPr>
        <w:t>contract and hedging relationship during the period of the market-wide transition to alternative reference rates –</w:t>
      </w:r>
      <w:r w:rsidR="00AF306D" w:rsidRPr="004F59C0">
        <w:rPr>
          <w:b w:val="0"/>
          <w:bCs w:val="0"/>
          <w:szCs w:val="22"/>
          <w:u w:val="single"/>
        </w:rPr>
        <w:t xml:space="preserve"> commonly referred t</w:t>
      </w:r>
      <w:r w:rsidR="004B2A5F" w:rsidRPr="004F59C0">
        <w:rPr>
          <w:b w:val="0"/>
          <w:bCs w:val="0"/>
          <w:szCs w:val="22"/>
          <w:u w:val="single"/>
        </w:rPr>
        <w:t xml:space="preserve">o as </w:t>
      </w:r>
      <w:r w:rsidR="00AF306D" w:rsidRPr="004F59C0">
        <w:rPr>
          <w:b w:val="0"/>
          <w:bCs w:val="0"/>
          <w:szCs w:val="22"/>
          <w:u w:val="single"/>
        </w:rPr>
        <w:t>“</w:t>
      </w:r>
      <w:r w:rsidR="004B2A5F" w:rsidRPr="004F59C0">
        <w:rPr>
          <w:b w:val="0"/>
          <w:bCs w:val="0"/>
          <w:szCs w:val="22"/>
          <w:u w:val="single"/>
        </w:rPr>
        <w:t>reference rate reform.</w:t>
      </w:r>
      <w:r w:rsidR="00AF306D" w:rsidRPr="004F59C0">
        <w:rPr>
          <w:b w:val="0"/>
          <w:bCs w:val="0"/>
          <w:szCs w:val="22"/>
          <w:u w:val="single"/>
        </w:rPr>
        <w:t>”</w:t>
      </w:r>
      <w:r w:rsidR="004B2A5F">
        <w:rPr>
          <w:b w:val="0"/>
          <w:bCs w:val="0"/>
          <w:szCs w:val="22"/>
        </w:rPr>
        <w:t xml:space="preserve"> </w:t>
      </w:r>
      <w:r w:rsidR="003E36C8" w:rsidRPr="003E36C8">
        <w:rPr>
          <w:b w:val="0"/>
          <w:bCs w:val="0"/>
          <w:szCs w:val="22"/>
        </w:rPr>
        <w:t xml:space="preserve">Reference </w:t>
      </w:r>
      <w:r w:rsidR="00430891">
        <w:rPr>
          <w:b w:val="0"/>
          <w:bCs w:val="0"/>
          <w:szCs w:val="22"/>
        </w:rPr>
        <w:t>r</w:t>
      </w:r>
      <w:r w:rsidR="00430891" w:rsidRPr="003E36C8">
        <w:rPr>
          <w:b w:val="0"/>
          <w:bCs w:val="0"/>
          <w:szCs w:val="22"/>
        </w:rPr>
        <w:t xml:space="preserve">ate </w:t>
      </w:r>
      <w:r w:rsidR="00430891">
        <w:rPr>
          <w:b w:val="0"/>
          <w:bCs w:val="0"/>
          <w:szCs w:val="22"/>
        </w:rPr>
        <w:t>r</w:t>
      </w:r>
      <w:r w:rsidR="00430891" w:rsidRPr="003E36C8">
        <w:rPr>
          <w:b w:val="0"/>
          <w:bCs w:val="0"/>
          <w:szCs w:val="22"/>
        </w:rPr>
        <w:t>eform</w:t>
      </w:r>
      <w:r>
        <w:rPr>
          <w:b w:val="0"/>
          <w:bCs w:val="0"/>
          <w:szCs w:val="22"/>
        </w:rPr>
        <w:t xml:space="preserve"> typically</w:t>
      </w:r>
      <w:r w:rsidR="00430891" w:rsidRPr="003E36C8">
        <w:rPr>
          <w:b w:val="0"/>
          <w:bCs w:val="0"/>
          <w:szCs w:val="22"/>
        </w:rPr>
        <w:t xml:space="preserve"> </w:t>
      </w:r>
      <w:r w:rsidR="003E36C8" w:rsidRPr="003E36C8">
        <w:rPr>
          <w:b w:val="0"/>
          <w:bCs w:val="0"/>
          <w:szCs w:val="22"/>
        </w:rPr>
        <w:t>refers to the transition away from refe</w:t>
      </w:r>
      <w:r w:rsidR="00430891">
        <w:rPr>
          <w:b w:val="0"/>
          <w:bCs w:val="0"/>
          <w:szCs w:val="22"/>
        </w:rPr>
        <w:t>re</w:t>
      </w:r>
      <w:r w:rsidR="003E36C8" w:rsidRPr="003E36C8">
        <w:rPr>
          <w:b w:val="0"/>
          <w:bCs w:val="0"/>
          <w:szCs w:val="22"/>
        </w:rPr>
        <w:t>ncing the London Interbank Offered Rate (LIBOR)</w:t>
      </w:r>
      <w:r w:rsidR="00DD240B">
        <w:rPr>
          <w:b w:val="0"/>
          <w:bCs w:val="0"/>
          <w:szCs w:val="22"/>
        </w:rPr>
        <w:t>,</w:t>
      </w:r>
      <w:r w:rsidR="003E36C8" w:rsidRPr="003E36C8">
        <w:rPr>
          <w:b w:val="0"/>
          <w:bCs w:val="0"/>
          <w:szCs w:val="22"/>
        </w:rPr>
        <w:t xml:space="preserve"> and </w:t>
      </w:r>
      <w:r w:rsidR="0006741F">
        <w:rPr>
          <w:b w:val="0"/>
          <w:bCs w:val="0"/>
          <w:szCs w:val="22"/>
        </w:rPr>
        <w:t xml:space="preserve">other interbank </w:t>
      </w:r>
      <w:r w:rsidR="002F6E86">
        <w:rPr>
          <w:b w:val="0"/>
          <w:bCs w:val="0"/>
          <w:szCs w:val="22"/>
        </w:rPr>
        <w:t>offered rates (IBORs</w:t>
      </w:r>
      <w:r w:rsidR="00315367">
        <w:rPr>
          <w:b w:val="0"/>
          <w:bCs w:val="0"/>
          <w:szCs w:val="22"/>
        </w:rPr>
        <w:t>)</w:t>
      </w:r>
      <w:r w:rsidR="00DD240B">
        <w:rPr>
          <w:b w:val="0"/>
          <w:bCs w:val="0"/>
          <w:szCs w:val="22"/>
        </w:rPr>
        <w:t>,</w:t>
      </w:r>
      <w:r w:rsidR="00315367">
        <w:rPr>
          <w:b w:val="0"/>
          <w:bCs w:val="0"/>
          <w:szCs w:val="22"/>
        </w:rPr>
        <w:t xml:space="preserve"> and</w:t>
      </w:r>
      <w:r w:rsidR="002F6E86">
        <w:rPr>
          <w:b w:val="0"/>
          <w:bCs w:val="0"/>
          <w:szCs w:val="22"/>
        </w:rPr>
        <w:t xml:space="preserve"> </w:t>
      </w:r>
      <w:r w:rsidR="003E36C8" w:rsidRPr="003E36C8">
        <w:rPr>
          <w:b w:val="0"/>
          <w:bCs w:val="0"/>
          <w:szCs w:val="22"/>
        </w:rPr>
        <w:t xml:space="preserve">moving toward alternative reference rates that are more observable or transaction based. In July 2017, the governing body responsible for regulating LIBOR announced it </w:t>
      </w:r>
      <w:r w:rsidR="00DD240B">
        <w:rPr>
          <w:b w:val="0"/>
          <w:bCs w:val="0"/>
          <w:szCs w:val="22"/>
        </w:rPr>
        <w:t>would</w:t>
      </w:r>
      <w:r w:rsidR="003E36C8" w:rsidRPr="003E36C8">
        <w:rPr>
          <w:b w:val="0"/>
          <w:bCs w:val="0"/>
          <w:szCs w:val="22"/>
        </w:rPr>
        <w:t xml:space="preserve"> no longer require banks to continue </w:t>
      </w:r>
      <w:r w:rsidR="00FE0E36">
        <w:rPr>
          <w:b w:val="0"/>
          <w:bCs w:val="0"/>
          <w:szCs w:val="22"/>
        </w:rPr>
        <w:t>rate</w:t>
      </w:r>
      <w:r w:rsidR="003E36C8" w:rsidRPr="003E36C8">
        <w:rPr>
          <w:b w:val="0"/>
          <w:bCs w:val="0"/>
          <w:szCs w:val="22"/>
        </w:rPr>
        <w:t xml:space="preserve"> submissions after 2021 – </w:t>
      </w:r>
      <w:r w:rsidR="00DD240B">
        <w:rPr>
          <w:b w:val="0"/>
          <w:bCs w:val="0"/>
          <w:szCs w:val="22"/>
        </w:rPr>
        <w:t>thus</w:t>
      </w:r>
      <w:r w:rsidR="003302BD">
        <w:rPr>
          <w:b w:val="0"/>
          <w:bCs w:val="0"/>
          <w:szCs w:val="22"/>
        </w:rPr>
        <w:t>,</w:t>
      </w:r>
      <w:r w:rsidR="00DD240B">
        <w:rPr>
          <w:b w:val="0"/>
          <w:bCs w:val="0"/>
          <w:szCs w:val="22"/>
        </w:rPr>
        <w:t xml:space="preserve"> </w:t>
      </w:r>
      <w:r w:rsidR="003E36C8" w:rsidRPr="003E36C8">
        <w:rPr>
          <w:b w:val="0"/>
          <w:bCs w:val="0"/>
          <w:szCs w:val="22"/>
        </w:rPr>
        <w:t xml:space="preserve">likely sunsetting both </w:t>
      </w:r>
      <w:r w:rsidR="00430891">
        <w:rPr>
          <w:b w:val="0"/>
          <w:bCs w:val="0"/>
          <w:szCs w:val="22"/>
        </w:rPr>
        <w:t>the</w:t>
      </w:r>
      <w:r w:rsidR="00430891" w:rsidRPr="003E36C8">
        <w:rPr>
          <w:b w:val="0"/>
          <w:bCs w:val="0"/>
          <w:szCs w:val="22"/>
        </w:rPr>
        <w:t xml:space="preserve"> </w:t>
      </w:r>
      <w:r w:rsidR="003E36C8" w:rsidRPr="003E36C8">
        <w:rPr>
          <w:b w:val="0"/>
          <w:bCs w:val="0"/>
          <w:szCs w:val="22"/>
        </w:rPr>
        <w:t>use and publication</w:t>
      </w:r>
      <w:r w:rsidR="00430891">
        <w:rPr>
          <w:b w:val="0"/>
          <w:bCs w:val="0"/>
          <w:szCs w:val="22"/>
        </w:rPr>
        <w:t xml:space="preserve"> of LIBOR</w:t>
      </w:r>
      <w:r w:rsidR="003E36C8" w:rsidRPr="003E36C8">
        <w:rPr>
          <w:b w:val="0"/>
          <w:bCs w:val="0"/>
          <w:szCs w:val="22"/>
        </w:rPr>
        <w:t>.</w:t>
      </w:r>
      <w:r w:rsidR="0006741F">
        <w:rPr>
          <w:b w:val="0"/>
          <w:bCs w:val="0"/>
          <w:szCs w:val="22"/>
        </w:rPr>
        <w:t xml:space="preserve"> </w:t>
      </w:r>
    </w:p>
    <w:p w14:paraId="4C443BC7" w14:textId="70B61309" w:rsidR="004B2A5F" w:rsidRDefault="004B2A5F" w:rsidP="00D52ADA">
      <w:pPr>
        <w:pStyle w:val="BodyText2"/>
        <w:rPr>
          <w:b w:val="0"/>
          <w:bCs w:val="0"/>
          <w:szCs w:val="22"/>
        </w:rPr>
      </w:pPr>
    </w:p>
    <w:p w14:paraId="27581444" w14:textId="385478CC" w:rsidR="005B54B0" w:rsidRDefault="004B2A5F" w:rsidP="00B26FA6">
      <w:pPr>
        <w:pStyle w:val="BodyText2"/>
        <w:rPr>
          <w:b w:val="0"/>
          <w:bCs w:val="0"/>
        </w:rPr>
      </w:pPr>
      <w:r w:rsidRPr="003E36C8">
        <w:rPr>
          <w:b w:val="0"/>
          <w:bCs w:val="0"/>
          <w:szCs w:val="22"/>
        </w:rPr>
        <w:t xml:space="preserve">As is often </w:t>
      </w:r>
      <w:r w:rsidRPr="004B2A5F">
        <w:rPr>
          <w:b w:val="0"/>
          <w:bCs w:val="0"/>
          <w:szCs w:val="22"/>
        </w:rPr>
        <w:t>the case</w:t>
      </w:r>
      <w:r w:rsidR="00445F66">
        <w:rPr>
          <w:b w:val="0"/>
          <w:bCs w:val="0"/>
          <w:szCs w:val="22"/>
        </w:rPr>
        <w:t xml:space="preserve"> with hedge accounting</w:t>
      </w:r>
      <w:r w:rsidRPr="004B2A5F">
        <w:rPr>
          <w:b w:val="0"/>
          <w:bCs w:val="0"/>
          <w:szCs w:val="22"/>
        </w:rPr>
        <w:t xml:space="preserve">, a change to the critical terms (including reference rate modifications) typically </w:t>
      </w:r>
      <w:r w:rsidR="00B26FA6" w:rsidRPr="004B2A5F">
        <w:rPr>
          <w:b w:val="0"/>
          <w:bCs w:val="0"/>
          <w:szCs w:val="22"/>
        </w:rPr>
        <w:t>requires</w:t>
      </w:r>
      <w:r w:rsidRPr="004B2A5F">
        <w:rPr>
          <w:b w:val="0"/>
          <w:bCs w:val="0"/>
          <w:szCs w:val="22"/>
        </w:rPr>
        <w:t xml:space="preserve"> remeasurement of the contract, or in the case of a hedging relationship, a dedesignation of the transaction</w:t>
      </w:r>
      <w:r w:rsidRPr="00B26FA6">
        <w:rPr>
          <w:b w:val="0"/>
          <w:bCs w:val="0"/>
          <w:szCs w:val="22"/>
        </w:rPr>
        <w:t xml:space="preserve">. </w:t>
      </w:r>
      <w:r w:rsidRPr="00916F2F">
        <w:rPr>
          <w:b w:val="0"/>
          <w:bCs w:val="0"/>
          <w:szCs w:val="22"/>
        </w:rPr>
        <w:t xml:space="preserve">However, </w:t>
      </w:r>
      <w:r w:rsidRPr="00B26FA6">
        <w:rPr>
          <w:b w:val="0"/>
          <w:bCs w:val="0"/>
          <w:szCs w:val="22"/>
          <w:u w:val="single"/>
        </w:rPr>
        <w:t>ASU 2020-04 provide</w:t>
      </w:r>
      <w:r w:rsidR="006F6923">
        <w:rPr>
          <w:b w:val="0"/>
          <w:bCs w:val="0"/>
          <w:szCs w:val="22"/>
          <w:u w:val="single"/>
        </w:rPr>
        <w:t>s</w:t>
      </w:r>
      <w:r w:rsidRPr="00B26FA6">
        <w:rPr>
          <w:b w:val="0"/>
          <w:bCs w:val="0"/>
          <w:szCs w:val="22"/>
          <w:u w:val="single"/>
        </w:rPr>
        <w:t xml:space="preserve"> temporary, </w:t>
      </w:r>
      <w:r w:rsidR="001121F8" w:rsidRPr="00B26FA6">
        <w:rPr>
          <w:b w:val="0"/>
          <w:bCs w:val="0"/>
          <w:szCs w:val="22"/>
          <w:u w:val="single"/>
        </w:rPr>
        <w:t>optional,</w:t>
      </w:r>
      <w:r w:rsidRPr="00B26FA6">
        <w:rPr>
          <w:b w:val="0"/>
          <w:bCs w:val="0"/>
          <w:szCs w:val="22"/>
          <w:u w:val="single"/>
        </w:rPr>
        <w:t xml:space="preserve"> and expedient relief </w:t>
      </w:r>
      <w:r w:rsidRPr="00B26FA6">
        <w:rPr>
          <w:b w:val="0"/>
          <w:bCs w:val="0"/>
          <w:u w:val="single"/>
        </w:rPr>
        <w:t>in that a qualifying modification (</w:t>
      </w:r>
      <w:r w:rsidR="007E119E" w:rsidRPr="00B26FA6">
        <w:rPr>
          <w:b w:val="0"/>
          <w:bCs w:val="0"/>
          <w:u w:val="single"/>
        </w:rPr>
        <w:t>because of</w:t>
      </w:r>
      <w:r w:rsidRPr="00B26FA6">
        <w:rPr>
          <w:b w:val="0"/>
          <w:bCs w:val="0"/>
          <w:u w:val="single"/>
        </w:rPr>
        <w:t xml:space="preserve"> reference rate reform) should not be considered an event that requires contract remeasurement at the modification date or reassessment of a previous accounting determination.</w:t>
      </w:r>
      <w:r w:rsidR="005B54B0">
        <w:t xml:space="preserve"> </w:t>
      </w:r>
      <w:r w:rsidR="00B947CF" w:rsidRPr="00B26FA6">
        <w:rPr>
          <w:b w:val="0"/>
          <w:bCs w:val="0"/>
        </w:rPr>
        <w:t>In essence</w:t>
      </w:r>
      <w:r w:rsidR="007E119E">
        <w:rPr>
          <w:b w:val="0"/>
          <w:bCs w:val="0"/>
        </w:rPr>
        <w:t>,</w:t>
      </w:r>
      <w:r w:rsidR="00B947CF" w:rsidRPr="00B26FA6">
        <w:rPr>
          <w:b w:val="0"/>
          <w:bCs w:val="0"/>
        </w:rPr>
        <w:t xml:space="preserve"> when a modification</w:t>
      </w:r>
      <w:r w:rsidR="00B26FA6">
        <w:rPr>
          <w:b w:val="0"/>
          <w:bCs w:val="0"/>
        </w:rPr>
        <w:t xml:space="preserve"> (because of reference rate reform)</w:t>
      </w:r>
      <w:r w:rsidR="00B947CF" w:rsidRPr="00B26FA6">
        <w:rPr>
          <w:b w:val="0"/>
          <w:bCs w:val="0"/>
        </w:rPr>
        <w:t xml:space="preserve"> is made to a hedge’s critical terms, </w:t>
      </w:r>
      <w:r w:rsidR="005B54B0" w:rsidRPr="00B26FA6">
        <w:rPr>
          <w:b w:val="0"/>
          <w:bCs w:val="0"/>
        </w:rPr>
        <w:t xml:space="preserve">a reporting entity </w:t>
      </w:r>
      <w:r w:rsidR="00B947CF" w:rsidRPr="00B26FA6">
        <w:rPr>
          <w:b w:val="0"/>
          <w:bCs w:val="0"/>
        </w:rPr>
        <w:t>can</w:t>
      </w:r>
      <w:r w:rsidR="005B54B0" w:rsidRPr="00B26FA6">
        <w:rPr>
          <w:b w:val="0"/>
          <w:bCs w:val="0"/>
        </w:rPr>
        <w:t xml:space="preserve"> continue hedge accounting rather than dedesignate the hedging relationship</w:t>
      </w:r>
      <w:r w:rsidR="00B26FA6">
        <w:rPr>
          <w:b w:val="0"/>
          <w:bCs w:val="0"/>
        </w:rPr>
        <w:t xml:space="preserve">. For fair value hedges, a reporting entity may change the hedged risk to another </w:t>
      </w:r>
      <w:r w:rsidR="00B26FA6" w:rsidRPr="00C751B7">
        <w:rPr>
          <w:b w:val="0"/>
          <w:bCs w:val="0"/>
        </w:rPr>
        <w:t xml:space="preserve">permitted benchmark interest rate without </w:t>
      </w:r>
      <w:r w:rsidR="00B26FA6">
        <w:rPr>
          <w:b w:val="0"/>
          <w:bCs w:val="0"/>
        </w:rPr>
        <w:t>dedesignating</w:t>
      </w:r>
      <w:r w:rsidR="00B26FA6" w:rsidRPr="00C751B7">
        <w:rPr>
          <w:b w:val="0"/>
          <w:bCs w:val="0"/>
        </w:rPr>
        <w:t xml:space="preserve"> the relationship</w:t>
      </w:r>
      <w:r w:rsidR="000307A5">
        <w:rPr>
          <w:b w:val="0"/>
          <w:bCs w:val="0"/>
        </w:rPr>
        <w:t>;</w:t>
      </w:r>
      <w:r w:rsidR="007E119E">
        <w:rPr>
          <w:b w:val="0"/>
          <w:bCs w:val="0"/>
        </w:rPr>
        <w:t xml:space="preserve"> that is</w:t>
      </w:r>
      <w:r w:rsidR="00B26FA6" w:rsidRPr="00C751B7">
        <w:rPr>
          <w:b w:val="0"/>
          <w:bCs w:val="0"/>
        </w:rPr>
        <w:t xml:space="preserve"> if the hedge is expected to remain highly effective in offsetting changes in fair value attribut</w:t>
      </w:r>
      <w:r w:rsidR="00B26FA6">
        <w:rPr>
          <w:b w:val="0"/>
          <w:bCs w:val="0"/>
        </w:rPr>
        <w:t>ed</w:t>
      </w:r>
      <w:r w:rsidR="00B26FA6" w:rsidRPr="00C751B7">
        <w:rPr>
          <w:b w:val="0"/>
          <w:bCs w:val="0"/>
        </w:rPr>
        <w:t xml:space="preserve"> to the revised hedged risk.</w:t>
      </w:r>
      <w:r w:rsidR="00B26FA6">
        <w:rPr>
          <w:b w:val="0"/>
          <w:bCs w:val="0"/>
        </w:rPr>
        <w:t xml:space="preserve"> For cash flow </w:t>
      </w:r>
      <w:r w:rsidR="00B26FA6" w:rsidRPr="00B26FA6">
        <w:rPr>
          <w:b w:val="0"/>
          <w:bCs w:val="0"/>
        </w:rPr>
        <w:t>hedges, a reporting</w:t>
      </w:r>
      <w:r w:rsidR="00B26FA6">
        <w:rPr>
          <w:b w:val="0"/>
          <w:bCs w:val="0"/>
        </w:rPr>
        <w:t xml:space="preserve"> entity may change to another </w:t>
      </w:r>
      <w:r w:rsidR="00B26FA6" w:rsidRPr="00C751B7">
        <w:rPr>
          <w:b w:val="0"/>
          <w:bCs w:val="0"/>
        </w:rPr>
        <w:t xml:space="preserve">permitted benchmark interest rate without </w:t>
      </w:r>
      <w:r w:rsidR="00B26FA6">
        <w:rPr>
          <w:b w:val="0"/>
          <w:bCs w:val="0"/>
        </w:rPr>
        <w:t>dedesignating</w:t>
      </w:r>
      <w:r w:rsidR="00B26FA6" w:rsidRPr="00C751B7">
        <w:rPr>
          <w:b w:val="0"/>
          <w:bCs w:val="0"/>
        </w:rPr>
        <w:t xml:space="preserve"> the relationship</w:t>
      </w:r>
      <w:r w:rsidR="00B26FA6">
        <w:rPr>
          <w:b w:val="0"/>
          <w:bCs w:val="0"/>
        </w:rPr>
        <w:t xml:space="preserve"> if</w:t>
      </w:r>
      <w:r w:rsidR="007E119E">
        <w:rPr>
          <w:b w:val="0"/>
          <w:bCs w:val="0"/>
        </w:rPr>
        <w:t xml:space="preserve"> the forecasted hedge </w:t>
      </w:r>
      <w:r w:rsidR="00B26FA6" w:rsidRPr="00AE32E1">
        <w:rPr>
          <w:b w:val="0"/>
          <w:bCs w:val="0"/>
        </w:rPr>
        <w:t xml:space="preserve">transaction </w:t>
      </w:r>
      <w:r w:rsidR="00B26FA6">
        <w:rPr>
          <w:b w:val="0"/>
          <w:bCs w:val="0"/>
        </w:rPr>
        <w:t xml:space="preserve">remains </w:t>
      </w:r>
      <w:r w:rsidR="00B26FA6" w:rsidRPr="00AE32E1">
        <w:rPr>
          <w:b w:val="0"/>
          <w:bCs w:val="0"/>
        </w:rPr>
        <w:t xml:space="preserve">probable of occurring. </w:t>
      </w:r>
    </w:p>
    <w:p w14:paraId="53646568" w14:textId="4D933A65" w:rsidR="00B26FA6" w:rsidRDefault="00B26FA6" w:rsidP="00B26FA6">
      <w:pPr>
        <w:pStyle w:val="BodyText2"/>
        <w:rPr>
          <w:b w:val="0"/>
          <w:bCs w:val="0"/>
        </w:rPr>
      </w:pPr>
    </w:p>
    <w:p w14:paraId="0E954FD9" w14:textId="1216C505" w:rsidR="001F29C1" w:rsidRDefault="00335F14" w:rsidP="00B26FA6">
      <w:pPr>
        <w:pStyle w:val="BodyText2"/>
        <w:rPr>
          <w:b w:val="0"/>
          <w:bCs w:val="0"/>
        </w:rPr>
      </w:pPr>
      <w:r>
        <w:rPr>
          <w:b w:val="0"/>
          <w:bCs w:val="0"/>
        </w:rPr>
        <w:t>T</w:t>
      </w:r>
      <w:r w:rsidR="00B26FA6">
        <w:rPr>
          <w:b w:val="0"/>
          <w:bCs w:val="0"/>
        </w:rPr>
        <w:t xml:space="preserve">he </w:t>
      </w:r>
      <w:r>
        <w:rPr>
          <w:b w:val="0"/>
          <w:bCs w:val="0"/>
        </w:rPr>
        <w:t>derivatives</w:t>
      </w:r>
      <w:r w:rsidR="00B26FA6">
        <w:rPr>
          <w:b w:val="0"/>
          <w:bCs w:val="0"/>
        </w:rPr>
        <w:t xml:space="preserve"> market </w:t>
      </w:r>
      <w:r>
        <w:rPr>
          <w:b w:val="0"/>
          <w:bCs w:val="0"/>
        </w:rPr>
        <w:t>continues to undergo</w:t>
      </w:r>
      <w:r w:rsidR="00B26FA6">
        <w:rPr>
          <w:b w:val="0"/>
          <w:bCs w:val="0"/>
        </w:rPr>
        <w:t xml:space="preserve"> various other transitions due to reference rate reform initiati</w:t>
      </w:r>
      <w:r>
        <w:rPr>
          <w:b w:val="0"/>
          <w:bCs w:val="0"/>
        </w:rPr>
        <w:t xml:space="preserve">ves, specifically changing </w:t>
      </w:r>
      <w:r w:rsidR="004F59C0">
        <w:rPr>
          <w:b w:val="0"/>
          <w:bCs w:val="0"/>
        </w:rPr>
        <w:t>the reference</w:t>
      </w:r>
      <w:r>
        <w:rPr>
          <w:b w:val="0"/>
          <w:bCs w:val="0"/>
        </w:rPr>
        <w:t xml:space="preserve"> rates</w:t>
      </w:r>
      <w:r w:rsidR="001121F8">
        <w:rPr>
          <w:b w:val="0"/>
          <w:bCs w:val="0"/>
        </w:rPr>
        <w:t xml:space="preserve"> used</w:t>
      </w:r>
      <w:r>
        <w:rPr>
          <w:b w:val="0"/>
          <w:bCs w:val="0"/>
        </w:rPr>
        <w:t xml:space="preserve"> for margining, discounting, or contract price </w:t>
      </w:r>
      <w:r w:rsidR="001121F8">
        <w:rPr>
          <w:b w:val="0"/>
          <w:bCs w:val="0"/>
        </w:rPr>
        <w:t>alignment (</w:t>
      </w:r>
      <w:r w:rsidR="004F59C0">
        <w:rPr>
          <w:b w:val="0"/>
          <w:bCs w:val="0"/>
        </w:rPr>
        <w:t xml:space="preserve">this change is </w:t>
      </w:r>
      <w:r w:rsidR="001121F8">
        <w:rPr>
          <w:b w:val="0"/>
          <w:bCs w:val="0"/>
        </w:rPr>
        <w:t xml:space="preserve">referred to </w:t>
      </w:r>
      <w:r w:rsidR="007E119E">
        <w:rPr>
          <w:b w:val="0"/>
          <w:bCs w:val="0"/>
        </w:rPr>
        <w:t xml:space="preserve">as </w:t>
      </w:r>
      <w:r w:rsidR="001121F8">
        <w:rPr>
          <w:b w:val="0"/>
          <w:bCs w:val="0"/>
        </w:rPr>
        <w:t xml:space="preserve">a </w:t>
      </w:r>
      <w:r w:rsidR="00517836">
        <w:rPr>
          <w:b w:val="0"/>
          <w:bCs w:val="0"/>
        </w:rPr>
        <w:t>“</w:t>
      </w:r>
      <w:r w:rsidR="001121F8">
        <w:rPr>
          <w:b w:val="0"/>
          <w:bCs w:val="0"/>
        </w:rPr>
        <w:t>discounting transition</w:t>
      </w:r>
      <w:r w:rsidR="00517836">
        <w:rPr>
          <w:b w:val="0"/>
          <w:bCs w:val="0"/>
        </w:rPr>
        <w:t>”</w:t>
      </w:r>
      <w:r w:rsidR="001121F8">
        <w:rPr>
          <w:b w:val="0"/>
          <w:bCs w:val="0"/>
        </w:rPr>
        <w:t>)</w:t>
      </w:r>
      <w:r w:rsidR="001F29C1">
        <w:rPr>
          <w:b w:val="0"/>
          <w:bCs w:val="0"/>
        </w:rPr>
        <w:t xml:space="preserve">. </w:t>
      </w:r>
      <w:r w:rsidR="001F29C1" w:rsidRPr="007E119E">
        <w:rPr>
          <w:b w:val="0"/>
          <w:bCs w:val="0"/>
          <w:u w:val="single"/>
        </w:rPr>
        <w:t>While these changes are related</w:t>
      </w:r>
      <w:r w:rsidRPr="007E119E">
        <w:rPr>
          <w:b w:val="0"/>
          <w:bCs w:val="0"/>
          <w:u w:val="single"/>
        </w:rPr>
        <w:t xml:space="preserve"> to reference rate reform, </w:t>
      </w:r>
      <w:r w:rsidR="001F29C1" w:rsidRPr="007E119E">
        <w:rPr>
          <w:b w:val="0"/>
          <w:bCs w:val="0"/>
          <w:u w:val="single"/>
        </w:rPr>
        <w:t>they are not</w:t>
      </w:r>
      <w:r w:rsidRPr="007E119E">
        <w:rPr>
          <w:b w:val="0"/>
          <w:bCs w:val="0"/>
          <w:u w:val="single"/>
        </w:rPr>
        <w:t xml:space="preserve"> modifying an interest rate </w:t>
      </w:r>
      <w:r w:rsidR="00517836">
        <w:rPr>
          <w:b w:val="0"/>
          <w:bCs w:val="0"/>
          <w:u w:val="single"/>
        </w:rPr>
        <w:t>that is</w:t>
      </w:r>
      <w:r w:rsidRPr="007E119E">
        <w:rPr>
          <w:b w:val="0"/>
          <w:bCs w:val="0"/>
          <w:u w:val="single"/>
        </w:rPr>
        <w:t xml:space="preserve"> expected to be discontinued (</w:t>
      </w:r>
      <w:r w:rsidR="004F59C0">
        <w:rPr>
          <w:b w:val="0"/>
          <w:bCs w:val="0"/>
          <w:u w:val="single"/>
        </w:rPr>
        <w:t>e</w:t>
      </w:r>
      <w:r w:rsidR="001F29C1" w:rsidRPr="007E119E">
        <w:rPr>
          <w:b w:val="0"/>
          <w:bCs w:val="0"/>
          <w:u w:val="single"/>
        </w:rPr>
        <w:t>.</w:t>
      </w:r>
      <w:r w:rsidR="004F59C0">
        <w:rPr>
          <w:b w:val="0"/>
          <w:bCs w:val="0"/>
          <w:u w:val="single"/>
        </w:rPr>
        <w:t>g</w:t>
      </w:r>
      <w:r w:rsidR="001F29C1" w:rsidRPr="007E119E">
        <w:rPr>
          <w:b w:val="0"/>
          <w:bCs w:val="0"/>
          <w:u w:val="single"/>
        </w:rPr>
        <w:t>.,</w:t>
      </w:r>
      <w:r w:rsidRPr="007E119E">
        <w:rPr>
          <w:b w:val="0"/>
          <w:bCs w:val="0"/>
          <w:u w:val="single"/>
        </w:rPr>
        <w:t xml:space="preserve"> LIBOR).</w:t>
      </w:r>
      <w:r>
        <w:rPr>
          <w:b w:val="0"/>
          <w:bCs w:val="0"/>
        </w:rPr>
        <w:t xml:space="preserve"> </w:t>
      </w:r>
      <w:r w:rsidR="001F29C1">
        <w:rPr>
          <w:b w:val="0"/>
          <w:bCs w:val="0"/>
        </w:rPr>
        <w:t xml:space="preserve">The most prevalent example of a discounting transition </w:t>
      </w:r>
      <w:r w:rsidR="004F59C0">
        <w:rPr>
          <w:b w:val="0"/>
          <w:bCs w:val="0"/>
        </w:rPr>
        <w:t>occurred in October of 2020 with</w:t>
      </w:r>
      <w:r w:rsidR="001F29C1">
        <w:rPr>
          <w:b w:val="0"/>
          <w:bCs w:val="0"/>
        </w:rPr>
        <w:t xml:space="preserve"> Central Clearing Parties (CCP). In October of 2020, the CME Group switched to using the Secured Overnight Financing Rate (SOFR) from the Effective Fed</w:t>
      </w:r>
      <w:r w:rsidR="000307A5">
        <w:rPr>
          <w:b w:val="0"/>
          <w:bCs w:val="0"/>
        </w:rPr>
        <w:t>eral</w:t>
      </w:r>
      <w:r w:rsidR="001F29C1">
        <w:rPr>
          <w:b w:val="0"/>
          <w:bCs w:val="0"/>
        </w:rPr>
        <w:t xml:space="preserve"> Funds Rate (EFFR) to discount, margin and price align most U</w:t>
      </w:r>
      <w:r w:rsidR="004F59C0">
        <w:rPr>
          <w:b w:val="0"/>
          <w:bCs w:val="0"/>
        </w:rPr>
        <w:t>.</w:t>
      </w:r>
      <w:r w:rsidR="001F29C1">
        <w:rPr>
          <w:b w:val="0"/>
          <w:bCs w:val="0"/>
        </w:rPr>
        <w:t>S</w:t>
      </w:r>
      <w:r w:rsidR="004F59C0">
        <w:rPr>
          <w:b w:val="0"/>
          <w:bCs w:val="0"/>
        </w:rPr>
        <w:t>. D</w:t>
      </w:r>
      <w:r w:rsidR="001F29C1">
        <w:rPr>
          <w:b w:val="0"/>
          <w:bCs w:val="0"/>
        </w:rPr>
        <w:t xml:space="preserve">ollar based derivative products. </w:t>
      </w:r>
      <w:r w:rsidR="001F29C1" w:rsidRPr="001F29C1">
        <w:rPr>
          <w:b w:val="0"/>
          <w:bCs w:val="0"/>
        </w:rPr>
        <w:t>A change in the discount rate results in an immediate increase or decrease in a derivative’s fair value, which</w:t>
      </w:r>
      <w:r w:rsidR="007E119E">
        <w:rPr>
          <w:b w:val="0"/>
          <w:bCs w:val="0"/>
        </w:rPr>
        <w:t xml:space="preserve"> can</w:t>
      </w:r>
      <w:r w:rsidR="001F29C1" w:rsidRPr="001F29C1">
        <w:rPr>
          <w:b w:val="0"/>
          <w:bCs w:val="0"/>
        </w:rPr>
        <w:t xml:space="preserve"> affect required variation margin payment</w:t>
      </w:r>
      <w:r w:rsidR="007E119E">
        <w:rPr>
          <w:b w:val="0"/>
          <w:bCs w:val="0"/>
        </w:rPr>
        <w:t>s</w:t>
      </w:r>
      <w:r w:rsidR="001F29C1" w:rsidRPr="001F29C1">
        <w:rPr>
          <w:b w:val="0"/>
          <w:bCs w:val="0"/>
        </w:rPr>
        <w:t xml:space="preserve">. In addition, using SOFR instead of EFFR impacts the amount of interest </w:t>
      </w:r>
      <w:r w:rsidR="004F59C0">
        <w:rPr>
          <w:b w:val="0"/>
          <w:bCs w:val="0"/>
        </w:rPr>
        <w:t>an entity will</w:t>
      </w:r>
      <w:r w:rsidR="001F29C1" w:rsidRPr="001F29C1">
        <w:rPr>
          <w:b w:val="0"/>
          <w:bCs w:val="0"/>
        </w:rPr>
        <w:t xml:space="preserve"> pay or receive </w:t>
      </w:r>
      <w:r w:rsidR="004F59C0">
        <w:rPr>
          <w:b w:val="0"/>
          <w:bCs w:val="0"/>
        </w:rPr>
        <w:t xml:space="preserve">in the related </w:t>
      </w:r>
      <w:r w:rsidR="001F29C1" w:rsidRPr="001F29C1">
        <w:rPr>
          <w:b w:val="0"/>
          <w:bCs w:val="0"/>
        </w:rPr>
        <w:t>cumulative variation margin</w:t>
      </w:r>
      <w:r w:rsidR="004F59C0">
        <w:rPr>
          <w:b w:val="0"/>
          <w:bCs w:val="0"/>
        </w:rPr>
        <w:t>.</w:t>
      </w:r>
      <w:r w:rsidR="001F29C1">
        <w:rPr>
          <w:b w:val="0"/>
          <w:bCs w:val="0"/>
        </w:rPr>
        <w:t xml:space="preserve"> </w:t>
      </w:r>
      <w:r w:rsidR="001F29C1" w:rsidRPr="001F29C1">
        <w:rPr>
          <w:b w:val="0"/>
          <w:bCs w:val="0"/>
        </w:rPr>
        <w:t>Questions arose in that if a change in these terms would require</w:t>
      </w:r>
      <w:r w:rsidR="001F29C1">
        <w:rPr>
          <w:b w:val="0"/>
          <w:bCs w:val="0"/>
        </w:rPr>
        <w:t xml:space="preserve"> hedge dedesignation</w:t>
      </w:r>
      <w:r w:rsidR="004F59C0">
        <w:rPr>
          <w:b w:val="0"/>
          <w:bCs w:val="0"/>
        </w:rPr>
        <w:t>,</w:t>
      </w:r>
      <w:r w:rsidR="001F29C1">
        <w:rPr>
          <w:b w:val="0"/>
          <w:bCs w:val="0"/>
        </w:rPr>
        <w:t xml:space="preserve"> or if these situations should be afforded the relief offered i</w:t>
      </w:r>
      <w:r w:rsidR="007E119E">
        <w:rPr>
          <w:b w:val="0"/>
          <w:bCs w:val="0"/>
        </w:rPr>
        <w:t>n</w:t>
      </w:r>
      <w:r w:rsidR="001F29C1">
        <w:rPr>
          <w:b w:val="0"/>
          <w:bCs w:val="0"/>
        </w:rPr>
        <w:t xml:space="preserve"> ASU 2020-04.</w:t>
      </w:r>
    </w:p>
    <w:p w14:paraId="50052BA3" w14:textId="77777777" w:rsidR="001F29C1" w:rsidRDefault="001F29C1" w:rsidP="00B26FA6">
      <w:pPr>
        <w:pStyle w:val="BodyText2"/>
        <w:rPr>
          <w:b w:val="0"/>
          <w:bCs w:val="0"/>
        </w:rPr>
      </w:pPr>
    </w:p>
    <w:p w14:paraId="186A8294" w14:textId="74BEE54B" w:rsidR="00606E9C" w:rsidRDefault="00335F14" w:rsidP="00B26FA6">
      <w:pPr>
        <w:pStyle w:val="BodyText2"/>
        <w:rPr>
          <w:b w:val="0"/>
          <w:bCs w:val="0"/>
        </w:rPr>
      </w:pPr>
      <w:r>
        <w:rPr>
          <w:b w:val="0"/>
          <w:bCs w:val="0"/>
        </w:rPr>
        <w:t xml:space="preserve">In January 2021, FASB issued </w:t>
      </w:r>
      <w:r w:rsidRPr="004A0C47">
        <w:rPr>
          <w:b w:val="0"/>
          <w:bCs w:val="0"/>
          <w:i/>
          <w:iCs/>
        </w:rPr>
        <w:t>ASU 202</w:t>
      </w:r>
      <w:r w:rsidR="007E119E" w:rsidRPr="004A0C47">
        <w:rPr>
          <w:b w:val="0"/>
          <w:bCs w:val="0"/>
          <w:i/>
          <w:iCs/>
        </w:rPr>
        <w:t>1</w:t>
      </w:r>
      <w:r w:rsidRPr="004A0C47">
        <w:rPr>
          <w:b w:val="0"/>
          <w:bCs w:val="0"/>
          <w:i/>
          <w:iCs/>
        </w:rPr>
        <w:t>-01</w:t>
      </w:r>
      <w:r w:rsidR="00062147">
        <w:rPr>
          <w:b w:val="0"/>
          <w:bCs w:val="0"/>
          <w:i/>
          <w:iCs/>
        </w:rPr>
        <w:t>,</w:t>
      </w:r>
      <w:r w:rsidRPr="004A0C47">
        <w:rPr>
          <w:b w:val="0"/>
          <w:bCs w:val="0"/>
          <w:i/>
          <w:iCs/>
        </w:rPr>
        <w:t xml:space="preserve"> </w:t>
      </w:r>
      <w:r>
        <w:rPr>
          <w:b w:val="0"/>
          <w:bCs w:val="0"/>
          <w:i/>
          <w:iCs/>
        </w:rPr>
        <w:t>Reference Rate Reform</w:t>
      </w:r>
      <w:r>
        <w:rPr>
          <w:b w:val="0"/>
          <w:bCs w:val="0"/>
        </w:rPr>
        <w:t xml:space="preserve"> to </w:t>
      </w:r>
      <w:bookmarkStart w:id="1" w:name="_Hlk61428319"/>
      <w:r w:rsidRPr="00606E9C">
        <w:rPr>
          <w:b w:val="0"/>
          <w:bCs w:val="0"/>
          <w:u w:val="single"/>
        </w:rPr>
        <w:t>clarify that all derivative instruments affected by changes to the interest rates used for discounting, margining or contract price alignment (regardless of whether they reference LIBOR or another rate that is expected to be discontinued as a result of reference rate reform</w:t>
      </w:r>
      <w:r w:rsidR="001121F8" w:rsidRPr="00606E9C">
        <w:rPr>
          <w:b w:val="0"/>
          <w:bCs w:val="0"/>
          <w:u w:val="single"/>
        </w:rPr>
        <w:t>)</w:t>
      </w:r>
      <w:r w:rsidRPr="00606E9C">
        <w:rPr>
          <w:b w:val="0"/>
          <w:bCs w:val="0"/>
          <w:u w:val="single"/>
        </w:rPr>
        <w:t xml:space="preserve"> </w:t>
      </w:r>
      <w:bookmarkEnd w:id="1"/>
      <w:r w:rsidRPr="00606E9C">
        <w:rPr>
          <w:b w:val="0"/>
          <w:bCs w:val="0"/>
          <w:u w:val="single"/>
        </w:rPr>
        <w:t xml:space="preserve">are in scope of Topic 848. In short summary, </w:t>
      </w:r>
      <w:r w:rsidR="004F59C0" w:rsidRPr="00606E9C">
        <w:rPr>
          <w:b w:val="0"/>
          <w:bCs w:val="0"/>
          <w:u w:val="single"/>
        </w:rPr>
        <w:t>for all derivatives affected by the discounting transition</w:t>
      </w:r>
      <w:r w:rsidR="004F59C0">
        <w:rPr>
          <w:b w:val="0"/>
          <w:bCs w:val="0"/>
          <w:u w:val="single"/>
        </w:rPr>
        <w:t>,</w:t>
      </w:r>
      <w:r w:rsidR="004F59C0" w:rsidRPr="00606E9C">
        <w:rPr>
          <w:b w:val="0"/>
          <w:bCs w:val="0"/>
          <w:u w:val="single"/>
        </w:rPr>
        <w:t xml:space="preserve"> </w:t>
      </w:r>
      <w:r w:rsidRPr="00606E9C">
        <w:rPr>
          <w:b w:val="0"/>
          <w:bCs w:val="0"/>
          <w:u w:val="single"/>
        </w:rPr>
        <w:t>entities may apply the optional expedients and the continuation of contract</w:t>
      </w:r>
      <w:r w:rsidR="004F59C0">
        <w:rPr>
          <w:b w:val="0"/>
          <w:bCs w:val="0"/>
          <w:u w:val="single"/>
        </w:rPr>
        <w:t xml:space="preserve"> </w:t>
      </w:r>
      <w:r w:rsidRPr="00606E9C">
        <w:rPr>
          <w:b w:val="0"/>
          <w:bCs w:val="0"/>
          <w:u w:val="single"/>
        </w:rPr>
        <w:t>exceptions allowed in ASU 2020-0</w:t>
      </w:r>
      <w:r w:rsidR="001121F8" w:rsidRPr="00606E9C">
        <w:rPr>
          <w:b w:val="0"/>
          <w:bCs w:val="0"/>
          <w:u w:val="single"/>
        </w:rPr>
        <w:t>4</w:t>
      </w:r>
      <w:r w:rsidR="001121F8">
        <w:rPr>
          <w:b w:val="0"/>
          <w:bCs w:val="0"/>
        </w:rPr>
        <w:t xml:space="preserve">. </w:t>
      </w:r>
    </w:p>
    <w:p w14:paraId="740ED9A9" w14:textId="77777777" w:rsidR="00606E9C" w:rsidRDefault="00606E9C" w:rsidP="00B26FA6">
      <w:pPr>
        <w:pStyle w:val="BodyText2"/>
        <w:rPr>
          <w:b w:val="0"/>
          <w:bCs w:val="0"/>
        </w:rPr>
      </w:pPr>
    </w:p>
    <w:p w14:paraId="46F8C413" w14:textId="3B0B36A2" w:rsidR="001121F8" w:rsidRDefault="001F29C1" w:rsidP="00B26FA6">
      <w:pPr>
        <w:pStyle w:val="BodyText2"/>
        <w:rPr>
          <w:b w:val="0"/>
          <w:bCs w:val="0"/>
        </w:rPr>
      </w:pPr>
      <w:r>
        <w:rPr>
          <w:b w:val="0"/>
          <w:bCs w:val="0"/>
        </w:rPr>
        <w:lastRenderedPageBreak/>
        <w:t>ASU 2021-01 expand</w:t>
      </w:r>
      <w:r w:rsidR="007E119E">
        <w:rPr>
          <w:b w:val="0"/>
          <w:bCs w:val="0"/>
        </w:rPr>
        <w:t>s</w:t>
      </w:r>
      <w:r>
        <w:rPr>
          <w:b w:val="0"/>
          <w:bCs w:val="0"/>
        </w:rPr>
        <w:t xml:space="preserve"> the scope of ASU 2020-04 </w:t>
      </w:r>
      <w:r w:rsidR="007E119E">
        <w:rPr>
          <w:b w:val="0"/>
          <w:bCs w:val="0"/>
        </w:rPr>
        <w:t>by</w:t>
      </w:r>
      <w:r>
        <w:rPr>
          <w:b w:val="0"/>
          <w:bCs w:val="0"/>
        </w:rPr>
        <w:t xml:space="preserve"> </w:t>
      </w:r>
      <w:r w:rsidR="00606E9C">
        <w:rPr>
          <w:b w:val="0"/>
          <w:bCs w:val="0"/>
        </w:rPr>
        <w:t>all</w:t>
      </w:r>
      <w:r w:rsidR="00606E9C" w:rsidRPr="00E43C00">
        <w:rPr>
          <w:b w:val="0"/>
          <w:bCs w:val="0"/>
        </w:rPr>
        <w:t xml:space="preserve">owing an entity to apply the optional expedients, </w:t>
      </w:r>
      <w:r w:rsidR="00517836">
        <w:rPr>
          <w:b w:val="0"/>
          <w:bCs w:val="0"/>
        </w:rPr>
        <w:t>by stating</w:t>
      </w:r>
      <w:r w:rsidR="00606E9C" w:rsidRPr="00E43C00">
        <w:rPr>
          <w:b w:val="0"/>
          <w:bCs w:val="0"/>
        </w:rPr>
        <w:t xml:space="preserve"> that a change to the interest rate used for margining, discounting or contract price alignment for a derivative is not considered to be a change to the critical terms of the hedging relationship that requires dedesignation</w:t>
      </w:r>
      <w:r w:rsidR="00E43C00" w:rsidRPr="00E43C00">
        <w:rPr>
          <w:b w:val="0"/>
          <w:bCs w:val="0"/>
        </w:rPr>
        <w:t xml:space="preserve">. </w:t>
      </w:r>
      <w:r w:rsidR="00517836">
        <w:rPr>
          <w:b w:val="0"/>
          <w:bCs w:val="0"/>
        </w:rPr>
        <w:t>T</w:t>
      </w:r>
      <w:r w:rsidR="00E43C00" w:rsidRPr="00E43C00">
        <w:rPr>
          <w:b w:val="0"/>
          <w:bCs w:val="0"/>
        </w:rPr>
        <w:t>he entity may apply the contract modification relief provided in ASU 2020-04 and continue to account for the derivative in the same manner that existed prior to the changes resulting from reference rate reform or the discounting transition.</w:t>
      </w:r>
    </w:p>
    <w:p w14:paraId="1848D6E5" w14:textId="3D68BBC6" w:rsidR="00CE41F5" w:rsidRDefault="00CE41F5" w:rsidP="00B26FA6">
      <w:pPr>
        <w:pStyle w:val="BodyText2"/>
        <w:rPr>
          <w:b w:val="0"/>
          <w:bCs w:val="0"/>
        </w:rPr>
      </w:pPr>
    </w:p>
    <w:p w14:paraId="2652FE81" w14:textId="77777777" w:rsidR="00212A2A" w:rsidRPr="004210D6" w:rsidRDefault="00212A2A" w:rsidP="00212A2A">
      <w:pPr>
        <w:pStyle w:val="BodyText2"/>
        <w:rPr>
          <w:b w:val="0"/>
          <w:bCs w:val="0"/>
        </w:rPr>
      </w:pPr>
      <w:r w:rsidRPr="004210D6">
        <w:t>Other Items:</w:t>
      </w:r>
    </w:p>
    <w:p w14:paraId="265F1A92" w14:textId="327DD6A0" w:rsidR="00B947CF" w:rsidRPr="00FA4114" w:rsidRDefault="00517836" w:rsidP="005B54B0">
      <w:pPr>
        <w:pStyle w:val="BodyText2"/>
        <w:rPr>
          <w:b w:val="0"/>
          <w:bCs w:val="0"/>
          <w:u w:val="single"/>
        </w:rPr>
      </w:pPr>
      <w:r>
        <w:rPr>
          <w:b w:val="0"/>
          <w:bCs w:val="0"/>
          <w:szCs w:val="22"/>
        </w:rPr>
        <w:t>The discounting transition previously discussed was primarily driven by CCPs. In October of 2020, CCPs converted</w:t>
      </w:r>
      <w:r w:rsidR="0045507D" w:rsidRPr="0045507D">
        <w:rPr>
          <w:b w:val="0"/>
          <w:bCs w:val="0"/>
        </w:rPr>
        <w:t xml:space="preserve"> open derivative end-of-day valuation calculations from EFFR to SOFR. </w:t>
      </w:r>
      <w:r w:rsidR="0045507D">
        <w:rPr>
          <w:b w:val="0"/>
          <w:bCs w:val="0"/>
        </w:rPr>
        <w:t xml:space="preserve">The process entailed </w:t>
      </w:r>
      <w:r w:rsidR="0045507D" w:rsidRPr="0045507D">
        <w:rPr>
          <w:b w:val="0"/>
          <w:bCs w:val="0"/>
        </w:rPr>
        <w:t xml:space="preserve">CCPs </w:t>
      </w:r>
      <w:r w:rsidR="0045507D">
        <w:rPr>
          <w:b w:val="0"/>
          <w:bCs w:val="0"/>
        </w:rPr>
        <w:t>conducting</w:t>
      </w:r>
      <w:r w:rsidR="0045507D" w:rsidRPr="0045507D">
        <w:rPr>
          <w:b w:val="0"/>
          <w:bCs w:val="0"/>
        </w:rPr>
        <w:t xml:space="preserve"> a standard end-of day valuation cycle based on EFFR. Then, CCP</w:t>
      </w:r>
      <w:r w:rsidR="00FA4114">
        <w:rPr>
          <w:b w:val="0"/>
          <w:bCs w:val="0"/>
        </w:rPr>
        <w:t>s</w:t>
      </w:r>
      <w:r w:rsidR="0045507D" w:rsidRPr="0045507D">
        <w:rPr>
          <w:b w:val="0"/>
          <w:bCs w:val="0"/>
        </w:rPr>
        <w:t xml:space="preserve"> </w:t>
      </w:r>
      <w:r w:rsidR="0045507D">
        <w:rPr>
          <w:b w:val="0"/>
          <w:bCs w:val="0"/>
        </w:rPr>
        <w:t>conducted</w:t>
      </w:r>
      <w:r w:rsidR="0045507D" w:rsidRPr="0045507D">
        <w:rPr>
          <w:b w:val="0"/>
          <w:bCs w:val="0"/>
        </w:rPr>
        <w:t xml:space="preserve"> a special valuation cycle on those same positions, however utilizing SOFR as the new, ongoing discounting rate. Based on the differences between EFFR and SOFR, the CCP </w:t>
      </w:r>
      <w:r w:rsidR="0045507D">
        <w:rPr>
          <w:b w:val="0"/>
          <w:bCs w:val="0"/>
        </w:rPr>
        <w:t>issued</w:t>
      </w:r>
      <w:r w:rsidR="0045507D" w:rsidRPr="0045507D">
        <w:rPr>
          <w:b w:val="0"/>
          <w:bCs w:val="0"/>
        </w:rPr>
        <w:t xml:space="preserve"> </w:t>
      </w:r>
      <w:r w:rsidR="0045507D">
        <w:rPr>
          <w:b w:val="0"/>
          <w:bCs w:val="0"/>
        </w:rPr>
        <w:t xml:space="preserve">variation margin </w:t>
      </w:r>
      <w:r w:rsidR="0045507D" w:rsidRPr="0045507D">
        <w:rPr>
          <w:b w:val="0"/>
          <w:bCs w:val="0"/>
        </w:rPr>
        <w:t xml:space="preserve">adjustments </w:t>
      </w:r>
      <w:r w:rsidR="00FA4114">
        <w:rPr>
          <w:b w:val="0"/>
          <w:bCs w:val="0"/>
        </w:rPr>
        <w:t>to</w:t>
      </w:r>
      <w:r w:rsidR="0045507D" w:rsidRPr="0045507D">
        <w:rPr>
          <w:b w:val="0"/>
          <w:bCs w:val="0"/>
        </w:rPr>
        <w:t xml:space="preserve"> offset the value </w:t>
      </w:r>
      <w:r w:rsidR="00FA4114">
        <w:rPr>
          <w:b w:val="0"/>
          <w:bCs w:val="0"/>
        </w:rPr>
        <w:t>differences</w:t>
      </w:r>
      <w:r w:rsidR="0045507D" w:rsidRPr="0045507D">
        <w:rPr>
          <w:b w:val="0"/>
          <w:bCs w:val="0"/>
        </w:rPr>
        <w:t xml:space="preserve"> arising from the change in discount rates</w:t>
      </w:r>
      <w:r w:rsidR="0045507D">
        <w:rPr>
          <w:b w:val="0"/>
          <w:bCs w:val="0"/>
        </w:rPr>
        <w:t>.</w:t>
      </w:r>
      <w:r w:rsidR="00FA4114">
        <w:rPr>
          <w:b w:val="0"/>
          <w:bCs w:val="0"/>
        </w:rPr>
        <w:t xml:space="preserve"> In addition to variation margin adjustments, CCPs issued </w:t>
      </w:r>
      <w:r w:rsidR="0045507D" w:rsidRPr="0045507D">
        <w:rPr>
          <w:b w:val="0"/>
          <w:bCs w:val="0"/>
        </w:rPr>
        <w:t>mandatory EFFR/SOFR basis swaps, thus restoring the account holder’s original risk profile.</w:t>
      </w:r>
      <w:r w:rsidR="0045507D">
        <w:rPr>
          <w:b w:val="0"/>
          <w:bCs w:val="0"/>
        </w:rPr>
        <w:t xml:space="preserve"> ASU 2021-01 provides guidance for the final settlement of cashflows stating that </w:t>
      </w:r>
      <w:r w:rsidR="00730265">
        <w:rPr>
          <w:b w:val="0"/>
          <w:bCs w:val="0"/>
        </w:rPr>
        <w:t xml:space="preserve">fair value hedges may adjust the fair value hedge basis </w:t>
      </w:r>
      <w:r w:rsidR="00FA4114">
        <w:rPr>
          <w:b w:val="0"/>
          <w:bCs w:val="0"/>
        </w:rPr>
        <w:t>while cash flow</w:t>
      </w:r>
      <w:r w:rsidR="00730265">
        <w:rPr>
          <w:b w:val="0"/>
          <w:bCs w:val="0"/>
        </w:rPr>
        <w:t xml:space="preserve"> hedges may adjust accumulated other comprehensive income</w:t>
      </w:r>
      <w:r w:rsidR="007439A9" w:rsidRPr="00FD00C5">
        <w:rPr>
          <w:b w:val="0"/>
          <w:bCs w:val="0"/>
        </w:rPr>
        <w:t>.</w:t>
      </w:r>
      <w:r w:rsidR="00730265" w:rsidRPr="00FD00C5">
        <w:rPr>
          <w:b w:val="0"/>
          <w:bCs w:val="0"/>
        </w:rPr>
        <w:t xml:space="preserve"> </w:t>
      </w:r>
      <w:r w:rsidR="00916F2F" w:rsidRPr="00FD00C5">
        <w:rPr>
          <w:b w:val="0"/>
          <w:bCs w:val="0"/>
          <w:u w:val="single"/>
        </w:rPr>
        <w:t xml:space="preserve">The </w:t>
      </w:r>
      <w:r w:rsidR="0045507D" w:rsidRPr="00FD00C5">
        <w:rPr>
          <w:b w:val="0"/>
          <w:bCs w:val="0"/>
          <w:u w:val="single"/>
        </w:rPr>
        <w:t>accounting</w:t>
      </w:r>
      <w:r w:rsidR="00FA4114" w:rsidRPr="00FD00C5">
        <w:rPr>
          <w:b w:val="0"/>
          <w:bCs w:val="0"/>
          <w:u w:val="single"/>
        </w:rPr>
        <w:t xml:space="preserve">, reporting, and admittance of </w:t>
      </w:r>
      <w:r w:rsidR="00916F2F" w:rsidRPr="00FD00C5">
        <w:rPr>
          <w:b w:val="0"/>
          <w:bCs w:val="0"/>
          <w:u w:val="single"/>
        </w:rPr>
        <w:t xml:space="preserve">basis swaps was </w:t>
      </w:r>
      <w:r w:rsidR="00FA4114" w:rsidRPr="00FD00C5">
        <w:rPr>
          <w:b w:val="0"/>
          <w:bCs w:val="0"/>
          <w:u w:val="single"/>
        </w:rPr>
        <w:t>previously addressed by</w:t>
      </w:r>
      <w:r w:rsidR="00916F2F" w:rsidRPr="00FD00C5">
        <w:rPr>
          <w:b w:val="0"/>
          <w:bCs w:val="0"/>
          <w:u w:val="single"/>
        </w:rPr>
        <w:t xml:space="preserve"> the Working Group in </w:t>
      </w:r>
      <w:r w:rsidR="00916F2F" w:rsidRPr="00FD00C5">
        <w:rPr>
          <w:b w:val="0"/>
          <w:bCs w:val="0"/>
          <w:i/>
          <w:iCs/>
          <w:u w:val="single"/>
        </w:rPr>
        <w:t>INT 20-09</w:t>
      </w:r>
      <w:r w:rsidR="003646BB" w:rsidRPr="00FD00C5">
        <w:rPr>
          <w:b w:val="0"/>
          <w:bCs w:val="0"/>
          <w:i/>
          <w:iCs/>
          <w:u w:val="single"/>
        </w:rPr>
        <w:t>:</w:t>
      </w:r>
      <w:r w:rsidR="00CE41F5" w:rsidRPr="00FD00C5">
        <w:rPr>
          <w:b w:val="0"/>
          <w:bCs w:val="0"/>
          <w:i/>
          <w:iCs/>
          <w:u w:val="single"/>
        </w:rPr>
        <w:t xml:space="preserve"> </w:t>
      </w:r>
      <w:r w:rsidR="003646BB" w:rsidRPr="00FD00C5">
        <w:rPr>
          <w:b w:val="0"/>
          <w:bCs w:val="0"/>
          <w:i/>
          <w:iCs/>
          <w:u w:val="single"/>
        </w:rPr>
        <w:t> Basis Swaps as a Result of the LIBOR Transition</w:t>
      </w:r>
      <w:r w:rsidR="003646BB" w:rsidRPr="00FD00C5">
        <w:rPr>
          <w:b w:val="0"/>
          <w:bCs w:val="0"/>
          <w:u w:val="single"/>
        </w:rPr>
        <w:t xml:space="preserve"> </w:t>
      </w:r>
      <w:r w:rsidR="00CE41F5" w:rsidRPr="00FD00C5">
        <w:rPr>
          <w:b w:val="0"/>
          <w:bCs w:val="0"/>
          <w:u w:val="single"/>
        </w:rPr>
        <w:t xml:space="preserve">and </w:t>
      </w:r>
      <w:r w:rsidR="00916F2F" w:rsidRPr="00FD00C5">
        <w:rPr>
          <w:b w:val="0"/>
          <w:bCs w:val="0"/>
          <w:u w:val="single"/>
        </w:rPr>
        <w:t>is further discussed in the “Activities to Date” section of this agenda item.</w:t>
      </w:r>
      <w:r w:rsidR="00916F2F" w:rsidRPr="00FA4114">
        <w:rPr>
          <w:b w:val="0"/>
          <w:bCs w:val="0"/>
          <w:u w:val="single"/>
        </w:rPr>
        <w:t xml:space="preserve"> </w:t>
      </w:r>
    </w:p>
    <w:p w14:paraId="4C0E5B21" w14:textId="5DCAD56E" w:rsidR="0045507D" w:rsidRDefault="0045507D" w:rsidP="005B54B0">
      <w:pPr>
        <w:pStyle w:val="BodyText2"/>
        <w:rPr>
          <w:b w:val="0"/>
          <w:bCs w:val="0"/>
        </w:rPr>
      </w:pPr>
    </w:p>
    <w:p w14:paraId="496AD200" w14:textId="1316A926" w:rsidR="0045507D" w:rsidRDefault="003646BB" w:rsidP="005B54B0">
      <w:pPr>
        <w:pStyle w:val="BodyText2"/>
        <w:rPr>
          <w:b w:val="0"/>
          <w:bCs w:val="0"/>
        </w:rPr>
      </w:pPr>
      <w:r w:rsidRPr="00FD00C5">
        <w:rPr>
          <w:b w:val="0"/>
          <w:bCs w:val="0"/>
        </w:rPr>
        <w:t>Informal</w:t>
      </w:r>
      <w:r w:rsidR="00FD00C5" w:rsidRPr="00FD00C5">
        <w:rPr>
          <w:b w:val="0"/>
          <w:bCs w:val="0"/>
        </w:rPr>
        <w:t xml:space="preserve"> note</w:t>
      </w:r>
      <w:r w:rsidR="0045507D" w:rsidRPr="00FD00C5">
        <w:rPr>
          <w:b w:val="0"/>
          <w:bCs w:val="0"/>
        </w:rPr>
        <w:t>, feedback received from interested parties indicate</w:t>
      </w:r>
      <w:r w:rsidRPr="00FD00C5">
        <w:rPr>
          <w:b w:val="0"/>
          <w:bCs w:val="0"/>
        </w:rPr>
        <w:t>s</w:t>
      </w:r>
      <w:r w:rsidR="0045507D" w:rsidRPr="00FD00C5">
        <w:rPr>
          <w:b w:val="0"/>
          <w:bCs w:val="0"/>
        </w:rPr>
        <w:t xml:space="preserve"> that most basis swaps were liquidated prior to year-end 2020.</w:t>
      </w:r>
      <w:r w:rsidR="0045507D">
        <w:rPr>
          <w:b w:val="0"/>
          <w:bCs w:val="0"/>
        </w:rPr>
        <w:t xml:space="preserve"> </w:t>
      </w:r>
    </w:p>
    <w:p w14:paraId="03A154E1" w14:textId="7EAC3033" w:rsidR="00730265" w:rsidRDefault="00730265" w:rsidP="003646BB">
      <w:pPr>
        <w:pStyle w:val="BodyText2"/>
        <w:rPr>
          <w:b w:val="0"/>
          <w:bCs w:val="0"/>
        </w:rPr>
      </w:pPr>
    </w:p>
    <w:p w14:paraId="43CD8450" w14:textId="28D4A3A2" w:rsidR="00445F66" w:rsidRDefault="00730265" w:rsidP="00D52ADA">
      <w:pPr>
        <w:pStyle w:val="BodyText2"/>
        <w:rPr>
          <w:b w:val="0"/>
          <w:bCs w:val="0"/>
          <w:szCs w:val="22"/>
        </w:rPr>
      </w:pPr>
      <w:r>
        <w:rPr>
          <w:b w:val="0"/>
          <w:bCs w:val="0"/>
        </w:rPr>
        <w:t xml:space="preserve">Finally, the effective date of ASU 2021-01 mimics the effective date of ASU 2020-04 </w:t>
      </w:r>
      <w:r w:rsidR="00795974">
        <w:rPr>
          <w:b w:val="0"/>
          <w:bCs w:val="0"/>
        </w:rPr>
        <w:t xml:space="preserve">in that the optional, expedient </w:t>
      </w:r>
      <w:r w:rsidR="00C61C8E">
        <w:rPr>
          <w:b w:val="0"/>
          <w:bCs w:val="0"/>
        </w:rPr>
        <w:t>guidance</w:t>
      </w:r>
      <w:r w:rsidR="00795974">
        <w:rPr>
          <w:b w:val="0"/>
          <w:bCs w:val="0"/>
        </w:rPr>
        <w:t xml:space="preserve"> may be applied from the beginning of an interim period that includes or is </w:t>
      </w:r>
      <w:r w:rsidR="00DD5700">
        <w:rPr>
          <w:b w:val="0"/>
          <w:bCs w:val="0"/>
        </w:rPr>
        <w:t>after</w:t>
      </w:r>
      <w:r w:rsidR="00795974">
        <w:rPr>
          <w:b w:val="0"/>
          <w:bCs w:val="0"/>
        </w:rPr>
        <w:t xml:space="preserve"> March 12, 2020 and </w:t>
      </w:r>
      <w:r w:rsidR="00C61C8E">
        <w:rPr>
          <w:b w:val="0"/>
          <w:bCs w:val="0"/>
        </w:rPr>
        <w:t>terminates</w:t>
      </w:r>
      <w:r w:rsidR="00795974">
        <w:rPr>
          <w:b w:val="0"/>
          <w:bCs w:val="0"/>
        </w:rPr>
        <w:t xml:space="preserve"> December 31, 2022</w:t>
      </w:r>
      <w:r w:rsidR="00916F2F">
        <w:rPr>
          <w:b w:val="0"/>
          <w:bCs w:val="0"/>
        </w:rPr>
        <w:t>.</w:t>
      </w:r>
    </w:p>
    <w:p w14:paraId="3A91FD9F" w14:textId="103DBA66" w:rsidR="00954E3A" w:rsidRDefault="00954E3A" w:rsidP="00B30CA0">
      <w:pPr>
        <w:pStyle w:val="BodyText2"/>
        <w:rPr>
          <w:b w:val="0"/>
          <w:bCs w:val="0"/>
        </w:rPr>
      </w:pPr>
    </w:p>
    <w:p w14:paraId="6C6B67AF" w14:textId="3266A049" w:rsidR="002A1316" w:rsidRDefault="002A1316" w:rsidP="00B30CA0">
      <w:pPr>
        <w:pStyle w:val="BodyText2"/>
        <w:rPr>
          <w:bCs w:val="0"/>
          <w:szCs w:val="22"/>
        </w:rPr>
      </w:pPr>
      <w:r w:rsidRPr="00016321">
        <w:rPr>
          <w:bCs w:val="0"/>
          <w:szCs w:val="22"/>
        </w:rPr>
        <w:t>Existing Authoritative Literature:</w:t>
      </w:r>
    </w:p>
    <w:p w14:paraId="261FCEA3" w14:textId="77777777" w:rsidR="004210D6" w:rsidRDefault="004210D6" w:rsidP="00B30CA0">
      <w:pPr>
        <w:pStyle w:val="BodyText2"/>
        <w:rPr>
          <w:bCs w:val="0"/>
          <w:szCs w:val="22"/>
        </w:rPr>
      </w:pPr>
    </w:p>
    <w:p w14:paraId="791F82F2" w14:textId="39921955" w:rsidR="005B78E2" w:rsidRPr="00EE3385" w:rsidRDefault="00795974" w:rsidP="005B78E2">
      <w:pPr>
        <w:pStyle w:val="BodyText2"/>
        <w:rPr>
          <w:bCs w:val="0"/>
          <w:i/>
          <w:iCs/>
          <w:szCs w:val="22"/>
          <w:u w:val="single"/>
        </w:rPr>
      </w:pPr>
      <w:r>
        <w:rPr>
          <w:b w:val="0"/>
          <w:szCs w:val="22"/>
        </w:rPr>
        <w:t>ASU 2021-01 effectively increase</w:t>
      </w:r>
      <w:r w:rsidR="00CE41F5">
        <w:rPr>
          <w:b w:val="0"/>
          <w:szCs w:val="22"/>
        </w:rPr>
        <w:t>s</w:t>
      </w:r>
      <w:r>
        <w:rPr>
          <w:b w:val="0"/>
          <w:szCs w:val="22"/>
        </w:rPr>
        <w:t xml:space="preserve"> the </w:t>
      </w:r>
      <w:r w:rsidR="00CE41F5">
        <w:rPr>
          <w:b w:val="0"/>
          <w:szCs w:val="22"/>
        </w:rPr>
        <w:t xml:space="preserve">scope of the </w:t>
      </w:r>
      <w:r w:rsidR="00CE41F5">
        <w:rPr>
          <w:b w:val="0"/>
          <w:bCs w:val="0"/>
        </w:rPr>
        <w:t xml:space="preserve">optional, expedient accounting guidance </w:t>
      </w:r>
      <w:r w:rsidR="00CE41F5">
        <w:rPr>
          <w:b w:val="0"/>
          <w:szCs w:val="22"/>
        </w:rPr>
        <w:t xml:space="preserve">for derivative instruments in </w:t>
      </w:r>
      <w:r w:rsidR="006A5E72">
        <w:rPr>
          <w:b w:val="0"/>
          <w:szCs w:val="22"/>
        </w:rPr>
        <w:t>ASU 2020-04</w:t>
      </w:r>
      <w:r w:rsidR="00CE41F5">
        <w:rPr>
          <w:b w:val="0"/>
          <w:szCs w:val="22"/>
        </w:rPr>
        <w:t xml:space="preserve">. </w:t>
      </w:r>
      <w:r w:rsidR="00FF4547">
        <w:rPr>
          <w:b w:val="0"/>
          <w:szCs w:val="22"/>
        </w:rPr>
        <w:t xml:space="preserve">Accordingly, only applicable derivative authoritative literature will be shown below. </w:t>
      </w:r>
      <w:r w:rsidR="005B78E2">
        <w:rPr>
          <w:b w:val="0"/>
          <w:szCs w:val="22"/>
        </w:rPr>
        <w:t xml:space="preserve">While detailed in the original agenda item (Ref #2020-12), additional SSAPS impacted by </w:t>
      </w:r>
      <w:r w:rsidR="00FF4547">
        <w:rPr>
          <w:b w:val="0"/>
          <w:szCs w:val="22"/>
        </w:rPr>
        <w:t>ASU 2020-04</w:t>
      </w:r>
      <w:r w:rsidR="005B78E2">
        <w:rPr>
          <w:b w:val="0"/>
          <w:szCs w:val="22"/>
        </w:rPr>
        <w:t xml:space="preserve"> were</w:t>
      </w:r>
      <w:r w:rsidR="005B78E2" w:rsidRPr="005B78E2">
        <w:rPr>
          <w:b w:val="0"/>
          <w:szCs w:val="22"/>
        </w:rPr>
        <w:t xml:space="preserve"> </w:t>
      </w:r>
      <w:r w:rsidR="005B78E2" w:rsidRPr="005B78E2">
        <w:rPr>
          <w:b w:val="0"/>
          <w:i/>
          <w:iCs/>
          <w:szCs w:val="22"/>
        </w:rPr>
        <w:t>SSAP No. 15—Debt and Holding Company Obligations</w:t>
      </w:r>
      <w:r w:rsidR="005B78E2">
        <w:rPr>
          <w:b w:val="0"/>
          <w:szCs w:val="22"/>
        </w:rPr>
        <w:t xml:space="preserve"> and</w:t>
      </w:r>
      <w:r w:rsidR="005B78E2" w:rsidRPr="005B78E2">
        <w:rPr>
          <w:b w:val="0"/>
          <w:i/>
          <w:iCs/>
          <w:szCs w:val="22"/>
        </w:rPr>
        <w:t xml:space="preserve"> SSAP No. 22R—Leases</w:t>
      </w:r>
      <w:r w:rsidR="005B78E2">
        <w:rPr>
          <w:b w:val="0"/>
          <w:i/>
          <w:iCs/>
          <w:szCs w:val="22"/>
        </w:rPr>
        <w:t>.</w:t>
      </w:r>
    </w:p>
    <w:p w14:paraId="6E2BFF08" w14:textId="77B61A3B" w:rsidR="00954E3A" w:rsidRDefault="00954E3A" w:rsidP="00B30CA0">
      <w:pPr>
        <w:pStyle w:val="BodyText2"/>
        <w:rPr>
          <w:bCs w:val="0"/>
          <w:szCs w:val="22"/>
        </w:rPr>
      </w:pPr>
    </w:p>
    <w:p w14:paraId="7D1689D0" w14:textId="63FF2D1B" w:rsidR="00B40C4E" w:rsidRDefault="00AD07DB" w:rsidP="00AD07DB">
      <w:pPr>
        <w:pStyle w:val="ListContinue"/>
        <w:rPr>
          <w:szCs w:val="22"/>
        </w:rPr>
      </w:pPr>
      <w:r>
        <w:rPr>
          <w:szCs w:val="22"/>
        </w:rPr>
        <w:t xml:space="preserve">The </w:t>
      </w:r>
      <w:r w:rsidR="00B40C4E">
        <w:rPr>
          <w:szCs w:val="22"/>
        </w:rPr>
        <w:t>modifications</w:t>
      </w:r>
      <w:r>
        <w:rPr>
          <w:szCs w:val="22"/>
        </w:rPr>
        <w:t xml:space="preserve"> in </w:t>
      </w:r>
      <w:r w:rsidR="006A5E72">
        <w:rPr>
          <w:szCs w:val="22"/>
        </w:rPr>
        <w:t>ASU 2020-04</w:t>
      </w:r>
      <w:r>
        <w:rPr>
          <w:szCs w:val="22"/>
        </w:rPr>
        <w:t xml:space="preserve"> address hedge </w:t>
      </w:r>
      <w:r w:rsidR="00F915B5">
        <w:rPr>
          <w:szCs w:val="22"/>
        </w:rPr>
        <w:t>accounting</w:t>
      </w:r>
      <w:r w:rsidR="00B40C4E">
        <w:rPr>
          <w:szCs w:val="22"/>
        </w:rPr>
        <w:t xml:space="preserve"> and the allowance for a reporting entity to change the reference rate and other critical terms related to reference rate reform without having </w:t>
      </w:r>
      <w:r w:rsidR="00CE41F5">
        <w:rPr>
          <w:szCs w:val="22"/>
        </w:rPr>
        <w:t>to</w:t>
      </w:r>
      <w:r w:rsidR="00B40C4E">
        <w:rPr>
          <w:szCs w:val="22"/>
        </w:rPr>
        <w:t xml:space="preserve"> dedesignate the hedging relationship.</w:t>
      </w:r>
      <w:r w:rsidR="00A47FB7">
        <w:rPr>
          <w:szCs w:val="22"/>
        </w:rPr>
        <w:t xml:space="preserve"> While alternative benchmark interest rates were previously addressed in agenda </w:t>
      </w:r>
      <w:r w:rsidR="00A47FB7" w:rsidRPr="00D87BB5">
        <w:rPr>
          <w:szCs w:val="22"/>
        </w:rPr>
        <w:t>item 2018-46</w:t>
      </w:r>
      <w:r w:rsidR="00D87BB5">
        <w:rPr>
          <w:szCs w:val="22"/>
        </w:rPr>
        <w:t xml:space="preserve"> – Benchmark Interest Rate</w:t>
      </w:r>
      <w:r w:rsidR="00A47FB7">
        <w:rPr>
          <w:szCs w:val="22"/>
        </w:rPr>
        <w:t xml:space="preserve">, the accounting for hedged transactions is noted below, with applicable areas bolded for emphasis. </w:t>
      </w:r>
    </w:p>
    <w:p w14:paraId="2360352E" w14:textId="64637DF4" w:rsidR="008F57B7" w:rsidRPr="004210D6" w:rsidRDefault="00C61461" w:rsidP="008F57B7">
      <w:pPr>
        <w:rPr>
          <w:sz w:val="22"/>
          <w:szCs w:val="22"/>
        </w:rPr>
      </w:pPr>
      <w:r w:rsidRPr="004210D6">
        <w:rPr>
          <w:sz w:val="22"/>
          <w:szCs w:val="22"/>
        </w:rPr>
        <w:t xml:space="preserve">Relevant/Applicable of </w:t>
      </w:r>
      <w:r w:rsidR="008F57B7" w:rsidRPr="004210D6">
        <w:rPr>
          <w:sz w:val="22"/>
          <w:szCs w:val="22"/>
        </w:rPr>
        <w:t xml:space="preserve">Overview of existing SAP Accounting – </w:t>
      </w:r>
      <w:r w:rsidR="008F57B7" w:rsidRPr="00D31B09">
        <w:rPr>
          <w:i/>
          <w:iCs/>
          <w:sz w:val="22"/>
          <w:szCs w:val="22"/>
        </w:rPr>
        <w:t>SSAP No. 86</w:t>
      </w:r>
      <w:r w:rsidR="00D31B09" w:rsidRPr="00D31B09">
        <w:rPr>
          <w:i/>
          <w:iCs/>
          <w:sz w:val="22"/>
          <w:szCs w:val="22"/>
        </w:rPr>
        <w:t>—Derivatives</w:t>
      </w:r>
    </w:p>
    <w:p w14:paraId="2D21FA30" w14:textId="77777777" w:rsidR="00603DAF" w:rsidRPr="005271F8" w:rsidRDefault="00603DAF" w:rsidP="00603DAF">
      <w:pPr>
        <w:pStyle w:val="BodyText2"/>
        <w:rPr>
          <w:rFonts w:ascii="Arial" w:hAnsi="Arial" w:cs="Arial"/>
          <w:bCs w:val="0"/>
          <w:sz w:val="20"/>
        </w:rPr>
      </w:pPr>
    </w:p>
    <w:p w14:paraId="4267425C" w14:textId="6B257657" w:rsidR="00603DAF" w:rsidRPr="005271F8" w:rsidRDefault="00603DAF" w:rsidP="00E8262E">
      <w:pPr>
        <w:pStyle w:val="BodyText3"/>
        <w:numPr>
          <w:ilvl w:val="0"/>
          <w:numId w:val="31"/>
        </w:numPr>
        <w:tabs>
          <w:tab w:val="clear" w:pos="540"/>
        </w:tabs>
        <w:spacing w:after="220"/>
        <w:ind w:left="720" w:firstLine="0"/>
        <w:rPr>
          <w:rFonts w:ascii="Arial" w:hAnsi="Arial" w:cs="Arial"/>
          <w:bCs/>
          <w:sz w:val="20"/>
          <w:szCs w:val="20"/>
        </w:rPr>
      </w:pPr>
      <w:r w:rsidRPr="005271F8">
        <w:rPr>
          <w:rFonts w:ascii="Arial" w:hAnsi="Arial" w:cs="Arial"/>
          <w:bCs/>
          <w:sz w:val="20"/>
          <w:szCs w:val="20"/>
        </w:rPr>
        <w:t>“Benchmark Interest Rate” is a widely recognized and quoted rate in an active financial market that is broadly indicative of the overall level of interest rates attributable to high-credit-quality obligors in that market. It is a rate that is widely used in a given financial market as an underlying basis for determining the interest rates of individual financial instruments and commonly referenced in interest-rate-related transactions. In theory, the benchmark interest rate should be a risk-free rate (that is, has no risk of default). In some markets, government borrowing rates may serve as a benchmark. In other markets, the benchmark interest rate may be an interbank offered rate. In the United States, the interest rates on direct Treasury obligations of the U.S. government, the London Interbank Offered Rate (LIBOR) swap rate, the Fed Funds Effective Rate Overnight Index Swap Rate, the Securities Industry and Financial Markets Association (SIFMA) Municipal Swap Rate, and the Secured Overnight Financing Rate (SOFR) Over</w:t>
      </w:r>
      <w:r w:rsidR="00F915B5">
        <w:rPr>
          <w:rFonts w:ascii="Arial" w:hAnsi="Arial" w:cs="Arial"/>
          <w:bCs/>
          <w:sz w:val="20"/>
          <w:szCs w:val="20"/>
        </w:rPr>
        <w:t>n</w:t>
      </w:r>
      <w:r w:rsidRPr="005271F8">
        <w:rPr>
          <w:rFonts w:ascii="Arial" w:hAnsi="Arial" w:cs="Arial"/>
          <w:bCs/>
          <w:sz w:val="20"/>
          <w:szCs w:val="20"/>
        </w:rPr>
        <w:t>ight Index Swap Rate are considered to be benchmark interest rates.</w:t>
      </w:r>
    </w:p>
    <w:p w14:paraId="5A2D9A5D" w14:textId="2287BBC7" w:rsidR="004210D6" w:rsidRPr="00CF57F9" w:rsidRDefault="00DB6610" w:rsidP="004210D6">
      <w:pPr>
        <w:pStyle w:val="Heading3"/>
        <w:spacing w:after="220"/>
        <w:ind w:left="720"/>
        <w:rPr>
          <w:b w:val="0"/>
          <w:bCs w:val="0"/>
          <w:sz w:val="20"/>
          <w:szCs w:val="20"/>
        </w:rPr>
      </w:pPr>
      <w:bookmarkStart w:id="2" w:name="_Toc29813070"/>
      <w:r w:rsidRPr="00CF57F9">
        <w:rPr>
          <w:b w:val="0"/>
          <w:bCs w:val="0"/>
          <w:sz w:val="20"/>
          <w:szCs w:val="20"/>
        </w:rPr>
        <w:lastRenderedPageBreak/>
        <w:t>Derivatives Used in Hedging Transactions</w:t>
      </w:r>
      <w:bookmarkEnd w:id="2"/>
    </w:p>
    <w:p w14:paraId="2E64FE25" w14:textId="49BD1B6B" w:rsidR="00DB6610" w:rsidRPr="002A3022" w:rsidRDefault="00DB6610" w:rsidP="00E8262E">
      <w:pPr>
        <w:pStyle w:val="BodyText3"/>
        <w:numPr>
          <w:ilvl w:val="0"/>
          <w:numId w:val="32"/>
        </w:numPr>
        <w:tabs>
          <w:tab w:val="clear" w:pos="540"/>
          <w:tab w:val="num" w:pos="720"/>
        </w:tabs>
        <w:spacing w:after="220"/>
        <w:ind w:left="720" w:firstLine="0"/>
        <w:rPr>
          <w:rFonts w:ascii="Arial" w:hAnsi="Arial" w:cs="Arial"/>
          <w:bCs/>
          <w:sz w:val="20"/>
          <w:szCs w:val="20"/>
        </w:rPr>
      </w:pPr>
      <w:r w:rsidRPr="00A656D0">
        <w:rPr>
          <w:rFonts w:ascii="Arial" w:hAnsi="Arial" w:cs="Arial"/>
          <w:bCs/>
          <w:sz w:val="20"/>
          <w:szCs w:val="20"/>
        </w:rPr>
        <w:t xml:space="preserve">Derivative instruments used in hedging transactions that meet the </w:t>
      </w:r>
      <w:r w:rsidRPr="00A656D0">
        <w:rPr>
          <w:rFonts w:ascii="Arial" w:hAnsi="Arial" w:cs="Arial"/>
          <w:b/>
          <w:sz w:val="20"/>
          <w:szCs w:val="20"/>
        </w:rPr>
        <w:t>criteria of a highly effective hedge shall be considered an effective hedge and are permitted to be valued and reported in a manner that is consistent with the hedged asset or liability (referred to as hedge accounting).</w:t>
      </w:r>
      <w:r w:rsidRPr="00A656D0">
        <w:rPr>
          <w:rFonts w:ascii="Arial" w:hAnsi="Arial" w:cs="Arial"/>
          <w:bCs/>
          <w:sz w:val="20"/>
          <w:szCs w:val="20"/>
        </w:rPr>
        <w:t xml:space="preserve"> For instance, assume an entity has a financial instrument on which it is currently receiving income at a variable rate but wishes to receive income at a fixed rate and thus enters into a swap agreement to exchange the cash flows. </w:t>
      </w:r>
      <w:r w:rsidRPr="002A3022">
        <w:rPr>
          <w:rFonts w:ascii="Arial" w:hAnsi="Arial" w:cs="Arial"/>
          <w:b/>
          <w:sz w:val="20"/>
          <w:szCs w:val="20"/>
        </w:rPr>
        <w:t>If the transaction qualifies as an effective hedge and a financial instrument on a statutory basis is valued and reported at amortized cost, then the swap would also be valued and reported at amortized cost</w:t>
      </w:r>
      <w:r w:rsidRPr="002A3022">
        <w:rPr>
          <w:rFonts w:ascii="Arial" w:hAnsi="Arial" w:cs="Arial"/>
          <w:bCs/>
          <w:sz w:val="20"/>
          <w:szCs w:val="20"/>
        </w:rPr>
        <w:t>. Derivative instruments used in hedging transactions that do not meet or no longer meet the criteria of an effective hedge, or that meet the required criteria but the entity has chosen not to apply hedge accounting, shall be accounted for at fair value and the changes in the fair value shall be recorded as unrealized gains or unrealized losses (referred to as fair value accounting).</w:t>
      </w:r>
    </w:p>
    <w:p w14:paraId="7376AFC6" w14:textId="77777777" w:rsidR="00DB6610" w:rsidRPr="00A656D0" w:rsidRDefault="00DB6610" w:rsidP="00E8262E">
      <w:pPr>
        <w:pStyle w:val="BodyText3"/>
        <w:numPr>
          <w:ilvl w:val="0"/>
          <w:numId w:val="32"/>
        </w:numPr>
        <w:tabs>
          <w:tab w:val="clear" w:pos="540"/>
          <w:tab w:val="num" w:pos="1260"/>
        </w:tabs>
        <w:spacing w:after="220"/>
        <w:ind w:left="720" w:firstLine="0"/>
        <w:rPr>
          <w:rFonts w:ascii="Arial" w:hAnsi="Arial" w:cs="Arial"/>
          <w:bCs/>
          <w:sz w:val="20"/>
          <w:szCs w:val="20"/>
        </w:rPr>
      </w:pPr>
      <w:r w:rsidRPr="00A656D0">
        <w:rPr>
          <w:rFonts w:ascii="Arial" w:hAnsi="Arial" w:cs="Arial"/>
          <w:bCs/>
          <w:sz w:val="20"/>
          <w:szCs w:val="20"/>
        </w:rPr>
        <w:t xml:space="preserve">Entities shall not bifurcate the effectiveness of derivatives. A derivative instrument is either classified as an effective hedge or an ineffective hedge. Entities must account for the derivative using fair value accounting if it is deemed to be ineffective or becomes ineffective. Entities may redesignate a derivative in a hedging relationship even though the derivative was used in a previous hedging relationship that proved to be ineffective. </w:t>
      </w:r>
      <w:r w:rsidRPr="00A656D0">
        <w:rPr>
          <w:rFonts w:ascii="Arial" w:hAnsi="Arial" w:cs="Arial"/>
          <w:b/>
          <w:sz w:val="20"/>
          <w:szCs w:val="20"/>
        </w:rPr>
        <w:t>A change in the counterparty to a derivative instrument that has been designated as the hedging instrument in an existing hedging relationship would not, in and of itself, be considered a termination of the derivative instrument.</w:t>
      </w:r>
      <w:r w:rsidRPr="00A656D0">
        <w:rPr>
          <w:rFonts w:ascii="Arial" w:hAnsi="Arial" w:cs="Arial"/>
          <w:bCs/>
          <w:sz w:val="20"/>
          <w:szCs w:val="20"/>
        </w:rPr>
        <w:t xml:space="preserve"> An entity shall prospectively discontinue hedge accounting for an existing hedge if any one of the following occurs:</w:t>
      </w:r>
    </w:p>
    <w:p w14:paraId="2B423312" w14:textId="1DD3E21C" w:rsidR="00DB6610" w:rsidRPr="00A656D0" w:rsidRDefault="00DB6610" w:rsidP="004210D6">
      <w:pPr>
        <w:pStyle w:val="BodyText3"/>
        <w:keepNext/>
        <w:keepLines/>
        <w:numPr>
          <w:ilvl w:val="0"/>
          <w:numId w:val="29"/>
        </w:numPr>
        <w:tabs>
          <w:tab w:val="clear" w:pos="1440"/>
        </w:tabs>
        <w:spacing w:after="220"/>
        <w:ind w:left="2160"/>
        <w:rPr>
          <w:rFonts w:ascii="Arial" w:hAnsi="Arial" w:cs="Arial"/>
          <w:bCs/>
          <w:sz w:val="20"/>
          <w:szCs w:val="20"/>
        </w:rPr>
      </w:pPr>
      <w:r w:rsidRPr="00A656D0">
        <w:rPr>
          <w:rFonts w:ascii="Arial" w:hAnsi="Arial" w:cs="Arial"/>
          <w:bCs/>
          <w:sz w:val="20"/>
          <w:szCs w:val="20"/>
        </w:rPr>
        <w:t>Any criterion in paragraphs 24-36 is no longer met;</w:t>
      </w:r>
    </w:p>
    <w:p w14:paraId="25AE01FF" w14:textId="649608F0" w:rsidR="00DB6610" w:rsidRPr="00A656D0" w:rsidRDefault="00DB6610" w:rsidP="004210D6">
      <w:pPr>
        <w:pStyle w:val="BodyText3"/>
        <w:keepNext/>
        <w:keepLines/>
        <w:spacing w:after="220"/>
        <w:ind w:left="2160" w:hanging="720"/>
        <w:rPr>
          <w:rFonts w:ascii="Arial" w:hAnsi="Arial" w:cs="Arial"/>
          <w:bCs/>
          <w:sz w:val="20"/>
          <w:szCs w:val="20"/>
        </w:rPr>
      </w:pPr>
      <w:r w:rsidRPr="00A656D0">
        <w:rPr>
          <w:rFonts w:ascii="Arial" w:hAnsi="Arial" w:cs="Arial"/>
          <w:bCs/>
          <w:sz w:val="20"/>
          <w:szCs w:val="20"/>
        </w:rPr>
        <w:t>b.</w:t>
      </w:r>
      <w:r w:rsidRPr="00A656D0">
        <w:rPr>
          <w:rFonts w:ascii="Arial" w:hAnsi="Arial" w:cs="Arial"/>
          <w:bCs/>
          <w:sz w:val="20"/>
          <w:szCs w:val="20"/>
        </w:rPr>
        <w:tab/>
        <w:t>The derivative expires or is sold, terminated, or exercised (the effect is recorded as realized gains or losses or, for effective hedges of firm commitments or forecasted transactions, in a manner that is consistent with the hedged transaction – see paragraph 22);</w:t>
      </w:r>
    </w:p>
    <w:p w14:paraId="1F8F5FEB" w14:textId="77777777" w:rsidR="00DB6610" w:rsidRPr="00A656D0" w:rsidRDefault="00DB6610" w:rsidP="00E8262E">
      <w:pPr>
        <w:pStyle w:val="BodyText3"/>
        <w:spacing w:after="220"/>
        <w:ind w:left="2160" w:hanging="720"/>
        <w:rPr>
          <w:rFonts w:ascii="Arial" w:hAnsi="Arial" w:cs="Arial"/>
          <w:bCs/>
          <w:sz w:val="20"/>
          <w:szCs w:val="20"/>
        </w:rPr>
      </w:pPr>
      <w:r w:rsidRPr="00A656D0">
        <w:rPr>
          <w:rFonts w:ascii="Arial" w:hAnsi="Arial" w:cs="Arial"/>
          <w:bCs/>
          <w:sz w:val="20"/>
          <w:szCs w:val="20"/>
        </w:rPr>
        <w:t>c.</w:t>
      </w:r>
      <w:r w:rsidRPr="00A656D0">
        <w:rPr>
          <w:rFonts w:ascii="Arial" w:hAnsi="Arial" w:cs="Arial"/>
          <w:bCs/>
          <w:sz w:val="20"/>
          <w:szCs w:val="20"/>
        </w:rPr>
        <w:tab/>
        <w:t>The entity removes the designation of the hedge; or</w:t>
      </w:r>
    </w:p>
    <w:p w14:paraId="5A5F6A66" w14:textId="77777777" w:rsidR="00DB6610" w:rsidRPr="00A656D0" w:rsidRDefault="00DB6610" w:rsidP="00E8262E">
      <w:pPr>
        <w:pStyle w:val="BodyText3"/>
        <w:spacing w:after="220"/>
        <w:ind w:left="2160" w:hanging="720"/>
        <w:rPr>
          <w:rFonts w:ascii="Arial" w:hAnsi="Arial" w:cs="Arial"/>
          <w:bCs/>
          <w:sz w:val="20"/>
          <w:szCs w:val="20"/>
        </w:rPr>
      </w:pPr>
      <w:r w:rsidRPr="00A656D0">
        <w:rPr>
          <w:rFonts w:ascii="Arial" w:hAnsi="Arial" w:cs="Arial"/>
          <w:bCs/>
          <w:sz w:val="20"/>
          <w:szCs w:val="20"/>
        </w:rPr>
        <w:t>d.</w:t>
      </w:r>
      <w:r w:rsidRPr="00A656D0">
        <w:rPr>
          <w:rFonts w:ascii="Arial" w:hAnsi="Arial" w:cs="Arial"/>
          <w:bCs/>
          <w:sz w:val="20"/>
          <w:szCs w:val="20"/>
        </w:rPr>
        <w:tab/>
        <w:t>The derivative is deemed to be impaired in accordance with paragraph 17. A permanent decline in a counterparty’s credit quality/rating is one example of impairment required by paragraph 17, for derivatives used in hedging transactions.</w:t>
      </w:r>
    </w:p>
    <w:p w14:paraId="1981B575" w14:textId="77777777" w:rsidR="00DB6610" w:rsidRDefault="00DB6610" w:rsidP="00E8262E">
      <w:pPr>
        <w:pStyle w:val="BodyText3"/>
        <w:numPr>
          <w:ilvl w:val="0"/>
          <w:numId w:val="32"/>
        </w:numPr>
        <w:tabs>
          <w:tab w:val="clear" w:pos="540"/>
          <w:tab w:val="num" w:pos="1260"/>
        </w:tabs>
        <w:spacing w:after="220"/>
        <w:ind w:left="720" w:firstLine="0"/>
        <w:rPr>
          <w:bCs/>
        </w:rPr>
      </w:pPr>
      <w:r w:rsidRPr="00A656D0">
        <w:rPr>
          <w:rFonts w:ascii="Arial" w:hAnsi="Arial" w:cs="Arial"/>
          <w:bCs/>
          <w:sz w:val="20"/>
          <w:szCs w:val="20"/>
        </w:rPr>
        <w:t xml:space="preserve">For those derivatives which qualify for hedge accounting, the change in the carrying value or cash flow of the derivative shall be recorded consistently with how the changes in the carrying value or cash flow of the hedged asset, liability, firm commitment or forecasted transaction are recorded. </w:t>
      </w:r>
      <w:r w:rsidRPr="00A656D0">
        <w:rPr>
          <w:rFonts w:ascii="Arial" w:hAnsi="Arial" w:cs="Arial"/>
          <w:b/>
          <w:sz w:val="20"/>
          <w:szCs w:val="20"/>
        </w:rPr>
        <w:t>Upon termination of a derivative that qualified for hedge accounting, the gain or loss shall adjust the basis of the hedged item and be recognized in income in a manner that is consistent with the hedged item (alternatively, if the item being hedged is subject to IMR, the gain or loss on the hedging derivative may be realized and shall be subject to IMR upon termination.)</w:t>
      </w:r>
      <w:r w:rsidRPr="00A656D0">
        <w:rPr>
          <w:rFonts w:ascii="Arial" w:hAnsi="Arial" w:cs="Arial"/>
          <w:bCs/>
          <w:sz w:val="20"/>
          <w:szCs w:val="20"/>
        </w:rPr>
        <w:t xml:space="preserve"> Entities who choose the alternative method shall apply it consistently thereafter.</w:t>
      </w:r>
    </w:p>
    <w:p w14:paraId="2D0A2CC8" w14:textId="77F0316E" w:rsidR="00CF57F9"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54A548DD" w14:textId="045C48CC" w:rsidR="00916F2F" w:rsidRPr="00916F2F" w:rsidRDefault="00916F2F" w:rsidP="00B30CA0">
      <w:pPr>
        <w:pStyle w:val="BodyText2"/>
        <w:rPr>
          <w:b w:val="0"/>
          <w:bCs w:val="0"/>
          <w:szCs w:val="22"/>
        </w:rPr>
      </w:pPr>
      <w:r>
        <w:rPr>
          <w:szCs w:val="22"/>
        </w:rPr>
        <w:br/>
      </w:r>
      <w:r>
        <w:rPr>
          <w:b w:val="0"/>
          <w:bCs w:val="0"/>
          <w:szCs w:val="22"/>
        </w:rPr>
        <w:t xml:space="preserve">The Working Group has taken several actions related to reference rate </w:t>
      </w:r>
      <w:r w:rsidR="00EE6924">
        <w:rPr>
          <w:b w:val="0"/>
          <w:bCs w:val="0"/>
          <w:szCs w:val="22"/>
        </w:rPr>
        <w:t>reform;</w:t>
      </w:r>
      <w:r>
        <w:rPr>
          <w:b w:val="0"/>
          <w:bCs w:val="0"/>
          <w:szCs w:val="22"/>
        </w:rPr>
        <w:t xml:space="preserve"> each are summarized below. </w:t>
      </w:r>
    </w:p>
    <w:p w14:paraId="70D5759E" w14:textId="77777777" w:rsidR="00916F2F" w:rsidRDefault="00916F2F" w:rsidP="00B30CA0">
      <w:pPr>
        <w:pStyle w:val="BodyText2"/>
        <w:rPr>
          <w:szCs w:val="22"/>
        </w:rPr>
      </w:pPr>
    </w:p>
    <w:p w14:paraId="0BDB1F1A" w14:textId="480E253C" w:rsidR="002A1316" w:rsidRDefault="00650CEA" w:rsidP="00916F2F">
      <w:pPr>
        <w:pStyle w:val="BodyText2"/>
        <w:numPr>
          <w:ilvl w:val="0"/>
          <w:numId w:val="39"/>
        </w:numPr>
        <w:rPr>
          <w:b w:val="0"/>
          <w:szCs w:val="22"/>
        </w:rPr>
      </w:pPr>
      <w:r w:rsidRPr="00B7403B">
        <w:rPr>
          <w:b w:val="0"/>
          <w:szCs w:val="22"/>
        </w:rPr>
        <w:t xml:space="preserve">Agenda item </w:t>
      </w:r>
      <w:r w:rsidRPr="00D87BB5">
        <w:rPr>
          <w:b w:val="0"/>
          <w:szCs w:val="22"/>
        </w:rPr>
        <w:t>2018-46</w:t>
      </w:r>
      <w:r w:rsidR="00D87BB5">
        <w:rPr>
          <w:b w:val="0"/>
          <w:szCs w:val="22"/>
        </w:rPr>
        <w:t xml:space="preserve"> – Benchmark Interest Rate</w:t>
      </w:r>
      <w:r w:rsidRPr="00B7403B">
        <w:rPr>
          <w:b w:val="0"/>
          <w:szCs w:val="22"/>
        </w:rPr>
        <w:t>, incorporated revisions</w:t>
      </w:r>
      <w:r>
        <w:rPr>
          <w:b w:val="0"/>
          <w:szCs w:val="22"/>
        </w:rPr>
        <w:t xml:space="preserve"> to SSAP No. 86, adding</w:t>
      </w:r>
      <w:r w:rsidRPr="00B7403B">
        <w:rPr>
          <w:b w:val="0"/>
          <w:szCs w:val="22"/>
        </w:rPr>
        <w:t xml:space="preserve"> the Securities Industry and Financial Markets (SIFMA) Municipal Swap Rate and the Secured Overnight Financing Rate (SOFR) Overnight Index Swap (OIS) Rate as </w:t>
      </w:r>
      <w:r>
        <w:rPr>
          <w:b w:val="0"/>
          <w:szCs w:val="22"/>
        </w:rPr>
        <w:t xml:space="preserve">acceptable </w:t>
      </w:r>
      <w:r w:rsidRPr="00B7403B">
        <w:rPr>
          <w:b w:val="0"/>
          <w:szCs w:val="22"/>
        </w:rPr>
        <w:t xml:space="preserve">benchmark interest rates for hedge accounting. </w:t>
      </w:r>
      <w:r>
        <w:rPr>
          <w:b w:val="0"/>
          <w:szCs w:val="22"/>
        </w:rPr>
        <w:t>Prior to this change, only LIBOR and the Fed Funds Effective Swap Rate (also referred to as the Overnight Index Swap R</w:t>
      </w:r>
      <w:r w:rsidR="00B52247">
        <w:rPr>
          <w:b w:val="0"/>
          <w:szCs w:val="22"/>
        </w:rPr>
        <w:t>a</w:t>
      </w:r>
      <w:r>
        <w:rPr>
          <w:b w:val="0"/>
          <w:szCs w:val="22"/>
        </w:rPr>
        <w:t xml:space="preserve">te) were considered acceptable benchmark interest rates. </w:t>
      </w:r>
    </w:p>
    <w:p w14:paraId="61B74BEE" w14:textId="77777777" w:rsidR="00916F2F" w:rsidRDefault="00916F2F" w:rsidP="00916F2F">
      <w:pPr>
        <w:pStyle w:val="BodyText2"/>
        <w:rPr>
          <w:b w:val="0"/>
          <w:szCs w:val="22"/>
        </w:rPr>
      </w:pPr>
    </w:p>
    <w:p w14:paraId="2129A659" w14:textId="0EC8D7C9" w:rsidR="00313249" w:rsidRDefault="00CF57F9" w:rsidP="00916F2F">
      <w:pPr>
        <w:pStyle w:val="BodyText2"/>
        <w:numPr>
          <w:ilvl w:val="0"/>
          <w:numId w:val="39"/>
        </w:numPr>
        <w:rPr>
          <w:b w:val="0"/>
          <w:szCs w:val="22"/>
        </w:rPr>
      </w:pPr>
      <w:r>
        <w:rPr>
          <w:b w:val="0"/>
          <w:szCs w:val="22"/>
        </w:rPr>
        <w:t>Agenda item 2020-12</w:t>
      </w:r>
      <w:r w:rsidR="00313249">
        <w:rPr>
          <w:b w:val="0"/>
          <w:szCs w:val="22"/>
        </w:rPr>
        <w:t xml:space="preserve"> reviews ASU 2020-04, the foundation of which this agenda item and related ASU (202</w:t>
      </w:r>
      <w:r w:rsidR="007D4531">
        <w:rPr>
          <w:b w:val="0"/>
          <w:szCs w:val="22"/>
        </w:rPr>
        <w:t>1</w:t>
      </w:r>
      <w:r w:rsidR="00313249">
        <w:rPr>
          <w:b w:val="0"/>
          <w:szCs w:val="22"/>
        </w:rPr>
        <w:t>-01) are based. Agenda item 2020-12 resulted in the Working Group adopting INT 20-01.</w:t>
      </w:r>
    </w:p>
    <w:p w14:paraId="0FC583F8" w14:textId="77777777" w:rsidR="00916F2F" w:rsidRDefault="00916F2F" w:rsidP="00916F2F">
      <w:pPr>
        <w:pStyle w:val="BodyText2"/>
        <w:ind w:left="360"/>
        <w:rPr>
          <w:b w:val="0"/>
          <w:szCs w:val="22"/>
        </w:rPr>
      </w:pPr>
    </w:p>
    <w:p w14:paraId="10B16E6B" w14:textId="7A459E79" w:rsidR="00313249" w:rsidRDefault="00092814" w:rsidP="00916F2F">
      <w:pPr>
        <w:pStyle w:val="BodyText2"/>
        <w:numPr>
          <w:ilvl w:val="0"/>
          <w:numId w:val="39"/>
        </w:numPr>
        <w:rPr>
          <w:b w:val="0"/>
          <w:szCs w:val="22"/>
        </w:rPr>
      </w:pPr>
      <w:r w:rsidRPr="00092814">
        <w:rPr>
          <w:b w:val="0"/>
          <w:i/>
          <w:iCs/>
          <w:szCs w:val="22"/>
        </w:rPr>
        <w:lastRenderedPageBreak/>
        <w:t>INT 20-01: ASU 2020-04 - Reference Rate Reform</w:t>
      </w:r>
      <w:r w:rsidR="00C61C8E">
        <w:rPr>
          <w:b w:val="0"/>
          <w:szCs w:val="22"/>
        </w:rPr>
        <w:t xml:space="preserve">, </w:t>
      </w:r>
      <w:r w:rsidR="00313249">
        <w:rPr>
          <w:b w:val="0"/>
          <w:szCs w:val="22"/>
        </w:rPr>
        <w:t xml:space="preserve">adopted by the Working Group in April 2020, broadly </w:t>
      </w:r>
      <w:r w:rsidR="007D4531">
        <w:rPr>
          <w:b w:val="0"/>
          <w:szCs w:val="22"/>
        </w:rPr>
        <w:t>adopted</w:t>
      </w:r>
      <w:r w:rsidR="00313249">
        <w:rPr>
          <w:b w:val="0"/>
          <w:szCs w:val="22"/>
        </w:rPr>
        <w:t xml:space="preserve"> ASU 2020-04 for </w:t>
      </w:r>
      <w:r w:rsidR="00C61C8E">
        <w:rPr>
          <w:b w:val="0"/>
          <w:szCs w:val="22"/>
        </w:rPr>
        <w:t>statutory</w:t>
      </w:r>
      <w:r w:rsidR="00313249">
        <w:rPr>
          <w:b w:val="0"/>
          <w:szCs w:val="22"/>
        </w:rPr>
        <w:t xml:space="preserve"> accounting stating that for statutory accounting:</w:t>
      </w:r>
    </w:p>
    <w:p w14:paraId="642B6695" w14:textId="77777777" w:rsidR="007D4531" w:rsidRDefault="007D4531" w:rsidP="007D4531">
      <w:pPr>
        <w:pStyle w:val="BodyText2"/>
        <w:rPr>
          <w:b w:val="0"/>
          <w:szCs w:val="22"/>
        </w:rPr>
      </w:pPr>
    </w:p>
    <w:p w14:paraId="79DA89AA" w14:textId="51D43F4F" w:rsidR="00CF57F9" w:rsidRPr="00313249" w:rsidRDefault="0095529D" w:rsidP="00313249">
      <w:pPr>
        <w:pStyle w:val="BodyText2"/>
        <w:numPr>
          <w:ilvl w:val="1"/>
          <w:numId w:val="38"/>
        </w:numPr>
        <w:rPr>
          <w:b w:val="0"/>
          <w:bCs w:val="0"/>
          <w:szCs w:val="22"/>
        </w:rPr>
      </w:pPr>
      <w:r>
        <w:rPr>
          <w:b w:val="0"/>
          <w:bCs w:val="0"/>
          <w:szCs w:val="22"/>
        </w:rPr>
        <w:t>For a</w:t>
      </w:r>
      <w:r w:rsidR="00313249">
        <w:rPr>
          <w:b w:val="0"/>
          <w:bCs w:val="0"/>
          <w:szCs w:val="22"/>
        </w:rPr>
        <w:t xml:space="preserve">ll </w:t>
      </w:r>
      <w:r w:rsidR="00313249" w:rsidRPr="00313249">
        <w:rPr>
          <w:b w:val="0"/>
          <w:bCs w:val="0"/>
          <w:szCs w:val="22"/>
        </w:rPr>
        <w:t xml:space="preserve">contracts within scope of ASU 2020-04, modifications due to reference rate reform </w:t>
      </w:r>
      <w:r>
        <w:rPr>
          <w:b w:val="0"/>
          <w:bCs w:val="0"/>
          <w:szCs w:val="22"/>
        </w:rPr>
        <w:t xml:space="preserve">are afforded an </w:t>
      </w:r>
      <w:r w:rsidR="00313249" w:rsidRPr="00313249">
        <w:rPr>
          <w:b w:val="0"/>
          <w:bCs w:val="0"/>
          <w:szCs w:val="22"/>
        </w:rPr>
        <w:t>optional expedient to be accounted for as a continuation of the existing contract</w:t>
      </w:r>
      <w:r w:rsidR="00762935">
        <w:rPr>
          <w:b w:val="0"/>
          <w:bCs w:val="0"/>
          <w:szCs w:val="22"/>
        </w:rPr>
        <w:t>.</w:t>
      </w:r>
    </w:p>
    <w:p w14:paraId="5B9334D8" w14:textId="7895E638" w:rsidR="00313249" w:rsidRPr="00313249" w:rsidRDefault="00313249" w:rsidP="00313249">
      <w:pPr>
        <w:pStyle w:val="BodyText2"/>
        <w:numPr>
          <w:ilvl w:val="1"/>
          <w:numId w:val="38"/>
        </w:numPr>
        <w:rPr>
          <w:b w:val="0"/>
          <w:bCs w:val="0"/>
          <w:szCs w:val="22"/>
        </w:rPr>
      </w:pPr>
      <w:r>
        <w:rPr>
          <w:b w:val="0"/>
          <w:bCs w:val="0"/>
          <w:szCs w:val="22"/>
        </w:rPr>
        <w:t>D</w:t>
      </w:r>
      <w:r w:rsidRPr="00313249">
        <w:rPr>
          <w:b w:val="0"/>
          <w:bCs w:val="0"/>
          <w:szCs w:val="22"/>
        </w:rPr>
        <w:t xml:space="preserve">ebt and service agreement modifications, as a result of </w:t>
      </w:r>
      <w:r w:rsidRPr="00313249">
        <w:rPr>
          <w:b w:val="0"/>
          <w:bCs w:val="0"/>
          <w:iCs/>
          <w:szCs w:val="22"/>
        </w:rPr>
        <w:t>reference</w:t>
      </w:r>
      <w:r w:rsidRPr="00313249">
        <w:rPr>
          <w:b w:val="0"/>
          <w:bCs w:val="0"/>
          <w:szCs w:val="22"/>
        </w:rPr>
        <w:t xml:space="preserve"> rate reform, should not typically rise to the level of requiring a reversal and rebooking of the liability, as </w:t>
      </w:r>
      <w:r w:rsidRPr="00313249">
        <w:rPr>
          <w:b w:val="0"/>
          <w:bCs w:val="0"/>
          <w:i/>
          <w:iCs/>
          <w:szCs w:val="22"/>
        </w:rPr>
        <w:t xml:space="preserve">SSAP No. 15—Debt and Holding Company </w:t>
      </w:r>
      <w:r w:rsidR="00762935" w:rsidRPr="00313249">
        <w:rPr>
          <w:b w:val="0"/>
          <w:bCs w:val="0"/>
          <w:i/>
          <w:iCs/>
          <w:szCs w:val="22"/>
        </w:rPr>
        <w:t>Obligations</w:t>
      </w:r>
      <w:r w:rsidRPr="00313249">
        <w:rPr>
          <w:b w:val="0"/>
          <w:bCs w:val="0"/>
          <w:szCs w:val="22"/>
        </w:rPr>
        <w:t xml:space="preserve"> states such liabilities should only be derecognized if extinguished</w:t>
      </w:r>
      <w:r w:rsidR="00762935">
        <w:rPr>
          <w:b w:val="0"/>
          <w:bCs w:val="0"/>
          <w:szCs w:val="22"/>
        </w:rPr>
        <w:t>.</w:t>
      </w:r>
    </w:p>
    <w:p w14:paraId="3B2171DE" w14:textId="77777777" w:rsidR="00762935" w:rsidRDefault="00313249" w:rsidP="00762935">
      <w:pPr>
        <w:pStyle w:val="BodyText2"/>
        <w:numPr>
          <w:ilvl w:val="1"/>
          <w:numId w:val="38"/>
        </w:numPr>
        <w:rPr>
          <w:b w:val="0"/>
          <w:bCs w:val="0"/>
          <w:szCs w:val="22"/>
        </w:rPr>
      </w:pPr>
      <w:r>
        <w:rPr>
          <w:b w:val="0"/>
          <w:bCs w:val="0"/>
          <w:szCs w:val="22"/>
        </w:rPr>
        <w:t>Le</w:t>
      </w:r>
      <w:r w:rsidRPr="00313249">
        <w:rPr>
          <w:b w:val="0"/>
          <w:bCs w:val="0"/>
          <w:szCs w:val="22"/>
        </w:rPr>
        <w:t xml:space="preserve">ase modifications, solely caused by reference rate reform and ones eligible for optional expedience, likely do not rise to the level of a modification requiring re-recognition as a new lease under </w:t>
      </w:r>
      <w:r w:rsidR="00762935">
        <w:rPr>
          <w:b w:val="0"/>
          <w:bCs w:val="0"/>
          <w:i/>
          <w:iCs/>
          <w:szCs w:val="22"/>
        </w:rPr>
        <w:t>SSAP No. 22R—Leases.</w:t>
      </w:r>
    </w:p>
    <w:p w14:paraId="6DFE59C1" w14:textId="7F46948A" w:rsidR="00762935" w:rsidRDefault="0095529D" w:rsidP="00762935">
      <w:pPr>
        <w:pStyle w:val="BodyText2"/>
        <w:numPr>
          <w:ilvl w:val="1"/>
          <w:numId w:val="38"/>
        </w:numPr>
        <w:rPr>
          <w:b w:val="0"/>
          <w:bCs w:val="0"/>
          <w:szCs w:val="22"/>
        </w:rPr>
      </w:pPr>
      <w:r>
        <w:rPr>
          <w:b w:val="0"/>
          <w:bCs w:val="0"/>
          <w:szCs w:val="22"/>
        </w:rPr>
        <w:t>For d</w:t>
      </w:r>
      <w:r w:rsidR="00313249" w:rsidRPr="00762935">
        <w:rPr>
          <w:b w:val="0"/>
          <w:bCs w:val="0"/>
          <w:szCs w:val="22"/>
        </w:rPr>
        <w:t xml:space="preserve">erivative </w:t>
      </w:r>
      <w:r w:rsidR="00762935" w:rsidRPr="00762935">
        <w:rPr>
          <w:b w:val="0"/>
          <w:bCs w:val="0"/>
          <w:szCs w:val="22"/>
        </w:rPr>
        <w:t>transactions</w:t>
      </w:r>
      <w:r w:rsidRPr="0095529D">
        <w:rPr>
          <w:b w:val="0"/>
          <w:bCs w:val="0"/>
          <w:szCs w:val="22"/>
        </w:rPr>
        <w:t xml:space="preserve"> </w:t>
      </w:r>
      <w:r w:rsidRPr="00762935">
        <w:rPr>
          <w:b w:val="0"/>
          <w:bCs w:val="0"/>
          <w:szCs w:val="22"/>
        </w:rPr>
        <w:t>within scope of ASU 2020-04</w:t>
      </w:r>
      <w:r>
        <w:rPr>
          <w:b w:val="0"/>
          <w:bCs w:val="0"/>
          <w:szCs w:val="22"/>
        </w:rPr>
        <w:t>,</w:t>
      </w:r>
      <w:r w:rsidRPr="00C61C8E">
        <w:rPr>
          <w:b w:val="0"/>
          <w:bCs w:val="0"/>
          <w:szCs w:val="22"/>
        </w:rPr>
        <w:t xml:space="preserve"> a change to the critical terms of the hedging relationship</w:t>
      </w:r>
      <w:r>
        <w:rPr>
          <w:b w:val="0"/>
          <w:bCs w:val="0"/>
          <w:szCs w:val="22"/>
        </w:rPr>
        <w:t xml:space="preserve"> (due to reference rate reform)</w:t>
      </w:r>
      <w:r w:rsidR="007F2DC8">
        <w:rPr>
          <w:b w:val="0"/>
          <w:bCs w:val="0"/>
          <w:szCs w:val="22"/>
        </w:rPr>
        <w:t>,</w:t>
      </w:r>
      <w:r w:rsidRPr="0095529D">
        <w:rPr>
          <w:b w:val="0"/>
          <w:bCs w:val="0"/>
          <w:szCs w:val="22"/>
        </w:rPr>
        <w:t xml:space="preserve"> </w:t>
      </w:r>
      <w:r w:rsidRPr="00762935">
        <w:rPr>
          <w:b w:val="0"/>
          <w:bCs w:val="0"/>
          <w:szCs w:val="22"/>
        </w:rPr>
        <w:t xml:space="preserve">shall be afforded similar treatment in that </w:t>
      </w:r>
      <w:r w:rsidR="007F2DC8">
        <w:rPr>
          <w:b w:val="0"/>
          <w:bCs w:val="0"/>
          <w:szCs w:val="22"/>
        </w:rPr>
        <w:t xml:space="preserve">the </w:t>
      </w:r>
      <w:r w:rsidRPr="00C61C8E">
        <w:rPr>
          <w:b w:val="0"/>
          <w:bCs w:val="0"/>
          <w:szCs w:val="22"/>
        </w:rPr>
        <w:t>hedging relationship</w:t>
      </w:r>
      <w:r w:rsidR="007F2DC8">
        <w:rPr>
          <w:b w:val="0"/>
          <w:bCs w:val="0"/>
          <w:szCs w:val="22"/>
        </w:rPr>
        <w:t xml:space="preserve"> can </w:t>
      </w:r>
      <w:r w:rsidR="00762935" w:rsidRPr="00C61C8E">
        <w:rPr>
          <w:b w:val="0"/>
          <w:bCs w:val="0"/>
          <w:szCs w:val="22"/>
        </w:rPr>
        <w:t>continue</w:t>
      </w:r>
      <w:r w:rsidR="007F2DC8">
        <w:rPr>
          <w:b w:val="0"/>
          <w:bCs w:val="0"/>
          <w:szCs w:val="22"/>
        </w:rPr>
        <w:t xml:space="preserve"> the original</w:t>
      </w:r>
      <w:r w:rsidR="00762935" w:rsidRPr="00C61C8E">
        <w:rPr>
          <w:b w:val="0"/>
          <w:bCs w:val="0"/>
          <w:szCs w:val="22"/>
        </w:rPr>
        <w:t xml:space="preserve"> hedge accounting rather than dedesignate the hedging relationship.</w:t>
      </w:r>
    </w:p>
    <w:p w14:paraId="546D6ECE" w14:textId="77777777" w:rsidR="00AF306D" w:rsidRPr="00762935" w:rsidRDefault="00AF306D" w:rsidP="00AF306D">
      <w:pPr>
        <w:pStyle w:val="BodyText2"/>
        <w:ind w:left="1440"/>
        <w:rPr>
          <w:b w:val="0"/>
          <w:bCs w:val="0"/>
          <w:szCs w:val="22"/>
        </w:rPr>
      </w:pPr>
    </w:p>
    <w:p w14:paraId="7F2804D1" w14:textId="3B0BA097" w:rsidR="00313249" w:rsidRPr="00313249" w:rsidRDefault="00762935" w:rsidP="00916F2F">
      <w:pPr>
        <w:pStyle w:val="BodyText2"/>
        <w:numPr>
          <w:ilvl w:val="0"/>
          <w:numId w:val="39"/>
        </w:numPr>
        <w:rPr>
          <w:b w:val="0"/>
          <w:bCs w:val="0"/>
          <w:szCs w:val="22"/>
        </w:rPr>
      </w:pPr>
      <w:r w:rsidRPr="00092814">
        <w:rPr>
          <w:b w:val="0"/>
          <w:bCs w:val="0"/>
          <w:i/>
          <w:iCs/>
          <w:szCs w:val="22"/>
        </w:rPr>
        <w:t xml:space="preserve">INT </w:t>
      </w:r>
      <w:r w:rsidR="00D31B09" w:rsidRPr="00092814">
        <w:rPr>
          <w:b w:val="0"/>
          <w:bCs w:val="0"/>
          <w:i/>
          <w:iCs/>
          <w:szCs w:val="22"/>
        </w:rPr>
        <w:t>20-09</w:t>
      </w:r>
      <w:r w:rsidR="003646BB" w:rsidRPr="00092814">
        <w:rPr>
          <w:b w:val="0"/>
          <w:bCs w:val="0"/>
          <w:i/>
          <w:iCs/>
          <w:szCs w:val="22"/>
        </w:rPr>
        <w:t>: Basis Swaps as a Result of the LIBOR Transition</w:t>
      </w:r>
      <w:r w:rsidR="00C61C8E">
        <w:rPr>
          <w:b w:val="0"/>
          <w:bCs w:val="0"/>
          <w:szCs w:val="22"/>
        </w:rPr>
        <w:t xml:space="preserve">, </w:t>
      </w:r>
      <w:r w:rsidR="00D31B09">
        <w:rPr>
          <w:b w:val="0"/>
          <w:bCs w:val="0"/>
          <w:szCs w:val="22"/>
        </w:rPr>
        <w:t xml:space="preserve">adopted by the Working Group in July 2020, provided statutory accounting and reporting guidance </w:t>
      </w:r>
      <w:r w:rsidR="007F2DC8">
        <w:rPr>
          <w:b w:val="0"/>
          <w:bCs w:val="0"/>
          <w:szCs w:val="22"/>
        </w:rPr>
        <w:t>for</w:t>
      </w:r>
      <w:r w:rsidR="00D31B09">
        <w:rPr>
          <w:b w:val="0"/>
          <w:bCs w:val="0"/>
          <w:szCs w:val="22"/>
        </w:rPr>
        <w:t xml:space="preserve"> basis swaps issued by CCPs. This INT designated that basis swaps, issued by CCPs, in response to reference rate </w:t>
      </w:r>
      <w:r w:rsidR="007F2DC8">
        <w:rPr>
          <w:b w:val="0"/>
          <w:bCs w:val="0"/>
          <w:szCs w:val="22"/>
        </w:rPr>
        <w:t>reform (i.e., the discounting transition)</w:t>
      </w:r>
      <w:r w:rsidR="00D31B09">
        <w:rPr>
          <w:b w:val="0"/>
          <w:bCs w:val="0"/>
          <w:szCs w:val="22"/>
        </w:rPr>
        <w:t xml:space="preserve">, shall be classified as a </w:t>
      </w:r>
      <w:r w:rsidR="00C61C8E">
        <w:rPr>
          <w:b w:val="0"/>
          <w:bCs w:val="0"/>
          <w:szCs w:val="22"/>
        </w:rPr>
        <w:t>derivative</w:t>
      </w:r>
      <w:r w:rsidR="00D31B09">
        <w:rPr>
          <w:b w:val="0"/>
          <w:bCs w:val="0"/>
          <w:szCs w:val="22"/>
        </w:rPr>
        <w:t xml:space="preserve"> used for hedging. This categorization allow</w:t>
      </w:r>
      <w:r w:rsidR="007F2DC8">
        <w:rPr>
          <w:b w:val="0"/>
          <w:bCs w:val="0"/>
          <w:szCs w:val="22"/>
        </w:rPr>
        <w:t>ed</w:t>
      </w:r>
      <w:r w:rsidR="00D31B09">
        <w:rPr>
          <w:b w:val="0"/>
          <w:bCs w:val="0"/>
          <w:szCs w:val="22"/>
        </w:rPr>
        <w:t xml:space="preserve"> for the basis swap derivatives to be admitted under SSAP No. 86. Additionally, </w:t>
      </w:r>
      <w:r w:rsidR="007F2DC8">
        <w:rPr>
          <w:b w:val="0"/>
          <w:bCs w:val="0"/>
          <w:szCs w:val="22"/>
        </w:rPr>
        <w:t xml:space="preserve">the INT directed that </w:t>
      </w:r>
      <w:r w:rsidR="00D31B09">
        <w:rPr>
          <w:b w:val="0"/>
          <w:bCs w:val="0"/>
          <w:szCs w:val="22"/>
        </w:rPr>
        <w:t>basis swap derivatives shall not be reported as “effective” unless the instrument qualifies, with the required documentation, as highly effective under SSAP No. 86</w:t>
      </w:r>
    </w:p>
    <w:p w14:paraId="7044CD15" w14:textId="77777777" w:rsidR="00A202AF" w:rsidRPr="00016321" w:rsidRDefault="00A202AF" w:rsidP="00706B68">
      <w:pPr>
        <w:pStyle w:val="BodyText2"/>
        <w:rPr>
          <w:rFonts w:eastAsia="MS Mincho"/>
          <w:b w:val="0"/>
          <w:szCs w:val="22"/>
          <w:lang w:eastAsia="ja-JP"/>
        </w:rPr>
      </w:pPr>
    </w:p>
    <w:p w14:paraId="1A7C9804" w14:textId="00A5B8D5"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50CEA">
        <w:rPr>
          <w:b/>
          <w:sz w:val="22"/>
          <w:szCs w:val="22"/>
        </w:rPr>
        <w:t xml:space="preserve"> N/A</w:t>
      </w:r>
    </w:p>
    <w:p w14:paraId="19D3DF10" w14:textId="77777777" w:rsidR="006B37DD" w:rsidRPr="00016321" w:rsidRDefault="006B37DD" w:rsidP="00B30CA0">
      <w:pPr>
        <w:pStyle w:val="BodyText2"/>
        <w:rPr>
          <w:b w:val="0"/>
          <w:bCs w:val="0"/>
          <w:szCs w:val="22"/>
        </w:rPr>
      </w:pPr>
    </w:p>
    <w:p w14:paraId="70213B4E" w14:textId="66C05845" w:rsidR="00490996" w:rsidRPr="00016321" w:rsidRDefault="00490996" w:rsidP="00490996">
      <w:pPr>
        <w:pStyle w:val="Default"/>
        <w:rPr>
          <w:b/>
          <w:sz w:val="22"/>
          <w:szCs w:val="22"/>
        </w:rPr>
      </w:pPr>
      <w:r w:rsidRPr="00016321">
        <w:rPr>
          <w:b/>
          <w:sz w:val="22"/>
          <w:szCs w:val="22"/>
        </w:rPr>
        <w:t>Convergence with International Financial Reporting Standards (IFRS):</w:t>
      </w:r>
      <w:r w:rsidR="0023129C">
        <w:rPr>
          <w:b/>
          <w:sz w:val="22"/>
          <w:szCs w:val="22"/>
        </w:rPr>
        <w:t xml:space="preserve"> </w:t>
      </w:r>
      <w:r w:rsidR="00EA06A7">
        <w:rPr>
          <w:bCs/>
          <w:sz w:val="22"/>
          <w:szCs w:val="22"/>
        </w:rPr>
        <w:t>IFRS</w:t>
      </w:r>
      <w:r w:rsidR="007C7112" w:rsidRPr="00845164">
        <w:rPr>
          <w:bCs/>
          <w:sz w:val="22"/>
          <w:szCs w:val="22"/>
        </w:rPr>
        <w:t xml:space="preserve"> has taken a similar approach when considering Reference </w:t>
      </w:r>
      <w:r w:rsidR="007C7112" w:rsidRPr="00D87BB5">
        <w:rPr>
          <w:bCs/>
          <w:sz w:val="22"/>
          <w:szCs w:val="22"/>
        </w:rPr>
        <w:t>Rate Reform</w:t>
      </w:r>
      <w:r w:rsidR="00D87BB5" w:rsidRPr="00D87BB5">
        <w:rPr>
          <w:bCs/>
          <w:sz w:val="22"/>
          <w:szCs w:val="22"/>
        </w:rPr>
        <w:t>’</w:t>
      </w:r>
      <w:r w:rsidR="007C7112" w:rsidRPr="00D87BB5">
        <w:rPr>
          <w:bCs/>
          <w:sz w:val="22"/>
          <w:szCs w:val="22"/>
        </w:rPr>
        <w:t>s impact</w:t>
      </w:r>
      <w:r w:rsidR="007C7112" w:rsidRPr="00845164">
        <w:rPr>
          <w:bCs/>
          <w:sz w:val="22"/>
          <w:szCs w:val="22"/>
        </w:rPr>
        <w:t xml:space="preserve"> on IFRS 9</w:t>
      </w:r>
      <w:r w:rsidR="00845164" w:rsidRPr="00845164">
        <w:rPr>
          <w:bCs/>
          <w:sz w:val="22"/>
          <w:szCs w:val="22"/>
        </w:rPr>
        <w:t xml:space="preserve"> </w:t>
      </w:r>
      <w:r w:rsidR="00FB576B" w:rsidRPr="00845164">
        <w:rPr>
          <w:bCs/>
          <w:sz w:val="22"/>
          <w:szCs w:val="22"/>
        </w:rPr>
        <w:t>(Financial Instruments</w:t>
      </w:r>
      <w:r w:rsidR="00845164" w:rsidRPr="00845164">
        <w:rPr>
          <w:bCs/>
          <w:sz w:val="22"/>
          <w:szCs w:val="22"/>
        </w:rPr>
        <w:t>), IAS 39 (</w:t>
      </w:r>
      <w:r w:rsidR="00FB576B" w:rsidRPr="00845164">
        <w:rPr>
          <w:bCs/>
          <w:sz w:val="22"/>
          <w:szCs w:val="22"/>
        </w:rPr>
        <w:t xml:space="preserve">Recognition and Measurement), and </w:t>
      </w:r>
      <w:r w:rsidR="007C7112" w:rsidRPr="00845164">
        <w:rPr>
          <w:bCs/>
          <w:sz w:val="22"/>
          <w:szCs w:val="22"/>
        </w:rPr>
        <w:t>IFRS 7</w:t>
      </w:r>
      <w:r w:rsidR="00FB576B" w:rsidRPr="00845164">
        <w:rPr>
          <w:bCs/>
          <w:sz w:val="22"/>
          <w:szCs w:val="22"/>
        </w:rPr>
        <w:t xml:space="preserve"> (Financial Instruments – Disclosures)</w:t>
      </w:r>
      <w:r w:rsidR="007C7112" w:rsidRPr="00845164">
        <w:rPr>
          <w:bCs/>
          <w:sz w:val="22"/>
          <w:szCs w:val="22"/>
        </w:rPr>
        <w:t>.</w:t>
      </w:r>
      <w:r w:rsidR="007C7112">
        <w:rPr>
          <w:b/>
          <w:sz w:val="22"/>
          <w:szCs w:val="22"/>
        </w:rPr>
        <w:t xml:space="preserve"> </w:t>
      </w:r>
    </w:p>
    <w:p w14:paraId="45ED1F04" w14:textId="77777777" w:rsidR="006B37DD" w:rsidRPr="00016321" w:rsidRDefault="006B37DD" w:rsidP="00490996">
      <w:pPr>
        <w:pStyle w:val="BodyText2"/>
        <w:rPr>
          <w:b w:val="0"/>
          <w:bCs w:val="0"/>
          <w:szCs w:val="22"/>
        </w:rPr>
      </w:pPr>
    </w:p>
    <w:p w14:paraId="57905AA3" w14:textId="77777777" w:rsidR="001517F9" w:rsidRDefault="004210D6" w:rsidP="00CE41F5">
      <w:pPr>
        <w:pStyle w:val="BodyText2"/>
        <w:rPr>
          <w:szCs w:val="22"/>
        </w:rPr>
      </w:pPr>
      <w:r>
        <w:rPr>
          <w:szCs w:val="22"/>
        </w:rPr>
        <w:t xml:space="preserve">NAIC </w:t>
      </w:r>
      <w:r w:rsidR="002A1316" w:rsidRPr="00016321">
        <w:rPr>
          <w:szCs w:val="22"/>
        </w:rPr>
        <w:t>Staff Recommendation:</w:t>
      </w:r>
      <w:r w:rsidR="00C61461">
        <w:rPr>
          <w:szCs w:val="22"/>
        </w:rPr>
        <w:t xml:space="preserve"> </w:t>
      </w:r>
    </w:p>
    <w:p w14:paraId="07D44ADC" w14:textId="6D334F5E" w:rsidR="00FA4442" w:rsidRPr="00EE6924" w:rsidRDefault="004210D6" w:rsidP="00CE41F5">
      <w:pPr>
        <w:pStyle w:val="BodyText2"/>
        <w:rPr>
          <w:b w:val="0"/>
          <w:bCs w:val="0"/>
          <w:szCs w:val="22"/>
        </w:rPr>
      </w:pPr>
      <w:r>
        <w:rPr>
          <w:szCs w:val="22"/>
        </w:rPr>
        <w:t>NAIC s</w:t>
      </w:r>
      <w:r w:rsidR="00761440" w:rsidRPr="00016321">
        <w:rPr>
          <w:szCs w:val="22"/>
        </w:rPr>
        <w:t>taff recommend</w:t>
      </w:r>
      <w:r w:rsidR="001517F9">
        <w:rPr>
          <w:szCs w:val="22"/>
        </w:rPr>
        <w:t>s</w:t>
      </w:r>
      <w:r w:rsidR="00D924B0" w:rsidRPr="00016321">
        <w:rPr>
          <w:szCs w:val="22"/>
        </w:rPr>
        <w:t xml:space="preserve"> that the Working Group move this item to the active listing</w:t>
      </w:r>
      <w:r w:rsidR="00761440" w:rsidRPr="00016321">
        <w:rPr>
          <w:szCs w:val="22"/>
        </w:rPr>
        <w:t xml:space="preserve">, </w:t>
      </w:r>
      <w:r w:rsidR="00761440" w:rsidRPr="00510167">
        <w:rPr>
          <w:szCs w:val="22"/>
        </w:rPr>
        <w:t>categorized as nonsubstantive</w:t>
      </w:r>
      <w:r w:rsidR="00D924B0" w:rsidRPr="00510167">
        <w:rPr>
          <w:szCs w:val="22"/>
        </w:rPr>
        <w:t xml:space="preserve"> and</w:t>
      </w:r>
      <w:r w:rsidR="00D924B0" w:rsidRPr="00016321">
        <w:rPr>
          <w:szCs w:val="22"/>
        </w:rPr>
        <w:t xml:space="preserve"> expose</w:t>
      </w:r>
      <w:r w:rsidR="00510167">
        <w:rPr>
          <w:szCs w:val="22"/>
        </w:rPr>
        <w:t xml:space="preserve"> temporary</w:t>
      </w:r>
      <w:r w:rsidR="00DE0014">
        <w:rPr>
          <w:szCs w:val="22"/>
        </w:rPr>
        <w:t xml:space="preserve"> (optional)</w:t>
      </w:r>
      <w:r w:rsidR="00510167">
        <w:rPr>
          <w:szCs w:val="22"/>
        </w:rPr>
        <w:t xml:space="preserve"> expedient and exception </w:t>
      </w:r>
      <w:r w:rsidR="00510167" w:rsidRPr="00C61C8E">
        <w:rPr>
          <w:szCs w:val="22"/>
        </w:rPr>
        <w:t xml:space="preserve">interpretative guidance, with </w:t>
      </w:r>
      <w:r w:rsidR="00BC41E3" w:rsidRPr="00C61C8E">
        <w:rPr>
          <w:szCs w:val="22"/>
        </w:rPr>
        <w:t>an</w:t>
      </w:r>
      <w:r w:rsidR="00510167" w:rsidRPr="00C61C8E">
        <w:rPr>
          <w:szCs w:val="22"/>
        </w:rPr>
        <w:t xml:space="preserve"> </w:t>
      </w:r>
      <w:r w:rsidR="005B78E2">
        <w:rPr>
          <w:szCs w:val="22"/>
        </w:rPr>
        <w:t>expiration</w:t>
      </w:r>
      <w:r w:rsidR="005B78E2" w:rsidRPr="00C61C8E">
        <w:rPr>
          <w:szCs w:val="22"/>
        </w:rPr>
        <w:t xml:space="preserve"> </w:t>
      </w:r>
      <w:r w:rsidR="00510167" w:rsidRPr="00C61C8E">
        <w:rPr>
          <w:szCs w:val="22"/>
        </w:rPr>
        <w:t>date of December 31, 2022</w:t>
      </w:r>
      <w:r w:rsidR="00004111" w:rsidRPr="00C61C8E">
        <w:rPr>
          <w:szCs w:val="22"/>
        </w:rPr>
        <w:t xml:space="preserve">. </w:t>
      </w:r>
      <w:r w:rsidR="00B6234E" w:rsidRPr="00C61C8E">
        <w:rPr>
          <w:szCs w:val="22"/>
        </w:rPr>
        <w:t>These optional expedients would</w:t>
      </w:r>
      <w:r w:rsidR="00AF306D">
        <w:rPr>
          <w:szCs w:val="22"/>
        </w:rPr>
        <w:t xml:space="preserve"> </w:t>
      </w:r>
      <w:r w:rsidR="00CE41F5">
        <w:rPr>
          <w:szCs w:val="22"/>
        </w:rPr>
        <w:t>e</w:t>
      </w:r>
      <w:r w:rsidR="00FA4442">
        <w:rPr>
          <w:szCs w:val="22"/>
        </w:rPr>
        <w:t>xpand</w:t>
      </w:r>
      <w:r w:rsidR="00C61C8E" w:rsidRPr="00C61C8E">
        <w:rPr>
          <w:szCs w:val="22"/>
        </w:rPr>
        <w:t xml:space="preserve"> the current </w:t>
      </w:r>
      <w:r w:rsidR="00B6234E" w:rsidRPr="00C61C8E">
        <w:rPr>
          <w:szCs w:val="22"/>
        </w:rPr>
        <w:t xml:space="preserve">exception </w:t>
      </w:r>
      <w:r w:rsidR="00FA4442" w:rsidRPr="00C61C8E">
        <w:rPr>
          <w:szCs w:val="22"/>
        </w:rPr>
        <w:t xml:space="preserve">guidance </w:t>
      </w:r>
      <w:r w:rsidR="00FA4442">
        <w:rPr>
          <w:szCs w:val="22"/>
        </w:rPr>
        <w:t xml:space="preserve">provided by </w:t>
      </w:r>
      <w:r w:rsidR="00092814" w:rsidRPr="00092814">
        <w:rPr>
          <w:i/>
          <w:iCs/>
          <w:szCs w:val="22"/>
        </w:rPr>
        <w:t>INT 20-01: ASU 2020-04 - Reference Rate Reform</w:t>
      </w:r>
      <w:r w:rsidR="00916F2F">
        <w:rPr>
          <w:szCs w:val="22"/>
        </w:rPr>
        <w:t>.</w:t>
      </w:r>
      <w:r w:rsidR="00FA4442">
        <w:rPr>
          <w:szCs w:val="22"/>
        </w:rPr>
        <w:t xml:space="preserve"> With this guidance, </w:t>
      </w:r>
      <w:r w:rsidR="00B6234E" w:rsidRPr="00C61C8E">
        <w:t xml:space="preserve">derivative instruments affected by changes to the interest rates used for discounting, margining or contract price alignment (regardless of whether they reference LIBOR or another rate that is expected to be discontinued as a result of reference rate reform) </w:t>
      </w:r>
      <w:r w:rsidR="00FA4442">
        <w:t>would be</w:t>
      </w:r>
      <w:r w:rsidR="00B6234E" w:rsidRPr="00C61C8E">
        <w:t xml:space="preserve"> in scope of </w:t>
      </w:r>
      <w:r w:rsidR="000C6422" w:rsidRPr="00C61C8E">
        <w:t>INT 20-01</w:t>
      </w:r>
      <w:r w:rsidR="00316138" w:rsidRPr="007F2DC8">
        <w:t>.</w:t>
      </w:r>
      <w:r w:rsidR="00EE6924" w:rsidRPr="007F2DC8">
        <w:t xml:space="preserve"> This exception would allow for continuation of the existing hedge relationship and thus not requiring hedge </w:t>
      </w:r>
      <w:r w:rsidR="00B33193" w:rsidRPr="007F2DC8">
        <w:t>dedesignation.</w:t>
      </w:r>
    </w:p>
    <w:p w14:paraId="575CCA5F" w14:textId="7A87F1A4" w:rsidR="000C6422" w:rsidRDefault="000C6422" w:rsidP="00B6234E">
      <w:pPr>
        <w:pStyle w:val="BodyText2"/>
        <w:rPr>
          <w:b w:val="0"/>
          <w:bCs w:val="0"/>
          <w:u w:val="single"/>
        </w:rPr>
      </w:pPr>
    </w:p>
    <w:p w14:paraId="55A99683" w14:textId="7BF95F94" w:rsidR="00FB2924" w:rsidRPr="00187D81" w:rsidRDefault="00FB2924" w:rsidP="00FB2924">
      <w:pPr>
        <w:pStyle w:val="BodyText2"/>
        <w:rPr>
          <w:b w:val="0"/>
          <w:szCs w:val="22"/>
        </w:rPr>
      </w:pPr>
      <w:r w:rsidRPr="00187D81">
        <w:rPr>
          <w:b w:val="0"/>
          <w:szCs w:val="22"/>
        </w:rPr>
        <w:t xml:space="preserve">The proposed </w:t>
      </w:r>
      <w:r w:rsidR="00CE41F5">
        <w:rPr>
          <w:b w:val="0"/>
          <w:szCs w:val="22"/>
        </w:rPr>
        <w:t>modifications to INT 20-01</w:t>
      </w:r>
      <w:r w:rsidR="00316138">
        <w:rPr>
          <w:b w:val="0"/>
          <w:szCs w:val="22"/>
        </w:rPr>
        <w:t xml:space="preserve"> </w:t>
      </w:r>
      <w:r w:rsidRPr="00187D81">
        <w:rPr>
          <w:b w:val="0"/>
          <w:szCs w:val="22"/>
        </w:rPr>
        <w:t xml:space="preserve">temporarily </w:t>
      </w:r>
      <w:r w:rsidR="006B5321" w:rsidRPr="00187D81">
        <w:rPr>
          <w:b w:val="0"/>
          <w:szCs w:val="22"/>
        </w:rPr>
        <w:t>override</w:t>
      </w:r>
      <w:r w:rsidRPr="00187D81">
        <w:rPr>
          <w:b w:val="0"/>
          <w:szCs w:val="22"/>
        </w:rPr>
        <w:t xml:space="preserve"> </w:t>
      </w:r>
      <w:r w:rsidR="0013373E">
        <w:rPr>
          <w:b w:val="0"/>
          <w:szCs w:val="22"/>
        </w:rPr>
        <w:t xml:space="preserve">SSAP No. 86 </w:t>
      </w:r>
      <w:r>
        <w:rPr>
          <w:b w:val="0"/>
          <w:szCs w:val="22"/>
        </w:rPr>
        <w:t xml:space="preserve">guidance </w:t>
      </w:r>
      <w:r w:rsidRPr="00187D81">
        <w:rPr>
          <w:b w:val="0"/>
          <w:szCs w:val="22"/>
        </w:rPr>
        <w:t>for affected policies, therefore the policy statement in Appendix F requires 2/3</w:t>
      </w:r>
      <w:r w:rsidRPr="00187D81">
        <w:rPr>
          <w:b w:val="0"/>
          <w:szCs w:val="22"/>
          <w:vertAlign w:val="superscript"/>
        </w:rPr>
        <w:t>rd</w:t>
      </w:r>
      <w:r w:rsidRPr="00187D81">
        <w:rPr>
          <w:b w:val="0"/>
          <w:szCs w:val="22"/>
        </w:rPr>
        <w:t xml:space="preserve"> (two-thirds) of the Working Group members to be present and voting and a supermajority of the Working Group members present to vote in support of the interpretation before it can be finalized.</w:t>
      </w:r>
    </w:p>
    <w:p w14:paraId="28C3B362" w14:textId="77777777" w:rsidR="00710883" w:rsidRDefault="00710883" w:rsidP="00710883">
      <w:pPr>
        <w:pStyle w:val="BodyText2"/>
        <w:rPr>
          <w:szCs w:val="22"/>
        </w:rPr>
      </w:pPr>
    </w:p>
    <w:p w14:paraId="71BBEFE0" w14:textId="39A6B069" w:rsidR="002A1316" w:rsidRDefault="002A1316" w:rsidP="00710883">
      <w:pPr>
        <w:pStyle w:val="BodyText2"/>
        <w:rPr>
          <w:b w:val="0"/>
          <w:szCs w:val="22"/>
        </w:rPr>
      </w:pPr>
      <w:r w:rsidRPr="00016321">
        <w:rPr>
          <w:szCs w:val="22"/>
        </w:rPr>
        <w:t>Staff Review Completed by:</w:t>
      </w:r>
      <w:r w:rsidR="00650CEA">
        <w:rPr>
          <w:szCs w:val="22"/>
        </w:rPr>
        <w:t xml:space="preserve"> </w:t>
      </w:r>
      <w:r w:rsidR="00650CEA" w:rsidRPr="00650CEA">
        <w:rPr>
          <w:b w:val="0"/>
          <w:bCs w:val="0"/>
          <w:szCs w:val="22"/>
        </w:rPr>
        <w:t xml:space="preserve">Jim Pinegar, </w:t>
      </w:r>
      <w:r w:rsidR="00FE7FAA" w:rsidRPr="00650CEA">
        <w:rPr>
          <w:b w:val="0"/>
          <w:bCs w:val="0"/>
          <w:szCs w:val="22"/>
        </w:rPr>
        <w:t>NAIC</w:t>
      </w:r>
      <w:r w:rsidR="00FE7FAA" w:rsidRPr="00016321">
        <w:rPr>
          <w:b w:val="0"/>
          <w:szCs w:val="22"/>
        </w:rPr>
        <w:t xml:space="preserve"> </w:t>
      </w:r>
      <w:r w:rsidR="006B37DD" w:rsidRPr="00016321">
        <w:rPr>
          <w:b w:val="0"/>
          <w:szCs w:val="22"/>
        </w:rPr>
        <w:t>S</w:t>
      </w:r>
      <w:r w:rsidR="00FE7FAA" w:rsidRPr="00016321">
        <w:rPr>
          <w:b w:val="0"/>
          <w:szCs w:val="22"/>
        </w:rPr>
        <w:t>taff</w:t>
      </w:r>
      <w:r w:rsidR="00650CEA">
        <w:rPr>
          <w:b w:val="0"/>
          <w:szCs w:val="22"/>
        </w:rPr>
        <w:t xml:space="preserve"> – </w:t>
      </w:r>
      <w:r w:rsidR="00CF57F9">
        <w:rPr>
          <w:b w:val="0"/>
          <w:szCs w:val="22"/>
        </w:rPr>
        <w:t>January</w:t>
      </w:r>
      <w:r w:rsidR="00650CEA">
        <w:rPr>
          <w:b w:val="0"/>
          <w:szCs w:val="22"/>
        </w:rPr>
        <w:t xml:space="preserve"> 202</w:t>
      </w:r>
      <w:r w:rsidR="00CF57F9">
        <w:rPr>
          <w:b w:val="0"/>
          <w:szCs w:val="22"/>
        </w:rPr>
        <w:t>1</w:t>
      </w:r>
    </w:p>
    <w:p w14:paraId="724ECDB3" w14:textId="77777777" w:rsidR="00C53098" w:rsidRDefault="00C53098" w:rsidP="00710883">
      <w:pPr>
        <w:pStyle w:val="BodyText2"/>
      </w:pPr>
    </w:p>
    <w:p w14:paraId="3D34C9BC" w14:textId="6411A335" w:rsidR="00C53098" w:rsidRPr="00BE0426" w:rsidRDefault="00F97193" w:rsidP="00F97193">
      <w:pPr>
        <w:pStyle w:val="Heading2"/>
        <w:jc w:val="left"/>
        <w:rPr>
          <w:b/>
          <w:bCs/>
          <w:sz w:val="22"/>
          <w:szCs w:val="22"/>
        </w:rPr>
      </w:pPr>
      <w:r w:rsidRPr="00BE0426">
        <w:rPr>
          <w:b/>
          <w:bCs/>
          <w:sz w:val="22"/>
          <w:szCs w:val="22"/>
        </w:rPr>
        <w:t>Status</w:t>
      </w:r>
      <w:r w:rsidR="00C53098" w:rsidRPr="00BE0426">
        <w:rPr>
          <w:b/>
          <w:bCs/>
          <w:sz w:val="22"/>
          <w:szCs w:val="22"/>
        </w:rPr>
        <w:t>:</w:t>
      </w:r>
    </w:p>
    <w:p w14:paraId="13AF0CA9" w14:textId="2598B02D" w:rsidR="00BE0426" w:rsidRPr="00181B2D" w:rsidRDefault="00BE0426" w:rsidP="00BC41E3">
      <w:pPr>
        <w:jc w:val="both"/>
        <w:rPr>
          <w:sz w:val="22"/>
          <w:szCs w:val="22"/>
        </w:rPr>
      </w:pPr>
      <w:r w:rsidRPr="00BE0426">
        <w:rPr>
          <w:sz w:val="22"/>
          <w:szCs w:val="22"/>
        </w:rPr>
        <w:t>On March 15, 2021, the Statutory Accounting Principles (E) Working Group moved this agenda item to the active listing, categorized as nonsubstantive, and exposed</w:t>
      </w:r>
      <w:r w:rsidR="00181B2D">
        <w:rPr>
          <w:sz w:val="22"/>
          <w:szCs w:val="22"/>
        </w:rPr>
        <w:t xml:space="preserve"> temporary (optional) expedient and exception interpretative guidance, with an expiration date of December 31, 2022. These optional expedients would expand the current exception guidance provided by </w:t>
      </w:r>
      <w:r w:rsidR="00181B2D">
        <w:rPr>
          <w:i/>
          <w:iCs/>
          <w:sz w:val="22"/>
          <w:szCs w:val="22"/>
        </w:rPr>
        <w:t>INT 20-01: ASU 2020-04 – Reference Rate Reform</w:t>
      </w:r>
      <w:r w:rsidR="00181B2D">
        <w:rPr>
          <w:sz w:val="22"/>
          <w:szCs w:val="22"/>
        </w:rPr>
        <w:t xml:space="preserve">. </w:t>
      </w:r>
      <w:r w:rsidR="00A9546B" w:rsidRPr="00BC41E3">
        <w:rPr>
          <w:sz w:val="22"/>
          <w:szCs w:val="22"/>
        </w:rPr>
        <w:t xml:space="preserve">With this guidance, derivative </w:t>
      </w:r>
      <w:r w:rsidR="00A9546B" w:rsidRPr="00BC41E3">
        <w:rPr>
          <w:sz w:val="22"/>
          <w:szCs w:val="22"/>
        </w:rPr>
        <w:lastRenderedPageBreak/>
        <w:t xml:space="preserve">instruments affected by changes to interest/reference rates because of reference rate reform (regardless of whether they reference LIBOR or another rate that is expected to be is discontinued), in which are used for discounting, margining or contract price alignment would be in scope of the exception guidance afforded in INT 20-01. This exception would allow for continuation of the existing hedge relationship and thus not requiring hedge </w:t>
      </w:r>
      <w:proofErr w:type="spellStart"/>
      <w:r w:rsidR="00A9546B" w:rsidRPr="00BC41E3">
        <w:rPr>
          <w:sz w:val="22"/>
          <w:szCs w:val="22"/>
        </w:rPr>
        <w:t>dedesignation</w:t>
      </w:r>
      <w:proofErr w:type="spellEnd"/>
      <w:r w:rsidR="00A9546B" w:rsidRPr="00BC41E3">
        <w:rPr>
          <w:sz w:val="22"/>
          <w:szCs w:val="22"/>
        </w:rPr>
        <w:t>.</w:t>
      </w:r>
    </w:p>
    <w:p w14:paraId="1FC545F8" w14:textId="355F0531" w:rsidR="00204F2A" w:rsidRDefault="00204F2A" w:rsidP="00204F2A"/>
    <w:p w14:paraId="1956F53B" w14:textId="5DC05482" w:rsidR="00181B2D" w:rsidRDefault="00181B2D" w:rsidP="00204F2A"/>
    <w:p w14:paraId="3676DB8A" w14:textId="77777777" w:rsidR="00181B2D" w:rsidRPr="00204F2A" w:rsidRDefault="00181B2D" w:rsidP="00204F2A"/>
    <w:bookmarkStart w:id="3" w:name="_Hlk62645141"/>
    <w:p w14:paraId="0FE979AF" w14:textId="4AB24DC9" w:rsidR="00AA1DC0" w:rsidRPr="00DF407B" w:rsidRDefault="002A1316" w:rsidP="000579B6">
      <w:pPr>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181B2D">
        <w:rPr>
          <w:noProof/>
          <w:sz w:val="16"/>
          <w:szCs w:val="16"/>
        </w:rPr>
        <w:t>G:\FRS\DATA\Stat Acctg\3. National Meetings\A. National Meeting Materials\2021\March 15 (Spring)\NM Exposures\21-01 - ASU 2021-01 Reference Rate Reform.docx</w:t>
      </w:r>
      <w:r w:rsidRPr="000579B6">
        <w:rPr>
          <w:sz w:val="16"/>
          <w:szCs w:val="16"/>
        </w:rPr>
        <w:fldChar w:fldCharType="end"/>
      </w:r>
      <w:bookmarkEnd w:id="3"/>
    </w:p>
    <w:sectPr w:rsidR="00AA1DC0" w:rsidRPr="00DF407B" w:rsidSect="00710883">
      <w:headerReference w:type="default" r:id="rId8"/>
      <w:footerReference w:type="default" r:id="rId9"/>
      <w:headerReference w:type="first" r:id="rId10"/>
      <w:footerReference w:type="first" r:id="rId11"/>
      <w:pgSz w:w="12240" w:h="15840" w:code="1"/>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4210D6" w:rsidRDefault="004210D6">
      <w:r>
        <w:separator/>
      </w:r>
    </w:p>
  </w:endnote>
  <w:endnote w:type="continuationSeparator" w:id="0">
    <w:p w14:paraId="7A4CE54C" w14:textId="77777777" w:rsidR="004210D6" w:rsidRDefault="0042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6374B155" w:rsidR="004210D6" w:rsidRDefault="004210D6" w:rsidP="00DF407B">
    <w:pPr>
      <w:pStyle w:val="Footer"/>
      <w:tabs>
        <w:tab w:val="clear" w:pos="4320"/>
        <w:tab w:val="center" w:pos="5040"/>
      </w:tabs>
      <w:rPr>
        <w:sz w:val="20"/>
      </w:rPr>
    </w:pPr>
    <w:r>
      <w:rPr>
        <w:sz w:val="20"/>
      </w:rPr>
      <w:t>© 202</w:t>
    </w:r>
    <w:r w:rsidR="007F2DC8">
      <w:rPr>
        <w:sz w:val="20"/>
      </w:rPr>
      <w:t>1</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4210D6" w:rsidRDefault="004210D6"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4210D6" w:rsidRDefault="004210D6">
      <w:r>
        <w:separator/>
      </w:r>
    </w:p>
  </w:footnote>
  <w:footnote w:type="continuationSeparator" w:id="0">
    <w:p w14:paraId="1BD68B07" w14:textId="77777777" w:rsidR="004210D6" w:rsidRDefault="0042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6D2280A8" w:rsidR="004210D6" w:rsidRPr="00F04F9A" w:rsidRDefault="004210D6">
    <w:pPr>
      <w:pStyle w:val="Header"/>
      <w:jc w:val="right"/>
      <w:rPr>
        <w:bCs/>
        <w:sz w:val="20"/>
      </w:rPr>
    </w:pPr>
    <w:r w:rsidRPr="00F04F9A">
      <w:rPr>
        <w:bCs/>
        <w:sz w:val="20"/>
      </w:rPr>
      <w:t>Ref #20</w:t>
    </w:r>
    <w:r w:rsidR="00606E9C">
      <w:rPr>
        <w:bCs/>
        <w:sz w:val="20"/>
      </w:rPr>
      <w:t>21-</w:t>
    </w:r>
    <w:r w:rsidR="00491B96">
      <w:rPr>
        <w:bCs/>
        <w:sz w:val="20"/>
      </w:rPr>
      <w:t>01</w:t>
    </w:r>
  </w:p>
  <w:p w14:paraId="12DAC63B" w14:textId="77777777" w:rsidR="004210D6" w:rsidRDefault="004210D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4210D6" w:rsidRPr="00F04F9A" w:rsidRDefault="004210D6" w:rsidP="00AE74CF">
    <w:pPr>
      <w:pStyle w:val="Header"/>
      <w:jc w:val="right"/>
      <w:rPr>
        <w:b/>
        <w:sz w:val="20"/>
      </w:rPr>
    </w:pPr>
    <w:r w:rsidRPr="00F04F9A">
      <w:rPr>
        <w:b/>
        <w:sz w:val="20"/>
      </w:rPr>
      <w:t>Attachment __</w:t>
    </w:r>
  </w:p>
  <w:p w14:paraId="6B24D022" w14:textId="403538C5" w:rsidR="004210D6" w:rsidRPr="00F04F9A" w:rsidRDefault="004210D6"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4210D6" w:rsidRDefault="004210D6"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C23B76"/>
    <w:multiLevelType w:val="hybridMultilevel"/>
    <w:tmpl w:val="25CA18D2"/>
    <w:lvl w:ilvl="0" w:tplc="AF968BE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0373CC"/>
    <w:multiLevelType w:val="singleLevel"/>
    <w:tmpl w:val="D17CF8A4"/>
    <w:lvl w:ilvl="0">
      <w:start w:val="12"/>
      <w:numFmt w:val="decimal"/>
      <w:lvlText w:val="%1."/>
      <w:lvlJc w:val="left"/>
      <w:pPr>
        <w:tabs>
          <w:tab w:val="num" w:pos="540"/>
        </w:tabs>
        <w:ind w:left="540" w:hanging="540"/>
      </w:pPr>
      <w:rPr>
        <w:rFonts w:hint="default"/>
        <w:b w:val="0"/>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2C07CBB"/>
    <w:multiLevelType w:val="hybridMultilevel"/>
    <w:tmpl w:val="D272D580"/>
    <w:lvl w:ilvl="0" w:tplc="7A127F46">
      <w:start w:val="12"/>
      <w:numFmt w:val="decimal"/>
      <w:lvlText w:val="%1."/>
      <w:lvlJc w:val="left"/>
      <w:pPr>
        <w:tabs>
          <w:tab w:val="num" w:pos="540"/>
        </w:tabs>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6CAE"/>
    <w:multiLevelType w:val="hybridMultilevel"/>
    <w:tmpl w:val="CC6E4B7C"/>
    <w:lvl w:ilvl="0" w:tplc="DC1CB7FC">
      <w:start w:val="42"/>
      <w:numFmt w:val="decimal"/>
      <w:lvlText w:val="%1."/>
      <w:lvlJc w:val="left"/>
      <w:pPr>
        <w:ind w:left="360" w:hanging="360"/>
      </w:pPr>
      <w:rPr>
        <w:rFonts w:hint="default"/>
        <w:i w:val="0"/>
      </w:rPr>
    </w:lvl>
    <w:lvl w:ilvl="1" w:tplc="1BA61054">
      <w:start w:val="1"/>
      <w:numFmt w:val="lowerLetter"/>
      <w:pStyle w:val="Style3"/>
      <w:lvlText w:val="%2."/>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20686BE">
      <w:start w:val="1"/>
      <w:numFmt w:val="lowerRoman"/>
      <w:pStyle w:val="Style4"/>
      <w:lvlText w:val="%3."/>
      <w:lvlJc w:val="right"/>
      <w:pPr>
        <w:ind w:left="1530" w:hanging="180"/>
      </w:pPr>
    </w:lvl>
    <w:lvl w:ilvl="3" w:tplc="E2CEBE64">
      <w:start w:val="1"/>
      <w:numFmt w:val="lowerLetter"/>
      <w:lvlText w:val="(%4)"/>
      <w:lvlJc w:val="left"/>
      <w:pPr>
        <w:ind w:left="2250" w:hanging="360"/>
      </w:pPr>
      <w:rPr>
        <w:rFonts w:hint="default"/>
      </w:rPr>
    </w:lvl>
    <w:lvl w:ilvl="4" w:tplc="9416A54E">
      <w:start w:val="1"/>
      <w:numFmt w:val="decimal"/>
      <w:lvlText w:val="(%5)"/>
      <w:lvlJc w:val="left"/>
      <w:pPr>
        <w:ind w:left="2970" w:hanging="360"/>
      </w:pPr>
      <w:rPr>
        <w:rFonts w:hint="default"/>
      </w:r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913BA1"/>
    <w:multiLevelType w:val="hybridMultilevel"/>
    <w:tmpl w:val="B0E856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3"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5" w15:restartNumberingAfterBreak="0">
    <w:nsid w:val="2D043F8E"/>
    <w:multiLevelType w:val="hybridMultilevel"/>
    <w:tmpl w:val="E1760A7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B6FC5"/>
    <w:multiLevelType w:val="hybridMultilevel"/>
    <w:tmpl w:val="083E9B9E"/>
    <w:lvl w:ilvl="0" w:tplc="66F43D2E">
      <w:start w:val="20"/>
      <w:numFmt w:val="decimal"/>
      <w:lvlText w:val="%1."/>
      <w:lvlJc w:val="left"/>
      <w:pPr>
        <w:tabs>
          <w:tab w:val="num" w:pos="540"/>
        </w:tabs>
        <w:ind w:left="540" w:hanging="54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53387B"/>
    <w:multiLevelType w:val="hybridMultilevel"/>
    <w:tmpl w:val="FE98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A456F9F"/>
    <w:multiLevelType w:val="singleLevel"/>
    <w:tmpl w:val="EF401BEC"/>
    <w:lvl w:ilvl="0">
      <w:start w:val="1"/>
      <w:numFmt w:val="lowerLetter"/>
      <w:lvlText w:val="%1."/>
      <w:legacy w:legacy="1" w:legacySpace="0" w:legacyIndent="720"/>
      <w:lvlJc w:val="left"/>
      <w:pPr>
        <w:ind w:left="1440" w:hanging="720"/>
      </w:pPr>
    </w:lvl>
  </w:abstractNum>
  <w:abstractNum w:abstractNumId="24"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54625D8"/>
    <w:multiLevelType w:val="hybridMultilevel"/>
    <w:tmpl w:val="F6CC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23645"/>
    <w:multiLevelType w:val="hybridMultilevel"/>
    <w:tmpl w:val="614E7506"/>
    <w:lvl w:ilvl="0" w:tplc="895277F6">
      <w:start w:val="20"/>
      <w:numFmt w:val="decimal"/>
      <w:lvlText w:val="%1."/>
      <w:lvlJc w:val="left"/>
      <w:pPr>
        <w:tabs>
          <w:tab w:val="num" w:pos="540"/>
        </w:tabs>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8"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0"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3"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15:restartNumberingAfterBreak="0">
    <w:nsid w:val="7A6303D1"/>
    <w:multiLevelType w:val="hybridMultilevel"/>
    <w:tmpl w:val="55C6E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6" w15:restartNumberingAfterBreak="0">
    <w:nsid w:val="7DA16479"/>
    <w:multiLevelType w:val="hybridMultilevel"/>
    <w:tmpl w:val="4C585F50"/>
    <w:lvl w:ilvl="0" w:tplc="D5E666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C4575"/>
    <w:multiLevelType w:val="singleLevel"/>
    <w:tmpl w:val="36361EF4"/>
    <w:lvl w:ilvl="0">
      <w:start w:val="1"/>
      <w:numFmt w:val="lowerLetter"/>
      <w:lvlText w:val="%1."/>
      <w:lvlJc w:val="left"/>
      <w:pPr>
        <w:tabs>
          <w:tab w:val="num" w:pos="1440"/>
        </w:tabs>
        <w:ind w:left="1440" w:hanging="720"/>
      </w:pPr>
      <w:rPr>
        <w:rFonts w:hint="default"/>
      </w:rPr>
    </w:lvl>
  </w:abstractNum>
  <w:abstractNum w:abstractNumId="38" w15:restartNumberingAfterBreak="0">
    <w:nsid w:val="7EF54FC0"/>
    <w:multiLevelType w:val="hybridMultilevel"/>
    <w:tmpl w:val="981A9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28"/>
  </w:num>
  <w:num w:numId="4">
    <w:abstractNumId w:val="21"/>
  </w:num>
  <w:num w:numId="5">
    <w:abstractNumId w:val="22"/>
  </w:num>
  <w:num w:numId="6">
    <w:abstractNumId w:val="16"/>
  </w:num>
  <w:num w:numId="7">
    <w:abstractNumId w:val="12"/>
  </w:num>
  <w:num w:numId="8">
    <w:abstractNumId w:val="20"/>
  </w:num>
  <w:num w:numId="9">
    <w:abstractNumId w:val="27"/>
  </w:num>
  <w:num w:numId="10">
    <w:abstractNumId w:val="29"/>
  </w:num>
  <w:num w:numId="11">
    <w:abstractNumId w:val="3"/>
  </w:num>
  <w:num w:numId="12">
    <w:abstractNumId w:val="24"/>
  </w:num>
  <w:num w:numId="13">
    <w:abstractNumId w:val="30"/>
  </w:num>
  <w:num w:numId="14">
    <w:abstractNumId w:val="0"/>
  </w:num>
  <w:num w:numId="15">
    <w:abstractNumId w:val="7"/>
  </w:num>
  <w:num w:numId="16">
    <w:abstractNumId w:val="32"/>
  </w:num>
  <w:num w:numId="17">
    <w:abstractNumId w:val="35"/>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4"/>
  </w:num>
  <w:num w:numId="20">
    <w:abstractNumId w:val="5"/>
  </w:num>
  <w:num w:numId="21">
    <w:abstractNumId w:val="1"/>
  </w:num>
  <w:num w:numId="22">
    <w:abstractNumId w:val="33"/>
  </w:num>
  <w:num w:numId="23">
    <w:abstractNumId w:val="1"/>
  </w:num>
  <w:num w:numId="24">
    <w:abstractNumId w:val="10"/>
  </w:num>
  <w:num w:numId="25">
    <w:abstractNumId w:val="13"/>
  </w:num>
  <w:num w:numId="26">
    <w:abstractNumId w:val="23"/>
  </w:num>
  <w:num w:numId="27">
    <w:abstractNumId w:val="9"/>
  </w:num>
  <w:num w:numId="28">
    <w:abstractNumId w:val="6"/>
  </w:num>
  <w:num w:numId="29">
    <w:abstractNumId w:val="37"/>
  </w:num>
  <w:num w:numId="30">
    <w:abstractNumId w:val="26"/>
  </w:num>
  <w:num w:numId="31">
    <w:abstractNumId w:val="8"/>
  </w:num>
  <w:num w:numId="32">
    <w:abstractNumId w:val="17"/>
  </w:num>
  <w:num w:numId="33">
    <w:abstractNumId w:val="36"/>
  </w:num>
  <w:num w:numId="34">
    <w:abstractNumId w:val="19"/>
  </w:num>
  <w:num w:numId="35">
    <w:abstractNumId w:val="38"/>
  </w:num>
  <w:num w:numId="36">
    <w:abstractNumId w:val="4"/>
  </w:num>
  <w:num w:numId="37">
    <w:abstractNumId w:val="15"/>
  </w:num>
  <w:num w:numId="38">
    <w:abstractNumId w:val="34"/>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111"/>
    <w:rsid w:val="00004652"/>
    <w:rsid w:val="00004B9B"/>
    <w:rsid w:val="000116FE"/>
    <w:rsid w:val="00016321"/>
    <w:rsid w:val="000170EC"/>
    <w:rsid w:val="000307A5"/>
    <w:rsid w:val="00034690"/>
    <w:rsid w:val="00034B2F"/>
    <w:rsid w:val="00044845"/>
    <w:rsid w:val="00054C75"/>
    <w:rsid w:val="000579B6"/>
    <w:rsid w:val="00062147"/>
    <w:rsid w:val="00062300"/>
    <w:rsid w:val="00064AD2"/>
    <w:rsid w:val="0006741F"/>
    <w:rsid w:val="00086AFB"/>
    <w:rsid w:val="00091380"/>
    <w:rsid w:val="00092814"/>
    <w:rsid w:val="00095419"/>
    <w:rsid w:val="000967FA"/>
    <w:rsid w:val="000A4BE5"/>
    <w:rsid w:val="000C063D"/>
    <w:rsid w:val="000C22E9"/>
    <w:rsid w:val="000C6422"/>
    <w:rsid w:val="000D3043"/>
    <w:rsid w:val="000D6AE8"/>
    <w:rsid w:val="000E1131"/>
    <w:rsid w:val="000E16CA"/>
    <w:rsid w:val="000F65E3"/>
    <w:rsid w:val="00106835"/>
    <w:rsid w:val="001121F8"/>
    <w:rsid w:val="00123E25"/>
    <w:rsid w:val="001272A5"/>
    <w:rsid w:val="0013373E"/>
    <w:rsid w:val="00133830"/>
    <w:rsid w:val="0013539B"/>
    <w:rsid w:val="00140301"/>
    <w:rsid w:val="00141026"/>
    <w:rsid w:val="001414FF"/>
    <w:rsid w:val="00143C52"/>
    <w:rsid w:val="001446C3"/>
    <w:rsid w:val="001517F9"/>
    <w:rsid w:val="001608F3"/>
    <w:rsid w:val="00181B2D"/>
    <w:rsid w:val="001829F3"/>
    <w:rsid w:val="00184144"/>
    <w:rsid w:val="0019505A"/>
    <w:rsid w:val="001B3138"/>
    <w:rsid w:val="001C0569"/>
    <w:rsid w:val="001D6364"/>
    <w:rsid w:val="001F1392"/>
    <w:rsid w:val="001F29C1"/>
    <w:rsid w:val="001F3CF4"/>
    <w:rsid w:val="001F46EB"/>
    <w:rsid w:val="00202A11"/>
    <w:rsid w:val="00203FF7"/>
    <w:rsid w:val="002046F5"/>
    <w:rsid w:val="00204F2A"/>
    <w:rsid w:val="0020650E"/>
    <w:rsid w:val="00212A2A"/>
    <w:rsid w:val="00215782"/>
    <w:rsid w:val="0023129C"/>
    <w:rsid w:val="002320F4"/>
    <w:rsid w:val="00237D69"/>
    <w:rsid w:val="0025250D"/>
    <w:rsid w:val="00261273"/>
    <w:rsid w:val="002917C1"/>
    <w:rsid w:val="002A1316"/>
    <w:rsid w:val="002A3022"/>
    <w:rsid w:val="002A44FE"/>
    <w:rsid w:val="002C667A"/>
    <w:rsid w:val="002D70E6"/>
    <w:rsid w:val="002E3514"/>
    <w:rsid w:val="002F6E86"/>
    <w:rsid w:val="002F6FF9"/>
    <w:rsid w:val="00301040"/>
    <w:rsid w:val="00304CEC"/>
    <w:rsid w:val="00313249"/>
    <w:rsid w:val="00314753"/>
    <w:rsid w:val="003148E8"/>
    <w:rsid w:val="00315367"/>
    <w:rsid w:val="00316138"/>
    <w:rsid w:val="0031773F"/>
    <w:rsid w:val="00325660"/>
    <w:rsid w:val="003302BD"/>
    <w:rsid w:val="003309A9"/>
    <w:rsid w:val="00330C06"/>
    <w:rsid w:val="003325E9"/>
    <w:rsid w:val="00333FC0"/>
    <w:rsid w:val="003347DB"/>
    <w:rsid w:val="00335F14"/>
    <w:rsid w:val="003415C3"/>
    <w:rsid w:val="0034544B"/>
    <w:rsid w:val="0035609F"/>
    <w:rsid w:val="00357190"/>
    <w:rsid w:val="00357F45"/>
    <w:rsid w:val="00361024"/>
    <w:rsid w:val="003646BB"/>
    <w:rsid w:val="0039600A"/>
    <w:rsid w:val="00397B7A"/>
    <w:rsid w:val="003B12DE"/>
    <w:rsid w:val="003B187A"/>
    <w:rsid w:val="003B1FFB"/>
    <w:rsid w:val="003E36C8"/>
    <w:rsid w:val="0040093D"/>
    <w:rsid w:val="0040337C"/>
    <w:rsid w:val="00404F31"/>
    <w:rsid w:val="00415E52"/>
    <w:rsid w:val="00416729"/>
    <w:rsid w:val="00417F1D"/>
    <w:rsid w:val="004210D6"/>
    <w:rsid w:val="00423F48"/>
    <w:rsid w:val="00430891"/>
    <w:rsid w:val="00434970"/>
    <w:rsid w:val="00435DAC"/>
    <w:rsid w:val="0044022E"/>
    <w:rsid w:val="00445F66"/>
    <w:rsid w:val="00446244"/>
    <w:rsid w:val="00447CB6"/>
    <w:rsid w:val="004516AB"/>
    <w:rsid w:val="00452842"/>
    <w:rsid w:val="00452D24"/>
    <w:rsid w:val="0045507D"/>
    <w:rsid w:val="00457CB3"/>
    <w:rsid w:val="00466BC0"/>
    <w:rsid w:val="004707DD"/>
    <w:rsid w:val="0047499B"/>
    <w:rsid w:val="00475669"/>
    <w:rsid w:val="004829CD"/>
    <w:rsid w:val="0048680B"/>
    <w:rsid w:val="00486AB5"/>
    <w:rsid w:val="0049092A"/>
    <w:rsid w:val="00490996"/>
    <w:rsid w:val="00491B96"/>
    <w:rsid w:val="004953BB"/>
    <w:rsid w:val="0049733D"/>
    <w:rsid w:val="004A0C47"/>
    <w:rsid w:val="004A166E"/>
    <w:rsid w:val="004A4292"/>
    <w:rsid w:val="004A79C5"/>
    <w:rsid w:val="004B2A5F"/>
    <w:rsid w:val="004B51B6"/>
    <w:rsid w:val="004C6342"/>
    <w:rsid w:val="004D4855"/>
    <w:rsid w:val="004E0230"/>
    <w:rsid w:val="004E2BB9"/>
    <w:rsid w:val="004E3B7D"/>
    <w:rsid w:val="004F59C0"/>
    <w:rsid w:val="005031EE"/>
    <w:rsid w:val="005052BD"/>
    <w:rsid w:val="00507245"/>
    <w:rsid w:val="00510167"/>
    <w:rsid w:val="00514368"/>
    <w:rsid w:val="00516139"/>
    <w:rsid w:val="00517836"/>
    <w:rsid w:val="005271F8"/>
    <w:rsid w:val="0053498D"/>
    <w:rsid w:val="00541D93"/>
    <w:rsid w:val="00543522"/>
    <w:rsid w:val="00546B35"/>
    <w:rsid w:val="005534E5"/>
    <w:rsid w:val="0055787C"/>
    <w:rsid w:val="00562444"/>
    <w:rsid w:val="0056340D"/>
    <w:rsid w:val="00564F05"/>
    <w:rsid w:val="00565BE3"/>
    <w:rsid w:val="00597B3B"/>
    <w:rsid w:val="005A10B9"/>
    <w:rsid w:val="005A16AC"/>
    <w:rsid w:val="005A259E"/>
    <w:rsid w:val="005B1B71"/>
    <w:rsid w:val="005B54B0"/>
    <w:rsid w:val="005B78E2"/>
    <w:rsid w:val="005C1A6E"/>
    <w:rsid w:val="005C3094"/>
    <w:rsid w:val="005D3B6A"/>
    <w:rsid w:val="005E15E0"/>
    <w:rsid w:val="005E1AD3"/>
    <w:rsid w:val="005E2733"/>
    <w:rsid w:val="00603DAF"/>
    <w:rsid w:val="00606E9C"/>
    <w:rsid w:val="00620737"/>
    <w:rsid w:val="00624E04"/>
    <w:rsid w:val="00626152"/>
    <w:rsid w:val="00626EC0"/>
    <w:rsid w:val="00630368"/>
    <w:rsid w:val="00634598"/>
    <w:rsid w:val="00637C40"/>
    <w:rsid w:val="0064771B"/>
    <w:rsid w:val="00650CEA"/>
    <w:rsid w:val="0065464C"/>
    <w:rsid w:val="00654938"/>
    <w:rsid w:val="00662F95"/>
    <w:rsid w:val="00671779"/>
    <w:rsid w:val="00676A9F"/>
    <w:rsid w:val="006826C3"/>
    <w:rsid w:val="00690138"/>
    <w:rsid w:val="006A5E72"/>
    <w:rsid w:val="006B3190"/>
    <w:rsid w:val="006B37DD"/>
    <w:rsid w:val="006B5321"/>
    <w:rsid w:val="006C0B77"/>
    <w:rsid w:val="006C21A8"/>
    <w:rsid w:val="006D33C9"/>
    <w:rsid w:val="006D3A59"/>
    <w:rsid w:val="006F6923"/>
    <w:rsid w:val="00706B68"/>
    <w:rsid w:val="00710883"/>
    <w:rsid w:val="00714ADE"/>
    <w:rsid w:val="00715743"/>
    <w:rsid w:val="0072059F"/>
    <w:rsid w:val="0072525D"/>
    <w:rsid w:val="00725677"/>
    <w:rsid w:val="00730265"/>
    <w:rsid w:val="007306B9"/>
    <w:rsid w:val="007316C8"/>
    <w:rsid w:val="0073239B"/>
    <w:rsid w:val="007439A9"/>
    <w:rsid w:val="00752292"/>
    <w:rsid w:val="00756AE3"/>
    <w:rsid w:val="007574AB"/>
    <w:rsid w:val="00761440"/>
    <w:rsid w:val="00762935"/>
    <w:rsid w:val="007639E1"/>
    <w:rsid w:val="00765694"/>
    <w:rsid w:val="00767ABE"/>
    <w:rsid w:val="00774511"/>
    <w:rsid w:val="00774EEB"/>
    <w:rsid w:val="007767B8"/>
    <w:rsid w:val="007774AA"/>
    <w:rsid w:val="00794B81"/>
    <w:rsid w:val="00795898"/>
    <w:rsid w:val="00795974"/>
    <w:rsid w:val="007B4554"/>
    <w:rsid w:val="007C1D87"/>
    <w:rsid w:val="007C7112"/>
    <w:rsid w:val="007D3FE6"/>
    <w:rsid w:val="007D4369"/>
    <w:rsid w:val="007D4531"/>
    <w:rsid w:val="007E119E"/>
    <w:rsid w:val="007E4D59"/>
    <w:rsid w:val="007E6E00"/>
    <w:rsid w:val="007F1389"/>
    <w:rsid w:val="007F2DC8"/>
    <w:rsid w:val="007F344C"/>
    <w:rsid w:val="0081696D"/>
    <w:rsid w:val="00816E1A"/>
    <w:rsid w:val="00845164"/>
    <w:rsid w:val="00852E8D"/>
    <w:rsid w:val="00862896"/>
    <w:rsid w:val="008758B4"/>
    <w:rsid w:val="00882CCA"/>
    <w:rsid w:val="00883044"/>
    <w:rsid w:val="008869A6"/>
    <w:rsid w:val="00887B2F"/>
    <w:rsid w:val="00894EFF"/>
    <w:rsid w:val="008C356D"/>
    <w:rsid w:val="008C3A60"/>
    <w:rsid w:val="008C59AA"/>
    <w:rsid w:val="008C63B8"/>
    <w:rsid w:val="008C769E"/>
    <w:rsid w:val="008F57B7"/>
    <w:rsid w:val="00900FC2"/>
    <w:rsid w:val="00903A18"/>
    <w:rsid w:val="00916F2F"/>
    <w:rsid w:val="0092196B"/>
    <w:rsid w:val="00922D42"/>
    <w:rsid w:val="0092361A"/>
    <w:rsid w:val="009249B4"/>
    <w:rsid w:val="009260BA"/>
    <w:rsid w:val="0094309E"/>
    <w:rsid w:val="00954E3A"/>
    <w:rsid w:val="0095529D"/>
    <w:rsid w:val="00957780"/>
    <w:rsid w:val="00960D65"/>
    <w:rsid w:val="00972A11"/>
    <w:rsid w:val="00975F99"/>
    <w:rsid w:val="00980638"/>
    <w:rsid w:val="00983760"/>
    <w:rsid w:val="00984FA6"/>
    <w:rsid w:val="0098632A"/>
    <w:rsid w:val="009874D3"/>
    <w:rsid w:val="00991FAA"/>
    <w:rsid w:val="009A4034"/>
    <w:rsid w:val="009B20EB"/>
    <w:rsid w:val="009B4173"/>
    <w:rsid w:val="009B4363"/>
    <w:rsid w:val="009C702B"/>
    <w:rsid w:val="009D2650"/>
    <w:rsid w:val="009E5374"/>
    <w:rsid w:val="009F5686"/>
    <w:rsid w:val="00A03EE6"/>
    <w:rsid w:val="00A11581"/>
    <w:rsid w:val="00A202AF"/>
    <w:rsid w:val="00A36D76"/>
    <w:rsid w:val="00A47FB7"/>
    <w:rsid w:val="00A656D0"/>
    <w:rsid w:val="00A71C77"/>
    <w:rsid w:val="00A7294B"/>
    <w:rsid w:val="00A82C39"/>
    <w:rsid w:val="00A92C59"/>
    <w:rsid w:val="00A9546B"/>
    <w:rsid w:val="00A95BE1"/>
    <w:rsid w:val="00AA1DC0"/>
    <w:rsid w:val="00AA2EF6"/>
    <w:rsid w:val="00AA6691"/>
    <w:rsid w:val="00AA6F48"/>
    <w:rsid w:val="00AC14AF"/>
    <w:rsid w:val="00AC44B5"/>
    <w:rsid w:val="00AD07DB"/>
    <w:rsid w:val="00AE1D53"/>
    <w:rsid w:val="00AE1ED1"/>
    <w:rsid w:val="00AE32E1"/>
    <w:rsid w:val="00AE3D15"/>
    <w:rsid w:val="00AE6149"/>
    <w:rsid w:val="00AE74CF"/>
    <w:rsid w:val="00AF306D"/>
    <w:rsid w:val="00AF6E79"/>
    <w:rsid w:val="00B0541E"/>
    <w:rsid w:val="00B06FE8"/>
    <w:rsid w:val="00B10C19"/>
    <w:rsid w:val="00B12077"/>
    <w:rsid w:val="00B161B2"/>
    <w:rsid w:val="00B26FA6"/>
    <w:rsid w:val="00B30CA0"/>
    <w:rsid w:val="00B33193"/>
    <w:rsid w:val="00B35D49"/>
    <w:rsid w:val="00B40C4E"/>
    <w:rsid w:val="00B42DF1"/>
    <w:rsid w:val="00B45A50"/>
    <w:rsid w:val="00B52247"/>
    <w:rsid w:val="00B53627"/>
    <w:rsid w:val="00B55ADC"/>
    <w:rsid w:val="00B6234E"/>
    <w:rsid w:val="00B7403B"/>
    <w:rsid w:val="00B777FD"/>
    <w:rsid w:val="00B808A8"/>
    <w:rsid w:val="00B82381"/>
    <w:rsid w:val="00B850F8"/>
    <w:rsid w:val="00B947CF"/>
    <w:rsid w:val="00B97892"/>
    <w:rsid w:val="00BB5939"/>
    <w:rsid w:val="00BC0C40"/>
    <w:rsid w:val="00BC41E3"/>
    <w:rsid w:val="00BD11C1"/>
    <w:rsid w:val="00BE0426"/>
    <w:rsid w:val="00BE33B7"/>
    <w:rsid w:val="00BE355D"/>
    <w:rsid w:val="00BE3CD3"/>
    <w:rsid w:val="00C04FA0"/>
    <w:rsid w:val="00C051DB"/>
    <w:rsid w:val="00C20E7F"/>
    <w:rsid w:val="00C241F8"/>
    <w:rsid w:val="00C26B71"/>
    <w:rsid w:val="00C330F3"/>
    <w:rsid w:val="00C4188A"/>
    <w:rsid w:val="00C50AB8"/>
    <w:rsid w:val="00C53098"/>
    <w:rsid w:val="00C61461"/>
    <w:rsid w:val="00C61C8E"/>
    <w:rsid w:val="00C6544D"/>
    <w:rsid w:val="00C72966"/>
    <w:rsid w:val="00C751B7"/>
    <w:rsid w:val="00C90162"/>
    <w:rsid w:val="00C9066D"/>
    <w:rsid w:val="00C94A48"/>
    <w:rsid w:val="00CA39BF"/>
    <w:rsid w:val="00CA572C"/>
    <w:rsid w:val="00CB4A18"/>
    <w:rsid w:val="00CB7CFA"/>
    <w:rsid w:val="00CC53AA"/>
    <w:rsid w:val="00CC7B1F"/>
    <w:rsid w:val="00CD0699"/>
    <w:rsid w:val="00CE3B76"/>
    <w:rsid w:val="00CE41F5"/>
    <w:rsid w:val="00CF008B"/>
    <w:rsid w:val="00CF2503"/>
    <w:rsid w:val="00CF3750"/>
    <w:rsid w:val="00CF57F9"/>
    <w:rsid w:val="00CF7451"/>
    <w:rsid w:val="00D007E3"/>
    <w:rsid w:val="00D21513"/>
    <w:rsid w:val="00D31B09"/>
    <w:rsid w:val="00D506C4"/>
    <w:rsid w:val="00D52ADA"/>
    <w:rsid w:val="00D65AF6"/>
    <w:rsid w:val="00D65C76"/>
    <w:rsid w:val="00D83A8A"/>
    <w:rsid w:val="00D85A76"/>
    <w:rsid w:val="00D85F41"/>
    <w:rsid w:val="00D86239"/>
    <w:rsid w:val="00D87BB5"/>
    <w:rsid w:val="00D924B0"/>
    <w:rsid w:val="00D952D1"/>
    <w:rsid w:val="00DA1C46"/>
    <w:rsid w:val="00DA2578"/>
    <w:rsid w:val="00DA4256"/>
    <w:rsid w:val="00DA5F77"/>
    <w:rsid w:val="00DB6610"/>
    <w:rsid w:val="00DC071A"/>
    <w:rsid w:val="00DC5FD8"/>
    <w:rsid w:val="00DD240B"/>
    <w:rsid w:val="00DD5700"/>
    <w:rsid w:val="00DE0014"/>
    <w:rsid w:val="00DF407B"/>
    <w:rsid w:val="00E077F0"/>
    <w:rsid w:val="00E11DE6"/>
    <w:rsid w:val="00E136A0"/>
    <w:rsid w:val="00E17D46"/>
    <w:rsid w:val="00E22EB6"/>
    <w:rsid w:val="00E2462E"/>
    <w:rsid w:val="00E30ACC"/>
    <w:rsid w:val="00E33CB7"/>
    <w:rsid w:val="00E431C2"/>
    <w:rsid w:val="00E43C00"/>
    <w:rsid w:val="00E60704"/>
    <w:rsid w:val="00E64C85"/>
    <w:rsid w:val="00E661E5"/>
    <w:rsid w:val="00E66B4B"/>
    <w:rsid w:val="00E8262E"/>
    <w:rsid w:val="00E90A65"/>
    <w:rsid w:val="00EA06A7"/>
    <w:rsid w:val="00EA2736"/>
    <w:rsid w:val="00EC15C1"/>
    <w:rsid w:val="00EC61F1"/>
    <w:rsid w:val="00ED1944"/>
    <w:rsid w:val="00EE3385"/>
    <w:rsid w:val="00EE6924"/>
    <w:rsid w:val="00EF720B"/>
    <w:rsid w:val="00F042D2"/>
    <w:rsid w:val="00F04F9A"/>
    <w:rsid w:val="00F05F13"/>
    <w:rsid w:val="00F05FE6"/>
    <w:rsid w:val="00F11347"/>
    <w:rsid w:val="00F179AD"/>
    <w:rsid w:val="00F248FA"/>
    <w:rsid w:val="00F26AAC"/>
    <w:rsid w:val="00F311A7"/>
    <w:rsid w:val="00F36D97"/>
    <w:rsid w:val="00F45D51"/>
    <w:rsid w:val="00F46AF2"/>
    <w:rsid w:val="00F63392"/>
    <w:rsid w:val="00F723F1"/>
    <w:rsid w:val="00F73564"/>
    <w:rsid w:val="00F858B9"/>
    <w:rsid w:val="00F915B5"/>
    <w:rsid w:val="00F97193"/>
    <w:rsid w:val="00F97829"/>
    <w:rsid w:val="00FA4114"/>
    <w:rsid w:val="00FA4442"/>
    <w:rsid w:val="00FA6348"/>
    <w:rsid w:val="00FB163F"/>
    <w:rsid w:val="00FB1701"/>
    <w:rsid w:val="00FB2924"/>
    <w:rsid w:val="00FB576B"/>
    <w:rsid w:val="00FC529D"/>
    <w:rsid w:val="00FD00C5"/>
    <w:rsid w:val="00FE0E36"/>
    <w:rsid w:val="00FE7FAA"/>
    <w:rsid w:val="00FF1017"/>
    <w:rsid w:val="00FF4547"/>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C90162"/>
    <w:rPr>
      <w:rFonts w:ascii="Segoe UI" w:hAnsi="Segoe UI" w:cs="Segoe UI"/>
      <w:sz w:val="18"/>
      <w:szCs w:val="18"/>
    </w:rPr>
  </w:style>
  <w:style w:type="character" w:customStyle="1" w:styleId="BalloonTextChar">
    <w:name w:val="Balloon Text Char"/>
    <w:basedOn w:val="DefaultParagraphFont"/>
    <w:link w:val="BalloonText"/>
    <w:semiHidden/>
    <w:rsid w:val="00C90162"/>
    <w:rPr>
      <w:rFonts w:ascii="Segoe UI" w:hAnsi="Segoe UI" w:cs="Segoe UI"/>
      <w:sz w:val="18"/>
      <w:szCs w:val="18"/>
    </w:rPr>
  </w:style>
  <w:style w:type="paragraph" w:customStyle="1" w:styleId="Style3">
    <w:name w:val="Style3"/>
    <w:basedOn w:val="ListContinue"/>
    <w:link w:val="Style3Char"/>
    <w:qFormat/>
    <w:rsid w:val="00603DAF"/>
    <w:pPr>
      <w:numPr>
        <w:ilvl w:val="1"/>
        <w:numId w:val="27"/>
      </w:numPr>
      <w:tabs>
        <w:tab w:val="left" w:pos="720"/>
      </w:tabs>
    </w:pPr>
    <w:rPr>
      <w:szCs w:val="22"/>
    </w:rPr>
  </w:style>
  <w:style w:type="paragraph" w:customStyle="1" w:styleId="Style4">
    <w:name w:val="Style4"/>
    <w:basedOn w:val="ListContinue"/>
    <w:qFormat/>
    <w:rsid w:val="00603DAF"/>
    <w:pPr>
      <w:numPr>
        <w:ilvl w:val="2"/>
        <w:numId w:val="27"/>
      </w:numPr>
    </w:pPr>
  </w:style>
  <w:style w:type="character" w:customStyle="1" w:styleId="Style3Char">
    <w:name w:val="Style3 Char"/>
    <w:basedOn w:val="DefaultParagraphFont"/>
    <w:link w:val="Style3"/>
    <w:rsid w:val="00603DAF"/>
    <w:rPr>
      <w:sz w:val="22"/>
      <w:szCs w:val="22"/>
    </w:rPr>
  </w:style>
  <w:style w:type="paragraph" w:styleId="ListParagraph">
    <w:name w:val="List Paragraph"/>
    <w:basedOn w:val="Normal"/>
    <w:uiPriority w:val="34"/>
    <w:qFormat/>
    <w:rsid w:val="0049092A"/>
    <w:pPr>
      <w:ind w:left="720"/>
      <w:contextualSpacing/>
    </w:pPr>
  </w:style>
  <w:style w:type="character" w:customStyle="1" w:styleId="e24kjd">
    <w:name w:val="e24kjd"/>
    <w:basedOn w:val="DefaultParagraphFont"/>
    <w:rsid w:val="00086AFB"/>
  </w:style>
  <w:style w:type="paragraph" w:styleId="NormalWeb">
    <w:name w:val="Normal (Web)"/>
    <w:basedOn w:val="Normal"/>
    <w:uiPriority w:val="99"/>
    <w:semiHidden/>
    <w:unhideWhenUsed/>
    <w:rsid w:val="00086AFB"/>
    <w:pPr>
      <w:spacing w:before="100" w:beforeAutospacing="1" w:after="100" w:afterAutospacing="1"/>
    </w:pPr>
  </w:style>
  <w:style w:type="character" w:styleId="CommentReference">
    <w:name w:val="annotation reference"/>
    <w:basedOn w:val="DefaultParagraphFont"/>
    <w:semiHidden/>
    <w:unhideWhenUsed/>
    <w:rsid w:val="006A5E72"/>
    <w:rPr>
      <w:sz w:val="16"/>
      <w:szCs w:val="16"/>
    </w:rPr>
  </w:style>
  <w:style w:type="paragraph" w:styleId="CommentText">
    <w:name w:val="annotation text"/>
    <w:basedOn w:val="Normal"/>
    <w:link w:val="CommentTextChar"/>
    <w:semiHidden/>
    <w:unhideWhenUsed/>
    <w:rsid w:val="006A5E72"/>
    <w:rPr>
      <w:sz w:val="20"/>
      <w:szCs w:val="20"/>
    </w:rPr>
  </w:style>
  <w:style w:type="character" w:customStyle="1" w:styleId="CommentTextChar">
    <w:name w:val="Comment Text Char"/>
    <w:basedOn w:val="DefaultParagraphFont"/>
    <w:link w:val="CommentText"/>
    <w:semiHidden/>
    <w:rsid w:val="006A5E72"/>
  </w:style>
  <w:style w:type="paragraph" w:styleId="CommentSubject">
    <w:name w:val="annotation subject"/>
    <w:basedOn w:val="CommentText"/>
    <w:next w:val="CommentText"/>
    <w:link w:val="CommentSubjectChar"/>
    <w:semiHidden/>
    <w:unhideWhenUsed/>
    <w:rsid w:val="006A5E72"/>
    <w:rPr>
      <w:b/>
      <w:bCs/>
    </w:rPr>
  </w:style>
  <w:style w:type="character" w:customStyle="1" w:styleId="CommentSubjectChar">
    <w:name w:val="Comment Subject Char"/>
    <w:basedOn w:val="CommentTextChar"/>
    <w:link w:val="CommentSubject"/>
    <w:semiHidden/>
    <w:rsid w:val="006A5E72"/>
    <w:rPr>
      <w:b/>
      <w:bCs/>
    </w:rPr>
  </w:style>
  <w:style w:type="character" w:customStyle="1" w:styleId="Heading2Char">
    <w:name w:val="Heading 2 Char"/>
    <w:basedOn w:val="DefaultParagraphFont"/>
    <w:link w:val="Heading2"/>
    <w:rsid w:val="00F971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88937">
      <w:bodyDiv w:val="1"/>
      <w:marLeft w:val="0"/>
      <w:marRight w:val="0"/>
      <w:marTop w:val="0"/>
      <w:marBottom w:val="0"/>
      <w:divBdr>
        <w:top w:val="none" w:sz="0" w:space="0" w:color="auto"/>
        <w:left w:val="none" w:sz="0" w:space="0" w:color="auto"/>
        <w:bottom w:val="none" w:sz="0" w:space="0" w:color="auto"/>
        <w:right w:val="none" w:sz="0" w:space="0" w:color="auto"/>
      </w:divBdr>
    </w:div>
    <w:div w:id="7749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9C8C-BD38-49F1-845B-1CCE13F8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5</Pages>
  <Words>2636</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35</cp:revision>
  <cp:lastPrinted>2021-02-26T13:44:00Z</cp:lastPrinted>
  <dcterms:created xsi:type="dcterms:W3CDTF">2020-04-15T19:15:00Z</dcterms:created>
  <dcterms:modified xsi:type="dcterms:W3CDTF">2021-03-15T19:22:00Z</dcterms:modified>
</cp:coreProperties>
</file>