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617B9127" w14:textId="0EF34BBD" w:rsidR="00D51DBD" w:rsidRPr="00110ACD" w:rsidRDefault="002A1316" w:rsidP="00D51DBD">
      <w:pPr>
        <w:pStyle w:val="Heading2"/>
        <w:rPr>
          <w:bCs/>
          <w:i/>
          <w:iCs/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D51DBD" w:rsidRPr="00110ACD">
        <w:rPr>
          <w:bCs/>
          <w:i/>
          <w:iCs/>
          <w:sz w:val="22"/>
          <w:szCs w:val="22"/>
        </w:rPr>
        <w:t>ASU 20</w:t>
      </w:r>
      <w:r w:rsidR="00D51DBD">
        <w:rPr>
          <w:bCs/>
          <w:i/>
          <w:iCs/>
          <w:sz w:val="22"/>
          <w:szCs w:val="22"/>
        </w:rPr>
        <w:t>20-11</w:t>
      </w:r>
      <w:r w:rsidR="00D51DBD" w:rsidRPr="00110ACD">
        <w:rPr>
          <w:bCs/>
          <w:i/>
          <w:iCs/>
          <w:sz w:val="22"/>
          <w:szCs w:val="22"/>
        </w:rPr>
        <w:t>, Financial Services</w:t>
      </w:r>
      <w:r w:rsidR="00D51DBD">
        <w:rPr>
          <w:bCs/>
          <w:i/>
          <w:iCs/>
          <w:sz w:val="22"/>
          <w:szCs w:val="22"/>
        </w:rPr>
        <w:t>—</w:t>
      </w:r>
      <w:r w:rsidR="00D51DBD" w:rsidRPr="00110ACD">
        <w:rPr>
          <w:bCs/>
          <w:i/>
          <w:iCs/>
          <w:sz w:val="22"/>
          <w:szCs w:val="22"/>
        </w:rPr>
        <w:t>Insurance</w:t>
      </w:r>
      <w:r w:rsidR="00D51DBD">
        <w:rPr>
          <w:bCs/>
          <w:i/>
          <w:iCs/>
          <w:sz w:val="22"/>
          <w:szCs w:val="22"/>
        </w:rPr>
        <w:t>:</w:t>
      </w:r>
      <w:r w:rsidR="00D51DBD" w:rsidRPr="00110ACD">
        <w:rPr>
          <w:bCs/>
          <w:i/>
          <w:iCs/>
          <w:sz w:val="22"/>
          <w:szCs w:val="22"/>
        </w:rPr>
        <w:t xml:space="preserve"> Effective Date</w:t>
      </w:r>
      <w:r w:rsidR="00D51DBD">
        <w:rPr>
          <w:bCs/>
          <w:i/>
          <w:iCs/>
          <w:sz w:val="22"/>
          <w:szCs w:val="22"/>
        </w:rPr>
        <w:t xml:space="preserve"> and Early Application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D15463">
        <w:rPr>
          <w:sz w:val="22"/>
          <w:szCs w:val="22"/>
        </w:rPr>
      </w:r>
      <w:r w:rsidR="00D15463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62B753F2" w14:textId="3E1B09EA" w:rsidR="00E64248" w:rsidRDefault="002A1316" w:rsidP="00E64248">
      <w:pPr>
        <w:pStyle w:val="BodyText2"/>
        <w:rPr>
          <w:b w:val="0"/>
          <w:bCs w:val="0"/>
          <w:szCs w:val="22"/>
        </w:rPr>
      </w:pPr>
      <w:r w:rsidRPr="00016321">
        <w:rPr>
          <w:bCs w:val="0"/>
          <w:szCs w:val="22"/>
        </w:rPr>
        <w:t>Description of Issue:</w:t>
      </w:r>
      <w:r w:rsidR="00E64248">
        <w:rPr>
          <w:bCs w:val="0"/>
          <w:szCs w:val="22"/>
        </w:rPr>
        <w:t xml:space="preserve"> </w:t>
      </w:r>
      <w:bookmarkStart w:id="1" w:name="_Hlk64458542"/>
      <w:r w:rsidR="00E64248">
        <w:rPr>
          <w:b w:val="0"/>
          <w:bCs w:val="0"/>
          <w:szCs w:val="22"/>
        </w:rPr>
        <w:t xml:space="preserve">FASB </w:t>
      </w:r>
      <w:r w:rsidR="00E64248" w:rsidRPr="00B575EF">
        <w:rPr>
          <w:b w:val="0"/>
          <w:bCs w:val="0"/>
          <w:szCs w:val="22"/>
        </w:rPr>
        <w:t>issued</w:t>
      </w:r>
      <w:r w:rsidR="00E64248">
        <w:rPr>
          <w:b w:val="0"/>
          <w:bCs w:val="0"/>
          <w:szCs w:val="22"/>
        </w:rPr>
        <w:t xml:space="preserve"> </w:t>
      </w:r>
      <w:r w:rsidR="00E64248" w:rsidRPr="00E64248">
        <w:rPr>
          <w:b w:val="0"/>
          <w:bCs w:val="0"/>
          <w:i/>
          <w:iCs/>
          <w:szCs w:val="22"/>
        </w:rPr>
        <w:t>ASU 2020-11, Financial Services—Insurance: Effective Date and Early Application</w:t>
      </w:r>
      <w:r w:rsidR="00E64248">
        <w:rPr>
          <w:b w:val="0"/>
          <w:bCs w:val="0"/>
          <w:szCs w:val="22"/>
        </w:rPr>
        <w:t xml:space="preserve">, which </w:t>
      </w:r>
      <w:r w:rsidR="003F04B9">
        <w:rPr>
          <w:b w:val="0"/>
          <w:bCs w:val="0"/>
          <w:szCs w:val="22"/>
        </w:rPr>
        <w:t>updates</w:t>
      </w:r>
      <w:r w:rsidR="0002637A">
        <w:rPr>
          <w:b w:val="0"/>
          <w:bCs w:val="0"/>
          <w:szCs w:val="22"/>
        </w:rPr>
        <w:t xml:space="preserve"> guidance on</w:t>
      </w:r>
      <w:r w:rsidR="00E64248" w:rsidRPr="00E64248">
        <w:rPr>
          <w:b w:val="0"/>
          <w:bCs w:val="0"/>
          <w:szCs w:val="22"/>
        </w:rPr>
        <w:t xml:space="preserve"> the effective date of the amendments in</w:t>
      </w:r>
      <w:r w:rsidR="00E64248">
        <w:rPr>
          <w:b w:val="0"/>
          <w:bCs w:val="0"/>
          <w:szCs w:val="22"/>
        </w:rPr>
        <w:t xml:space="preserve"> </w:t>
      </w:r>
      <w:r w:rsidR="00E64248" w:rsidRPr="00E64248">
        <w:rPr>
          <w:b w:val="0"/>
          <w:bCs w:val="0"/>
          <w:i/>
          <w:iCs/>
          <w:szCs w:val="22"/>
        </w:rPr>
        <w:t>ASU 2019-09, Financial Services –</w:t>
      </w:r>
      <w:r w:rsidR="00E64248" w:rsidRPr="00E64248">
        <w:rPr>
          <w:b w:val="0"/>
          <w:bCs w:val="0"/>
          <w:szCs w:val="22"/>
        </w:rPr>
        <w:t xml:space="preserve"> </w:t>
      </w:r>
      <w:r w:rsidR="00E64248" w:rsidRPr="00E64248">
        <w:rPr>
          <w:b w:val="0"/>
          <w:bCs w:val="0"/>
          <w:i/>
          <w:iCs/>
          <w:szCs w:val="22"/>
        </w:rPr>
        <w:t>Insurance</w:t>
      </w:r>
      <w:r w:rsidR="00E64248">
        <w:rPr>
          <w:b w:val="0"/>
          <w:bCs w:val="0"/>
          <w:szCs w:val="22"/>
        </w:rPr>
        <w:t xml:space="preserve"> and</w:t>
      </w:r>
      <w:r w:rsidR="00E64248" w:rsidRPr="00E64248">
        <w:rPr>
          <w:b w:val="0"/>
          <w:bCs w:val="0"/>
          <w:szCs w:val="22"/>
        </w:rPr>
        <w:t xml:space="preserve"> </w:t>
      </w:r>
      <w:r w:rsidR="00E64248" w:rsidRPr="00E64248">
        <w:rPr>
          <w:b w:val="0"/>
          <w:bCs w:val="0"/>
          <w:i/>
          <w:szCs w:val="22"/>
        </w:rPr>
        <w:t>ASU 2018-12, Targeted Improvements to the Accounting</w:t>
      </w:r>
      <w:r w:rsidR="00E64248" w:rsidRPr="00342093">
        <w:rPr>
          <w:b w:val="0"/>
          <w:i/>
          <w:szCs w:val="22"/>
        </w:rPr>
        <w:t xml:space="preserve"> for Long-Duration Contracts</w:t>
      </w:r>
      <w:r w:rsidR="00E64248">
        <w:rPr>
          <w:b w:val="0"/>
          <w:bCs w:val="0"/>
          <w:szCs w:val="22"/>
        </w:rPr>
        <w:t xml:space="preserve"> </w:t>
      </w:r>
      <w:r w:rsidR="003F04B9">
        <w:rPr>
          <w:b w:val="0"/>
          <w:bCs w:val="0"/>
          <w:szCs w:val="22"/>
        </w:rPr>
        <w:t>because of</w:t>
      </w:r>
      <w:r w:rsidR="00E64248">
        <w:rPr>
          <w:b w:val="0"/>
          <w:bCs w:val="0"/>
          <w:szCs w:val="22"/>
        </w:rPr>
        <w:t xml:space="preserve"> COVID-19.</w:t>
      </w:r>
      <w:r w:rsidR="003F04B9">
        <w:rPr>
          <w:b w:val="0"/>
          <w:bCs w:val="0"/>
          <w:szCs w:val="22"/>
        </w:rPr>
        <w:t xml:space="preserve"> </w:t>
      </w:r>
      <w:bookmarkEnd w:id="1"/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5EB5F899" w:rsidR="002A1316" w:rsidRPr="00016321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  <w:r w:rsidR="003F04B9">
        <w:rPr>
          <w:bCs w:val="0"/>
          <w:szCs w:val="22"/>
        </w:rPr>
        <w:t xml:space="preserve"> </w:t>
      </w:r>
      <w:r w:rsidR="003F04B9">
        <w:rPr>
          <w:b w:val="0"/>
          <w:bCs w:val="0"/>
          <w:szCs w:val="22"/>
        </w:rPr>
        <w:t xml:space="preserve">Both ASU </w:t>
      </w:r>
      <w:bookmarkStart w:id="2" w:name="_Hlk64458563"/>
      <w:r w:rsidR="003F04B9">
        <w:rPr>
          <w:b w:val="0"/>
          <w:bCs w:val="0"/>
          <w:szCs w:val="22"/>
        </w:rPr>
        <w:t>2019-09 and 2018-12 were rejected for statutory accounting.</w:t>
      </w:r>
      <w:bookmarkEnd w:id="2"/>
    </w:p>
    <w:p w14:paraId="6F758E25" w14:textId="77777777" w:rsidR="004E2BB9" w:rsidRPr="00016321" w:rsidRDefault="004E2BB9" w:rsidP="00B30CA0">
      <w:pPr>
        <w:pStyle w:val="BodyText2"/>
        <w:rPr>
          <w:b w:val="0"/>
          <w:bCs w:val="0"/>
          <w:szCs w:val="22"/>
        </w:rPr>
      </w:pPr>
    </w:p>
    <w:p w14:paraId="0BDB1F1A" w14:textId="1E1A65A0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2E71FE" w:rsidRPr="00016321">
        <w:rPr>
          <w:b w:val="0"/>
          <w:szCs w:val="22"/>
        </w:rPr>
        <w:t>None.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5A3C76FC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3F04B9">
        <w:rPr>
          <w:b/>
          <w:sz w:val="22"/>
          <w:szCs w:val="22"/>
        </w:rPr>
        <w:t xml:space="preserve"> </w:t>
      </w:r>
      <w:r w:rsidR="003F04B9" w:rsidRPr="003F04B9">
        <w:rPr>
          <w:bCs/>
          <w:sz w:val="22"/>
          <w:szCs w:val="22"/>
        </w:rPr>
        <w:t>None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34CBA3B6" w14:textId="7CEBAAEC" w:rsidR="002A1316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</w:p>
    <w:p w14:paraId="0B4C0725" w14:textId="411042B1" w:rsidR="003F04B9" w:rsidRPr="00016321" w:rsidRDefault="003F04B9" w:rsidP="00B30CA0">
      <w:pPr>
        <w:pStyle w:val="BodyText2"/>
        <w:rPr>
          <w:szCs w:val="22"/>
        </w:rPr>
      </w:pPr>
      <w:r>
        <w:rPr>
          <w:szCs w:val="22"/>
        </w:rPr>
        <w:t>NAIC</w:t>
      </w:r>
      <w:r w:rsidR="00785A22">
        <w:rPr>
          <w:szCs w:val="22"/>
        </w:rPr>
        <w:t xml:space="preserve"> s</w:t>
      </w:r>
      <w:r w:rsidRPr="00016321">
        <w:rPr>
          <w:szCs w:val="22"/>
        </w:rPr>
        <w:t xml:space="preserve">taff recommends the Working Group move this item to the active listing, categorized as </w:t>
      </w:r>
      <w:r w:rsidRPr="00E53B18">
        <w:rPr>
          <w:szCs w:val="22"/>
        </w:rPr>
        <w:t>nonsubstantive and</w:t>
      </w:r>
      <w:r w:rsidRPr="00016321">
        <w:rPr>
          <w:szCs w:val="22"/>
        </w:rPr>
        <w:t xml:space="preserve"> expose revisions to </w:t>
      </w:r>
      <w:r w:rsidRPr="003F04B9">
        <w:rPr>
          <w:i/>
          <w:szCs w:val="22"/>
        </w:rPr>
        <w:t>Appendix D—Nonapplicable GAAP Pronouncements</w:t>
      </w:r>
      <w:r w:rsidRPr="003F04B9">
        <w:rPr>
          <w:szCs w:val="22"/>
        </w:rPr>
        <w:t xml:space="preserve"> to reject </w:t>
      </w:r>
      <w:r w:rsidRPr="003F04B9">
        <w:rPr>
          <w:i/>
          <w:iCs/>
          <w:szCs w:val="22"/>
        </w:rPr>
        <w:t xml:space="preserve">ASU 2020-11, Financial Services—Insurance: Effective Date and Early Application </w:t>
      </w:r>
      <w:r w:rsidRPr="003F04B9">
        <w:rPr>
          <w:szCs w:val="22"/>
        </w:rPr>
        <w:t>as not applicable</w:t>
      </w:r>
      <w:r w:rsidRPr="003F04B9">
        <w:rPr>
          <w:i/>
          <w:iCs/>
          <w:szCs w:val="22"/>
        </w:rPr>
        <w:t xml:space="preserve"> </w:t>
      </w:r>
      <w:r w:rsidRPr="003F04B9">
        <w:rPr>
          <w:szCs w:val="22"/>
        </w:rPr>
        <w:t>for statutory accounting. This ASU was issued to only address</w:t>
      </w:r>
      <w:r w:rsidRPr="00EC375B">
        <w:rPr>
          <w:szCs w:val="22"/>
        </w:rPr>
        <w:t xml:space="preserve"> the effective date</w:t>
      </w:r>
      <w:r>
        <w:rPr>
          <w:szCs w:val="22"/>
        </w:rPr>
        <w:t>s</w:t>
      </w:r>
      <w:r w:rsidRPr="00EC375B">
        <w:rPr>
          <w:szCs w:val="22"/>
        </w:rPr>
        <w:t xml:space="preserve"> of</w:t>
      </w:r>
      <w:r>
        <w:rPr>
          <w:szCs w:val="22"/>
        </w:rPr>
        <w:t xml:space="preserve"> ASU 2019-09 and</w:t>
      </w:r>
      <w:r w:rsidRPr="00EC375B">
        <w:rPr>
          <w:szCs w:val="22"/>
        </w:rPr>
        <w:t xml:space="preserve"> ASU 2018-12, which </w:t>
      </w:r>
      <w:r>
        <w:rPr>
          <w:szCs w:val="22"/>
        </w:rPr>
        <w:t xml:space="preserve">were both </w:t>
      </w:r>
      <w:r w:rsidR="00751F85">
        <w:rPr>
          <w:szCs w:val="22"/>
        </w:rPr>
        <w:t xml:space="preserve">previously </w:t>
      </w:r>
      <w:r w:rsidRPr="00EC375B">
        <w:rPr>
          <w:szCs w:val="22"/>
        </w:rPr>
        <w:t>rejected by</w:t>
      </w:r>
      <w:r>
        <w:rPr>
          <w:szCs w:val="22"/>
        </w:rPr>
        <w:t xml:space="preserve"> the </w:t>
      </w:r>
      <w:r w:rsidRPr="00EC375B">
        <w:rPr>
          <w:szCs w:val="22"/>
        </w:rPr>
        <w:t>Working Group</w:t>
      </w:r>
      <w:r>
        <w:rPr>
          <w:szCs w:val="22"/>
        </w:rPr>
        <w:t>.</w:t>
      </w:r>
    </w:p>
    <w:p w14:paraId="1675B0C9" w14:textId="77777777" w:rsidR="00984FA6" w:rsidRPr="00016321" w:rsidRDefault="00984FA6" w:rsidP="00B30CA0">
      <w:pPr>
        <w:pStyle w:val="BodyText2"/>
        <w:rPr>
          <w:b w:val="0"/>
          <w:bCs w:val="0"/>
          <w:szCs w:val="22"/>
        </w:rPr>
      </w:pPr>
    </w:p>
    <w:p w14:paraId="3C0BC26C" w14:textId="394DA705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Staff Review Completed </w:t>
      </w:r>
      <w:r w:rsidR="0002637A" w:rsidRPr="00016321">
        <w:rPr>
          <w:szCs w:val="22"/>
        </w:rPr>
        <w:t>by</w:t>
      </w:r>
      <w:r w:rsidR="003F04B9">
        <w:rPr>
          <w:szCs w:val="22"/>
        </w:rPr>
        <w:t xml:space="preserve"> Jake Stultz, January 202</w:t>
      </w:r>
      <w:r w:rsidR="00E34688">
        <w:rPr>
          <w:szCs w:val="22"/>
        </w:rPr>
        <w:t>1</w:t>
      </w:r>
    </w:p>
    <w:p w14:paraId="161A5F3A" w14:textId="0CC3E7A0" w:rsidR="00272DE0" w:rsidRDefault="00272DE0" w:rsidP="00B30CA0">
      <w:pPr>
        <w:rPr>
          <w:sz w:val="22"/>
          <w:szCs w:val="22"/>
        </w:rPr>
      </w:pPr>
    </w:p>
    <w:p w14:paraId="52999767" w14:textId="27243062" w:rsidR="00272DE0" w:rsidRPr="00272DE0" w:rsidRDefault="00272DE0" w:rsidP="00B30C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Status:</w:t>
      </w:r>
    </w:p>
    <w:p w14:paraId="3260EA28" w14:textId="5E6EAF7E" w:rsidR="00272DE0" w:rsidRDefault="00272DE0" w:rsidP="00F24F0A">
      <w:pPr>
        <w:jc w:val="both"/>
        <w:rPr>
          <w:sz w:val="22"/>
          <w:szCs w:val="22"/>
        </w:rPr>
      </w:pPr>
      <w:r w:rsidRPr="00272DE0">
        <w:rPr>
          <w:sz w:val="22"/>
          <w:szCs w:val="22"/>
        </w:rPr>
        <w:t xml:space="preserve">On March 15, 2021, the Statutory Accounting Principles (E) Working Group moved this agenda item to the active listing, categorized as nonsubstantive, and exposed revisions to </w:t>
      </w:r>
      <w:r w:rsidRPr="00272DE0">
        <w:rPr>
          <w:i/>
          <w:iCs/>
          <w:sz w:val="22"/>
          <w:szCs w:val="22"/>
        </w:rPr>
        <w:t xml:space="preserve">Appendix D—Nonapplicable GAAP Pronouncements </w:t>
      </w:r>
      <w:r w:rsidRPr="00272DE0">
        <w:rPr>
          <w:sz w:val="22"/>
          <w:szCs w:val="22"/>
        </w:rPr>
        <w:t xml:space="preserve">to reject </w:t>
      </w:r>
      <w:r w:rsidRPr="00272DE0">
        <w:rPr>
          <w:i/>
          <w:iCs/>
          <w:sz w:val="22"/>
          <w:szCs w:val="22"/>
        </w:rPr>
        <w:t>ASU 2020-11, Financial Services – Insurance: Effective Date and Early Application</w:t>
      </w:r>
      <w:r w:rsidRPr="00272DE0">
        <w:rPr>
          <w:sz w:val="22"/>
          <w:szCs w:val="22"/>
        </w:rPr>
        <w:t xml:space="preserve"> as not applicable for statutory accounting. </w:t>
      </w:r>
    </w:p>
    <w:p w14:paraId="574F6E62" w14:textId="77777777" w:rsidR="00272DE0" w:rsidRPr="00272DE0" w:rsidRDefault="00272DE0" w:rsidP="00B30CA0">
      <w:pPr>
        <w:rPr>
          <w:sz w:val="22"/>
          <w:szCs w:val="22"/>
        </w:rPr>
      </w:pPr>
    </w:p>
    <w:p w14:paraId="400005D3" w14:textId="77777777" w:rsidR="006B37DD" w:rsidRDefault="006B37DD" w:rsidP="00B30CA0">
      <w:pPr>
        <w:rPr>
          <w:sz w:val="22"/>
        </w:rPr>
      </w:pPr>
    </w:p>
    <w:p w14:paraId="5BEC363C" w14:textId="4CE590C9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272DE0">
        <w:rPr>
          <w:noProof/>
          <w:sz w:val="16"/>
          <w:szCs w:val="16"/>
        </w:rPr>
        <w:t>G:\FRS\DATA\Stat Acctg\3. National Meetings\A. National Meeting Materials\2021\March 15 (Spring)\NM Exposures\21-07 - ASU 2020-11 Financial Services.docx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EF720B" w:rsidRDefault="00EF720B">
      <w:r>
        <w:separator/>
      </w:r>
    </w:p>
  </w:endnote>
  <w:endnote w:type="continuationSeparator" w:id="0">
    <w:p w14:paraId="7A4CE54C" w14:textId="77777777" w:rsidR="00EF720B" w:rsidRDefault="00E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441288BC" w:rsidR="006D3A59" w:rsidRDefault="006D3A59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</w:t>
    </w:r>
    <w:r w:rsidR="008424D9">
      <w:rPr>
        <w:sz w:val="20"/>
      </w:rPr>
      <w:t>2</w:t>
    </w:r>
    <w:r w:rsidR="00E34688">
      <w:rPr>
        <w:sz w:val="20"/>
      </w:rPr>
      <w:t>1</w:t>
    </w:r>
    <w:r>
      <w:rPr>
        <w:sz w:val="20"/>
      </w:rPr>
      <w:t xml:space="preserve"> National Association of Insurance Commissioners</w:t>
    </w:r>
    <w:r w:rsidR="00DF407B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6D3A59" w:rsidRDefault="006D3A5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</w:t>
    </w:r>
    <w:r w:rsidR="002D70E6">
      <w:rPr>
        <w:sz w:val="20"/>
      </w:rPr>
      <w:t>9</w:t>
    </w:r>
    <w:r>
      <w:rPr>
        <w:sz w:val="20"/>
      </w:rPr>
      <w:t xml:space="preserve"> National Association of Insurance Commissioners</w:t>
    </w:r>
    <w:r w:rsidR="006B37DD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EF720B" w:rsidRDefault="00EF720B">
      <w:r>
        <w:separator/>
      </w:r>
    </w:p>
  </w:footnote>
  <w:footnote w:type="continuationSeparator" w:id="0">
    <w:p w14:paraId="1BD68B07" w14:textId="77777777" w:rsidR="00EF720B" w:rsidRDefault="00EF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774F02CB" w:rsidR="006D3A59" w:rsidRPr="00F04F9A" w:rsidRDefault="006D3A59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 w:rsidR="008424D9">
      <w:rPr>
        <w:bCs/>
        <w:sz w:val="20"/>
      </w:rPr>
      <w:t>2</w:t>
    </w:r>
    <w:r w:rsidR="00D51DBD">
      <w:rPr>
        <w:bCs/>
        <w:sz w:val="20"/>
      </w:rPr>
      <w:t>1-</w:t>
    </w:r>
    <w:r w:rsidR="00785A22">
      <w:rPr>
        <w:bCs/>
        <w:sz w:val="20"/>
      </w:rPr>
      <w:t>07</w:t>
    </w:r>
  </w:p>
  <w:p w14:paraId="12DAC63B" w14:textId="77777777" w:rsidR="006D3A59" w:rsidRDefault="006D3A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6D3A59" w:rsidRPr="00F04F9A" w:rsidRDefault="006D3A59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D3A59" w:rsidRPr="00F04F9A" w:rsidRDefault="006D3A5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 w:rsidR="002D70E6"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D3A59" w:rsidRDefault="006D3A59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15"/>
  </w:num>
  <w:num w:numId="13">
    <w:abstractNumId w:val="19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2637A"/>
    <w:rsid w:val="00034B2F"/>
    <w:rsid w:val="000579B6"/>
    <w:rsid w:val="00062300"/>
    <w:rsid w:val="00091380"/>
    <w:rsid w:val="000967FA"/>
    <w:rsid w:val="000D6AE8"/>
    <w:rsid w:val="000E1131"/>
    <w:rsid w:val="000E16CA"/>
    <w:rsid w:val="00133830"/>
    <w:rsid w:val="0013539B"/>
    <w:rsid w:val="00184144"/>
    <w:rsid w:val="0019505A"/>
    <w:rsid w:val="001B3138"/>
    <w:rsid w:val="001F3CF4"/>
    <w:rsid w:val="001F46EB"/>
    <w:rsid w:val="00203FF7"/>
    <w:rsid w:val="002046F5"/>
    <w:rsid w:val="00261273"/>
    <w:rsid w:val="00272DE0"/>
    <w:rsid w:val="002A1316"/>
    <w:rsid w:val="002A44FE"/>
    <w:rsid w:val="002D70E6"/>
    <w:rsid w:val="002E71FE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600A"/>
    <w:rsid w:val="003B12DE"/>
    <w:rsid w:val="003F04B9"/>
    <w:rsid w:val="0040093D"/>
    <w:rsid w:val="0040337C"/>
    <w:rsid w:val="00434970"/>
    <w:rsid w:val="00435DAC"/>
    <w:rsid w:val="0044022E"/>
    <w:rsid w:val="00446244"/>
    <w:rsid w:val="004516AB"/>
    <w:rsid w:val="00452842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B7D"/>
    <w:rsid w:val="00562444"/>
    <w:rsid w:val="005A259E"/>
    <w:rsid w:val="005E15E0"/>
    <w:rsid w:val="00624E04"/>
    <w:rsid w:val="00626152"/>
    <w:rsid w:val="00626EC0"/>
    <w:rsid w:val="00630368"/>
    <w:rsid w:val="00634598"/>
    <w:rsid w:val="00637C40"/>
    <w:rsid w:val="00654938"/>
    <w:rsid w:val="00676A9F"/>
    <w:rsid w:val="00690138"/>
    <w:rsid w:val="006B37DD"/>
    <w:rsid w:val="006D3A59"/>
    <w:rsid w:val="00706B68"/>
    <w:rsid w:val="00715743"/>
    <w:rsid w:val="0072525D"/>
    <w:rsid w:val="007306B9"/>
    <w:rsid w:val="00751F85"/>
    <w:rsid w:val="00756AE3"/>
    <w:rsid w:val="007574AB"/>
    <w:rsid w:val="00761440"/>
    <w:rsid w:val="00774EEB"/>
    <w:rsid w:val="007767B8"/>
    <w:rsid w:val="007774AA"/>
    <w:rsid w:val="00785A22"/>
    <w:rsid w:val="00794B81"/>
    <w:rsid w:val="00795898"/>
    <w:rsid w:val="007B4554"/>
    <w:rsid w:val="007C49D1"/>
    <w:rsid w:val="007F1389"/>
    <w:rsid w:val="007F344C"/>
    <w:rsid w:val="00826D11"/>
    <w:rsid w:val="008424D9"/>
    <w:rsid w:val="008758B4"/>
    <w:rsid w:val="008869A6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A11581"/>
    <w:rsid w:val="00A202AF"/>
    <w:rsid w:val="00A82C39"/>
    <w:rsid w:val="00A92C59"/>
    <w:rsid w:val="00AA1DC0"/>
    <w:rsid w:val="00AA6691"/>
    <w:rsid w:val="00AC14AF"/>
    <w:rsid w:val="00AE6149"/>
    <w:rsid w:val="00AE74CF"/>
    <w:rsid w:val="00B10C19"/>
    <w:rsid w:val="00B30CA0"/>
    <w:rsid w:val="00BB5939"/>
    <w:rsid w:val="00C04FA0"/>
    <w:rsid w:val="00C051DB"/>
    <w:rsid w:val="00C06031"/>
    <w:rsid w:val="00C26B71"/>
    <w:rsid w:val="00C6544D"/>
    <w:rsid w:val="00C9066D"/>
    <w:rsid w:val="00CA39BF"/>
    <w:rsid w:val="00CB7CFA"/>
    <w:rsid w:val="00CC53AA"/>
    <w:rsid w:val="00CE3B76"/>
    <w:rsid w:val="00CF3750"/>
    <w:rsid w:val="00D15463"/>
    <w:rsid w:val="00D21513"/>
    <w:rsid w:val="00D506C4"/>
    <w:rsid w:val="00D51DBD"/>
    <w:rsid w:val="00D924B0"/>
    <w:rsid w:val="00DA1C46"/>
    <w:rsid w:val="00DC071A"/>
    <w:rsid w:val="00DF407B"/>
    <w:rsid w:val="00E077F0"/>
    <w:rsid w:val="00E136A0"/>
    <w:rsid w:val="00E2462E"/>
    <w:rsid w:val="00E30ACC"/>
    <w:rsid w:val="00E34688"/>
    <w:rsid w:val="00E64248"/>
    <w:rsid w:val="00E90A65"/>
    <w:rsid w:val="00EA2736"/>
    <w:rsid w:val="00EC15C1"/>
    <w:rsid w:val="00EC61F1"/>
    <w:rsid w:val="00EF720B"/>
    <w:rsid w:val="00F04F9A"/>
    <w:rsid w:val="00F05F13"/>
    <w:rsid w:val="00F179AD"/>
    <w:rsid w:val="00F24F0A"/>
    <w:rsid w:val="00F36D97"/>
    <w:rsid w:val="00F45D51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648-9339-4652-A793-1DC3C2B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Stultz, Jake</cp:lastModifiedBy>
  <cp:revision>13</cp:revision>
  <cp:lastPrinted>2011-03-01T22:07:00Z</cp:lastPrinted>
  <dcterms:created xsi:type="dcterms:W3CDTF">2019-08-13T15:50:00Z</dcterms:created>
  <dcterms:modified xsi:type="dcterms:W3CDTF">2021-03-10T17:01:00Z</dcterms:modified>
</cp:coreProperties>
</file>