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2B139033" w:rsidR="002A1316" w:rsidRPr="00016321" w:rsidRDefault="003D4A96">
      <w:pPr>
        <w:pStyle w:val="Title"/>
        <w:rPr>
          <w:sz w:val="22"/>
          <w:szCs w:val="22"/>
        </w:rPr>
      </w:pPr>
      <w:r>
        <w:rPr>
          <w:sz w:val="22"/>
          <w:szCs w:val="22"/>
        </w:rPr>
        <w:t xml:space="preserve"> </w:t>
      </w:r>
      <w:r w:rsidR="002A1316" w:rsidRPr="00016321">
        <w:rPr>
          <w:sz w:val="22"/>
          <w:szCs w:val="22"/>
        </w:rPr>
        <w:t xml:space="preserve">Statutory Accounting Principles </w:t>
      </w:r>
      <w:r w:rsidR="00C6544D" w:rsidRPr="00016321">
        <w:rPr>
          <w:sz w:val="22"/>
          <w:szCs w:val="22"/>
        </w:rPr>
        <w:t xml:space="preserve">(E) </w:t>
      </w:r>
      <w:r w:rsidR="002A1316"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388CA453"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947048">
        <w:rPr>
          <w:b/>
          <w:sz w:val="22"/>
          <w:szCs w:val="22"/>
        </w:rPr>
        <w:t>New Market Tax Credits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86517">
        <w:rPr>
          <w:sz w:val="22"/>
          <w:szCs w:val="22"/>
        </w:rPr>
      </w:r>
      <w:r w:rsidR="00586517">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644340B7" w14:textId="016250C9" w:rsidR="00104063" w:rsidRDefault="002A1316" w:rsidP="00C54519">
      <w:pPr>
        <w:pStyle w:val="BodyText2"/>
        <w:rPr>
          <w:b w:val="0"/>
          <w:bCs w:val="0"/>
        </w:rPr>
      </w:pPr>
      <w:r>
        <w:t>Description of Issue:</w:t>
      </w:r>
      <w:r w:rsidR="00F7468A">
        <w:rPr>
          <w:b w:val="0"/>
          <w:bCs w:val="0"/>
        </w:rPr>
        <w:t xml:space="preserve"> </w:t>
      </w:r>
      <w:r w:rsidR="00947048">
        <w:rPr>
          <w:b w:val="0"/>
          <w:bCs w:val="0"/>
        </w:rPr>
        <w:t>The New Market Tax Credits (NMTC) Program was established by Congress in December 2000</w:t>
      </w:r>
      <w:r w:rsidR="004654C3">
        <w:rPr>
          <w:b w:val="0"/>
          <w:bCs w:val="0"/>
        </w:rPr>
        <w:t xml:space="preserve"> and permits individual and corporate taxpayers to receive a non-refundable tax credit against federal income taxes for making equity investments in financial intermediaries known as Community Development Entities (CDEs)</w:t>
      </w:r>
      <w:r w:rsidR="00812A19">
        <w:rPr>
          <w:b w:val="0"/>
          <w:bCs w:val="0"/>
        </w:rPr>
        <w:t>. CDEs that receive the tax credit allocation authority under the program are domestic corporations or partnerships that provide loans, investments, or financial counseling in low-income urban and rural commun</w:t>
      </w:r>
      <w:r w:rsidR="009C7E94">
        <w:rPr>
          <w:b w:val="0"/>
          <w:bCs w:val="0"/>
        </w:rPr>
        <w:t xml:space="preserve">ities. The tax credit provided to the </w:t>
      </w:r>
      <w:r w:rsidR="005D3D8B">
        <w:rPr>
          <w:b w:val="0"/>
          <w:bCs w:val="0"/>
        </w:rPr>
        <w:t>investors tota</w:t>
      </w:r>
      <w:r w:rsidR="00394216">
        <w:rPr>
          <w:b w:val="0"/>
          <w:bCs w:val="0"/>
        </w:rPr>
        <w:t>l 39% of the total cost of the investment and is claimed over a</w:t>
      </w:r>
      <w:r w:rsidR="0077434D">
        <w:rPr>
          <w:b w:val="0"/>
          <w:bCs w:val="0"/>
        </w:rPr>
        <w:t xml:space="preserve"> </w:t>
      </w:r>
      <w:r w:rsidR="009D23D4">
        <w:rPr>
          <w:b w:val="0"/>
          <w:bCs w:val="0"/>
        </w:rPr>
        <w:t>seven-year</w:t>
      </w:r>
      <w:r w:rsidR="0077434D">
        <w:rPr>
          <w:b w:val="0"/>
          <w:bCs w:val="0"/>
        </w:rPr>
        <w:t xml:space="preserve"> period. The CDEs in turn use the capital raised to </w:t>
      </w:r>
      <w:r w:rsidR="00337CC1">
        <w:rPr>
          <w:b w:val="0"/>
          <w:bCs w:val="0"/>
        </w:rPr>
        <w:t xml:space="preserve">make investments in low-income </w:t>
      </w:r>
      <w:r w:rsidR="00C90BD5">
        <w:rPr>
          <w:b w:val="0"/>
          <w:bCs w:val="0"/>
        </w:rPr>
        <w:t>communities</w:t>
      </w:r>
      <w:r w:rsidR="00337CC1">
        <w:rPr>
          <w:b w:val="0"/>
          <w:bCs w:val="0"/>
        </w:rPr>
        <w:t>. CDEs must apply annually to the CDF</w:t>
      </w:r>
      <w:r w:rsidR="00B86868">
        <w:rPr>
          <w:b w:val="0"/>
          <w:bCs w:val="0"/>
        </w:rPr>
        <w:t>I</w:t>
      </w:r>
      <w:r w:rsidR="00337CC1">
        <w:rPr>
          <w:b w:val="0"/>
          <w:bCs w:val="0"/>
        </w:rPr>
        <w:t xml:space="preserve"> Fund to compete for NMTC allocation authority. </w:t>
      </w:r>
      <w:r w:rsidR="00880244">
        <w:rPr>
          <w:b w:val="0"/>
          <w:bCs w:val="0"/>
        </w:rPr>
        <w:t>The</w:t>
      </w:r>
      <w:r w:rsidR="00EB53C7">
        <w:rPr>
          <w:b w:val="0"/>
          <w:bCs w:val="0"/>
        </w:rPr>
        <w:t xml:space="preserve"> NMTC</w:t>
      </w:r>
      <w:r w:rsidR="001B7F04">
        <w:rPr>
          <w:b w:val="0"/>
          <w:bCs w:val="0"/>
        </w:rPr>
        <w:t xml:space="preserve"> program </w:t>
      </w:r>
      <w:r w:rsidR="00377D50">
        <w:rPr>
          <w:b w:val="0"/>
          <w:bCs w:val="0"/>
        </w:rPr>
        <w:t xml:space="preserve">is currently subject to </w:t>
      </w:r>
      <w:r w:rsidR="007957F8">
        <w:rPr>
          <w:b w:val="0"/>
          <w:bCs w:val="0"/>
        </w:rPr>
        <w:t>expiration but</w:t>
      </w:r>
      <w:r w:rsidR="00BC3625">
        <w:rPr>
          <w:b w:val="0"/>
          <w:bCs w:val="0"/>
        </w:rPr>
        <w:t xml:space="preserve"> has been extended</w:t>
      </w:r>
      <w:r w:rsidR="00195ED8">
        <w:rPr>
          <w:b w:val="0"/>
          <w:bCs w:val="0"/>
        </w:rPr>
        <w:t xml:space="preserve"> to Dec. 31, 2025. </w:t>
      </w:r>
      <w:r w:rsidR="00A816B9">
        <w:rPr>
          <w:b w:val="0"/>
          <w:bCs w:val="0"/>
        </w:rPr>
        <w:t xml:space="preserve">The </w:t>
      </w:r>
      <w:r w:rsidR="00C12465">
        <w:rPr>
          <w:b w:val="0"/>
          <w:bCs w:val="0"/>
        </w:rPr>
        <w:t xml:space="preserve">NMTC Extension Act of 2021 </w:t>
      </w:r>
      <w:r w:rsidR="00E56BF7">
        <w:rPr>
          <w:b w:val="0"/>
          <w:bCs w:val="0"/>
        </w:rPr>
        <w:t xml:space="preserve">(introduced February 2021) </w:t>
      </w:r>
      <w:r w:rsidR="00C12465">
        <w:rPr>
          <w:b w:val="0"/>
          <w:bCs w:val="0"/>
        </w:rPr>
        <w:t xml:space="preserve">would </w:t>
      </w:r>
      <w:r w:rsidR="000D74B1">
        <w:rPr>
          <w:b w:val="0"/>
          <w:bCs w:val="0"/>
        </w:rPr>
        <w:t>make the NMTC program permanent</w:t>
      </w:r>
      <w:r w:rsidR="00C63770">
        <w:rPr>
          <w:b w:val="0"/>
          <w:bCs w:val="0"/>
        </w:rPr>
        <w:t xml:space="preserve">, </w:t>
      </w:r>
      <w:r w:rsidR="000D74B1">
        <w:rPr>
          <w:b w:val="0"/>
          <w:bCs w:val="0"/>
        </w:rPr>
        <w:t xml:space="preserve">modify the credit to provide </w:t>
      </w:r>
      <w:r w:rsidR="00C6564B">
        <w:rPr>
          <w:b w:val="0"/>
          <w:bCs w:val="0"/>
        </w:rPr>
        <w:t xml:space="preserve">for </w:t>
      </w:r>
      <w:r w:rsidR="000D74B1">
        <w:rPr>
          <w:b w:val="0"/>
          <w:bCs w:val="0"/>
        </w:rPr>
        <w:t xml:space="preserve">an inflation adjustment to the </w:t>
      </w:r>
      <w:r w:rsidR="00C63770">
        <w:rPr>
          <w:b w:val="0"/>
          <w:bCs w:val="0"/>
        </w:rPr>
        <w:t>limitation</w:t>
      </w:r>
      <w:r w:rsidR="000D74B1">
        <w:rPr>
          <w:b w:val="0"/>
          <w:bCs w:val="0"/>
        </w:rPr>
        <w:t xml:space="preserve"> amount for the credit after 2021</w:t>
      </w:r>
      <w:r w:rsidR="00C63770">
        <w:rPr>
          <w:b w:val="0"/>
          <w:bCs w:val="0"/>
        </w:rPr>
        <w:t>, and allow an offset against the alternative minimum tax for the credit</w:t>
      </w:r>
      <w:r w:rsidR="000D74B1">
        <w:rPr>
          <w:b w:val="0"/>
          <w:bCs w:val="0"/>
        </w:rPr>
        <w:t>.</w:t>
      </w:r>
    </w:p>
    <w:p w14:paraId="129BE46C" w14:textId="77777777" w:rsidR="00104063" w:rsidRDefault="00104063" w:rsidP="00C54519">
      <w:pPr>
        <w:pStyle w:val="BodyText2"/>
        <w:rPr>
          <w:b w:val="0"/>
          <w:bCs w:val="0"/>
        </w:rPr>
      </w:pPr>
    </w:p>
    <w:p w14:paraId="7D5CEA4F" w14:textId="5F53349E" w:rsidR="00C54519" w:rsidRDefault="007F04C5" w:rsidP="00C54519">
      <w:pPr>
        <w:pStyle w:val="BodyText2"/>
        <w:rPr>
          <w:b w:val="0"/>
          <w:bCs w:val="0"/>
        </w:rPr>
      </w:pPr>
      <w:r>
        <w:rPr>
          <w:b w:val="0"/>
          <w:bCs w:val="0"/>
        </w:rPr>
        <w:t>The success of the federal NMTC program has led to states adopting their own NMTC legislation</w:t>
      </w:r>
      <w:r w:rsidR="00421277">
        <w:rPr>
          <w:b w:val="0"/>
          <w:bCs w:val="0"/>
        </w:rPr>
        <w:t>. Per on</w:t>
      </w:r>
      <w:r w:rsidR="003D7DC1">
        <w:rPr>
          <w:b w:val="0"/>
          <w:bCs w:val="0"/>
        </w:rPr>
        <w:t>e</w:t>
      </w:r>
      <w:r w:rsidR="00421277">
        <w:rPr>
          <w:b w:val="0"/>
          <w:bCs w:val="0"/>
        </w:rPr>
        <w:t xml:space="preserve"> noted article, </w:t>
      </w:r>
      <w:proofErr w:type="gramStart"/>
      <w:r w:rsidR="006C3EF2">
        <w:rPr>
          <w:b w:val="0"/>
          <w:bCs w:val="0"/>
        </w:rPr>
        <w:t xml:space="preserve">the </w:t>
      </w:r>
      <w:r w:rsidR="00421277">
        <w:rPr>
          <w:b w:val="0"/>
          <w:bCs w:val="0"/>
        </w:rPr>
        <w:t>majority of</w:t>
      </w:r>
      <w:proofErr w:type="gramEnd"/>
      <w:r w:rsidR="00421277">
        <w:rPr>
          <w:b w:val="0"/>
          <w:bCs w:val="0"/>
        </w:rPr>
        <w:t xml:space="preserve"> state NMTC programs follow the federal rules with some modifications that vary from state to state. </w:t>
      </w:r>
      <w:r w:rsidR="003F4634">
        <w:rPr>
          <w:b w:val="0"/>
          <w:bCs w:val="0"/>
        </w:rPr>
        <w:t>State modification</w:t>
      </w:r>
      <w:r w:rsidR="003D7DC1">
        <w:rPr>
          <w:b w:val="0"/>
          <w:bCs w:val="0"/>
        </w:rPr>
        <w:t>s</w:t>
      </w:r>
      <w:r w:rsidR="003F4634">
        <w:rPr>
          <w:b w:val="0"/>
          <w:bCs w:val="0"/>
        </w:rPr>
        <w:t xml:space="preserve"> have b</w:t>
      </w:r>
      <w:r w:rsidR="00486129">
        <w:rPr>
          <w:b w:val="0"/>
          <w:bCs w:val="0"/>
        </w:rPr>
        <w:t xml:space="preserve">een noted to specifically </w:t>
      </w:r>
      <w:r w:rsidR="00885FA5">
        <w:rPr>
          <w:b w:val="0"/>
          <w:bCs w:val="0"/>
        </w:rPr>
        <w:t>target</w:t>
      </w:r>
      <w:r w:rsidR="00486129">
        <w:rPr>
          <w:b w:val="0"/>
          <w:bCs w:val="0"/>
        </w:rPr>
        <w:t xml:space="preserve"> smaller </w:t>
      </w:r>
      <w:r w:rsidR="00DF5F3B">
        <w:rPr>
          <w:b w:val="0"/>
          <w:bCs w:val="0"/>
        </w:rPr>
        <w:t>businesses</w:t>
      </w:r>
      <w:r w:rsidR="00486129">
        <w:rPr>
          <w:b w:val="0"/>
          <w:bCs w:val="0"/>
        </w:rPr>
        <w:t>, simpl</w:t>
      </w:r>
      <w:r w:rsidR="00885FA5">
        <w:rPr>
          <w:b w:val="0"/>
          <w:bCs w:val="0"/>
        </w:rPr>
        <w:t>ifying the application process, prohibiting the use of real estate business, and capping the amount of tax credits that can be allocated to one project.</w:t>
      </w:r>
      <w:r w:rsidR="00100949">
        <w:rPr>
          <w:b w:val="0"/>
          <w:bCs w:val="0"/>
        </w:rPr>
        <w:t xml:space="preserve"> The economic impact of the state </w:t>
      </w:r>
      <w:bookmarkStart w:id="1" w:name="_Hlk110267074"/>
      <w:r w:rsidR="00100949">
        <w:rPr>
          <w:b w:val="0"/>
          <w:bCs w:val="0"/>
        </w:rPr>
        <w:t xml:space="preserve">NMTC programs </w:t>
      </w:r>
      <w:bookmarkEnd w:id="1"/>
      <w:r w:rsidR="00100949">
        <w:rPr>
          <w:b w:val="0"/>
          <w:bCs w:val="0"/>
        </w:rPr>
        <w:t xml:space="preserve">is </w:t>
      </w:r>
      <w:r w:rsidR="00626DB0">
        <w:rPr>
          <w:b w:val="0"/>
          <w:bCs w:val="0"/>
        </w:rPr>
        <w:t>typically</w:t>
      </w:r>
      <w:r w:rsidR="00100949">
        <w:rPr>
          <w:b w:val="0"/>
          <w:bCs w:val="0"/>
        </w:rPr>
        <w:t xml:space="preserve"> less than the</w:t>
      </w:r>
      <w:r w:rsidR="00E166CC">
        <w:rPr>
          <w:b w:val="0"/>
          <w:bCs w:val="0"/>
        </w:rPr>
        <w:t xml:space="preserve"> impact</w:t>
      </w:r>
      <w:r w:rsidR="00100949">
        <w:rPr>
          <w:b w:val="0"/>
          <w:bCs w:val="0"/>
        </w:rPr>
        <w:t xml:space="preserve"> </w:t>
      </w:r>
      <w:r w:rsidR="0011091C">
        <w:rPr>
          <w:b w:val="0"/>
          <w:bCs w:val="0"/>
        </w:rPr>
        <w:t xml:space="preserve">of </w:t>
      </w:r>
      <w:r w:rsidR="00100949">
        <w:rPr>
          <w:b w:val="0"/>
          <w:bCs w:val="0"/>
        </w:rPr>
        <w:t xml:space="preserve">federal </w:t>
      </w:r>
      <w:r w:rsidR="00E166CC">
        <w:rPr>
          <w:b w:val="0"/>
          <w:bCs w:val="0"/>
        </w:rPr>
        <w:t xml:space="preserve">NMTC programs </w:t>
      </w:r>
      <w:r w:rsidR="00100949">
        <w:rPr>
          <w:b w:val="0"/>
          <w:bCs w:val="0"/>
        </w:rPr>
        <w:t>because the economic return to investors for state tax credits</w:t>
      </w:r>
      <w:r w:rsidR="00626DB0">
        <w:rPr>
          <w:b w:val="0"/>
          <w:bCs w:val="0"/>
        </w:rPr>
        <w:t xml:space="preserve"> is generally lower than what they receive for federal credits. </w:t>
      </w:r>
      <w:r w:rsidR="00416BC2">
        <w:rPr>
          <w:b w:val="0"/>
          <w:bCs w:val="0"/>
        </w:rPr>
        <w:t xml:space="preserve">Some states require that state tax credits can only be used in conjunction with federal credits. </w:t>
      </w:r>
      <w:r w:rsidR="004D696F">
        <w:rPr>
          <w:b w:val="0"/>
          <w:bCs w:val="0"/>
        </w:rPr>
        <w:t xml:space="preserve">Pairing federal and state </w:t>
      </w:r>
      <w:r w:rsidR="004833B9">
        <w:rPr>
          <w:b w:val="0"/>
          <w:bCs w:val="0"/>
        </w:rPr>
        <w:t xml:space="preserve">programs is beneficial to the qualifying business as they </w:t>
      </w:r>
      <w:r w:rsidR="00EA3DB8">
        <w:rPr>
          <w:b w:val="0"/>
          <w:bCs w:val="0"/>
        </w:rPr>
        <w:t>keep more of the investment wit</w:t>
      </w:r>
      <w:r w:rsidR="00CF1777">
        <w:rPr>
          <w:b w:val="0"/>
          <w:bCs w:val="0"/>
        </w:rPr>
        <w:t xml:space="preserve">hout an obligation to return as the investors gets more tax credits. </w:t>
      </w:r>
    </w:p>
    <w:p w14:paraId="11F68029" w14:textId="77777777" w:rsidR="00E453A1" w:rsidRDefault="00E453A1" w:rsidP="00C54519">
      <w:pPr>
        <w:pStyle w:val="BodyText2"/>
        <w:rPr>
          <w:b w:val="0"/>
          <w:bCs w:val="0"/>
        </w:rPr>
      </w:pPr>
    </w:p>
    <w:p w14:paraId="52B7F593" w14:textId="224D2AFC" w:rsidR="00E453A1" w:rsidRDefault="00E453A1" w:rsidP="00C54519">
      <w:pPr>
        <w:pStyle w:val="BodyText2"/>
        <w:rPr>
          <w:b w:val="0"/>
          <w:bCs w:val="0"/>
        </w:rPr>
      </w:pPr>
      <w:r>
        <w:rPr>
          <w:b w:val="0"/>
          <w:bCs w:val="0"/>
        </w:rPr>
        <w:t xml:space="preserve">Overview of </w:t>
      </w:r>
      <w:r w:rsidR="000851DB">
        <w:rPr>
          <w:b w:val="0"/>
          <w:bCs w:val="0"/>
        </w:rPr>
        <w:t xml:space="preserve">Federal </w:t>
      </w:r>
      <w:r>
        <w:rPr>
          <w:b w:val="0"/>
          <w:bCs w:val="0"/>
        </w:rPr>
        <w:t xml:space="preserve">Program: </w:t>
      </w:r>
    </w:p>
    <w:p w14:paraId="6A547B3A" w14:textId="77777777" w:rsidR="00B1560D" w:rsidRDefault="00B1560D" w:rsidP="00C54519">
      <w:pPr>
        <w:pStyle w:val="BodyText2"/>
        <w:rPr>
          <w:b w:val="0"/>
          <w:bCs w:val="0"/>
        </w:rPr>
      </w:pPr>
    </w:p>
    <w:p w14:paraId="11795848" w14:textId="67070226" w:rsidR="00E453A1" w:rsidRDefault="000851DB" w:rsidP="000851DB">
      <w:pPr>
        <w:pStyle w:val="BodyText2"/>
        <w:numPr>
          <w:ilvl w:val="0"/>
          <w:numId w:val="39"/>
        </w:numPr>
        <w:rPr>
          <w:b w:val="0"/>
          <w:szCs w:val="22"/>
        </w:rPr>
      </w:pPr>
      <w:r>
        <w:rPr>
          <w:b w:val="0"/>
          <w:szCs w:val="22"/>
        </w:rPr>
        <w:t>Federal government authorizes an annual credit authority for NMTCs</w:t>
      </w:r>
      <w:r w:rsidR="00F33DD9">
        <w:rPr>
          <w:b w:val="0"/>
          <w:szCs w:val="22"/>
        </w:rPr>
        <w:t xml:space="preserve"> (amount of tax credits available). </w:t>
      </w:r>
    </w:p>
    <w:p w14:paraId="03810DAD" w14:textId="77777777" w:rsidR="00827FA5" w:rsidRDefault="00827FA5" w:rsidP="00827FA5">
      <w:pPr>
        <w:pStyle w:val="BodyText2"/>
        <w:ind w:left="720"/>
        <w:rPr>
          <w:b w:val="0"/>
          <w:szCs w:val="22"/>
        </w:rPr>
      </w:pPr>
    </w:p>
    <w:p w14:paraId="3E1999FA" w14:textId="21E6151B" w:rsidR="00C54519" w:rsidRDefault="00D80D65" w:rsidP="00D80D65">
      <w:pPr>
        <w:pStyle w:val="BodyText2"/>
        <w:numPr>
          <w:ilvl w:val="0"/>
          <w:numId w:val="39"/>
        </w:numPr>
        <w:rPr>
          <w:b w:val="0"/>
          <w:szCs w:val="22"/>
        </w:rPr>
      </w:pPr>
      <w:r>
        <w:rPr>
          <w:b w:val="0"/>
          <w:szCs w:val="22"/>
        </w:rPr>
        <w:t xml:space="preserve">The Community Development Fund Institutions </w:t>
      </w:r>
      <w:r w:rsidR="009958F7">
        <w:rPr>
          <w:b w:val="0"/>
          <w:szCs w:val="22"/>
        </w:rPr>
        <w:t>(</w:t>
      </w:r>
      <w:r w:rsidR="006A62CF">
        <w:rPr>
          <w:b w:val="0"/>
          <w:szCs w:val="22"/>
        </w:rPr>
        <w:t>CDFI fund</w:t>
      </w:r>
      <w:r w:rsidR="009958F7">
        <w:rPr>
          <w:b w:val="0"/>
          <w:szCs w:val="22"/>
        </w:rPr>
        <w:t xml:space="preserve">) is a division of the U.S. Treasury responsible for implementing the NMTC program. Since there are limited </w:t>
      </w:r>
      <w:r w:rsidR="0047523A">
        <w:rPr>
          <w:b w:val="0"/>
          <w:szCs w:val="22"/>
        </w:rPr>
        <w:t xml:space="preserve">tax credits each year, the CDFI fund has a competitive application process for the right to grant tax credits to investors and to make qualified NMTC investments. </w:t>
      </w:r>
    </w:p>
    <w:p w14:paraId="08BD201D" w14:textId="77777777" w:rsidR="00F33DD9" w:rsidRDefault="00F33DD9" w:rsidP="00F33DD9">
      <w:pPr>
        <w:pStyle w:val="ListParagraph"/>
        <w:rPr>
          <w:b/>
          <w:szCs w:val="22"/>
        </w:rPr>
      </w:pPr>
    </w:p>
    <w:p w14:paraId="44D70A90" w14:textId="1DE80DB7" w:rsidR="00F33DD9" w:rsidRDefault="00F33DD9" w:rsidP="00D80D65">
      <w:pPr>
        <w:pStyle w:val="BodyText2"/>
        <w:numPr>
          <w:ilvl w:val="0"/>
          <w:numId w:val="39"/>
        </w:numPr>
        <w:rPr>
          <w:b w:val="0"/>
          <w:szCs w:val="22"/>
        </w:rPr>
      </w:pPr>
      <w:r>
        <w:rPr>
          <w:b w:val="0"/>
          <w:szCs w:val="22"/>
        </w:rPr>
        <w:t xml:space="preserve">The right to grant tax credits is referred to as “NMTC Allocation” </w:t>
      </w:r>
      <w:r w:rsidR="00756D58">
        <w:rPr>
          <w:b w:val="0"/>
          <w:szCs w:val="22"/>
        </w:rPr>
        <w:t>and is awarded to Community Development Entities (CDEs)</w:t>
      </w:r>
      <w:r w:rsidR="00D714B6">
        <w:rPr>
          <w:b w:val="0"/>
          <w:szCs w:val="22"/>
        </w:rPr>
        <w:t xml:space="preserve"> that invest in low-income communi</w:t>
      </w:r>
      <w:r w:rsidR="00DC4699">
        <w:rPr>
          <w:b w:val="0"/>
          <w:szCs w:val="22"/>
        </w:rPr>
        <w:t>ties. The CDEs offer the tax credits to cash investors</w:t>
      </w:r>
      <w:r w:rsidR="00B47585">
        <w:rPr>
          <w:b w:val="0"/>
          <w:szCs w:val="22"/>
        </w:rPr>
        <w:t>, and then use the cash to make investments (typically loans</w:t>
      </w:r>
      <w:r w:rsidR="00A2177E">
        <w:rPr>
          <w:b w:val="0"/>
          <w:szCs w:val="22"/>
        </w:rPr>
        <w:t xml:space="preserve"> to a qualifying project</w:t>
      </w:r>
      <w:r w:rsidR="009D62F0">
        <w:rPr>
          <w:b w:val="0"/>
          <w:szCs w:val="22"/>
        </w:rPr>
        <w:t xml:space="preserve"> </w:t>
      </w:r>
      <w:r w:rsidR="00AE6930">
        <w:rPr>
          <w:b w:val="0"/>
          <w:szCs w:val="22"/>
        </w:rPr>
        <w:t>–</w:t>
      </w:r>
      <w:r w:rsidR="009D62F0">
        <w:rPr>
          <w:b w:val="0"/>
          <w:szCs w:val="22"/>
        </w:rPr>
        <w:t xml:space="preserve"> </w:t>
      </w:r>
      <w:r w:rsidR="00AE6930">
        <w:rPr>
          <w:b w:val="0"/>
          <w:szCs w:val="22"/>
        </w:rPr>
        <w:t xml:space="preserve">a “Qualifying Active Low-Income Community Business” </w:t>
      </w:r>
      <w:r w:rsidR="009D62F0">
        <w:rPr>
          <w:b w:val="0"/>
          <w:szCs w:val="22"/>
        </w:rPr>
        <w:t>- QALICB</w:t>
      </w:r>
      <w:r w:rsidR="00B47585">
        <w:rPr>
          <w:b w:val="0"/>
          <w:szCs w:val="22"/>
        </w:rPr>
        <w:t xml:space="preserve">) that </w:t>
      </w:r>
      <w:r w:rsidR="00414676">
        <w:rPr>
          <w:b w:val="0"/>
          <w:szCs w:val="22"/>
        </w:rPr>
        <w:t xml:space="preserve">further the mission and objectives of the NMTC program. </w:t>
      </w:r>
    </w:p>
    <w:p w14:paraId="5B94EC5B" w14:textId="77777777" w:rsidR="002141B3" w:rsidRDefault="002141B3" w:rsidP="002141B3">
      <w:pPr>
        <w:pStyle w:val="ListParagraph"/>
        <w:rPr>
          <w:b/>
          <w:szCs w:val="22"/>
        </w:rPr>
      </w:pPr>
    </w:p>
    <w:p w14:paraId="4AAFF69E" w14:textId="50F0DD22" w:rsidR="002141B3" w:rsidRPr="003266E0" w:rsidRDefault="002141B3" w:rsidP="00D80D65">
      <w:pPr>
        <w:pStyle w:val="BodyText2"/>
        <w:numPr>
          <w:ilvl w:val="0"/>
          <w:numId w:val="39"/>
        </w:numPr>
        <w:rPr>
          <w:b w:val="0"/>
          <w:szCs w:val="22"/>
        </w:rPr>
      </w:pPr>
      <w:r>
        <w:rPr>
          <w:b w:val="0"/>
          <w:szCs w:val="22"/>
        </w:rPr>
        <w:lastRenderedPageBreak/>
        <w:t xml:space="preserve">The program specifies that the investor must provide cash as </w:t>
      </w:r>
      <w:r w:rsidR="00164657">
        <w:rPr>
          <w:b w:val="0"/>
          <w:szCs w:val="22"/>
        </w:rPr>
        <w:t xml:space="preserve">an </w:t>
      </w:r>
      <w:r w:rsidR="00164657" w:rsidRPr="003266E0">
        <w:rPr>
          <w:b w:val="0"/>
          <w:szCs w:val="22"/>
        </w:rPr>
        <w:t xml:space="preserve">equity investment (qualified equity investment – QEI) and it must stay invested in the CDE and the resulting NMTC qualifying project (QALICB) for a period of seven years. </w:t>
      </w:r>
    </w:p>
    <w:p w14:paraId="3905BDB9" w14:textId="77777777" w:rsidR="0084259D" w:rsidRDefault="0084259D" w:rsidP="0084259D">
      <w:pPr>
        <w:pStyle w:val="ListParagraph"/>
        <w:rPr>
          <w:b/>
          <w:szCs w:val="22"/>
        </w:rPr>
      </w:pPr>
    </w:p>
    <w:p w14:paraId="208F7E2F" w14:textId="087ADE54" w:rsidR="00483AEC" w:rsidRDefault="0084259D" w:rsidP="0084259D">
      <w:pPr>
        <w:pStyle w:val="BodyText2"/>
        <w:numPr>
          <w:ilvl w:val="1"/>
          <w:numId w:val="39"/>
        </w:numPr>
        <w:rPr>
          <w:b w:val="0"/>
          <w:szCs w:val="22"/>
        </w:rPr>
      </w:pPr>
      <w:r>
        <w:rPr>
          <w:b w:val="0"/>
          <w:szCs w:val="22"/>
        </w:rPr>
        <w:t xml:space="preserve">The restrictions are specific that the investment is an equity </w:t>
      </w:r>
      <w:r w:rsidR="006611D9">
        <w:rPr>
          <w:b w:val="0"/>
          <w:szCs w:val="22"/>
        </w:rPr>
        <w:t xml:space="preserve">investment as stock </w:t>
      </w:r>
      <w:r w:rsidR="007F2D4D">
        <w:rPr>
          <w:b w:val="0"/>
          <w:szCs w:val="22"/>
        </w:rPr>
        <w:t xml:space="preserve">(other than nonqualified preferred) </w:t>
      </w:r>
      <w:r w:rsidR="00D166E8">
        <w:rPr>
          <w:b w:val="0"/>
          <w:szCs w:val="22"/>
        </w:rPr>
        <w:t xml:space="preserve">in an entity </w:t>
      </w:r>
      <w:r w:rsidR="0077209F">
        <w:rPr>
          <w:b w:val="0"/>
          <w:szCs w:val="22"/>
        </w:rPr>
        <w:t xml:space="preserve">that </w:t>
      </w:r>
      <w:r w:rsidR="00D166E8">
        <w:rPr>
          <w:b w:val="0"/>
          <w:szCs w:val="22"/>
        </w:rPr>
        <w:t xml:space="preserve">is a corporation for federal tax purposes </w:t>
      </w:r>
      <w:r w:rsidR="00531194">
        <w:rPr>
          <w:b w:val="0"/>
          <w:szCs w:val="22"/>
        </w:rPr>
        <w:t>or</w:t>
      </w:r>
      <w:r w:rsidR="00D166E8">
        <w:rPr>
          <w:b w:val="0"/>
          <w:szCs w:val="22"/>
        </w:rPr>
        <w:t xml:space="preserve"> any capital interest in an entity that is a partnership for federal tax purposes.</w:t>
      </w:r>
      <w:r w:rsidR="00855553">
        <w:rPr>
          <w:b w:val="0"/>
          <w:szCs w:val="22"/>
        </w:rPr>
        <w:t xml:space="preserve"> </w:t>
      </w:r>
      <w:r w:rsidR="00556D61">
        <w:rPr>
          <w:b w:val="0"/>
          <w:szCs w:val="22"/>
        </w:rPr>
        <w:t>(</w:t>
      </w:r>
      <w:r w:rsidR="006D14CF">
        <w:rPr>
          <w:b w:val="0"/>
          <w:szCs w:val="22"/>
        </w:rPr>
        <w:t xml:space="preserve">The investor is generally a 99.99% or 100% </w:t>
      </w:r>
      <w:r w:rsidR="003A274A">
        <w:rPr>
          <w:b w:val="0"/>
          <w:szCs w:val="22"/>
        </w:rPr>
        <w:t>equity owner</w:t>
      </w:r>
      <w:r w:rsidR="00556D61">
        <w:rPr>
          <w:b w:val="0"/>
          <w:szCs w:val="22"/>
        </w:rPr>
        <w:t>.)</w:t>
      </w:r>
    </w:p>
    <w:p w14:paraId="6A78D810" w14:textId="7C674358" w:rsidR="0084259D" w:rsidRDefault="00D166E8" w:rsidP="00483AEC">
      <w:pPr>
        <w:pStyle w:val="BodyText2"/>
        <w:ind w:left="1440"/>
        <w:rPr>
          <w:b w:val="0"/>
          <w:szCs w:val="22"/>
        </w:rPr>
      </w:pPr>
      <w:r>
        <w:rPr>
          <w:b w:val="0"/>
          <w:szCs w:val="22"/>
        </w:rPr>
        <w:t xml:space="preserve"> </w:t>
      </w:r>
    </w:p>
    <w:p w14:paraId="4749D266" w14:textId="1F018012" w:rsidR="00835055" w:rsidRDefault="00F002BC" w:rsidP="00D80D65">
      <w:pPr>
        <w:pStyle w:val="BodyText2"/>
        <w:numPr>
          <w:ilvl w:val="0"/>
          <w:numId w:val="39"/>
        </w:numPr>
        <w:rPr>
          <w:b w:val="0"/>
          <w:szCs w:val="22"/>
        </w:rPr>
      </w:pPr>
      <w:r>
        <w:rPr>
          <w:b w:val="0"/>
          <w:szCs w:val="22"/>
        </w:rPr>
        <w:t>NMTC investments must remain in a qualified business for a seven-year period. Any principal amount repaid during that period must be reinvested by the CDE un</w:t>
      </w:r>
      <w:r w:rsidR="00CE2CF9">
        <w:rPr>
          <w:b w:val="0"/>
          <w:szCs w:val="22"/>
        </w:rPr>
        <w:t>til</w:t>
      </w:r>
      <w:r>
        <w:rPr>
          <w:b w:val="0"/>
          <w:szCs w:val="22"/>
        </w:rPr>
        <w:t xml:space="preserve"> the seven-year period expires. </w:t>
      </w:r>
      <w:r w:rsidR="002D5BF7">
        <w:rPr>
          <w:b w:val="0"/>
          <w:szCs w:val="22"/>
        </w:rPr>
        <w:t xml:space="preserve">Most CDEs and investors avoid the reinvestment requirement and structure interest-only loans that prohibit principal repayment within the seven-year timeframe. </w:t>
      </w:r>
    </w:p>
    <w:p w14:paraId="79EC889E" w14:textId="77777777" w:rsidR="008D236E" w:rsidRDefault="008D236E" w:rsidP="008D236E">
      <w:pPr>
        <w:pStyle w:val="ListParagraph"/>
        <w:rPr>
          <w:b/>
          <w:szCs w:val="22"/>
        </w:rPr>
      </w:pPr>
    </w:p>
    <w:p w14:paraId="31B4A361" w14:textId="42403682" w:rsidR="008D236E" w:rsidRDefault="00BF73EE" w:rsidP="008D236E">
      <w:pPr>
        <w:pStyle w:val="BodyText2"/>
        <w:numPr>
          <w:ilvl w:val="1"/>
          <w:numId w:val="39"/>
        </w:numPr>
        <w:rPr>
          <w:b w:val="0"/>
          <w:szCs w:val="22"/>
        </w:rPr>
      </w:pPr>
      <w:r>
        <w:rPr>
          <w:b w:val="0"/>
          <w:szCs w:val="22"/>
        </w:rPr>
        <w:t xml:space="preserve">The </w:t>
      </w:r>
      <w:r w:rsidR="00B14460">
        <w:rPr>
          <w:b w:val="0"/>
          <w:szCs w:val="22"/>
        </w:rPr>
        <w:t xml:space="preserve">39% tax credit is provided as 5% of the investment in the first </w:t>
      </w:r>
      <w:r w:rsidR="009D1F72">
        <w:rPr>
          <w:b w:val="0"/>
          <w:szCs w:val="22"/>
        </w:rPr>
        <w:t xml:space="preserve">3 years and then 6% </w:t>
      </w:r>
      <w:r w:rsidR="001C111B">
        <w:rPr>
          <w:b w:val="0"/>
          <w:szCs w:val="22"/>
        </w:rPr>
        <w:t xml:space="preserve">of the investment </w:t>
      </w:r>
      <w:r w:rsidR="009D1F72">
        <w:rPr>
          <w:b w:val="0"/>
          <w:szCs w:val="22"/>
        </w:rPr>
        <w:t xml:space="preserve">for the next </w:t>
      </w:r>
      <w:r w:rsidR="001C111B">
        <w:rPr>
          <w:b w:val="0"/>
          <w:szCs w:val="22"/>
        </w:rPr>
        <w:t>4 years.</w:t>
      </w:r>
    </w:p>
    <w:p w14:paraId="6EDCA447" w14:textId="77777777" w:rsidR="00645D0D" w:rsidRDefault="00645D0D" w:rsidP="00645D0D">
      <w:pPr>
        <w:pStyle w:val="BodyText2"/>
        <w:ind w:left="1440"/>
        <w:rPr>
          <w:b w:val="0"/>
          <w:szCs w:val="22"/>
        </w:rPr>
      </w:pPr>
    </w:p>
    <w:p w14:paraId="77722A49" w14:textId="77777777" w:rsidR="00645D0D" w:rsidRDefault="00645D0D" w:rsidP="00645D0D">
      <w:pPr>
        <w:pStyle w:val="BodyText2"/>
        <w:numPr>
          <w:ilvl w:val="1"/>
          <w:numId w:val="39"/>
        </w:numPr>
        <w:rPr>
          <w:b w:val="0"/>
          <w:szCs w:val="22"/>
        </w:rPr>
      </w:pPr>
      <w:r>
        <w:rPr>
          <w:b w:val="0"/>
          <w:szCs w:val="22"/>
        </w:rPr>
        <w:t xml:space="preserve">For tax purposes, the basis adjustment in the qualified equity investment is reduced by the amount of any new market tax credits on each credit allowance date. </w:t>
      </w:r>
    </w:p>
    <w:p w14:paraId="43AC1661" w14:textId="77777777" w:rsidR="00D51F35" w:rsidRDefault="00D51F35" w:rsidP="00D51F35">
      <w:pPr>
        <w:pStyle w:val="ListParagraph"/>
        <w:rPr>
          <w:b/>
          <w:szCs w:val="22"/>
        </w:rPr>
      </w:pPr>
    </w:p>
    <w:p w14:paraId="615CE438" w14:textId="2BBA4954" w:rsidR="00D51F35" w:rsidRDefault="00D51F35" w:rsidP="00645D0D">
      <w:pPr>
        <w:pStyle w:val="BodyText2"/>
        <w:numPr>
          <w:ilvl w:val="1"/>
          <w:numId w:val="39"/>
        </w:numPr>
        <w:rPr>
          <w:b w:val="0"/>
          <w:szCs w:val="22"/>
        </w:rPr>
      </w:pPr>
      <w:r>
        <w:rPr>
          <w:b w:val="0"/>
          <w:szCs w:val="22"/>
        </w:rPr>
        <w:t xml:space="preserve">Programs that cease to qualify are subject to </w:t>
      </w:r>
      <w:r w:rsidR="00635DC4">
        <w:rPr>
          <w:b w:val="0"/>
          <w:szCs w:val="22"/>
        </w:rPr>
        <w:t>tax cr</w:t>
      </w:r>
      <w:r w:rsidR="004C7B2E">
        <w:rPr>
          <w:b w:val="0"/>
          <w:szCs w:val="22"/>
        </w:rPr>
        <w:t xml:space="preserve">edit </w:t>
      </w:r>
      <w:r>
        <w:rPr>
          <w:b w:val="0"/>
          <w:szCs w:val="22"/>
        </w:rPr>
        <w:t>recapture.</w:t>
      </w:r>
    </w:p>
    <w:p w14:paraId="1FD8CD26" w14:textId="77777777" w:rsidR="00D617D4" w:rsidRDefault="00D617D4" w:rsidP="00D617D4">
      <w:pPr>
        <w:pStyle w:val="ListParagraph"/>
        <w:rPr>
          <w:b/>
          <w:szCs w:val="22"/>
        </w:rPr>
      </w:pPr>
    </w:p>
    <w:p w14:paraId="315EE08A" w14:textId="1F5E674B" w:rsidR="00D617D4" w:rsidRDefault="0080375E" w:rsidP="00D80D65">
      <w:pPr>
        <w:pStyle w:val="BodyText2"/>
        <w:numPr>
          <w:ilvl w:val="0"/>
          <w:numId w:val="39"/>
        </w:numPr>
        <w:rPr>
          <w:b w:val="0"/>
          <w:szCs w:val="22"/>
        </w:rPr>
      </w:pPr>
      <w:r>
        <w:rPr>
          <w:b w:val="0"/>
          <w:szCs w:val="22"/>
        </w:rPr>
        <w:t xml:space="preserve">Investors enter these transactions recognizing that the original investment amount will not be fully returned. Rather, </w:t>
      </w:r>
      <w:r w:rsidR="00001D90">
        <w:rPr>
          <w:b w:val="0"/>
          <w:szCs w:val="22"/>
        </w:rPr>
        <w:t>a portion (</w:t>
      </w:r>
      <w:r w:rsidR="00002559">
        <w:rPr>
          <w:b w:val="0"/>
          <w:szCs w:val="22"/>
        </w:rPr>
        <w:t>or perhaps al</w:t>
      </w:r>
      <w:r w:rsidR="00D3333F">
        <w:rPr>
          <w:b w:val="0"/>
          <w:szCs w:val="22"/>
        </w:rPr>
        <w:t>l</w:t>
      </w:r>
      <w:r w:rsidR="00363566">
        <w:rPr>
          <w:b w:val="0"/>
          <w:szCs w:val="22"/>
        </w:rPr>
        <w:t>)</w:t>
      </w:r>
      <w:r>
        <w:rPr>
          <w:b w:val="0"/>
          <w:szCs w:val="22"/>
        </w:rPr>
        <w:t xml:space="preserve"> of the </w:t>
      </w:r>
      <w:r w:rsidR="00D3333F">
        <w:rPr>
          <w:b w:val="0"/>
          <w:szCs w:val="22"/>
        </w:rPr>
        <w:t>equity</w:t>
      </w:r>
      <w:r>
        <w:rPr>
          <w:b w:val="0"/>
          <w:szCs w:val="22"/>
        </w:rPr>
        <w:t xml:space="preserve"> investment will be unpaid without an obligation to return from the borrowing business. </w:t>
      </w:r>
      <w:r w:rsidR="006926A3">
        <w:rPr>
          <w:b w:val="0"/>
          <w:szCs w:val="22"/>
        </w:rPr>
        <w:t xml:space="preserve">NMTC </w:t>
      </w:r>
      <w:r w:rsidR="00992C6C">
        <w:rPr>
          <w:b w:val="0"/>
          <w:szCs w:val="22"/>
        </w:rPr>
        <w:t>investment</w:t>
      </w:r>
      <w:r w:rsidR="001B3438">
        <w:rPr>
          <w:b w:val="0"/>
          <w:szCs w:val="22"/>
        </w:rPr>
        <w:t xml:space="preserve">s with these terms have specific maturing terms / actions. </w:t>
      </w:r>
      <w:r w:rsidR="00612694">
        <w:rPr>
          <w:b w:val="0"/>
          <w:szCs w:val="22"/>
        </w:rPr>
        <w:t xml:space="preserve">One </w:t>
      </w:r>
      <w:r w:rsidR="00077B4F">
        <w:rPr>
          <w:b w:val="0"/>
          <w:szCs w:val="22"/>
        </w:rPr>
        <w:t>approach could be that</w:t>
      </w:r>
      <w:r w:rsidR="005A77E0">
        <w:rPr>
          <w:b w:val="0"/>
          <w:szCs w:val="22"/>
        </w:rPr>
        <w:t xml:space="preserve"> an option (put/call) </w:t>
      </w:r>
      <w:r w:rsidR="00B976F7">
        <w:rPr>
          <w:b w:val="0"/>
          <w:szCs w:val="22"/>
        </w:rPr>
        <w:t>is</w:t>
      </w:r>
      <w:r w:rsidR="00480491">
        <w:rPr>
          <w:b w:val="0"/>
          <w:szCs w:val="22"/>
        </w:rPr>
        <w:t xml:space="preserve"> held by the investor</w:t>
      </w:r>
      <w:r w:rsidR="00504D25">
        <w:rPr>
          <w:b w:val="0"/>
          <w:szCs w:val="22"/>
        </w:rPr>
        <w:t xml:space="preserve"> that gives them</w:t>
      </w:r>
      <w:r w:rsidR="00480491">
        <w:rPr>
          <w:b w:val="0"/>
          <w:szCs w:val="22"/>
        </w:rPr>
        <w:t xml:space="preserve"> the right to sell its </w:t>
      </w:r>
      <w:r w:rsidR="00504D25">
        <w:rPr>
          <w:b w:val="0"/>
          <w:szCs w:val="22"/>
        </w:rPr>
        <w:t xml:space="preserve">equity </w:t>
      </w:r>
      <w:r w:rsidR="00480491">
        <w:rPr>
          <w:b w:val="0"/>
          <w:szCs w:val="22"/>
        </w:rPr>
        <w:t xml:space="preserve">investment to the borrower for a </w:t>
      </w:r>
      <w:r w:rsidR="001F4BF6">
        <w:rPr>
          <w:b w:val="0"/>
          <w:szCs w:val="22"/>
        </w:rPr>
        <w:t>nominal</w:t>
      </w:r>
      <w:r w:rsidR="00480491">
        <w:rPr>
          <w:b w:val="0"/>
          <w:szCs w:val="22"/>
        </w:rPr>
        <w:t xml:space="preserve"> price. </w:t>
      </w:r>
    </w:p>
    <w:p w14:paraId="3034A478" w14:textId="77777777" w:rsidR="00D9349B" w:rsidRDefault="00D9349B" w:rsidP="00D9349B">
      <w:pPr>
        <w:pStyle w:val="BodyText2"/>
        <w:rPr>
          <w:b w:val="0"/>
          <w:szCs w:val="22"/>
        </w:rPr>
      </w:pPr>
    </w:p>
    <w:p w14:paraId="1794A453" w14:textId="424E88CF" w:rsidR="00D9349B" w:rsidRDefault="005A1CAA" w:rsidP="00172BE2">
      <w:pPr>
        <w:pStyle w:val="BodyText2"/>
        <w:numPr>
          <w:ilvl w:val="0"/>
          <w:numId w:val="39"/>
        </w:numPr>
        <w:spacing w:after="60"/>
        <w:rPr>
          <w:b w:val="0"/>
          <w:szCs w:val="22"/>
        </w:rPr>
      </w:pPr>
      <w:r>
        <w:rPr>
          <w:b w:val="0"/>
          <w:szCs w:val="22"/>
        </w:rPr>
        <w:t xml:space="preserve">The designs are often complex and introduce leverage lenders </w:t>
      </w:r>
      <w:r w:rsidR="00ED63B2">
        <w:rPr>
          <w:b w:val="0"/>
          <w:szCs w:val="22"/>
        </w:rPr>
        <w:t>to maximize tax credits</w:t>
      </w:r>
      <w:r w:rsidR="00DD176A">
        <w:rPr>
          <w:b w:val="0"/>
          <w:szCs w:val="22"/>
        </w:rPr>
        <w:t xml:space="preserve"> to the equity investor</w:t>
      </w:r>
      <w:r w:rsidR="00ED63B2">
        <w:rPr>
          <w:b w:val="0"/>
          <w:szCs w:val="22"/>
        </w:rPr>
        <w:t xml:space="preserve">: </w:t>
      </w:r>
    </w:p>
    <w:p w14:paraId="6B5D8DCE" w14:textId="1B371731" w:rsidR="00ED63B2" w:rsidRDefault="00ED63B2" w:rsidP="004861C6">
      <w:pPr>
        <w:pStyle w:val="BodyText2"/>
        <w:numPr>
          <w:ilvl w:val="1"/>
          <w:numId w:val="39"/>
        </w:numPr>
        <w:spacing w:after="60"/>
        <w:rPr>
          <w:b w:val="0"/>
          <w:szCs w:val="22"/>
        </w:rPr>
      </w:pPr>
      <w:r>
        <w:rPr>
          <w:b w:val="0"/>
          <w:szCs w:val="22"/>
        </w:rPr>
        <w:t>Equity invest</w:t>
      </w:r>
      <w:r w:rsidR="00874D08">
        <w:rPr>
          <w:b w:val="0"/>
          <w:szCs w:val="22"/>
        </w:rPr>
        <w:t>or</w:t>
      </w:r>
      <w:r>
        <w:rPr>
          <w:b w:val="0"/>
          <w:szCs w:val="22"/>
        </w:rPr>
        <w:t xml:space="preserve"> provides $3M to acquire 100% equity interest</w:t>
      </w:r>
      <w:r w:rsidR="00D70B60">
        <w:rPr>
          <w:b w:val="0"/>
          <w:szCs w:val="22"/>
        </w:rPr>
        <w:t xml:space="preserve"> </w:t>
      </w:r>
      <w:r w:rsidR="00F16EDB">
        <w:rPr>
          <w:b w:val="0"/>
          <w:szCs w:val="22"/>
        </w:rPr>
        <w:t>in an</w:t>
      </w:r>
      <w:r w:rsidR="00D70B60">
        <w:rPr>
          <w:b w:val="0"/>
          <w:szCs w:val="22"/>
        </w:rPr>
        <w:t xml:space="preserve"> investment fund</w:t>
      </w:r>
      <w:r>
        <w:rPr>
          <w:b w:val="0"/>
          <w:szCs w:val="22"/>
        </w:rPr>
        <w:t xml:space="preserve">. </w:t>
      </w:r>
    </w:p>
    <w:p w14:paraId="27F78373" w14:textId="363FD138" w:rsidR="00ED63B2" w:rsidRDefault="00D70B60" w:rsidP="004861C6">
      <w:pPr>
        <w:pStyle w:val="BodyText2"/>
        <w:numPr>
          <w:ilvl w:val="1"/>
          <w:numId w:val="39"/>
        </w:numPr>
        <w:spacing w:after="60"/>
        <w:rPr>
          <w:b w:val="0"/>
          <w:szCs w:val="22"/>
        </w:rPr>
      </w:pPr>
      <w:r>
        <w:rPr>
          <w:b w:val="0"/>
          <w:szCs w:val="22"/>
        </w:rPr>
        <w:t xml:space="preserve">Investment fund borrows </w:t>
      </w:r>
      <w:r w:rsidR="003A3E88">
        <w:rPr>
          <w:b w:val="0"/>
          <w:szCs w:val="22"/>
        </w:rPr>
        <w:t xml:space="preserve">$7M </w:t>
      </w:r>
      <w:r>
        <w:rPr>
          <w:b w:val="0"/>
          <w:szCs w:val="22"/>
        </w:rPr>
        <w:t>from a leverage lender</w:t>
      </w:r>
      <w:r w:rsidR="0028429E">
        <w:rPr>
          <w:b w:val="0"/>
          <w:szCs w:val="22"/>
        </w:rPr>
        <w:t xml:space="preserve">. </w:t>
      </w:r>
    </w:p>
    <w:p w14:paraId="6DA7B254" w14:textId="626B4F56" w:rsidR="00293119" w:rsidRDefault="003A3E88" w:rsidP="004861C6">
      <w:pPr>
        <w:pStyle w:val="BodyText2"/>
        <w:numPr>
          <w:ilvl w:val="1"/>
          <w:numId w:val="39"/>
        </w:numPr>
        <w:spacing w:after="60"/>
        <w:rPr>
          <w:b w:val="0"/>
          <w:szCs w:val="22"/>
        </w:rPr>
      </w:pPr>
      <w:r>
        <w:rPr>
          <w:b w:val="0"/>
          <w:szCs w:val="22"/>
        </w:rPr>
        <w:t>This results with a $10</w:t>
      </w:r>
      <w:r w:rsidR="003B17C0">
        <w:rPr>
          <w:b w:val="0"/>
          <w:szCs w:val="22"/>
        </w:rPr>
        <w:t xml:space="preserve">M </w:t>
      </w:r>
      <w:r w:rsidR="00B44ED0">
        <w:rPr>
          <w:b w:val="0"/>
          <w:szCs w:val="22"/>
        </w:rPr>
        <w:t xml:space="preserve">qualifying NMTC </w:t>
      </w:r>
      <w:r w:rsidR="00B46EBD">
        <w:rPr>
          <w:b w:val="0"/>
          <w:szCs w:val="22"/>
        </w:rPr>
        <w:t xml:space="preserve">transaction, resulting with the equity investor receiving </w:t>
      </w:r>
      <w:r w:rsidR="006903CF">
        <w:rPr>
          <w:b w:val="0"/>
          <w:szCs w:val="22"/>
        </w:rPr>
        <w:t xml:space="preserve">$3.9M in </w:t>
      </w:r>
      <w:r w:rsidR="00C2056D">
        <w:rPr>
          <w:b w:val="0"/>
          <w:szCs w:val="22"/>
        </w:rPr>
        <w:t xml:space="preserve">tax </w:t>
      </w:r>
      <w:r w:rsidR="006903CF">
        <w:rPr>
          <w:b w:val="0"/>
          <w:szCs w:val="22"/>
        </w:rPr>
        <w:t>credits</w:t>
      </w:r>
      <w:r w:rsidR="002E3FF0">
        <w:rPr>
          <w:b w:val="0"/>
          <w:szCs w:val="22"/>
        </w:rPr>
        <w:t xml:space="preserve"> over 7 years </w:t>
      </w:r>
      <w:r w:rsidR="00624C7E">
        <w:rPr>
          <w:b w:val="0"/>
          <w:szCs w:val="22"/>
        </w:rPr>
        <w:t xml:space="preserve">from an initial $3M investment. </w:t>
      </w:r>
    </w:p>
    <w:p w14:paraId="12B90D1E" w14:textId="0EBD9FEB" w:rsidR="003A3E88" w:rsidRDefault="00293119" w:rsidP="004861C6">
      <w:pPr>
        <w:pStyle w:val="BodyText2"/>
        <w:numPr>
          <w:ilvl w:val="1"/>
          <w:numId w:val="39"/>
        </w:numPr>
        <w:spacing w:after="60"/>
        <w:rPr>
          <w:b w:val="0"/>
          <w:szCs w:val="22"/>
        </w:rPr>
      </w:pPr>
      <w:r>
        <w:rPr>
          <w:b w:val="0"/>
          <w:szCs w:val="22"/>
        </w:rPr>
        <w:t xml:space="preserve">The investment fund provides two loans to the qualified </w:t>
      </w:r>
      <w:r w:rsidR="002D2620">
        <w:rPr>
          <w:b w:val="0"/>
          <w:szCs w:val="22"/>
        </w:rPr>
        <w:t>low-income business (QALICB). The first loan is for the $7M leverage loan, the second is for the $3M</w:t>
      </w:r>
      <w:r w:rsidR="006903CF">
        <w:rPr>
          <w:b w:val="0"/>
          <w:szCs w:val="22"/>
        </w:rPr>
        <w:t xml:space="preserve"> </w:t>
      </w:r>
      <w:r w:rsidR="006543A8">
        <w:rPr>
          <w:b w:val="0"/>
          <w:szCs w:val="22"/>
        </w:rPr>
        <w:t xml:space="preserve">equity </w:t>
      </w:r>
      <w:r w:rsidR="00F706F3">
        <w:rPr>
          <w:b w:val="0"/>
          <w:szCs w:val="22"/>
        </w:rPr>
        <w:t xml:space="preserve">investment. </w:t>
      </w:r>
    </w:p>
    <w:p w14:paraId="4987FBA9" w14:textId="51292DEA" w:rsidR="00F706F3" w:rsidRDefault="00F706F3" w:rsidP="004861C6">
      <w:pPr>
        <w:pStyle w:val="BodyText2"/>
        <w:numPr>
          <w:ilvl w:val="1"/>
          <w:numId w:val="39"/>
        </w:numPr>
        <w:spacing w:after="60"/>
        <w:rPr>
          <w:b w:val="0"/>
          <w:szCs w:val="22"/>
        </w:rPr>
      </w:pPr>
      <w:r>
        <w:rPr>
          <w:b w:val="0"/>
          <w:szCs w:val="22"/>
        </w:rPr>
        <w:t>Both loans only pay interest for the seven</w:t>
      </w:r>
      <w:r w:rsidR="007E0669">
        <w:rPr>
          <w:b w:val="0"/>
          <w:szCs w:val="22"/>
        </w:rPr>
        <w:t>-</w:t>
      </w:r>
      <w:r>
        <w:rPr>
          <w:b w:val="0"/>
          <w:szCs w:val="22"/>
        </w:rPr>
        <w:t>year period</w:t>
      </w:r>
      <w:r w:rsidR="005D67D5">
        <w:rPr>
          <w:b w:val="0"/>
          <w:szCs w:val="22"/>
        </w:rPr>
        <w:t xml:space="preserve"> to meet the NMTC terms</w:t>
      </w:r>
      <w:r>
        <w:rPr>
          <w:b w:val="0"/>
          <w:szCs w:val="22"/>
        </w:rPr>
        <w:t xml:space="preserve">. </w:t>
      </w:r>
    </w:p>
    <w:p w14:paraId="700D634B" w14:textId="025FB0E0" w:rsidR="0083381C" w:rsidRDefault="0083381C" w:rsidP="004861C6">
      <w:pPr>
        <w:pStyle w:val="BodyText2"/>
        <w:numPr>
          <w:ilvl w:val="1"/>
          <w:numId w:val="39"/>
        </w:numPr>
        <w:spacing w:after="60"/>
        <w:rPr>
          <w:b w:val="0"/>
          <w:szCs w:val="22"/>
        </w:rPr>
      </w:pPr>
      <w:r>
        <w:rPr>
          <w:b w:val="0"/>
          <w:szCs w:val="22"/>
        </w:rPr>
        <w:t xml:space="preserve">At the conclusion of the </w:t>
      </w:r>
      <w:r w:rsidR="0099530A">
        <w:rPr>
          <w:b w:val="0"/>
          <w:szCs w:val="22"/>
        </w:rPr>
        <w:t xml:space="preserve">7 years, the </w:t>
      </w:r>
      <w:r w:rsidR="009C5C6D">
        <w:rPr>
          <w:b w:val="0"/>
          <w:szCs w:val="22"/>
        </w:rPr>
        <w:t xml:space="preserve">project sponsor </w:t>
      </w:r>
      <w:r w:rsidR="003F2B28">
        <w:rPr>
          <w:b w:val="0"/>
          <w:szCs w:val="22"/>
        </w:rPr>
        <w:t>purchases</w:t>
      </w:r>
      <w:r w:rsidR="009C5C6D">
        <w:rPr>
          <w:b w:val="0"/>
          <w:szCs w:val="22"/>
        </w:rPr>
        <w:t xml:space="preserve"> the </w:t>
      </w:r>
      <w:r w:rsidR="003F2B28">
        <w:rPr>
          <w:b w:val="0"/>
          <w:szCs w:val="22"/>
        </w:rPr>
        <w:t>second loan</w:t>
      </w:r>
      <w:r w:rsidR="009C5C6D">
        <w:rPr>
          <w:b w:val="0"/>
          <w:szCs w:val="22"/>
        </w:rPr>
        <w:t xml:space="preserve"> </w:t>
      </w:r>
      <w:r w:rsidR="0028233C">
        <w:rPr>
          <w:b w:val="0"/>
          <w:szCs w:val="22"/>
        </w:rPr>
        <w:t>via a ‘put/ca</w:t>
      </w:r>
      <w:r w:rsidR="00441F52">
        <w:rPr>
          <w:b w:val="0"/>
          <w:szCs w:val="22"/>
        </w:rPr>
        <w:t xml:space="preserve">ll’ agreement, converting the $3M </w:t>
      </w:r>
      <w:r w:rsidR="007E0669">
        <w:rPr>
          <w:b w:val="0"/>
          <w:szCs w:val="22"/>
        </w:rPr>
        <w:t xml:space="preserve">into a permanent subsidiary for the project. </w:t>
      </w:r>
    </w:p>
    <w:p w14:paraId="3661D2D5" w14:textId="0E951B79" w:rsidR="00B14E33" w:rsidRDefault="00B902CA" w:rsidP="004861C6">
      <w:pPr>
        <w:pStyle w:val="BodyText2"/>
        <w:numPr>
          <w:ilvl w:val="1"/>
          <w:numId w:val="39"/>
        </w:numPr>
        <w:spacing w:after="60"/>
        <w:rPr>
          <w:b w:val="0"/>
          <w:szCs w:val="22"/>
        </w:rPr>
      </w:pPr>
      <w:r>
        <w:rPr>
          <w:b w:val="0"/>
          <w:szCs w:val="22"/>
        </w:rPr>
        <w:t xml:space="preserve">The borrower / project sponsor refinances the $7M loan to repay the leverage lender. </w:t>
      </w:r>
    </w:p>
    <w:p w14:paraId="6056B554" w14:textId="5EB25EC1" w:rsidR="00F8196C" w:rsidRDefault="00F06BCB" w:rsidP="00ED63B2">
      <w:pPr>
        <w:pStyle w:val="BodyText2"/>
        <w:numPr>
          <w:ilvl w:val="1"/>
          <w:numId w:val="39"/>
        </w:numPr>
        <w:rPr>
          <w:b w:val="0"/>
          <w:szCs w:val="22"/>
        </w:rPr>
      </w:pPr>
      <w:r>
        <w:rPr>
          <w:b w:val="0"/>
          <w:szCs w:val="22"/>
        </w:rPr>
        <w:t>The ultimate result is that the equity investor received $3.9</w:t>
      </w:r>
      <w:r w:rsidR="004107EC">
        <w:rPr>
          <w:b w:val="0"/>
          <w:szCs w:val="22"/>
        </w:rPr>
        <w:t>M</w:t>
      </w:r>
      <w:r>
        <w:rPr>
          <w:b w:val="0"/>
          <w:szCs w:val="22"/>
        </w:rPr>
        <w:t xml:space="preserve"> </w:t>
      </w:r>
      <w:r w:rsidR="00BB35EF">
        <w:rPr>
          <w:b w:val="0"/>
          <w:szCs w:val="22"/>
        </w:rPr>
        <w:t xml:space="preserve">over 7 years </w:t>
      </w:r>
      <w:r>
        <w:rPr>
          <w:b w:val="0"/>
          <w:szCs w:val="22"/>
        </w:rPr>
        <w:t xml:space="preserve">in tax credits for </w:t>
      </w:r>
      <w:r w:rsidR="004107EC">
        <w:rPr>
          <w:b w:val="0"/>
          <w:szCs w:val="22"/>
        </w:rPr>
        <w:t xml:space="preserve">$3M. </w:t>
      </w:r>
    </w:p>
    <w:p w14:paraId="6CEC8A59" w14:textId="77777777" w:rsidR="00F8196C" w:rsidRDefault="00F8196C" w:rsidP="00F8196C">
      <w:pPr>
        <w:pStyle w:val="BodyText2"/>
        <w:rPr>
          <w:b w:val="0"/>
          <w:szCs w:val="22"/>
        </w:rPr>
      </w:pPr>
    </w:p>
    <w:p w14:paraId="29152E8C" w14:textId="457DBD48" w:rsidR="004861C6" w:rsidRDefault="00172BE2" w:rsidP="00172BE2">
      <w:pPr>
        <w:pStyle w:val="BodyText2"/>
        <w:numPr>
          <w:ilvl w:val="0"/>
          <w:numId w:val="41"/>
        </w:numPr>
        <w:spacing w:after="60"/>
        <w:rPr>
          <w:b w:val="0"/>
          <w:szCs w:val="22"/>
        </w:rPr>
      </w:pPr>
      <w:r>
        <w:rPr>
          <w:b w:val="0"/>
          <w:szCs w:val="22"/>
        </w:rPr>
        <w:t xml:space="preserve">Example without leverage lender: </w:t>
      </w:r>
    </w:p>
    <w:p w14:paraId="3BD31A8C" w14:textId="77777777" w:rsidR="004861C6" w:rsidRDefault="004861C6" w:rsidP="00172BE2">
      <w:pPr>
        <w:pStyle w:val="BodyText2"/>
        <w:numPr>
          <w:ilvl w:val="1"/>
          <w:numId w:val="38"/>
        </w:numPr>
        <w:spacing w:after="60"/>
        <w:rPr>
          <w:b w:val="0"/>
          <w:szCs w:val="22"/>
        </w:rPr>
      </w:pPr>
      <w:r>
        <w:rPr>
          <w:b w:val="0"/>
          <w:szCs w:val="22"/>
        </w:rPr>
        <w:t>Investor provides a $10M NMTC Investment</w:t>
      </w:r>
    </w:p>
    <w:p w14:paraId="2CAE3F35" w14:textId="77777777" w:rsidR="004861C6" w:rsidRDefault="004861C6" w:rsidP="00172BE2">
      <w:pPr>
        <w:pStyle w:val="BodyText2"/>
        <w:numPr>
          <w:ilvl w:val="1"/>
          <w:numId w:val="38"/>
        </w:numPr>
        <w:spacing w:after="60"/>
        <w:rPr>
          <w:b w:val="0"/>
          <w:szCs w:val="22"/>
        </w:rPr>
      </w:pPr>
      <w:r>
        <w:rPr>
          <w:b w:val="0"/>
          <w:szCs w:val="22"/>
        </w:rPr>
        <w:t xml:space="preserve">Investor receives $3.9M in tax credits over seven years. </w:t>
      </w:r>
    </w:p>
    <w:p w14:paraId="33BB9FA2" w14:textId="77777777" w:rsidR="004861C6" w:rsidRDefault="004861C6" w:rsidP="00172BE2">
      <w:pPr>
        <w:pStyle w:val="BodyText2"/>
        <w:numPr>
          <w:ilvl w:val="1"/>
          <w:numId w:val="38"/>
        </w:numPr>
        <w:spacing w:after="60"/>
        <w:rPr>
          <w:b w:val="0"/>
          <w:szCs w:val="22"/>
        </w:rPr>
      </w:pPr>
      <w:r>
        <w:rPr>
          <w:b w:val="0"/>
          <w:szCs w:val="22"/>
        </w:rPr>
        <w:t xml:space="preserve">Investors receives $7.4M of original investment at the end of the seven years. </w:t>
      </w:r>
    </w:p>
    <w:p w14:paraId="5F877E00" w14:textId="77777777" w:rsidR="00D00FF1" w:rsidRDefault="004861C6" w:rsidP="00172BE2">
      <w:pPr>
        <w:pStyle w:val="BodyText2"/>
        <w:numPr>
          <w:ilvl w:val="1"/>
          <w:numId w:val="38"/>
        </w:numPr>
        <w:spacing w:after="60"/>
        <w:rPr>
          <w:b w:val="0"/>
          <w:szCs w:val="22"/>
        </w:rPr>
      </w:pPr>
      <w:r>
        <w:rPr>
          <w:b w:val="0"/>
          <w:szCs w:val="22"/>
        </w:rPr>
        <w:t>Borrower keeps $2.6M of the original investment to further their low-income qualifying activities.</w:t>
      </w:r>
    </w:p>
    <w:p w14:paraId="142C2A10" w14:textId="71DC1995" w:rsidR="00E86AA2" w:rsidRPr="007D3DE1" w:rsidRDefault="00D00FF1" w:rsidP="007D3DE1">
      <w:pPr>
        <w:pStyle w:val="BodyText2"/>
        <w:numPr>
          <w:ilvl w:val="1"/>
          <w:numId w:val="38"/>
        </w:numPr>
        <w:spacing w:after="60"/>
        <w:rPr>
          <w:szCs w:val="22"/>
          <w:u w:val="single"/>
        </w:rPr>
      </w:pPr>
      <w:r w:rsidRPr="007D3DE1">
        <w:rPr>
          <w:b w:val="0"/>
          <w:szCs w:val="22"/>
        </w:rPr>
        <w:t>Investor receives a net</w:t>
      </w:r>
      <w:r w:rsidR="004861C6" w:rsidRPr="007D3DE1">
        <w:rPr>
          <w:b w:val="0"/>
          <w:szCs w:val="22"/>
        </w:rPr>
        <w:t xml:space="preserve"> </w:t>
      </w:r>
      <w:r w:rsidR="00ED518A" w:rsidRPr="007D3DE1">
        <w:rPr>
          <w:b w:val="0"/>
          <w:szCs w:val="22"/>
        </w:rPr>
        <w:t>return of $1.3M</w:t>
      </w:r>
      <w:r w:rsidR="002C5CBA" w:rsidRPr="007D3DE1">
        <w:rPr>
          <w:b w:val="0"/>
          <w:szCs w:val="22"/>
        </w:rPr>
        <w:t>.</w:t>
      </w:r>
      <w:r w:rsidR="00ED518A" w:rsidRPr="007D3DE1">
        <w:rPr>
          <w:b w:val="0"/>
          <w:szCs w:val="22"/>
        </w:rPr>
        <w:t xml:space="preserve"> </w:t>
      </w:r>
      <w:r w:rsidR="00BE2541" w:rsidRPr="007D3DE1">
        <w:rPr>
          <w:b w:val="0"/>
          <w:szCs w:val="22"/>
        </w:rPr>
        <w:t>(</w:t>
      </w:r>
      <w:r w:rsidR="0035281A">
        <w:rPr>
          <w:b w:val="0"/>
          <w:szCs w:val="22"/>
        </w:rPr>
        <w:t xml:space="preserve">$10M </w:t>
      </w:r>
      <w:r w:rsidR="00AF1B49">
        <w:rPr>
          <w:b w:val="0"/>
          <w:szCs w:val="22"/>
        </w:rPr>
        <w:t xml:space="preserve">less </w:t>
      </w:r>
      <w:r w:rsidR="00AB6304">
        <w:rPr>
          <w:b w:val="0"/>
          <w:szCs w:val="22"/>
        </w:rPr>
        <w:t xml:space="preserve">$3.9M </w:t>
      </w:r>
      <w:r w:rsidR="0011091C">
        <w:rPr>
          <w:b w:val="0"/>
          <w:szCs w:val="22"/>
        </w:rPr>
        <w:t>t</w:t>
      </w:r>
      <w:r w:rsidR="005E60BE" w:rsidRPr="007D3DE1">
        <w:rPr>
          <w:b w:val="0"/>
          <w:szCs w:val="22"/>
        </w:rPr>
        <w:t xml:space="preserve">ax credits less return of </w:t>
      </w:r>
      <w:r w:rsidR="005A4C31">
        <w:rPr>
          <w:b w:val="0"/>
          <w:szCs w:val="22"/>
        </w:rPr>
        <w:t>7.4</w:t>
      </w:r>
      <w:r w:rsidR="0011091C">
        <w:rPr>
          <w:b w:val="0"/>
          <w:szCs w:val="22"/>
        </w:rPr>
        <w:t>M</w:t>
      </w:r>
      <w:r w:rsidR="005A4C31">
        <w:rPr>
          <w:b w:val="0"/>
          <w:szCs w:val="22"/>
        </w:rPr>
        <w:t xml:space="preserve"> </w:t>
      </w:r>
      <w:r w:rsidR="005E60BE" w:rsidRPr="007D3DE1">
        <w:rPr>
          <w:b w:val="0"/>
          <w:szCs w:val="22"/>
        </w:rPr>
        <w:t xml:space="preserve">principal.) </w:t>
      </w:r>
      <w:r w:rsidR="004861C6" w:rsidRPr="007D3DE1">
        <w:rPr>
          <w:b w:val="0"/>
          <w:szCs w:val="22"/>
        </w:rPr>
        <w:t xml:space="preserve"> </w:t>
      </w:r>
      <w:r w:rsidR="00E86AA2" w:rsidRPr="007D3DE1">
        <w:rPr>
          <w:szCs w:val="22"/>
          <w:u w:val="single"/>
        </w:rPr>
        <w:br w:type="page"/>
      </w:r>
    </w:p>
    <w:p w14:paraId="23842F43" w14:textId="192DFC13" w:rsidR="00F878B4" w:rsidRDefault="00F8196C" w:rsidP="00F8196C">
      <w:pPr>
        <w:pStyle w:val="BodyText2"/>
        <w:rPr>
          <w:b w:val="0"/>
          <w:szCs w:val="22"/>
        </w:rPr>
      </w:pPr>
      <w:r w:rsidRPr="0023724F">
        <w:rPr>
          <w:b w:val="0"/>
          <w:szCs w:val="22"/>
          <w:u w:val="single"/>
        </w:rPr>
        <w:lastRenderedPageBreak/>
        <w:t>FASB Discussion</w:t>
      </w:r>
      <w:r>
        <w:rPr>
          <w:b w:val="0"/>
          <w:szCs w:val="22"/>
        </w:rPr>
        <w:t xml:space="preserve"> </w:t>
      </w:r>
    </w:p>
    <w:p w14:paraId="1E73AAB7" w14:textId="695F0623" w:rsidR="0023724F" w:rsidRDefault="00F15897" w:rsidP="00F8196C">
      <w:pPr>
        <w:pStyle w:val="BodyText2"/>
        <w:rPr>
          <w:b w:val="0"/>
          <w:szCs w:val="22"/>
        </w:rPr>
      </w:pPr>
      <w:r>
        <w:rPr>
          <w:b w:val="0"/>
          <w:szCs w:val="22"/>
        </w:rPr>
        <w:t>The FASB has a current</w:t>
      </w:r>
      <w:r w:rsidR="00DE047F">
        <w:rPr>
          <w:b w:val="0"/>
          <w:szCs w:val="22"/>
        </w:rPr>
        <w:t xml:space="preserve"> Emerging Issues Ta</w:t>
      </w:r>
      <w:r w:rsidR="009C112E">
        <w:rPr>
          <w:b w:val="0"/>
          <w:szCs w:val="22"/>
        </w:rPr>
        <w:t>s</w:t>
      </w:r>
      <w:r w:rsidR="00A9777B">
        <w:rPr>
          <w:b w:val="0"/>
          <w:szCs w:val="22"/>
        </w:rPr>
        <w:t>k</w:t>
      </w:r>
      <w:r w:rsidR="00DE047F">
        <w:rPr>
          <w:b w:val="0"/>
          <w:szCs w:val="22"/>
        </w:rPr>
        <w:t xml:space="preserve"> Force</w:t>
      </w:r>
      <w:r>
        <w:rPr>
          <w:b w:val="0"/>
          <w:szCs w:val="22"/>
        </w:rPr>
        <w:t xml:space="preserve"> project to </w:t>
      </w:r>
      <w:r w:rsidR="00B25868">
        <w:rPr>
          <w:b w:val="0"/>
          <w:szCs w:val="22"/>
        </w:rPr>
        <w:t>assess</w:t>
      </w:r>
      <w:r>
        <w:rPr>
          <w:b w:val="0"/>
          <w:szCs w:val="22"/>
        </w:rPr>
        <w:t xml:space="preserve"> whether </w:t>
      </w:r>
      <w:r w:rsidR="00BA6D8A">
        <w:rPr>
          <w:b w:val="0"/>
          <w:szCs w:val="22"/>
        </w:rPr>
        <w:t xml:space="preserve">the </w:t>
      </w:r>
      <w:r>
        <w:rPr>
          <w:b w:val="0"/>
          <w:szCs w:val="22"/>
        </w:rPr>
        <w:t xml:space="preserve">proportional amortization method </w:t>
      </w:r>
      <w:r w:rsidR="002E5DCE">
        <w:rPr>
          <w:b w:val="0"/>
          <w:szCs w:val="22"/>
        </w:rPr>
        <w:t>of accounting</w:t>
      </w:r>
      <w:r w:rsidR="00BA6D8A">
        <w:rPr>
          <w:b w:val="0"/>
          <w:szCs w:val="22"/>
        </w:rPr>
        <w:t>, which is used for Low-Income Housing Tax Credits</w:t>
      </w:r>
      <w:r w:rsidR="008769D5">
        <w:rPr>
          <w:b w:val="0"/>
          <w:szCs w:val="22"/>
        </w:rPr>
        <w:t xml:space="preserve"> (LIHTC)</w:t>
      </w:r>
      <w:r w:rsidR="00BA6D8A">
        <w:rPr>
          <w:b w:val="0"/>
          <w:szCs w:val="22"/>
        </w:rPr>
        <w:t>,</w:t>
      </w:r>
      <w:r w:rsidR="002E5DCE">
        <w:rPr>
          <w:b w:val="0"/>
          <w:szCs w:val="22"/>
        </w:rPr>
        <w:t xml:space="preserve"> should be expanded to investments in tax credit structures beyond </w:t>
      </w:r>
      <w:r w:rsidR="008769D5">
        <w:rPr>
          <w:b w:val="0"/>
          <w:szCs w:val="22"/>
        </w:rPr>
        <w:t>LIHTC</w:t>
      </w:r>
      <w:r w:rsidR="002E5DCE">
        <w:rPr>
          <w:b w:val="0"/>
          <w:szCs w:val="22"/>
        </w:rPr>
        <w:t xml:space="preserve">. </w:t>
      </w:r>
      <w:r w:rsidR="00A83B2E">
        <w:rPr>
          <w:b w:val="0"/>
          <w:szCs w:val="22"/>
        </w:rPr>
        <w:t xml:space="preserve">The proportional amortization method results in the tax credit investment being amortized in proportion to the allocation of tax credits in each period and allows the investment amortization and tax credits to be presented on a net basis within the income tax line item. </w:t>
      </w:r>
      <w:r w:rsidR="00647BB4">
        <w:rPr>
          <w:b w:val="0"/>
          <w:szCs w:val="22"/>
        </w:rPr>
        <w:t>Currently, i</w:t>
      </w:r>
      <w:r w:rsidR="00A83B2E">
        <w:rPr>
          <w:b w:val="0"/>
          <w:szCs w:val="22"/>
        </w:rPr>
        <w:t xml:space="preserve">nvestments in other tax credit structures are typically accounted for using the equity method or the cost method. </w:t>
      </w:r>
      <w:r w:rsidR="00D31858">
        <w:rPr>
          <w:b w:val="0"/>
          <w:szCs w:val="22"/>
        </w:rPr>
        <w:t>Under the equity and cost methods</w:t>
      </w:r>
      <w:r w:rsidR="00B90F08">
        <w:rPr>
          <w:b w:val="0"/>
          <w:szCs w:val="22"/>
        </w:rPr>
        <w:t xml:space="preserve">, investment gains/losses and tax credits are presented on a gross basis on an entity’s income statement. </w:t>
      </w:r>
      <w:r w:rsidR="00647BB4">
        <w:rPr>
          <w:b w:val="0"/>
          <w:szCs w:val="22"/>
        </w:rPr>
        <w:t xml:space="preserve">The </w:t>
      </w:r>
      <w:r w:rsidR="00667110">
        <w:rPr>
          <w:b w:val="0"/>
          <w:szCs w:val="22"/>
        </w:rPr>
        <w:t>FASB has received two requests asking that the proportional amortization method be made applicable to New Market Tax Credit Structures as well as other investment structures that are made primarily for the purpose of receiving tax credits and other tax benefits</w:t>
      </w:r>
      <w:r w:rsidR="0028429E">
        <w:rPr>
          <w:b w:val="0"/>
          <w:szCs w:val="22"/>
        </w:rPr>
        <w:t xml:space="preserve">. </w:t>
      </w:r>
      <w:r w:rsidR="00B25868">
        <w:rPr>
          <w:b w:val="0"/>
          <w:szCs w:val="22"/>
        </w:rPr>
        <w:t xml:space="preserve">The FASB added a project to the Emerging Issues Task Force agenda on Sept. 22, 2021. </w:t>
      </w:r>
      <w:r w:rsidR="00647BB4">
        <w:rPr>
          <w:b w:val="0"/>
          <w:szCs w:val="22"/>
        </w:rPr>
        <w:t>T</w:t>
      </w:r>
      <w:r w:rsidR="0094681B">
        <w:rPr>
          <w:b w:val="0"/>
          <w:szCs w:val="22"/>
        </w:rPr>
        <w:t xml:space="preserve">he FASB Task Force reached </w:t>
      </w:r>
      <w:r w:rsidR="007F0BCA">
        <w:rPr>
          <w:b w:val="0"/>
          <w:szCs w:val="22"/>
        </w:rPr>
        <w:t>a consensus-for-exposure</w:t>
      </w:r>
      <w:r w:rsidR="0094681B">
        <w:rPr>
          <w:b w:val="0"/>
          <w:szCs w:val="22"/>
        </w:rPr>
        <w:t xml:space="preserve"> </w:t>
      </w:r>
      <w:r w:rsidR="00DC32DF">
        <w:rPr>
          <w:b w:val="0"/>
          <w:szCs w:val="22"/>
        </w:rPr>
        <w:t>on June 16, 2022</w:t>
      </w:r>
      <w:r w:rsidR="00171ED1">
        <w:rPr>
          <w:b w:val="0"/>
          <w:szCs w:val="22"/>
        </w:rPr>
        <w:t>,</w:t>
      </w:r>
      <w:r w:rsidR="00DC32DF">
        <w:rPr>
          <w:b w:val="0"/>
          <w:szCs w:val="22"/>
        </w:rPr>
        <w:t xml:space="preserve"> that the </w:t>
      </w:r>
      <w:r w:rsidR="00B20D7E">
        <w:rPr>
          <w:b w:val="0"/>
          <w:szCs w:val="22"/>
        </w:rPr>
        <w:t>proportional</w:t>
      </w:r>
      <w:r w:rsidR="00DC32DF">
        <w:rPr>
          <w:b w:val="0"/>
          <w:szCs w:val="22"/>
        </w:rPr>
        <w:t xml:space="preserve"> amortization method</w:t>
      </w:r>
      <w:r w:rsidR="00924FC3">
        <w:rPr>
          <w:b w:val="0"/>
          <w:szCs w:val="22"/>
        </w:rPr>
        <w:t xml:space="preserve"> can be elected </w:t>
      </w:r>
      <w:r w:rsidR="0069621E">
        <w:rPr>
          <w:b w:val="0"/>
          <w:szCs w:val="22"/>
        </w:rPr>
        <w:t xml:space="preserve">on a tax credit program by tax credit program basis. </w:t>
      </w:r>
      <w:r w:rsidR="005700E1">
        <w:rPr>
          <w:b w:val="0"/>
          <w:szCs w:val="22"/>
        </w:rPr>
        <w:t>This proposed ASU was exposed in August 2022, with comments due Oct. 6, 2022. A final ASU is expected later in 2022 or early in 2023</w:t>
      </w:r>
      <w:r w:rsidR="00A40C26">
        <w:rPr>
          <w:b w:val="0"/>
          <w:szCs w:val="22"/>
        </w:rPr>
        <w:t xml:space="preserve"> (ASU 2023-02 was issued in March of 2023)</w:t>
      </w:r>
      <w:r w:rsidR="005700E1">
        <w:rPr>
          <w:b w:val="0"/>
          <w:szCs w:val="22"/>
        </w:rPr>
        <w:t xml:space="preserve">. </w:t>
      </w:r>
    </w:p>
    <w:p w14:paraId="6355ADE4" w14:textId="77777777" w:rsidR="00F878B4" w:rsidRDefault="00F878B4" w:rsidP="00F8196C">
      <w:pPr>
        <w:pStyle w:val="BodyText2"/>
        <w:rPr>
          <w:b w:val="0"/>
          <w:szCs w:val="22"/>
        </w:rPr>
      </w:pPr>
    </w:p>
    <w:p w14:paraId="0021FE6A" w14:textId="3E29F73E" w:rsidR="00D05B9D" w:rsidRDefault="00D05B9D" w:rsidP="00F8196C">
      <w:pPr>
        <w:pStyle w:val="BodyText2"/>
        <w:rPr>
          <w:b w:val="0"/>
          <w:szCs w:val="22"/>
        </w:rPr>
      </w:pPr>
      <w:r w:rsidRPr="00173F9B">
        <w:rPr>
          <w:b w:val="0"/>
          <w:szCs w:val="22"/>
          <w:u w:val="single"/>
        </w:rPr>
        <w:t>IRS Provisions</w:t>
      </w:r>
      <w:r>
        <w:rPr>
          <w:b w:val="0"/>
          <w:szCs w:val="22"/>
        </w:rPr>
        <w:t xml:space="preserve"> </w:t>
      </w:r>
      <w:r w:rsidR="00A6777B">
        <w:rPr>
          <w:b w:val="0"/>
          <w:szCs w:val="22"/>
        </w:rPr>
        <w:t>–</w:t>
      </w:r>
      <w:r>
        <w:rPr>
          <w:b w:val="0"/>
          <w:szCs w:val="22"/>
        </w:rPr>
        <w:t xml:space="preserve"> </w:t>
      </w:r>
      <w:r w:rsidR="00261DC7">
        <w:rPr>
          <w:b w:val="0"/>
          <w:szCs w:val="22"/>
        </w:rPr>
        <w:t>The NMTC is capt</w:t>
      </w:r>
      <w:r w:rsidR="006514EB">
        <w:rPr>
          <w:b w:val="0"/>
          <w:szCs w:val="22"/>
        </w:rPr>
        <w:t xml:space="preserve">ured as a </w:t>
      </w:r>
      <w:r w:rsidR="00C22169">
        <w:rPr>
          <w:b w:val="0"/>
          <w:szCs w:val="22"/>
        </w:rPr>
        <w:t xml:space="preserve">nonrefundable </w:t>
      </w:r>
      <w:r w:rsidR="006514EB">
        <w:rPr>
          <w:b w:val="0"/>
          <w:szCs w:val="22"/>
        </w:rPr>
        <w:t xml:space="preserve">‘general business credit’ </w:t>
      </w:r>
      <w:r w:rsidR="00CE5D4C">
        <w:rPr>
          <w:b w:val="0"/>
          <w:szCs w:val="22"/>
        </w:rPr>
        <w:t xml:space="preserve">and is limited to tax liability. </w:t>
      </w:r>
      <w:r w:rsidR="001C36AB">
        <w:rPr>
          <w:b w:val="0"/>
          <w:szCs w:val="22"/>
        </w:rPr>
        <w:t>If tax liability is not sufficient</w:t>
      </w:r>
      <w:r w:rsidR="00C22169">
        <w:rPr>
          <w:b w:val="0"/>
          <w:szCs w:val="22"/>
        </w:rPr>
        <w:t xml:space="preserve"> to take the credit</w:t>
      </w:r>
      <w:r w:rsidR="001C36AB">
        <w:rPr>
          <w:b w:val="0"/>
          <w:szCs w:val="22"/>
        </w:rPr>
        <w:t xml:space="preserve">, then the tax credit is subject to carryforward / carryback provisions. </w:t>
      </w:r>
      <w:r w:rsidR="00A26908">
        <w:rPr>
          <w:b w:val="0"/>
          <w:szCs w:val="22"/>
        </w:rPr>
        <w:t xml:space="preserve">Per instructions from the </w:t>
      </w:r>
      <w:r w:rsidR="00A26908" w:rsidRPr="00647BB4">
        <w:rPr>
          <w:b w:val="0"/>
          <w:i/>
          <w:szCs w:val="22"/>
        </w:rPr>
        <w:t>2021 Instructions for Form 3800 – General Business Credit</w:t>
      </w:r>
      <w:r w:rsidR="00A26908">
        <w:rPr>
          <w:b w:val="0"/>
          <w:szCs w:val="22"/>
        </w:rPr>
        <w:t xml:space="preserve">, </w:t>
      </w:r>
      <w:r w:rsidR="00B5744A">
        <w:rPr>
          <w:b w:val="0"/>
          <w:szCs w:val="22"/>
        </w:rPr>
        <w:t>general business credits that cannot be used because of a tax liability limit are first ca</w:t>
      </w:r>
      <w:r w:rsidR="008E1747">
        <w:rPr>
          <w:b w:val="0"/>
          <w:szCs w:val="22"/>
        </w:rPr>
        <w:t xml:space="preserve">rried-back 1 year </w:t>
      </w:r>
      <w:r w:rsidR="00ED74F9">
        <w:rPr>
          <w:b w:val="0"/>
          <w:szCs w:val="22"/>
        </w:rPr>
        <w:t xml:space="preserve">through an amended return. </w:t>
      </w:r>
      <w:r w:rsidR="00434207">
        <w:rPr>
          <w:b w:val="0"/>
          <w:szCs w:val="22"/>
        </w:rPr>
        <w:t xml:space="preserve">If there are unused credits after carrying back 1 year, </w:t>
      </w:r>
      <w:r w:rsidR="007D3867">
        <w:rPr>
          <w:b w:val="0"/>
          <w:szCs w:val="22"/>
        </w:rPr>
        <w:t>the tax credit</w:t>
      </w:r>
      <w:r w:rsidR="00274005">
        <w:rPr>
          <w:b w:val="0"/>
          <w:szCs w:val="22"/>
        </w:rPr>
        <w:t xml:space="preserve"> can be carried forward to each of the 20 tax years after the year of the credit. </w:t>
      </w:r>
    </w:p>
    <w:p w14:paraId="670CCD52" w14:textId="77777777" w:rsidR="000B4849" w:rsidRDefault="000B4849" w:rsidP="00F8196C">
      <w:pPr>
        <w:pStyle w:val="BodyText2"/>
        <w:rPr>
          <w:b w:val="0"/>
          <w:szCs w:val="22"/>
        </w:rPr>
      </w:pPr>
    </w:p>
    <w:p w14:paraId="00BE7D0F" w14:textId="5D15FAF9" w:rsidR="000B4849" w:rsidRDefault="000B4849" w:rsidP="00F8196C">
      <w:pPr>
        <w:pStyle w:val="BodyText2"/>
        <w:rPr>
          <w:b w:val="0"/>
          <w:szCs w:val="22"/>
        </w:rPr>
      </w:pPr>
      <w:r w:rsidRPr="000B4849">
        <w:rPr>
          <w:b w:val="0"/>
          <w:szCs w:val="22"/>
          <w:u w:val="single"/>
        </w:rPr>
        <w:t>Inflation Reduction Act Provisions</w:t>
      </w:r>
      <w:r>
        <w:rPr>
          <w:b w:val="0"/>
          <w:szCs w:val="22"/>
        </w:rPr>
        <w:t xml:space="preserve"> </w:t>
      </w:r>
      <w:r w:rsidR="00A914A2">
        <w:rPr>
          <w:b w:val="0"/>
          <w:szCs w:val="22"/>
        </w:rPr>
        <w:t>–</w:t>
      </w:r>
      <w:r>
        <w:rPr>
          <w:b w:val="0"/>
          <w:szCs w:val="22"/>
        </w:rPr>
        <w:t xml:space="preserve"> </w:t>
      </w:r>
      <w:r w:rsidR="00A914A2">
        <w:rPr>
          <w:b w:val="0"/>
          <w:szCs w:val="22"/>
        </w:rPr>
        <w:t xml:space="preserve">The Inflation Reduction Act was signed by President Biden on Aug. 16, 2022. </w:t>
      </w:r>
      <w:r w:rsidR="00FA6401">
        <w:rPr>
          <w:b w:val="0"/>
          <w:szCs w:val="22"/>
        </w:rPr>
        <w:t xml:space="preserve">Although there are several elements within the Act, </w:t>
      </w:r>
      <w:r w:rsidR="00A97E6A">
        <w:rPr>
          <w:b w:val="0"/>
          <w:szCs w:val="22"/>
        </w:rPr>
        <w:t xml:space="preserve">it includes a 15% corporate minimum tax rate for corporations with at least $1 billion in income and includes </w:t>
      </w:r>
      <w:r w:rsidR="006130B6">
        <w:rPr>
          <w:b w:val="0"/>
          <w:szCs w:val="22"/>
        </w:rPr>
        <w:t xml:space="preserve">numerous investments in climate protection, </w:t>
      </w:r>
      <w:r w:rsidR="007A1BA8">
        <w:rPr>
          <w:b w:val="0"/>
          <w:szCs w:val="22"/>
        </w:rPr>
        <w:t>clean energy production and tax credit</w:t>
      </w:r>
      <w:r w:rsidR="009505EC">
        <w:rPr>
          <w:b w:val="0"/>
          <w:szCs w:val="22"/>
        </w:rPr>
        <w:t>s</w:t>
      </w:r>
      <w:r w:rsidR="007A1BA8">
        <w:rPr>
          <w:b w:val="0"/>
          <w:szCs w:val="22"/>
        </w:rPr>
        <w:t xml:space="preserve"> aimed at reducing carbon emissions.</w:t>
      </w:r>
      <w:r w:rsidR="00FF2813">
        <w:rPr>
          <w:b w:val="0"/>
          <w:szCs w:val="22"/>
        </w:rPr>
        <w:t xml:space="preserve"> Although the Act has been signed, several elements are pending further application guidance</w:t>
      </w:r>
      <w:r w:rsidR="004B3F4D">
        <w:rPr>
          <w:b w:val="0"/>
          <w:szCs w:val="22"/>
        </w:rPr>
        <w:t xml:space="preserve">. </w:t>
      </w:r>
      <w:r w:rsidR="00175E8C">
        <w:rPr>
          <w:b w:val="0"/>
          <w:szCs w:val="22"/>
        </w:rPr>
        <w:t xml:space="preserve">From preliminary information, </w:t>
      </w:r>
      <w:r w:rsidR="0018548A">
        <w:rPr>
          <w:b w:val="0"/>
          <w:szCs w:val="22"/>
        </w:rPr>
        <w:t xml:space="preserve">the act allows for general business credits, such as the low-income housing tax credit (LIHTC), new markets tax credit (NMTC), historic tax credit (HTC) and renewable energy tax credits (RETCs) to be taken against the minimum tax. </w:t>
      </w:r>
      <w:r w:rsidR="00640B70" w:rsidRPr="001B16DB">
        <w:rPr>
          <w:bCs w:val="0"/>
          <w:szCs w:val="22"/>
        </w:rPr>
        <w:t xml:space="preserve">However, further monitoring of </w:t>
      </w:r>
      <w:r w:rsidR="007B6716" w:rsidRPr="001B16DB">
        <w:rPr>
          <w:bCs w:val="0"/>
          <w:szCs w:val="22"/>
        </w:rPr>
        <w:t xml:space="preserve">application / interpretation </w:t>
      </w:r>
      <w:r w:rsidR="0084330C" w:rsidRPr="001B16DB">
        <w:rPr>
          <w:bCs w:val="0"/>
          <w:szCs w:val="22"/>
        </w:rPr>
        <w:t xml:space="preserve">guidance </w:t>
      </w:r>
      <w:r w:rsidR="002D162A">
        <w:rPr>
          <w:bCs w:val="0"/>
          <w:szCs w:val="22"/>
        </w:rPr>
        <w:t xml:space="preserve">that is still forthcoming </w:t>
      </w:r>
      <w:r w:rsidR="0084330C" w:rsidRPr="001B16DB">
        <w:rPr>
          <w:bCs w:val="0"/>
          <w:szCs w:val="22"/>
        </w:rPr>
        <w:t xml:space="preserve">is required to assess the actual application </w:t>
      </w:r>
      <w:r w:rsidR="00BF1A55" w:rsidRPr="001B16DB">
        <w:rPr>
          <w:bCs w:val="0"/>
          <w:szCs w:val="22"/>
        </w:rPr>
        <w:t>and impact of tax credits on companies subject to the minimum tax.</w:t>
      </w:r>
    </w:p>
    <w:p w14:paraId="2D56BE29" w14:textId="77777777" w:rsidR="000F17DA" w:rsidRDefault="000F17DA" w:rsidP="00F8196C">
      <w:pPr>
        <w:pStyle w:val="BodyText2"/>
        <w:rPr>
          <w:b w:val="0"/>
          <w:szCs w:val="22"/>
        </w:rPr>
      </w:pPr>
    </w:p>
    <w:p w14:paraId="46D477D0" w14:textId="671275A3" w:rsidR="00AD5AA8" w:rsidRPr="00BE1CD3" w:rsidRDefault="00AD5AA8" w:rsidP="00F8196C">
      <w:pPr>
        <w:pStyle w:val="BodyText2"/>
        <w:rPr>
          <w:b w:val="0"/>
          <w:szCs w:val="22"/>
          <w:u w:val="single"/>
        </w:rPr>
      </w:pPr>
      <w:r w:rsidRPr="00BE1CD3">
        <w:rPr>
          <w:b w:val="0"/>
          <w:szCs w:val="22"/>
          <w:u w:val="single"/>
        </w:rPr>
        <w:t xml:space="preserve">Statutory Accounting Considerations: </w:t>
      </w:r>
    </w:p>
    <w:p w14:paraId="5DF23A0E" w14:textId="77777777" w:rsidR="003F572C" w:rsidRDefault="003F572C" w:rsidP="00F8196C">
      <w:pPr>
        <w:pStyle w:val="BodyText2"/>
        <w:rPr>
          <w:b w:val="0"/>
          <w:szCs w:val="22"/>
        </w:rPr>
      </w:pPr>
    </w:p>
    <w:p w14:paraId="5E94529C" w14:textId="14DDB0DD" w:rsidR="00AD5AA8" w:rsidRDefault="003E28CF" w:rsidP="009E06CC">
      <w:pPr>
        <w:pStyle w:val="BodyText2"/>
        <w:numPr>
          <w:ilvl w:val="0"/>
          <w:numId w:val="40"/>
        </w:numPr>
        <w:ind w:left="360"/>
        <w:rPr>
          <w:b w:val="0"/>
          <w:szCs w:val="22"/>
        </w:rPr>
      </w:pPr>
      <w:r>
        <w:rPr>
          <w:b w:val="0"/>
          <w:szCs w:val="22"/>
        </w:rPr>
        <w:t>Although th</w:t>
      </w:r>
      <w:r w:rsidR="00D9483B">
        <w:rPr>
          <w:b w:val="0"/>
          <w:szCs w:val="22"/>
        </w:rPr>
        <w:t xml:space="preserve">e </w:t>
      </w:r>
      <w:r w:rsidR="00A21D7C">
        <w:rPr>
          <w:b w:val="0"/>
          <w:szCs w:val="22"/>
        </w:rPr>
        <w:t>design</w:t>
      </w:r>
      <w:r w:rsidR="00D9483B">
        <w:rPr>
          <w:b w:val="0"/>
          <w:szCs w:val="22"/>
        </w:rPr>
        <w:t xml:space="preserve"> </w:t>
      </w:r>
      <w:r w:rsidR="0027541F">
        <w:rPr>
          <w:b w:val="0"/>
          <w:szCs w:val="22"/>
        </w:rPr>
        <w:t>is</w:t>
      </w:r>
      <w:r w:rsidR="00D9483B">
        <w:rPr>
          <w:b w:val="0"/>
          <w:szCs w:val="22"/>
        </w:rPr>
        <w:t xml:space="preserve"> an equity investment</w:t>
      </w:r>
      <w:r w:rsidR="0027541F">
        <w:rPr>
          <w:b w:val="0"/>
          <w:szCs w:val="22"/>
        </w:rPr>
        <w:t xml:space="preserve"> of stock or interest in a corporation or partnership, </w:t>
      </w:r>
      <w:r w:rsidR="00C31420">
        <w:rPr>
          <w:b w:val="0"/>
          <w:szCs w:val="22"/>
        </w:rPr>
        <w:t xml:space="preserve">which would </w:t>
      </w:r>
      <w:r w:rsidR="00734E48">
        <w:rPr>
          <w:b w:val="0"/>
          <w:szCs w:val="22"/>
        </w:rPr>
        <w:t xml:space="preserve">normally </w:t>
      </w:r>
      <w:r w:rsidR="00C31420">
        <w:rPr>
          <w:b w:val="0"/>
          <w:szCs w:val="22"/>
        </w:rPr>
        <w:t xml:space="preserve">be subject to </w:t>
      </w:r>
      <w:r w:rsidR="00C31420" w:rsidRPr="005141C7">
        <w:rPr>
          <w:b w:val="0"/>
          <w:i/>
          <w:szCs w:val="22"/>
        </w:rPr>
        <w:t>SSAP No. 48</w:t>
      </w:r>
      <w:r w:rsidR="005F27C1" w:rsidRPr="005141C7">
        <w:rPr>
          <w:b w:val="0"/>
          <w:i/>
          <w:szCs w:val="22"/>
        </w:rPr>
        <w:t>—</w:t>
      </w:r>
      <w:r w:rsidR="009430E3" w:rsidRPr="005141C7">
        <w:rPr>
          <w:b w:val="0"/>
          <w:i/>
          <w:szCs w:val="22"/>
        </w:rPr>
        <w:t xml:space="preserve">Joint Ventures, Partnerships and Limited Liability </w:t>
      </w:r>
      <w:r w:rsidR="009430E3" w:rsidRPr="005141C7">
        <w:rPr>
          <w:b w:val="0"/>
          <w:i/>
          <w:iCs/>
          <w:szCs w:val="22"/>
        </w:rPr>
        <w:t>C</w:t>
      </w:r>
      <w:r w:rsidR="005141C7" w:rsidRPr="005141C7">
        <w:rPr>
          <w:b w:val="0"/>
          <w:i/>
          <w:iCs/>
          <w:szCs w:val="22"/>
        </w:rPr>
        <w:t>o</w:t>
      </w:r>
      <w:r w:rsidR="009430E3" w:rsidRPr="005141C7">
        <w:rPr>
          <w:b w:val="0"/>
          <w:i/>
          <w:iCs/>
          <w:szCs w:val="22"/>
        </w:rPr>
        <w:t>mpanies</w:t>
      </w:r>
      <w:r w:rsidR="00C31420">
        <w:rPr>
          <w:b w:val="0"/>
          <w:szCs w:val="22"/>
        </w:rPr>
        <w:t xml:space="preserve">, </w:t>
      </w:r>
      <w:r w:rsidR="005338B9">
        <w:rPr>
          <w:b w:val="0"/>
          <w:szCs w:val="22"/>
        </w:rPr>
        <w:t xml:space="preserve">the intent of </w:t>
      </w:r>
      <w:r w:rsidR="009E06CC">
        <w:rPr>
          <w:b w:val="0"/>
          <w:szCs w:val="22"/>
        </w:rPr>
        <w:t>NMTC</w:t>
      </w:r>
      <w:r w:rsidR="00C31420">
        <w:rPr>
          <w:b w:val="0"/>
          <w:szCs w:val="22"/>
        </w:rPr>
        <w:t xml:space="preserve"> investments </w:t>
      </w:r>
      <w:r w:rsidR="005338B9">
        <w:rPr>
          <w:b w:val="0"/>
          <w:szCs w:val="22"/>
        </w:rPr>
        <w:t xml:space="preserve">is </w:t>
      </w:r>
      <w:r w:rsidR="00096B0D">
        <w:rPr>
          <w:b w:val="0"/>
          <w:szCs w:val="22"/>
        </w:rPr>
        <w:t xml:space="preserve">for </w:t>
      </w:r>
      <w:r w:rsidR="005338B9">
        <w:rPr>
          <w:b w:val="0"/>
          <w:szCs w:val="22"/>
        </w:rPr>
        <w:t xml:space="preserve">tax credits </w:t>
      </w:r>
      <w:r w:rsidR="00094931">
        <w:rPr>
          <w:b w:val="0"/>
          <w:szCs w:val="22"/>
        </w:rPr>
        <w:t xml:space="preserve">and </w:t>
      </w:r>
      <w:r w:rsidR="00C5431B">
        <w:rPr>
          <w:b w:val="0"/>
          <w:szCs w:val="22"/>
        </w:rPr>
        <w:t xml:space="preserve">not </w:t>
      </w:r>
      <w:r w:rsidR="00F27BF5">
        <w:rPr>
          <w:b w:val="0"/>
          <w:szCs w:val="22"/>
        </w:rPr>
        <w:t>equity returns</w:t>
      </w:r>
      <w:r w:rsidR="00110932">
        <w:rPr>
          <w:b w:val="0"/>
          <w:szCs w:val="22"/>
        </w:rPr>
        <w:t xml:space="preserve">. </w:t>
      </w:r>
      <w:r w:rsidR="006E75A7">
        <w:rPr>
          <w:b w:val="0"/>
          <w:szCs w:val="22"/>
        </w:rPr>
        <w:t>As such,</w:t>
      </w:r>
      <w:r w:rsidR="00216D66">
        <w:rPr>
          <w:b w:val="0"/>
          <w:szCs w:val="22"/>
        </w:rPr>
        <w:t xml:space="preserve"> this </w:t>
      </w:r>
      <w:r w:rsidR="001127F5">
        <w:rPr>
          <w:b w:val="0"/>
          <w:szCs w:val="22"/>
        </w:rPr>
        <w:t>structure</w:t>
      </w:r>
      <w:r w:rsidR="00216D66">
        <w:rPr>
          <w:b w:val="0"/>
          <w:szCs w:val="22"/>
        </w:rPr>
        <w:t xml:space="preserve"> is </w:t>
      </w:r>
      <w:r w:rsidR="00110932">
        <w:rPr>
          <w:b w:val="0"/>
          <w:szCs w:val="22"/>
        </w:rPr>
        <w:t xml:space="preserve">closer to </w:t>
      </w:r>
      <w:r w:rsidR="006E75A7">
        <w:rPr>
          <w:b w:val="0"/>
          <w:szCs w:val="22"/>
        </w:rPr>
        <w:t>the existing</w:t>
      </w:r>
      <w:r w:rsidR="003672EC">
        <w:rPr>
          <w:b w:val="0"/>
          <w:szCs w:val="22"/>
        </w:rPr>
        <w:t xml:space="preserve"> </w:t>
      </w:r>
      <w:r w:rsidR="00E744E0">
        <w:rPr>
          <w:b w:val="0"/>
          <w:szCs w:val="22"/>
        </w:rPr>
        <w:t>low-income</w:t>
      </w:r>
      <w:r w:rsidR="003672EC">
        <w:rPr>
          <w:b w:val="0"/>
          <w:szCs w:val="22"/>
        </w:rPr>
        <w:t xml:space="preserve"> housing tax credits</w:t>
      </w:r>
      <w:r w:rsidR="001127F5">
        <w:rPr>
          <w:b w:val="0"/>
          <w:szCs w:val="22"/>
        </w:rPr>
        <w:t xml:space="preserve"> guidance in SSAP No. 93</w:t>
      </w:r>
      <w:r w:rsidR="003672EC">
        <w:rPr>
          <w:b w:val="0"/>
          <w:szCs w:val="22"/>
        </w:rPr>
        <w:t xml:space="preserve"> </w:t>
      </w:r>
      <w:r w:rsidR="00E744E0">
        <w:rPr>
          <w:b w:val="0"/>
          <w:szCs w:val="22"/>
        </w:rPr>
        <w:t xml:space="preserve">than the partnership / LLC </w:t>
      </w:r>
      <w:r w:rsidR="00096B0D">
        <w:rPr>
          <w:b w:val="0"/>
          <w:szCs w:val="22"/>
        </w:rPr>
        <w:t>guidance in SSAP No. 48.</w:t>
      </w:r>
      <w:r w:rsidR="00D9483B">
        <w:rPr>
          <w:b w:val="0"/>
          <w:szCs w:val="22"/>
        </w:rPr>
        <w:t xml:space="preserve"> </w:t>
      </w:r>
    </w:p>
    <w:p w14:paraId="27312CE3" w14:textId="77777777" w:rsidR="001D37C2" w:rsidRDefault="001D37C2" w:rsidP="009E06CC">
      <w:pPr>
        <w:pStyle w:val="BodyText2"/>
        <w:ind w:left="360"/>
        <w:rPr>
          <w:b w:val="0"/>
          <w:szCs w:val="22"/>
        </w:rPr>
      </w:pPr>
    </w:p>
    <w:p w14:paraId="22483BE2" w14:textId="4823EBBE" w:rsidR="00305EFE" w:rsidRDefault="009C1F16" w:rsidP="009E06CC">
      <w:pPr>
        <w:pStyle w:val="BodyText2"/>
        <w:numPr>
          <w:ilvl w:val="0"/>
          <w:numId w:val="40"/>
        </w:numPr>
        <w:ind w:left="360"/>
        <w:rPr>
          <w:b w:val="0"/>
          <w:szCs w:val="22"/>
        </w:rPr>
      </w:pPr>
      <w:r>
        <w:rPr>
          <w:b w:val="0"/>
          <w:szCs w:val="22"/>
        </w:rPr>
        <w:t xml:space="preserve">Although </w:t>
      </w:r>
      <w:r w:rsidRPr="001D37C2">
        <w:rPr>
          <w:b w:val="0"/>
          <w:i/>
          <w:szCs w:val="22"/>
        </w:rPr>
        <w:t>SSAP No. 93—Low Income Housing Tax Credit Property Investments</w:t>
      </w:r>
      <w:r>
        <w:rPr>
          <w:b w:val="0"/>
          <w:szCs w:val="22"/>
        </w:rPr>
        <w:t xml:space="preserve"> provides guidance for </w:t>
      </w:r>
      <w:r w:rsidR="00B90D62">
        <w:rPr>
          <w:b w:val="0"/>
          <w:szCs w:val="22"/>
        </w:rPr>
        <w:t xml:space="preserve">an equity investment, that provides tax credits with a limited (or zero) residual </w:t>
      </w:r>
      <w:r w:rsidR="001D37C2">
        <w:rPr>
          <w:b w:val="0"/>
          <w:szCs w:val="22"/>
        </w:rPr>
        <w:t xml:space="preserve">investment </w:t>
      </w:r>
      <w:r w:rsidR="00B90D62">
        <w:rPr>
          <w:b w:val="0"/>
          <w:szCs w:val="22"/>
        </w:rPr>
        <w:t xml:space="preserve">value, </w:t>
      </w:r>
      <w:r w:rsidR="00193099">
        <w:rPr>
          <w:b w:val="0"/>
          <w:szCs w:val="22"/>
        </w:rPr>
        <w:t>the guidance in SSAP N</w:t>
      </w:r>
      <w:r w:rsidR="001D37C2">
        <w:rPr>
          <w:b w:val="0"/>
          <w:szCs w:val="22"/>
        </w:rPr>
        <w:t>o</w:t>
      </w:r>
      <w:r w:rsidR="00193099">
        <w:rPr>
          <w:b w:val="0"/>
          <w:szCs w:val="22"/>
        </w:rPr>
        <w:t>. 93 is specific to LIHTC programs</w:t>
      </w:r>
      <w:r w:rsidR="006664C9">
        <w:rPr>
          <w:b w:val="0"/>
          <w:szCs w:val="22"/>
        </w:rPr>
        <w:t xml:space="preserve">. </w:t>
      </w:r>
    </w:p>
    <w:p w14:paraId="207B89FC" w14:textId="77777777" w:rsidR="00C10E60" w:rsidRDefault="00C10E60" w:rsidP="00C10E60">
      <w:pPr>
        <w:pStyle w:val="ListParagraph"/>
        <w:rPr>
          <w:b/>
          <w:szCs w:val="22"/>
        </w:rPr>
      </w:pPr>
    </w:p>
    <w:p w14:paraId="1396EFD5" w14:textId="58C6F1E7" w:rsidR="00C10E60" w:rsidRDefault="00A94F3D" w:rsidP="009E06CC">
      <w:pPr>
        <w:pStyle w:val="BodyText2"/>
        <w:numPr>
          <w:ilvl w:val="0"/>
          <w:numId w:val="40"/>
        </w:numPr>
        <w:ind w:left="360"/>
        <w:rPr>
          <w:b w:val="0"/>
          <w:szCs w:val="22"/>
        </w:rPr>
      </w:pPr>
      <w:r>
        <w:rPr>
          <w:b w:val="0"/>
          <w:szCs w:val="22"/>
        </w:rPr>
        <w:t xml:space="preserve">It has been identified that there are structures that have been designed to </w:t>
      </w:r>
      <w:r w:rsidR="00B360AF">
        <w:rPr>
          <w:b w:val="0"/>
          <w:szCs w:val="22"/>
        </w:rPr>
        <w:t>resemble fixed-income notes</w:t>
      </w:r>
      <w:r w:rsidR="007944F1">
        <w:rPr>
          <w:b w:val="0"/>
          <w:szCs w:val="22"/>
        </w:rPr>
        <w:t xml:space="preserve"> </w:t>
      </w:r>
      <w:r w:rsidR="005705DF">
        <w:rPr>
          <w:b w:val="0"/>
          <w:szCs w:val="22"/>
        </w:rPr>
        <w:t xml:space="preserve">that do not pay regular cash interest, but rather provide </w:t>
      </w:r>
      <w:r w:rsidR="00D63A0A">
        <w:rPr>
          <w:b w:val="0"/>
          <w:szCs w:val="22"/>
        </w:rPr>
        <w:t xml:space="preserve">NMTC </w:t>
      </w:r>
      <w:r w:rsidR="005705DF">
        <w:rPr>
          <w:b w:val="0"/>
          <w:szCs w:val="22"/>
        </w:rPr>
        <w:t>tax credits</w:t>
      </w:r>
      <w:r w:rsidR="00D63A0A">
        <w:rPr>
          <w:b w:val="0"/>
          <w:szCs w:val="22"/>
        </w:rPr>
        <w:t xml:space="preserve"> as interest returns</w:t>
      </w:r>
      <w:r w:rsidR="005705DF">
        <w:rPr>
          <w:b w:val="0"/>
          <w:szCs w:val="22"/>
        </w:rPr>
        <w:t xml:space="preserve">. </w:t>
      </w:r>
      <w:r w:rsidR="00392764">
        <w:rPr>
          <w:b w:val="0"/>
          <w:szCs w:val="22"/>
        </w:rPr>
        <w:t xml:space="preserve">These structures are in substance that same as </w:t>
      </w:r>
      <w:r w:rsidR="003D7C55">
        <w:rPr>
          <w:b w:val="0"/>
          <w:szCs w:val="22"/>
        </w:rPr>
        <w:t>other</w:t>
      </w:r>
      <w:r w:rsidR="00392764">
        <w:rPr>
          <w:b w:val="0"/>
          <w:szCs w:val="22"/>
        </w:rPr>
        <w:t xml:space="preserve"> investments in NMTC, w</w:t>
      </w:r>
      <w:r w:rsidR="007367DE">
        <w:rPr>
          <w:b w:val="0"/>
          <w:szCs w:val="22"/>
        </w:rPr>
        <w:t>ith</w:t>
      </w:r>
      <w:r w:rsidR="00392764">
        <w:rPr>
          <w:b w:val="0"/>
          <w:szCs w:val="22"/>
        </w:rPr>
        <w:t xml:space="preserve"> an underlying equity interest </w:t>
      </w:r>
      <w:r w:rsidR="00547E79">
        <w:rPr>
          <w:b w:val="0"/>
          <w:szCs w:val="22"/>
        </w:rPr>
        <w:t>in the CDE</w:t>
      </w:r>
      <w:r w:rsidR="00B62A82">
        <w:rPr>
          <w:b w:val="0"/>
          <w:szCs w:val="22"/>
        </w:rPr>
        <w:t xml:space="preserve"> that generates tax credit</w:t>
      </w:r>
      <w:r w:rsidR="00CC51ED">
        <w:rPr>
          <w:b w:val="0"/>
          <w:szCs w:val="22"/>
        </w:rPr>
        <w:t>s</w:t>
      </w:r>
      <w:r w:rsidR="003D7C55">
        <w:rPr>
          <w:b w:val="0"/>
          <w:szCs w:val="22"/>
        </w:rPr>
        <w:t xml:space="preserve">. However, they </w:t>
      </w:r>
      <w:r w:rsidR="00392764">
        <w:rPr>
          <w:b w:val="0"/>
          <w:szCs w:val="22"/>
        </w:rPr>
        <w:t xml:space="preserve">have been structured </w:t>
      </w:r>
      <w:r w:rsidR="003D7C55">
        <w:rPr>
          <w:b w:val="0"/>
          <w:szCs w:val="22"/>
        </w:rPr>
        <w:t>with</w:t>
      </w:r>
      <w:r w:rsidR="00392764">
        <w:rPr>
          <w:b w:val="0"/>
          <w:szCs w:val="22"/>
        </w:rPr>
        <w:t xml:space="preserve"> a guarantee </w:t>
      </w:r>
      <w:r w:rsidR="00200367">
        <w:rPr>
          <w:b w:val="0"/>
          <w:szCs w:val="22"/>
        </w:rPr>
        <w:t xml:space="preserve">for compensatory interest </w:t>
      </w:r>
      <w:r w:rsidR="00223B02">
        <w:rPr>
          <w:b w:val="0"/>
          <w:szCs w:val="22"/>
        </w:rPr>
        <w:t xml:space="preserve">in the form of cash </w:t>
      </w:r>
      <w:proofErr w:type="gramStart"/>
      <w:r w:rsidR="00223B02">
        <w:rPr>
          <w:b w:val="0"/>
          <w:szCs w:val="22"/>
        </w:rPr>
        <w:t>for the amount of</w:t>
      </w:r>
      <w:proofErr w:type="gramEnd"/>
      <w:r w:rsidR="00223B02">
        <w:rPr>
          <w:b w:val="0"/>
          <w:szCs w:val="22"/>
        </w:rPr>
        <w:t xml:space="preserve"> the</w:t>
      </w:r>
      <w:r w:rsidR="00713259">
        <w:rPr>
          <w:b w:val="0"/>
          <w:szCs w:val="22"/>
        </w:rPr>
        <w:t xml:space="preserve"> tax credit expected to have been received that year.</w:t>
      </w:r>
      <w:r w:rsidR="009624DD">
        <w:rPr>
          <w:b w:val="0"/>
          <w:szCs w:val="22"/>
        </w:rPr>
        <w:t xml:space="preserve"> </w:t>
      </w:r>
      <w:r w:rsidR="003E5884">
        <w:rPr>
          <w:b w:val="0"/>
          <w:szCs w:val="22"/>
        </w:rPr>
        <w:t xml:space="preserve">These structures are also being considered </w:t>
      </w:r>
      <w:r w:rsidR="004475A4">
        <w:rPr>
          <w:b w:val="0"/>
          <w:szCs w:val="22"/>
        </w:rPr>
        <w:t xml:space="preserve">within scope of this agenda item. </w:t>
      </w:r>
      <w:r w:rsidR="00055811">
        <w:rPr>
          <w:b w:val="0"/>
          <w:szCs w:val="22"/>
        </w:rPr>
        <w:t xml:space="preserve">Such structures </w:t>
      </w:r>
      <w:proofErr w:type="gramStart"/>
      <w:r w:rsidR="00055811">
        <w:rPr>
          <w:b w:val="0"/>
          <w:szCs w:val="22"/>
        </w:rPr>
        <w:t>have to</w:t>
      </w:r>
      <w:proofErr w:type="gramEnd"/>
      <w:r w:rsidR="00055811">
        <w:rPr>
          <w:b w:val="0"/>
          <w:szCs w:val="22"/>
        </w:rPr>
        <w:t xml:space="preserve"> meet specific criteria to qualify for tax credits under the IRS rules. </w:t>
      </w:r>
    </w:p>
    <w:p w14:paraId="0CBAC211" w14:textId="77777777" w:rsidR="005700E1" w:rsidRDefault="005700E1" w:rsidP="005700E1">
      <w:pPr>
        <w:pStyle w:val="ListParagraph"/>
        <w:rPr>
          <w:b/>
          <w:szCs w:val="22"/>
        </w:rPr>
      </w:pPr>
    </w:p>
    <w:p w14:paraId="5631BE10" w14:textId="77777777" w:rsidR="0016700D" w:rsidRDefault="0016700D" w:rsidP="005700E1">
      <w:pPr>
        <w:pStyle w:val="ListParagraph"/>
        <w:rPr>
          <w:b/>
          <w:szCs w:val="22"/>
        </w:rPr>
      </w:pPr>
    </w:p>
    <w:p w14:paraId="0FFEAFEC" w14:textId="77777777" w:rsidR="00681DFC" w:rsidRDefault="002A1316" w:rsidP="00B30CA0">
      <w:pPr>
        <w:pStyle w:val="BodyText2"/>
        <w:rPr>
          <w:bCs w:val="0"/>
          <w:szCs w:val="22"/>
        </w:rPr>
      </w:pPr>
      <w:r w:rsidRPr="00016321">
        <w:rPr>
          <w:bCs w:val="0"/>
          <w:szCs w:val="22"/>
        </w:rPr>
        <w:t>Existing Authoritative Literature:</w:t>
      </w:r>
      <w:r w:rsidR="00296E66">
        <w:rPr>
          <w:bCs w:val="0"/>
          <w:szCs w:val="22"/>
        </w:rPr>
        <w:t xml:space="preserve"> </w:t>
      </w:r>
    </w:p>
    <w:p w14:paraId="0901A53E" w14:textId="77777777" w:rsidR="00433E0D" w:rsidRDefault="00433E0D" w:rsidP="00B30CA0">
      <w:pPr>
        <w:pStyle w:val="BodyText2"/>
        <w:rPr>
          <w:bCs w:val="0"/>
          <w:szCs w:val="22"/>
        </w:rPr>
      </w:pPr>
    </w:p>
    <w:p w14:paraId="1813791C" w14:textId="6B95E99D" w:rsidR="00433E0D" w:rsidRPr="0088714C" w:rsidRDefault="00433E0D" w:rsidP="00B30CA0">
      <w:pPr>
        <w:pStyle w:val="BodyText2"/>
        <w:rPr>
          <w:bCs w:val="0"/>
          <w:i/>
          <w:iCs/>
          <w:szCs w:val="22"/>
        </w:rPr>
      </w:pPr>
      <w:r w:rsidRPr="0088714C">
        <w:rPr>
          <w:bCs w:val="0"/>
          <w:i/>
          <w:iCs/>
          <w:szCs w:val="22"/>
        </w:rPr>
        <w:t>SSAP Authoritative Guidance:</w:t>
      </w:r>
    </w:p>
    <w:p w14:paraId="0435E978" w14:textId="77777777" w:rsidR="00C53443" w:rsidRDefault="00C53443" w:rsidP="00B30CA0">
      <w:pPr>
        <w:pStyle w:val="BodyText2"/>
        <w:rPr>
          <w:bCs w:val="0"/>
          <w:szCs w:val="22"/>
        </w:rPr>
      </w:pPr>
    </w:p>
    <w:p w14:paraId="760F2221" w14:textId="0EB28CAA" w:rsidR="00C53443" w:rsidRPr="00DA0E3E" w:rsidRDefault="009C655A" w:rsidP="00093997">
      <w:pPr>
        <w:pStyle w:val="BodyText2"/>
        <w:numPr>
          <w:ilvl w:val="0"/>
          <w:numId w:val="43"/>
        </w:numPr>
        <w:rPr>
          <w:bCs w:val="0"/>
          <w:szCs w:val="22"/>
          <w:u w:val="single"/>
        </w:rPr>
      </w:pPr>
      <w:r w:rsidRPr="00DA0E3E">
        <w:rPr>
          <w:bCs w:val="0"/>
          <w:szCs w:val="22"/>
          <w:u w:val="single"/>
        </w:rPr>
        <w:t>SSAP No. 93—Low Income Housing Tax Credit Property Investments</w:t>
      </w:r>
    </w:p>
    <w:p w14:paraId="1657FBB2" w14:textId="2DBCB6AF" w:rsidR="009632B9" w:rsidRDefault="009632B9" w:rsidP="009632B9">
      <w:pPr>
        <w:pStyle w:val="BodyText2"/>
        <w:ind w:left="360"/>
        <w:rPr>
          <w:b w:val="0"/>
          <w:szCs w:val="22"/>
        </w:rPr>
      </w:pPr>
      <w:r w:rsidRPr="00053F7A">
        <w:rPr>
          <w:b w:val="0"/>
          <w:szCs w:val="22"/>
        </w:rPr>
        <w:t xml:space="preserve">This </w:t>
      </w:r>
      <w:r w:rsidR="00E5134C">
        <w:rPr>
          <w:b w:val="0"/>
          <w:szCs w:val="22"/>
        </w:rPr>
        <w:t>statement</w:t>
      </w:r>
      <w:r w:rsidRPr="00053F7A">
        <w:rPr>
          <w:b w:val="0"/>
          <w:szCs w:val="22"/>
        </w:rPr>
        <w:t xml:space="preserve"> establishes accounting principles for investments in federal certain state sponsored </w:t>
      </w:r>
      <w:r w:rsidR="00054FF9" w:rsidRPr="00053F7A">
        <w:rPr>
          <w:b w:val="0"/>
          <w:szCs w:val="22"/>
        </w:rPr>
        <w:t xml:space="preserve">Low Income Housing Tax Credit (LIHTC) properties owned through limited liability </w:t>
      </w:r>
      <w:r w:rsidR="00053F7A" w:rsidRPr="00053F7A">
        <w:rPr>
          <w:b w:val="0"/>
          <w:szCs w:val="22"/>
        </w:rPr>
        <w:t xml:space="preserve">entities that are flow-through entities for tax purposes. </w:t>
      </w:r>
      <w:r w:rsidR="00A82676">
        <w:rPr>
          <w:b w:val="0"/>
          <w:szCs w:val="22"/>
        </w:rPr>
        <w:t xml:space="preserve">The guidance requires LIHTC investments </w:t>
      </w:r>
      <w:r w:rsidR="008875C5">
        <w:rPr>
          <w:b w:val="0"/>
          <w:szCs w:val="22"/>
        </w:rPr>
        <w:t xml:space="preserve">to be initially recorded at cost and carried at proportional amortized cost unless the investment is identified as impaired. </w:t>
      </w:r>
      <w:r w:rsidR="00BF4EBD">
        <w:rPr>
          <w:b w:val="0"/>
          <w:szCs w:val="22"/>
        </w:rPr>
        <w:t xml:space="preserve">Under </w:t>
      </w:r>
      <w:r w:rsidR="0054164B">
        <w:rPr>
          <w:b w:val="0"/>
          <w:szCs w:val="22"/>
        </w:rPr>
        <w:t xml:space="preserve">the </w:t>
      </w:r>
      <w:r w:rsidR="00BF4EBD">
        <w:rPr>
          <w:b w:val="0"/>
          <w:szCs w:val="22"/>
        </w:rPr>
        <w:t xml:space="preserve">proportional amortization method, </w:t>
      </w:r>
      <w:r w:rsidR="00562D61">
        <w:rPr>
          <w:b w:val="0"/>
          <w:szCs w:val="22"/>
        </w:rPr>
        <w:t xml:space="preserve">amortization of the </w:t>
      </w:r>
      <w:r w:rsidR="0054164B">
        <w:rPr>
          <w:b w:val="0"/>
          <w:szCs w:val="22"/>
        </w:rPr>
        <w:t xml:space="preserve">LLC </w:t>
      </w:r>
      <w:r w:rsidR="00562D61">
        <w:rPr>
          <w:b w:val="0"/>
          <w:szCs w:val="22"/>
        </w:rPr>
        <w:t>investment is recognized in the income statement as a component of net investment income/expense</w:t>
      </w:r>
      <w:r w:rsidR="00EE5479">
        <w:rPr>
          <w:b w:val="0"/>
          <w:szCs w:val="22"/>
        </w:rPr>
        <w:t xml:space="preserve"> and the current tax credit is accounted for as a component of income tax expense</w:t>
      </w:r>
      <w:r w:rsidR="008B00A5">
        <w:rPr>
          <w:b w:val="0"/>
          <w:szCs w:val="22"/>
        </w:rPr>
        <w:t xml:space="preserve">: </w:t>
      </w:r>
    </w:p>
    <w:p w14:paraId="312A535A" w14:textId="77777777" w:rsidR="008B00A5" w:rsidRDefault="008B00A5" w:rsidP="009632B9">
      <w:pPr>
        <w:pStyle w:val="BodyText2"/>
        <w:ind w:left="360"/>
        <w:rPr>
          <w:b w:val="0"/>
          <w:szCs w:val="22"/>
        </w:rPr>
      </w:pPr>
    </w:p>
    <w:p w14:paraId="2257C9B0" w14:textId="573AC9CF" w:rsidR="008B00A5" w:rsidRDefault="008B00A5" w:rsidP="008B00A5">
      <w:pPr>
        <w:pStyle w:val="BodyText2"/>
        <w:numPr>
          <w:ilvl w:val="1"/>
          <w:numId w:val="43"/>
        </w:numPr>
        <w:rPr>
          <w:b w:val="0"/>
          <w:szCs w:val="22"/>
        </w:rPr>
      </w:pPr>
      <w:r>
        <w:rPr>
          <w:b w:val="0"/>
          <w:szCs w:val="22"/>
        </w:rPr>
        <w:t xml:space="preserve">Federal tax credits are recognized in the income statement as an offset to federal taxes in the tax reporting year in which the tax credit is utilized in accordance with </w:t>
      </w:r>
      <w:r w:rsidRPr="00B97C7C">
        <w:rPr>
          <w:b w:val="0"/>
          <w:i/>
          <w:iCs/>
          <w:szCs w:val="22"/>
        </w:rPr>
        <w:t>SSAP No. 101—Income Taxes</w:t>
      </w:r>
      <w:r>
        <w:rPr>
          <w:b w:val="0"/>
          <w:szCs w:val="22"/>
        </w:rPr>
        <w:t xml:space="preserve">. </w:t>
      </w:r>
    </w:p>
    <w:p w14:paraId="04FD4CF6" w14:textId="77777777" w:rsidR="00564023" w:rsidRDefault="00564023" w:rsidP="00564023">
      <w:pPr>
        <w:pStyle w:val="BodyText2"/>
        <w:ind w:left="1080"/>
        <w:rPr>
          <w:b w:val="0"/>
          <w:szCs w:val="22"/>
        </w:rPr>
      </w:pPr>
    </w:p>
    <w:p w14:paraId="4F3166B7" w14:textId="3F937FE4" w:rsidR="00B97C7C" w:rsidRDefault="000F6124" w:rsidP="008B00A5">
      <w:pPr>
        <w:pStyle w:val="BodyText2"/>
        <w:numPr>
          <w:ilvl w:val="1"/>
          <w:numId w:val="43"/>
        </w:numPr>
        <w:rPr>
          <w:b w:val="0"/>
          <w:szCs w:val="22"/>
        </w:rPr>
      </w:pPr>
      <w:r>
        <w:rPr>
          <w:b w:val="0"/>
          <w:szCs w:val="22"/>
        </w:rPr>
        <w:t>State tax credits shall be recognized in the income statement as an offset to state premium tax or state income tax, whichever is applicable</w:t>
      </w:r>
      <w:r w:rsidR="00564023">
        <w:rPr>
          <w:b w:val="0"/>
          <w:szCs w:val="22"/>
        </w:rPr>
        <w:t xml:space="preserve">, in the tax-reporting year in which the credit is utilized. </w:t>
      </w:r>
    </w:p>
    <w:p w14:paraId="6172AA61" w14:textId="77777777" w:rsidR="00564023" w:rsidRDefault="00564023" w:rsidP="00564023">
      <w:pPr>
        <w:pStyle w:val="ListParagraph"/>
        <w:rPr>
          <w:b/>
          <w:szCs w:val="22"/>
        </w:rPr>
      </w:pPr>
    </w:p>
    <w:p w14:paraId="4868397F" w14:textId="41B511DD" w:rsidR="00564023" w:rsidRPr="00053F7A" w:rsidRDefault="00564023" w:rsidP="008B00A5">
      <w:pPr>
        <w:pStyle w:val="BodyText2"/>
        <w:numPr>
          <w:ilvl w:val="1"/>
          <w:numId w:val="43"/>
        </w:numPr>
        <w:rPr>
          <w:b w:val="0"/>
          <w:szCs w:val="22"/>
        </w:rPr>
      </w:pPr>
      <w:r>
        <w:rPr>
          <w:b w:val="0"/>
          <w:szCs w:val="22"/>
        </w:rPr>
        <w:t xml:space="preserve">Tax benefits received, </w:t>
      </w:r>
      <w:r w:rsidR="00DA0E3E">
        <w:rPr>
          <w:b w:val="0"/>
          <w:szCs w:val="22"/>
        </w:rPr>
        <w:t xml:space="preserve">other than tax credits, shall be accounted for pursuant to SSAP No. 101. </w:t>
      </w:r>
    </w:p>
    <w:p w14:paraId="725092EA" w14:textId="77777777" w:rsidR="009C655A" w:rsidRDefault="009C655A" w:rsidP="00B30CA0">
      <w:pPr>
        <w:pStyle w:val="BodyText2"/>
        <w:rPr>
          <w:bCs w:val="0"/>
          <w:szCs w:val="22"/>
        </w:rPr>
      </w:pPr>
    </w:p>
    <w:p w14:paraId="43F6ABE7" w14:textId="25B28053" w:rsidR="00681DFC" w:rsidRPr="004E74E7" w:rsidRDefault="00976B70" w:rsidP="00976B70">
      <w:pPr>
        <w:pStyle w:val="BodyText2"/>
        <w:ind w:left="720"/>
        <w:rPr>
          <w:b w:val="0"/>
          <w:szCs w:val="22"/>
        </w:rPr>
      </w:pPr>
      <w:r w:rsidRPr="004E74E7">
        <w:rPr>
          <w:b w:val="0"/>
          <w:szCs w:val="22"/>
        </w:rPr>
        <w:t xml:space="preserve">SSAP No. 93 </w:t>
      </w:r>
      <w:r w:rsidR="00F65AC4" w:rsidRPr="004E74E7">
        <w:rPr>
          <w:b w:val="0"/>
          <w:szCs w:val="22"/>
        </w:rPr>
        <w:t xml:space="preserve">indicates that immediate recognition of the entire benefit of the tax credit to be received during the term of the investment </w:t>
      </w:r>
      <w:r w:rsidR="00EF2FDB" w:rsidRPr="004E74E7">
        <w:rPr>
          <w:b w:val="0"/>
          <w:szCs w:val="22"/>
        </w:rPr>
        <w:t xml:space="preserve">in a low-income housing project is not appropriate. It also indicates that </w:t>
      </w:r>
      <w:r w:rsidR="004E74E7" w:rsidRPr="004E74E7">
        <w:rPr>
          <w:b w:val="0"/>
          <w:szCs w:val="22"/>
        </w:rPr>
        <w:t>low-income</w:t>
      </w:r>
      <w:r w:rsidR="00EF2FDB" w:rsidRPr="004E74E7">
        <w:rPr>
          <w:b w:val="0"/>
          <w:szCs w:val="22"/>
        </w:rPr>
        <w:t xml:space="preserve"> housing tax credits shall not be recognized in the financial statements before their inclusion </w:t>
      </w:r>
      <w:r w:rsidR="00385476">
        <w:rPr>
          <w:b w:val="0"/>
          <w:szCs w:val="22"/>
        </w:rPr>
        <w:t xml:space="preserve">in </w:t>
      </w:r>
      <w:r w:rsidR="00EF2FDB" w:rsidRPr="004E74E7">
        <w:rPr>
          <w:b w:val="0"/>
          <w:szCs w:val="22"/>
        </w:rPr>
        <w:t xml:space="preserve">the investor’s tax return. </w:t>
      </w:r>
    </w:p>
    <w:p w14:paraId="4CBE8FC0" w14:textId="77777777" w:rsidR="009D0DC7" w:rsidRDefault="009D0DC7" w:rsidP="009D0DC7">
      <w:pPr>
        <w:pStyle w:val="BodyText2"/>
        <w:ind w:left="720"/>
        <w:rPr>
          <w:bCs w:val="0"/>
          <w:szCs w:val="22"/>
        </w:rPr>
      </w:pPr>
    </w:p>
    <w:p w14:paraId="0C736E26" w14:textId="1ABFB7D1" w:rsidR="006B363F" w:rsidRPr="00DA0E3E" w:rsidRDefault="006B363F" w:rsidP="006B363F">
      <w:pPr>
        <w:pStyle w:val="BodyText2"/>
        <w:numPr>
          <w:ilvl w:val="0"/>
          <w:numId w:val="43"/>
        </w:numPr>
        <w:rPr>
          <w:bCs w:val="0"/>
          <w:szCs w:val="22"/>
          <w:u w:val="single"/>
        </w:rPr>
      </w:pPr>
      <w:r w:rsidRPr="00DA0E3E">
        <w:rPr>
          <w:bCs w:val="0"/>
          <w:szCs w:val="22"/>
          <w:u w:val="single"/>
        </w:rPr>
        <w:t>SSAP No. 9</w:t>
      </w:r>
      <w:r>
        <w:rPr>
          <w:bCs w:val="0"/>
          <w:szCs w:val="22"/>
          <w:u w:val="single"/>
        </w:rPr>
        <w:t>4</w:t>
      </w:r>
      <w:r w:rsidR="003D05BE">
        <w:rPr>
          <w:bCs w:val="0"/>
          <w:szCs w:val="22"/>
          <w:u w:val="single"/>
        </w:rPr>
        <w:t>R</w:t>
      </w:r>
      <w:r w:rsidRPr="00DA0E3E">
        <w:rPr>
          <w:bCs w:val="0"/>
          <w:szCs w:val="22"/>
          <w:u w:val="single"/>
        </w:rPr>
        <w:t>—</w:t>
      </w:r>
      <w:r w:rsidR="003D05BE">
        <w:rPr>
          <w:bCs w:val="0"/>
          <w:szCs w:val="22"/>
          <w:u w:val="single"/>
        </w:rPr>
        <w:t>Transferable and Non-Transferable State Tax Credits</w:t>
      </w:r>
    </w:p>
    <w:p w14:paraId="3B3CFD2A" w14:textId="406E7368" w:rsidR="006B363F" w:rsidRDefault="006B363F" w:rsidP="007A3870">
      <w:pPr>
        <w:pStyle w:val="BodyText2"/>
        <w:ind w:left="360"/>
        <w:rPr>
          <w:b w:val="0"/>
          <w:szCs w:val="22"/>
        </w:rPr>
      </w:pPr>
      <w:r w:rsidRPr="00053F7A">
        <w:rPr>
          <w:b w:val="0"/>
          <w:szCs w:val="22"/>
        </w:rPr>
        <w:t xml:space="preserve">This </w:t>
      </w:r>
      <w:r w:rsidR="00E5134C">
        <w:rPr>
          <w:b w:val="0"/>
          <w:szCs w:val="22"/>
        </w:rPr>
        <w:t>statement</w:t>
      </w:r>
      <w:r w:rsidRPr="00053F7A">
        <w:rPr>
          <w:b w:val="0"/>
          <w:szCs w:val="22"/>
        </w:rPr>
        <w:t xml:space="preserve"> establishes accounting principles for investments </w:t>
      </w:r>
      <w:r w:rsidR="007A3870">
        <w:rPr>
          <w:b w:val="0"/>
          <w:szCs w:val="22"/>
        </w:rPr>
        <w:t xml:space="preserve">transferable and non-transferable state tax credits, with an explicit exclusion for LIHTCs (or similar tax credits) captured in scope of SSAP No. 93. </w:t>
      </w:r>
    </w:p>
    <w:p w14:paraId="2DC90542" w14:textId="77777777" w:rsidR="006B363F" w:rsidRDefault="006B363F" w:rsidP="006B363F">
      <w:pPr>
        <w:pStyle w:val="ListParagraph"/>
        <w:rPr>
          <w:b/>
          <w:szCs w:val="22"/>
        </w:rPr>
      </w:pPr>
    </w:p>
    <w:p w14:paraId="138C122A" w14:textId="5FFCDC3A" w:rsidR="006B363F" w:rsidRDefault="00025317" w:rsidP="006B363F">
      <w:pPr>
        <w:pStyle w:val="BodyText2"/>
        <w:ind w:left="720"/>
        <w:rPr>
          <w:b w:val="0"/>
          <w:szCs w:val="22"/>
        </w:rPr>
      </w:pPr>
      <w:r>
        <w:rPr>
          <w:b w:val="0"/>
          <w:szCs w:val="22"/>
        </w:rPr>
        <w:t>Guidance for admittance</w:t>
      </w:r>
      <w:r w:rsidR="0033620A">
        <w:rPr>
          <w:b w:val="0"/>
          <w:szCs w:val="22"/>
        </w:rPr>
        <w:t xml:space="preserve"> of state tax credits under this statement varies based on whether it is transferable or non-transferable: </w:t>
      </w:r>
    </w:p>
    <w:p w14:paraId="5795963C" w14:textId="77777777" w:rsidR="0033620A" w:rsidRDefault="0033620A" w:rsidP="006B363F">
      <w:pPr>
        <w:pStyle w:val="BodyText2"/>
        <w:ind w:left="720"/>
        <w:rPr>
          <w:b w:val="0"/>
          <w:szCs w:val="22"/>
        </w:rPr>
      </w:pPr>
    </w:p>
    <w:p w14:paraId="4E4915BA" w14:textId="455CF561" w:rsidR="0033620A" w:rsidRPr="00AB33D2" w:rsidRDefault="00DA734B" w:rsidP="00B1422E">
      <w:pPr>
        <w:pStyle w:val="BodyText2"/>
        <w:spacing w:after="120"/>
        <w:rPr>
          <w:b w:val="0"/>
          <w:szCs w:val="22"/>
          <w:u w:val="single"/>
        </w:rPr>
      </w:pPr>
      <w:r>
        <w:rPr>
          <w:b w:val="0"/>
          <w:szCs w:val="22"/>
        </w:rPr>
        <w:tab/>
      </w:r>
      <w:r w:rsidRPr="00AB33D2">
        <w:rPr>
          <w:b w:val="0"/>
          <w:szCs w:val="22"/>
          <w:u w:val="single"/>
        </w:rPr>
        <w:t>Transferable</w:t>
      </w:r>
      <w:r w:rsidR="00AB33D2">
        <w:rPr>
          <w:b w:val="0"/>
          <w:szCs w:val="22"/>
          <w:u w:val="single"/>
        </w:rPr>
        <w:t xml:space="preserve"> – </w:t>
      </w:r>
      <w:r w:rsidR="009C50B8">
        <w:rPr>
          <w:b w:val="0"/>
          <w:szCs w:val="22"/>
          <w:u w:val="single"/>
        </w:rPr>
        <w:t xml:space="preserve">Per the SSAP, </w:t>
      </w:r>
      <w:r w:rsidR="0052035A">
        <w:rPr>
          <w:b w:val="0"/>
          <w:szCs w:val="22"/>
          <w:u w:val="single"/>
        </w:rPr>
        <w:t>all</w:t>
      </w:r>
      <w:r w:rsidR="00AB33D2">
        <w:rPr>
          <w:b w:val="0"/>
          <w:szCs w:val="22"/>
          <w:u w:val="single"/>
        </w:rPr>
        <w:t xml:space="preserve"> the following criteria must be met for admittance: </w:t>
      </w:r>
    </w:p>
    <w:p w14:paraId="22571574" w14:textId="57A0AEA9" w:rsidR="00DA734B" w:rsidRDefault="00DA734B" w:rsidP="00B1422E">
      <w:pPr>
        <w:pStyle w:val="BodyText2"/>
        <w:numPr>
          <w:ilvl w:val="0"/>
          <w:numId w:val="44"/>
        </w:numPr>
        <w:spacing w:after="120"/>
        <w:rPr>
          <w:b w:val="0"/>
          <w:szCs w:val="22"/>
        </w:rPr>
      </w:pPr>
      <w:r>
        <w:rPr>
          <w:b w:val="0"/>
          <w:szCs w:val="22"/>
        </w:rPr>
        <w:t>The holder of the transferable state tax credit may sell or otherwise transfer the transferable state tax credit to another entity</w:t>
      </w:r>
      <w:r w:rsidR="00686433">
        <w:rPr>
          <w:b w:val="0"/>
          <w:szCs w:val="22"/>
        </w:rPr>
        <w:t xml:space="preserve">, which can likewise sell or transfer the </w:t>
      </w:r>
      <w:proofErr w:type="gramStart"/>
      <w:r w:rsidR="00686433">
        <w:rPr>
          <w:b w:val="0"/>
          <w:szCs w:val="22"/>
        </w:rPr>
        <w:t>credit;</w:t>
      </w:r>
      <w:proofErr w:type="gramEnd"/>
    </w:p>
    <w:p w14:paraId="589F54C2" w14:textId="52358D30" w:rsidR="00686433" w:rsidRDefault="00686433" w:rsidP="00B1422E">
      <w:pPr>
        <w:pStyle w:val="BodyText2"/>
        <w:numPr>
          <w:ilvl w:val="0"/>
          <w:numId w:val="44"/>
        </w:numPr>
        <w:spacing w:after="120"/>
        <w:rPr>
          <w:b w:val="0"/>
          <w:szCs w:val="22"/>
        </w:rPr>
      </w:pPr>
      <w:r>
        <w:rPr>
          <w:b w:val="0"/>
          <w:szCs w:val="22"/>
        </w:rPr>
        <w:t>The transferable state tax credit will expire is not used by a predetermined date; and</w:t>
      </w:r>
    </w:p>
    <w:p w14:paraId="36A9E0FD" w14:textId="765F8070" w:rsidR="00686433" w:rsidRPr="004E74E7" w:rsidRDefault="00686433" w:rsidP="00DA734B">
      <w:pPr>
        <w:pStyle w:val="BodyText2"/>
        <w:numPr>
          <w:ilvl w:val="0"/>
          <w:numId w:val="44"/>
        </w:numPr>
        <w:rPr>
          <w:b w:val="0"/>
          <w:szCs w:val="22"/>
        </w:rPr>
      </w:pPr>
      <w:r>
        <w:rPr>
          <w:b w:val="0"/>
          <w:szCs w:val="22"/>
        </w:rPr>
        <w:t xml:space="preserve">The transferable state tax credit can be applied against either state income tax or state premium tax. </w:t>
      </w:r>
    </w:p>
    <w:p w14:paraId="4B943F6E" w14:textId="77777777" w:rsidR="009D0DC7" w:rsidRDefault="009D0DC7" w:rsidP="00B30CA0">
      <w:pPr>
        <w:pStyle w:val="BodyText2"/>
        <w:rPr>
          <w:bCs w:val="0"/>
          <w:szCs w:val="22"/>
        </w:rPr>
      </w:pPr>
    </w:p>
    <w:p w14:paraId="28972859" w14:textId="5A540524" w:rsidR="00F96F0B" w:rsidRPr="00AB33D2" w:rsidRDefault="00F96F0B" w:rsidP="00F96F0B">
      <w:pPr>
        <w:pStyle w:val="BodyText2"/>
        <w:spacing w:after="120"/>
        <w:ind w:firstLine="720"/>
        <w:rPr>
          <w:b w:val="0"/>
          <w:szCs w:val="22"/>
          <w:u w:val="single"/>
        </w:rPr>
      </w:pPr>
      <w:r>
        <w:rPr>
          <w:b w:val="0"/>
          <w:szCs w:val="22"/>
          <w:u w:val="single"/>
        </w:rPr>
        <w:t>Non-</w:t>
      </w:r>
      <w:r w:rsidRPr="00AB33D2">
        <w:rPr>
          <w:b w:val="0"/>
          <w:szCs w:val="22"/>
          <w:u w:val="single"/>
        </w:rPr>
        <w:t>Transferable</w:t>
      </w:r>
      <w:r>
        <w:rPr>
          <w:b w:val="0"/>
          <w:szCs w:val="22"/>
          <w:u w:val="single"/>
        </w:rPr>
        <w:t xml:space="preserve"> – </w:t>
      </w:r>
      <w:r w:rsidR="009C50B8">
        <w:rPr>
          <w:b w:val="0"/>
          <w:szCs w:val="22"/>
          <w:u w:val="single"/>
        </w:rPr>
        <w:t xml:space="preserve">Per the SSAP, </w:t>
      </w:r>
      <w:r w:rsidR="0052035A">
        <w:rPr>
          <w:b w:val="0"/>
          <w:szCs w:val="22"/>
          <w:u w:val="single"/>
        </w:rPr>
        <w:t>all</w:t>
      </w:r>
      <w:r>
        <w:rPr>
          <w:b w:val="0"/>
          <w:szCs w:val="22"/>
          <w:u w:val="single"/>
        </w:rPr>
        <w:t xml:space="preserve"> the following criteria must be met for admittance: </w:t>
      </w:r>
    </w:p>
    <w:p w14:paraId="49F3A883" w14:textId="0AAA9A2E" w:rsidR="00F96F0B" w:rsidRDefault="00E67D87" w:rsidP="00F96F0B">
      <w:pPr>
        <w:pStyle w:val="BodyText2"/>
        <w:numPr>
          <w:ilvl w:val="0"/>
          <w:numId w:val="45"/>
        </w:numPr>
        <w:spacing w:after="120"/>
        <w:rPr>
          <w:b w:val="0"/>
          <w:szCs w:val="22"/>
        </w:rPr>
      </w:pPr>
      <w:r>
        <w:rPr>
          <w:b w:val="0"/>
          <w:szCs w:val="22"/>
        </w:rPr>
        <w:t>Successive holder of a state tax credit must redeem the credit by April 15 of the subsequent year to the entity’s acquisition of the state tax credit and is not permitted to carry-over, carry-back</w:t>
      </w:r>
      <w:r w:rsidR="00D023D9">
        <w:rPr>
          <w:b w:val="0"/>
          <w:szCs w:val="22"/>
        </w:rPr>
        <w:t xml:space="preserve">, obtain a refund, sell or assign the </w:t>
      </w:r>
      <w:proofErr w:type="gramStart"/>
      <w:r w:rsidR="00D023D9">
        <w:rPr>
          <w:b w:val="0"/>
          <w:szCs w:val="22"/>
        </w:rPr>
        <w:t>credit;</w:t>
      </w:r>
      <w:proofErr w:type="gramEnd"/>
    </w:p>
    <w:p w14:paraId="23947CB0" w14:textId="70C51308" w:rsidR="00F96F0B" w:rsidRDefault="00D023D9" w:rsidP="00F96F0B">
      <w:pPr>
        <w:pStyle w:val="BodyText2"/>
        <w:numPr>
          <w:ilvl w:val="0"/>
          <w:numId w:val="45"/>
        </w:numPr>
        <w:spacing w:after="120"/>
        <w:rPr>
          <w:b w:val="0"/>
          <w:szCs w:val="22"/>
        </w:rPr>
      </w:pPr>
      <w:r>
        <w:rPr>
          <w:b w:val="0"/>
          <w:szCs w:val="22"/>
        </w:rPr>
        <w:t xml:space="preserve">The non-transferable state tax credit </w:t>
      </w:r>
      <w:r w:rsidR="009F664B">
        <w:rPr>
          <w:b w:val="0"/>
          <w:szCs w:val="22"/>
        </w:rPr>
        <w:t>will expire if not used by the predetermined date; and</w:t>
      </w:r>
    </w:p>
    <w:p w14:paraId="12803046" w14:textId="6D2BD48A" w:rsidR="00F96F0B" w:rsidRPr="004E74E7" w:rsidRDefault="009F664B" w:rsidP="00F96F0B">
      <w:pPr>
        <w:pStyle w:val="BodyText2"/>
        <w:numPr>
          <w:ilvl w:val="0"/>
          <w:numId w:val="45"/>
        </w:numPr>
        <w:rPr>
          <w:b w:val="0"/>
          <w:szCs w:val="22"/>
        </w:rPr>
      </w:pPr>
      <w:r>
        <w:rPr>
          <w:b w:val="0"/>
          <w:szCs w:val="22"/>
        </w:rPr>
        <w:t>The non-transferable state tax credits can be applied against either state income tax or state premium tax.</w:t>
      </w:r>
    </w:p>
    <w:p w14:paraId="45033F10" w14:textId="77777777" w:rsidR="00F96F0B" w:rsidRDefault="00F96F0B" w:rsidP="00B30CA0">
      <w:pPr>
        <w:pStyle w:val="BodyText2"/>
        <w:rPr>
          <w:bCs w:val="0"/>
          <w:szCs w:val="22"/>
        </w:rPr>
      </w:pPr>
    </w:p>
    <w:p w14:paraId="45E4CFD2" w14:textId="7A51EACD" w:rsidR="002D162A" w:rsidRPr="002D162A" w:rsidRDefault="002D162A" w:rsidP="00B30CA0">
      <w:pPr>
        <w:pStyle w:val="BodyText2"/>
        <w:rPr>
          <w:b w:val="0"/>
          <w:szCs w:val="22"/>
          <w:u w:val="single"/>
        </w:rPr>
      </w:pPr>
      <w:r w:rsidRPr="002D162A">
        <w:rPr>
          <w:b w:val="0"/>
          <w:szCs w:val="22"/>
          <w:u w:val="single"/>
        </w:rPr>
        <w:t xml:space="preserve">Review of </w:t>
      </w:r>
      <w:r w:rsidR="00BE41BB">
        <w:rPr>
          <w:b w:val="0"/>
          <w:szCs w:val="22"/>
          <w:u w:val="single"/>
        </w:rPr>
        <w:t>E</w:t>
      </w:r>
      <w:r w:rsidRPr="002D162A">
        <w:rPr>
          <w:b w:val="0"/>
          <w:szCs w:val="22"/>
          <w:u w:val="single"/>
        </w:rPr>
        <w:t xml:space="preserve">xisting </w:t>
      </w:r>
      <w:r w:rsidR="00BE41BB">
        <w:rPr>
          <w:b w:val="0"/>
          <w:szCs w:val="22"/>
          <w:u w:val="single"/>
        </w:rPr>
        <w:t>S</w:t>
      </w:r>
      <w:r w:rsidRPr="002D162A">
        <w:rPr>
          <w:b w:val="0"/>
          <w:szCs w:val="22"/>
          <w:u w:val="single"/>
        </w:rPr>
        <w:t xml:space="preserve">tatutory </w:t>
      </w:r>
      <w:r w:rsidR="00BE41BB">
        <w:rPr>
          <w:b w:val="0"/>
          <w:szCs w:val="22"/>
          <w:u w:val="single"/>
        </w:rPr>
        <w:t>A</w:t>
      </w:r>
      <w:r w:rsidRPr="002D162A">
        <w:rPr>
          <w:b w:val="0"/>
          <w:szCs w:val="22"/>
          <w:u w:val="single"/>
        </w:rPr>
        <w:t xml:space="preserve">ccounting </w:t>
      </w:r>
      <w:r w:rsidR="00BE41BB">
        <w:rPr>
          <w:b w:val="0"/>
          <w:szCs w:val="22"/>
          <w:u w:val="single"/>
        </w:rPr>
        <w:t>G</w:t>
      </w:r>
      <w:r w:rsidRPr="002D162A">
        <w:rPr>
          <w:b w:val="0"/>
          <w:szCs w:val="22"/>
          <w:u w:val="single"/>
        </w:rPr>
        <w:t>uidance</w:t>
      </w:r>
      <w:r w:rsidR="00BE41BB">
        <w:rPr>
          <w:b w:val="0"/>
          <w:szCs w:val="22"/>
          <w:u w:val="single"/>
        </w:rPr>
        <w:t xml:space="preserve"> for NMTC and Overall Application</w:t>
      </w:r>
      <w:r w:rsidRPr="002D162A">
        <w:rPr>
          <w:b w:val="0"/>
          <w:szCs w:val="22"/>
          <w:u w:val="single"/>
        </w:rPr>
        <w:t xml:space="preserve">: </w:t>
      </w:r>
    </w:p>
    <w:p w14:paraId="4F9CD475" w14:textId="77777777" w:rsidR="002D162A" w:rsidRDefault="002D162A" w:rsidP="00B30CA0">
      <w:pPr>
        <w:pStyle w:val="BodyText2"/>
        <w:rPr>
          <w:bCs w:val="0"/>
          <w:szCs w:val="22"/>
        </w:rPr>
      </w:pPr>
    </w:p>
    <w:p w14:paraId="62BD8EAB" w14:textId="274B4634" w:rsidR="002D162A" w:rsidRDefault="00404002" w:rsidP="00BE41BB">
      <w:pPr>
        <w:pStyle w:val="BodyText2"/>
        <w:numPr>
          <w:ilvl w:val="0"/>
          <w:numId w:val="43"/>
        </w:numPr>
        <w:rPr>
          <w:b w:val="0"/>
          <w:szCs w:val="22"/>
        </w:rPr>
      </w:pPr>
      <w:r w:rsidRPr="006E0B41">
        <w:rPr>
          <w:b w:val="0"/>
          <w:szCs w:val="22"/>
        </w:rPr>
        <w:lastRenderedPageBreak/>
        <w:t xml:space="preserve">Existing statutory accounting guidance </w:t>
      </w:r>
      <w:r w:rsidR="00F47552" w:rsidRPr="006E0B41">
        <w:rPr>
          <w:b w:val="0"/>
          <w:szCs w:val="22"/>
        </w:rPr>
        <w:t xml:space="preserve">does not encompass federal NMTC (or other </w:t>
      </w:r>
      <w:r w:rsidR="006E0B41" w:rsidRPr="006E0B41">
        <w:rPr>
          <w:b w:val="0"/>
          <w:szCs w:val="22"/>
        </w:rPr>
        <w:t>federal tax credits)</w:t>
      </w:r>
      <w:r w:rsidR="00F47552" w:rsidRPr="006E0B41">
        <w:rPr>
          <w:b w:val="0"/>
          <w:szCs w:val="22"/>
        </w:rPr>
        <w:t xml:space="preserve">, as SSAP No. 93 is </w:t>
      </w:r>
      <w:r w:rsidR="006E0B41" w:rsidRPr="006E0B41">
        <w:rPr>
          <w:b w:val="0"/>
          <w:szCs w:val="22"/>
        </w:rPr>
        <w:t>limited</w:t>
      </w:r>
      <w:r w:rsidR="00F47552" w:rsidRPr="006E0B41">
        <w:rPr>
          <w:b w:val="0"/>
          <w:szCs w:val="22"/>
        </w:rPr>
        <w:t xml:space="preserve"> to LIHTC and SSAP No. 94 is specific to state tax credits. </w:t>
      </w:r>
    </w:p>
    <w:p w14:paraId="79967661" w14:textId="77777777" w:rsidR="006E0B41" w:rsidRDefault="006E0B41" w:rsidP="006E0B41">
      <w:pPr>
        <w:pStyle w:val="BodyText2"/>
        <w:ind w:left="360"/>
        <w:rPr>
          <w:b w:val="0"/>
          <w:szCs w:val="22"/>
        </w:rPr>
      </w:pPr>
    </w:p>
    <w:p w14:paraId="582286B6" w14:textId="693BDA2F" w:rsidR="006E0B41" w:rsidRDefault="00F95A33" w:rsidP="00BE41BB">
      <w:pPr>
        <w:pStyle w:val="BodyText2"/>
        <w:numPr>
          <w:ilvl w:val="0"/>
          <w:numId w:val="43"/>
        </w:numPr>
        <w:rPr>
          <w:b w:val="0"/>
          <w:szCs w:val="22"/>
        </w:rPr>
      </w:pPr>
      <w:r>
        <w:rPr>
          <w:b w:val="0"/>
          <w:szCs w:val="22"/>
        </w:rPr>
        <w:t>P</w:t>
      </w:r>
      <w:r w:rsidR="00AD0AD5">
        <w:rPr>
          <w:b w:val="0"/>
          <w:szCs w:val="22"/>
        </w:rPr>
        <w:t xml:space="preserve">rovisions in SSAP No. 93 </w:t>
      </w:r>
      <w:r>
        <w:rPr>
          <w:b w:val="0"/>
          <w:szCs w:val="22"/>
        </w:rPr>
        <w:t>do</w:t>
      </w:r>
      <w:r w:rsidR="00AD0AD5">
        <w:rPr>
          <w:b w:val="0"/>
          <w:szCs w:val="22"/>
        </w:rPr>
        <w:t xml:space="preserve"> not fully address </w:t>
      </w:r>
      <w:r w:rsidR="00BA5ED9">
        <w:rPr>
          <w:b w:val="0"/>
          <w:szCs w:val="22"/>
        </w:rPr>
        <w:t xml:space="preserve">earned (received) tax credits that </w:t>
      </w:r>
      <w:r w:rsidR="006800D0">
        <w:rPr>
          <w:b w:val="0"/>
          <w:szCs w:val="22"/>
        </w:rPr>
        <w:t xml:space="preserve">carryforward for future use. </w:t>
      </w:r>
    </w:p>
    <w:p w14:paraId="6CD09661" w14:textId="77777777" w:rsidR="0096003A" w:rsidRDefault="0096003A" w:rsidP="0096003A">
      <w:pPr>
        <w:pStyle w:val="ListParagraph"/>
        <w:rPr>
          <w:b/>
          <w:szCs w:val="22"/>
        </w:rPr>
      </w:pPr>
    </w:p>
    <w:p w14:paraId="40B7F8CD" w14:textId="6509968E" w:rsidR="0096003A" w:rsidRDefault="006E0007" w:rsidP="00BE41BB">
      <w:pPr>
        <w:pStyle w:val="BodyText2"/>
        <w:numPr>
          <w:ilvl w:val="0"/>
          <w:numId w:val="43"/>
        </w:numPr>
        <w:rPr>
          <w:b w:val="0"/>
          <w:szCs w:val="22"/>
        </w:rPr>
      </w:pPr>
      <w:r>
        <w:rPr>
          <w:b w:val="0"/>
          <w:szCs w:val="22"/>
        </w:rPr>
        <w:t xml:space="preserve">The admittance criteria in SSAP No. 94 </w:t>
      </w:r>
      <w:r w:rsidR="00930E48">
        <w:rPr>
          <w:b w:val="0"/>
          <w:szCs w:val="22"/>
        </w:rPr>
        <w:t>are</w:t>
      </w:r>
      <w:r w:rsidR="00EE1324">
        <w:rPr>
          <w:b w:val="0"/>
          <w:szCs w:val="22"/>
        </w:rPr>
        <w:t xml:space="preserve"> applied to characteristics that</w:t>
      </w:r>
      <w:r w:rsidR="007C6DF7">
        <w:rPr>
          <w:b w:val="0"/>
          <w:szCs w:val="22"/>
        </w:rPr>
        <w:t xml:space="preserve"> perhaps may not be factors that would impact </w:t>
      </w:r>
      <w:r w:rsidR="00EE1324">
        <w:rPr>
          <w:b w:val="0"/>
          <w:szCs w:val="22"/>
        </w:rPr>
        <w:t xml:space="preserve">admittance: </w:t>
      </w:r>
    </w:p>
    <w:p w14:paraId="61B78ADF" w14:textId="77777777" w:rsidR="00EE1324" w:rsidRDefault="00EE1324" w:rsidP="00EE1324">
      <w:pPr>
        <w:pStyle w:val="ListParagraph"/>
        <w:rPr>
          <w:b/>
          <w:szCs w:val="22"/>
        </w:rPr>
      </w:pPr>
    </w:p>
    <w:p w14:paraId="74E3C989" w14:textId="1696D65D" w:rsidR="00EE1324" w:rsidRDefault="00C22209" w:rsidP="00EE1324">
      <w:pPr>
        <w:pStyle w:val="BodyText2"/>
        <w:numPr>
          <w:ilvl w:val="1"/>
          <w:numId w:val="43"/>
        </w:numPr>
        <w:rPr>
          <w:b w:val="0"/>
          <w:szCs w:val="22"/>
        </w:rPr>
      </w:pPr>
      <w:r>
        <w:rPr>
          <w:b w:val="0"/>
          <w:szCs w:val="22"/>
        </w:rPr>
        <w:t xml:space="preserve">A tax credit that does not expire would be precluded </w:t>
      </w:r>
      <w:r w:rsidR="003B4A81">
        <w:rPr>
          <w:b w:val="0"/>
          <w:szCs w:val="22"/>
        </w:rPr>
        <w:t>as an admitted asset</w:t>
      </w:r>
      <w:r>
        <w:rPr>
          <w:b w:val="0"/>
          <w:szCs w:val="22"/>
        </w:rPr>
        <w:t xml:space="preserve"> under the guidance. </w:t>
      </w:r>
    </w:p>
    <w:p w14:paraId="5F49CDCA" w14:textId="77777777" w:rsidR="00F816D0" w:rsidRDefault="00F816D0" w:rsidP="00F816D0">
      <w:pPr>
        <w:pStyle w:val="BodyText2"/>
        <w:ind w:left="1080"/>
        <w:rPr>
          <w:b w:val="0"/>
          <w:szCs w:val="22"/>
        </w:rPr>
      </w:pPr>
    </w:p>
    <w:p w14:paraId="65B730C8" w14:textId="0CA4D9CC" w:rsidR="00C22209" w:rsidRPr="006E0B41" w:rsidRDefault="00F93088" w:rsidP="00EE1324">
      <w:pPr>
        <w:pStyle w:val="BodyText2"/>
        <w:numPr>
          <w:ilvl w:val="1"/>
          <w:numId w:val="43"/>
        </w:numPr>
        <w:rPr>
          <w:b w:val="0"/>
          <w:szCs w:val="22"/>
        </w:rPr>
      </w:pPr>
      <w:r>
        <w:rPr>
          <w:b w:val="0"/>
          <w:szCs w:val="22"/>
        </w:rPr>
        <w:t>A non-transferable tax credit that can be carried</w:t>
      </w:r>
      <w:r w:rsidR="00AA4C48">
        <w:rPr>
          <w:b w:val="0"/>
          <w:szCs w:val="22"/>
        </w:rPr>
        <w:t>-</w:t>
      </w:r>
      <w:r>
        <w:rPr>
          <w:b w:val="0"/>
          <w:szCs w:val="22"/>
        </w:rPr>
        <w:t>forward</w:t>
      </w:r>
      <w:r w:rsidR="00AA4C48">
        <w:rPr>
          <w:b w:val="0"/>
          <w:szCs w:val="22"/>
        </w:rPr>
        <w:t xml:space="preserve">, carried-back, </w:t>
      </w:r>
      <w:r w:rsidR="00C20B47">
        <w:rPr>
          <w:b w:val="0"/>
          <w:szCs w:val="22"/>
        </w:rPr>
        <w:t>able to be refunded or that can be sold or assigned</w:t>
      </w:r>
      <w:r w:rsidR="00AA4C48">
        <w:rPr>
          <w:b w:val="0"/>
          <w:szCs w:val="22"/>
        </w:rPr>
        <w:t xml:space="preserve"> </w:t>
      </w:r>
      <w:r>
        <w:rPr>
          <w:b w:val="0"/>
          <w:szCs w:val="22"/>
        </w:rPr>
        <w:t>is precluded as an admitted asset under the guidance.</w:t>
      </w:r>
    </w:p>
    <w:p w14:paraId="6FBA7F9A" w14:textId="77777777" w:rsidR="002D162A" w:rsidRDefault="002D162A" w:rsidP="00B30CA0">
      <w:pPr>
        <w:pStyle w:val="BodyText2"/>
        <w:rPr>
          <w:bCs w:val="0"/>
          <w:szCs w:val="22"/>
        </w:rPr>
      </w:pPr>
    </w:p>
    <w:p w14:paraId="34862BAF" w14:textId="5C90993F" w:rsidR="0088714C" w:rsidRDefault="0054209F" w:rsidP="0088714C">
      <w:pPr>
        <w:pStyle w:val="BodyText2"/>
        <w:rPr>
          <w:bCs w:val="0"/>
          <w:i/>
          <w:iCs/>
          <w:szCs w:val="22"/>
        </w:rPr>
      </w:pPr>
      <w:r>
        <w:rPr>
          <w:bCs w:val="0"/>
          <w:i/>
          <w:iCs/>
          <w:szCs w:val="22"/>
        </w:rPr>
        <w:t>Statutory Accounting Reporting Guidance:</w:t>
      </w:r>
    </w:p>
    <w:p w14:paraId="36FBC276" w14:textId="77777777" w:rsidR="00EE4CC2" w:rsidRDefault="00EE4CC2" w:rsidP="0088714C">
      <w:pPr>
        <w:pStyle w:val="BodyText2"/>
        <w:rPr>
          <w:bCs w:val="0"/>
          <w:i/>
          <w:iCs/>
          <w:szCs w:val="22"/>
        </w:rPr>
      </w:pPr>
    </w:p>
    <w:p w14:paraId="45128E66" w14:textId="5C4905E1" w:rsidR="00EE4CC2" w:rsidRDefault="00F406D7" w:rsidP="0088714C">
      <w:pPr>
        <w:pStyle w:val="BodyText2"/>
        <w:rPr>
          <w:b w:val="0"/>
          <w:szCs w:val="22"/>
        </w:rPr>
      </w:pPr>
      <w:r w:rsidRPr="001077A1">
        <w:rPr>
          <w:b w:val="0"/>
          <w:szCs w:val="22"/>
        </w:rPr>
        <w:t xml:space="preserve">Guaranteed and non-guaranteed </w:t>
      </w:r>
      <w:r w:rsidR="003C14D0" w:rsidRPr="001077A1">
        <w:rPr>
          <w:b w:val="0"/>
          <w:szCs w:val="22"/>
        </w:rPr>
        <w:t>federal low-income housing tax credits have separate reporting lines on Schedule BA</w:t>
      </w:r>
      <w:r w:rsidR="009462E3">
        <w:rPr>
          <w:b w:val="0"/>
          <w:szCs w:val="22"/>
        </w:rPr>
        <w:t xml:space="preserve"> along with an “all other” low-income housing tax credit line</w:t>
      </w:r>
      <w:r w:rsidR="00D72695">
        <w:rPr>
          <w:b w:val="0"/>
          <w:szCs w:val="22"/>
        </w:rPr>
        <w:t xml:space="preserve">. The guidance is specific that these lines are only for low-income tax credits (or tax credits for affordable housing) that are in the form of a partnership or limited liability company. </w:t>
      </w:r>
      <w:r w:rsidR="009E1470">
        <w:rPr>
          <w:b w:val="0"/>
          <w:szCs w:val="22"/>
        </w:rPr>
        <w:t xml:space="preserve">Non-qualifying LIHTC are to be reported in the “All Other” category. With this current guidance, there is no explicit reporting provision for </w:t>
      </w:r>
      <w:r w:rsidR="00736729">
        <w:rPr>
          <w:b w:val="0"/>
          <w:szCs w:val="22"/>
        </w:rPr>
        <w:t xml:space="preserve">tax credits that are not captured in LIHTC. </w:t>
      </w:r>
    </w:p>
    <w:p w14:paraId="7DF2B56D" w14:textId="77777777" w:rsidR="00736729" w:rsidRDefault="00736729" w:rsidP="0088714C">
      <w:pPr>
        <w:pStyle w:val="BodyText2"/>
        <w:rPr>
          <w:b w:val="0"/>
          <w:szCs w:val="22"/>
        </w:rPr>
      </w:pPr>
    </w:p>
    <w:p w14:paraId="34DF604E" w14:textId="4CFA6109" w:rsidR="003C14D0" w:rsidRPr="00736729" w:rsidRDefault="00736729" w:rsidP="0088714C">
      <w:pPr>
        <w:pStyle w:val="BodyText2"/>
        <w:rPr>
          <w:b w:val="0"/>
          <w:szCs w:val="22"/>
          <w:u w:val="single"/>
        </w:rPr>
      </w:pPr>
      <w:r w:rsidRPr="00736729">
        <w:rPr>
          <w:b w:val="0"/>
          <w:szCs w:val="22"/>
          <w:u w:val="single"/>
        </w:rPr>
        <w:t xml:space="preserve">Reporting Lines and Instructions: </w:t>
      </w:r>
    </w:p>
    <w:p w14:paraId="1B602965" w14:textId="77777777" w:rsidR="001077A1" w:rsidRPr="005B25A3" w:rsidRDefault="001077A1" w:rsidP="005B25A3">
      <w:pPr>
        <w:spacing w:before="60"/>
        <w:ind w:left="720"/>
        <w:rPr>
          <w:sz w:val="20"/>
          <w:szCs w:val="20"/>
        </w:rPr>
      </w:pPr>
      <w:r w:rsidRPr="005B25A3">
        <w:rPr>
          <w:sz w:val="20"/>
          <w:szCs w:val="20"/>
        </w:rPr>
        <w:t>Guaranteed Federal Low Income Housing Tax Credit</w:t>
      </w:r>
    </w:p>
    <w:p w14:paraId="5320D2D8"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3599999</w:t>
      </w:r>
    </w:p>
    <w:p w14:paraId="2D45896D"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3699999</w:t>
      </w:r>
    </w:p>
    <w:p w14:paraId="5FB5F615" w14:textId="77777777" w:rsidR="001077A1" w:rsidRPr="005B25A3" w:rsidRDefault="001077A1" w:rsidP="005B25A3">
      <w:pPr>
        <w:spacing w:before="60"/>
        <w:ind w:left="720"/>
        <w:rPr>
          <w:sz w:val="20"/>
          <w:szCs w:val="20"/>
        </w:rPr>
      </w:pPr>
      <w:r w:rsidRPr="005B25A3">
        <w:rPr>
          <w:sz w:val="20"/>
          <w:szCs w:val="20"/>
        </w:rPr>
        <w:t>Non-Guaranteed Federal Low Income Housing Tax Credit</w:t>
      </w:r>
    </w:p>
    <w:p w14:paraId="62AE7B83"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3799999</w:t>
      </w:r>
    </w:p>
    <w:p w14:paraId="5AC54268"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3899999</w:t>
      </w:r>
    </w:p>
    <w:p w14:paraId="5C91663F" w14:textId="77777777" w:rsidR="001077A1" w:rsidRPr="005B25A3" w:rsidRDefault="001077A1" w:rsidP="005B25A3">
      <w:pPr>
        <w:spacing w:before="60"/>
        <w:ind w:left="720"/>
        <w:rPr>
          <w:sz w:val="20"/>
          <w:szCs w:val="20"/>
        </w:rPr>
      </w:pPr>
      <w:r w:rsidRPr="005B25A3">
        <w:rPr>
          <w:sz w:val="20"/>
          <w:szCs w:val="20"/>
        </w:rPr>
        <w:t>Guaranteed State Low Income Housing Tax Credit</w:t>
      </w:r>
    </w:p>
    <w:p w14:paraId="510C7041"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3999999</w:t>
      </w:r>
    </w:p>
    <w:p w14:paraId="653B40A2"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4099999</w:t>
      </w:r>
    </w:p>
    <w:p w14:paraId="2D2B6A95" w14:textId="77777777" w:rsidR="001077A1" w:rsidRPr="005B25A3" w:rsidRDefault="001077A1" w:rsidP="005B25A3">
      <w:pPr>
        <w:spacing w:before="60"/>
        <w:ind w:left="720"/>
        <w:rPr>
          <w:sz w:val="20"/>
          <w:szCs w:val="20"/>
        </w:rPr>
      </w:pPr>
      <w:r w:rsidRPr="005B25A3">
        <w:rPr>
          <w:sz w:val="20"/>
          <w:szCs w:val="20"/>
        </w:rPr>
        <w:t>Non-Guaranteed State Low Income Housing Tax Credit</w:t>
      </w:r>
    </w:p>
    <w:p w14:paraId="75A4A6E6"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4199999</w:t>
      </w:r>
    </w:p>
    <w:p w14:paraId="48A3BE6A"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4299999</w:t>
      </w:r>
    </w:p>
    <w:p w14:paraId="0B4BFAF2" w14:textId="77777777" w:rsidR="005B25A3" w:rsidRPr="005B25A3" w:rsidRDefault="005B25A3" w:rsidP="005B25A3">
      <w:pPr>
        <w:spacing w:before="60"/>
        <w:ind w:left="720"/>
        <w:rPr>
          <w:sz w:val="20"/>
          <w:szCs w:val="20"/>
        </w:rPr>
      </w:pPr>
      <w:r w:rsidRPr="005B25A3">
        <w:rPr>
          <w:sz w:val="20"/>
          <w:szCs w:val="20"/>
        </w:rPr>
        <w:t>All Other Low Income Housing Tax Credit</w:t>
      </w:r>
    </w:p>
    <w:p w14:paraId="7CE6D3E0" w14:textId="77777777" w:rsidR="005B25A3" w:rsidRPr="005B25A3" w:rsidRDefault="005B25A3" w:rsidP="005B25A3">
      <w:pPr>
        <w:tabs>
          <w:tab w:val="right" w:leader="dot" w:pos="10080"/>
        </w:tabs>
        <w:spacing w:before="60"/>
        <w:ind w:left="1440"/>
        <w:rPr>
          <w:sz w:val="20"/>
          <w:szCs w:val="20"/>
        </w:rPr>
      </w:pPr>
      <w:r w:rsidRPr="005B25A3">
        <w:rPr>
          <w:sz w:val="20"/>
          <w:szCs w:val="20"/>
        </w:rPr>
        <w:t>Unaffiliated</w:t>
      </w:r>
      <w:r w:rsidRPr="005B25A3">
        <w:rPr>
          <w:sz w:val="20"/>
          <w:szCs w:val="20"/>
        </w:rPr>
        <w:tab/>
        <w:t>4399999</w:t>
      </w:r>
    </w:p>
    <w:p w14:paraId="3E5B40E5" w14:textId="77777777" w:rsidR="005B25A3" w:rsidRPr="00426826" w:rsidRDefault="005B25A3" w:rsidP="005B25A3">
      <w:pPr>
        <w:tabs>
          <w:tab w:val="right" w:leader="dot" w:pos="10080"/>
        </w:tabs>
        <w:ind w:left="1440"/>
      </w:pPr>
      <w:r w:rsidRPr="005B25A3">
        <w:rPr>
          <w:sz w:val="20"/>
          <w:szCs w:val="20"/>
        </w:rPr>
        <w:t>Affiliated</w:t>
      </w:r>
      <w:r w:rsidRPr="005B25A3">
        <w:rPr>
          <w:sz w:val="20"/>
          <w:szCs w:val="20"/>
        </w:rPr>
        <w:tab/>
        <w:t>4499999</w:t>
      </w:r>
    </w:p>
    <w:p w14:paraId="261222A2" w14:textId="77777777" w:rsidR="003C14D0" w:rsidRDefault="003C14D0" w:rsidP="0088714C">
      <w:pPr>
        <w:pStyle w:val="BodyText2"/>
        <w:rPr>
          <w:bCs w:val="0"/>
          <w:i/>
          <w:iCs/>
          <w:szCs w:val="22"/>
        </w:rPr>
      </w:pPr>
    </w:p>
    <w:p w14:paraId="7A794F38" w14:textId="77777777" w:rsidR="00B252EB" w:rsidRPr="00736729" w:rsidRDefault="00B252EB" w:rsidP="00D72695">
      <w:pPr>
        <w:ind w:left="720"/>
        <w:rPr>
          <w:bCs/>
          <w:sz w:val="22"/>
          <w:szCs w:val="22"/>
          <w:u w:val="single"/>
        </w:rPr>
      </w:pPr>
      <w:r w:rsidRPr="00736729">
        <w:rPr>
          <w:bCs/>
          <w:sz w:val="22"/>
          <w:szCs w:val="22"/>
          <w:u w:val="single"/>
        </w:rPr>
        <w:t>Low Income Housing Tax Credit</w:t>
      </w:r>
    </w:p>
    <w:p w14:paraId="1AE10D35" w14:textId="77777777" w:rsidR="00B252EB" w:rsidRPr="00B252EB" w:rsidRDefault="00B252EB" w:rsidP="00B252EB">
      <w:pPr>
        <w:rPr>
          <w:sz w:val="22"/>
          <w:szCs w:val="22"/>
          <w:u w:val="single"/>
        </w:rPr>
      </w:pPr>
    </w:p>
    <w:p w14:paraId="46C47974" w14:textId="77777777" w:rsidR="00B252EB" w:rsidRPr="00B252EB" w:rsidRDefault="00B252EB" w:rsidP="00D72695">
      <w:pPr>
        <w:ind w:left="1800" w:hanging="1080"/>
        <w:rPr>
          <w:sz w:val="22"/>
          <w:szCs w:val="22"/>
        </w:rPr>
      </w:pPr>
      <w:r w:rsidRPr="00B252EB">
        <w:rPr>
          <w:sz w:val="22"/>
          <w:szCs w:val="22"/>
        </w:rPr>
        <w:t>Include:</w:t>
      </w:r>
      <w:r w:rsidRPr="00B252EB">
        <w:rPr>
          <w:sz w:val="22"/>
          <w:szCs w:val="22"/>
        </w:rPr>
        <w:tab/>
        <w:t xml:space="preserve">All </w:t>
      </w:r>
      <w:proofErr w:type="gramStart"/>
      <w:r w:rsidRPr="00B252EB">
        <w:rPr>
          <w:sz w:val="22"/>
          <w:szCs w:val="22"/>
        </w:rPr>
        <w:t>Low Income</w:t>
      </w:r>
      <w:proofErr w:type="gramEnd"/>
      <w:r w:rsidRPr="00B252EB">
        <w:rPr>
          <w:sz w:val="22"/>
          <w:szCs w:val="22"/>
        </w:rPr>
        <w:t xml:space="preserve"> Housing Tax Credit Investments (LIHTC or affordable housing) that are in the form of a Limited Partnership or a Limited Liability Company including those investments that have the following risk mitigation factors:</w:t>
      </w:r>
    </w:p>
    <w:p w14:paraId="7A7430C0" w14:textId="77777777" w:rsidR="00B252EB" w:rsidRPr="00B252EB" w:rsidRDefault="00B252EB" w:rsidP="00B252EB">
      <w:pPr>
        <w:rPr>
          <w:sz w:val="22"/>
          <w:szCs w:val="22"/>
        </w:rPr>
      </w:pPr>
    </w:p>
    <w:p w14:paraId="567F3F3E" w14:textId="77777777" w:rsidR="00B252EB" w:rsidRPr="00B252EB" w:rsidRDefault="00B252EB" w:rsidP="00B252EB">
      <w:pPr>
        <w:ind w:left="2160" w:hanging="360"/>
        <w:rPr>
          <w:sz w:val="22"/>
          <w:szCs w:val="22"/>
        </w:rPr>
      </w:pPr>
      <w:r w:rsidRPr="00B252EB">
        <w:rPr>
          <w:sz w:val="22"/>
          <w:szCs w:val="22"/>
        </w:rPr>
        <w:t>A.</w:t>
      </w:r>
      <w:r w:rsidRPr="00B252EB">
        <w:rPr>
          <w:sz w:val="22"/>
          <w:szCs w:val="22"/>
        </w:rPr>
        <w:tab/>
        <w:t>Guaranteed Low Income Housing Tax Credit Investments. There must be an all</w:t>
      </w:r>
      <w:r w:rsidRPr="00B252EB">
        <w:rPr>
          <w:sz w:val="22"/>
          <w:szCs w:val="22"/>
        </w:rPr>
        <w:noBreakHyphen/>
        <w:t>inclusive guarantee from a CRP-rated entity that guarantees the yield on the investment.</w:t>
      </w:r>
    </w:p>
    <w:p w14:paraId="6AAA1359" w14:textId="77777777" w:rsidR="00B252EB" w:rsidRPr="00B252EB" w:rsidRDefault="00B252EB" w:rsidP="00B252EB">
      <w:pPr>
        <w:rPr>
          <w:sz w:val="22"/>
          <w:szCs w:val="22"/>
        </w:rPr>
      </w:pPr>
    </w:p>
    <w:p w14:paraId="19B537C4" w14:textId="77777777" w:rsidR="00B252EB" w:rsidRPr="00B252EB" w:rsidRDefault="00B252EB" w:rsidP="00B252EB">
      <w:pPr>
        <w:ind w:left="2160" w:hanging="360"/>
        <w:rPr>
          <w:sz w:val="22"/>
          <w:szCs w:val="22"/>
        </w:rPr>
      </w:pPr>
      <w:r w:rsidRPr="00B252EB">
        <w:rPr>
          <w:sz w:val="22"/>
          <w:szCs w:val="22"/>
        </w:rPr>
        <w:t>B.</w:t>
      </w:r>
      <w:r w:rsidRPr="00B252EB">
        <w:rPr>
          <w:sz w:val="22"/>
          <w:szCs w:val="22"/>
        </w:rPr>
        <w:tab/>
        <w:t>Non-guaranteed Low Income Housing Tax Credit Investments.</w:t>
      </w:r>
    </w:p>
    <w:p w14:paraId="58292C66" w14:textId="77777777" w:rsidR="00B252EB" w:rsidRPr="00B252EB" w:rsidRDefault="00B252EB" w:rsidP="00B252EB">
      <w:pPr>
        <w:rPr>
          <w:sz w:val="22"/>
          <w:szCs w:val="22"/>
        </w:rPr>
      </w:pPr>
    </w:p>
    <w:p w14:paraId="3E9928DC" w14:textId="77777777" w:rsidR="00B252EB" w:rsidRPr="00B252EB" w:rsidRDefault="00B252EB" w:rsidP="00E23DF5">
      <w:pPr>
        <w:ind w:left="2520" w:hanging="360"/>
        <w:jc w:val="both"/>
        <w:rPr>
          <w:sz w:val="22"/>
          <w:szCs w:val="22"/>
        </w:rPr>
      </w:pPr>
      <w:r w:rsidRPr="00B252EB">
        <w:rPr>
          <w:sz w:val="22"/>
          <w:szCs w:val="22"/>
        </w:rPr>
        <w:t>I.</w:t>
      </w:r>
      <w:r w:rsidRPr="00B252EB">
        <w:rPr>
          <w:sz w:val="22"/>
          <w:szCs w:val="22"/>
        </w:rPr>
        <w:tab/>
        <w:t>A level of leverage below 50%. For a LIHTC Fund, the level of leverage is measured at the fund level.</w:t>
      </w:r>
    </w:p>
    <w:p w14:paraId="14C157AA" w14:textId="77777777" w:rsidR="00B252EB" w:rsidRPr="00B252EB" w:rsidRDefault="00B252EB" w:rsidP="00E23DF5">
      <w:pPr>
        <w:jc w:val="both"/>
        <w:rPr>
          <w:sz w:val="22"/>
          <w:szCs w:val="22"/>
        </w:rPr>
      </w:pPr>
    </w:p>
    <w:p w14:paraId="584CE322" w14:textId="77777777" w:rsidR="00B252EB" w:rsidRPr="00B252EB" w:rsidRDefault="00B252EB" w:rsidP="00E23DF5">
      <w:pPr>
        <w:ind w:left="2520" w:hanging="360"/>
        <w:jc w:val="both"/>
        <w:rPr>
          <w:sz w:val="22"/>
          <w:szCs w:val="22"/>
        </w:rPr>
      </w:pPr>
      <w:r w:rsidRPr="00B252EB">
        <w:rPr>
          <w:sz w:val="22"/>
          <w:szCs w:val="22"/>
        </w:rPr>
        <w:t>II.</w:t>
      </w:r>
      <w:r w:rsidRPr="00B252EB">
        <w:rPr>
          <w:sz w:val="22"/>
          <w:szCs w:val="22"/>
        </w:rPr>
        <w:tab/>
        <w:t>There is a Tax Credit Guarantee Agreement from General Partner or managing member. This agreement requires the General Partner or managing member to reimburse investors for any shortfalls in tax credits due to errors of compliance, for the life of the partnership. For a LIHTC Fund, a Tax Credit Guarantee is required from the developers of the lower tier LIHTC properties to the upper tier partnership and all other LIHTC investments.</w:t>
      </w:r>
    </w:p>
    <w:p w14:paraId="18B2690B" w14:textId="77777777" w:rsidR="00B252EB" w:rsidRPr="00B252EB" w:rsidRDefault="00B252EB" w:rsidP="00E23DF5">
      <w:pPr>
        <w:jc w:val="both"/>
        <w:rPr>
          <w:sz w:val="22"/>
          <w:szCs w:val="22"/>
        </w:rPr>
      </w:pPr>
    </w:p>
    <w:p w14:paraId="0F748EBC" w14:textId="77777777" w:rsidR="00B252EB" w:rsidRPr="00B252EB" w:rsidRDefault="00B252EB" w:rsidP="00E23DF5">
      <w:pPr>
        <w:ind w:left="2520" w:hanging="360"/>
        <w:jc w:val="both"/>
        <w:rPr>
          <w:sz w:val="22"/>
          <w:szCs w:val="22"/>
        </w:rPr>
      </w:pPr>
      <w:r w:rsidRPr="00B252EB">
        <w:rPr>
          <w:sz w:val="22"/>
          <w:szCs w:val="22"/>
        </w:rPr>
        <w:t>III.</w:t>
      </w:r>
      <w:r w:rsidRPr="00B252EB">
        <w:rPr>
          <w:sz w:val="22"/>
          <w:szCs w:val="22"/>
        </w:rPr>
        <w:tab/>
        <w:t>There are sufficient operating reserves, capital replacement reserves and/or operating deficit guarantees present to mitigate foreseeable foreclosure risk at the time of the investment.</w:t>
      </w:r>
    </w:p>
    <w:p w14:paraId="05947D92" w14:textId="77777777" w:rsidR="00B252EB" w:rsidRPr="00B252EB" w:rsidRDefault="00B252EB" w:rsidP="00B252EB">
      <w:pPr>
        <w:rPr>
          <w:sz w:val="22"/>
          <w:szCs w:val="22"/>
        </w:rPr>
      </w:pPr>
    </w:p>
    <w:p w14:paraId="2CA1F127" w14:textId="77777777" w:rsidR="00B252EB" w:rsidRPr="00B252EB" w:rsidRDefault="00B252EB" w:rsidP="00D72695">
      <w:pPr>
        <w:ind w:left="720"/>
        <w:rPr>
          <w:sz w:val="22"/>
          <w:szCs w:val="22"/>
        </w:rPr>
      </w:pPr>
      <w:r w:rsidRPr="00B252EB">
        <w:rPr>
          <w:sz w:val="22"/>
          <w:szCs w:val="22"/>
        </w:rPr>
        <w:t xml:space="preserve">Non-qualifying LIHTCs should be reported in the “All Other” </w:t>
      </w:r>
      <w:proofErr w:type="gramStart"/>
      <w:r w:rsidRPr="00B252EB">
        <w:rPr>
          <w:sz w:val="22"/>
          <w:szCs w:val="22"/>
        </w:rPr>
        <w:t>category</w:t>
      </w:r>
      <w:proofErr w:type="gramEnd"/>
    </w:p>
    <w:p w14:paraId="6983A5B7" w14:textId="77777777" w:rsidR="00B252EB" w:rsidRPr="0088714C" w:rsidRDefault="00B252EB" w:rsidP="0088714C">
      <w:pPr>
        <w:pStyle w:val="BodyText2"/>
        <w:rPr>
          <w:bCs w:val="0"/>
          <w:i/>
          <w:iCs/>
          <w:szCs w:val="22"/>
        </w:rPr>
      </w:pPr>
    </w:p>
    <w:p w14:paraId="64DB8989" w14:textId="49BD3573" w:rsidR="00BD2D6A" w:rsidRDefault="00BD2D6A" w:rsidP="00BD2D6A">
      <w:pPr>
        <w:pStyle w:val="BodyText2"/>
        <w:rPr>
          <w:bCs w:val="0"/>
          <w:i/>
          <w:iCs/>
          <w:szCs w:val="22"/>
        </w:rPr>
      </w:pPr>
      <w:r>
        <w:rPr>
          <w:bCs w:val="0"/>
          <w:i/>
          <w:iCs/>
          <w:szCs w:val="22"/>
        </w:rPr>
        <w:t>Statutory Accounting RBC Impact:</w:t>
      </w:r>
    </w:p>
    <w:p w14:paraId="0FE7DA28" w14:textId="77777777" w:rsidR="00BD2D6A" w:rsidRDefault="00BD2D6A" w:rsidP="00BD2D6A">
      <w:pPr>
        <w:pStyle w:val="BodyText2"/>
        <w:rPr>
          <w:bCs w:val="0"/>
          <w:i/>
          <w:iCs/>
          <w:szCs w:val="22"/>
        </w:rPr>
      </w:pPr>
    </w:p>
    <w:p w14:paraId="4E648B1C" w14:textId="6DB02B37" w:rsidR="005A7693" w:rsidRDefault="00A03E31" w:rsidP="00BD2D6A">
      <w:pPr>
        <w:pStyle w:val="BodyText2"/>
        <w:rPr>
          <w:b w:val="0"/>
          <w:szCs w:val="22"/>
        </w:rPr>
      </w:pPr>
      <w:r w:rsidRPr="00436721">
        <w:rPr>
          <w:b w:val="0"/>
          <w:szCs w:val="22"/>
        </w:rPr>
        <w:t xml:space="preserve">Life: </w:t>
      </w:r>
      <w:r w:rsidR="00073E68" w:rsidRPr="00436721">
        <w:rPr>
          <w:b w:val="0"/>
          <w:szCs w:val="22"/>
        </w:rPr>
        <w:t>The RBC factor for LIHTC</w:t>
      </w:r>
      <w:r w:rsidR="005A7693" w:rsidRPr="00436721">
        <w:rPr>
          <w:b w:val="0"/>
          <w:szCs w:val="22"/>
        </w:rPr>
        <w:t xml:space="preserve"> </w:t>
      </w:r>
      <w:proofErr w:type="gramStart"/>
      <w:r w:rsidR="005A7693" w:rsidRPr="00436721">
        <w:rPr>
          <w:b w:val="0"/>
          <w:szCs w:val="22"/>
        </w:rPr>
        <w:t>are</w:t>
      </w:r>
      <w:proofErr w:type="gramEnd"/>
      <w:r w:rsidR="005A7693" w:rsidRPr="00436721">
        <w:rPr>
          <w:b w:val="0"/>
          <w:szCs w:val="22"/>
        </w:rPr>
        <w:t xml:space="preserve"> captured as part of the real estate on LR007: </w:t>
      </w:r>
    </w:p>
    <w:p w14:paraId="64FF03DF" w14:textId="77777777" w:rsidR="00436721" w:rsidRPr="00436721" w:rsidRDefault="00436721" w:rsidP="00BD2D6A">
      <w:pPr>
        <w:pStyle w:val="BodyText2"/>
        <w:rPr>
          <w:b w:val="0"/>
          <w:szCs w:val="22"/>
        </w:rPr>
      </w:pPr>
    </w:p>
    <w:tbl>
      <w:tblPr>
        <w:tblW w:w="9724" w:type="dxa"/>
        <w:tblCellMar>
          <w:left w:w="0" w:type="dxa"/>
          <w:right w:w="0" w:type="dxa"/>
        </w:tblCellMar>
        <w:tblLook w:val="04A0" w:firstRow="1" w:lastRow="0" w:firstColumn="1" w:lastColumn="0" w:noHBand="0" w:noVBand="1"/>
      </w:tblPr>
      <w:tblGrid>
        <w:gridCol w:w="516"/>
        <w:gridCol w:w="4836"/>
        <w:gridCol w:w="3736"/>
        <w:gridCol w:w="716"/>
      </w:tblGrid>
      <w:tr w:rsidR="00A752CB" w:rsidRPr="00A752CB" w14:paraId="57814A18" w14:textId="77777777" w:rsidTr="00A752CB">
        <w:trPr>
          <w:trHeight w:val="263"/>
        </w:trPr>
        <w:tc>
          <w:tcPr>
            <w:tcW w:w="436" w:type="dxa"/>
            <w:noWrap/>
            <w:tcMar>
              <w:top w:w="0" w:type="dxa"/>
              <w:left w:w="108" w:type="dxa"/>
              <w:bottom w:w="0" w:type="dxa"/>
              <w:right w:w="108" w:type="dxa"/>
            </w:tcMar>
            <w:vAlign w:val="bottom"/>
            <w:hideMark/>
          </w:tcPr>
          <w:p w14:paraId="66EBA173" w14:textId="77777777" w:rsidR="00A752CB" w:rsidRPr="00A752CB" w:rsidRDefault="00A752CB">
            <w:pPr>
              <w:jc w:val="center"/>
              <w:rPr>
                <w:sz w:val="18"/>
                <w:szCs w:val="18"/>
              </w:rPr>
            </w:pPr>
            <w:r w:rsidRPr="00A752CB">
              <w:rPr>
                <w:sz w:val="18"/>
                <w:szCs w:val="18"/>
              </w:rPr>
              <w:t>(17)</w:t>
            </w:r>
          </w:p>
        </w:tc>
        <w:tc>
          <w:tcPr>
            <w:tcW w:w="4836" w:type="dxa"/>
            <w:noWrap/>
            <w:tcMar>
              <w:top w:w="0" w:type="dxa"/>
              <w:left w:w="108" w:type="dxa"/>
              <w:bottom w:w="0" w:type="dxa"/>
              <w:right w:w="108" w:type="dxa"/>
            </w:tcMar>
            <w:vAlign w:val="bottom"/>
            <w:hideMark/>
          </w:tcPr>
          <w:p w14:paraId="789D9D08" w14:textId="77777777" w:rsidR="00A752CB" w:rsidRPr="00A752CB" w:rsidRDefault="00A752CB">
            <w:pPr>
              <w:rPr>
                <w:sz w:val="18"/>
                <w:szCs w:val="18"/>
              </w:rPr>
            </w:pPr>
            <w:r w:rsidRPr="00A752CB">
              <w:rPr>
                <w:sz w:val="18"/>
                <w:szCs w:val="18"/>
              </w:rPr>
              <w:t>Federal Guaranteed Low Income Housing Tax Credits</w:t>
            </w:r>
          </w:p>
        </w:tc>
        <w:tc>
          <w:tcPr>
            <w:tcW w:w="3736" w:type="dxa"/>
            <w:noWrap/>
            <w:tcMar>
              <w:top w:w="0" w:type="dxa"/>
              <w:left w:w="108" w:type="dxa"/>
              <w:bottom w:w="0" w:type="dxa"/>
              <w:right w:w="108" w:type="dxa"/>
            </w:tcMar>
            <w:vAlign w:val="bottom"/>
            <w:hideMark/>
          </w:tcPr>
          <w:p w14:paraId="519E2E19" w14:textId="77777777" w:rsidR="00A752CB" w:rsidRPr="00A752CB" w:rsidRDefault="00A752CB">
            <w:pPr>
              <w:rPr>
                <w:color w:val="000000"/>
                <w:sz w:val="18"/>
                <w:szCs w:val="18"/>
              </w:rPr>
            </w:pPr>
            <w:r w:rsidRPr="00A752CB">
              <w:rPr>
                <w:color w:val="000000"/>
                <w:sz w:val="18"/>
                <w:szCs w:val="18"/>
              </w:rPr>
              <w:t>AVR Equity Component Column 1 Line 75</w:t>
            </w:r>
          </w:p>
        </w:tc>
        <w:tc>
          <w:tcPr>
            <w:tcW w:w="716" w:type="dxa"/>
            <w:noWrap/>
            <w:tcMar>
              <w:top w:w="0" w:type="dxa"/>
              <w:left w:w="108" w:type="dxa"/>
              <w:bottom w:w="0" w:type="dxa"/>
              <w:right w:w="108" w:type="dxa"/>
            </w:tcMar>
            <w:vAlign w:val="bottom"/>
            <w:hideMark/>
          </w:tcPr>
          <w:p w14:paraId="7F8FB23A" w14:textId="77777777" w:rsidR="00A752CB" w:rsidRPr="00A752CB" w:rsidRDefault="00A752CB">
            <w:pPr>
              <w:jc w:val="center"/>
              <w:rPr>
                <w:sz w:val="18"/>
                <w:szCs w:val="18"/>
              </w:rPr>
            </w:pPr>
            <w:r w:rsidRPr="00A752CB">
              <w:rPr>
                <w:sz w:val="18"/>
                <w:szCs w:val="18"/>
              </w:rPr>
              <w:t>0.0014</w:t>
            </w:r>
          </w:p>
        </w:tc>
      </w:tr>
      <w:tr w:rsidR="00A752CB" w:rsidRPr="00A752CB" w14:paraId="55495EF0" w14:textId="77777777" w:rsidTr="00A752CB">
        <w:trPr>
          <w:trHeight w:val="263"/>
        </w:trPr>
        <w:tc>
          <w:tcPr>
            <w:tcW w:w="436" w:type="dxa"/>
            <w:noWrap/>
            <w:tcMar>
              <w:top w:w="0" w:type="dxa"/>
              <w:left w:w="108" w:type="dxa"/>
              <w:bottom w:w="0" w:type="dxa"/>
              <w:right w:w="108" w:type="dxa"/>
            </w:tcMar>
            <w:vAlign w:val="bottom"/>
            <w:hideMark/>
          </w:tcPr>
          <w:p w14:paraId="16046F16" w14:textId="77777777" w:rsidR="00A752CB" w:rsidRPr="00A752CB" w:rsidRDefault="00A752CB">
            <w:pPr>
              <w:jc w:val="center"/>
              <w:rPr>
                <w:sz w:val="18"/>
                <w:szCs w:val="18"/>
              </w:rPr>
            </w:pPr>
            <w:r w:rsidRPr="00A752CB">
              <w:rPr>
                <w:sz w:val="18"/>
                <w:szCs w:val="18"/>
              </w:rPr>
              <w:t>(18)</w:t>
            </w:r>
          </w:p>
        </w:tc>
        <w:tc>
          <w:tcPr>
            <w:tcW w:w="4836" w:type="dxa"/>
            <w:noWrap/>
            <w:tcMar>
              <w:top w:w="0" w:type="dxa"/>
              <w:left w:w="108" w:type="dxa"/>
              <w:bottom w:w="0" w:type="dxa"/>
              <w:right w:w="108" w:type="dxa"/>
            </w:tcMar>
            <w:vAlign w:val="bottom"/>
            <w:hideMark/>
          </w:tcPr>
          <w:p w14:paraId="432655D7" w14:textId="77777777" w:rsidR="00A752CB" w:rsidRPr="00A752CB" w:rsidRDefault="00A752CB">
            <w:pPr>
              <w:rPr>
                <w:sz w:val="18"/>
                <w:szCs w:val="18"/>
              </w:rPr>
            </w:pPr>
            <w:r w:rsidRPr="00A752CB">
              <w:rPr>
                <w:sz w:val="18"/>
                <w:szCs w:val="18"/>
              </w:rPr>
              <w:t>Federal Non-Guaranteed Low Income Housing Tax Credits</w:t>
            </w:r>
          </w:p>
        </w:tc>
        <w:tc>
          <w:tcPr>
            <w:tcW w:w="3736" w:type="dxa"/>
            <w:noWrap/>
            <w:tcMar>
              <w:top w:w="0" w:type="dxa"/>
              <w:left w:w="108" w:type="dxa"/>
              <w:bottom w:w="0" w:type="dxa"/>
              <w:right w:w="108" w:type="dxa"/>
            </w:tcMar>
            <w:vAlign w:val="bottom"/>
            <w:hideMark/>
          </w:tcPr>
          <w:p w14:paraId="30B7F172" w14:textId="77777777" w:rsidR="00A752CB" w:rsidRPr="00A752CB" w:rsidRDefault="00A752CB">
            <w:pPr>
              <w:rPr>
                <w:color w:val="000000"/>
                <w:sz w:val="18"/>
                <w:szCs w:val="18"/>
              </w:rPr>
            </w:pPr>
            <w:r w:rsidRPr="00A752CB">
              <w:rPr>
                <w:color w:val="000000"/>
                <w:sz w:val="18"/>
                <w:szCs w:val="18"/>
              </w:rPr>
              <w:t>AVR Equity Component Column 1 Line 76</w:t>
            </w:r>
          </w:p>
        </w:tc>
        <w:tc>
          <w:tcPr>
            <w:tcW w:w="716" w:type="dxa"/>
            <w:noWrap/>
            <w:tcMar>
              <w:top w:w="0" w:type="dxa"/>
              <w:left w:w="108" w:type="dxa"/>
              <w:bottom w:w="0" w:type="dxa"/>
              <w:right w:w="108" w:type="dxa"/>
            </w:tcMar>
            <w:vAlign w:val="bottom"/>
            <w:hideMark/>
          </w:tcPr>
          <w:p w14:paraId="5311C645" w14:textId="77777777" w:rsidR="00A752CB" w:rsidRPr="00A752CB" w:rsidRDefault="00A752CB">
            <w:pPr>
              <w:jc w:val="center"/>
              <w:rPr>
                <w:sz w:val="18"/>
                <w:szCs w:val="18"/>
              </w:rPr>
            </w:pPr>
            <w:r w:rsidRPr="00A752CB">
              <w:rPr>
                <w:sz w:val="18"/>
                <w:szCs w:val="18"/>
              </w:rPr>
              <w:t>0.0260</w:t>
            </w:r>
          </w:p>
        </w:tc>
      </w:tr>
      <w:tr w:rsidR="00A752CB" w:rsidRPr="00A752CB" w14:paraId="3573C4EF" w14:textId="77777777" w:rsidTr="00A752CB">
        <w:trPr>
          <w:trHeight w:val="263"/>
        </w:trPr>
        <w:tc>
          <w:tcPr>
            <w:tcW w:w="436" w:type="dxa"/>
            <w:noWrap/>
            <w:tcMar>
              <w:top w:w="0" w:type="dxa"/>
              <w:left w:w="108" w:type="dxa"/>
              <w:bottom w:w="0" w:type="dxa"/>
              <w:right w:w="108" w:type="dxa"/>
            </w:tcMar>
            <w:vAlign w:val="bottom"/>
            <w:hideMark/>
          </w:tcPr>
          <w:p w14:paraId="7ACC069C" w14:textId="77777777" w:rsidR="00A752CB" w:rsidRPr="00A752CB" w:rsidRDefault="00A752CB">
            <w:pPr>
              <w:jc w:val="center"/>
              <w:rPr>
                <w:sz w:val="18"/>
                <w:szCs w:val="18"/>
              </w:rPr>
            </w:pPr>
            <w:r w:rsidRPr="00A752CB">
              <w:rPr>
                <w:sz w:val="18"/>
                <w:szCs w:val="18"/>
              </w:rPr>
              <w:t>(19)</w:t>
            </w:r>
          </w:p>
        </w:tc>
        <w:tc>
          <w:tcPr>
            <w:tcW w:w="4836" w:type="dxa"/>
            <w:noWrap/>
            <w:tcMar>
              <w:top w:w="0" w:type="dxa"/>
              <w:left w:w="108" w:type="dxa"/>
              <w:bottom w:w="0" w:type="dxa"/>
              <w:right w:w="108" w:type="dxa"/>
            </w:tcMar>
            <w:vAlign w:val="bottom"/>
            <w:hideMark/>
          </w:tcPr>
          <w:p w14:paraId="00267E52" w14:textId="77777777" w:rsidR="00A752CB" w:rsidRPr="00A752CB" w:rsidRDefault="00A752CB">
            <w:pPr>
              <w:rPr>
                <w:sz w:val="18"/>
                <w:szCs w:val="18"/>
              </w:rPr>
            </w:pPr>
            <w:r w:rsidRPr="00A752CB">
              <w:rPr>
                <w:sz w:val="18"/>
                <w:szCs w:val="18"/>
              </w:rPr>
              <w:t>State Guaranteed Low Income Housing Tax Credits</w:t>
            </w:r>
          </w:p>
        </w:tc>
        <w:tc>
          <w:tcPr>
            <w:tcW w:w="3736" w:type="dxa"/>
            <w:noWrap/>
            <w:tcMar>
              <w:top w:w="0" w:type="dxa"/>
              <w:left w:w="108" w:type="dxa"/>
              <w:bottom w:w="0" w:type="dxa"/>
              <w:right w:w="108" w:type="dxa"/>
            </w:tcMar>
            <w:vAlign w:val="bottom"/>
            <w:hideMark/>
          </w:tcPr>
          <w:p w14:paraId="5FC8B5C7" w14:textId="77777777" w:rsidR="00A752CB" w:rsidRPr="00A752CB" w:rsidRDefault="00A752CB">
            <w:pPr>
              <w:rPr>
                <w:color w:val="000000"/>
                <w:sz w:val="18"/>
                <w:szCs w:val="18"/>
              </w:rPr>
            </w:pPr>
            <w:r w:rsidRPr="00A752CB">
              <w:rPr>
                <w:color w:val="000000"/>
                <w:sz w:val="18"/>
                <w:szCs w:val="18"/>
              </w:rPr>
              <w:t>AVR Equity Component Column 1 Line 77</w:t>
            </w:r>
          </w:p>
        </w:tc>
        <w:tc>
          <w:tcPr>
            <w:tcW w:w="716" w:type="dxa"/>
            <w:noWrap/>
            <w:tcMar>
              <w:top w:w="0" w:type="dxa"/>
              <w:left w:w="108" w:type="dxa"/>
              <w:bottom w:w="0" w:type="dxa"/>
              <w:right w:w="108" w:type="dxa"/>
            </w:tcMar>
            <w:vAlign w:val="bottom"/>
            <w:hideMark/>
          </w:tcPr>
          <w:p w14:paraId="5F31AE99" w14:textId="77777777" w:rsidR="00A752CB" w:rsidRPr="00A752CB" w:rsidRDefault="00A752CB">
            <w:pPr>
              <w:jc w:val="center"/>
              <w:rPr>
                <w:sz w:val="18"/>
                <w:szCs w:val="18"/>
              </w:rPr>
            </w:pPr>
            <w:r w:rsidRPr="00A752CB">
              <w:rPr>
                <w:sz w:val="18"/>
                <w:szCs w:val="18"/>
              </w:rPr>
              <w:t>0.0014</w:t>
            </w:r>
          </w:p>
        </w:tc>
      </w:tr>
      <w:tr w:rsidR="00A752CB" w:rsidRPr="00A752CB" w14:paraId="448EDE13" w14:textId="77777777" w:rsidTr="00A752CB">
        <w:trPr>
          <w:trHeight w:val="263"/>
        </w:trPr>
        <w:tc>
          <w:tcPr>
            <w:tcW w:w="436" w:type="dxa"/>
            <w:noWrap/>
            <w:tcMar>
              <w:top w:w="0" w:type="dxa"/>
              <w:left w:w="108" w:type="dxa"/>
              <w:bottom w:w="0" w:type="dxa"/>
              <w:right w:w="108" w:type="dxa"/>
            </w:tcMar>
            <w:vAlign w:val="bottom"/>
            <w:hideMark/>
          </w:tcPr>
          <w:p w14:paraId="3556C5DD" w14:textId="77777777" w:rsidR="00A752CB" w:rsidRPr="00A752CB" w:rsidRDefault="00A752CB">
            <w:pPr>
              <w:jc w:val="center"/>
              <w:rPr>
                <w:sz w:val="18"/>
                <w:szCs w:val="18"/>
              </w:rPr>
            </w:pPr>
            <w:r w:rsidRPr="00A752CB">
              <w:rPr>
                <w:sz w:val="18"/>
                <w:szCs w:val="18"/>
              </w:rPr>
              <w:t>(20)</w:t>
            </w:r>
          </w:p>
        </w:tc>
        <w:tc>
          <w:tcPr>
            <w:tcW w:w="4836" w:type="dxa"/>
            <w:noWrap/>
            <w:tcMar>
              <w:top w:w="0" w:type="dxa"/>
              <w:left w:w="108" w:type="dxa"/>
              <w:bottom w:w="0" w:type="dxa"/>
              <w:right w:w="108" w:type="dxa"/>
            </w:tcMar>
            <w:vAlign w:val="bottom"/>
            <w:hideMark/>
          </w:tcPr>
          <w:p w14:paraId="5CF17C3C" w14:textId="77777777" w:rsidR="00A752CB" w:rsidRPr="00A752CB" w:rsidRDefault="00A752CB">
            <w:pPr>
              <w:rPr>
                <w:sz w:val="18"/>
                <w:szCs w:val="18"/>
              </w:rPr>
            </w:pPr>
            <w:r w:rsidRPr="00A752CB">
              <w:rPr>
                <w:sz w:val="18"/>
                <w:szCs w:val="18"/>
              </w:rPr>
              <w:t>State Non-Guaranteed Low Income Housing Tax Credits</w:t>
            </w:r>
          </w:p>
        </w:tc>
        <w:tc>
          <w:tcPr>
            <w:tcW w:w="3736" w:type="dxa"/>
            <w:noWrap/>
            <w:tcMar>
              <w:top w:w="0" w:type="dxa"/>
              <w:left w:w="108" w:type="dxa"/>
              <w:bottom w:w="0" w:type="dxa"/>
              <w:right w:w="108" w:type="dxa"/>
            </w:tcMar>
            <w:vAlign w:val="bottom"/>
            <w:hideMark/>
          </w:tcPr>
          <w:p w14:paraId="3737F88B" w14:textId="77777777" w:rsidR="00A752CB" w:rsidRPr="00A752CB" w:rsidRDefault="00A752CB">
            <w:pPr>
              <w:rPr>
                <w:color w:val="000000"/>
                <w:sz w:val="18"/>
                <w:szCs w:val="18"/>
              </w:rPr>
            </w:pPr>
            <w:r w:rsidRPr="00A752CB">
              <w:rPr>
                <w:color w:val="000000"/>
                <w:sz w:val="18"/>
                <w:szCs w:val="18"/>
              </w:rPr>
              <w:t>AVR Equity Component Column 1 Line 78</w:t>
            </w:r>
          </w:p>
        </w:tc>
        <w:tc>
          <w:tcPr>
            <w:tcW w:w="716" w:type="dxa"/>
            <w:noWrap/>
            <w:tcMar>
              <w:top w:w="0" w:type="dxa"/>
              <w:left w:w="108" w:type="dxa"/>
              <w:bottom w:w="0" w:type="dxa"/>
              <w:right w:w="108" w:type="dxa"/>
            </w:tcMar>
            <w:vAlign w:val="bottom"/>
            <w:hideMark/>
          </w:tcPr>
          <w:p w14:paraId="6FA06E5A" w14:textId="77777777" w:rsidR="00A752CB" w:rsidRPr="00A752CB" w:rsidRDefault="00A752CB">
            <w:pPr>
              <w:jc w:val="center"/>
              <w:rPr>
                <w:sz w:val="18"/>
                <w:szCs w:val="18"/>
              </w:rPr>
            </w:pPr>
            <w:r w:rsidRPr="00A752CB">
              <w:rPr>
                <w:sz w:val="18"/>
                <w:szCs w:val="18"/>
              </w:rPr>
              <w:t>0.0260</w:t>
            </w:r>
          </w:p>
        </w:tc>
      </w:tr>
      <w:tr w:rsidR="00A752CB" w:rsidRPr="00A752CB" w14:paraId="0CE5DD93" w14:textId="77777777" w:rsidTr="00A752CB">
        <w:trPr>
          <w:trHeight w:val="263"/>
        </w:trPr>
        <w:tc>
          <w:tcPr>
            <w:tcW w:w="436" w:type="dxa"/>
            <w:noWrap/>
            <w:tcMar>
              <w:top w:w="0" w:type="dxa"/>
              <w:left w:w="108" w:type="dxa"/>
              <w:bottom w:w="0" w:type="dxa"/>
              <w:right w:w="108" w:type="dxa"/>
            </w:tcMar>
            <w:vAlign w:val="bottom"/>
            <w:hideMark/>
          </w:tcPr>
          <w:p w14:paraId="37EA4FFA" w14:textId="77777777" w:rsidR="00A752CB" w:rsidRPr="00A752CB" w:rsidRDefault="00A752CB">
            <w:pPr>
              <w:jc w:val="center"/>
              <w:rPr>
                <w:sz w:val="18"/>
                <w:szCs w:val="18"/>
              </w:rPr>
            </w:pPr>
            <w:r w:rsidRPr="00A752CB">
              <w:rPr>
                <w:sz w:val="18"/>
                <w:szCs w:val="18"/>
              </w:rPr>
              <w:t>(21)</w:t>
            </w:r>
          </w:p>
        </w:tc>
        <w:tc>
          <w:tcPr>
            <w:tcW w:w="4836" w:type="dxa"/>
            <w:noWrap/>
            <w:tcMar>
              <w:top w:w="0" w:type="dxa"/>
              <w:left w:w="108" w:type="dxa"/>
              <w:bottom w:w="0" w:type="dxa"/>
              <w:right w:w="108" w:type="dxa"/>
            </w:tcMar>
            <w:vAlign w:val="bottom"/>
            <w:hideMark/>
          </w:tcPr>
          <w:p w14:paraId="330AF1D4" w14:textId="77777777" w:rsidR="00A752CB" w:rsidRPr="00A752CB" w:rsidRDefault="00A752CB">
            <w:pPr>
              <w:rPr>
                <w:sz w:val="18"/>
                <w:szCs w:val="18"/>
              </w:rPr>
            </w:pPr>
            <w:r w:rsidRPr="00A752CB">
              <w:rPr>
                <w:sz w:val="18"/>
                <w:szCs w:val="18"/>
              </w:rPr>
              <w:t>All Other Low Income Housing Tax Credits</w:t>
            </w:r>
          </w:p>
        </w:tc>
        <w:tc>
          <w:tcPr>
            <w:tcW w:w="3736" w:type="dxa"/>
            <w:noWrap/>
            <w:tcMar>
              <w:top w:w="0" w:type="dxa"/>
              <w:left w:w="108" w:type="dxa"/>
              <w:bottom w:w="0" w:type="dxa"/>
              <w:right w:w="108" w:type="dxa"/>
            </w:tcMar>
            <w:vAlign w:val="bottom"/>
            <w:hideMark/>
          </w:tcPr>
          <w:p w14:paraId="45EC1AD9" w14:textId="77777777" w:rsidR="00A752CB" w:rsidRPr="00A752CB" w:rsidRDefault="00A752CB">
            <w:pPr>
              <w:rPr>
                <w:color w:val="000000"/>
                <w:sz w:val="18"/>
                <w:szCs w:val="18"/>
              </w:rPr>
            </w:pPr>
            <w:r w:rsidRPr="00A752CB">
              <w:rPr>
                <w:color w:val="000000"/>
                <w:sz w:val="18"/>
                <w:szCs w:val="18"/>
              </w:rPr>
              <w:t>AVR Equity Component Column 1 Line 79</w:t>
            </w:r>
          </w:p>
        </w:tc>
        <w:tc>
          <w:tcPr>
            <w:tcW w:w="716" w:type="dxa"/>
            <w:noWrap/>
            <w:tcMar>
              <w:top w:w="0" w:type="dxa"/>
              <w:left w:w="108" w:type="dxa"/>
              <w:bottom w:w="0" w:type="dxa"/>
              <w:right w:w="108" w:type="dxa"/>
            </w:tcMar>
            <w:vAlign w:val="bottom"/>
            <w:hideMark/>
          </w:tcPr>
          <w:p w14:paraId="32E310DA" w14:textId="77777777" w:rsidR="00A752CB" w:rsidRPr="00A752CB" w:rsidRDefault="00A752CB">
            <w:pPr>
              <w:jc w:val="center"/>
              <w:rPr>
                <w:sz w:val="18"/>
                <w:szCs w:val="18"/>
              </w:rPr>
            </w:pPr>
            <w:r w:rsidRPr="00A752CB">
              <w:rPr>
                <w:sz w:val="18"/>
                <w:szCs w:val="18"/>
              </w:rPr>
              <w:t>0.1500</w:t>
            </w:r>
          </w:p>
        </w:tc>
      </w:tr>
      <w:tr w:rsidR="00A752CB" w:rsidRPr="00A752CB" w14:paraId="03AD63D3" w14:textId="77777777" w:rsidTr="00A752CB">
        <w:trPr>
          <w:trHeight w:val="263"/>
        </w:trPr>
        <w:tc>
          <w:tcPr>
            <w:tcW w:w="436" w:type="dxa"/>
            <w:noWrap/>
            <w:tcMar>
              <w:top w:w="0" w:type="dxa"/>
              <w:left w:w="108" w:type="dxa"/>
              <w:bottom w:w="0" w:type="dxa"/>
              <w:right w:w="108" w:type="dxa"/>
            </w:tcMar>
            <w:vAlign w:val="bottom"/>
            <w:hideMark/>
          </w:tcPr>
          <w:p w14:paraId="697205D3" w14:textId="77777777" w:rsidR="00A752CB" w:rsidRPr="00A752CB" w:rsidRDefault="00A752CB">
            <w:pPr>
              <w:jc w:val="center"/>
              <w:rPr>
                <w:sz w:val="18"/>
                <w:szCs w:val="18"/>
              </w:rPr>
            </w:pPr>
            <w:r w:rsidRPr="00A752CB">
              <w:rPr>
                <w:sz w:val="18"/>
                <w:szCs w:val="18"/>
              </w:rPr>
              <w:t>(22)</w:t>
            </w:r>
          </w:p>
        </w:tc>
        <w:tc>
          <w:tcPr>
            <w:tcW w:w="4836" w:type="dxa"/>
            <w:noWrap/>
            <w:tcMar>
              <w:top w:w="0" w:type="dxa"/>
              <w:left w:w="108" w:type="dxa"/>
              <w:bottom w:w="0" w:type="dxa"/>
              <w:right w:w="108" w:type="dxa"/>
            </w:tcMar>
            <w:vAlign w:val="bottom"/>
            <w:hideMark/>
          </w:tcPr>
          <w:p w14:paraId="56565D0C" w14:textId="77777777" w:rsidR="00A752CB" w:rsidRPr="00A752CB" w:rsidRDefault="00A752CB">
            <w:pPr>
              <w:rPr>
                <w:sz w:val="18"/>
                <w:szCs w:val="18"/>
              </w:rPr>
            </w:pPr>
            <w:r w:rsidRPr="00A752CB">
              <w:rPr>
                <w:sz w:val="18"/>
                <w:szCs w:val="18"/>
              </w:rPr>
              <w:t>Total Schedule BA Real Estate</w:t>
            </w:r>
          </w:p>
        </w:tc>
        <w:tc>
          <w:tcPr>
            <w:tcW w:w="3736" w:type="dxa"/>
            <w:noWrap/>
            <w:tcMar>
              <w:top w:w="0" w:type="dxa"/>
              <w:left w:w="108" w:type="dxa"/>
              <w:bottom w:w="0" w:type="dxa"/>
              <w:right w:w="108" w:type="dxa"/>
            </w:tcMar>
            <w:vAlign w:val="bottom"/>
            <w:hideMark/>
          </w:tcPr>
          <w:p w14:paraId="4A3C76B1" w14:textId="77777777" w:rsidR="00A752CB" w:rsidRPr="00A752CB" w:rsidRDefault="00A752CB">
            <w:pPr>
              <w:rPr>
                <w:sz w:val="18"/>
                <w:szCs w:val="18"/>
              </w:rPr>
            </w:pPr>
            <w:r w:rsidRPr="00A752CB">
              <w:rPr>
                <w:sz w:val="18"/>
                <w:szCs w:val="18"/>
              </w:rPr>
              <w:t>Lines (16) + (17) + (18) + (19) + (20) + (21)</w:t>
            </w:r>
          </w:p>
        </w:tc>
        <w:tc>
          <w:tcPr>
            <w:tcW w:w="716" w:type="dxa"/>
            <w:noWrap/>
            <w:tcMar>
              <w:top w:w="0" w:type="dxa"/>
              <w:left w:w="108" w:type="dxa"/>
              <w:bottom w:w="0" w:type="dxa"/>
              <w:right w:w="108" w:type="dxa"/>
            </w:tcMar>
            <w:vAlign w:val="bottom"/>
            <w:hideMark/>
          </w:tcPr>
          <w:p w14:paraId="551393DF" w14:textId="77777777" w:rsidR="00A752CB" w:rsidRPr="00A752CB" w:rsidRDefault="00A752CB">
            <w:pPr>
              <w:rPr>
                <w:sz w:val="18"/>
                <w:szCs w:val="18"/>
              </w:rPr>
            </w:pPr>
          </w:p>
        </w:tc>
      </w:tr>
    </w:tbl>
    <w:p w14:paraId="73CD8CD0" w14:textId="77777777" w:rsidR="005A7693" w:rsidRDefault="005A7693" w:rsidP="00BD2D6A">
      <w:pPr>
        <w:pStyle w:val="BodyText2"/>
        <w:rPr>
          <w:bCs w:val="0"/>
          <w:i/>
          <w:iCs/>
          <w:szCs w:val="22"/>
        </w:rPr>
      </w:pPr>
    </w:p>
    <w:p w14:paraId="7AC98850" w14:textId="58AAA51C" w:rsidR="008236BC" w:rsidRPr="00436721" w:rsidRDefault="008236BC" w:rsidP="00997D39">
      <w:pPr>
        <w:pStyle w:val="BodyText2"/>
        <w:tabs>
          <w:tab w:val="left" w:pos="3690"/>
        </w:tabs>
        <w:rPr>
          <w:b w:val="0"/>
          <w:szCs w:val="22"/>
        </w:rPr>
      </w:pPr>
      <w:r w:rsidRPr="00436721">
        <w:rPr>
          <w:b w:val="0"/>
          <w:szCs w:val="22"/>
        </w:rPr>
        <w:t xml:space="preserve">P/C and Health: The RBC factors for LIHTC are captured as components of other long-term assets. The </w:t>
      </w:r>
      <w:r w:rsidR="00436721" w:rsidRPr="00436721">
        <w:rPr>
          <w:b w:val="0"/>
          <w:szCs w:val="22"/>
        </w:rPr>
        <w:t xml:space="preserve">reporting lines and </w:t>
      </w:r>
      <w:r w:rsidRPr="00436721">
        <w:rPr>
          <w:b w:val="0"/>
          <w:szCs w:val="22"/>
        </w:rPr>
        <w:t xml:space="preserve">factors are the same as they are for life (as shown above). </w:t>
      </w:r>
    </w:p>
    <w:p w14:paraId="536247C1" w14:textId="77777777" w:rsidR="008236BC" w:rsidRDefault="008236BC" w:rsidP="00997D39">
      <w:pPr>
        <w:pStyle w:val="BodyText2"/>
        <w:tabs>
          <w:tab w:val="left" w:pos="3690"/>
        </w:tabs>
        <w:rPr>
          <w:bCs w:val="0"/>
          <w:szCs w:val="22"/>
        </w:rPr>
      </w:pPr>
    </w:p>
    <w:p w14:paraId="59DFDF4B" w14:textId="596BE953"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096488" w:rsidRPr="00093E85">
        <w:rPr>
          <w:b w:val="0"/>
          <w:bCs w:val="0"/>
          <w:szCs w:val="22"/>
        </w:rPr>
        <w:t>None.</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110D8FD0" w:rsidR="00490996" w:rsidRPr="00237383"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NA</w:t>
      </w:r>
    </w:p>
    <w:p w14:paraId="45ED1F04" w14:textId="77777777" w:rsidR="006B37DD" w:rsidRPr="00016321" w:rsidRDefault="006B37DD" w:rsidP="00490996">
      <w:pPr>
        <w:pStyle w:val="BodyText2"/>
        <w:rPr>
          <w:b w:val="0"/>
          <w:bCs w:val="0"/>
          <w:szCs w:val="22"/>
        </w:rPr>
      </w:pPr>
    </w:p>
    <w:p w14:paraId="7574C98B" w14:textId="7DBD9F64" w:rsidR="004D638D" w:rsidRPr="002F2BDF" w:rsidRDefault="002A1316" w:rsidP="004534F9">
      <w:pPr>
        <w:pStyle w:val="BodyText2"/>
        <w:rPr>
          <w:szCs w:val="22"/>
        </w:rPr>
      </w:pPr>
      <w:r w:rsidRPr="00016321">
        <w:rPr>
          <w:szCs w:val="22"/>
        </w:rPr>
        <w:t>Recommendation:</w:t>
      </w:r>
      <w:r w:rsidR="004128F1">
        <w:rPr>
          <w:szCs w:val="22"/>
        </w:rPr>
        <w:t xml:space="preserve"> </w:t>
      </w:r>
    </w:p>
    <w:p w14:paraId="5E25B4DD" w14:textId="368E71B1" w:rsidR="009F40C5" w:rsidRDefault="009F40C5" w:rsidP="009F40C5">
      <w:pPr>
        <w:jc w:val="both"/>
        <w:rPr>
          <w:iCs/>
          <w:sz w:val="22"/>
          <w:szCs w:val="22"/>
        </w:rPr>
      </w:pPr>
      <w:r w:rsidRPr="00DA6349">
        <w:rPr>
          <w:b/>
          <w:sz w:val="22"/>
          <w:szCs w:val="22"/>
        </w:rPr>
        <w:t>NAIC staff recommend that the Working Group expose additional revisions described below to SSAP No. 93 and SSAP No. 94R</w:t>
      </w:r>
      <w:r w:rsidRPr="004B318F">
        <w:rPr>
          <w:b/>
          <w:sz w:val="22"/>
          <w:szCs w:val="22"/>
        </w:rPr>
        <w:t xml:space="preserve">. Staff also recommends that the Working Group expose changes to </w:t>
      </w:r>
      <w:r w:rsidRPr="004B318F">
        <w:rPr>
          <w:b/>
          <w:i/>
          <w:sz w:val="22"/>
          <w:szCs w:val="22"/>
        </w:rPr>
        <w:t>SSAP No. 34—Investment Income Due and Accrued</w:t>
      </w:r>
      <w:r w:rsidRPr="004B318F">
        <w:rPr>
          <w:b/>
          <w:sz w:val="22"/>
          <w:szCs w:val="22"/>
        </w:rPr>
        <w:t xml:space="preserve"> and </w:t>
      </w:r>
      <w:r w:rsidRPr="004B318F">
        <w:rPr>
          <w:b/>
          <w:i/>
          <w:sz w:val="22"/>
          <w:szCs w:val="22"/>
        </w:rPr>
        <w:t xml:space="preserve">SSAP No. </w:t>
      </w:r>
      <w:r w:rsidRPr="004B318F">
        <w:rPr>
          <w:b/>
          <w:bCs/>
          <w:i/>
          <w:iCs/>
          <w:sz w:val="22"/>
          <w:szCs w:val="22"/>
        </w:rPr>
        <w:t>48</w:t>
      </w:r>
      <w:r w:rsidRPr="004B318F">
        <w:rPr>
          <w:b/>
          <w:i/>
          <w:sz w:val="22"/>
          <w:szCs w:val="22"/>
        </w:rPr>
        <w:t>—Joint Ventures, Partnerships and Limited Liability Companies</w:t>
      </w:r>
      <w:r w:rsidRPr="004B318F">
        <w:rPr>
          <w:b/>
          <w:sz w:val="22"/>
          <w:szCs w:val="22"/>
        </w:rPr>
        <w:t>, which detail miscellaneous changes which update the scope of each statement for the proposed updates to SSAP No. 93 and SSAP No. 94R.</w:t>
      </w:r>
      <w:r w:rsidRPr="00A22E74">
        <w:rPr>
          <w:iCs/>
          <w:sz w:val="22"/>
          <w:szCs w:val="22"/>
        </w:rPr>
        <w:t xml:space="preserve"> </w:t>
      </w:r>
      <w:r w:rsidRPr="002A04AE">
        <w:rPr>
          <w:iCs/>
          <w:sz w:val="22"/>
          <w:szCs w:val="22"/>
        </w:rPr>
        <w:t xml:space="preserve">The following are </w:t>
      </w:r>
      <w:r>
        <w:rPr>
          <w:iCs/>
          <w:sz w:val="22"/>
          <w:szCs w:val="22"/>
        </w:rPr>
        <w:t xml:space="preserve">key </w:t>
      </w:r>
      <w:r w:rsidRPr="002A04AE">
        <w:rPr>
          <w:iCs/>
          <w:sz w:val="22"/>
          <w:szCs w:val="22"/>
        </w:rPr>
        <w:t>revisions</w:t>
      </w:r>
      <w:r>
        <w:rPr>
          <w:iCs/>
          <w:sz w:val="22"/>
          <w:szCs w:val="22"/>
        </w:rPr>
        <w:t xml:space="preserve"> to S</w:t>
      </w:r>
      <w:r w:rsidRPr="002A04AE">
        <w:rPr>
          <w:iCs/>
          <w:sz w:val="22"/>
          <w:szCs w:val="22"/>
        </w:rPr>
        <w:t>SAP No. 93</w:t>
      </w:r>
      <w:r w:rsidR="00DC254A">
        <w:rPr>
          <w:iCs/>
          <w:sz w:val="22"/>
          <w:szCs w:val="22"/>
        </w:rPr>
        <w:t>R</w:t>
      </w:r>
      <w:r w:rsidRPr="002A04AE">
        <w:rPr>
          <w:iCs/>
          <w:sz w:val="22"/>
          <w:szCs w:val="22"/>
        </w:rPr>
        <w:t xml:space="preserve"> and 94R</w:t>
      </w:r>
      <w:r w:rsidRPr="00835FF8">
        <w:rPr>
          <w:iCs/>
          <w:sz w:val="22"/>
          <w:szCs w:val="22"/>
        </w:rPr>
        <w:t xml:space="preserve"> </w:t>
      </w:r>
      <w:r>
        <w:rPr>
          <w:iCs/>
          <w:sz w:val="22"/>
          <w:szCs w:val="22"/>
        </w:rPr>
        <w:t xml:space="preserve">are proposed for </w:t>
      </w:r>
      <w:r w:rsidRPr="002A04AE">
        <w:rPr>
          <w:iCs/>
          <w:sz w:val="22"/>
          <w:szCs w:val="22"/>
        </w:rPr>
        <w:t>exposure:</w:t>
      </w:r>
    </w:p>
    <w:p w14:paraId="67987273" w14:textId="77777777" w:rsidR="009F40C5" w:rsidRPr="002A04AE" w:rsidRDefault="009F40C5" w:rsidP="009F40C5">
      <w:pPr>
        <w:jc w:val="both"/>
        <w:rPr>
          <w:iCs/>
          <w:sz w:val="22"/>
          <w:szCs w:val="22"/>
        </w:rPr>
      </w:pPr>
    </w:p>
    <w:p w14:paraId="5E6BA2C2" w14:textId="711D8094" w:rsidR="009F40C5" w:rsidRPr="009F40C5" w:rsidRDefault="009F40C5" w:rsidP="009F40C5">
      <w:pPr>
        <w:pStyle w:val="BodyText2"/>
        <w:numPr>
          <w:ilvl w:val="0"/>
          <w:numId w:val="46"/>
        </w:numPr>
        <w:rPr>
          <w:b w:val="0"/>
          <w:bCs w:val="0"/>
          <w:iCs/>
          <w:szCs w:val="22"/>
        </w:rPr>
      </w:pPr>
      <w:r w:rsidRPr="009F40C5">
        <w:rPr>
          <w:b w:val="0"/>
          <w:bCs w:val="0"/>
          <w:i/>
          <w:szCs w:val="22"/>
          <w:u w:val="single"/>
        </w:rPr>
        <w:t>SSAP No. 93</w:t>
      </w:r>
      <w:r w:rsidR="00E9021A">
        <w:rPr>
          <w:b w:val="0"/>
          <w:bCs w:val="0"/>
          <w:i/>
          <w:szCs w:val="22"/>
          <w:u w:val="single"/>
        </w:rPr>
        <w:t>R</w:t>
      </w:r>
      <w:r w:rsidRPr="009F40C5">
        <w:rPr>
          <w:b w:val="0"/>
          <w:bCs w:val="0"/>
          <w:i/>
          <w:szCs w:val="22"/>
          <w:u w:val="single"/>
        </w:rPr>
        <w:t>—Investments in Tax Credit Structures</w:t>
      </w:r>
      <w:r w:rsidRPr="009F40C5">
        <w:rPr>
          <w:b w:val="0"/>
          <w:bCs w:val="0"/>
          <w:i/>
          <w:szCs w:val="22"/>
        </w:rPr>
        <w:t xml:space="preserve"> –</w:t>
      </w:r>
      <w:r w:rsidRPr="009F40C5">
        <w:rPr>
          <w:b w:val="0"/>
          <w:bCs w:val="0"/>
          <w:szCs w:val="22"/>
        </w:rPr>
        <w:t xml:space="preserve"> NAIC staff recommends the following revisions in response to comments, from interested parties, public comments and NAIC staff internal review: </w:t>
      </w:r>
    </w:p>
    <w:p w14:paraId="624FC56A" w14:textId="77777777" w:rsidR="009F40C5" w:rsidRPr="009F40C5" w:rsidRDefault="009F40C5" w:rsidP="009F40C5">
      <w:pPr>
        <w:pStyle w:val="BodyText2"/>
        <w:numPr>
          <w:ilvl w:val="1"/>
          <w:numId w:val="46"/>
        </w:numPr>
        <w:rPr>
          <w:b w:val="0"/>
          <w:bCs w:val="0"/>
          <w:iCs/>
          <w:szCs w:val="22"/>
        </w:rPr>
      </w:pPr>
      <w:r w:rsidRPr="009F40C5">
        <w:rPr>
          <w:b w:val="0"/>
          <w:bCs w:val="0"/>
          <w:szCs w:val="22"/>
        </w:rPr>
        <w:t>Various editorial changes to the admittance test described in paragraph 18 to clarify technical aspects of the assessment.</w:t>
      </w:r>
    </w:p>
    <w:p w14:paraId="295564A7" w14:textId="77777777" w:rsidR="009F40C5" w:rsidRPr="009F40C5" w:rsidRDefault="009F40C5" w:rsidP="009F40C5">
      <w:pPr>
        <w:pStyle w:val="BodyText2"/>
        <w:numPr>
          <w:ilvl w:val="1"/>
          <w:numId w:val="46"/>
        </w:numPr>
        <w:rPr>
          <w:b w:val="0"/>
          <w:bCs w:val="0"/>
          <w:iCs/>
          <w:szCs w:val="22"/>
        </w:rPr>
      </w:pPr>
      <w:r w:rsidRPr="009F40C5">
        <w:rPr>
          <w:b w:val="0"/>
          <w:bCs w:val="0"/>
          <w:szCs w:val="22"/>
        </w:rPr>
        <w:t>Addition of a Glossary of key terms at the end of the SSAP.</w:t>
      </w:r>
    </w:p>
    <w:p w14:paraId="4C0318C8" w14:textId="77777777" w:rsidR="009F40C5" w:rsidRPr="009F40C5" w:rsidRDefault="009F40C5" w:rsidP="009F40C5">
      <w:pPr>
        <w:pStyle w:val="BodyText2"/>
        <w:numPr>
          <w:ilvl w:val="1"/>
          <w:numId w:val="46"/>
        </w:numPr>
        <w:rPr>
          <w:b w:val="0"/>
          <w:bCs w:val="0"/>
          <w:iCs/>
          <w:szCs w:val="22"/>
        </w:rPr>
      </w:pPr>
      <w:r w:rsidRPr="009F40C5">
        <w:rPr>
          <w:b w:val="0"/>
          <w:bCs w:val="0"/>
          <w:szCs w:val="22"/>
        </w:rPr>
        <w:t xml:space="preserve">Revised guidance effective date to be 1/1/2025, applied prospectively without option to early adopt. </w:t>
      </w:r>
    </w:p>
    <w:p w14:paraId="2DDAA0C0" w14:textId="77777777" w:rsidR="009F40C5" w:rsidRPr="009F40C5" w:rsidRDefault="009F40C5" w:rsidP="009F40C5">
      <w:pPr>
        <w:pStyle w:val="BodyText2"/>
        <w:numPr>
          <w:ilvl w:val="1"/>
          <w:numId w:val="46"/>
        </w:numPr>
        <w:rPr>
          <w:b w:val="0"/>
          <w:bCs w:val="0"/>
          <w:iCs/>
          <w:szCs w:val="22"/>
        </w:rPr>
      </w:pPr>
      <w:r w:rsidRPr="009F40C5">
        <w:rPr>
          <w:b w:val="0"/>
          <w:bCs w:val="0"/>
          <w:szCs w:val="22"/>
        </w:rPr>
        <w:t xml:space="preserve">Added a new paragraph to the Impairment of Tax Credit Investments section to provide guidance on tax credit programs which allocate variable amounts of tax credits. </w:t>
      </w:r>
    </w:p>
    <w:p w14:paraId="3755B566" w14:textId="77777777" w:rsidR="009F40C5" w:rsidRPr="009F40C5" w:rsidRDefault="009F40C5" w:rsidP="009F40C5">
      <w:pPr>
        <w:pStyle w:val="BodyText2"/>
        <w:numPr>
          <w:ilvl w:val="1"/>
          <w:numId w:val="46"/>
        </w:numPr>
        <w:rPr>
          <w:b w:val="0"/>
          <w:bCs w:val="0"/>
          <w:iCs/>
          <w:szCs w:val="22"/>
        </w:rPr>
      </w:pPr>
      <w:r w:rsidRPr="009F40C5">
        <w:rPr>
          <w:b w:val="0"/>
          <w:bCs w:val="0"/>
          <w:szCs w:val="22"/>
        </w:rPr>
        <w:lastRenderedPageBreak/>
        <w:t xml:space="preserve">Clarified in footnote 4 that tax credit strips derived from tax equity investments are not an example of an investment structure exempt from the audit requirement.  </w:t>
      </w:r>
    </w:p>
    <w:p w14:paraId="6E1CE71D" w14:textId="77777777" w:rsidR="009F40C5" w:rsidRPr="009F40C5" w:rsidRDefault="009F40C5" w:rsidP="009F40C5">
      <w:pPr>
        <w:pStyle w:val="BodyText2"/>
        <w:numPr>
          <w:ilvl w:val="1"/>
          <w:numId w:val="46"/>
        </w:numPr>
        <w:rPr>
          <w:b w:val="0"/>
          <w:bCs w:val="0"/>
          <w:iCs/>
          <w:szCs w:val="22"/>
        </w:rPr>
      </w:pPr>
      <w:r w:rsidRPr="009F40C5">
        <w:rPr>
          <w:b w:val="0"/>
          <w:bCs w:val="0"/>
          <w:szCs w:val="22"/>
        </w:rPr>
        <w:t>Added disclosures for unused tax credits allocated from tax credit investments as these tax credits would not be within the scope of SSAP No. 94R disclosures.</w:t>
      </w:r>
    </w:p>
    <w:p w14:paraId="65DB344D" w14:textId="77777777" w:rsidR="009F40C5" w:rsidRPr="009F40C5" w:rsidRDefault="009F40C5" w:rsidP="009F40C5">
      <w:pPr>
        <w:pStyle w:val="BodyText2"/>
        <w:rPr>
          <w:b w:val="0"/>
          <w:bCs w:val="0"/>
          <w:iCs/>
          <w:szCs w:val="22"/>
        </w:rPr>
      </w:pPr>
    </w:p>
    <w:p w14:paraId="2572560D" w14:textId="77777777" w:rsidR="009F40C5" w:rsidRPr="009F40C5" w:rsidRDefault="009F40C5" w:rsidP="009F40C5">
      <w:pPr>
        <w:pStyle w:val="BodyText2"/>
        <w:numPr>
          <w:ilvl w:val="0"/>
          <w:numId w:val="46"/>
        </w:numPr>
        <w:rPr>
          <w:b w:val="0"/>
          <w:bCs w:val="0"/>
          <w:iCs/>
          <w:szCs w:val="22"/>
        </w:rPr>
      </w:pPr>
      <w:r w:rsidRPr="009F40C5">
        <w:rPr>
          <w:b w:val="0"/>
          <w:bCs w:val="0"/>
          <w:i/>
          <w:szCs w:val="22"/>
          <w:u w:val="single"/>
        </w:rPr>
        <w:t>SSAP No. 94R—State and Federal Tax Credits</w:t>
      </w:r>
      <w:r w:rsidRPr="009F40C5">
        <w:rPr>
          <w:b w:val="0"/>
          <w:bCs w:val="0"/>
          <w:iCs/>
          <w:szCs w:val="22"/>
        </w:rPr>
        <w:t xml:space="preserve"> – </w:t>
      </w:r>
      <w:r w:rsidRPr="009F40C5">
        <w:rPr>
          <w:b w:val="0"/>
          <w:bCs w:val="0"/>
          <w:szCs w:val="22"/>
        </w:rPr>
        <w:t xml:space="preserve">NAIC staff recommends the following revisions in response to comments, from interested parties, public comments and NAIC staff internal review: </w:t>
      </w:r>
    </w:p>
    <w:p w14:paraId="2E5BEFAA" w14:textId="77777777" w:rsidR="009F40C5" w:rsidRPr="009F40C5" w:rsidRDefault="009F40C5" w:rsidP="009F40C5">
      <w:pPr>
        <w:pStyle w:val="BodyText2"/>
        <w:numPr>
          <w:ilvl w:val="1"/>
          <w:numId w:val="46"/>
        </w:numPr>
        <w:rPr>
          <w:b w:val="0"/>
          <w:bCs w:val="0"/>
          <w:iCs/>
          <w:szCs w:val="22"/>
        </w:rPr>
      </w:pPr>
      <w:r w:rsidRPr="009F40C5">
        <w:rPr>
          <w:b w:val="0"/>
          <w:bCs w:val="0"/>
          <w:szCs w:val="22"/>
        </w:rPr>
        <w:t xml:space="preserve">Revised </w:t>
      </w:r>
      <w:r w:rsidRPr="009F40C5">
        <w:rPr>
          <w:b w:val="0"/>
          <w:bCs w:val="0"/>
          <w:iCs/>
          <w:szCs w:val="22"/>
        </w:rPr>
        <w:t>guidance effective date to be 1/1/2025 with early adoption permitted.</w:t>
      </w:r>
    </w:p>
    <w:p w14:paraId="1806166A" w14:textId="77777777" w:rsidR="009F40C5" w:rsidRPr="009F40C5" w:rsidRDefault="009F40C5" w:rsidP="009F40C5">
      <w:pPr>
        <w:pStyle w:val="BodyText2"/>
        <w:numPr>
          <w:ilvl w:val="1"/>
          <w:numId w:val="46"/>
        </w:numPr>
        <w:rPr>
          <w:b w:val="0"/>
          <w:bCs w:val="0"/>
          <w:iCs/>
          <w:szCs w:val="22"/>
        </w:rPr>
      </w:pPr>
      <w:r w:rsidRPr="009F40C5">
        <w:rPr>
          <w:b w:val="0"/>
          <w:bCs w:val="0"/>
          <w:iCs/>
          <w:szCs w:val="22"/>
        </w:rPr>
        <w:t xml:space="preserve">Added language to clarify that awarded tax credits (neither purchased nor allocated from an investment) are not within the scope of SSAP No. 94R. </w:t>
      </w:r>
    </w:p>
    <w:p w14:paraId="3C96A930" w14:textId="77777777" w:rsidR="009F40C5" w:rsidRPr="009F40C5" w:rsidRDefault="009F40C5" w:rsidP="009F40C5">
      <w:pPr>
        <w:pStyle w:val="BodyText2"/>
        <w:numPr>
          <w:ilvl w:val="1"/>
          <w:numId w:val="46"/>
        </w:numPr>
        <w:rPr>
          <w:b w:val="0"/>
          <w:bCs w:val="0"/>
          <w:iCs/>
          <w:szCs w:val="22"/>
        </w:rPr>
      </w:pPr>
      <w:r w:rsidRPr="009F40C5">
        <w:rPr>
          <w:b w:val="0"/>
          <w:bCs w:val="0"/>
          <w:iCs/>
          <w:szCs w:val="22"/>
        </w:rPr>
        <w:t>Added commitment and contingency guidance to the Accounting and Disclosure sections.</w:t>
      </w:r>
    </w:p>
    <w:p w14:paraId="7AE5779E" w14:textId="77777777" w:rsidR="009F40C5" w:rsidRPr="009F40C5" w:rsidRDefault="009F40C5" w:rsidP="009F40C5">
      <w:pPr>
        <w:pStyle w:val="ListParagraph"/>
        <w:rPr>
          <w:iCs/>
          <w:sz w:val="22"/>
          <w:szCs w:val="22"/>
        </w:rPr>
      </w:pPr>
    </w:p>
    <w:p w14:paraId="502AD8CA" w14:textId="77777777" w:rsidR="009F40C5" w:rsidRPr="009F40C5" w:rsidRDefault="009F40C5" w:rsidP="009F40C5">
      <w:pPr>
        <w:pStyle w:val="BodyText2"/>
        <w:numPr>
          <w:ilvl w:val="0"/>
          <w:numId w:val="46"/>
        </w:numPr>
        <w:rPr>
          <w:b w:val="0"/>
          <w:bCs w:val="0"/>
          <w:iCs/>
          <w:szCs w:val="22"/>
        </w:rPr>
      </w:pPr>
      <w:r w:rsidRPr="009F40C5">
        <w:rPr>
          <w:b w:val="0"/>
          <w:bCs w:val="0"/>
          <w:iCs/>
          <w:szCs w:val="22"/>
          <w:u w:val="single"/>
        </w:rPr>
        <w:t>Other SSAPs</w:t>
      </w:r>
      <w:r w:rsidRPr="009F40C5">
        <w:rPr>
          <w:b w:val="0"/>
          <w:bCs w:val="0"/>
          <w:iCs/>
          <w:szCs w:val="22"/>
        </w:rPr>
        <w:t xml:space="preserve"> – In response to the proposed revisions to SSAP Nos 93 and 94R, </w:t>
      </w:r>
      <w:r w:rsidRPr="009F40C5">
        <w:rPr>
          <w:b w:val="0"/>
          <w:bCs w:val="0"/>
          <w:szCs w:val="22"/>
        </w:rPr>
        <w:t>NAIC staff recommends the following:</w:t>
      </w:r>
    </w:p>
    <w:p w14:paraId="16CBA8E8" w14:textId="77777777" w:rsidR="009F40C5" w:rsidRPr="009F40C5" w:rsidRDefault="009F40C5" w:rsidP="009F40C5">
      <w:pPr>
        <w:pStyle w:val="BodyText2"/>
        <w:numPr>
          <w:ilvl w:val="1"/>
          <w:numId w:val="46"/>
        </w:numPr>
        <w:rPr>
          <w:b w:val="0"/>
          <w:bCs w:val="0"/>
          <w:iCs/>
          <w:szCs w:val="22"/>
        </w:rPr>
      </w:pPr>
      <w:r w:rsidRPr="009F40C5">
        <w:rPr>
          <w:b w:val="0"/>
          <w:bCs w:val="0"/>
          <w:i/>
          <w:szCs w:val="22"/>
        </w:rPr>
        <w:t>SSAP No. 34—Investment Income Due and Accrued</w:t>
      </w:r>
      <w:r w:rsidRPr="009F40C5">
        <w:rPr>
          <w:b w:val="0"/>
          <w:bCs w:val="0"/>
          <w:iCs/>
          <w:szCs w:val="22"/>
        </w:rPr>
        <w:t xml:space="preserve"> – Staff proposes revisions to clarify that tax credits earned or purchased are not within the scope of SSAP No. 34.</w:t>
      </w:r>
    </w:p>
    <w:p w14:paraId="1E1B98DC" w14:textId="3109F4FB" w:rsidR="009F40C5" w:rsidRDefault="009F40C5" w:rsidP="009F40C5">
      <w:pPr>
        <w:pStyle w:val="BodyText2"/>
        <w:numPr>
          <w:ilvl w:val="1"/>
          <w:numId w:val="46"/>
        </w:numPr>
        <w:rPr>
          <w:iCs/>
          <w:szCs w:val="22"/>
        </w:rPr>
      </w:pPr>
      <w:r w:rsidRPr="009F40C5">
        <w:rPr>
          <w:b w:val="0"/>
          <w:bCs w:val="0"/>
          <w:i/>
          <w:szCs w:val="22"/>
        </w:rPr>
        <w:t>SSAP No. 48—Joint Ventures, Partnerships and Limited Liability Companies</w:t>
      </w:r>
      <w:r w:rsidRPr="009F40C5">
        <w:rPr>
          <w:b w:val="0"/>
          <w:bCs w:val="0"/>
          <w:iCs/>
          <w:szCs w:val="22"/>
        </w:rPr>
        <w:t xml:space="preserve"> – Staff proposes revisions which update paragraph 2 for the new tax credit investment language</w:t>
      </w:r>
      <w:r>
        <w:rPr>
          <w:b w:val="0"/>
          <w:bCs w:val="0"/>
          <w:iCs/>
          <w:szCs w:val="22"/>
        </w:rPr>
        <w:t>.</w:t>
      </w:r>
    </w:p>
    <w:p w14:paraId="23C3FBD4" w14:textId="77777777" w:rsidR="009F40C5" w:rsidRPr="00DA6349" w:rsidRDefault="009F40C5" w:rsidP="009F40C5">
      <w:pPr>
        <w:pStyle w:val="BodyText2"/>
        <w:rPr>
          <w:b w:val="0"/>
          <w:szCs w:val="22"/>
        </w:rPr>
      </w:pPr>
    </w:p>
    <w:p w14:paraId="69C58476" w14:textId="65A3E4A2" w:rsidR="00850D6A" w:rsidRDefault="00850D6A" w:rsidP="00850D6A">
      <w:pPr>
        <w:pStyle w:val="BodyText2"/>
        <w:rPr>
          <w:szCs w:val="22"/>
        </w:rPr>
      </w:pPr>
      <w:r w:rsidRPr="00850D6A">
        <w:rPr>
          <w:szCs w:val="22"/>
        </w:rPr>
        <w:t xml:space="preserve">Interested parties’ comment letter recommended revisions which would narrow the scope of the paragraph 18 admittance test to only tax credit investments </w:t>
      </w:r>
      <w:r w:rsidR="006102F6">
        <w:rPr>
          <w:szCs w:val="22"/>
        </w:rPr>
        <w:t>which</w:t>
      </w:r>
      <w:r w:rsidRPr="00850D6A">
        <w:rPr>
          <w:szCs w:val="22"/>
        </w:rPr>
        <w:t xml:space="preserve"> allocate non-transferable tax credit and prohibit the sale of ownership interests.  NAIC staff did not revise </w:t>
      </w:r>
      <w:r w:rsidR="006102F6">
        <w:rPr>
          <w:szCs w:val="22"/>
        </w:rPr>
        <w:t xml:space="preserve">the </w:t>
      </w:r>
      <w:r w:rsidRPr="00850D6A">
        <w:rPr>
          <w:szCs w:val="22"/>
        </w:rPr>
        <w:t>SSAP No. 93</w:t>
      </w:r>
      <w:r w:rsidR="006102F6">
        <w:rPr>
          <w:szCs w:val="22"/>
        </w:rPr>
        <w:t>R</w:t>
      </w:r>
      <w:r w:rsidRPr="00850D6A">
        <w:rPr>
          <w:szCs w:val="22"/>
        </w:rPr>
        <w:t xml:space="preserve"> draft for these recommendations but intends to continue working with industry to address their concerns that the new guidance may non-admit previously admitted tax credit investments.</w:t>
      </w:r>
    </w:p>
    <w:p w14:paraId="5DBD7AF3" w14:textId="77777777" w:rsidR="00850D6A" w:rsidRDefault="00850D6A" w:rsidP="00850D6A">
      <w:pPr>
        <w:pStyle w:val="BodyText2"/>
        <w:rPr>
          <w:szCs w:val="22"/>
        </w:rPr>
      </w:pPr>
    </w:p>
    <w:p w14:paraId="30A0A791" w14:textId="5977A338" w:rsidR="009F40C5" w:rsidRPr="004B318F" w:rsidRDefault="009F40C5" w:rsidP="00850D6A">
      <w:pPr>
        <w:pStyle w:val="BodyText2"/>
        <w:rPr>
          <w:i/>
          <w:szCs w:val="22"/>
        </w:rPr>
      </w:pPr>
      <w:r w:rsidRPr="004B318F">
        <w:rPr>
          <w:szCs w:val="22"/>
        </w:rPr>
        <w:t xml:space="preserve">Additionally, NAIC staff </w:t>
      </w:r>
      <w:r w:rsidRPr="0065341E">
        <w:rPr>
          <w:szCs w:val="22"/>
        </w:rPr>
        <w:t>request</w:t>
      </w:r>
      <w:r>
        <w:rPr>
          <w:szCs w:val="22"/>
        </w:rPr>
        <w:t>s</w:t>
      </w:r>
      <w:r w:rsidRPr="0065341E">
        <w:rPr>
          <w:szCs w:val="22"/>
        </w:rPr>
        <w:t xml:space="preserve"> comments on </w:t>
      </w:r>
      <w:r>
        <w:rPr>
          <w:szCs w:val="22"/>
        </w:rPr>
        <w:t xml:space="preserve">the </w:t>
      </w:r>
      <w:r w:rsidRPr="0065341E">
        <w:rPr>
          <w:szCs w:val="22"/>
        </w:rPr>
        <w:t>annual statement reporting categories</w:t>
      </w:r>
      <w:r>
        <w:rPr>
          <w:szCs w:val="22"/>
        </w:rPr>
        <w:t xml:space="preserve"> for tax credit investment RBC</w:t>
      </w:r>
      <w:r w:rsidRPr="004B318F">
        <w:rPr>
          <w:szCs w:val="22"/>
        </w:rPr>
        <w:t>.</w:t>
      </w:r>
      <w:r>
        <w:rPr>
          <w:szCs w:val="22"/>
        </w:rPr>
        <w:t xml:space="preserve"> The current RBC categories are LIHTC Investment specific and are </w:t>
      </w:r>
      <w:r w:rsidRPr="004B318F">
        <w:rPr>
          <w:szCs w:val="22"/>
        </w:rPr>
        <w:t xml:space="preserve">mapped to the real estate grouping. </w:t>
      </w:r>
    </w:p>
    <w:p w14:paraId="7EE6DFB1" w14:textId="77777777" w:rsidR="00F2532B" w:rsidRPr="00016321" w:rsidRDefault="00F2532B" w:rsidP="00F2532B">
      <w:pPr>
        <w:pStyle w:val="BodyText2"/>
        <w:rPr>
          <w:b w:val="0"/>
          <w:bCs w:val="0"/>
          <w:szCs w:val="22"/>
        </w:rPr>
      </w:pPr>
    </w:p>
    <w:p w14:paraId="53229BB2" w14:textId="243B471D"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0A22D3">
        <w:rPr>
          <w:b w:val="0"/>
          <w:bCs w:val="0"/>
          <w:szCs w:val="22"/>
        </w:rPr>
        <w:t>William Oden</w:t>
      </w:r>
      <w:r w:rsidR="001B1F96">
        <w:rPr>
          <w:b w:val="0"/>
          <w:bCs w:val="0"/>
          <w:szCs w:val="22"/>
        </w:rPr>
        <w:t xml:space="preserve"> </w:t>
      </w:r>
      <w:r w:rsidR="00A34148">
        <w:rPr>
          <w:b w:val="0"/>
          <w:bCs w:val="0"/>
          <w:szCs w:val="22"/>
        </w:rPr>
        <w:t xml:space="preserve">and Julie Gann </w:t>
      </w:r>
      <w:r w:rsidR="001B1F96">
        <w:rPr>
          <w:b w:val="0"/>
          <w:bCs w:val="0"/>
          <w:szCs w:val="22"/>
        </w:rPr>
        <w:t xml:space="preserve">-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0A22D3">
        <w:rPr>
          <w:b w:val="0"/>
          <w:bCs w:val="0"/>
          <w:szCs w:val="22"/>
        </w:rPr>
        <w:t>May 2023</w:t>
      </w:r>
    </w:p>
    <w:p w14:paraId="61C9DB88" w14:textId="77777777" w:rsidR="008C0A6D" w:rsidRDefault="008C0A6D" w:rsidP="00C71C2C">
      <w:pPr>
        <w:pStyle w:val="BodyText2"/>
        <w:rPr>
          <w:b w:val="0"/>
          <w:bCs w:val="0"/>
          <w:szCs w:val="22"/>
        </w:rPr>
      </w:pPr>
    </w:p>
    <w:p w14:paraId="17F9E5DB" w14:textId="7CA5919D" w:rsidR="008C0A6D" w:rsidRPr="00AB479F" w:rsidRDefault="008C0A6D" w:rsidP="00C71C2C">
      <w:pPr>
        <w:pStyle w:val="BodyText2"/>
        <w:rPr>
          <w:szCs w:val="22"/>
        </w:rPr>
      </w:pPr>
      <w:r w:rsidRPr="00AB479F">
        <w:rPr>
          <w:szCs w:val="22"/>
        </w:rPr>
        <w:t>Status:</w:t>
      </w:r>
    </w:p>
    <w:p w14:paraId="010D0B0B" w14:textId="049CD62F" w:rsidR="002F2BDF" w:rsidRPr="002F2BDF" w:rsidRDefault="00E11907" w:rsidP="00C71C2C">
      <w:pPr>
        <w:pStyle w:val="BodyText2"/>
        <w:rPr>
          <w:szCs w:val="22"/>
        </w:rPr>
      </w:pPr>
      <w:r w:rsidRPr="00E11907">
        <w:rPr>
          <w:szCs w:val="22"/>
        </w:rPr>
        <w:t>December 13, 2022</w:t>
      </w:r>
      <w:r>
        <w:rPr>
          <w:szCs w:val="22"/>
        </w:rPr>
        <w:t xml:space="preserve"> - </w:t>
      </w:r>
      <w:r w:rsidR="002F2BDF" w:rsidRPr="002F2BDF">
        <w:rPr>
          <w:szCs w:val="22"/>
        </w:rPr>
        <w:t>Fall National Meeting Recommendation:</w:t>
      </w:r>
    </w:p>
    <w:p w14:paraId="4BF8825E" w14:textId="77777777" w:rsidR="00F94D23" w:rsidRDefault="002F2BDF" w:rsidP="002F2BDF">
      <w:pPr>
        <w:pStyle w:val="BodyText2"/>
        <w:rPr>
          <w:b w:val="0"/>
          <w:bCs w:val="0"/>
          <w:szCs w:val="22"/>
        </w:rPr>
      </w:pPr>
      <w:r w:rsidRPr="002F2BDF">
        <w:rPr>
          <w:b w:val="0"/>
          <w:bCs w:val="0"/>
          <w:szCs w:val="22"/>
        </w:rPr>
        <w:t xml:space="preserve">NAIC staff recommends that the Working Group direct NAIC staff to draft statutory accounting guidance in the form of a new or revised SSAP that expands the current LIHTC guidance for equity investments that general federal business tax credit and state premium tax credits. Although this agenda item is focusing on NMTC, it is recommended that consideration be given to guidance that does not name specific designs, such as NMTC or other specific tax credits, so that it can be applicable for all qualifying tax equity investments. This guidance will consider the proposed FASB guidance as well as admittance and impairment provisions, recognizing that tax credits cannot be used to provide direct payment to policyholders, but rather are utilized to impact a reporting entity’s tax liability. This agenda item also recommends a review of SSAP No. 94—Transferable and Non-Transferable State Tax Credits to ensure the guidance properly reflects items that should be captured in scope and appropriate admittance provisions.  With the proposal of a new or revised SSAP, this agenda item is proposed to be captured as a ‘New SAP Concept’ with a corresponding issue paper. Along with statutory accounting revisions, a resulting blanks proposal and a potential RBC referral are anticipated to update blanks reporting and RBC references accordingly. As detailed within, all Schedule BA reporting lines and RBC instructions (for both federal and state) only reference Low-Income Housing Tax Credits. The BA instructions also need to be updated as the concept for ‘guaranteed’ provisions from a CRP-rated entity seems to only be applicable to limited NMTC designs, as a guarantee may disqualify an entity from being able to use tax credits under IRS provisions. </w:t>
      </w:r>
    </w:p>
    <w:p w14:paraId="0FD57D5A" w14:textId="77777777" w:rsidR="00F94D23" w:rsidRDefault="00F94D23" w:rsidP="002F2BDF">
      <w:pPr>
        <w:pStyle w:val="BodyText2"/>
        <w:rPr>
          <w:b w:val="0"/>
          <w:bCs w:val="0"/>
          <w:szCs w:val="22"/>
        </w:rPr>
      </w:pPr>
    </w:p>
    <w:p w14:paraId="21B76394" w14:textId="72E9CCFA" w:rsidR="008C0A6D" w:rsidRDefault="001135D1" w:rsidP="002F2BDF">
      <w:pPr>
        <w:pStyle w:val="BodyText2"/>
        <w:rPr>
          <w:b w:val="0"/>
          <w:bCs w:val="0"/>
          <w:szCs w:val="22"/>
        </w:rPr>
      </w:pPr>
      <w:r>
        <w:rPr>
          <w:b w:val="0"/>
          <w:bCs w:val="0"/>
          <w:szCs w:val="22"/>
        </w:rPr>
        <w:t>On December 13, 2022, the</w:t>
      </w:r>
      <w:r w:rsidR="00DF16B8">
        <w:rPr>
          <w:b w:val="0"/>
          <w:bCs w:val="0"/>
          <w:szCs w:val="22"/>
        </w:rPr>
        <w:t xml:space="preserve"> </w:t>
      </w:r>
      <w:r w:rsidR="00DF16B8" w:rsidRPr="008B769F">
        <w:rPr>
          <w:b w:val="0"/>
          <w:bCs w:val="0"/>
          <w:szCs w:val="22"/>
        </w:rPr>
        <w:t>Statutory Accounting Principles (E) Working Group moved this agenda</w:t>
      </w:r>
      <w:r w:rsidR="00DF16B8">
        <w:rPr>
          <w:b w:val="0"/>
          <w:bCs w:val="0"/>
          <w:szCs w:val="22"/>
        </w:rPr>
        <w:t xml:space="preserve"> item</w:t>
      </w:r>
      <w:r w:rsidR="00DF16B8" w:rsidRPr="008B769F">
        <w:rPr>
          <w:b w:val="0"/>
          <w:bCs w:val="0"/>
          <w:szCs w:val="22"/>
        </w:rPr>
        <w:t xml:space="preserve"> to the active </w:t>
      </w:r>
      <w:r w:rsidR="00DF16B8" w:rsidRPr="00E321AA">
        <w:rPr>
          <w:b w:val="0"/>
          <w:bCs w:val="0"/>
          <w:szCs w:val="22"/>
        </w:rPr>
        <w:t xml:space="preserve">listing, </w:t>
      </w:r>
      <w:r w:rsidR="00DF16B8" w:rsidRPr="00543B6A">
        <w:rPr>
          <w:b w:val="0"/>
          <w:bCs w:val="0"/>
          <w:szCs w:val="22"/>
        </w:rPr>
        <w:t xml:space="preserve">categorized as </w:t>
      </w:r>
      <w:r w:rsidR="00DF16B8">
        <w:rPr>
          <w:b w:val="0"/>
          <w:bCs w:val="0"/>
          <w:szCs w:val="22"/>
        </w:rPr>
        <w:t xml:space="preserve">a new SAP concept, and </w:t>
      </w:r>
      <w:r w:rsidR="001F38B0">
        <w:rPr>
          <w:b w:val="0"/>
          <w:bCs w:val="0"/>
          <w:szCs w:val="22"/>
        </w:rPr>
        <w:t xml:space="preserve">exposed a discussion document to expand current statutory </w:t>
      </w:r>
      <w:r w:rsidR="001F38B0">
        <w:rPr>
          <w:b w:val="0"/>
          <w:bCs w:val="0"/>
          <w:szCs w:val="22"/>
        </w:rPr>
        <w:lastRenderedPageBreak/>
        <w:t>accounting guidance for low-income housing tax credits to capture all tax</w:t>
      </w:r>
      <w:r w:rsidR="00A049CE" w:rsidRPr="00A049CE">
        <w:rPr>
          <w:b w:val="0"/>
          <w:bCs w:val="0"/>
          <w:szCs w:val="22"/>
        </w:rPr>
        <w:t xml:space="preserve"> equity investments that </w:t>
      </w:r>
      <w:r w:rsidR="001F38B0">
        <w:rPr>
          <w:b w:val="0"/>
          <w:bCs w:val="0"/>
          <w:szCs w:val="22"/>
        </w:rPr>
        <w:t xml:space="preserve">provide </w:t>
      </w:r>
      <w:r w:rsidR="00A049CE" w:rsidRPr="00A049CE">
        <w:rPr>
          <w:b w:val="0"/>
          <w:bCs w:val="0"/>
          <w:szCs w:val="22"/>
        </w:rPr>
        <w:t>general federal business tax credit and state premium tax credits</w:t>
      </w:r>
      <w:r w:rsidR="001F38B0">
        <w:rPr>
          <w:b w:val="0"/>
          <w:bCs w:val="0"/>
          <w:szCs w:val="22"/>
        </w:rPr>
        <w:t xml:space="preserve"> if they </w:t>
      </w:r>
      <w:r w:rsidR="009B7358">
        <w:rPr>
          <w:b w:val="0"/>
          <w:bCs w:val="0"/>
          <w:szCs w:val="22"/>
        </w:rPr>
        <w:t>meet specified criteria</w:t>
      </w:r>
      <w:r w:rsidR="00A049CE">
        <w:rPr>
          <w:b w:val="0"/>
          <w:bCs w:val="0"/>
          <w:szCs w:val="22"/>
        </w:rPr>
        <w:t>.</w:t>
      </w:r>
    </w:p>
    <w:p w14:paraId="7F8B4957" w14:textId="77777777" w:rsidR="009A1E1D" w:rsidRDefault="009A1E1D" w:rsidP="002F2BDF">
      <w:pPr>
        <w:pStyle w:val="BodyText2"/>
        <w:rPr>
          <w:b w:val="0"/>
          <w:bCs w:val="0"/>
          <w:szCs w:val="22"/>
        </w:rPr>
      </w:pPr>
    </w:p>
    <w:p w14:paraId="438B7240" w14:textId="1D58135C" w:rsidR="009A1E1D" w:rsidRDefault="009A1E1D" w:rsidP="002F2BDF">
      <w:pPr>
        <w:pStyle w:val="BodyText2"/>
        <w:rPr>
          <w:b w:val="0"/>
          <w:bCs w:val="0"/>
          <w:szCs w:val="22"/>
        </w:rPr>
      </w:pPr>
      <w:r>
        <w:rPr>
          <w:b w:val="0"/>
          <w:bCs w:val="0"/>
          <w:szCs w:val="22"/>
        </w:rPr>
        <w:t>On February</w:t>
      </w:r>
      <w:r w:rsidR="008A756C">
        <w:rPr>
          <w:b w:val="0"/>
          <w:bCs w:val="0"/>
          <w:szCs w:val="22"/>
        </w:rPr>
        <w:t xml:space="preserve"> 10, 2023, </w:t>
      </w:r>
      <w:r w:rsidR="008A756C" w:rsidRPr="008A756C">
        <w:rPr>
          <w:b w:val="0"/>
          <w:bCs w:val="0"/>
          <w:szCs w:val="22"/>
        </w:rPr>
        <w:t xml:space="preserve">NAIC staff received Interested Parties’ comment letter on the exposed </w:t>
      </w:r>
      <w:r w:rsidR="00650307">
        <w:rPr>
          <w:b w:val="0"/>
          <w:bCs w:val="0"/>
          <w:szCs w:val="22"/>
        </w:rPr>
        <w:t>discussion document which were presented to the Working Group:</w:t>
      </w:r>
    </w:p>
    <w:p w14:paraId="24E43746" w14:textId="77777777" w:rsidR="00650307" w:rsidRDefault="00650307" w:rsidP="00650307">
      <w:pPr>
        <w:pStyle w:val="BodyText2"/>
        <w:rPr>
          <w:b w:val="0"/>
          <w:bCs w:val="0"/>
          <w:szCs w:val="22"/>
        </w:rPr>
      </w:pPr>
    </w:p>
    <w:p w14:paraId="5CD949C7" w14:textId="62292D54" w:rsidR="00650307" w:rsidRPr="00807B27" w:rsidRDefault="00650307" w:rsidP="007B583A">
      <w:pPr>
        <w:pStyle w:val="BodyText2"/>
        <w:ind w:left="720"/>
        <w:rPr>
          <w:b w:val="0"/>
          <w:bCs w:val="0"/>
          <w:szCs w:val="22"/>
          <w:highlight w:val="lightGray"/>
        </w:rPr>
      </w:pPr>
      <w:r w:rsidRPr="00807B27">
        <w:rPr>
          <w:b w:val="0"/>
          <w:bCs w:val="0"/>
          <w:szCs w:val="22"/>
          <w:highlight w:val="lightGray"/>
        </w:rPr>
        <w:t>Interested parties agree with having uniformity in accounting and reporting for equity investments for which the return is earned primarily through tax credits. Interested parties agree that the proportional amortization method is an appropriate method to use for any type of investment (debt or equity) where the return is primarily earned through tax credits. We are providing responses to the questions exposed in the Discussion Paper in this document. There are two key take aways from our responses:</w:t>
      </w:r>
    </w:p>
    <w:p w14:paraId="16F03508" w14:textId="77777777" w:rsidR="00650307" w:rsidRPr="00807B27" w:rsidRDefault="00650307" w:rsidP="00650307">
      <w:pPr>
        <w:pStyle w:val="BodyText2"/>
        <w:rPr>
          <w:b w:val="0"/>
          <w:bCs w:val="0"/>
          <w:szCs w:val="22"/>
          <w:highlight w:val="lightGray"/>
        </w:rPr>
      </w:pPr>
    </w:p>
    <w:p w14:paraId="182F304D" w14:textId="77777777" w:rsidR="00650307" w:rsidRPr="00807B27" w:rsidRDefault="00650307" w:rsidP="00650307">
      <w:pPr>
        <w:pStyle w:val="BodyText2"/>
        <w:ind w:left="720"/>
        <w:rPr>
          <w:b w:val="0"/>
          <w:bCs w:val="0"/>
          <w:szCs w:val="22"/>
          <w:highlight w:val="lightGray"/>
        </w:rPr>
      </w:pPr>
      <w:r w:rsidRPr="00807B27">
        <w:rPr>
          <w:b w:val="0"/>
          <w:bCs w:val="0"/>
          <w:szCs w:val="22"/>
          <w:highlight w:val="lightGray"/>
        </w:rPr>
        <w:t>1.</w:t>
      </w:r>
      <w:r w:rsidRPr="00807B27">
        <w:rPr>
          <w:b w:val="0"/>
          <w:bCs w:val="0"/>
          <w:szCs w:val="22"/>
          <w:highlight w:val="lightGray"/>
        </w:rPr>
        <w:tab/>
        <w:t xml:space="preserve">Interested parties ask the Working Group to consider allowing for the reporting of both the amortization of the investments and the use of the tax credits themselves in the same income statement line </w:t>
      </w:r>
      <w:proofErr w:type="gramStart"/>
      <w:r w:rsidRPr="00807B27">
        <w:rPr>
          <w:b w:val="0"/>
          <w:bCs w:val="0"/>
          <w:szCs w:val="22"/>
          <w:highlight w:val="lightGray"/>
        </w:rPr>
        <w:t>similar to</w:t>
      </w:r>
      <w:proofErr w:type="gramEnd"/>
      <w:r w:rsidRPr="00807B27">
        <w:rPr>
          <w:b w:val="0"/>
          <w:bCs w:val="0"/>
          <w:szCs w:val="22"/>
          <w:highlight w:val="lightGray"/>
        </w:rPr>
        <w:t xml:space="preserve"> what is required under U.S. GAAP.</w:t>
      </w:r>
    </w:p>
    <w:p w14:paraId="655CBCE2" w14:textId="77777777" w:rsidR="00650307" w:rsidRPr="00807B27" w:rsidRDefault="00650307" w:rsidP="00650307">
      <w:pPr>
        <w:pStyle w:val="BodyText2"/>
        <w:rPr>
          <w:b w:val="0"/>
          <w:bCs w:val="0"/>
          <w:szCs w:val="22"/>
          <w:highlight w:val="lightGray"/>
        </w:rPr>
      </w:pPr>
    </w:p>
    <w:p w14:paraId="6C636CAA" w14:textId="31C70BCF" w:rsidR="00650307" w:rsidRDefault="00650307" w:rsidP="00650307">
      <w:pPr>
        <w:pStyle w:val="BodyText2"/>
        <w:ind w:left="720"/>
        <w:rPr>
          <w:b w:val="0"/>
          <w:bCs w:val="0"/>
          <w:szCs w:val="22"/>
        </w:rPr>
      </w:pPr>
      <w:r w:rsidRPr="00807B27">
        <w:rPr>
          <w:b w:val="0"/>
          <w:bCs w:val="0"/>
          <w:szCs w:val="22"/>
          <w:highlight w:val="lightGray"/>
        </w:rPr>
        <w:t>2.</w:t>
      </w:r>
      <w:r w:rsidRPr="00807B27">
        <w:rPr>
          <w:b w:val="0"/>
          <w:bCs w:val="0"/>
          <w:szCs w:val="22"/>
          <w:highlight w:val="lightGray"/>
        </w:rPr>
        <w:tab/>
        <w:t>Interested parties have concerns regarding tax credit investments that are issued in debt form and requiring those investments to be reported on Schedule BA instead of Schedule D. Interested parties believe that tax credit investments issued in debt form are better suited for Schedule D reporting.</w:t>
      </w:r>
    </w:p>
    <w:p w14:paraId="275C8A9D" w14:textId="77777777" w:rsidR="00F94D23" w:rsidRDefault="00F94D23" w:rsidP="002F2BDF">
      <w:pPr>
        <w:pStyle w:val="BodyText2"/>
        <w:rPr>
          <w:b w:val="0"/>
          <w:bCs w:val="0"/>
          <w:szCs w:val="22"/>
        </w:rPr>
      </w:pPr>
    </w:p>
    <w:p w14:paraId="096128E4" w14:textId="138ECC35" w:rsidR="00F94D23" w:rsidRPr="00F94D23" w:rsidRDefault="00F94D23" w:rsidP="002F2BDF">
      <w:pPr>
        <w:pStyle w:val="BodyText2"/>
        <w:rPr>
          <w:szCs w:val="22"/>
        </w:rPr>
      </w:pPr>
      <w:r w:rsidRPr="00F94D23">
        <w:rPr>
          <w:szCs w:val="22"/>
        </w:rPr>
        <w:t xml:space="preserve">March 22, 2023 – </w:t>
      </w:r>
      <w:r w:rsidR="007B583A">
        <w:rPr>
          <w:szCs w:val="22"/>
        </w:rPr>
        <w:t>Spring</w:t>
      </w:r>
      <w:r w:rsidRPr="00F94D23">
        <w:rPr>
          <w:szCs w:val="22"/>
        </w:rPr>
        <w:t xml:space="preserve"> National Meeting Recommendation:</w:t>
      </w:r>
    </w:p>
    <w:p w14:paraId="00737BAE" w14:textId="153C1A19" w:rsidR="00F94D23" w:rsidRDefault="00F94D23" w:rsidP="002F2BDF">
      <w:pPr>
        <w:pStyle w:val="BodyText2"/>
        <w:rPr>
          <w:b w:val="0"/>
          <w:bCs w:val="0"/>
          <w:szCs w:val="22"/>
        </w:rPr>
      </w:pPr>
      <w:r w:rsidRPr="00F94D23">
        <w:rPr>
          <w:b w:val="0"/>
          <w:bCs w:val="0"/>
          <w:szCs w:val="22"/>
        </w:rPr>
        <w:t xml:space="preserve">NAIC staff recommends that the Working Group direct NAIC staff to proceed with drafting revised statutory accounting guidance and a related issue paper to expand the guidance in SSAP No. 93 for tax credits, as well as to draft revisions to SSAP No. 94—Transferable and Non-Transferable State Tax Credits for future Working Group discussion. NAIC staff proposes to consider the feedback from interested parties on the discussion document as well as the revised FASB guidance, which is expected to be issued </w:t>
      </w:r>
      <w:proofErr w:type="gramStart"/>
      <w:r w:rsidRPr="00F94D23">
        <w:rPr>
          <w:b w:val="0"/>
          <w:bCs w:val="0"/>
          <w:szCs w:val="22"/>
        </w:rPr>
        <w:t>in the near future</w:t>
      </w:r>
      <w:proofErr w:type="gramEnd"/>
      <w:r w:rsidRPr="00F94D23">
        <w:rPr>
          <w:b w:val="0"/>
          <w:bCs w:val="0"/>
          <w:szCs w:val="22"/>
        </w:rPr>
        <w:t>, in updating the proposed revised statutory accounting guidance for subsequent exposure consideration.</w:t>
      </w:r>
    </w:p>
    <w:p w14:paraId="138B9E5E" w14:textId="77777777" w:rsidR="00E04146" w:rsidRDefault="00E04146" w:rsidP="00C71C2C">
      <w:pPr>
        <w:pStyle w:val="BodyText2"/>
        <w:rPr>
          <w:b w:val="0"/>
          <w:bCs w:val="0"/>
          <w:szCs w:val="22"/>
        </w:rPr>
      </w:pPr>
    </w:p>
    <w:p w14:paraId="3DCC89D9" w14:textId="4EBB6101" w:rsidR="00E04146" w:rsidRDefault="00E04146" w:rsidP="00C71C2C">
      <w:pPr>
        <w:pStyle w:val="BodyText2"/>
        <w:rPr>
          <w:b w:val="0"/>
          <w:bCs w:val="0"/>
          <w:szCs w:val="22"/>
        </w:rPr>
      </w:pPr>
      <w:r>
        <w:rPr>
          <w:b w:val="0"/>
          <w:bCs w:val="0"/>
          <w:szCs w:val="22"/>
        </w:rPr>
        <w:t xml:space="preserve">On March 22, 2023, the </w:t>
      </w:r>
      <w:r w:rsidRPr="008B769F">
        <w:rPr>
          <w:b w:val="0"/>
          <w:bCs w:val="0"/>
          <w:szCs w:val="22"/>
        </w:rPr>
        <w:t>Statutory Accounting Principles (E) Working Group</w:t>
      </w:r>
      <w:r>
        <w:rPr>
          <w:b w:val="0"/>
          <w:bCs w:val="0"/>
          <w:szCs w:val="22"/>
        </w:rPr>
        <w:t xml:space="preserve"> directed </w:t>
      </w:r>
      <w:r w:rsidRPr="00E04146">
        <w:rPr>
          <w:b w:val="0"/>
          <w:bCs w:val="0"/>
          <w:szCs w:val="22"/>
        </w:rPr>
        <w:t>NAIC staff to draft statutory accounting guidance in the form of a new or revised SSAP that expands the current LIHTC guidance for equity investments that general federal business tax credit and state premium tax credits.</w:t>
      </w:r>
    </w:p>
    <w:p w14:paraId="3FF3BCA1" w14:textId="77777777" w:rsidR="00063381" w:rsidRDefault="00063381" w:rsidP="00C71C2C">
      <w:pPr>
        <w:pStyle w:val="BodyText2"/>
        <w:rPr>
          <w:b w:val="0"/>
          <w:bCs w:val="0"/>
          <w:szCs w:val="22"/>
        </w:rPr>
      </w:pPr>
    </w:p>
    <w:p w14:paraId="579E2EC9" w14:textId="0108D375" w:rsidR="00063381" w:rsidRPr="00063381" w:rsidRDefault="00063381" w:rsidP="00063381">
      <w:pPr>
        <w:pStyle w:val="BodyText2"/>
        <w:rPr>
          <w:bCs w:val="0"/>
          <w:szCs w:val="22"/>
        </w:rPr>
      </w:pPr>
      <w:r w:rsidRPr="00063381">
        <w:rPr>
          <w:bCs w:val="0"/>
          <w:szCs w:val="22"/>
        </w:rPr>
        <w:t xml:space="preserve">May 16, </w:t>
      </w:r>
      <w:r w:rsidR="002F2BDF" w:rsidRPr="00063381">
        <w:rPr>
          <w:bCs w:val="0"/>
          <w:szCs w:val="22"/>
        </w:rPr>
        <w:t>2023</w:t>
      </w:r>
      <w:r w:rsidR="00E11907">
        <w:rPr>
          <w:bCs w:val="0"/>
          <w:szCs w:val="22"/>
        </w:rPr>
        <w:t xml:space="preserve"> – Interim Meeting</w:t>
      </w:r>
      <w:r w:rsidRPr="00063381">
        <w:rPr>
          <w:bCs w:val="0"/>
          <w:szCs w:val="22"/>
        </w:rPr>
        <w:t xml:space="preserve"> Recommendation:</w:t>
      </w:r>
    </w:p>
    <w:p w14:paraId="6A75BED1" w14:textId="77777777" w:rsidR="00063381" w:rsidRDefault="00063381" w:rsidP="00063381">
      <w:pPr>
        <w:pStyle w:val="BodyText2"/>
        <w:rPr>
          <w:b w:val="0"/>
          <w:szCs w:val="22"/>
        </w:rPr>
      </w:pPr>
      <w:r w:rsidRPr="00063381">
        <w:rPr>
          <w:b w:val="0"/>
          <w:szCs w:val="22"/>
        </w:rPr>
        <w:t>NAIC staff recommend that the Working Group include this item on their maintenance agenda as a new SAP concept and expose the draft revisions to SSAP No. 93 and SSAP No. 94R, which intend to capture all tax equity investments that provide federal business tax credit and state premium tax credits if they meet specified criteria.</w:t>
      </w:r>
    </w:p>
    <w:p w14:paraId="26B3F79F" w14:textId="77777777" w:rsidR="00047370" w:rsidRDefault="00047370" w:rsidP="00C71C2C">
      <w:pPr>
        <w:pStyle w:val="BodyText2"/>
        <w:rPr>
          <w:b w:val="0"/>
          <w:bCs w:val="0"/>
          <w:szCs w:val="22"/>
        </w:rPr>
      </w:pPr>
    </w:p>
    <w:p w14:paraId="6DD906A6" w14:textId="60555F34" w:rsidR="00047370" w:rsidRDefault="00047370" w:rsidP="00915149">
      <w:pPr>
        <w:pStyle w:val="BodyText2"/>
        <w:rPr>
          <w:b w:val="0"/>
          <w:szCs w:val="22"/>
        </w:rPr>
      </w:pPr>
      <w:r w:rsidRPr="00DA4A09">
        <w:rPr>
          <w:b w:val="0"/>
          <w:szCs w:val="22"/>
        </w:rPr>
        <w:t xml:space="preserve">On </w:t>
      </w:r>
      <w:r>
        <w:rPr>
          <w:b w:val="0"/>
          <w:szCs w:val="22"/>
        </w:rPr>
        <w:t>May 16</w:t>
      </w:r>
      <w:r w:rsidRPr="00DA4A09">
        <w:rPr>
          <w:b w:val="0"/>
          <w:szCs w:val="22"/>
        </w:rPr>
        <w:t>, 2023, the Statutory Accounting Principles (E) Working Group expose</w:t>
      </w:r>
      <w:r w:rsidR="0016700D">
        <w:rPr>
          <w:b w:val="0"/>
          <w:szCs w:val="22"/>
        </w:rPr>
        <w:t>d</w:t>
      </w:r>
      <w:r w:rsidRPr="00DA4A09">
        <w:rPr>
          <w:b w:val="0"/>
          <w:szCs w:val="22"/>
        </w:rPr>
        <w:t xml:space="preserve"> revisions to </w:t>
      </w:r>
      <w:r w:rsidRPr="004E49F7">
        <w:rPr>
          <w:b w:val="0"/>
          <w:szCs w:val="22"/>
        </w:rPr>
        <w:t xml:space="preserve">SSAP No. </w:t>
      </w:r>
      <w:r>
        <w:rPr>
          <w:b w:val="0"/>
          <w:szCs w:val="22"/>
        </w:rPr>
        <w:t>93 and 94</w:t>
      </w:r>
      <w:r w:rsidR="006664C9">
        <w:rPr>
          <w:b w:val="0"/>
          <w:szCs w:val="22"/>
        </w:rPr>
        <w:t xml:space="preserve">R. </w:t>
      </w:r>
      <w:r w:rsidR="006731EB">
        <w:rPr>
          <w:b w:val="0"/>
          <w:szCs w:val="22"/>
        </w:rPr>
        <w:t>The revisions to SSAP No. 93</w:t>
      </w:r>
      <w:r w:rsidR="007B50E9">
        <w:rPr>
          <w:b w:val="0"/>
          <w:szCs w:val="22"/>
        </w:rPr>
        <w:t xml:space="preserve"> </w:t>
      </w:r>
      <w:r w:rsidR="007952AF">
        <w:rPr>
          <w:b w:val="0"/>
          <w:szCs w:val="22"/>
        </w:rPr>
        <w:t>propose adoption</w:t>
      </w:r>
      <w:r w:rsidR="007B50E9">
        <w:rPr>
          <w:b w:val="0"/>
          <w:szCs w:val="22"/>
        </w:rPr>
        <w:t xml:space="preserve"> with modification of </w:t>
      </w:r>
      <w:r w:rsidR="007B50E9" w:rsidRPr="00C75FF0">
        <w:rPr>
          <w:b w:val="0"/>
          <w:i/>
          <w:iCs/>
          <w:szCs w:val="22"/>
        </w:rPr>
        <w:t>ASU 2023-02</w:t>
      </w:r>
      <w:r w:rsidR="00915149" w:rsidRPr="00C75FF0">
        <w:rPr>
          <w:b w:val="0"/>
          <w:i/>
          <w:iCs/>
          <w:szCs w:val="22"/>
        </w:rPr>
        <w:t>–Accounting for Investments in Tax Credit Structures Using the Proportional Amortization Method</w:t>
      </w:r>
      <w:r w:rsidR="007B50E9">
        <w:rPr>
          <w:b w:val="0"/>
          <w:szCs w:val="22"/>
        </w:rPr>
        <w:t xml:space="preserve"> and </w:t>
      </w:r>
      <w:r w:rsidR="00564435">
        <w:rPr>
          <w:b w:val="0"/>
          <w:szCs w:val="22"/>
        </w:rPr>
        <w:t>expansion of the SSAP scope to include all tax credit programs and tax investment structures</w:t>
      </w:r>
      <w:r w:rsidR="006664C9">
        <w:rPr>
          <w:b w:val="0"/>
          <w:szCs w:val="22"/>
        </w:rPr>
        <w:t xml:space="preserve">. </w:t>
      </w:r>
      <w:r w:rsidR="007952AF">
        <w:rPr>
          <w:b w:val="0"/>
          <w:szCs w:val="22"/>
        </w:rPr>
        <w:t xml:space="preserve">The revisions to SSAP No. 94R expand the scope of the SSAP to include all state and federal tax credits </w:t>
      </w:r>
      <w:r w:rsidR="00894DD5">
        <w:rPr>
          <w:b w:val="0"/>
          <w:szCs w:val="22"/>
        </w:rPr>
        <w:t>whether</w:t>
      </w:r>
      <w:r w:rsidR="007952AF">
        <w:rPr>
          <w:b w:val="0"/>
          <w:szCs w:val="22"/>
        </w:rPr>
        <w:t xml:space="preserve"> purchased or allocated</w:t>
      </w:r>
      <w:r w:rsidR="00894DD5">
        <w:rPr>
          <w:b w:val="0"/>
          <w:szCs w:val="22"/>
        </w:rPr>
        <w:t>, and that tax received should be recorded at face value with losses realized immediately and gains deferred.</w:t>
      </w:r>
    </w:p>
    <w:p w14:paraId="1E3D2FA9" w14:textId="751E1502" w:rsidR="002F2BDF" w:rsidRDefault="002F2BDF" w:rsidP="002F2BDF">
      <w:pPr>
        <w:pStyle w:val="BodyText2"/>
        <w:rPr>
          <w:b w:val="0"/>
          <w:szCs w:val="22"/>
        </w:rPr>
      </w:pPr>
    </w:p>
    <w:p w14:paraId="2636B7A5" w14:textId="7AB4E38F" w:rsidR="006E4404" w:rsidRDefault="00E02165" w:rsidP="00047370">
      <w:pPr>
        <w:pStyle w:val="BodyText2"/>
        <w:rPr>
          <w:b w:val="0"/>
          <w:szCs w:val="22"/>
        </w:rPr>
      </w:pPr>
      <w:r>
        <w:rPr>
          <w:b w:val="0"/>
          <w:szCs w:val="22"/>
        </w:rPr>
        <w:t xml:space="preserve">On June 20, 2023, NAIC staff received Interested Parties’ comment letter on the exposed revisions to </w:t>
      </w:r>
      <w:r w:rsidRPr="004E49F7">
        <w:rPr>
          <w:b w:val="0"/>
          <w:szCs w:val="22"/>
        </w:rPr>
        <w:t>SSAP No</w:t>
      </w:r>
      <w:r w:rsidR="00844675">
        <w:rPr>
          <w:b w:val="0"/>
          <w:szCs w:val="22"/>
        </w:rPr>
        <w:t>s</w:t>
      </w:r>
      <w:r w:rsidRPr="004E49F7">
        <w:rPr>
          <w:b w:val="0"/>
          <w:szCs w:val="22"/>
        </w:rPr>
        <w:t xml:space="preserve">. </w:t>
      </w:r>
      <w:r>
        <w:rPr>
          <w:b w:val="0"/>
          <w:szCs w:val="22"/>
        </w:rPr>
        <w:t xml:space="preserve">93 and 94R. </w:t>
      </w:r>
      <w:r w:rsidR="0084318C">
        <w:rPr>
          <w:b w:val="0"/>
          <w:szCs w:val="22"/>
        </w:rPr>
        <w:t>Interested</w:t>
      </w:r>
      <w:r w:rsidR="00E41742">
        <w:rPr>
          <w:b w:val="0"/>
          <w:szCs w:val="22"/>
        </w:rPr>
        <w:t xml:space="preserve"> Parties provided </w:t>
      </w:r>
      <w:r w:rsidR="00E4725C">
        <w:rPr>
          <w:b w:val="0"/>
          <w:szCs w:val="22"/>
        </w:rPr>
        <w:t xml:space="preserve">several comments on both SSAPs which are summarized below along with NAIC </w:t>
      </w:r>
      <w:r w:rsidR="006E4404">
        <w:rPr>
          <w:b w:val="0"/>
          <w:szCs w:val="22"/>
        </w:rPr>
        <w:t>S</w:t>
      </w:r>
      <w:r w:rsidR="00E4725C">
        <w:rPr>
          <w:b w:val="0"/>
          <w:szCs w:val="22"/>
        </w:rPr>
        <w:t>taff responses.</w:t>
      </w:r>
    </w:p>
    <w:p w14:paraId="5C291F38" w14:textId="77777777" w:rsidR="00C618AB" w:rsidRDefault="00C618AB" w:rsidP="00047370">
      <w:pPr>
        <w:pStyle w:val="BodyText2"/>
        <w:rPr>
          <w:b w:val="0"/>
          <w:szCs w:val="22"/>
        </w:rPr>
      </w:pPr>
    </w:p>
    <w:p w14:paraId="2EC088D7" w14:textId="61236717" w:rsidR="00E4725C" w:rsidRPr="006E4404" w:rsidRDefault="00433EE9" w:rsidP="006E4404">
      <w:pPr>
        <w:pStyle w:val="BodyText2"/>
        <w:ind w:firstLine="360"/>
        <w:rPr>
          <w:b w:val="0"/>
          <w:szCs w:val="22"/>
          <w:u w:val="single"/>
        </w:rPr>
      </w:pPr>
      <w:r w:rsidRPr="006E4404">
        <w:rPr>
          <w:b w:val="0"/>
          <w:szCs w:val="22"/>
          <w:u w:val="single"/>
        </w:rPr>
        <w:t>The c</w:t>
      </w:r>
      <w:r w:rsidR="00E4725C" w:rsidRPr="006E4404">
        <w:rPr>
          <w:b w:val="0"/>
          <w:szCs w:val="22"/>
          <w:u w:val="single"/>
        </w:rPr>
        <w:t>omments provided on SSAP No. 93 were:</w:t>
      </w:r>
    </w:p>
    <w:p w14:paraId="244DCF48" w14:textId="6718AC34" w:rsidR="00E4725C" w:rsidRPr="00807B27" w:rsidRDefault="00285C97" w:rsidP="00E4725C">
      <w:pPr>
        <w:pStyle w:val="BodyText2"/>
        <w:numPr>
          <w:ilvl w:val="0"/>
          <w:numId w:val="47"/>
        </w:numPr>
        <w:rPr>
          <w:b w:val="0"/>
          <w:szCs w:val="22"/>
          <w:highlight w:val="lightGray"/>
        </w:rPr>
      </w:pPr>
      <w:r w:rsidRPr="00807B27">
        <w:rPr>
          <w:b w:val="0"/>
          <w:szCs w:val="22"/>
          <w:highlight w:val="lightGray"/>
        </w:rPr>
        <w:t xml:space="preserve">Interested Parties </w:t>
      </w:r>
      <w:r w:rsidR="001A399E" w:rsidRPr="00807B27">
        <w:rPr>
          <w:b w:val="0"/>
          <w:szCs w:val="22"/>
          <w:highlight w:val="lightGray"/>
        </w:rPr>
        <w:t>noted that paragraph 3 does not provide specific direction for which SSAPs would be applicable for tax credit investment which do not</w:t>
      </w:r>
      <w:r w:rsidR="007F46EF" w:rsidRPr="00807B27">
        <w:rPr>
          <w:b w:val="0"/>
          <w:szCs w:val="22"/>
          <w:highlight w:val="lightGray"/>
        </w:rPr>
        <w:t xml:space="preserve"> fall within SSAP No. 93.</w:t>
      </w:r>
    </w:p>
    <w:p w14:paraId="021E97CC" w14:textId="67CC144D" w:rsidR="007F46EF" w:rsidRDefault="004403A7" w:rsidP="007F46EF">
      <w:pPr>
        <w:pStyle w:val="BodyText2"/>
        <w:numPr>
          <w:ilvl w:val="1"/>
          <w:numId w:val="47"/>
        </w:numPr>
        <w:rPr>
          <w:b w:val="0"/>
          <w:szCs w:val="22"/>
        </w:rPr>
      </w:pPr>
      <w:r>
        <w:rPr>
          <w:b w:val="0"/>
          <w:szCs w:val="22"/>
        </w:rPr>
        <w:lastRenderedPageBreak/>
        <w:t xml:space="preserve">NAIC </w:t>
      </w:r>
      <w:r w:rsidR="007F46EF">
        <w:rPr>
          <w:b w:val="0"/>
          <w:szCs w:val="22"/>
        </w:rPr>
        <w:t xml:space="preserve">Staff agreed with the recommendation and </w:t>
      </w:r>
      <w:r w:rsidR="008B5E8A">
        <w:rPr>
          <w:b w:val="0"/>
          <w:szCs w:val="22"/>
        </w:rPr>
        <w:t>updated paragraph 3 to provide readers with specific SSAP</w:t>
      </w:r>
      <w:r w:rsidR="009568B2">
        <w:rPr>
          <w:b w:val="0"/>
          <w:szCs w:val="22"/>
        </w:rPr>
        <w:t>s which could apply to non-qualifying equity or debt structure tax credit investments.</w:t>
      </w:r>
    </w:p>
    <w:p w14:paraId="11BF6DD3" w14:textId="6B0DA32C" w:rsidR="009568B2" w:rsidRPr="00807B27" w:rsidRDefault="00054233" w:rsidP="009568B2">
      <w:pPr>
        <w:pStyle w:val="BodyText2"/>
        <w:numPr>
          <w:ilvl w:val="0"/>
          <w:numId w:val="47"/>
        </w:numPr>
        <w:rPr>
          <w:b w:val="0"/>
          <w:szCs w:val="22"/>
          <w:highlight w:val="lightGray"/>
        </w:rPr>
      </w:pPr>
      <w:r w:rsidRPr="00807B27">
        <w:rPr>
          <w:b w:val="0"/>
          <w:szCs w:val="22"/>
          <w:highlight w:val="lightGray"/>
        </w:rPr>
        <w:t xml:space="preserve">Interested Parties noted that the current draft directed readers to refer to SSAP 94R for </w:t>
      </w:r>
      <w:r w:rsidR="005A0824" w:rsidRPr="00807B27">
        <w:rPr>
          <w:b w:val="0"/>
          <w:szCs w:val="22"/>
          <w:highlight w:val="lightGray"/>
        </w:rPr>
        <w:t xml:space="preserve">how to account for tax credits allocated from tax credit investments. They felt that this cross-reference was confusing and could potentially lead to </w:t>
      </w:r>
      <w:r w:rsidR="005F7C9C" w:rsidRPr="00807B27">
        <w:rPr>
          <w:b w:val="0"/>
          <w:szCs w:val="22"/>
          <w:highlight w:val="lightGray"/>
        </w:rPr>
        <w:t>conflicting interpretations.</w:t>
      </w:r>
    </w:p>
    <w:p w14:paraId="47A963CB" w14:textId="087C3791" w:rsidR="005F7C9C" w:rsidRDefault="0056188E" w:rsidP="005F7C9C">
      <w:pPr>
        <w:pStyle w:val="BodyText2"/>
        <w:numPr>
          <w:ilvl w:val="1"/>
          <w:numId w:val="47"/>
        </w:numPr>
        <w:rPr>
          <w:b w:val="0"/>
          <w:szCs w:val="22"/>
        </w:rPr>
      </w:pPr>
      <w:r>
        <w:rPr>
          <w:b w:val="0"/>
          <w:szCs w:val="22"/>
        </w:rPr>
        <w:t xml:space="preserve">To reduce confusion, NAIC </w:t>
      </w:r>
      <w:r w:rsidR="0029107E">
        <w:rPr>
          <w:b w:val="0"/>
          <w:szCs w:val="22"/>
        </w:rPr>
        <w:t>S</w:t>
      </w:r>
      <w:r>
        <w:rPr>
          <w:b w:val="0"/>
          <w:szCs w:val="22"/>
        </w:rPr>
        <w:t xml:space="preserve">taff opted to </w:t>
      </w:r>
      <w:r w:rsidR="00F85461">
        <w:rPr>
          <w:b w:val="0"/>
          <w:szCs w:val="22"/>
        </w:rPr>
        <w:t xml:space="preserve">remove the paragraph directing readers to SSAP 94R and instead pulled in the specific paragraphs from SSAP 94R which </w:t>
      </w:r>
      <w:r w:rsidR="00F46746">
        <w:rPr>
          <w:b w:val="0"/>
          <w:szCs w:val="22"/>
        </w:rPr>
        <w:t>would be</w:t>
      </w:r>
      <w:r w:rsidR="00F85461">
        <w:rPr>
          <w:b w:val="0"/>
          <w:szCs w:val="22"/>
        </w:rPr>
        <w:t xml:space="preserve"> applicable to </w:t>
      </w:r>
      <w:r w:rsidR="006333A2">
        <w:rPr>
          <w:b w:val="0"/>
          <w:szCs w:val="22"/>
        </w:rPr>
        <w:t>tax credits allocated from tax credit investments.</w:t>
      </w:r>
    </w:p>
    <w:p w14:paraId="50189AC0" w14:textId="75D73979" w:rsidR="00E4725C" w:rsidRPr="00807B27" w:rsidRDefault="00116385">
      <w:pPr>
        <w:pStyle w:val="BodyText2"/>
        <w:numPr>
          <w:ilvl w:val="0"/>
          <w:numId w:val="47"/>
        </w:numPr>
        <w:rPr>
          <w:b w:val="0"/>
          <w:szCs w:val="22"/>
          <w:highlight w:val="lightGray"/>
        </w:rPr>
      </w:pPr>
      <w:r w:rsidRPr="00807B27">
        <w:rPr>
          <w:b w:val="0"/>
          <w:szCs w:val="22"/>
          <w:highlight w:val="lightGray"/>
        </w:rPr>
        <w:t xml:space="preserve">Interest </w:t>
      </w:r>
      <w:r w:rsidR="00433EE9" w:rsidRPr="00807B27">
        <w:rPr>
          <w:b w:val="0"/>
          <w:szCs w:val="22"/>
          <w:highlight w:val="lightGray"/>
        </w:rPr>
        <w:t>P</w:t>
      </w:r>
      <w:r w:rsidRPr="00807B27">
        <w:rPr>
          <w:b w:val="0"/>
          <w:szCs w:val="22"/>
          <w:highlight w:val="lightGray"/>
        </w:rPr>
        <w:t xml:space="preserve">arties </w:t>
      </w:r>
      <w:r w:rsidR="00B446F2" w:rsidRPr="00807B27">
        <w:rPr>
          <w:b w:val="0"/>
          <w:szCs w:val="22"/>
          <w:highlight w:val="lightGray"/>
        </w:rPr>
        <w:t xml:space="preserve">noted that they were unclear on whether the tax credits </w:t>
      </w:r>
      <w:r w:rsidR="001D4911" w:rsidRPr="00807B27">
        <w:rPr>
          <w:b w:val="0"/>
          <w:szCs w:val="22"/>
          <w:highlight w:val="lightGray"/>
        </w:rPr>
        <w:t>earned,</w:t>
      </w:r>
      <w:r w:rsidR="00B446F2" w:rsidRPr="00807B27">
        <w:rPr>
          <w:b w:val="0"/>
          <w:szCs w:val="22"/>
          <w:highlight w:val="lightGray"/>
        </w:rPr>
        <w:t xml:space="preserve"> or the tax credit investments were </w:t>
      </w:r>
      <w:r w:rsidR="00B900B4" w:rsidRPr="00807B27">
        <w:rPr>
          <w:b w:val="0"/>
          <w:szCs w:val="22"/>
          <w:highlight w:val="lightGray"/>
        </w:rPr>
        <w:t>subject to the</w:t>
      </w:r>
      <w:r w:rsidR="00B446F2" w:rsidRPr="00807B27">
        <w:rPr>
          <w:b w:val="0"/>
          <w:szCs w:val="22"/>
          <w:highlight w:val="lightGray"/>
        </w:rPr>
        <w:t xml:space="preserve"> </w:t>
      </w:r>
      <w:r w:rsidR="00B900B4" w:rsidRPr="00807B27">
        <w:rPr>
          <w:b w:val="0"/>
          <w:szCs w:val="22"/>
          <w:highlight w:val="lightGray"/>
        </w:rPr>
        <w:t>admittance criteria detailed</w:t>
      </w:r>
      <w:r w:rsidR="00B446F2" w:rsidRPr="00807B27">
        <w:rPr>
          <w:b w:val="0"/>
          <w:szCs w:val="22"/>
          <w:highlight w:val="lightGray"/>
        </w:rPr>
        <w:t xml:space="preserve"> in </w:t>
      </w:r>
      <w:r w:rsidRPr="00807B27">
        <w:rPr>
          <w:b w:val="0"/>
          <w:szCs w:val="22"/>
          <w:highlight w:val="lightGray"/>
        </w:rPr>
        <w:t xml:space="preserve">Paragraphs </w:t>
      </w:r>
      <w:r w:rsidR="0025196E" w:rsidRPr="00807B27">
        <w:rPr>
          <w:b w:val="0"/>
          <w:szCs w:val="22"/>
          <w:highlight w:val="lightGray"/>
        </w:rPr>
        <w:t>18(a)-(c)</w:t>
      </w:r>
      <w:r w:rsidR="001D4911" w:rsidRPr="00807B27">
        <w:rPr>
          <w:b w:val="0"/>
          <w:szCs w:val="22"/>
          <w:highlight w:val="lightGray"/>
        </w:rPr>
        <w:t xml:space="preserve">. Interested Parties feels that admissibility concerns </w:t>
      </w:r>
      <w:r w:rsidR="00B87A6C" w:rsidRPr="00807B27">
        <w:rPr>
          <w:b w:val="0"/>
          <w:szCs w:val="22"/>
          <w:highlight w:val="lightGray"/>
        </w:rPr>
        <w:t>are adequately addressed by the tax opinion and audit requirements</w:t>
      </w:r>
      <w:r w:rsidR="001232EC" w:rsidRPr="00807B27">
        <w:rPr>
          <w:b w:val="0"/>
          <w:szCs w:val="22"/>
          <w:highlight w:val="lightGray"/>
        </w:rPr>
        <w:t xml:space="preserve">. Additionally, if </w:t>
      </w:r>
      <w:r w:rsidR="0029107E" w:rsidRPr="00807B27">
        <w:rPr>
          <w:b w:val="0"/>
          <w:szCs w:val="22"/>
          <w:highlight w:val="lightGray"/>
        </w:rPr>
        <w:t>NAIC Staff’s</w:t>
      </w:r>
      <w:r w:rsidR="0025196E" w:rsidRPr="00807B27">
        <w:rPr>
          <w:b w:val="0"/>
          <w:szCs w:val="22"/>
          <w:highlight w:val="lightGray"/>
        </w:rPr>
        <w:t xml:space="preserve"> </w:t>
      </w:r>
      <w:r w:rsidR="0029107E" w:rsidRPr="00807B27">
        <w:rPr>
          <w:b w:val="0"/>
          <w:szCs w:val="22"/>
          <w:highlight w:val="lightGray"/>
        </w:rPr>
        <w:t>concern is the admittance of tax credits</w:t>
      </w:r>
      <w:r w:rsidR="00AC198F" w:rsidRPr="00807B27">
        <w:rPr>
          <w:b w:val="0"/>
          <w:szCs w:val="22"/>
          <w:highlight w:val="lightGray"/>
        </w:rPr>
        <w:t xml:space="preserve"> carried forward to a future period</w:t>
      </w:r>
      <w:r w:rsidR="0029107E" w:rsidRPr="00807B27">
        <w:rPr>
          <w:b w:val="0"/>
          <w:szCs w:val="22"/>
          <w:highlight w:val="lightGray"/>
        </w:rPr>
        <w:t xml:space="preserve">, then this should be </w:t>
      </w:r>
      <w:r w:rsidR="00E75A6C" w:rsidRPr="00807B27">
        <w:rPr>
          <w:b w:val="0"/>
          <w:szCs w:val="22"/>
          <w:highlight w:val="lightGray"/>
        </w:rPr>
        <w:t xml:space="preserve">adequately addressed by </w:t>
      </w:r>
      <w:r w:rsidR="00AC198F" w:rsidRPr="00807B27">
        <w:rPr>
          <w:b w:val="0"/>
          <w:szCs w:val="22"/>
          <w:highlight w:val="lightGray"/>
        </w:rPr>
        <w:t xml:space="preserve">the admittance rules detailed </w:t>
      </w:r>
      <w:r w:rsidR="008679F1" w:rsidRPr="00807B27">
        <w:rPr>
          <w:b w:val="0"/>
          <w:szCs w:val="22"/>
          <w:highlight w:val="lightGray"/>
        </w:rPr>
        <w:t xml:space="preserve">in </w:t>
      </w:r>
      <w:r w:rsidR="00451E45" w:rsidRPr="00807B27">
        <w:rPr>
          <w:b w:val="0"/>
          <w:i/>
          <w:iCs/>
          <w:szCs w:val="22"/>
          <w:highlight w:val="lightGray"/>
        </w:rPr>
        <w:t>SSAP No. 101–Income Taxes</w:t>
      </w:r>
      <w:r w:rsidR="00451E45" w:rsidRPr="00807B27">
        <w:rPr>
          <w:b w:val="0"/>
          <w:szCs w:val="22"/>
          <w:highlight w:val="lightGray"/>
        </w:rPr>
        <w:t xml:space="preserve"> for Deferred Tax Assets.</w:t>
      </w:r>
      <w:r w:rsidR="00114D55" w:rsidRPr="00807B27">
        <w:rPr>
          <w:b w:val="0"/>
          <w:szCs w:val="22"/>
          <w:highlight w:val="lightGray"/>
        </w:rPr>
        <w:t xml:space="preserve"> Interested Parties suggested that paragraphs 18(a)-(c) be deleted in full.</w:t>
      </w:r>
    </w:p>
    <w:p w14:paraId="059F63BE" w14:textId="4D867CCB" w:rsidR="00114D55" w:rsidRDefault="00114D55" w:rsidP="00114D55">
      <w:pPr>
        <w:pStyle w:val="BodyText2"/>
        <w:numPr>
          <w:ilvl w:val="1"/>
          <w:numId w:val="47"/>
        </w:numPr>
        <w:rPr>
          <w:b w:val="0"/>
          <w:szCs w:val="22"/>
        </w:rPr>
      </w:pPr>
      <w:r>
        <w:rPr>
          <w:b w:val="0"/>
          <w:szCs w:val="22"/>
        </w:rPr>
        <w:t xml:space="preserve">NAIC Staff noted that the </w:t>
      </w:r>
      <w:r w:rsidR="00800F69">
        <w:rPr>
          <w:b w:val="0"/>
          <w:szCs w:val="22"/>
        </w:rPr>
        <w:t xml:space="preserve">admittance rules detailed in paragraphs 18(a)-(c) </w:t>
      </w:r>
      <w:r w:rsidR="004D2739">
        <w:rPr>
          <w:b w:val="0"/>
          <w:szCs w:val="22"/>
        </w:rPr>
        <w:t>do</w:t>
      </w:r>
      <w:r w:rsidR="00800F69">
        <w:rPr>
          <w:b w:val="0"/>
          <w:szCs w:val="22"/>
        </w:rPr>
        <w:t xml:space="preserve"> NOT </w:t>
      </w:r>
      <w:r w:rsidR="004D2739">
        <w:rPr>
          <w:b w:val="0"/>
          <w:szCs w:val="22"/>
        </w:rPr>
        <w:t>p</w:t>
      </w:r>
      <w:r w:rsidR="00800F69">
        <w:rPr>
          <w:b w:val="0"/>
          <w:szCs w:val="22"/>
        </w:rPr>
        <w:t>rovide guidance on the admittance o</w:t>
      </w:r>
      <w:r w:rsidR="004D2739">
        <w:rPr>
          <w:b w:val="0"/>
          <w:szCs w:val="22"/>
        </w:rPr>
        <w:t>f allocated tax credits</w:t>
      </w:r>
      <w:r w:rsidR="00F15E95">
        <w:rPr>
          <w:b w:val="0"/>
          <w:szCs w:val="22"/>
        </w:rPr>
        <w:t xml:space="preserve">. </w:t>
      </w:r>
      <w:r w:rsidR="001821D2">
        <w:rPr>
          <w:b w:val="0"/>
          <w:szCs w:val="22"/>
        </w:rPr>
        <w:t>For t</w:t>
      </w:r>
      <w:r w:rsidR="00F15E95">
        <w:rPr>
          <w:b w:val="0"/>
          <w:szCs w:val="22"/>
        </w:rPr>
        <w:t>ax credit investment structure</w:t>
      </w:r>
      <w:r w:rsidR="003B780E">
        <w:rPr>
          <w:b w:val="0"/>
          <w:szCs w:val="22"/>
        </w:rPr>
        <w:t>s</w:t>
      </w:r>
      <w:r w:rsidR="00F15E95">
        <w:rPr>
          <w:b w:val="0"/>
          <w:szCs w:val="22"/>
        </w:rPr>
        <w:t xml:space="preserve"> </w:t>
      </w:r>
      <w:r w:rsidR="001821D2">
        <w:rPr>
          <w:b w:val="0"/>
          <w:szCs w:val="22"/>
        </w:rPr>
        <w:t>to fall within the scope of</w:t>
      </w:r>
      <w:r w:rsidR="00F15E95">
        <w:rPr>
          <w:b w:val="0"/>
          <w:szCs w:val="22"/>
        </w:rPr>
        <w:t xml:space="preserve"> SSAP 93</w:t>
      </w:r>
      <w:r w:rsidR="006C0D0A">
        <w:rPr>
          <w:b w:val="0"/>
          <w:szCs w:val="22"/>
        </w:rPr>
        <w:t>,</w:t>
      </w:r>
      <w:r w:rsidR="001821D2">
        <w:rPr>
          <w:b w:val="0"/>
          <w:szCs w:val="22"/>
        </w:rPr>
        <w:t xml:space="preserve"> substantially all benefits </w:t>
      </w:r>
      <w:r w:rsidR="00800064">
        <w:rPr>
          <w:b w:val="0"/>
          <w:szCs w:val="22"/>
        </w:rPr>
        <w:t xml:space="preserve">must be </w:t>
      </w:r>
      <w:r w:rsidR="006C0D0A">
        <w:rPr>
          <w:b w:val="0"/>
          <w:szCs w:val="22"/>
        </w:rPr>
        <w:t>from tax credits or other tax benefits which</w:t>
      </w:r>
      <w:r w:rsidR="00F15E95">
        <w:rPr>
          <w:b w:val="0"/>
          <w:szCs w:val="22"/>
        </w:rPr>
        <w:t xml:space="preserve"> essentially </w:t>
      </w:r>
      <w:r w:rsidR="000F3314">
        <w:rPr>
          <w:b w:val="0"/>
          <w:szCs w:val="22"/>
        </w:rPr>
        <w:t xml:space="preserve">means that balance of a tax credit investment </w:t>
      </w:r>
      <w:r w:rsidR="00F15E95">
        <w:rPr>
          <w:b w:val="0"/>
          <w:szCs w:val="22"/>
        </w:rPr>
        <w:t>represent</w:t>
      </w:r>
      <w:r w:rsidR="000F3314">
        <w:rPr>
          <w:b w:val="0"/>
          <w:szCs w:val="22"/>
        </w:rPr>
        <w:t>s</w:t>
      </w:r>
      <w:r w:rsidR="00F15E95">
        <w:rPr>
          <w:b w:val="0"/>
          <w:szCs w:val="22"/>
        </w:rPr>
        <w:t xml:space="preserve"> a future stream of tax credits </w:t>
      </w:r>
      <w:r w:rsidR="001821D2">
        <w:rPr>
          <w:b w:val="0"/>
          <w:szCs w:val="22"/>
        </w:rPr>
        <w:t>and tax benefit</w:t>
      </w:r>
      <w:r w:rsidR="000F3314">
        <w:rPr>
          <w:b w:val="0"/>
          <w:szCs w:val="22"/>
        </w:rPr>
        <w:t xml:space="preserve">.  As such, </w:t>
      </w:r>
      <w:r w:rsidR="00EC3C4D">
        <w:rPr>
          <w:b w:val="0"/>
          <w:szCs w:val="22"/>
        </w:rPr>
        <w:t>the admittance rules in paragraph</w:t>
      </w:r>
      <w:r w:rsidR="00D4624D">
        <w:rPr>
          <w:b w:val="0"/>
          <w:szCs w:val="22"/>
        </w:rPr>
        <w:t xml:space="preserve"> 18(a)-(c) would require a company to assess its ability to utilize th</w:t>
      </w:r>
      <w:r w:rsidR="00EC3C4D">
        <w:rPr>
          <w:b w:val="0"/>
          <w:szCs w:val="22"/>
        </w:rPr>
        <w:t>at future stream of tax credits</w:t>
      </w:r>
      <w:r w:rsidR="005D2D03">
        <w:rPr>
          <w:b w:val="0"/>
          <w:szCs w:val="22"/>
        </w:rPr>
        <w:t xml:space="preserve"> to what amount of the tax credit investment </w:t>
      </w:r>
      <w:r w:rsidR="007D7094">
        <w:rPr>
          <w:b w:val="0"/>
          <w:szCs w:val="22"/>
        </w:rPr>
        <w:t>would be non-admitted</w:t>
      </w:r>
      <w:r w:rsidR="00EC3C4D">
        <w:rPr>
          <w:b w:val="0"/>
          <w:szCs w:val="22"/>
        </w:rPr>
        <w:t>. If the company</w:t>
      </w:r>
      <w:r w:rsidR="00512F92">
        <w:rPr>
          <w:b w:val="0"/>
          <w:szCs w:val="22"/>
        </w:rPr>
        <w:t xml:space="preserve">’s </w:t>
      </w:r>
      <w:r w:rsidR="005D2D03">
        <w:rPr>
          <w:b w:val="0"/>
          <w:szCs w:val="22"/>
        </w:rPr>
        <w:t>projections</w:t>
      </w:r>
      <w:r w:rsidR="00512F92">
        <w:rPr>
          <w:b w:val="0"/>
          <w:szCs w:val="22"/>
        </w:rPr>
        <w:t xml:space="preserve"> determine it will be unable to </w:t>
      </w:r>
      <w:r w:rsidR="00630259">
        <w:rPr>
          <w:b w:val="0"/>
          <w:szCs w:val="22"/>
        </w:rPr>
        <w:t xml:space="preserve">substantially </w:t>
      </w:r>
      <w:r w:rsidR="00512F92">
        <w:rPr>
          <w:b w:val="0"/>
          <w:szCs w:val="22"/>
        </w:rPr>
        <w:t>utilize the</w:t>
      </w:r>
      <w:r w:rsidR="007D7094">
        <w:rPr>
          <w:b w:val="0"/>
          <w:szCs w:val="22"/>
        </w:rPr>
        <w:t xml:space="preserve"> future stream of</w:t>
      </w:r>
      <w:r w:rsidR="00512F92">
        <w:rPr>
          <w:b w:val="0"/>
          <w:szCs w:val="22"/>
        </w:rPr>
        <w:t xml:space="preserve"> tax credits</w:t>
      </w:r>
      <w:r w:rsidR="007D7094">
        <w:rPr>
          <w:b w:val="0"/>
          <w:szCs w:val="22"/>
        </w:rPr>
        <w:t xml:space="preserve"> (</w:t>
      </w:r>
      <w:r w:rsidR="00630259">
        <w:rPr>
          <w:b w:val="0"/>
          <w:szCs w:val="22"/>
        </w:rPr>
        <w:t>i.e.,</w:t>
      </w:r>
      <w:r w:rsidR="007D7094">
        <w:rPr>
          <w:b w:val="0"/>
          <w:szCs w:val="22"/>
        </w:rPr>
        <w:t xml:space="preserve"> the tax credit investment balance)</w:t>
      </w:r>
      <w:r w:rsidR="00512F92">
        <w:rPr>
          <w:b w:val="0"/>
          <w:szCs w:val="22"/>
        </w:rPr>
        <w:t xml:space="preserve"> </w:t>
      </w:r>
      <w:r w:rsidR="00173420">
        <w:rPr>
          <w:b w:val="0"/>
          <w:szCs w:val="22"/>
        </w:rPr>
        <w:t xml:space="preserve">then </w:t>
      </w:r>
      <w:r w:rsidR="0076777D">
        <w:rPr>
          <w:b w:val="0"/>
          <w:szCs w:val="22"/>
        </w:rPr>
        <w:t xml:space="preserve">potentially all or a portion of the tax credit investment would be considered non-admitted as the </w:t>
      </w:r>
      <w:r w:rsidR="00B97BD9">
        <w:rPr>
          <w:b w:val="0"/>
          <w:szCs w:val="22"/>
        </w:rPr>
        <w:t xml:space="preserve">company is unable to utilize the future stream of tax credits to offset </w:t>
      </w:r>
      <w:r w:rsidR="008D45DD">
        <w:rPr>
          <w:b w:val="0"/>
          <w:szCs w:val="22"/>
        </w:rPr>
        <w:t>tax liabilities.</w:t>
      </w:r>
    </w:p>
    <w:p w14:paraId="0B411E8D" w14:textId="2A60538C" w:rsidR="00291E31" w:rsidRPr="00807B27" w:rsidRDefault="00317B9A" w:rsidP="00291E31">
      <w:pPr>
        <w:pStyle w:val="BodyText2"/>
        <w:numPr>
          <w:ilvl w:val="0"/>
          <w:numId w:val="47"/>
        </w:numPr>
        <w:rPr>
          <w:b w:val="0"/>
          <w:szCs w:val="22"/>
          <w:highlight w:val="lightGray"/>
        </w:rPr>
      </w:pPr>
      <w:r w:rsidRPr="00807B27">
        <w:rPr>
          <w:b w:val="0"/>
          <w:szCs w:val="22"/>
          <w:highlight w:val="lightGray"/>
        </w:rPr>
        <w:t xml:space="preserve">Interested </w:t>
      </w:r>
      <w:r w:rsidR="00433EE9" w:rsidRPr="00807B27">
        <w:rPr>
          <w:b w:val="0"/>
          <w:szCs w:val="22"/>
          <w:highlight w:val="lightGray"/>
        </w:rPr>
        <w:t>P</w:t>
      </w:r>
      <w:r w:rsidRPr="00807B27">
        <w:rPr>
          <w:b w:val="0"/>
          <w:szCs w:val="22"/>
          <w:highlight w:val="lightGray"/>
        </w:rPr>
        <w:t xml:space="preserve">arties noted that GAAP requires retrospective adoption of </w:t>
      </w:r>
      <w:r w:rsidR="00847692" w:rsidRPr="00807B27">
        <w:rPr>
          <w:b w:val="0"/>
          <w:szCs w:val="22"/>
          <w:highlight w:val="lightGray"/>
        </w:rPr>
        <w:t>ASU 2023</w:t>
      </w:r>
      <w:r w:rsidR="00C41359" w:rsidRPr="00807B27">
        <w:rPr>
          <w:b w:val="0"/>
          <w:szCs w:val="22"/>
          <w:highlight w:val="lightGray"/>
        </w:rPr>
        <w:t>-02</w:t>
      </w:r>
      <w:r w:rsidR="008E03B1" w:rsidRPr="00807B27">
        <w:rPr>
          <w:b w:val="0"/>
          <w:szCs w:val="22"/>
          <w:highlight w:val="lightGray"/>
        </w:rPr>
        <w:t xml:space="preserve"> and </w:t>
      </w:r>
      <w:r w:rsidR="00EC33DB" w:rsidRPr="00807B27">
        <w:rPr>
          <w:b w:val="0"/>
          <w:szCs w:val="22"/>
          <w:highlight w:val="lightGray"/>
        </w:rPr>
        <w:t>that this would result in GAAP vs. Statutory accounting differences</w:t>
      </w:r>
      <w:r w:rsidR="00D94D1B" w:rsidRPr="00807B27">
        <w:rPr>
          <w:b w:val="0"/>
          <w:szCs w:val="22"/>
          <w:highlight w:val="lightGray"/>
        </w:rPr>
        <w:t>.</w:t>
      </w:r>
    </w:p>
    <w:p w14:paraId="41886959" w14:textId="13310E2D" w:rsidR="00D94D1B" w:rsidRDefault="00D94D1B" w:rsidP="00D94D1B">
      <w:pPr>
        <w:pStyle w:val="BodyText2"/>
        <w:numPr>
          <w:ilvl w:val="1"/>
          <w:numId w:val="47"/>
        </w:numPr>
        <w:rPr>
          <w:b w:val="0"/>
          <w:szCs w:val="22"/>
        </w:rPr>
      </w:pPr>
      <w:r>
        <w:rPr>
          <w:b w:val="0"/>
          <w:szCs w:val="22"/>
        </w:rPr>
        <w:t>NAIC Staff noted that prospective adoption</w:t>
      </w:r>
      <w:r w:rsidR="005139AB">
        <w:rPr>
          <w:b w:val="0"/>
          <w:szCs w:val="22"/>
        </w:rPr>
        <w:t>s of accounting updates</w:t>
      </w:r>
      <w:r>
        <w:rPr>
          <w:b w:val="0"/>
          <w:szCs w:val="22"/>
        </w:rPr>
        <w:t xml:space="preserve"> are </w:t>
      </w:r>
      <w:r w:rsidR="005139AB">
        <w:rPr>
          <w:b w:val="0"/>
          <w:szCs w:val="22"/>
        </w:rPr>
        <w:t>often</w:t>
      </w:r>
      <w:r>
        <w:rPr>
          <w:b w:val="0"/>
          <w:szCs w:val="22"/>
        </w:rPr>
        <w:t xml:space="preserve"> simpler to implement </w:t>
      </w:r>
      <w:r w:rsidR="005139AB">
        <w:rPr>
          <w:b w:val="0"/>
          <w:szCs w:val="22"/>
        </w:rPr>
        <w:t>than retrospective adoptions</w:t>
      </w:r>
      <w:r w:rsidR="002E0D72">
        <w:rPr>
          <w:b w:val="0"/>
          <w:szCs w:val="22"/>
        </w:rPr>
        <w:t>. However, since this would lead to unintended variance between GAAP and Sta</w:t>
      </w:r>
      <w:r w:rsidR="00433EE9">
        <w:rPr>
          <w:b w:val="0"/>
          <w:szCs w:val="22"/>
        </w:rPr>
        <w:t xml:space="preserve">t NAIC Staff has </w:t>
      </w:r>
      <w:r w:rsidR="005139AB">
        <w:rPr>
          <w:b w:val="0"/>
          <w:szCs w:val="22"/>
        </w:rPr>
        <w:t xml:space="preserve">updated SSAP 93 </w:t>
      </w:r>
      <w:r w:rsidR="00433EE9">
        <w:rPr>
          <w:b w:val="0"/>
          <w:szCs w:val="22"/>
        </w:rPr>
        <w:t>to be adopted on the retrospective basis to conform with the GAAP adoption requirements.</w:t>
      </w:r>
    </w:p>
    <w:p w14:paraId="3A65A82D" w14:textId="77777777" w:rsidR="00C618AB" w:rsidRDefault="00C618AB" w:rsidP="00C618AB">
      <w:pPr>
        <w:pStyle w:val="BodyText2"/>
        <w:rPr>
          <w:b w:val="0"/>
          <w:szCs w:val="22"/>
        </w:rPr>
      </w:pPr>
    </w:p>
    <w:p w14:paraId="51B94542" w14:textId="6BE9434F" w:rsidR="00433EE9" w:rsidRPr="006E4404" w:rsidRDefault="006E4404" w:rsidP="006E4404">
      <w:pPr>
        <w:pStyle w:val="BodyText2"/>
        <w:ind w:firstLine="360"/>
        <w:rPr>
          <w:b w:val="0"/>
          <w:szCs w:val="22"/>
          <w:u w:val="single"/>
        </w:rPr>
      </w:pPr>
      <w:r>
        <w:rPr>
          <w:b w:val="0"/>
          <w:szCs w:val="22"/>
          <w:u w:val="single"/>
        </w:rPr>
        <w:t>The c</w:t>
      </w:r>
      <w:r w:rsidR="00433EE9" w:rsidRPr="006E4404">
        <w:rPr>
          <w:b w:val="0"/>
          <w:szCs w:val="22"/>
          <w:u w:val="single"/>
        </w:rPr>
        <w:t>omments provided on SSAP No. 94R were:</w:t>
      </w:r>
    </w:p>
    <w:p w14:paraId="2C43B331" w14:textId="0E0AA4C5" w:rsidR="00433EE9" w:rsidRPr="00807B27" w:rsidRDefault="00433EE9" w:rsidP="00433EE9">
      <w:pPr>
        <w:pStyle w:val="BodyText2"/>
        <w:numPr>
          <w:ilvl w:val="0"/>
          <w:numId w:val="48"/>
        </w:numPr>
        <w:rPr>
          <w:b w:val="0"/>
          <w:szCs w:val="22"/>
          <w:highlight w:val="lightGray"/>
        </w:rPr>
      </w:pPr>
      <w:r w:rsidRPr="00807B27">
        <w:rPr>
          <w:b w:val="0"/>
          <w:szCs w:val="22"/>
          <w:highlight w:val="lightGray"/>
        </w:rPr>
        <w:t xml:space="preserve">Interest Parties </w:t>
      </w:r>
      <w:r w:rsidR="00A2130B" w:rsidRPr="00807B27">
        <w:rPr>
          <w:b w:val="0"/>
          <w:szCs w:val="22"/>
          <w:highlight w:val="lightGray"/>
        </w:rPr>
        <w:t xml:space="preserve">requested that paragraph 1 of the scope of statement section be amended to clarify </w:t>
      </w:r>
      <w:r w:rsidR="002B6470" w:rsidRPr="00807B27">
        <w:rPr>
          <w:b w:val="0"/>
          <w:szCs w:val="22"/>
          <w:highlight w:val="lightGray"/>
        </w:rPr>
        <w:t xml:space="preserve">which types of tax credits are within scope of SSAP No. 94R. </w:t>
      </w:r>
      <w:r w:rsidR="00D870C3" w:rsidRPr="00807B27">
        <w:rPr>
          <w:b w:val="0"/>
          <w:szCs w:val="22"/>
          <w:highlight w:val="lightGray"/>
        </w:rPr>
        <w:t xml:space="preserve">Interested Parties </w:t>
      </w:r>
      <w:r w:rsidR="00A52902" w:rsidRPr="00807B27">
        <w:rPr>
          <w:b w:val="0"/>
          <w:szCs w:val="22"/>
          <w:highlight w:val="lightGray"/>
        </w:rPr>
        <w:t xml:space="preserve">feel that the key difference between SSAP 94R and SSAP 93 is that </w:t>
      </w:r>
      <w:r w:rsidR="0051477D" w:rsidRPr="00807B27">
        <w:rPr>
          <w:b w:val="0"/>
          <w:szCs w:val="22"/>
          <w:highlight w:val="lightGray"/>
        </w:rPr>
        <w:t>the former is for purchased tax credits and the ladder is for tax credits earned from investments.</w:t>
      </w:r>
    </w:p>
    <w:p w14:paraId="22DBCE15" w14:textId="7A4FDBEB" w:rsidR="005E2BDE" w:rsidRDefault="005E2BDE" w:rsidP="005E2BDE">
      <w:pPr>
        <w:pStyle w:val="BodyText2"/>
        <w:numPr>
          <w:ilvl w:val="1"/>
          <w:numId w:val="48"/>
        </w:numPr>
        <w:rPr>
          <w:b w:val="0"/>
          <w:szCs w:val="22"/>
        </w:rPr>
      </w:pPr>
      <w:r>
        <w:rPr>
          <w:b w:val="0"/>
          <w:szCs w:val="22"/>
        </w:rPr>
        <w:t xml:space="preserve">NAIC Staff generally agree with </w:t>
      </w:r>
      <w:r w:rsidR="00FE2ACE">
        <w:rPr>
          <w:b w:val="0"/>
          <w:szCs w:val="22"/>
        </w:rPr>
        <w:t xml:space="preserve">the comments </w:t>
      </w:r>
      <w:r w:rsidR="00640C2E">
        <w:rPr>
          <w:b w:val="0"/>
          <w:szCs w:val="22"/>
        </w:rPr>
        <w:t>provided but</w:t>
      </w:r>
      <w:r w:rsidR="00A5770A">
        <w:rPr>
          <w:b w:val="0"/>
          <w:szCs w:val="22"/>
        </w:rPr>
        <w:t xml:space="preserve"> opted to </w:t>
      </w:r>
      <w:r w:rsidR="005E1987">
        <w:rPr>
          <w:b w:val="0"/>
          <w:szCs w:val="22"/>
        </w:rPr>
        <w:t xml:space="preserve">remove the term </w:t>
      </w:r>
      <w:r w:rsidR="008E4F67">
        <w:rPr>
          <w:b w:val="0"/>
          <w:szCs w:val="22"/>
        </w:rPr>
        <w:t>“</w:t>
      </w:r>
      <w:r w:rsidR="005E1987">
        <w:rPr>
          <w:b w:val="0"/>
          <w:szCs w:val="22"/>
        </w:rPr>
        <w:t>certificate</w:t>
      </w:r>
      <w:r w:rsidR="008E4F67">
        <w:rPr>
          <w:b w:val="0"/>
          <w:szCs w:val="22"/>
        </w:rPr>
        <w:t>”</w:t>
      </w:r>
      <w:r w:rsidR="005E1987">
        <w:rPr>
          <w:b w:val="0"/>
          <w:szCs w:val="22"/>
        </w:rPr>
        <w:t xml:space="preserve"> from the </w:t>
      </w:r>
      <w:r w:rsidR="008E4F67">
        <w:rPr>
          <w:b w:val="0"/>
          <w:szCs w:val="22"/>
        </w:rPr>
        <w:t xml:space="preserve">requested changes.  </w:t>
      </w:r>
      <w:r w:rsidR="00640C2E">
        <w:rPr>
          <w:b w:val="0"/>
          <w:szCs w:val="22"/>
        </w:rPr>
        <w:t xml:space="preserve">The intent of SSAP No. 94R is to provide guidance on </w:t>
      </w:r>
      <w:r w:rsidR="00FA3817">
        <w:rPr>
          <w:b w:val="0"/>
          <w:szCs w:val="22"/>
        </w:rPr>
        <w:t xml:space="preserve">all </w:t>
      </w:r>
      <w:r w:rsidR="00640C2E">
        <w:rPr>
          <w:b w:val="0"/>
          <w:szCs w:val="22"/>
        </w:rPr>
        <w:t xml:space="preserve">purchased </w:t>
      </w:r>
      <w:r w:rsidR="00FA3817">
        <w:rPr>
          <w:b w:val="0"/>
          <w:szCs w:val="22"/>
        </w:rPr>
        <w:t xml:space="preserve">state and federal </w:t>
      </w:r>
      <w:r w:rsidR="00640C2E">
        <w:rPr>
          <w:b w:val="0"/>
          <w:szCs w:val="22"/>
        </w:rPr>
        <w:t>tax credits</w:t>
      </w:r>
      <w:r w:rsidR="00FA3817">
        <w:rPr>
          <w:b w:val="0"/>
          <w:szCs w:val="22"/>
        </w:rPr>
        <w:t xml:space="preserve">, not just certificated tax credits. </w:t>
      </w:r>
      <w:r w:rsidR="00491DAF">
        <w:rPr>
          <w:b w:val="0"/>
          <w:szCs w:val="22"/>
        </w:rPr>
        <w:t xml:space="preserve">NAIC Staff </w:t>
      </w:r>
      <w:r w:rsidR="00FF622B">
        <w:rPr>
          <w:b w:val="0"/>
          <w:szCs w:val="22"/>
        </w:rPr>
        <w:t>also included language to clarify</w:t>
      </w:r>
      <w:r w:rsidR="00491DAF">
        <w:rPr>
          <w:b w:val="0"/>
          <w:szCs w:val="22"/>
        </w:rPr>
        <w:t xml:space="preserve"> the scope of SSAP No. 94R </w:t>
      </w:r>
      <w:r w:rsidR="00FF622B">
        <w:rPr>
          <w:b w:val="0"/>
          <w:szCs w:val="22"/>
        </w:rPr>
        <w:t>for allocated tax credits</w:t>
      </w:r>
      <w:r w:rsidR="001D7191">
        <w:rPr>
          <w:b w:val="0"/>
          <w:szCs w:val="22"/>
        </w:rPr>
        <w:t>, as detailed in the next bullet point.</w:t>
      </w:r>
    </w:p>
    <w:p w14:paraId="35DF40A2" w14:textId="45F28D8B" w:rsidR="00854D95" w:rsidRPr="00807B27" w:rsidRDefault="00854D95" w:rsidP="00854D95">
      <w:pPr>
        <w:pStyle w:val="BodyText2"/>
        <w:numPr>
          <w:ilvl w:val="0"/>
          <w:numId w:val="48"/>
        </w:numPr>
        <w:rPr>
          <w:b w:val="0"/>
          <w:szCs w:val="22"/>
          <w:highlight w:val="lightGray"/>
        </w:rPr>
      </w:pPr>
      <w:r w:rsidRPr="00807B27">
        <w:rPr>
          <w:b w:val="0"/>
          <w:szCs w:val="22"/>
          <w:highlight w:val="lightGray"/>
        </w:rPr>
        <w:t xml:space="preserve">Interested Parties noted </w:t>
      </w:r>
      <w:r w:rsidR="00D7238C" w:rsidRPr="00807B27">
        <w:rPr>
          <w:b w:val="0"/>
          <w:szCs w:val="22"/>
          <w:highlight w:val="lightGray"/>
        </w:rPr>
        <w:t>that they do not believe allocated tax credits from SSAP No. 93 investments</w:t>
      </w:r>
      <w:r w:rsidR="000662EB" w:rsidRPr="00807B27">
        <w:rPr>
          <w:b w:val="0"/>
          <w:szCs w:val="22"/>
          <w:highlight w:val="lightGray"/>
        </w:rPr>
        <w:t xml:space="preserve"> </w:t>
      </w:r>
      <w:r w:rsidR="00D7238C" w:rsidRPr="00807B27">
        <w:rPr>
          <w:b w:val="0"/>
          <w:szCs w:val="22"/>
          <w:highlight w:val="lightGray"/>
        </w:rPr>
        <w:t>s</w:t>
      </w:r>
      <w:r w:rsidR="000662EB" w:rsidRPr="00807B27">
        <w:rPr>
          <w:b w:val="0"/>
          <w:szCs w:val="22"/>
          <w:highlight w:val="lightGray"/>
        </w:rPr>
        <w:t>hould be within the scope of SSAP No. 94R</w:t>
      </w:r>
      <w:r w:rsidR="00511124" w:rsidRPr="00807B27">
        <w:rPr>
          <w:b w:val="0"/>
          <w:szCs w:val="22"/>
          <w:highlight w:val="lightGray"/>
        </w:rPr>
        <w:t xml:space="preserve"> as the guidance was confusing and could potentially lead to conflicting interpretations. Additionally, Interested Parties </w:t>
      </w:r>
      <w:r w:rsidR="00A9017E" w:rsidRPr="00807B27">
        <w:rPr>
          <w:b w:val="0"/>
          <w:szCs w:val="22"/>
          <w:highlight w:val="lightGray"/>
        </w:rPr>
        <w:t>believe that tax credits from investments vs. purchased tax credits are distinctly different assets. The only similarity in accounting for the tax credits relates to instances when the credits earned under a SSAP No. 93 investment cannot be utilized in the current year. Under that scenario, a DTA would be recorded, which would be subject to the admissibility rules under SSAP No. 101.</w:t>
      </w:r>
    </w:p>
    <w:p w14:paraId="1C435ACA" w14:textId="328B6EBF" w:rsidR="00A9017E" w:rsidRDefault="00A9017E" w:rsidP="00A9017E">
      <w:pPr>
        <w:pStyle w:val="BodyText2"/>
        <w:numPr>
          <w:ilvl w:val="1"/>
          <w:numId w:val="48"/>
        </w:numPr>
        <w:rPr>
          <w:b w:val="0"/>
          <w:szCs w:val="22"/>
        </w:rPr>
      </w:pPr>
      <w:r>
        <w:rPr>
          <w:b w:val="0"/>
          <w:szCs w:val="22"/>
        </w:rPr>
        <w:t xml:space="preserve">NAIC Staff elected to </w:t>
      </w:r>
      <w:r w:rsidR="00C02399">
        <w:rPr>
          <w:b w:val="0"/>
          <w:szCs w:val="22"/>
        </w:rPr>
        <w:t>remove tax credits allocated from SSAP No. 93 investments from the scope of SSAP No. 94R to avoid confusion. However,</w:t>
      </w:r>
      <w:r w:rsidR="00B62D57">
        <w:rPr>
          <w:b w:val="0"/>
          <w:szCs w:val="22"/>
        </w:rPr>
        <w:t xml:space="preserve"> NAIC Staff note that tax credits earned from </w:t>
      </w:r>
      <w:r w:rsidR="005239F9">
        <w:rPr>
          <w:b w:val="0"/>
          <w:szCs w:val="22"/>
        </w:rPr>
        <w:t xml:space="preserve">investments bear many similarities to purchased tax credits. </w:t>
      </w:r>
      <w:r w:rsidR="00467BF8">
        <w:rPr>
          <w:b w:val="0"/>
          <w:szCs w:val="22"/>
        </w:rPr>
        <w:t>Irrespective of how the tax credit are acquired</w:t>
      </w:r>
      <w:r w:rsidR="001324CC">
        <w:rPr>
          <w:b w:val="0"/>
          <w:szCs w:val="22"/>
        </w:rPr>
        <w:t>, they</w:t>
      </w:r>
      <w:r w:rsidR="00467BF8">
        <w:rPr>
          <w:b w:val="0"/>
          <w:szCs w:val="22"/>
        </w:rPr>
        <w:t xml:space="preserve"> represent the same </w:t>
      </w:r>
      <w:r w:rsidR="001324CC">
        <w:rPr>
          <w:b w:val="0"/>
          <w:szCs w:val="22"/>
        </w:rPr>
        <w:t xml:space="preserve">type of </w:t>
      </w:r>
      <w:r w:rsidR="00467BF8">
        <w:rPr>
          <w:b w:val="0"/>
          <w:szCs w:val="22"/>
        </w:rPr>
        <w:t>financial instruments</w:t>
      </w:r>
      <w:r w:rsidR="0021577F">
        <w:rPr>
          <w:b w:val="0"/>
          <w:szCs w:val="22"/>
        </w:rPr>
        <w:t xml:space="preserve"> </w:t>
      </w:r>
      <w:r w:rsidR="001324CC">
        <w:rPr>
          <w:b w:val="0"/>
          <w:szCs w:val="22"/>
        </w:rPr>
        <w:t>which can be utilized as an offset to tax liabilities</w:t>
      </w:r>
      <w:r w:rsidR="00833AB1">
        <w:rPr>
          <w:b w:val="0"/>
          <w:szCs w:val="22"/>
        </w:rPr>
        <w:t xml:space="preserve">, sold, or redeemed for cash as a tax refund. Additionally, irrespective of how the </w:t>
      </w:r>
      <w:r w:rsidR="00833AB1">
        <w:rPr>
          <w:b w:val="0"/>
          <w:szCs w:val="22"/>
        </w:rPr>
        <w:lastRenderedPageBreak/>
        <w:t>tax credits are earned they are recorded at face value upon acquisition</w:t>
      </w:r>
      <w:r w:rsidR="00AE0AA7">
        <w:rPr>
          <w:b w:val="0"/>
          <w:szCs w:val="22"/>
        </w:rPr>
        <w:t xml:space="preserve">. The only significant difference is that tax credits purchased at a </w:t>
      </w:r>
      <w:r w:rsidR="00A5466D">
        <w:rPr>
          <w:b w:val="0"/>
          <w:szCs w:val="22"/>
        </w:rPr>
        <w:t xml:space="preserve">premium or discount </w:t>
      </w:r>
      <w:r w:rsidR="00AE0AA7">
        <w:rPr>
          <w:b w:val="0"/>
          <w:szCs w:val="22"/>
        </w:rPr>
        <w:t>may result in a recognized loss or deferred gain</w:t>
      </w:r>
      <w:r w:rsidR="00A5466D">
        <w:rPr>
          <w:b w:val="0"/>
          <w:szCs w:val="22"/>
        </w:rPr>
        <w:t xml:space="preserve">, respectively, whereas </w:t>
      </w:r>
      <w:r w:rsidR="007B29FA">
        <w:rPr>
          <w:b w:val="0"/>
          <w:szCs w:val="22"/>
        </w:rPr>
        <w:t>any premium or discount on an</w:t>
      </w:r>
      <w:r w:rsidR="00A5466D">
        <w:rPr>
          <w:b w:val="0"/>
          <w:szCs w:val="22"/>
        </w:rPr>
        <w:t xml:space="preserve"> allocated tax credit </w:t>
      </w:r>
      <w:r w:rsidR="007B29FA">
        <w:rPr>
          <w:b w:val="0"/>
          <w:szCs w:val="22"/>
        </w:rPr>
        <w:t>is recognized as part of proportional amortization</w:t>
      </w:r>
      <w:r w:rsidR="004E1FBD">
        <w:rPr>
          <w:b w:val="0"/>
          <w:szCs w:val="22"/>
        </w:rPr>
        <w:t xml:space="preserve"> calculation.</w:t>
      </w:r>
    </w:p>
    <w:p w14:paraId="34C3F2C7" w14:textId="26FD823E" w:rsidR="004E1FBD" w:rsidRDefault="004C78B2" w:rsidP="00A9017E">
      <w:pPr>
        <w:pStyle w:val="BodyText2"/>
        <w:numPr>
          <w:ilvl w:val="1"/>
          <w:numId w:val="48"/>
        </w:numPr>
        <w:rPr>
          <w:b w:val="0"/>
          <w:szCs w:val="22"/>
        </w:rPr>
      </w:pPr>
      <w:r>
        <w:rPr>
          <w:b w:val="0"/>
          <w:szCs w:val="22"/>
        </w:rPr>
        <w:t xml:space="preserve">NAIC Staff amended the draft to exclude tax credits </w:t>
      </w:r>
      <w:r w:rsidR="00D53AF2">
        <w:rPr>
          <w:b w:val="0"/>
          <w:szCs w:val="22"/>
        </w:rPr>
        <w:t>allocated</w:t>
      </w:r>
      <w:r>
        <w:rPr>
          <w:b w:val="0"/>
          <w:szCs w:val="22"/>
        </w:rPr>
        <w:t xml:space="preserve"> from SSAP No. 93 investments </w:t>
      </w:r>
      <w:r w:rsidR="00D53AF2">
        <w:rPr>
          <w:b w:val="0"/>
          <w:szCs w:val="22"/>
        </w:rPr>
        <w:t xml:space="preserve">in response to the </w:t>
      </w:r>
      <w:r w:rsidR="00E476AA">
        <w:rPr>
          <w:b w:val="0"/>
          <w:szCs w:val="22"/>
        </w:rPr>
        <w:t xml:space="preserve">Interested Party comments on SSAP No. 93. However, NAIC Staff did include language noting that allocated tax credits earned from </w:t>
      </w:r>
      <w:r w:rsidR="003A506B">
        <w:rPr>
          <w:b w:val="0"/>
          <w:szCs w:val="22"/>
        </w:rPr>
        <w:t xml:space="preserve">tax credit investments NOT within the scope of SSAP No. 93 should refer to SSAP 94R for guidance on how to record allocated tax credits. NAIC staff noted that </w:t>
      </w:r>
      <w:r w:rsidR="008D039D">
        <w:rPr>
          <w:b w:val="0"/>
          <w:szCs w:val="22"/>
        </w:rPr>
        <w:t xml:space="preserve">without this </w:t>
      </w:r>
      <w:r w:rsidR="0076778F">
        <w:rPr>
          <w:b w:val="0"/>
          <w:szCs w:val="22"/>
        </w:rPr>
        <w:t>language there would be</w:t>
      </w:r>
      <w:r w:rsidR="003A506B">
        <w:rPr>
          <w:b w:val="0"/>
          <w:szCs w:val="22"/>
        </w:rPr>
        <w:t xml:space="preserve"> no guidance within </w:t>
      </w:r>
      <w:r w:rsidR="000D5130">
        <w:rPr>
          <w:b w:val="0"/>
          <w:szCs w:val="22"/>
        </w:rPr>
        <w:t>Accounting P</w:t>
      </w:r>
      <w:r w:rsidR="008D039D">
        <w:rPr>
          <w:b w:val="0"/>
          <w:szCs w:val="22"/>
        </w:rPr>
        <w:t xml:space="preserve">ractices and Procedures Manual </w:t>
      </w:r>
      <w:r w:rsidR="0076778F">
        <w:rPr>
          <w:b w:val="0"/>
          <w:szCs w:val="22"/>
        </w:rPr>
        <w:t>for allocated tax credits from investments which fall outside the scope of SSAP No. 93.</w:t>
      </w:r>
    </w:p>
    <w:p w14:paraId="752C1DE0" w14:textId="7BD9D19D" w:rsidR="0076778F" w:rsidRPr="00807B27" w:rsidRDefault="003E66B7" w:rsidP="0076778F">
      <w:pPr>
        <w:pStyle w:val="BodyText2"/>
        <w:numPr>
          <w:ilvl w:val="0"/>
          <w:numId w:val="48"/>
        </w:numPr>
        <w:rPr>
          <w:b w:val="0"/>
          <w:szCs w:val="22"/>
          <w:highlight w:val="lightGray"/>
        </w:rPr>
      </w:pPr>
      <w:r w:rsidRPr="00807B27">
        <w:rPr>
          <w:b w:val="0"/>
          <w:szCs w:val="22"/>
          <w:highlight w:val="lightGray"/>
        </w:rPr>
        <w:t>Interested Parties note</w:t>
      </w:r>
      <w:r w:rsidR="00282D6E" w:rsidRPr="00807B27">
        <w:rPr>
          <w:b w:val="0"/>
          <w:szCs w:val="22"/>
          <w:highlight w:val="lightGray"/>
        </w:rPr>
        <w:t>d</w:t>
      </w:r>
      <w:r w:rsidRPr="00807B27">
        <w:rPr>
          <w:b w:val="0"/>
          <w:szCs w:val="22"/>
          <w:highlight w:val="lightGray"/>
        </w:rPr>
        <w:t xml:space="preserve"> </w:t>
      </w:r>
      <w:r w:rsidR="00491681" w:rsidRPr="00807B27">
        <w:rPr>
          <w:b w:val="0"/>
          <w:szCs w:val="22"/>
          <w:highlight w:val="lightGray"/>
        </w:rPr>
        <w:t>that most tax certificates reduce a reporting entity’s tax liability and do not directly impact the income statement at the time they are used. In addition, interested parties believe that upon purchase, the tax credits should be reported as an other-than-invested asset since the asset represents a right to receive future benefits. As the tax credits become available for use, a reduction to the insurer’s income tax payable or premium/state taxes payable should take place.</w:t>
      </w:r>
    </w:p>
    <w:p w14:paraId="626E281D" w14:textId="20F59227" w:rsidR="007115C2" w:rsidRDefault="007115C2" w:rsidP="007115C2">
      <w:pPr>
        <w:pStyle w:val="BodyText2"/>
        <w:numPr>
          <w:ilvl w:val="1"/>
          <w:numId w:val="48"/>
        </w:numPr>
        <w:rPr>
          <w:b w:val="0"/>
          <w:szCs w:val="22"/>
        </w:rPr>
      </w:pPr>
      <w:r>
        <w:rPr>
          <w:b w:val="0"/>
          <w:szCs w:val="22"/>
        </w:rPr>
        <w:t xml:space="preserve">NAIC Staff disagrees with this proposed change </w:t>
      </w:r>
      <w:r w:rsidR="00062BB1">
        <w:rPr>
          <w:b w:val="0"/>
          <w:szCs w:val="22"/>
        </w:rPr>
        <w:t>as purchased</w:t>
      </w:r>
      <w:r w:rsidR="00AA0162">
        <w:rPr>
          <w:b w:val="0"/>
          <w:szCs w:val="22"/>
        </w:rPr>
        <w:t xml:space="preserve"> federal</w:t>
      </w:r>
      <w:r w:rsidR="00062BB1">
        <w:rPr>
          <w:b w:val="0"/>
          <w:szCs w:val="22"/>
        </w:rPr>
        <w:t xml:space="preserve"> tax credits </w:t>
      </w:r>
      <w:r w:rsidR="00AA0162">
        <w:rPr>
          <w:b w:val="0"/>
          <w:szCs w:val="22"/>
        </w:rPr>
        <w:t>would be</w:t>
      </w:r>
      <w:r w:rsidR="00062BB1">
        <w:rPr>
          <w:b w:val="0"/>
          <w:szCs w:val="22"/>
        </w:rPr>
        <w:t xml:space="preserve"> reported </w:t>
      </w:r>
      <w:r w:rsidR="00AA0162">
        <w:rPr>
          <w:b w:val="0"/>
          <w:szCs w:val="22"/>
        </w:rPr>
        <w:t xml:space="preserve">as other-than-invested assets, versus allocated federal tax credits which would </w:t>
      </w:r>
      <w:proofErr w:type="gramStart"/>
      <w:r w:rsidR="00AA0162">
        <w:rPr>
          <w:b w:val="0"/>
          <w:szCs w:val="22"/>
        </w:rPr>
        <w:t>reported</w:t>
      </w:r>
      <w:proofErr w:type="gramEnd"/>
      <w:r w:rsidR="00AA0162">
        <w:rPr>
          <w:b w:val="0"/>
          <w:szCs w:val="22"/>
        </w:rPr>
        <w:t xml:space="preserve"> as a </w:t>
      </w:r>
      <w:r w:rsidR="0034547E">
        <w:rPr>
          <w:b w:val="0"/>
          <w:szCs w:val="22"/>
        </w:rPr>
        <w:t xml:space="preserve">deferred tax asset.  </w:t>
      </w:r>
      <w:r w:rsidR="00EB4A71">
        <w:rPr>
          <w:b w:val="0"/>
          <w:szCs w:val="22"/>
        </w:rPr>
        <w:t xml:space="preserve">This would result in </w:t>
      </w:r>
      <w:r w:rsidR="0005194A">
        <w:rPr>
          <w:b w:val="0"/>
          <w:szCs w:val="22"/>
        </w:rPr>
        <w:t xml:space="preserve">the same type of asset being reported on two separate lines based on the </w:t>
      </w:r>
      <w:proofErr w:type="gramStart"/>
      <w:r w:rsidR="0005194A">
        <w:rPr>
          <w:b w:val="0"/>
          <w:szCs w:val="22"/>
        </w:rPr>
        <w:t>manner in which</w:t>
      </w:r>
      <w:proofErr w:type="gramEnd"/>
      <w:r w:rsidR="0005194A">
        <w:rPr>
          <w:b w:val="0"/>
          <w:szCs w:val="22"/>
        </w:rPr>
        <w:t xml:space="preserve"> it was acquired.  </w:t>
      </w:r>
      <w:r w:rsidR="00E63047">
        <w:rPr>
          <w:b w:val="0"/>
          <w:szCs w:val="22"/>
        </w:rPr>
        <w:t xml:space="preserve">As noted above, </w:t>
      </w:r>
      <w:r w:rsidR="00F95507">
        <w:rPr>
          <w:b w:val="0"/>
          <w:szCs w:val="22"/>
        </w:rPr>
        <w:t>NAIC Staff</w:t>
      </w:r>
      <w:r w:rsidR="005119F0">
        <w:rPr>
          <w:b w:val="0"/>
          <w:szCs w:val="22"/>
        </w:rPr>
        <w:t>’s position is that allocated and purchased tax credits are substantially the same assets irrespective of the way in which they are acquired.</w:t>
      </w:r>
      <w:r w:rsidR="0005194A">
        <w:rPr>
          <w:b w:val="0"/>
          <w:szCs w:val="22"/>
        </w:rPr>
        <w:t xml:space="preserve">  </w:t>
      </w:r>
      <w:r w:rsidR="001438B5">
        <w:rPr>
          <w:b w:val="0"/>
          <w:szCs w:val="22"/>
        </w:rPr>
        <w:t>Additionally, the</w:t>
      </w:r>
      <w:r w:rsidR="00C10718">
        <w:rPr>
          <w:b w:val="0"/>
          <w:szCs w:val="22"/>
        </w:rPr>
        <w:t xml:space="preserve"> Interested Part</w:t>
      </w:r>
      <w:r w:rsidR="001438B5">
        <w:rPr>
          <w:b w:val="0"/>
          <w:szCs w:val="22"/>
        </w:rPr>
        <w:t xml:space="preserve">ies also </w:t>
      </w:r>
      <w:r w:rsidR="00BB7EF8">
        <w:rPr>
          <w:b w:val="0"/>
          <w:szCs w:val="22"/>
        </w:rPr>
        <w:t>proposes</w:t>
      </w:r>
      <w:r w:rsidR="001438B5">
        <w:rPr>
          <w:b w:val="0"/>
          <w:szCs w:val="22"/>
        </w:rPr>
        <w:t xml:space="preserve"> that if a tax credit cannot be utilized </w:t>
      </w:r>
      <w:r w:rsidR="00BB7EF8">
        <w:rPr>
          <w:b w:val="0"/>
          <w:szCs w:val="22"/>
        </w:rPr>
        <w:t>in the same period in which it was purchased it should be transferred to Deferred Tax Assets.  NAIC Staff notes that this does not res</w:t>
      </w:r>
      <w:r w:rsidR="00CB4A2F">
        <w:rPr>
          <w:b w:val="0"/>
          <w:szCs w:val="22"/>
        </w:rPr>
        <w:t>olve the short-term reporting discrepancy noted previously and</w:t>
      </w:r>
      <w:r w:rsidR="002B7495">
        <w:rPr>
          <w:b w:val="0"/>
          <w:szCs w:val="22"/>
        </w:rPr>
        <w:t xml:space="preserve"> </w:t>
      </w:r>
      <w:r w:rsidR="007025A2">
        <w:rPr>
          <w:b w:val="0"/>
          <w:szCs w:val="22"/>
        </w:rPr>
        <w:t>adds further complications to the accounting process by requiring a reporting line transfer if the asset is held for longer than a year</w:t>
      </w:r>
      <w:r w:rsidR="00C4682A">
        <w:rPr>
          <w:b w:val="0"/>
          <w:szCs w:val="22"/>
        </w:rPr>
        <w:t>.</w:t>
      </w:r>
    </w:p>
    <w:p w14:paraId="50C3E295" w14:textId="47836147" w:rsidR="007025A2" w:rsidRPr="00807B27" w:rsidRDefault="007D529F" w:rsidP="007025A2">
      <w:pPr>
        <w:pStyle w:val="BodyText2"/>
        <w:numPr>
          <w:ilvl w:val="0"/>
          <w:numId w:val="48"/>
        </w:numPr>
        <w:rPr>
          <w:b w:val="0"/>
          <w:szCs w:val="22"/>
          <w:highlight w:val="lightGray"/>
        </w:rPr>
      </w:pPr>
      <w:r w:rsidRPr="00807B27">
        <w:rPr>
          <w:b w:val="0"/>
          <w:szCs w:val="22"/>
          <w:highlight w:val="lightGray"/>
        </w:rPr>
        <w:t>Interested</w:t>
      </w:r>
      <w:r w:rsidR="00282D6E" w:rsidRPr="00807B27">
        <w:rPr>
          <w:b w:val="0"/>
          <w:szCs w:val="22"/>
          <w:highlight w:val="lightGray"/>
        </w:rPr>
        <w:t xml:space="preserve"> Parties noted that </w:t>
      </w:r>
      <w:r w:rsidRPr="00807B27">
        <w:rPr>
          <w:b w:val="0"/>
          <w:szCs w:val="22"/>
          <w:highlight w:val="lightGray"/>
        </w:rPr>
        <w:t xml:space="preserve">the accounting for purchased tax credits in the SSAP No. 94R exposure is different from the current guidance in that the credits will be recorded at face value instead of at cost. This is not an issue </w:t>
      </w:r>
      <w:proofErr w:type="gramStart"/>
      <w:r w:rsidRPr="00807B27">
        <w:rPr>
          <w:b w:val="0"/>
          <w:szCs w:val="22"/>
          <w:highlight w:val="lightGray"/>
        </w:rPr>
        <w:t>perse</w:t>
      </w:r>
      <w:proofErr w:type="gramEnd"/>
      <w:r w:rsidRPr="00807B27">
        <w:rPr>
          <w:b w:val="0"/>
          <w:szCs w:val="22"/>
          <w:highlight w:val="lightGray"/>
        </w:rPr>
        <w:t xml:space="preserve"> but </w:t>
      </w:r>
      <w:r w:rsidR="004826BF" w:rsidRPr="00807B27">
        <w:rPr>
          <w:b w:val="0"/>
          <w:szCs w:val="22"/>
          <w:highlight w:val="lightGray"/>
        </w:rPr>
        <w:t>Interested Parties did want to point out this discrepancy</w:t>
      </w:r>
      <w:r w:rsidR="003558F1" w:rsidRPr="00807B27">
        <w:rPr>
          <w:b w:val="0"/>
          <w:szCs w:val="22"/>
          <w:highlight w:val="lightGray"/>
        </w:rPr>
        <w:t xml:space="preserve"> as compared to the accounting treatment for other assets like bonds and mortgage loans.</w:t>
      </w:r>
    </w:p>
    <w:p w14:paraId="1C71470F" w14:textId="7AAE0D18" w:rsidR="004826BF" w:rsidRDefault="004826BF" w:rsidP="004826BF">
      <w:pPr>
        <w:pStyle w:val="BodyText2"/>
        <w:numPr>
          <w:ilvl w:val="1"/>
          <w:numId w:val="48"/>
        </w:numPr>
        <w:rPr>
          <w:b w:val="0"/>
          <w:szCs w:val="22"/>
        </w:rPr>
      </w:pPr>
      <w:r>
        <w:rPr>
          <w:b w:val="0"/>
          <w:szCs w:val="22"/>
        </w:rPr>
        <w:t>NAIC Staff’s position is that</w:t>
      </w:r>
      <w:r w:rsidR="003558F1">
        <w:rPr>
          <w:b w:val="0"/>
          <w:szCs w:val="22"/>
        </w:rPr>
        <w:t xml:space="preserve"> </w:t>
      </w:r>
      <w:r w:rsidR="00E245C0">
        <w:rPr>
          <w:b w:val="0"/>
          <w:szCs w:val="22"/>
        </w:rPr>
        <w:t>tax credits</w:t>
      </w:r>
      <w:r w:rsidR="003558F1">
        <w:rPr>
          <w:b w:val="0"/>
          <w:szCs w:val="22"/>
        </w:rPr>
        <w:t xml:space="preserve">, whether received </w:t>
      </w:r>
      <w:r w:rsidR="008E0385">
        <w:rPr>
          <w:b w:val="0"/>
          <w:szCs w:val="22"/>
        </w:rPr>
        <w:t>via purchase or allocation,</w:t>
      </w:r>
      <w:r w:rsidR="00E245C0">
        <w:rPr>
          <w:b w:val="0"/>
          <w:szCs w:val="22"/>
        </w:rPr>
        <w:t xml:space="preserve"> do not represent </w:t>
      </w:r>
      <w:r w:rsidR="008E0385">
        <w:rPr>
          <w:b w:val="0"/>
          <w:szCs w:val="22"/>
        </w:rPr>
        <w:t>investments,</w:t>
      </w:r>
      <w:r w:rsidR="00273562">
        <w:rPr>
          <w:b w:val="0"/>
          <w:szCs w:val="22"/>
        </w:rPr>
        <w:t xml:space="preserve"> and </w:t>
      </w:r>
      <w:r w:rsidR="00FE1887">
        <w:rPr>
          <w:b w:val="0"/>
          <w:szCs w:val="22"/>
        </w:rPr>
        <w:t xml:space="preserve">has opted to propose accounting guidance that differs from bonds or </w:t>
      </w:r>
      <w:r w:rsidR="0077560A">
        <w:rPr>
          <w:b w:val="0"/>
          <w:szCs w:val="22"/>
        </w:rPr>
        <w:t xml:space="preserve">mortgage loans. </w:t>
      </w:r>
      <w:r w:rsidR="008E0385">
        <w:rPr>
          <w:b w:val="0"/>
          <w:szCs w:val="22"/>
        </w:rPr>
        <w:t>The position that tax credits do not represent investments</w:t>
      </w:r>
      <w:r w:rsidR="0077560A">
        <w:rPr>
          <w:b w:val="0"/>
          <w:szCs w:val="22"/>
        </w:rPr>
        <w:t xml:space="preserve"> was the main reason for the original SSAP No. 94R guidance which required state tax credits </w:t>
      </w:r>
      <w:r w:rsidR="008E0385">
        <w:rPr>
          <w:b w:val="0"/>
          <w:szCs w:val="22"/>
        </w:rPr>
        <w:t xml:space="preserve">be recorded to Other </w:t>
      </w:r>
      <w:r w:rsidR="00B2226A">
        <w:rPr>
          <w:b w:val="0"/>
          <w:szCs w:val="22"/>
        </w:rPr>
        <w:t xml:space="preserve">Than Invested Assets and </w:t>
      </w:r>
      <w:r w:rsidR="0077560A">
        <w:rPr>
          <w:b w:val="0"/>
          <w:szCs w:val="22"/>
        </w:rPr>
        <w:t xml:space="preserve">effectively </w:t>
      </w:r>
      <w:r w:rsidR="001176DE">
        <w:rPr>
          <w:b w:val="0"/>
          <w:szCs w:val="22"/>
        </w:rPr>
        <w:t xml:space="preserve">required companies </w:t>
      </w:r>
      <w:r w:rsidR="00FF4B98">
        <w:rPr>
          <w:b w:val="0"/>
          <w:szCs w:val="22"/>
        </w:rPr>
        <w:t xml:space="preserve">tax credits purchased at a </w:t>
      </w:r>
      <w:r w:rsidR="006112DB">
        <w:rPr>
          <w:b w:val="0"/>
          <w:szCs w:val="22"/>
        </w:rPr>
        <w:t>discount</w:t>
      </w:r>
      <w:r w:rsidR="00E77891">
        <w:rPr>
          <w:b w:val="0"/>
          <w:szCs w:val="22"/>
        </w:rPr>
        <w:t xml:space="preserve"> at cost and effectively defer the gain off</w:t>
      </w:r>
      <w:r w:rsidR="006112DB">
        <w:rPr>
          <w:b w:val="0"/>
          <w:szCs w:val="22"/>
        </w:rPr>
        <w:t xml:space="preserve"> the </w:t>
      </w:r>
      <w:r w:rsidR="00E77891">
        <w:rPr>
          <w:b w:val="0"/>
          <w:szCs w:val="22"/>
        </w:rPr>
        <w:t>balance sheet</w:t>
      </w:r>
      <w:r w:rsidR="00713977">
        <w:rPr>
          <w:b w:val="0"/>
          <w:szCs w:val="22"/>
        </w:rPr>
        <w:t xml:space="preserve">. NAIC Staff </w:t>
      </w:r>
      <w:r w:rsidR="003025A4">
        <w:rPr>
          <w:b w:val="0"/>
          <w:szCs w:val="22"/>
        </w:rPr>
        <w:t xml:space="preserve">felt that </w:t>
      </w:r>
      <w:r w:rsidR="00C52824">
        <w:rPr>
          <w:b w:val="0"/>
          <w:szCs w:val="22"/>
        </w:rPr>
        <w:t xml:space="preserve">it would be less confusing and provide a more accurate financial picture to </w:t>
      </w:r>
      <w:r w:rsidR="006E7C26">
        <w:rPr>
          <w:b w:val="0"/>
          <w:szCs w:val="22"/>
        </w:rPr>
        <w:t>record the tax credit at face value and defer any gains</w:t>
      </w:r>
      <w:r w:rsidR="006112DB">
        <w:rPr>
          <w:b w:val="0"/>
          <w:szCs w:val="22"/>
        </w:rPr>
        <w:t xml:space="preserve"> from discount purchases</w:t>
      </w:r>
      <w:r w:rsidR="006E7C26">
        <w:rPr>
          <w:b w:val="0"/>
          <w:szCs w:val="22"/>
        </w:rPr>
        <w:t xml:space="preserve"> on the balance sheet.</w:t>
      </w:r>
    </w:p>
    <w:p w14:paraId="01705E8C" w14:textId="0A3AD2D5" w:rsidR="00AB6967" w:rsidRPr="00807B27" w:rsidRDefault="00842877" w:rsidP="00842877">
      <w:pPr>
        <w:pStyle w:val="BodyText2"/>
        <w:numPr>
          <w:ilvl w:val="0"/>
          <w:numId w:val="48"/>
        </w:numPr>
        <w:rPr>
          <w:b w:val="0"/>
          <w:szCs w:val="22"/>
          <w:highlight w:val="lightGray"/>
        </w:rPr>
      </w:pPr>
      <w:r w:rsidRPr="00807B27">
        <w:rPr>
          <w:b w:val="0"/>
          <w:szCs w:val="22"/>
          <w:highlight w:val="lightGray"/>
        </w:rPr>
        <w:t xml:space="preserve">Interested Parties proposed changes to Exhibit B to </w:t>
      </w:r>
      <w:r w:rsidR="00D31913" w:rsidRPr="00807B27">
        <w:rPr>
          <w:b w:val="0"/>
          <w:szCs w:val="22"/>
          <w:highlight w:val="lightGray"/>
        </w:rPr>
        <w:t xml:space="preserve">reflect a pro-rata utilization of purchased tax credits in relation to the quarterly accrual </w:t>
      </w:r>
      <w:r w:rsidR="00AB6967" w:rsidRPr="00807B27">
        <w:rPr>
          <w:b w:val="0"/>
          <w:szCs w:val="22"/>
          <w:highlight w:val="lightGray"/>
        </w:rPr>
        <w:t>of income tax liabilities.</w:t>
      </w:r>
      <w:r w:rsidR="0000071A" w:rsidRPr="00807B27">
        <w:rPr>
          <w:b w:val="0"/>
          <w:szCs w:val="22"/>
          <w:highlight w:val="lightGray"/>
        </w:rPr>
        <w:t xml:space="preserve"> The main purpose of these changes </w:t>
      </w:r>
      <w:proofErr w:type="gramStart"/>
      <w:r w:rsidR="0000071A" w:rsidRPr="00807B27">
        <w:rPr>
          <w:b w:val="0"/>
          <w:szCs w:val="22"/>
          <w:highlight w:val="lightGray"/>
        </w:rPr>
        <w:t>were</w:t>
      </w:r>
      <w:proofErr w:type="gramEnd"/>
      <w:r w:rsidR="0000071A" w:rsidRPr="00807B27">
        <w:rPr>
          <w:b w:val="0"/>
          <w:szCs w:val="22"/>
          <w:highlight w:val="lightGray"/>
        </w:rPr>
        <w:t xml:space="preserve"> to reflect Interested Parties’ proposed changes in item #2.</w:t>
      </w:r>
    </w:p>
    <w:p w14:paraId="52EF1E31" w14:textId="190DC360" w:rsidR="00842877" w:rsidRDefault="00AB6967" w:rsidP="00AB6967">
      <w:pPr>
        <w:pStyle w:val="BodyText2"/>
        <w:numPr>
          <w:ilvl w:val="1"/>
          <w:numId w:val="48"/>
        </w:numPr>
        <w:rPr>
          <w:b w:val="0"/>
          <w:szCs w:val="22"/>
        </w:rPr>
      </w:pPr>
      <w:r>
        <w:rPr>
          <w:b w:val="0"/>
          <w:szCs w:val="22"/>
        </w:rPr>
        <w:t>NAIC Staff made these changes</w:t>
      </w:r>
      <w:r w:rsidR="00E87F9C">
        <w:rPr>
          <w:b w:val="0"/>
          <w:szCs w:val="22"/>
        </w:rPr>
        <w:t xml:space="preserve"> to Exhibit B</w:t>
      </w:r>
      <w:r w:rsidR="00E54972">
        <w:rPr>
          <w:b w:val="0"/>
          <w:szCs w:val="22"/>
        </w:rPr>
        <w:t xml:space="preserve"> and </w:t>
      </w:r>
      <w:r w:rsidR="002B75E0">
        <w:rPr>
          <w:b w:val="0"/>
          <w:szCs w:val="22"/>
        </w:rPr>
        <w:t>believe</w:t>
      </w:r>
      <w:r w:rsidR="00E54972">
        <w:rPr>
          <w:b w:val="0"/>
          <w:szCs w:val="22"/>
        </w:rPr>
        <w:t xml:space="preserve"> that this method of </w:t>
      </w:r>
      <w:r w:rsidR="0000071A">
        <w:rPr>
          <w:b w:val="0"/>
          <w:szCs w:val="22"/>
        </w:rPr>
        <w:t xml:space="preserve">recognizing tax credit utilization is applicable to </w:t>
      </w:r>
      <w:r w:rsidR="002B75E0">
        <w:rPr>
          <w:b w:val="0"/>
          <w:szCs w:val="22"/>
        </w:rPr>
        <w:t>exposed draft of SSAP No. 94R.</w:t>
      </w:r>
    </w:p>
    <w:p w14:paraId="374C28A7" w14:textId="77777777" w:rsidR="00B92D5B" w:rsidRDefault="00B92D5B" w:rsidP="00B92D5B">
      <w:pPr>
        <w:pStyle w:val="BodyText2"/>
        <w:rPr>
          <w:b w:val="0"/>
          <w:szCs w:val="22"/>
        </w:rPr>
      </w:pPr>
    </w:p>
    <w:p w14:paraId="653E5ABA" w14:textId="1D2EDE10" w:rsidR="00B92D5B" w:rsidRDefault="00B92D5B" w:rsidP="00B92D5B">
      <w:pPr>
        <w:pStyle w:val="BodyText2"/>
        <w:rPr>
          <w:b w:val="0"/>
          <w:szCs w:val="22"/>
        </w:rPr>
      </w:pPr>
      <w:r>
        <w:rPr>
          <w:b w:val="0"/>
          <w:szCs w:val="22"/>
        </w:rPr>
        <w:t xml:space="preserve">Outside of the changes made in response to Interested Parties’ Comment Letter, </w:t>
      </w:r>
      <w:r w:rsidR="00EF20D1">
        <w:rPr>
          <w:b w:val="0"/>
          <w:szCs w:val="22"/>
        </w:rPr>
        <w:t>both</w:t>
      </w:r>
      <w:r>
        <w:rPr>
          <w:b w:val="0"/>
          <w:szCs w:val="22"/>
        </w:rPr>
        <w:t xml:space="preserve"> Exhibits</w:t>
      </w:r>
      <w:r w:rsidR="003F0066">
        <w:rPr>
          <w:b w:val="0"/>
          <w:szCs w:val="22"/>
        </w:rPr>
        <w:t xml:space="preserve"> in </w:t>
      </w:r>
      <w:r>
        <w:rPr>
          <w:b w:val="0"/>
          <w:szCs w:val="22"/>
        </w:rPr>
        <w:t xml:space="preserve">SSAP No. 93 </w:t>
      </w:r>
      <w:r w:rsidR="003F0066">
        <w:rPr>
          <w:b w:val="0"/>
          <w:szCs w:val="22"/>
        </w:rPr>
        <w:t>were revised to provide example journal entries of the Proportional Amortization method</w:t>
      </w:r>
      <w:r w:rsidR="00EF20D1">
        <w:rPr>
          <w:b w:val="0"/>
          <w:szCs w:val="22"/>
        </w:rPr>
        <w:t xml:space="preserve">. Additionally, </w:t>
      </w:r>
      <w:r w:rsidR="0020772E">
        <w:rPr>
          <w:b w:val="0"/>
          <w:szCs w:val="22"/>
        </w:rPr>
        <w:t xml:space="preserve">the assumptions in Exhibit B were </w:t>
      </w:r>
      <w:r w:rsidR="00E049A5">
        <w:rPr>
          <w:b w:val="0"/>
          <w:szCs w:val="22"/>
        </w:rPr>
        <w:t xml:space="preserve">revised </w:t>
      </w:r>
      <w:r w:rsidR="00B35CB5">
        <w:rPr>
          <w:b w:val="0"/>
          <w:szCs w:val="22"/>
        </w:rPr>
        <w:t>so it would provide a journal entry example for a residual sale at the end of the proportional amortization period.</w:t>
      </w:r>
      <w:r w:rsidR="00757724">
        <w:rPr>
          <w:b w:val="0"/>
          <w:szCs w:val="22"/>
        </w:rPr>
        <w:t xml:space="preserve"> A new footnote was </w:t>
      </w:r>
      <w:r w:rsidR="00880847">
        <w:rPr>
          <w:b w:val="0"/>
          <w:szCs w:val="22"/>
        </w:rPr>
        <w:t xml:space="preserve">also </w:t>
      </w:r>
      <w:r w:rsidR="00757724">
        <w:rPr>
          <w:b w:val="0"/>
          <w:szCs w:val="22"/>
        </w:rPr>
        <w:t xml:space="preserve">added to SSAP No. 94R </w:t>
      </w:r>
      <w:r w:rsidR="00F773CF">
        <w:rPr>
          <w:b w:val="0"/>
          <w:szCs w:val="22"/>
        </w:rPr>
        <w:t xml:space="preserve">on page 2 </w:t>
      </w:r>
      <w:r w:rsidR="00405788">
        <w:rPr>
          <w:b w:val="0"/>
          <w:szCs w:val="22"/>
        </w:rPr>
        <w:t>based verbal comments received from the public. Th</w:t>
      </w:r>
      <w:r w:rsidR="00F773CF">
        <w:rPr>
          <w:b w:val="0"/>
          <w:szCs w:val="22"/>
        </w:rPr>
        <w:t>e new</w:t>
      </w:r>
      <w:r w:rsidR="00405788">
        <w:rPr>
          <w:b w:val="0"/>
          <w:szCs w:val="22"/>
        </w:rPr>
        <w:t xml:space="preserve"> footnote </w:t>
      </w:r>
      <w:r w:rsidR="00880847">
        <w:rPr>
          <w:b w:val="0"/>
          <w:szCs w:val="22"/>
        </w:rPr>
        <w:t>provide</w:t>
      </w:r>
      <w:r w:rsidR="00405788">
        <w:rPr>
          <w:b w:val="0"/>
          <w:szCs w:val="22"/>
        </w:rPr>
        <w:t>s</w:t>
      </w:r>
      <w:r w:rsidR="00880847">
        <w:rPr>
          <w:b w:val="0"/>
          <w:szCs w:val="22"/>
        </w:rPr>
        <w:t xml:space="preserve"> clarification </w:t>
      </w:r>
      <w:r w:rsidR="00405788">
        <w:rPr>
          <w:b w:val="0"/>
          <w:szCs w:val="22"/>
        </w:rPr>
        <w:t>on what processes constitute a purchase vs an allocation</w:t>
      </w:r>
      <w:r w:rsidR="00F773CF">
        <w:rPr>
          <w:b w:val="0"/>
          <w:szCs w:val="22"/>
        </w:rPr>
        <w:t xml:space="preserve"> of tax credits.</w:t>
      </w:r>
    </w:p>
    <w:p w14:paraId="7533D6D3" w14:textId="77777777" w:rsidR="00C618AB" w:rsidRDefault="00C618AB" w:rsidP="00B92D5B">
      <w:pPr>
        <w:pStyle w:val="BodyText2"/>
        <w:rPr>
          <w:b w:val="0"/>
          <w:szCs w:val="22"/>
        </w:rPr>
      </w:pPr>
    </w:p>
    <w:p w14:paraId="3AEB91F9" w14:textId="34A7BAD4" w:rsidR="00C525FC" w:rsidRPr="00063381" w:rsidRDefault="00C525FC" w:rsidP="00C525FC">
      <w:pPr>
        <w:pStyle w:val="BodyText2"/>
        <w:rPr>
          <w:bCs w:val="0"/>
          <w:szCs w:val="22"/>
        </w:rPr>
      </w:pPr>
      <w:r>
        <w:rPr>
          <w:bCs w:val="0"/>
          <w:szCs w:val="22"/>
        </w:rPr>
        <w:t>August 13, 2023</w:t>
      </w:r>
      <w:r w:rsidR="00E11907">
        <w:rPr>
          <w:bCs w:val="0"/>
          <w:szCs w:val="22"/>
        </w:rPr>
        <w:t xml:space="preserve"> - </w:t>
      </w:r>
      <w:r>
        <w:rPr>
          <w:bCs w:val="0"/>
          <w:szCs w:val="22"/>
        </w:rPr>
        <w:t>Summer National Meeting</w:t>
      </w:r>
      <w:r w:rsidRPr="00063381">
        <w:rPr>
          <w:bCs w:val="0"/>
          <w:szCs w:val="22"/>
        </w:rPr>
        <w:t xml:space="preserve"> Recommendation:</w:t>
      </w:r>
    </w:p>
    <w:p w14:paraId="3BEBE18F" w14:textId="77777777" w:rsidR="00C525FC" w:rsidRDefault="00C525FC" w:rsidP="00C525FC">
      <w:pPr>
        <w:pStyle w:val="BodyText2"/>
        <w:rPr>
          <w:b w:val="0"/>
          <w:szCs w:val="22"/>
        </w:rPr>
      </w:pPr>
      <w:r w:rsidRPr="00B03CBE">
        <w:rPr>
          <w:b w:val="0"/>
          <w:szCs w:val="22"/>
        </w:rPr>
        <w:lastRenderedPageBreak/>
        <w:t>NAIC staff recommend that the Working Group expose additional revisions described below to SSAP No. 93 and SSAP No. 94R. Additionally, NAIC staff recognizes that revisions to the annual statement Schedule BA reporting lines will need to be considered, as well as how those reporting lines flow through to the AVR. NAIC staff recommends that the Working Group direct staff to work with interested parties throughout the interim to discuss to allow subsequent (or interim) exposure.</w:t>
      </w:r>
    </w:p>
    <w:p w14:paraId="1B60033E" w14:textId="77777777" w:rsidR="00C525FC" w:rsidRDefault="00C525FC" w:rsidP="00C525FC">
      <w:pPr>
        <w:pStyle w:val="BodyText2"/>
        <w:rPr>
          <w:b w:val="0"/>
          <w:szCs w:val="22"/>
        </w:rPr>
      </w:pPr>
    </w:p>
    <w:p w14:paraId="0E711058" w14:textId="6338F6C6" w:rsidR="00C618AB" w:rsidRDefault="00C618AB" w:rsidP="00C525FC">
      <w:pPr>
        <w:pStyle w:val="BodyText2"/>
        <w:rPr>
          <w:b w:val="0"/>
          <w:szCs w:val="22"/>
        </w:rPr>
      </w:pPr>
      <w:r>
        <w:rPr>
          <w:b w:val="0"/>
          <w:szCs w:val="22"/>
        </w:rPr>
        <w:t xml:space="preserve">On August 13, 2023, </w:t>
      </w:r>
      <w:r w:rsidRPr="00C618AB">
        <w:rPr>
          <w:b w:val="0"/>
          <w:szCs w:val="22"/>
        </w:rPr>
        <w:t xml:space="preserve">the Statutory Accounting Principles (E) Working Group exposed additional revisions </w:t>
      </w:r>
      <w:r w:rsidR="007209C9">
        <w:rPr>
          <w:b w:val="0"/>
          <w:szCs w:val="22"/>
        </w:rPr>
        <w:t xml:space="preserve">made </w:t>
      </w:r>
      <w:r w:rsidRPr="00C618AB">
        <w:rPr>
          <w:b w:val="0"/>
          <w:szCs w:val="22"/>
        </w:rPr>
        <w:t xml:space="preserve">to SSAP No. 93 and SSAP No. 94R. Additionally, </w:t>
      </w:r>
      <w:r w:rsidR="007209C9">
        <w:rPr>
          <w:b w:val="0"/>
          <w:szCs w:val="22"/>
        </w:rPr>
        <w:t>the Working Group directed</w:t>
      </w:r>
      <w:r w:rsidRPr="00C618AB">
        <w:rPr>
          <w:b w:val="0"/>
          <w:szCs w:val="22"/>
        </w:rPr>
        <w:t xml:space="preserve"> </w:t>
      </w:r>
      <w:r w:rsidR="00B5665B">
        <w:rPr>
          <w:b w:val="0"/>
          <w:szCs w:val="22"/>
        </w:rPr>
        <w:t xml:space="preserve">NAIC </w:t>
      </w:r>
      <w:r w:rsidRPr="00C618AB">
        <w:rPr>
          <w:b w:val="0"/>
          <w:szCs w:val="22"/>
        </w:rPr>
        <w:t xml:space="preserve">staff </w:t>
      </w:r>
      <w:r w:rsidR="007209C9" w:rsidRPr="00C618AB">
        <w:rPr>
          <w:b w:val="0"/>
          <w:szCs w:val="22"/>
        </w:rPr>
        <w:t xml:space="preserve">to work with interested parties </w:t>
      </w:r>
      <w:r w:rsidR="007209C9">
        <w:rPr>
          <w:b w:val="0"/>
          <w:szCs w:val="22"/>
        </w:rPr>
        <w:t>to draft</w:t>
      </w:r>
      <w:r w:rsidRPr="00C618AB">
        <w:rPr>
          <w:b w:val="0"/>
          <w:szCs w:val="22"/>
        </w:rPr>
        <w:t xml:space="preserve"> revisions to the</w:t>
      </w:r>
      <w:r w:rsidR="000C125C">
        <w:rPr>
          <w:b w:val="0"/>
          <w:szCs w:val="22"/>
        </w:rPr>
        <w:t xml:space="preserve"> </w:t>
      </w:r>
      <w:r w:rsidR="00016A27">
        <w:rPr>
          <w:b w:val="0"/>
          <w:szCs w:val="22"/>
        </w:rPr>
        <w:t>a</w:t>
      </w:r>
      <w:r w:rsidR="000C125C">
        <w:rPr>
          <w:b w:val="0"/>
          <w:szCs w:val="22"/>
        </w:rPr>
        <w:t xml:space="preserve">nnual </w:t>
      </w:r>
      <w:r w:rsidR="00016A27">
        <w:rPr>
          <w:b w:val="0"/>
          <w:szCs w:val="22"/>
        </w:rPr>
        <w:t>s</w:t>
      </w:r>
      <w:r w:rsidR="000C125C">
        <w:rPr>
          <w:b w:val="0"/>
          <w:szCs w:val="22"/>
        </w:rPr>
        <w:t xml:space="preserve">tatement </w:t>
      </w:r>
      <w:r w:rsidR="00A14040">
        <w:rPr>
          <w:b w:val="0"/>
          <w:szCs w:val="22"/>
        </w:rPr>
        <w:t>instructions</w:t>
      </w:r>
      <w:r w:rsidR="00A14040" w:rsidDel="000C125C">
        <w:rPr>
          <w:b w:val="0"/>
          <w:szCs w:val="22"/>
        </w:rPr>
        <w:t xml:space="preserve"> and</w:t>
      </w:r>
      <w:r w:rsidRPr="00C618AB" w:rsidDel="000C125C">
        <w:rPr>
          <w:b w:val="0"/>
          <w:szCs w:val="22"/>
        </w:rPr>
        <w:t xml:space="preserve"> </w:t>
      </w:r>
      <w:r w:rsidR="00016A27">
        <w:rPr>
          <w:b w:val="0"/>
          <w:szCs w:val="22"/>
        </w:rPr>
        <w:t xml:space="preserve">reporting </w:t>
      </w:r>
      <w:r w:rsidR="00B66DBF">
        <w:rPr>
          <w:b w:val="0"/>
          <w:szCs w:val="22"/>
        </w:rPr>
        <w:t>updates.</w:t>
      </w:r>
    </w:p>
    <w:p w14:paraId="23FE1DC0" w14:textId="77777777" w:rsidR="00E459EE" w:rsidRDefault="00E459EE" w:rsidP="00B92D5B">
      <w:pPr>
        <w:pStyle w:val="BodyText2"/>
        <w:rPr>
          <w:b w:val="0"/>
          <w:szCs w:val="22"/>
        </w:rPr>
      </w:pPr>
    </w:p>
    <w:p w14:paraId="32796C51" w14:textId="289AA4B0" w:rsidR="00E459EE" w:rsidRDefault="00357867" w:rsidP="00E459EE">
      <w:pPr>
        <w:pStyle w:val="BodyText2"/>
        <w:rPr>
          <w:b w:val="0"/>
          <w:szCs w:val="22"/>
        </w:rPr>
      </w:pPr>
      <w:r w:rsidRPr="00357867">
        <w:rPr>
          <w:b w:val="0"/>
          <w:szCs w:val="22"/>
        </w:rPr>
        <w:t>On September 29, 2023, NAIC received Interested Parties’ comment letter on the exposed revisions to SSAP No. 93 and 94R.  Interested Parties provided several comments on both SSAPs which are summarized below along with NAIC Staff responses (effective October 11, 2023).  The comments provided on SSAP No. 93 are below and have been summarized for brevity</w:t>
      </w:r>
      <w:r>
        <w:rPr>
          <w:b w:val="0"/>
          <w:szCs w:val="22"/>
        </w:rPr>
        <w:t xml:space="preserve"> and clarity</w:t>
      </w:r>
      <w:r w:rsidRPr="00357867">
        <w:rPr>
          <w:b w:val="0"/>
          <w:szCs w:val="22"/>
        </w:rPr>
        <w:t>:</w:t>
      </w:r>
    </w:p>
    <w:p w14:paraId="2E4209E9" w14:textId="77777777" w:rsidR="00CA21DC" w:rsidRDefault="00CA21DC" w:rsidP="00E459EE">
      <w:pPr>
        <w:pStyle w:val="BodyText2"/>
        <w:rPr>
          <w:b w:val="0"/>
          <w:szCs w:val="22"/>
        </w:rPr>
      </w:pPr>
    </w:p>
    <w:p w14:paraId="7CF61C87" w14:textId="3AF20FAE" w:rsidR="00CA21DC" w:rsidRPr="00286100" w:rsidRDefault="00CA21DC" w:rsidP="00CA21DC">
      <w:pPr>
        <w:pStyle w:val="1Listcontinue"/>
        <w:numPr>
          <w:ilvl w:val="1"/>
          <w:numId w:val="49"/>
        </w:numPr>
        <w:rPr>
          <w:highlight w:val="lightGray"/>
        </w:rPr>
      </w:pPr>
      <w:r w:rsidRPr="00286100">
        <w:rPr>
          <w:highlight w:val="lightGray"/>
        </w:rPr>
        <w:t xml:space="preserve">Interested Parties noted that SSAP 93 Paragraph 18 requires reporting entities to annually assess the future utilization of the unallocated tax credits associated with an entity’s ownership interest in a tax credit investment project to determine if the investment can be admitted.  However, Interested Parties suggest that this admittance criteria only be applicable to investments which do not </w:t>
      </w:r>
      <w:r w:rsidR="008031C3" w:rsidRPr="00286100">
        <w:rPr>
          <w:highlight w:val="lightGray"/>
        </w:rPr>
        <w:t>allocate</w:t>
      </w:r>
      <w:r w:rsidRPr="00286100">
        <w:rPr>
          <w:highlight w:val="lightGray"/>
        </w:rPr>
        <w:t xml:space="preserve"> transferable or refundable tax credit and if the reporting entity is contractually restricted from selling its ownership interest.  Additionally, Interested Parties suggest deleting paragraphs 18a and 18b as admissibility is adequately addressed through the impairment analysis required in paragraph 25; mainly that since both the tax credits and investment are saleable there is no</w:t>
      </w:r>
      <w:r w:rsidR="005A55B6">
        <w:rPr>
          <w:highlight w:val="lightGray"/>
        </w:rPr>
        <w:t>t a</w:t>
      </w:r>
      <w:r w:rsidRPr="00286100">
        <w:rPr>
          <w:highlight w:val="lightGray"/>
        </w:rPr>
        <w:t xml:space="preserve"> significant concern about the reporting entity’s ability to utilize these investments and their tax credit returns for policyholder liabilities.</w:t>
      </w:r>
    </w:p>
    <w:p w14:paraId="08B15AE3" w14:textId="2CABAE49" w:rsidR="00CA21DC" w:rsidRPr="006E4C72" w:rsidRDefault="00CA21DC" w:rsidP="00CA21DC">
      <w:pPr>
        <w:pStyle w:val="1Listcontinue"/>
        <w:numPr>
          <w:ilvl w:val="2"/>
          <w:numId w:val="49"/>
        </w:numPr>
      </w:pPr>
      <w:r w:rsidRPr="00626A8C">
        <w:rPr>
          <w:rFonts w:eastAsia="Calibri"/>
        </w:rPr>
        <w:t xml:space="preserve">NAIC staff noted that Interested </w:t>
      </w:r>
      <w:r>
        <w:rPr>
          <w:rFonts w:eastAsia="Calibri"/>
        </w:rPr>
        <w:t>P</w:t>
      </w:r>
      <w:r w:rsidRPr="00626A8C">
        <w:rPr>
          <w:rFonts w:eastAsia="Calibri"/>
        </w:rPr>
        <w:t xml:space="preserve">arties’ argument is twofold, first is that the usage of the investment fair value </w:t>
      </w:r>
      <w:r>
        <w:rPr>
          <w:rFonts w:eastAsia="Calibri"/>
        </w:rPr>
        <w:t xml:space="preserve">as a carve out in paragraphs 18a and 18b are confusing due to the requirement to test for impairment based on fair value.  NAIC staff amended paragraph 18a to clarify that the carve out allows for admittance of the fair value of </w:t>
      </w:r>
      <w:r w:rsidRPr="00755A34">
        <w:rPr>
          <w:rFonts w:eastAsia="Calibri"/>
          <w:u w:val="single"/>
        </w:rPr>
        <w:t>unallocated</w:t>
      </w:r>
      <w:r>
        <w:rPr>
          <w:rFonts w:eastAsia="Calibri"/>
        </w:rPr>
        <w:t xml:space="preserve"> transferable/certificated tax credits rather than the fair value of the tax credit investment.  The tax credit investment balance include</w:t>
      </w:r>
      <w:r w:rsidR="00CA08FA">
        <w:rPr>
          <w:rFonts w:eastAsia="Calibri"/>
        </w:rPr>
        <w:t>s</w:t>
      </w:r>
      <w:r>
        <w:rPr>
          <w:rFonts w:eastAsia="Calibri"/>
        </w:rPr>
        <w:t xml:space="preserve"> other tax benefits which cannot be sold apart from the investment ownership.  The intent of paragraph 18a is to allow a reporting entity to at least admit the fair value of the tax credits which can be sold, which is potentially higher than the </w:t>
      </w:r>
      <w:r w:rsidR="00CA08FA">
        <w:rPr>
          <w:rFonts w:eastAsia="Calibri"/>
        </w:rPr>
        <w:t xml:space="preserve">admitted </w:t>
      </w:r>
      <w:r>
        <w:rPr>
          <w:rFonts w:eastAsia="Calibri"/>
        </w:rPr>
        <w:t>amount calculated in paragraph 18.</w:t>
      </w:r>
    </w:p>
    <w:p w14:paraId="16F8630D" w14:textId="0D5A7169" w:rsidR="00CA21DC" w:rsidRPr="00AE08C2" w:rsidRDefault="00CA21DC" w:rsidP="00CA21DC">
      <w:pPr>
        <w:pStyle w:val="1Listcontinue"/>
        <w:numPr>
          <w:ilvl w:val="2"/>
          <w:numId w:val="49"/>
        </w:numPr>
      </w:pPr>
      <w:r>
        <w:t xml:space="preserve">The second part of Interested Parties’ argument is that since these investments may be sold, the admittance assessment of the reporting entity’s ability to utilize the tax credits is not needed unless the reporting entity contractually restricted from the selling the investment.  </w:t>
      </w:r>
      <w:r w:rsidR="00E3743D">
        <w:t>As part of this comment, it</w:t>
      </w:r>
      <w:r>
        <w:t xml:space="preserve"> was noted that these investments may be actively managed and </w:t>
      </w:r>
      <w:r w:rsidR="00E3743D">
        <w:t>are</w:t>
      </w:r>
      <w:r>
        <w:t xml:space="preserve"> readily s</w:t>
      </w:r>
      <w:r w:rsidR="00E3743D">
        <w:t>aleable</w:t>
      </w:r>
      <w:r>
        <w:t xml:space="preserve">.  NAIC staff noted that acquiring tax credit investments with the intent of re-sale puts an insurance company in a similar position as a syndicator in which tax credit investments are developed or acquired for the purpose of sale.   SSAP 93 was revised under the assumption that tax credit investments are acquired for the purpose of </w:t>
      </w:r>
      <w:r w:rsidRPr="00C10161">
        <w:t>obtain</w:t>
      </w:r>
      <w:r>
        <w:t>ing</w:t>
      </w:r>
      <w:r w:rsidRPr="00C10161">
        <w:t xml:space="preserve"> </w:t>
      </w:r>
      <w:r>
        <w:t xml:space="preserve">returns </w:t>
      </w:r>
      <w:r w:rsidRPr="00C10161">
        <w:t xml:space="preserve">through </w:t>
      </w:r>
      <w:r>
        <w:t xml:space="preserve">the receipt of </w:t>
      </w:r>
      <w:r w:rsidRPr="00C10161">
        <w:t>tax credits and other tax benefits</w:t>
      </w:r>
      <w:r>
        <w:t xml:space="preserve"> rather than through the sale of the tax credit investment.  NAIC staff does not believe the paragraph 18 admittance criteria should be amended to provide a carve out for actively managed tax credit investments as it is not feasible to delineate between tax credit investments purchased for sale vs. purchased for generation of tax benefits without introducing some kind of available-for-sale and held-to-maturity framework which is not compatible with statutory accounting concepts.  NAIC staff noted that restrictions which prevent investors from selling their ownership represent a minority of tax credit programs. As such, limiting the scope of paragraph 18 to only tax credit investments which cannot be sold would </w:t>
      </w:r>
      <w:r>
        <w:lastRenderedPageBreak/>
        <w:t xml:space="preserve">effectively carve out </w:t>
      </w:r>
      <w:proofErr w:type="gramStart"/>
      <w:r>
        <w:t>the majority of</w:t>
      </w:r>
      <w:proofErr w:type="gramEnd"/>
      <w:r>
        <w:t xml:space="preserve"> tax credit investment structures from its scope.  Additionally, the assertion </w:t>
      </w:r>
      <w:r w:rsidRPr="00D37215">
        <w:t>that the</w:t>
      </w:r>
      <w:r>
        <w:t xml:space="preserve">se investments are readily saleable does not change the fact that the balance sheet value of a tax credit investment is predicated on the assumption that the company can use the </w:t>
      </w:r>
      <w:r w:rsidRPr="00D37215">
        <w:t xml:space="preserve">tax credits </w:t>
      </w:r>
      <w:r>
        <w:t xml:space="preserve">and benefits and if they company cannot use these tax credits then the investment returns have no value.  Until the investment has been sold, its ability to satisfy future policyholder obligations is beholden to the company’s ability to utilize the generated tax credits and benefits.  </w:t>
      </w:r>
      <w:r w:rsidRPr="00D6245F">
        <w:rPr>
          <w:rFonts w:eastAsia="Calibri"/>
        </w:rPr>
        <w:t xml:space="preserve">Interested Parties noted that there are other investments which do not have as stringent admittance criteria as have been proposed in paragraph 18.  NAIC staff note that other investments </w:t>
      </w:r>
      <w:r>
        <w:rPr>
          <w:rFonts w:eastAsia="Calibri"/>
        </w:rPr>
        <w:t>generate returns primarily through</w:t>
      </w:r>
      <w:r w:rsidRPr="00D6245F">
        <w:rPr>
          <w:rFonts w:eastAsia="Calibri"/>
        </w:rPr>
        <w:t xml:space="preserve"> the </w:t>
      </w:r>
      <w:r>
        <w:rPr>
          <w:rFonts w:eastAsia="Calibri"/>
        </w:rPr>
        <w:t>receipt</w:t>
      </w:r>
      <w:r w:rsidRPr="00D6245F">
        <w:rPr>
          <w:rFonts w:eastAsia="Calibri"/>
        </w:rPr>
        <w:t xml:space="preserve"> of fungible cash income or</w:t>
      </w:r>
      <w:r>
        <w:rPr>
          <w:rFonts w:eastAsia="Calibri"/>
        </w:rPr>
        <w:t xml:space="preserve"> by providing a claim to the entity’s </w:t>
      </w:r>
      <w:r w:rsidRPr="00D6245F">
        <w:rPr>
          <w:rFonts w:eastAsia="Calibri"/>
        </w:rPr>
        <w:t>earnings and assets</w:t>
      </w:r>
      <w:r>
        <w:rPr>
          <w:rFonts w:eastAsia="Calibri"/>
        </w:rPr>
        <w:t xml:space="preserve"> </w:t>
      </w:r>
      <w:r w:rsidRPr="00D6245F">
        <w:rPr>
          <w:rFonts w:eastAsia="Calibri"/>
        </w:rPr>
        <w:t>(bonds,</w:t>
      </w:r>
      <w:r>
        <w:rPr>
          <w:rFonts w:eastAsia="Calibri"/>
        </w:rPr>
        <w:t xml:space="preserve"> stocks,</w:t>
      </w:r>
      <w:r w:rsidRPr="00D6245F">
        <w:rPr>
          <w:rFonts w:eastAsia="Calibri"/>
        </w:rPr>
        <w:t xml:space="preserve"> joint ventures, </w:t>
      </w:r>
      <w:proofErr w:type="gramStart"/>
      <w:r w:rsidRPr="00D6245F">
        <w:rPr>
          <w:rFonts w:eastAsia="Calibri"/>
        </w:rPr>
        <w:t>partnerships</w:t>
      </w:r>
      <w:proofErr w:type="gramEnd"/>
      <w:r w:rsidRPr="00D6245F">
        <w:rPr>
          <w:rFonts w:eastAsia="Calibri"/>
        </w:rPr>
        <w:t xml:space="preserve"> and LLCs).</w:t>
      </w:r>
      <w:r>
        <w:rPr>
          <w:rFonts w:eastAsia="Calibri"/>
        </w:rPr>
        <w:t xml:space="preserve">  In comparison, the main purpose of a tax credit investment is to provide returns in the form of</w:t>
      </w:r>
      <w:r w:rsidRPr="00303E68">
        <w:rPr>
          <w:rFonts w:eastAsia="Calibri"/>
        </w:rPr>
        <w:t xml:space="preserve"> tax credits and other tax benefits</w:t>
      </w:r>
      <w:r>
        <w:rPr>
          <w:rFonts w:eastAsia="Calibri"/>
        </w:rPr>
        <w:t>, and this purpose is further borne out by the commonly used partnership flip structure for tax credit investments and that once the tax credits have been fully allocated the residual value of a tax credit investment is typically nominal.</w:t>
      </w:r>
    </w:p>
    <w:p w14:paraId="0A2D8DE3" w14:textId="4A4A9450" w:rsidR="00AE08C2" w:rsidRPr="00626A8C" w:rsidRDefault="00086A20" w:rsidP="00CA21DC">
      <w:pPr>
        <w:pStyle w:val="1Listcontinue"/>
        <w:numPr>
          <w:ilvl w:val="2"/>
          <w:numId w:val="49"/>
        </w:numPr>
      </w:pPr>
      <w:r>
        <w:rPr>
          <w:rFonts w:eastAsia="Calibri"/>
        </w:rPr>
        <w:t>Additionally, the</w:t>
      </w:r>
      <w:r w:rsidR="00615743">
        <w:rPr>
          <w:rFonts w:eastAsia="Calibri"/>
        </w:rPr>
        <w:t xml:space="preserve"> requirement to assess </w:t>
      </w:r>
      <w:r w:rsidR="00B3612C">
        <w:rPr>
          <w:rFonts w:eastAsia="Calibri"/>
        </w:rPr>
        <w:t>tax credit</w:t>
      </w:r>
      <w:r w:rsidR="00615743">
        <w:rPr>
          <w:rFonts w:eastAsia="Calibri"/>
        </w:rPr>
        <w:t xml:space="preserve"> investment</w:t>
      </w:r>
      <w:r w:rsidR="00B3612C">
        <w:rPr>
          <w:rFonts w:eastAsia="Calibri"/>
        </w:rPr>
        <w:t>s</w:t>
      </w:r>
      <w:r w:rsidR="00615743">
        <w:rPr>
          <w:rFonts w:eastAsia="Calibri"/>
        </w:rPr>
        <w:t xml:space="preserve"> by looking at the company’s ability to realize future tax credits is not </w:t>
      </w:r>
      <w:r w:rsidR="00F63E76">
        <w:rPr>
          <w:rFonts w:eastAsia="Calibri"/>
        </w:rPr>
        <w:t xml:space="preserve">a </w:t>
      </w:r>
      <w:r w:rsidR="00615743">
        <w:rPr>
          <w:rFonts w:eastAsia="Calibri"/>
        </w:rPr>
        <w:t xml:space="preserve">new </w:t>
      </w:r>
      <w:r w:rsidR="00F63E76">
        <w:rPr>
          <w:rFonts w:eastAsia="Calibri"/>
        </w:rPr>
        <w:t>concept</w:t>
      </w:r>
      <w:r w:rsidR="00615743">
        <w:rPr>
          <w:rFonts w:eastAsia="Calibri"/>
        </w:rPr>
        <w:t xml:space="preserve">.  </w:t>
      </w:r>
      <w:r w:rsidR="00307A41">
        <w:rPr>
          <w:rFonts w:eastAsia="Calibri"/>
        </w:rPr>
        <w:t>Under existing</w:t>
      </w:r>
      <w:r w:rsidR="00341569">
        <w:rPr>
          <w:rFonts w:eastAsia="Calibri"/>
        </w:rPr>
        <w:t xml:space="preserve"> </w:t>
      </w:r>
      <w:r w:rsidR="00F63E76">
        <w:rPr>
          <w:rFonts w:eastAsia="Calibri"/>
        </w:rPr>
        <w:t>OTTI</w:t>
      </w:r>
      <w:r w:rsidR="00307A41">
        <w:rPr>
          <w:rFonts w:eastAsia="Calibri"/>
        </w:rPr>
        <w:t xml:space="preserve"> guidance</w:t>
      </w:r>
      <w:r w:rsidR="009931E1">
        <w:rPr>
          <w:rFonts w:eastAsia="Calibri"/>
        </w:rPr>
        <w:t xml:space="preserve"> </w:t>
      </w:r>
      <w:r w:rsidR="00866EE7">
        <w:rPr>
          <w:rFonts w:eastAsia="Calibri"/>
        </w:rPr>
        <w:t xml:space="preserve">companies are required </w:t>
      </w:r>
      <w:r w:rsidR="002A0106">
        <w:rPr>
          <w:rFonts w:eastAsia="Calibri"/>
        </w:rPr>
        <w:t xml:space="preserve">to </w:t>
      </w:r>
      <w:r w:rsidR="00B3612C">
        <w:rPr>
          <w:rFonts w:eastAsia="Calibri"/>
        </w:rPr>
        <w:t>record OTTI if the company determines</w:t>
      </w:r>
      <w:r w:rsidR="009549F8">
        <w:rPr>
          <w:rFonts w:eastAsia="Calibri"/>
        </w:rPr>
        <w:t xml:space="preserve"> it is </w:t>
      </w:r>
      <w:r w:rsidR="00CA6054" w:rsidRPr="00CA6054">
        <w:rPr>
          <w:rFonts w:eastAsia="Calibri"/>
        </w:rPr>
        <w:t>probable that future tax benefits will not be received as expecte</w:t>
      </w:r>
      <w:r w:rsidR="00CA6054">
        <w:rPr>
          <w:rFonts w:eastAsia="Calibri"/>
        </w:rPr>
        <w:t>d</w:t>
      </w:r>
      <w:r w:rsidR="00340CB4">
        <w:rPr>
          <w:rFonts w:eastAsia="Calibri"/>
        </w:rPr>
        <w:t xml:space="preserve"> (SSAP No. 93 paragraph 17, sentence 1)</w:t>
      </w:r>
      <w:r w:rsidR="00A22DC0">
        <w:rPr>
          <w:rFonts w:eastAsia="Calibri"/>
        </w:rPr>
        <w:t xml:space="preserve">.  </w:t>
      </w:r>
      <w:r w:rsidR="009931E1">
        <w:rPr>
          <w:rFonts w:eastAsia="Calibri"/>
        </w:rPr>
        <w:t xml:space="preserve">Per SSAP No. 93 paragraph 17, </w:t>
      </w:r>
      <w:r w:rsidR="00D36F0A">
        <w:rPr>
          <w:rFonts w:eastAsia="Calibri"/>
        </w:rPr>
        <w:t xml:space="preserve">to determine </w:t>
      </w:r>
      <w:r w:rsidR="00A01B5B">
        <w:rPr>
          <w:rFonts w:eastAsia="Calibri"/>
        </w:rPr>
        <w:t xml:space="preserve">if OTTI has </w:t>
      </w:r>
      <w:r w:rsidR="00D5353F">
        <w:rPr>
          <w:rFonts w:eastAsia="Calibri"/>
        </w:rPr>
        <w:t>occurred</w:t>
      </w:r>
      <w:r w:rsidR="00D36F0A">
        <w:rPr>
          <w:rFonts w:eastAsia="Calibri"/>
        </w:rPr>
        <w:t xml:space="preserve"> companies </w:t>
      </w:r>
      <w:r w:rsidR="001F5847">
        <w:rPr>
          <w:rFonts w:eastAsia="Calibri"/>
        </w:rPr>
        <w:t>are required to assess</w:t>
      </w:r>
      <w:r w:rsidR="00D162E2">
        <w:rPr>
          <w:rFonts w:eastAsia="Calibri"/>
        </w:rPr>
        <w:t xml:space="preserve"> </w:t>
      </w:r>
      <w:r w:rsidR="00910BFE">
        <w:rPr>
          <w:rFonts w:eastAsia="Calibri"/>
        </w:rPr>
        <w:t>whether the investment will continue to issue the tax credits as anticipated</w:t>
      </w:r>
      <w:r w:rsidR="00A75DBC">
        <w:rPr>
          <w:rFonts w:eastAsia="Calibri"/>
        </w:rPr>
        <w:t xml:space="preserve"> (see sentence 5)</w:t>
      </w:r>
      <w:r w:rsidR="00910BFE">
        <w:rPr>
          <w:rFonts w:eastAsia="Calibri"/>
        </w:rPr>
        <w:t xml:space="preserve"> AND whether the company will be able to </w:t>
      </w:r>
      <w:r w:rsidR="0073709F">
        <w:rPr>
          <w:rFonts w:eastAsia="Calibri"/>
        </w:rPr>
        <w:t>realize/utilize the future tax benefits to be received (see s</w:t>
      </w:r>
      <w:r w:rsidR="00E74321">
        <w:rPr>
          <w:rFonts w:eastAsia="Calibri"/>
        </w:rPr>
        <w:t>entences 2 and 3</w:t>
      </w:r>
      <w:r w:rsidR="0073709F">
        <w:rPr>
          <w:rFonts w:eastAsia="Calibri"/>
        </w:rPr>
        <w:t xml:space="preserve">).  </w:t>
      </w:r>
      <w:r w:rsidR="00724603">
        <w:rPr>
          <w:rFonts w:eastAsia="Calibri"/>
        </w:rPr>
        <w:t>As part of the re-write of SSAP No. 93</w:t>
      </w:r>
      <w:r w:rsidR="000E2465">
        <w:rPr>
          <w:rFonts w:eastAsia="Calibri"/>
        </w:rPr>
        <w:t xml:space="preserve"> </w:t>
      </w:r>
      <w:r w:rsidR="00724603">
        <w:rPr>
          <w:rFonts w:eastAsia="Calibri"/>
        </w:rPr>
        <w:t xml:space="preserve">Staff moved the requirement to </w:t>
      </w:r>
      <w:r w:rsidR="0093065F">
        <w:rPr>
          <w:rFonts w:eastAsia="Calibri"/>
        </w:rPr>
        <w:t xml:space="preserve">assess the company’s ability to utilize future tax credits out of impairment to admissibility.  As currently revised, the impairment </w:t>
      </w:r>
      <w:r w:rsidR="00CA79DA">
        <w:rPr>
          <w:rFonts w:eastAsia="Calibri"/>
        </w:rPr>
        <w:t>test specifically addresses the f</w:t>
      </w:r>
      <w:r w:rsidR="00CA79DA" w:rsidRPr="00CA79DA">
        <w:rPr>
          <w:rFonts w:eastAsia="Calibri"/>
        </w:rPr>
        <w:t xml:space="preserve">unctionality of the </w:t>
      </w:r>
      <w:r w:rsidR="00CA79DA">
        <w:rPr>
          <w:rFonts w:eastAsia="Calibri"/>
        </w:rPr>
        <w:t>i</w:t>
      </w:r>
      <w:r w:rsidR="00CA79DA" w:rsidRPr="00CA79DA">
        <w:rPr>
          <w:rFonts w:eastAsia="Calibri"/>
        </w:rPr>
        <w:t>nvestment</w:t>
      </w:r>
      <w:r w:rsidR="00CA79DA">
        <w:rPr>
          <w:rFonts w:eastAsia="Calibri"/>
        </w:rPr>
        <w:t xml:space="preserve"> whereas the paragraph 18 admittance test specifically addresses the</w:t>
      </w:r>
      <w:r w:rsidR="00A22DC0">
        <w:rPr>
          <w:rFonts w:eastAsia="Calibri"/>
        </w:rPr>
        <w:t xml:space="preserve"> ability of the company to realize/utilize the </w:t>
      </w:r>
      <w:r w:rsidR="00A60370">
        <w:rPr>
          <w:rFonts w:eastAsia="Calibri"/>
        </w:rPr>
        <w:t>future tax benefits</w:t>
      </w:r>
      <w:r w:rsidR="00311A87">
        <w:rPr>
          <w:rFonts w:eastAsia="Calibri"/>
        </w:rPr>
        <w:t>.</w:t>
      </w:r>
      <w:r w:rsidR="009D5985">
        <w:rPr>
          <w:rFonts w:eastAsia="Calibri"/>
        </w:rPr>
        <w:t xml:space="preserve">  This </w:t>
      </w:r>
      <w:r w:rsidR="009F6F1A">
        <w:rPr>
          <w:rFonts w:eastAsia="Calibri"/>
        </w:rPr>
        <w:t xml:space="preserve">change </w:t>
      </w:r>
      <w:r w:rsidR="008D1DB2">
        <w:rPr>
          <w:rFonts w:eastAsia="Calibri"/>
        </w:rPr>
        <w:t>intended to</w:t>
      </w:r>
      <w:r w:rsidR="009D5985">
        <w:rPr>
          <w:rFonts w:eastAsia="Calibri"/>
        </w:rPr>
        <w:t xml:space="preserve"> simpl</w:t>
      </w:r>
      <w:r w:rsidR="00073571">
        <w:rPr>
          <w:rFonts w:eastAsia="Calibri"/>
        </w:rPr>
        <w:t>ify</w:t>
      </w:r>
      <w:r w:rsidR="009D5985">
        <w:rPr>
          <w:rFonts w:eastAsia="Calibri"/>
        </w:rPr>
        <w:t xml:space="preserve"> the </w:t>
      </w:r>
      <w:r w:rsidR="00BD01B8">
        <w:rPr>
          <w:rFonts w:eastAsia="Calibri"/>
        </w:rPr>
        <w:t xml:space="preserve">impairment </w:t>
      </w:r>
      <w:r w:rsidR="009D5985">
        <w:rPr>
          <w:rFonts w:eastAsia="Calibri"/>
        </w:rPr>
        <w:t>analysis</w:t>
      </w:r>
      <w:r w:rsidR="005321AC">
        <w:rPr>
          <w:rFonts w:eastAsia="Calibri"/>
        </w:rPr>
        <w:t xml:space="preserve"> by focusing on investment functionality</w:t>
      </w:r>
      <w:r w:rsidR="009D5985">
        <w:rPr>
          <w:rFonts w:eastAsia="Calibri"/>
        </w:rPr>
        <w:t xml:space="preserve">, but </w:t>
      </w:r>
      <w:r w:rsidR="00BD01B8">
        <w:rPr>
          <w:rFonts w:eastAsia="Calibri"/>
        </w:rPr>
        <w:t xml:space="preserve">also because </w:t>
      </w:r>
      <w:r w:rsidR="00FA4D22">
        <w:rPr>
          <w:rFonts w:eastAsia="Calibri"/>
        </w:rPr>
        <w:t xml:space="preserve">Staff felt </w:t>
      </w:r>
      <w:r w:rsidR="00BD01B8">
        <w:rPr>
          <w:rFonts w:eastAsia="Calibri"/>
        </w:rPr>
        <w:t>th</w:t>
      </w:r>
      <w:r w:rsidR="0004377B">
        <w:rPr>
          <w:rFonts w:eastAsia="Calibri"/>
        </w:rPr>
        <w:t>at the</w:t>
      </w:r>
      <w:r w:rsidR="00BD01B8">
        <w:rPr>
          <w:rFonts w:eastAsia="Calibri"/>
        </w:rPr>
        <w:t xml:space="preserve"> company’s ability to utilize</w:t>
      </w:r>
      <w:r w:rsidR="00125769">
        <w:rPr>
          <w:rFonts w:eastAsia="Calibri"/>
        </w:rPr>
        <w:t>/realize</w:t>
      </w:r>
      <w:r w:rsidR="00BD01B8">
        <w:rPr>
          <w:rFonts w:eastAsia="Calibri"/>
        </w:rPr>
        <w:t xml:space="preserve"> future tax benefits</w:t>
      </w:r>
      <w:r w:rsidR="00B67F39">
        <w:rPr>
          <w:rFonts w:eastAsia="Calibri"/>
        </w:rPr>
        <w:t xml:space="preserve"> </w:t>
      </w:r>
      <w:r w:rsidR="00780498">
        <w:rPr>
          <w:rFonts w:eastAsia="Calibri"/>
        </w:rPr>
        <w:t>was</w:t>
      </w:r>
      <w:r w:rsidR="0022220D">
        <w:rPr>
          <w:rFonts w:eastAsia="Calibri"/>
        </w:rPr>
        <w:t xml:space="preserve"> more accurately characterized as an admittance concern rather than </w:t>
      </w:r>
      <w:r w:rsidR="00125769">
        <w:rPr>
          <w:rFonts w:eastAsia="Calibri"/>
        </w:rPr>
        <w:t xml:space="preserve">an </w:t>
      </w:r>
      <w:r w:rsidR="0022220D">
        <w:rPr>
          <w:rFonts w:eastAsia="Calibri"/>
        </w:rPr>
        <w:t xml:space="preserve">impairment of the investment </w:t>
      </w:r>
      <w:r w:rsidR="00780498">
        <w:rPr>
          <w:rFonts w:eastAsia="Calibri"/>
        </w:rPr>
        <w:t>itself</w:t>
      </w:r>
      <w:r w:rsidR="0022220D">
        <w:rPr>
          <w:rFonts w:eastAsia="Calibri"/>
        </w:rPr>
        <w:t>.</w:t>
      </w:r>
    </w:p>
    <w:p w14:paraId="51FCA01F" w14:textId="743D0EDB" w:rsidR="00CA21DC" w:rsidRPr="00286100" w:rsidRDefault="00CA21DC" w:rsidP="00CA21DC">
      <w:pPr>
        <w:pStyle w:val="1Listcontinue"/>
        <w:numPr>
          <w:ilvl w:val="1"/>
          <w:numId w:val="49"/>
        </w:numPr>
        <w:rPr>
          <w:highlight w:val="lightGray"/>
        </w:rPr>
      </w:pPr>
      <w:r w:rsidRPr="00286100">
        <w:rPr>
          <w:highlight w:val="lightGray"/>
        </w:rPr>
        <w:t xml:space="preserve">Interested Parties suggested </w:t>
      </w:r>
      <w:proofErr w:type="gramStart"/>
      <w:r w:rsidRPr="00286100">
        <w:rPr>
          <w:highlight w:val="lightGray"/>
        </w:rPr>
        <w:t>a number of</w:t>
      </w:r>
      <w:proofErr w:type="gramEnd"/>
      <w:r w:rsidRPr="00286100">
        <w:rPr>
          <w:highlight w:val="lightGray"/>
        </w:rPr>
        <w:t xml:space="preserve"> editorial changes to </w:t>
      </w:r>
      <w:r w:rsidR="00FA12C3">
        <w:rPr>
          <w:highlight w:val="lightGray"/>
        </w:rPr>
        <w:t>a</w:t>
      </w:r>
      <w:r w:rsidRPr="00286100">
        <w:rPr>
          <w:highlight w:val="lightGray"/>
        </w:rPr>
        <w:t xml:space="preserve">ffect clearer guidance in paragraphs 18 and 18a.  These included clarifying that the paragraph 18 assessment of unallocated tax credit utilization should be performed over the life of the tax credits rather than the life of the investments, including its carryforward periods.  Interested Parties also suggested clarifying in paragraph 18 that </w:t>
      </w:r>
      <w:r w:rsidRPr="00286100">
        <w:rPr>
          <w:rFonts w:eastAsia="Calibri"/>
          <w:highlight w:val="lightGray"/>
        </w:rPr>
        <w:t xml:space="preserve">tax planning strategies are to be used when assessing the utilization of unallocated tax credits, </w:t>
      </w:r>
      <w:proofErr w:type="gramStart"/>
      <w:r w:rsidRPr="00286100">
        <w:rPr>
          <w:rFonts w:eastAsia="Calibri"/>
          <w:highlight w:val="lightGray"/>
        </w:rPr>
        <w:t>similar to</w:t>
      </w:r>
      <w:proofErr w:type="gramEnd"/>
      <w:r w:rsidRPr="00286100">
        <w:rPr>
          <w:rFonts w:eastAsia="Calibri"/>
          <w:highlight w:val="lightGray"/>
        </w:rPr>
        <w:t xml:space="preserve"> the valuation allowance requirements under SSAP No. 101.  In paragraph 18a Interested Parties suggested removing the sentence detailing what to do if fair value is not non-determinable.</w:t>
      </w:r>
    </w:p>
    <w:p w14:paraId="63979A27" w14:textId="77777777" w:rsidR="00CA21DC" w:rsidRPr="00DB4107" w:rsidRDefault="00CA21DC" w:rsidP="00CA21DC">
      <w:pPr>
        <w:pStyle w:val="1Listcontinue"/>
        <w:numPr>
          <w:ilvl w:val="2"/>
          <w:numId w:val="49"/>
        </w:numPr>
      </w:pPr>
      <w:r>
        <w:rPr>
          <w:rFonts w:eastAsia="Calibri"/>
        </w:rPr>
        <w:t>NAIC staff agreed with substantially all the editorial clarifications suggested by Interested Parties and updated accordingly.</w:t>
      </w:r>
    </w:p>
    <w:p w14:paraId="4A01C2A7" w14:textId="77777777" w:rsidR="00CA21DC" w:rsidRPr="00286100" w:rsidRDefault="00CA21DC" w:rsidP="00CA21DC">
      <w:pPr>
        <w:pStyle w:val="1Listcontinue"/>
        <w:numPr>
          <w:ilvl w:val="1"/>
          <w:numId w:val="49"/>
        </w:numPr>
        <w:rPr>
          <w:highlight w:val="lightGray"/>
        </w:rPr>
      </w:pPr>
      <w:r w:rsidRPr="00286100">
        <w:rPr>
          <w:rFonts w:eastAsia="Calibri"/>
          <w:highlight w:val="lightGray"/>
        </w:rPr>
        <w:t>Interested Parties suggested adding a definitions section to the guidance regarding the following terminology:</w:t>
      </w:r>
    </w:p>
    <w:p w14:paraId="40955D81" w14:textId="77777777" w:rsidR="00CA21DC" w:rsidRPr="00286100" w:rsidRDefault="00CA21DC" w:rsidP="00CA21DC">
      <w:pPr>
        <w:pStyle w:val="1Listcontinue"/>
        <w:numPr>
          <w:ilvl w:val="0"/>
          <w:numId w:val="0"/>
        </w:numPr>
        <w:ind w:left="1080"/>
        <w:rPr>
          <w:highlight w:val="lightGray"/>
        </w:rPr>
      </w:pPr>
      <w:r w:rsidRPr="00286100">
        <w:rPr>
          <w:highlight w:val="lightGray"/>
          <w:u w:val="single"/>
        </w:rPr>
        <w:t>“</w:t>
      </w:r>
      <w:proofErr w:type="gramStart"/>
      <w:r w:rsidRPr="00286100">
        <w:rPr>
          <w:highlight w:val="lightGray"/>
          <w:u w:val="single"/>
        </w:rPr>
        <w:t>unallocated</w:t>
      </w:r>
      <w:proofErr w:type="gramEnd"/>
      <w:r w:rsidRPr="00286100">
        <w:rPr>
          <w:highlight w:val="lightGray"/>
          <w:u w:val="single"/>
        </w:rPr>
        <w:t xml:space="preserve"> tax credits”</w:t>
      </w:r>
      <w:r w:rsidRPr="00286100">
        <w:rPr>
          <w:highlight w:val="lightGray"/>
        </w:rPr>
        <w:t xml:space="preserve"> - the portion of tax credits expected to be earned and allocated to the reporting entity through the investment structure.   </w:t>
      </w:r>
    </w:p>
    <w:p w14:paraId="3D30F9BA" w14:textId="77777777" w:rsidR="00CA21DC" w:rsidRDefault="00CA21DC" w:rsidP="00CA21DC">
      <w:pPr>
        <w:pStyle w:val="1Listcontinue"/>
        <w:numPr>
          <w:ilvl w:val="0"/>
          <w:numId w:val="0"/>
        </w:numPr>
        <w:ind w:left="1080"/>
      </w:pPr>
      <w:r w:rsidRPr="00286100">
        <w:rPr>
          <w:highlight w:val="lightGray"/>
          <w:u w:val="single"/>
        </w:rPr>
        <w:t>“</w:t>
      </w:r>
      <w:proofErr w:type="gramStart"/>
      <w:r w:rsidRPr="00286100">
        <w:rPr>
          <w:highlight w:val="lightGray"/>
          <w:u w:val="single"/>
        </w:rPr>
        <w:t>current</w:t>
      </w:r>
      <w:proofErr w:type="gramEnd"/>
      <w:r w:rsidRPr="00286100">
        <w:rPr>
          <w:highlight w:val="lightGray"/>
          <w:u w:val="single"/>
        </w:rPr>
        <w:t xml:space="preserve"> portion”</w:t>
      </w:r>
      <w:r w:rsidRPr="00286100">
        <w:rPr>
          <w:highlight w:val="lightGray"/>
        </w:rPr>
        <w:t xml:space="preserve"> - the credits to be allocated within one year of the reporting period.</w:t>
      </w:r>
    </w:p>
    <w:p w14:paraId="1AE92293" w14:textId="77777777" w:rsidR="00CA21DC" w:rsidRPr="00DB4107" w:rsidRDefault="00CA21DC" w:rsidP="00CA21DC">
      <w:pPr>
        <w:pStyle w:val="1Listcontinue"/>
        <w:numPr>
          <w:ilvl w:val="2"/>
          <w:numId w:val="49"/>
        </w:numPr>
      </w:pPr>
      <w:r>
        <w:rPr>
          <w:rFonts w:eastAsia="Calibri"/>
        </w:rPr>
        <w:lastRenderedPageBreak/>
        <w:t>NAIC staff agreed with the suggestion by Interested Parties to add definitions and updated accordingly with some minor modifications.  NAIC staff also added some additional definitions to provide clarifications on other terms used in SSAP 93.</w:t>
      </w:r>
    </w:p>
    <w:p w14:paraId="7CE0183F" w14:textId="77777777" w:rsidR="00CA21DC" w:rsidRPr="00286100" w:rsidRDefault="00CA21DC" w:rsidP="00CA21DC">
      <w:pPr>
        <w:pStyle w:val="1Listcontinue"/>
        <w:numPr>
          <w:ilvl w:val="1"/>
          <w:numId w:val="49"/>
        </w:numPr>
        <w:rPr>
          <w:highlight w:val="lightGray"/>
        </w:rPr>
      </w:pPr>
      <w:r w:rsidRPr="00286100">
        <w:rPr>
          <w:highlight w:val="lightGray"/>
        </w:rPr>
        <w:t>Interested Parties suggested that the new SSAP 93 be applied prospectively effective 1/1/2025, but no early adoption.</w:t>
      </w:r>
    </w:p>
    <w:p w14:paraId="3C0F2797" w14:textId="77777777" w:rsidR="00CA21DC" w:rsidRDefault="00CA21DC" w:rsidP="00CA21DC">
      <w:pPr>
        <w:pStyle w:val="1Listcontinue"/>
        <w:numPr>
          <w:ilvl w:val="2"/>
          <w:numId w:val="49"/>
        </w:numPr>
      </w:pPr>
      <w:r>
        <w:rPr>
          <w:rFonts w:eastAsia="Calibri"/>
        </w:rPr>
        <w:t>NAIC staff agreed with the changes suggested by Interested Parties and updated accordingly.</w:t>
      </w:r>
    </w:p>
    <w:p w14:paraId="2C6EABB1" w14:textId="77777777" w:rsidR="00CA21DC" w:rsidRDefault="00CA21DC" w:rsidP="00CA21DC">
      <w:pPr>
        <w:pStyle w:val="1Listcontinue"/>
        <w:numPr>
          <w:ilvl w:val="0"/>
          <w:numId w:val="0"/>
        </w:numPr>
      </w:pPr>
      <w:r>
        <w:t>The comments provided on SSAP No. 94R are below and have been summarized for brevity:</w:t>
      </w:r>
    </w:p>
    <w:p w14:paraId="2CBD64FE" w14:textId="77777777" w:rsidR="00CA21DC" w:rsidRPr="00286100" w:rsidRDefault="00CA21DC" w:rsidP="00CA21DC">
      <w:pPr>
        <w:pStyle w:val="1Listcontinue"/>
        <w:numPr>
          <w:ilvl w:val="1"/>
          <w:numId w:val="49"/>
        </w:numPr>
        <w:rPr>
          <w:highlight w:val="lightGray"/>
        </w:rPr>
      </w:pPr>
      <w:r w:rsidRPr="00286100">
        <w:rPr>
          <w:highlight w:val="lightGray"/>
        </w:rPr>
        <w:t>Interested parties suggested that the revised SSAP 94R also be applied prospectively effective 1/1/2025 with early adoption permitted.  Additionally, Interested Parties suggested a clarification of the scope of SSAP 94R by adding the following language to paragraph 1:</w:t>
      </w:r>
    </w:p>
    <w:p w14:paraId="78D826E2" w14:textId="77777777" w:rsidR="00CA21DC" w:rsidRPr="004B1534" w:rsidRDefault="00CA21DC" w:rsidP="00CA21DC">
      <w:pPr>
        <w:pStyle w:val="1Listcontinue"/>
        <w:numPr>
          <w:ilvl w:val="0"/>
          <w:numId w:val="0"/>
        </w:numPr>
        <w:ind w:left="1080"/>
        <w:rPr>
          <w:rFonts w:eastAsia="Calibri"/>
        </w:rPr>
      </w:pPr>
      <w:r w:rsidRPr="00286100">
        <w:rPr>
          <w:rFonts w:eastAsiaTheme="minorHAnsi"/>
          <w:highlight w:val="lightGray"/>
        </w:rPr>
        <w:t xml:space="preserve">“This statement establishes statutory accounting principles for state and federal tax </w:t>
      </w:r>
      <w:r w:rsidRPr="00286100">
        <w:rPr>
          <w:rFonts w:eastAsiaTheme="minorHAnsi"/>
          <w:color w:val="000000" w:themeColor="text1"/>
          <w:highlight w:val="lightGray"/>
        </w:rPr>
        <w:t xml:space="preserve">credits that are purchased by the reporting entity without being </w:t>
      </w:r>
      <w:proofErr w:type="gramStart"/>
      <w:r w:rsidRPr="00286100">
        <w:rPr>
          <w:rFonts w:eastAsiaTheme="minorHAnsi"/>
          <w:color w:val="000000" w:themeColor="text1"/>
          <w:highlight w:val="lightGray"/>
        </w:rPr>
        <w:t>a</w:t>
      </w:r>
      <w:r w:rsidRPr="00286100">
        <w:rPr>
          <w:rFonts w:eastAsiaTheme="minorHAnsi"/>
          <w:strike/>
          <w:color w:val="000000" w:themeColor="text1"/>
          <w:highlight w:val="lightGray"/>
        </w:rPr>
        <w:t>n</w:t>
      </w:r>
      <w:proofErr w:type="gramEnd"/>
      <w:r w:rsidRPr="00286100">
        <w:rPr>
          <w:rFonts w:eastAsiaTheme="minorHAnsi"/>
          <w:color w:val="000000" w:themeColor="text1"/>
          <w:highlight w:val="lightGray"/>
        </w:rPr>
        <w:t xml:space="preserve"> </w:t>
      </w:r>
      <w:r w:rsidRPr="00286100">
        <w:rPr>
          <w:rFonts w:eastAsiaTheme="minorHAnsi"/>
          <w:color w:val="000000" w:themeColor="text1"/>
          <w:highlight w:val="lightGray"/>
          <w:u w:val="single"/>
        </w:rPr>
        <w:t>bond or equity</w:t>
      </w:r>
      <w:r w:rsidRPr="00286100">
        <w:rPr>
          <w:rFonts w:eastAsiaTheme="minorHAnsi"/>
          <w:color w:val="000000" w:themeColor="text1"/>
          <w:highlight w:val="lightGray"/>
        </w:rPr>
        <w:t xml:space="preserve"> </w:t>
      </w:r>
      <w:r w:rsidRPr="00286100">
        <w:rPr>
          <w:rFonts w:eastAsiaTheme="minorHAnsi"/>
          <w:highlight w:val="lightGray"/>
        </w:rPr>
        <w:t>investor in the entity from which the tax credit were purchased.”</w:t>
      </w:r>
    </w:p>
    <w:p w14:paraId="1758984D" w14:textId="77777777" w:rsidR="00CA21DC" w:rsidRDefault="00CA21DC" w:rsidP="00CA21DC">
      <w:pPr>
        <w:pStyle w:val="1Listcontinue"/>
        <w:numPr>
          <w:ilvl w:val="2"/>
          <w:numId w:val="49"/>
        </w:numPr>
      </w:pPr>
      <w:r w:rsidRPr="0076117A">
        <w:t xml:space="preserve">NAIC staff agrees with prospective application of SSAP 94R with an effective date of 1/1/2025, however we have elected to not include the changes to the scope of SSAP 94R.  The reasoning is that this guidance intends to exclude tax credits allocated from SSAP 93 investments, which does not specifically identify </w:t>
      </w:r>
      <w:r>
        <w:t xml:space="preserve">which tax credit </w:t>
      </w:r>
      <w:r w:rsidRPr="0076117A">
        <w:t xml:space="preserve">investment structures </w:t>
      </w:r>
      <w:r>
        <w:t>are within scope of the guidance</w:t>
      </w:r>
      <w:r w:rsidRPr="0076117A">
        <w:t>.  However, NAIC staff did make other adjustments to the scope paragraph to better clarify that tax credits from SSAP No. 93 investments are not within scope of SSAP 94R.</w:t>
      </w:r>
    </w:p>
    <w:p w14:paraId="7B46BFE7" w14:textId="0FDFF81A" w:rsidR="00D110DB" w:rsidRDefault="00D110DB" w:rsidP="00D110DB">
      <w:pPr>
        <w:pStyle w:val="1Listcontinue"/>
        <w:numPr>
          <w:ilvl w:val="0"/>
          <w:numId w:val="0"/>
        </w:numPr>
        <w:rPr>
          <w:b/>
        </w:rPr>
      </w:pPr>
      <w:r>
        <w:t xml:space="preserve">On December 1, 2023, </w:t>
      </w:r>
      <w:r w:rsidRPr="00C618AB">
        <w:t xml:space="preserve">the Statutory Accounting </w:t>
      </w:r>
      <w:r w:rsidRPr="00586517">
        <w:t>Principles (E) Working Group exposed revisions made to SSAP Nos. 34, 48</w:t>
      </w:r>
      <w:r w:rsidR="001F2497" w:rsidRPr="00586517">
        <w:t>R</w:t>
      </w:r>
      <w:r w:rsidRPr="00586517">
        <w:t>, 93, and 94R</w:t>
      </w:r>
      <w:r w:rsidR="001F2497" w:rsidRPr="00586517">
        <w:t xml:space="preserve"> as part of the </w:t>
      </w:r>
      <w:r w:rsidR="009F4F9F" w:rsidRPr="00586517">
        <w:t xml:space="preserve">tax credit </w:t>
      </w:r>
      <w:r w:rsidR="001F2497" w:rsidRPr="00586517">
        <w:t>project</w:t>
      </w:r>
      <w:r w:rsidRPr="00586517">
        <w:t xml:space="preserve">. </w:t>
      </w:r>
      <w:r w:rsidR="00026C3A" w:rsidRPr="00586517">
        <w:t>Revisions</w:t>
      </w:r>
      <w:r w:rsidR="008B0A04" w:rsidRPr="00586517">
        <w:t xml:space="preserve"> to SSAP No. 93 include a glossary</w:t>
      </w:r>
      <w:r w:rsidR="00740674" w:rsidRPr="00586517">
        <w:t xml:space="preserve"> of key terms</w:t>
      </w:r>
      <w:r w:rsidR="008B0A04" w:rsidRPr="00586517">
        <w:t xml:space="preserve">, </w:t>
      </w:r>
      <w:r w:rsidR="000E2265" w:rsidRPr="00586517">
        <w:t xml:space="preserve">impairment </w:t>
      </w:r>
      <w:r w:rsidR="008B0A04" w:rsidRPr="00586517">
        <w:t>guidance on variable tax credit allocations</w:t>
      </w:r>
      <w:r w:rsidR="00740674" w:rsidRPr="00586517">
        <w:t xml:space="preserve">, disclosures on unused </w:t>
      </w:r>
      <w:r w:rsidR="00D84DE7" w:rsidRPr="00586517">
        <w:t>tax credits</w:t>
      </w:r>
      <w:r w:rsidR="00026C3A" w:rsidRPr="00586517">
        <w:t>, and editorial changes to paragraph 18.  Revisions</w:t>
      </w:r>
      <w:r w:rsidR="0044094A" w:rsidRPr="00586517">
        <w:t xml:space="preserve"> to SSAP No. 94R include guidance </w:t>
      </w:r>
      <w:r w:rsidR="00022104" w:rsidRPr="00586517">
        <w:t>clarifying</w:t>
      </w:r>
      <w:r w:rsidR="0044094A" w:rsidRPr="00586517">
        <w:t xml:space="preserve"> that awarded tax credits are not within scope and commitment/contingency language</w:t>
      </w:r>
      <w:r w:rsidR="00E75ED5" w:rsidRPr="00586517">
        <w:t xml:space="preserve">.  </w:t>
      </w:r>
      <w:r w:rsidR="00DB3A2B" w:rsidRPr="00586517">
        <w:t>The exposure includes</w:t>
      </w:r>
      <w:r w:rsidR="00E75ED5" w:rsidRPr="00586517">
        <w:t xml:space="preserve"> new revisions to SSAP Nos. 34 and 48 </w:t>
      </w:r>
      <w:r w:rsidR="008E1DCF" w:rsidRPr="00586517">
        <w:t>whi</w:t>
      </w:r>
      <w:r w:rsidR="00DA5776" w:rsidRPr="00586517">
        <w:t xml:space="preserve">ch clarified that tax credits are not within </w:t>
      </w:r>
      <w:r w:rsidR="00022104" w:rsidRPr="00586517">
        <w:t>the scope</w:t>
      </w:r>
      <w:r w:rsidR="00DA5776" w:rsidRPr="00586517">
        <w:t xml:space="preserve"> of investment income</w:t>
      </w:r>
      <w:r w:rsidR="00DA5776">
        <w:t xml:space="preserve"> guidance and updated for new SSAP No. 93 language, respectively</w:t>
      </w:r>
      <w:r w:rsidR="000140F6">
        <w:t>.</w:t>
      </w:r>
      <w:r w:rsidR="008B0A04">
        <w:t xml:space="preserve"> </w:t>
      </w:r>
      <w:r w:rsidRPr="00C618AB">
        <w:t xml:space="preserve">Additionally, </w:t>
      </w:r>
      <w:r w:rsidR="000D79E7">
        <w:t>the Working Group</w:t>
      </w:r>
      <w:r w:rsidRPr="00C618AB">
        <w:t xml:space="preserve"> </w:t>
      </w:r>
      <w:r w:rsidR="001F2497">
        <w:t>requested comments from regulators and industry on new RBC reporting categories</w:t>
      </w:r>
      <w:r>
        <w:t>.</w:t>
      </w:r>
    </w:p>
    <w:p w14:paraId="24ECFB82" w14:textId="77777777" w:rsidR="00E459EE" w:rsidRPr="00E75A6C" w:rsidRDefault="00E459EE" w:rsidP="00B92D5B">
      <w:pPr>
        <w:pStyle w:val="BodyText2"/>
        <w:rPr>
          <w:b w:val="0"/>
          <w:szCs w:val="22"/>
        </w:rPr>
      </w:pPr>
    </w:p>
    <w:p w14:paraId="71BBEFE0" w14:textId="77777777" w:rsidR="002A1316" w:rsidRDefault="002A1316" w:rsidP="00B30CA0">
      <w:pPr>
        <w:rPr>
          <w:sz w:val="22"/>
        </w:rPr>
      </w:pPr>
    </w:p>
    <w:p w14:paraId="5BEC363C" w14:textId="3F26AA88"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D110DB">
        <w:rPr>
          <w:noProof/>
          <w:sz w:val="16"/>
          <w:szCs w:val="16"/>
        </w:rPr>
        <w:t>https://naiconline.sharepoint.com/teams/FRSStatutoryAccounting/National Meetings/A. National Meeting Materials/2023/12-1-23 Fall National Meeting/Exposures/22-14 - NMTC.docx</w:t>
      </w:r>
      <w:r w:rsidRPr="000579B6">
        <w:rPr>
          <w:sz w:val="16"/>
          <w:szCs w:val="16"/>
        </w:rPr>
        <w:fldChar w:fldCharType="end"/>
      </w:r>
    </w:p>
    <w:p w14:paraId="601FA1CE" w14:textId="77777777" w:rsidR="00340D1B" w:rsidRDefault="00340D1B" w:rsidP="000579B6">
      <w:pPr>
        <w:rPr>
          <w:sz w:val="16"/>
          <w:szCs w:val="16"/>
        </w:rPr>
      </w:pPr>
    </w:p>
    <w:p w14:paraId="68BD6302" w14:textId="77777777" w:rsidR="00340D1B" w:rsidRDefault="00340D1B" w:rsidP="000579B6">
      <w:pPr>
        <w:rPr>
          <w:sz w:val="16"/>
          <w:szCs w:val="16"/>
        </w:rPr>
      </w:pP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E1C7" w14:textId="77777777" w:rsidR="00B575C6" w:rsidRDefault="00B575C6">
      <w:r>
        <w:separator/>
      </w:r>
    </w:p>
  </w:endnote>
  <w:endnote w:type="continuationSeparator" w:id="0">
    <w:p w14:paraId="4EB7BA12" w14:textId="77777777" w:rsidR="00B575C6" w:rsidRDefault="00B575C6">
      <w:r>
        <w:continuationSeparator/>
      </w:r>
    </w:p>
  </w:endnote>
  <w:endnote w:type="continuationNotice" w:id="1">
    <w:p w14:paraId="7A7A9A1C" w14:textId="77777777" w:rsidR="00B575C6" w:rsidRDefault="00B5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60BF0F1F"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694EEC">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EB1B" w14:textId="77777777" w:rsidR="00B575C6" w:rsidRDefault="00B575C6">
      <w:r>
        <w:separator/>
      </w:r>
    </w:p>
  </w:footnote>
  <w:footnote w:type="continuationSeparator" w:id="0">
    <w:p w14:paraId="69AB3A5A" w14:textId="77777777" w:rsidR="00B575C6" w:rsidRDefault="00B575C6">
      <w:r>
        <w:continuationSeparator/>
      </w:r>
    </w:p>
  </w:footnote>
  <w:footnote w:type="continuationNotice" w:id="1">
    <w:p w14:paraId="06934099" w14:textId="77777777" w:rsidR="00B575C6" w:rsidRDefault="00B5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75CE" w14:textId="64E1531F" w:rsidR="004414C6" w:rsidRPr="00016613" w:rsidRDefault="004414C6">
    <w:pPr>
      <w:pStyle w:val="Header"/>
      <w:jc w:val="right"/>
      <w:rPr>
        <w:b/>
        <w:sz w:val="20"/>
      </w:rPr>
    </w:pPr>
  </w:p>
  <w:p w14:paraId="14FEED1A" w14:textId="2FB202BA" w:rsidR="006D3A59" w:rsidRPr="00F04F9A" w:rsidRDefault="006D3A59">
    <w:pPr>
      <w:pStyle w:val="Header"/>
      <w:jc w:val="right"/>
      <w:rPr>
        <w:bCs/>
        <w:sz w:val="20"/>
      </w:rPr>
    </w:pPr>
    <w:r w:rsidRPr="00F04F9A">
      <w:rPr>
        <w:bCs/>
        <w:sz w:val="20"/>
      </w:rPr>
      <w:t>Ref #20</w:t>
    </w:r>
    <w:r w:rsidR="008424D9">
      <w:rPr>
        <w:bCs/>
        <w:sz w:val="20"/>
      </w:rPr>
      <w:t>2</w:t>
    </w:r>
    <w:r w:rsidR="00CA4E49">
      <w:rPr>
        <w:bCs/>
        <w:sz w:val="20"/>
      </w:rPr>
      <w:t>2</w:t>
    </w:r>
    <w:r w:rsidRPr="00F04F9A">
      <w:rPr>
        <w:bCs/>
        <w:sz w:val="20"/>
      </w:rPr>
      <w:t>-</w:t>
    </w:r>
    <w:r w:rsidR="00223A31">
      <w:rPr>
        <w:bCs/>
        <w:sz w:val="20"/>
      </w:rPr>
      <w:t>14</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FE472C"/>
    <w:multiLevelType w:val="hybridMultilevel"/>
    <w:tmpl w:val="35820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6088B"/>
    <w:multiLevelType w:val="hybridMultilevel"/>
    <w:tmpl w:val="7768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26550FF"/>
    <w:multiLevelType w:val="hybridMultilevel"/>
    <w:tmpl w:val="FF027EC0"/>
    <w:lvl w:ilvl="0" w:tplc="FA66BF6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0A3CE5"/>
    <w:multiLevelType w:val="hybridMultilevel"/>
    <w:tmpl w:val="C0E8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2" w15:restartNumberingAfterBreak="0">
    <w:nsid w:val="20B33568"/>
    <w:multiLevelType w:val="hybridMultilevel"/>
    <w:tmpl w:val="29483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2A2F097B"/>
    <w:multiLevelType w:val="hybridMultilevel"/>
    <w:tmpl w:val="E50E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5420B"/>
    <w:multiLevelType w:val="singleLevel"/>
    <w:tmpl w:val="D06EB10A"/>
    <w:lvl w:ilvl="0">
      <w:start w:val="1"/>
      <w:numFmt w:val="lowerLetter"/>
      <w:lvlText w:val="%1."/>
      <w:legacy w:legacy="1" w:legacySpace="0" w:legacyIndent="720"/>
      <w:lvlJc w:val="left"/>
      <w:pPr>
        <w:ind w:left="1440" w:hanging="720"/>
      </w:pPr>
    </w:lvl>
  </w:abstractNum>
  <w:abstractNum w:abstractNumId="17"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81B28"/>
    <w:multiLevelType w:val="hybridMultilevel"/>
    <w:tmpl w:val="EF264B5A"/>
    <w:lvl w:ilvl="0" w:tplc="16C2657E">
      <w:start w:val="26"/>
      <w:numFmt w:val="decimal"/>
      <w:lvlText w:val="%1."/>
      <w:lvlJc w:val="left"/>
      <w:pPr>
        <w:tabs>
          <w:tab w:val="num" w:pos="360"/>
        </w:tabs>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E52DE1"/>
    <w:multiLevelType w:val="hybridMultilevel"/>
    <w:tmpl w:val="A7FE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DB02610"/>
    <w:multiLevelType w:val="hybridMultilevel"/>
    <w:tmpl w:val="EFDC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17B32E5"/>
    <w:multiLevelType w:val="hybridMultilevel"/>
    <w:tmpl w:val="90A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3341B"/>
    <w:multiLevelType w:val="multilevel"/>
    <w:tmpl w:val="38DCB6C8"/>
    <w:lvl w:ilvl="0">
      <w:start w:val="9"/>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7A92F7D"/>
    <w:multiLevelType w:val="hybridMultilevel"/>
    <w:tmpl w:val="16C26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1" w15:restartNumberingAfterBreak="0">
    <w:nsid w:val="605F73EC"/>
    <w:multiLevelType w:val="hybridMultilevel"/>
    <w:tmpl w:val="CE0679F0"/>
    <w:lvl w:ilvl="0" w:tplc="6BB214CE">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64CCC"/>
    <w:multiLevelType w:val="hybridMultilevel"/>
    <w:tmpl w:val="E1D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5" w15:restartNumberingAfterBreak="0">
    <w:nsid w:val="6227376F"/>
    <w:multiLevelType w:val="hybridMultilevel"/>
    <w:tmpl w:val="ADC60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1C404C"/>
    <w:multiLevelType w:val="multilevel"/>
    <w:tmpl w:val="CE8C8E7E"/>
    <w:lvl w:ilvl="0">
      <w:start w:val="1"/>
      <w:numFmt w:val="decimal"/>
      <w:pStyle w:val="1Listcontinue"/>
      <w:lvlText w:val="%1."/>
      <w:lvlJc w:val="left"/>
      <w:pPr>
        <w:tabs>
          <w:tab w:val="num" w:pos="360"/>
        </w:tabs>
        <w:ind w:left="0" w:firstLine="0"/>
      </w:pPr>
      <w:rPr>
        <w:rFonts w:hint="default"/>
        <w:b w:val="0"/>
        <w:i w:val="0"/>
      </w:rPr>
    </w:lvl>
    <w:lvl w:ilvl="1">
      <w:start w:val="1"/>
      <w:numFmt w:val="decimal"/>
      <w:lvlText w:val="%2)"/>
      <w:lvlJc w:val="left"/>
      <w:pPr>
        <w:ind w:left="1080" w:hanging="360"/>
      </w:p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BB84C9B"/>
    <w:multiLevelType w:val="hybridMultilevel"/>
    <w:tmpl w:val="25522AEE"/>
    <w:lvl w:ilvl="0" w:tplc="D6481932">
      <w:start w:val="2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20D82"/>
    <w:multiLevelType w:val="multilevel"/>
    <w:tmpl w:val="338E366A"/>
    <w:lvl w:ilvl="0">
      <w:start w:val="16"/>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42"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6630349"/>
    <w:multiLevelType w:val="hybridMultilevel"/>
    <w:tmpl w:val="4B5E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47" w15:restartNumberingAfterBreak="0">
    <w:nsid w:val="7C9C2F33"/>
    <w:multiLevelType w:val="multilevel"/>
    <w:tmpl w:val="338E366A"/>
    <w:lvl w:ilvl="0">
      <w:start w:val="16"/>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889072256">
    <w:abstractNumId w:val="20"/>
  </w:num>
  <w:num w:numId="2" w16cid:durableId="19017550">
    <w:abstractNumId w:val="37"/>
  </w:num>
  <w:num w:numId="3" w16cid:durableId="1929925197">
    <w:abstractNumId w:val="33"/>
  </w:num>
  <w:num w:numId="4" w16cid:durableId="2098937226">
    <w:abstractNumId w:val="23"/>
  </w:num>
  <w:num w:numId="5" w16cid:durableId="747465063">
    <w:abstractNumId w:val="24"/>
  </w:num>
  <w:num w:numId="6" w16cid:durableId="2081169543">
    <w:abstractNumId w:val="19"/>
  </w:num>
  <w:num w:numId="7" w16cid:durableId="199440179">
    <w:abstractNumId w:val="11"/>
  </w:num>
  <w:num w:numId="8" w16cid:durableId="125321785">
    <w:abstractNumId w:val="22"/>
  </w:num>
  <w:num w:numId="9" w16cid:durableId="1510371630">
    <w:abstractNumId w:val="30"/>
  </w:num>
  <w:num w:numId="10" w16cid:durableId="923806674">
    <w:abstractNumId w:val="34"/>
  </w:num>
  <w:num w:numId="11" w16cid:durableId="1927181437">
    <w:abstractNumId w:val="5"/>
  </w:num>
  <w:num w:numId="12" w16cid:durableId="1623002414">
    <w:abstractNumId w:val="26"/>
  </w:num>
  <w:num w:numId="13" w16cid:durableId="462696289">
    <w:abstractNumId w:val="36"/>
  </w:num>
  <w:num w:numId="14" w16cid:durableId="364260327">
    <w:abstractNumId w:val="0"/>
  </w:num>
  <w:num w:numId="15" w16cid:durableId="1273048502">
    <w:abstractNumId w:val="7"/>
  </w:num>
  <w:num w:numId="16" w16cid:durableId="616104584">
    <w:abstractNumId w:val="41"/>
  </w:num>
  <w:num w:numId="17" w16cid:durableId="886989103">
    <w:abstractNumId w:val="46"/>
  </w:num>
  <w:num w:numId="18" w16cid:durableId="1643803649">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1403941381">
    <w:abstractNumId w:val="14"/>
  </w:num>
  <w:num w:numId="20" w16cid:durableId="1403406048">
    <w:abstractNumId w:val="6"/>
  </w:num>
  <w:num w:numId="21" w16cid:durableId="381363988">
    <w:abstractNumId w:val="1"/>
  </w:num>
  <w:num w:numId="22" w16cid:durableId="170411640">
    <w:abstractNumId w:val="45"/>
  </w:num>
  <w:num w:numId="23" w16cid:durableId="896089777">
    <w:abstractNumId w:val="1"/>
  </w:num>
  <w:num w:numId="24" w16cid:durableId="2033995957">
    <w:abstractNumId w:val="10"/>
  </w:num>
  <w:num w:numId="25" w16cid:durableId="2048484819">
    <w:abstractNumId w:val="13"/>
  </w:num>
  <w:num w:numId="26" w16cid:durableId="1753769680">
    <w:abstractNumId w:val="28"/>
  </w:num>
  <w:num w:numId="27" w16cid:durableId="1859269053">
    <w:abstractNumId w:val="16"/>
  </w:num>
  <w:num w:numId="28" w16cid:durableId="182937732">
    <w:abstractNumId w:val="47"/>
  </w:num>
  <w:num w:numId="29" w16cid:durableId="273369515">
    <w:abstractNumId w:val="40"/>
  </w:num>
  <w:num w:numId="30" w16cid:durableId="1384063799">
    <w:abstractNumId w:val="4"/>
  </w:num>
  <w:num w:numId="31" w16cid:durableId="172110239">
    <w:abstractNumId w:val="27"/>
  </w:num>
  <w:num w:numId="32" w16cid:durableId="503663393">
    <w:abstractNumId w:val="8"/>
  </w:num>
  <w:num w:numId="33" w16cid:durableId="99692740">
    <w:abstractNumId w:val="31"/>
  </w:num>
  <w:num w:numId="34" w16cid:durableId="1176533858">
    <w:abstractNumId w:val="39"/>
  </w:num>
  <w:num w:numId="35" w16cid:durableId="1716464293">
    <w:abstractNumId w:val="9"/>
  </w:num>
  <w:num w:numId="36" w16cid:durableId="733042662">
    <w:abstractNumId w:val="43"/>
  </w:num>
  <w:num w:numId="37" w16cid:durableId="585457387">
    <w:abstractNumId w:val="18"/>
  </w:num>
  <w:num w:numId="38" w16cid:durableId="580649515">
    <w:abstractNumId w:val="15"/>
  </w:num>
  <w:num w:numId="39" w16cid:durableId="755826902">
    <w:abstractNumId w:val="3"/>
  </w:num>
  <w:num w:numId="40" w16cid:durableId="869731821">
    <w:abstractNumId w:val="32"/>
  </w:num>
  <w:num w:numId="41" w16cid:durableId="1973438359">
    <w:abstractNumId w:val="25"/>
  </w:num>
  <w:num w:numId="42"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3" w16cid:durableId="686251520">
    <w:abstractNumId w:val="44"/>
  </w:num>
  <w:num w:numId="44" w16cid:durableId="197864344">
    <w:abstractNumId w:val="17"/>
  </w:num>
  <w:num w:numId="45" w16cid:durableId="355549082">
    <w:abstractNumId w:val="42"/>
  </w:num>
  <w:num w:numId="46" w16cid:durableId="520631634">
    <w:abstractNumId w:val="35"/>
  </w:num>
  <w:num w:numId="47" w16cid:durableId="1994214413">
    <w:abstractNumId w:val="29"/>
  </w:num>
  <w:num w:numId="48" w16cid:durableId="816342673">
    <w:abstractNumId w:val="12"/>
  </w:num>
  <w:num w:numId="49" w16cid:durableId="704604378">
    <w:abstractNumId w:val="38"/>
  </w:num>
  <w:num w:numId="50" w16cid:durableId="1740787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71A"/>
    <w:rsid w:val="00001D36"/>
    <w:rsid w:val="00001D90"/>
    <w:rsid w:val="00002559"/>
    <w:rsid w:val="00004652"/>
    <w:rsid w:val="00006940"/>
    <w:rsid w:val="00006E6E"/>
    <w:rsid w:val="00007006"/>
    <w:rsid w:val="00007627"/>
    <w:rsid w:val="00010B3B"/>
    <w:rsid w:val="000130E2"/>
    <w:rsid w:val="000138D5"/>
    <w:rsid w:val="00013BBC"/>
    <w:rsid w:val="000140F6"/>
    <w:rsid w:val="00015830"/>
    <w:rsid w:val="00016321"/>
    <w:rsid w:val="00016613"/>
    <w:rsid w:val="00016A27"/>
    <w:rsid w:val="000179BF"/>
    <w:rsid w:val="00020E4B"/>
    <w:rsid w:val="00021028"/>
    <w:rsid w:val="000210E2"/>
    <w:rsid w:val="00022104"/>
    <w:rsid w:val="00023391"/>
    <w:rsid w:val="00023E5B"/>
    <w:rsid w:val="00023E98"/>
    <w:rsid w:val="00025317"/>
    <w:rsid w:val="00025817"/>
    <w:rsid w:val="00026C3A"/>
    <w:rsid w:val="000273D7"/>
    <w:rsid w:val="00027A72"/>
    <w:rsid w:val="000301A7"/>
    <w:rsid w:val="000309E6"/>
    <w:rsid w:val="0003404E"/>
    <w:rsid w:val="000340AB"/>
    <w:rsid w:val="00034B2F"/>
    <w:rsid w:val="0003553F"/>
    <w:rsid w:val="000360CE"/>
    <w:rsid w:val="000361C6"/>
    <w:rsid w:val="00037EB2"/>
    <w:rsid w:val="00040C83"/>
    <w:rsid w:val="0004377B"/>
    <w:rsid w:val="00043ADE"/>
    <w:rsid w:val="00043BC8"/>
    <w:rsid w:val="00045077"/>
    <w:rsid w:val="00046033"/>
    <w:rsid w:val="00047370"/>
    <w:rsid w:val="00047A25"/>
    <w:rsid w:val="00047EE2"/>
    <w:rsid w:val="00050942"/>
    <w:rsid w:val="0005194A"/>
    <w:rsid w:val="00053670"/>
    <w:rsid w:val="00053F7A"/>
    <w:rsid w:val="00054233"/>
    <w:rsid w:val="00054FF9"/>
    <w:rsid w:val="00055811"/>
    <w:rsid w:val="00056814"/>
    <w:rsid w:val="000579B6"/>
    <w:rsid w:val="000608A6"/>
    <w:rsid w:val="00060B48"/>
    <w:rsid w:val="00061004"/>
    <w:rsid w:val="00062300"/>
    <w:rsid w:val="00062BB1"/>
    <w:rsid w:val="00063381"/>
    <w:rsid w:val="00065373"/>
    <w:rsid w:val="000662EB"/>
    <w:rsid w:val="000675CC"/>
    <w:rsid w:val="00070094"/>
    <w:rsid w:val="0007063A"/>
    <w:rsid w:val="00071194"/>
    <w:rsid w:val="00071500"/>
    <w:rsid w:val="00071609"/>
    <w:rsid w:val="00071709"/>
    <w:rsid w:val="000732BE"/>
    <w:rsid w:val="00073571"/>
    <w:rsid w:val="00073865"/>
    <w:rsid w:val="00073E68"/>
    <w:rsid w:val="00073EEB"/>
    <w:rsid w:val="000763C3"/>
    <w:rsid w:val="00077B4F"/>
    <w:rsid w:val="0008475C"/>
    <w:rsid w:val="00085065"/>
    <w:rsid w:val="000851DB"/>
    <w:rsid w:val="0008523F"/>
    <w:rsid w:val="000856B0"/>
    <w:rsid w:val="000856DF"/>
    <w:rsid w:val="00085F3C"/>
    <w:rsid w:val="000865F6"/>
    <w:rsid w:val="00086A20"/>
    <w:rsid w:val="00091380"/>
    <w:rsid w:val="00091D47"/>
    <w:rsid w:val="00092527"/>
    <w:rsid w:val="00093997"/>
    <w:rsid w:val="00093E85"/>
    <w:rsid w:val="00094644"/>
    <w:rsid w:val="00094931"/>
    <w:rsid w:val="0009627E"/>
    <w:rsid w:val="00096488"/>
    <w:rsid w:val="000967FA"/>
    <w:rsid w:val="00096B0D"/>
    <w:rsid w:val="00097320"/>
    <w:rsid w:val="00097D1E"/>
    <w:rsid w:val="000A1F32"/>
    <w:rsid w:val="000A22D3"/>
    <w:rsid w:val="000A338D"/>
    <w:rsid w:val="000A3E6D"/>
    <w:rsid w:val="000A711B"/>
    <w:rsid w:val="000A745C"/>
    <w:rsid w:val="000B1BA0"/>
    <w:rsid w:val="000B4849"/>
    <w:rsid w:val="000B5B00"/>
    <w:rsid w:val="000B5FC9"/>
    <w:rsid w:val="000B72D4"/>
    <w:rsid w:val="000C07C7"/>
    <w:rsid w:val="000C0C48"/>
    <w:rsid w:val="000C0FCB"/>
    <w:rsid w:val="000C125C"/>
    <w:rsid w:val="000C1ABA"/>
    <w:rsid w:val="000C1AD7"/>
    <w:rsid w:val="000C2D7A"/>
    <w:rsid w:val="000C38E3"/>
    <w:rsid w:val="000C5EA8"/>
    <w:rsid w:val="000C61ED"/>
    <w:rsid w:val="000C6EE3"/>
    <w:rsid w:val="000D045D"/>
    <w:rsid w:val="000D0AE1"/>
    <w:rsid w:val="000D2AD3"/>
    <w:rsid w:val="000D4576"/>
    <w:rsid w:val="000D5130"/>
    <w:rsid w:val="000D6AE8"/>
    <w:rsid w:val="000D74B1"/>
    <w:rsid w:val="000D79E7"/>
    <w:rsid w:val="000E09FA"/>
    <w:rsid w:val="000E1131"/>
    <w:rsid w:val="000E16CA"/>
    <w:rsid w:val="000E2265"/>
    <w:rsid w:val="000E2465"/>
    <w:rsid w:val="000E4751"/>
    <w:rsid w:val="000E6BDE"/>
    <w:rsid w:val="000F17DA"/>
    <w:rsid w:val="000F3314"/>
    <w:rsid w:val="000F6124"/>
    <w:rsid w:val="000F74B4"/>
    <w:rsid w:val="000F79D9"/>
    <w:rsid w:val="000F7BCD"/>
    <w:rsid w:val="00100949"/>
    <w:rsid w:val="0010170F"/>
    <w:rsid w:val="00102900"/>
    <w:rsid w:val="00104063"/>
    <w:rsid w:val="00104188"/>
    <w:rsid w:val="001077A1"/>
    <w:rsid w:val="0011091C"/>
    <w:rsid w:val="00110932"/>
    <w:rsid w:val="00111698"/>
    <w:rsid w:val="001127F5"/>
    <w:rsid w:val="00112A59"/>
    <w:rsid w:val="001135D1"/>
    <w:rsid w:val="00113CC8"/>
    <w:rsid w:val="00114D55"/>
    <w:rsid w:val="00115B4D"/>
    <w:rsid w:val="00115EF5"/>
    <w:rsid w:val="0011602D"/>
    <w:rsid w:val="00116385"/>
    <w:rsid w:val="00117566"/>
    <w:rsid w:val="001176DE"/>
    <w:rsid w:val="00120AF2"/>
    <w:rsid w:val="0012174E"/>
    <w:rsid w:val="001232EC"/>
    <w:rsid w:val="00124880"/>
    <w:rsid w:val="00125769"/>
    <w:rsid w:val="001317A6"/>
    <w:rsid w:val="00131FC5"/>
    <w:rsid w:val="001324CC"/>
    <w:rsid w:val="00133830"/>
    <w:rsid w:val="0013539B"/>
    <w:rsid w:val="00135EC4"/>
    <w:rsid w:val="001365A9"/>
    <w:rsid w:val="00137E60"/>
    <w:rsid w:val="00140E6B"/>
    <w:rsid w:val="00142381"/>
    <w:rsid w:val="001438B5"/>
    <w:rsid w:val="001452F9"/>
    <w:rsid w:val="0014655D"/>
    <w:rsid w:val="00146BED"/>
    <w:rsid w:val="00153808"/>
    <w:rsid w:val="00154012"/>
    <w:rsid w:val="0015429C"/>
    <w:rsid w:val="0015560C"/>
    <w:rsid w:val="0015579F"/>
    <w:rsid w:val="001579D2"/>
    <w:rsid w:val="00160306"/>
    <w:rsid w:val="00160362"/>
    <w:rsid w:val="0016377E"/>
    <w:rsid w:val="00164657"/>
    <w:rsid w:val="00164A83"/>
    <w:rsid w:val="00166423"/>
    <w:rsid w:val="0016700D"/>
    <w:rsid w:val="00167224"/>
    <w:rsid w:val="00170450"/>
    <w:rsid w:val="00171928"/>
    <w:rsid w:val="00171ED1"/>
    <w:rsid w:val="00172216"/>
    <w:rsid w:val="00172377"/>
    <w:rsid w:val="0017261A"/>
    <w:rsid w:val="00172BE2"/>
    <w:rsid w:val="00173420"/>
    <w:rsid w:val="00173F9B"/>
    <w:rsid w:val="0017443E"/>
    <w:rsid w:val="00175E8C"/>
    <w:rsid w:val="0017686F"/>
    <w:rsid w:val="00181059"/>
    <w:rsid w:val="001821D2"/>
    <w:rsid w:val="0018256B"/>
    <w:rsid w:val="00183813"/>
    <w:rsid w:val="00183E0E"/>
    <w:rsid w:val="00184144"/>
    <w:rsid w:val="0018548A"/>
    <w:rsid w:val="00185E5E"/>
    <w:rsid w:val="00186635"/>
    <w:rsid w:val="00187C5E"/>
    <w:rsid w:val="0019095E"/>
    <w:rsid w:val="00191F33"/>
    <w:rsid w:val="001928F2"/>
    <w:rsid w:val="00193099"/>
    <w:rsid w:val="00193739"/>
    <w:rsid w:val="0019505A"/>
    <w:rsid w:val="00195ED8"/>
    <w:rsid w:val="001971F3"/>
    <w:rsid w:val="001972B7"/>
    <w:rsid w:val="001974C3"/>
    <w:rsid w:val="001A0335"/>
    <w:rsid w:val="001A181E"/>
    <w:rsid w:val="001A24FF"/>
    <w:rsid w:val="001A256D"/>
    <w:rsid w:val="001A365C"/>
    <w:rsid w:val="001A399E"/>
    <w:rsid w:val="001A3E01"/>
    <w:rsid w:val="001A4DEC"/>
    <w:rsid w:val="001A4F70"/>
    <w:rsid w:val="001B1546"/>
    <w:rsid w:val="001B16DB"/>
    <w:rsid w:val="001B1F96"/>
    <w:rsid w:val="001B23C1"/>
    <w:rsid w:val="001B24C9"/>
    <w:rsid w:val="001B28A0"/>
    <w:rsid w:val="001B3138"/>
    <w:rsid w:val="001B3438"/>
    <w:rsid w:val="001B5588"/>
    <w:rsid w:val="001B56BB"/>
    <w:rsid w:val="001B7F04"/>
    <w:rsid w:val="001C0939"/>
    <w:rsid w:val="001C111B"/>
    <w:rsid w:val="001C122A"/>
    <w:rsid w:val="001C18AB"/>
    <w:rsid w:val="001C2D47"/>
    <w:rsid w:val="001C2E2A"/>
    <w:rsid w:val="001C36AB"/>
    <w:rsid w:val="001C3EB4"/>
    <w:rsid w:val="001C4CB0"/>
    <w:rsid w:val="001C58EC"/>
    <w:rsid w:val="001C654E"/>
    <w:rsid w:val="001C70EA"/>
    <w:rsid w:val="001C72FA"/>
    <w:rsid w:val="001C7A03"/>
    <w:rsid w:val="001D143D"/>
    <w:rsid w:val="001D37C2"/>
    <w:rsid w:val="001D4911"/>
    <w:rsid w:val="001D64DC"/>
    <w:rsid w:val="001D7191"/>
    <w:rsid w:val="001E0ACD"/>
    <w:rsid w:val="001E4A9B"/>
    <w:rsid w:val="001E5002"/>
    <w:rsid w:val="001E54BA"/>
    <w:rsid w:val="001E7723"/>
    <w:rsid w:val="001F008E"/>
    <w:rsid w:val="001F2497"/>
    <w:rsid w:val="001F38B0"/>
    <w:rsid w:val="001F3CF4"/>
    <w:rsid w:val="001F4498"/>
    <w:rsid w:val="001F46EB"/>
    <w:rsid w:val="001F4BF6"/>
    <w:rsid w:val="001F4C3C"/>
    <w:rsid w:val="001F5847"/>
    <w:rsid w:val="001F62D5"/>
    <w:rsid w:val="00200007"/>
    <w:rsid w:val="00200367"/>
    <w:rsid w:val="002014DA"/>
    <w:rsid w:val="002028D5"/>
    <w:rsid w:val="00203FF7"/>
    <w:rsid w:val="002046F5"/>
    <w:rsid w:val="0020476B"/>
    <w:rsid w:val="0020646A"/>
    <w:rsid w:val="0020772E"/>
    <w:rsid w:val="00207C52"/>
    <w:rsid w:val="00207E1D"/>
    <w:rsid w:val="002120E4"/>
    <w:rsid w:val="002127D9"/>
    <w:rsid w:val="00213009"/>
    <w:rsid w:val="002141B3"/>
    <w:rsid w:val="00214E55"/>
    <w:rsid w:val="0021577F"/>
    <w:rsid w:val="00215B42"/>
    <w:rsid w:val="00215D99"/>
    <w:rsid w:val="00216D66"/>
    <w:rsid w:val="0022220D"/>
    <w:rsid w:val="00222368"/>
    <w:rsid w:val="002230F8"/>
    <w:rsid w:val="00223A31"/>
    <w:rsid w:val="00223B02"/>
    <w:rsid w:val="00224222"/>
    <w:rsid w:val="00224A27"/>
    <w:rsid w:val="002252E0"/>
    <w:rsid w:val="00225762"/>
    <w:rsid w:val="00225EC6"/>
    <w:rsid w:val="00226FBD"/>
    <w:rsid w:val="002276F4"/>
    <w:rsid w:val="00227D28"/>
    <w:rsid w:val="002312D4"/>
    <w:rsid w:val="00231B56"/>
    <w:rsid w:val="00231BED"/>
    <w:rsid w:val="00232EAE"/>
    <w:rsid w:val="00233D96"/>
    <w:rsid w:val="00234DE3"/>
    <w:rsid w:val="00235312"/>
    <w:rsid w:val="0023724F"/>
    <w:rsid w:val="00237383"/>
    <w:rsid w:val="002376FD"/>
    <w:rsid w:val="002408D3"/>
    <w:rsid w:val="00240C5C"/>
    <w:rsid w:val="002410C7"/>
    <w:rsid w:val="00241671"/>
    <w:rsid w:val="00241B60"/>
    <w:rsid w:val="00242209"/>
    <w:rsid w:val="00244916"/>
    <w:rsid w:val="00244981"/>
    <w:rsid w:val="002465DC"/>
    <w:rsid w:val="0025196E"/>
    <w:rsid w:val="00253C3F"/>
    <w:rsid w:val="002557C2"/>
    <w:rsid w:val="00255882"/>
    <w:rsid w:val="0025590C"/>
    <w:rsid w:val="00256464"/>
    <w:rsid w:val="00256AF9"/>
    <w:rsid w:val="00261085"/>
    <w:rsid w:val="002611A7"/>
    <w:rsid w:val="00261273"/>
    <w:rsid w:val="00261A24"/>
    <w:rsid w:val="00261DC7"/>
    <w:rsid w:val="00262AC4"/>
    <w:rsid w:val="002642A9"/>
    <w:rsid w:val="00264551"/>
    <w:rsid w:val="00270CE4"/>
    <w:rsid w:val="00273562"/>
    <w:rsid w:val="00274005"/>
    <w:rsid w:val="0027541F"/>
    <w:rsid w:val="00275BC0"/>
    <w:rsid w:val="002766DB"/>
    <w:rsid w:val="00277AD0"/>
    <w:rsid w:val="0028233C"/>
    <w:rsid w:val="00282D6E"/>
    <w:rsid w:val="00283285"/>
    <w:rsid w:val="0028429E"/>
    <w:rsid w:val="002848CD"/>
    <w:rsid w:val="00285C97"/>
    <w:rsid w:val="00286D1B"/>
    <w:rsid w:val="00287A96"/>
    <w:rsid w:val="0029107E"/>
    <w:rsid w:val="00291D71"/>
    <w:rsid w:val="00291E31"/>
    <w:rsid w:val="00293119"/>
    <w:rsid w:val="0029443E"/>
    <w:rsid w:val="00295430"/>
    <w:rsid w:val="00296403"/>
    <w:rsid w:val="00296B86"/>
    <w:rsid w:val="00296E66"/>
    <w:rsid w:val="002A0106"/>
    <w:rsid w:val="002A1316"/>
    <w:rsid w:val="002A2CC3"/>
    <w:rsid w:val="002A2F16"/>
    <w:rsid w:val="002A429D"/>
    <w:rsid w:val="002A44FE"/>
    <w:rsid w:val="002A4E9D"/>
    <w:rsid w:val="002A6BDC"/>
    <w:rsid w:val="002A6CB4"/>
    <w:rsid w:val="002B12A6"/>
    <w:rsid w:val="002B4805"/>
    <w:rsid w:val="002B6470"/>
    <w:rsid w:val="002B7495"/>
    <w:rsid w:val="002B75E0"/>
    <w:rsid w:val="002C2216"/>
    <w:rsid w:val="002C2278"/>
    <w:rsid w:val="002C2B63"/>
    <w:rsid w:val="002C3A5D"/>
    <w:rsid w:val="002C5CBA"/>
    <w:rsid w:val="002C6171"/>
    <w:rsid w:val="002C666A"/>
    <w:rsid w:val="002C7C73"/>
    <w:rsid w:val="002D0028"/>
    <w:rsid w:val="002D0149"/>
    <w:rsid w:val="002D0A6C"/>
    <w:rsid w:val="002D162A"/>
    <w:rsid w:val="002D2620"/>
    <w:rsid w:val="002D3588"/>
    <w:rsid w:val="002D414D"/>
    <w:rsid w:val="002D59F5"/>
    <w:rsid w:val="002D5BF7"/>
    <w:rsid w:val="002D70E6"/>
    <w:rsid w:val="002D7357"/>
    <w:rsid w:val="002E07AA"/>
    <w:rsid w:val="002E0D72"/>
    <w:rsid w:val="002E1519"/>
    <w:rsid w:val="002E1631"/>
    <w:rsid w:val="002E199B"/>
    <w:rsid w:val="002E3197"/>
    <w:rsid w:val="002E3A7B"/>
    <w:rsid w:val="002E3FF0"/>
    <w:rsid w:val="002E535F"/>
    <w:rsid w:val="002E5DCE"/>
    <w:rsid w:val="002E6850"/>
    <w:rsid w:val="002E6AF3"/>
    <w:rsid w:val="002F055F"/>
    <w:rsid w:val="002F05F4"/>
    <w:rsid w:val="002F0D79"/>
    <w:rsid w:val="002F0ED9"/>
    <w:rsid w:val="002F1EBF"/>
    <w:rsid w:val="002F2935"/>
    <w:rsid w:val="002F2BDF"/>
    <w:rsid w:val="002F5D54"/>
    <w:rsid w:val="002F6FF9"/>
    <w:rsid w:val="002F7DEF"/>
    <w:rsid w:val="0030135B"/>
    <w:rsid w:val="003025A4"/>
    <w:rsid w:val="00302A97"/>
    <w:rsid w:val="00304CEC"/>
    <w:rsid w:val="0030546C"/>
    <w:rsid w:val="0030560B"/>
    <w:rsid w:val="00305EFE"/>
    <w:rsid w:val="00307A41"/>
    <w:rsid w:val="00311A87"/>
    <w:rsid w:val="00312EE0"/>
    <w:rsid w:val="003148E8"/>
    <w:rsid w:val="00316044"/>
    <w:rsid w:val="00317369"/>
    <w:rsid w:val="00317B9A"/>
    <w:rsid w:val="00317D79"/>
    <w:rsid w:val="00320CFF"/>
    <w:rsid w:val="0032153F"/>
    <w:rsid w:val="00321DE0"/>
    <w:rsid w:val="0032481E"/>
    <w:rsid w:val="00324997"/>
    <w:rsid w:val="00325660"/>
    <w:rsid w:val="00326416"/>
    <w:rsid w:val="003266E0"/>
    <w:rsid w:val="00326D84"/>
    <w:rsid w:val="00327340"/>
    <w:rsid w:val="00330EF0"/>
    <w:rsid w:val="003325E9"/>
    <w:rsid w:val="00333FC0"/>
    <w:rsid w:val="00334255"/>
    <w:rsid w:val="0033620A"/>
    <w:rsid w:val="003371CB"/>
    <w:rsid w:val="00337372"/>
    <w:rsid w:val="00337CC1"/>
    <w:rsid w:val="0034083B"/>
    <w:rsid w:val="00340C82"/>
    <w:rsid w:val="00340CB4"/>
    <w:rsid w:val="00340D1B"/>
    <w:rsid w:val="00341569"/>
    <w:rsid w:val="003415C3"/>
    <w:rsid w:val="00341EAF"/>
    <w:rsid w:val="00342CB7"/>
    <w:rsid w:val="00344C6C"/>
    <w:rsid w:val="0034544B"/>
    <w:rsid w:val="0034547E"/>
    <w:rsid w:val="0034667C"/>
    <w:rsid w:val="00350E1D"/>
    <w:rsid w:val="00351688"/>
    <w:rsid w:val="00351B97"/>
    <w:rsid w:val="0035281A"/>
    <w:rsid w:val="00353B38"/>
    <w:rsid w:val="003558F1"/>
    <w:rsid w:val="0035609F"/>
    <w:rsid w:val="003570EA"/>
    <w:rsid w:val="00357190"/>
    <w:rsid w:val="00357867"/>
    <w:rsid w:val="00357FFA"/>
    <w:rsid w:val="00360049"/>
    <w:rsid w:val="00360172"/>
    <w:rsid w:val="00363566"/>
    <w:rsid w:val="00363D18"/>
    <w:rsid w:val="00364E3D"/>
    <w:rsid w:val="00365141"/>
    <w:rsid w:val="00365F34"/>
    <w:rsid w:val="003672EC"/>
    <w:rsid w:val="00367F7A"/>
    <w:rsid w:val="00370E1C"/>
    <w:rsid w:val="0037204C"/>
    <w:rsid w:val="003725D2"/>
    <w:rsid w:val="003735D9"/>
    <w:rsid w:val="0037579B"/>
    <w:rsid w:val="00375A23"/>
    <w:rsid w:val="00376450"/>
    <w:rsid w:val="00376842"/>
    <w:rsid w:val="00376C2F"/>
    <w:rsid w:val="00376FCE"/>
    <w:rsid w:val="00377A90"/>
    <w:rsid w:val="00377D50"/>
    <w:rsid w:val="00380CDF"/>
    <w:rsid w:val="003849E8"/>
    <w:rsid w:val="00384A51"/>
    <w:rsid w:val="00385476"/>
    <w:rsid w:val="00390D99"/>
    <w:rsid w:val="00391518"/>
    <w:rsid w:val="00392764"/>
    <w:rsid w:val="00394216"/>
    <w:rsid w:val="003945AD"/>
    <w:rsid w:val="003947D5"/>
    <w:rsid w:val="0039600A"/>
    <w:rsid w:val="00396170"/>
    <w:rsid w:val="00396B13"/>
    <w:rsid w:val="003970A2"/>
    <w:rsid w:val="00397FB4"/>
    <w:rsid w:val="003A0B67"/>
    <w:rsid w:val="003A0FE6"/>
    <w:rsid w:val="003A274A"/>
    <w:rsid w:val="003A2D8D"/>
    <w:rsid w:val="003A3E88"/>
    <w:rsid w:val="003A4902"/>
    <w:rsid w:val="003A506B"/>
    <w:rsid w:val="003A6148"/>
    <w:rsid w:val="003A63F2"/>
    <w:rsid w:val="003B12DE"/>
    <w:rsid w:val="003B17C0"/>
    <w:rsid w:val="003B33EB"/>
    <w:rsid w:val="003B3F47"/>
    <w:rsid w:val="003B48A4"/>
    <w:rsid w:val="003B4A81"/>
    <w:rsid w:val="003B780E"/>
    <w:rsid w:val="003B7FF4"/>
    <w:rsid w:val="003C07B6"/>
    <w:rsid w:val="003C1468"/>
    <w:rsid w:val="003C14D0"/>
    <w:rsid w:val="003C174C"/>
    <w:rsid w:val="003C410E"/>
    <w:rsid w:val="003C575E"/>
    <w:rsid w:val="003C6E17"/>
    <w:rsid w:val="003C73D7"/>
    <w:rsid w:val="003C7A17"/>
    <w:rsid w:val="003D05BE"/>
    <w:rsid w:val="003D19A1"/>
    <w:rsid w:val="003D26A9"/>
    <w:rsid w:val="003D29CA"/>
    <w:rsid w:val="003D2F2D"/>
    <w:rsid w:val="003D4A96"/>
    <w:rsid w:val="003D58F1"/>
    <w:rsid w:val="003D608C"/>
    <w:rsid w:val="003D6928"/>
    <w:rsid w:val="003D6E6E"/>
    <w:rsid w:val="003D6F9C"/>
    <w:rsid w:val="003D7C55"/>
    <w:rsid w:val="003D7DC1"/>
    <w:rsid w:val="003E026F"/>
    <w:rsid w:val="003E0702"/>
    <w:rsid w:val="003E28CF"/>
    <w:rsid w:val="003E4272"/>
    <w:rsid w:val="003E5116"/>
    <w:rsid w:val="003E52E5"/>
    <w:rsid w:val="003E53BD"/>
    <w:rsid w:val="003E57F2"/>
    <w:rsid w:val="003E5884"/>
    <w:rsid w:val="003E66B7"/>
    <w:rsid w:val="003E6DD2"/>
    <w:rsid w:val="003E7060"/>
    <w:rsid w:val="003F0066"/>
    <w:rsid w:val="003F0893"/>
    <w:rsid w:val="003F08CA"/>
    <w:rsid w:val="003F0E51"/>
    <w:rsid w:val="003F2B28"/>
    <w:rsid w:val="003F4038"/>
    <w:rsid w:val="003F41B9"/>
    <w:rsid w:val="003F4634"/>
    <w:rsid w:val="003F4831"/>
    <w:rsid w:val="003F4A75"/>
    <w:rsid w:val="003F572C"/>
    <w:rsid w:val="003F5A47"/>
    <w:rsid w:val="003F6829"/>
    <w:rsid w:val="003F7308"/>
    <w:rsid w:val="003F74A8"/>
    <w:rsid w:val="003F7FB3"/>
    <w:rsid w:val="003F7FCB"/>
    <w:rsid w:val="0040031F"/>
    <w:rsid w:val="0040093D"/>
    <w:rsid w:val="00401202"/>
    <w:rsid w:val="004018EA"/>
    <w:rsid w:val="0040337C"/>
    <w:rsid w:val="00403632"/>
    <w:rsid w:val="00403D95"/>
    <w:rsid w:val="00404002"/>
    <w:rsid w:val="0040516D"/>
    <w:rsid w:val="00405788"/>
    <w:rsid w:val="00406F8C"/>
    <w:rsid w:val="004107EC"/>
    <w:rsid w:val="004108E7"/>
    <w:rsid w:val="00410F4D"/>
    <w:rsid w:val="004128F1"/>
    <w:rsid w:val="00414676"/>
    <w:rsid w:val="00414EAE"/>
    <w:rsid w:val="00416BC2"/>
    <w:rsid w:val="00421277"/>
    <w:rsid w:val="00421554"/>
    <w:rsid w:val="00421FC4"/>
    <w:rsid w:val="004228F5"/>
    <w:rsid w:val="00426456"/>
    <w:rsid w:val="00426919"/>
    <w:rsid w:val="00426F7F"/>
    <w:rsid w:val="004302C9"/>
    <w:rsid w:val="0043188F"/>
    <w:rsid w:val="004326F0"/>
    <w:rsid w:val="00432A1F"/>
    <w:rsid w:val="00433E0D"/>
    <w:rsid w:val="00433E1D"/>
    <w:rsid w:val="00433EE9"/>
    <w:rsid w:val="00434207"/>
    <w:rsid w:val="00434711"/>
    <w:rsid w:val="00434970"/>
    <w:rsid w:val="00435281"/>
    <w:rsid w:val="00435DAC"/>
    <w:rsid w:val="00436721"/>
    <w:rsid w:val="00436AD8"/>
    <w:rsid w:val="0044022E"/>
    <w:rsid w:val="004403A7"/>
    <w:rsid w:val="0044094A"/>
    <w:rsid w:val="004414C6"/>
    <w:rsid w:val="00441F52"/>
    <w:rsid w:val="004431D9"/>
    <w:rsid w:val="00443381"/>
    <w:rsid w:val="004439EA"/>
    <w:rsid w:val="0044533B"/>
    <w:rsid w:val="00446244"/>
    <w:rsid w:val="004475A4"/>
    <w:rsid w:val="0044761E"/>
    <w:rsid w:val="00450D0E"/>
    <w:rsid w:val="00450D5E"/>
    <w:rsid w:val="004516AB"/>
    <w:rsid w:val="00451DE9"/>
    <w:rsid w:val="00451E45"/>
    <w:rsid w:val="00452103"/>
    <w:rsid w:val="00452842"/>
    <w:rsid w:val="004530A2"/>
    <w:rsid w:val="004534F9"/>
    <w:rsid w:val="0045395B"/>
    <w:rsid w:val="00454273"/>
    <w:rsid w:val="004547BC"/>
    <w:rsid w:val="004555D2"/>
    <w:rsid w:val="00456EC8"/>
    <w:rsid w:val="004571B2"/>
    <w:rsid w:val="00457EC9"/>
    <w:rsid w:val="004623DC"/>
    <w:rsid w:val="00462C30"/>
    <w:rsid w:val="00463E5B"/>
    <w:rsid w:val="004654C3"/>
    <w:rsid w:val="00465572"/>
    <w:rsid w:val="00466170"/>
    <w:rsid w:val="004662AE"/>
    <w:rsid w:val="0046757B"/>
    <w:rsid w:val="00467BF8"/>
    <w:rsid w:val="004726AA"/>
    <w:rsid w:val="0047277F"/>
    <w:rsid w:val="0047523A"/>
    <w:rsid w:val="00480491"/>
    <w:rsid w:val="0048080F"/>
    <w:rsid w:val="004812C5"/>
    <w:rsid w:val="00481B00"/>
    <w:rsid w:val="00481C54"/>
    <w:rsid w:val="004826BF"/>
    <w:rsid w:val="004829CD"/>
    <w:rsid w:val="004833B9"/>
    <w:rsid w:val="004836C4"/>
    <w:rsid w:val="00483AEC"/>
    <w:rsid w:val="0048488F"/>
    <w:rsid w:val="00484CB7"/>
    <w:rsid w:val="00485666"/>
    <w:rsid w:val="00485B24"/>
    <w:rsid w:val="00485DFF"/>
    <w:rsid w:val="004860F9"/>
    <w:rsid w:val="00486129"/>
    <w:rsid w:val="004861C6"/>
    <w:rsid w:val="0048680B"/>
    <w:rsid w:val="004873FE"/>
    <w:rsid w:val="00490434"/>
    <w:rsid w:val="00490996"/>
    <w:rsid w:val="00491681"/>
    <w:rsid w:val="00491DAF"/>
    <w:rsid w:val="00491EC3"/>
    <w:rsid w:val="004926D5"/>
    <w:rsid w:val="0049353F"/>
    <w:rsid w:val="004953BB"/>
    <w:rsid w:val="00495439"/>
    <w:rsid w:val="00495D3E"/>
    <w:rsid w:val="0049733D"/>
    <w:rsid w:val="00497B6F"/>
    <w:rsid w:val="00497F4E"/>
    <w:rsid w:val="004A08E3"/>
    <w:rsid w:val="004A166E"/>
    <w:rsid w:val="004A23C7"/>
    <w:rsid w:val="004A4BBF"/>
    <w:rsid w:val="004A4F25"/>
    <w:rsid w:val="004A52CF"/>
    <w:rsid w:val="004A79D8"/>
    <w:rsid w:val="004B0875"/>
    <w:rsid w:val="004B1375"/>
    <w:rsid w:val="004B289F"/>
    <w:rsid w:val="004B3C2C"/>
    <w:rsid w:val="004B3F4D"/>
    <w:rsid w:val="004B4AD1"/>
    <w:rsid w:val="004B51B6"/>
    <w:rsid w:val="004B57D9"/>
    <w:rsid w:val="004B5C26"/>
    <w:rsid w:val="004B7385"/>
    <w:rsid w:val="004B7AC8"/>
    <w:rsid w:val="004B7C1B"/>
    <w:rsid w:val="004C064C"/>
    <w:rsid w:val="004C1990"/>
    <w:rsid w:val="004C1DB6"/>
    <w:rsid w:val="004C1F17"/>
    <w:rsid w:val="004C2B99"/>
    <w:rsid w:val="004C49B1"/>
    <w:rsid w:val="004C6D63"/>
    <w:rsid w:val="004C78B2"/>
    <w:rsid w:val="004C7B2E"/>
    <w:rsid w:val="004D2739"/>
    <w:rsid w:val="004D4044"/>
    <w:rsid w:val="004D4855"/>
    <w:rsid w:val="004D638D"/>
    <w:rsid w:val="004D696F"/>
    <w:rsid w:val="004D702F"/>
    <w:rsid w:val="004E08D5"/>
    <w:rsid w:val="004E1FBD"/>
    <w:rsid w:val="004E2BB9"/>
    <w:rsid w:val="004E3B7D"/>
    <w:rsid w:val="004E74E7"/>
    <w:rsid w:val="004F0EF3"/>
    <w:rsid w:val="004F1AB7"/>
    <w:rsid w:val="004F5274"/>
    <w:rsid w:val="00501CAC"/>
    <w:rsid w:val="00501D63"/>
    <w:rsid w:val="0050332A"/>
    <w:rsid w:val="00504D25"/>
    <w:rsid w:val="005078AD"/>
    <w:rsid w:val="00510AFB"/>
    <w:rsid w:val="005110BD"/>
    <w:rsid w:val="00511124"/>
    <w:rsid w:val="005119F0"/>
    <w:rsid w:val="00512F92"/>
    <w:rsid w:val="005139AB"/>
    <w:rsid w:val="005141C7"/>
    <w:rsid w:val="0051477D"/>
    <w:rsid w:val="00517DD5"/>
    <w:rsid w:val="00517F39"/>
    <w:rsid w:val="0052035A"/>
    <w:rsid w:val="00520EED"/>
    <w:rsid w:val="00520FE2"/>
    <w:rsid w:val="00522062"/>
    <w:rsid w:val="005220EC"/>
    <w:rsid w:val="00523112"/>
    <w:rsid w:val="00523870"/>
    <w:rsid w:val="005239F9"/>
    <w:rsid w:val="00525A97"/>
    <w:rsid w:val="00527DAD"/>
    <w:rsid w:val="0053011F"/>
    <w:rsid w:val="0053046B"/>
    <w:rsid w:val="00531194"/>
    <w:rsid w:val="0053202B"/>
    <w:rsid w:val="00532057"/>
    <w:rsid w:val="00532095"/>
    <w:rsid w:val="005320F6"/>
    <w:rsid w:val="005321AC"/>
    <w:rsid w:val="005338B9"/>
    <w:rsid w:val="00533D68"/>
    <w:rsid w:val="00535A9E"/>
    <w:rsid w:val="005408B8"/>
    <w:rsid w:val="0054164B"/>
    <w:rsid w:val="00541D56"/>
    <w:rsid w:val="0054209F"/>
    <w:rsid w:val="00547E79"/>
    <w:rsid w:val="00551E8F"/>
    <w:rsid w:val="00552337"/>
    <w:rsid w:val="005523CB"/>
    <w:rsid w:val="00552C82"/>
    <w:rsid w:val="00552DF0"/>
    <w:rsid w:val="0055313D"/>
    <w:rsid w:val="00555983"/>
    <w:rsid w:val="005569F5"/>
    <w:rsid w:val="00556D61"/>
    <w:rsid w:val="00560F52"/>
    <w:rsid w:val="0056125F"/>
    <w:rsid w:val="0056188E"/>
    <w:rsid w:val="00562444"/>
    <w:rsid w:val="00562D61"/>
    <w:rsid w:val="005636B1"/>
    <w:rsid w:val="00564023"/>
    <w:rsid w:val="00564435"/>
    <w:rsid w:val="005654AA"/>
    <w:rsid w:val="005700E1"/>
    <w:rsid w:val="005705DF"/>
    <w:rsid w:val="0057078A"/>
    <w:rsid w:val="00574D5A"/>
    <w:rsid w:val="00577038"/>
    <w:rsid w:val="005822D6"/>
    <w:rsid w:val="00582366"/>
    <w:rsid w:val="00585849"/>
    <w:rsid w:val="00586517"/>
    <w:rsid w:val="005875D5"/>
    <w:rsid w:val="00587B3E"/>
    <w:rsid w:val="00590AF2"/>
    <w:rsid w:val="00592CD1"/>
    <w:rsid w:val="00592D7D"/>
    <w:rsid w:val="0059440E"/>
    <w:rsid w:val="005A0824"/>
    <w:rsid w:val="005A0AE4"/>
    <w:rsid w:val="005A1CAA"/>
    <w:rsid w:val="005A259E"/>
    <w:rsid w:val="005A2E55"/>
    <w:rsid w:val="005A3051"/>
    <w:rsid w:val="005A4C31"/>
    <w:rsid w:val="005A55B6"/>
    <w:rsid w:val="005A6231"/>
    <w:rsid w:val="005A7693"/>
    <w:rsid w:val="005A77E0"/>
    <w:rsid w:val="005B17F6"/>
    <w:rsid w:val="005B23C2"/>
    <w:rsid w:val="005B25A3"/>
    <w:rsid w:val="005B3FDE"/>
    <w:rsid w:val="005B478B"/>
    <w:rsid w:val="005B6F6C"/>
    <w:rsid w:val="005C0F76"/>
    <w:rsid w:val="005C193C"/>
    <w:rsid w:val="005C3866"/>
    <w:rsid w:val="005C49BA"/>
    <w:rsid w:val="005C5FF2"/>
    <w:rsid w:val="005C729E"/>
    <w:rsid w:val="005C7AFD"/>
    <w:rsid w:val="005D2D03"/>
    <w:rsid w:val="005D3113"/>
    <w:rsid w:val="005D3B90"/>
    <w:rsid w:val="005D3D8B"/>
    <w:rsid w:val="005D67D5"/>
    <w:rsid w:val="005D69F5"/>
    <w:rsid w:val="005D6FBB"/>
    <w:rsid w:val="005D71E7"/>
    <w:rsid w:val="005E153A"/>
    <w:rsid w:val="005E15E0"/>
    <w:rsid w:val="005E196C"/>
    <w:rsid w:val="005E196F"/>
    <w:rsid w:val="005E1987"/>
    <w:rsid w:val="005E2BDE"/>
    <w:rsid w:val="005E2F8D"/>
    <w:rsid w:val="005E3001"/>
    <w:rsid w:val="005E4225"/>
    <w:rsid w:val="005E4D29"/>
    <w:rsid w:val="005E504B"/>
    <w:rsid w:val="005E5995"/>
    <w:rsid w:val="005E5C57"/>
    <w:rsid w:val="005E60BE"/>
    <w:rsid w:val="005E692A"/>
    <w:rsid w:val="005F017E"/>
    <w:rsid w:val="005F01CF"/>
    <w:rsid w:val="005F2609"/>
    <w:rsid w:val="005F27C1"/>
    <w:rsid w:val="005F376A"/>
    <w:rsid w:val="005F422E"/>
    <w:rsid w:val="005F6885"/>
    <w:rsid w:val="005F7BA2"/>
    <w:rsid w:val="005F7C9C"/>
    <w:rsid w:val="00600564"/>
    <w:rsid w:val="00600F76"/>
    <w:rsid w:val="00601238"/>
    <w:rsid w:val="006014FD"/>
    <w:rsid w:val="006024CC"/>
    <w:rsid w:val="006069E1"/>
    <w:rsid w:val="00606F6E"/>
    <w:rsid w:val="006102F6"/>
    <w:rsid w:val="00610914"/>
    <w:rsid w:val="006112DB"/>
    <w:rsid w:val="00611D7D"/>
    <w:rsid w:val="006124C3"/>
    <w:rsid w:val="00612694"/>
    <w:rsid w:val="00612B11"/>
    <w:rsid w:val="00612F27"/>
    <w:rsid w:val="006130B6"/>
    <w:rsid w:val="006143EE"/>
    <w:rsid w:val="00615514"/>
    <w:rsid w:val="00615743"/>
    <w:rsid w:val="006158F7"/>
    <w:rsid w:val="00615BA5"/>
    <w:rsid w:val="00615CD4"/>
    <w:rsid w:val="00617D5C"/>
    <w:rsid w:val="006224F6"/>
    <w:rsid w:val="006229E3"/>
    <w:rsid w:val="006249AB"/>
    <w:rsid w:val="00624C7E"/>
    <w:rsid w:val="00624E04"/>
    <w:rsid w:val="00624FC3"/>
    <w:rsid w:val="00625DFF"/>
    <w:rsid w:val="00626152"/>
    <w:rsid w:val="00626DB0"/>
    <w:rsid w:val="00626EC0"/>
    <w:rsid w:val="00630259"/>
    <w:rsid w:val="00630368"/>
    <w:rsid w:val="0063120A"/>
    <w:rsid w:val="006333A2"/>
    <w:rsid w:val="006333AF"/>
    <w:rsid w:val="00633872"/>
    <w:rsid w:val="00634214"/>
    <w:rsid w:val="00634598"/>
    <w:rsid w:val="00634677"/>
    <w:rsid w:val="00635DC4"/>
    <w:rsid w:val="006360DF"/>
    <w:rsid w:val="0063760B"/>
    <w:rsid w:val="00637C40"/>
    <w:rsid w:val="00640801"/>
    <w:rsid w:val="00640B70"/>
    <w:rsid w:val="00640C2E"/>
    <w:rsid w:val="00643562"/>
    <w:rsid w:val="00645D0D"/>
    <w:rsid w:val="006463F5"/>
    <w:rsid w:val="00647BB4"/>
    <w:rsid w:val="00650307"/>
    <w:rsid w:val="00650594"/>
    <w:rsid w:val="006514EB"/>
    <w:rsid w:val="00651D38"/>
    <w:rsid w:val="00653E79"/>
    <w:rsid w:val="00653F63"/>
    <w:rsid w:val="006543A8"/>
    <w:rsid w:val="00654938"/>
    <w:rsid w:val="00660327"/>
    <w:rsid w:val="00660742"/>
    <w:rsid w:val="006611D9"/>
    <w:rsid w:val="00662045"/>
    <w:rsid w:val="00664F6B"/>
    <w:rsid w:val="00665E46"/>
    <w:rsid w:val="00666129"/>
    <w:rsid w:val="006664C9"/>
    <w:rsid w:val="00667110"/>
    <w:rsid w:val="00667277"/>
    <w:rsid w:val="006705B3"/>
    <w:rsid w:val="00671C73"/>
    <w:rsid w:val="00672E50"/>
    <w:rsid w:val="006731EB"/>
    <w:rsid w:val="00673523"/>
    <w:rsid w:val="00675140"/>
    <w:rsid w:val="0067514B"/>
    <w:rsid w:val="00676116"/>
    <w:rsid w:val="00676A9F"/>
    <w:rsid w:val="00676E34"/>
    <w:rsid w:val="00677498"/>
    <w:rsid w:val="006775A0"/>
    <w:rsid w:val="006775DC"/>
    <w:rsid w:val="006800D0"/>
    <w:rsid w:val="00681DFC"/>
    <w:rsid w:val="00682FCE"/>
    <w:rsid w:val="00684437"/>
    <w:rsid w:val="00686433"/>
    <w:rsid w:val="00686E0C"/>
    <w:rsid w:val="00690138"/>
    <w:rsid w:val="006903CF"/>
    <w:rsid w:val="00690FEC"/>
    <w:rsid w:val="0069258E"/>
    <w:rsid w:val="006926A3"/>
    <w:rsid w:val="00694EEC"/>
    <w:rsid w:val="006950F1"/>
    <w:rsid w:val="00695B08"/>
    <w:rsid w:val="00695BDD"/>
    <w:rsid w:val="00695ECD"/>
    <w:rsid w:val="0069621E"/>
    <w:rsid w:val="006970C9"/>
    <w:rsid w:val="0069783B"/>
    <w:rsid w:val="006A0A01"/>
    <w:rsid w:val="006A11EF"/>
    <w:rsid w:val="006A28E1"/>
    <w:rsid w:val="006A3A65"/>
    <w:rsid w:val="006A62CF"/>
    <w:rsid w:val="006B0EFF"/>
    <w:rsid w:val="006B2756"/>
    <w:rsid w:val="006B341C"/>
    <w:rsid w:val="006B363F"/>
    <w:rsid w:val="006B37DD"/>
    <w:rsid w:val="006B4174"/>
    <w:rsid w:val="006B6C8C"/>
    <w:rsid w:val="006B6D7F"/>
    <w:rsid w:val="006C038D"/>
    <w:rsid w:val="006C0D0A"/>
    <w:rsid w:val="006C157C"/>
    <w:rsid w:val="006C15E2"/>
    <w:rsid w:val="006C3EF2"/>
    <w:rsid w:val="006C5221"/>
    <w:rsid w:val="006C6B7A"/>
    <w:rsid w:val="006C7387"/>
    <w:rsid w:val="006C7DA7"/>
    <w:rsid w:val="006D14CF"/>
    <w:rsid w:val="006D3A59"/>
    <w:rsid w:val="006D4346"/>
    <w:rsid w:val="006D7E68"/>
    <w:rsid w:val="006E0007"/>
    <w:rsid w:val="006E0261"/>
    <w:rsid w:val="006E0B41"/>
    <w:rsid w:val="006E2E80"/>
    <w:rsid w:val="006E3CAA"/>
    <w:rsid w:val="006E4404"/>
    <w:rsid w:val="006E75A7"/>
    <w:rsid w:val="006E7C26"/>
    <w:rsid w:val="006F02BA"/>
    <w:rsid w:val="006F088C"/>
    <w:rsid w:val="006F124E"/>
    <w:rsid w:val="006F280C"/>
    <w:rsid w:val="006F4E58"/>
    <w:rsid w:val="006F5CA0"/>
    <w:rsid w:val="006F656C"/>
    <w:rsid w:val="006F7764"/>
    <w:rsid w:val="006F7985"/>
    <w:rsid w:val="00700679"/>
    <w:rsid w:val="007025A2"/>
    <w:rsid w:val="00702BF6"/>
    <w:rsid w:val="0070353A"/>
    <w:rsid w:val="00703CCF"/>
    <w:rsid w:val="00706B68"/>
    <w:rsid w:val="007072F8"/>
    <w:rsid w:val="0071027F"/>
    <w:rsid w:val="00711335"/>
    <w:rsid w:val="007115C2"/>
    <w:rsid w:val="00712BFC"/>
    <w:rsid w:val="00713259"/>
    <w:rsid w:val="00713977"/>
    <w:rsid w:val="00714FDF"/>
    <w:rsid w:val="00715743"/>
    <w:rsid w:val="007209C9"/>
    <w:rsid w:val="0072331C"/>
    <w:rsid w:val="00724603"/>
    <w:rsid w:val="007250D9"/>
    <w:rsid w:val="0072525D"/>
    <w:rsid w:val="007257CB"/>
    <w:rsid w:val="00727D72"/>
    <w:rsid w:val="007306B9"/>
    <w:rsid w:val="0073318F"/>
    <w:rsid w:val="00734E48"/>
    <w:rsid w:val="007354A3"/>
    <w:rsid w:val="007357EB"/>
    <w:rsid w:val="00736729"/>
    <w:rsid w:val="007367DE"/>
    <w:rsid w:val="0073709F"/>
    <w:rsid w:val="00740674"/>
    <w:rsid w:val="00740788"/>
    <w:rsid w:val="00742608"/>
    <w:rsid w:val="0074346D"/>
    <w:rsid w:val="00746146"/>
    <w:rsid w:val="0074616C"/>
    <w:rsid w:val="007470B3"/>
    <w:rsid w:val="00747C3E"/>
    <w:rsid w:val="00750A93"/>
    <w:rsid w:val="00750C76"/>
    <w:rsid w:val="00751364"/>
    <w:rsid w:val="00751DD7"/>
    <w:rsid w:val="00753C4E"/>
    <w:rsid w:val="007540BC"/>
    <w:rsid w:val="00755974"/>
    <w:rsid w:val="00755ABB"/>
    <w:rsid w:val="00755B3F"/>
    <w:rsid w:val="00756AE3"/>
    <w:rsid w:val="00756D58"/>
    <w:rsid w:val="00756EF1"/>
    <w:rsid w:val="00756FA4"/>
    <w:rsid w:val="007574AB"/>
    <w:rsid w:val="00757596"/>
    <w:rsid w:val="00757724"/>
    <w:rsid w:val="00761247"/>
    <w:rsid w:val="00761440"/>
    <w:rsid w:val="0076148E"/>
    <w:rsid w:val="00764374"/>
    <w:rsid w:val="007646F6"/>
    <w:rsid w:val="00765931"/>
    <w:rsid w:val="00766A99"/>
    <w:rsid w:val="00766B60"/>
    <w:rsid w:val="0076777D"/>
    <w:rsid w:val="0076778F"/>
    <w:rsid w:val="007704B7"/>
    <w:rsid w:val="00770F8A"/>
    <w:rsid w:val="0077134D"/>
    <w:rsid w:val="00771D95"/>
    <w:rsid w:val="0077209F"/>
    <w:rsid w:val="00773508"/>
    <w:rsid w:val="00773755"/>
    <w:rsid w:val="0077434D"/>
    <w:rsid w:val="00774EEB"/>
    <w:rsid w:val="0077560A"/>
    <w:rsid w:val="00775992"/>
    <w:rsid w:val="007767B8"/>
    <w:rsid w:val="007774AA"/>
    <w:rsid w:val="007776E8"/>
    <w:rsid w:val="00780498"/>
    <w:rsid w:val="007805DF"/>
    <w:rsid w:val="0078194D"/>
    <w:rsid w:val="00781AFE"/>
    <w:rsid w:val="00783D3A"/>
    <w:rsid w:val="00783E3D"/>
    <w:rsid w:val="007848D1"/>
    <w:rsid w:val="00784B85"/>
    <w:rsid w:val="00784BE5"/>
    <w:rsid w:val="00792699"/>
    <w:rsid w:val="007940E3"/>
    <w:rsid w:val="007944F1"/>
    <w:rsid w:val="00794B81"/>
    <w:rsid w:val="007952AF"/>
    <w:rsid w:val="007957F8"/>
    <w:rsid w:val="00795898"/>
    <w:rsid w:val="007A1BA8"/>
    <w:rsid w:val="007A360B"/>
    <w:rsid w:val="007A3870"/>
    <w:rsid w:val="007A4030"/>
    <w:rsid w:val="007A4280"/>
    <w:rsid w:val="007A48FF"/>
    <w:rsid w:val="007A5CBA"/>
    <w:rsid w:val="007A6402"/>
    <w:rsid w:val="007A6F4C"/>
    <w:rsid w:val="007A7FBD"/>
    <w:rsid w:val="007B08A0"/>
    <w:rsid w:val="007B255E"/>
    <w:rsid w:val="007B29FA"/>
    <w:rsid w:val="007B4554"/>
    <w:rsid w:val="007B508A"/>
    <w:rsid w:val="007B50E9"/>
    <w:rsid w:val="007B583A"/>
    <w:rsid w:val="007B6716"/>
    <w:rsid w:val="007C1E90"/>
    <w:rsid w:val="007C275C"/>
    <w:rsid w:val="007C304B"/>
    <w:rsid w:val="007C6DF7"/>
    <w:rsid w:val="007C77BF"/>
    <w:rsid w:val="007D0379"/>
    <w:rsid w:val="007D0A7F"/>
    <w:rsid w:val="007D15C5"/>
    <w:rsid w:val="007D3867"/>
    <w:rsid w:val="007D3DE1"/>
    <w:rsid w:val="007D529F"/>
    <w:rsid w:val="007D54B1"/>
    <w:rsid w:val="007D583E"/>
    <w:rsid w:val="007D6CBE"/>
    <w:rsid w:val="007D7094"/>
    <w:rsid w:val="007E0131"/>
    <w:rsid w:val="007E0669"/>
    <w:rsid w:val="007E1DC8"/>
    <w:rsid w:val="007E47E9"/>
    <w:rsid w:val="007E4EA8"/>
    <w:rsid w:val="007E50A9"/>
    <w:rsid w:val="007E79A2"/>
    <w:rsid w:val="007F04C5"/>
    <w:rsid w:val="007F053B"/>
    <w:rsid w:val="007F0BCA"/>
    <w:rsid w:val="007F1389"/>
    <w:rsid w:val="007F2559"/>
    <w:rsid w:val="007F2D4D"/>
    <w:rsid w:val="007F32EC"/>
    <w:rsid w:val="007F344C"/>
    <w:rsid w:val="007F46EF"/>
    <w:rsid w:val="00800064"/>
    <w:rsid w:val="008003E2"/>
    <w:rsid w:val="0080099B"/>
    <w:rsid w:val="00800F69"/>
    <w:rsid w:val="008031C3"/>
    <w:rsid w:val="0080375E"/>
    <w:rsid w:val="00806FC1"/>
    <w:rsid w:val="008073B7"/>
    <w:rsid w:val="00807B27"/>
    <w:rsid w:val="00812028"/>
    <w:rsid w:val="00812A19"/>
    <w:rsid w:val="00814C19"/>
    <w:rsid w:val="00815284"/>
    <w:rsid w:val="00815A37"/>
    <w:rsid w:val="00816F35"/>
    <w:rsid w:val="00817E40"/>
    <w:rsid w:val="00821B11"/>
    <w:rsid w:val="008236BC"/>
    <w:rsid w:val="0082374D"/>
    <w:rsid w:val="00826345"/>
    <w:rsid w:val="00827FA5"/>
    <w:rsid w:val="00832B2C"/>
    <w:rsid w:val="0083381C"/>
    <w:rsid w:val="00833AB1"/>
    <w:rsid w:val="00834DE2"/>
    <w:rsid w:val="00835055"/>
    <w:rsid w:val="008356DC"/>
    <w:rsid w:val="0083577C"/>
    <w:rsid w:val="00835A2B"/>
    <w:rsid w:val="00836A5D"/>
    <w:rsid w:val="008370D9"/>
    <w:rsid w:val="00840562"/>
    <w:rsid w:val="00841A6F"/>
    <w:rsid w:val="008424D9"/>
    <w:rsid w:val="0084259D"/>
    <w:rsid w:val="00842877"/>
    <w:rsid w:val="0084318C"/>
    <w:rsid w:val="00843222"/>
    <w:rsid w:val="0084330C"/>
    <w:rsid w:val="008435B1"/>
    <w:rsid w:val="00843822"/>
    <w:rsid w:val="00843C17"/>
    <w:rsid w:val="00844474"/>
    <w:rsid w:val="00844675"/>
    <w:rsid w:val="0084501B"/>
    <w:rsid w:val="008462CB"/>
    <w:rsid w:val="00846AC1"/>
    <w:rsid w:val="00847692"/>
    <w:rsid w:val="00850D6A"/>
    <w:rsid w:val="00851C1F"/>
    <w:rsid w:val="00852D42"/>
    <w:rsid w:val="008541AD"/>
    <w:rsid w:val="008545BD"/>
    <w:rsid w:val="00854ACF"/>
    <w:rsid w:val="00854D95"/>
    <w:rsid w:val="00855553"/>
    <w:rsid w:val="0085728C"/>
    <w:rsid w:val="008642AC"/>
    <w:rsid w:val="00864D9B"/>
    <w:rsid w:val="00866EE7"/>
    <w:rsid w:val="00867601"/>
    <w:rsid w:val="008679F1"/>
    <w:rsid w:val="00867DB1"/>
    <w:rsid w:val="008706E4"/>
    <w:rsid w:val="00870F11"/>
    <w:rsid w:val="00871328"/>
    <w:rsid w:val="008720D7"/>
    <w:rsid w:val="008724B2"/>
    <w:rsid w:val="008727CE"/>
    <w:rsid w:val="00872B82"/>
    <w:rsid w:val="00872D4A"/>
    <w:rsid w:val="00874D08"/>
    <w:rsid w:val="008758B4"/>
    <w:rsid w:val="00875E1D"/>
    <w:rsid w:val="008769D5"/>
    <w:rsid w:val="00880244"/>
    <w:rsid w:val="00880847"/>
    <w:rsid w:val="00884420"/>
    <w:rsid w:val="00885DB5"/>
    <w:rsid w:val="00885FA5"/>
    <w:rsid w:val="008869A6"/>
    <w:rsid w:val="00886C92"/>
    <w:rsid w:val="0088714C"/>
    <w:rsid w:val="008875C5"/>
    <w:rsid w:val="00890669"/>
    <w:rsid w:val="00893899"/>
    <w:rsid w:val="00894DD5"/>
    <w:rsid w:val="008950CB"/>
    <w:rsid w:val="00895863"/>
    <w:rsid w:val="00896B2A"/>
    <w:rsid w:val="00896E22"/>
    <w:rsid w:val="00896E95"/>
    <w:rsid w:val="008A0179"/>
    <w:rsid w:val="008A4A43"/>
    <w:rsid w:val="008A516F"/>
    <w:rsid w:val="008A5E85"/>
    <w:rsid w:val="008A71B5"/>
    <w:rsid w:val="008A756C"/>
    <w:rsid w:val="008B00A5"/>
    <w:rsid w:val="008B0A04"/>
    <w:rsid w:val="008B1772"/>
    <w:rsid w:val="008B25F8"/>
    <w:rsid w:val="008B268E"/>
    <w:rsid w:val="008B317D"/>
    <w:rsid w:val="008B3604"/>
    <w:rsid w:val="008B3F3B"/>
    <w:rsid w:val="008B5E8A"/>
    <w:rsid w:val="008C0A6D"/>
    <w:rsid w:val="008C26E4"/>
    <w:rsid w:val="008C3A60"/>
    <w:rsid w:val="008C4CAB"/>
    <w:rsid w:val="008C59AA"/>
    <w:rsid w:val="008C718A"/>
    <w:rsid w:val="008D039D"/>
    <w:rsid w:val="008D1DB2"/>
    <w:rsid w:val="008D236E"/>
    <w:rsid w:val="008D272C"/>
    <w:rsid w:val="008D2CF6"/>
    <w:rsid w:val="008D3694"/>
    <w:rsid w:val="008D45DD"/>
    <w:rsid w:val="008D5077"/>
    <w:rsid w:val="008D5578"/>
    <w:rsid w:val="008D5CDD"/>
    <w:rsid w:val="008D6923"/>
    <w:rsid w:val="008D7A3C"/>
    <w:rsid w:val="008E0385"/>
    <w:rsid w:val="008E03B1"/>
    <w:rsid w:val="008E05C1"/>
    <w:rsid w:val="008E1747"/>
    <w:rsid w:val="008E1DCF"/>
    <w:rsid w:val="008E4F67"/>
    <w:rsid w:val="008F0BEB"/>
    <w:rsid w:val="008F2190"/>
    <w:rsid w:val="008F2E7F"/>
    <w:rsid w:val="008F357E"/>
    <w:rsid w:val="008F639B"/>
    <w:rsid w:val="0090228C"/>
    <w:rsid w:val="00902494"/>
    <w:rsid w:val="00903AD5"/>
    <w:rsid w:val="009106D7"/>
    <w:rsid w:val="00910BFE"/>
    <w:rsid w:val="0091120D"/>
    <w:rsid w:val="0091183B"/>
    <w:rsid w:val="00911869"/>
    <w:rsid w:val="00915149"/>
    <w:rsid w:val="00915AE8"/>
    <w:rsid w:val="00915B53"/>
    <w:rsid w:val="009173DE"/>
    <w:rsid w:val="0092196B"/>
    <w:rsid w:val="00921FC1"/>
    <w:rsid w:val="009249B4"/>
    <w:rsid w:val="00924FC3"/>
    <w:rsid w:val="00925CB7"/>
    <w:rsid w:val="0092610D"/>
    <w:rsid w:val="00927AB5"/>
    <w:rsid w:val="00927EFD"/>
    <w:rsid w:val="0093065F"/>
    <w:rsid w:val="00930E48"/>
    <w:rsid w:val="00930FF3"/>
    <w:rsid w:val="00931150"/>
    <w:rsid w:val="009319C5"/>
    <w:rsid w:val="00931CF3"/>
    <w:rsid w:val="00932CF9"/>
    <w:rsid w:val="009373FF"/>
    <w:rsid w:val="009400BB"/>
    <w:rsid w:val="009402A5"/>
    <w:rsid w:val="00940970"/>
    <w:rsid w:val="00940993"/>
    <w:rsid w:val="009409DA"/>
    <w:rsid w:val="00940BF7"/>
    <w:rsid w:val="009430E3"/>
    <w:rsid w:val="0094425C"/>
    <w:rsid w:val="009462E3"/>
    <w:rsid w:val="00946733"/>
    <w:rsid w:val="0094681B"/>
    <w:rsid w:val="00947048"/>
    <w:rsid w:val="00947A49"/>
    <w:rsid w:val="00947FAB"/>
    <w:rsid w:val="009505EC"/>
    <w:rsid w:val="00951324"/>
    <w:rsid w:val="00951959"/>
    <w:rsid w:val="00951EA4"/>
    <w:rsid w:val="00952A97"/>
    <w:rsid w:val="00953B80"/>
    <w:rsid w:val="009542AD"/>
    <w:rsid w:val="009549F8"/>
    <w:rsid w:val="00955E89"/>
    <w:rsid w:val="0095661B"/>
    <w:rsid w:val="009568B2"/>
    <w:rsid w:val="00957780"/>
    <w:rsid w:val="0096003A"/>
    <w:rsid w:val="00960852"/>
    <w:rsid w:val="009624DD"/>
    <w:rsid w:val="009628D2"/>
    <w:rsid w:val="009632B9"/>
    <w:rsid w:val="009654CA"/>
    <w:rsid w:val="009718F5"/>
    <w:rsid w:val="00972A11"/>
    <w:rsid w:val="00973B33"/>
    <w:rsid w:val="00974DB6"/>
    <w:rsid w:val="009767F7"/>
    <w:rsid w:val="00976B70"/>
    <w:rsid w:val="00977371"/>
    <w:rsid w:val="009774F6"/>
    <w:rsid w:val="00980638"/>
    <w:rsid w:val="00981108"/>
    <w:rsid w:val="00981578"/>
    <w:rsid w:val="0098238E"/>
    <w:rsid w:val="009829E9"/>
    <w:rsid w:val="00983C33"/>
    <w:rsid w:val="00984ABE"/>
    <w:rsid w:val="00984FA6"/>
    <w:rsid w:val="009856E8"/>
    <w:rsid w:val="009857ED"/>
    <w:rsid w:val="0098632A"/>
    <w:rsid w:val="009905FE"/>
    <w:rsid w:val="009912BD"/>
    <w:rsid w:val="009913E2"/>
    <w:rsid w:val="00991D68"/>
    <w:rsid w:val="00992327"/>
    <w:rsid w:val="00992C6C"/>
    <w:rsid w:val="009931E1"/>
    <w:rsid w:val="009935B0"/>
    <w:rsid w:val="00994505"/>
    <w:rsid w:val="00994724"/>
    <w:rsid w:val="0099530A"/>
    <w:rsid w:val="0099551F"/>
    <w:rsid w:val="009958F7"/>
    <w:rsid w:val="009960D6"/>
    <w:rsid w:val="00997D39"/>
    <w:rsid w:val="009A1AA8"/>
    <w:rsid w:val="009A1E1D"/>
    <w:rsid w:val="009A5409"/>
    <w:rsid w:val="009A5D4F"/>
    <w:rsid w:val="009A6727"/>
    <w:rsid w:val="009B0306"/>
    <w:rsid w:val="009B20EB"/>
    <w:rsid w:val="009B4F08"/>
    <w:rsid w:val="009B5063"/>
    <w:rsid w:val="009B7358"/>
    <w:rsid w:val="009C07FA"/>
    <w:rsid w:val="009C112E"/>
    <w:rsid w:val="009C16A0"/>
    <w:rsid w:val="009C1F16"/>
    <w:rsid w:val="009C23A2"/>
    <w:rsid w:val="009C50B8"/>
    <w:rsid w:val="009C5C6D"/>
    <w:rsid w:val="009C655A"/>
    <w:rsid w:val="009C702B"/>
    <w:rsid w:val="009C7E94"/>
    <w:rsid w:val="009D0DC7"/>
    <w:rsid w:val="009D1435"/>
    <w:rsid w:val="009D1F72"/>
    <w:rsid w:val="009D23D4"/>
    <w:rsid w:val="009D3006"/>
    <w:rsid w:val="009D4150"/>
    <w:rsid w:val="009D449A"/>
    <w:rsid w:val="009D4679"/>
    <w:rsid w:val="009D5985"/>
    <w:rsid w:val="009D600D"/>
    <w:rsid w:val="009D62F0"/>
    <w:rsid w:val="009D7CED"/>
    <w:rsid w:val="009E06CC"/>
    <w:rsid w:val="009E079F"/>
    <w:rsid w:val="009E0FE6"/>
    <w:rsid w:val="009E1470"/>
    <w:rsid w:val="009E2A68"/>
    <w:rsid w:val="009E3B83"/>
    <w:rsid w:val="009E6277"/>
    <w:rsid w:val="009E78EC"/>
    <w:rsid w:val="009F40C5"/>
    <w:rsid w:val="009F417D"/>
    <w:rsid w:val="009F4F9F"/>
    <w:rsid w:val="009F5833"/>
    <w:rsid w:val="009F5C8C"/>
    <w:rsid w:val="009F5F0A"/>
    <w:rsid w:val="009F664B"/>
    <w:rsid w:val="009F6705"/>
    <w:rsid w:val="009F6F1A"/>
    <w:rsid w:val="00A014C7"/>
    <w:rsid w:val="00A01800"/>
    <w:rsid w:val="00A01B5B"/>
    <w:rsid w:val="00A01F35"/>
    <w:rsid w:val="00A03E31"/>
    <w:rsid w:val="00A049CE"/>
    <w:rsid w:val="00A04C3E"/>
    <w:rsid w:val="00A063F5"/>
    <w:rsid w:val="00A11226"/>
    <w:rsid w:val="00A11581"/>
    <w:rsid w:val="00A1180F"/>
    <w:rsid w:val="00A14040"/>
    <w:rsid w:val="00A15D42"/>
    <w:rsid w:val="00A202AF"/>
    <w:rsid w:val="00A20771"/>
    <w:rsid w:val="00A209A5"/>
    <w:rsid w:val="00A2130B"/>
    <w:rsid w:val="00A21560"/>
    <w:rsid w:val="00A2177E"/>
    <w:rsid w:val="00A21C84"/>
    <w:rsid w:val="00A21D7C"/>
    <w:rsid w:val="00A2264E"/>
    <w:rsid w:val="00A22DC0"/>
    <w:rsid w:val="00A2485D"/>
    <w:rsid w:val="00A26908"/>
    <w:rsid w:val="00A313D8"/>
    <w:rsid w:val="00A320DC"/>
    <w:rsid w:val="00A32296"/>
    <w:rsid w:val="00A32433"/>
    <w:rsid w:val="00A330B4"/>
    <w:rsid w:val="00A34148"/>
    <w:rsid w:val="00A3456C"/>
    <w:rsid w:val="00A34ED4"/>
    <w:rsid w:val="00A370D9"/>
    <w:rsid w:val="00A3787A"/>
    <w:rsid w:val="00A37CE1"/>
    <w:rsid w:val="00A37FFB"/>
    <w:rsid w:val="00A40C26"/>
    <w:rsid w:val="00A42C91"/>
    <w:rsid w:val="00A436C1"/>
    <w:rsid w:val="00A45893"/>
    <w:rsid w:val="00A46B4B"/>
    <w:rsid w:val="00A47262"/>
    <w:rsid w:val="00A52902"/>
    <w:rsid w:val="00A532E4"/>
    <w:rsid w:val="00A541A3"/>
    <w:rsid w:val="00A5466D"/>
    <w:rsid w:val="00A5641E"/>
    <w:rsid w:val="00A5770A"/>
    <w:rsid w:val="00A60370"/>
    <w:rsid w:val="00A64505"/>
    <w:rsid w:val="00A6669D"/>
    <w:rsid w:val="00A666EC"/>
    <w:rsid w:val="00A6777B"/>
    <w:rsid w:val="00A67E67"/>
    <w:rsid w:val="00A70E0E"/>
    <w:rsid w:val="00A7178F"/>
    <w:rsid w:val="00A72072"/>
    <w:rsid w:val="00A721AD"/>
    <w:rsid w:val="00A751BD"/>
    <w:rsid w:val="00A752CB"/>
    <w:rsid w:val="00A75DBC"/>
    <w:rsid w:val="00A77915"/>
    <w:rsid w:val="00A816B9"/>
    <w:rsid w:val="00A8236B"/>
    <w:rsid w:val="00A8257F"/>
    <w:rsid w:val="00A82615"/>
    <w:rsid w:val="00A82676"/>
    <w:rsid w:val="00A82C39"/>
    <w:rsid w:val="00A83B2E"/>
    <w:rsid w:val="00A85083"/>
    <w:rsid w:val="00A85E56"/>
    <w:rsid w:val="00A8625B"/>
    <w:rsid w:val="00A8633B"/>
    <w:rsid w:val="00A9017E"/>
    <w:rsid w:val="00A90BD1"/>
    <w:rsid w:val="00A914A2"/>
    <w:rsid w:val="00A92C59"/>
    <w:rsid w:val="00A9394B"/>
    <w:rsid w:val="00A93E69"/>
    <w:rsid w:val="00A942AB"/>
    <w:rsid w:val="00A947B1"/>
    <w:rsid w:val="00A9489C"/>
    <w:rsid w:val="00A94A31"/>
    <w:rsid w:val="00A94F3D"/>
    <w:rsid w:val="00A9546C"/>
    <w:rsid w:val="00A968DD"/>
    <w:rsid w:val="00A9777B"/>
    <w:rsid w:val="00A97E6A"/>
    <w:rsid w:val="00AA0162"/>
    <w:rsid w:val="00AA1DC0"/>
    <w:rsid w:val="00AA1F0F"/>
    <w:rsid w:val="00AA20A6"/>
    <w:rsid w:val="00AA314F"/>
    <w:rsid w:val="00AA4328"/>
    <w:rsid w:val="00AA4C48"/>
    <w:rsid w:val="00AA6691"/>
    <w:rsid w:val="00AB024B"/>
    <w:rsid w:val="00AB067E"/>
    <w:rsid w:val="00AB2770"/>
    <w:rsid w:val="00AB2C33"/>
    <w:rsid w:val="00AB33D2"/>
    <w:rsid w:val="00AB35C0"/>
    <w:rsid w:val="00AB3DA6"/>
    <w:rsid w:val="00AB4073"/>
    <w:rsid w:val="00AB479F"/>
    <w:rsid w:val="00AB4F87"/>
    <w:rsid w:val="00AB6304"/>
    <w:rsid w:val="00AB6967"/>
    <w:rsid w:val="00AB6EF7"/>
    <w:rsid w:val="00AB6F7F"/>
    <w:rsid w:val="00AC052F"/>
    <w:rsid w:val="00AC05E3"/>
    <w:rsid w:val="00AC0993"/>
    <w:rsid w:val="00AC14AF"/>
    <w:rsid w:val="00AC198F"/>
    <w:rsid w:val="00AC28E2"/>
    <w:rsid w:val="00AC2AA4"/>
    <w:rsid w:val="00AC3CB4"/>
    <w:rsid w:val="00AC6007"/>
    <w:rsid w:val="00AC6B73"/>
    <w:rsid w:val="00AC7DCC"/>
    <w:rsid w:val="00AD0AD5"/>
    <w:rsid w:val="00AD45B0"/>
    <w:rsid w:val="00AD5AA8"/>
    <w:rsid w:val="00AD6CC6"/>
    <w:rsid w:val="00AE01FD"/>
    <w:rsid w:val="00AE08C2"/>
    <w:rsid w:val="00AE0AA7"/>
    <w:rsid w:val="00AE27CE"/>
    <w:rsid w:val="00AE34CE"/>
    <w:rsid w:val="00AE5DFF"/>
    <w:rsid w:val="00AE6149"/>
    <w:rsid w:val="00AE6930"/>
    <w:rsid w:val="00AE73A6"/>
    <w:rsid w:val="00AE74CF"/>
    <w:rsid w:val="00AF0514"/>
    <w:rsid w:val="00AF0D44"/>
    <w:rsid w:val="00AF0DA9"/>
    <w:rsid w:val="00AF1172"/>
    <w:rsid w:val="00AF17F1"/>
    <w:rsid w:val="00AF1B49"/>
    <w:rsid w:val="00AF397A"/>
    <w:rsid w:val="00AF3DB4"/>
    <w:rsid w:val="00AF480B"/>
    <w:rsid w:val="00AF4E99"/>
    <w:rsid w:val="00AF6C86"/>
    <w:rsid w:val="00B000E3"/>
    <w:rsid w:val="00B01F58"/>
    <w:rsid w:val="00B02ACB"/>
    <w:rsid w:val="00B03CBE"/>
    <w:rsid w:val="00B046C2"/>
    <w:rsid w:val="00B04AB1"/>
    <w:rsid w:val="00B10C19"/>
    <w:rsid w:val="00B11B6F"/>
    <w:rsid w:val="00B11C2C"/>
    <w:rsid w:val="00B11DE8"/>
    <w:rsid w:val="00B13015"/>
    <w:rsid w:val="00B1422E"/>
    <w:rsid w:val="00B14460"/>
    <w:rsid w:val="00B14B67"/>
    <w:rsid w:val="00B14E33"/>
    <w:rsid w:val="00B1560D"/>
    <w:rsid w:val="00B16DC5"/>
    <w:rsid w:val="00B170E9"/>
    <w:rsid w:val="00B20D7E"/>
    <w:rsid w:val="00B2226A"/>
    <w:rsid w:val="00B22E16"/>
    <w:rsid w:val="00B23C54"/>
    <w:rsid w:val="00B25018"/>
    <w:rsid w:val="00B252EB"/>
    <w:rsid w:val="00B2584E"/>
    <w:rsid w:val="00B25868"/>
    <w:rsid w:val="00B25E9F"/>
    <w:rsid w:val="00B26A7C"/>
    <w:rsid w:val="00B30B66"/>
    <w:rsid w:val="00B30CA0"/>
    <w:rsid w:val="00B31403"/>
    <w:rsid w:val="00B3337E"/>
    <w:rsid w:val="00B33674"/>
    <w:rsid w:val="00B35CB5"/>
    <w:rsid w:val="00B360AF"/>
    <w:rsid w:val="00B3612C"/>
    <w:rsid w:val="00B361B8"/>
    <w:rsid w:val="00B362EC"/>
    <w:rsid w:val="00B37A86"/>
    <w:rsid w:val="00B40C2B"/>
    <w:rsid w:val="00B41576"/>
    <w:rsid w:val="00B437A5"/>
    <w:rsid w:val="00B437F3"/>
    <w:rsid w:val="00B4432B"/>
    <w:rsid w:val="00B446F2"/>
    <w:rsid w:val="00B44ED0"/>
    <w:rsid w:val="00B4666D"/>
    <w:rsid w:val="00B46EBD"/>
    <w:rsid w:val="00B472B5"/>
    <w:rsid w:val="00B47585"/>
    <w:rsid w:val="00B51ECA"/>
    <w:rsid w:val="00B51FB4"/>
    <w:rsid w:val="00B5304C"/>
    <w:rsid w:val="00B55784"/>
    <w:rsid w:val="00B5665B"/>
    <w:rsid w:val="00B56C90"/>
    <w:rsid w:val="00B5744A"/>
    <w:rsid w:val="00B575C6"/>
    <w:rsid w:val="00B57F88"/>
    <w:rsid w:val="00B60F20"/>
    <w:rsid w:val="00B61F8E"/>
    <w:rsid w:val="00B62A82"/>
    <w:rsid w:val="00B62D57"/>
    <w:rsid w:val="00B654C4"/>
    <w:rsid w:val="00B65766"/>
    <w:rsid w:val="00B65D2A"/>
    <w:rsid w:val="00B66DBF"/>
    <w:rsid w:val="00B6752F"/>
    <w:rsid w:val="00B67926"/>
    <w:rsid w:val="00B67F39"/>
    <w:rsid w:val="00B70D5A"/>
    <w:rsid w:val="00B71939"/>
    <w:rsid w:val="00B80398"/>
    <w:rsid w:val="00B82997"/>
    <w:rsid w:val="00B82C9C"/>
    <w:rsid w:val="00B83D79"/>
    <w:rsid w:val="00B8480F"/>
    <w:rsid w:val="00B84DC1"/>
    <w:rsid w:val="00B86868"/>
    <w:rsid w:val="00B87A6C"/>
    <w:rsid w:val="00B900B4"/>
    <w:rsid w:val="00B902CA"/>
    <w:rsid w:val="00B9071C"/>
    <w:rsid w:val="00B90D62"/>
    <w:rsid w:val="00B90E5E"/>
    <w:rsid w:val="00B90F08"/>
    <w:rsid w:val="00B911E2"/>
    <w:rsid w:val="00B913ED"/>
    <w:rsid w:val="00B92198"/>
    <w:rsid w:val="00B92336"/>
    <w:rsid w:val="00B92D5B"/>
    <w:rsid w:val="00B93D09"/>
    <w:rsid w:val="00B9545A"/>
    <w:rsid w:val="00B957B3"/>
    <w:rsid w:val="00B976F7"/>
    <w:rsid w:val="00B97BD9"/>
    <w:rsid w:val="00B97C7C"/>
    <w:rsid w:val="00BA4C76"/>
    <w:rsid w:val="00BA53A5"/>
    <w:rsid w:val="00BA57BE"/>
    <w:rsid w:val="00BA5ED9"/>
    <w:rsid w:val="00BA5FB9"/>
    <w:rsid w:val="00BA6BC1"/>
    <w:rsid w:val="00BA6D8A"/>
    <w:rsid w:val="00BA7476"/>
    <w:rsid w:val="00BB14A2"/>
    <w:rsid w:val="00BB14DF"/>
    <w:rsid w:val="00BB1B2F"/>
    <w:rsid w:val="00BB35EF"/>
    <w:rsid w:val="00BB44BD"/>
    <w:rsid w:val="00BB476F"/>
    <w:rsid w:val="00BB4D5B"/>
    <w:rsid w:val="00BB5939"/>
    <w:rsid w:val="00BB6030"/>
    <w:rsid w:val="00BB7EF8"/>
    <w:rsid w:val="00BC0EA8"/>
    <w:rsid w:val="00BC161B"/>
    <w:rsid w:val="00BC1A66"/>
    <w:rsid w:val="00BC2230"/>
    <w:rsid w:val="00BC3625"/>
    <w:rsid w:val="00BC4B54"/>
    <w:rsid w:val="00BC4F09"/>
    <w:rsid w:val="00BC6142"/>
    <w:rsid w:val="00BC63BB"/>
    <w:rsid w:val="00BD01B8"/>
    <w:rsid w:val="00BD0C92"/>
    <w:rsid w:val="00BD19A5"/>
    <w:rsid w:val="00BD2D6A"/>
    <w:rsid w:val="00BE13E0"/>
    <w:rsid w:val="00BE1CD3"/>
    <w:rsid w:val="00BE2541"/>
    <w:rsid w:val="00BE41BB"/>
    <w:rsid w:val="00BE51D5"/>
    <w:rsid w:val="00BE5786"/>
    <w:rsid w:val="00BF0936"/>
    <w:rsid w:val="00BF0A89"/>
    <w:rsid w:val="00BF138D"/>
    <w:rsid w:val="00BF181C"/>
    <w:rsid w:val="00BF1A55"/>
    <w:rsid w:val="00BF288A"/>
    <w:rsid w:val="00BF3BF5"/>
    <w:rsid w:val="00BF4EBD"/>
    <w:rsid w:val="00BF54AE"/>
    <w:rsid w:val="00BF724E"/>
    <w:rsid w:val="00BF7273"/>
    <w:rsid w:val="00BF73EE"/>
    <w:rsid w:val="00BF7CDE"/>
    <w:rsid w:val="00C005E9"/>
    <w:rsid w:val="00C00918"/>
    <w:rsid w:val="00C02399"/>
    <w:rsid w:val="00C0254B"/>
    <w:rsid w:val="00C04FA0"/>
    <w:rsid w:val="00C051DB"/>
    <w:rsid w:val="00C05C54"/>
    <w:rsid w:val="00C07CB0"/>
    <w:rsid w:val="00C10718"/>
    <w:rsid w:val="00C10E60"/>
    <w:rsid w:val="00C114BE"/>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6106"/>
    <w:rsid w:val="00C26B71"/>
    <w:rsid w:val="00C309EF"/>
    <w:rsid w:val="00C31420"/>
    <w:rsid w:val="00C3226C"/>
    <w:rsid w:val="00C33C58"/>
    <w:rsid w:val="00C3514A"/>
    <w:rsid w:val="00C36075"/>
    <w:rsid w:val="00C37081"/>
    <w:rsid w:val="00C41359"/>
    <w:rsid w:val="00C41909"/>
    <w:rsid w:val="00C41B1A"/>
    <w:rsid w:val="00C426FD"/>
    <w:rsid w:val="00C43446"/>
    <w:rsid w:val="00C43628"/>
    <w:rsid w:val="00C437CC"/>
    <w:rsid w:val="00C4510F"/>
    <w:rsid w:val="00C46174"/>
    <w:rsid w:val="00C4682A"/>
    <w:rsid w:val="00C47406"/>
    <w:rsid w:val="00C525FC"/>
    <w:rsid w:val="00C52824"/>
    <w:rsid w:val="00C53443"/>
    <w:rsid w:val="00C5431B"/>
    <w:rsid w:val="00C54362"/>
    <w:rsid w:val="00C5437C"/>
    <w:rsid w:val="00C54519"/>
    <w:rsid w:val="00C56358"/>
    <w:rsid w:val="00C57131"/>
    <w:rsid w:val="00C572A2"/>
    <w:rsid w:val="00C5775D"/>
    <w:rsid w:val="00C618AB"/>
    <w:rsid w:val="00C624BA"/>
    <w:rsid w:val="00C634DE"/>
    <w:rsid w:val="00C63770"/>
    <w:rsid w:val="00C63A17"/>
    <w:rsid w:val="00C6544D"/>
    <w:rsid w:val="00C6564B"/>
    <w:rsid w:val="00C66177"/>
    <w:rsid w:val="00C6682B"/>
    <w:rsid w:val="00C66D18"/>
    <w:rsid w:val="00C71424"/>
    <w:rsid w:val="00C71C2C"/>
    <w:rsid w:val="00C757D3"/>
    <w:rsid w:val="00C75FF0"/>
    <w:rsid w:val="00C761EF"/>
    <w:rsid w:val="00C77560"/>
    <w:rsid w:val="00C77C33"/>
    <w:rsid w:val="00C8063E"/>
    <w:rsid w:val="00C85210"/>
    <w:rsid w:val="00C85FE2"/>
    <w:rsid w:val="00C86D6C"/>
    <w:rsid w:val="00C9066D"/>
    <w:rsid w:val="00C90BD5"/>
    <w:rsid w:val="00C9527B"/>
    <w:rsid w:val="00C9654C"/>
    <w:rsid w:val="00CA08C4"/>
    <w:rsid w:val="00CA08FA"/>
    <w:rsid w:val="00CA115B"/>
    <w:rsid w:val="00CA21DC"/>
    <w:rsid w:val="00CA21FA"/>
    <w:rsid w:val="00CA39BF"/>
    <w:rsid w:val="00CA48F6"/>
    <w:rsid w:val="00CA4E49"/>
    <w:rsid w:val="00CA6054"/>
    <w:rsid w:val="00CA7310"/>
    <w:rsid w:val="00CA737E"/>
    <w:rsid w:val="00CA79DA"/>
    <w:rsid w:val="00CA7C1D"/>
    <w:rsid w:val="00CB1277"/>
    <w:rsid w:val="00CB12D9"/>
    <w:rsid w:val="00CB13E1"/>
    <w:rsid w:val="00CB17C7"/>
    <w:rsid w:val="00CB248F"/>
    <w:rsid w:val="00CB2654"/>
    <w:rsid w:val="00CB290D"/>
    <w:rsid w:val="00CB31E1"/>
    <w:rsid w:val="00CB394F"/>
    <w:rsid w:val="00CB3E9B"/>
    <w:rsid w:val="00CB4A2F"/>
    <w:rsid w:val="00CB56FB"/>
    <w:rsid w:val="00CB5A4B"/>
    <w:rsid w:val="00CB5AC8"/>
    <w:rsid w:val="00CB6AC2"/>
    <w:rsid w:val="00CB7502"/>
    <w:rsid w:val="00CB7CFA"/>
    <w:rsid w:val="00CC1887"/>
    <w:rsid w:val="00CC23D1"/>
    <w:rsid w:val="00CC51ED"/>
    <w:rsid w:val="00CC53AA"/>
    <w:rsid w:val="00CC5B83"/>
    <w:rsid w:val="00CC5CE3"/>
    <w:rsid w:val="00CC6D21"/>
    <w:rsid w:val="00CC7F14"/>
    <w:rsid w:val="00CD4AD9"/>
    <w:rsid w:val="00CD7087"/>
    <w:rsid w:val="00CE0B00"/>
    <w:rsid w:val="00CE0B23"/>
    <w:rsid w:val="00CE2C52"/>
    <w:rsid w:val="00CE2CF9"/>
    <w:rsid w:val="00CE3974"/>
    <w:rsid w:val="00CE3B76"/>
    <w:rsid w:val="00CE53DB"/>
    <w:rsid w:val="00CE5D4C"/>
    <w:rsid w:val="00CE62C5"/>
    <w:rsid w:val="00CE7513"/>
    <w:rsid w:val="00CF06A7"/>
    <w:rsid w:val="00CF0841"/>
    <w:rsid w:val="00CF0CA3"/>
    <w:rsid w:val="00CF1777"/>
    <w:rsid w:val="00CF1D6A"/>
    <w:rsid w:val="00CF291A"/>
    <w:rsid w:val="00CF2BCF"/>
    <w:rsid w:val="00CF3629"/>
    <w:rsid w:val="00CF3750"/>
    <w:rsid w:val="00CF3C10"/>
    <w:rsid w:val="00CF4584"/>
    <w:rsid w:val="00CF64F9"/>
    <w:rsid w:val="00D00FF1"/>
    <w:rsid w:val="00D023D9"/>
    <w:rsid w:val="00D036C2"/>
    <w:rsid w:val="00D03992"/>
    <w:rsid w:val="00D03EC6"/>
    <w:rsid w:val="00D051A0"/>
    <w:rsid w:val="00D05306"/>
    <w:rsid w:val="00D05B9D"/>
    <w:rsid w:val="00D110DB"/>
    <w:rsid w:val="00D12B2A"/>
    <w:rsid w:val="00D13E79"/>
    <w:rsid w:val="00D140D3"/>
    <w:rsid w:val="00D154F2"/>
    <w:rsid w:val="00D162E2"/>
    <w:rsid w:val="00D166E8"/>
    <w:rsid w:val="00D16A9C"/>
    <w:rsid w:val="00D16FFE"/>
    <w:rsid w:val="00D17E22"/>
    <w:rsid w:val="00D17E97"/>
    <w:rsid w:val="00D20AD2"/>
    <w:rsid w:val="00D21513"/>
    <w:rsid w:val="00D2237D"/>
    <w:rsid w:val="00D23BEE"/>
    <w:rsid w:val="00D2500E"/>
    <w:rsid w:val="00D31858"/>
    <w:rsid w:val="00D31913"/>
    <w:rsid w:val="00D31A22"/>
    <w:rsid w:val="00D3333F"/>
    <w:rsid w:val="00D3354C"/>
    <w:rsid w:val="00D340A7"/>
    <w:rsid w:val="00D34D6A"/>
    <w:rsid w:val="00D34F58"/>
    <w:rsid w:val="00D34FC4"/>
    <w:rsid w:val="00D35643"/>
    <w:rsid w:val="00D36F0A"/>
    <w:rsid w:val="00D36F21"/>
    <w:rsid w:val="00D378FB"/>
    <w:rsid w:val="00D37F01"/>
    <w:rsid w:val="00D43BB1"/>
    <w:rsid w:val="00D43C47"/>
    <w:rsid w:val="00D4624D"/>
    <w:rsid w:val="00D47205"/>
    <w:rsid w:val="00D47F0E"/>
    <w:rsid w:val="00D506C4"/>
    <w:rsid w:val="00D5090D"/>
    <w:rsid w:val="00D51795"/>
    <w:rsid w:val="00D51F35"/>
    <w:rsid w:val="00D52C59"/>
    <w:rsid w:val="00D52F09"/>
    <w:rsid w:val="00D5353F"/>
    <w:rsid w:val="00D53AF2"/>
    <w:rsid w:val="00D5415A"/>
    <w:rsid w:val="00D55EFE"/>
    <w:rsid w:val="00D562F8"/>
    <w:rsid w:val="00D56A84"/>
    <w:rsid w:val="00D57545"/>
    <w:rsid w:val="00D617D4"/>
    <w:rsid w:val="00D63A0A"/>
    <w:rsid w:val="00D65A85"/>
    <w:rsid w:val="00D70222"/>
    <w:rsid w:val="00D70B60"/>
    <w:rsid w:val="00D714B6"/>
    <w:rsid w:val="00D720CB"/>
    <w:rsid w:val="00D7238C"/>
    <w:rsid w:val="00D72695"/>
    <w:rsid w:val="00D72C39"/>
    <w:rsid w:val="00D733A2"/>
    <w:rsid w:val="00D779AA"/>
    <w:rsid w:val="00D80D65"/>
    <w:rsid w:val="00D80D74"/>
    <w:rsid w:val="00D81054"/>
    <w:rsid w:val="00D833B7"/>
    <w:rsid w:val="00D83EA4"/>
    <w:rsid w:val="00D84DE7"/>
    <w:rsid w:val="00D85A0F"/>
    <w:rsid w:val="00D870C3"/>
    <w:rsid w:val="00D90546"/>
    <w:rsid w:val="00D9168B"/>
    <w:rsid w:val="00D91948"/>
    <w:rsid w:val="00D924B0"/>
    <w:rsid w:val="00D9349B"/>
    <w:rsid w:val="00D9483B"/>
    <w:rsid w:val="00D94D1B"/>
    <w:rsid w:val="00D9762D"/>
    <w:rsid w:val="00DA0E3E"/>
    <w:rsid w:val="00DA1602"/>
    <w:rsid w:val="00DA1C46"/>
    <w:rsid w:val="00DA243D"/>
    <w:rsid w:val="00DA30E6"/>
    <w:rsid w:val="00DA5776"/>
    <w:rsid w:val="00DA734B"/>
    <w:rsid w:val="00DA7C22"/>
    <w:rsid w:val="00DB130C"/>
    <w:rsid w:val="00DB3066"/>
    <w:rsid w:val="00DB306A"/>
    <w:rsid w:val="00DB3A2B"/>
    <w:rsid w:val="00DC071A"/>
    <w:rsid w:val="00DC0C0E"/>
    <w:rsid w:val="00DC1DBB"/>
    <w:rsid w:val="00DC2041"/>
    <w:rsid w:val="00DC254A"/>
    <w:rsid w:val="00DC2C44"/>
    <w:rsid w:val="00DC32DF"/>
    <w:rsid w:val="00DC3FBB"/>
    <w:rsid w:val="00DC4699"/>
    <w:rsid w:val="00DC5476"/>
    <w:rsid w:val="00DC6C1F"/>
    <w:rsid w:val="00DC73F9"/>
    <w:rsid w:val="00DD176A"/>
    <w:rsid w:val="00DD5350"/>
    <w:rsid w:val="00DD5C67"/>
    <w:rsid w:val="00DE047F"/>
    <w:rsid w:val="00DE0BFD"/>
    <w:rsid w:val="00DE0F8F"/>
    <w:rsid w:val="00DE1FCD"/>
    <w:rsid w:val="00DE2B0B"/>
    <w:rsid w:val="00DE3563"/>
    <w:rsid w:val="00DE4BEA"/>
    <w:rsid w:val="00DE506F"/>
    <w:rsid w:val="00DE5CF7"/>
    <w:rsid w:val="00DE7226"/>
    <w:rsid w:val="00DE7AB4"/>
    <w:rsid w:val="00DF16B8"/>
    <w:rsid w:val="00DF2331"/>
    <w:rsid w:val="00DF2782"/>
    <w:rsid w:val="00DF2BBE"/>
    <w:rsid w:val="00DF2C33"/>
    <w:rsid w:val="00DF31CA"/>
    <w:rsid w:val="00DF3565"/>
    <w:rsid w:val="00DF407B"/>
    <w:rsid w:val="00DF4978"/>
    <w:rsid w:val="00DF5F3B"/>
    <w:rsid w:val="00DF620C"/>
    <w:rsid w:val="00E00B9E"/>
    <w:rsid w:val="00E01062"/>
    <w:rsid w:val="00E01EB9"/>
    <w:rsid w:val="00E02165"/>
    <w:rsid w:val="00E02D39"/>
    <w:rsid w:val="00E02EB0"/>
    <w:rsid w:val="00E04146"/>
    <w:rsid w:val="00E049A5"/>
    <w:rsid w:val="00E05154"/>
    <w:rsid w:val="00E077F0"/>
    <w:rsid w:val="00E07AA3"/>
    <w:rsid w:val="00E1104F"/>
    <w:rsid w:val="00E1180E"/>
    <w:rsid w:val="00E11907"/>
    <w:rsid w:val="00E12AB3"/>
    <w:rsid w:val="00E1311E"/>
    <w:rsid w:val="00E136A0"/>
    <w:rsid w:val="00E1522A"/>
    <w:rsid w:val="00E166CC"/>
    <w:rsid w:val="00E16F0C"/>
    <w:rsid w:val="00E17A88"/>
    <w:rsid w:val="00E17C03"/>
    <w:rsid w:val="00E2026E"/>
    <w:rsid w:val="00E2212A"/>
    <w:rsid w:val="00E23DF5"/>
    <w:rsid w:val="00E24010"/>
    <w:rsid w:val="00E245C0"/>
    <w:rsid w:val="00E2462E"/>
    <w:rsid w:val="00E2688F"/>
    <w:rsid w:val="00E26ADB"/>
    <w:rsid w:val="00E27DE9"/>
    <w:rsid w:val="00E30ACC"/>
    <w:rsid w:val="00E34726"/>
    <w:rsid w:val="00E35449"/>
    <w:rsid w:val="00E355A8"/>
    <w:rsid w:val="00E357A1"/>
    <w:rsid w:val="00E36570"/>
    <w:rsid w:val="00E3743D"/>
    <w:rsid w:val="00E40BBC"/>
    <w:rsid w:val="00E4121B"/>
    <w:rsid w:val="00E41742"/>
    <w:rsid w:val="00E453A1"/>
    <w:rsid w:val="00E45689"/>
    <w:rsid w:val="00E459EE"/>
    <w:rsid w:val="00E4725C"/>
    <w:rsid w:val="00E476AA"/>
    <w:rsid w:val="00E5134C"/>
    <w:rsid w:val="00E51ECD"/>
    <w:rsid w:val="00E51FEF"/>
    <w:rsid w:val="00E53E5E"/>
    <w:rsid w:val="00E53FD0"/>
    <w:rsid w:val="00E54972"/>
    <w:rsid w:val="00E549F6"/>
    <w:rsid w:val="00E54D05"/>
    <w:rsid w:val="00E567BC"/>
    <w:rsid w:val="00E56BF7"/>
    <w:rsid w:val="00E56CA8"/>
    <w:rsid w:val="00E57922"/>
    <w:rsid w:val="00E57B54"/>
    <w:rsid w:val="00E6144C"/>
    <w:rsid w:val="00E61724"/>
    <w:rsid w:val="00E63047"/>
    <w:rsid w:val="00E63FD9"/>
    <w:rsid w:val="00E64438"/>
    <w:rsid w:val="00E64857"/>
    <w:rsid w:val="00E67D87"/>
    <w:rsid w:val="00E7029D"/>
    <w:rsid w:val="00E720D5"/>
    <w:rsid w:val="00E74321"/>
    <w:rsid w:val="00E744E0"/>
    <w:rsid w:val="00E74F8F"/>
    <w:rsid w:val="00E75A6C"/>
    <w:rsid w:val="00E75C6A"/>
    <w:rsid w:val="00E75ED5"/>
    <w:rsid w:val="00E76F26"/>
    <w:rsid w:val="00E77891"/>
    <w:rsid w:val="00E82857"/>
    <w:rsid w:val="00E82CD7"/>
    <w:rsid w:val="00E86AA2"/>
    <w:rsid w:val="00E87941"/>
    <w:rsid w:val="00E87F0C"/>
    <w:rsid w:val="00E87F9C"/>
    <w:rsid w:val="00E9021A"/>
    <w:rsid w:val="00E90A65"/>
    <w:rsid w:val="00E91028"/>
    <w:rsid w:val="00E91A1D"/>
    <w:rsid w:val="00E9295D"/>
    <w:rsid w:val="00E95325"/>
    <w:rsid w:val="00EA12CC"/>
    <w:rsid w:val="00EA2736"/>
    <w:rsid w:val="00EA3DB8"/>
    <w:rsid w:val="00EA4F52"/>
    <w:rsid w:val="00EA5668"/>
    <w:rsid w:val="00EA74C7"/>
    <w:rsid w:val="00EB0668"/>
    <w:rsid w:val="00EB0713"/>
    <w:rsid w:val="00EB2878"/>
    <w:rsid w:val="00EB2E95"/>
    <w:rsid w:val="00EB2EF5"/>
    <w:rsid w:val="00EB3593"/>
    <w:rsid w:val="00EB3C3D"/>
    <w:rsid w:val="00EB485B"/>
    <w:rsid w:val="00EB4A71"/>
    <w:rsid w:val="00EB53C7"/>
    <w:rsid w:val="00EC0FAD"/>
    <w:rsid w:val="00EC13CB"/>
    <w:rsid w:val="00EC15C1"/>
    <w:rsid w:val="00EC1A5B"/>
    <w:rsid w:val="00EC2482"/>
    <w:rsid w:val="00EC33DB"/>
    <w:rsid w:val="00EC3C4D"/>
    <w:rsid w:val="00EC4638"/>
    <w:rsid w:val="00EC5295"/>
    <w:rsid w:val="00EC6018"/>
    <w:rsid w:val="00EC6182"/>
    <w:rsid w:val="00EC61F1"/>
    <w:rsid w:val="00EC6940"/>
    <w:rsid w:val="00EC731B"/>
    <w:rsid w:val="00EC7441"/>
    <w:rsid w:val="00ED1B02"/>
    <w:rsid w:val="00ED518A"/>
    <w:rsid w:val="00ED63B2"/>
    <w:rsid w:val="00ED6A5E"/>
    <w:rsid w:val="00ED74F9"/>
    <w:rsid w:val="00EE03F8"/>
    <w:rsid w:val="00EE1324"/>
    <w:rsid w:val="00EE365F"/>
    <w:rsid w:val="00EE410E"/>
    <w:rsid w:val="00EE47DB"/>
    <w:rsid w:val="00EE4CC2"/>
    <w:rsid w:val="00EE5479"/>
    <w:rsid w:val="00EE5A07"/>
    <w:rsid w:val="00EF20D1"/>
    <w:rsid w:val="00EF2FDB"/>
    <w:rsid w:val="00EF32D3"/>
    <w:rsid w:val="00EF381E"/>
    <w:rsid w:val="00EF4B8B"/>
    <w:rsid w:val="00EF5178"/>
    <w:rsid w:val="00EF5DE9"/>
    <w:rsid w:val="00EF66FE"/>
    <w:rsid w:val="00EF720B"/>
    <w:rsid w:val="00EF7299"/>
    <w:rsid w:val="00EF732C"/>
    <w:rsid w:val="00F002BC"/>
    <w:rsid w:val="00F04F9A"/>
    <w:rsid w:val="00F05F13"/>
    <w:rsid w:val="00F06BCB"/>
    <w:rsid w:val="00F0762A"/>
    <w:rsid w:val="00F0781F"/>
    <w:rsid w:val="00F10B23"/>
    <w:rsid w:val="00F127DB"/>
    <w:rsid w:val="00F13099"/>
    <w:rsid w:val="00F13601"/>
    <w:rsid w:val="00F1459F"/>
    <w:rsid w:val="00F15897"/>
    <w:rsid w:val="00F15E95"/>
    <w:rsid w:val="00F164E3"/>
    <w:rsid w:val="00F16EDB"/>
    <w:rsid w:val="00F174CB"/>
    <w:rsid w:val="00F179AD"/>
    <w:rsid w:val="00F2028D"/>
    <w:rsid w:val="00F21062"/>
    <w:rsid w:val="00F22962"/>
    <w:rsid w:val="00F234B6"/>
    <w:rsid w:val="00F23DC6"/>
    <w:rsid w:val="00F24024"/>
    <w:rsid w:val="00F250C1"/>
    <w:rsid w:val="00F2532B"/>
    <w:rsid w:val="00F25E92"/>
    <w:rsid w:val="00F27BF5"/>
    <w:rsid w:val="00F31367"/>
    <w:rsid w:val="00F32DFE"/>
    <w:rsid w:val="00F33DC0"/>
    <w:rsid w:val="00F33DD9"/>
    <w:rsid w:val="00F33FE8"/>
    <w:rsid w:val="00F34A6D"/>
    <w:rsid w:val="00F35CD3"/>
    <w:rsid w:val="00F35DC4"/>
    <w:rsid w:val="00F360E8"/>
    <w:rsid w:val="00F36D97"/>
    <w:rsid w:val="00F373F1"/>
    <w:rsid w:val="00F404EB"/>
    <w:rsid w:val="00F406D7"/>
    <w:rsid w:val="00F4231F"/>
    <w:rsid w:val="00F42999"/>
    <w:rsid w:val="00F43271"/>
    <w:rsid w:val="00F43516"/>
    <w:rsid w:val="00F45D51"/>
    <w:rsid w:val="00F46746"/>
    <w:rsid w:val="00F47552"/>
    <w:rsid w:val="00F51343"/>
    <w:rsid w:val="00F5198C"/>
    <w:rsid w:val="00F52664"/>
    <w:rsid w:val="00F531EE"/>
    <w:rsid w:val="00F54884"/>
    <w:rsid w:val="00F55F5E"/>
    <w:rsid w:val="00F60437"/>
    <w:rsid w:val="00F6183B"/>
    <w:rsid w:val="00F63553"/>
    <w:rsid w:val="00F63E60"/>
    <w:rsid w:val="00F63E76"/>
    <w:rsid w:val="00F64F27"/>
    <w:rsid w:val="00F65191"/>
    <w:rsid w:val="00F65AC4"/>
    <w:rsid w:val="00F66268"/>
    <w:rsid w:val="00F706F3"/>
    <w:rsid w:val="00F723F1"/>
    <w:rsid w:val="00F72502"/>
    <w:rsid w:val="00F7468A"/>
    <w:rsid w:val="00F75E0D"/>
    <w:rsid w:val="00F767A3"/>
    <w:rsid w:val="00F77215"/>
    <w:rsid w:val="00F77253"/>
    <w:rsid w:val="00F773CF"/>
    <w:rsid w:val="00F77990"/>
    <w:rsid w:val="00F80016"/>
    <w:rsid w:val="00F814E0"/>
    <w:rsid w:val="00F816D0"/>
    <w:rsid w:val="00F8196C"/>
    <w:rsid w:val="00F819C9"/>
    <w:rsid w:val="00F8228D"/>
    <w:rsid w:val="00F82DB4"/>
    <w:rsid w:val="00F832A8"/>
    <w:rsid w:val="00F85461"/>
    <w:rsid w:val="00F854C3"/>
    <w:rsid w:val="00F858B9"/>
    <w:rsid w:val="00F8746A"/>
    <w:rsid w:val="00F878B4"/>
    <w:rsid w:val="00F90671"/>
    <w:rsid w:val="00F92894"/>
    <w:rsid w:val="00F93088"/>
    <w:rsid w:val="00F94D23"/>
    <w:rsid w:val="00F95507"/>
    <w:rsid w:val="00F95A33"/>
    <w:rsid w:val="00F96507"/>
    <w:rsid w:val="00F96F0B"/>
    <w:rsid w:val="00F97748"/>
    <w:rsid w:val="00FA12C3"/>
    <w:rsid w:val="00FA1412"/>
    <w:rsid w:val="00FA3817"/>
    <w:rsid w:val="00FA4D22"/>
    <w:rsid w:val="00FA4F2C"/>
    <w:rsid w:val="00FA5A50"/>
    <w:rsid w:val="00FA6401"/>
    <w:rsid w:val="00FB112E"/>
    <w:rsid w:val="00FB13D6"/>
    <w:rsid w:val="00FB18FF"/>
    <w:rsid w:val="00FB4077"/>
    <w:rsid w:val="00FB40AD"/>
    <w:rsid w:val="00FB445C"/>
    <w:rsid w:val="00FB4894"/>
    <w:rsid w:val="00FB77BF"/>
    <w:rsid w:val="00FB78A7"/>
    <w:rsid w:val="00FC178B"/>
    <w:rsid w:val="00FC2DCE"/>
    <w:rsid w:val="00FC3E39"/>
    <w:rsid w:val="00FC4E44"/>
    <w:rsid w:val="00FC572E"/>
    <w:rsid w:val="00FC5928"/>
    <w:rsid w:val="00FC6066"/>
    <w:rsid w:val="00FC7140"/>
    <w:rsid w:val="00FD01B4"/>
    <w:rsid w:val="00FD1187"/>
    <w:rsid w:val="00FD22C0"/>
    <w:rsid w:val="00FD2FEE"/>
    <w:rsid w:val="00FD39D8"/>
    <w:rsid w:val="00FD4038"/>
    <w:rsid w:val="00FD44E3"/>
    <w:rsid w:val="00FD4AF9"/>
    <w:rsid w:val="00FD6BAE"/>
    <w:rsid w:val="00FD74BC"/>
    <w:rsid w:val="00FD768C"/>
    <w:rsid w:val="00FD7F59"/>
    <w:rsid w:val="00FE00E6"/>
    <w:rsid w:val="00FE08FC"/>
    <w:rsid w:val="00FE1887"/>
    <w:rsid w:val="00FE205F"/>
    <w:rsid w:val="00FE2ACE"/>
    <w:rsid w:val="00FE326A"/>
    <w:rsid w:val="00FE4E79"/>
    <w:rsid w:val="00FE6335"/>
    <w:rsid w:val="00FE6510"/>
    <w:rsid w:val="00FE72BC"/>
    <w:rsid w:val="00FE7FAA"/>
    <w:rsid w:val="00FF0118"/>
    <w:rsid w:val="00FF1017"/>
    <w:rsid w:val="00FF2813"/>
    <w:rsid w:val="00FF3073"/>
    <w:rsid w:val="00FF31D1"/>
    <w:rsid w:val="00FF3F8D"/>
    <w:rsid w:val="00FF4B98"/>
    <w:rsid w:val="00FF5DA5"/>
    <w:rsid w:val="00FF616D"/>
    <w:rsid w:val="00FF622B"/>
    <w:rsid w:val="27C9FD9D"/>
    <w:rsid w:val="3AD761D2"/>
    <w:rsid w:val="6DD2426D"/>
    <w:rsid w:val="718D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DE71294A-1FE4-481C-86D1-E70F5193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42"/>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character" w:customStyle="1" w:styleId="HeaderChar">
    <w:name w:val="Header Char"/>
    <w:basedOn w:val="DefaultParagraphFont"/>
    <w:link w:val="Header"/>
    <w:rsid w:val="006C15E2"/>
    <w:rPr>
      <w:sz w:val="24"/>
      <w:szCs w:val="24"/>
    </w:rPr>
  </w:style>
  <w:style w:type="paragraph" w:customStyle="1" w:styleId="1Listcontinue">
    <w:name w:val="1.List continue"/>
    <w:basedOn w:val="Normal"/>
    <w:link w:val="1ListcontinueChar"/>
    <w:qFormat/>
    <w:rsid w:val="00CA21DC"/>
    <w:pPr>
      <w:numPr>
        <w:numId w:val="49"/>
      </w:numPr>
      <w:spacing w:after="220"/>
      <w:jc w:val="both"/>
    </w:pPr>
    <w:rPr>
      <w:sz w:val="22"/>
      <w:szCs w:val="20"/>
    </w:rPr>
  </w:style>
  <w:style w:type="character" w:customStyle="1" w:styleId="1ListcontinueChar">
    <w:name w:val="1.List continue Char"/>
    <w:basedOn w:val="DefaultParagraphFont"/>
    <w:link w:val="1Listcontinue"/>
    <w:rsid w:val="00CA21DC"/>
    <w:rPr>
      <w:sz w:val="22"/>
    </w:rPr>
  </w:style>
  <w:style w:type="character" w:customStyle="1" w:styleId="ListParagraphChar">
    <w:name w:val="List Paragraph Char"/>
    <w:aliases w:val="Bullet Point Char"/>
    <w:basedOn w:val="DefaultParagraphFont"/>
    <w:link w:val="ListParagraph"/>
    <w:uiPriority w:val="34"/>
    <w:locked/>
    <w:rsid w:val="009F40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BEB07-9C41-4735-ABAE-5C625DA1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dbd46520-c392-41b5-9f68-fe7486eefad7"/>
    <ds:schemaRef ds:uri="http://schemas.microsoft.com/office/2006/documentManagement/types"/>
    <ds:schemaRef ds:uri="3c9e15a3-223f-4584-afb1-1dbe0b3878fa"/>
    <ds:schemaRef ds:uri="826143e3-bbcb-45bb-8829-107013e701e5"/>
    <ds:schemaRef ds:uri="http://purl.org/dc/dcmitype/"/>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13</Pages>
  <Words>7552</Words>
  <Characters>40469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973</cp:revision>
  <cp:lastPrinted>2011-03-02T06:07:00Z</cp:lastPrinted>
  <dcterms:created xsi:type="dcterms:W3CDTF">2022-07-28T19:37:00Z</dcterms:created>
  <dcterms:modified xsi:type="dcterms:W3CDTF">2023-12-06T18:01:00Z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y fmtid="{D5CDD505-2E9C-101B-9397-08002B2CF9AE}" pid="5" name="ProgressStatus">
    <vt:lpwstr>Complete</vt:lpwstr>
  </property>
</Properties>
</file>