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4A5D" w14:textId="0572159B" w:rsidR="0029399B" w:rsidRPr="000458F4" w:rsidRDefault="00DD2634" w:rsidP="000458F4">
      <w:pPr>
        <w:jc w:val="center"/>
        <w:rPr>
          <w:b/>
          <w:bCs/>
        </w:rPr>
      </w:pPr>
      <w:r w:rsidRPr="000458F4">
        <w:rPr>
          <w:b/>
          <w:bCs/>
        </w:rPr>
        <w:t>Equity Investments for Tax Credits</w:t>
      </w:r>
    </w:p>
    <w:p w14:paraId="766B52D8" w14:textId="3722C1F9" w:rsidR="00DD2634" w:rsidRPr="000458F4" w:rsidRDefault="00DD2634" w:rsidP="000458F4">
      <w:pPr>
        <w:jc w:val="center"/>
        <w:rPr>
          <w:b/>
          <w:bCs/>
        </w:rPr>
      </w:pPr>
      <w:r w:rsidRPr="000458F4">
        <w:rPr>
          <w:b/>
          <w:bCs/>
        </w:rPr>
        <w:t xml:space="preserve">Discussion Document </w:t>
      </w:r>
      <w:r w:rsidR="000458F4" w:rsidRPr="000458F4">
        <w:rPr>
          <w:b/>
          <w:bCs/>
        </w:rPr>
        <w:t>/ Questions for Exposure</w:t>
      </w:r>
    </w:p>
    <w:p w14:paraId="5FDE2595" w14:textId="164E8549" w:rsidR="000458F4" w:rsidRDefault="000458F4" w:rsidP="000458F4">
      <w:pPr>
        <w:jc w:val="center"/>
        <w:rPr>
          <w:b/>
          <w:bCs/>
        </w:rPr>
      </w:pPr>
      <w:r w:rsidRPr="000458F4">
        <w:rPr>
          <w:b/>
          <w:bCs/>
        </w:rPr>
        <w:t>2022 Fall National Meeting</w:t>
      </w:r>
    </w:p>
    <w:p w14:paraId="2440AF11" w14:textId="77777777" w:rsidR="00571B38" w:rsidRPr="000458F4" w:rsidRDefault="00571B38" w:rsidP="000458F4">
      <w:pPr>
        <w:jc w:val="center"/>
        <w:rPr>
          <w:b/>
          <w:bCs/>
        </w:rPr>
      </w:pPr>
    </w:p>
    <w:p w14:paraId="4FC69BBD" w14:textId="3C0B3254" w:rsidR="00A03348" w:rsidRDefault="00433B9B" w:rsidP="00571B38">
      <w:pPr>
        <w:pStyle w:val="ListContinue"/>
        <w:numPr>
          <w:ilvl w:val="0"/>
          <w:numId w:val="0"/>
        </w:numPr>
        <w:pBdr>
          <w:top w:val="single" w:sz="4" w:space="1" w:color="auto"/>
          <w:left w:val="single" w:sz="4" w:space="4" w:color="auto"/>
          <w:bottom w:val="single" w:sz="4" w:space="1" w:color="auto"/>
          <w:right w:val="single" w:sz="4" w:space="4" w:color="auto"/>
        </w:pBdr>
      </w:pPr>
      <w:r w:rsidRPr="00941773">
        <w:rPr>
          <w:b/>
          <w:bCs/>
        </w:rPr>
        <w:t>Purpose:</w:t>
      </w:r>
      <w:r>
        <w:t xml:space="preserve"> This document has been drafted to provide general concepts </w:t>
      </w:r>
      <w:r w:rsidR="000C06AF">
        <w:t xml:space="preserve">to consider </w:t>
      </w:r>
      <w:r>
        <w:t xml:space="preserve">in developing a revised or new SSAP to address equity investments </w:t>
      </w:r>
      <w:r w:rsidR="003A1C9F">
        <w:t xml:space="preserve">that provide general business federal tax credits and state tax credits. It is anticipated that the proposed guidance will supersede </w:t>
      </w:r>
      <w:r w:rsidR="003A1C9F" w:rsidRPr="009D28A6">
        <w:rPr>
          <w:i/>
          <w:iCs/>
        </w:rPr>
        <w:t>SSAP No. 9</w:t>
      </w:r>
      <w:r w:rsidR="00882942" w:rsidRPr="009D28A6">
        <w:rPr>
          <w:i/>
          <w:iCs/>
        </w:rPr>
        <w:t>3—Low Income Housing Tax Credits</w:t>
      </w:r>
      <w:r w:rsidR="00FA170B" w:rsidRPr="009D28A6">
        <w:rPr>
          <w:i/>
          <w:iCs/>
        </w:rPr>
        <w:t xml:space="preserve"> Property </w:t>
      </w:r>
      <w:r w:rsidR="00536CD2" w:rsidRPr="009D28A6">
        <w:rPr>
          <w:i/>
          <w:iCs/>
        </w:rPr>
        <w:t>Investments</w:t>
      </w:r>
      <w:r w:rsidR="00882942">
        <w:t xml:space="preserve">. </w:t>
      </w:r>
      <w:r w:rsidR="00032AE3">
        <w:t>Subsequent</w:t>
      </w:r>
      <w:r w:rsidR="00882942">
        <w:t xml:space="preserve"> consideration will also occur to review and revise </w:t>
      </w:r>
      <w:r w:rsidR="00882942" w:rsidRPr="009D28A6">
        <w:rPr>
          <w:i/>
          <w:iCs/>
        </w:rPr>
        <w:t>SSAP No. 94—</w:t>
      </w:r>
      <w:r w:rsidR="00264ECD" w:rsidRPr="009D28A6">
        <w:rPr>
          <w:i/>
          <w:iCs/>
        </w:rPr>
        <w:t>Transferable and Non-Transferable State Tax Credits</w:t>
      </w:r>
      <w:r w:rsidR="00264ECD">
        <w:t>.</w:t>
      </w:r>
    </w:p>
    <w:p w14:paraId="6EE35B4A" w14:textId="5D5C44D6" w:rsidR="00881865" w:rsidRDefault="00881865" w:rsidP="00571B38">
      <w:pPr>
        <w:pStyle w:val="ListContinue"/>
        <w:numPr>
          <w:ilvl w:val="0"/>
          <w:numId w:val="0"/>
        </w:numPr>
        <w:pBdr>
          <w:top w:val="single" w:sz="4" w:space="1" w:color="auto"/>
          <w:left w:val="single" w:sz="4" w:space="4" w:color="auto"/>
          <w:bottom w:val="single" w:sz="4" w:space="1" w:color="auto"/>
          <w:right w:val="single" w:sz="4" w:space="4" w:color="auto"/>
        </w:pBdr>
      </w:pPr>
      <w:r>
        <w:t xml:space="preserve">This document is in the form of potential guidance, with NAIC staff questions. </w:t>
      </w:r>
      <w:r w:rsidR="00933DBD">
        <w:t>Responses to the questions as well as other information that would be beneficial f</w:t>
      </w:r>
      <w:r w:rsidR="00EA3AE7">
        <w:t xml:space="preserve">or such structures would be beneficial during the exposure period. As the guidance would reflect new SAP Concepts, </w:t>
      </w:r>
      <w:r w:rsidR="005D4D10">
        <w:t xml:space="preserve">an issue paper will also be developed. </w:t>
      </w:r>
      <w:r w:rsidR="007A0F45">
        <w:t>As an additional note, concepts from the U.S. GAA</w:t>
      </w:r>
      <w:r w:rsidR="008E254E">
        <w:t xml:space="preserve">P exposure for </w:t>
      </w:r>
      <w:r w:rsidR="00F97534">
        <w:t xml:space="preserve">expanding </w:t>
      </w:r>
      <w:r w:rsidR="00EB3C3E">
        <w:t xml:space="preserve">use for the Proportional Amortization Method have been considered. </w:t>
      </w:r>
      <w:r w:rsidR="007C18F7">
        <w:t>Final guidance is expected in the fourth quarter 202</w:t>
      </w:r>
      <w:r w:rsidR="004A527F">
        <w:t xml:space="preserve">2 and will be assessed prior to finalizing the </w:t>
      </w:r>
      <w:r w:rsidR="007C5A5C">
        <w:t>statutory</w:t>
      </w:r>
      <w:r w:rsidR="004A527F">
        <w:t xml:space="preserve"> accounting guidance. </w:t>
      </w:r>
    </w:p>
    <w:p w14:paraId="567C4DB7" w14:textId="0DB9708D" w:rsidR="005D4D10" w:rsidRPr="00CA1BDF" w:rsidRDefault="005D4D10" w:rsidP="0029399B">
      <w:pPr>
        <w:pStyle w:val="ListContinue"/>
        <w:numPr>
          <w:ilvl w:val="0"/>
          <w:numId w:val="0"/>
        </w:numPr>
        <w:rPr>
          <w:b/>
          <w:bCs/>
          <w:u w:val="single"/>
        </w:rPr>
      </w:pPr>
      <w:r w:rsidRPr="00CA1BDF">
        <w:rPr>
          <w:b/>
          <w:bCs/>
          <w:u w:val="single"/>
        </w:rPr>
        <w:t>Proposed Statutory Accounting Guidance</w:t>
      </w:r>
      <w:r w:rsidR="007C5A5C" w:rsidRPr="00CA1BDF">
        <w:rPr>
          <w:b/>
          <w:bCs/>
          <w:u w:val="single"/>
        </w:rPr>
        <w:t xml:space="preserve"> and NAIC staff Accounting Questions</w:t>
      </w:r>
      <w:r w:rsidR="00CA1BDF" w:rsidRPr="00CA1BDF">
        <w:rPr>
          <w:b/>
          <w:bCs/>
          <w:u w:val="single"/>
        </w:rPr>
        <w:t>:</w:t>
      </w:r>
      <w:r w:rsidRPr="00CA1BDF">
        <w:rPr>
          <w:b/>
          <w:bCs/>
          <w:u w:val="single"/>
        </w:rPr>
        <w:t xml:space="preserve"> </w:t>
      </w:r>
    </w:p>
    <w:p w14:paraId="31D8978E" w14:textId="43862B17" w:rsidR="00273185" w:rsidRDefault="00FD54EB">
      <w:pPr>
        <w:pStyle w:val="ListContinue"/>
      </w:pPr>
      <w:r>
        <w:t xml:space="preserve">This statement establishes statutory accounting principles for </w:t>
      </w:r>
      <w:r w:rsidR="00493C0F">
        <w:t>qualifying</w:t>
      </w:r>
      <w:r w:rsidR="006F73F4">
        <w:t xml:space="preserve"> tax</w:t>
      </w:r>
      <w:r w:rsidR="00493C0F">
        <w:t xml:space="preserve"> </w:t>
      </w:r>
      <w:r w:rsidR="00B74D71">
        <w:t xml:space="preserve">equity </w:t>
      </w:r>
      <w:r w:rsidR="00A7656E">
        <w:t xml:space="preserve">investments in </w:t>
      </w:r>
      <w:r w:rsidR="00DD24D7">
        <w:t xml:space="preserve">programs </w:t>
      </w:r>
      <w:r w:rsidR="00BA0C03">
        <w:t xml:space="preserve">made primarily </w:t>
      </w:r>
      <w:r w:rsidR="00077232">
        <w:t xml:space="preserve">for the purpose of receiving </w:t>
      </w:r>
      <w:r w:rsidR="00682407">
        <w:t xml:space="preserve">allowable general business </w:t>
      </w:r>
      <w:r w:rsidR="000451E8">
        <w:t xml:space="preserve">federal </w:t>
      </w:r>
      <w:r w:rsidR="00682407">
        <w:t>tax credits</w:t>
      </w:r>
      <w:r w:rsidR="00944DD2">
        <w:t xml:space="preserve"> and state tax credits</w:t>
      </w:r>
      <w:r w:rsidR="00A36A6B">
        <w:t xml:space="preserve">, including </w:t>
      </w:r>
      <w:r w:rsidR="006452BC">
        <w:t>state premium tax credit programs</w:t>
      </w:r>
      <w:r>
        <w:t xml:space="preserve">. </w:t>
      </w:r>
    </w:p>
    <w:p w14:paraId="06AEB8CC" w14:textId="5100B752" w:rsidR="00FD54EB" w:rsidRDefault="0038644A">
      <w:pPr>
        <w:pStyle w:val="ListContinue"/>
      </w:pPr>
      <w:r>
        <w:t>The programs in scope of this statement are not limited to named programs</w:t>
      </w:r>
      <w:r w:rsidR="000C5134">
        <w:t xml:space="preserve"> as new tax credit programs </w:t>
      </w:r>
      <w:r w:rsidR="003528EA">
        <w:t>may be</w:t>
      </w:r>
      <w:r w:rsidR="000C5134">
        <w:t xml:space="preserve"> introduced</w:t>
      </w:r>
      <w:r w:rsidR="00000C89">
        <w:t xml:space="preserve">. </w:t>
      </w:r>
      <w:r w:rsidR="00D54123">
        <w:t>Examples</w:t>
      </w:r>
      <w:r w:rsidR="005109E4">
        <w:rPr>
          <w:rStyle w:val="FootnoteReference"/>
        </w:rPr>
        <w:footnoteReference w:id="1"/>
      </w:r>
      <w:r w:rsidR="00D54123">
        <w:t xml:space="preserve"> of </w:t>
      </w:r>
      <w:r w:rsidR="0063100D">
        <w:t xml:space="preserve">programs </w:t>
      </w:r>
      <w:r w:rsidR="00074B83">
        <w:t>for</w:t>
      </w:r>
      <w:r w:rsidR="0063100D">
        <w:t xml:space="preserve"> g</w:t>
      </w:r>
      <w:r w:rsidR="00D54123">
        <w:t xml:space="preserve">eneral business </w:t>
      </w:r>
      <w:r w:rsidR="00BA6FE3">
        <w:t xml:space="preserve">federal </w:t>
      </w:r>
      <w:r w:rsidR="00D54123">
        <w:t xml:space="preserve">tax credits include: </w:t>
      </w:r>
    </w:p>
    <w:p w14:paraId="38B5A58C" w14:textId="77777777" w:rsidR="00821CE7" w:rsidRDefault="00821CE7">
      <w:pPr>
        <w:pStyle w:val="ListNumber2"/>
      </w:pPr>
      <w:r>
        <w:t>Investment tax credits (ITCs)</w:t>
      </w:r>
    </w:p>
    <w:p w14:paraId="2CA0033D" w14:textId="77777777" w:rsidR="00821CE7" w:rsidRDefault="00821CE7">
      <w:pPr>
        <w:pStyle w:val="ListNumber2"/>
      </w:pPr>
      <w:r>
        <w:t>Historical rehabilitation tax credit (HTC)</w:t>
      </w:r>
    </w:p>
    <w:p w14:paraId="7A774DE8" w14:textId="77777777" w:rsidR="0092138C" w:rsidRDefault="0092138C">
      <w:pPr>
        <w:pStyle w:val="ListNumber2"/>
      </w:pPr>
      <w:r>
        <w:t>Low-income housing tax credit (LIHTC)</w:t>
      </w:r>
    </w:p>
    <w:p w14:paraId="6EBFDED8" w14:textId="77777777" w:rsidR="0092138C" w:rsidRDefault="0092138C">
      <w:pPr>
        <w:pStyle w:val="ListNumber2"/>
      </w:pPr>
      <w:r>
        <w:t>New market tax credits (NMTC)</w:t>
      </w:r>
    </w:p>
    <w:p w14:paraId="67573695" w14:textId="23F180D1" w:rsidR="00493C0F" w:rsidRDefault="00C52989">
      <w:pPr>
        <w:pStyle w:val="ListContinue"/>
      </w:pPr>
      <w:r>
        <w:t>P</w:t>
      </w:r>
      <w:r w:rsidR="00582986">
        <w:t xml:space="preserve">rograms that generate </w:t>
      </w:r>
      <w:r w:rsidR="00BD554A">
        <w:t>general</w:t>
      </w:r>
      <w:r w:rsidR="00582986">
        <w:t xml:space="preserve"> business </w:t>
      </w:r>
      <w:r w:rsidR="00BD554A">
        <w:t xml:space="preserve">federal </w:t>
      </w:r>
      <w:r w:rsidR="00582986">
        <w:t>tax credits</w:t>
      </w:r>
      <w:r w:rsidR="00061C53">
        <w:t>, corresponding state tax credits</w:t>
      </w:r>
      <w:r w:rsidR="00582986">
        <w:t xml:space="preserve"> </w:t>
      </w:r>
      <w:r>
        <w:t>or state premium tax credit</w:t>
      </w:r>
      <w:r w:rsidR="00EF680E">
        <w:t>s</w:t>
      </w:r>
      <w:r>
        <w:t xml:space="preserve"> </w:t>
      </w:r>
      <w:r w:rsidR="00950C3D">
        <w:t xml:space="preserve">that meet the following conditions </w:t>
      </w:r>
      <w:r w:rsidR="0062645C">
        <w:t xml:space="preserve">at </w:t>
      </w:r>
      <w:r w:rsidR="00587B93">
        <w:t xml:space="preserve">the time of </w:t>
      </w:r>
      <w:r w:rsidR="0062645C">
        <w:t xml:space="preserve">initial investment </w:t>
      </w:r>
      <w:r w:rsidR="00BD554A">
        <w:t xml:space="preserve">are required </w:t>
      </w:r>
      <w:r w:rsidR="001B7500">
        <w:t>to be captured in scope of this statement</w:t>
      </w:r>
      <w:r w:rsidR="00DA5BEB">
        <w:t xml:space="preserve">: </w:t>
      </w:r>
    </w:p>
    <w:p w14:paraId="11EF86E5" w14:textId="77777777" w:rsidR="00E06FBD" w:rsidRDefault="00904DD9">
      <w:pPr>
        <w:pStyle w:val="ListNumber2"/>
        <w:numPr>
          <w:ilvl w:val="0"/>
          <w:numId w:val="20"/>
        </w:numPr>
      </w:pPr>
      <w:r>
        <w:t>Reporting</w:t>
      </w:r>
      <w:r w:rsidR="00A05C5B">
        <w:t xml:space="preserve"> entity is an equity investor in a project that generates tax credits and other tax benefits through limited liability en</w:t>
      </w:r>
      <w:r w:rsidR="00E06FBD">
        <w:t xml:space="preserve">tities that are flow-through entities for tax purposes. </w:t>
      </w:r>
    </w:p>
    <w:p w14:paraId="381BF9FA" w14:textId="411014EB" w:rsidR="00EA0C7A" w:rsidRDefault="00E40F62">
      <w:pPr>
        <w:pStyle w:val="ListNumber2"/>
        <w:numPr>
          <w:ilvl w:val="0"/>
          <w:numId w:val="20"/>
        </w:numPr>
      </w:pPr>
      <w:r>
        <w:t>It is probabl</w:t>
      </w:r>
      <w:r w:rsidR="00BB461B">
        <w:t>e</w:t>
      </w:r>
      <w:r>
        <w:t xml:space="preserve"> that the tax credits allocable to the investor </w:t>
      </w:r>
      <w:r w:rsidR="00E06FBD">
        <w:t xml:space="preserve">will be available. </w:t>
      </w:r>
    </w:p>
    <w:p w14:paraId="7FB3DBEE" w14:textId="66DC67D9" w:rsidR="00BB461B" w:rsidRDefault="00BB461B">
      <w:pPr>
        <w:pStyle w:val="ListNumber2"/>
        <w:numPr>
          <w:ilvl w:val="0"/>
          <w:numId w:val="20"/>
        </w:numPr>
      </w:pPr>
      <w:r>
        <w:t xml:space="preserve">Reporting entity investor does not have the ability </w:t>
      </w:r>
      <w:r w:rsidR="003B03D6">
        <w:t xml:space="preserve">to exercise significant influence over the operating and financial policies of the underlying project. </w:t>
      </w:r>
    </w:p>
    <w:p w14:paraId="2451C8CF" w14:textId="23708F9F" w:rsidR="00EA0C7A" w:rsidRDefault="00E35B86">
      <w:pPr>
        <w:pStyle w:val="ListNumber2"/>
      </w:pPr>
      <w:r>
        <w:t>Substantially all of the projected benefits are from tax credits and other tax benefits</w:t>
      </w:r>
      <w:r w:rsidR="00F0734C">
        <w:t xml:space="preserve">, determined on a discounted basis </w:t>
      </w:r>
      <w:r w:rsidR="002F30C6">
        <w:t xml:space="preserve">using a discount rate that is consistent with the cash flow assumptions utilized by the reporting entity for the purpose of making a decision to invest in the project. </w:t>
      </w:r>
    </w:p>
    <w:p w14:paraId="709170A2" w14:textId="03D3AB1F" w:rsidR="00EA0C7A" w:rsidRDefault="007852F7">
      <w:pPr>
        <w:pStyle w:val="ListNumber2"/>
      </w:pPr>
      <w:r>
        <w:lastRenderedPageBreak/>
        <w:t xml:space="preserve">The reporting entity’s projected yield based solely on the cash flows from the tax credits and other tax benefits is positive. </w:t>
      </w:r>
    </w:p>
    <w:p w14:paraId="169AE2FA" w14:textId="0DAFB26E" w:rsidR="00EA0C7A" w:rsidRDefault="00BE1541">
      <w:pPr>
        <w:pStyle w:val="ListNumber2"/>
      </w:pPr>
      <w:r>
        <w:t xml:space="preserve">The reporting entity is a limited liability investor in the limited liability entity for both legal and tax purposes, and the investor’s liability is limited to its capital investment. </w:t>
      </w:r>
    </w:p>
    <w:p w14:paraId="2E465633" w14:textId="36F4578A" w:rsidR="009C2B4E" w:rsidRPr="00114C0E" w:rsidRDefault="00364DC0">
      <w:pPr>
        <w:pStyle w:val="ListContinue"/>
      </w:pPr>
      <w:r>
        <w:t>Equity i</w:t>
      </w:r>
      <w:r w:rsidR="007A1D9D">
        <w:t>nvestments that do not meet the conditions in paragraph 3</w:t>
      </w:r>
      <w:r w:rsidR="00301F2F">
        <w:t xml:space="preserve"> shall be captured within the </w:t>
      </w:r>
      <w:r w:rsidR="002059DC">
        <w:t xml:space="preserve">statutory accounting </w:t>
      </w:r>
      <w:r w:rsidR="00296F6B">
        <w:t xml:space="preserve">statement that addresses the underlying investment structure. </w:t>
      </w:r>
      <w:r w:rsidR="00D60AA5">
        <w:t xml:space="preserve">This would generally be </w:t>
      </w:r>
      <w:r w:rsidR="00D60AA5" w:rsidRPr="00D60AA5">
        <w:rPr>
          <w:i/>
          <w:iCs/>
        </w:rPr>
        <w:t>SSAP No. 48—Joint Ventures, Partnerships and Limited Liability Companies.</w:t>
      </w:r>
    </w:p>
    <w:p w14:paraId="5DD21180" w14:textId="5B673322" w:rsidR="00114C0E" w:rsidRDefault="00114C0E" w:rsidP="006F73F4">
      <w:pPr>
        <w:pStyle w:val="ListContinue"/>
        <w:numPr>
          <w:ilvl w:val="0"/>
          <w:numId w:val="0"/>
        </w:numPr>
        <w:pBdr>
          <w:top w:val="single" w:sz="4" w:space="1" w:color="auto"/>
          <w:left w:val="single" w:sz="4" w:space="4" w:color="auto"/>
          <w:bottom w:val="single" w:sz="4" w:space="1" w:color="auto"/>
          <w:right w:val="single" w:sz="4" w:space="4" w:color="auto"/>
        </w:pBdr>
        <w:rPr>
          <w:i/>
          <w:iCs/>
        </w:rPr>
      </w:pPr>
      <w:r>
        <w:rPr>
          <w:i/>
          <w:iCs/>
        </w:rPr>
        <w:t>Staff Question</w:t>
      </w:r>
      <w:r w:rsidR="00222B64">
        <w:rPr>
          <w:i/>
          <w:iCs/>
        </w:rPr>
        <w:t xml:space="preserve"> / Items for Discussion</w:t>
      </w:r>
      <w:r w:rsidR="00862CE1">
        <w:rPr>
          <w:i/>
          <w:iCs/>
        </w:rPr>
        <w:t xml:space="preserve">: </w:t>
      </w:r>
    </w:p>
    <w:p w14:paraId="21991ECC" w14:textId="7B84D5D6" w:rsidR="00862CE1" w:rsidRDefault="0018397E" w:rsidP="006F73F4">
      <w:pPr>
        <w:pStyle w:val="ListContinue"/>
        <w:numPr>
          <w:ilvl w:val="0"/>
          <w:numId w:val="29"/>
        </w:numPr>
        <w:pBdr>
          <w:top w:val="single" w:sz="4" w:space="1" w:color="auto"/>
          <w:left w:val="single" w:sz="4" w:space="4" w:color="auto"/>
          <w:bottom w:val="single" w:sz="4" w:space="1" w:color="auto"/>
          <w:right w:val="single" w:sz="4" w:space="4" w:color="auto"/>
        </w:pBdr>
      </w:pPr>
      <w:r>
        <w:t xml:space="preserve">Paragraph 1 – The scope intends to include programs that provide general business federal tax </w:t>
      </w:r>
      <w:r w:rsidR="009D5426">
        <w:t>credits</w:t>
      </w:r>
      <w:r w:rsidR="009041BE">
        <w:t xml:space="preserve">, </w:t>
      </w:r>
      <w:r w:rsidR="009D5426">
        <w:t>which are income tax credits</w:t>
      </w:r>
      <w:r w:rsidR="009041BE">
        <w:t>,</w:t>
      </w:r>
      <w:r w:rsidR="00502274">
        <w:t xml:space="preserve"> and programs that meet the criteria that provide for state premium tax credits. </w:t>
      </w:r>
      <w:r w:rsidR="00066879">
        <w:t xml:space="preserve">This would be an extension from the FASB exposure that only permits income tax </w:t>
      </w:r>
      <w:r w:rsidR="00205BE4">
        <w:t>credits but</w:t>
      </w:r>
      <w:r w:rsidR="00066879">
        <w:t xml:space="preserve"> is in line with comments received </w:t>
      </w:r>
      <w:r w:rsidR="0038121E">
        <w:t xml:space="preserve">by the FASB </w:t>
      </w:r>
      <w:r w:rsidR="00066879">
        <w:t xml:space="preserve">that insurers </w:t>
      </w:r>
      <w:r w:rsidR="0038121E">
        <w:t xml:space="preserve">receive credits for state premium tax. </w:t>
      </w:r>
      <w:r w:rsidR="009041BE">
        <w:t>Comments are requested on the proposed incl</w:t>
      </w:r>
      <w:r w:rsidR="006859F2">
        <w:t>usion for</w:t>
      </w:r>
      <w:r w:rsidR="00CE3D5B">
        <w:t xml:space="preserve"> programs that meet the criteria in </w:t>
      </w:r>
      <w:r w:rsidR="00607051">
        <w:t>paragraph 3 that generate state premium tax credits</w:t>
      </w:r>
      <w:r w:rsidR="00571B38">
        <w:t>.</w:t>
      </w:r>
      <w:r w:rsidR="00607051">
        <w:t xml:space="preserve"> </w:t>
      </w:r>
    </w:p>
    <w:p w14:paraId="0F7422C0" w14:textId="2C36B832" w:rsidR="00607051" w:rsidRPr="009C2B4E" w:rsidRDefault="00D4321A" w:rsidP="006F73F4">
      <w:pPr>
        <w:pStyle w:val="ListContinue"/>
        <w:numPr>
          <w:ilvl w:val="0"/>
          <w:numId w:val="29"/>
        </w:numPr>
        <w:pBdr>
          <w:top w:val="single" w:sz="4" w:space="1" w:color="auto"/>
          <w:left w:val="single" w:sz="4" w:space="4" w:color="auto"/>
          <w:bottom w:val="single" w:sz="4" w:space="1" w:color="auto"/>
          <w:right w:val="single" w:sz="4" w:space="4" w:color="auto"/>
        </w:pBdr>
      </w:pPr>
      <w:r>
        <w:t xml:space="preserve">Paragraph 3 – The criteria </w:t>
      </w:r>
      <w:r w:rsidR="006A2B32">
        <w:t>mirror</w:t>
      </w:r>
      <w:r w:rsidR="00020322">
        <w:t xml:space="preserve"> the concepts included in </w:t>
      </w:r>
      <w:r w:rsidR="00833664">
        <w:t xml:space="preserve">the proposed FASB guidance. </w:t>
      </w:r>
      <w:r w:rsidR="00B01452">
        <w:t xml:space="preserve">Under U.S. GAAP, the use of the portfolio allocation method is an election, but under SAP, the guidance would be required if the criteria </w:t>
      </w:r>
      <w:r w:rsidR="00B168B1">
        <w:t>are</w:t>
      </w:r>
      <w:r w:rsidR="00B01452">
        <w:t xml:space="preserve"> met. </w:t>
      </w:r>
      <w:r w:rsidR="00FD35C1">
        <w:t>(This would be consistent with the existing guidance in SSAP No. 93 for LIHTC.</w:t>
      </w:r>
      <w:r w:rsidR="00BE50BE">
        <w:t xml:space="preserve">) </w:t>
      </w:r>
      <w:r w:rsidR="0044341C">
        <w:t xml:space="preserve">Based on the FASB comment letters reviewed, the </w:t>
      </w:r>
      <w:r w:rsidR="00BE50BE">
        <w:t>criteria</w:t>
      </w:r>
      <w:r w:rsidR="0044341C">
        <w:t xml:space="preserve"> </w:t>
      </w:r>
      <w:r w:rsidR="0028310F">
        <w:t>are</w:t>
      </w:r>
      <w:r w:rsidR="0044341C">
        <w:t xml:space="preserve"> expected to be met for most </w:t>
      </w:r>
      <w:r w:rsidR="009F5890">
        <w:t xml:space="preserve">state </w:t>
      </w:r>
      <w:r w:rsidR="0044341C">
        <w:t>premium-based tax equity investment</w:t>
      </w:r>
      <w:r w:rsidR="00A93A68">
        <w:t xml:space="preserve">s. Should other criteria be considered or are </w:t>
      </w:r>
      <w:r w:rsidR="00CA3F2A">
        <w:t xml:space="preserve">there concerns with requiring application if the criteria </w:t>
      </w:r>
      <w:r w:rsidR="006A2B32">
        <w:t>are</w:t>
      </w:r>
      <w:r w:rsidR="00CA3F2A">
        <w:t xml:space="preserve"> met</w:t>
      </w:r>
      <w:r w:rsidR="00E65743">
        <w:t>?</w:t>
      </w:r>
      <w:r w:rsidR="00CA3F2A">
        <w:t xml:space="preserve"> </w:t>
      </w:r>
      <w:r w:rsidR="00A8093A">
        <w:t xml:space="preserve"> </w:t>
      </w:r>
    </w:p>
    <w:p w14:paraId="60667B2F" w14:textId="77777777" w:rsidR="00FD54EB" w:rsidRDefault="00FD54EB">
      <w:pPr>
        <w:pStyle w:val="Heading2"/>
      </w:pPr>
      <w:bookmarkStart w:id="0" w:name="_Toc384538205"/>
      <w:bookmarkStart w:id="1" w:name="_Toc93555294"/>
      <w:r>
        <w:t>SUMMARY CONCLUSION</w:t>
      </w:r>
      <w:bookmarkEnd w:id="0"/>
      <w:bookmarkEnd w:id="1"/>
    </w:p>
    <w:p w14:paraId="0436A0FC" w14:textId="320C7B4D" w:rsidR="00263C05" w:rsidRDefault="00210EEE">
      <w:pPr>
        <w:pStyle w:val="ListContinue"/>
      </w:pPr>
      <w:r>
        <w:t xml:space="preserve">The </w:t>
      </w:r>
      <w:r w:rsidR="00FC08BE">
        <w:t xml:space="preserve">general </w:t>
      </w:r>
      <w:r>
        <w:t>structure of</w:t>
      </w:r>
      <w:r w:rsidR="0035094E">
        <w:t xml:space="preserve"> </w:t>
      </w:r>
      <w:r>
        <w:t>investment</w:t>
      </w:r>
      <w:r w:rsidR="00FE2028">
        <w:t xml:space="preserve">s to qualify for federal tax credits is </w:t>
      </w:r>
      <w:r w:rsidR="007E3DFA">
        <w:t>consistent regardless of the type of tax credit</w:t>
      </w:r>
      <w:r w:rsidR="00FE2028">
        <w:t xml:space="preserve">. </w:t>
      </w:r>
      <w:r w:rsidR="00242051">
        <w:t xml:space="preserve">The reporting entity is required to hold an </w:t>
      </w:r>
      <w:r w:rsidR="00C02AA1">
        <w:t>equity investment</w:t>
      </w:r>
      <w:r w:rsidR="00536B3A">
        <w:t xml:space="preserve">, in which they represent a true partner at risk </w:t>
      </w:r>
      <w:r w:rsidR="00263C05">
        <w:t>for</w:t>
      </w:r>
      <w:r w:rsidR="0077302B">
        <w:t xml:space="preserve"> which equity returns </w:t>
      </w:r>
      <w:r w:rsidR="00C02AA1">
        <w:t xml:space="preserve">or losses </w:t>
      </w:r>
      <w:r w:rsidR="00FF12DD">
        <w:t xml:space="preserve">can be generated other than through the tax credits. </w:t>
      </w:r>
      <w:r w:rsidR="0078357D">
        <w:t xml:space="preserve">With the requirement for a ‘true partner’ design, </w:t>
      </w:r>
      <w:r w:rsidR="00C26E65">
        <w:t xml:space="preserve">a guarantee of return </w:t>
      </w:r>
      <w:r w:rsidR="00562E74">
        <w:t xml:space="preserve">disqualifies the investor as obtaining a tax credit for federal income tax purposes. </w:t>
      </w:r>
      <w:r w:rsidR="00C02AA1">
        <w:t>A</w:t>
      </w:r>
      <w:r w:rsidR="00E20B97">
        <w:t xml:space="preserve"> limited</w:t>
      </w:r>
      <w:r w:rsidR="00C02AA1">
        <w:t xml:space="preserve"> exception to this structure can exist for NMTC</w:t>
      </w:r>
      <w:r w:rsidR="0077302B">
        <w:t xml:space="preserve"> </w:t>
      </w:r>
      <w:r w:rsidR="004D3A83">
        <w:t>using</w:t>
      </w:r>
      <w:r w:rsidR="00915143">
        <w:t xml:space="preserve"> a financial institution </w:t>
      </w:r>
      <w:r w:rsidR="00DF3281">
        <w:t>syndicating</w:t>
      </w:r>
      <w:r w:rsidR="00915143">
        <w:t xml:space="preserve"> a NMTC </w:t>
      </w:r>
      <w:r w:rsidR="00A735EF">
        <w:t xml:space="preserve">in which the financial institution </w:t>
      </w:r>
      <w:r w:rsidR="00FA40C7">
        <w:t xml:space="preserve">guarantees the credits or returns. </w:t>
      </w:r>
      <w:r w:rsidR="00E60D13">
        <w:t xml:space="preserve">Although the syndication structure </w:t>
      </w:r>
      <w:r w:rsidR="00F17C76">
        <w:t xml:space="preserve">may </w:t>
      </w:r>
      <w:r w:rsidR="00492F25">
        <w:t xml:space="preserve">result with a security structure that </w:t>
      </w:r>
      <w:r w:rsidR="00E60D13">
        <w:t>resemble</w:t>
      </w:r>
      <w:r w:rsidR="0096505D">
        <w:t>s</w:t>
      </w:r>
      <w:r w:rsidR="00E60D13">
        <w:t xml:space="preserve"> a debt instrument</w:t>
      </w:r>
      <w:r w:rsidR="00F17C76">
        <w:t>, such structur</w:t>
      </w:r>
      <w:r w:rsidR="00156689">
        <w:t xml:space="preserve">es are </w:t>
      </w:r>
      <w:r w:rsidR="0096505D">
        <w:t xml:space="preserve">in substance </w:t>
      </w:r>
      <w:r w:rsidR="00156689">
        <w:t>tax credit investments and shall be captured in scope of this statement</w:t>
      </w:r>
      <w:r w:rsidR="0053462C">
        <w:t xml:space="preserve"> regardless of this legal </w:t>
      </w:r>
      <w:r w:rsidR="001A1E72">
        <w:t xml:space="preserve">investment </w:t>
      </w:r>
      <w:r w:rsidR="0053462C">
        <w:t>struc</w:t>
      </w:r>
      <w:r w:rsidR="001A1E72">
        <w:t>ture</w:t>
      </w:r>
      <w:r w:rsidR="00156689">
        <w:t xml:space="preserve">. </w:t>
      </w:r>
      <w:r w:rsidR="004C375A" w:rsidRPr="004C375A">
        <w:rPr>
          <w:highlight w:val="lightGray"/>
        </w:rPr>
        <w:t>Note – Include exclusion in SSAP No. 26R.)</w:t>
      </w:r>
    </w:p>
    <w:p w14:paraId="5383880C" w14:textId="55A98023" w:rsidR="006464C5" w:rsidRDefault="006464C5">
      <w:pPr>
        <w:pStyle w:val="ListContinue"/>
      </w:pPr>
      <w:r>
        <w:t xml:space="preserve">The structure for </w:t>
      </w:r>
      <w:r w:rsidR="000606C7">
        <w:t xml:space="preserve">state premium tax credits </w:t>
      </w:r>
      <w:r w:rsidR="00C05336">
        <w:t xml:space="preserve">is similar to federal </w:t>
      </w:r>
      <w:r w:rsidR="00151505">
        <w:t>tax credit programs in which the reporting entity invests in a li</w:t>
      </w:r>
      <w:r w:rsidR="00554EEE">
        <w:t xml:space="preserve">mited partnership or limited liability company and </w:t>
      </w:r>
      <w:r w:rsidR="00364AA9">
        <w:t>receive</w:t>
      </w:r>
      <w:r w:rsidR="00D55F50">
        <w:t>s</w:t>
      </w:r>
      <w:r w:rsidR="00364AA9">
        <w:t xml:space="preserve"> allocated premium tax credits and other tax related benefits</w:t>
      </w:r>
      <w:r w:rsidR="00B16A8C">
        <w:t xml:space="preserve">. </w:t>
      </w:r>
      <w:r w:rsidR="00DB65BC">
        <w:t xml:space="preserve">Premium tax credits are non-refundable and may only be utilized up to the amount of premium tax liability each year for the particular state from which the credit was issued. </w:t>
      </w:r>
    </w:p>
    <w:p w14:paraId="14B8E940" w14:textId="1C3DF964" w:rsidR="007160D4" w:rsidRDefault="00D87932">
      <w:pPr>
        <w:pStyle w:val="ListContinue"/>
      </w:pPr>
      <w:r>
        <w:t xml:space="preserve">The overall intent </w:t>
      </w:r>
      <w:r w:rsidR="00E00427">
        <w:t xml:space="preserve">with investments </w:t>
      </w:r>
      <w:r w:rsidR="000F2A5A">
        <w:t>in scope of this statement</w:t>
      </w:r>
      <w:r w:rsidR="00E00427">
        <w:t xml:space="preserve"> is to obtain a</w:t>
      </w:r>
      <w:r w:rsidR="00C21B34">
        <w:t xml:space="preserve"> positive rate of return, through tax credits and other tax benefits, prior to </w:t>
      </w:r>
      <w:r w:rsidR="00D17E3E">
        <w:t>disposing</w:t>
      </w:r>
      <w:r w:rsidR="00074078">
        <w:t xml:space="preserve"> the</w:t>
      </w:r>
      <w:r w:rsidR="00C2294B">
        <w:t xml:space="preserve"> reporting entity’s interest in the project</w:t>
      </w:r>
      <w:r w:rsidR="002F7D6A">
        <w:t xml:space="preserve">. The liquidation of the investment commonly occurs </w:t>
      </w:r>
      <w:r w:rsidR="00757062">
        <w:t xml:space="preserve">at the end of the tax credit </w:t>
      </w:r>
      <w:r w:rsidR="009B3638">
        <w:t>timeframe</w:t>
      </w:r>
      <w:r w:rsidR="00F45513">
        <w:t xml:space="preserve"> th</w:t>
      </w:r>
      <w:r w:rsidR="00C2294B">
        <w:t>rough a put</w:t>
      </w:r>
      <w:r w:rsidR="00F45513">
        <w:t xml:space="preserve"> </w:t>
      </w:r>
      <w:r w:rsidR="00A27EF7">
        <w:t>agreement</w:t>
      </w:r>
      <w:r w:rsidR="005D05CA">
        <w:t>, often reflecting a nominal amount,</w:t>
      </w:r>
      <w:r w:rsidR="00042BCB">
        <w:t xml:space="preserve"> </w:t>
      </w:r>
      <w:r w:rsidR="00BF0796">
        <w:t xml:space="preserve">that was </w:t>
      </w:r>
      <w:r w:rsidR="00F45513">
        <w:t xml:space="preserve">established at the time of </w:t>
      </w:r>
      <w:r w:rsidR="00A27EF7">
        <w:t>acquisition</w:t>
      </w:r>
      <w:r w:rsidR="00C47634">
        <w:t xml:space="preserve">. </w:t>
      </w:r>
      <w:r w:rsidR="00194E99">
        <w:t xml:space="preserve">Investors in these </w:t>
      </w:r>
      <w:r w:rsidR="008F6432">
        <w:t xml:space="preserve">tax credit </w:t>
      </w:r>
      <w:r w:rsidR="00194E99">
        <w:t>programs recognize th</w:t>
      </w:r>
      <w:r w:rsidR="00D361CC">
        <w:t xml:space="preserve">at the original investment amount will not be returned. </w:t>
      </w:r>
    </w:p>
    <w:p w14:paraId="4B3ECEE6" w14:textId="6BADBAC5" w:rsidR="00D87932" w:rsidRDefault="00385D8A">
      <w:pPr>
        <w:pStyle w:val="ListContinue"/>
      </w:pPr>
      <w:r>
        <w:t>I</w:t>
      </w:r>
      <w:r w:rsidR="006B017D">
        <w:t xml:space="preserve">nvestments in </w:t>
      </w:r>
      <w:r w:rsidR="000A37DB">
        <w:t xml:space="preserve">programs </w:t>
      </w:r>
      <w:r w:rsidR="00CA4280">
        <w:t xml:space="preserve">for the primary purpose to </w:t>
      </w:r>
      <w:r w:rsidR="000A37DB">
        <w:t xml:space="preserve">generate tax credits </w:t>
      </w:r>
      <w:r w:rsidR="008C6F14">
        <w:t xml:space="preserve">benefit reporting entities </w:t>
      </w:r>
      <w:r w:rsidR="00E360A1">
        <w:t>through</w:t>
      </w:r>
      <w:r w:rsidR="008C6F14">
        <w:t xml:space="preserve"> a reduction in tax </w:t>
      </w:r>
      <w:r w:rsidR="008F6432">
        <w:t>liability</w:t>
      </w:r>
      <w:r w:rsidR="009B3638">
        <w:t>.</w:t>
      </w:r>
      <w:r w:rsidR="002A6BD9">
        <w:t xml:space="preserve"> Restrictions </w:t>
      </w:r>
      <w:r w:rsidR="00E00E64">
        <w:t xml:space="preserve">in </w:t>
      </w:r>
      <w:r w:rsidR="0063691F">
        <w:t xml:space="preserve">federal tax credit </w:t>
      </w:r>
      <w:r w:rsidR="00E00E64">
        <w:t xml:space="preserve">programs </w:t>
      </w:r>
      <w:r w:rsidR="00C958C1">
        <w:t xml:space="preserve">may </w:t>
      </w:r>
      <w:r w:rsidR="00E00E64">
        <w:t xml:space="preserve">prohibit principal repayment to the reporting entity prior to the conclusion of the </w:t>
      </w:r>
      <w:r w:rsidR="00ED60BB">
        <w:t xml:space="preserve">stipulated timeframe for the tax credit investment. </w:t>
      </w:r>
      <w:r w:rsidR="00F537C6">
        <w:t>Further,</w:t>
      </w:r>
      <w:r w:rsidR="009A05BD">
        <w:t xml:space="preserve"> tax credits are most often not </w:t>
      </w:r>
      <w:r w:rsidR="00920422">
        <w:t>transferable</w:t>
      </w:r>
      <w:r w:rsidR="00BC5D71">
        <w:t>. If the tax credit</w:t>
      </w:r>
      <w:r w:rsidR="00DA1B45">
        <w:t>s</w:t>
      </w:r>
      <w:r w:rsidR="00BC5D71">
        <w:t xml:space="preserve"> cannot be used to reduce </w:t>
      </w:r>
      <w:r w:rsidR="00BC5D71">
        <w:lastRenderedPageBreak/>
        <w:t>tax liability, then the</w:t>
      </w:r>
      <w:r w:rsidR="00ED60BB">
        <w:t xml:space="preserve"> </w:t>
      </w:r>
      <w:r w:rsidR="00DA1B45">
        <w:t xml:space="preserve">investments </w:t>
      </w:r>
      <w:r w:rsidR="00F01FD5">
        <w:t xml:space="preserve">generally </w:t>
      </w:r>
      <w:r w:rsidR="00DA1B45">
        <w:t>do not provide</w:t>
      </w:r>
      <w:r w:rsidR="00BB65B3">
        <w:t xml:space="preserve"> financial </w:t>
      </w:r>
      <w:r w:rsidR="00DA1B45">
        <w:t>benefits to the reporting entity</w:t>
      </w:r>
      <w:r w:rsidR="00AE44C8">
        <w:t xml:space="preserve"> and likely do not reflect investments that can be liquidated </w:t>
      </w:r>
      <w:r w:rsidR="00B64FEB">
        <w:t>to directly pay policyholder claims</w:t>
      </w:r>
      <w:r w:rsidR="00DA1B45">
        <w:t xml:space="preserve">. </w:t>
      </w:r>
      <w:r w:rsidR="00E360A1">
        <w:t xml:space="preserve"> </w:t>
      </w:r>
    </w:p>
    <w:p w14:paraId="5690AC7D" w14:textId="7D7D932C" w:rsidR="00FD54EB" w:rsidRDefault="001F47CD">
      <w:pPr>
        <w:pStyle w:val="ListContinue"/>
      </w:pPr>
      <w:r>
        <w:t>Equity i</w:t>
      </w:r>
      <w:r w:rsidR="0053597E">
        <w:t xml:space="preserve">nvestments </w:t>
      </w:r>
      <w:r w:rsidR="00773384">
        <w:t xml:space="preserve">in </w:t>
      </w:r>
      <w:r w:rsidR="00766146">
        <w:t xml:space="preserve">tax credit </w:t>
      </w:r>
      <w:r w:rsidR="00773384">
        <w:t xml:space="preserve">programs that </w:t>
      </w:r>
      <w:r w:rsidR="001A1E72">
        <w:t>qualify in scope of this statement</w:t>
      </w:r>
      <w:r w:rsidR="00FD54EB">
        <w:t xml:space="preserve"> meet the definition of an asset as specified in </w:t>
      </w:r>
      <w:r w:rsidR="00FD54EB">
        <w:rPr>
          <w:i/>
          <w:iCs/>
        </w:rPr>
        <w:t>SSAP No. 4—Assets and Nonadmitted Assets</w:t>
      </w:r>
      <w:r w:rsidR="00FD54EB">
        <w:t xml:space="preserve"> and are admissible assets to the extent that they comply with the requirements of this statement.</w:t>
      </w:r>
    </w:p>
    <w:p w14:paraId="74D636B2" w14:textId="77777777" w:rsidR="00320597" w:rsidRDefault="00320597" w:rsidP="00320597">
      <w:pPr>
        <w:pStyle w:val="ListContinue"/>
        <w:numPr>
          <w:ilvl w:val="0"/>
          <w:numId w:val="0"/>
        </w:numPr>
        <w:pBdr>
          <w:top w:val="single" w:sz="4" w:space="1" w:color="auto"/>
          <w:left w:val="single" w:sz="4" w:space="4" w:color="auto"/>
          <w:bottom w:val="single" w:sz="4" w:space="1" w:color="auto"/>
          <w:right w:val="single" w:sz="4" w:space="4" w:color="auto"/>
        </w:pBdr>
        <w:rPr>
          <w:i/>
          <w:iCs/>
        </w:rPr>
      </w:pPr>
      <w:r>
        <w:rPr>
          <w:i/>
          <w:iCs/>
        </w:rPr>
        <w:t xml:space="preserve">Staff Question / Items for Discussion: </w:t>
      </w:r>
    </w:p>
    <w:p w14:paraId="58FD3BF4" w14:textId="475DF86E" w:rsidR="00320597" w:rsidRDefault="00320597" w:rsidP="00320597">
      <w:pPr>
        <w:pStyle w:val="ListContinue"/>
        <w:numPr>
          <w:ilvl w:val="0"/>
          <w:numId w:val="29"/>
        </w:numPr>
        <w:pBdr>
          <w:top w:val="single" w:sz="4" w:space="1" w:color="auto"/>
          <w:left w:val="single" w:sz="4" w:space="4" w:color="auto"/>
          <w:bottom w:val="single" w:sz="4" w:space="1" w:color="auto"/>
          <w:right w:val="single" w:sz="4" w:space="4" w:color="auto"/>
        </w:pBdr>
      </w:pPr>
      <w:r>
        <w:t>Paragraph</w:t>
      </w:r>
      <w:r w:rsidR="00C84A89">
        <w:t>s</w:t>
      </w:r>
      <w:r>
        <w:t xml:space="preserve"> </w:t>
      </w:r>
      <w:r w:rsidR="00144B90">
        <w:t>5</w:t>
      </w:r>
      <w:r w:rsidR="005829DB">
        <w:t>-8</w:t>
      </w:r>
      <w:r>
        <w:t xml:space="preserve"> – </w:t>
      </w:r>
      <w:r w:rsidR="00A40E76">
        <w:t>The information</w:t>
      </w:r>
      <w:r w:rsidR="00545D40">
        <w:t xml:space="preserve"> details IRS </w:t>
      </w:r>
      <w:r w:rsidR="00527CFB">
        <w:t>provisions</w:t>
      </w:r>
      <w:r w:rsidR="00545D40">
        <w:t xml:space="preserve"> to qualify for the tax credit</w:t>
      </w:r>
      <w:r w:rsidR="005829DB">
        <w:t xml:space="preserve"> and overall information on the use of tax credits</w:t>
      </w:r>
      <w:r w:rsidR="007C1221">
        <w:t xml:space="preserve"> investments</w:t>
      </w:r>
      <w:r w:rsidR="005829DB">
        <w:t xml:space="preserve">. </w:t>
      </w:r>
      <w:r w:rsidR="009C69D6">
        <w:t xml:space="preserve">Under the IRS rules, the federal business tax credits are not transferable, as only the entity that has a true equity interest can take the tax credit. </w:t>
      </w:r>
      <w:r w:rsidR="00B30328">
        <w:t xml:space="preserve">Furthermore, </w:t>
      </w:r>
      <w:r w:rsidR="008D7109">
        <w:t xml:space="preserve">the designs are most often established to </w:t>
      </w:r>
      <w:r w:rsidR="00B4071A">
        <w:t xml:space="preserve">have provisions to liquidate the </w:t>
      </w:r>
      <w:r w:rsidR="00317E1E">
        <w:t xml:space="preserve">equity </w:t>
      </w:r>
      <w:r w:rsidR="00B4071A">
        <w:t>investment (through a put/call</w:t>
      </w:r>
      <w:r w:rsidR="00216B88">
        <w:t xml:space="preserve">) at the end of the timeframe. </w:t>
      </w:r>
      <w:r w:rsidR="00F1177A">
        <w:t>Comments</w:t>
      </w:r>
      <w:r w:rsidR="0027591E">
        <w:t xml:space="preserve"> are requested on whether </w:t>
      </w:r>
      <w:r w:rsidR="001A7D99">
        <w:t xml:space="preserve">other designs are prevalent </w:t>
      </w:r>
      <w:r w:rsidR="000F43CD">
        <w:t xml:space="preserve">as well as </w:t>
      </w:r>
      <w:r w:rsidR="00317E1E">
        <w:t xml:space="preserve">inclusion of this guidance in the SSAP </w:t>
      </w:r>
      <w:r w:rsidR="00963063">
        <w:t>and/</w:t>
      </w:r>
      <w:r w:rsidR="00441F7D">
        <w:t>or the</w:t>
      </w:r>
      <w:r w:rsidR="00317E1E">
        <w:t xml:space="preserve"> Issue Paper</w:t>
      </w:r>
      <w:r w:rsidR="001B6F7A">
        <w:t xml:space="preserve">. </w:t>
      </w:r>
    </w:p>
    <w:p w14:paraId="1633B1AE" w14:textId="6FDA1C95" w:rsidR="00991424" w:rsidRDefault="00991424" w:rsidP="00991424">
      <w:pPr>
        <w:pStyle w:val="Heading3"/>
      </w:pPr>
      <w:bookmarkStart w:id="2" w:name="_Toc93555295"/>
      <w:r>
        <w:t>Accounting</w:t>
      </w:r>
      <w:bookmarkEnd w:id="2"/>
    </w:p>
    <w:p w14:paraId="3D56F353" w14:textId="2EC8E1B2" w:rsidR="00C24533" w:rsidRDefault="00724520">
      <w:pPr>
        <w:pStyle w:val="ListContinue"/>
      </w:pPr>
      <w:r>
        <w:t>At initial recognition, i</w:t>
      </w:r>
      <w:r w:rsidR="00FD54EB">
        <w:t xml:space="preserve">nvestments </w:t>
      </w:r>
      <w:r w:rsidR="00747C1C">
        <w:t xml:space="preserve">in scope of this statement </w:t>
      </w:r>
      <w:r w:rsidR="00FD54EB">
        <w:t>shall be</w:t>
      </w:r>
      <w:r>
        <w:t xml:space="preserve"> </w:t>
      </w:r>
      <w:r w:rsidR="00FD54EB">
        <w:t>recorded at cost</w:t>
      </w:r>
      <w:r w:rsidR="00D0664E">
        <w:t>.</w:t>
      </w:r>
      <w:r w:rsidR="00747C1C">
        <w:t xml:space="preserve"> A liability shall </w:t>
      </w:r>
      <w:r w:rsidR="00A02C57">
        <w:t xml:space="preserve">also </w:t>
      </w:r>
      <w:r w:rsidR="00747C1C">
        <w:t xml:space="preserve">be recognized </w:t>
      </w:r>
      <w:r w:rsidR="00AA7D13">
        <w:t xml:space="preserve">for delayed equity contributions that are unconditional and legally binding. </w:t>
      </w:r>
      <w:r w:rsidR="000A1370" w:rsidRPr="000E3DA1">
        <w:rPr>
          <w:highlight w:val="lightGray"/>
        </w:rPr>
        <w:t>(ASU 323-740-25-3)</w:t>
      </w:r>
    </w:p>
    <w:p w14:paraId="7234A207" w14:textId="3DAC86C4" w:rsidR="00D07822" w:rsidRDefault="006E4E06" w:rsidP="00D07822">
      <w:pPr>
        <w:pStyle w:val="ListContinue"/>
      </w:pPr>
      <w:r>
        <w:rPr>
          <w:color w:val="000000"/>
        </w:rPr>
        <w:t xml:space="preserve">Reporting entities shall recognize income tax credits in the period they are allocated to the investor for tax purposes. </w:t>
      </w:r>
      <w:r w:rsidR="00D07822" w:rsidRPr="00517B6E">
        <w:rPr>
          <w:color w:val="000000"/>
        </w:rPr>
        <w:t xml:space="preserve">Unless all tax credits are allocated to the reporting entity at the date of initial investment, immediate recognition of the entire benefit of the tax credits to be received during the term of the investment project that generates tax credits and other tax benefits is not permitted. </w:t>
      </w:r>
      <w:r w:rsidR="00BB65B3">
        <w:rPr>
          <w:color w:val="000000"/>
        </w:rPr>
        <w:t>T</w:t>
      </w:r>
      <w:r w:rsidR="00D07822" w:rsidRPr="00517B6E">
        <w:rPr>
          <w:color w:val="000000"/>
        </w:rPr>
        <w:t xml:space="preserve">ax credits shall not be recognized in the financial statements before the year in which the credit arises. </w:t>
      </w:r>
      <w:r w:rsidR="00D07822" w:rsidRPr="009618FB">
        <w:rPr>
          <w:color w:val="000000"/>
          <w:highlight w:val="lightGray"/>
        </w:rPr>
        <w:t>(ASU 323-740-25-5)</w:t>
      </w:r>
    </w:p>
    <w:p w14:paraId="4768A61A" w14:textId="6ED5A19F" w:rsidR="00C556C0" w:rsidRDefault="00297611">
      <w:pPr>
        <w:pStyle w:val="ListContinue"/>
      </w:pPr>
      <w:r>
        <w:t xml:space="preserve">Subsequent to </w:t>
      </w:r>
      <w:r w:rsidR="009461F1">
        <w:t xml:space="preserve">initial </w:t>
      </w:r>
      <w:r>
        <w:t>recognition, the investment shall be carried at proportional amortized cost</w:t>
      </w:r>
      <w:r w:rsidR="00E41F34">
        <w:t>. Under the proport</w:t>
      </w:r>
      <w:r w:rsidR="00E5312B">
        <w:t xml:space="preserve">ional amortization method, the reporting entity amortizes the initial cost of the investment in proportion to the tax credits and other tax benefits allocated to the investor. </w:t>
      </w:r>
      <w:r w:rsidR="00D62661">
        <w:t>The amortization amount shall be calculated as follows</w:t>
      </w:r>
      <w:r w:rsidR="00B676CF">
        <w:t>:</w:t>
      </w:r>
      <w:r w:rsidR="00706745">
        <w:t xml:space="preserve"> </w:t>
      </w:r>
    </w:p>
    <w:p w14:paraId="3A6A84C5" w14:textId="1879A22B" w:rsidR="00D9188D" w:rsidRDefault="00D9188D">
      <w:pPr>
        <w:pStyle w:val="ListContinue"/>
        <w:numPr>
          <w:ilvl w:val="1"/>
          <w:numId w:val="15"/>
        </w:numPr>
        <w:ind w:left="1440" w:hanging="720"/>
      </w:pPr>
      <w:r>
        <w:t>The initial investment balance less any expected residual value of the investment, multiplied by,</w:t>
      </w:r>
    </w:p>
    <w:p w14:paraId="16BF0D36" w14:textId="252FF1D9" w:rsidR="00D9188D" w:rsidRDefault="00D9188D">
      <w:pPr>
        <w:pStyle w:val="ListContinue"/>
        <w:numPr>
          <w:ilvl w:val="1"/>
          <w:numId w:val="15"/>
        </w:numPr>
        <w:ind w:left="1440" w:hanging="720"/>
      </w:pPr>
      <w:r>
        <w:t xml:space="preserve">The percentage </w:t>
      </w:r>
      <w:r w:rsidRPr="0037503C">
        <w:t>of actual tax credits and other tax benefits allocated to the reporting entity in the current period divided by the total estimated tax credits and other tax benefits expected to be received by the reporting entity over the life of the investment</w:t>
      </w:r>
      <w:r>
        <w:t>.</w:t>
      </w:r>
    </w:p>
    <w:p w14:paraId="381F01CF" w14:textId="11339B92" w:rsidR="00594487" w:rsidRDefault="007223F2" w:rsidP="00374E7E">
      <w:pPr>
        <w:pStyle w:val="ListContinue"/>
        <w:numPr>
          <w:ilvl w:val="0"/>
          <w:numId w:val="0"/>
        </w:numPr>
      </w:pPr>
      <w:r>
        <w:t>Exhibit A illustrates the applicat</w:t>
      </w:r>
      <w:r w:rsidR="00D12791">
        <w:t xml:space="preserve">ion of accounting guidance in </w:t>
      </w:r>
      <w:r w:rsidR="00B62713">
        <w:t>two examples</w:t>
      </w:r>
      <w:r w:rsidR="00D12791">
        <w:t xml:space="preserve"> that generate tax credit and tax benefits using the proportional amortization method. </w:t>
      </w:r>
      <w:r w:rsidR="00681916">
        <w:t>The first example</w:t>
      </w:r>
      <w:r w:rsidR="009D78C6">
        <w:t xml:space="preserve"> illustrates the application </w:t>
      </w:r>
      <w:r w:rsidR="009156B0">
        <w:t xml:space="preserve">of </w:t>
      </w:r>
      <w:r w:rsidR="00991060">
        <w:t>a standard project</w:t>
      </w:r>
      <w:r w:rsidR="00C3181A">
        <w:t>.</w:t>
      </w:r>
      <w:r w:rsidR="00991060">
        <w:t xml:space="preserve"> </w:t>
      </w:r>
      <w:r w:rsidR="00B62713">
        <w:t>The second example</w:t>
      </w:r>
      <w:r w:rsidR="00D12791">
        <w:t xml:space="preserve"> illustrates </w:t>
      </w:r>
      <w:r w:rsidR="00BB5DD6">
        <w:t xml:space="preserve">the application of the accounting guidance in a project that generates non-tax related benefits </w:t>
      </w:r>
      <w:r w:rsidR="00B62713">
        <w:t xml:space="preserve">in addition to </w:t>
      </w:r>
      <w:r w:rsidR="00537001">
        <w:t xml:space="preserve">tax credits and other tax benefits </w:t>
      </w:r>
      <w:r w:rsidR="00BB5DD6">
        <w:t xml:space="preserve">using the proportional amortization method. </w:t>
      </w:r>
      <w:r w:rsidR="00AA0214" w:rsidRPr="00E379E9">
        <w:rPr>
          <w:highlight w:val="lightGray"/>
        </w:rPr>
        <w:t>(ASU 323-740-35-</w:t>
      </w:r>
      <w:r w:rsidR="00E379E9" w:rsidRPr="00E379E9">
        <w:rPr>
          <w:highlight w:val="lightGray"/>
        </w:rPr>
        <w:t>2 &amp; 3)</w:t>
      </w:r>
    </w:p>
    <w:p w14:paraId="4B2F7C59" w14:textId="35BEC319" w:rsidR="002472F4" w:rsidRDefault="00753AD7" w:rsidP="002472F4">
      <w:pPr>
        <w:pStyle w:val="ListContinue"/>
      </w:pPr>
      <w:r>
        <w:t>The expected residual value of the investment shal</w:t>
      </w:r>
      <w:r w:rsidR="000F047E">
        <w:t>l be excluded from the proportional amortization calculation. Non-income-tax related benefits received from o</w:t>
      </w:r>
      <w:r w:rsidR="00220DDC">
        <w:t xml:space="preserve">perations of the limited liability entity shall be included </w:t>
      </w:r>
      <w:r w:rsidR="00692975">
        <w:t xml:space="preserve">in </w:t>
      </w:r>
      <w:r w:rsidR="00220DDC">
        <w:t xml:space="preserve">earnings when realized or realizable. </w:t>
      </w:r>
      <w:r w:rsidR="0011123C">
        <w:t>Gains</w:t>
      </w:r>
      <w:r w:rsidR="007C123A">
        <w:t xml:space="preserve"> or losses on the sale of the investment, if any, shall be included </w:t>
      </w:r>
      <w:r w:rsidR="00C62CB0">
        <w:t xml:space="preserve">as a capital gain  or loss at the time of the sale. </w:t>
      </w:r>
      <w:r w:rsidR="00F77A60">
        <w:t xml:space="preserve"> </w:t>
      </w:r>
      <w:r w:rsidR="00F77A60" w:rsidRPr="00F77A60">
        <w:rPr>
          <w:highlight w:val="lightGray"/>
        </w:rPr>
        <w:t>ASU 3623-740-35-5)</w:t>
      </w:r>
      <w:r w:rsidR="00F77A60">
        <w:t xml:space="preserve"> </w:t>
      </w:r>
      <w:r w:rsidR="004C3AB9" w:rsidRPr="00DA5535">
        <w:t>Determinatio</w:t>
      </w:r>
      <w:r w:rsidR="00CD3A3B" w:rsidRPr="00DA5535">
        <w:t xml:space="preserve">n of gain or loss will </w:t>
      </w:r>
      <w:r w:rsidR="00E0127C" w:rsidRPr="00DA5535">
        <w:t xml:space="preserve"> depend on the current reported value (e.g., residual va</w:t>
      </w:r>
      <w:r w:rsidR="00DA5535" w:rsidRPr="00DA5535">
        <w:t>l</w:t>
      </w:r>
      <w:r w:rsidR="00E0127C" w:rsidRPr="00DA5535">
        <w:t xml:space="preserve">ue at the </w:t>
      </w:r>
      <w:r w:rsidR="00F77A60" w:rsidRPr="00DA5535">
        <w:t>end of the amortization timeframe</w:t>
      </w:r>
      <w:r w:rsidR="00DA5535" w:rsidRPr="00DA5535">
        <w:t>) to the amount received in exchange for the equity interest</w:t>
      </w:r>
      <w:r w:rsidR="00F77A60" w:rsidRPr="00DA5535">
        <w:t xml:space="preserve">. </w:t>
      </w:r>
    </w:p>
    <w:p w14:paraId="5B681287" w14:textId="456EEAC7" w:rsidR="008728D2" w:rsidRDefault="00623F0F" w:rsidP="002472F4">
      <w:pPr>
        <w:pStyle w:val="ListContinue"/>
      </w:pPr>
      <w:r>
        <w:lastRenderedPageBreak/>
        <w:t>At the end of the</w:t>
      </w:r>
      <w:r w:rsidR="003E5B89">
        <w:t xml:space="preserve"> amortization timeframe (life of the investment), if the reporting entity retains the equity interest, the investment shall be subsequently captured in scope of </w:t>
      </w:r>
      <w:r w:rsidR="003E5B89" w:rsidRPr="008142D2">
        <w:rPr>
          <w:i/>
          <w:iCs/>
        </w:rPr>
        <w:t>SSAP No. 48—Joint Ventures, Partnerships and Limited Liability Companies</w:t>
      </w:r>
      <w:r w:rsidR="003E5B89">
        <w:t xml:space="preserve">. </w:t>
      </w:r>
    </w:p>
    <w:p w14:paraId="5A82A519" w14:textId="0C9E67CA" w:rsidR="002F0C6B" w:rsidRDefault="002F0C6B" w:rsidP="002F0C6B">
      <w:pPr>
        <w:pStyle w:val="Heading3"/>
      </w:pPr>
      <w:r>
        <w:t>Application of Proportional Amortization Method</w:t>
      </w:r>
    </w:p>
    <w:p w14:paraId="5525A846" w14:textId="13E011B9" w:rsidR="00624D62" w:rsidRDefault="00624D62" w:rsidP="00B30529">
      <w:pPr>
        <w:pStyle w:val="ListContinue"/>
      </w:pPr>
      <w:r>
        <w:t xml:space="preserve">Under the proportional </w:t>
      </w:r>
      <w:r w:rsidRPr="00536540">
        <w:rPr>
          <w:szCs w:val="22"/>
        </w:rPr>
        <w:t>amortized cost method, the amortization of the investment is recognized in the income statement as a</w:t>
      </w:r>
      <w:r w:rsidR="002151ED">
        <w:rPr>
          <w:szCs w:val="22"/>
        </w:rPr>
        <w:t>n expense</w:t>
      </w:r>
      <w:r w:rsidRPr="00536540">
        <w:rPr>
          <w:szCs w:val="22"/>
        </w:rPr>
        <w:t xml:space="preserve"> component of </w:t>
      </w:r>
      <w:r w:rsidR="002151ED">
        <w:rPr>
          <w:szCs w:val="22"/>
        </w:rPr>
        <w:t xml:space="preserve">the </w:t>
      </w:r>
      <w:r w:rsidRPr="00536540">
        <w:rPr>
          <w:szCs w:val="22"/>
        </w:rPr>
        <w:t xml:space="preserve">net </w:t>
      </w:r>
      <w:r w:rsidRPr="00536540">
        <w:rPr>
          <w:bCs/>
          <w:szCs w:val="22"/>
        </w:rPr>
        <w:t>investment income</w:t>
      </w:r>
      <w:r w:rsidR="002151ED">
        <w:rPr>
          <w:bCs/>
          <w:szCs w:val="22"/>
        </w:rPr>
        <w:t xml:space="preserve"> calculation</w:t>
      </w:r>
      <w:r w:rsidRPr="00536540">
        <w:rPr>
          <w:bCs/>
          <w:szCs w:val="22"/>
        </w:rPr>
        <w:t>.</w:t>
      </w:r>
      <w:r w:rsidRPr="00536540">
        <w:rPr>
          <w:szCs w:val="22"/>
        </w:rPr>
        <w:t xml:space="preserve"> </w:t>
      </w:r>
      <w:r w:rsidR="00940FD8">
        <w:rPr>
          <w:szCs w:val="22"/>
        </w:rPr>
        <w:t xml:space="preserve">Tax credits or </w:t>
      </w:r>
      <w:r w:rsidR="006C37EC">
        <w:rPr>
          <w:szCs w:val="22"/>
        </w:rPr>
        <w:t xml:space="preserve">other tax </w:t>
      </w:r>
      <w:r w:rsidR="00940FD8">
        <w:rPr>
          <w:szCs w:val="22"/>
        </w:rPr>
        <w:t xml:space="preserve">benefits </w:t>
      </w:r>
      <w:r w:rsidR="00AF2356">
        <w:rPr>
          <w:szCs w:val="22"/>
        </w:rPr>
        <w:t xml:space="preserve">from the investment </w:t>
      </w:r>
      <w:r w:rsidR="0010437E">
        <w:rPr>
          <w:szCs w:val="22"/>
        </w:rPr>
        <w:t>shall not be</w:t>
      </w:r>
      <w:r w:rsidR="00AF2356">
        <w:rPr>
          <w:szCs w:val="22"/>
        </w:rPr>
        <w:t xml:space="preserve"> reported as a component of net investment income. </w:t>
      </w:r>
    </w:p>
    <w:p w14:paraId="43E98379" w14:textId="3ABF1B76" w:rsidR="00976487" w:rsidRDefault="00976487" w:rsidP="00B30529">
      <w:pPr>
        <w:pStyle w:val="ListContinue"/>
      </w:pPr>
      <w:r>
        <w:t xml:space="preserve">Tax credits and other tax benefits shall be reflected as follows: </w:t>
      </w:r>
    </w:p>
    <w:p w14:paraId="00C931B5" w14:textId="4FD62A91" w:rsidR="00A814F0" w:rsidRDefault="00BD474A">
      <w:pPr>
        <w:pStyle w:val="ListContinue"/>
        <w:numPr>
          <w:ilvl w:val="1"/>
          <w:numId w:val="21"/>
        </w:numPr>
        <w:ind w:left="1440" w:hanging="720"/>
      </w:pPr>
      <w:r>
        <w:t xml:space="preserve">Federal tax credits </w:t>
      </w:r>
      <w:r w:rsidR="00271A16">
        <w:t xml:space="preserve">shall be recognized in the period </w:t>
      </w:r>
      <w:r w:rsidR="00E46163">
        <w:t xml:space="preserve">that they are </w:t>
      </w:r>
      <w:r w:rsidR="002B5F88">
        <w:t xml:space="preserve">allocated </w:t>
      </w:r>
      <w:r w:rsidR="00271A16">
        <w:t>to the reporting entity for tax purposes</w:t>
      </w:r>
      <w:r w:rsidR="00C32D2C">
        <w:t xml:space="preserve">. </w:t>
      </w:r>
      <w:r w:rsidR="00AD672C">
        <w:t xml:space="preserve">Federal tax credits that can be utilized </w:t>
      </w:r>
      <w:r w:rsidR="00FC4DF7">
        <w:t xml:space="preserve">in the year allocated </w:t>
      </w:r>
      <w:r w:rsidR="00C32D2C">
        <w:t xml:space="preserve">shall be </w:t>
      </w:r>
      <w:r w:rsidR="00AD672C">
        <w:t>reported in</w:t>
      </w:r>
      <w:r w:rsidR="00A814F0">
        <w:t xml:space="preserve"> the income statement as an offset to federal taxes in accordance with </w:t>
      </w:r>
      <w:r w:rsidR="00A814F0" w:rsidRPr="00AF000A">
        <w:rPr>
          <w:i/>
          <w:iCs/>
        </w:rPr>
        <w:t>SSAP No. 101—Income Taxes</w:t>
      </w:r>
      <w:r w:rsidR="00A814F0">
        <w:t xml:space="preserve">. Federal tax credits that cannot be utilized in the year </w:t>
      </w:r>
      <w:r w:rsidR="00FC4DF7">
        <w:t>allocated</w:t>
      </w:r>
      <w:r w:rsidR="00A814F0">
        <w:t xml:space="preserve"> </w:t>
      </w:r>
      <w:r w:rsidR="001A22A3">
        <w:t>and are carr</w:t>
      </w:r>
      <w:r w:rsidR="00D17A2E">
        <w:t xml:space="preserve">ied </w:t>
      </w:r>
      <w:r w:rsidR="001A22A3">
        <w:t xml:space="preserve">forward </w:t>
      </w:r>
      <w:r w:rsidR="00F652E7">
        <w:t xml:space="preserve">to a future tax year </w:t>
      </w:r>
      <w:r w:rsidR="001A22A3">
        <w:t>shall be recognized as a deferred tax asse</w:t>
      </w:r>
      <w:r w:rsidR="001C0AA6">
        <w:t>t</w:t>
      </w:r>
      <w:r w:rsidR="00F652E7">
        <w:t xml:space="preserve"> (DTA)</w:t>
      </w:r>
      <w:r w:rsidR="001C0AA6">
        <w:t xml:space="preserve">, subject to </w:t>
      </w:r>
      <w:r w:rsidR="001C0AA6" w:rsidRPr="00BA46CF">
        <w:t xml:space="preserve">applicable admittance provisions, in accordance with </w:t>
      </w:r>
      <w:r w:rsidR="001C0AA6" w:rsidRPr="00561207">
        <w:t>SSAP No. 101</w:t>
      </w:r>
      <w:r w:rsidR="001C0AA6" w:rsidRPr="00BA46CF">
        <w:t xml:space="preserve">. </w:t>
      </w:r>
      <w:r w:rsidR="00284A40">
        <w:t>Use</w:t>
      </w:r>
      <w:r w:rsidR="000D4899" w:rsidRPr="00BA46CF">
        <w:t xml:space="preserve"> of the tax credit in a future period </w:t>
      </w:r>
      <w:r w:rsidR="000C02E1" w:rsidRPr="00BA46CF">
        <w:t xml:space="preserve">shall be reflected </w:t>
      </w:r>
      <w:r w:rsidR="00CD2503" w:rsidRPr="00BA46CF">
        <w:t>as an offset to federal tax in the tax reporting year in which the tax credit is utilized.</w:t>
      </w:r>
      <w:r w:rsidR="00CD2503">
        <w:t xml:space="preserve"> </w:t>
      </w:r>
      <w:r w:rsidR="000C02E1">
        <w:t xml:space="preserve"> </w:t>
      </w:r>
    </w:p>
    <w:p w14:paraId="20B579DF" w14:textId="09ED3DEF" w:rsidR="005626C4" w:rsidRDefault="00FD54EB">
      <w:pPr>
        <w:pStyle w:val="ListContinue"/>
        <w:numPr>
          <w:ilvl w:val="1"/>
          <w:numId w:val="15"/>
        </w:numPr>
        <w:ind w:left="1440" w:hanging="720"/>
        <w:rPr>
          <w:color w:val="000000"/>
        </w:rPr>
      </w:pPr>
      <w:r w:rsidRPr="00A63131">
        <w:t>State tax credits shall be recognized in the income statement as an offset to state premium tax or state</w:t>
      </w:r>
      <w:r>
        <w:rPr>
          <w:color w:val="000000"/>
        </w:rPr>
        <w:t xml:space="preserve"> income tax, whichever is applicable, in the tax</w:t>
      </w:r>
      <w:r w:rsidR="005626C4">
        <w:rPr>
          <w:color w:val="000000"/>
        </w:rPr>
        <w:t>-</w:t>
      </w:r>
      <w:r>
        <w:rPr>
          <w:color w:val="000000"/>
        </w:rPr>
        <w:t>reporting year in which the credit is utilized.</w:t>
      </w:r>
      <w:r w:rsidR="005626C4">
        <w:rPr>
          <w:color w:val="000000"/>
        </w:rPr>
        <w:t xml:space="preserve"> </w:t>
      </w:r>
    </w:p>
    <w:p w14:paraId="375C2827" w14:textId="035612B1" w:rsidR="00805E57" w:rsidRDefault="00805E57">
      <w:pPr>
        <w:pStyle w:val="ListContinue"/>
        <w:numPr>
          <w:ilvl w:val="1"/>
          <w:numId w:val="15"/>
        </w:numPr>
        <w:ind w:left="1440" w:hanging="720"/>
      </w:pPr>
      <w:r>
        <w:t xml:space="preserve">Federal or state tax benefits other than tax credits (e.g., tax benefits from investment depreciation) shall be recognized in the year earned as a component of income tax expense pursuant to SSAP No. 101. </w:t>
      </w:r>
    </w:p>
    <w:p w14:paraId="2398606D" w14:textId="77777777" w:rsidR="00120CEA" w:rsidRDefault="00120CEA" w:rsidP="00120CEA">
      <w:pPr>
        <w:pStyle w:val="ListContinue"/>
        <w:numPr>
          <w:ilvl w:val="0"/>
          <w:numId w:val="0"/>
        </w:numPr>
        <w:pBdr>
          <w:top w:val="single" w:sz="4" w:space="1" w:color="auto"/>
          <w:left w:val="single" w:sz="4" w:space="4" w:color="auto"/>
          <w:bottom w:val="single" w:sz="4" w:space="1" w:color="auto"/>
          <w:right w:val="single" w:sz="4" w:space="4" w:color="auto"/>
        </w:pBdr>
        <w:rPr>
          <w:i/>
          <w:iCs/>
        </w:rPr>
      </w:pPr>
      <w:r>
        <w:rPr>
          <w:i/>
          <w:iCs/>
        </w:rPr>
        <w:t xml:space="preserve">Staff Question / Items for Discussion: </w:t>
      </w:r>
    </w:p>
    <w:p w14:paraId="3C99D728" w14:textId="07627B83" w:rsidR="00963951" w:rsidRDefault="00120CEA" w:rsidP="00120CEA">
      <w:pPr>
        <w:pStyle w:val="ListContinue"/>
        <w:numPr>
          <w:ilvl w:val="0"/>
          <w:numId w:val="29"/>
        </w:numPr>
        <w:pBdr>
          <w:top w:val="single" w:sz="4" w:space="1" w:color="auto"/>
          <w:left w:val="single" w:sz="4" w:space="4" w:color="auto"/>
          <w:bottom w:val="single" w:sz="4" w:space="1" w:color="auto"/>
          <w:right w:val="single" w:sz="4" w:space="4" w:color="auto"/>
        </w:pBdr>
      </w:pPr>
      <w:r>
        <w:t xml:space="preserve">Paragraphs </w:t>
      </w:r>
      <w:r w:rsidR="00076A78">
        <w:t>10-1</w:t>
      </w:r>
      <w:r w:rsidR="00776B03">
        <w:t>4</w:t>
      </w:r>
      <w:r>
        <w:t xml:space="preserve"> – </w:t>
      </w:r>
      <w:r w:rsidR="00076A78">
        <w:t xml:space="preserve">This information </w:t>
      </w:r>
      <w:r w:rsidR="00162A89">
        <w:t>mirrors guidance from the proposed ASU</w:t>
      </w:r>
      <w:r w:rsidR="008728D2">
        <w:t xml:space="preserve"> with </w:t>
      </w:r>
      <w:r w:rsidR="00082129">
        <w:t>SAP</w:t>
      </w:r>
      <w:r w:rsidR="008728D2">
        <w:t xml:space="preserve"> clarifications.</w:t>
      </w:r>
      <w:r w:rsidR="00571B38">
        <w:t xml:space="preserve"> Comments are requested on whether SAP modifications should be considered. </w:t>
      </w:r>
      <w:r w:rsidR="008728D2">
        <w:t xml:space="preserve"> </w:t>
      </w:r>
      <w:r w:rsidR="00162A89">
        <w:t xml:space="preserve"> </w:t>
      </w:r>
    </w:p>
    <w:p w14:paraId="27B7EBFF" w14:textId="41D81126" w:rsidR="00120CEA" w:rsidRDefault="00963951" w:rsidP="00120CEA">
      <w:pPr>
        <w:pStyle w:val="ListContinue"/>
        <w:numPr>
          <w:ilvl w:val="0"/>
          <w:numId w:val="29"/>
        </w:numPr>
        <w:pBdr>
          <w:top w:val="single" w:sz="4" w:space="1" w:color="auto"/>
          <w:left w:val="single" w:sz="4" w:space="4" w:color="auto"/>
          <w:bottom w:val="single" w:sz="4" w:space="1" w:color="auto"/>
          <w:right w:val="single" w:sz="4" w:space="4" w:color="auto"/>
        </w:pBdr>
      </w:pPr>
      <w:r>
        <w:t>Paragraphs 1</w:t>
      </w:r>
      <w:r w:rsidR="006930E2">
        <w:t>5</w:t>
      </w:r>
      <w:r>
        <w:t xml:space="preserve">-16 - </w:t>
      </w:r>
      <w:r w:rsidR="00120CEA">
        <w:t xml:space="preserve"> </w:t>
      </w:r>
      <w:r w:rsidR="009615BB">
        <w:t xml:space="preserve">This guidance </w:t>
      </w:r>
      <w:r w:rsidR="004D75BC">
        <w:t>details the application of the proportional amortization method for statutory accounting. It is</w:t>
      </w:r>
      <w:r w:rsidR="002C0A74">
        <w:t xml:space="preserve"> more detailed, but generally consistent with SSAP No. 93. </w:t>
      </w:r>
      <w:r w:rsidR="006025F1">
        <w:t xml:space="preserve">The </w:t>
      </w:r>
      <w:r w:rsidR="00B30399">
        <w:t xml:space="preserve">existing SAP </w:t>
      </w:r>
      <w:r w:rsidR="006025F1">
        <w:t xml:space="preserve">guidance was </w:t>
      </w:r>
      <w:r w:rsidR="001D11B9">
        <w:t xml:space="preserve">driven from EITF </w:t>
      </w:r>
      <w:r w:rsidR="00B30399">
        <w:t>94-1 and</w:t>
      </w:r>
      <w:r w:rsidR="001D11B9">
        <w:t xml:space="preserve"> </w:t>
      </w:r>
      <w:r w:rsidR="00D2395D">
        <w:t>refers</w:t>
      </w:r>
      <w:r w:rsidR="001D11B9">
        <w:t xml:space="preserve"> to recognition at the time a tax credit can be included in a tax return</w:t>
      </w:r>
      <w:r w:rsidR="00B30399">
        <w:t xml:space="preserve">. However, </w:t>
      </w:r>
      <w:r w:rsidR="001D11B9">
        <w:t xml:space="preserve">that guidance is </w:t>
      </w:r>
      <w:r w:rsidR="00AB400D">
        <w:t xml:space="preserve">contradictory </w:t>
      </w:r>
      <w:r w:rsidR="00963EC9">
        <w:t xml:space="preserve">with the recognition of </w:t>
      </w:r>
      <w:r w:rsidR="00AB400D">
        <w:t xml:space="preserve">tax </w:t>
      </w:r>
      <w:r w:rsidR="00BA259F">
        <w:t xml:space="preserve">credit </w:t>
      </w:r>
      <w:r w:rsidR="00963EC9">
        <w:t xml:space="preserve">carryforwards under both </w:t>
      </w:r>
      <w:r w:rsidR="00306A2D">
        <w:t xml:space="preserve">current </w:t>
      </w:r>
      <w:r w:rsidR="00963EC9">
        <w:t xml:space="preserve">SAP and </w:t>
      </w:r>
      <w:r w:rsidR="00B30399">
        <w:t xml:space="preserve">U.S. </w:t>
      </w:r>
      <w:r w:rsidR="00963EC9">
        <w:t xml:space="preserve">GAAP. </w:t>
      </w:r>
      <w:r w:rsidR="00C86564">
        <w:t xml:space="preserve">The </w:t>
      </w:r>
      <w:r w:rsidR="00946E1B">
        <w:t xml:space="preserve">proposed </w:t>
      </w:r>
      <w:r w:rsidR="00C86564">
        <w:t>guidance in paragraph 11 reflects the new GA</w:t>
      </w:r>
      <w:r w:rsidR="00991572">
        <w:t xml:space="preserve">AP guidance for recognition in the year in which the credit arises, and the guidance in paragraph 16 identifies how carryforwards would be considered a DTA. </w:t>
      </w:r>
    </w:p>
    <w:p w14:paraId="63CC0772" w14:textId="012EC6AD" w:rsidR="006378C2" w:rsidRDefault="006378C2" w:rsidP="006378C2">
      <w:pPr>
        <w:pStyle w:val="Heading3"/>
      </w:pPr>
      <w:r>
        <w:t>Admittance Requirements</w:t>
      </w:r>
    </w:p>
    <w:p w14:paraId="64607546" w14:textId="60032038" w:rsidR="0087638A" w:rsidRDefault="00DE21F4" w:rsidP="00E24501">
      <w:pPr>
        <w:pStyle w:val="ListContinue"/>
      </w:pPr>
      <w:r>
        <w:t>I</w:t>
      </w:r>
      <w:r w:rsidR="0087638A">
        <w:t xml:space="preserve">nvestments in </w:t>
      </w:r>
      <w:r w:rsidR="003B1847">
        <w:t>tax credit programs provide benefit to reporting entities through a reduction in tax liability</w:t>
      </w:r>
      <w:r w:rsidR="006E0694">
        <w:t xml:space="preserve">. </w:t>
      </w:r>
      <w:r w:rsidR="00143B6C">
        <w:t xml:space="preserve">Investors in these tax credit program recognize that the original investment amount will not </w:t>
      </w:r>
      <w:r w:rsidR="00507482">
        <w:t xml:space="preserve">likely </w:t>
      </w:r>
      <w:r w:rsidR="00143B6C">
        <w:t>be returned, but they will obtain a positive r</w:t>
      </w:r>
      <w:r w:rsidR="00A86FD5">
        <w:t xml:space="preserve">ate of return through tax credits and other tax benefits. </w:t>
      </w:r>
    </w:p>
    <w:p w14:paraId="0E3439D6" w14:textId="6193AB56" w:rsidR="00E24501" w:rsidRDefault="00E24501" w:rsidP="006378C2">
      <w:pPr>
        <w:pStyle w:val="ListContinue"/>
      </w:pPr>
      <w:r>
        <w:t xml:space="preserve">Although </w:t>
      </w:r>
      <w:r w:rsidR="00233833">
        <w:t xml:space="preserve">investments in tax credit programs </w:t>
      </w:r>
      <w:r w:rsidR="00BC519A">
        <w:t>do</w:t>
      </w:r>
      <w:r w:rsidR="00136780">
        <w:t xml:space="preserve"> not represent investments that can </w:t>
      </w:r>
      <w:r w:rsidR="002B684C">
        <w:t xml:space="preserve">be </w:t>
      </w:r>
      <w:r w:rsidR="00115190">
        <w:t xml:space="preserve">directly </w:t>
      </w:r>
      <w:r w:rsidR="002B684C">
        <w:t xml:space="preserve">liquidated for policyholder claims, the reduction of tax liability </w:t>
      </w:r>
      <w:r w:rsidR="00A67246">
        <w:t>represents a benefit that supports admittance of these investments</w:t>
      </w:r>
      <w:r w:rsidR="00216722">
        <w:t xml:space="preserve">, but only if the tax credit will be received </w:t>
      </w:r>
      <w:r w:rsidR="0038071F">
        <w:t xml:space="preserve">and </w:t>
      </w:r>
      <w:r w:rsidR="003A61DA">
        <w:t xml:space="preserve">can be </w:t>
      </w:r>
      <w:r w:rsidR="0038071F">
        <w:t xml:space="preserve">utilized by the reporting entity. Investments in tax credit programs </w:t>
      </w:r>
      <w:r w:rsidR="00DE7470">
        <w:t xml:space="preserve">that </w:t>
      </w:r>
      <w:r w:rsidR="00DC433D">
        <w:t xml:space="preserve">will not result with tax credits or that </w:t>
      </w:r>
      <w:r w:rsidR="00C2484B">
        <w:t xml:space="preserve">will result with tax credits that </w:t>
      </w:r>
      <w:r w:rsidR="00DC433D">
        <w:t xml:space="preserve">cannot be </w:t>
      </w:r>
      <w:r w:rsidR="00736A49">
        <w:t>utilized</w:t>
      </w:r>
      <w:r w:rsidR="00DC433D">
        <w:t xml:space="preserve"> by the reporting entity </w:t>
      </w:r>
      <w:r w:rsidR="003A10AB">
        <w:t xml:space="preserve">shall be nonadmitted. </w:t>
      </w:r>
      <w:r w:rsidR="0038071F">
        <w:t xml:space="preserve"> </w:t>
      </w:r>
    </w:p>
    <w:p w14:paraId="495A3EA9" w14:textId="792ED0F0" w:rsidR="005167AC" w:rsidRDefault="005167AC" w:rsidP="006378C2">
      <w:pPr>
        <w:pStyle w:val="ListContinue"/>
      </w:pPr>
      <w:r>
        <w:lastRenderedPageBreak/>
        <w:t xml:space="preserve">To support admittance, </w:t>
      </w:r>
      <w:r w:rsidR="00C717B9">
        <w:t>a reporting entity shall monitor the tax credit eligibility</w:t>
      </w:r>
      <w:r w:rsidR="0072068C">
        <w:t xml:space="preserve"> of a program</w:t>
      </w:r>
      <w:r w:rsidR="00C717B9">
        <w:t xml:space="preserve"> </w:t>
      </w:r>
      <w:r w:rsidR="00EA1271">
        <w:t>and obtain a tax opinion on the validity of the credits and the structure</w:t>
      </w:r>
      <w:r w:rsidR="00DC4A3A">
        <w:t xml:space="preserve"> of the program</w:t>
      </w:r>
      <w:r w:rsidR="00EA1271">
        <w:t xml:space="preserve">. </w:t>
      </w:r>
      <w:r w:rsidR="0015636A">
        <w:t xml:space="preserve">Investments </w:t>
      </w:r>
      <w:r w:rsidR="003C2FD4">
        <w:t xml:space="preserve">in tax credit programs </w:t>
      </w:r>
      <w:r w:rsidR="0015636A">
        <w:t xml:space="preserve">that are not supported by a tax opinion </w:t>
      </w:r>
      <w:r w:rsidR="003C2FD4">
        <w:t>shall be nonadmitted</w:t>
      </w:r>
      <w:r w:rsidR="0015636A">
        <w:t xml:space="preserve">. </w:t>
      </w:r>
      <w:r w:rsidR="005A7F1D">
        <w:t xml:space="preserve">If the program is a </w:t>
      </w:r>
      <w:r w:rsidR="003F2AE9">
        <w:t xml:space="preserve">permitted </w:t>
      </w:r>
      <w:r w:rsidR="005A7F1D">
        <w:t>syndicated program</w:t>
      </w:r>
      <w:r w:rsidR="00944A7B">
        <w:t xml:space="preserve"> </w:t>
      </w:r>
      <w:r w:rsidR="005A7F1D">
        <w:t>with a guarantee</w:t>
      </w:r>
      <w:r w:rsidR="006E4E22">
        <w:rPr>
          <w:rStyle w:val="FootnoteReference"/>
        </w:rPr>
        <w:footnoteReference w:id="2"/>
      </w:r>
      <w:r w:rsidR="005A7F1D">
        <w:t xml:space="preserve">, the opinion </w:t>
      </w:r>
      <w:r w:rsidR="001E5CD6">
        <w:t xml:space="preserve">must verify that the </w:t>
      </w:r>
      <w:r w:rsidR="009D4FD8">
        <w:t>investment</w:t>
      </w:r>
      <w:r w:rsidR="001D1EA4">
        <w:t xml:space="preserve"> and guarantee </w:t>
      </w:r>
      <w:r w:rsidR="009D4FD8">
        <w:t xml:space="preserve">has been properly structured </w:t>
      </w:r>
      <w:r w:rsidR="002D2B0E">
        <w:t xml:space="preserve">under IRS rules </w:t>
      </w:r>
      <w:r w:rsidR="00944A7B">
        <w:t xml:space="preserve">and </w:t>
      </w:r>
      <w:r w:rsidR="004A379F">
        <w:t xml:space="preserve">the guarantee </w:t>
      </w:r>
      <w:r w:rsidR="001D1EA4">
        <w:t xml:space="preserve">does not disqualify the reporting entity from </w:t>
      </w:r>
      <w:r w:rsidR="00D1722D">
        <w:t xml:space="preserve">obtaining </w:t>
      </w:r>
      <w:r w:rsidR="005B303B">
        <w:t xml:space="preserve">federal general business </w:t>
      </w:r>
      <w:r w:rsidR="00D1722D">
        <w:t xml:space="preserve">tax credits. </w:t>
      </w:r>
    </w:p>
    <w:p w14:paraId="7C6B228E" w14:textId="30BE97E8" w:rsidR="00465337" w:rsidRDefault="00CA5392" w:rsidP="006378C2">
      <w:pPr>
        <w:pStyle w:val="ListContinue"/>
      </w:pPr>
      <w:r>
        <w:t>Once</w:t>
      </w:r>
      <w:r w:rsidR="00EC2C77">
        <w:t xml:space="preserve"> supported by a tax opinion, a</w:t>
      </w:r>
      <w:r w:rsidR="00351D33">
        <w:t xml:space="preserve"> reporting entity is required to assess </w:t>
      </w:r>
      <w:r w:rsidR="0053013C">
        <w:t xml:space="preserve">the realization of tax credits </w:t>
      </w:r>
      <w:r w:rsidR="00D04983">
        <w:t>against tax liability</w:t>
      </w:r>
      <w:r w:rsidR="006E1E07">
        <w:t xml:space="preserve"> for both the tax year in which the credit can be initially utilized as well as in accordance with </w:t>
      </w:r>
      <w:r w:rsidR="00656776">
        <w:t>carry-forward periods</w:t>
      </w:r>
      <w:r w:rsidR="00EC2C77">
        <w:t xml:space="preserve"> to determine</w:t>
      </w:r>
      <w:r w:rsidR="00435C2A">
        <w:t xml:space="preserve"> the extent </w:t>
      </w:r>
      <w:r>
        <w:t xml:space="preserve">the </w:t>
      </w:r>
      <w:r w:rsidR="00435C2A">
        <w:t>investments can be admitted</w:t>
      </w:r>
      <w:r w:rsidR="00465337">
        <w:t xml:space="preserve">: </w:t>
      </w:r>
    </w:p>
    <w:p w14:paraId="308D3B2A" w14:textId="0BE2861E" w:rsidR="00B756C0" w:rsidRDefault="00656776" w:rsidP="00465337">
      <w:pPr>
        <w:pStyle w:val="ListContinue"/>
        <w:numPr>
          <w:ilvl w:val="1"/>
          <w:numId w:val="15"/>
        </w:numPr>
        <w:ind w:left="1440" w:hanging="720"/>
      </w:pPr>
      <w:r>
        <w:t xml:space="preserve">If </w:t>
      </w:r>
      <w:r w:rsidR="00EF1732">
        <w:t>a reporting entity</w:t>
      </w:r>
      <w:r>
        <w:t xml:space="preserve"> </w:t>
      </w:r>
      <w:r w:rsidR="005436B4">
        <w:t xml:space="preserve">does not expect </w:t>
      </w:r>
      <w:r w:rsidR="007372B1">
        <w:t>tax liability</w:t>
      </w:r>
      <w:r w:rsidR="006017D6">
        <w:t xml:space="preserve"> in the upcoming tax year, investments in</w:t>
      </w:r>
      <w:r w:rsidR="00BF6FD4">
        <w:t xml:space="preserve"> </w:t>
      </w:r>
      <w:r w:rsidR="006017D6">
        <w:t xml:space="preserve">tax credit programs </w:t>
      </w:r>
      <w:r w:rsidR="00CF2D7A">
        <w:t xml:space="preserve">intended to reduce the tax liability </w:t>
      </w:r>
      <w:r w:rsidR="003E74AF">
        <w:t>shall be nonadmitted.</w:t>
      </w:r>
      <w:r w:rsidR="00BD1973">
        <w:t xml:space="preserve"> In subsequent years, </w:t>
      </w:r>
      <w:r w:rsidR="00EF1732">
        <w:t xml:space="preserve">and only after </w:t>
      </w:r>
      <w:r w:rsidR="00BD1973">
        <w:t>verification of tax liability</w:t>
      </w:r>
      <w:r w:rsidR="00566D3E">
        <w:t xml:space="preserve"> for which tax credits can be applied</w:t>
      </w:r>
      <w:r w:rsidR="00BD1973">
        <w:t xml:space="preserve">, </w:t>
      </w:r>
      <w:r w:rsidR="007C78E4">
        <w:t xml:space="preserve">a reporting entity can assess utilization of </w:t>
      </w:r>
      <w:r w:rsidR="00411985">
        <w:t>tax credit</w:t>
      </w:r>
      <w:r w:rsidR="000708E6">
        <w:t xml:space="preserve">s </w:t>
      </w:r>
      <w:r w:rsidR="00CA69B9">
        <w:t>to determine admittance</w:t>
      </w:r>
      <w:r w:rsidR="00677ED5">
        <w:t xml:space="preserve"> under paragraph 20.b</w:t>
      </w:r>
      <w:r w:rsidR="00411985">
        <w:t xml:space="preserve">. </w:t>
      </w:r>
    </w:p>
    <w:p w14:paraId="3FD2B118" w14:textId="4E77A5E4" w:rsidR="00EF1732" w:rsidRDefault="00CA69B9" w:rsidP="00465337">
      <w:pPr>
        <w:pStyle w:val="ListContinue"/>
        <w:numPr>
          <w:ilvl w:val="1"/>
          <w:numId w:val="15"/>
        </w:numPr>
        <w:ind w:left="1440" w:hanging="720"/>
      </w:pPr>
      <w:r>
        <w:t>A reporting entity that</w:t>
      </w:r>
      <w:r w:rsidR="00EF7614">
        <w:t xml:space="preserve"> </w:t>
      </w:r>
      <w:r>
        <w:t xml:space="preserve">expects tax liability </w:t>
      </w:r>
      <w:r w:rsidR="00C00496">
        <w:t xml:space="preserve">in the upcoming tax year is permitted to admit investments in tax credit programs </w:t>
      </w:r>
      <w:r w:rsidR="008C7D68">
        <w:t>to the extent that</w:t>
      </w:r>
      <w:r w:rsidR="00880D3A">
        <w:t xml:space="preserve"> a reporting entity </w:t>
      </w:r>
      <w:r w:rsidR="00D43A7C">
        <w:t xml:space="preserve">expects to </w:t>
      </w:r>
      <w:r w:rsidR="00F622B0">
        <w:t xml:space="preserve">ultimately </w:t>
      </w:r>
      <w:r w:rsidR="00D43A7C">
        <w:t>utilize the tax credits</w:t>
      </w:r>
      <w:r w:rsidR="00B02A9B">
        <w:t xml:space="preserve"> under permitted IRS </w:t>
      </w:r>
      <w:r w:rsidR="00091A19">
        <w:t xml:space="preserve">or state </w:t>
      </w:r>
      <w:r w:rsidR="00B02A9B">
        <w:t>tax provisions</w:t>
      </w:r>
      <w:r w:rsidR="00D43A7C">
        <w:t>.</w:t>
      </w:r>
      <w:r w:rsidR="00A80A9A">
        <w:t xml:space="preserve"> I</w:t>
      </w:r>
      <w:r w:rsidR="004317B7">
        <w:t>f</w:t>
      </w:r>
      <w:r w:rsidR="00A80A9A">
        <w:t xml:space="preserve"> projections </w:t>
      </w:r>
      <w:r w:rsidR="00F66BDA">
        <w:t xml:space="preserve">identify that the tax credits </w:t>
      </w:r>
      <w:r w:rsidR="000879D7">
        <w:t xml:space="preserve">from investments </w:t>
      </w:r>
      <w:r w:rsidR="003F6465">
        <w:t>in tax credit programs</w:t>
      </w:r>
      <w:r w:rsidR="00F66BDA">
        <w:t xml:space="preserve"> </w:t>
      </w:r>
      <w:r w:rsidR="00791A53">
        <w:t>will exceed</w:t>
      </w:r>
      <w:r w:rsidR="00566D7A">
        <w:t xml:space="preserve"> what can be utilized under IRS tax pro</w:t>
      </w:r>
      <w:r w:rsidR="00725BE4">
        <w:t>visions</w:t>
      </w:r>
      <w:r w:rsidR="00427A92">
        <w:t xml:space="preserve"> (current and other applicable tax periods)</w:t>
      </w:r>
      <w:r w:rsidR="00725BE4">
        <w:t>, the reporting entity shall nonadmi</w:t>
      </w:r>
      <w:r w:rsidR="00F54315">
        <w:t xml:space="preserve">t investments </w:t>
      </w:r>
      <w:r w:rsidR="003F53AF">
        <w:t>as</w:t>
      </w:r>
      <w:r w:rsidR="003C20F4">
        <w:t xml:space="preserve"> necessa</w:t>
      </w:r>
      <w:r w:rsidR="00F50EA1">
        <w:t>ry</w:t>
      </w:r>
      <w:r w:rsidR="0020484A">
        <w:t xml:space="preserve"> so that</w:t>
      </w:r>
      <w:r w:rsidR="009F0D20">
        <w:t xml:space="preserve"> </w:t>
      </w:r>
      <w:r w:rsidR="001E17FD">
        <w:t>i</w:t>
      </w:r>
      <w:r w:rsidR="009F0D20">
        <w:t xml:space="preserve">nvestments </w:t>
      </w:r>
      <w:r w:rsidR="00180EA1">
        <w:t xml:space="preserve">in scope of this statement </w:t>
      </w:r>
      <w:r w:rsidR="004317B7">
        <w:t xml:space="preserve">(in aggregate) </w:t>
      </w:r>
      <w:r w:rsidR="009F0D20">
        <w:t xml:space="preserve">are </w:t>
      </w:r>
      <w:r w:rsidR="00076EB3">
        <w:t xml:space="preserve">only </w:t>
      </w:r>
      <w:r w:rsidR="009F0D20">
        <w:t>admitted</w:t>
      </w:r>
      <w:r w:rsidR="0020484A">
        <w:t xml:space="preserve"> </w:t>
      </w:r>
      <w:r w:rsidR="00F15776">
        <w:t xml:space="preserve">to the extent tax credits </w:t>
      </w:r>
      <w:r w:rsidR="00427A92">
        <w:t>are</w:t>
      </w:r>
      <w:r w:rsidR="0020484A">
        <w:t xml:space="preserve"> expected to be utilized. </w:t>
      </w:r>
      <w:r w:rsidR="00453EA3">
        <w:t>In making this assessment, the reporting ent</w:t>
      </w:r>
      <w:r w:rsidR="00BF37E1">
        <w:t xml:space="preserve">ity is not permitted to assume </w:t>
      </w:r>
      <w:r w:rsidR="00F91BC4">
        <w:t>increased operations</w:t>
      </w:r>
      <w:r w:rsidR="00AE32B9">
        <w:t xml:space="preserve"> (e.g., expanded </w:t>
      </w:r>
      <w:r w:rsidR="00B80756">
        <w:t xml:space="preserve">product sales) </w:t>
      </w:r>
      <w:r w:rsidR="00321B16">
        <w:t xml:space="preserve">beyond actual experience </w:t>
      </w:r>
      <w:r w:rsidR="00C8567E">
        <w:t xml:space="preserve">to conclude that additional </w:t>
      </w:r>
      <w:r w:rsidR="00CB4507">
        <w:t xml:space="preserve">federal </w:t>
      </w:r>
      <w:r w:rsidR="00A16870">
        <w:t xml:space="preserve">or state </w:t>
      </w:r>
      <w:r w:rsidR="00C8567E">
        <w:t>tax liability will exist</w:t>
      </w:r>
      <w:r w:rsidR="005B7863">
        <w:t xml:space="preserve"> that would allow additional utilization of tax credits. </w:t>
      </w:r>
    </w:p>
    <w:p w14:paraId="7807922C" w14:textId="77777777" w:rsidR="00326F73" w:rsidRDefault="00326F73" w:rsidP="00326F73">
      <w:pPr>
        <w:pStyle w:val="ListContinue"/>
        <w:numPr>
          <w:ilvl w:val="0"/>
          <w:numId w:val="0"/>
        </w:numPr>
        <w:pBdr>
          <w:top w:val="single" w:sz="4" w:space="1" w:color="auto"/>
          <w:left w:val="single" w:sz="4" w:space="4" w:color="auto"/>
          <w:bottom w:val="single" w:sz="4" w:space="1" w:color="auto"/>
          <w:right w:val="single" w:sz="4" w:space="4" w:color="auto"/>
        </w:pBdr>
        <w:rPr>
          <w:i/>
          <w:iCs/>
        </w:rPr>
      </w:pPr>
      <w:r>
        <w:rPr>
          <w:i/>
          <w:iCs/>
        </w:rPr>
        <w:t xml:space="preserve">Staff Question / Items for Discussion: </w:t>
      </w:r>
    </w:p>
    <w:p w14:paraId="7CE7CD06" w14:textId="101B446E" w:rsidR="00326F73" w:rsidRDefault="00326F73" w:rsidP="00F34F83">
      <w:pPr>
        <w:pStyle w:val="ListContinue"/>
        <w:numPr>
          <w:ilvl w:val="0"/>
          <w:numId w:val="29"/>
        </w:numPr>
        <w:pBdr>
          <w:top w:val="single" w:sz="4" w:space="1" w:color="auto"/>
          <w:left w:val="single" w:sz="4" w:space="4" w:color="auto"/>
          <w:bottom w:val="single" w:sz="4" w:space="1" w:color="auto"/>
          <w:right w:val="single" w:sz="4" w:space="4" w:color="auto"/>
        </w:pBdr>
      </w:pPr>
      <w:r>
        <w:t xml:space="preserve">Paragraphs </w:t>
      </w:r>
      <w:r w:rsidR="00394A49">
        <w:t>17-20</w:t>
      </w:r>
      <w:r>
        <w:t xml:space="preserve"> – </w:t>
      </w:r>
      <w:r w:rsidR="00394A49">
        <w:t xml:space="preserve">These paragraphs provide </w:t>
      </w:r>
      <w:r w:rsidR="00035364">
        <w:t xml:space="preserve">explicit SAP provisions for admittance. </w:t>
      </w:r>
      <w:r w:rsidR="001F3C18">
        <w:t>If the program does not generate tax credits or if the reporting entity cannot use the tax credits, the guidance requires nonadmittance</w:t>
      </w:r>
      <w:r>
        <w:t xml:space="preserve">. </w:t>
      </w:r>
      <w:r w:rsidR="002D254E">
        <w:t xml:space="preserve">Consideration was given as to whether admittance should be permitted based on the ability to liquidate the investment, but </w:t>
      </w:r>
      <w:r w:rsidR="005F2108">
        <w:t>that is not pro</w:t>
      </w:r>
      <w:r w:rsidR="00EA7FBF">
        <w:t>posed</w:t>
      </w:r>
      <w:r w:rsidR="002D254E">
        <w:t xml:space="preserve">. </w:t>
      </w:r>
      <w:r w:rsidR="00ED6AEA">
        <w:t xml:space="preserve">As detailed in the </w:t>
      </w:r>
      <w:r w:rsidR="003A5BFC">
        <w:t xml:space="preserve">scope </w:t>
      </w:r>
      <w:r w:rsidR="00ED6AEA">
        <w:t xml:space="preserve">criteria, </w:t>
      </w:r>
      <w:r w:rsidR="003A5BFC">
        <w:t>substantially</w:t>
      </w:r>
      <w:r w:rsidR="00105C79">
        <w:t xml:space="preserve"> all of the projected benefits from the investment </w:t>
      </w:r>
      <w:r w:rsidR="000E5171">
        <w:t>should be</w:t>
      </w:r>
      <w:r w:rsidR="00105C79">
        <w:t xml:space="preserve"> from tax credits or other tax benefits. </w:t>
      </w:r>
      <w:r w:rsidR="00074C6D">
        <w:t xml:space="preserve">From information gathered for the federal tax credit programs, </w:t>
      </w:r>
      <w:r w:rsidR="000E5171">
        <w:t>liquidation</w:t>
      </w:r>
      <w:r w:rsidR="00074C6D">
        <w:t xml:space="preserve"> may be restricted for set periods of time</w:t>
      </w:r>
      <w:r w:rsidR="00D0705D">
        <w:t xml:space="preserve"> or be contingent on finding a buyer for the equity interest</w:t>
      </w:r>
      <w:r w:rsidR="00074C6D">
        <w:t xml:space="preserve">. </w:t>
      </w:r>
      <w:r w:rsidR="00351AAB">
        <w:t>Although</w:t>
      </w:r>
      <w:r w:rsidR="00730B35">
        <w:t xml:space="preserve"> a put/call provision may be in place to revert the equity interest at the end of the </w:t>
      </w:r>
      <w:r w:rsidR="009D5354">
        <w:t xml:space="preserve">life </w:t>
      </w:r>
      <w:r w:rsidR="00351AAB">
        <w:t>for</w:t>
      </w:r>
      <w:r w:rsidR="009D5354">
        <w:t xml:space="preserve"> the investment, such amounts are nominal to </w:t>
      </w:r>
      <w:r w:rsidR="00B10E20">
        <w:t xml:space="preserve">the original investment amount. With the guidance, </w:t>
      </w:r>
      <w:r w:rsidR="00621EAE">
        <w:t xml:space="preserve">if the tax credits </w:t>
      </w:r>
      <w:r w:rsidR="00570E15">
        <w:t xml:space="preserve">will not be received or </w:t>
      </w:r>
      <w:r w:rsidR="00C84AD6">
        <w:t xml:space="preserve">cannot be utilized, then the investment shall be nonadmitted. </w:t>
      </w:r>
      <w:r w:rsidR="004F6600">
        <w:t xml:space="preserve">If an entity </w:t>
      </w:r>
      <w:r w:rsidR="004C33EF">
        <w:t xml:space="preserve">cannot obtain or utilize tax credits from the investment, and can liquidate the investment, then </w:t>
      </w:r>
      <w:r w:rsidR="00570E15">
        <w:t>a reporting entity</w:t>
      </w:r>
      <w:r w:rsidR="004C33EF">
        <w:t xml:space="preserve"> should </w:t>
      </w:r>
      <w:r w:rsidR="00F34F83">
        <w:t xml:space="preserve">consider liquidating the investment to have cash for reinvestment / admittance purposes. </w:t>
      </w:r>
      <w:r w:rsidR="00351AAB">
        <w:t>Until the</w:t>
      </w:r>
      <w:r w:rsidR="009F2C17">
        <w:t>n</w:t>
      </w:r>
      <w:r w:rsidR="00351AAB">
        <w:t xml:space="preserve">, the investment is proposed to be nonadmitted. </w:t>
      </w:r>
    </w:p>
    <w:p w14:paraId="2A71C0DC" w14:textId="17FD1818" w:rsidR="00240FF6" w:rsidRDefault="00240FF6" w:rsidP="00240FF6">
      <w:pPr>
        <w:pStyle w:val="Heading3"/>
      </w:pPr>
      <w:r>
        <w:t>Future Contributions</w:t>
      </w:r>
      <w:r w:rsidR="00AB1664">
        <w:t xml:space="preserve"> and Additional Tax Credits</w:t>
      </w:r>
    </w:p>
    <w:p w14:paraId="44B2223C" w14:textId="6FBD5813" w:rsidR="005C6934" w:rsidRDefault="00FD54EB" w:rsidP="005858F4">
      <w:pPr>
        <w:pStyle w:val="ListContinue"/>
      </w:pPr>
      <w:r>
        <w:t xml:space="preserve">Many </w:t>
      </w:r>
      <w:r w:rsidR="00240FF6">
        <w:t>tax credit</w:t>
      </w:r>
      <w:r>
        <w:t xml:space="preserve"> investments require future equity contributions by the investor, that may be contingent on a variety of conditions, such as receiving representations, contract performance, meeting occupancy requirements, etc. </w:t>
      </w:r>
      <w:r w:rsidR="003A7A5E">
        <w:t>A</w:t>
      </w:r>
      <w:r w:rsidR="00400A01">
        <w:t xml:space="preserve"> liability shall be recognized for delayed equity contributions that are unconditional and legally binding</w:t>
      </w:r>
      <w:r w:rsidR="007B68BA">
        <w:t xml:space="preserve"> and a</w:t>
      </w:r>
      <w:r w:rsidR="00400A01">
        <w:t xml:space="preserve"> liability shall also be recognized for equity contributions that are contingent upon a future event when that contingent event becomes probable</w:t>
      </w:r>
      <w:r w:rsidR="00B13C18">
        <w:t xml:space="preserve"> pursuant to the loss </w:t>
      </w:r>
      <w:r w:rsidR="00B13C18">
        <w:lastRenderedPageBreak/>
        <w:t xml:space="preserve">contingency guidance in </w:t>
      </w:r>
      <w:r w:rsidR="00B13C18" w:rsidRPr="00DB0832">
        <w:rPr>
          <w:i/>
          <w:iCs/>
        </w:rPr>
        <w:t>SSAP No. 5R</w:t>
      </w:r>
      <w:r w:rsidR="00DB0832" w:rsidRPr="00DB0832">
        <w:rPr>
          <w:i/>
          <w:iCs/>
        </w:rPr>
        <w:t>—Liabilities, Contingencies and Impairments of Assets</w:t>
      </w:r>
      <w:r w:rsidR="00B13C18">
        <w:t xml:space="preserve">. </w:t>
      </w:r>
      <w:r w:rsidR="00D95424" w:rsidRPr="00D95424">
        <w:rPr>
          <w:highlight w:val="lightGray"/>
        </w:rPr>
        <w:t>(ASU 323-740-25-3)</w:t>
      </w:r>
    </w:p>
    <w:p w14:paraId="00D837EF" w14:textId="730CE54B" w:rsidR="00FD54EB" w:rsidRDefault="00FD54EB" w:rsidP="00A53086">
      <w:pPr>
        <w:pStyle w:val="ListContinue"/>
      </w:pPr>
      <w:r>
        <w:t xml:space="preserve">If the commitment to provide equity contributions does not meet the definition of a </w:t>
      </w:r>
      <w:r w:rsidR="00B13C18">
        <w:t>loss contingency</w:t>
      </w:r>
      <w:r>
        <w:t>, the contingent commitment shall be disclosed in the notes to the financial statements with other contingent commitments.</w:t>
      </w:r>
      <w:r w:rsidR="005C6934">
        <w:t xml:space="preserve"> </w:t>
      </w:r>
    </w:p>
    <w:p w14:paraId="59DE60B5" w14:textId="77777777" w:rsidR="00AB1664" w:rsidRDefault="00FD54EB" w:rsidP="00A53086">
      <w:pPr>
        <w:pStyle w:val="ListContinue"/>
      </w:pPr>
      <w:r>
        <w:t xml:space="preserve">Additional </w:t>
      </w:r>
      <w:r w:rsidR="004F306A">
        <w:t>contributions</w:t>
      </w:r>
      <w:r>
        <w:t xml:space="preserve"> </w:t>
      </w:r>
      <w:r w:rsidR="00783F31">
        <w:t xml:space="preserve">made </w:t>
      </w:r>
      <w:r>
        <w:t xml:space="preserve">that do not result in additional tax credits for the reporting entity investor shall be </w:t>
      </w:r>
      <w:r w:rsidR="00247191">
        <w:t xml:space="preserve">immediately </w:t>
      </w:r>
      <w:r>
        <w:t xml:space="preserve">expensed as a component of net investment income. </w:t>
      </w:r>
    </w:p>
    <w:p w14:paraId="01E68107" w14:textId="23342262" w:rsidR="00FD54EB" w:rsidRDefault="00FD54EB" w:rsidP="00A53086">
      <w:pPr>
        <w:pStyle w:val="ListContinue"/>
      </w:pPr>
      <w:r>
        <w:t>In the event a reporting entity obtains additional tax credits</w:t>
      </w:r>
      <w:r w:rsidR="00BF5858">
        <w:t xml:space="preserve"> after making an additional contribution</w:t>
      </w:r>
      <w:r>
        <w:t>, the following shall be applied:</w:t>
      </w:r>
    </w:p>
    <w:p w14:paraId="02F09BAD" w14:textId="6A2150EC" w:rsidR="00FD54EB" w:rsidRDefault="00FD54EB">
      <w:pPr>
        <w:pStyle w:val="BodyText3"/>
        <w:numPr>
          <w:ilvl w:val="1"/>
          <w:numId w:val="11"/>
        </w:numPr>
      </w:pPr>
      <w:r>
        <w:t xml:space="preserve">If additional tax credits are allocated without </w:t>
      </w:r>
      <w:r w:rsidR="00AB1664">
        <w:t>the reporting entity making additional contributions</w:t>
      </w:r>
      <w:r>
        <w:t>, the additional tax credits shall not be afforded any value</w:t>
      </w:r>
      <w:r w:rsidR="00905762">
        <w:t xml:space="preserve"> in the financial statements. (The reported value </w:t>
      </w:r>
      <w:r w:rsidR="00AF38D6">
        <w:t xml:space="preserve">of the investment generating tax credits </w:t>
      </w:r>
      <w:r w:rsidR="00905762">
        <w:t>and amortization does not change.) R</w:t>
      </w:r>
      <w:r>
        <w:t xml:space="preserve">ather, the tax </w:t>
      </w:r>
      <w:r w:rsidR="00905762">
        <w:t xml:space="preserve">credit shall be </w:t>
      </w:r>
      <w:r>
        <w:t xml:space="preserve">recognized </w:t>
      </w:r>
      <w:r w:rsidR="008222FE">
        <w:t xml:space="preserve">in the period allocated pursuant to </w:t>
      </w:r>
      <w:r w:rsidR="008222FE" w:rsidRPr="00B474FD">
        <w:rPr>
          <w:highlight w:val="lightGray"/>
        </w:rPr>
        <w:t xml:space="preserve">paragraph </w:t>
      </w:r>
      <w:r w:rsidR="006F5535" w:rsidRPr="00B474FD">
        <w:rPr>
          <w:highlight w:val="lightGray"/>
        </w:rPr>
        <w:t>14</w:t>
      </w:r>
      <w:r w:rsidR="00DC3C6B">
        <w:t xml:space="preserve">. </w:t>
      </w:r>
      <w:r>
        <w:t xml:space="preserve"> </w:t>
      </w:r>
    </w:p>
    <w:p w14:paraId="6390E850" w14:textId="77777777" w:rsidR="00FD54EB" w:rsidRDefault="00FD54EB">
      <w:pPr>
        <w:pStyle w:val="BodyText3"/>
        <w:ind w:left="720"/>
      </w:pPr>
    </w:p>
    <w:p w14:paraId="492D39EC" w14:textId="71050E36" w:rsidR="00FD54EB" w:rsidRDefault="00FD54EB">
      <w:pPr>
        <w:pStyle w:val="BodyText3"/>
        <w:numPr>
          <w:ilvl w:val="1"/>
          <w:numId w:val="11"/>
        </w:numPr>
      </w:pPr>
      <w:r>
        <w:t xml:space="preserve">If additional funding </w:t>
      </w:r>
      <w:r w:rsidR="00EB5951">
        <w:t xml:space="preserve">is </w:t>
      </w:r>
      <w:r>
        <w:t xml:space="preserve">directly related to </w:t>
      </w:r>
      <w:r w:rsidR="002E5E1B">
        <w:t>acquisition of</w:t>
      </w:r>
      <w:r>
        <w:t xml:space="preserve"> additional tax credits, the provisions of this statement shall be followed as if the additional funding were a new </w:t>
      </w:r>
      <w:r w:rsidR="00DC3C6B">
        <w:t xml:space="preserve">tax credit </w:t>
      </w:r>
      <w:r>
        <w:t xml:space="preserve">investment. </w:t>
      </w:r>
    </w:p>
    <w:p w14:paraId="6713F2F1" w14:textId="77777777" w:rsidR="00FD54EB" w:rsidRDefault="00FD54EB">
      <w:pPr>
        <w:pStyle w:val="BodyText3"/>
      </w:pPr>
    </w:p>
    <w:p w14:paraId="40ED961A" w14:textId="77777777" w:rsidR="007E4891" w:rsidRDefault="007E4891" w:rsidP="007E4891">
      <w:pPr>
        <w:pStyle w:val="ListContinue"/>
        <w:numPr>
          <w:ilvl w:val="0"/>
          <w:numId w:val="0"/>
        </w:numPr>
        <w:pBdr>
          <w:top w:val="single" w:sz="4" w:space="1" w:color="auto"/>
          <w:left w:val="single" w:sz="4" w:space="4" w:color="auto"/>
          <w:bottom w:val="single" w:sz="4" w:space="1" w:color="auto"/>
          <w:right w:val="single" w:sz="4" w:space="4" w:color="auto"/>
        </w:pBdr>
        <w:rPr>
          <w:i/>
          <w:iCs/>
        </w:rPr>
      </w:pPr>
      <w:bookmarkStart w:id="3" w:name="_Toc93555296"/>
      <w:r>
        <w:rPr>
          <w:i/>
          <w:iCs/>
        </w:rPr>
        <w:t xml:space="preserve">Staff Question / Items for Discussion: </w:t>
      </w:r>
    </w:p>
    <w:p w14:paraId="75A42A1A" w14:textId="165B3669" w:rsidR="007E4891" w:rsidRDefault="007E4891" w:rsidP="007E4891">
      <w:pPr>
        <w:pStyle w:val="ListContinue"/>
        <w:numPr>
          <w:ilvl w:val="0"/>
          <w:numId w:val="29"/>
        </w:numPr>
        <w:pBdr>
          <w:top w:val="single" w:sz="4" w:space="1" w:color="auto"/>
          <w:left w:val="single" w:sz="4" w:space="4" w:color="auto"/>
          <w:bottom w:val="single" w:sz="4" w:space="1" w:color="auto"/>
          <w:right w:val="single" w:sz="4" w:space="4" w:color="auto"/>
        </w:pBdr>
      </w:pPr>
      <w:r>
        <w:t xml:space="preserve">Paragraphs </w:t>
      </w:r>
      <w:r w:rsidR="00B603AE">
        <w:t>21-24</w:t>
      </w:r>
      <w:r>
        <w:t xml:space="preserve"> – </w:t>
      </w:r>
      <w:r w:rsidR="00B22AE9">
        <w:t xml:space="preserve">This guidance is generally consistent with SSAP No. 93, except the recognition of a </w:t>
      </w:r>
      <w:r w:rsidR="00954BC5">
        <w:t xml:space="preserve">liability for a future contribution follows the loss contingency guidance in SSAP No. 5R. </w:t>
      </w:r>
      <w:r w:rsidR="0076768D">
        <w:t xml:space="preserve">This is consistent </w:t>
      </w:r>
      <w:r w:rsidR="00752614">
        <w:t xml:space="preserve">with the ‘probable’ threshold reflected under U.S. GAAP. </w:t>
      </w:r>
      <w:r w:rsidR="0076768D">
        <w:t xml:space="preserve"> </w:t>
      </w:r>
      <w:r>
        <w:t xml:space="preserve"> </w:t>
      </w:r>
    </w:p>
    <w:p w14:paraId="63E353B4" w14:textId="77777777" w:rsidR="00FD54EB" w:rsidRDefault="00FD54EB">
      <w:pPr>
        <w:pStyle w:val="Heading3"/>
      </w:pPr>
      <w:r>
        <w:t>Impairment</w:t>
      </w:r>
      <w:bookmarkEnd w:id="3"/>
      <w:r>
        <w:t xml:space="preserve"> </w:t>
      </w:r>
    </w:p>
    <w:p w14:paraId="230F1A27" w14:textId="726AD860" w:rsidR="00FD54EB" w:rsidRDefault="00FD54EB">
      <w:pPr>
        <w:pStyle w:val="ListContinue"/>
      </w:pPr>
      <w:r>
        <w:t xml:space="preserve">Reporting entities with investments </w:t>
      </w:r>
      <w:r w:rsidR="00014B7A">
        <w:t xml:space="preserve">in </w:t>
      </w:r>
      <w:r w:rsidR="003F2FC6">
        <w:t>tax credit programs</w:t>
      </w:r>
      <w:r>
        <w:t xml:space="preserve"> shall complete and document an impairment analysis at each reporting period. </w:t>
      </w:r>
      <w:r w:rsidR="00890BA2">
        <w:t>For this analysis, the reporting entity s</w:t>
      </w:r>
      <w:r w:rsidR="008F77F4">
        <w:t>hall compare</w:t>
      </w:r>
      <w:r>
        <w:t xml:space="preserve"> the </w:t>
      </w:r>
      <w:r w:rsidR="002F5C39">
        <w:t xml:space="preserve">current </w:t>
      </w:r>
      <w:r>
        <w:t xml:space="preserve">book value </w:t>
      </w:r>
      <w:r w:rsidR="00934A7E">
        <w:t xml:space="preserve">to the fair value </w:t>
      </w:r>
      <w:r>
        <w:t>of the investment</w:t>
      </w:r>
      <w:r w:rsidR="00934A7E">
        <w:t>. (</w:t>
      </w:r>
      <w:r w:rsidR="00D35AD5">
        <w:t>In lieu of fair value, an entity can compare book value</w:t>
      </w:r>
      <w:r>
        <w:t xml:space="preserve"> to the present value of future </w:t>
      </w:r>
      <w:r w:rsidR="00A63DFA">
        <w:t xml:space="preserve">tax credits and other </w:t>
      </w:r>
      <w:r>
        <w:t>tax benefits discounted at a risk</w:t>
      </w:r>
      <w:r w:rsidR="00A63DFA">
        <w:t>-</w:t>
      </w:r>
      <w:r>
        <w:t>free rate of return</w:t>
      </w:r>
      <w:r w:rsidR="004276E7">
        <w:t>.</w:t>
      </w:r>
      <w:r w:rsidR="00D35AD5">
        <w:t>)</w:t>
      </w:r>
      <w:r w:rsidR="004276E7">
        <w:t xml:space="preserve"> The i</w:t>
      </w:r>
      <w:r>
        <w:t xml:space="preserve">nvestment shall be written-down </w:t>
      </w:r>
      <w:r w:rsidR="00ED5CEB">
        <w:t>as an other-than-temporary impairment</w:t>
      </w:r>
      <w:r w:rsidR="004276E7" w:rsidRPr="004276E7">
        <w:rPr>
          <w:vertAlign w:val="superscript"/>
        </w:rPr>
        <w:t>(INT 06-07)</w:t>
      </w:r>
      <w:r w:rsidR="00ED5CEB">
        <w:t xml:space="preserve"> </w:t>
      </w:r>
      <w:r>
        <w:t>if the book value is higher</w:t>
      </w:r>
      <w:r w:rsidR="00185F4D">
        <w:t>.</w:t>
      </w:r>
      <w:r>
        <w:t xml:space="preserve"> This will result in a new cost basis and the amount of the write-down shall be accounted for as a realized loss. The new cost basis shall not be changed for subsequent recoveries</w:t>
      </w:r>
      <w:r w:rsidR="00ED3E28">
        <w:t xml:space="preserve"> in the discounted value</w:t>
      </w:r>
      <w:r w:rsidR="00607029">
        <w:t>.</w:t>
      </w:r>
      <w:r>
        <w:t xml:space="preserve"> </w:t>
      </w:r>
      <w:r w:rsidR="009E48EC">
        <w:t xml:space="preserve"> </w:t>
      </w:r>
    </w:p>
    <w:p w14:paraId="3281FC55" w14:textId="143C14F8" w:rsidR="00C7529A" w:rsidRDefault="007903E6">
      <w:pPr>
        <w:pStyle w:val="ListContinue"/>
      </w:pPr>
      <w:r>
        <w:t>A</w:t>
      </w:r>
      <w:r w:rsidR="00FD54EB">
        <w:t xml:space="preserve">n </w:t>
      </w:r>
      <w:r w:rsidR="00C0302A">
        <w:t>other-than-temporary</w:t>
      </w:r>
      <w:r w:rsidR="007000C3">
        <w:t xml:space="preserve"> </w:t>
      </w:r>
      <w:r w:rsidR="00FD54EB">
        <w:t>impairment</w:t>
      </w:r>
      <w:r w:rsidR="003336F3">
        <w:t xml:space="preserve"> </w:t>
      </w:r>
      <w:r w:rsidR="00FD54EB">
        <w:t xml:space="preserve">shall </w:t>
      </w:r>
      <w:r w:rsidR="00B613CB">
        <w:t xml:space="preserve">also </w:t>
      </w:r>
      <w:r w:rsidR="00FD54EB">
        <w:t>be considered to have occurred i</w:t>
      </w:r>
      <w:r w:rsidR="00423943">
        <w:t xml:space="preserve">f a </w:t>
      </w:r>
      <w:r w:rsidR="00D35AD5">
        <w:t>previously received</w:t>
      </w:r>
      <w:r w:rsidR="00423943">
        <w:t xml:space="preserve"> tax credit has been recaptured or if </w:t>
      </w:r>
      <w:r w:rsidR="00FD54EB">
        <w:t xml:space="preserve">it is probable that </w:t>
      </w:r>
      <w:r w:rsidR="006A6495">
        <w:t xml:space="preserve">future </w:t>
      </w:r>
      <w:r w:rsidR="00E75344">
        <w:t>tax credits</w:t>
      </w:r>
      <w:r w:rsidR="00FD54EB">
        <w:t xml:space="preserve"> will not be received as expected. </w:t>
      </w:r>
      <w:r w:rsidR="001723FF">
        <w:t>This could occur</w:t>
      </w:r>
      <w:r w:rsidR="00DD4700">
        <w:t xml:space="preserve"> due to changes in ownership of a project or if the project ceases to operate.</w:t>
      </w:r>
      <w:r w:rsidR="00A37A3E">
        <w:t xml:space="preserve"> </w:t>
      </w:r>
      <w:r w:rsidR="005C5EC4">
        <w:t xml:space="preserve">If </w:t>
      </w:r>
      <w:r w:rsidR="00484561">
        <w:t>a</w:t>
      </w:r>
      <w:r w:rsidR="000E2B09">
        <w:t xml:space="preserve"> </w:t>
      </w:r>
      <w:r w:rsidR="005C5EC4">
        <w:t>project no longer qualifies for tax credits, the entire investment</w:t>
      </w:r>
      <w:r w:rsidR="00D262BD">
        <w:t xml:space="preserve">, less any </w:t>
      </w:r>
      <w:r w:rsidR="00506378">
        <w:t>residual</w:t>
      </w:r>
      <w:r w:rsidR="00141D9B">
        <w:t xml:space="preserve"> established at initial recog</w:t>
      </w:r>
      <w:r w:rsidR="0074059B">
        <w:t>nition</w:t>
      </w:r>
      <w:r w:rsidR="00506378">
        <w:t xml:space="preserve">, </w:t>
      </w:r>
      <w:r w:rsidR="0048223D">
        <w:t>shall be written off as other-than-temporar</w:t>
      </w:r>
      <w:r w:rsidR="007C264D">
        <w:t>il</w:t>
      </w:r>
      <w:r w:rsidR="0048223D">
        <w:t xml:space="preserve">y impaired.  </w:t>
      </w:r>
      <w:r w:rsidR="00316F8C">
        <w:t>If the reporting entity has a tax credit recapture, the reporting entity shall assess whether fu</w:t>
      </w:r>
      <w:r w:rsidR="00C82D70">
        <w:t>ture tax credits will qualify</w:t>
      </w:r>
      <w:r w:rsidR="00834557">
        <w:t xml:space="preserve"> for use by the reporting entity. </w:t>
      </w:r>
      <w:r w:rsidR="00BF5A75">
        <w:t xml:space="preserve">If future credits </w:t>
      </w:r>
      <w:r w:rsidR="00074863">
        <w:t xml:space="preserve">will not be generated or </w:t>
      </w:r>
      <w:r w:rsidR="00355E0E">
        <w:t xml:space="preserve">will </w:t>
      </w:r>
      <w:r w:rsidR="00074863">
        <w:t xml:space="preserve">be subject to future recapture, then </w:t>
      </w:r>
      <w:r w:rsidR="00661D3E">
        <w:t xml:space="preserve">the reporting entity shall </w:t>
      </w:r>
      <w:r w:rsidR="0058006F">
        <w:t xml:space="preserve">write-off the investment </w:t>
      </w:r>
      <w:r w:rsidR="00C14D66">
        <w:t>as other-than-</w:t>
      </w:r>
      <w:r w:rsidR="008178D9">
        <w:t>temporarily</w:t>
      </w:r>
      <w:r w:rsidR="00C14D66">
        <w:t xml:space="preserve"> impaire</w:t>
      </w:r>
      <w:r w:rsidR="00C2738B">
        <w:t xml:space="preserve">d so that the resulting investment value </w:t>
      </w:r>
      <w:r w:rsidR="00355E0E">
        <w:t xml:space="preserve">only </w:t>
      </w:r>
      <w:r w:rsidR="00C2738B">
        <w:t xml:space="preserve">reflects </w:t>
      </w:r>
      <w:r w:rsidR="008178D9">
        <w:t xml:space="preserve">expected qualifying tax credits and other benefits expected to be received. </w:t>
      </w:r>
    </w:p>
    <w:p w14:paraId="776993AA" w14:textId="77777777" w:rsidR="00624382" w:rsidRDefault="00624382" w:rsidP="00624382">
      <w:pPr>
        <w:pStyle w:val="ListContinue"/>
        <w:numPr>
          <w:ilvl w:val="0"/>
          <w:numId w:val="0"/>
        </w:numPr>
        <w:pBdr>
          <w:top w:val="single" w:sz="4" w:space="1" w:color="auto"/>
          <w:left w:val="single" w:sz="4" w:space="4" w:color="auto"/>
          <w:bottom w:val="single" w:sz="4" w:space="1" w:color="auto"/>
          <w:right w:val="single" w:sz="4" w:space="4" w:color="auto"/>
        </w:pBdr>
        <w:rPr>
          <w:i/>
          <w:iCs/>
        </w:rPr>
      </w:pPr>
      <w:bookmarkStart w:id="4" w:name="_Toc93555298"/>
      <w:r>
        <w:rPr>
          <w:i/>
          <w:iCs/>
        </w:rPr>
        <w:t xml:space="preserve">Staff Question / Items for Discussion: </w:t>
      </w:r>
    </w:p>
    <w:p w14:paraId="1B913E6C" w14:textId="0CE406E5" w:rsidR="00434428" w:rsidRDefault="00624382" w:rsidP="00624382">
      <w:pPr>
        <w:pStyle w:val="ListContinue"/>
        <w:numPr>
          <w:ilvl w:val="0"/>
          <w:numId w:val="29"/>
        </w:numPr>
        <w:pBdr>
          <w:top w:val="single" w:sz="4" w:space="1" w:color="auto"/>
          <w:left w:val="single" w:sz="4" w:space="4" w:color="auto"/>
          <w:bottom w:val="single" w:sz="4" w:space="1" w:color="auto"/>
          <w:right w:val="single" w:sz="4" w:space="4" w:color="auto"/>
        </w:pBdr>
      </w:pPr>
      <w:r>
        <w:t xml:space="preserve">Paragraphs </w:t>
      </w:r>
      <w:r w:rsidR="001366D7">
        <w:t>25-</w:t>
      </w:r>
      <w:r w:rsidR="00CB39A8">
        <w:t xml:space="preserve"> Paragraph 25 is consistent with SSAP No. 93, except it incorporates fair value </w:t>
      </w:r>
      <w:r w:rsidR="007C71CF">
        <w:t>as the comp</w:t>
      </w:r>
      <w:r w:rsidR="00434428">
        <w:t>ar</w:t>
      </w:r>
      <w:r w:rsidR="007C71CF">
        <w:t xml:space="preserve">ed value. Current SSAP No. 93 uses the present value calculation, so it is retained as a proxy of </w:t>
      </w:r>
      <w:r w:rsidR="007C71CF">
        <w:lastRenderedPageBreak/>
        <w:t>fair value. U.</w:t>
      </w:r>
      <w:r w:rsidR="008A0D93">
        <w:t>S</w:t>
      </w:r>
      <w:r w:rsidR="007C71CF">
        <w:t xml:space="preserve">. GAAP uses fair value, and the existing disclosure in SSAP No. 93 also references fair value. </w:t>
      </w:r>
      <w:r>
        <w:t xml:space="preserve"> </w:t>
      </w:r>
    </w:p>
    <w:p w14:paraId="2852C9CF" w14:textId="35D243BA" w:rsidR="00624382" w:rsidRDefault="00434428" w:rsidP="00624382">
      <w:pPr>
        <w:pStyle w:val="ListContinue"/>
        <w:numPr>
          <w:ilvl w:val="0"/>
          <w:numId w:val="29"/>
        </w:numPr>
        <w:pBdr>
          <w:top w:val="single" w:sz="4" w:space="1" w:color="auto"/>
          <w:left w:val="single" w:sz="4" w:space="4" w:color="auto"/>
          <w:bottom w:val="single" w:sz="4" w:space="1" w:color="auto"/>
          <w:right w:val="single" w:sz="4" w:space="4" w:color="auto"/>
        </w:pBdr>
      </w:pPr>
      <w:r>
        <w:t xml:space="preserve">Paragraph 26 - </w:t>
      </w:r>
      <w:r w:rsidR="00624382">
        <w:t xml:space="preserve"> </w:t>
      </w:r>
      <w:r w:rsidR="008A0D93">
        <w:t>This guidance incorporates concepts on whether the structure will continue to produc</w:t>
      </w:r>
      <w:r w:rsidR="004D1837">
        <w:t>e</w:t>
      </w:r>
      <w:r w:rsidR="008A0D93">
        <w:t xml:space="preserve"> qualifying tax credits. </w:t>
      </w:r>
      <w:r w:rsidR="00EB6E57">
        <w:t xml:space="preserve">The guidance specific to LIHTC from SSAP No. 93 is not retained. </w:t>
      </w:r>
      <w:r w:rsidR="003C6FB8">
        <w:t xml:space="preserve">The guidance has divided the guidance for nonadmittance to reflect situations that impact a reporting </w:t>
      </w:r>
      <w:r w:rsidR="00E4124F">
        <w:t>entity’s</w:t>
      </w:r>
      <w:r w:rsidR="003C6FB8">
        <w:t xml:space="preserve"> use of tax credits and OTTI to reflect </w:t>
      </w:r>
      <w:r w:rsidR="00E4124F">
        <w:t xml:space="preserve">issues with the actual investment in generating qualified tax credits. </w:t>
      </w:r>
      <w:r w:rsidR="00624382">
        <w:t xml:space="preserve"> </w:t>
      </w:r>
      <w:r w:rsidR="001A64C6">
        <w:t>Comments are requested on this approach and the princip</w:t>
      </w:r>
      <w:r w:rsidR="00E44525">
        <w:t>le</w:t>
      </w:r>
      <w:r w:rsidR="001A64C6">
        <w:t xml:space="preserve"> concepts for OTTI</w:t>
      </w:r>
      <w:r w:rsidR="00680DE3">
        <w:t>.</w:t>
      </w:r>
    </w:p>
    <w:p w14:paraId="18C829CF" w14:textId="77777777" w:rsidR="00FD54EB" w:rsidRDefault="00FD54EB">
      <w:pPr>
        <w:pStyle w:val="Heading3"/>
      </w:pPr>
      <w:r>
        <w:t>Disclosures</w:t>
      </w:r>
      <w:bookmarkEnd w:id="4"/>
    </w:p>
    <w:p w14:paraId="73796D8F" w14:textId="7F65C20B" w:rsidR="004A591B" w:rsidRDefault="004A591B">
      <w:pPr>
        <w:pStyle w:val="ListContinue"/>
      </w:pPr>
      <w:r>
        <w:t xml:space="preserve">A reporting entity shall disclose information </w:t>
      </w:r>
      <w:r w:rsidR="005F6F07">
        <w:t xml:space="preserve">that enables users of its financial statements to understand the following information </w:t>
      </w:r>
      <w:r w:rsidR="007A11DB">
        <w:t xml:space="preserve">about its tax equity investments in projects that generate tax credits and other tax benefits from </w:t>
      </w:r>
      <w:r w:rsidR="00DA2407">
        <w:t>tax programs captured in scope of this statement</w:t>
      </w:r>
      <w:r w:rsidR="00A126AA">
        <w:t xml:space="preserve">: </w:t>
      </w:r>
      <w:r w:rsidR="00CF00C6" w:rsidRPr="0000736E">
        <w:rPr>
          <w:highlight w:val="lightGray"/>
        </w:rPr>
        <w:t>(ASU 323-740-50-</w:t>
      </w:r>
      <w:r w:rsidR="0000736E" w:rsidRPr="0000736E">
        <w:rPr>
          <w:highlight w:val="lightGray"/>
        </w:rPr>
        <w:t>1)</w:t>
      </w:r>
    </w:p>
    <w:p w14:paraId="4533209B" w14:textId="2B8E89AF" w:rsidR="00A126AA" w:rsidRDefault="00A126AA" w:rsidP="00A126AA">
      <w:pPr>
        <w:pStyle w:val="ListContinue"/>
        <w:numPr>
          <w:ilvl w:val="1"/>
          <w:numId w:val="15"/>
        </w:numPr>
        <w:ind w:left="1440" w:hanging="720"/>
      </w:pPr>
      <w:r>
        <w:t xml:space="preserve">The nature of its investments </w:t>
      </w:r>
      <w:r w:rsidR="00D93373">
        <w:t xml:space="preserve">in projects that generate tax credits and other tax benefits. </w:t>
      </w:r>
    </w:p>
    <w:p w14:paraId="66833678" w14:textId="4A70F781" w:rsidR="00D93373" w:rsidRDefault="00D93373" w:rsidP="00A126AA">
      <w:pPr>
        <w:pStyle w:val="ListContinue"/>
        <w:numPr>
          <w:ilvl w:val="1"/>
          <w:numId w:val="15"/>
        </w:numPr>
        <w:ind w:left="1440" w:hanging="720"/>
      </w:pPr>
      <w:r>
        <w:t xml:space="preserve">The effect of the measurement and recognition of its investments in projects that generate tax credits and other tax benefits and the related tax credits on its financial position and results of operations. </w:t>
      </w:r>
    </w:p>
    <w:p w14:paraId="51F8AA7D" w14:textId="2CC80503" w:rsidR="00FD54EB" w:rsidRDefault="00E37E05">
      <w:pPr>
        <w:pStyle w:val="ListContinue"/>
      </w:pPr>
      <w:r>
        <w:t xml:space="preserve">A reporting entity shall disclose the following information about its tax equity </w:t>
      </w:r>
      <w:r w:rsidR="008B19C8">
        <w:t xml:space="preserve">investments in projects that generate tax credits and other tax benefits from a tax credit program in scope of this statement: </w:t>
      </w:r>
    </w:p>
    <w:p w14:paraId="4BB15168" w14:textId="3667C20B" w:rsidR="005C6934" w:rsidRDefault="00BE6F7B" w:rsidP="00EE4CEA">
      <w:pPr>
        <w:pStyle w:val="ListContinue"/>
        <w:numPr>
          <w:ilvl w:val="1"/>
          <w:numId w:val="15"/>
        </w:numPr>
        <w:ind w:left="1440" w:hanging="720"/>
      </w:pPr>
      <w:r>
        <w:t xml:space="preserve">The amount of tax credits and other tax benefits </w:t>
      </w:r>
      <w:r w:rsidR="000C407F">
        <w:t>recognized during the period</w:t>
      </w:r>
      <w:r w:rsidR="004A45E9">
        <w:t>.</w:t>
      </w:r>
    </w:p>
    <w:p w14:paraId="6C8CCE02" w14:textId="65A3C8BC" w:rsidR="00B31D1B" w:rsidRDefault="00B31D1B" w:rsidP="00EE4CEA">
      <w:pPr>
        <w:pStyle w:val="ListContinue"/>
        <w:numPr>
          <w:ilvl w:val="1"/>
          <w:numId w:val="15"/>
        </w:numPr>
        <w:ind w:left="1440" w:hanging="720"/>
      </w:pPr>
      <w:r>
        <w:t>Disclose the balance of the investment</w:t>
      </w:r>
      <w:r w:rsidR="00155C2D">
        <w:t>s</w:t>
      </w:r>
      <w:r>
        <w:t xml:space="preserve"> recognized in the statement of financial position for the reporting period(s) presented.</w:t>
      </w:r>
    </w:p>
    <w:p w14:paraId="1A907F9B" w14:textId="3DE65841" w:rsidR="009703E4" w:rsidRDefault="00155C2D" w:rsidP="00EE4CEA">
      <w:pPr>
        <w:pStyle w:val="ListContinue"/>
        <w:numPr>
          <w:ilvl w:val="1"/>
          <w:numId w:val="15"/>
        </w:numPr>
        <w:ind w:left="1440" w:hanging="720"/>
      </w:pPr>
      <w:r>
        <w:t xml:space="preserve">Significant modifications or events that resulted in a change in the nature of the investment </w:t>
      </w:r>
      <w:r w:rsidR="00C64880">
        <w:t xml:space="preserve">or a change in the relationship with the underlying project for investments in scope. </w:t>
      </w:r>
      <w:r w:rsidR="00C64880" w:rsidRPr="00C64880">
        <w:rPr>
          <w:highlight w:val="lightGray"/>
        </w:rPr>
        <w:t>(ASU 323-740-50-1A)</w:t>
      </w:r>
      <w:r w:rsidR="00C64880">
        <w:t xml:space="preserve"> </w:t>
      </w:r>
    </w:p>
    <w:p w14:paraId="522A7C44" w14:textId="5C3FAA2C" w:rsidR="009703E4" w:rsidRPr="004D1837" w:rsidRDefault="009703E4" w:rsidP="009703E4">
      <w:pPr>
        <w:pStyle w:val="ListContinue"/>
        <w:numPr>
          <w:ilvl w:val="1"/>
          <w:numId w:val="15"/>
        </w:numPr>
        <w:ind w:left="1440" w:hanging="720"/>
        <w:rPr>
          <w:highlight w:val="lightGray"/>
        </w:rPr>
      </w:pPr>
      <w:r w:rsidRPr="004D1837">
        <w:rPr>
          <w:highlight w:val="lightGray"/>
        </w:rPr>
        <w:t>An aggregate schedule of tax credits expected to be generated each year for the subsequent 15 years</w:t>
      </w:r>
      <w:r w:rsidR="008B68A7">
        <w:rPr>
          <w:highlight w:val="lightGray"/>
        </w:rPr>
        <w:t xml:space="preserve">. </w:t>
      </w:r>
    </w:p>
    <w:p w14:paraId="70C80AA6" w14:textId="5A546BF8" w:rsidR="00FD54EB" w:rsidRPr="00C64880" w:rsidRDefault="00FD54EB" w:rsidP="00EE4CEA">
      <w:pPr>
        <w:pStyle w:val="ListContinue"/>
        <w:numPr>
          <w:ilvl w:val="1"/>
          <w:numId w:val="15"/>
        </w:numPr>
        <w:ind w:left="1440" w:hanging="720"/>
        <w:rPr>
          <w:highlight w:val="lightGray"/>
        </w:rPr>
      </w:pPr>
      <w:r w:rsidRPr="00C64880">
        <w:rPr>
          <w:highlight w:val="lightGray"/>
        </w:rPr>
        <w:t xml:space="preserve">Disclose if the </w:t>
      </w:r>
      <w:r w:rsidR="00800CA8" w:rsidRPr="00C64880">
        <w:rPr>
          <w:highlight w:val="lightGray"/>
        </w:rPr>
        <w:t>underlying property</w:t>
      </w:r>
      <w:r w:rsidRPr="00C64880">
        <w:rPr>
          <w:highlight w:val="lightGray"/>
        </w:rPr>
        <w:t xml:space="preserve"> is currently subject to any regulatory reviews and the status of such review. (Example investigations by the housing authority.) </w:t>
      </w:r>
    </w:p>
    <w:p w14:paraId="454D801C" w14:textId="7AB068B4" w:rsidR="00FD54EB" w:rsidRDefault="00FD54EB">
      <w:pPr>
        <w:pStyle w:val="ListContinue"/>
      </w:pPr>
      <w:r>
        <w:t xml:space="preserve">Any commitment or contingent commitment (e.g., guarantees or commitments to provide additional capital contributions) including the amount of equity contributions that are contingent commitments related to </w:t>
      </w:r>
      <w:r w:rsidR="00066B14">
        <w:t>tax credit</w:t>
      </w:r>
      <w:r>
        <w:t xml:space="preserve"> investments and the year(s) that contingent commitments are expected to be paid shall be disclosed.  </w:t>
      </w:r>
    </w:p>
    <w:p w14:paraId="49388B1D" w14:textId="0BCE7629" w:rsidR="00FD54EB" w:rsidRPr="00706136" w:rsidRDefault="00FD54EB">
      <w:pPr>
        <w:pStyle w:val="ListContinue"/>
        <w:rPr>
          <w:highlight w:val="lightGray"/>
        </w:rPr>
      </w:pPr>
      <w:r w:rsidRPr="00706136">
        <w:rPr>
          <w:highlight w:val="lightGray"/>
        </w:rPr>
        <w:t xml:space="preserve">The significance of an investment to the reporting entity's financial position and results of operations shall be considered in evaluating the extent of disclosures of the financial position and results of operations of </w:t>
      </w:r>
      <w:r w:rsidR="00BE255F">
        <w:rPr>
          <w:highlight w:val="lightGray"/>
        </w:rPr>
        <w:t>tax credit investments</w:t>
      </w:r>
      <w:r w:rsidRPr="00706136">
        <w:rPr>
          <w:highlight w:val="lightGray"/>
        </w:rPr>
        <w:t xml:space="preserve">. If in the aggregate </w:t>
      </w:r>
      <w:r w:rsidR="00BE255F">
        <w:rPr>
          <w:highlight w:val="lightGray"/>
        </w:rPr>
        <w:t>tax credit</w:t>
      </w:r>
      <w:r w:rsidRPr="00706136">
        <w:rPr>
          <w:highlight w:val="lightGray"/>
        </w:rPr>
        <w:t xml:space="preserve"> investments exceed 10% of the total admitted assets of the reporting entity the following disclosures shall be made:</w:t>
      </w:r>
    </w:p>
    <w:p w14:paraId="193DA251" w14:textId="77777777" w:rsidR="00FD54EB" w:rsidRPr="00706136" w:rsidRDefault="00FD54EB">
      <w:pPr>
        <w:pStyle w:val="ListNumber2"/>
        <w:numPr>
          <w:ilvl w:val="0"/>
          <w:numId w:val="14"/>
        </w:numPr>
        <w:rPr>
          <w:highlight w:val="lightGray"/>
        </w:rPr>
      </w:pPr>
      <w:r w:rsidRPr="00706136">
        <w:rPr>
          <w:highlight w:val="lightGray"/>
        </w:rPr>
        <w:t>(</w:t>
      </w:r>
      <w:r w:rsidR="00230833" w:rsidRPr="00706136">
        <w:rPr>
          <w:highlight w:val="lightGray"/>
        </w:rPr>
        <w:t>i</w:t>
      </w:r>
      <w:r w:rsidRPr="00706136">
        <w:rPr>
          <w:highlight w:val="lightGray"/>
        </w:rPr>
        <w:t xml:space="preserve">) The name of each partnership or limited liability </w:t>
      </w:r>
      <w:r w:rsidR="00B31D1B" w:rsidRPr="00706136">
        <w:rPr>
          <w:highlight w:val="lightGray"/>
        </w:rPr>
        <w:t>entity</w:t>
      </w:r>
      <w:r w:rsidRPr="00706136">
        <w:rPr>
          <w:highlight w:val="lightGray"/>
        </w:rPr>
        <w:t xml:space="preserve"> and percentage of ownership, (</w:t>
      </w:r>
      <w:r w:rsidR="00230833" w:rsidRPr="00706136">
        <w:rPr>
          <w:highlight w:val="lightGray"/>
        </w:rPr>
        <w:t>ii</w:t>
      </w:r>
      <w:r w:rsidRPr="00706136">
        <w:rPr>
          <w:highlight w:val="lightGray"/>
        </w:rPr>
        <w:t xml:space="preserve">) the accounting policies of the reporting entity with respect to investments in partnerships and limited liability </w:t>
      </w:r>
      <w:r w:rsidR="00B31D1B" w:rsidRPr="00706136">
        <w:rPr>
          <w:highlight w:val="lightGray"/>
        </w:rPr>
        <w:t>entities</w:t>
      </w:r>
      <w:r w:rsidRPr="00706136">
        <w:rPr>
          <w:highlight w:val="lightGray"/>
        </w:rPr>
        <w:t xml:space="preserve"> (</w:t>
      </w:r>
      <w:r w:rsidR="00230833" w:rsidRPr="00706136">
        <w:rPr>
          <w:highlight w:val="lightGray"/>
        </w:rPr>
        <w:t>iii</w:t>
      </w:r>
      <w:r w:rsidRPr="00706136">
        <w:rPr>
          <w:highlight w:val="lightGray"/>
        </w:rPr>
        <w:t>) the difference, if any, between the amount at which the investment is carried and the amount of underlying equity in net assets (i.e., nonadmitted goodwill or other nonadmitted assets) and (</w:t>
      </w:r>
      <w:r w:rsidR="00230833" w:rsidRPr="00706136">
        <w:rPr>
          <w:highlight w:val="lightGray"/>
        </w:rPr>
        <w:t>iv</w:t>
      </w:r>
      <w:r w:rsidRPr="00706136">
        <w:rPr>
          <w:highlight w:val="lightGray"/>
        </w:rPr>
        <w:t>) the accounting treatment of the difference;</w:t>
      </w:r>
    </w:p>
    <w:p w14:paraId="6C88BB8A" w14:textId="77777777" w:rsidR="00FD54EB" w:rsidRPr="00706136" w:rsidRDefault="00FD54EB">
      <w:pPr>
        <w:pStyle w:val="ListNumber2"/>
        <w:numPr>
          <w:ilvl w:val="0"/>
          <w:numId w:val="14"/>
        </w:numPr>
        <w:rPr>
          <w:highlight w:val="lightGray"/>
        </w:rPr>
      </w:pPr>
      <w:r w:rsidRPr="00706136">
        <w:rPr>
          <w:highlight w:val="lightGray"/>
        </w:rPr>
        <w:lastRenderedPageBreak/>
        <w:t xml:space="preserve">For partnerships, and limited liability </w:t>
      </w:r>
      <w:r w:rsidR="00B31D1B" w:rsidRPr="00706136">
        <w:rPr>
          <w:highlight w:val="lightGray"/>
        </w:rPr>
        <w:t>entities</w:t>
      </w:r>
      <w:r w:rsidRPr="00706136">
        <w:rPr>
          <w:highlight w:val="lightGray"/>
        </w:rPr>
        <w:t xml:space="preserve"> for which a quoted </w:t>
      </w:r>
      <w:r w:rsidR="005D35B4" w:rsidRPr="00706136">
        <w:rPr>
          <w:highlight w:val="lightGray"/>
        </w:rPr>
        <w:t>fair value</w:t>
      </w:r>
      <w:r w:rsidRPr="00706136">
        <w:rPr>
          <w:highlight w:val="lightGray"/>
        </w:rPr>
        <w:t xml:space="preserve"> is available, the aggregate value of each partnership, or limited liability </w:t>
      </w:r>
      <w:r w:rsidR="00B31D1B" w:rsidRPr="00706136">
        <w:rPr>
          <w:highlight w:val="lightGray"/>
        </w:rPr>
        <w:t>entity</w:t>
      </w:r>
      <w:r w:rsidRPr="00706136">
        <w:rPr>
          <w:highlight w:val="lightGray"/>
        </w:rPr>
        <w:t xml:space="preserve"> investment based on the quoted </w:t>
      </w:r>
      <w:r w:rsidR="005D35B4" w:rsidRPr="00706136">
        <w:rPr>
          <w:highlight w:val="lightGray"/>
        </w:rPr>
        <w:t>fair value</w:t>
      </w:r>
      <w:r w:rsidRPr="00706136">
        <w:rPr>
          <w:highlight w:val="lightGray"/>
        </w:rPr>
        <w:t>; and</w:t>
      </w:r>
    </w:p>
    <w:p w14:paraId="548F8D39" w14:textId="77777777" w:rsidR="00FD54EB" w:rsidRPr="00706136" w:rsidRDefault="00FD54EB">
      <w:pPr>
        <w:pStyle w:val="ListNumber2"/>
        <w:numPr>
          <w:ilvl w:val="0"/>
          <w:numId w:val="14"/>
        </w:numPr>
        <w:rPr>
          <w:highlight w:val="lightGray"/>
        </w:rPr>
      </w:pPr>
      <w:r w:rsidRPr="00706136">
        <w:rPr>
          <w:highlight w:val="lightGray"/>
        </w:rPr>
        <w:t xml:space="preserve">Summarized information as to assets, liabilities and results of operations for partnerships, and limited liability </w:t>
      </w:r>
      <w:r w:rsidR="00B31D1B" w:rsidRPr="00706136">
        <w:rPr>
          <w:highlight w:val="lightGray"/>
        </w:rPr>
        <w:t>entities,</w:t>
      </w:r>
      <w:r w:rsidRPr="00706136">
        <w:rPr>
          <w:highlight w:val="lightGray"/>
        </w:rPr>
        <w:t xml:space="preserve"> either individually or in groups.</w:t>
      </w:r>
    </w:p>
    <w:p w14:paraId="2229B9B9" w14:textId="77777777" w:rsidR="00FD54EB" w:rsidRDefault="00FD54EB">
      <w:pPr>
        <w:pStyle w:val="ListContinue"/>
      </w:pPr>
      <w:r>
        <w:t>A reporting entity that recognizes an impairment loss shall disclose the following in the financial statements that include the period of the impairment write-down:</w:t>
      </w:r>
    </w:p>
    <w:p w14:paraId="35C6A4E8" w14:textId="77777777" w:rsidR="00FD54EB" w:rsidRDefault="00FD54EB">
      <w:pPr>
        <w:pStyle w:val="ListNumber2"/>
        <w:numPr>
          <w:ilvl w:val="0"/>
          <w:numId w:val="19"/>
        </w:numPr>
      </w:pPr>
      <w:r>
        <w:t>A description of the impaired assets and the facts and circumstances leading to the impairment; and</w:t>
      </w:r>
    </w:p>
    <w:p w14:paraId="20B122B0" w14:textId="77777777" w:rsidR="00FD54EB" w:rsidRPr="00D60AA5" w:rsidRDefault="00FD54EB">
      <w:pPr>
        <w:pStyle w:val="ListNumber2"/>
      </w:pPr>
      <w:r w:rsidRPr="00D60AA5">
        <w:t xml:space="preserve">The amount of the impairment and how fair value was determined. </w:t>
      </w:r>
    </w:p>
    <w:p w14:paraId="468C7B93" w14:textId="5AF8511C" w:rsidR="00FD54EB" w:rsidRDefault="00FD54EB">
      <w:pPr>
        <w:pStyle w:val="ListContinue"/>
      </w:pPr>
      <w:r>
        <w:t xml:space="preserve">Disclose the amount and nature of the write-downs or reclassifications made during the year </w:t>
      </w:r>
      <w:r w:rsidR="00284EEC">
        <w:t>resulting from</w:t>
      </w:r>
      <w:r>
        <w:t xml:space="preserve"> the forfeiture or ineligibility of tax credits, etc. </w:t>
      </w:r>
    </w:p>
    <w:p w14:paraId="166D94BD" w14:textId="77777777" w:rsidR="00FD54EB" w:rsidRDefault="00FD54EB">
      <w:pPr>
        <w:pStyle w:val="ListContinue"/>
      </w:pPr>
      <w:r>
        <w:t xml:space="preserve">Refer to the </w:t>
      </w:r>
      <w:r w:rsidR="00076968">
        <w:t>P</w:t>
      </w:r>
      <w:r>
        <w:t xml:space="preserve">reamble for further discussion regarding disclosure requirements.  </w:t>
      </w:r>
    </w:p>
    <w:p w14:paraId="2AF752E2" w14:textId="77777777" w:rsidR="00680DE3" w:rsidRDefault="00680DE3" w:rsidP="00680DE3">
      <w:pPr>
        <w:pStyle w:val="ListContinue"/>
        <w:numPr>
          <w:ilvl w:val="0"/>
          <w:numId w:val="0"/>
        </w:numPr>
        <w:pBdr>
          <w:top w:val="single" w:sz="4" w:space="1" w:color="auto"/>
          <w:left w:val="single" w:sz="4" w:space="4" w:color="auto"/>
          <w:bottom w:val="single" w:sz="4" w:space="1" w:color="auto"/>
          <w:right w:val="single" w:sz="4" w:space="4" w:color="auto"/>
        </w:pBdr>
        <w:rPr>
          <w:i/>
          <w:iCs/>
        </w:rPr>
      </w:pPr>
      <w:r>
        <w:rPr>
          <w:i/>
          <w:iCs/>
        </w:rPr>
        <w:t xml:space="preserve">Staff Question / Items for Discussion: </w:t>
      </w:r>
    </w:p>
    <w:p w14:paraId="6D3378A6" w14:textId="247B5545" w:rsidR="00680DE3" w:rsidRDefault="00680DE3" w:rsidP="00680DE3">
      <w:pPr>
        <w:pStyle w:val="ListContinue"/>
        <w:numPr>
          <w:ilvl w:val="0"/>
          <w:numId w:val="29"/>
        </w:numPr>
        <w:pBdr>
          <w:top w:val="single" w:sz="4" w:space="1" w:color="auto"/>
          <w:left w:val="single" w:sz="4" w:space="4" w:color="auto"/>
          <w:bottom w:val="single" w:sz="4" w:space="1" w:color="auto"/>
          <w:right w:val="single" w:sz="4" w:space="4" w:color="auto"/>
        </w:pBdr>
      </w:pPr>
      <w:r>
        <w:t>Paragraph 2</w:t>
      </w:r>
      <w:r w:rsidR="00C64880">
        <w:t>7</w:t>
      </w:r>
      <w:r w:rsidR="0018172D">
        <w:t xml:space="preserve"> </w:t>
      </w:r>
      <w:r w:rsidR="00720325">
        <w:t>–</w:t>
      </w:r>
      <w:r>
        <w:t xml:space="preserve"> </w:t>
      </w:r>
      <w:r w:rsidR="00720325">
        <w:t xml:space="preserve">Disclosures in 27a-b </w:t>
      </w:r>
      <w:r w:rsidR="00414939">
        <w:t>are from U.S. GAAP.</w:t>
      </w:r>
      <w:r>
        <w:t xml:space="preserve"> </w:t>
      </w:r>
    </w:p>
    <w:p w14:paraId="6AA85C42" w14:textId="3D9A95BD" w:rsidR="00680DE3" w:rsidRDefault="00680DE3" w:rsidP="00680DE3">
      <w:pPr>
        <w:pStyle w:val="ListContinue"/>
        <w:numPr>
          <w:ilvl w:val="0"/>
          <w:numId w:val="29"/>
        </w:numPr>
        <w:pBdr>
          <w:top w:val="single" w:sz="4" w:space="1" w:color="auto"/>
          <w:left w:val="single" w:sz="4" w:space="4" w:color="auto"/>
          <w:bottom w:val="single" w:sz="4" w:space="1" w:color="auto"/>
          <w:right w:val="single" w:sz="4" w:space="4" w:color="auto"/>
        </w:pBdr>
      </w:pPr>
      <w:r>
        <w:t>Paragraph 2</w:t>
      </w:r>
      <w:r w:rsidR="00C64880">
        <w:t>8</w:t>
      </w:r>
      <w:r>
        <w:t xml:space="preserve"> -  </w:t>
      </w:r>
      <w:r w:rsidR="00C64880">
        <w:t xml:space="preserve">Disclosures in paragraph 28 a-c come from U.S. GAAP. </w:t>
      </w:r>
      <w:r w:rsidR="00F11093">
        <w:t xml:space="preserve">The disclosures in paragraphs 28d-e are based on concepts previously included SSAP No. 93. </w:t>
      </w:r>
      <w:r w:rsidR="008B68A7">
        <w:t>Comments are requested on whether those disclosures (or other disclosures from SSAP No. 93) should be included. (</w:t>
      </w:r>
      <w:r w:rsidR="00E12508">
        <w:t xml:space="preserve">For 28d, the prior SSAP No. 93 disclosure was for a number of remaining years of unexpired tax credits and the required holding period, </w:t>
      </w:r>
      <w:r w:rsidR="004811BE">
        <w:t xml:space="preserve">but since that is an individual investment disclosure, it has been modified to reflect an aggregate investment disclosure.) </w:t>
      </w:r>
    </w:p>
    <w:p w14:paraId="3B84C122" w14:textId="6882645B" w:rsidR="004811BE" w:rsidRDefault="004811BE" w:rsidP="00680DE3">
      <w:pPr>
        <w:pStyle w:val="ListContinue"/>
        <w:numPr>
          <w:ilvl w:val="0"/>
          <w:numId w:val="29"/>
        </w:numPr>
        <w:pBdr>
          <w:top w:val="single" w:sz="4" w:space="1" w:color="auto"/>
          <w:left w:val="single" w:sz="4" w:space="4" w:color="auto"/>
          <w:bottom w:val="single" w:sz="4" w:space="1" w:color="auto"/>
          <w:right w:val="single" w:sz="4" w:space="4" w:color="auto"/>
        </w:pBdr>
      </w:pPr>
      <w:r>
        <w:t xml:space="preserve">Paragraph 30 </w:t>
      </w:r>
      <w:r w:rsidR="008E2FC2">
        <w:t>–</w:t>
      </w:r>
      <w:r>
        <w:t xml:space="preserve"> </w:t>
      </w:r>
      <w:r w:rsidR="008E2FC2">
        <w:t xml:space="preserve">This disclosure is in SSAP No. 93 and comments are requested on whether it should be retained. </w:t>
      </w:r>
    </w:p>
    <w:p w14:paraId="04EFE471" w14:textId="77777777" w:rsidR="00284EEC" w:rsidRPr="00D60AA5" w:rsidRDefault="00FD54EB">
      <w:pPr>
        <w:pStyle w:val="Heading3"/>
        <w:rPr>
          <w:highlight w:val="lightGray"/>
        </w:rPr>
      </w:pPr>
      <w:bookmarkStart w:id="5" w:name="_Toc93555299"/>
      <w:r w:rsidRPr="00D60AA5">
        <w:rPr>
          <w:highlight w:val="lightGray"/>
        </w:rPr>
        <w:t>Relevant Literature</w:t>
      </w:r>
      <w:bookmarkEnd w:id="5"/>
    </w:p>
    <w:p w14:paraId="4C7ED589" w14:textId="6F89054F" w:rsidR="005B633D" w:rsidRPr="00D60AA5" w:rsidRDefault="00FD54EB">
      <w:pPr>
        <w:pStyle w:val="ListContinue"/>
        <w:rPr>
          <w:highlight w:val="lightGray"/>
        </w:rPr>
      </w:pPr>
      <w:r w:rsidRPr="00D60AA5">
        <w:rPr>
          <w:highlight w:val="lightGray"/>
        </w:rPr>
        <w:t xml:space="preserve">This statement </w:t>
      </w:r>
      <w:r w:rsidR="005B633D" w:rsidRPr="00D60AA5">
        <w:rPr>
          <w:highlight w:val="lightGray"/>
        </w:rPr>
        <w:t>adopts with modification</w:t>
      </w:r>
      <w:r w:rsidRPr="00D60AA5">
        <w:rPr>
          <w:highlight w:val="lightGray"/>
        </w:rPr>
        <w:t xml:space="preserve"> </w:t>
      </w:r>
      <w:r w:rsidR="00BF418F" w:rsidRPr="00D60AA5">
        <w:rPr>
          <w:highlight w:val="lightGray"/>
        </w:rPr>
        <w:t>________</w:t>
      </w:r>
      <w:r w:rsidR="00E97687" w:rsidRPr="00D60AA5">
        <w:rPr>
          <w:highlight w:val="lightGray"/>
        </w:rPr>
        <w:t xml:space="preserve">. The ASU </w:t>
      </w:r>
      <w:r w:rsidR="00696468" w:rsidRPr="00D60AA5">
        <w:rPr>
          <w:highlight w:val="lightGray"/>
        </w:rPr>
        <w:t>is</w:t>
      </w:r>
      <w:r w:rsidR="005B633D" w:rsidRPr="00D60AA5">
        <w:rPr>
          <w:highlight w:val="lightGray"/>
        </w:rPr>
        <w:t xml:space="preserve"> modified for the following statutory concepts:</w:t>
      </w:r>
    </w:p>
    <w:p w14:paraId="38D2C5C2" w14:textId="07A8B697" w:rsidR="005B633D" w:rsidRPr="00D60AA5" w:rsidRDefault="00696468">
      <w:pPr>
        <w:pStyle w:val="ListNumber2"/>
        <w:numPr>
          <w:ilvl w:val="0"/>
          <w:numId w:val="18"/>
        </w:numPr>
        <w:rPr>
          <w:color w:val="000000"/>
          <w:highlight w:val="lightGray"/>
        </w:rPr>
      </w:pPr>
      <w:r w:rsidRPr="00D60AA5">
        <w:rPr>
          <w:highlight w:val="lightGray"/>
        </w:rPr>
        <w:t>This statement is applicable to all federal and state tax credit programs</w:t>
      </w:r>
      <w:r w:rsidR="00DB4DD1" w:rsidRPr="00D60AA5">
        <w:rPr>
          <w:highlight w:val="lightGray"/>
        </w:rPr>
        <w:t xml:space="preserve"> that meet the requirement</w:t>
      </w:r>
      <w:r w:rsidR="003B3A29" w:rsidRPr="00D60AA5">
        <w:rPr>
          <w:highlight w:val="lightGray"/>
        </w:rPr>
        <w:t>s</w:t>
      </w:r>
      <w:r w:rsidR="00DB4DD1" w:rsidRPr="00D60AA5">
        <w:rPr>
          <w:highlight w:val="lightGray"/>
        </w:rPr>
        <w:t xml:space="preserve"> in paragraph ___. Under the ASU, </w:t>
      </w:r>
      <w:r w:rsidR="00630F05" w:rsidRPr="00D60AA5">
        <w:rPr>
          <w:highlight w:val="lightGray"/>
        </w:rPr>
        <w:t xml:space="preserve">use of the proportional amortization method is an election and only pertains to income tax. </w:t>
      </w:r>
      <w:r w:rsidR="003B3A29" w:rsidRPr="00D60AA5">
        <w:rPr>
          <w:highlight w:val="lightGray"/>
        </w:rPr>
        <w:t xml:space="preserve">With this statement, the election is rejected and the guidance is expanded for state premium tax credits. </w:t>
      </w:r>
    </w:p>
    <w:p w14:paraId="08F966EA" w14:textId="77777777" w:rsidR="005B633D" w:rsidRPr="00D60AA5" w:rsidRDefault="005B633D">
      <w:pPr>
        <w:pStyle w:val="ListNumber2"/>
        <w:rPr>
          <w:highlight w:val="lightGray"/>
        </w:rPr>
      </w:pPr>
      <w:r w:rsidRPr="00D60AA5">
        <w:rPr>
          <w:color w:val="000000"/>
          <w:highlight w:val="lightGray"/>
        </w:rPr>
        <w:t xml:space="preserve">Investments that meet the criteria of this statement are required to use a proportional amortization method as prescribed in this statement. This method requires the tax credits and benefits to be recognized in proportion to the </w:t>
      </w:r>
      <w:r w:rsidRPr="00D60AA5">
        <w:rPr>
          <w:highlight w:val="lightGray"/>
        </w:rPr>
        <w:t>percentage of actual tax credits and other tax benefits allocated to the reporting entity in the current period divided by the total estimated tax credits and other tax benefits expected to be received by the reporting entity over the life of the investment.</w:t>
      </w:r>
      <w:r w:rsidRPr="00D60AA5">
        <w:rPr>
          <w:color w:val="871E3A"/>
          <w:szCs w:val="22"/>
          <w:highlight w:val="lightGray"/>
        </w:rPr>
        <w:t xml:space="preserve"> </w:t>
      </w:r>
      <w:r w:rsidRPr="00D60AA5">
        <w:rPr>
          <w:highlight w:val="lightGray"/>
        </w:rPr>
        <w:t>This statement requires a gross presentation on the financial statements, with amortization in investment income.</w:t>
      </w:r>
    </w:p>
    <w:p w14:paraId="62EDE4C4" w14:textId="5BBC9729" w:rsidR="005B633D" w:rsidRPr="00D60AA5" w:rsidRDefault="005B633D">
      <w:pPr>
        <w:pStyle w:val="ListNumber2"/>
        <w:rPr>
          <w:color w:val="000000"/>
          <w:highlight w:val="lightGray"/>
        </w:rPr>
      </w:pPr>
      <w:r w:rsidRPr="00D60AA5">
        <w:rPr>
          <w:highlight w:val="lightGray"/>
        </w:rPr>
        <w:t xml:space="preserve">Federal tax credits shall be recognized in the income statement as an offset to federal income taxes in the tax reporting year in which the tax credit is utilized in accordance with </w:t>
      </w:r>
      <w:r w:rsidRPr="00D60AA5">
        <w:rPr>
          <w:i/>
          <w:highlight w:val="lightGray"/>
        </w:rPr>
        <w:t>SSAP No. 101</w:t>
      </w:r>
      <w:r w:rsidRPr="00D60AA5">
        <w:rPr>
          <w:i/>
          <w:iCs/>
          <w:highlight w:val="lightGray"/>
        </w:rPr>
        <w:t>—Income Taxes</w:t>
      </w:r>
      <w:r w:rsidRPr="00D60AA5">
        <w:rPr>
          <w:highlight w:val="lightGray"/>
        </w:rPr>
        <w:t>.</w:t>
      </w:r>
      <w:r w:rsidRPr="00D60AA5">
        <w:rPr>
          <w:i/>
          <w:iCs/>
          <w:highlight w:val="lightGray"/>
        </w:rPr>
        <w:t xml:space="preserve"> </w:t>
      </w:r>
      <w:r w:rsidRPr="00D60AA5">
        <w:rPr>
          <w:color w:val="000000"/>
          <w:highlight w:val="lightGray"/>
        </w:rPr>
        <w:t xml:space="preserve">State tax credits shall be recognized in the income statement </w:t>
      </w:r>
      <w:r w:rsidRPr="00D60AA5">
        <w:rPr>
          <w:color w:val="000000"/>
          <w:highlight w:val="lightGray"/>
        </w:rPr>
        <w:lastRenderedPageBreak/>
        <w:t>as an offset to state premium tax or state income tax, whichever is applicable, in the tax reporting year in which the credit is utilized.</w:t>
      </w:r>
    </w:p>
    <w:p w14:paraId="5B6E1129" w14:textId="77777777" w:rsidR="005B633D" w:rsidRPr="00D60AA5" w:rsidRDefault="005B633D">
      <w:pPr>
        <w:pStyle w:val="ListNumber2"/>
        <w:rPr>
          <w:highlight w:val="lightGray"/>
        </w:rPr>
      </w:pPr>
      <w:r w:rsidRPr="00D60AA5">
        <w:rPr>
          <w:highlight w:val="lightGray"/>
        </w:rPr>
        <w:t>Tax benefits received, other than tax credits, shall be accounted for pursuant to SSAP No. 101. Amortization shall be reported as a component of net investment income.</w:t>
      </w:r>
    </w:p>
    <w:p w14:paraId="2895498F" w14:textId="1A9E06F4" w:rsidR="005B633D" w:rsidRPr="00D60AA5" w:rsidRDefault="005B633D">
      <w:pPr>
        <w:pStyle w:val="ListNumber2"/>
        <w:rPr>
          <w:highlight w:val="lightGray"/>
        </w:rPr>
      </w:pPr>
      <w:r w:rsidRPr="00D60AA5">
        <w:rPr>
          <w:highlight w:val="lightGray"/>
        </w:rPr>
        <w:t xml:space="preserve">Reporting entities shall follow the guidance in paragraphs 11 and 12 </w:t>
      </w:r>
      <w:r w:rsidRPr="00D60AA5">
        <w:rPr>
          <w:iCs/>
          <w:highlight w:val="lightGray"/>
        </w:rPr>
        <w:t xml:space="preserve">regarding the </w:t>
      </w:r>
      <w:r w:rsidR="00880712" w:rsidRPr="00D60AA5">
        <w:rPr>
          <w:iCs/>
          <w:highlight w:val="lightGray"/>
        </w:rPr>
        <w:t>recognition of</w:t>
      </w:r>
      <w:r w:rsidRPr="00D60AA5">
        <w:rPr>
          <w:iCs/>
          <w:highlight w:val="lightGray"/>
        </w:rPr>
        <w:t xml:space="preserve"> contingent commitments from </w:t>
      </w:r>
      <w:r w:rsidRPr="00D60AA5">
        <w:rPr>
          <w:i/>
          <w:iCs/>
          <w:highlight w:val="lightGray"/>
        </w:rPr>
        <w:t>SSAP No. 5R—Liabilities</w:t>
      </w:r>
      <w:r w:rsidRPr="00D60AA5">
        <w:rPr>
          <w:highlight w:val="lightGray"/>
        </w:rPr>
        <w:t xml:space="preserve"> </w:t>
      </w:r>
      <w:r w:rsidRPr="00D60AA5">
        <w:rPr>
          <w:i/>
          <w:iCs/>
          <w:highlight w:val="lightGray"/>
        </w:rPr>
        <w:t>Contingencies and Impairments of Assets</w:t>
      </w:r>
      <w:r w:rsidR="00475F3E" w:rsidRPr="00D60AA5">
        <w:rPr>
          <w:iCs/>
          <w:highlight w:val="lightGray"/>
        </w:rPr>
        <w:t xml:space="preserve"> to equity contributions</w:t>
      </w:r>
      <w:r w:rsidRPr="00D60AA5">
        <w:rPr>
          <w:iCs/>
          <w:highlight w:val="lightGray"/>
        </w:rPr>
        <w:t>.</w:t>
      </w:r>
      <w:r w:rsidRPr="00D60AA5">
        <w:rPr>
          <w:i/>
          <w:iCs/>
          <w:highlight w:val="lightGray"/>
        </w:rPr>
        <w:t xml:space="preserve"> </w:t>
      </w:r>
      <w:r w:rsidRPr="00D60AA5">
        <w:rPr>
          <w:highlight w:val="lightGray"/>
        </w:rPr>
        <w:t xml:space="preserve"> </w:t>
      </w:r>
    </w:p>
    <w:p w14:paraId="0233A980" w14:textId="7071A165" w:rsidR="005B633D" w:rsidRPr="00D60AA5" w:rsidRDefault="005B633D">
      <w:pPr>
        <w:pStyle w:val="ListNumber2"/>
        <w:rPr>
          <w:highlight w:val="lightGray"/>
        </w:rPr>
      </w:pPr>
      <w:r w:rsidRPr="00D60AA5">
        <w:rPr>
          <w:i/>
          <w:iCs/>
          <w:highlight w:val="lightGray"/>
        </w:rPr>
        <w:t>SSAP No. 97—Investments in Subsidiary, Controlled and Affiliated Entities</w:t>
      </w:r>
      <w:r w:rsidRPr="00D60AA5">
        <w:rPr>
          <w:highlight w:val="lightGray"/>
        </w:rPr>
        <w:t xml:space="preserve"> shall be utilized to account for investments that qualify as subsidiary, controlled or affiliated entities. </w:t>
      </w:r>
    </w:p>
    <w:p w14:paraId="12FA4FF8" w14:textId="74D3E8AD" w:rsidR="005B633D" w:rsidRPr="00D60AA5" w:rsidRDefault="00880712">
      <w:pPr>
        <w:pStyle w:val="ListNumber2"/>
        <w:rPr>
          <w:highlight w:val="lightGray"/>
        </w:rPr>
      </w:pPr>
      <w:r w:rsidRPr="00D60AA5">
        <w:rPr>
          <w:highlight w:val="lightGray"/>
        </w:rPr>
        <w:t xml:space="preserve">This statement has specific impairment and nonadmittance requirements. </w:t>
      </w:r>
    </w:p>
    <w:p w14:paraId="27DAA6FA" w14:textId="77777777" w:rsidR="005B633D" w:rsidRPr="00D60AA5" w:rsidRDefault="005B633D">
      <w:pPr>
        <w:pStyle w:val="ListNumber2"/>
        <w:rPr>
          <w:highlight w:val="lightGray"/>
        </w:rPr>
      </w:pPr>
      <w:r w:rsidRPr="00D60AA5">
        <w:rPr>
          <w:highlight w:val="lightGray"/>
        </w:rPr>
        <w:t>For statutory accounting purposes, deferred taxes are not reported as a component of income from continuing operations in the income statement; rather deferred taxes are recognized as a separate component of gains and losses in unassigned funds (surplus)</w:t>
      </w:r>
      <w:r w:rsidR="001814EC" w:rsidRPr="00D60AA5">
        <w:rPr>
          <w:highlight w:val="lightGray"/>
        </w:rPr>
        <w:t>.</w:t>
      </w:r>
    </w:p>
    <w:p w14:paraId="6EBE0A70" w14:textId="77777777" w:rsidR="00880712" w:rsidRPr="00D60AA5" w:rsidRDefault="00880712" w:rsidP="00880712">
      <w:pPr>
        <w:pStyle w:val="ListNumber2"/>
        <w:rPr>
          <w:highlight w:val="lightGray"/>
        </w:rPr>
      </w:pPr>
      <w:r w:rsidRPr="00D60AA5">
        <w:rPr>
          <w:highlight w:val="lightGray"/>
        </w:rPr>
        <w:t>Disclosures should be followed as indicated in the disclosures section in this statement.</w:t>
      </w:r>
    </w:p>
    <w:p w14:paraId="578ECD79" w14:textId="77777777" w:rsidR="00FD54EB" w:rsidRPr="00706136" w:rsidRDefault="00FD54EB">
      <w:pPr>
        <w:pStyle w:val="Heading3"/>
        <w:rPr>
          <w:b w:val="0"/>
          <w:bCs/>
          <w:highlight w:val="lightGray"/>
        </w:rPr>
      </w:pPr>
      <w:bookmarkStart w:id="6" w:name="_Toc93555300"/>
      <w:r w:rsidRPr="00706136">
        <w:rPr>
          <w:highlight w:val="lightGray"/>
        </w:rPr>
        <w:t>Effective Date and Transition</w:t>
      </w:r>
      <w:bookmarkEnd w:id="6"/>
    </w:p>
    <w:p w14:paraId="1C6D6F8E" w14:textId="77777777" w:rsidR="00FD54EB" w:rsidRPr="00706136" w:rsidRDefault="00FD54EB">
      <w:pPr>
        <w:pStyle w:val="ListContinue"/>
        <w:rPr>
          <w:highlight w:val="lightGray"/>
        </w:rPr>
      </w:pPr>
      <w:r w:rsidRPr="00706136">
        <w:rPr>
          <w:highlight w:val="lightGray"/>
        </w:rPr>
        <w:t xml:space="preserve">This statement is effective for reporting periods beginning on or after January 1, 2006. Early adoption is permitted. A change resulting from the adoption of this statement shall be accounted for as a change in accounting principle in accordance with </w:t>
      </w:r>
      <w:r w:rsidRPr="00706136">
        <w:rPr>
          <w:iCs/>
          <w:highlight w:val="lightGray"/>
        </w:rPr>
        <w:t>SSAP No. 3</w:t>
      </w:r>
      <w:r w:rsidRPr="00706136">
        <w:rPr>
          <w:szCs w:val="22"/>
          <w:highlight w:val="lightGray"/>
        </w:rPr>
        <w:t xml:space="preserve">. </w:t>
      </w:r>
      <w:r w:rsidR="007C5DD7" w:rsidRPr="00706136">
        <w:rPr>
          <w:szCs w:val="22"/>
          <w:highlight w:val="lightGray"/>
        </w:rPr>
        <w:t xml:space="preserve">The guidance previously in paragraph 3 of this </w:t>
      </w:r>
      <w:r w:rsidR="00642204" w:rsidRPr="00706136">
        <w:rPr>
          <w:szCs w:val="22"/>
          <w:highlight w:val="lightGray"/>
        </w:rPr>
        <w:t>statement</w:t>
      </w:r>
      <w:r w:rsidR="007C5DD7" w:rsidRPr="00706136">
        <w:rPr>
          <w:szCs w:val="22"/>
          <w:highlight w:val="lightGray"/>
        </w:rPr>
        <w:t xml:space="preserve"> superseded paragraph 1 of SSAP No. 48. In 2011, this guidance was moved to </w:t>
      </w:r>
      <w:r w:rsidR="007C5DD7" w:rsidRPr="00706136">
        <w:rPr>
          <w:i/>
          <w:szCs w:val="22"/>
          <w:highlight w:val="lightGray"/>
        </w:rPr>
        <w:t xml:space="preserve">SSAP No. 48—Joint Ventures, Partnerships and Limited Liability Companies </w:t>
      </w:r>
      <w:r w:rsidR="007C5DD7" w:rsidRPr="00706136">
        <w:rPr>
          <w:szCs w:val="22"/>
          <w:highlight w:val="lightGray"/>
        </w:rPr>
        <w:t xml:space="preserve">and deleted from this </w:t>
      </w:r>
      <w:r w:rsidR="00642204" w:rsidRPr="00706136">
        <w:rPr>
          <w:szCs w:val="22"/>
          <w:highlight w:val="lightGray"/>
        </w:rPr>
        <w:t>statement</w:t>
      </w:r>
      <w:r w:rsidR="007C5DD7" w:rsidRPr="00706136">
        <w:rPr>
          <w:i/>
          <w:szCs w:val="22"/>
          <w:highlight w:val="lightGray"/>
        </w:rPr>
        <w:t xml:space="preserve">. </w:t>
      </w:r>
      <w:r w:rsidR="007C5DD7" w:rsidRPr="00706136">
        <w:rPr>
          <w:szCs w:val="22"/>
          <w:highlight w:val="lightGray"/>
        </w:rPr>
        <w:t>The original guidance included in this standard is retained for historical purposes in Issue Paper No. 125.</w:t>
      </w:r>
      <w:r w:rsidR="001814EC" w:rsidRPr="00706136">
        <w:rPr>
          <w:szCs w:val="22"/>
          <w:highlight w:val="lightGray"/>
        </w:rPr>
        <w:t xml:space="preserve"> The guidance from ASU 2014-01 is effective for reporting periods beginning on or after January 1, 2015, with early adoption permitted.</w:t>
      </w:r>
    </w:p>
    <w:p w14:paraId="2C870D40" w14:textId="77777777" w:rsidR="007E3823" w:rsidRDefault="007E3823" w:rsidP="007E3823">
      <w:pPr>
        <w:pStyle w:val="ListContinue"/>
        <w:numPr>
          <w:ilvl w:val="0"/>
          <w:numId w:val="0"/>
        </w:numPr>
        <w:pBdr>
          <w:top w:val="single" w:sz="4" w:space="1" w:color="auto"/>
          <w:left w:val="single" w:sz="4" w:space="4" w:color="auto"/>
          <w:bottom w:val="single" w:sz="4" w:space="1" w:color="auto"/>
          <w:right w:val="single" w:sz="4" w:space="4" w:color="auto"/>
        </w:pBdr>
        <w:rPr>
          <w:i/>
          <w:iCs/>
        </w:rPr>
      </w:pPr>
      <w:bookmarkStart w:id="7" w:name="_Toc93555301"/>
      <w:r>
        <w:rPr>
          <w:i/>
          <w:iCs/>
        </w:rPr>
        <w:t xml:space="preserve">Staff Question / Items for Discussion: </w:t>
      </w:r>
    </w:p>
    <w:p w14:paraId="5414278A" w14:textId="2C326FD3" w:rsidR="007E3823" w:rsidRDefault="007E3823" w:rsidP="007E3823">
      <w:pPr>
        <w:pStyle w:val="ListContinue"/>
        <w:numPr>
          <w:ilvl w:val="0"/>
          <w:numId w:val="29"/>
        </w:numPr>
        <w:pBdr>
          <w:top w:val="single" w:sz="4" w:space="1" w:color="auto"/>
          <w:left w:val="single" w:sz="4" w:space="4" w:color="auto"/>
          <w:bottom w:val="single" w:sz="4" w:space="1" w:color="auto"/>
          <w:right w:val="single" w:sz="4" w:space="4" w:color="auto"/>
        </w:pBdr>
      </w:pPr>
      <w:r>
        <w:t>Paragraph</w:t>
      </w:r>
      <w:r w:rsidR="00A67CE8">
        <w:t>s</w:t>
      </w:r>
      <w:r>
        <w:t xml:space="preserve"> 34 </w:t>
      </w:r>
      <w:r w:rsidR="00A67CE8">
        <w:t xml:space="preserve">&amp; 35 </w:t>
      </w:r>
      <w:r>
        <w:t xml:space="preserve">– The relevant literature section and effective date section will be updated once the final ASU has been released to reflect GAAP adoptions / modifications and a revised SSAP is being considered. </w:t>
      </w:r>
    </w:p>
    <w:p w14:paraId="2D5D50D6" w14:textId="77777777" w:rsidR="00FD54EB" w:rsidRDefault="00A30098">
      <w:pPr>
        <w:pStyle w:val="Heading2"/>
        <w:rPr>
          <w:bCs/>
        </w:rPr>
      </w:pPr>
      <w:r>
        <w:t>REFERENCES</w:t>
      </w:r>
      <w:bookmarkEnd w:id="7"/>
    </w:p>
    <w:p w14:paraId="6FF2E8B2" w14:textId="77777777" w:rsidR="00FD54EB" w:rsidRDefault="00A30098" w:rsidP="006A05FD">
      <w:pPr>
        <w:pStyle w:val="Heading3"/>
      </w:pPr>
      <w:bookmarkStart w:id="8" w:name="_Toc93555302"/>
      <w:r>
        <w:t>Relevant Issue Papers</w:t>
      </w:r>
      <w:bookmarkEnd w:id="8"/>
    </w:p>
    <w:p w14:paraId="54D5F564" w14:textId="16604CA0" w:rsidR="00FD54EB" w:rsidRPr="00D6174A" w:rsidRDefault="00FD54EB" w:rsidP="00425513">
      <w:pPr>
        <w:pStyle w:val="ListBullet2"/>
        <w:numPr>
          <w:ilvl w:val="0"/>
          <w:numId w:val="1"/>
        </w:numPr>
      </w:pPr>
      <w:r w:rsidRPr="00D6174A">
        <w:t>Issue Paper No. 125—Accounting for Low</w:t>
      </w:r>
      <w:r w:rsidR="00473DFF">
        <w:t>-</w:t>
      </w:r>
      <w:r w:rsidRPr="00D6174A">
        <w:t>Income Housing Tax Credit Property Investments</w:t>
      </w:r>
    </w:p>
    <w:p w14:paraId="4275FBFB" w14:textId="77777777" w:rsidR="00FD54EB" w:rsidRDefault="00FD54EB" w:rsidP="00425513">
      <w:pPr>
        <w:pStyle w:val="ListBullet2"/>
      </w:pPr>
    </w:p>
    <w:p w14:paraId="1331398A" w14:textId="77777777" w:rsidR="00425513" w:rsidRDefault="00425513" w:rsidP="00425513">
      <w:pPr>
        <w:pStyle w:val="ListBullet2"/>
      </w:pPr>
    </w:p>
    <w:p w14:paraId="5D97AB0C" w14:textId="77777777" w:rsidR="000204F1" w:rsidRDefault="000204F1">
      <w:pPr>
        <w:rPr>
          <w:b/>
          <w:caps/>
        </w:rPr>
      </w:pPr>
      <w:bookmarkStart w:id="9" w:name="_Toc93555303"/>
      <w:r>
        <w:br w:type="page"/>
      </w:r>
    </w:p>
    <w:p w14:paraId="732E5A27" w14:textId="150EC8EC" w:rsidR="00FD54EB" w:rsidRDefault="0086700B" w:rsidP="003F6D7D">
      <w:pPr>
        <w:pStyle w:val="Heading2"/>
        <w:rPr>
          <w:bCs/>
        </w:rPr>
      </w:pPr>
      <w:r>
        <w:lastRenderedPageBreak/>
        <w:t>EXHIBIT</w:t>
      </w:r>
      <w:r w:rsidR="00FD54EB">
        <w:t xml:space="preserve"> A – </w:t>
      </w:r>
      <w:bookmarkEnd w:id="9"/>
      <w:r w:rsidR="00A60784">
        <w:t>Application of Prop</w:t>
      </w:r>
      <w:r w:rsidR="00902C52">
        <w:t>ortional Amortization method</w:t>
      </w:r>
      <w:r w:rsidR="00FD54EB">
        <w:rPr>
          <w:bCs/>
        </w:rPr>
        <w:t xml:space="preserve"> </w:t>
      </w:r>
    </w:p>
    <w:p w14:paraId="274F1AE6" w14:textId="6EAA48C7" w:rsidR="0069795A" w:rsidRDefault="00C67E5A">
      <w:pPr>
        <w:pStyle w:val="BodyText3"/>
      </w:pPr>
      <w:r w:rsidRPr="00C67E5A">
        <w:rPr>
          <w:b/>
          <w:bCs/>
          <w:i/>
          <w:iCs/>
        </w:rPr>
        <w:t>Example 1:</w:t>
      </w:r>
      <w:r>
        <w:t xml:space="preserve"> </w:t>
      </w:r>
      <w:r w:rsidR="00802F81" w:rsidRPr="007D4DE8">
        <w:rPr>
          <w:b/>
          <w:bCs/>
          <w:i/>
          <w:iCs/>
        </w:rPr>
        <w:t xml:space="preserve">Application of Proportional Amortization Method </w:t>
      </w:r>
      <w:r w:rsidR="007D4DE8" w:rsidRPr="007D4DE8">
        <w:rPr>
          <w:b/>
          <w:bCs/>
          <w:i/>
          <w:iCs/>
        </w:rPr>
        <w:t>for Qualifying Investment</w:t>
      </w:r>
      <w:r w:rsidR="002C111C">
        <w:t xml:space="preserve"> </w:t>
      </w:r>
    </w:p>
    <w:p w14:paraId="29AB765C" w14:textId="77777777" w:rsidR="0069795A" w:rsidRDefault="0069795A">
      <w:pPr>
        <w:pStyle w:val="BodyText3"/>
      </w:pPr>
    </w:p>
    <w:p w14:paraId="5C37117B" w14:textId="674548BC" w:rsidR="00FD54EB" w:rsidRDefault="00C67E5A">
      <w:pPr>
        <w:pStyle w:val="BodyText3"/>
      </w:pPr>
      <w:r>
        <w:t>This example</w:t>
      </w:r>
      <w:r w:rsidR="00FD54EB">
        <w:t xml:space="preserve"> is based on </w:t>
      </w:r>
      <w:r w:rsidR="00B967C8">
        <w:t>paragraph 323-740-55-</w:t>
      </w:r>
      <w:r w:rsidR="00BC663F">
        <w:t>5</w:t>
      </w:r>
      <w:r w:rsidR="00B967C8">
        <w:t xml:space="preserve"> of the Accounting Standards Codification</w:t>
      </w:r>
      <w:r w:rsidR="00B967C8" w:rsidRPr="00D56AD7">
        <w:t>.</w:t>
      </w:r>
      <w:r w:rsidR="00B967C8" w:rsidRPr="00E84C78">
        <w:t xml:space="preserve"> </w:t>
      </w:r>
      <w:r w:rsidR="00B967C8" w:rsidRPr="009D2801">
        <w:t xml:space="preserve">The amount and timing of amortization </w:t>
      </w:r>
      <w:r w:rsidR="00B967C8" w:rsidRPr="00B967C8">
        <w:t xml:space="preserve">in the proportional amortization method is consistent with the statutory modifications; therefore, the table incorporated in this </w:t>
      </w:r>
      <w:r w:rsidR="000B420D">
        <w:t>exhibit</w:t>
      </w:r>
      <w:r w:rsidR="00B967C8" w:rsidRPr="00B967C8">
        <w:t xml:space="preserve"> is based on the proportional amortization table. The statutory income statement requires a gross presentation on the income statement, with proportional amortization of the initial cost of the investment in investment income and the tax credits and benefits included in income tax expense</w:t>
      </w:r>
      <w:r w:rsidR="00FD54EB">
        <w:t xml:space="preserve">. </w:t>
      </w:r>
    </w:p>
    <w:p w14:paraId="47A682B6" w14:textId="77777777" w:rsidR="00FD54EB" w:rsidRDefault="00FD54EB">
      <w:pPr>
        <w:pStyle w:val="BodyText3"/>
      </w:pPr>
    </w:p>
    <w:p w14:paraId="59F15097" w14:textId="77777777" w:rsidR="00FD54EB" w:rsidRDefault="00FD54EB">
      <w:pPr>
        <w:pStyle w:val="BodyText3"/>
      </w:pPr>
      <w:r>
        <w:t xml:space="preserve">Terms:   </w:t>
      </w:r>
    </w:p>
    <w:p w14:paraId="19AD8DD8" w14:textId="77777777" w:rsidR="00FD54EB" w:rsidRDefault="00FD54EB">
      <w:pPr>
        <w:pStyle w:val="BodyText3"/>
      </w:pPr>
      <w:r>
        <w:t xml:space="preserve">Date of Investment: January 1, 20X1     </w:t>
      </w:r>
    </w:p>
    <w:p w14:paraId="32275AE8" w14:textId="77777777" w:rsidR="00FD54EB" w:rsidRDefault="00FD54EB">
      <w:pPr>
        <w:pStyle w:val="BodyText3"/>
      </w:pPr>
      <w:r>
        <w:t>Purchase Price of Investment:  $100,000</w:t>
      </w:r>
    </w:p>
    <w:p w14:paraId="2AD73C0B" w14:textId="77777777" w:rsidR="00FD54EB" w:rsidRDefault="00FD54EB">
      <w:pPr>
        <w:pStyle w:val="BodyText3"/>
      </w:pPr>
    </w:p>
    <w:p w14:paraId="1E272998" w14:textId="77777777" w:rsidR="00FD54EB" w:rsidRDefault="00FD54EB" w:rsidP="00897D66">
      <w:pPr>
        <w:pStyle w:val="BodyText3"/>
        <w:spacing w:after="220"/>
      </w:pPr>
      <w:r>
        <w:t>Assumptions:</w:t>
      </w:r>
    </w:p>
    <w:p w14:paraId="5F737D84" w14:textId="77777777" w:rsidR="00FD54EB" w:rsidRDefault="00FD54EB">
      <w:pPr>
        <w:pStyle w:val="BodyText3"/>
        <w:numPr>
          <w:ilvl w:val="0"/>
          <w:numId w:val="12"/>
        </w:numPr>
        <w:tabs>
          <w:tab w:val="clear" w:pos="720"/>
        </w:tabs>
        <w:spacing w:after="220"/>
        <w:ind w:left="1440" w:hanging="720"/>
      </w:pPr>
      <w:r>
        <w:t>All cash flows (except initial investment) occur at the end of each year.</w:t>
      </w:r>
    </w:p>
    <w:p w14:paraId="6CA30DDD" w14:textId="77777777" w:rsidR="00FD54EB" w:rsidRDefault="00FD54EB">
      <w:pPr>
        <w:pStyle w:val="BodyText3"/>
        <w:numPr>
          <w:ilvl w:val="0"/>
          <w:numId w:val="12"/>
        </w:numPr>
        <w:tabs>
          <w:tab w:val="clear" w:pos="720"/>
        </w:tabs>
        <w:spacing w:after="220"/>
        <w:ind w:left="1440" w:hanging="720"/>
      </w:pPr>
      <w:r>
        <w:t>Depreciation expense is computed, for book and tax purposes, using the straight-line method with a 27.5 year life (the same method is used for simplicity).</w:t>
      </w:r>
    </w:p>
    <w:p w14:paraId="4657BA1E" w14:textId="77777777" w:rsidR="00FD54EB" w:rsidRDefault="00FD54EB">
      <w:pPr>
        <w:pStyle w:val="BodyText3"/>
        <w:numPr>
          <w:ilvl w:val="0"/>
          <w:numId w:val="12"/>
        </w:numPr>
        <w:tabs>
          <w:tab w:val="clear" w:pos="720"/>
        </w:tabs>
        <w:spacing w:after="220"/>
        <w:ind w:left="1440" w:hanging="720"/>
      </w:pPr>
      <w:r>
        <w:t>The investor made a $100,000 investment for a 5 percent limited partnership interest in the project at the beginning of the first year of eligibility for the tax credit.</w:t>
      </w:r>
    </w:p>
    <w:p w14:paraId="2E8BDADB" w14:textId="77777777" w:rsidR="00FD54EB" w:rsidRDefault="00FD54EB">
      <w:pPr>
        <w:pStyle w:val="BodyText3"/>
        <w:numPr>
          <w:ilvl w:val="0"/>
          <w:numId w:val="12"/>
        </w:numPr>
        <w:tabs>
          <w:tab w:val="clear" w:pos="720"/>
        </w:tabs>
        <w:spacing w:after="220"/>
        <w:ind w:left="1440" w:hanging="720"/>
      </w:pPr>
      <w:r>
        <w:t xml:space="preserve">The partnership finances the project cost of $4,000,000 with 50 percent equity and 50 percent debt.  </w:t>
      </w:r>
    </w:p>
    <w:p w14:paraId="4657C1C0" w14:textId="77777777" w:rsidR="00FD54EB" w:rsidRDefault="00FD54EB">
      <w:pPr>
        <w:pStyle w:val="BodyText3"/>
        <w:numPr>
          <w:ilvl w:val="0"/>
          <w:numId w:val="12"/>
        </w:numPr>
        <w:tabs>
          <w:tab w:val="clear" w:pos="720"/>
        </w:tabs>
        <w:spacing w:after="220"/>
        <w:ind w:left="1440" w:hanging="720"/>
      </w:pPr>
      <w:r>
        <w:t xml:space="preserve">The annual tax credit allocation (equal to </w:t>
      </w:r>
      <w:r w:rsidR="00B967C8">
        <w:t>4</w:t>
      </w:r>
      <w:r>
        <w:t xml:space="preserve"> percent of the project's original cost) will be received for a period of 10 years.</w:t>
      </w:r>
    </w:p>
    <w:p w14:paraId="2FB0B373" w14:textId="77777777" w:rsidR="00FD54EB" w:rsidRDefault="00FD54EB">
      <w:pPr>
        <w:pStyle w:val="BodyText3"/>
        <w:numPr>
          <w:ilvl w:val="0"/>
          <w:numId w:val="12"/>
        </w:numPr>
        <w:tabs>
          <w:tab w:val="clear" w:pos="720"/>
        </w:tabs>
        <w:spacing w:after="220"/>
        <w:ind w:left="1440" w:hanging="720"/>
      </w:pPr>
      <w:r>
        <w:t xml:space="preserve">The investor's tax rate is </w:t>
      </w:r>
      <w:r w:rsidR="00B967C8">
        <w:t>40</w:t>
      </w:r>
      <w:r>
        <w:t xml:space="preserve"> percent.</w:t>
      </w:r>
    </w:p>
    <w:p w14:paraId="28E10E4F" w14:textId="77777777" w:rsidR="00FD54EB" w:rsidRDefault="00FD54EB">
      <w:pPr>
        <w:pStyle w:val="BodyText3"/>
        <w:numPr>
          <w:ilvl w:val="0"/>
          <w:numId w:val="12"/>
        </w:numPr>
        <w:tabs>
          <w:tab w:val="clear" w:pos="720"/>
        </w:tabs>
        <w:spacing w:after="220"/>
        <w:ind w:left="1440" w:hanging="720"/>
      </w:pPr>
      <w:r>
        <w:t xml:space="preserve">For simplicity, the project will operate with break-even pretax cash flows including debt service during the first 15 years of operations.  </w:t>
      </w:r>
    </w:p>
    <w:p w14:paraId="5CEEA3C5" w14:textId="77777777" w:rsidR="00FD54EB" w:rsidRDefault="00FD54EB">
      <w:pPr>
        <w:pStyle w:val="BodyText3"/>
        <w:numPr>
          <w:ilvl w:val="0"/>
          <w:numId w:val="12"/>
        </w:numPr>
        <w:tabs>
          <w:tab w:val="clear" w:pos="720"/>
        </w:tabs>
        <w:spacing w:after="220"/>
        <w:ind w:left="1440" w:hanging="720"/>
      </w:pPr>
      <w:r>
        <w:t>The project's taxable loss will be equal to depreciation expense.</w:t>
      </w:r>
      <w:r w:rsidR="00B967C8">
        <w:t xml:space="preserve"> The cumulative book loss (and thus the cumulative depreciation expense) recognized by the investor is limited to the $100,000 investment.</w:t>
      </w:r>
    </w:p>
    <w:p w14:paraId="4A0DA9D0" w14:textId="77777777" w:rsidR="00FD54EB" w:rsidRDefault="00B967C8">
      <w:pPr>
        <w:pStyle w:val="BodyText3"/>
        <w:numPr>
          <w:ilvl w:val="0"/>
          <w:numId w:val="12"/>
        </w:numPr>
        <w:tabs>
          <w:tab w:val="clear" w:pos="720"/>
        </w:tabs>
        <w:spacing w:after="220"/>
        <w:ind w:left="1440" w:hanging="720"/>
      </w:pPr>
      <w:r>
        <w:t xml:space="preserve">It is assumed that all requirements are met to retain allocable tax credits </w:t>
      </w:r>
      <w:r w:rsidR="00FD54EB">
        <w:t>so there will be no recapture of tax credits.</w:t>
      </w:r>
    </w:p>
    <w:p w14:paraId="093863F6" w14:textId="77777777" w:rsidR="00FD54EB" w:rsidRDefault="00FD54EB">
      <w:pPr>
        <w:pStyle w:val="BodyText3"/>
        <w:numPr>
          <w:ilvl w:val="0"/>
          <w:numId w:val="12"/>
        </w:numPr>
        <w:tabs>
          <w:tab w:val="clear" w:pos="720"/>
        </w:tabs>
        <w:spacing w:after="220"/>
        <w:ind w:left="1440" w:hanging="720"/>
      </w:pPr>
      <w:r>
        <w:t>The investor expects that the estimated residual value of the investment will be zero.</w:t>
      </w:r>
    </w:p>
    <w:p w14:paraId="535F8E36" w14:textId="77777777" w:rsidR="007963FD" w:rsidRDefault="007963FD">
      <w:pPr>
        <w:pStyle w:val="BodyText3"/>
      </w:pPr>
      <w:bookmarkStart w:id="10" w:name="_MON_1419224362"/>
      <w:bookmarkEnd w:id="10"/>
    </w:p>
    <w:p w14:paraId="13DF9027" w14:textId="77777777" w:rsidR="007B3A8D" w:rsidRDefault="007B3A8D">
      <w:pPr>
        <w:pStyle w:val="BodyText3"/>
      </w:pPr>
    </w:p>
    <w:p w14:paraId="02A9D62E" w14:textId="77777777" w:rsidR="007B3A8D" w:rsidRDefault="007B3A8D">
      <w:pPr>
        <w:pStyle w:val="BodyText3"/>
        <w:sectPr w:rsidR="007B3A8D" w:rsidSect="001B0F42">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720" w:gutter="0"/>
          <w:cols w:space="720"/>
          <w:formProt w:val="0"/>
        </w:sectPr>
      </w:pPr>
    </w:p>
    <w:p w14:paraId="488A440E" w14:textId="77777777" w:rsidR="00F656EB" w:rsidRPr="008E3EF9" w:rsidRDefault="00DF2419" w:rsidP="006F4A28">
      <w:pPr>
        <w:pStyle w:val="BodyText3"/>
        <w:keepNext/>
        <w:keepLines/>
        <w:spacing w:after="220"/>
        <w:jc w:val="center"/>
      </w:pPr>
      <w:r>
        <w:lastRenderedPageBreak/>
        <w:t>Proportional</w:t>
      </w:r>
      <w:r w:rsidR="007B3A8D" w:rsidRPr="006F4A28">
        <w:t xml:space="preserve"> Amortization</w:t>
      </w:r>
      <w:r>
        <w:t xml:space="preserve"> Method</w:t>
      </w:r>
      <w:r w:rsidR="007B3A8D" w:rsidRPr="006F4A28">
        <w:t xml:space="preserve"> with Statutory Modifications</w:t>
      </w:r>
    </w:p>
    <w:tbl>
      <w:tblPr>
        <w:tblW w:w="9270" w:type="dxa"/>
        <w:tblInd w:w="108" w:type="dxa"/>
        <w:tblLook w:val="04A0" w:firstRow="1" w:lastRow="0" w:firstColumn="1" w:lastColumn="0" w:noHBand="0" w:noVBand="1"/>
      </w:tblPr>
      <w:tblGrid>
        <w:gridCol w:w="738"/>
        <w:gridCol w:w="1377"/>
        <w:gridCol w:w="1485"/>
        <w:gridCol w:w="1089"/>
        <w:gridCol w:w="1353"/>
        <w:gridCol w:w="1878"/>
        <w:gridCol w:w="1350"/>
      </w:tblGrid>
      <w:tr w:rsidR="004720C5" w:rsidRPr="00DD3A12" w14:paraId="74630691" w14:textId="77777777" w:rsidTr="00427ACA">
        <w:tc>
          <w:tcPr>
            <w:tcW w:w="738" w:type="dxa"/>
            <w:tcBorders>
              <w:top w:val="nil"/>
              <w:left w:val="nil"/>
              <w:right w:val="nil"/>
            </w:tcBorders>
            <w:shd w:val="clear" w:color="auto" w:fill="auto"/>
            <w:vAlign w:val="bottom"/>
            <w:hideMark/>
          </w:tcPr>
          <w:p w14:paraId="7B61A068" w14:textId="77777777" w:rsidR="004720C5" w:rsidRPr="00DD3A12" w:rsidRDefault="004720C5" w:rsidP="006F4A28">
            <w:pPr>
              <w:keepNext/>
              <w:keepLines/>
              <w:jc w:val="center"/>
              <w:rPr>
                <w:color w:val="000000"/>
                <w:szCs w:val="22"/>
              </w:rPr>
            </w:pPr>
          </w:p>
        </w:tc>
        <w:tc>
          <w:tcPr>
            <w:tcW w:w="1377" w:type="dxa"/>
            <w:tcBorders>
              <w:top w:val="nil"/>
              <w:left w:val="nil"/>
              <w:right w:val="nil"/>
            </w:tcBorders>
            <w:shd w:val="clear" w:color="auto" w:fill="auto"/>
            <w:vAlign w:val="bottom"/>
            <w:hideMark/>
          </w:tcPr>
          <w:p w14:paraId="6B53A606" w14:textId="77777777" w:rsidR="004720C5" w:rsidRPr="00DD3A12" w:rsidRDefault="004720C5" w:rsidP="006F4A28">
            <w:pPr>
              <w:keepNext/>
              <w:keepLines/>
              <w:jc w:val="center"/>
              <w:rPr>
                <w:color w:val="000000"/>
                <w:szCs w:val="22"/>
              </w:rPr>
            </w:pPr>
            <w:r w:rsidRPr="00DD3A12">
              <w:rPr>
                <w:color w:val="000000"/>
                <w:szCs w:val="22"/>
              </w:rPr>
              <w:t xml:space="preserve">Net Investment </w:t>
            </w:r>
          </w:p>
        </w:tc>
        <w:tc>
          <w:tcPr>
            <w:tcW w:w="1485" w:type="dxa"/>
            <w:tcBorders>
              <w:top w:val="nil"/>
              <w:left w:val="nil"/>
              <w:right w:val="nil"/>
            </w:tcBorders>
            <w:shd w:val="clear" w:color="auto" w:fill="auto"/>
            <w:tcMar>
              <w:left w:w="72" w:type="dxa"/>
              <w:right w:w="72" w:type="dxa"/>
            </w:tcMar>
            <w:vAlign w:val="bottom"/>
            <w:hideMark/>
          </w:tcPr>
          <w:p w14:paraId="031511EB" w14:textId="77777777" w:rsidR="004720C5" w:rsidRPr="00DD3A12" w:rsidRDefault="004720C5" w:rsidP="006F4A28">
            <w:pPr>
              <w:keepNext/>
              <w:keepLines/>
              <w:jc w:val="center"/>
              <w:rPr>
                <w:color w:val="000000"/>
                <w:szCs w:val="22"/>
              </w:rPr>
            </w:pPr>
            <w:r w:rsidRPr="00DD3A12">
              <w:rPr>
                <w:color w:val="000000"/>
                <w:szCs w:val="22"/>
              </w:rPr>
              <w:t>Amortization of Investment</w:t>
            </w:r>
          </w:p>
        </w:tc>
        <w:tc>
          <w:tcPr>
            <w:tcW w:w="1089" w:type="dxa"/>
            <w:tcBorders>
              <w:top w:val="nil"/>
              <w:left w:val="nil"/>
              <w:right w:val="nil"/>
            </w:tcBorders>
            <w:shd w:val="clear" w:color="auto" w:fill="auto"/>
            <w:vAlign w:val="bottom"/>
            <w:hideMark/>
          </w:tcPr>
          <w:p w14:paraId="5A5D20D6" w14:textId="77777777" w:rsidR="004720C5" w:rsidRPr="00DD3A12" w:rsidRDefault="004720C5" w:rsidP="006F4A28">
            <w:pPr>
              <w:keepNext/>
              <w:keepLines/>
              <w:jc w:val="center"/>
              <w:rPr>
                <w:color w:val="000000"/>
                <w:szCs w:val="22"/>
              </w:rPr>
            </w:pPr>
            <w:r w:rsidRPr="00DD3A12">
              <w:rPr>
                <w:color w:val="000000"/>
                <w:szCs w:val="22"/>
              </w:rPr>
              <w:t>Tax Credits</w:t>
            </w:r>
          </w:p>
        </w:tc>
        <w:tc>
          <w:tcPr>
            <w:tcW w:w="1353" w:type="dxa"/>
            <w:tcBorders>
              <w:top w:val="nil"/>
              <w:left w:val="nil"/>
              <w:right w:val="nil"/>
            </w:tcBorders>
            <w:shd w:val="clear" w:color="auto" w:fill="auto"/>
            <w:tcMar>
              <w:left w:w="43" w:type="dxa"/>
              <w:right w:w="43" w:type="dxa"/>
            </w:tcMar>
            <w:vAlign w:val="bottom"/>
            <w:hideMark/>
          </w:tcPr>
          <w:p w14:paraId="41C1A1FD" w14:textId="77777777" w:rsidR="004720C5" w:rsidRPr="00DD3A12" w:rsidRDefault="004720C5" w:rsidP="006F4A28">
            <w:pPr>
              <w:keepNext/>
              <w:keepLines/>
              <w:jc w:val="center"/>
              <w:rPr>
                <w:color w:val="000000"/>
                <w:szCs w:val="22"/>
              </w:rPr>
            </w:pPr>
            <w:r w:rsidRPr="00DD3A12">
              <w:rPr>
                <w:color w:val="000000"/>
                <w:szCs w:val="22"/>
              </w:rPr>
              <w:t>Net Losses/Tax Depreciation</w:t>
            </w:r>
          </w:p>
        </w:tc>
        <w:tc>
          <w:tcPr>
            <w:tcW w:w="1878" w:type="dxa"/>
            <w:tcBorders>
              <w:top w:val="nil"/>
              <w:left w:val="nil"/>
              <w:right w:val="nil"/>
            </w:tcBorders>
            <w:shd w:val="clear" w:color="auto" w:fill="auto"/>
            <w:vAlign w:val="bottom"/>
            <w:hideMark/>
          </w:tcPr>
          <w:p w14:paraId="3C703523" w14:textId="77777777" w:rsidR="004720C5" w:rsidRPr="00DD3A12" w:rsidRDefault="004720C5" w:rsidP="006F4A28">
            <w:pPr>
              <w:keepNext/>
              <w:keepLines/>
              <w:jc w:val="center"/>
              <w:rPr>
                <w:color w:val="000000"/>
                <w:szCs w:val="22"/>
              </w:rPr>
            </w:pPr>
            <w:r w:rsidRPr="00DD3A12">
              <w:rPr>
                <w:color w:val="000000"/>
                <w:szCs w:val="22"/>
              </w:rPr>
              <w:t>Other Tax Benefits from Tax Depreciation</w:t>
            </w:r>
          </w:p>
        </w:tc>
        <w:tc>
          <w:tcPr>
            <w:tcW w:w="1350" w:type="dxa"/>
            <w:tcBorders>
              <w:top w:val="nil"/>
              <w:left w:val="nil"/>
              <w:right w:val="nil"/>
            </w:tcBorders>
            <w:shd w:val="clear" w:color="auto" w:fill="auto"/>
            <w:vAlign w:val="bottom"/>
            <w:hideMark/>
          </w:tcPr>
          <w:p w14:paraId="37B34B78" w14:textId="77777777" w:rsidR="004720C5" w:rsidRPr="00DD3A12" w:rsidRDefault="004720C5" w:rsidP="006F4A28">
            <w:pPr>
              <w:keepNext/>
              <w:keepLines/>
              <w:jc w:val="center"/>
              <w:rPr>
                <w:color w:val="000000"/>
                <w:szCs w:val="22"/>
              </w:rPr>
            </w:pPr>
            <w:r w:rsidRPr="00DD3A12">
              <w:rPr>
                <w:color w:val="000000"/>
                <w:szCs w:val="22"/>
              </w:rPr>
              <w:t>Tax Credits and Other Tax Benefits</w:t>
            </w:r>
          </w:p>
        </w:tc>
      </w:tr>
      <w:tr w:rsidR="004720C5" w:rsidRPr="00DD3A12" w14:paraId="2521F5CA" w14:textId="77777777" w:rsidTr="00427ACA">
        <w:trPr>
          <w:trHeight w:val="276"/>
        </w:trPr>
        <w:tc>
          <w:tcPr>
            <w:tcW w:w="738" w:type="dxa"/>
            <w:tcBorders>
              <w:top w:val="nil"/>
              <w:left w:val="nil"/>
              <w:bottom w:val="single" w:sz="4" w:space="0" w:color="auto"/>
              <w:right w:val="nil"/>
            </w:tcBorders>
            <w:shd w:val="clear" w:color="auto" w:fill="auto"/>
            <w:vAlign w:val="bottom"/>
            <w:hideMark/>
          </w:tcPr>
          <w:p w14:paraId="15FFEFED" w14:textId="77777777" w:rsidR="004720C5" w:rsidRPr="00DD3A12" w:rsidRDefault="00455F31" w:rsidP="006F4A28">
            <w:pPr>
              <w:keepNext/>
              <w:keepLines/>
              <w:jc w:val="center"/>
              <w:rPr>
                <w:color w:val="000000"/>
                <w:szCs w:val="22"/>
              </w:rPr>
            </w:pPr>
            <w:r w:rsidRPr="00DD3A12">
              <w:rPr>
                <w:color w:val="000000"/>
                <w:szCs w:val="22"/>
              </w:rPr>
              <w:t>Year</w:t>
            </w:r>
          </w:p>
        </w:tc>
        <w:tc>
          <w:tcPr>
            <w:tcW w:w="1377" w:type="dxa"/>
            <w:tcBorders>
              <w:top w:val="nil"/>
              <w:left w:val="nil"/>
              <w:bottom w:val="single" w:sz="4" w:space="0" w:color="auto"/>
              <w:right w:val="nil"/>
            </w:tcBorders>
            <w:shd w:val="clear" w:color="auto" w:fill="auto"/>
            <w:vAlign w:val="bottom"/>
            <w:hideMark/>
          </w:tcPr>
          <w:p w14:paraId="16A40555" w14:textId="77777777" w:rsidR="004720C5" w:rsidRPr="00DD3A12" w:rsidRDefault="00DD3A12" w:rsidP="006F4A28">
            <w:pPr>
              <w:keepNext/>
              <w:keepLines/>
              <w:jc w:val="center"/>
              <w:rPr>
                <w:color w:val="000000"/>
                <w:szCs w:val="22"/>
              </w:rPr>
            </w:pPr>
            <w:r>
              <w:rPr>
                <w:color w:val="000000"/>
                <w:szCs w:val="22"/>
              </w:rPr>
              <w:t>(</w:t>
            </w:r>
            <w:r w:rsidR="007B3A8D" w:rsidRPr="00DD3A12">
              <w:rPr>
                <w:color w:val="000000"/>
                <w:szCs w:val="22"/>
              </w:rPr>
              <w:t>1</w:t>
            </w:r>
            <w:r>
              <w:rPr>
                <w:color w:val="000000"/>
                <w:szCs w:val="22"/>
              </w:rPr>
              <w:t>)</w:t>
            </w:r>
          </w:p>
        </w:tc>
        <w:tc>
          <w:tcPr>
            <w:tcW w:w="1485" w:type="dxa"/>
            <w:tcBorders>
              <w:top w:val="nil"/>
              <w:left w:val="nil"/>
              <w:bottom w:val="single" w:sz="4" w:space="0" w:color="auto"/>
              <w:right w:val="nil"/>
            </w:tcBorders>
            <w:shd w:val="clear" w:color="auto" w:fill="auto"/>
            <w:vAlign w:val="bottom"/>
            <w:hideMark/>
          </w:tcPr>
          <w:p w14:paraId="2D6D4421" w14:textId="77777777" w:rsidR="004720C5" w:rsidRPr="00DD3A12" w:rsidRDefault="00DD3A12" w:rsidP="006F4A28">
            <w:pPr>
              <w:keepNext/>
              <w:keepLines/>
              <w:jc w:val="center"/>
              <w:rPr>
                <w:color w:val="000000"/>
                <w:szCs w:val="22"/>
              </w:rPr>
            </w:pPr>
            <w:r>
              <w:rPr>
                <w:color w:val="000000"/>
                <w:szCs w:val="22"/>
              </w:rPr>
              <w:t>(</w:t>
            </w:r>
            <w:r w:rsidR="007B3A8D" w:rsidRPr="00DD3A12">
              <w:rPr>
                <w:color w:val="000000"/>
                <w:szCs w:val="22"/>
              </w:rPr>
              <w:t>2</w:t>
            </w:r>
            <w:r>
              <w:rPr>
                <w:color w:val="000000"/>
                <w:szCs w:val="22"/>
              </w:rPr>
              <w:t>)</w:t>
            </w:r>
          </w:p>
        </w:tc>
        <w:tc>
          <w:tcPr>
            <w:tcW w:w="1089" w:type="dxa"/>
            <w:tcBorders>
              <w:top w:val="nil"/>
              <w:left w:val="nil"/>
              <w:bottom w:val="single" w:sz="4" w:space="0" w:color="auto"/>
              <w:right w:val="nil"/>
            </w:tcBorders>
            <w:shd w:val="clear" w:color="auto" w:fill="auto"/>
            <w:vAlign w:val="bottom"/>
            <w:hideMark/>
          </w:tcPr>
          <w:p w14:paraId="53DB6CF2" w14:textId="77777777" w:rsidR="004720C5" w:rsidRPr="00DD3A12" w:rsidRDefault="00DD3A12" w:rsidP="006F4A28">
            <w:pPr>
              <w:keepNext/>
              <w:keepLines/>
              <w:jc w:val="center"/>
              <w:rPr>
                <w:color w:val="000000"/>
                <w:szCs w:val="22"/>
              </w:rPr>
            </w:pPr>
            <w:r>
              <w:rPr>
                <w:color w:val="000000"/>
                <w:szCs w:val="22"/>
              </w:rPr>
              <w:t>(</w:t>
            </w:r>
            <w:r w:rsidR="007B3A8D" w:rsidRPr="00DD3A12">
              <w:rPr>
                <w:color w:val="000000"/>
                <w:szCs w:val="22"/>
              </w:rPr>
              <w:t>3</w:t>
            </w:r>
            <w:r>
              <w:rPr>
                <w:color w:val="000000"/>
                <w:szCs w:val="22"/>
              </w:rPr>
              <w:t>)</w:t>
            </w:r>
          </w:p>
        </w:tc>
        <w:tc>
          <w:tcPr>
            <w:tcW w:w="1353" w:type="dxa"/>
            <w:tcBorders>
              <w:top w:val="nil"/>
              <w:left w:val="nil"/>
              <w:bottom w:val="single" w:sz="4" w:space="0" w:color="auto"/>
              <w:right w:val="nil"/>
            </w:tcBorders>
            <w:shd w:val="clear" w:color="auto" w:fill="auto"/>
            <w:vAlign w:val="bottom"/>
            <w:hideMark/>
          </w:tcPr>
          <w:p w14:paraId="23EF5A48" w14:textId="77777777" w:rsidR="004720C5" w:rsidRPr="00DD3A12" w:rsidRDefault="00DD3A12" w:rsidP="006F4A28">
            <w:pPr>
              <w:keepNext/>
              <w:keepLines/>
              <w:jc w:val="center"/>
              <w:rPr>
                <w:color w:val="000000"/>
                <w:szCs w:val="22"/>
              </w:rPr>
            </w:pPr>
            <w:r>
              <w:rPr>
                <w:color w:val="000000"/>
                <w:szCs w:val="22"/>
              </w:rPr>
              <w:t>(</w:t>
            </w:r>
            <w:r w:rsidR="007B3A8D" w:rsidRPr="00DD3A12">
              <w:rPr>
                <w:color w:val="000000"/>
                <w:szCs w:val="22"/>
              </w:rPr>
              <w:t>4</w:t>
            </w:r>
            <w:r>
              <w:rPr>
                <w:color w:val="000000"/>
                <w:szCs w:val="22"/>
              </w:rPr>
              <w:t>)</w:t>
            </w:r>
          </w:p>
        </w:tc>
        <w:tc>
          <w:tcPr>
            <w:tcW w:w="1878" w:type="dxa"/>
            <w:tcBorders>
              <w:top w:val="nil"/>
              <w:left w:val="nil"/>
              <w:bottom w:val="single" w:sz="4" w:space="0" w:color="auto"/>
              <w:right w:val="nil"/>
            </w:tcBorders>
            <w:shd w:val="clear" w:color="auto" w:fill="auto"/>
            <w:vAlign w:val="bottom"/>
            <w:hideMark/>
          </w:tcPr>
          <w:p w14:paraId="306731E2" w14:textId="77777777" w:rsidR="004720C5" w:rsidRPr="00DD3A12" w:rsidRDefault="00DD3A12" w:rsidP="006F4A28">
            <w:pPr>
              <w:keepNext/>
              <w:keepLines/>
              <w:jc w:val="center"/>
              <w:rPr>
                <w:color w:val="000000"/>
                <w:szCs w:val="22"/>
              </w:rPr>
            </w:pPr>
            <w:r>
              <w:rPr>
                <w:color w:val="000000"/>
                <w:szCs w:val="22"/>
              </w:rPr>
              <w:t>(</w:t>
            </w:r>
            <w:r w:rsidR="007B3A8D" w:rsidRPr="00DD3A12">
              <w:rPr>
                <w:color w:val="000000"/>
                <w:szCs w:val="22"/>
              </w:rPr>
              <w:t>5</w:t>
            </w:r>
            <w:r>
              <w:rPr>
                <w:color w:val="000000"/>
                <w:szCs w:val="22"/>
              </w:rPr>
              <w:t>)</w:t>
            </w:r>
          </w:p>
        </w:tc>
        <w:tc>
          <w:tcPr>
            <w:tcW w:w="1350" w:type="dxa"/>
            <w:tcBorders>
              <w:top w:val="nil"/>
              <w:left w:val="nil"/>
              <w:bottom w:val="single" w:sz="4" w:space="0" w:color="auto"/>
              <w:right w:val="nil"/>
            </w:tcBorders>
            <w:shd w:val="clear" w:color="auto" w:fill="auto"/>
            <w:vAlign w:val="bottom"/>
            <w:hideMark/>
          </w:tcPr>
          <w:p w14:paraId="01F167A6" w14:textId="77777777" w:rsidR="004720C5" w:rsidRPr="00DD3A12" w:rsidRDefault="00DD3A12" w:rsidP="006F4A28">
            <w:pPr>
              <w:keepNext/>
              <w:keepLines/>
              <w:jc w:val="center"/>
              <w:rPr>
                <w:color w:val="000000"/>
                <w:szCs w:val="22"/>
              </w:rPr>
            </w:pPr>
            <w:r>
              <w:rPr>
                <w:color w:val="000000"/>
                <w:szCs w:val="22"/>
              </w:rPr>
              <w:t>(</w:t>
            </w:r>
            <w:r w:rsidR="007B3A8D" w:rsidRPr="00DD3A12">
              <w:rPr>
                <w:color w:val="000000"/>
                <w:szCs w:val="22"/>
              </w:rPr>
              <w:t>6</w:t>
            </w:r>
            <w:r>
              <w:rPr>
                <w:color w:val="000000"/>
                <w:szCs w:val="22"/>
              </w:rPr>
              <w:t>)</w:t>
            </w:r>
          </w:p>
        </w:tc>
      </w:tr>
      <w:tr w:rsidR="004720C5" w:rsidRPr="00DD3A12" w14:paraId="77DC1849" w14:textId="77777777" w:rsidTr="00427ACA">
        <w:trPr>
          <w:trHeight w:val="276"/>
        </w:trPr>
        <w:tc>
          <w:tcPr>
            <w:tcW w:w="738" w:type="dxa"/>
            <w:tcBorders>
              <w:top w:val="single" w:sz="4" w:space="0" w:color="auto"/>
              <w:left w:val="nil"/>
              <w:bottom w:val="nil"/>
              <w:right w:val="nil"/>
            </w:tcBorders>
            <w:shd w:val="clear" w:color="auto" w:fill="auto"/>
            <w:noWrap/>
            <w:vAlign w:val="bottom"/>
            <w:hideMark/>
          </w:tcPr>
          <w:p w14:paraId="22DF1FDA" w14:textId="77777777" w:rsidR="004720C5" w:rsidRPr="00DD3A12" w:rsidRDefault="004720C5" w:rsidP="006F4A28">
            <w:pPr>
              <w:keepNext/>
              <w:keepLines/>
              <w:jc w:val="center"/>
              <w:rPr>
                <w:color w:val="000000"/>
                <w:szCs w:val="22"/>
              </w:rPr>
            </w:pPr>
          </w:p>
        </w:tc>
        <w:tc>
          <w:tcPr>
            <w:tcW w:w="1377" w:type="dxa"/>
            <w:tcBorders>
              <w:top w:val="single" w:sz="4" w:space="0" w:color="auto"/>
              <w:left w:val="nil"/>
              <w:bottom w:val="nil"/>
              <w:right w:val="nil"/>
            </w:tcBorders>
            <w:shd w:val="clear" w:color="auto" w:fill="auto"/>
            <w:noWrap/>
            <w:vAlign w:val="bottom"/>
            <w:hideMark/>
          </w:tcPr>
          <w:p w14:paraId="64D5B407" w14:textId="77777777" w:rsidR="004720C5" w:rsidRPr="00DD3A12" w:rsidRDefault="004720C5" w:rsidP="006F4A28">
            <w:pPr>
              <w:keepNext/>
              <w:keepLines/>
              <w:ind w:right="297"/>
              <w:jc w:val="right"/>
              <w:rPr>
                <w:color w:val="000000"/>
                <w:szCs w:val="22"/>
              </w:rPr>
            </w:pPr>
            <w:r w:rsidRPr="00DD3A12">
              <w:rPr>
                <w:color w:val="000000"/>
                <w:szCs w:val="22"/>
              </w:rPr>
              <w:t>100</w:t>
            </w:r>
            <w:r w:rsidR="007B3A8D" w:rsidRPr="00DD3A12">
              <w:rPr>
                <w:color w:val="000000"/>
                <w:szCs w:val="22"/>
              </w:rPr>
              <w:t>,</w:t>
            </w:r>
            <w:r w:rsidRPr="00DD3A12">
              <w:rPr>
                <w:color w:val="000000"/>
                <w:szCs w:val="22"/>
              </w:rPr>
              <w:t>000</w:t>
            </w:r>
          </w:p>
        </w:tc>
        <w:tc>
          <w:tcPr>
            <w:tcW w:w="1485" w:type="dxa"/>
            <w:tcBorders>
              <w:top w:val="single" w:sz="4" w:space="0" w:color="auto"/>
              <w:left w:val="nil"/>
              <w:bottom w:val="nil"/>
              <w:right w:val="nil"/>
            </w:tcBorders>
            <w:shd w:val="clear" w:color="auto" w:fill="auto"/>
            <w:noWrap/>
            <w:vAlign w:val="bottom"/>
            <w:hideMark/>
          </w:tcPr>
          <w:p w14:paraId="75685578" w14:textId="77777777" w:rsidR="004720C5" w:rsidRPr="00DD3A12" w:rsidRDefault="004720C5" w:rsidP="006F4A28">
            <w:pPr>
              <w:keepNext/>
              <w:keepLines/>
              <w:ind w:right="337"/>
              <w:rPr>
                <w:color w:val="000000"/>
                <w:szCs w:val="22"/>
              </w:rPr>
            </w:pPr>
          </w:p>
        </w:tc>
        <w:tc>
          <w:tcPr>
            <w:tcW w:w="1089" w:type="dxa"/>
            <w:tcBorders>
              <w:top w:val="single" w:sz="4" w:space="0" w:color="auto"/>
              <w:left w:val="nil"/>
              <w:bottom w:val="nil"/>
              <w:right w:val="nil"/>
            </w:tcBorders>
            <w:shd w:val="clear" w:color="auto" w:fill="auto"/>
            <w:noWrap/>
            <w:vAlign w:val="bottom"/>
            <w:hideMark/>
          </w:tcPr>
          <w:p w14:paraId="3EA3D022" w14:textId="77777777" w:rsidR="004720C5" w:rsidRPr="00DD3A12" w:rsidRDefault="004720C5" w:rsidP="006F4A28">
            <w:pPr>
              <w:keepNext/>
              <w:keepLines/>
              <w:rPr>
                <w:color w:val="000000"/>
                <w:szCs w:val="22"/>
              </w:rPr>
            </w:pPr>
          </w:p>
        </w:tc>
        <w:tc>
          <w:tcPr>
            <w:tcW w:w="1353" w:type="dxa"/>
            <w:tcBorders>
              <w:top w:val="single" w:sz="4" w:space="0" w:color="auto"/>
              <w:left w:val="nil"/>
              <w:bottom w:val="nil"/>
              <w:right w:val="nil"/>
            </w:tcBorders>
            <w:shd w:val="clear" w:color="auto" w:fill="auto"/>
            <w:noWrap/>
            <w:vAlign w:val="bottom"/>
            <w:hideMark/>
          </w:tcPr>
          <w:p w14:paraId="2D7485CA" w14:textId="77777777" w:rsidR="004720C5" w:rsidRPr="00DD3A12" w:rsidRDefault="004720C5" w:rsidP="006F4A28">
            <w:pPr>
              <w:keepNext/>
              <w:keepLines/>
              <w:jc w:val="center"/>
              <w:rPr>
                <w:color w:val="000000"/>
                <w:szCs w:val="22"/>
              </w:rPr>
            </w:pPr>
          </w:p>
        </w:tc>
        <w:tc>
          <w:tcPr>
            <w:tcW w:w="1878" w:type="dxa"/>
            <w:tcBorders>
              <w:top w:val="single" w:sz="4" w:space="0" w:color="auto"/>
              <w:left w:val="nil"/>
              <w:bottom w:val="nil"/>
              <w:right w:val="nil"/>
            </w:tcBorders>
            <w:shd w:val="clear" w:color="auto" w:fill="auto"/>
            <w:noWrap/>
            <w:vAlign w:val="bottom"/>
            <w:hideMark/>
          </w:tcPr>
          <w:p w14:paraId="6A3D5D43" w14:textId="77777777" w:rsidR="004720C5" w:rsidRPr="00DD3A12" w:rsidRDefault="004720C5" w:rsidP="006F4A28">
            <w:pPr>
              <w:keepNext/>
              <w:keepLines/>
              <w:jc w:val="center"/>
              <w:rPr>
                <w:color w:val="000000"/>
                <w:szCs w:val="22"/>
              </w:rPr>
            </w:pPr>
          </w:p>
        </w:tc>
        <w:tc>
          <w:tcPr>
            <w:tcW w:w="1350" w:type="dxa"/>
            <w:tcBorders>
              <w:top w:val="single" w:sz="4" w:space="0" w:color="auto"/>
              <w:left w:val="nil"/>
              <w:bottom w:val="nil"/>
              <w:right w:val="nil"/>
            </w:tcBorders>
            <w:shd w:val="clear" w:color="auto" w:fill="auto"/>
            <w:noWrap/>
            <w:vAlign w:val="bottom"/>
            <w:hideMark/>
          </w:tcPr>
          <w:p w14:paraId="4F2FCD19" w14:textId="77777777" w:rsidR="004720C5" w:rsidRPr="00DD3A12" w:rsidRDefault="004720C5" w:rsidP="006F4A28">
            <w:pPr>
              <w:keepNext/>
              <w:keepLines/>
              <w:ind w:right="252"/>
              <w:rPr>
                <w:color w:val="000000"/>
                <w:szCs w:val="22"/>
              </w:rPr>
            </w:pPr>
          </w:p>
        </w:tc>
      </w:tr>
      <w:tr w:rsidR="004720C5" w:rsidRPr="00DD3A12" w14:paraId="4890DD5F" w14:textId="77777777" w:rsidTr="007B3A8D">
        <w:trPr>
          <w:trHeight w:val="276"/>
        </w:trPr>
        <w:tc>
          <w:tcPr>
            <w:tcW w:w="738" w:type="dxa"/>
            <w:tcBorders>
              <w:top w:val="nil"/>
              <w:left w:val="nil"/>
              <w:bottom w:val="nil"/>
              <w:right w:val="nil"/>
            </w:tcBorders>
            <w:shd w:val="clear" w:color="auto" w:fill="auto"/>
            <w:noWrap/>
            <w:vAlign w:val="bottom"/>
            <w:hideMark/>
          </w:tcPr>
          <w:p w14:paraId="519CB16A" w14:textId="77777777" w:rsidR="004720C5" w:rsidRPr="00DD3A12" w:rsidRDefault="004720C5" w:rsidP="006F4A28">
            <w:pPr>
              <w:keepNext/>
              <w:keepLines/>
              <w:jc w:val="center"/>
              <w:rPr>
                <w:color w:val="000000"/>
                <w:szCs w:val="22"/>
              </w:rPr>
            </w:pPr>
            <w:r w:rsidRPr="00DD3A12">
              <w:rPr>
                <w:color w:val="000000"/>
                <w:szCs w:val="22"/>
              </w:rPr>
              <w:t>1</w:t>
            </w:r>
          </w:p>
        </w:tc>
        <w:tc>
          <w:tcPr>
            <w:tcW w:w="1377" w:type="dxa"/>
            <w:tcBorders>
              <w:top w:val="nil"/>
              <w:left w:val="nil"/>
              <w:bottom w:val="nil"/>
              <w:right w:val="nil"/>
            </w:tcBorders>
            <w:shd w:val="clear" w:color="auto" w:fill="auto"/>
            <w:noWrap/>
            <w:vAlign w:val="bottom"/>
            <w:hideMark/>
          </w:tcPr>
          <w:p w14:paraId="034F03F5" w14:textId="77777777" w:rsidR="004720C5" w:rsidRPr="00DD3A12" w:rsidRDefault="004720C5" w:rsidP="006F4A28">
            <w:pPr>
              <w:keepNext/>
              <w:keepLines/>
              <w:ind w:right="297"/>
              <w:jc w:val="right"/>
              <w:rPr>
                <w:color w:val="000000"/>
                <w:szCs w:val="22"/>
              </w:rPr>
            </w:pPr>
            <w:r w:rsidRPr="00DD3A12">
              <w:rPr>
                <w:color w:val="000000"/>
                <w:szCs w:val="22"/>
              </w:rPr>
              <w:t>90</w:t>
            </w:r>
            <w:r w:rsidR="007B3A8D" w:rsidRPr="00DD3A12">
              <w:rPr>
                <w:color w:val="000000"/>
                <w:szCs w:val="22"/>
              </w:rPr>
              <w:t>,</w:t>
            </w:r>
            <w:r w:rsidRPr="00DD3A12">
              <w:rPr>
                <w:color w:val="000000"/>
                <w:szCs w:val="22"/>
              </w:rPr>
              <w:t>909</w:t>
            </w:r>
          </w:p>
        </w:tc>
        <w:tc>
          <w:tcPr>
            <w:tcW w:w="1485" w:type="dxa"/>
            <w:tcBorders>
              <w:top w:val="nil"/>
              <w:left w:val="nil"/>
              <w:bottom w:val="nil"/>
              <w:right w:val="nil"/>
            </w:tcBorders>
            <w:shd w:val="clear" w:color="auto" w:fill="auto"/>
            <w:noWrap/>
            <w:vAlign w:val="bottom"/>
            <w:hideMark/>
          </w:tcPr>
          <w:p w14:paraId="09577652"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7B62D0A0"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18EA7ABC"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76734926"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3FCA2241"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21662F78" w14:textId="77777777" w:rsidTr="007B3A8D">
        <w:trPr>
          <w:trHeight w:val="276"/>
        </w:trPr>
        <w:tc>
          <w:tcPr>
            <w:tcW w:w="738" w:type="dxa"/>
            <w:tcBorders>
              <w:top w:val="nil"/>
              <w:left w:val="nil"/>
              <w:bottom w:val="nil"/>
              <w:right w:val="nil"/>
            </w:tcBorders>
            <w:shd w:val="clear" w:color="auto" w:fill="auto"/>
            <w:noWrap/>
            <w:vAlign w:val="bottom"/>
            <w:hideMark/>
          </w:tcPr>
          <w:p w14:paraId="78896378" w14:textId="77777777" w:rsidR="004720C5" w:rsidRPr="00DD3A12" w:rsidRDefault="004720C5" w:rsidP="006F4A28">
            <w:pPr>
              <w:keepNext/>
              <w:keepLines/>
              <w:jc w:val="center"/>
              <w:rPr>
                <w:color w:val="000000"/>
                <w:szCs w:val="22"/>
              </w:rPr>
            </w:pPr>
            <w:r w:rsidRPr="00DD3A12">
              <w:rPr>
                <w:color w:val="000000"/>
                <w:szCs w:val="22"/>
              </w:rPr>
              <w:t>2</w:t>
            </w:r>
          </w:p>
        </w:tc>
        <w:tc>
          <w:tcPr>
            <w:tcW w:w="1377" w:type="dxa"/>
            <w:tcBorders>
              <w:top w:val="nil"/>
              <w:left w:val="nil"/>
              <w:bottom w:val="nil"/>
              <w:right w:val="nil"/>
            </w:tcBorders>
            <w:shd w:val="clear" w:color="auto" w:fill="auto"/>
            <w:noWrap/>
            <w:vAlign w:val="bottom"/>
            <w:hideMark/>
          </w:tcPr>
          <w:p w14:paraId="49B9EA41" w14:textId="77777777" w:rsidR="004720C5" w:rsidRPr="00DD3A12" w:rsidRDefault="004720C5" w:rsidP="006F4A28">
            <w:pPr>
              <w:keepNext/>
              <w:keepLines/>
              <w:ind w:right="297"/>
              <w:jc w:val="right"/>
              <w:rPr>
                <w:color w:val="000000"/>
                <w:szCs w:val="22"/>
              </w:rPr>
            </w:pPr>
            <w:r w:rsidRPr="00DD3A12">
              <w:rPr>
                <w:color w:val="000000"/>
                <w:szCs w:val="22"/>
              </w:rPr>
              <w:t>81</w:t>
            </w:r>
            <w:r w:rsidR="007B3A8D" w:rsidRPr="00DD3A12">
              <w:rPr>
                <w:color w:val="000000"/>
                <w:szCs w:val="22"/>
              </w:rPr>
              <w:t>,</w:t>
            </w:r>
            <w:r w:rsidRPr="00DD3A12">
              <w:rPr>
                <w:color w:val="000000"/>
                <w:szCs w:val="22"/>
              </w:rPr>
              <w:t>818</w:t>
            </w:r>
          </w:p>
        </w:tc>
        <w:tc>
          <w:tcPr>
            <w:tcW w:w="1485" w:type="dxa"/>
            <w:tcBorders>
              <w:top w:val="nil"/>
              <w:left w:val="nil"/>
              <w:bottom w:val="nil"/>
              <w:right w:val="nil"/>
            </w:tcBorders>
            <w:shd w:val="clear" w:color="auto" w:fill="auto"/>
            <w:noWrap/>
            <w:vAlign w:val="bottom"/>
            <w:hideMark/>
          </w:tcPr>
          <w:p w14:paraId="7C5C9C99"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07F08362"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30ED0C5C"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11000363"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488E97E6"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35BFB5A8" w14:textId="77777777" w:rsidTr="007B3A8D">
        <w:trPr>
          <w:trHeight w:val="276"/>
        </w:trPr>
        <w:tc>
          <w:tcPr>
            <w:tcW w:w="738" w:type="dxa"/>
            <w:tcBorders>
              <w:top w:val="nil"/>
              <w:left w:val="nil"/>
              <w:bottom w:val="nil"/>
              <w:right w:val="nil"/>
            </w:tcBorders>
            <w:shd w:val="clear" w:color="auto" w:fill="auto"/>
            <w:noWrap/>
            <w:vAlign w:val="bottom"/>
            <w:hideMark/>
          </w:tcPr>
          <w:p w14:paraId="6837CB0F" w14:textId="77777777" w:rsidR="004720C5" w:rsidRPr="00DD3A12" w:rsidRDefault="004720C5" w:rsidP="006F4A28">
            <w:pPr>
              <w:keepNext/>
              <w:keepLines/>
              <w:jc w:val="center"/>
              <w:rPr>
                <w:color w:val="000000"/>
                <w:szCs w:val="22"/>
              </w:rPr>
            </w:pPr>
            <w:r w:rsidRPr="00DD3A12">
              <w:rPr>
                <w:color w:val="000000"/>
                <w:szCs w:val="22"/>
              </w:rPr>
              <w:t>3</w:t>
            </w:r>
          </w:p>
        </w:tc>
        <w:tc>
          <w:tcPr>
            <w:tcW w:w="1377" w:type="dxa"/>
            <w:tcBorders>
              <w:top w:val="nil"/>
              <w:left w:val="nil"/>
              <w:bottom w:val="nil"/>
              <w:right w:val="nil"/>
            </w:tcBorders>
            <w:shd w:val="clear" w:color="auto" w:fill="auto"/>
            <w:noWrap/>
            <w:vAlign w:val="bottom"/>
            <w:hideMark/>
          </w:tcPr>
          <w:p w14:paraId="3F75EEB1" w14:textId="77777777" w:rsidR="004720C5" w:rsidRPr="00DD3A12" w:rsidRDefault="004720C5" w:rsidP="006F4A28">
            <w:pPr>
              <w:keepNext/>
              <w:keepLines/>
              <w:ind w:right="297"/>
              <w:jc w:val="right"/>
              <w:rPr>
                <w:color w:val="000000"/>
                <w:szCs w:val="22"/>
              </w:rPr>
            </w:pPr>
            <w:r w:rsidRPr="00DD3A12">
              <w:rPr>
                <w:color w:val="000000"/>
                <w:szCs w:val="22"/>
              </w:rPr>
              <w:t>72</w:t>
            </w:r>
            <w:r w:rsidR="007B3A8D" w:rsidRPr="00DD3A12">
              <w:rPr>
                <w:color w:val="000000"/>
                <w:szCs w:val="22"/>
              </w:rPr>
              <w:t>,</w:t>
            </w:r>
            <w:r w:rsidRPr="00DD3A12">
              <w:rPr>
                <w:color w:val="000000"/>
                <w:szCs w:val="22"/>
              </w:rPr>
              <w:t>727</w:t>
            </w:r>
          </w:p>
        </w:tc>
        <w:tc>
          <w:tcPr>
            <w:tcW w:w="1485" w:type="dxa"/>
            <w:tcBorders>
              <w:top w:val="nil"/>
              <w:left w:val="nil"/>
              <w:bottom w:val="nil"/>
              <w:right w:val="nil"/>
            </w:tcBorders>
            <w:shd w:val="clear" w:color="auto" w:fill="auto"/>
            <w:noWrap/>
            <w:vAlign w:val="bottom"/>
            <w:hideMark/>
          </w:tcPr>
          <w:p w14:paraId="2A52D9E3"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477DAE49"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3B93F1AC"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35AB3471"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0407AE8B"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0E49FBE3" w14:textId="77777777" w:rsidTr="007B3A8D">
        <w:trPr>
          <w:trHeight w:val="276"/>
        </w:trPr>
        <w:tc>
          <w:tcPr>
            <w:tcW w:w="738" w:type="dxa"/>
            <w:tcBorders>
              <w:top w:val="nil"/>
              <w:left w:val="nil"/>
              <w:bottom w:val="nil"/>
              <w:right w:val="nil"/>
            </w:tcBorders>
            <w:shd w:val="clear" w:color="auto" w:fill="auto"/>
            <w:noWrap/>
            <w:vAlign w:val="bottom"/>
            <w:hideMark/>
          </w:tcPr>
          <w:p w14:paraId="16A8B97D" w14:textId="77777777" w:rsidR="004720C5" w:rsidRPr="00DD3A12" w:rsidRDefault="004720C5" w:rsidP="006F4A28">
            <w:pPr>
              <w:keepNext/>
              <w:keepLines/>
              <w:jc w:val="center"/>
              <w:rPr>
                <w:color w:val="000000"/>
                <w:szCs w:val="22"/>
              </w:rPr>
            </w:pPr>
            <w:r w:rsidRPr="00DD3A12">
              <w:rPr>
                <w:color w:val="000000"/>
                <w:szCs w:val="22"/>
              </w:rPr>
              <w:t>4</w:t>
            </w:r>
          </w:p>
        </w:tc>
        <w:tc>
          <w:tcPr>
            <w:tcW w:w="1377" w:type="dxa"/>
            <w:tcBorders>
              <w:top w:val="nil"/>
              <w:left w:val="nil"/>
              <w:bottom w:val="nil"/>
              <w:right w:val="nil"/>
            </w:tcBorders>
            <w:shd w:val="clear" w:color="auto" w:fill="auto"/>
            <w:noWrap/>
            <w:vAlign w:val="bottom"/>
            <w:hideMark/>
          </w:tcPr>
          <w:p w14:paraId="61E0A083" w14:textId="77777777" w:rsidR="004720C5" w:rsidRPr="00DD3A12" w:rsidRDefault="004720C5" w:rsidP="006F4A28">
            <w:pPr>
              <w:keepNext/>
              <w:keepLines/>
              <w:ind w:right="297"/>
              <w:jc w:val="right"/>
              <w:rPr>
                <w:color w:val="000000"/>
                <w:szCs w:val="22"/>
              </w:rPr>
            </w:pPr>
            <w:r w:rsidRPr="00DD3A12">
              <w:rPr>
                <w:color w:val="000000"/>
                <w:szCs w:val="22"/>
              </w:rPr>
              <w:t>63</w:t>
            </w:r>
            <w:r w:rsidR="007B3A8D" w:rsidRPr="00DD3A12">
              <w:rPr>
                <w:color w:val="000000"/>
                <w:szCs w:val="22"/>
              </w:rPr>
              <w:t>,</w:t>
            </w:r>
            <w:r w:rsidRPr="00DD3A12">
              <w:rPr>
                <w:color w:val="000000"/>
                <w:szCs w:val="22"/>
              </w:rPr>
              <w:t>636</w:t>
            </w:r>
          </w:p>
        </w:tc>
        <w:tc>
          <w:tcPr>
            <w:tcW w:w="1485" w:type="dxa"/>
            <w:tcBorders>
              <w:top w:val="nil"/>
              <w:left w:val="nil"/>
              <w:bottom w:val="nil"/>
              <w:right w:val="nil"/>
            </w:tcBorders>
            <w:shd w:val="clear" w:color="auto" w:fill="auto"/>
            <w:noWrap/>
            <w:vAlign w:val="bottom"/>
            <w:hideMark/>
          </w:tcPr>
          <w:p w14:paraId="017AB2F6"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5B303406"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6348ADE9"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76449FE1"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41B66B95"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3D09827D" w14:textId="77777777" w:rsidTr="007B3A8D">
        <w:trPr>
          <w:trHeight w:val="276"/>
        </w:trPr>
        <w:tc>
          <w:tcPr>
            <w:tcW w:w="738" w:type="dxa"/>
            <w:tcBorders>
              <w:top w:val="nil"/>
              <w:left w:val="nil"/>
              <w:bottom w:val="nil"/>
              <w:right w:val="nil"/>
            </w:tcBorders>
            <w:shd w:val="clear" w:color="auto" w:fill="auto"/>
            <w:noWrap/>
            <w:vAlign w:val="bottom"/>
            <w:hideMark/>
          </w:tcPr>
          <w:p w14:paraId="4750F540" w14:textId="77777777" w:rsidR="004720C5" w:rsidRPr="00DD3A12" w:rsidRDefault="004720C5" w:rsidP="006F4A28">
            <w:pPr>
              <w:keepNext/>
              <w:keepLines/>
              <w:jc w:val="center"/>
              <w:rPr>
                <w:color w:val="000000"/>
                <w:szCs w:val="22"/>
              </w:rPr>
            </w:pPr>
            <w:r w:rsidRPr="00DD3A12">
              <w:rPr>
                <w:color w:val="000000"/>
                <w:szCs w:val="22"/>
              </w:rPr>
              <w:t>5</w:t>
            </w:r>
          </w:p>
        </w:tc>
        <w:tc>
          <w:tcPr>
            <w:tcW w:w="1377" w:type="dxa"/>
            <w:tcBorders>
              <w:top w:val="nil"/>
              <w:left w:val="nil"/>
              <w:bottom w:val="nil"/>
              <w:right w:val="nil"/>
            </w:tcBorders>
            <w:shd w:val="clear" w:color="auto" w:fill="auto"/>
            <w:noWrap/>
            <w:vAlign w:val="bottom"/>
            <w:hideMark/>
          </w:tcPr>
          <w:p w14:paraId="07DD8486" w14:textId="77777777" w:rsidR="004720C5" w:rsidRPr="00DD3A12" w:rsidRDefault="004720C5" w:rsidP="006F4A28">
            <w:pPr>
              <w:keepNext/>
              <w:keepLines/>
              <w:ind w:right="297"/>
              <w:jc w:val="right"/>
              <w:rPr>
                <w:color w:val="000000"/>
                <w:szCs w:val="22"/>
              </w:rPr>
            </w:pPr>
            <w:r w:rsidRPr="00DD3A12">
              <w:rPr>
                <w:color w:val="000000"/>
                <w:szCs w:val="22"/>
              </w:rPr>
              <w:t>54</w:t>
            </w:r>
            <w:r w:rsidR="007B3A8D" w:rsidRPr="00DD3A12">
              <w:rPr>
                <w:color w:val="000000"/>
                <w:szCs w:val="22"/>
              </w:rPr>
              <w:t>,</w:t>
            </w:r>
            <w:r w:rsidRPr="00DD3A12">
              <w:rPr>
                <w:color w:val="000000"/>
                <w:szCs w:val="22"/>
              </w:rPr>
              <w:t>545</w:t>
            </w:r>
          </w:p>
        </w:tc>
        <w:tc>
          <w:tcPr>
            <w:tcW w:w="1485" w:type="dxa"/>
            <w:tcBorders>
              <w:top w:val="nil"/>
              <w:left w:val="nil"/>
              <w:bottom w:val="nil"/>
              <w:right w:val="nil"/>
            </w:tcBorders>
            <w:shd w:val="clear" w:color="auto" w:fill="auto"/>
            <w:noWrap/>
            <w:vAlign w:val="bottom"/>
            <w:hideMark/>
          </w:tcPr>
          <w:p w14:paraId="5831CE36"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09C0DD0A"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46EC7FEE"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79F4A93F"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3A0DC348"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78BBEA72" w14:textId="77777777" w:rsidTr="007B3A8D">
        <w:trPr>
          <w:trHeight w:val="276"/>
        </w:trPr>
        <w:tc>
          <w:tcPr>
            <w:tcW w:w="738" w:type="dxa"/>
            <w:tcBorders>
              <w:top w:val="nil"/>
              <w:left w:val="nil"/>
              <w:bottom w:val="nil"/>
              <w:right w:val="nil"/>
            </w:tcBorders>
            <w:shd w:val="clear" w:color="auto" w:fill="auto"/>
            <w:noWrap/>
            <w:vAlign w:val="bottom"/>
            <w:hideMark/>
          </w:tcPr>
          <w:p w14:paraId="30DFCD61" w14:textId="77777777" w:rsidR="004720C5" w:rsidRPr="00DD3A12" w:rsidRDefault="004720C5" w:rsidP="006F4A28">
            <w:pPr>
              <w:keepNext/>
              <w:keepLines/>
              <w:jc w:val="center"/>
              <w:rPr>
                <w:color w:val="000000"/>
                <w:szCs w:val="22"/>
              </w:rPr>
            </w:pPr>
            <w:r w:rsidRPr="00DD3A12">
              <w:rPr>
                <w:color w:val="000000"/>
                <w:szCs w:val="22"/>
              </w:rPr>
              <w:t>6</w:t>
            </w:r>
          </w:p>
        </w:tc>
        <w:tc>
          <w:tcPr>
            <w:tcW w:w="1377" w:type="dxa"/>
            <w:tcBorders>
              <w:top w:val="nil"/>
              <w:left w:val="nil"/>
              <w:bottom w:val="nil"/>
              <w:right w:val="nil"/>
            </w:tcBorders>
            <w:shd w:val="clear" w:color="auto" w:fill="auto"/>
            <w:noWrap/>
            <w:vAlign w:val="bottom"/>
            <w:hideMark/>
          </w:tcPr>
          <w:p w14:paraId="14D6BF28" w14:textId="77777777" w:rsidR="004720C5" w:rsidRPr="00DD3A12" w:rsidRDefault="004720C5" w:rsidP="006F4A28">
            <w:pPr>
              <w:keepNext/>
              <w:keepLines/>
              <w:ind w:right="297"/>
              <w:jc w:val="right"/>
              <w:rPr>
                <w:color w:val="000000"/>
                <w:szCs w:val="22"/>
              </w:rPr>
            </w:pPr>
            <w:r w:rsidRPr="00DD3A12">
              <w:rPr>
                <w:color w:val="000000"/>
                <w:szCs w:val="22"/>
              </w:rPr>
              <w:t>45</w:t>
            </w:r>
            <w:r w:rsidR="007B3A8D" w:rsidRPr="00DD3A12">
              <w:rPr>
                <w:color w:val="000000"/>
                <w:szCs w:val="22"/>
              </w:rPr>
              <w:t>,</w:t>
            </w:r>
            <w:r w:rsidRPr="00DD3A12">
              <w:rPr>
                <w:color w:val="000000"/>
                <w:szCs w:val="22"/>
              </w:rPr>
              <w:t>454</w:t>
            </w:r>
          </w:p>
        </w:tc>
        <w:tc>
          <w:tcPr>
            <w:tcW w:w="1485" w:type="dxa"/>
            <w:tcBorders>
              <w:top w:val="nil"/>
              <w:left w:val="nil"/>
              <w:bottom w:val="nil"/>
              <w:right w:val="nil"/>
            </w:tcBorders>
            <w:shd w:val="clear" w:color="auto" w:fill="auto"/>
            <w:noWrap/>
            <w:vAlign w:val="bottom"/>
            <w:hideMark/>
          </w:tcPr>
          <w:p w14:paraId="0D702EDC"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23C272C8"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75BA39B8"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04454A99"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714B81B5"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0F567A79" w14:textId="77777777" w:rsidTr="007B3A8D">
        <w:trPr>
          <w:trHeight w:val="276"/>
        </w:trPr>
        <w:tc>
          <w:tcPr>
            <w:tcW w:w="738" w:type="dxa"/>
            <w:tcBorders>
              <w:top w:val="nil"/>
              <w:left w:val="nil"/>
              <w:bottom w:val="nil"/>
              <w:right w:val="nil"/>
            </w:tcBorders>
            <w:shd w:val="clear" w:color="auto" w:fill="auto"/>
            <w:noWrap/>
            <w:vAlign w:val="bottom"/>
            <w:hideMark/>
          </w:tcPr>
          <w:p w14:paraId="5C1E149E" w14:textId="77777777" w:rsidR="004720C5" w:rsidRPr="00DD3A12" w:rsidRDefault="004720C5" w:rsidP="006F4A28">
            <w:pPr>
              <w:keepNext/>
              <w:keepLines/>
              <w:jc w:val="center"/>
              <w:rPr>
                <w:color w:val="000000"/>
                <w:szCs w:val="22"/>
              </w:rPr>
            </w:pPr>
            <w:r w:rsidRPr="00DD3A12">
              <w:rPr>
                <w:color w:val="000000"/>
                <w:szCs w:val="22"/>
              </w:rPr>
              <w:t>7</w:t>
            </w:r>
          </w:p>
        </w:tc>
        <w:tc>
          <w:tcPr>
            <w:tcW w:w="1377" w:type="dxa"/>
            <w:tcBorders>
              <w:top w:val="nil"/>
              <w:left w:val="nil"/>
              <w:bottom w:val="nil"/>
              <w:right w:val="nil"/>
            </w:tcBorders>
            <w:shd w:val="clear" w:color="auto" w:fill="auto"/>
            <w:noWrap/>
            <w:vAlign w:val="bottom"/>
            <w:hideMark/>
          </w:tcPr>
          <w:p w14:paraId="0909DF52" w14:textId="77777777" w:rsidR="004720C5" w:rsidRPr="00DD3A12" w:rsidRDefault="004720C5" w:rsidP="006F4A28">
            <w:pPr>
              <w:keepNext/>
              <w:keepLines/>
              <w:ind w:right="297"/>
              <w:jc w:val="right"/>
              <w:rPr>
                <w:color w:val="000000"/>
                <w:szCs w:val="22"/>
              </w:rPr>
            </w:pPr>
            <w:r w:rsidRPr="00DD3A12">
              <w:rPr>
                <w:color w:val="000000"/>
                <w:szCs w:val="22"/>
              </w:rPr>
              <w:t>36</w:t>
            </w:r>
            <w:r w:rsidR="007B3A8D" w:rsidRPr="00DD3A12">
              <w:rPr>
                <w:color w:val="000000"/>
                <w:szCs w:val="22"/>
              </w:rPr>
              <w:t>,</w:t>
            </w:r>
            <w:r w:rsidRPr="00DD3A12">
              <w:rPr>
                <w:color w:val="000000"/>
                <w:szCs w:val="22"/>
              </w:rPr>
              <w:t>363</w:t>
            </w:r>
          </w:p>
        </w:tc>
        <w:tc>
          <w:tcPr>
            <w:tcW w:w="1485" w:type="dxa"/>
            <w:tcBorders>
              <w:top w:val="nil"/>
              <w:left w:val="nil"/>
              <w:bottom w:val="nil"/>
              <w:right w:val="nil"/>
            </w:tcBorders>
            <w:shd w:val="clear" w:color="auto" w:fill="auto"/>
            <w:noWrap/>
            <w:vAlign w:val="bottom"/>
            <w:hideMark/>
          </w:tcPr>
          <w:p w14:paraId="5AC9122C"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6ECB0377"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7D50D221"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209A3D64"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5831F37A"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615F85A8" w14:textId="77777777" w:rsidTr="007B3A8D">
        <w:trPr>
          <w:trHeight w:val="276"/>
        </w:trPr>
        <w:tc>
          <w:tcPr>
            <w:tcW w:w="738" w:type="dxa"/>
            <w:tcBorders>
              <w:top w:val="nil"/>
              <w:left w:val="nil"/>
              <w:bottom w:val="nil"/>
              <w:right w:val="nil"/>
            </w:tcBorders>
            <w:shd w:val="clear" w:color="auto" w:fill="auto"/>
            <w:noWrap/>
            <w:vAlign w:val="bottom"/>
            <w:hideMark/>
          </w:tcPr>
          <w:p w14:paraId="03A51DB2" w14:textId="77777777" w:rsidR="004720C5" w:rsidRPr="00DD3A12" w:rsidRDefault="004720C5" w:rsidP="006F4A28">
            <w:pPr>
              <w:keepNext/>
              <w:keepLines/>
              <w:jc w:val="center"/>
              <w:rPr>
                <w:color w:val="000000"/>
                <w:szCs w:val="22"/>
              </w:rPr>
            </w:pPr>
            <w:r w:rsidRPr="00DD3A12">
              <w:rPr>
                <w:color w:val="000000"/>
                <w:szCs w:val="22"/>
              </w:rPr>
              <w:t>8</w:t>
            </w:r>
          </w:p>
        </w:tc>
        <w:tc>
          <w:tcPr>
            <w:tcW w:w="1377" w:type="dxa"/>
            <w:tcBorders>
              <w:top w:val="nil"/>
              <w:left w:val="nil"/>
              <w:bottom w:val="nil"/>
              <w:right w:val="nil"/>
            </w:tcBorders>
            <w:shd w:val="clear" w:color="auto" w:fill="auto"/>
            <w:noWrap/>
            <w:vAlign w:val="bottom"/>
            <w:hideMark/>
          </w:tcPr>
          <w:p w14:paraId="7070EFCE" w14:textId="77777777" w:rsidR="004720C5" w:rsidRPr="00DD3A12" w:rsidRDefault="004720C5" w:rsidP="006F4A28">
            <w:pPr>
              <w:keepNext/>
              <w:keepLines/>
              <w:ind w:right="297"/>
              <w:jc w:val="right"/>
              <w:rPr>
                <w:color w:val="000000"/>
                <w:szCs w:val="22"/>
              </w:rPr>
            </w:pPr>
            <w:r w:rsidRPr="00DD3A12">
              <w:rPr>
                <w:color w:val="000000"/>
                <w:szCs w:val="22"/>
              </w:rPr>
              <w:t>27</w:t>
            </w:r>
            <w:r w:rsidR="007B3A8D" w:rsidRPr="00DD3A12">
              <w:rPr>
                <w:color w:val="000000"/>
                <w:szCs w:val="22"/>
              </w:rPr>
              <w:t>,</w:t>
            </w:r>
            <w:r w:rsidRPr="00DD3A12">
              <w:rPr>
                <w:color w:val="000000"/>
                <w:szCs w:val="22"/>
              </w:rPr>
              <w:t>272</w:t>
            </w:r>
          </w:p>
        </w:tc>
        <w:tc>
          <w:tcPr>
            <w:tcW w:w="1485" w:type="dxa"/>
            <w:tcBorders>
              <w:top w:val="nil"/>
              <w:left w:val="nil"/>
              <w:bottom w:val="nil"/>
              <w:right w:val="nil"/>
            </w:tcBorders>
            <w:shd w:val="clear" w:color="auto" w:fill="auto"/>
            <w:noWrap/>
            <w:vAlign w:val="bottom"/>
            <w:hideMark/>
          </w:tcPr>
          <w:p w14:paraId="37ACB03E"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76F1FE7B"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3CBCAB38"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2D016AF9"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2A718DF4"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392F556E" w14:textId="77777777" w:rsidTr="007B3A8D">
        <w:trPr>
          <w:trHeight w:val="276"/>
        </w:trPr>
        <w:tc>
          <w:tcPr>
            <w:tcW w:w="738" w:type="dxa"/>
            <w:tcBorders>
              <w:top w:val="nil"/>
              <w:left w:val="nil"/>
              <w:bottom w:val="nil"/>
              <w:right w:val="nil"/>
            </w:tcBorders>
            <w:shd w:val="clear" w:color="auto" w:fill="auto"/>
            <w:noWrap/>
            <w:vAlign w:val="bottom"/>
            <w:hideMark/>
          </w:tcPr>
          <w:p w14:paraId="28976AD4" w14:textId="77777777" w:rsidR="004720C5" w:rsidRPr="00DD3A12" w:rsidRDefault="004720C5" w:rsidP="006F4A28">
            <w:pPr>
              <w:keepNext/>
              <w:keepLines/>
              <w:jc w:val="center"/>
              <w:rPr>
                <w:color w:val="000000"/>
                <w:szCs w:val="22"/>
              </w:rPr>
            </w:pPr>
            <w:r w:rsidRPr="00DD3A12">
              <w:rPr>
                <w:color w:val="000000"/>
                <w:szCs w:val="22"/>
              </w:rPr>
              <w:t>9</w:t>
            </w:r>
          </w:p>
        </w:tc>
        <w:tc>
          <w:tcPr>
            <w:tcW w:w="1377" w:type="dxa"/>
            <w:tcBorders>
              <w:top w:val="nil"/>
              <w:left w:val="nil"/>
              <w:bottom w:val="nil"/>
              <w:right w:val="nil"/>
            </w:tcBorders>
            <w:shd w:val="clear" w:color="auto" w:fill="auto"/>
            <w:noWrap/>
            <w:vAlign w:val="bottom"/>
            <w:hideMark/>
          </w:tcPr>
          <w:p w14:paraId="53EA16F7" w14:textId="77777777" w:rsidR="004720C5" w:rsidRPr="00DD3A12" w:rsidRDefault="004720C5" w:rsidP="006F4A28">
            <w:pPr>
              <w:keepNext/>
              <w:keepLines/>
              <w:ind w:right="297"/>
              <w:jc w:val="right"/>
              <w:rPr>
                <w:color w:val="000000"/>
                <w:szCs w:val="22"/>
              </w:rPr>
            </w:pPr>
            <w:r w:rsidRPr="00DD3A12">
              <w:rPr>
                <w:color w:val="000000"/>
                <w:szCs w:val="22"/>
              </w:rPr>
              <w:t>18</w:t>
            </w:r>
            <w:r w:rsidR="007B3A8D" w:rsidRPr="00DD3A12">
              <w:rPr>
                <w:color w:val="000000"/>
                <w:szCs w:val="22"/>
              </w:rPr>
              <w:t>,</w:t>
            </w:r>
            <w:r w:rsidRPr="00DD3A12">
              <w:rPr>
                <w:color w:val="000000"/>
                <w:szCs w:val="22"/>
              </w:rPr>
              <w:t>181</w:t>
            </w:r>
          </w:p>
        </w:tc>
        <w:tc>
          <w:tcPr>
            <w:tcW w:w="1485" w:type="dxa"/>
            <w:tcBorders>
              <w:top w:val="nil"/>
              <w:left w:val="nil"/>
              <w:bottom w:val="nil"/>
              <w:right w:val="nil"/>
            </w:tcBorders>
            <w:shd w:val="clear" w:color="auto" w:fill="auto"/>
            <w:noWrap/>
            <w:vAlign w:val="bottom"/>
            <w:hideMark/>
          </w:tcPr>
          <w:p w14:paraId="567FD44D"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01006E42"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08929D1E"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7BA231C8"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185CBF9B"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2456D24D" w14:textId="77777777" w:rsidTr="007B3A8D">
        <w:trPr>
          <w:trHeight w:val="276"/>
        </w:trPr>
        <w:tc>
          <w:tcPr>
            <w:tcW w:w="738" w:type="dxa"/>
            <w:tcBorders>
              <w:top w:val="nil"/>
              <w:left w:val="nil"/>
              <w:bottom w:val="nil"/>
              <w:right w:val="nil"/>
            </w:tcBorders>
            <w:shd w:val="clear" w:color="auto" w:fill="auto"/>
            <w:noWrap/>
            <w:vAlign w:val="bottom"/>
            <w:hideMark/>
          </w:tcPr>
          <w:p w14:paraId="67ED38AC" w14:textId="77777777" w:rsidR="004720C5" w:rsidRPr="00DD3A12" w:rsidRDefault="004720C5" w:rsidP="006F4A28">
            <w:pPr>
              <w:keepNext/>
              <w:keepLines/>
              <w:jc w:val="center"/>
              <w:rPr>
                <w:color w:val="000000"/>
                <w:szCs w:val="22"/>
              </w:rPr>
            </w:pPr>
            <w:r w:rsidRPr="00DD3A12">
              <w:rPr>
                <w:color w:val="000000"/>
                <w:szCs w:val="22"/>
              </w:rPr>
              <w:t>10</w:t>
            </w:r>
          </w:p>
        </w:tc>
        <w:tc>
          <w:tcPr>
            <w:tcW w:w="1377" w:type="dxa"/>
            <w:tcBorders>
              <w:top w:val="nil"/>
              <w:left w:val="nil"/>
              <w:bottom w:val="nil"/>
              <w:right w:val="nil"/>
            </w:tcBorders>
            <w:shd w:val="clear" w:color="auto" w:fill="auto"/>
            <w:noWrap/>
            <w:vAlign w:val="bottom"/>
            <w:hideMark/>
          </w:tcPr>
          <w:p w14:paraId="12A404EA" w14:textId="77777777" w:rsidR="004720C5" w:rsidRPr="00DD3A12" w:rsidRDefault="004720C5" w:rsidP="006F4A28">
            <w:pPr>
              <w:keepNext/>
              <w:keepLines/>
              <w:ind w:right="297"/>
              <w:jc w:val="right"/>
              <w:rPr>
                <w:color w:val="000000"/>
                <w:szCs w:val="22"/>
              </w:rPr>
            </w:pPr>
            <w:r w:rsidRPr="00DD3A12">
              <w:rPr>
                <w:color w:val="000000"/>
                <w:szCs w:val="22"/>
              </w:rPr>
              <w:t>9</w:t>
            </w:r>
            <w:r w:rsidR="007B3A8D" w:rsidRPr="00DD3A12">
              <w:rPr>
                <w:color w:val="000000"/>
                <w:szCs w:val="22"/>
              </w:rPr>
              <w:t>,</w:t>
            </w:r>
            <w:r w:rsidRPr="00DD3A12">
              <w:rPr>
                <w:color w:val="000000"/>
                <w:szCs w:val="22"/>
              </w:rPr>
              <w:t>090</w:t>
            </w:r>
          </w:p>
        </w:tc>
        <w:tc>
          <w:tcPr>
            <w:tcW w:w="1485" w:type="dxa"/>
            <w:tcBorders>
              <w:top w:val="nil"/>
              <w:left w:val="nil"/>
              <w:bottom w:val="nil"/>
              <w:right w:val="nil"/>
            </w:tcBorders>
            <w:shd w:val="clear" w:color="auto" w:fill="auto"/>
            <w:noWrap/>
            <w:vAlign w:val="bottom"/>
            <w:hideMark/>
          </w:tcPr>
          <w:p w14:paraId="395D4419" w14:textId="77777777" w:rsidR="004720C5" w:rsidRPr="00DD3A12" w:rsidRDefault="004720C5" w:rsidP="006F4A28">
            <w:pPr>
              <w:keepNext/>
              <w:keepLines/>
              <w:jc w:val="center"/>
              <w:rPr>
                <w:color w:val="000000"/>
                <w:szCs w:val="22"/>
              </w:rPr>
            </w:pPr>
            <w:r w:rsidRPr="00DD3A12">
              <w:rPr>
                <w:color w:val="000000"/>
                <w:szCs w:val="22"/>
              </w:rPr>
              <w:t>9</w:t>
            </w:r>
            <w:r w:rsidR="007B3A8D" w:rsidRPr="00DD3A12">
              <w:rPr>
                <w:color w:val="000000"/>
                <w:szCs w:val="22"/>
              </w:rPr>
              <w:t>,</w:t>
            </w:r>
            <w:r w:rsidRPr="00DD3A12">
              <w:rPr>
                <w:color w:val="000000"/>
                <w:szCs w:val="22"/>
              </w:rPr>
              <w:t>091</w:t>
            </w:r>
          </w:p>
        </w:tc>
        <w:tc>
          <w:tcPr>
            <w:tcW w:w="1089" w:type="dxa"/>
            <w:tcBorders>
              <w:top w:val="nil"/>
              <w:left w:val="nil"/>
              <w:bottom w:val="nil"/>
              <w:right w:val="nil"/>
            </w:tcBorders>
            <w:shd w:val="clear" w:color="auto" w:fill="auto"/>
            <w:noWrap/>
            <w:tcMar>
              <w:left w:w="360" w:type="dxa"/>
              <w:right w:w="115" w:type="dxa"/>
            </w:tcMar>
            <w:vAlign w:val="bottom"/>
            <w:hideMark/>
          </w:tcPr>
          <w:p w14:paraId="4A0A4AAC" w14:textId="77777777" w:rsidR="004720C5" w:rsidRPr="00DD3A12" w:rsidRDefault="004720C5" w:rsidP="006F4A28">
            <w:pPr>
              <w:keepNext/>
              <w:keepLines/>
              <w:rPr>
                <w:color w:val="000000"/>
                <w:szCs w:val="22"/>
              </w:rPr>
            </w:pPr>
            <w:r w:rsidRPr="00DD3A12">
              <w:rPr>
                <w:color w:val="000000"/>
                <w:szCs w:val="22"/>
              </w:rPr>
              <w:t>8</w:t>
            </w:r>
            <w:r w:rsidR="007B3A8D" w:rsidRPr="00DD3A12">
              <w:rPr>
                <w:color w:val="000000"/>
                <w:szCs w:val="22"/>
              </w:rPr>
              <w:t>,</w:t>
            </w:r>
            <w:r w:rsidRPr="00DD3A12">
              <w:rPr>
                <w:color w:val="000000"/>
                <w:szCs w:val="22"/>
              </w:rPr>
              <w:t>000</w:t>
            </w:r>
          </w:p>
        </w:tc>
        <w:tc>
          <w:tcPr>
            <w:tcW w:w="1353" w:type="dxa"/>
            <w:tcBorders>
              <w:top w:val="nil"/>
              <w:left w:val="nil"/>
              <w:bottom w:val="nil"/>
              <w:right w:val="nil"/>
            </w:tcBorders>
            <w:shd w:val="clear" w:color="auto" w:fill="auto"/>
            <w:noWrap/>
            <w:vAlign w:val="bottom"/>
            <w:hideMark/>
          </w:tcPr>
          <w:p w14:paraId="07DF8F4A"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2688C574"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680BB620" w14:textId="77777777" w:rsidR="004720C5" w:rsidRPr="00DD3A12" w:rsidRDefault="004720C5" w:rsidP="006F4A28">
            <w:pPr>
              <w:keepNext/>
              <w:keepLines/>
              <w:ind w:right="252"/>
              <w:jc w:val="right"/>
              <w:rPr>
                <w:color w:val="000000"/>
                <w:szCs w:val="22"/>
              </w:rPr>
            </w:pPr>
            <w:r w:rsidRPr="00DD3A12">
              <w:rPr>
                <w:color w:val="000000"/>
                <w:szCs w:val="22"/>
              </w:rPr>
              <w:t>10</w:t>
            </w:r>
            <w:r w:rsidR="007B3A8D" w:rsidRPr="00DD3A12">
              <w:rPr>
                <w:color w:val="000000"/>
                <w:szCs w:val="22"/>
              </w:rPr>
              <w:t>,</w:t>
            </w:r>
            <w:r w:rsidRPr="00DD3A12">
              <w:rPr>
                <w:color w:val="000000"/>
                <w:szCs w:val="22"/>
              </w:rPr>
              <w:t>909</w:t>
            </w:r>
          </w:p>
        </w:tc>
      </w:tr>
      <w:tr w:rsidR="004720C5" w:rsidRPr="00DD3A12" w14:paraId="32C0D63C" w14:textId="77777777" w:rsidTr="007B3A8D">
        <w:trPr>
          <w:trHeight w:val="276"/>
        </w:trPr>
        <w:tc>
          <w:tcPr>
            <w:tcW w:w="738" w:type="dxa"/>
            <w:tcBorders>
              <w:top w:val="nil"/>
              <w:left w:val="nil"/>
              <w:bottom w:val="nil"/>
              <w:right w:val="nil"/>
            </w:tcBorders>
            <w:shd w:val="clear" w:color="auto" w:fill="auto"/>
            <w:noWrap/>
            <w:vAlign w:val="bottom"/>
            <w:hideMark/>
          </w:tcPr>
          <w:p w14:paraId="31CEA44C" w14:textId="77777777" w:rsidR="004720C5" w:rsidRPr="00DD3A12" w:rsidRDefault="004720C5" w:rsidP="006F4A28">
            <w:pPr>
              <w:keepNext/>
              <w:keepLines/>
              <w:jc w:val="center"/>
              <w:rPr>
                <w:color w:val="000000"/>
                <w:szCs w:val="22"/>
              </w:rPr>
            </w:pPr>
            <w:r w:rsidRPr="00DD3A12">
              <w:rPr>
                <w:color w:val="000000"/>
                <w:szCs w:val="22"/>
              </w:rPr>
              <w:t>11</w:t>
            </w:r>
          </w:p>
        </w:tc>
        <w:tc>
          <w:tcPr>
            <w:tcW w:w="1377" w:type="dxa"/>
            <w:tcBorders>
              <w:top w:val="nil"/>
              <w:left w:val="nil"/>
              <w:bottom w:val="nil"/>
              <w:right w:val="nil"/>
            </w:tcBorders>
            <w:shd w:val="clear" w:color="auto" w:fill="auto"/>
            <w:noWrap/>
            <w:vAlign w:val="bottom"/>
            <w:hideMark/>
          </w:tcPr>
          <w:p w14:paraId="5F81C6A8" w14:textId="77777777" w:rsidR="004720C5" w:rsidRPr="00DD3A12" w:rsidRDefault="004720C5" w:rsidP="006F4A28">
            <w:pPr>
              <w:keepNext/>
              <w:keepLines/>
              <w:ind w:right="297"/>
              <w:jc w:val="right"/>
              <w:rPr>
                <w:color w:val="000000"/>
                <w:szCs w:val="22"/>
              </w:rPr>
            </w:pPr>
            <w:r w:rsidRPr="00DD3A12">
              <w:rPr>
                <w:color w:val="000000"/>
                <w:szCs w:val="22"/>
              </w:rPr>
              <w:t>6</w:t>
            </w:r>
            <w:r w:rsidR="007B3A8D" w:rsidRPr="00DD3A12">
              <w:rPr>
                <w:color w:val="000000"/>
                <w:szCs w:val="22"/>
              </w:rPr>
              <w:t>,</w:t>
            </w:r>
            <w:r w:rsidRPr="00DD3A12">
              <w:rPr>
                <w:color w:val="000000"/>
                <w:szCs w:val="22"/>
              </w:rPr>
              <w:t>666</w:t>
            </w:r>
          </w:p>
        </w:tc>
        <w:tc>
          <w:tcPr>
            <w:tcW w:w="1485" w:type="dxa"/>
            <w:tcBorders>
              <w:top w:val="nil"/>
              <w:left w:val="nil"/>
              <w:bottom w:val="nil"/>
              <w:right w:val="nil"/>
            </w:tcBorders>
            <w:shd w:val="clear" w:color="auto" w:fill="auto"/>
            <w:noWrap/>
            <w:vAlign w:val="bottom"/>
            <w:hideMark/>
          </w:tcPr>
          <w:p w14:paraId="10AF0D13"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424</w:t>
            </w:r>
          </w:p>
        </w:tc>
        <w:tc>
          <w:tcPr>
            <w:tcW w:w="1089" w:type="dxa"/>
            <w:tcBorders>
              <w:top w:val="nil"/>
              <w:left w:val="nil"/>
              <w:bottom w:val="nil"/>
              <w:right w:val="nil"/>
            </w:tcBorders>
            <w:shd w:val="clear" w:color="auto" w:fill="auto"/>
            <w:noWrap/>
            <w:tcMar>
              <w:left w:w="360" w:type="dxa"/>
              <w:right w:w="115" w:type="dxa"/>
            </w:tcMar>
            <w:vAlign w:val="bottom"/>
            <w:hideMark/>
          </w:tcPr>
          <w:p w14:paraId="269556EA" w14:textId="77777777" w:rsidR="004720C5" w:rsidRPr="00DD3A12" w:rsidRDefault="004720C5" w:rsidP="006F4A28">
            <w:pPr>
              <w:keepNext/>
              <w:keepLines/>
              <w:rPr>
                <w:color w:val="000000"/>
                <w:szCs w:val="22"/>
              </w:rPr>
            </w:pPr>
          </w:p>
        </w:tc>
        <w:tc>
          <w:tcPr>
            <w:tcW w:w="1353" w:type="dxa"/>
            <w:tcBorders>
              <w:top w:val="nil"/>
              <w:left w:val="nil"/>
              <w:bottom w:val="nil"/>
              <w:right w:val="nil"/>
            </w:tcBorders>
            <w:shd w:val="clear" w:color="auto" w:fill="auto"/>
            <w:noWrap/>
            <w:vAlign w:val="bottom"/>
            <w:hideMark/>
          </w:tcPr>
          <w:p w14:paraId="4A340DA6"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49FC6D73"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73FFADF0" w14:textId="77777777" w:rsidR="004720C5" w:rsidRPr="00DD3A12" w:rsidRDefault="004720C5" w:rsidP="006F4A28">
            <w:pPr>
              <w:keepNext/>
              <w:keepLines/>
              <w:ind w:right="252"/>
              <w:jc w:val="right"/>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r>
      <w:tr w:rsidR="004720C5" w:rsidRPr="00DD3A12" w14:paraId="4F43E478" w14:textId="77777777" w:rsidTr="007B3A8D">
        <w:trPr>
          <w:trHeight w:val="276"/>
        </w:trPr>
        <w:tc>
          <w:tcPr>
            <w:tcW w:w="738" w:type="dxa"/>
            <w:tcBorders>
              <w:top w:val="nil"/>
              <w:left w:val="nil"/>
              <w:bottom w:val="nil"/>
              <w:right w:val="nil"/>
            </w:tcBorders>
            <w:shd w:val="clear" w:color="auto" w:fill="auto"/>
            <w:noWrap/>
            <w:vAlign w:val="bottom"/>
            <w:hideMark/>
          </w:tcPr>
          <w:p w14:paraId="2AE793FD" w14:textId="77777777" w:rsidR="004720C5" w:rsidRPr="00DD3A12" w:rsidRDefault="004720C5" w:rsidP="006F4A28">
            <w:pPr>
              <w:keepNext/>
              <w:keepLines/>
              <w:jc w:val="center"/>
              <w:rPr>
                <w:color w:val="000000"/>
                <w:szCs w:val="22"/>
              </w:rPr>
            </w:pPr>
            <w:r w:rsidRPr="00DD3A12">
              <w:rPr>
                <w:color w:val="000000"/>
                <w:szCs w:val="22"/>
              </w:rPr>
              <w:t>12</w:t>
            </w:r>
          </w:p>
        </w:tc>
        <w:tc>
          <w:tcPr>
            <w:tcW w:w="1377" w:type="dxa"/>
            <w:tcBorders>
              <w:top w:val="nil"/>
              <w:left w:val="nil"/>
              <w:bottom w:val="nil"/>
              <w:right w:val="nil"/>
            </w:tcBorders>
            <w:shd w:val="clear" w:color="auto" w:fill="auto"/>
            <w:noWrap/>
            <w:vAlign w:val="bottom"/>
            <w:hideMark/>
          </w:tcPr>
          <w:p w14:paraId="112522BC" w14:textId="77777777" w:rsidR="004720C5" w:rsidRPr="00DD3A12" w:rsidRDefault="004720C5" w:rsidP="006F4A28">
            <w:pPr>
              <w:keepNext/>
              <w:keepLines/>
              <w:ind w:right="297"/>
              <w:jc w:val="right"/>
              <w:rPr>
                <w:color w:val="000000"/>
                <w:szCs w:val="22"/>
              </w:rPr>
            </w:pPr>
            <w:r w:rsidRPr="00DD3A12">
              <w:rPr>
                <w:color w:val="000000"/>
                <w:szCs w:val="22"/>
              </w:rPr>
              <w:t>4</w:t>
            </w:r>
            <w:r w:rsidR="007B3A8D" w:rsidRPr="00DD3A12">
              <w:rPr>
                <w:color w:val="000000"/>
                <w:szCs w:val="22"/>
              </w:rPr>
              <w:t>,</w:t>
            </w:r>
            <w:r w:rsidRPr="00DD3A12">
              <w:rPr>
                <w:color w:val="000000"/>
                <w:szCs w:val="22"/>
              </w:rPr>
              <w:t>242</w:t>
            </w:r>
          </w:p>
        </w:tc>
        <w:tc>
          <w:tcPr>
            <w:tcW w:w="1485" w:type="dxa"/>
            <w:tcBorders>
              <w:top w:val="nil"/>
              <w:left w:val="nil"/>
              <w:bottom w:val="nil"/>
              <w:right w:val="nil"/>
            </w:tcBorders>
            <w:shd w:val="clear" w:color="auto" w:fill="auto"/>
            <w:noWrap/>
            <w:vAlign w:val="bottom"/>
            <w:hideMark/>
          </w:tcPr>
          <w:p w14:paraId="58B24742"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424</w:t>
            </w:r>
          </w:p>
        </w:tc>
        <w:tc>
          <w:tcPr>
            <w:tcW w:w="1089" w:type="dxa"/>
            <w:tcBorders>
              <w:top w:val="nil"/>
              <w:left w:val="nil"/>
              <w:bottom w:val="nil"/>
              <w:right w:val="nil"/>
            </w:tcBorders>
            <w:shd w:val="clear" w:color="auto" w:fill="auto"/>
            <w:noWrap/>
            <w:tcMar>
              <w:left w:w="360" w:type="dxa"/>
              <w:right w:w="115" w:type="dxa"/>
            </w:tcMar>
            <w:vAlign w:val="bottom"/>
            <w:hideMark/>
          </w:tcPr>
          <w:p w14:paraId="4A649B53" w14:textId="77777777" w:rsidR="004720C5" w:rsidRPr="00DD3A12" w:rsidRDefault="004720C5" w:rsidP="006F4A28">
            <w:pPr>
              <w:keepNext/>
              <w:keepLines/>
              <w:rPr>
                <w:color w:val="000000"/>
                <w:szCs w:val="22"/>
              </w:rPr>
            </w:pPr>
          </w:p>
        </w:tc>
        <w:tc>
          <w:tcPr>
            <w:tcW w:w="1353" w:type="dxa"/>
            <w:tcBorders>
              <w:top w:val="nil"/>
              <w:left w:val="nil"/>
              <w:bottom w:val="nil"/>
              <w:right w:val="nil"/>
            </w:tcBorders>
            <w:shd w:val="clear" w:color="auto" w:fill="auto"/>
            <w:noWrap/>
            <w:vAlign w:val="bottom"/>
            <w:hideMark/>
          </w:tcPr>
          <w:p w14:paraId="10A78BA8"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06A570F8"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13EB91C5" w14:textId="77777777" w:rsidR="004720C5" w:rsidRPr="00DD3A12" w:rsidRDefault="004720C5" w:rsidP="006F4A28">
            <w:pPr>
              <w:keepNext/>
              <w:keepLines/>
              <w:ind w:right="252"/>
              <w:jc w:val="right"/>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r>
      <w:tr w:rsidR="004720C5" w:rsidRPr="00DD3A12" w14:paraId="488E7069" w14:textId="77777777" w:rsidTr="007B3A8D">
        <w:trPr>
          <w:trHeight w:val="276"/>
        </w:trPr>
        <w:tc>
          <w:tcPr>
            <w:tcW w:w="738" w:type="dxa"/>
            <w:tcBorders>
              <w:top w:val="nil"/>
              <w:left w:val="nil"/>
              <w:bottom w:val="nil"/>
              <w:right w:val="nil"/>
            </w:tcBorders>
            <w:shd w:val="clear" w:color="auto" w:fill="auto"/>
            <w:noWrap/>
            <w:vAlign w:val="bottom"/>
            <w:hideMark/>
          </w:tcPr>
          <w:p w14:paraId="7AA0A861" w14:textId="77777777" w:rsidR="004720C5" w:rsidRPr="00DD3A12" w:rsidRDefault="004720C5" w:rsidP="006F4A28">
            <w:pPr>
              <w:keepNext/>
              <w:keepLines/>
              <w:jc w:val="center"/>
              <w:rPr>
                <w:color w:val="000000"/>
                <w:szCs w:val="22"/>
              </w:rPr>
            </w:pPr>
            <w:r w:rsidRPr="00DD3A12">
              <w:rPr>
                <w:color w:val="000000"/>
                <w:szCs w:val="22"/>
              </w:rPr>
              <w:t>13</w:t>
            </w:r>
          </w:p>
        </w:tc>
        <w:tc>
          <w:tcPr>
            <w:tcW w:w="1377" w:type="dxa"/>
            <w:tcBorders>
              <w:top w:val="nil"/>
              <w:left w:val="nil"/>
              <w:bottom w:val="nil"/>
              <w:right w:val="nil"/>
            </w:tcBorders>
            <w:shd w:val="clear" w:color="auto" w:fill="auto"/>
            <w:noWrap/>
            <w:vAlign w:val="bottom"/>
            <w:hideMark/>
          </w:tcPr>
          <w:p w14:paraId="00689AD0" w14:textId="77777777" w:rsidR="004720C5" w:rsidRPr="00DD3A12" w:rsidRDefault="004720C5" w:rsidP="006F4A28">
            <w:pPr>
              <w:keepNext/>
              <w:keepLines/>
              <w:ind w:right="297"/>
              <w:jc w:val="right"/>
              <w:rPr>
                <w:color w:val="000000"/>
                <w:szCs w:val="22"/>
              </w:rPr>
            </w:pPr>
            <w:r w:rsidRPr="00DD3A12">
              <w:rPr>
                <w:color w:val="000000"/>
                <w:szCs w:val="22"/>
              </w:rPr>
              <w:t>1</w:t>
            </w:r>
            <w:r w:rsidR="007B3A8D" w:rsidRPr="00DD3A12">
              <w:rPr>
                <w:color w:val="000000"/>
                <w:szCs w:val="22"/>
              </w:rPr>
              <w:t>,</w:t>
            </w:r>
            <w:r w:rsidRPr="00DD3A12">
              <w:rPr>
                <w:color w:val="000000"/>
                <w:szCs w:val="22"/>
              </w:rPr>
              <w:t>818</w:t>
            </w:r>
          </w:p>
        </w:tc>
        <w:tc>
          <w:tcPr>
            <w:tcW w:w="1485" w:type="dxa"/>
            <w:tcBorders>
              <w:top w:val="nil"/>
              <w:left w:val="nil"/>
              <w:bottom w:val="nil"/>
              <w:right w:val="nil"/>
            </w:tcBorders>
            <w:shd w:val="clear" w:color="auto" w:fill="auto"/>
            <w:noWrap/>
            <w:vAlign w:val="bottom"/>
            <w:hideMark/>
          </w:tcPr>
          <w:p w14:paraId="4807BD8F"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424</w:t>
            </w:r>
          </w:p>
        </w:tc>
        <w:tc>
          <w:tcPr>
            <w:tcW w:w="1089" w:type="dxa"/>
            <w:tcBorders>
              <w:top w:val="nil"/>
              <w:left w:val="nil"/>
              <w:bottom w:val="nil"/>
              <w:right w:val="nil"/>
            </w:tcBorders>
            <w:shd w:val="clear" w:color="auto" w:fill="auto"/>
            <w:noWrap/>
            <w:tcMar>
              <w:left w:w="360" w:type="dxa"/>
              <w:right w:w="115" w:type="dxa"/>
            </w:tcMar>
            <w:vAlign w:val="bottom"/>
            <w:hideMark/>
          </w:tcPr>
          <w:p w14:paraId="6BFFDFEE" w14:textId="77777777" w:rsidR="004720C5" w:rsidRPr="00DD3A12" w:rsidRDefault="004720C5" w:rsidP="006F4A28">
            <w:pPr>
              <w:keepNext/>
              <w:keepLines/>
              <w:rPr>
                <w:color w:val="000000"/>
                <w:szCs w:val="22"/>
              </w:rPr>
            </w:pPr>
          </w:p>
        </w:tc>
        <w:tc>
          <w:tcPr>
            <w:tcW w:w="1353" w:type="dxa"/>
            <w:tcBorders>
              <w:top w:val="nil"/>
              <w:left w:val="nil"/>
              <w:bottom w:val="nil"/>
              <w:right w:val="nil"/>
            </w:tcBorders>
            <w:shd w:val="clear" w:color="auto" w:fill="auto"/>
            <w:noWrap/>
            <w:vAlign w:val="bottom"/>
            <w:hideMark/>
          </w:tcPr>
          <w:p w14:paraId="523E928A" w14:textId="77777777" w:rsidR="004720C5" w:rsidRPr="00DD3A12" w:rsidRDefault="004720C5" w:rsidP="006F4A28">
            <w:pPr>
              <w:keepNext/>
              <w:keepLines/>
              <w:jc w:val="center"/>
              <w:rPr>
                <w:color w:val="000000"/>
                <w:szCs w:val="22"/>
              </w:rPr>
            </w:pPr>
            <w:r w:rsidRPr="00DD3A12">
              <w:rPr>
                <w:color w:val="000000"/>
                <w:szCs w:val="22"/>
              </w:rPr>
              <w:t>7</w:t>
            </w:r>
            <w:r w:rsidR="007B3A8D" w:rsidRPr="00DD3A12">
              <w:rPr>
                <w:color w:val="000000"/>
                <w:szCs w:val="22"/>
              </w:rPr>
              <w:t>,</w:t>
            </w:r>
            <w:r w:rsidRPr="00DD3A12">
              <w:rPr>
                <w:color w:val="000000"/>
                <w:szCs w:val="22"/>
              </w:rPr>
              <w:t>273</w:t>
            </w:r>
          </w:p>
        </w:tc>
        <w:tc>
          <w:tcPr>
            <w:tcW w:w="1878" w:type="dxa"/>
            <w:tcBorders>
              <w:top w:val="nil"/>
              <w:left w:val="nil"/>
              <w:bottom w:val="nil"/>
              <w:right w:val="nil"/>
            </w:tcBorders>
            <w:shd w:val="clear" w:color="auto" w:fill="auto"/>
            <w:noWrap/>
            <w:vAlign w:val="bottom"/>
            <w:hideMark/>
          </w:tcPr>
          <w:p w14:paraId="45889352"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c>
          <w:tcPr>
            <w:tcW w:w="1350" w:type="dxa"/>
            <w:tcBorders>
              <w:top w:val="nil"/>
              <w:left w:val="nil"/>
              <w:bottom w:val="nil"/>
              <w:right w:val="nil"/>
            </w:tcBorders>
            <w:shd w:val="clear" w:color="auto" w:fill="auto"/>
            <w:noWrap/>
            <w:vAlign w:val="bottom"/>
            <w:hideMark/>
          </w:tcPr>
          <w:p w14:paraId="23888CCE" w14:textId="77777777" w:rsidR="004720C5" w:rsidRPr="00DD3A12" w:rsidRDefault="004720C5" w:rsidP="006F4A28">
            <w:pPr>
              <w:keepNext/>
              <w:keepLines/>
              <w:ind w:right="252"/>
              <w:jc w:val="right"/>
              <w:rPr>
                <w:color w:val="000000"/>
                <w:szCs w:val="22"/>
              </w:rPr>
            </w:pPr>
            <w:r w:rsidRPr="00DD3A12">
              <w:rPr>
                <w:color w:val="000000"/>
                <w:szCs w:val="22"/>
              </w:rPr>
              <w:t>2</w:t>
            </w:r>
            <w:r w:rsidR="007B3A8D" w:rsidRPr="00DD3A12">
              <w:rPr>
                <w:color w:val="000000"/>
                <w:szCs w:val="22"/>
              </w:rPr>
              <w:t>,</w:t>
            </w:r>
            <w:r w:rsidRPr="00DD3A12">
              <w:rPr>
                <w:color w:val="000000"/>
                <w:szCs w:val="22"/>
              </w:rPr>
              <w:t>909</w:t>
            </w:r>
          </w:p>
        </w:tc>
      </w:tr>
      <w:tr w:rsidR="004720C5" w:rsidRPr="00DD3A12" w14:paraId="70AAC713" w14:textId="77777777" w:rsidTr="007B3A8D">
        <w:trPr>
          <w:trHeight w:val="276"/>
        </w:trPr>
        <w:tc>
          <w:tcPr>
            <w:tcW w:w="738" w:type="dxa"/>
            <w:tcBorders>
              <w:top w:val="nil"/>
              <w:left w:val="nil"/>
              <w:bottom w:val="nil"/>
              <w:right w:val="nil"/>
            </w:tcBorders>
            <w:shd w:val="clear" w:color="auto" w:fill="auto"/>
            <w:noWrap/>
            <w:vAlign w:val="bottom"/>
            <w:hideMark/>
          </w:tcPr>
          <w:p w14:paraId="1B7B411E" w14:textId="77777777" w:rsidR="004720C5" w:rsidRPr="00DD3A12" w:rsidRDefault="004720C5" w:rsidP="006F4A28">
            <w:pPr>
              <w:keepNext/>
              <w:keepLines/>
              <w:jc w:val="center"/>
              <w:rPr>
                <w:color w:val="000000"/>
                <w:szCs w:val="22"/>
              </w:rPr>
            </w:pPr>
            <w:r w:rsidRPr="00DD3A12">
              <w:rPr>
                <w:color w:val="000000"/>
                <w:szCs w:val="22"/>
              </w:rPr>
              <w:t>14</w:t>
            </w:r>
          </w:p>
        </w:tc>
        <w:tc>
          <w:tcPr>
            <w:tcW w:w="1377" w:type="dxa"/>
            <w:tcBorders>
              <w:top w:val="nil"/>
              <w:left w:val="nil"/>
              <w:bottom w:val="nil"/>
              <w:right w:val="nil"/>
            </w:tcBorders>
            <w:shd w:val="clear" w:color="auto" w:fill="auto"/>
            <w:noWrap/>
            <w:vAlign w:val="bottom"/>
            <w:hideMark/>
          </w:tcPr>
          <w:p w14:paraId="627DCEA0" w14:textId="77777777" w:rsidR="004720C5" w:rsidRPr="00DD3A12" w:rsidRDefault="004720C5" w:rsidP="006F4A28">
            <w:pPr>
              <w:keepNext/>
              <w:keepLines/>
              <w:ind w:right="297"/>
              <w:jc w:val="right"/>
              <w:rPr>
                <w:color w:val="000000"/>
                <w:szCs w:val="22"/>
              </w:rPr>
            </w:pPr>
            <w:r w:rsidRPr="00DD3A12">
              <w:rPr>
                <w:color w:val="000000"/>
                <w:szCs w:val="22"/>
              </w:rPr>
              <w:t>0</w:t>
            </w:r>
          </w:p>
        </w:tc>
        <w:tc>
          <w:tcPr>
            <w:tcW w:w="1485" w:type="dxa"/>
            <w:tcBorders>
              <w:top w:val="nil"/>
              <w:left w:val="nil"/>
              <w:bottom w:val="nil"/>
              <w:right w:val="nil"/>
            </w:tcBorders>
            <w:shd w:val="clear" w:color="auto" w:fill="auto"/>
            <w:noWrap/>
            <w:vAlign w:val="bottom"/>
            <w:hideMark/>
          </w:tcPr>
          <w:p w14:paraId="0F6CA8D8" w14:textId="77777777" w:rsidR="004720C5" w:rsidRPr="00DD3A12" w:rsidRDefault="004720C5" w:rsidP="006F4A28">
            <w:pPr>
              <w:keepNext/>
              <w:keepLines/>
              <w:jc w:val="center"/>
              <w:rPr>
                <w:color w:val="000000"/>
                <w:szCs w:val="22"/>
              </w:rPr>
            </w:pPr>
            <w:r w:rsidRPr="00DD3A12">
              <w:rPr>
                <w:color w:val="000000"/>
                <w:szCs w:val="22"/>
              </w:rPr>
              <w:t>1</w:t>
            </w:r>
            <w:r w:rsidR="007B3A8D" w:rsidRPr="00DD3A12">
              <w:rPr>
                <w:color w:val="000000"/>
                <w:szCs w:val="22"/>
              </w:rPr>
              <w:t>,</w:t>
            </w:r>
            <w:r w:rsidRPr="00DD3A12">
              <w:rPr>
                <w:color w:val="000000"/>
                <w:szCs w:val="22"/>
              </w:rPr>
              <w:t>818</w:t>
            </w:r>
          </w:p>
        </w:tc>
        <w:tc>
          <w:tcPr>
            <w:tcW w:w="1089" w:type="dxa"/>
            <w:tcBorders>
              <w:top w:val="nil"/>
              <w:left w:val="nil"/>
              <w:bottom w:val="nil"/>
              <w:right w:val="nil"/>
            </w:tcBorders>
            <w:shd w:val="clear" w:color="auto" w:fill="auto"/>
            <w:noWrap/>
            <w:tcMar>
              <w:left w:w="360" w:type="dxa"/>
              <w:right w:w="115" w:type="dxa"/>
            </w:tcMar>
            <w:vAlign w:val="bottom"/>
            <w:hideMark/>
          </w:tcPr>
          <w:p w14:paraId="56961C57" w14:textId="77777777" w:rsidR="004720C5" w:rsidRPr="00DD3A12" w:rsidRDefault="004720C5" w:rsidP="006F4A28">
            <w:pPr>
              <w:keepNext/>
              <w:keepLines/>
              <w:rPr>
                <w:color w:val="000000"/>
                <w:szCs w:val="22"/>
              </w:rPr>
            </w:pPr>
          </w:p>
        </w:tc>
        <w:tc>
          <w:tcPr>
            <w:tcW w:w="1353" w:type="dxa"/>
            <w:tcBorders>
              <w:top w:val="nil"/>
              <w:left w:val="nil"/>
              <w:bottom w:val="nil"/>
              <w:right w:val="nil"/>
            </w:tcBorders>
            <w:shd w:val="clear" w:color="auto" w:fill="auto"/>
            <w:noWrap/>
            <w:vAlign w:val="bottom"/>
            <w:hideMark/>
          </w:tcPr>
          <w:p w14:paraId="57CA2672" w14:textId="77777777" w:rsidR="004720C5" w:rsidRPr="00DD3A12" w:rsidRDefault="004720C5" w:rsidP="006F4A28">
            <w:pPr>
              <w:keepNext/>
              <w:keepLines/>
              <w:jc w:val="center"/>
              <w:rPr>
                <w:color w:val="000000"/>
                <w:szCs w:val="22"/>
              </w:rPr>
            </w:pPr>
            <w:r w:rsidRPr="00DD3A12">
              <w:rPr>
                <w:color w:val="000000"/>
                <w:szCs w:val="22"/>
              </w:rPr>
              <w:t>5</w:t>
            </w:r>
            <w:r w:rsidR="007B3A8D" w:rsidRPr="00DD3A12">
              <w:rPr>
                <w:color w:val="000000"/>
                <w:szCs w:val="22"/>
              </w:rPr>
              <w:t>,</w:t>
            </w:r>
            <w:r w:rsidRPr="00DD3A12">
              <w:rPr>
                <w:color w:val="000000"/>
                <w:szCs w:val="22"/>
              </w:rPr>
              <w:t>451</w:t>
            </w:r>
          </w:p>
        </w:tc>
        <w:tc>
          <w:tcPr>
            <w:tcW w:w="1878" w:type="dxa"/>
            <w:tcBorders>
              <w:top w:val="nil"/>
              <w:left w:val="nil"/>
              <w:bottom w:val="nil"/>
              <w:right w:val="nil"/>
            </w:tcBorders>
            <w:shd w:val="clear" w:color="auto" w:fill="auto"/>
            <w:noWrap/>
            <w:vAlign w:val="bottom"/>
            <w:hideMark/>
          </w:tcPr>
          <w:p w14:paraId="0131D263" w14:textId="77777777" w:rsidR="004720C5" w:rsidRPr="00DD3A12" w:rsidRDefault="004720C5" w:rsidP="006F4A28">
            <w:pPr>
              <w:keepNext/>
              <w:keepLines/>
              <w:jc w:val="center"/>
              <w:rPr>
                <w:color w:val="000000"/>
                <w:szCs w:val="22"/>
              </w:rPr>
            </w:pPr>
            <w:r w:rsidRPr="00DD3A12">
              <w:rPr>
                <w:color w:val="000000"/>
                <w:szCs w:val="22"/>
              </w:rPr>
              <w:t>2</w:t>
            </w:r>
            <w:r w:rsidR="007B3A8D" w:rsidRPr="00DD3A12">
              <w:rPr>
                <w:color w:val="000000"/>
                <w:szCs w:val="22"/>
              </w:rPr>
              <w:t>,</w:t>
            </w:r>
            <w:r w:rsidRPr="00DD3A12">
              <w:rPr>
                <w:color w:val="000000"/>
                <w:szCs w:val="22"/>
              </w:rPr>
              <w:t>183</w:t>
            </w:r>
          </w:p>
        </w:tc>
        <w:tc>
          <w:tcPr>
            <w:tcW w:w="1350" w:type="dxa"/>
            <w:tcBorders>
              <w:top w:val="nil"/>
              <w:left w:val="nil"/>
              <w:bottom w:val="nil"/>
              <w:right w:val="nil"/>
            </w:tcBorders>
            <w:shd w:val="clear" w:color="auto" w:fill="auto"/>
            <w:noWrap/>
            <w:vAlign w:val="bottom"/>
            <w:hideMark/>
          </w:tcPr>
          <w:p w14:paraId="6F60D3D0" w14:textId="77777777" w:rsidR="004720C5" w:rsidRPr="00DD3A12" w:rsidRDefault="004720C5" w:rsidP="006F4A28">
            <w:pPr>
              <w:keepNext/>
              <w:keepLines/>
              <w:ind w:right="252"/>
              <w:jc w:val="right"/>
              <w:rPr>
                <w:color w:val="000000"/>
                <w:szCs w:val="22"/>
              </w:rPr>
            </w:pPr>
            <w:r w:rsidRPr="00DD3A12">
              <w:rPr>
                <w:color w:val="000000"/>
                <w:szCs w:val="22"/>
              </w:rPr>
              <w:t>2</w:t>
            </w:r>
            <w:r w:rsidR="007B3A8D" w:rsidRPr="00DD3A12">
              <w:rPr>
                <w:color w:val="000000"/>
                <w:szCs w:val="22"/>
              </w:rPr>
              <w:t>,</w:t>
            </w:r>
            <w:r w:rsidRPr="00DD3A12">
              <w:rPr>
                <w:color w:val="000000"/>
                <w:szCs w:val="22"/>
              </w:rPr>
              <w:t>183</w:t>
            </w:r>
          </w:p>
        </w:tc>
      </w:tr>
      <w:tr w:rsidR="004720C5" w:rsidRPr="00DD3A12" w14:paraId="02691C78" w14:textId="77777777" w:rsidTr="007B3A8D">
        <w:trPr>
          <w:trHeight w:val="276"/>
        </w:trPr>
        <w:tc>
          <w:tcPr>
            <w:tcW w:w="738" w:type="dxa"/>
            <w:tcBorders>
              <w:top w:val="nil"/>
              <w:left w:val="nil"/>
              <w:bottom w:val="nil"/>
              <w:right w:val="nil"/>
            </w:tcBorders>
            <w:shd w:val="clear" w:color="auto" w:fill="auto"/>
            <w:noWrap/>
            <w:vAlign w:val="bottom"/>
            <w:hideMark/>
          </w:tcPr>
          <w:p w14:paraId="62A41AA9" w14:textId="77777777" w:rsidR="004720C5" w:rsidRPr="00DD3A12" w:rsidRDefault="004720C5" w:rsidP="006F4A28">
            <w:pPr>
              <w:keepNext/>
              <w:keepLines/>
              <w:jc w:val="center"/>
              <w:rPr>
                <w:color w:val="000000"/>
                <w:szCs w:val="22"/>
              </w:rPr>
            </w:pPr>
            <w:r w:rsidRPr="00DD3A12">
              <w:rPr>
                <w:color w:val="000000"/>
                <w:szCs w:val="22"/>
              </w:rPr>
              <w:t>15</w:t>
            </w:r>
          </w:p>
        </w:tc>
        <w:tc>
          <w:tcPr>
            <w:tcW w:w="1377" w:type="dxa"/>
            <w:tcBorders>
              <w:top w:val="nil"/>
              <w:left w:val="nil"/>
              <w:bottom w:val="nil"/>
              <w:right w:val="nil"/>
            </w:tcBorders>
            <w:shd w:val="clear" w:color="auto" w:fill="auto"/>
            <w:noWrap/>
            <w:vAlign w:val="bottom"/>
            <w:hideMark/>
          </w:tcPr>
          <w:p w14:paraId="4C9FC1DA" w14:textId="77777777" w:rsidR="004720C5" w:rsidRPr="00DD3A12" w:rsidRDefault="004720C5" w:rsidP="006F4A28">
            <w:pPr>
              <w:keepNext/>
              <w:keepLines/>
              <w:ind w:right="297"/>
              <w:jc w:val="right"/>
              <w:rPr>
                <w:color w:val="000000"/>
                <w:szCs w:val="22"/>
              </w:rPr>
            </w:pPr>
            <w:r w:rsidRPr="00DD3A12">
              <w:rPr>
                <w:color w:val="000000"/>
                <w:szCs w:val="22"/>
              </w:rPr>
              <w:t>0</w:t>
            </w:r>
          </w:p>
        </w:tc>
        <w:tc>
          <w:tcPr>
            <w:tcW w:w="1485" w:type="dxa"/>
            <w:tcBorders>
              <w:top w:val="nil"/>
              <w:left w:val="nil"/>
              <w:bottom w:val="nil"/>
              <w:right w:val="nil"/>
            </w:tcBorders>
            <w:shd w:val="clear" w:color="auto" w:fill="auto"/>
            <w:noWrap/>
            <w:vAlign w:val="bottom"/>
            <w:hideMark/>
          </w:tcPr>
          <w:p w14:paraId="27DC96B9" w14:textId="77777777" w:rsidR="004720C5" w:rsidRPr="00DD3A12" w:rsidRDefault="004720C5" w:rsidP="006F4A28">
            <w:pPr>
              <w:keepNext/>
              <w:keepLines/>
              <w:ind w:right="337"/>
              <w:rPr>
                <w:color w:val="000000"/>
                <w:szCs w:val="22"/>
              </w:rPr>
            </w:pPr>
          </w:p>
        </w:tc>
        <w:tc>
          <w:tcPr>
            <w:tcW w:w="1089" w:type="dxa"/>
            <w:tcBorders>
              <w:top w:val="nil"/>
              <w:left w:val="nil"/>
              <w:bottom w:val="nil"/>
              <w:right w:val="nil"/>
            </w:tcBorders>
            <w:shd w:val="clear" w:color="auto" w:fill="auto"/>
            <w:noWrap/>
            <w:vAlign w:val="bottom"/>
            <w:hideMark/>
          </w:tcPr>
          <w:p w14:paraId="548EF878" w14:textId="77777777" w:rsidR="004720C5" w:rsidRPr="00DD3A12" w:rsidRDefault="004720C5" w:rsidP="006F4A28">
            <w:pPr>
              <w:keepNext/>
              <w:keepLines/>
              <w:rPr>
                <w:color w:val="000000"/>
                <w:szCs w:val="22"/>
              </w:rPr>
            </w:pPr>
          </w:p>
        </w:tc>
        <w:tc>
          <w:tcPr>
            <w:tcW w:w="1353" w:type="dxa"/>
            <w:tcBorders>
              <w:top w:val="nil"/>
              <w:left w:val="nil"/>
              <w:bottom w:val="nil"/>
              <w:right w:val="nil"/>
            </w:tcBorders>
            <w:shd w:val="clear" w:color="auto" w:fill="auto"/>
            <w:noWrap/>
            <w:vAlign w:val="bottom"/>
            <w:hideMark/>
          </w:tcPr>
          <w:p w14:paraId="0BDEF574" w14:textId="77777777" w:rsidR="004720C5" w:rsidRPr="00DD3A12" w:rsidRDefault="004720C5" w:rsidP="006F4A28">
            <w:pPr>
              <w:keepNext/>
              <w:keepLines/>
              <w:rPr>
                <w:color w:val="000000"/>
                <w:szCs w:val="22"/>
              </w:rPr>
            </w:pPr>
          </w:p>
        </w:tc>
        <w:tc>
          <w:tcPr>
            <w:tcW w:w="1878" w:type="dxa"/>
            <w:tcBorders>
              <w:top w:val="nil"/>
              <w:left w:val="nil"/>
              <w:bottom w:val="nil"/>
              <w:right w:val="nil"/>
            </w:tcBorders>
            <w:shd w:val="clear" w:color="auto" w:fill="auto"/>
            <w:noWrap/>
            <w:vAlign w:val="bottom"/>
            <w:hideMark/>
          </w:tcPr>
          <w:p w14:paraId="037B1F2A" w14:textId="77777777" w:rsidR="004720C5" w:rsidRPr="00DD3A12" w:rsidRDefault="004720C5" w:rsidP="006F4A28">
            <w:pPr>
              <w:keepNext/>
              <w:keepLines/>
              <w:rPr>
                <w:color w:val="000000"/>
                <w:szCs w:val="22"/>
              </w:rPr>
            </w:pPr>
          </w:p>
        </w:tc>
        <w:tc>
          <w:tcPr>
            <w:tcW w:w="1350" w:type="dxa"/>
            <w:tcBorders>
              <w:top w:val="nil"/>
              <w:left w:val="nil"/>
              <w:bottom w:val="nil"/>
              <w:right w:val="nil"/>
            </w:tcBorders>
            <w:shd w:val="clear" w:color="auto" w:fill="auto"/>
            <w:noWrap/>
            <w:vAlign w:val="bottom"/>
            <w:hideMark/>
          </w:tcPr>
          <w:p w14:paraId="25672E54" w14:textId="77777777" w:rsidR="004720C5" w:rsidRPr="00DD3A12" w:rsidRDefault="004720C5" w:rsidP="006F4A28">
            <w:pPr>
              <w:keepNext/>
              <w:keepLines/>
              <w:ind w:right="252"/>
              <w:jc w:val="right"/>
              <w:rPr>
                <w:color w:val="000000"/>
                <w:szCs w:val="22"/>
              </w:rPr>
            </w:pPr>
            <w:r w:rsidRPr="00DD3A12">
              <w:rPr>
                <w:color w:val="000000"/>
                <w:szCs w:val="22"/>
              </w:rPr>
              <w:t>0</w:t>
            </w:r>
          </w:p>
        </w:tc>
      </w:tr>
      <w:tr w:rsidR="004720C5" w:rsidRPr="00DD3A12" w14:paraId="362DD483" w14:textId="77777777" w:rsidTr="0070175C">
        <w:trPr>
          <w:trHeight w:val="288"/>
        </w:trPr>
        <w:tc>
          <w:tcPr>
            <w:tcW w:w="738" w:type="dxa"/>
            <w:tcBorders>
              <w:top w:val="single" w:sz="4" w:space="0" w:color="auto"/>
              <w:left w:val="nil"/>
              <w:bottom w:val="double" w:sz="4" w:space="0" w:color="auto"/>
              <w:right w:val="nil"/>
            </w:tcBorders>
            <w:shd w:val="clear" w:color="auto" w:fill="auto"/>
            <w:noWrap/>
            <w:vAlign w:val="bottom"/>
            <w:hideMark/>
          </w:tcPr>
          <w:p w14:paraId="1575D3CE" w14:textId="77777777" w:rsidR="004720C5" w:rsidRPr="00DD3A12" w:rsidRDefault="004720C5" w:rsidP="006F4A28">
            <w:pPr>
              <w:keepNext/>
              <w:keepLines/>
              <w:jc w:val="center"/>
              <w:rPr>
                <w:color w:val="000000"/>
                <w:szCs w:val="22"/>
              </w:rPr>
            </w:pPr>
            <w:r w:rsidRPr="00DD3A12">
              <w:rPr>
                <w:color w:val="000000"/>
                <w:szCs w:val="22"/>
              </w:rPr>
              <w:t>Total</w:t>
            </w:r>
          </w:p>
        </w:tc>
        <w:tc>
          <w:tcPr>
            <w:tcW w:w="1377" w:type="dxa"/>
            <w:tcBorders>
              <w:top w:val="single" w:sz="4" w:space="0" w:color="auto"/>
              <w:left w:val="nil"/>
              <w:bottom w:val="double" w:sz="4" w:space="0" w:color="auto"/>
              <w:right w:val="nil"/>
            </w:tcBorders>
            <w:shd w:val="clear" w:color="auto" w:fill="auto"/>
            <w:noWrap/>
            <w:vAlign w:val="bottom"/>
            <w:hideMark/>
          </w:tcPr>
          <w:p w14:paraId="644B3FC2" w14:textId="77777777" w:rsidR="004720C5" w:rsidRPr="00DD3A12" w:rsidRDefault="004720C5" w:rsidP="006F4A28">
            <w:pPr>
              <w:keepNext/>
              <w:keepLines/>
              <w:rPr>
                <w:color w:val="000000"/>
                <w:szCs w:val="22"/>
              </w:rPr>
            </w:pPr>
          </w:p>
        </w:tc>
        <w:tc>
          <w:tcPr>
            <w:tcW w:w="1485" w:type="dxa"/>
            <w:tcBorders>
              <w:top w:val="single" w:sz="4" w:space="0" w:color="auto"/>
              <w:left w:val="nil"/>
              <w:bottom w:val="double" w:sz="4" w:space="0" w:color="auto"/>
              <w:right w:val="nil"/>
            </w:tcBorders>
            <w:shd w:val="clear" w:color="auto" w:fill="auto"/>
            <w:noWrap/>
            <w:vAlign w:val="bottom"/>
            <w:hideMark/>
          </w:tcPr>
          <w:p w14:paraId="35D9CF9E" w14:textId="77777777" w:rsidR="004720C5" w:rsidRPr="00DD3A12" w:rsidRDefault="004720C5" w:rsidP="006F4A28">
            <w:pPr>
              <w:keepNext/>
              <w:keepLines/>
              <w:jc w:val="center"/>
              <w:rPr>
                <w:color w:val="000000"/>
                <w:szCs w:val="22"/>
              </w:rPr>
            </w:pPr>
            <w:r w:rsidRPr="00DD3A12">
              <w:rPr>
                <w:color w:val="000000"/>
                <w:szCs w:val="22"/>
              </w:rPr>
              <w:t>100</w:t>
            </w:r>
            <w:r w:rsidR="007B3A8D" w:rsidRPr="00DD3A12">
              <w:rPr>
                <w:color w:val="000000"/>
                <w:szCs w:val="22"/>
              </w:rPr>
              <w:t>,</w:t>
            </w:r>
            <w:r w:rsidRPr="00DD3A12">
              <w:rPr>
                <w:color w:val="000000"/>
                <w:szCs w:val="22"/>
              </w:rPr>
              <w:t>000</w:t>
            </w:r>
          </w:p>
        </w:tc>
        <w:tc>
          <w:tcPr>
            <w:tcW w:w="1089" w:type="dxa"/>
            <w:tcBorders>
              <w:top w:val="single" w:sz="4" w:space="0" w:color="auto"/>
              <w:left w:val="nil"/>
              <w:bottom w:val="double" w:sz="4" w:space="0" w:color="auto"/>
              <w:right w:val="nil"/>
            </w:tcBorders>
            <w:shd w:val="clear" w:color="auto" w:fill="auto"/>
            <w:noWrap/>
            <w:vAlign w:val="bottom"/>
            <w:hideMark/>
          </w:tcPr>
          <w:p w14:paraId="7FFEA794" w14:textId="77777777" w:rsidR="004720C5" w:rsidRPr="00DD3A12" w:rsidRDefault="004720C5" w:rsidP="006F4A28">
            <w:pPr>
              <w:keepNext/>
              <w:keepLines/>
              <w:jc w:val="center"/>
              <w:rPr>
                <w:color w:val="000000"/>
                <w:szCs w:val="22"/>
              </w:rPr>
            </w:pPr>
            <w:r w:rsidRPr="00DD3A12">
              <w:rPr>
                <w:color w:val="000000"/>
                <w:szCs w:val="22"/>
              </w:rPr>
              <w:t>80</w:t>
            </w:r>
            <w:r w:rsidR="007B3A8D" w:rsidRPr="00DD3A12">
              <w:rPr>
                <w:color w:val="000000"/>
                <w:szCs w:val="22"/>
              </w:rPr>
              <w:t>,</w:t>
            </w:r>
            <w:r w:rsidRPr="00DD3A12">
              <w:rPr>
                <w:color w:val="000000"/>
                <w:szCs w:val="22"/>
              </w:rPr>
              <w:t>000</w:t>
            </w:r>
          </w:p>
        </w:tc>
        <w:tc>
          <w:tcPr>
            <w:tcW w:w="1353" w:type="dxa"/>
            <w:tcBorders>
              <w:top w:val="single" w:sz="4" w:space="0" w:color="auto"/>
              <w:left w:val="nil"/>
              <w:bottom w:val="double" w:sz="4" w:space="0" w:color="auto"/>
              <w:right w:val="nil"/>
            </w:tcBorders>
            <w:shd w:val="clear" w:color="auto" w:fill="auto"/>
            <w:noWrap/>
            <w:vAlign w:val="bottom"/>
            <w:hideMark/>
          </w:tcPr>
          <w:p w14:paraId="676FC808" w14:textId="77777777" w:rsidR="004720C5" w:rsidRPr="00DD3A12" w:rsidRDefault="004720C5" w:rsidP="006F4A28">
            <w:pPr>
              <w:keepNext/>
              <w:keepLines/>
              <w:jc w:val="center"/>
              <w:rPr>
                <w:color w:val="000000"/>
                <w:szCs w:val="22"/>
              </w:rPr>
            </w:pPr>
            <w:r w:rsidRPr="00DD3A12">
              <w:rPr>
                <w:color w:val="000000"/>
                <w:szCs w:val="22"/>
              </w:rPr>
              <w:t>100</w:t>
            </w:r>
            <w:r w:rsidR="007B3A8D" w:rsidRPr="00DD3A12">
              <w:rPr>
                <w:color w:val="000000"/>
                <w:szCs w:val="22"/>
              </w:rPr>
              <w:t>,</w:t>
            </w:r>
            <w:r w:rsidRPr="00DD3A12">
              <w:rPr>
                <w:color w:val="000000"/>
                <w:szCs w:val="22"/>
              </w:rPr>
              <w:t>000</w:t>
            </w:r>
          </w:p>
        </w:tc>
        <w:tc>
          <w:tcPr>
            <w:tcW w:w="1878" w:type="dxa"/>
            <w:tcBorders>
              <w:top w:val="single" w:sz="4" w:space="0" w:color="auto"/>
              <w:left w:val="nil"/>
              <w:bottom w:val="double" w:sz="4" w:space="0" w:color="auto"/>
              <w:right w:val="nil"/>
            </w:tcBorders>
            <w:shd w:val="clear" w:color="auto" w:fill="auto"/>
            <w:noWrap/>
            <w:vAlign w:val="bottom"/>
            <w:hideMark/>
          </w:tcPr>
          <w:p w14:paraId="4659D111" w14:textId="77777777" w:rsidR="004720C5" w:rsidRPr="00DD3A12" w:rsidRDefault="004720C5" w:rsidP="006F4A28">
            <w:pPr>
              <w:keepNext/>
              <w:keepLines/>
              <w:jc w:val="center"/>
              <w:rPr>
                <w:color w:val="000000"/>
                <w:szCs w:val="22"/>
              </w:rPr>
            </w:pPr>
            <w:r w:rsidRPr="00DD3A12">
              <w:rPr>
                <w:color w:val="000000"/>
                <w:szCs w:val="22"/>
              </w:rPr>
              <w:t>40</w:t>
            </w:r>
            <w:r w:rsidR="007B3A8D" w:rsidRPr="00DD3A12">
              <w:rPr>
                <w:color w:val="000000"/>
                <w:szCs w:val="22"/>
              </w:rPr>
              <w:t>,</w:t>
            </w:r>
            <w:r w:rsidRPr="00DD3A12">
              <w:rPr>
                <w:color w:val="000000"/>
                <w:szCs w:val="22"/>
              </w:rPr>
              <w:t>000</w:t>
            </w:r>
          </w:p>
        </w:tc>
        <w:tc>
          <w:tcPr>
            <w:tcW w:w="1350" w:type="dxa"/>
            <w:tcBorders>
              <w:top w:val="single" w:sz="4" w:space="0" w:color="auto"/>
              <w:left w:val="nil"/>
              <w:bottom w:val="double" w:sz="4" w:space="0" w:color="auto"/>
              <w:right w:val="nil"/>
            </w:tcBorders>
            <w:shd w:val="clear" w:color="auto" w:fill="auto"/>
            <w:noWrap/>
            <w:vAlign w:val="bottom"/>
            <w:hideMark/>
          </w:tcPr>
          <w:p w14:paraId="7EB6642B" w14:textId="77777777" w:rsidR="004720C5" w:rsidRPr="00DD3A12" w:rsidRDefault="004720C5" w:rsidP="006F4A28">
            <w:pPr>
              <w:keepNext/>
              <w:keepLines/>
              <w:ind w:right="252"/>
              <w:jc w:val="right"/>
              <w:rPr>
                <w:color w:val="000000"/>
                <w:szCs w:val="22"/>
              </w:rPr>
            </w:pPr>
            <w:r w:rsidRPr="00DD3A12">
              <w:rPr>
                <w:color w:val="000000"/>
                <w:szCs w:val="22"/>
              </w:rPr>
              <w:t>120</w:t>
            </w:r>
            <w:r w:rsidR="007B3A8D" w:rsidRPr="00DD3A12">
              <w:rPr>
                <w:color w:val="000000"/>
                <w:szCs w:val="22"/>
              </w:rPr>
              <w:t>,</w:t>
            </w:r>
            <w:r w:rsidRPr="00DD3A12">
              <w:rPr>
                <w:color w:val="000000"/>
                <w:szCs w:val="22"/>
              </w:rPr>
              <w:t>000</w:t>
            </w:r>
          </w:p>
        </w:tc>
      </w:tr>
    </w:tbl>
    <w:p w14:paraId="173E680E" w14:textId="77777777" w:rsidR="00F656EB" w:rsidRDefault="00F656EB" w:rsidP="006F4A28">
      <w:pPr>
        <w:spacing w:after="220"/>
        <w:jc w:val="both"/>
      </w:pPr>
    </w:p>
    <w:p w14:paraId="502A98FB" w14:textId="77777777" w:rsidR="00DD3A12" w:rsidRDefault="00DD3A12" w:rsidP="006F4A28">
      <w:pPr>
        <w:spacing w:after="220"/>
        <w:ind w:left="720" w:hanging="720"/>
        <w:jc w:val="both"/>
      </w:pPr>
      <w:r>
        <w:t>(1)</w:t>
      </w:r>
      <w:r>
        <w:tab/>
        <w:t xml:space="preserve">End-of-year investment for a </w:t>
      </w:r>
      <w:r w:rsidRPr="00D56AD7">
        <w:t xml:space="preserve">5 percent limited </w:t>
      </w:r>
      <w:r>
        <w:t>liability</w:t>
      </w:r>
      <w:r w:rsidRPr="00D56AD7">
        <w:t xml:space="preserve"> interest in the project</w:t>
      </w:r>
      <w:r>
        <w:t xml:space="preserve"> net of amortization in Column (2).</w:t>
      </w:r>
    </w:p>
    <w:p w14:paraId="0D3BC25C" w14:textId="77777777" w:rsidR="00DD3A12" w:rsidRDefault="00DD3A12" w:rsidP="006F4A28">
      <w:pPr>
        <w:spacing w:after="220"/>
        <w:ind w:left="720" w:hanging="720"/>
        <w:jc w:val="both"/>
      </w:pPr>
      <w:r>
        <w:t>(2)</w:t>
      </w:r>
      <w:r>
        <w:tab/>
        <w:t>Initial investment of $100,000 x (total tax benefits received during the year in Column (6)/total anticipated tax benefits over the life of the investment of $120,000).</w:t>
      </w:r>
    </w:p>
    <w:p w14:paraId="489BE97C" w14:textId="77777777" w:rsidR="00DD3A12" w:rsidRDefault="00DD3A12" w:rsidP="006F4A28">
      <w:pPr>
        <w:spacing w:after="220"/>
        <w:ind w:left="720" w:hanging="720"/>
        <w:jc w:val="both"/>
      </w:pPr>
      <w:r>
        <w:t>(3)</w:t>
      </w:r>
      <w:r>
        <w:tab/>
        <w:t xml:space="preserve">Four </w:t>
      </w:r>
      <w:r w:rsidRPr="00D56AD7">
        <w:t>percent tax credit on $200,000 tax</w:t>
      </w:r>
      <w:r>
        <w:t xml:space="preserve"> basis of the underlying assets.</w:t>
      </w:r>
    </w:p>
    <w:p w14:paraId="20591E61" w14:textId="77777777" w:rsidR="00DD3A12" w:rsidRDefault="00DD3A12" w:rsidP="006F4A28">
      <w:pPr>
        <w:spacing w:after="220"/>
        <w:ind w:left="720" w:hanging="720"/>
        <w:jc w:val="both"/>
      </w:pPr>
      <w:r>
        <w:t>(4)</w:t>
      </w:r>
      <w:r>
        <w:tab/>
        <w:t xml:space="preserve">Depreciation </w:t>
      </w:r>
      <w:r w:rsidRPr="00D56AD7">
        <w:t>(on</w:t>
      </w:r>
      <w:r>
        <w:t xml:space="preserve"> </w:t>
      </w:r>
      <w:r w:rsidRPr="00D56AD7">
        <w:t>$200,000 tax basis of the underlying assets</w:t>
      </w:r>
      <w:r>
        <w:t>)</w:t>
      </w:r>
      <w:r w:rsidRPr="00D56AD7">
        <w:t xml:space="preserve"> using the straight-line method over 27.5 years</w:t>
      </w:r>
      <w:r>
        <w:t xml:space="preserve"> up to the amount of the initial investment of $100,000.</w:t>
      </w:r>
    </w:p>
    <w:p w14:paraId="15EF2B09" w14:textId="77777777" w:rsidR="00DD3A12" w:rsidRDefault="00DD3A12" w:rsidP="006F4A28">
      <w:pPr>
        <w:spacing w:after="220"/>
        <w:ind w:left="720" w:hanging="720"/>
        <w:jc w:val="both"/>
      </w:pPr>
      <w:r>
        <w:t>(5)</w:t>
      </w:r>
      <w:r>
        <w:tab/>
        <w:t>Column (4) x 40% tax rate.</w:t>
      </w:r>
    </w:p>
    <w:p w14:paraId="1352A9CD" w14:textId="77777777" w:rsidR="00DD3A12" w:rsidRDefault="00DD3A12" w:rsidP="006F4A28">
      <w:pPr>
        <w:spacing w:after="220"/>
        <w:ind w:left="720" w:hanging="720"/>
        <w:jc w:val="both"/>
      </w:pPr>
      <w:r>
        <w:t>(6)</w:t>
      </w:r>
      <w:r>
        <w:tab/>
        <w:t>Column (3) + Column (5).</w:t>
      </w:r>
    </w:p>
    <w:p w14:paraId="1F40D98D" w14:textId="66DD43AB" w:rsidR="00DB5AAD" w:rsidRDefault="00DB5AAD">
      <w:r>
        <w:br w:type="page"/>
      </w:r>
    </w:p>
    <w:p w14:paraId="3AA805DA" w14:textId="40A63A08" w:rsidR="00A3735E" w:rsidRDefault="00DB5AAD" w:rsidP="00DB5AAD">
      <w:pPr>
        <w:pStyle w:val="BodyText3"/>
      </w:pPr>
      <w:r w:rsidRPr="00C67E5A">
        <w:rPr>
          <w:b/>
          <w:bCs/>
          <w:i/>
          <w:iCs/>
        </w:rPr>
        <w:lastRenderedPageBreak/>
        <w:t xml:space="preserve">Example </w:t>
      </w:r>
      <w:r>
        <w:rPr>
          <w:b/>
          <w:bCs/>
          <w:i/>
          <w:iCs/>
        </w:rPr>
        <w:t>2</w:t>
      </w:r>
      <w:r w:rsidRPr="00C67E5A">
        <w:rPr>
          <w:b/>
          <w:bCs/>
          <w:i/>
          <w:iCs/>
        </w:rPr>
        <w:t>:</w:t>
      </w:r>
      <w:r>
        <w:t xml:space="preserve"> </w:t>
      </w:r>
      <w:r w:rsidR="00A3735E" w:rsidRPr="00A3735E">
        <w:rPr>
          <w:b/>
          <w:bCs/>
          <w:i/>
          <w:iCs/>
        </w:rPr>
        <w:t>Tax Equity Investments with Non-Income Tax Related Benefits</w:t>
      </w:r>
    </w:p>
    <w:p w14:paraId="0F8B191C" w14:textId="77777777" w:rsidR="00A3735E" w:rsidRDefault="00A3735E" w:rsidP="00DB5AAD">
      <w:pPr>
        <w:pStyle w:val="BodyText3"/>
      </w:pPr>
    </w:p>
    <w:p w14:paraId="1702FE4C" w14:textId="4269A5C5" w:rsidR="00231217" w:rsidRDefault="00DB5AAD" w:rsidP="00DB5AAD">
      <w:pPr>
        <w:pStyle w:val="BodyText3"/>
      </w:pPr>
      <w:r>
        <w:t>This example is based on paragraph</w:t>
      </w:r>
      <w:r w:rsidR="00D12229">
        <w:t>s</w:t>
      </w:r>
      <w:r>
        <w:t xml:space="preserve"> 323-740-55-</w:t>
      </w:r>
      <w:r w:rsidR="001F62F9">
        <w:t>11</w:t>
      </w:r>
      <w:r w:rsidR="00D12229">
        <w:t xml:space="preserve"> through 323-740-55-14</w:t>
      </w:r>
      <w:r>
        <w:t xml:space="preserve"> of the Accounting Standards Codification</w:t>
      </w:r>
      <w:r w:rsidR="007C3B22">
        <w:t xml:space="preserve"> and illustrates a tax equity investment that generates non-income-tax</w:t>
      </w:r>
      <w:r w:rsidR="00231217">
        <w:t xml:space="preserve">-related benefits in addition to tax credits and other income tax benefits. </w:t>
      </w:r>
    </w:p>
    <w:p w14:paraId="4F11470D" w14:textId="77777777" w:rsidR="00231217" w:rsidRDefault="00231217" w:rsidP="00DB5AAD">
      <w:pPr>
        <w:pStyle w:val="BodyText3"/>
      </w:pPr>
    </w:p>
    <w:p w14:paraId="4A99F04C" w14:textId="64DFA379" w:rsidR="00DB5AAD" w:rsidRDefault="00DB5AAD" w:rsidP="00DB5AAD">
      <w:pPr>
        <w:pStyle w:val="BodyText3"/>
      </w:pPr>
      <w:r w:rsidRPr="009D2801">
        <w:t xml:space="preserve">The amount and timing of amortization </w:t>
      </w:r>
      <w:r w:rsidRPr="00B967C8">
        <w:t xml:space="preserve">in the proportional amortization method is consistent with the statutory modifications; therefore, the table incorporated in this </w:t>
      </w:r>
      <w:r>
        <w:t>exhibit</w:t>
      </w:r>
      <w:r w:rsidRPr="00B967C8">
        <w:t xml:space="preserve"> is based on the proportional amortization table. The statutory income statement requires a gross presentation on the income statement, with proportional amortization of the initial cost of the investment in investment income and the tax credits and benefits included in income tax expense</w:t>
      </w:r>
      <w:r>
        <w:t xml:space="preserve">. </w:t>
      </w:r>
    </w:p>
    <w:p w14:paraId="0EA46390" w14:textId="77777777" w:rsidR="00DB5AAD" w:rsidRDefault="00DB5AAD" w:rsidP="00DB5AAD">
      <w:pPr>
        <w:pStyle w:val="BodyText3"/>
      </w:pPr>
    </w:p>
    <w:p w14:paraId="538C3785" w14:textId="77777777" w:rsidR="00DB5AAD" w:rsidRDefault="00DB5AAD" w:rsidP="00DB5AAD">
      <w:pPr>
        <w:pStyle w:val="BodyText3"/>
      </w:pPr>
      <w:r>
        <w:t xml:space="preserve">Terms:   </w:t>
      </w:r>
    </w:p>
    <w:p w14:paraId="453AC999" w14:textId="77777777" w:rsidR="00DB5AAD" w:rsidRDefault="00DB5AAD" w:rsidP="00DB5AAD">
      <w:pPr>
        <w:pStyle w:val="BodyText3"/>
      </w:pPr>
      <w:r>
        <w:t xml:space="preserve">Date of Investment: January 1, 20X1     </w:t>
      </w:r>
    </w:p>
    <w:p w14:paraId="7B54DC14" w14:textId="77777777" w:rsidR="00DB5AAD" w:rsidRDefault="00DB5AAD" w:rsidP="00DB5AAD">
      <w:pPr>
        <w:pStyle w:val="BodyText3"/>
      </w:pPr>
      <w:r>
        <w:t>Purchase Price of Investment:  $100,000</w:t>
      </w:r>
    </w:p>
    <w:p w14:paraId="018BE1E2" w14:textId="77777777" w:rsidR="00DB5AAD" w:rsidRDefault="00DB5AAD" w:rsidP="00DB5AAD">
      <w:pPr>
        <w:pStyle w:val="BodyText3"/>
      </w:pPr>
    </w:p>
    <w:p w14:paraId="6E653CE4" w14:textId="77777777" w:rsidR="00DB5AAD" w:rsidRDefault="00DB5AAD" w:rsidP="00DB5AAD">
      <w:pPr>
        <w:pStyle w:val="BodyText3"/>
        <w:spacing w:after="220"/>
      </w:pPr>
      <w:r>
        <w:t>Assumptions:</w:t>
      </w:r>
    </w:p>
    <w:p w14:paraId="3CDDF3F6" w14:textId="77777777" w:rsidR="00DB5AAD" w:rsidRDefault="00DB5AAD" w:rsidP="00D60AA5">
      <w:pPr>
        <w:pStyle w:val="BodyText3"/>
        <w:numPr>
          <w:ilvl w:val="0"/>
          <w:numId w:val="28"/>
        </w:numPr>
        <w:tabs>
          <w:tab w:val="clear" w:pos="720"/>
        </w:tabs>
        <w:spacing w:after="220"/>
        <w:ind w:left="1440" w:hanging="720"/>
      </w:pPr>
      <w:r>
        <w:t>All cash flows (except initial investment) occur at the end of each year.</w:t>
      </w:r>
    </w:p>
    <w:p w14:paraId="29E4F06C" w14:textId="77777777" w:rsidR="00DB5AAD" w:rsidRDefault="00DB5AAD" w:rsidP="00DB5AAD">
      <w:pPr>
        <w:pStyle w:val="BodyText3"/>
        <w:numPr>
          <w:ilvl w:val="0"/>
          <w:numId w:val="28"/>
        </w:numPr>
        <w:spacing w:after="220"/>
        <w:ind w:left="1440" w:hanging="720"/>
      </w:pPr>
      <w:r>
        <w:t>Depreciation expense is computed, for book and tax purposes, using the straight-line method with a 27.5 year life (the same method is used for simplicity).</w:t>
      </w:r>
    </w:p>
    <w:p w14:paraId="4EE820B9" w14:textId="77777777" w:rsidR="00DB5AAD" w:rsidRDefault="00DB5AAD" w:rsidP="00DB5AAD">
      <w:pPr>
        <w:pStyle w:val="BodyText3"/>
        <w:numPr>
          <w:ilvl w:val="0"/>
          <w:numId w:val="28"/>
        </w:numPr>
        <w:spacing w:after="220"/>
        <w:ind w:left="1440" w:hanging="720"/>
      </w:pPr>
      <w:r>
        <w:t>The investor made a $100,000 investment for a 5 percent limited partnership interest in the project at the beginning of the first year of eligibility for the tax credit.</w:t>
      </w:r>
    </w:p>
    <w:p w14:paraId="6F3ABB2F" w14:textId="49E205EF" w:rsidR="00F6071D" w:rsidRDefault="00F6071D" w:rsidP="00DB5AAD">
      <w:pPr>
        <w:pStyle w:val="BodyText3"/>
        <w:numPr>
          <w:ilvl w:val="0"/>
          <w:numId w:val="28"/>
        </w:numPr>
        <w:spacing w:after="220"/>
        <w:ind w:left="1440" w:hanging="720"/>
      </w:pPr>
      <w:r>
        <w:t>The partnership will receive production tax credits based on the energy the project produces</w:t>
      </w:r>
      <w:r w:rsidR="00827B7E">
        <w:t xml:space="preserve">. The credits will be received over a four-year period. </w:t>
      </w:r>
    </w:p>
    <w:p w14:paraId="4F4B4509" w14:textId="45823BC0" w:rsidR="00827B7E" w:rsidRDefault="00827B7E" w:rsidP="00DB5AAD">
      <w:pPr>
        <w:pStyle w:val="BodyText3"/>
        <w:numPr>
          <w:ilvl w:val="0"/>
          <w:numId w:val="28"/>
        </w:numPr>
        <w:spacing w:after="220"/>
        <w:ind w:left="1440" w:hanging="720"/>
      </w:pPr>
      <w:r>
        <w:t xml:space="preserve">The tax equity investor will receive cash proceeds based on 2 percent of the project’s cash generated during the life of the project. </w:t>
      </w:r>
    </w:p>
    <w:p w14:paraId="0C145F13" w14:textId="77777777" w:rsidR="00DB5AAD" w:rsidRDefault="00DB5AAD" w:rsidP="00DB5AAD">
      <w:pPr>
        <w:pStyle w:val="BodyText3"/>
        <w:numPr>
          <w:ilvl w:val="0"/>
          <w:numId w:val="28"/>
        </w:numPr>
        <w:spacing w:after="220"/>
        <w:ind w:left="1440" w:hanging="720"/>
      </w:pPr>
      <w:r>
        <w:t>The investor's tax rate is 40 percent.</w:t>
      </w:r>
    </w:p>
    <w:p w14:paraId="164882DF" w14:textId="1E507875" w:rsidR="009F0D8D" w:rsidRDefault="009F0D8D" w:rsidP="00DB5AAD">
      <w:pPr>
        <w:pStyle w:val="BodyText3"/>
        <w:numPr>
          <w:ilvl w:val="0"/>
          <w:numId w:val="28"/>
        </w:numPr>
        <w:spacing w:after="220"/>
        <w:ind w:left="1440" w:hanging="720"/>
      </w:pPr>
      <w:r>
        <w:t>All requirements are met to retain allocable income tax credits such that there will be no recapture of income tax credits.</w:t>
      </w:r>
    </w:p>
    <w:p w14:paraId="30F52780" w14:textId="77777777" w:rsidR="009F0D8D" w:rsidRDefault="009F0D8D" w:rsidP="009F0D8D">
      <w:pPr>
        <w:pStyle w:val="BodyText3"/>
        <w:numPr>
          <w:ilvl w:val="0"/>
          <w:numId w:val="28"/>
        </w:numPr>
        <w:spacing w:after="220"/>
        <w:ind w:left="1440" w:hanging="720"/>
      </w:pPr>
      <w:r>
        <w:t>The investor expects that the estimated residual value of the investment will be zero.</w:t>
      </w:r>
    </w:p>
    <w:p w14:paraId="2859CF01" w14:textId="262A2B72" w:rsidR="00DB5AAD" w:rsidRDefault="00412A21" w:rsidP="00DB5AAD">
      <w:pPr>
        <w:pStyle w:val="BodyText3"/>
        <w:numPr>
          <w:ilvl w:val="0"/>
          <w:numId w:val="28"/>
        </w:numPr>
        <w:spacing w:after="220"/>
        <w:ind w:left="1440" w:hanging="720"/>
      </w:pPr>
      <w:r>
        <w:t xml:space="preserve">All of the condition are met to require use of the proportional amortization method. </w:t>
      </w:r>
    </w:p>
    <w:p w14:paraId="463330F5" w14:textId="08ADAB0B" w:rsidR="00DB5AAD" w:rsidRDefault="00D07EDF" w:rsidP="00DB5AAD">
      <w:pPr>
        <w:pStyle w:val="BodyText3"/>
        <w:numPr>
          <w:ilvl w:val="0"/>
          <w:numId w:val="28"/>
        </w:numPr>
        <w:spacing w:after="220"/>
        <w:ind w:left="1440" w:hanging="720"/>
      </w:pPr>
      <w:r>
        <w:t xml:space="preserve">After 10 years, the tax equity investor has a right to require that the project sponsor purchase the tax equity investor’s equity interest for a nominal amount. It is assumed that the option will be exercised. </w:t>
      </w:r>
    </w:p>
    <w:p w14:paraId="34E9F515" w14:textId="77777777" w:rsidR="00DB5AAD" w:rsidRDefault="00DB5AAD" w:rsidP="00DB5AAD">
      <w:pPr>
        <w:pStyle w:val="BodyText3"/>
      </w:pPr>
    </w:p>
    <w:p w14:paraId="0E6BE473" w14:textId="77777777" w:rsidR="00DB5AAD" w:rsidRDefault="00DB5AAD" w:rsidP="00DB5AAD">
      <w:pPr>
        <w:pStyle w:val="BodyText3"/>
      </w:pPr>
    </w:p>
    <w:p w14:paraId="5C27BDA2" w14:textId="77777777" w:rsidR="00DB5AAD" w:rsidRDefault="00DB5AAD" w:rsidP="00DB5AAD">
      <w:pPr>
        <w:pStyle w:val="BodyText3"/>
        <w:sectPr w:rsidR="00DB5AAD" w:rsidSect="001B0F42">
          <w:headerReference w:type="first" r:id="rId17"/>
          <w:footerReference w:type="first" r:id="rId18"/>
          <w:pgSz w:w="12240" w:h="15840" w:code="1"/>
          <w:pgMar w:top="1080" w:right="1440" w:bottom="1080" w:left="1440" w:header="720" w:footer="720" w:gutter="0"/>
          <w:cols w:space="720"/>
          <w:formProt w:val="0"/>
        </w:sectPr>
      </w:pPr>
    </w:p>
    <w:p w14:paraId="7BA2CFFB" w14:textId="77777777" w:rsidR="00DB5AAD" w:rsidRPr="008E3EF9" w:rsidRDefault="00DB5AAD" w:rsidP="00DB5AAD">
      <w:pPr>
        <w:pStyle w:val="BodyText3"/>
        <w:keepNext/>
        <w:keepLines/>
        <w:spacing w:after="220"/>
        <w:jc w:val="center"/>
      </w:pPr>
      <w:r>
        <w:lastRenderedPageBreak/>
        <w:t>Proportional</w:t>
      </w:r>
      <w:r w:rsidRPr="006F4A28">
        <w:t xml:space="preserve"> Amortization</w:t>
      </w:r>
      <w:r>
        <w:t xml:space="preserve"> Method</w:t>
      </w:r>
      <w:r w:rsidRPr="006F4A28">
        <w:t xml:space="preserve"> with Statutory Modifications</w:t>
      </w:r>
    </w:p>
    <w:tbl>
      <w:tblPr>
        <w:tblW w:w="107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377"/>
        <w:gridCol w:w="1485"/>
        <w:gridCol w:w="1089"/>
        <w:gridCol w:w="1353"/>
        <w:gridCol w:w="1878"/>
        <w:gridCol w:w="1350"/>
        <w:gridCol w:w="1440"/>
      </w:tblGrid>
      <w:tr w:rsidR="00550784" w:rsidRPr="00DD3A12" w14:paraId="0BC6DC12" w14:textId="43F51BCF" w:rsidTr="00F478AC">
        <w:tc>
          <w:tcPr>
            <w:tcW w:w="738" w:type="dxa"/>
            <w:shd w:val="clear" w:color="auto" w:fill="auto"/>
            <w:vAlign w:val="bottom"/>
            <w:hideMark/>
          </w:tcPr>
          <w:p w14:paraId="3011D21C" w14:textId="77777777" w:rsidR="00550784" w:rsidRPr="00DD3A12" w:rsidRDefault="00550784" w:rsidP="006A6EBE">
            <w:pPr>
              <w:keepNext/>
              <w:keepLines/>
              <w:jc w:val="center"/>
              <w:rPr>
                <w:color w:val="000000"/>
                <w:szCs w:val="22"/>
              </w:rPr>
            </w:pPr>
          </w:p>
        </w:tc>
        <w:tc>
          <w:tcPr>
            <w:tcW w:w="1377" w:type="dxa"/>
            <w:shd w:val="clear" w:color="auto" w:fill="auto"/>
            <w:vAlign w:val="bottom"/>
            <w:hideMark/>
          </w:tcPr>
          <w:p w14:paraId="36B654D0" w14:textId="77777777" w:rsidR="00550784" w:rsidRPr="00DD3A12" w:rsidRDefault="00550784" w:rsidP="006A6EBE">
            <w:pPr>
              <w:keepNext/>
              <w:keepLines/>
              <w:jc w:val="center"/>
              <w:rPr>
                <w:color w:val="000000"/>
                <w:szCs w:val="22"/>
              </w:rPr>
            </w:pPr>
            <w:r w:rsidRPr="00DD3A12">
              <w:rPr>
                <w:color w:val="000000"/>
                <w:szCs w:val="22"/>
              </w:rPr>
              <w:t xml:space="preserve">Net Investment </w:t>
            </w:r>
          </w:p>
        </w:tc>
        <w:tc>
          <w:tcPr>
            <w:tcW w:w="1485" w:type="dxa"/>
            <w:shd w:val="clear" w:color="auto" w:fill="auto"/>
            <w:tcMar>
              <w:left w:w="72" w:type="dxa"/>
              <w:right w:w="72" w:type="dxa"/>
            </w:tcMar>
            <w:vAlign w:val="bottom"/>
            <w:hideMark/>
          </w:tcPr>
          <w:p w14:paraId="0BE084D6" w14:textId="77777777" w:rsidR="00550784" w:rsidRPr="00DD3A12" w:rsidRDefault="00550784" w:rsidP="006A6EBE">
            <w:pPr>
              <w:keepNext/>
              <w:keepLines/>
              <w:jc w:val="center"/>
              <w:rPr>
                <w:color w:val="000000"/>
                <w:szCs w:val="22"/>
              </w:rPr>
            </w:pPr>
            <w:r w:rsidRPr="00DD3A12">
              <w:rPr>
                <w:color w:val="000000"/>
                <w:szCs w:val="22"/>
              </w:rPr>
              <w:t>Amortization of Investment</w:t>
            </w:r>
          </w:p>
        </w:tc>
        <w:tc>
          <w:tcPr>
            <w:tcW w:w="1089" w:type="dxa"/>
            <w:shd w:val="clear" w:color="auto" w:fill="auto"/>
            <w:vAlign w:val="bottom"/>
            <w:hideMark/>
          </w:tcPr>
          <w:p w14:paraId="3F54ADFB" w14:textId="77777777" w:rsidR="00550784" w:rsidRPr="00DD3A12" w:rsidRDefault="00550784" w:rsidP="006A6EBE">
            <w:pPr>
              <w:keepNext/>
              <w:keepLines/>
              <w:jc w:val="center"/>
              <w:rPr>
                <w:color w:val="000000"/>
                <w:szCs w:val="22"/>
              </w:rPr>
            </w:pPr>
            <w:r w:rsidRPr="00DD3A12">
              <w:rPr>
                <w:color w:val="000000"/>
                <w:szCs w:val="22"/>
              </w:rPr>
              <w:t>Tax Credits</w:t>
            </w:r>
          </w:p>
        </w:tc>
        <w:tc>
          <w:tcPr>
            <w:tcW w:w="1353" w:type="dxa"/>
            <w:shd w:val="clear" w:color="auto" w:fill="auto"/>
            <w:tcMar>
              <w:left w:w="43" w:type="dxa"/>
              <w:right w:w="43" w:type="dxa"/>
            </w:tcMar>
            <w:vAlign w:val="bottom"/>
            <w:hideMark/>
          </w:tcPr>
          <w:p w14:paraId="2EA33E6A" w14:textId="77777777" w:rsidR="00550784" w:rsidRPr="00DD3A12" w:rsidRDefault="00550784" w:rsidP="006A6EBE">
            <w:pPr>
              <w:keepNext/>
              <w:keepLines/>
              <w:jc w:val="center"/>
              <w:rPr>
                <w:color w:val="000000"/>
                <w:szCs w:val="22"/>
              </w:rPr>
            </w:pPr>
            <w:r w:rsidRPr="00DD3A12">
              <w:rPr>
                <w:color w:val="000000"/>
                <w:szCs w:val="22"/>
              </w:rPr>
              <w:t>Net Losses/Tax Depreciation</w:t>
            </w:r>
          </w:p>
        </w:tc>
        <w:tc>
          <w:tcPr>
            <w:tcW w:w="1878" w:type="dxa"/>
            <w:shd w:val="clear" w:color="auto" w:fill="auto"/>
            <w:vAlign w:val="bottom"/>
            <w:hideMark/>
          </w:tcPr>
          <w:p w14:paraId="479E463E" w14:textId="77777777" w:rsidR="00550784" w:rsidRPr="00DD3A12" w:rsidRDefault="00550784" w:rsidP="006A6EBE">
            <w:pPr>
              <w:keepNext/>
              <w:keepLines/>
              <w:jc w:val="center"/>
              <w:rPr>
                <w:color w:val="000000"/>
                <w:szCs w:val="22"/>
              </w:rPr>
            </w:pPr>
            <w:r w:rsidRPr="00DD3A12">
              <w:rPr>
                <w:color w:val="000000"/>
                <w:szCs w:val="22"/>
              </w:rPr>
              <w:t>Other Tax Benefits from Tax Depreciation</w:t>
            </w:r>
          </w:p>
        </w:tc>
        <w:tc>
          <w:tcPr>
            <w:tcW w:w="1350" w:type="dxa"/>
            <w:shd w:val="clear" w:color="auto" w:fill="auto"/>
            <w:vAlign w:val="bottom"/>
            <w:hideMark/>
          </w:tcPr>
          <w:p w14:paraId="1DF99B48" w14:textId="77777777" w:rsidR="00550784" w:rsidRPr="00DD3A12" w:rsidRDefault="00550784" w:rsidP="006A6EBE">
            <w:pPr>
              <w:keepNext/>
              <w:keepLines/>
              <w:jc w:val="center"/>
              <w:rPr>
                <w:color w:val="000000"/>
                <w:szCs w:val="22"/>
              </w:rPr>
            </w:pPr>
            <w:r w:rsidRPr="00DD3A12">
              <w:rPr>
                <w:color w:val="000000"/>
                <w:szCs w:val="22"/>
              </w:rPr>
              <w:t>Tax Credits and Other Tax Benefits</w:t>
            </w:r>
          </w:p>
        </w:tc>
        <w:tc>
          <w:tcPr>
            <w:tcW w:w="1440" w:type="dxa"/>
          </w:tcPr>
          <w:p w14:paraId="2D38A559" w14:textId="296C0D5F" w:rsidR="00550784" w:rsidRPr="00DD3A12" w:rsidRDefault="002F6034" w:rsidP="006A6EBE">
            <w:pPr>
              <w:keepNext/>
              <w:keepLines/>
              <w:jc w:val="center"/>
              <w:rPr>
                <w:color w:val="000000"/>
                <w:szCs w:val="22"/>
              </w:rPr>
            </w:pPr>
            <w:r>
              <w:rPr>
                <w:color w:val="000000"/>
                <w:szCs w:val="22"/>
              </w:rPr>
              <w:t>Non-Tax Related Cash Returns</w:t>
            </w:r>
          </w:p>
        </w:tc>
      </w:tr>
      <w:tr w:rsidR="00550784" w:rsidRPr="00DD3A12" w14:paraId="7D0EBF65" w14:textId="6BEA1A59" w:rsidTr="00F478AC">
        <w:trPr>
          <w:trHeight w:val="276"/>
        </w:trPr>
        <w:tc>
          <w:tcPr>
            <w:tcW w:w="738" w:type="dxa"/>
            <w:shd w:val="clear" w:color="auto" w:fill="auto"/>
            <w:vAlign w:val="bottom"/>
            <w:hideMark/>
          </w:tcPr>
          <w:p w14:paraId="66F559E1" w14:textId="77777777" w:rsidR="00550784" w:rsidRPr="00DD3A12" w:rsidRDefault="00550784" w:rsidP="006A6EBE">
            <w:pPr>
              <w:keepNext/>
              <w:keepLines/>
              <w:jc w:val="center"/>
              <w:rPr>
                <w:color w:val="000000"/>
                <w:szCs w:val="22"/>
              </w:rPr>
            </w:pPr>
            <w:r w:rsidRPr="00DD3A12">
              <w:rPr>
                <w:color w:val="000000"/>
                <w:szCs w:val="22"/>
              </w:rPr>
              <w:t>Year</w:t>
            </w:r>
          </w:p>
        </w:tc>
        <w:tc>
          <w:tcPr>
            <w:tcW w:w="1377" w:type="dxa"/>
            <w:shd w:val="clear" w:color="auto" w:fill="auto"/>
            <w:vAlign w:val="bottom"/>
            <w:hideMark/>
          </w:tcPr>
          <w:p w14:paraId="6D86078B" w14:textId="77777777" w:rsidR="00550784" w:rsidRPr="00DD3A12" w:rsidRDefault="00550784" w:rsidP="006A6EBE">
            <w:pPr>
              <w:keepNext/>
              <w:keepLines/>
              <w:jc w:val="center"/>
              <w:rPr>
                <w:color w:val="000000"/>
                <w:szCs w:val="22"/>
              </w:rPr>
            </w:pPr>
            <w:r>
              <w:rPr>
                <w:color w:val="000000"/>
                <w:szCs w:val="22"/>
              </w:rPr>
              <w:t>(</w:t>
            </w:r>
            <w:r w:rsidRPr="00DD3A12">
              <w:rPr>
                <w:color w:val="000000"/>
                <w:szCs w:val="22"/>
              </w:rPr>
              <w:t>1</w:t>
            </w:r>
            <w:r>
              <w:rPr>
                <w:color w:val="000000"/>
                <w:szCs w:val="22"/>
              </w:rPr>
              <w:t>)</w:t>
            </w:r>
          </w:p>
        </w:tc>
        <w:tc>
          <w:tcPr>
            <w:tcW w:w="1485" w:type="dxa"/>
            <w:shd w:val="clear" w:color="auto" w:fill="auto"/>
            <w:vAlign w:val="bottom"/>
            <w:hideMark/>
          </w:tcPr>
          <w:p w14:paraId="49DC5489" w14:textId="77777777" w:rsidR="00550784" w:rsidRPr="00DD3A12" w:rsidRDefault="00550784" w:rsidP="006A6EBE">
            <w:pPr>
              <w:keepNext/>
              <w:keepLines/>
              <w:jc w:val="center"/>
              <w:rPr>
                <w:color w:val="000000"/>
                <w:szCs w:val="22"/>
              </w:rPr>
            </w:pPr>
            <w:r>
              <w:rPr>
                <w:color w:val="000000"/>
                <w:szCs w:val="22"/>
              </w:rPr>
              <w:t>(</w:t>
            </w:r>
            <w:r w:rsidRPr="00DD3A12">
              <w:rPr>
                <w:color w:val="000000"/>
                <w:szCs w:val="22"/>
              </w:rPr>
              <w:t>2</w:t>
            </w:r>
            <w:r>
              <w:rPr>
                <w:color w:val="000000"/>
                <w:szCs w:val="22"/>
              </w:rPr>
              <w:t>)</w:t>
            </w:r>
          </w:p>
        </w:tc>
        <w:tc>
          <w:tcPr>
            <w:tcW w:w="1089" w:type="dxa"/>
            <w:shd w:val="clear" w:color="auto" w:fill="auto"/>
            <w:vAlign w:val="bottom"/>
            <w:hideMark/>
          </w:tcPr>
          <w:p w14:paraId="24A3DB1F" w14:textId="77777777" w:rsidR="00550784" w:rsidRPr="00DD3A12" w:rsidRDefault="00550784" w:rsidP="006A6EBE">
            <w:pPr>
              <w:keepNext/>
              <w:keepLines/>
              <w:jc w:val="center"/>
              <w:rPr>
                <w:color w:val="000000"/>
                <w:szCs w:val="22"/>
              </w:rPr>
            </w:pPr>
            <w:r>
              <w:rPr>
                <w:color w:val="000000"/>
                <w:szCs w:val="22"/>
              </w:rPr>
              <w:t>(</w:t>
            </w:r>
            <w:r w:rsidRPr="00DD3A12">
              <w:rPr>
                <w:color w:val="000000"/>
                <w:szCs w:val="22"/>
              </w:rPr>
              <w:t>3</w:t>
            </w:r>
            <w:r>
              <w:rPr>
                <w:color w:val="000000"/>
                <w:szCs w:val="22"/>
              </w:rPr>
              <w:t>)</w:t>
            </w:r>
          </w:p>
        </w:tc>
        <w:tc>
          <w:tcPr>
            <w:tcW w:w="1353" w:type="dxa"/>
            <w:shd w:val="clear" w:color="auto" w:fill="auto"/>
            <w:vAlign w:val="bottom"/>
            <w:hideMark/>
          </w:tcPr>
          <w:p w14:paraId="3D19F573" w14:textId="77777777" w:rsidR="00550784" w:rsidRPr="00DD3A12" w:rsidRDefault="00550784" w:rsidP="006A6EBE">
            <w:pPr>
              <w:keepNext/>
              <w:keepLines/>
              <w:jc w:val="center"/>
              <w:rPr>
                <w:color w:val="000000"/>
                <w:szCs w:val="22"/>
              </w:rPr>
            </w:pPr>
            <w:r>
              <w:rPr>
                <w:color w:val="000000"/>
                <w:szCs w:val="22"/>
              </w:rPr>
              <w:t>(</w:t>
            </w:r>
            <w:r w:rsidRPr="00DD3A12">
              <w:rPr>
                <w:color w:val="000000"/>
                <w:szCs w:val="22"/>
              </w:rPr>
              <w:t>4</w:t>
            </w:r>
            <w:r>
              <w:rPr>
                <w:color w:val="000000"/>
                <w:szCs w:val="22"/>
              </w:rPr>
              <w:t>)</w:t>
            </w:r>
          </w:p>
        </w:tc>
        <w:tc>
          <w:tcPr>
            <w:tcW w:w="1878" w:type="dxa"/>
            <w:shd w:val="clear" w:color="auto" w:fill="auto"/>
            <w:vAlign w:val="bottom"/>
            <w:hideMark/>
          </w:tcPr>
          <w:p w14:paraId="27EA17AB" w14:textId="77777777" w:rsidR="00550784" w:rsidRPr="00DD3A12" w:rsidRDefault="00550784" w:rsidP="006A6EBE">
            <w:pPr>
              <w:keepNext/>
              <w:keepLines/>
              <w:jc w:val="center"/>
              <w:rPr>
                <w:color w:val="000000"/>
                <w:szCs w:val="22"/>
              </w:rPr>
            </w:pPr>
            <w:r>
              <w:rPr>
                <w:color w:val="000000"/>
                <w:szCs w:val="22"/>
              </w:rPr>
              <w:t>(</w:t>
            </w:r>
            <w:r w:rsidRPr="00DD3A12">
              <w:rPr>
                <w:color w:val="000000"/>
                <w:szCs w:val="22"/>
              </w:rPr>
              <w:t>5</w:t>
            </w:r>
            <w:r>
              <w:rPr>
                <w:color w:val="000000"/>
                <w:szCs w:val="22"/>
              </w:rPr>
              <w:t>)</w:t>
            </w:r>
          </w:p>
        </w:tc>
        <w:tc>
          <w:tcPr>
            <w:tcW w:w="1350" w:type="dxa"/>
            <w:shd w:val="clear" w:color="auto" w:fill="auto"/>
            <w:vAlign w:val="bottom"/>
            <w:hideMark/>
          </w:tcPr>
          <w:p w14:paraId="5A9ABB42" w14:textId="77777777" w:rsidR="00550784" w:rsidRPr="00DD3A12" w:rsidRDefault="00550784" w:rsidP="006A6EBE">
            <w:pPr>
              <w:keepNext/>
              <w:keepLines/>
              <w:jc w:val="center"/>
              <w:rPr>
                <w:color w:val="000000"/>
                <w:szCs w:val="22"/>
              </w:rPr>
            </w:pPr>
            <w:r>
              <w:rPr>
                <w:color w:val="000000"/>
                <w:szCs w:val="22"/>
              </w:rPr>
              <w:t>(</w:t>
            </w:r>
            <w:r w:rsidRPr="00DD3A12">
              <w:rPr>
                <w:color w:val="000000"/>
                <w:szCs w:val="22"/>
              </w:rPr>
              <w:t>6</w:t>
            </w:r>
            <w:r>
              <w:rPr>
                <w:color w:val="000000"/>
                <w:szCs w:val="22"/>
              </w:rPr>
              <w:t>)</w:t>
            </w:r>
          </w:p>
        </w:tc>
        <w:tc>
          <w:tcPr>
            <w:tcW w:w="1440" w:type="dxa"/>
          </w:tcPr>
          <w:p w14:paraId="0F01B3EF" w14:textId="77777777" w:rsidR="00550784" w:rsidRDefault="00550784" w:rsidP="006A6EBE">
            <w:pPr>
              <w:keepNext/>
              <w:keepLines/>
              <w:jc w:val="center"/>
              <w:rPr>
                <w:color w:val="000000"/>
                <w:szCs w:val="22"/>
              </w:rPr>
            </w:pPr>
          </w:p>
        </w:tc>
      </w:tr>
      <w:tr w:rsidR="00550784" w:rsidRPr="00DD3A12" w14:paraId="69E6EA2F" w14:textId="2FD20684" w:rsidTr="00F478AC">
        <w:trPr>
          <w:trHeight w:val="276"/>
        </w:trPr>
        <w:tc>
          <w:tcPr>
            <w:tcW w:w="738" w:type="dxa"/>
            <w:shd w:val="clear" w:color="auto" w:fill="auto"/>
            <w:noWrap/>
            <w:vAlign w:val="bottom"/>
            <w:hideMark/>
          </w:tcPr>
          <w:p w14:paraId="39D17F87" w14:textId="77777777" w:rsidR="00550784" w:rsidRPr="00DD3A12" w:rsidRDefault="00550784" w:rsidP="006A6EBE">
            <w:pPr>
              <w:keepNext/>
              <w:keepLines/>
              <w:jc w:val="center"/>
              <w:rPr>
                <w:color w:val="000000"/>
                <w:szCs w:val="22"/>
              </w:rPr>
            </w:pPr>
          </w:p>
        </w:tc>
        <w:tc>
          <w:tcPr>
            <w:tcW w:w="1377" w:type="dxa"/>
            <w:shd w:val="clear" w:color="auto" w:fill="auto"/>
            <w:noWrap/>
            <w:vAlign w:val="bottom"/>
            <w:hideMark/>
          </w:tcPr>
          <w:p w14:paraId="35161F02" w14:textId="77777777" w:rsidR="00550784" w:rsidRPr="00DD3A12" w:rsidRDefault="00550784" w:rsidP="006A6EBE">
            <w:pPr>
              <w:keepNext/>
              <w:keepLines/>
              <w:ind w:right="297"/>
              <w:jc w:val="right"/>
              <w:rPr>
                <w:color w:val="000000"/>
                <w:szCs w:val="22"/>
              </w:rPr>
            </w:pPr>
            <w:r w:rsidRPr="00DD3A12">
              <w:rPr>
                <w:color w:val="000000"/>
                <w:szCs w:val="22"/>
              </w:rPr>
              <w:t>100,000</w:t>
            </w:r>
          </w:p>
        </w:tc>
        <w:tc>
          <w:tcPr>
            <w:tcW w:w="1485" w:type="dxa"/>
            <w:shd w:val="clear" w:color="auto" w:fill="auto"/>
            <w:noWrap/>
            <w:vAlign w:val="bottom"/>
            <w:hideMark/>
          </w:tcPr>
          <w:p w14:paraId="2CB055B6" w14:textId="77777777" w:rsidR="00550784" w:rsidRPr="00DD3A12" w:rsidRDefault="00550784" w:rsidP="006A6EBE">
            <w:pPr>
              <w:keepNext/>
              <w:keepLines/>
              <w:ind w:right="337"/>
              <w:rPr>
                <w:color w:val="000000"/>
                <w:szCs w:val="22"/>
              </w:rPr>
            </w:pPr>
          </w:p>
        </w:tc>
        <w:tc>
          <w:tcPr>
            <w:tcW w:w="1089" w:type="dxa"/>
            <w:shd w:val="clear" w:color="auto" w:fill="auto"/>
            <w:noWrap/>
            <w:vAlign w:val="bottom"/>
            <w:hideMark/>
          </w:tcPr>
          <w:p w14:paraId="03D4F39F" w14:textId="77777777" w:rsidR="00550784" w:rsidRPr="00DD3A12" w:rsidRDefault="00550784" w:rsidP="006A6EBE">
            <w:pPr>
              <w:keepNext/>
              <w:keepLines/>
              <w:rPr>
                <w:color w:val="000000"/>
                <w:szCs w:val="22"/>
              </w:rPr>
            </w:pPr>
          </w:p>
        </w:tc>
        <w:tc>
          <w:tcPr>
            <w:tcW w:w="1353" w:type="dxa"/>
            <w:shd w:val="clear" w:color="auto" w:fill="auto"/>
            <w:noWrap/>
            <w:vAlign w:val="bottom"/>
            <w:hideMark/>
          </w:tcPr>
          <w:p w14:paraId="1B92DFB3" w14:textId="77777777" w:rsidR="00550784" w:rsidRPr="00DD3A12" w:rsidRDefault="00550784" w:rsidP="006A6EBE">
            <w:pPr>
              <w:keepNext/>
              <w:keepLines/>
              <w:jc w:val="center"/>
              <w:rPr>
                <w:color w:val="000000"/>
                <w:szCs w:val="22"/>
              </w:rPr>
            </w:pPr>
          </w:p>
        </w:tc>
        <w:tc>
          <w:tcPr>
            <w:tcW w:w="1878" w:type="dxa"/>
            <w:shd w:val="clear" w:color="auto" w:fill="auto"/>
            <w:noWrap/>
            <w:vAlign w:val="bottom"/>
            <w:hideMark/>
          </w:tcPr>
          <w:p w14:paraId="6C9C8DB2" w14:textId="77777777" w:rsidR="00550784" w:rsidRPr="00DD3A12" w:rsidRDefault="00550784" w:rsidP="006A6EBE">
            <w:pPr>
              <w:keepNext/>
              <w:keepLines/>
              <w:jc w:val="center"/>
              <w:rPr>
                <w:color w:val="000000"/>
                <w:szCs w:val="22"/>
              </w:rPr>
            </w:pPr>
          </w:p>
        </w:tc>
        <w:tc>
          <w:tcPr>
            <w:tcW w:w="1350" w:type="dxa"/>
            <w:shd w:val="clear" w:color="auto" w:fill="auto"/>
            <w:noWrap/>
            <w:vAlign w:val="bottom"/>
            <w:hideMark/>
          </w:tcPr>
          <w:p w14:paraId="4CF4E44B" w14:textId="77777777" w:rsidR="00550784" w:rsidRPr="00DD3A12" w:rsidRDefault="00550784" w:rsidP="006A6EBE">
            <w:pPr>
              <w:keepNext/>
              <w:keepLines/>
              <w:ind w:right="252"/>
              <w:rPr>
                <w:color w:val="000000"/>
                <w:szCs w:val="22"/>
              </w:rPr>
            </w:pPr>
          </w:p>
        </w:tc>
        <w:tc>
          <w:tcPr>
            <w:tcW w:w="1440" w:type="dxa"/>
          </w:tcPr>
          <w:p w14:paraId="2750CB13" w14:textId="77777777" w:rsidR="00550784" w:rsidRPr="00DD3A12" w:rsidRDefault="00550784" w:rsidP="006A6EBE">
            <w:pPr>
              <w:keepNext/>
              <w:keepLines/>
              <w:ind w:right="252"/>
              <w:rPr>
                <w:color w:val="000000"/>
                <w:szCs w:val="22"/>
              </w:rPr>
            </w:pPr>
          </w:p>
        </w:tc>
      </w:tr>
      <w:tr w:rsidR="002F6034" w:rsidRPr="00DD3A12" w14:paraId="223C77A2" w14:textId="35A125CB" w:rsidTr="00F478AC">
        <w:trPr>
          <w:trHeight w:val="276"/>
        </w:trPr>
        <w:tc>
          <w:tcPr>
            <w:tcW w:w="738" w:type="dxa"/>
            <w:shd w:val="clear" w:color="auto" w:fill="auto"/>
            <w:noWrap/>
            <w:vAlign w:val="bottom"/>
            <w:hideMark/>
          </w:tcPr>
          <w:p w14:paraId="5AB2FE37" w14:textId="77777777" w:rsidR="002F6034" w:rsidRPr="00DD3A12" w:rsidRDefault="002F6034" w:rsidP="002F6034">
            <w:pPr>
              <w:keepNext/>
              <w:keepLines/>
              <w:jc w:val="center"/>
              <w:rPr>
                <w:color w:val="000000"/>
                <w:szCs w:val="22"/>
              </w:rPr>
            </w:pPr>
            <w:r w:rsidRPr="00DD3A12">
              <w:rPr>
                <w:color w:val="000000"/>
                <w:szCs w:val="22"/>
              </w:rPr>
              <w:t>1</w:t>
            </w:r>
          </w:p>
        </w:tc>
        <w:tc>
          <w:tcPr>
            <w:tcW w:w="1377" w:type="dxa"/>
            <w:shd w:val="clear" w:color="auto" w:fill="auto"/>
            <w:noWrap/>
            <w:vAlign w:val="bottom"/>
            <w:hideMark/>
          </w:tcPr>
          <w:p w14:paraId="1FCF6876" w14:textId="34813EFB" w:rsidR="002F6034" w:rsidRPr="00DD3A12" w:rsidRDefault="002F6034" w:rsidP="002F6034">
            <w:pPr>
              <w:keepNext/>
              <w:keepLines/>
              <w:ind w:right="297"/>
              <w:jc w:val="right"/>
              <w:rPr>
                <w:color w:val="000000"/>
                <w:szCs w:val="22"/>
              </w:rPr>
            </w:pPr>
            <w:r>
              <w:rPr>
                <w:color w:val="000000"/>
                <w:szCs w:val="22"/>
              </w:rPr>
              <w:t>79</w:t>
            </w:r>
            <w:r w:rsidR="00F478AC">
              <w:rPr>
                <w:color w:val="000000"/>
                <w:szCs w:val="22"/>
              </w:rPr>
              <w:t>,</w:t>
            </w:r>
            <w:r>
              <w:rPr>
                <w:color w:val="000000"/>
                <w:szCs w:val="22"/>
              </w:rPr>
              <w:t>399</w:t>
            </w:r>
          </w:p>
        </w:tc>
        <w:tc>
          <w:tcPr>
            <w:tcW w:w="1485" w:type="dxa"/>
            <w:shd w:val="clear" w:color="auto" w:fill="auto"/>
            <w:noWrap/>
            <w:vAlign w:val="bottom"/>
            <w:hideMark/>
          </w:tcPr>
          <w:p w14:paraId="72E74098" w14:textId="2A3FF2EC" w:rsidR="002F6034" w:rsidRPr="00DD3A12" w:rsidRDefault="002F6034" w:rsidP="002F6034">
            <w:pPr>
              <w:keepNext/>
              <w:keepLines/>
              <w:jc w:val="center"/>
              <w:rPr>
                <w:color w:val="000000"/>
                <w:szCs w:val="22"/>
              </w:rPr>
            </w:pPr>
            <w:r>
              <w:rPr>
                <w:color w:val="000000"/>
                <w:szCs w:val="22"/>
              </w:rPr>
              <w:t>20,601</w:t>
            </w:r>
          </w:p>
        </w:tc>
        <w:tc>
          <w:tcPr>
            <w:tcW w:w="1089" w:type="dxa"/>
            <w:shd w:val="clear" w:color="auto" w:fill="auto"/>
            <w:noWrap/>
            <w:tcMar>
              <w:left w:w="360" w:type="dxa"/>
              <w:right w:w="115" w:type="dxa"/>
            </w:tcMar>
            <w:hideMark/>
          </w:tcPr>
          <w:p w14:paraId="2CA5FD3B" w14:textId="6E244BFF" w:rsidR="002F6034" w:rsidRPr="00DD3A12" w:rsidRDefault="002F6034" w:rsidP="002F6034">
            <w:pPr>
              <w:keepNext/>
              <w:keepLines/>
              <w:rPr>
                <w:color w:val="000000"/>
                <w:szCs w:val="22"/>
              </w:rPr>
            </w:pPr>
            <w:r w:rsidRPr="001C0F35">
              <w:rPr>
                <w:color w:val="000000"/>
                <w:szCs w:val="22"/>
              </w:rPr>
              <w:t>20,000</w:t>
            </w:r>
          </w:p>
        </w:tc>
        <w:tc>
          <w:tcPr>
            <w:tcW w:w="1353" w:type="dxa"/>
            <w:shd w:val="clear" w:color="auto" w:fill="auto"/>
            <w:noWrap/>
            <w:hideMark/>
          </w:tcPr>
          <w:p w14:paraId="76F09D91" w14:textId="6736CB27" w:rsidR="002F6034" w:rsidRPr="00DD3A12" w:rsidRDefault="002F6034" w:rsidP="002F6034">
            <w:pPr>
              <w:keepNext/>
              <w:keepLines/>
              <w:jc w:val="center"/>
              <w:rPr>
                <w:color w:val="000000"/>
                <w:szCs w:val="22"/>
              </w:rPr>
            </w:pPr>
            <w:r w:rsidRPr="0054405D">
              <w:rPr>
                <w:color w:val="000000"/>
                <w:szCs w:val="22"/>
              </w:rPr>
              <w:t>8,300</w:t>
            </w:r>
          </w:p>
        </w:tc>
        <w:tc>
          <w:tcPr>
            <w:tcW w:w="1878" w:type="dxa"/>
            <w:shd w:val="clear" w:color="auto" w:fill="auto"/>
            <w:noWrap/>
            <w:vAlign w:val="bottom"/>
            <w:hideMark/>
          </w:tcPr>
          <w:p w14:paraId="07D9BB6A" w14:textId="5B4B4C34" w:rsidR="002F6034" w:rsidRPr="00DD3A12" w:rsidRDefault="002F6034" w:rsidP="002F6034">
            <w:pPr>
              <w:keepNext/>
              <w:keepLines/>
              <w:jc w:val="center"/>
              <w:rPr>
                <w:color w:val="000000"/>
                <w:szCs w:val="22"/>
              </w:rPr>
            </w:pPr>
            <w:r>
              <w:rPr>
                <w:color w:val="000000"/>
                <w:szCs w:val="22"/>
              </w:rPr>
              <w:t>3,320</w:t>
            </w:r>
          </w:p>
        </w:tc>
        <w:tc>
          <w:tcPr>
            <w:tcW w:w="1350" w:type="dxa"/>
            <w:shd w:val="clear" w:color="auto" w:fill="auto"/>
            <w:noWrap/>
            <w:vAlign w:val="bottom"/>
            <w:hideMark/>
          </w:tcPr>
          <w:p w14:paraId="46F78F2C" w14:textId="033959C7" w:rsidR="002F6034" w:rsidRPr="00DD3A12" w:rsidRDefault="002F6034" w:rsidP="002F6034">
            <w:pPr>
              <w:keepNext/>
              <w:keepLines/>
              <w:ind w:right="252"/>
              <w:jc w:val="right"/>
              <w:rPr>
                <w:color w:val="000000"/>
                <w:szCs w:val="22"/>
              </w:rPr>
            </w:pPr>
            <w:r>
              <w:rPr>
                <w:color w:val="000000"/>
                <w:szCs w:val="22"/>
              </w:rPr>
              <w:t>23,320</w:t>
            </w:r>
          </w:p>
        </w:tc>
        <w:tc>
          <w:tcPr>
            <w:tcW w:w="1440" w:type="dxa"/>
          </w:tcPr>
          <w:p w14:paraId="0233A030" w14:textId="10A8F723" w:rsidR="002F6034" w:rsidRPr="00DD3A12" w:rsidRDefault="002F6034" w:rsidP="002F6034">
            <w:pPr>
              <w:keepNext/>
              <w:keepLines/>
              <w:ind w:right="252"/>
              <w:jc w:val="right"/>
              <w:rPr>
                <w:color w:val="000000"/>
                <w:szCs w:val="22"/>
              </w:rPr>
            </w:pPr>
            <w:r>
              <w:rPr>
                <w:color w:val="000000"/>
                <w:szCs w:val="22"/>
              </w:rPr>
              <w:t>58</w:t>
            </w:r>
          </w:p>
        </w:tc>
      </w:tr>
      <w:tr w:rsidR="00906B55" w:rsidRPr="00DD3A12" w14:paraId="68888460" w14:textId="735566E7" w:rsidTr="009518D2">
        <w:trPr>
          <w:trHeight w:val="276"/>
        </w:trPr>
        <w:tc>
          <w:tcPr>
            <w:tcW w:w="738" w:type="dxa"/>
            <w:shd w:val="clear" w:color="auto" w:fill="auto"/>
            <w:noWrap/>
            <w:vAlign w:val="bottom"/>
            <w:hideMark/>
          </w:tcPr>
          <w:p w14:paraId="04C643DE" w14:textId="77777777" w:rsidR="00906B55" w:rsidRPr="00DD3A12" w:rsidRDefault="00906B55" w:rsidP="00906B55">
            <w:pPr>
              <w:keepNext/>
              <w:keepLines/>
              <w:jc w:val="center"/>
              <w:rPr>
                <w:color w:val="000000"/>
                <w:szCs w:val="22"/>
              </w:rPr>
            </w:pPr>
            <w:r w:rsidRPr="00DD3A12">
              <w:rPr>
                <w:color w:val="000000"/>
                <w:szCs w:val="22"/>
              </w:rPr>
              <w:t>2</w:t>
            </w:r>
          </w:p>
        </w:tc>
        <w:tc>
          <w:tcPr>
            <w:tcW w:w="1377" w:type="dxa"/>
            <w:shd w:val="clear" w:color="auto" w:fill="auto"/>
            <w:noWrap/>
            <w:vAlign w:val="bottom"/>
            <w:hideMark/>
          </w:tcPr>
          <w:p w14:paraId="45265019" w14:textId="67A66775" w:rsidR="00906B55" w:rsidRPr="00DD3A12" w:rsidRDefault="00906B55" w:rsidP="00906B55">
            <w:pPr>
              <w:keepNext/>
              <w:keepLines/>
              <w:ind w:right="297"/>
              <w:jc w:val="right"/>
              <w:rPr>
                <w:color w:val="000000"/>
                <w:szCs w:val="22"/>
              </w:rPr>
            </w:pPr>
            <w:r>
              <w:rPr>
                <w:color w:val="000000"/>
                <w:szCs w:val="22"/>
              </w:rPr>
              <w:t>58,799</w:t>
            </w:r>
          </w:p>
        </w:tc>
        <w:tc>
          <w:tcPr>
            <w:tcW w:w="1485" w:type="dxa"/>
            <w:shd w:val="clear" w:color="auto" w:fill="auto"/>
            <w:noWrap/>
            <w:hideMark/>
          </w:tcPr>
          <w:p w14:paraId="69DBAE9D" w14:textId="632F06E7" w:rsidR="00906B55" w:rsidRPr="00DD3A12" w:rsidRDefault="00906B55" w:rsidP="00906B55">
            <w:pPr>
              <w:keepNext/>
              <w:keepLines/>
              <w:jc w:val="center"/>
              <w:rPr>
                <w:color w:val="000000"/>
                <w:szCs w:val="22"/>
              </w:rPr>
            </w:pPr>
            <w:r w:rsidRPr="00361369">
              <w:rPr>
                <w:color w:val="000000"/>
                <w:szCs w:val="22"/>
              </w:rPr>
              <w:t>20,601</w:t>
            </w:r>
          </w:p>
        </w:tc>
        <w:tc>
          <w:tcPr>
            <w:tcW w:w="1089" w:type="dxa"/>
            <w:shd w:val="clear" w:color="auto" w:fill="auto"/>
            <w:noWrap/>
            <w:tcMar>
              <w:left w:w="360" w:type="dxa"/>
              <w:right w:w="115" w:type="dxa"/>
            </w:tcMar>
            <w:hideMark/>
          </w:tcPr>
          <w:p w14:paraId="2BC6AD94" w14:textId="51984BA1" w:rsidR="00906B55" w:rsidRPr="00DD3A12" w:rsidRDefault="00906B55" w:rsidP="00906B55">
            <w:pPr>
              <w:keepNext/>
              <w:keepLines/>
              <w:rPr>
                <w:color w:val="000000"/>
                <w:szCs w:val="22"/>
              </w:rPr>
            </w:pPr>
            <w:r w:rsidRPr="001C0F35">
              <w:rPr>
                <w:color w:val="000000"/>
                <w:szCs w:val="22"/>
              </w:rPr>
              <w:t>20,000</w:t>
            </w:r>
          </w:p>
        </w:tc>
        <w:tc>
          <w:tcPr>
            <w:tcW w:w="1353" w:type="dxa"/>
            <w:shd w:val="clear" w:color="auto" w:fill="auto"/>
            <w:noWrap/>
            <w:hideMark/>
          </w:tcPr>
          <w:p w14:paraId="7FFDD9DC" w14:textId="2DFF3F2C"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489BB79F" w14:textId="38F70747"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18E01B6B" w14:textId="31C5238A" w:rsidR="00906B55" w:rsidRPr="00DD3A12" w:rsidRDefault="00906B55" w:rsidP="00906B55">
            <w:pPr>
              <w:keepNext/>
              <w:keepLines/>
              <w:ind w:right="252"/>
              <w:jc w:val="right"/>
              <w:rPr>
                <w:color w:val="000000"/>
                <w:szCs w:val="22"/>
              </w:rPr>
            </w:pPr>
            <w:r w:rsidRPr="007F6CBB">
              <w:rPr>
                <w:color w:val="000000"/>
                <w:szCs w:val="22"/>
              </w:rPr>
              <w:t>23,320</w:t>
            </w:r>
          </w:p>
        </w:tc>
        <w:tc>
          <w:tcPr>
            <w:tcW w:w="1440" w:type="dxa"/>
          </w:tcPr>
          <w:p w14:paraId="2E59A621" w14:textId="61E43FBE"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2EF84E09" w14:textId="046029E1" w:rsidTr="009518D2">
        <w:trPr>
          <w:trHeight w:val="276"/>
        </w:trPr>
        <w:tc>
          <w:tcPr>
            <w:tcW w:w="738" w:type="dxa"/>
            <w:shd w:val="clear" w:color="auto" w:fill="auto"/>
            <w:noWrap/>
            <w:vAlign w:val="bottom"/>
            <w:hideMark/>
          </w:tcPr>
          <w:p w14:paraId="584B5308" w14:textId="77777777" w:rsidR="00906B55" w:rsidRPr="00DD3A12" w:rsidRDefault="00906B55" w:rsidP="00906B55">
            <w:pPr>
              <w:keepNext/>
              <w:keepLines/>
              <w:jc w:val="center"/>
              <w:rPr>
                <w:color w:val="000000"/>
                <w:szCs w:val="22"/>
              </w:rPr>
            </w:pPr>
            <w:r w:rsidRPr="00DD3A12">
              <w:rPr>
                <w:color w:val="000000"/>
                <w:szCs w:val="22"/>
              </w:rPr>
              <w:t>3</w:t>
            </w:r>
          </w:p>
        </w:tc>
        <w:tc>
          <w:tcPr>
            <w:tcW w:w="1377" w:type="dxa"/>
            <w:shd w:val="clear" w:color="auto" w:fill="auto"/>
            <w:noWrap/>
            <w:vAlign w:val="bottom"/>
            <w:hideMark/>
          </w:tcPr>
          <w:p w14:paraId="5CBD32EB" w14:textId="3D0758E0" w:rsidR="00906B55" w:rsidRPr="00DD3A12" w:rsidRDefault="00906B55" w:rsidP="00906B55">
            <w:pPr>
              <w:keepNext/>
              <w:keepLines/>
              <w:ind w:right="297"/>
              <w:jc w:val="right"/>
              <w:rPr>
                <w:color w:val="000000"/>
                <w:szCs w:val="22"/>
              </w:rPr>
            </w:pPr>
            <w:r>
              <w:rPr>
                <w:color w:val="000000"/>
                <w:szCs w:val="22"/>
              </w:rPr>
              <w:t>38,198</w:t>
            </w:r>
          </w:p>
        </w:tc>
        <w:tc>
          <w:tcPr>
            <w:tcW w:w="1485" w:type="dxa"/>
            <w:shd w:val="clear" w:color="auto" w:fill="auto"/>
            <w:noWrap/>
            <w:hideMark/>
          </w:tcPr>
          <w:p w14:paraId="6157597B" w14:textId="1ACA59DD" w:rsidR="00906B55" w:rsidRPr="00DD3A12" w:rsidRDefault="00906B55" w:rsidP="00906B55">
            <w:pPr>
              <w:keepNext/>
              <w:keepLines/>
              <w:jc w:val="center"/>
              <w:rPr>
                <w:color w:val="000000"/>
                <w:szCs w:val="22"/>
              </w:rPr>
            </w:pPr>
            <w:r w:rsidRPr="00361369">
              <w:rPr>
                <w:color w:val="000000"/>
                <w:szCs w:val="22"/>
              </w:rPr>
              <w:t>20,601</w:t>
            </w:r>
          </w:p>
        </w:tc>
        <w:tc>
          <w:tcPr>
            <w:tcW w:w="1089" w:type="dxa"/>
            <w:shd w:val="clear" w:color="auto" w:fill="auto"/>
            <w:noWrap/>
            <w:tcMar>
              <w:left w:w="360" w:type="dxa"/>
              <w:right w:w="115" w:type="dxa"/>
            </w:tcMar>
            <w:hideMark/>
          </w:tcPr>
          <w:p w14:paraId="6F10A40A" w14:textId="688514EF" w:rsidR="00906B55" w:rsidRPr="00DD3A12" w:rsidRDefault="00906B55" w:rsidP="00906B55">
            <w:pPr>
              <w:keepNext/>
              <w:keepLines/>
              <w:rPr>
                <w:color w:val="000000"/>
                <w:szCs w:val="22"/>
              </w:rPr>
            </w:pPr>
            <w:r w:rsidRPr="001C0F35">
              <w:rPr>
                <w:color w:val="000000"/>
                <w:szCs w:val="22"/>
              </w:rPr>
              <w:t>20,000</w:t>
            </w:r>
          </w:p>
        </w:tc>
        <w:tc>
          <w:tcPr>
            <w:tcW w:w="1353" w:type="dxa"/>
            <w:shd w:val="clear" w:color="auto" w:fill="auto"/>
            <w:noWrap/>
            <w:hideMark/>
          </w:tcPr>
          <w:p w14:paraId="6C720419" w14:textId="5F9E25FC"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6D1425A5" w14:textId="43ED6E6B"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38F520CE" w14:textId="27ED9777" w:rsidR="00906B55" w:rsidRPr="00DD3A12" w:rsidRDefault="00906B55" w:rsidP="00906B55">
            <w:pPr>
              <w:keepNext/>
              <w:keepLines/>
              <w:ind w:right="252"/>
              <w:jc w:val="right"/>
              <w:rPr>
                <w:color w:val="000000"/>
                <w:szCs w:val="22"/>
              </w:rPr>
            </w:pPr>
            <w:r w:rsidRPr="007F6CBB">
              <w:rPr>
                <w:color w:val="000000"/>
                <w:szCs w:val="22"/>
              </w:rPr>
              <w:t>23,320</w:t>
            </w:r>
          </w:p>
        </w:tc>
        <w:tc>
          <w:tcPr>
            <w:tcW w:w="1440" w:type="dxa"/>
          </w:tcPr>
          <w:p w14:paraId="78334FC3" w14:textId="0C6E5436"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53EBB8AC" w14:textId="6363E375" w:rsidTr="009518D2">
        <w:trPr>
          <w:trHeight w:val="276"/>
        </w:trPr>
        <w:tc>
          <w:tcPr>
            <w:tcW w:w="738" w:type="dxa"/>
            <w:shd w:val="clear" w:color="auto" w:fill="auto"/>
            <w:noWrap/>
            <w:vAlign w:val="bottom"/>
            <w:hideMark/>
          </w:tcPr>
          <w:p w14:paraId="06D688E3" w14:textId="77777777" w:rsidR="00906B55" w:rsidRPr="00DD3A12" w:rsidRDefault="00906B55" w:rsidP="00906B55">
            <w:pPr>
              <w:keepNext/>
              <w:keepLines/>
              <w:jc w:val="center"/>
              <w:rPr>
                <w:color w:val="000000"/>
                <w:szCs w:val="22"/>
              </w:rPr>
            </w:pPr>
            <w:r w:rsidRPr="00DD3A12">
              <w:rPr>
                <w:color w:val="000000"/>
                <w:szCs w:val="22"/>
              </w:rPr>
              <w:t>4</w:t>
            </w:r>
          </w:p>
        </w:tc>
        <w:tc>
          <w:tcPr>
            <w:tcW w:w="1377" w:type="dxa"/>
            <w:shd w:val="clear" w:color="auto" w:fill="auto"/>
            <w:noWrap/>
            <w:vAlign w:val="bottom"/>
            <w:hideMark/>
          </w:tcPr>
          <w:p w14:paraId="6F4E293B" w14:textId="20811E5C" w:rsidR="00906B55" w:rsidRPr="00DD3A12" w:rsidRDefault="00906B55" w:rsidP="00906B55">
            <w:pPr>
              <w:keepNext/>
              <w:keepLines/>
              <w:ind w:right="297"/>
              <w:jc w:val="right"/>
              <w:rPr>
                <w:color w:val="000000"/>
                <w:szCs w:val="22"/>
              </w:rPr>
            </w:pPr>
            <w:r>
              <w:rPr>
                <w:color w:val="000000"/>
                <w:szCs w:val="22"/>
              </w:rPr>
              <w:t>17,597</w:t>
            </w:r>
          </w:p>
        </w:tc>
        <w:tc>
          <w:tcPr>
            <w:tcW w:w="1485" w:type="dxa"/>
            <w:shd w:val="clear" w:color="auto" w:fill="auto"/>
            <w:noWrap/>
            <w:hideMark/>
          </w:tcPr>
          <w:p w14:paraId="2490A230" w14:textId="1D44232D" w:rsidR="00906B55" w:rsidRPr="00DD3A12" w:rsidRDefault="00906B55" w:rsidP="00906B55">
            <w:pPr>
              <w:keepNext/>
              <w:keepLines/>
              <w:jc w:val="center"/>
              <w:rPr>
                <w:color w:val="000000"/>
                <w:szCs w:val="22"/>
              </w:rPr>
            </w:pPr>
            <w:r w:rsidRPr="00361369">
              <w:rPr>
                <w:color w:val="000000"/>
                <w:szCs w:val="22"/>
              </w:rPr>
              <w:t>20,601</w:t>
            </w:r>
          </w:p>
        </w:tc>
        <w:tc>
          <w:tcPr>
            <w:tcW w:w="1089" w:type="dxa"/>
            <w:shd w:val="clear" w:color="auto" w:fill="auto"/>
            <w:noWrap/>
            <w:tcMar>
              <w:left w:w="360" w:type="dxa"/>
              <w:right w:w="115" w:type="dxa"/>
            </w:tcMar>
            <w:hideMark/>
          </w:tcPr>
          <w:p w14:paraId="5BAAD8B0" w14:textId="76F9803F" w:rsidR="00906B55" w:rsidRPr="00DD3A12" w:rsidRDefault="00906B55" w:rsidP="00906B55">
            <w:pPr>
              <w:keepNext/>
              <w:keepLines/>
              <w:rPr>
                <w:color w:val="000000"/>
                <w:szCs w:val="22"/>
              </w:rPr>
            </w:pPr>
            <w:r w:rsidRPr="001C0F35">
              <w:rPr>
                <w:color w:val="000000"/>
                <w:szCs w:val="22"/>
              </w:rPr>
              <w:t>20,000</w:t>
            </w:r>
          </w:p>
        </w:tc>
        <w:tc>
          <w:tcPr>
            <w:tcW w:w="1353" w:type="dxa"/>
            <w:shd w:val="clear" w:color="auto" w:fill="auto"/>
            <w:noWrap/>
            <w:hideMark/>
          </w:tcPr>
          <w:p w14:paraId="4447BC31" w14:textId="70A76DDB"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0F0B7EFE" w14:textId="6F8E92E4"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47138BEC" w14:textId="6A365440" w:rsidR="00906B55" w:rsidRPr="00DD3A12" w:rsidRDefault="00906B55" w:rsidP="00906B55">
            <w:pPr>
              <w:keepNext/>
              <w:keepLines/>
              <w:ind w:right="252"/>
              <w:jc w:val="right"/>
              <w:rPr>
                <w:color w:val="000000"/>
                <w:szCs w:val="22"/>
              </w:rPr>
            </w:pPr>
            <w:r w:rsidRPr="007F6CBB">
              <w:rPr>
                <w:color w:val="000000"/>
                <w:szCs w:val="22"/>
              </w:rPr>
              <w:t>23,320</w:t>
            </w:r>
          </w:p>
        </w:tc>
        <w:tc>
          <w:tcPr>
            <w:tcW w:w="1440" w:type="dxa"/>
          </w:tcPr>
          <w:p w14:paraId="0A19E08A" w14:textId="7FA15C94"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079BA116" w14:textId="3AA14DC9" w:rsidTr="00B20D89">
        <w:trPr>
          <w:trHeight w:val="276"/>
        </w:trPr>
        <w:tc>
          <w:tcPr>
            <w:tcW w:w="738" w:type="dxa"/>
            <w:shd w:val="clear" w:color="auto" w:fill="auto"/>
            <w:noWrap/>
            <w:vAlign w:val="bottom"/>
            <w:hideMark/>
          </w:tcPr>
          <w:p w14:paraId="15187375" w14:textId="77777777" w:rsidR="00906B55" w:rsidRPr="00DD3A12" w:rsidRDefault="00906B55" w:rsidP="00906B55">
            <w:pPr>
              <w:keepNext/>
              <w:keepLines/>
              <w:jc w:val="center"/>
              <w:rPr>
                <w:color w:val="000000"/>
                <w:szCs w:val="22"/>
              </w:rPr>
            </w:pPr>
            <w:r w:rsidRPr="00DD3A12">
              <w:rPr>
                <w:color w:val="000000"/>
                <w:szCs w:val="22"/>
              </w:rPr>
              <w:t>5</w:t>
            </w:r>
          </w:p>
        </w:tc>
        <w:tc>
          <w:tcPr>
            <w:tcW w:w="1377" w:type="dxa"/>
            <w:shd w:val="clear" w:color="auto" w:fill="auto"/>
            <w:noWrap/>
            <w:vAlign w:val="bottom"/>
            <w:hideMark/>
          </w:tcPr>
          <w:p w14:paraId="6612023A" w14:textId="3D2B135A" w:rsidR="00906B55" w:rsidRPr="00DD3A12" w:rsidRDefault="00906B55" w:rsidP="00906B55">
            <w:pPr>
              <w:keepNext/>
              <w:keepLines/>
              <w:ind w:right="297"/>
              <w:jc w:val="right"/>
              <w:rPr>
                <w:color w:val="000000"/>
                <w:szCs w:val="22"/>
              </w:rPr>
            </w:pPr>
            <w:r>
              <w:rPr>
                <w:color w:val="000000"/>
                <w:szCs w:val="22"/>
              </w:rPr>
              <w:t>14,664</w:t>
            </w:r>
          </w:p>
        </w:tc>
        <w:tc>
          <w:tcPr>
            <w:tcW w:w="1485" w:type="dxa"/>
            <w:shd w:val="clear" w:color="auto" w:fill="auto"/>
            <w:noWrap/>
            <w:vAlign w:val="bottom"/>
            <w:hideMark/>
          </w:tcPr>
          <w:p w14:paraId="5BEC6A26" w14:textId="7A359B9D" w:rsidR="00906B55" w:rsidRPr="00DD3A12" w:rsidRDefault="00906B55" w:rsidP="00906B55">
            <w:pPr>
              <w:keepNext/>
              <w:keepLines/>
              <w:jc w:val="center"/>
              <w:rPr>
                <w:color w:val="000000"/>
                <w:szCs w:val="22"/>
              </w:rPr>
            </w:pPr>
            <w:r>
              <w:rPr>
                <w:color w:val="000000"/>
                <w:szCs w:val="22"/>
              </w:rPr>
              <w:t>2,933</w:t>
            </w:r>
          </w:p>
        </w:tc>
        <w:tc>
          <w:tcPr>
            <w:tcW w:w="1089" w:type="dxa"/>
            <w:shd w:val="clear" w:color="auto" w:fill="auto"/>
            <w:noWrap/>
            <w:tcMar>
              <w:left w:w="360" w:type="dxa"/>
              <w:right w:w="115" w:type="dxa"/>
            </w:tcMar>
            <w:vAlign w:val="bottom"/>
          </w:tcPr>
          <w:p w14:paraId="17B1100B" w14:textId="33C4E9B7" w:rsidR="00906B55" w:rsidRPr="00DD3A12" w:rsidRDefault="00906B55" w:rsidP="00906B55">
            <w:pPr>
              <w:keepNext/>
              <w:keepLines/>
              <w:rPr>
                <w:color w:val="000000"/>
                <w:szCs w:val="22"/>
              </w:rPr>
            </w:pPr>
          </w:p>
        </w:tc>
        <w:tc>
          <w:tcPr>
            <w:tcW w:w="1353" w:type="dxa"/>
            <w:shd w:val="clear" w:color="auto" w:fill="auto"/>
            <w:noWrap/>
            <w:hideMark/>
          </w:tcPr>
          <w:p w14:paraId="7EC14079" w14:textId="29161459"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56D350ED" w14:textId="3FCF225D"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vAlign w:val="bottom"/>
            <w:hideMark/>
          </w:tcPr>
          <w:p w14:paraId="03D46E64" w14:textId="7ADD3E28" w:rsidR="00906B55" w:rsidRPr="00DD3A12" w:rsidRDefault="00906B55" w:rsidP="00906B55">
            <w:pPr>
              <w:keepNext/>
              <w:keepLines/>
              <w:ind w:right="252"/>
              <w:jc w:val="right"/>
              <w:rPr>
                <w:color w:val="000000"/>
                <w:szCs w:val="22"/>
              </w:rPr>
            </w:pPr>
            <w:r>
              <w:rPr>
                <w:color w:val="000000"/>
                <w:szCs w:val="22"/>
              </w:rPr>
              <w:t>3,320</w:t>
            </w:r>
          </w:p>
        </w:tc>
        <w:tc>
          <w:tcPr>
            <w:tcW w:w="1440" w:type="dxa"/>
          </w:tcPr>
          <w:p w14:paraId="5931EAF7" w14:textId="6C69861C"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3361D388" w14:textId="12020252" w:rsidTr="006F489A">
        <w:trPr>
          <w:trHeight w:val="276"/>
        </w:trPr>
        <w:tc>
          <w:tcPr>
            <w:tcW w:w="738" w:type="dxa"/>
            <w:shd w:val="clear" w:color="auto" w:fill="auto"/>
            <w:noWrap/>
            <w:vAlign w:val="bottom"/>
            <w:hideMark/>
          </w:tcPr>
          <w:p w14:paraId="787F89A7" w14:textId="77777777" w:rsidR="00906B55" w:rsidRPr="00DD3A12" w:rsidRDefault="00906B55" w:rsidP="00906B55">
            <w:pPr>
              <w:keepNext/>
              <w:keepLines/>
              <w:jc w:val="center"/>
              <w:rPr>
                <w:color w:val="000000"/>
                <w:szCs w:val="22"/>
              </w:rPr>
            </w:pPr>
            <w:r w:rsidRPr="00DD3A12">
              <w:rPr>
                <w:color w:val="000000"/>
                <w:szCs w:val="22"/>
              </w:rPr>
              <w:t>6</w:t>
            </w:r>
          </w:p>
        </w:tc>
        <w:tc>
          <w:tcPr>
            <w:tcW w:w="1377" w:type="dxa"/>
            <w:shd w:val="clear" w:color="auto" w:fill="auto"/>
            <w:noWrap/>
            <w:vAlign w:val="bottom"/>
            <w:hideMark/>
          </w:tcPr>
          <w:p w14:paraId="4FD0C281" w14:textId="3EFC8B16" w:rsidR="00906B55" w:rsidRPr="00DD3A12" w:rsidRDefault="00906B55" w:rsidP="00906B55">
            <w:pPr>
              <w:keepNext/>
              <w:keepLines/>
              <w:ind w:right="297"/>
              <w:jc w:val="right"/>
              <w:rPr>
                <w:color w:val="000000"/>
                <w:szCs w:val="22"/>
              </w:rPr>
            </w:pPr>
            <w:r>
              <w:rPr>
                <w:color w:val="000000"/>
                <w:szCs w:val="22"/>
              </w:rPr>
              <w:t>11,731</w:t>
            </w:r>
          </w:p>
        </w:tc>
        <w:tc>
          <w:tcPr>
            <w:tcW w:w="1485" w:type="dxa"/>
            <w:shd w:val="clear" w:color="auto" w:fill="auto"/>
            <w:noWrap/>
            <w:hideMark/>
          </w:tcPr>
          <w:p w14:paraId="16C2AC01" w14:textId="358031AD" w:rsidR="00906B55" w:rsidRPr="00DD3A12" w:rsidRDefault="00906B55" w:rsidP="00906B55">
            <w:pPr>
              <w:keepNext/>
              <w:keepLines/>
              <w:jc w:val="center"/>
              <w:rPr>
                <w:color w:val="000000"/>
                <w:szCs w:val="22"/>
              </w:rPr>
            </w:pPr>
            <w:r w:rsidRPr="00364E39">
              <w:rPr>
                <w:color w:val="000000"/>
                <w:szCs w:val="22"/>
              </w:rPr>
              <w:t>2,933</w:t>
            </w:r>
          </w:p>
        </w:tc>
        <w:tc>
          <w:tcPr>
            <w:tcW w:w="1089" w:type="dxa"/>
            <w:shd w:val="clear" w:color="auto" w:fill="auto"/>
            <w:noWrap/>
            <w:tcMar>
              <w:left w:w="360" w:type="dxa"/>
              <w:right w:w="115" w:type="dxa"/>
            </w:tcMar>
            <w:vAlign w:val="bottom"/>
          </w:tcPr>
          <w:p w14:paraId="454D4D5F" w14:textId="1BFA6B55" w:rsidR="00906B55" w:rsidRPr="00DD3A12" w:rsidRDefault="00906B55" w:rsidP="00906B55">
            <w:pPr>
              <w:keepNext/>
              <w:keepLines/>
              <w:rPr>
                <w:color w:val="000000"/>
                <w:szCs w:val="22"/>
              </w:rPr>
            </w:pPr>
          </w:p>
        </w:tc>
        <w:tc>
          <w:tcPr>
            <w:tcW w:w="1353" w:type="dxa"/>
            <w:shd w:val="clear" w:color="auto" w:fill="auto"/>
            <w:noWrap/>
            <w:hideMark/>
          </w:tcPr>
          <w:p w14:paraId="419E1964" w14:textId="4F9A4722"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6940F009" w14:textId="518B61A2"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7B4579E2" w14:textId="725D6105" w:rsidR="00906B55" w:rsidRPr="00DD3A12" w:rsidRDefault="00906B55" w:rsidP="00906B55">
            <w:pPr>
              <w:keepNext/>
              <w:keepLines/>
              <w:ind w:right="252"/>
              <w:jc w:val="right"/>
              <w:rPr>
                <w:color w:val="000000"/>
                <w:szCs w:val="22"/>
              </w:rPr>
            </w:pPr>
            <w:r w:rsidRPr="00187DCD">
              <w:rPr>
                <w:color w:val="000000"/>
                <w:szCs w:val="22"/>
              </w:rPr>
              <w:t>3,320</w:t>
            </w:r>
          </w:p>
        </w:tc>
        <w:tc>
          <w:tcPr>
            <w:tcW w:w="1440" w:type="dxa"/>
          </w:tcPr>
          <w:p w14:paraId="721FC13A" w14:textId="274AD330"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102E83B9" w14:textId="4BAD7AC4" w:rsidTr="006F489A">
        <w:trPr>
          <w:trHeight w:val="276"/>
        </w:trPr>
        <w:tc>
          <w:tcPr>
            <w:tcW w:w="738" w:type="dxa"/>
            <w:shd w:val="clear" w:color="auto" w:fill="auto"/>
            <w:noWrap/>
            <w:vAlign w:val="bottom"/>
            <w:hideMark/>
          </w:tcPr>
          <w:p w14:paraId="4AFCC8C5" w14:textId="77777777" w:rsidR="00906B55" w:rsidRPr="00DD3A12" w:rsidRDefault="00906B55" w:rsidP="00906B55">
            <w:pPr>
              <w:keepNext/>
              <w:keepLines/>
              <w:jc w:val="center"/>
              <w:rPr>
                <w:color w:val="000000"/>
                <w:szCs w:val="22"/>
              </w:rPr>
            </w:pPr>
            <w:r w:rsidRPr="00DD3A12">
              <w:rPr>
                <w:color w:val="000000"/>
                <w:szCs w:val="22"/>
              </w:rPr>
              <w:t>7</w:t>
            </w:r>
          </w:p>
        </w:tc>
        <w:tc>
          <w:tcPr>
            <w:tcW w:w="1377" w:type="dxa"/>
            <w:shd w:val="clear" w:color="auto" w:fill="auto"/>
            <w:noWrap/>
            <w:vAlign w:val="bottom"/>
            <w:hideMark/>
          </w:tcPr>
          <w:p w14:paraId="5EAF0887" w14:textId="660DF4E8" w:rsidR="00906B55" w:rsidRPr="00DD3A12" w:rsidRDefault="00906B55" w:rsidP="00906B55">
            <w:pPr>
              <w:keepNext/>
              <w:keepLines/>
              <w:ind w:right="297"/>
              <w:jc w:val="right"/>
              <w:rPr>
                <w:color w:val="000000"/>
                <w:szCs w:val="22"/>
              </w:rPr>
            </w:pPr>
            <w:r>
              <w:rPr>
                <w:color w:val="000000"/>
                <w:szCs w:val="22"/>
              </w:rPr>
              <w:t>8,799</w:t>
            </w:r>
          </w:p>
        </w:tc>
        <w:tc>
          <w:tcPr>
            <w:tcW w:w="1485" w:type="dxa"/>
            <w:shd w:val="clear" w:color="auto" w:fill="auto"/>
            <w:noWrap/>
            <w:hideMark/>
          </w:tcPr>
          <w:p w14:paraId="7BE71083" w14:textId="6BD9B69C" w:rsidR="00906B55" w:rsidRPr="00DD3A12" w:rsidRDefault="00906B55" w:rsidP="00906B55">
            <w:pPr>
              <w:keepNext/>
              <w:keepLines/>
              <w:jc w:val="center"/>
              <w:rPr>
                <w:color w:val="000000"/>
                <w:szCs w:val="22"/>
              </w:rPr>
            </w:pPr>
            <w:r w:rsidRPr="00364E39">
              <w:rPr>
                <w:color w:val="000000"/>
                <w:szCs w:val="22"/>
              </w:rPr>
              <w:t>2,933</w:t>
            </w:r>
          </w:p>
        </w:tc>
        <w:tc>
          <w:tcPr>
            <w:tcW w:w="1089" w:type="dxa"/>
            <w:shd w:val="clear" w:color="auto" w:fill="auto"/>
            <w:noWrap/>
            <w:tcMar>
              <w:left w:w="360" w:type="dxa"/>
              <w:right w:w="115" w:type="dxa"/>
            </w:tcMar>
            <w:vAlign w:val="bottom"/>
          </w:tcPr>
          <w:p w14:paraId="6A7159E3" w14:textId="70F46335" w:rsidR="00906B55" w:rsidRPr="00DD3A12" w:rsidRDefault="00906B55" w:rsidP="00906B55">
            <w:pPr>
              <w:keepNext/>
              <w:keepLines/>
              <w:rPr>
                <w:color w:val="000000"/>
                <w:szCs w:val="22"/>
              </w:rPr>
            </w:pPr>
          </w:p>
        </w:tc>
        <w:tc>
          <w:tcPr>
            <w:tcW w:w="1353" w:type="dxa"/>
            <w:shd w:val="clear" w:color="auto" w:fill="auto"/>
            <w:noWrap/>
            <w:hideMark/>
          </w:tcPr>
          <w:p w14:paraId="199253AD" w14:textId="7AEF2883"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1DA0D124" w14:textId="468FBF8D"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3D841BE2" w14:textId="130A8B1F" w:rsidR="00906B55" w:rsidRPr="00DD3A12" w:rsidRDefault="00906B55" w:rsidP="00906B55">
            <w:pPr>
              <w:keepNext/>
              <w:keepLines/>
              <w:ind w:right="252"/>
              <w:jc w:val="right"/>
              <w:rPr>
                <w:color w:val="000000"/>
                <w:szCs w:val="22"/>
              </w:rPr>
            </w:pPr>
            <w:r w:rsidRPr="00187DCD">
              <w:rPr>
                <w:color w:val="000000"/>
                <w:szCs w:val="22"/>
              </w:rPr>
              <w:t>3,320</w:t>
            </w:r>
          </w:p>
        </w:tc>
        <w:tc>
          <w:tcPr>
            <w:tcW w:w="1440" w:type="dxa"/>
          </w:tcPr>
          <w:p w14:paraId="594B972E" w14:textId="7C94AB61"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5E5760AF" w14:textId="4DA34BAA" w:rsidTr="006F489A">
        <w:trPr>
          <w:trHeight w:val="276"/>
        </w:trPr>
        <w:tc>
          <w:tcPr>
            <w:tcW w:w="738" w:type="dxa"/>
            <w:shd w:val="clear" w:color="auto" w:fill="auto"/>
            <w:noWrap/>
            <w:vAlign w:val="bottom"/>
            <w:hideMark/>
          </w:tcPr>
          <w:p w14:paraId="638002C8" w14:textId="77777777" w:rsidR="00906B55" w:rsidRPr="00DD3A12" w:rsidRDefault="00906B55" w:rsidP="00906B55">
            <w:pPr>
              <w:keepNext/>
              <w:keepLines/>
              <w:jc w:val="center"/>
              <w:rPr>
                <w:color w:val="000000"/>
                <w:szCs w:val="22"/>
              </w:rPr>
            </w:pPr>
            <w:r w:rsidRPr="00DD3A12">
              <w:rPr>
                <w:color w:val="000000"/>
                <w:szCs w:val="22"/>
              </w:rPr>
              <w:t>8</w:t>
            </w:r>
          </w:p>
        </w:tc>
        <w:tc>
          <w:tcPr>
            <w:tcW w:w="1377" w:type="dxa"/>
            <w:shd w:val="clear" w:color="auto" w:fill="auto"/>
            <w:noWrap/>
            <w:vAlign w:val="bottom"/>
            <w:hideMark/>
          </w:tcPr>
          <w:p w14:paraId="40F7A3CC" w14:textId="0EC785AD" w:rsidR="00906B55" w:rsidRPr="00DD3A12" w:rsidRDefault="00906B55" w:rsidP="00906B55">
            <w:pPr>
              <w:keepNext/>
              <w:keepLines/>
              <w:ind w:right="297"/>
              <w:jc w:val="right"/>
              <w:rPr>
                <w:color w:val="000000"/>
                <w:szCs w:val="22"/>
              </w:rPr>
            </w:pPr>
            <w:r>
              <w:rPr>
                <w:color w:val="000000"/>
                <w:szCs w:val="22"/>
              </w:rPr>
              <w:t>5,866</w:t>
            </w:r>
          </w:p>
        </w:tc>
        <w:tc>
          <w:tcPr>
            <w:tcW w:w="1485" w:type="dxa"/>
            <w:shd w:val="clear" w:color="auto" w:fill="auto"/>
            <w:noWrap/>
            <w:hideMark/>
          </w:tcPr>
          <w:p w14:paraId="7753AD96" w14:textId="106EEF13" w:rsidR="00906B55" w:rsidRPr="00DD3A12" w:rsidRDefault="00906B55" w:rsidP="00906B55">
            <w:pPr>
              <w:keepNext/>
              <w:keepLines/>
              <w:jc w:val="center"/>
              <w:rPr>
                <w:color w:val="000000"/>
                <w:szCs w:val="22"/>
              </w:rPr>
            </w:pPr>
            <w:r w:rsidRPr="00364E39">
              <w:rPr>
                <w:color w:val="000000"/>
                <w:szCs w:val="22"/>
              </w:rPr>
              <w:t>2,933</w:t>
            </w:r>
          </w:p>
        </w:tc>
        <w:tc>
          <w:tcPr>
            <w:tcW w:w="1089" w:type="dxa"/>
            <w:shd w:val="clear" w:color="auto" w:fill="auto"/>
            <w:noWrap/>
            <w:tcMar>
              <w:left w:w="360" w:type="dxa"/>
              <w:right w:w="115" w:type="dxa"/>
            </w:tcMar>
            <w:vAlign w:val="bottom"/>
          </w:tcPr>
          <w:p w14:paraId="60374395" w14:textId="6A8EE575" w:rsidR="00906B55" w:rsidRPr="00DD3A12" w:rsidRDefault="00906B55" w:rsidP="00906B55">
            <w:pPr>
              <w:keepNext/>
              <w:keepLines/>
              <w:rPr>
                <w:color w:val="000000"/>
                <w:szCs w:val="22"/>
              </w:rPr>
            </w:pPr>
          </w:p>
        </w:tc>
        <w:tc>
          <w:tcPr>
            <w:tcW w:w="1353" w:type="dxa"/>
            <w:shd w:val="clear" w:color="auto" w:fill="auto"/>
            <w:noWrap/>
            <w:hideMark/>
          </w:tcPr>
          <w:p w14:paraId="4328A124" w14:textId="3A9C351E"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08BABF25" w14:textId="086FAA29"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7F43927A" w14:textId="73F664A2" w:rsidR="00906B55" w:rsidRPr="00DD3A12" w:rsidRDefault="00906B55" w:rsidP="00906B55">
            <w:pPr>
              <w:keepNext/>
              <w:keepLines/>
              <w:ind w:right="252"/>
              <w:jc w:val="right"/>
              <w:rPr>
                <w:color w:val="000000"/>
                <w:szCs w:val="22"/>
              </w:rPr>
            </w:pPr>
            <w:r w:rsidRPr="00187DCD">
              <w:rPr>
                <w:color w:val="000000"/>
                <w:szCs w:val="22"/>
              </w:rPr>
              <w:t>3,320</w:t>
            </w:r>
          </w:p>
        </w:tc>
        <w:tc>
          <w:tcPr>
            <w:tcW w:w="1440" w:type="dxa"/>
          </w:tcPr>
          <w:p w14:paraId="0C9A899C" w14:textId="6E7FAB5C"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5E6339DB" w14:textId="4C0F0842" w:rsidTr="006F489A">
        <w:trPr>
          <w:trHeight w:val="276"/>
        </w:trPr>
        <w:tc>
          <w:tcPr>
            <w:tcW w:w="738" w:type="dxa"/>
            <w:shd w:val="clear" w:color="auto" w:fill="auto"/>
            <w:noWrap/>
            <w:vAlign w:val="bottom"/>
            <w:hideMark/>
          </w:tcPr>
          <w:p w14:paraId="5924F7E8" w14:textId="77777777" w:rsidR="00906B55" w:rsidRPr="00DD3A12" w:rsidRDefault="00906B55" w:rsidP="00906B55">
            <w:pPr>
              <w:keepNext/>
              <w:keepLines/>
              <w:jc w:val="center"/>
              <w:rPr>
                <w:color w:val="000000"/>
                <w:szCs w:val="22"/>
              </w:rPr>
            </w:pPr>
            <w:r w:rsidRPr="00DD3A12">
              <w:rPr>
                <w:color w:val="000000"/>
                <w:szCs w:val="22"/>
              </w:rPr>
              <w:t>9</w:t>
            </w:r>
          </w:p>
        </w:tc>
        <w:tc>
          <w:tcPr>
            <w:tcW w:w="1377" w:type="dxa"/>
            <w:shd w:val="clear" w:color="auto" w:fill="auto"/>
            <w:noWrap/>
            <w:vAlign w:val="bottom"/>
            <w:hideMark/>
          </w:tcPr>
          <w:p w14:paraId="7A47736B" w14:textId="0A2906EE" w:rsidR="00906B55" w:rsidRPr="00DD3A12" w:rsidRDefault="00906B55" w:rsidP="00906B55">
            <w:pPr>
              <w:keepNext/>
              <w:keepLines/>
              <w:ind w:right="297"/>
              <w:jc w:val="right"/>
              <w:rPr>
                <w:color w:val="000000"/>
                <w:szCs w:val="22"/>
              </w:rPr>
            </w:pPr>
            <w:r>
              <w:rPr>
                <w:color w:val="000000"/>
                <w:szCs w:val="22"/>
              </w:rPr>
              <w:t>2,933</w:t>
            </w:r>
          </w:p>
        </w:tc>
        <w:tc>
          <w:tcPr>
            <w:tcW w:w="1485" w:type="dxa"/>
            <w:shd w:val="clear" w:color="auto" w:fill="auto"/>
            <w:noWrap/>
            <w:hideMark/>
          </w:tcPr>
          <w:p w14:paraId="2223BE8B" w14:textId="5DB9B689" w:rsidR="00906B55" w:rsidRPr="00DD3A12" w:rsidRDefault="00906B55" w:rsidP="00906B55">
            <w:pPr>
              <w:keepNext/>
              <w:keepLines/>
              <w:jc w:val="center"/>
              <w:rPr>
                <w:color w:val="000000"/>
                <w:szCs w:val="22"/>
              </w:rPr>
            </w:pPr>
            <w:r w:rsidRPr="00364E39">
              <w:rPr>
                <w:color w:val="000000"/>
                <w:szCs w:val="22"/>
              </w:rPr>
              <w:t>2,933</w:t>
            </w:r>
          </w:p>
        </w:tc>
        <w:tc>
          <w:tcPr>
            <w:tcW w:w="1089" w:type="dxa"/>
            <w:shd w:val="clear" w:color="auto" w:fill="auto"/>
            <w:noWrap/>
            <w:tcMar>
              <w:left w:w="360" w:type="dxa"/>
              <w:right w:w="115" w:type="dxa"/>
            </w:tcMar>
            <w:vAlign w:val="bottom"/>
          </w:tcPr>
          <w:p w14:paraId="505198E9" w14:textId="0705A76D" w:rsidR="00906B55" w:rsidRPr="00DD3A12" w:rsidRDefault="00906B55" w:rsidP="00906B55">
            <w:pPr>
              <w:keepNext/>
              <w:keepLines/>
              <w:rPr>
                <w:color w:val="000000"/>
                <w:szCs w:val="22"/>
              </w:rPr>
            </w:pPr>
          </w:p>
        </w:tc>
        <w:tc>
          <w:tcPr>
            <w:tcW w:w="1353" w:type="dxa"/>
            <w:shd w:val="clear" w:color="auto" w:fill="auto"/>
            <w:noWrap/>
            <w:hideMark/>
          </w:tcPr>
          <w:p w14:paraId="6564083F" w14:textId="6438F141"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499D3E6A" w14:textId="2628DE0B"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30704712" w14:textId="0CEE41FB" w:rsidR="00906B55" w:rsidRPr="00DD3A12" w:rsidRDefault="00906B55" w:rsidP="00906B55">
            <w:pPr>
              <w:keepNext/>
              <w:keepLines/>
              <w:ind w:right="252"/>
              <w:jc w:val="right"/>
              <w:rPr>
                <w:color w:val="000000"/>
                <w:szCs w:val="22"/>
              </w:rPr>
            </w:pPr>
            <w:r w:rsidRPr="00187DCD">
              <w:rPr>
                <w:color w:val="000000"/>
                <w:szCs w:val="22"/>
              </w:rPr>
              <w:t>3,320</w:t>
            </w:r>
          </w:p>
        </w:tc>
        <w:tc>
          <w:tcPr>
            <w:tcW w:w="1440" w:type="dxa"/>
          </w:tcPr>
          <w:p w14:paraId="77BC9853" w14:textId="32DDE3D4" w:rsidR="00906B55" w:rsidRPr="00DD3A12" w:rsidRDefault="00906B55" w:rsidP="00906B55">
            <w:pPr>
              <w:keepNext/>
              <w:keepLines/>
              <w:ind w:right="252"/>
              <w:jc w:val="right"/>
              <w:rPr>
                <w:color w:val="000000"/>
                <w:szCs w:val="22"/>
              </w:rPr>
            </w:pPr>
            <w:r w:rsidRPr="006F3250">
              <w:rPr>
                <w:color w:val="000000"/>
                <w:szCs w:val="22"/>
              </w:rPr>
              <w:t>58</w:t>
            </w:r>
          </w:p>
        </w:tc>
      </w:tr>
      <w:tr w:rsidR="00906B55" w:rsidRPr="00DD3A12" w14:paraId="3CFDE416" w14:textId="34081BED" w:rsidTr="006F489A">
        <w:trPr>
          <w:trHeight w:val="276"/>
        </w:trPr>
        <w:tc>
          <w:tcPr>
            <w:tcW w:w="738" w:type="dxa"/>
            <w:shd w:val="clear" w:color="auto" w:fill="auto"/>
            <w:noWrap/>
            <w:vAlign w:val="bottom"/>
            <w:hideMark/>
          </w:tcPr>
          <w:p w14:paraId="1FAF68DE" w14:textId="77777777" w:rsidR="00906B55" w:rsidRPr="00DD3A12" w:rsidRDefault="00906B55" w:rsidP="00906B55">
            <w:pPr>
              <w:keepNext/>
              <w:keepLines/>
              <w:jc w:val="center"/>
              <w:rPr>
                <w:color w:val="000000"/>
                <w:szCs w:val="22"/>
              </w:rPr>
            </w:pPr>
            <w:r w:rsidRPr="00DD3A12">
              <w:rPr>
                <w:color w:val="000000"/>
                <w:szCs w:val="22"/>
              </w:rPr>
              <w:t>10</w:t>
            </w:r>
          </w:p>
        </w:tc>
        <w:tc>
          <w:tcPr>
            <w:tcW w:w="1377" w:type="dxa"/>
            <w:shd w:val="clear" w:color="auto" w:fill="auto"/>
            <w:noWrap/>
            <w:vAlign w:val="bottom"/>
            <w:hideMark/>
          </w:tcPr>
          <w:p w14:paraId="2756CC1D" w14:textId="69453010" w:rsidR="00906B55" w:rsidRPr="00DD3A12" w:rsidRDefault="00906B55" w:rsidP="00906B55">
            <w:pPr>
              <w:keepNext/>
              <w:keepLines/>
              <w:ind w:right="297"/>
              <w:jc w:val="right"/>
              <w:rPr>
                <w:color w:val="000000"/>
                <w:szCs w:val="22"/>
              </w:rPr>
            </w:pPr>
            <w:r>
              <w:rPr>
                <w:color w:val="000000"/>
                <w:szCs w:val="22"/>
              </w:rPr>
              <w:t>0</w:t>
            </w:r>
          </w:p>
        </w:tc>
        <w:tc>
          <w:tcPr>
            <w:tcW w:w="1485" w:type="dxa"/>
            <w:shd w:val="clear" w:color="auto" w:fill="auto"/>
            <w:noWrap/>
            <w:hideMark/>
          </w:tcPr>
          <w:p w14:paraId="47E1489B" w14:textId="6BD1BC0D" w:rsidR="00906B55" w:rsidRPr="00DD3A12" w:rsidRDefault="00906B55" w:rsidP="00906B55">
            <w:pPr>
              <w:keepNext/>
              <w:keepLines/>
              <w:jc w:val="center"/>
              <w:rPr>
                <w:color w:val="000000"/>
                <w:szCs w:val="22"/>
              </w:rPr>
            </w:pPr>
            <w:r w:rsidRPr="00364E39">
              <w:rPr>
                <w:color w:val="000000"/>
                <w:szCs w:val="22"/>
              </w:rPr>
              <w:t>2,933</w:t>
            </w:r>
          </w:p>
        </w:tc>
        <w:tc>
          <w:tcPr>
            <w:tcW w:w="1089" w:type="dxa"/>
            <w:shd w:val="clear" w:color="auto" w:fill="auto"/>
            <w:noWrap/>
            <w:tcMar>
              <w:left w:w="360" w:type="dxa"/>
              <w:right w:w="115" w:type="dxa"/>
            </w:tcMar>
            <w:vAlign w:val="bottom"/>
          </w:tcPr>
          <w:p w14:paraId="28AB3482" w14:textId="7EF4C5FA" w:rsidR="00906B55" w:rsidRPr="00DD3A12" w:rsidRDefault="00906B55" w:rsidP="00906B55">
            <w:pPr>
              <w:keepNext/>
              <w:keepLines/>
              <w:rPr>
                <w:color w:val="000000"/>
                <w:szCs w:val="22"/>
              </w:rPr>
            </w:pPr>
          </w:p>
        </w:tc>
        <w:tc>
          <w:tcPr>
            <w:tcW w:w="1353" w:type="dxa"/>
            <w:shd w:val="clear" w:color="auto" w:fill="auto"/>
            <w:noWrap/>
            <w:hideMark/>
          </w:tcPr>
          <w:p w14:paraId="4B0A1CAB" w14:textId="5B52EEC7" w:rsidR="00906B55" w:rsidRPr="00DD3A12" w:rsidRDefault="00906B55" w:rsidP="00906B55">
            <w:pPr>
              <w:keepNext/>
              <w:keepLines/>
              <w:jc w:val="center"/>
              <w:rPr>
                <w:color w:val="000000"/>
                <w:szCs w:val="22"/>
              </w:rPr>
            </w:pPr>
            <w:r w:rsidRPr="0054405D">
              <w:rPr>
                <w:color w:val="000000"/>
                <w:szCs w:val="22"/>
              </w:rPr>
              <w:t>8,300</w:t>
            </w:r>
          </w:p>
        </w:tc>
        <w:tc>
          <w:tcPr>
            <w:tcW w:w="1878" w:type="dxa"/>
            <w:shd w:val="clear" w:color="auto" w:fill="auto"/>
            <w:noWrap/>
            <w:hideMark/>
          </w:tcPr>
          <w:p w14:paraId="5DFAA3DC" w14:textId="58252CFC" w:rsidR="00906B55" w:rsidRPr="00DD3A12" w:rsidRDefault="00906B55" w:rsidP="00906B55">
            <w:pPr>
              <w:keepNext/>
              <w:keepLines/>
              <w:jc w:val="center"/>
              <w:rPr>
                <w:color w:val="000000"/>
                <w:szCs w:val="22"/>
              </w:rPr>
            </w:pPr>
            <w:r w:rsidRPr="00512C50">
              <w:rPr>
                <w:color w:val="000000"/>
                <w:szCs w:val="22"/>
              </w:rPr>
              <w:t>3,320</w:t>
            </w:r>
          </w:p>
        </w:tc>
        <w:tc>
          <w:tcPr>
            <w:tcW w:w="1350" w:type="dxa"/>
            <w:shd w:val="clear" w:color="auto" w:fill="auto"/>
            <w:noWrap/>
            <w:hideMark/>
          </w:tcPr>
          <w:p w14:paraId="736D23A8" w14:textId="02A2C3D1" w:rsidR="00906B55" w:rsidRPr="00DD3A12" w:rsidRDefault="00906B55" w:rsidP="00906B55">
            <w:pPr>
              <w:keepNext/>
              <w:keepLines/>
              <w:ind w:right="252"/>
              <w:jc w:val="right"/>
              <w:rPr>
                <w:color w:val="000000"/>
                <w:szCs w:val="22"/>
              </w:rPr>
            </w:pPr>
            <w:r w:rsidRPr="00187DCD">
              <w:rPr>
                <w:color w:val="000000"/>
                <w:szCs w:val="22"/>
              </w:rPr>
              <w:t>3,320</w:t>
            </w:r>
          </w:p>
        </w:tc>
        <w:tc>
          <w:tcPr>
            <w:tcW w:w="1440" w:type="dxa"/>
          </w:tcPr>
          <w:p w14:paraId="36242AB1" w14:textId="057A1C27" w:rsidR="00906B55" w:rsidRPr="00DD3A12" w:rsidRDefault="00906B55" w:rsidP="00906B55">
            <w:pPr>
              <w:keepNext/>
              <w:keepLines/>
              <w:ind w:right="252"/>
              <w:jc w:val="right"/>
              <w:rPr>
                <w:color w:val="000000"/>
                <w:szCs w:val="22"/>
              </w:rPr>
            </w:pPr>
            <w:r w:rsidRPr="006F3250">
              <w:rPr>
                <w:color w:val="000000"/>
                <w:szCs w:val="22"/>
              </w:rPr>
              <w:t>58</w:t>
            </w:r>
          </w:p>
        </w:tc>
      </w:tr>
      <w:tr w:rsidR="00550784" w:rsidRPr="00DD3A12" w14:paraId="20833A38" w14:textId="73A29F3E" w:rsidTr="00F478AC">
        <w:trPr>
          <w:trHeight w:val="288"/>
        </w:trPr>
        <w:tc>
          <w:tcPr>
            <w:tcW w:w="738" w:type="dxa"/>
            <w:shd w:val="clear" w:color="auto" w:fill="auto"/>
            <w:noWrap/>
            <w:vAlign w:val="bottom"/>
            <w:hideMark/>
          </w:tcPr>
          <w:p w14:paraId="6F0885DB" w14:textId="77777777" w:rsidR="00550784" w:rsidRPr="00DD3A12" w:rsidRDefault="00550784" w:rsidP="006A6EBE">
            <w:pPr>
              <w:keepNext/>
              <w:keepLines/>
              <w:jc w:val="center"/>
              <w:rPr>
                <w:color w:val="000000"/>
                <w:szCs w:val="22"/>
              </w:rPr>
            </w:pPr>
            <w:r w:rsidRPr="00DD3A12">
              <w:rPr>
                <w:color w:val="000000"/>
                <w:szCs w:val="22"/>
              </w:rPr>
              <w:t>Total</w:t>
            </w:r>
          </w:p>
        </w:tc>
        <w:tc>
          <w:tcPr>
            <w:tcW w:w="1377" w:type="dxa"/>
            <w:shd w:val="clear" w:color="auto" w:fill="auto"/>
            <w:noWrap/>
            <w:vAlign w:val="bottom"/>
            <w:hideMark/>
          </w:tcPr>
          <w:p w14:paraId="3504210A" w14:textId="77777777" w:rsidR="00550784" w:rsidRPr="00DD3A12" w:rsidRDefault="00550784" w:rsidP="006A6EBE">
            <w:pPr>
              <w:keepNext/>
              <w:keepLines/>
              <w:rPr>
                <w:color w:val="000000"/>
                <w:szCs w:val="22"/>
              </w:rPr>
            </w:pPr>
          </w:p>
        </w:tc>
        <w:tc>
          <w:tcPr>
            <w:tcW w:w="1485" w:type="dxa"/>
            <w:shd w:val="clear" w:color="auto" w:fill="auto"/>
            <w:noWrap/>
            <w:vAlign w:val="bottom"/>
            <w:hideMark/>
          </w:tcPr>
          <w:p w14:paraId="7A74477C" w14:textId="77777777" w:rsidR="00550784" w:rsidRPr="00DD3A12" w:rsidRDefault="00550784" w:rsidP="006A6EBE">
            <w:pPr>
              <w:keepNext/>
              <w:keepLines/>
              <w:jc w:val="center"/>
              <w:rPr>
                <w:color w:val="000000"/>
                <w:szCs w:val="22"/>
              </w:rPr>
            </w:pPr>
            <w:r w:rsidRPr="00DD3A12">
              <w:rPr>
                <w:color w:val="000000"/>
                <w:szCs w:val="22"/>
              </w:rPr>
              <w:t>100,000</w:t>
            </w:r>
          </w:p>
        </w:tc>
        <w:tc>
          <w:tcPr>
            <w:tcW w:w="1089" w:type="dxa"/>
            <w:shd w:val="clear" w:color="auto" w:fill="auto"/>
            <w:noWrap/>
            <w:vAlign w:val="bottom"/>
            <w:hideMark/>
          </w:tcPr>
          <w:p w14:paraId="59E74B7E" w14:textId="77777777" w:rsidR="00550784" w:rsidRPr="00DD3A12" w:rsidRDefault="00550784" w:rsidP="006A6EBE">
            <w:pPr>
              <w:keepNext/>
              <w:keepLines/>
              <w:jc w:val="center"/>
              <w:rPr>
                <w:color w:val="000000"/>
                <w:szCs w:val="22"/>
              </w:rPr>
            </w:pPr>
            <w:r w:rsidRPr="00DD3A12">
              <w:rPr>
                <w:color w:val="000000"/>
                <w:szCs w:val="22"/>
              </w:rPr>
              <w:t>80,000</w:t>
            </w:r>
          </w:p>
        </w:tc>
        <w:tc>
          <w:tcPr>
            <w:tcW w:w="1353" w:type="dxa"/>
            <w:shd w:val="clear" w:color="auto" w:fill="auto"/>
            <w:noWrap/>
            <w:vAlign w:val="bottom"/>
            <w:hideMark/>
          </w:tcPr>
          <w:p w14:paraId="19480CE6" w14:textId="134916E7" w:rsidR="00550784" w:rsidRPr="00DD3A12" w:rsidRDefault="00906B55" w:rsidP="006A6EBE">
            <w:pPr>
              <w:keepNext/>
              <w:keepLines/>
              <w:jc w:val="center"/>
              <w:rPr>
                <w:color w:val="000000"/>
                <w:szCs w:val="22"/>
              </w:rPr>
            </w:pPr>
            <w:r>
              <w:rPr>
                <w:color w:val="000000"/>
                <w:szCs w:val="22"/>
              </w:rPr>
              <w:t>83,000</w:t>
            </w:r>
          </w:p>
        </w:tc>
        <w:tc>
          <w:tcPr>
            <w:tcW w:w="1878" w:type="dxa"/>
            <w:shd w:val="clear" w:color="auto" w:fill="auto"/>
            <w:noWrap/>
            <w:vAlign w:val="bottom"/>
            <w:hideMark/>
          </w:tcPr>
          <w:p w14:paraId="7C238B26" w14:textId="1D9B62FE" w:rsidR="00550784" w:rsidRPr="00DD3A12" w:rsidRDefault="00D0260E" w:rsidP="006A6EBE">
            <w:pPr>
              <w:keepNext/>
              <w:keepLines/>
              <w:jc w:val="center"/>
              <w:rPr>
                <w:color w:val="000000"/>
                <w:szCs w:val="22"/>
              </w:rPr>
            </w:pPr>
            <w:r>
              <w:rPr>
                <w:color w:val="000000"/>
                <w:szCs w:val="22"/>
              </w:rPr>
              <w:t>33,200</w:t>
            </w:r>
          </w:p>
        </w:tc>
        <w:tc>
          <w:tcPr>
            <w:tcW w:w="1350" w:type="dxa"/>
            <w:shd w:val="clear" w:color="auto" w:fill="auto"/>
            <w:noWrap/>
            <w:vAlign w:val="bottom"/>
            <w:hideMark/>
          </w:tcPr>
          <w:p w14:paraId="7A9E2876" w14:textId="06977328" w:rsidR="00550784" w:rsidRPr="00DD3A12" w:rsidRDefault="00D0260E" w:rsidP="006A6EBE">
            <w:pPr>
              <w:keepNext/>
              <w:keepLines/>
              <w:ind w:right="252"/>
              <w:jc w:val="right"/>
              <w:rPr>
                <w:color w:val="000000"/>
                <w:szCs w:val="22"/>
              </w:rPr>
            </w:pPr>
            <w:r>
              <w:rPr>
                <w:color w:val="000000"/>
                <w:szCs w:val="22"/>
              </w:rPr>
              <w:t>113,200</w:t>
            </w:r>
          </w:p>
        </w:tc>
        <w:tc>
          <w:tcPr>
            <w:tcW w:w="1440" w:type="dxa"/>
          </w:tcPr>
          <w:p w14:paraId="40C4161E" w14:textId="1D8D18A2" w:rsidR="00550784" w:rsidRPr="00DD3A12" w:rsidRDefault="00D0260E" w:rsidP="006A6EBE">
            <w:pPr>
              <w:keepNext/>
              <w:keepLines/>
              <w:ind w:right="252"/>
              <w:jc w:val="right"/>
              <w:rPr>
                <w:color w:val="000000"/>
                <w:szCs w:val="22"/>
              </w:rPr>
            </w:pPr>
            <w:r>
              <w:rPr>
                <w:color w:val="000000"/>
                <w:szCs w:val="22"/>
              </w:rPr>
              <w:t>580</w:t>
            </w:r>
          </w:p>
        </w:tc>
      </w:tr>
    </w:tbl>
    <w:p w14:paraId="655D39DA" w14:textId="77777777" w:rsidR="00DB5AAD" w:rsidRDefault="00DB5AAD" w:rsidP="00DB5AAD">
      <w:pPr>
        <w:spacing w:after="220"/>
        <w:jc w:val="both"/>
      </w:pPr>
    </w:p>
    <w:p w14:paraId="44815349" w14:textId="77777777" w:rsidR="00DB5AAD" w:rsidRDefault="00DB5AAD" w:rsidP="00DB5AAD">
      <w:pPr>
        <w:spacing w:after="220"/>
        <w:ind w:left="720" w:hanging="720"/>
        <w:jc w:val="both"/>
      </w:pPr>
      <w:r>
        <w:t>(1)</w:t>
      </w:r>
      <w:r>
        <w:tab/>
        <w:t xml:space="preserve">End-of-year investment for a </w:t>
      </w:r>
      <w:r w:rsidRPr="00D56AD7">
        <w:t xml:space="preserve">5 percent limited </w:t>
      </w:r>
      <w:r>
        <w:t>liability</w:t>
      </w:r>
      <w:r w:rsidRPr="00D56AD7">
        <w:t xml:space="preserve"> interest in the project</w:t>
      </w:r>
      <w:r>
        <w:t xml:space="preserve"> net of amortization in Column (2).</w:t>
      </w:r>
    </w:p>
    <w:p w14:paraId="3064F15C" w14:textId="6B95A4D9" w:rsidR="00DB5AAD" w:rsidRDefault="00DB5AAD" w:rsidP="00DB5AAD">
      <w:pPr>
        <w:spacing w:after="220"/>
        <w:ind w:left="720" w:hanging="720"/>
        <w:jc w:val="both"/>
      </w:pPr>
      <w:r>
        <w:t>(2)</w:t>
      </w:r>
      <w:r>
        <w:tab/>
        <w:t>Initial investment of $100,000 x (total tax benefits received during the year in Column (6)/total anticipated tax benefits over the life of the investment of $1</w:t>
      </w:r>
      <w:r w:rsidR="00153160">
        <w:t>13,200</w:t>
      </w:r>
      <w:r>
        <w:t>).</w:t>
      </w:r>
    </w:p>
    <w:p w14:paraId="2B8C2818" w14:textId="17774CD5" w:rsidR="00DB5AAD" w:rsidRDefault="00DB5AAD" w:rsidP="00DB5AAD">
      <w:pPr>
        <w:spacing w:after="220"/>
        <w:ind w:left="720" w:hanging="720"/>
        <w:jc w:val="both"/>
      </w:pPr>
      <w:r>
        <w:t>(3)</w:t>
      </w:r>
      <w:r>
        <w:tab/>
      </w:r>
      <w:r w:rsidR="00AE7349">
        <w:t xml:space="preserve">These tax credits have been generated through the production of electricity, which generates production tax credits. The tax equity investor is not receiving </w:t>
      </w:r>
      <w:r w:rsidR="00FC2AE8">
        <w:t>renewable</w:t>
      </w:r>
      <w:r w:rsidR="00AE7349">
        <w:t xml:space="preserve"> energy </w:t>
      </w:r>
      <w:r w:rsidR="00FC2AE8">
        <w:t>credits or carbon offsets.</w:t>
      </w:r>
    </w:p>
    <w:p w14:paraId="3AEAFA1C" w14:textId="6427D5E7" w:rsidR="00DB5AAD" w:rsidRDefault="00DB5AAD" w:rsidP="00DB5AAD">
      <w:pPr>
        <w:spacing w:after="220"/>
        <w:ind w:left="720" w:hanging="720"/>
        <w:jc w:val="both"/>
      </w:pPr>
      <w:r>
        <w:t>(4)</w:t>
      </w:r>
      <w:r>
        <w:tab/>
        <w:t xml:space="preserve">Depreciation </w:t>
      </w:r>
      <w:r w:rsidR="0053333B">
        <w:t>/other tax losses passed on to the investor.</w:t>
      </w:r>
    </w:p>
    <w:p w14:paraId="6389D265" w14:textId="77777777" w:rsidR="00DB5AAD" w:rsidRDefault="00DB5AAD" w:rsidP="00DB5AAD">
      <w:pPr>
        <w:spacing w:after="220"/>
        <w:ind w:left="720" w:hanging="720"/>
        <w:jc w:val="both"/>
      </w:pPr>
      <w:r>
        <w:t>(5)</w:t>
      </w:r>
      <w:r>
        <w:tab/>
        <w:t>Column (4) x 40% tax rate.</w:t>
      </w:r>
    </w:p>
    <w:p w14:paraId="39595ECF" w14:textId="1B658CBC" w:rsidR="00DB5AAD" w:rsidRDefault="00DB5AAD" w:rsidP="00DB5AAD">
      <w:pPr>
        <w:spacing w:after="220"/>
        <w:ind w:left="720" w:hanging="720"/>
        <w:jc w:val="both"/>
      </w:pPr>
      <w:r>
        <w:t>(6)</w:t>
      </w:r>
      <w:r>
        <w:tab/>
        <w:t>Column (3) + Column (5)</w:t>
      </w:r>
      <w:r w:rsidR="00FC775B">
        <w:t>.</w:t>
      </w:r>
    </w:p>
    <w:p w14:paraId="7E0B54DC" w14:textId="747B91AA" w:rsidR="00FC775B" w:rsidRDefault="00FC775B" w:rsidP="00DB5AAD">
      <w:pPr>
        <w:spacing w:after="220"/>
        <w:ind w:left="720" w:hanging="720"/>
        <w:jc w:val="both"/>
      </w:pPr>
      <w:r>
        <w:t xml:space="preserve">(7) </w:t>
      </w:r>
      <w:r>
        <w:tab/>
        <w:t>Non-income-tax-related benefits recognized in current</w:t>
      </w:r>
      <w:r w:rsidR="001C28E6">
        <w:t xml:space="preserve">-period pre-tax earnings when received. This represents the cash proceeds received by the tax equity investor based on the cash generated from the project. </w:t>
      </w:r>
    </w:p>
    <w:p w14:paraId="5179D980" w14:textId="77777777" w:rsidR="00F25E9E" w:rsidRDefault="00F25E9E" w:rsidP="006F4A28">
      <w:pPr>
        <w:spacing w:after="220"/>
        <w:ind w:left="720" w:hanging="720"/>
        <w:jc w:val="both"/>
      </w:pPr>
    </w:p>
    <w:p w14:paraId="3400ECAF" w14:textId="46388AC4" w:rsidR="00213ABB" w:rsidRDefault="00213ABB" w:rsidP="00213ABB">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8810D7">
        <w:rPr>
          <w:noProof/>
          <w:sz w:val="16"/>
          <w:szCs w:val="16"/>
        </w:rPr>
        <w:t>https://naiconline.sharepoint.com/teams/FRSStatutoryAccounting/National Meetings/A. National Meeting Materials/2022/Fall - December/Exposures/22-14b - Tax Equity 22-14.docx</w:t>
      </w:r>
      <w:r w:rsidRPr="000579B6">
        <w:rPr>
          <w:sz w:val="16"/>
          <w:szCs w:val="16"/>
        </w:rPr>
        <w:fldChar w:fldCharType="end"/>
      </w:r>
    </w:p>
    <w:p w14:paraId="23D81741" w14:textId="77777777" w:rsidR="00213ABB" w:rsidRDefault="00213ABB" w:rsidP="006F4A28">
      <w:pPr>
        <w:spacing w:after="220"/>
        <w:ind w:left="720" w:hanging="720"/>
        <w:jc w:val="both"/>
      </w:pPr>
    </w:p>
    <w:sectPr w:rsidR="00213ABB" w:rsidSect="001B0F42">
      <w:headerReference w:type="first" r:id="rId19"/>
      <w:footerReference w:type="first" r:id="rId20"/>
      <w:pgSz w:w="12240" w:h="15840" w:code="1"/>
      <w:pgMar w:top="1080" w:right="1440" w:bottom="108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8EB0" w14:textId="77777777" w:rsidR="004E3534" w:rsidRDefault="004E3534">
      <w:r>
        <w:separator/>
      </w:r>
    </w:p>
  </w:endnote>
  <w:endnote w:type="continuationSeparator" w:id="0">
    <w:p w14:paraId="328DC43B" w14:textId="77777777" w:rsidR="004E3534" w:rsidRDefault="004E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92CA" w14:textId="7A43F015" w:rsidR="00BC0227" w:rsidRPr="00BC0227" w:rsidRDefault="00BC0227" w:rsidP="00BC0227">
    <w:pPr>
      <w:pStyle w:val="Footer"/>
      <w:tabs>
        <w:tab w:val="clear" w:pos="4320"/>
        <w:tab w:val="center" w:pos="5040"/>
      </w:tabs>
      <w:rPr>
        <w:sz w:val="20"/>
      </w:rPr>
    </w:pPr>
    <w:r>
      <w:rPr>
        <w:sz w:val="20"/>
      </w:rPr>
      <w:t>© 2022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8AE5" w14:textId="5922EB47" w:rsidR="00BC0227" w:rsidRPr="00BC0227" w:rsidRDefault="00BC0227" w:rsidP="00BC0227">
    <w:pPr>
      <w:pStyle w:val="Footer"/>
      <w:tabs>
        <w:tab w:val="clear" w:pos="4320"/>
        <w:tab w:val="center" w:pos="5040"/>
      </w:tabs>
      <w:rPr>
        <w:sz w:val="20"/>
      </w:rPr>
    </w:pPr>
    <w:r>
      <w:rPr>
        <w:sz w:val="20"/>
      </w:rPr>
      <w:t>© 2022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58D3" w14:textId="77777777" w:rsidR="00AC620C" w:rsidRPr="00D0776C" w:rsidRDefault="00AC620C" w:rsidP="00D43D5F">
    <w:pPr>
      <w:pStyle w:val="FooterOdd"/>
      <w:tabs>
        <w:tab w:val="clear" w:pos="5040"/>
        <w:tab w:val="center" w:pos="4680"/>
      </w:tabs>
      <w:jc w:val="left"/>
      <w:rPr>
        <w:rStyle w:val="PageNumber"/>
        <w:b w:val="0"/>
        <w:bCs/>
        <w:sz w:val="22"/>
        <w:szCs w:val="18"/>
      </w:rPr>
    </w:pPr>
    <w:r>
      <w:rPr>
        <w:rStyle w:val="PageNumber"/>
        <w:szCs w:val="18"/>
      </w:rPr>
      <w:tab/>
    </w:r>
    <w:r w:rsidRPr="00D0776C">
      <w:rPr>
        <w:rStyle w:val="PageNumber"/>
        <w:szCs w:val="18"/>
      </w:rPr>
      <w:t>93-</w:t>
    </w:r>
    <w:r w:rsidRPr="00D0776C">
      <w:rPr>
        <w:rStyle w:val="PageNumber"/>
        <w:szCs w:val="18"/>
      </w:rPr>
      <w:fldChar w:fldCharType="begin"/>
    </w:r>
    <w:r w:rsidRPr="00D0776C">
      <w:rPr>
        <w:rStyle w:val="PageNumber"/>
        <w:szCs w:val="18"/>
      </w:rPr>
      <w:instrText xml:space="preserve"> PAGE </w:instrText>
    </w:r>
    <w:r w:rsidRPr="00D0776C">
      <w:rPr>
        <w:rStyle w:val="PageNumber"/>
        <w:szCs w:val="18"/>
      </w:rPr>
      <w:fldChar w:fldCharType="separate"/>
    </w:r>
    <w:r w:rsidR="009164B4">
      <w:rPr>
        <w:rStyle w:val="PageNumber"/>
        <w:noProof/>
        <w:szCs w:val="18"/>
      </w:rPr>
      <w:t>9</w:t>
    </w:r>
    <w:r w:rsidRPr="00D0776C">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5DF3" w14:textId="77777777" w:rsidR="00DB5AAD" w:rsidRPr="00D0776C" w:rsidRDefault="00DB5AAD" w:rsidP="00D43D5F">
    <w:pPr>
      <w:pStyle w:val="FooterOdd"/>
      <w:tabs>
        <w:tab w:val="clear" w:pos="5040"/>
        <w:tab w:val="center" w:pos="4680"/>
      </w:tabs>
      <w:jc w:val="left"/>
      <w:rPr>
        <w:rStyle w:val="PageNumber"/>
        <w:b w:val="0"/>
        <w:bCs/>
        <w:sz w:val="22"/>
        <w:szCs w:val="18"/>
      </w:rPr>
    </w:pPr>
    <w:r>
      <w:rPr>
        <w:rStyle w:val="PageNumber"/>
        <w:szCs w:val="18"/>
      </w:rPr>
      <w:tab/>
    </w:r>
    <w:r w:rsidRPr="00D0776C">
      <w:rPr>
        <w:rStyle w:val="PageNumber"/>
        <w:szCs w:val="18"/>
      </w:rPr>
      <w:t>93-</w:t>
    </w:r>
    <w:r w:rsidRPr="00D0776C">
      <w:rPr>
        <w:rStyle w:val="PageNumber"/>
        <w:szCs w:val="18"/>
      </w:rPr>
      <w:fldChar w:fldCharType="begin"/>
    </w:r>
    <w:r w:rsidRPr="00D0776C">
      <w:rPr>
        <w:rStyle w:val="PageNumber"/>
        <w:szCs w:val="18"/>
      </w:rPr>
      <w:instrText xml:space="preserve"> PAGE </w:instrText>
    </w:r>
    <w:r w:rsidRPr="00D0776C">
      <w:rPr>
        <w:rStyle w:val="PageNumber"/>
        <w:szCs w:val="18"/>
      </w:rPr>
      <w:fldChar w:fldCharType="separate"/>
    </w:r>
    <w:r>
      <w:rPr>
        <w:rStyle w:val="PageNumber"/>
        <w:noProof/>
        <w:szCs w:val="18"/>
      </w:rPr>
      <w:t>9</w:t>
    </w:r>
    <w:r w:rsidRPr="00D0776C">
      <w:rPr>
        <w:rStyle w:val="PageNumber"/>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CC55" w14:textId="77777777" w:rsidR="00AC620C" w:rsidRPr="00D0776C" w:rsidRDefault="00AC620C" w:rsidP="00D43D5F">
    <w:pPr>
      <w:pStyle w:val="FooterOdd"/>
      <w:tabs>
        <w:tab w:val="clear" w:pos="5040"/>
        <w:tab w:val="center" w:pos="4680"/>
      </w:tabs>
      <w:jc w:val="left"/>
      <w:rPr>
        <w:rStyle w:val="PageNumber"/>
        <w:b w:val="0"/>
        <w:bCs/>
        <w:szCs w:val="18"/>
      </w:rPr>
    </w:pPr>
    <w:r>
      <w:rPr>
        <w:rStyle w:val="PageNumber"/>
        <w:szCs w:val="18"/>
      </w:rPr>
      <w:tab/>
    </w:r>
    <w:r w:rsidRPr="00D0776C">
      <w:rPr>
        <w:rStyle w:val="PageNumber"/>
        <w:szCs w:val="18"/>
      </w:rPr>
      <w:t>93-</w:t>
    </w:r>
    <w:r w:rsidRPr="00D0776C">
      <w:rPr>
        <w:rStyle w:val="PageNumber"/>
        <w:szCs w:val="18"/>
      </w:rPr>
      <w:fldChar w:fldCharType="begin"/>
    </w:r>
    <w:r w:rsidRPr="00D0776C">
      <w:rPr>
        <w:rStyle w:val="PageNumber"/>
        <w:szCs w:val="18"/>
      </w:rPr>
      <w:instrText xml:space="preserve"> PAGE </w:instrText>
    </w:r>
    <w:r w:rsidRPr="00D0776C">
      <w:rPr>
        <w:rStyle w:val="PageNumber"/>
        <w:szCs w:val="18"/>
      </w:rPr>
      <w:fldChar w:fldCharType="separate"/>
    </w:r>
    <w:r w:rsidR="009164B4">
      <w:rPr>
        <w:rStyle w:val="PageNumber"/>
        <w:noProof/>
        <w:szCs w:val="18"/>
      </w:rPr>
      <w:t>10</w:t>
    </w:r>
    <w:r w:rsidRPr="00D0776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BAC3" w14:textId="77777777" w:rsidR="004E3534" w:rsidRDefault="004E3534">
      <w:r>
        <w:separator/>
      </w:r>
    </w:p>
  </w:footnote>
  <w:footnote w:type="continuationSeparator" w:id="0">
    <w:p w14:paraId="2239DA40" w14:textId="77777777" w:rsidR="004E3534" w:rsidRDefault="004E3534">
      <w:r>
        <w:continuationSeparator/>
      </w:r>
    </w:p>
  </w:footnote>
  <w:footnote w:id="1">
    <w:p w14:paraId="6EA738A7" w14:textId="110697C7" w:rsidR="005109E4" w:rsidRDefault="005109E4" w:rsidP="002628BD">
      <w:pPr>
        <w:pStyle w:val="FootnoteText"/>
        <w:jc w:val="both"/>
      </w:pPr>
      <w:r>
        <w:rPr>
          <w:rStyle w:val="FootnoteReference"/>
        </w:rPr>
        <w:footnoteRef/>
      </w:r>
      <w:r>
        <w:t xml:space="preserve"> Permitted tax credit structures are subject to changes</w:t>
      </w:r>
      <w:r w:rsidR="007D0CC6">
        <w:t xml:space="preserve"> under federal and state tax law. </w:t>
      </w:r>
    </w:p>
  </w:footnote>
  <w:footnote w:id="2">
    <w:p w14:paraId="1D9D7CF8" w14:textId="552E46E4" w:rsidR="006E4E22" w:rsidRDefault="006E4E22">
      <w:pPr>
        <w:pStyle w:val="FootnoteText"/>
      </w:pPr>
      <w:r>
        <w:rPr>
          <w:rStyle w:val="FootnoteReference"/>
        </w:rPr>
        <w:footnoteRef/>
      </w:r>
      <w:r>
        <w:t xml:space="preserve"> In 2022, only NMTC programs could be structured as syndicated progra</w:t>
      </w:r>
      <w:r w:rsidR="00B9202D">
        <w:t>ms with guarantees.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B9B" w14:textId="2600FA01" w:rsidR="00706D3B" w:rsidRPr="00BE425C" w:rsidRDefault="009E7AA1" w:rsidP="00706D3B">
    <w:pPr>
      <w:pStyle w:val="Header"/>
      <w:jc w:val="right"/>
      <w:rPr>
        <w:b/>
        <w:sz w:val="20"/>
      </w:rPr>
    </w:pPr>
    <w:r w:rsidRPr="00F04F9A">
      <w:rPr>
        <w:bCs/>
        <w:sz w:val="20"/>
      </w:rPr>
      <w:t>Ref #20</w:t>
    </w:r>
    <w:r>
      <w:rPr>
        <w:bCs/>
        <w:sz w:val="20"/>
      </w:rPr>
      <w:t>22</w:t>
    </w:r>
    <w:r w:rsidRPr="00F04F9A">
      <w:rPr>
        <w:bCs/>
        <w:sz w:val="20"/>
      </w:rPr>
      <w:t>-</w:t>
    </w:r>
    <w:r>
      <w:rPr>
        <w:bCs/>
        <w:sz w:val="20"/>
      </w:rPr>
      <w:t>14</w:t>
    </w:r>
  </w:p>
  <w:p w14:paraId="4C01AD9D" w14:textId="77777777" w:rsidR="00706D3B" w:rsidRPr="00706D3B" w:rsidRDefault="00706D3B">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1B39" w14:textId="1E76B42E" w:rsidR="00D65310" w:rsidRPr="00BE425C" w:rsidRDefault="009E7AA1" w:rsidP="00706D3B">
    <w:pPr>
      <w:pStyle w:val="Header"/>
      <w:jc w:val="right"/>
      <w:rPr>
        <w:b/>
        <w:sz w:val="20"/>
      </w:rPr>
    </w:pPr>
    <w:r w:rsidRPr="00F04F9A">
      <w:rPr>
        <w:bCs/>
        <w:sz w:val="20"/>
      </w:rPr>
      <w:t>Ref #20</w:t>
    </w:r>
    <w:r>
      <w:rPr>
        <w:bCs/>
        <w:sz w:val="20"/>
      </w:rPr>
      <w:t>22</w:t>
    </w:r>
    <w:r w:rsidRPr="00F04F9A">
      <w:rPr>
        <w:bCs/>
        <w:sz w:val="20"/>
      </w:rPr>
      <w:t>-</w:t>
    </w:r>
    <w:r>
      <w:rPr>
        <w:bCs/>
        <w:sz w:val="20"/>
      </w:rPr>
      <w:t>14</w:t>
    </w:r>
  </w:p>
  <w:p w14:paraId="5CC2E01F" w14:textId="77777777" w:rsidR="00706D3B" w:rsidRDefault="00706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5CB9" w14:textId="77777777" w:rsidR="00AC620C" w:rsidRPr="002E0003" w:rsidRDefault="00AC620C" w:rsidP="00D43D5F">
    <w:pPr>
      <w:pStyle w:val="HeaderEven"/>
      <w:tabs>
        <w:tab w:val="clear" w:pos="5040"/>
        <w:tab w:val="center" w:pos="4680"/>
        <w:tab w:val="right" w:pos="9360"/>
      </w:tabs>
    </w:pPr>
    <w:r>
      <w:tab/>
    </w:r>
    <w:r w:rsidR="006E1C9D">
      <w:t>Low Income Housing Tax Credit Property Investments</w:t>
    </w:r>
    <w:r w:rsidR="006E1C9D">
      <w:tab/>
      <w:t>SSAP No. 93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F72D" w14:textId="77777777" w:rsidR="00DB5AAD" w:rsidRPr="002E0003" w:rsidRDefault="00DB5AAD" w:rsidP="00D43D5F">
    <w:pPr>
      <w:pStyle w:val="HeaderEven"/>
      <w:tabs>
        <w:tab w:val="clear" w:pos="5040"/>
        <w:tab w:val="center" w:pos="4680"/>
        <w:tab w:val="right" w:pos="9360"/>
      </w:tabs>
    </w:pPr>
    <w:r>
      <w:tab/>
      <w:t>Low Income Housing Tax Credit Property Investments</w:t>
    </w:r>
    <w:r>
      <w:tab/>
      <w:t>SSAP No. 93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F187" w14:textId="77777777" w:rsidR="00AC620C" w:rsidRPr="006E1C9D" w:rsidRDefault="006E1C9D" w:rsidP="00D43D5F">
    <w:pPr>
      <w:pStyle w:val="HeaderEven"/>
      <w:tabs>
        <w:tab w:val="clear" w:pos="5040"/>
        <w:tab w:val="center" w:pos="4680"/>
      </w:tabs>
    </w:pPr>
    <w:r>
      <w:t>SSAP No. 93</w:t>
    </w:r>
    <w:r>
      <w:tab/>
      <w:t>Statement of Statutory Accounting Principles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A5C1D0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D44DE9"/>
    <w:multiLevelType w:val="hybridMultilevel"/>
    <w:tmpl w:val="713CA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86C47"/>
    <w:multiLevelType w:val="singleLevel"/>
    <w:tmpl w:val="2168DD1E"/>
    <w:lvl w:ilvl="0">
      <w:start w:val="1"/>
      <w:numFmt w:val="lowerLetter"/>
      <w:pStyle w:val="ListNumber2"/>
      <w:lvlText w:val="%1."/>
      <w:lvlJc w:val="left"/>
      <w:pPr>
        <w:tabs>
          <w:tab w:val="num" w:pos="0"/>
        </w:tabs>
        <w:ind w:left="1440" w:hanging="720"/>
      </w:pPr>
      <w:rPr>
        <w:rFonts w:hint="default"/>
      </w:rPr>
    </w:lvl>
  </w:abstractNum>
  <w:abstractNum w:abstractNumId="4" w15:restartNumberingAfterBreak="0">
    <w:nsid w:val="1A6B3D26"/>
    <w:multiLevelType w:val="hybridMultilevel"/>
    <w:tmpl w:val="57B4E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8" w15:restartNumberingAfterBreak="0">
    <w:nsid w:val="3C1D7404"/>
    <w:multiLevelType w:val="hybridMultilevel"/>
    <w:tmpl w:val="B39871D6"/>
    <w:lvl w:ilvl="0" w:tplc="200242C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737D71"/>
    <w:multiLevelType w:val="singleLevel"/>
    <w:tmpl w:val="D666B1CE"/>
    <w:lvl w:ilvl="0">
      <w:start w:val="1"/>
      <w:numFmt w:val="bullet"/>
      <w:lvlText w:val=""/>
      <w:lvlJc w:val="left"/>
      <w:pPr>
        <w:tabs>
          <w:tab w:val="num" w:pos="1440"/>
        </w:tabs>
        <w:ind w:left="1440" w:hanging="720"/>
      </w:pPr>
      <w:rPr>
        <w:rFonts w:ascii="Symbol" w:hAnsi="Symbol" w:hint="default"/>
      </w:rPr>
    </w:lvl>
  </w:abstractNum>
  <w:abstractNum w:abstractNumId="10" w15:restartNumberingAfterBreak="0">
    <w:nsid w:val="47CF19DB"/>
    <w:multiLevelType w:val="hybridMultilevel"/>
    <w:tmpl w:val="57B4E6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94466B7"/>
    <w:multiLevelType w:val="hybridMultilevel"/>
    <w:tmpl w:val="26ACE168"/>
    <w:lvl w:ilvl="0" w:tplc="2CC26CC4">
      <w:start w:val="1"/>
      <w:numFmt w:val="decimal"/>
      <w:lvlText w:val="%1."/>
      <w:lvlJc w:val="left"/>
      <w:pPr>
        <w:tabs>
          <w:tab w:val="num" w:pos="420"/>
        </w:tabs>
        <w:ind w:left="420" w:hanging="420"/>
      </w:pPr>
      <w:rPr>
        <w:rFonts w:hint="default"/>
      </w:rPr>
    </w:lvl>
    <w:lvl w:ilvl="1" w:tplc="CBC4BEDC">
      <w:start w:val="1"/>
      <w:numFmt w:val="lowerLetter"/>
      <w:lvlText w:val="%2."/>
      <w:lvlJc w:val="left"/>
      <w:pPr>
        <w:tabs>
          <w:tab w:val="num" w:pos="1440"/>
        </w:tabs>
        <w:ind w:left="1440" w:hanging="720"/>
      </w:pPr>
      <w:rPr>
        <w:rFonts w:hint="default"/>
      </w:rPr>
    </w:lvl>
    <w:lvl w:ilvl="2" w:tplc="9E2C86BC">
      <w:start w:val="1"/>
      <w:numFmt w:val="bullet"/>
      <w:lvlText w:val=""/>
      <w:lvlJc w:val="left"/>
      <w:pPr>
        <w:tabs>
          <w:tab w:val="num" w:pos="1980"/>
        </w:tabs>
        <w:ind w:left="1980" w:hanging="360"/>
      </w:pPr>
      <w:rPr>
        <w:rFonts w:ascii="Symbol" w:hAnsi="Symbol" w:hint="default"/>
        <w:color w:val="auto"/>
        <w:sz w:val="16"/>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21709C4"/>
    <w:multiLevelType w:val="multilevel"/>
    <w:tmpl w:val="F4421C30"/>
    <w:lvl w:ilvl="0">
      <w:start w:val="1"/>
      <w:numFmt w:val="decimal"/>
      <w:pStyle w:val="ListContinue"/>
      <w:lvlText w:val="%1."/>
      <w:lvlJc w:val="left"/>
      <w:pPr>
        <w:tabs>
          <w:tab w:val="num" w:pos="720"/>
        </w:tabs>
        <w:ind w:left="0" w:firstLine="0"/>
      </w:pPr>
      <w:rPr>
        <w:rFonts w:hint="default"/>
      </w:rPr>
    </w:lvl>
    <w:lvl w:ilvl="1">
      <w:start w:val="1"/>
      <w:numFmt w:val="lowerLetter"/>
      <w:lvlText w:val="%2."/>
      <w:lvlJc w:val="left"/>
      <w:pPr>
        <w:ind w:left="720" w:hanging="360"/>
      </w:p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14" w15:restartNumberingAfterBreak="0">
    <w:nsid w:val="6EAA3F64"/>
    <w:multiLevelType w:val="singleLevel"/>
    <w:tmpl w:val="1A78CF8C"/>
    <w:lvl w:ilvl="0">
      <w:start w:val="1"/>
      <w:numFmt w:val="upperLetter"/>
      <w:pStyle w:val="ListNumber3A"/>
      <w:lvlText w:val="%1."/>
      <w:lvlJc w:val="left"/>
      <w:pPr>
        <w:tabs>
          <w:tab w:val="num" w:pos="2160"/>
        </w:tabs>
        <w:ind w:left="2160" w:hanging="720"/>
      </w:pPr>
    </w:lvl>
  </w:abstractNum>
  <w:abstractNum w:abstractNumId="15" w15:restartNumberingAfterBreak="0">
    <w:nsid w:val="732E6E88"/>
    <w:multiLevelType w:val="hybridMultilevel"/>
    <w:tmpl w:val="299EF54C"/>
    <w:lvl w:ilvl="0" w:tplc="0A4E932C">
      <w:start w:val="1"/>
      <w:numFmt w:val="lowerLetter"/>
      <w:pStyle w:val="BodyTestIndent4"/>
      <w:lvlText w:val="(%1)"/>
      <w:lvlJc w:val="left"/>
      <w:pPr>
        <w:tabs>
          <w:tab w:val="num" w:pos="2880"/>
        </w:tabs>
        <w:ind w:left="2880" w:hanging="72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num w:numId="1" w16cid:durableId="1753039266">
    <w:abstractNumId w:val="1"/>
    <w:lvlOverride w:ilvl="0">
      <w:lvl w:ilvl="0">
        <w:start w:val="1"/>
        <w:numFmt w:val="bullet"/>
        <w:lvlText w:val=""/>
        <w:legacy w:legacy="1" w:legacySpace="0" w:legacyIndent="720"/>
        <w:lvlJc w:val="left"/>
        <w:pPr>
          <w:ind w:left="1440" w:hanging="720"/>
        </w:pPr>
        <w:rPr>
          <w:rFonts w:ascii="Symbol" w:hAnsi="Symbol" w:hint="default"/>
        </w:rPr>
      </w:lvl>
    </w:lvlOverride>
  </w:num>
  <w:num w:numId="2" w16cid:durableId="1120807361">
    <w:abstractNumId w:val="9"/>
  </w:num>
  <w:num w:numId="3" w16cid:durableId="763573735">
    <w:abstractNumId w:val="6"/>
  </w:num>
  <w:num w:numId="4" w16cid:durableId="810902404">
    <w:abstractNumId w:val="7"/>
  </w:num>
  <w:num w:numId="5" w16cid:durableId="535698839">
    <w:abstractNumId w:val="0"/>
  </w:num>
  <w:num w:numId="6" w16cid:durableId="1524512024">
    <w:abstractNumId w:val="5"/>
  </w:num>
  <w:num w:numId="7" w16cid:durableId="607473150">
    <w:abstractNumId w:val="16"/>
  </w:num>
  <w:num w:numId="8" w16cid:durableId="2013676474">
    <w:abstractNumId w:val="14"/>
  </w:num>
  <w:num w:numId="9" w16cid:durableId="928386256">
    <w:abstractNumId w:val="15"/>
  </w:num>
  <w:num w:numId="10" w16cid:durableId="1606578875">
    <w:abstractNumId w:val="13"/>
  </w:num>
  <w:num w:numId="11" w16cid:durableId="1317413215">
    <w:abstractNumId w:val="11"/>
  </w:num>
  <w:num w:numId="12" w16cid:durableId="2031367435">
    <w:abstractNumId w:val="4"/>
  </w:num>
  <w:num w:numId="13" w16cid:durableId="1051464320">
    <w:abstractNumId w:val="3"/>
  </w:num>
  <w:num w:numId="14" w16cid:durableId="1502813032">
    <w:abstractNumId w:val="3"/>
    <w:lvlOverride w:ilvl="0">
      <w:startOverride w:val="1"/>
    </w:lvlOverride>
  </w:num>
  <w:num w:numId="15" w16cid:durableId="953751312">
    <w:abstractNumId w:val="12"/>
  </w:num>
  <w:num w:numId="16" w16cid:durableId="261692676">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6858471">
    <w:abstractNumId w:val="2"/>
  </w:num>
  <w:num w:numId="18" w16cid:durableId="313990168">
    <w:abstractNumId w:val="3"/>
    <w:lvlOverride w:ilvl="0">
      <w:startOverride w:val="1"/>
    </w:lvlOverride>
  </w:num>
  <w:num w:numId="19" w16cid:durableId="1733578138">
    <w:abstractNumId w:val="3"/>
    <w:lvlOverride w:ilvl="0">
      <w:startOverride w:val="1"/>
    </w:lvlOverride>
  </w:num>
  <w:num w:numId="20" w16cid:durableId="393506958">
    <w:abstractNumId w:val="3"/>
    <w:lvlOverride w:ilvl="0">
      <w:startOverride w:val="1"/>
    </w:lvlOverride>
  </w:num>
  <w:num w:numId="21" w16cid:durableId="14292285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264891">
    <w:abstractNumId w:val="12"/>
  </w:num>
  <w:num w:numId="23" w16cid:durableId="661392183">
    <w:abstractNumId w:val="12"/>
  </w:num>
  <w:num w:numId="24" w16cid:durableId="904031281">
    <w:abstractNumId w:val="12"/>
  </w:num>
  <w:num w:numId="25" w16cid:durableId="784999809">
    <w:abstractNumId w:val="12"/>
  </w:num>
  <w:num w:numId="26" w16cid:durableId="1202203532">
    <w:abstractNumId w:val="12"/>
  </w:num>
  <w:num w:numId="27" w16cid:durableId="1305163235">
    <w:abstractNumId w:val="12"/>
  </w:num>
  <w:num w:numId="28" w16cid:durableId="277302058">
    <w:abstractNumId w:val="10"/>
  </w:num>
  <w:num w:numId="29" w16cid:durableId="44612324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FA"/>
    <w:rsid w:val="00000C89"/>
    <w:rsid w:val="00002FDA"/>
    <w:rsid w:val="0000736E"/>
    <w:rsid w:val="00007A36"/>
    <w:rsid w:val="00014AB5"/>
    <w:rsid w:val="00014B7A"/>
    <w:rsid w:val="00020322"/>
    <w:rsid w:val="000204F1"/>
    <w:rsid w:val="00026711"/>
    <w:rsid w:val="00032AE3"/>
    <w:rsid w:val="00034F12"/>
    <w:rsid w:val="00035364"/>
    <w:rsid w:val="00042BCB"/>
    <w:rsid w:val="000451E8"/>
    <w:rsid w:val="000458F4"/>
    <w:rsid w:val="000469F6"/>
    <w:rsid w:val="000516B6"/>
    <w:rsid w:val="0005174D"/>
    <w:rsid w:val="000606C7"/>
    <w:rsid w:val="00061C53"/>
    <w:rsid w:val="00063A5D"/>
    <w:rsid w:val="00066879"/>
    <w:rsid w:val="00066B14"/>
    <w:rsid w:val="00067CBE"/>
    <w:rsid w:val="0007033D"/>
    <w:rsid w:val="00070559"/>
    <w:rsid w:val="000708E6"/>
    <w:rsid w:val="00071A6B"/>
    <w:rsid w:val="00074078"/>
    <w:rsid w:val="00074863"/>
    <w:rsid w:val="00074B83"/>
    <w:rsid w:val="00074C6D"/>
    <w:rsid w:val="00076968"/>
    <w:rsid w:val="00076A78"/>
    <w:rsid w:val="00076EB3"/>
    <w:rsid w:val="00077232"/>
    <w:rsid w:val="000775B2"/>
    <w:rsid w:val="00077A89"/>
    <w:rsid w:val="000801D1"/>
    <w:rsid w:val="00082129"/>
    <w:rsid w:val="000879D7"/>
    <w:rsid w:val="00091A19"/>
    <w:rsid w:val="000965DE"/>
    <w:rsid w:val="000A1370"/>
    <w:rsid w:val="000A37DB"/>
    <w:rsid w:val="000A4FCE"/>
    <w:rsid w:val="000A61B4"/>
    <w:rsid w:val="000B420D"/>
    <w:rsid w:val="000B6E32"/>
    <w:rsid w:val="000C02E1"/>
    <w:rsid w:val="000C06AF"/>
    <w:rsid w:val="000C407F"/>
    <w:rsid w:val="000C4DE4"/>
    <w:rsid w:val="000C5134"/>
    <w:rsid w:val="000C7B9F"/>
    <w:rsid w:val="000D4899"/>
    <w:rsid w:val="000D612E"/>
    <w:rsid w:val="000D6FA1"/>
    <w:rsid w:val="000D7D9C"/>
    <w:rsid w:val="000E21EF"/>
    <w:rsid w:val="000E2B09"/>
    <w:rsid w:val="000E3C37"/>
    <w:rsid w:val="000E3DA1"/>
    <w:rsid w:val="000E5171"/>
    <w:rsid w:val="000E6ACD"/>
    <w:rsid w:val="000E6B6B"/>
    <w:rsid w:val="000F047E"/>
    <w:rsid w:val="000F2A5A"/>
    <w:rsid w:val="000F43CD"/>
    <w:rsid w:val="00101DBA"/>
    <w:rsid w:val="0010437E"/>
    <w:rsid w:val="00105C79"/>
    <w:rsid w:val="00105E7E"/>
    <w:rsid w:val="00106FC1"/>
    <w:rsid w:val="00107262"/>
    <w:rsid w:val="0011123C"/>
    <w:rsid w:val="00114C0E"/>
    <w:rsid w:val="00115190"/>
    <w:rsid w:val="001159F5"/>
    <w:rsid w:val="001170F0"/>
    <w:rsid w:val="00120CEA"/>
    <w:rsid w:val="00125E61"/>
    <w:rsid w:val="001350BE"/>
    <w:rsid w:val="001366D7"/>
    <w:rsid w:val="00136780"/>
    <w:rsid w:val="0013739A"/>
    <w:rsid w:val="00140F62"/>
    <w:rsid w:val="00141D9B"/>
    <w:rsid w:val="00143B6C"/>
    <w:rsid w:val="00144B90"/>
    <w:rsid w:val="0015091A"/>
    <w:rsid w:val="00151505"/>
    <w:rsid w:val="00153160"/>
    <w:rsid w:val="00153817"/>
    <w:rsid w:val="00155C2D"/>
    <w:rsid w:val="0015636A"/>
    <w:rsid w:val="00156689"/>
    <w:rsid w:val="00160324"/>
    <w:rsid w:val="00162A89"/>
    <w:rsid w:val="00165747"/>
    <w:rsid w:val="001723FF"/>
    <w:rsid w:val="00180EA1"/>
    <w:rsid w:val="001814EC"/>
    <w:rsid w:val="0018172D"/>
    <w:rsid w:val="001817AD"/>
    <w:rsid w:val="001834E6"/>
    <w:rsid w:val="0018397E"/>
    <w:rsid w:val="00183ECB"/>
    <w:rsid w:val="00185F4D"/>
    <w:rsid w:val="00186FC6"/>
    <w:rsid w:val="0019144E"/>
    <w:rsid w:val="0019321A"/>
    <w:rsid w:val="00194E99"/>
    <w:rsid w:val="001A1E72"/>
    <w:rsid w:val="001A22A3"/>
    <w:rsid w:val="001A3B59"/>
    <w:rsid w:val="001A4981"/>
    <w:rsid w:val="001A64C6"/>
    <w:rsid w:val="001A7D99"/>
    <w:rsid w:val="001B0F42"/>
    <w:rsid w:val="001B6F7A"/>
    <w:rsid w:val="001B7500"/>
    <w:rsid w:val="001C0AA6"/>
    <w:rsid w:val="001C28E6"/>
    <w:rsid w:val="001C6EF0"/>
    <w:rsid w:val="001D11B9"/>
    <w:rsid w:val="001D1EA4"/>
    <w:rsid w:val="001D4C77"/>
    <w:rsid w:val="001D5AA0"/>
    <w:rsid w:val="001D636E"/>
    <w:rsid w:val="001E17FD"/>
    <w:rsid w:val="001E1F6A"/>
    <w:rsid w:val="001E5CD6"/>
    <w:rsid w:val="001E7396"/>
    <w:rsid w:val="001F0BD4"/>
    <w:rsid w:val="001F3C18"/>
    <w:rsid w:val="001F47CD"/>
    <w:rsid w:val="001F62F9"/>
    <w:rsid w:val="00200763"/>
    <w:rsid w:val="00201433"/>
    <w:rsid w:val="0020484A"/>
    <w:rsid w:val="002059DC"/>
    <w:rsid w:val="00205BE4"/>
    <w:rsid w:val="0020616D"/>
    <w:rsid w:val="00210EEE"/>
    <w:rsid w:val="00213ABB"/>
    <w:rsid w:val="00213EFD"/>
    <w:rsid w:val="002140DC"/>
    <w:rsid w:val="002151ED"/>
    <w:rsid w:val="00216722"/>
    <w:rsid w:val="00216B88"/>
    <w:rsid w:val="00220DDC"/>
    <w:rsid w:val="00222B64"/>
    <w:rsid w:val="00230833"/>
    <w:rsid w:val="00231217"/>
    <w:rsid w:val="00233833"/>
    <w:rsid w:val="00233EAC"/>
    <w:rsid w:val="00240FF6"/>
    <w:rsid w:val="002413CD"/>
    <w:rsid w:val="00242051"/>
    <w:rsid w:val="00247191"/>
    <w:rsid w:val="002472F4"/>
    <w:rsid w:val="00261327"/>
    <w:rsid w:val="002628BD"/>
    <w:rsid w:val="00263C05"/>
    <w:rsid w:val="00264ECD"/>
    <w:rsid w:val="00271A16"/>
    <w:rsid w:val="00273185"/>
    <w:rsid w:val="0027591E"/>
    <w:rsid w:val="00280B8F"/>
    <w:rsid w:val="0028310F"/>
    <w:rsid w:val="002838CF"/>
    <w:rsid w:val="00283B56"/>
    <w:rsid w:val="002841C9"/>
    <w:rsid w:val="00284A40"/>
    <w:rsid w:val="00284EEC"/>
    <w:rsid w:val="00285BDD"/>
    <w:rsid w:val="00285E76"/>
    <w:rsid w:val="00292783"/>
    <w:rsid w:val="0029399B"/>
    <w:rsid w:val="0029684B"/>
    <w:rsid w:val="00296F6B"/>
    <w:rsid w:val="00297611"/>
    <w:rsid w:val="002A05CF"/>
    <w:rsid w:val="002A0B1D"/>
    <w:rsid w:val="002A1DF0"/>
    <w:rsid w:val="002A54FA"/>
    <w:rsid w:val="002A6B9B"/>
    <w:rsid w:val="002A6BD9"/>
    <w:rsid w:val="002B2C82"/>
    <w:rsid w:val="002B4EDB"/>
    <w:rsid w:val="002B5F88"/>
    <w:rsid w:val="002B684C"/>
    <w:rsid w:val="002C0A74"/>
    <w:rsid w:val="002C111C"/>
    <w:rsid w:val="002C44CC"/>
    <w:rsid w:val="002D254E"/>
    <w:rsid w:val="002D2B0E"/>
    <w:rsid w:val="002D6491"/>
    <w:rsid w:val="002E0003"/>
    <w:rsid w:val="002E130E"/>
    <w:rsid w:val="002E544C"/>
    <w:rsid w:val="002E5E1B"/>
    <w:rsid w:val="002E7F24"/>
    <w:rsid w:val="002F0C6B"/>
    <w:rsid w:val="002F0D01"/>
    <w:rsid w:val="002F1497"/>
    <w:rsid w:val="002F30C6"/>
    <w:rsid w:val="002F5C39"/>
    <w:rsid w:val="002F6034"/>
    <w:rsid w:val="002F6FF9"/>
    <w:rsid w:val="002F7D6A"/>
    <w:rsid w:val="00301F2F"/>
    <w:rsid w:val="003042B9"/>
    <w:rsid w:val="003068A9"/>
    <w:rsid w:val="00306A2D"/>
    <w:rsid w:val="00316F8C"/>
    <w:rsid w:val="00317E1E"/>
    <w:rsid w:val="00320597"/>
    <w:rsid w:val="0032140C"/>
    <w:rsid w:val="00321B16"/>
    <w:rsid w:val="00322A0A"/>
    <w:rsid w:val="003252AC"/>
    <w:rsid w:val="00326F73"/>
    <w:rsid w:val="0033002A"/>
    <w:rsid w:val="00332813"/>
    <w:rsid w:val="003336F3"/>
    <w:rsid w:val="00346EDB"/>
    <w:rsid w:val="0035094E"/>
    <w:rsid w:val="00351AAB"/>
    <w:rsid w:val="00351AFE"/>
    <w:rsid w:val="00351D33"/>
    <w:rsid w:val="003528EA"/>
    <w:rsid w:val="00355E0E"/>
    <w:rsid w:val="00357D5C"/>
    <w:rsid w:val="00364AA9"/>
    <w:rsid w:val="00364DC0"/>
    <w:rsid w:val="00364DF1"/>
    <w:rsid w:val="00367B73"/>
    <w:rsid w:val="0037299D"/>
    <w:rsid w:val="00373CE9"/>
    <w:rsid w:val="00373EF6"/>
    <w:rsid w:val="00374E7E"/>
    <w:rsid w:val="0038071F"/>
    <w:rsid w:val="0038121E"/>
    <w:rsid w:val="00385D8A"/>
    <w:rsid w:val="0038644A"/>
    <w:rsid w:val="003924B7"/>
    <w:rsid w:val="00394A49"/>
    <w:rsid w:val="0039649C"/>
    <w:rsid w:val="00396F81"/>
    <w:rsid w:val="00397BC8"/>
    <w:rsid w:val="003A10AB"/>
    <w:rsid w:val="003A1C9F"/>
    <w:rsid w:val="003A4058"/>
    <w:rsid w:val="003A4A7E"/>
    <w:rsid w:val="003A5BFC"/>
    <w:rsid w:val="003A61DA"/>
    <w:rsid w:val="003A7A5E"/>
    <w:rsid w:val="003B03D6"/>
    <w:rsid w:val="003B1847"/>
    <w:rsid w:val="003B3A29"/>
    <w:rsid w:val="003C20F4"/>
    <w:rsid w:val="003C2FD4"/>
    <w:rsid w:val="003C5477"/>
    <w:rsid w:val="003C6C86"/>
    <w:rsid w:val="003C6FB8"/>
    <w:rsid w:val="003D3890"/>
    <w:rsid w:val="003D68B0"/>
    <w:rsid w:val="003E3606"/>
    <w:rsid w:val="003E5B89"/>
    <w:rsid w:val="003E74AF"/>
    <w:rsid w:val="003F2AE9"/>
    <w:rsid w:val="003F2FC6"/>
    <w:rsid w:val="003F53AF"/>
    <w:rsid w:val="003F6465"/>
    <w:rsid w:val="003F6D7D"/>
    <w:rsid w:val="00400A01"/>
    <w:rsid w:val="00401002"/>
    <w:rsid w:val="00403F0C"/>
    <w:rsid w:val="0040447B"/>
    <w:rsid w:val="004106A7"/>
    <w:rsid w:val="00411985"/>
    <w:rsid w:val="00412A21"/>
    <w:rsid w:val="00414939"/>
    <w:rsid w:val="00423943"/>
    <w:rsid w:val="00425513"/>
    <w:rsid w:val="004276E7"/>
    <w:rsid w:val="0042782D"/>
    <w:rsid w:val="00427A92"/>
    <w:rsid w:val="00427ACA"/>
    <w:rsid w:val="004317B7"/>
    <w:rsid w:val="00432DC6"/>
    <w:rsid w:val="00433B9B"/>
    <w:rsid w:val="00434428"/>
    <w:rsid w:val="00435C2A"/>
    <w:rsid w:val="00441F7D"/>
    <w:rsid w:val="0044341C"/>
    <w:rsid w:val="00453EA3"/>
    <w:rsid w:val="004559DC"/>
    <w:rsid w:val="00455F31"/>
    <w:rsid w:val="00460B8D"/>
    <w:rsid w:val="00462310"/>
    <w:rsid w:val="00465337"/>
    <w:rsid w:val="00466F0A"/>
    <w:rsid w:val="004720C5"/>
    <w:rsid w:val="00473DFF"/>
    <w:rsid w:val="00473EB2"/>
    <w:rsid w:val="00474143"/>
    <w:rsid w:val="00475F3E"/>
    <w:rsid w:val="004811BE"/>
    <w:rsid w:val="0048223D"/>
    <w:rsid w:val="00484386"/>
    <w:rsid w:val="00484561"/>
    <w:rsid w:val="00485D5D"/>
    <w:rsid w:val="00492F25"/>
    <w:rsid w:val="00493C0F"/>
    <w:rsid w:val="004A379F"/>
    <w:rsid w:val="004A45E9"/>
    <w:rsid w:val="004A527F"/>
    <w:rsid w:val="004A591B"/>
    <w:rsid w:val="004B1B94"/>
    <w:rsid w:val="004C33EF"/>
    <w:rsid w:val="004C375A"/>
    <w:rsid w:val="004C3AB9"/>
    <w:rsid w:val="004C7032"/>
    <w:rsid w:val="004D1837"/>
    <w:rsid w:val="004D3A83"/>
    <w:rsid w:val="004D6C2C"/>
    <w:rsid w:val="004D75BC"/>
    <w:rsid w:val="004D7D45"/>
    <w:rsid w:val="004E087C"/>
    <w:rsid w:val="004E1175"/>
    <w:rsid w:val="004E3534"/>
    <w:rsid w:val="004F306A"/>
    <w:rsid w:val="004F358D"/>
    <w:rsid w:val="004F518A"/>
    <w:rsid w:val="004F58D0"/>
    <w:rsid w:val="004F6600"/>
    <w:rsid w:val="004F6FC9"/>
    <w:rsid w:val="004F787B"/>
    <w:rsid w:val="0050022A"/>
    <w:rsid w:val="00501B50"/>
    <w:rsid w:val="00502274"/>
    <w:rsid w:val="005051BA"/>
    <w:rsid w:val="00505C8E"/>
    <w:rsid w:val="00506378"/>
    <w:rsid w:val="00507482"/>
    <w:rsid w:val="00507938"/>
    <w:rsid w:val="005109E4"/>
    <w:rsid w:val="005167AC"/>
    <w:rsid w:val="00517B6E"/>
    <w:rsid w:val="0052024F"/>
    <w:rsid w:val="00524EB2"/>
    <w:rsid w:val="00525674"/>
    <w:rsid w:val="00527CFB"/>
    <w:rsid w:val="0053013C"/>
    <w:rsid w:val="0053333B"/>
    <w:rsid w:val="00533679"/>
    <w:rsid w:val="005345BA"/>
    <w:rsid w:val="0053462C"/>
    <w:rsid w:val="0053597E"/>
    <w:rsid w:val="00536B3A"/>
    <w:rsid w:val="00536CD2"/>
    <w:rsid w:val="00537001"/>
    <w:rsid w:val="005436B4"/>
    <w:rsid w:val="00545D40"/>
    <w:rsid w:val="00546167"/>
    <w:rsid w:val="00550784"/>
    <w:rsid w:val="00550C2D"/>
    <w:rsid w:val="00550EED"/>
    <w:rsid w:val="00552731"/>
    <w:rsid w:val="005532B1"/>
    <w:rsid w:val="00554EEE"/>
    <w:rsid w:val="00556ADA"/>
    <w:rsid w:val="00557A1B"/>
    <w:rsid w:val="00561207"/>
    <w:rsid w:val="005626C4"/>
    <w:rsid w:val="005629FE"/>
    <w:rsid w:val="00562E74"/>
    <w:rsid w:val="005646F6"/>
    <w:rsid w:val="00566D3E"/>
    <w:rsid w:val="00566D7A"/>
    <w:rsid w:val="00570E15"/>
    <w:rsid w:val="00571B38"/>
    <w:rsid w:val="005765BB"/>
    <w:rsid w:val="0058006F"/>
    <w:rsid w:val="00582986"/>
    <w:rsid w:val="005829DB"/>
    <w:rsid w:val="00582FB2"/>
    <w:rsid w:val="00584721"/>
    <w:rsid w:val="005858F4"/>
    <w:rsid w:val="005874EC"/>
    <w:rsid w:val="0058787F"/>
    <w:rsid w:val="00587B93"/>
    <w:rsid w:val="00591E4A"/>
    <w:rsid w:val="00594487"/>
    <w:rsid w:val="00594E19"/>
    <w:rsid w:val="00595017"/>
    <w:rsid w:val="005974D7"/>
    <w:rsid w:val="005A603B"/>
    <w:rsid w:val="005A63B0"/>
    <w:rsid w:val="005A6652"/>
    <w:rsid w:val="005A7F1D"/>
    <w:rsid w:val="005B303B"/>
    <w:rsid w:val="005B633D"/>
    <w:rsid w:val="005B7863"/>
    <w:rsid w:val="005C0C5E"/>
    <w:rsid w:val="005C19B4"/>
    <w:rsid w:val="005C5EC4"/>
    <w:rsid w:val="005C6934"/>
    <w:rsid w:val="005C7B60"/>
    <w:rsid w:val="005D05CA"/>
    <w:rsid w:val="005D35B4"/>
    <w:rsid w:val="005D4D10"/>
    <w:rsid w:val="005E26DD"/>
    <w:rsid w:val="005F01BE"/>
    <w:rsid w:val="005F03A5"/>
    <w:rsid w:val="005F2108"/>
    <w:rsid w:val="005F52C7"/>
    <w:rsid w:val="005F6F07"/>
    <w:rsid w:val="006017D6"/>
    <w:rsid w:val="00601D08"/>
    <w:rsid w:val="006025F1"/>
    <w:rsid w:val="00607029"/>
    <w:rsid w:val="00607051"/>
    <w:rsid w:val="006110E8"/>
    <w:rsid w:val="00617EC1"/>
    <w:rsid w:val="00621EAE"/>
    <w:rsid w:val="00623D6E"/>
    <w:rsid w:val="00623F0F"/>
    <w:rsid w:val="0062423D"/>
    <w:rsid w:val="00624382"/>
    <w:rsid w:val="00624D62"/>
    <w:rsid w:val="00625917"/>
    <w:rsid w:val="00626245"/>
    <w:rsid w:val="0062645C"/>
    <w:rsid w:val="0062706F"/>
    <w:rsid w:val="00630F05"/>
    <w:rsid w:val="0063100D"/>
    <w:rsid w:val="00635D30"/>
    <w:rsid w:val="006368BF"/>
    <w:rsid w:val="0063691F"/>
    <w:rsid w:val="006378C2"/>
    <w:rsid w:val="00642204"/>
    <w:rsid w:val="006432AE"/>
    <w:rsid w:val="006452BC"/>
    <w:rsid w:val="006464C5"/>
    <w:rsid w:val="00655668"/>
    <w:rsid w:val="00656776"/>
    <w:rsid w:val="006615A1"/>
    <w:rsid w:val="00661D3E"/>
    <w:rsid w:val="0067402E"/>
    <w:rsid w:val="0067722B"/>
    <w:rsid w:val="00677ED5"/>
    <w:rsid w:val="00680DE3"/>
    <w:rsid w:val="00681916"/>
    <w:rsid w:val="00682407"/>
    <w:rsid w:val="00683880"/>
    <w:rsid w:val="006859F2"/>
    <w:rsid w:val="00692975"/>
    <w:rsid w:val="006930E2"/>
    <w:rsid w:val="00693178"/>
    <w:rsid w:val="00693272"/>
    <w:rsid w:val="00693DBA"/>
    <w:rsid w:val="00696468"/>
    <w:rsid w:val="0069795A"/>
    <w:rsid w:val="006A05FD"/>
    <w:rsid w:val="006A2B32"/>
    <w:rsid w:val="006A6495"/>
    <w:rsid w:val="006A68D0"/>
    <w:rsid w:val="006B017D"/>
    <w:rsid w:val="006B03BA"/>
    <w:rsid w:val="006B0F14"/>
    <w:rsid w:val="006C37EC"/>
    <w:rsid w:val="006C3DE9"/>
    <w:rsid w:val="006C4707"/>
    <w:rsid w:val="006E0694"/>
    <w:rsid w:val="006E0F01"/>
    <w:rsid w:val="006E1C9D"/>
    <w:rsid w:val="006E1E07"/>
    <w:rsid w:val="006E2FAA"/>
    <w:rsid w:val="006E41EF"/>
    <w:rsid w:val="006E4E06"/>
    <w:rsid w:val="006E4E22"/>
    <w:rsid w:val="006F1054"/>
    <w:rsid w:val="006F2969"/>
    <w:rsid w:val="006F4A28"/>
    <w:rsid w:val="006F4F5B"/>
    <w:rsid w:val="006F5535"/>
    <w:rsid w:val="006F73F4"/>
    <w:rsid w:val="007000C3"/>
    <w:rsid w:val="00700E87"/>
    <w:rsid w:val="0070175C"/>
    <w:rsid w:val="00701BBB"/>
    <w:rsid w:val="007042B7"/>
    <w:rsid w:val="00706136"/>
    <w:rsid w:val="00706745"/>
    <w:rsid w:val="00706D3B"/>
    <w:rsid w:val="007113C3"/>
    <w:rsid w:val="00713C09"/>
    <w:rsid w:val="007160D4"/>
    <w:rsid w:val="00720325"/>
    <w:rsid w:val="0072068C"/>
    <w:rsid w:val="0072220A"/>
    <w:rsid w:val="007223F2"/>
    <w:rsid w:val="007243AF"/>
    <w:rsid w:val="00724520"/>
    <w:rsid w:val="00725BE4"/>
    <w:rsid w:val="00730B35"/>
    <w:rsid w:val="0073214E"/>
    <w:rsid w:val="00736A49"/>
    <w:rsid w:val="007372B1"/>
    <w:rsid w:val="0074059B"/>
    <w:rsid w:val="007409AA"/>
    <w:rsid w:val="00745618"/>
    <w:rsid w:val="00745683"/>
    <w:rsid w:val="007463B2"/>
    <w:rsid w:val="0074763A"/>
    <w:rsid w:val="00747C1C"/>
    <w:rsid w:val="00752614"/>
    <w:rsid w:val="00753AD7"/>
    <w:rsid w:val="00755407"/>
    <w:rsid w:val="00757062"/>
    <w:rsid w:val="007607F3"/>
    <w:rsid w:val="007626CA"/>
    <w:rsid w:val="007629D3"/>
    <w:rsid w:val="00765355"/>
    <w:rsid w:val="00766146"/>
    <w:rsid w:val="0076768D"/>
    <w:rsid w:val="0077302B"/>
    <w:rsid w:val="00773384"/>
    <w:rsid w:val="00775C3E"/>
    <w:rsid w:val="00776B03"/>
    <w:rsid w:val="00781A63"/>
    <w:rsid w:val="0078357D"/>
    <w:rsid w:val="0078370C"/>
    <w:rsid w:val="00783B49"/>
    <w:rsid w:val="00783F31"/>
    <w:rsid w:val="007852F7"/>
    <w:rsid w:val="00785486"/>
    <w:rsid w:val="00785BFE"/>
    <w:rsid w:val="007903E6"/>
    <w:rsid w:val="00791A53"/>
    <w:rsid w:val="00794750"/>
    <w:rsid w:val="0079516D"/>
    <w:rsid w:val="00795EA4"/>
    <w:rsid w:val="007963FD"/>
    <w:rsid w:val="00797D97"/>
    <w:rsid w:val="007A0F45"/>
    <w:rsid w:val="007A11DB"/>
    <w:rsid w:val="007A1D9D"/>
    <w:rsid w:val="007A380D"/>
    <w:rsid w:val="007A38C3"/>
    <w:rsid w:val="007A74DC"/>
    <w:rsid w:val="007B3A8D"/>
    <w:rsid w:val="007B5673"/>
    <w:rsid w:val="007B68BA"/>
    <w:rsid w:val="007B6A8F"/>
    <w:rsid w:val="007C1221"/>
    <w:rsid w:val="007C123A"/>
    <w:rsid w:val="007C18F7"/>
    <w:rsid w:val="007C2453"/>
    <w:rsid w:val="007C264D"/>
    <w:rsid w:val="007C3B22"/>
    <w:rsid w:val="007C5A5C"/>
    <w:rsid w:val="007C5D09"/>
    <w:rsid w:val="007C5DD7"/>
    <w:rsid w:val="007C71CF"/>
    <w:rsid w:val="007C78E4"/>
    <w:rsid w:val="007D0CC6"/>
    <w:rsid w:val="007D3434"/>
    <w:rsid w:val="007D4DE8"/>
    <w:rsid w:val="007D64A1"/>
    <w:rsid w:val="007D7DA2"/>
    <w:rsid w:val="007E081C"/>
    <w:rsid w:val="007E3823"/>
    <w:rsid w:val="007E3DFA"/>
    <w:rsid w:val="007E4891"/>
    <w:rsid w:val="007F2B79"/>
    <w:rsid w:val="007F68B4"/>
    <w:rsid w:val="008001D8"/>
    <w:rsid w:val="00800CA8"/>
    <w:rsid w:val="008026C8"/>
    <w:rsid w:val="00802ADF"/>
    <w:rsid w:val="00802F81"/>
    <w:rsid w:val="00805741"/>
    <w:rsid w:val="00805E57"/>
    <w:rsid w:val="00810BCB"/>
    <w:rsid w:val="00813F6C"/>
    <w:rsid w:val="008142D2"/>
    <w:rsid w:val="00815A9F"/>
    <w:rsid w:val="008178D9"/>
    <w:rsid w:val="00821CE7"/>
    <w:rsid w:val="008222FE"/>
    <w:rsid w:val="00827B7E"/>
    <w:rsid w:val="00830A3A"/>
    <w:rsid w:val="00833664"/>
    <w:rsid w:val="00834557"/>
    <w:rsid w:val="00850555"/>
    <w:rsid w:val="0085192E"/>
    <w:rsid w:val="00856864"/>
    <w:rsid w:val="00862CE1"/>
    <w:rsid w:val="00865D1E"/>
    <w:rsid w:val="0086700B"/>
    <w:rsid w:val="008678B2"/>
    <w:rsid w:val="008679EB"/>
    <w:rsid w:val="00867C77"/>
    <w:rsid w:val="00872523"/>
    <w:rsid w:val="008728D2"/>
    <w:rsid w:val="00872A18"/>
    <w:rsid w:val="00872EF7"/>
    <w:rsid w:val="0087638A"/>
    <w:rsid w:val="00880712"/>
    <w:rsid w:val="00880D3A"/>
    <w:rsid w:val="008810D7"/>
    <w:rsid w:val="00881865"/>
    <w:rsid w:val="00882942"/>
    <w:rsid w:val="00886537"/>
    <w:rsid w:val="00890827"/>
    <w:rsid w:val="00890934"/>
    <w:rsid w:val="00890BA2"/>
    <w:rsid w:val="0089143E"/>
    <w:rsid w:val="00896D65"/>
    <w:rsid w:val="00897A35"/>
    <w:rsid w:val="00897D66"/>
    <w:rsid w:val="008A0D93"/>
    <w:rsid w:val="008A453C"/>
    <w:rsid w:val="008B1733"/>
    <w:rsid w:val="008B19C8"/>
    <w:rsid w:val="008B68A7"/>
    <w:rsid w:val="008B72D9"/>
    <w:rsid w:val="008C198B"/>
    <w:rsid w:val="008C6F14"/>
    <w:rsid w:val="008C7D68"/>
    <w:rsid w:val="008D09A4"/>
    <w:rsid w:val="008D09B5"/>
    <w:rsid w:val="008D1FF2"/>
    <w:rsid w:val="008D7109"/>
    <w:rsid w:val="008E1442"/>
    <w:rsid w:val="008E254E"/>
    <w:rsid w:val="008E2FC2"/>
    <w:rsid w:val="008E3EF9"/>
    <w:rsid w:val="008E67BF"/>
    <w:rsid w:val="008F0026"/>
    <w:rsid w:val="008F5374"/>
    <w:rsid w:val="008F6432"/>
    <w:rsid w:val="008F6635"/>
    <w:rsid w:val="008F77F4"/>
    <w:rsid w:val="00902C52"/>
    <w:rsid w:val="009041BE"/>
    <w:rsid w:val="00904DD9"/>
    <w:rsid w:val="00905762"/>
    <w:rsid w:val="00905A4F"/>
    <w:rsid w:val="00906B55"/>
    <w:rsid w:val="00915143"/>
    <w:rsid w:val="0091547C"/>
    <w:rsid w:val="009156B0"/>
    <w:rsid w:val="009164B4"/>
    <w:rsid w:val="009203B3"/>
    <w:rsid w:val="00920422"/>
    <w:rsid w:val="009205B9"/>
    <w:rsid w:val="0092138C"/>
    <w:rsid w:val="00926419"/>
    <w:rsid w:val="009269CA"/>
    <w:rsid w:val="00927D24"/>
    <w:rsid w:val="00933741"/>
    <w:rsid w:val="00933DBD"/>
    <w:rsid w:val="00934A7E"/>
    <w:rsid w:val="00940FD8"/>
    <w:rsid w:val="00941773"/>
    <w:rsid w:val="0094231F"/>
    <w:rsid w:val="00944A7B"/>
    <w:rsid w:val="00944DD2"/>
    <w:rsid w:val="009461F1"/>
    <w:rsid w:val="00946E1B"/>
    <w:rsid w:val="00950C3D"/>
    <w:rsid w:val="00954BC5"/>
    <w:rsid w:val="00956A69"/>
    <w:rsid w:val="00956AB5"/>
    <w:rsid w:val="009615BB"/>
    <w:rsid w:val="009618FB"/>
    <w:rsid w:val="00963063"/>
    <w:rsid w:val="00963951"/>
    <w:rsid w:val="00963EC9"/>
    <w:rsid w:val="0096505D"/>
    <w:rsid w:val="009703E4"/>
    <w:rsid w:val="00976487"/>
    <w:rsid w:val="00976BFB"/>
    <w:rsid w:val="00981EF4"/>
    <w:rsid w:val="009863E5"/>
    <w:rsid w:val="00986B42"/>
    <w:rsid w:val="00987946"/>
    <w:rsid w:val="00991060"/>
    <w:rsid w:val="00991424"/>
    <w:rsid w:val="00991572"/>
    <w:rsid w:val="00994DE4"/>
    <w:rsid w:val="00995866"/>
    <w:rsid w:val="009A05BD"/>
    <w:rsid w:val="009A06A7"/>
    <w:rsid w:val="009B011D"/>
    <w:rsid w:val="009B019A"/>
    <w:rsid w:val="009B3273"/>
    <w:rsid w:val="009B3638"/>
    <w:rsid w:val="009B70A1"/>
    <w:rsid w:val="009C2B4E"/>
    <w:rsid w:val="009C5DEE"/>
    <w:rsid w:val="009C69D6"/>
    <w:rsid w:val="009D28A6"/>
    <w:rsid w:val="009D4FD8"/>
    <w:rsid w:val="009D5354"/>
    <w:rsid w:val="009D5426"/>
    <w:rsid w:val="009D78C6"/>
    <w:rsid w:val="009E1881"/>
    <w:rsid w:val="009E48EC"/>
    <w:rsid w:val="009E7AA1"/>
    <w:rsid w:val="009F0D20"/>
    <w:rsid w:val="009F0D8D"/>
    <w:rsid w:val="009F1083"/>
    <w:rsid w:val="009F2C17"/>
    <w:rsid w:val="009F4DA7"/>
    <w:rsid w:val="009F5890"/>
    <w:rsid w:val="009F6AC4"/>
    <w:rsid w:val="00A02C57"/>
    <w:rsid w:val="00A03348"/>
    <w:rsid w:val="00A04ADB"/>
    <w:rsid w:val="00A05C5B"/>
    <w:rsid w:val="00A126AA"/>
    <w:rsid w:val="00A16870"/>
    <w:rsid w:val="00A25DC4"/>
    <w:rsid w:val="00A27CC3"/>
    <w:rsid w:val="00A27EF7"/>
    <w:rsid w:val="00A30098"/>
    <w:rsid w:val="00A3593B"/>
    <w:rsid w:val="00A36A6B"/>
    <w:rsid w:val="00A3729C"/>
    <w:rsid w:val="00A3735E"/>
    <w:rsid w:val="00A37A3E"/>
    <w:rsid w:val="00A37A79"/>
    <w:rsid w:val="00A40E76"/>
    <w:rsid w:val="00A41275"/>
    <w:rsid w:val="00A42082"/>
    <w:rsid w:val="00A42F4D"/>
    <w:rsid w:val="00A459C1"/>
    <w:rsid w:val="00A53086"/>
    <w:rsid w:val="00A551B4"/>
    <w:rsid w:val="00A56208"/>
    <w:rsid w:val="00A601CE"/>
    <w:rsid w:val="00A60784"/>
    <w:rsid w:val="00A63131"/>
    <w:rsid w:val="00A63DFA"/>
    <w:rsid w:val="00A67246"/>
    <w:rsid w:val="00A67CE8"/>
    <w:rsid w:val="00A735EF"/>
    <w:rsid w:val="00A7656E"/>
    <w:rsid w:val="00A770C4"/>
    <w:rsid w:val="00A77316"/>
    <w:rsid w:val="00A8093A"/>
    <w:rsid w:val="00A80A9A"/>
    <w:rsid w:val="00A814F0"/>
    <w:rsid w:val="00A81E79"/>
    <w:rsid w:val="00A8490F"/>
    <w:rsid w:val="00A86FD5"/>
    <w:rsid w:val="00A90233"/>
    <w:rsid w:val="00A9165C"/>
    <w:rsid w:val="00A9173B"/>
    <w:rsid w:val="00A93A68"/>
    <w:rsid w:val="00AA0214"/>
    <w:rsid w:val="00AA32AD"/>
    <w:rsid w:val="00AA3AC0"/>
    <w:rsid w:val="00AA7D13"/>
    <w:rsid w:val="00AB0D67"/>
    <w:rsid w:val="00AB1664"/>
    <w:rsid w:val="00AB400D"/>
    <w:rsid w:val="00AB5F2E"/>
    <w:rsid w:val="00AB7A07"/>
    <w:rsid w:val="00AC1707"/>
    <w:rsid w:val="00AC1E9E"/>
    <w:rsid w:val="00AC270B"/>
    <w:rsid w:val="00AC620C"/>
    <w:rsid w:val="00AC6242"/>
    <w:rsid w:val="00AC7DE2"/>
    <w:rsid w:val="00AD672C"/>
    <w:rsid w:val="00AD79B1"/>
    <w:rsid w:val="00AE2190"/>
    <w:rsid w:val="00AE32B9"/>
    <w:rsid w:val="00AE44C8"/>
    <w:rsid w:val="00AE7349"/>
    <w:rsid w:val="00AF000A"/>
    <w:rsid w:val="00AF040A"/>
    <w:rsid w:val="00AF0526"/>
    <w:rsid w:val="00AF2356"/>
    <w:rsid w:val="00AF38D6"/>
    <w:rsid w:val="00B01452"/>
    <w:rsid w:val="00B02A9B"/>
    <w:rsid w:val="00B0398F"/>
    <w:rsid w:val="00B04123"/>
    <w:rsid w:val="00B06936"/>
    <w:rsid w:val="00B10E20"/>
    <w:rsid w:val="00B13C18"/>
    <w:rsid w:val="00B168B1"/>
    <w:rsid w:val="00B16A8C"/>
    <w:rsid w:val="00B179C7"/>
    <w:rsid w:val="00B2065B"/>
    <w:rsid w:val="00B22AE9"/>
    <w:rsid w:val="00B23D92"/>
    <w:rsid w:val="00B23E24"/>
    <w:rsid w:val="00B2733E"/>
    <w:rsid w:val="00B30328"/>
    <w:rsid w:val="00B30399"/>
    <w:rsid w:val="00B30529"/>
    <w:rsid w:val="00B31D1B"/>
    <w:rsid w:val="00B32D28"/>
    <w:rsid w:val="00B370A3"/>
    <w:rsid w:val="00B37947"/>
    <w:rsid w:val="00B4071A"/>
    <w:rsid w:val="00B452BA"/>
    <w:rsid w:val="00B467F5"/>
    <w:rsid w:val="00B474FD"/>
    <w:rsid w:val="00B5141E"/>
    <w:rsid w:val="00B549C8"/>
    <w:rsid w:val="00B54A6A"/>
    <w:rsid w:val="00B603AE"/>
    <w:rsid w:val="00B613CB"/>
    <w:rsid w:val="00B62713"/>
    <w:rsid w:val="00B64262"/>
    <w:rsid w:val="00B64A34"/>
    <w:rsid w:val="00B64FEB"/>
    <w:rsid w:val="00B676CF"/>
    <w:rsid w:val="00B710A8"/>
    <w:rsid w:val="00B718DE"/>
    <w:rsid w:val="00B749CA"/>
    <w:rsid w:val="00B74D71"/>
    <w:rsid w:val="00B756C0"/>
    <w:rsid w:val="00B80756"/>
    <w:rsid w:val="00B80AAD"/>
    <w:rsid w:val="00B80D75"/>
    <w:rsid w:val="00B824D7"/>
    <w:rsid w:val="00B8347B"/>
    <w:rsid w:val="00B9202D"/>
    <w:rsid w:val="00B967C8"/>
    <w:rsid w:val="00BA0C03"/>
    <w:rsid w:val="00BA259F"/>
    <w:rsid w:val="00BA46CF"/>
    <w:rsid w:val="00BA6FE3"/>
    <w:rsid w:val="00BB461B"/>
    <w:rsid w:val="00BB5DD6"/>
    <w:rsid w:val="00BB65B3"/>
    <w:rsid w:val="00BC0227"/>
    <w:rsid w:val="00BC519A"/>
    <w:rsid w:val="00BC5D71"/>
    <w:rsid w:val="00BC663F"/>
    <w:rsid w:val="00BC67AA"/>
    <w:rsid w:val="00BD07FF"/>
    <w:rsid w:val="00BD1973"/>
    <w:rsid w:val="00BD468B"/>
    <w:rsid w:val="00BD474A"/>
    <w:rsid w:val="00BD54F4"/>
    <w:rsid w:val="00BD554A"/>
    <w:rsid w:val="00BE1541"/>
    <w:rsid w:val="00BE255F"/>
    <w:rsid w:val="00BE26FC"/>
    <w:rsid w:val="00BE50BE"/>
    <w:rsid w:val="00BE6F7B"/>
    <w:rsid w:val="00BF0796"/>
    <w:rsid w:val="00BF11EB"/>
    <w:rsid w:val="00BF1BB2"/>
    <w:rsid w:val="00BF37E1"/>
    <w:rsid w:val="00BF418F"/>
    <w:rsid w:val="00BF5858"/>
    <w:rsid w:val="00BF5A75"/>
    <w:rsid w:val="00BF6FD4"/>
    <w:rsid w:val="00C00496"/>
    <w:rsid w:val="00C02AA1"/>
    <w:rsid w:val="00C0302A"/>
    <w:rsid w:val="00C05336"/>
    <w:rsid w:val="00C14D66"/>
    <w:rsid w:val="00C14F46"/>
    <w:rsid w:val="00C21B34"/>
    <w:rsid w:val="00C2294B"/>
    <w:rsid w:val="00C23C56"/>
    <w:rsid w:val="00C24533"/>
    <w:rsid w:val="00C2484B"/>
    <w:rsid w:val="00C26E65"/>
    <w:rsid w:val="00C2738B"/>
    <w:rsid w:val="00C30B07"/>
    <w:rsid w:val="00C3181A"/>
    <w:rsid w:val="00C32D2C"/>
    <w:rsid w:val="00C418FD"/>
    <w:rsid w:val="00C47634"/>
    <w:rsid w:val="00C50C15"/>
    <w:rsid w:val="00C52989"/>
    <w:rsid w:val="00C52AE9"/>
    <w:rsid w:val="00C53204"/>
    <w:rsid w:val="00C556C0"/>
    <w:rsid w:val="00C621E5"/>
    <w:rsid w:val="00C6227C"/>
    <w:rsid w:val="00C62533"/>
    <w:rsid w:val="00C62CB0"/>
    <w:rsid w:val="00C64880"/>
    <w:rsid w:val="00C65507"/>
    <w:rsid w:val="00C67E5A"/>
    <w:rsid w:val="00C702B9"/>
    <w:rsid w:val="00C717B9"/>
    <w:rsid w:val="00C71B5B"/>
    <w:rsid w:val="00C721C9"/>
    <w:rsid w:val="00C7529A"/>
    <w:rsid w:val="00C754DC"/>
    <w:rsid w:val="00C77501"/>
    <w:rsid w:val="00C82663"/>
    <w:rsid w:val="00C82D70"/>
    <w:rsid w:val="00C84A89"/>
    <w:rsid w:val="00C84AD6"/>
    <w:rsid w:val="00C8567E"/>
    <w:rsid w:val="00C86564"/>
    <w:rsid w:val="00C86E56"/>
    <w:rsid w:val="00C9136F"/>
    <w:rsid w:val="00C9442D"/>
    <w:rsid w:val="00C95297"/>
    <w:rsid w:val="00C958C1"/>
    <w:rsid w:val="00C95D0F"/>
    <w:rsid w:val="00CA1BDF"/>
    <w:rsid w:val="00CA3F2A"/>
    <w:rsid w:val="00CA4280"/>
    <w:rsid w:val="00CA5392"/>
    <w:rsid w:val="00CA69B9"/>
    <w:rsid w:val="00CB39A8"/>
    <w:rsid w:val="00CB4507"/>
    <w:rsid w:val="00CB7024"/>
    <w:rsid w:val="00CC0045"/>
    <w:rsid w:val="00CC03AD"/>
    <w:rsid w:val="00CD2503"/>
    <w:rsid w:val="00CD3A3B"/>
    <w:rsid w:val="00CD42CC"/>
    <w:rsid w:val="00CE3D5B"/>
    <w:rsid w:val="00CE4B21"/>
    <w:rsid w:val="00CE648D"/>
    <w:rsid w:val="00CF00C6"/>
    <w:rsid w:val="00CF2D7A"/>
    <w:rsid w:val="00D0260E"/>
    <w:rsid w:val="00D04983"/>
    <w:rsid w:val="00D059CC"/>
    <w:rsid w:val="00D0664E"/>
    <w:rsid w:val="00D0676A"/>
    <w:rsid w:val="00D0705D"/>
    <w:rsid w:val="00D0776C"/>
    <w:rsid w:val="00D07822"/>
    <w:rsid w:val="00D07EDF"/>
    <w:rsid w:val="00D101F6"/>
    <w:rsid w:val="00D12229"/>
    <w:rsid w:val="00D12791"/>
    <w:rsid w:val="00D1722D"/>
    <w:rsid w:val="00D17A2E"/>
    <w:rsid w:val="00D17E3E"/>
    <w:rsid w:val="00D2395D"/>
    <w:rsid w:val="00D262BD"/>
    <w:rsid w:val="00D26644"/>
    <w:rsid w:val="00D35AD5"/>
    <w:rsid w:val="00D361CC"/>
    <w:rsid w:val="00D4321A"/>
    <w:rsid w:val="00D43A7C"/>
    <w:rsid w:val="00D43D5F"/>
    <w:rsid w:val="00D449A1"/>
    <w:rsid w:val="00D54123"/>
    <w:rsid w:val="00D55F50"/>
    <w:rsid w:val="00D56BBA"/>
    <w:rsid w:val="00D574A6"/>
    <w:rsid w:val="00D60AA5"/>
    <w:rsid w:val="00D60D6D"/>
    <w:rsid w:val="00D6174A"/>
    <w:rsid w:val="00D62661"/>
    <w:rsid w:val="00D65310"/>
    <w:rsid w:val="00D66615"/>
    <w:rsid w:val="00D73606"/>
    <w:rsid w:val="00D74B78"/>
    <w:rsid w:val="00D80648"/>
    <w:rsid w:val="00D8255C"/>
    <w:rsid w:val="00D87932"/>
    <w:rsid w:val="00D90392"/>
    <w:rsid w:val="00D9188D"/>
    <w:rsid w:val="00D93373"/>
    <w:rsid w:val="00D94BFF"/>
    <w:rsid w:val="00D95413"/>
    <w:rsid w:val="00D95424"/>
    <w:rsid w:val="00DA1B45"/>
    <w:rsid w:val="00DA20BB"/>
    <w:rsid w:val="00DA2407"/>
    <w:rsid w:val="00DA5535"/>
    <w:rsid w:val="00DA5BEB"/>
    <w:rsid w:val="00DA6267"/>
    <w:rsid w:val="00DB0832"/>
    <w:rsid w:val="00DB1CB5"/>
    <w:rsid w:val="00DB25F8"/>
    <w:rsid w:val="00DB4DD1"/>
    <w:rsid w:val="00DB5AAD"/>
    <w:rsid w:val="00DB65BC"/>
    <w:rsid w:val="00DC3C6B"/>
    <w:rsid w:val="00DC433D"/>
    <w:rsid w:val="00DC485C"/>
    <w:rsid w:val="00DC4A3A"/>
    <w:rsid w:val="00DD080B"/>
    <w:rsid w:val="00DD10D5"/>
    <w:rsid w:val="00DD24D7"/>
    <w:rsid w:val="00DD2507"/>
    <w:rsid w:val="00DD2634"/>
    <w:rsid w:val="00DD3112"/>
    <w:rsid w:val="00DD3A12"/>
    <w:rsid w:val="00DD4000"/>
    <w:rsid w:val="00DD4700"/>
    <w:rsid w:val="00DE21F4"/>
    <w:rsid w:val="00DE2CB7"/>
    <w:rsid w:val="00DE50C2"/>
    <w:rsid w:val="00DE7470"/>
    <w:rsid w:val="00DF0FD1"/>
    <w:rsid w:val="00DF2419"/>
    <w:rsid w:val="00DF242B"/>
    <w:rsid w:val="00DF3281"/>
    <w:rsid w:val="00DF7927"/>
    <w:rsid w:val="00DF7CA6"/>
    <w:rsid w:val="00E001BC"/>
    <w:rsid w:val="00E00427"/>
    <w:rsid w:val="00E00E64"/>
    <w:rsid w:val="00E0127C"/>
    <w:rsid w:val="00E017D6"/>
    <w:rsid w:val="00E036C5"/>
    <w:rsid w:val="00E038FB"/>
    <w:rsid w:val="00E06FBD"/>
    <w:rsid w:val="00E12508"/>
    <w:rsid w:val="00E16CCB"/>
    <w:rsid w:val="00E20B97"/>
    <w:rsid w:val="00E24501"/>
    <w:rsid w:val="00E24778"/>
    <w:rsid w:val="00E25156"/>
    <w:rsid w:val="00E340DC"/>
    <w:rsid w:val="00E34F34"/>
    <w:rsid w:val="00E35B86"/>
    <w:rsid w:val="00E360A1"/>
    <w:rsid w:val="00E379E9"/>
    <w:rsid w:val="00E37BFA"/>
    <w:rsid w:val="00E37E05"/>
    <w:rsid w:val="00E40F62"/>
    <w:rsid w:val="00E4124F"/>
    <w:rsid w:val="00E41F34"/>
    <w:rsid w:val="00E42052"/>
    <w:rsid w:val="00E44525"/>
    <w:rsid w:val="00E46163"/>
    <w:rsid w:val="00E5312B"/>
    <w:rsid w:val="00E60D13"/>
    <w:rsid w:val="00E65743"/>
    <w:rsid w:val="00E678CC"/>
    <w:rsid w:val="00E748C5"/>
    <w:rsid w:val="00E75344"/>
    <w:rsid w:val="00E7607F"/>
    <w:rsid w:val="00E7679B"/>
    <w:rsid w:val="00E7791E"/>
    <w:rsid w:val="00E77C4E"/>
    <w:rsid w:val="00E8097F"/>
    <w:rsid w:val="00E822B3"/>
    <w:rsid w:val="00E82989"/>
    <w:rsid w:val="00E8568C"/>
    <w:rsid w:val="00E91F61"/>
    <w:rsid w:val="00E9572B"/>
    <w:rsid w:val="00E97687"/>
    <w:rsid w:val="00E97C85"/>
    <w:rsid w:val="00EA0C7A"/>
    <w:rsid w:val="00EA1271"/>
    <w:rsid w:val="00EA3AE7"/>
    <w:rsid w:val="00EA7FBF"/>
    <w:rsid w:val="00EB3C3E"/>
    <w:rsid w:val="00EB5951"/>
    <w:rsid w:val="00EB6E57"/>
    <w:rsid w:val="00EC2AA5"/>
    <w:rsid w:val="00EC2C77"/>
    <w:rsid w:val="00EC64C5"/>
    <w:rsid w:val="00ED3E28"/>
    <w:rsid w:val="00ED509A"/>
    <w:rsid w:val="00ED5CEB"/>
    <w:rsid w:val="00ED60BB"/>
    <w:rsid w:val="00ED6AEA"/>
    <w:rsid w:val="00EE1720"/>
    <w:rsid w:val="00EE2ABA"/>
    <w:rsid w:val="00EE3EC1"/>
    <w:rsid w:val="00EE4CEA"/>
    <w:rsid w:val="00EE6D3F"/>
    <w:rsid w:val="00EF1732"/>
    <w:rsid w:val="00EF680E"/>
    <w:rsid w:val="00EF7614"/>
    <w:rsid w:val="00F011B7"/>
    <w:rsid w:val="00F016BA"/>
    <w:rsid w:val="00F01FD5"/>
    <w:rsid w:val="00F03296"/>
    <w:rsid w:val="00F04596"/>
    <w:rsid w:val="00F05D61"/>
    <w:rsid w:val="00F0734C"/>
    <w:rsid w:val="00F11093"/>
    <w:rsid w:val="00F110EC"/>
    <w:rsid w:val="00F110F3"/>
    <w:rsid w:val="00F1177A"/>
    <w:rsid w:val="00F13AD0"/>
    <w:rsid w:val="00F15776"/>
    <w:rsid w:val="00F15B32"/>
    <w:rsid w:val="00F15DD7"/>
    <w:rsid w:val="00F17C76"/>
    <w:rsid w:val="00F20A5B"/>
    <w:rsid w:val="00F20CC3"/>
    <w:rsid w:val="00F25E9E"/>
    <w:rsid w:val="00F26845"/>
    <w:rsid w:val="00F31547"/>
    <w:rsid w:val="00F31958"/>
    <w:rsid w:val="00F34F83"/>
    <w:rsid w:val="00F45513"/>
    <w:rsid w:val="00F478AC"/>
    <w:rsid w:val="00F47A78"/>
    <w:rsid w:val="00F50EA1"/>
    <w:rsid w:val="00F51337"/>
    <w:rsid w:val="00F51D2F"/>
    <w:rsid w:val="00F52C33"/>
    <w:rsid w:val="00F537C6"/>
    <w:rsid w:val="00F54315"/>
    <w:rsid w:val="00F6071D"/>
    <w:rsid w:val="00F61207"/>
    <w:rsid w:val="00F622B0"/>
    <w:rsid w:val="00F652E7"/>
    <w:rsid w:val="00F656EB"/>
    <w:rsid w:val="00F66BDA"/>
    <w:rsid w:val="00F7423D"/>
    <w:rsid w:val="00F7425F"/>
    <w:rsid w:val="00F746B0"/>
    <w:rsid w:val="00F74FD3"/>
    <w:rsid w:val="00F77A60"/>
    <w:rsid w:val="00F8094C"/>
    <w:rsid w:val="00F91BC4"/>
    <w:rsid w:val="00F927E5"/>
    <w:rsid w:val="00F930C5"/>
    <w:rsid w:val="00F97534"/>
    <w:rsid w:val="00F97AC2"/>
    <w:rsid w:val="00FA170B"/>
    <w:rsid w:val="00FA25ED"/>
    <w:rsid w:val="00FA2BAB"/>
    <w:rsid w:val="00FA40C7"/>
    <w:rsid w:val="00FA5D6E"/>
    <w:rsid w:val="00FA7C34"/>
    <w:rsid w:val="00FB0769"/>
    <w:rsid w:val="00FB16A1"/>
    <w:rsid w:val="00FC071E"/>
    <w:rsid w:val="00FC08BE"/>
    <w:rsid w:val="00FC2AE8"/>
    <w:rsid w:val="00FC4DF7"/>
    <w:rsid w:val="00FC775B"/>
    <w:rsid w:val="00FD1744"/>
    <w:rsid w:val="00FD28AA"/>
    <w:rsid w:val="00FD35C1"/>
    <w:rsid w:val="00FD54EB"/>
    <w:rsid w:val="00FE0F32"/>
    <w:rsid w:val="00FE2028"/>
    <w:rsid w:val="00FE50F8"/>
    <w:rsid w:val="00FE70FB"/>
    <w:rsid w:val="00FF12DD"/>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20610"/>
  <w15:docId w15:val="{F31BD822-E67B-44D0-8F42-34CABC4E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683"/>
    <w:rPr>
      <w:sz w:val="22"/>
    </w:rPr>
  </w:style>
  <w:style w:type="paragraph" w:styleId="Heading1">
    <w:name w:val="heading 1"/>
    <w:basedOn w:val="Normal"/>
    <w:next w:val="Normal"/>
    <w:qFormat/>
    <w:rsid w:val="00745683"/>
    <w:pPr>
      <w:keepNext/>
      <w:spacing w:after="280"/>
      <w:jc w:val="both"/>
      <w:outlineLvl w:val="0"/>
    </w:pPr>
    <w:rPr>
      <w:b/>
      <w:sz w:val="28"/>
    </w:rPr>
  </w:style>
  <w:style w:type="paragraph" w:styleId="Heading2">
    <w:name w:val="heading 2"/>
    <w:basedOn w:val="Normal"/>
    <w:next w:val="Normal"/>
    <w:qFormat/>
    <w:rsid w:val="00745683"/>
    <w:pPr>
      <w:keepNext/>
      <w:spacing w:after="220"/>
      <w:jc w:val="both"/>
      <w:outlineLvl w:val="1"/>
    </w:pPr>
    <w:rPr>
      <w:b/>
      <w:caps/>
    </w:rPr>
  </w:style>
  <w:style w:type="paragraph" w:styleId="Heading3">
    <w:name w:val="heading 3"/>
    <w:basedOn w:val="Normal"/>
    <w:next w:val="Normal"/>
    <w:qFormat/>
    <w:rsid w:val="00745683"/>
    <w:pPr>
      <w:keepNext/>
      <w:spacing w:after="220"/>
      <w:jc w:val="both"/>
      <w:outlineLvl w:val="2"/>
    </w:pPr>
    <w:rPr>
      <w:b/>
    </w:rPr>
  </w:style>
  <w:style w:type="paragraph" w:styleId="Heading4">
    <w:name w:val="heading 4"/>
    <w:basedOn w:val="Normal"/>
    <w:next w:val="Normal"/>
    <w:qFormat/>
    <w:rsid w:val="00745683"/>
    <w:pPr>
      <w:keepNext/>
      <w:spacing w:after="220"/>
      <w:jc w:val="both"/>
      <w:outlineLvl w:val="3"/>
    </w:pPr>
    <w:rPr>
      <w:b/>
    </w:rPr>
  </w:style>
  <w:style w:type="paragraph" w:styleId="Heading5">
    <w:name w:val="heading 5"/>
    <w:basedOn w:val="Normal"/>
    <w:next w:val="Normal"/>
    <w:qFormat/>
    <w:rsid w:val="00745683"/>
    <w:pPr>
      <w:spacing w:after="220"/>
      <w:jc w:val="both"/>
      <w:outlineLvl w:val="4"/>
    </w:pPr>
    <w:rPr>
      <w:b/>
      <w:caps/>
    </w:rPr>
  </w:style>
  <w:style w:type="paragraph" w:styleId="Heading6">
    <w:name w:val="heading 6"/>
    <w:basedOn w:val="Normal"/>
    <w:next w:val="Normal"/>
    <w:qFormat/>
    <w:rsid w:val="00745683"/>
    <w:pPr>
      <w:spacing w:after="220"/>
      <w:jc w:val="both"/>
      <w:outlineLvl w:val="5"/>
    </w:pPr>
    <w:rPr>
      <w:b/>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745683"/>
    <w:pPr>
      <w:ind w:left="360" w:hanging="360"/>
      <w:jc w:val="both"/>
    </w:pPr>
  </w:style>
  <w:style w:type="paragraph" w:customStyle="1" w:styleId="HeaderOdd">
    <w:name w:val="Header Odd"/>
    <w:basedOn w:val="Header"/>
    <w:rsid w:val="00745683"/>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745683"/>
    <w:pPr>
      <w:tabs>
        <w:tab w:val="center" w:pos="4320"/>
        <w:tab w:val="right" w:pos="8640"/>
      </w:tabs>
    </w:pPr>
  </w:style>
  <w:style w:type="paragraph" w:styleId="TOC1">
    <w:name w:val="toc 1"/>
    <w:basedOn w:val="Normal"/>
    <w:next w:val="Normal"/>
    <w:autoRedefine/>
    <w:uiPriority w:val="39"/>
    <w:rsid w:val="001B0F42"/>
    <w:pPr>
      <w:tabs>
        <w:tab w:val="right" w:leader="dot" w:pos="9360"/>
      </w:tabs>
      <w:spacing w:before="120" w:after="120"/>
      <w:jc w:val="both"/>
    </w:pPr>
    <w:rPr>
      <w:b/>
      <w:caps/>
    </w:rPr>
  </w:style>
  <w:style w:type="paragraph" w:styleId="TOC2">
    <w:name w:val="toc 2"/>
    <w:basedOn w:val="Normal"/>
    <w:next w:val="Normal"/>
    <w:autoRedefine/>
    <w:uiPriority w:val="39"/>
    <w:rsid w:val="001B0F42"/>
    <w:pPr>
      <w:tabs>
        <w:tab w:val="right" w:leader="dot" w:pos="9360"/>
      </w:tabs>
    </w:pPr>
  </w:style>
  <w:style w:type="paragraph" w:styleId="TOC3">
    <w:name w:val="toc 3"/>
    <w:basedOn w:val="Normal"/>
    <w:next w:val="Normal"/>
    <w:autoRedefine/>
    <w:semiHidden/>
    <w:rsid w:val="001B0F42"/>
    <w:pPr>
      <w:tabs>
        <w:tab w:val="right" w:pos="9360"/>
      </w:tabs>
      <w:ind w:left="480"/>
    </w:pPr>
  </w:style>
  <w:style w:type="paragraph" w:styleId="TOC4">
    <w:name w:val="toc 4"/>
    <w:basedOn w:val="Normal"/>
    <w:next w:val="Normal"/>
    <w:autoRedefine/>
    <w:semiHidden/>
    <w:rsid w:val="00745683"/>
    <w:pPr>
      <w:tabs>
        <w:tab w:val="right" w:pos="9360"/>
      </w:tabs>
      <w:ind w:left="720"/>
    </w:pPr>
    <w:rPr>
      <w:sz w:val="20"/>
    </w:rPr>
  </w:style>
  <w:style w:type="paragraph" w:styleId="TOC5">
    <w:name w:val="toc 5"/>
    <w:basedOn w:val="Normal"/>
    <w:next w:val="Normal"/>
    <w:autoRedefine/>
    <w:semiHidden/>
    <w:rsid w:val="00745683"/>
    <w:pPr>
      <w:tabs>
        <w:tab w:val="right" w:pos="9360"/>
      </w:tabs>
      <w:ind w:left="960"/>
    </w:pPr>
    <w:rPr>
      <w:sz w:val="20"/>
    </w:rPr>
  </w:style>
  <w:style w:type="paragraph" w:styleId="TOC6">
    <w:name w:val="toc 6"/>
    <w:basedOn w:val="Normal"/>
    <w:next w:val="Normal"/>
    <w:autoRedefine/>
    <w:semiHidden/>
    <w:rsid w:val="00745683"/>
    <w:pPr>
      <w:tabs>
        <w:tab w:val="right" w:pos="9360"/>
      </w:tabs>
      <w:ind w:left="1200"/>
    </w:pPr>
    <w:rPr>
      <w:sz w:val="20"/>
    </w:rPr>
  </w:style>
  <w:style w:type="paragraph" w:styleId="TOC7">
    <w:name w:val="toc 7"/>
    <w:basedOn w:val="Normal"/>
    <w:next w:val="Normal"/>
    <w:autoRedefine/>
    <w:semiHidden/>
    <w:rsid w:val="00745683"/>
    <w:pPr>
      <w:tabs>
        <w:tab w:val="right" w:pos="9360"/>
      </w:tabs>
      <w:ind w:left="1440"/>
    </w:pPr>
    <w:rPr>
      <w:sz w:val="20"/>
    </w:rPr>
  </w:style>
  <w:style w:type="paragraph" w:styleId="TOC8">
    <w:name w:val="toc 8"/>
    <w:basedOn w:val="Normal"/>
    <w:next w:val="Normal"/>
    <w:autoRedefine/>
    <w:semiHidden/>
    <w:rsid w:val="00745683"/>
    <w:pPr>
      <w:tabs>
        <w:tab w:val="right" w:pos="9360"/>
      </w:tabs>
      <w:ind w:left="1680"/>
    </w:pPr>
    <w:rPr>
      <w:sz w:val="20"/>
    </w:rPr>
  </w:style>
  <w:style w:type="paragraph" w:styleId="TOC9">
    <w:name w:val="toc 9"/>
    <w:basedOn w:val="Normal"/>
    <w:next w:val="Normal"/>
    <w:autoRedefine/>
    <w:semiHidden/>
    <w:rsid w:val="00745683"/>
    <w:pPr>
      <w:tabs>
        <w:tab w:val="right" w:pos="9360"/>
      </w:tabs>
      <w:ind w:left="1920"/>
    </w:pPr>
    <w:rPr>
      <w:sz w:val="18"/>
    </w:rPr>
  </w:style>
  <w:style w:type="paragraph" w:styleId="Footer">
    <w:name w:val="footer"/>
    <w:basedOn w:val="Normal"/>
    <w:rsid w:val="00745683"/>
    <w:pPr>
      <w:tabs>
        <w:tab w:val="center" w:pos="4320"/>
        <w:tab w:val="right" w:pos="8640"/>
      </w:tabs>
    </w:pPr>
  </w:style>
  <w:style w:type="paragraph" w:styleId="ListNumber">
    <w:name w:val="List Number"/>
    <w:basedOn w:val="Normal"/>
    <w:rsid w:val="00745683"/>
    <w:pPr>
      <w:spacing w:after="220"/>
      <w:jc w:val="both"/>
    </w:pPr>
  </w:style>
  <w:style w:type="paragraph" w:customStyle="1" w:styleId="HeaderEven">
    <w:name w:val="Header Even"/>
    <w:basedOn w:val="Normal"/>
    <w:rsid w:val="00745683"/>
    <w:pPr>
      <w:tabs>
        <w:tab w:val="center" w:pos="5040"/>
      </w:tabs>
      <w:spacing w:after="280"/>
      <w:jc w:val="both"/>
    </w:pPr>
    <w:rPr>
      <w:b/>
      <w:sz w:val="18"/>
    </w:rPr>
  </w:style>
  <w:style w:type="paragraph" w:customStyle="1" w:styleId="FooterOdd">
    <w:name w:val="Footer Odd"/>
    <w:basedOn w:val="Normal"/>
    <w:rsid w:val="00745683"/>
    <w:pPr>
      <w:tabs>
        <w:tab w:val="center" w:pos="5040"/>
        <w:tab w:val="right" w:pos="9360"/>
      </w:tabs>
      <w:spacing w:before="220"/>
      <w:jc w:val="both"/>
    </w:pPr>
    <w:rPr>
      <w:b/>
      <w:sz w:val="18"/>
    </w:rPr>
  </w:style>
  <w:style w:type="paragraph" w:customStyle="1" w:styleId="FooterEven">
    <w:name w:val="Footer Even"/>
    <w:basedOn w:val="Normal"/>
    <w:rsid w:val="00745683"/>
    <w:pPr>
      <w:tabs>
        <w:tab w:val="center" w:pos="5040"/>
      </w:tabs>
      <w:spacing w:before="220"/>
      <w:jc w:val="both"/>
    </w:pPr>
    <w:rPr>
      <w:b/>
      <w:sz w:val="18"/>
    </w:rPr>
  </w:style>
  <w:style w:type="paragraph" w:styleId="ListNumber2">
    <w:name w:val="List Number 2"/>
    <w:basedOn w:val="Normal"/>
    <w:rsid w:val="00745683"/>
    <w:pPr>
      <w:numPr>
        <w:numId w:val="13"/>
      </w:numPr>
      <w:spacing w:after="220"/>
      <w:jc w:val="both"/>
    </w:pPr>
  </w:style>
  <w:style w:type="paragraph" w:styleId="ListNumber3">
    <w:name w:val="List Number 3"/>
    <w:basedOn w:val="Normal"/>
    <w:rsid w:val="00745683"/>
    <w:pPr>
      <w:numPr>
        <w:numId w:val="10"/>
      </w:numPr>
      <w:spacing w:after="220"/>
      <w:jc w:val="both"/>
    </w:pPr>
  </w:style>
  <w:style w:type="paragraph" w:styleId="ListNumber4">
    <w:name w:val="List Number 4"/>
    <w:basedOn w:val="Normal"/>
    <w:rsid w:val="00745683"/>
    <w:pPr>
      <w:spacing w:after="220"/>
      <w:ind w:left="2880" w:hanging="720"/>
      <w:jc w:val="both"/>
    </w:pPr>
  </w:style>
  <w:style w:type="paragraph" w:styleId="ListNumber5">
    <w:name w:val="List Number 5"/>
    <w:basedOn w:val="Normal"/>
    <w:rsid w:val="00745683"/>
    <w:pPr>
      <w:ind w:left="1800" w:hanging="360"/>
    </w:pPr>
  </w:style>
  <w:style w:type="paragraph" w:styleId="ListBullet">
    <w:name w:val="List Bullet"/>
    <w:basedOn w:val="Normal"/>
    <w:autoRedefine/>
    <w:rsid w:val="00745683"/>
    <w:pPr>
      <w:numPr>
        <w:numId w:val="6"/>
      </w:numPr>
      <w:spacing w:after="220"/>
      <w:jc w:val="both"/>
    </w:pPr>
  </w:style>
  <w:style w:type="paragraph" w:styleId="ListBullet2">
    <w:name w:val="List Bullet 2"/>
    <w:basedOn w:val="Normal"/>
    <w:autoRedefine/>
    <w:rsid w:val="00425513"/>
    <w:pPr>
      <w:keepNext/>
      <w:keepLines/>
      <w:spacing w:after="220"/>
      <w:ind w:left="720" w:hanging="720"/>
      <w:jc w:val="both"/>
    </w:pPr>
  </w:style>
  <w:style w:type="paragraph" w:styleId="ListBullet3">
    <w:name w:val="List Bullet 3"/>
    <w:basedOn w:val="Normal"/>
    <w:autoRedefine/>
    <w:rsid w:val="00745683"/>
    <w:pPr>
      <w:numPr>
        <w:numId w:val="3"/>
      </w:numPr>
      <w:spacing w:after="220"/>
      <w:jc w:val="both"/>
    </w:pPr>
  </w:style>
  <w:style w:type="paragraph" w:styleId="ListBullet4">
    <w:name w:val="List Bullet 4"/>
    <w:basedOn w:val="Normal"/>
    <w:autoRedefine/>
    <w:rsid w:val="00745683"/>
    <w:pPr>
      <w:numPr>
        <w:numId w:val="7"/>
      </w:numPr>
      <w:spacing w:after="220"/>
      <w:ind w:left="2880" w:hanging="720"/>
      <w:jc w:val="both"/>
    </w:pPr>
  </w:style>
  <w:style w:type="character" w:styleId="PageNumber">
    <w:name w:val="page number"/>
    <w:basedOn w:val="DefaultParagraphFont"/>
    <w:rsid w:val="00745683"/>
  </w:style>
  <w:style w:type="paragraph" w:customStyle="1" w:styleId="Style1">
    <w:name w:val="Style1"/>
    <w:basedOn w:val="Normal"/>
    <w:rsid w:val="00745683"/>
    <w:pPr>
      <w:spacing w:after="220"/>
      <w:jc w:val="both"/>
    </w:pPr>
  </w:style>
  <w:style w:type="paragraph" w:styleId="ListContinue">
    <w:name w:val="List Continue"/>
    <w:basedOn w:val="Normal"/>
    <w:rsid w:val="00745683"/>
    <w:pPr>
      <w:numPr>
        <w:numId w:val="15"/>
      </w:numPr>
      <w:spacing w:after="220"/>
      <w:jc w:val="both"/>
    </w:pPr>
  </w:style>
  <w:style w:type="paragraph" w:styleId="ListContinue2">
    <w:name w:val="List Continue 2"/>
    <w:basedOn w:val="Normal"/>
    <w:rsid w:val="00745683"/>
    <w:pPr>
      <w:spacing w:after="220"/>
      <w:ind w:left="1440" w:hanging="720"/>
      <w:jc w:val="both"/>
    </w:pPr>
  </w:style>
  <w:style w:type="paragraph" w:styleId="ListContinue3">
    <w:name w:val="List Continue 3"/>
    <w:basedOn w:val="Normal"/>
    <w:rsid w:val="00745683"/>
    <w:pPr>
      <w:spacing w:after="220"/>
      <w:ind w:left="2160" w:hanging="720"/>
      <w:jc w:val="both"/>
    </w:pPr>
  </w:style>
  <w:style w:type="paragraph" w:styleId="ListContinue4">
    <w:name w:val="List Continue 4"/>
    <w:basedOn w:val="Normal"/>
    <w:rsid w:val="00745683"/>
    <w:pPr>
      <w:spacing w:after="220"/>
      <w:ind w:left="2880" w:hanging="720"/>
      <w:jc w:val="both"/>
    </w:pPr>
  </w:style>
  <w:style w:type="paragraph" w:styleId="ListContinue5">
    <w:name w:val="List Continue 5"/>
    <w:basedOn w:val="Normal"/>
    <w:rsid w:val="00745683"/>
    <w:pPr>
      <w:spacing w:after="220"/>
      <w:ind w:left="3600" w:hanging="720"/>
      <w:jc w:val="both"/>
    </w:pPr>
  </w:style>
  <w:style w:type="paragraph" w:customStyle="1" w:styleId="Subtitle1">
    <w:name w:val="Subtitle1"/>
    <w:basedOn w:val="Heading2"/>
    <w:rPr>
      <w:caps w:val="0"/>
    </w:rPr>
  </w:style>
  <w:style w:type="paragraph" w:styleId="FootnoteText">
    <w:name w:val="footnote text"/>
    <w:basedOn w:val="Normal"/>
    <w:semiHidden/>
    <w:rsid w:val="00745683"/>
    <w:rPr>
      <w:sz w:val="20"/>
    </w:rPr>
  </w:style>
  <w:style w:type="paragraph" w:styleId="ListBullet5">
    <w:name w:val="List Bullet 5"/>
    <w:basedOn w:val="Normal"/>
    <w:autoRedefine/>
    <w:pPr>
      <w:numPr>
        <w:numId w:val="5"/>
      </w:numPr>
    </w:pPr>
  </w:style>
  <w:style w:type="paragraph" w:customStyle="1" w:styleId="TitleCenter">
    <w:name w:val="TitleCenter"/>
    <w:basedOn w:val="Normal"/>
    <w:rsid w:val="00745683"/>
    <w:pPr>
      <w:spacing w:after="220"/>
      <w:jc w:val="center"/>
    </w:pPr>
    <w:rPr>
      <w:b/>
    </w:rPr>
  </w:style>
  <w:style w:type="paragraph" w:customStyle="1" w:styleId="IndentLR">
    <w:name w:val="IndentL&amp;R"/>
    <w:basedOn w:val="NormalIndent"/>
    <w:rsid w:val="00745683"/>
    <w:pPr>
      <w:spacing w:after="220"/>
      <w:ind w:right="720"/>
      <w:jc w:val="both"/>
    </w:pPr>
  </w:style>
  <w:style w:type="paragraph" w:styleId="NormalIndent">
    <w:name w:val="Normal Indent"/>
    <w:basedOn w:val="Normal"/>
    <w:rsid w:val="00745683"/>
    <w:pPr>
      <w:ind w:left="720"/>
    </w:pPr>
  </w:style>
  <w:style w:type="paragraph" w:customStyle="1" w:styleId="Indent5">
    <w:name w:val="Indent .5&quot;"/>
    <w:basedOn w:val="Normal"/>
    <w:rsid w:val="00745683"/>
    <w:pPr>
      <w:keepNext/>
      <w:spacing w:after="220"/>
      <w:ind w:left="720"/>
      <w:jc w:val="both"/>
      <w:outlineLvl w:val="0"/>
    </w:pPr>
  </w:style>
  <w:style w:type="paragraph" w:customStyle="1" w:styleId="Indent1">
    <w:name w:val="Indent 1&quot;"/>
    <w:basedOn w:val="Indent5"/>
    <w:rsid w:val="00745683"/>
    <w:pPr>
      <w:ind w:left="1440"/>
    </w:pPr>
  </w:style>
  <w:style w:type="paragraph" w:customStyle="1" w:styleId="Indent15">
    <w:name w:val="Indent 1.5&quot;"/>
    <w:basedOn w:val="Indent1"/>
    <w:rsid w:val="00745683"/>
    <w:pPr>
      <w:ind w:left="2160"/>
    </w:pPr>
  </w:style>
  <w:style w:type="paragraph" w:customStyle="1" w:styleId="Indent2">
    <w:name w:val="Indent 2&quot;"/>
    <w:basedOn w:val="Normal"/>
    <w:rsid w:val="00745683"/>
    <w:pPr>
      <w:keepNext/>
      <w:spacing w:after="220"/>
      <w:ind w:left="2880"/>
      <w:jc w:val="both"/>
      <w:outlineLvl w:val="0"/>
    </w:pPr>
  </w:style>
  <w:style w:type="character" w:styleId="FootnoteReference">
    <w:name w:val="footnote reference"/>
    <w:basedOn w:val="DefaultParagraphFont"/>
    <w:semiHidden/>
    <w:rsid w:val="00745683"/>
    <w:rPr>
      <w:vertAlign w:val="superscript"/>
    </w:rPr>
  </w:style>
  <w:style w:type="paragraph" w:styleId="BodyText">
    <w:name w:val="Body Text"/>
    <w:basedOn w:val="Normal"/>
    <w:pPr>
      <w:jc w:val="both"/>
    </w:pPr>
  </w:style>
  <w:style w:type="paragraph" w:customStyle="1" w:styleId="ListNumber2I">
    <w:name w:val="List Number 2.I."/>
    <w:basedOn w:val="ListNumber2"/>
    <w:pPr>
      <w:numPr>
        <w:numId w:val="4"/>
      </w:numPr>
    </w:pPr>
  </w:style>
  <w:style w:type="paragraph" w:customStyle="1" w:styleId="ListNumber3A">
    <w:name w:val="List Number 3.A."/>
    <w:basedOn w:val="ListNumber3"/>
    <w:pPr>
      <w:numPr>
        <w:numId w:val="8"/>
      </w:numPr>
    </w:pPr>
  </w:style>
  <w:style w:type="paragraph" w:customStyle="1" w:styleId="SubTitleAllCaps">
    <w:name w:val="SubTitle All Caps"/>
    <w:basedOn w:val="Subtitle1"/>
    <w:rPr>
      <w:caps/>
    </w:rPr>
  </w:style>
  <w:style w:type="paragraph" w:customStyle="1" w:styleId="SubTitle10">
    <w:name w:val="SubTitle1"/>
    <w:basedOn w:val="Heading1"/>
    <w:pPr>
      <w:spacing w:after="0"/>
    </w:pPr>
  </w:style>
  <w:style w:type="paragraph" w:customStyle="1" w:styleId="HangIndent0a">
    <w:name w:val="Hang Indent 0&quot;a"/>
    <w:basedOn w:val="Indent5"/>
    <w:pPr>
      <w:spacing w:after="0"/>
      <w:ind w:hanging="720"/>
    </w:pPr>
  </w:style>
  <w:style w:type="paragraph" w:styleId="BodyTextIndent3">
    <w:name w:val="Body Text Indent 3"/>
    <w:basedOn w:val="Normal"/>
    <w:pPr>
      <w:tabs>
        <w:tab w:val="left" w:pos="720"/>
      </w:tabs>
      <w:ind w:left="1440"/>
      <w:jc w:val="both"/>
    </w:pPr>
  </w:style>
  <w:style w:type="paragraph" w:styleId="Subtitle">
    <w:name w:val="Subtitle"/>
    <w:basedOn w:val="Heading2"/>
    <w:next w:val="Normal"/>
    <w:autoRedefine/>
    <w:qFormat/>
    <w:rsid w:val="00346EDB"/>
    <w:pPr>
      <w:keepNext w:val="0"/>
      <w:spacing w:after="120"/>
      <w:outlineLvl w:val="9"/>
    </w:pPr>
    <w:rPr>
      <w:caps w:val="0"/>
      <w:szCs w:val="22"/>
    </w:rPr>
  </w:style>
  <w:style w:type="paragraph" w:styleId="BodyText2">
    <w:name w:val="Body Text 2"/>
    <w:basedOn w:val="Normal"/>
    <w:pPr>
      <w:jc w:val="both"/>
    </w:pPr>
  </w:style>
  <w:style w:type="paragraph" w:styleId="Title">
    <w:name w:val="Title"/>
    <w:basedOn w:val="Normal"/>
    <w:qFormat/>
    <w:pPr>
      <w:jc w:val="center"/>
    </w:pPr>
    <w:rPr>
      <w:rFonts w:ascii="Arial" w:hAnsi="Arial"/>
      <w:b/>
      <w:i/>
    </w:rPr>
  </w:style>
  <w:style w:type="paragraph" w:customStyle="1" w:styleId="BodyTestIndent4">
    <w:name w:val="Body Test Indent 4"/>
    <w:basedOn w:val="BodyTextIndent3"/>
    <w:pPr>
      <w:numPr>
        <w:numId w:val="9"/>
      </w:numPr>
      <w:spacing w:after="220"/>
    </w:pPr>
  </w:style>
  <w:style w:type="paragraph" w:customStyle="1" w:styleId="font5">
    <w:name w:val="font5"/>
    <w:basedOn w:val="Normal"/>
    <w:pPr>
      <w:spacing w:before="100" w:beforeAutospacing="1" w:after="100" w:afterAutospacing="1"/>
    </w:pPr>
    <w:rPr>
      <w:rFonts w:eastAsia="Arial Unicode MS"/>
      <w:sz w:val="20"/>
    </w:rPr>
  </w:style>
  <w:style w:type="paragraph" w:customStyle="1" w:styleId="xl24">
    <w:name w:val="xl24"/>
    <w:basedOn w:val="Normal"/>
    <w:pPr>
      <w:spacing w:before="100" w:beforeAutospacing="1" w:after="100" w:afterAutospacing="1"/>
    </w:pPr>
    <w:rPr>
      <w:rFonts w:eastAsia="Arial Unicode MS"/>
      <w:sz w:val="24"/>
      <w:szCs w:val="24"/>
      <w:u w:val="single"/>
    </w:rPr>
  </w:style>
  <w:style w:type="paragraph" w:customStyle="1" w:styleId="xl25">
    <w:name w:val="xl25"/>
    <w:basedOn w:val="Normal"/>
    <w:pPr>
      <w:spacing w:before="100" w:beforeAutospacing="1" w:after="100" w:afterAutospacing="1"/>
    </w:pPr>
    <w:rPr>
      <w:rFonts w:eastAsia="Arial Unicode MS"/>
      <w:sz w:val="24"/>
      <w:szCs w:val="24"/>
    </w:rPr>
  </w:style>
  <w:style w:type="paragraph" w:customStyle="1" w:styleId="xl26">
    <w:name w:val="xl26"/>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pPr>
      <w:spacing w:before="100" w:beforeAutospacing="1" w:after="100" w:afterAutospacing="1"/>
      <w:jc w:val="center"/>
    </w:pPr>
    <w:rPr>
      <w:rFonts w:eastAsia="Arial Unicode MS"/>
      <w:sz w:val="24"/>
      <w:szCs w:val="24"/>
      <w:u w:val="single"/>
    </w:rPr>
  </w:style>
  <w:style w:type="paragraph" w:customStyle="1" w:styleId="xl28">
    <w:name w:val="xl28"/>
    <w:basedOn w:val="Normal"/>
    <w:pPr>
      <w:spacing w:before="100" w:beforeAutospacing="1" w:after="100" w:afterAutospacing="1"/>
    </w:pPr>
    <w:rPr>
      <w:rFonts w:eastAsia="Arial Unicode MS"/>
      <w:sz w:val="24"/>
      <w:szCs w:val="24"/>
    </w:rPr>
  </w:style>
  <w:style w:type="paragraph" w:customStyle="1" w:styleId="xl29">
    <w:name w:val="xl29"/>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pPr>
      <w:spacing w:before="100" w:beforeAutospacing="1" w:after="100" w:afterAutospacing="1"/>
    </w:pPr>
    <w:rPr>
      <w:rFonts w:eastAsia="Arial Unicode MS"/>
      <w:sz w:val="24"/>
      <w:szCs w:val="24"/>
    </w:rPr>
  </w:style>
  <w:style w:type="paragraph" w:customStyle="1" w:styleId="xl31">
    <w:name w:val="xl31"/>
    <w:basedOn w:val="Normal"/>
    <w:pPr>
      <w:spacing w:before="100" w:beforeAutospacing="1" w:after="100" w:afterAutospacing="1"/>
      <w:jc w:val="right"/>
    </w:pPr>
    <w:rPr>
      <w:rFonts w:eastAsia="Arial Unicode MS"/>
      <w:sz w:val="24"/>
      <w:szCs w:val="24"/>
    </w:rPr>
  </w:style>
  <w:style w:type="paragraph" w:customStyle="1" w:styleId="xl32">
    <w:name w:val="xl32"/>
    <w:basedOn w:val="Normal"/>
    <w:pPr>
      <w:spacing w:before="100" w:beforeAutospacing="1" w:after="100" w:afterAutospacing="1"/>
      <w:ind w:firstLineChars="200" w:firstLine="200"/>
      <w:jc w:val="right"/>
    </w:pPr>
    <w:rPr>
      <w:rFonts w:eastAsia="Arial Unicode MS"/>
      <w:sz w:val="24"/>
      <w:szCs w:val="24"/>
    </w:rPr>
  </w:style>
  <w:style w:type="paragraph" w:customStyle="1" w:styleId="xl33">
    <w:name w:val="xl33"/>
    <w:basedOn w:val="Normal"/>
    <w:pPr>
      <w:pBdr>
        <w:bottom w:val="single" w:sz="4" w:space="0" w:color="auto"/>
      </w:pBdr>
      <w:spacing w:before="100" w:beforeAutospacing="1" w:after="100" w:afterAutospacing="1"/>
      <w:jc w:val="right"/>
    </w:pPr>
    <w:rPr>
      <w:rFonts w:eastAsia="Arial Unicode MS"/>
      <w:sz w:val="24"/>
      <w:szCs w:val="24"/>
    </w:rPr>
  </w:style>
  <w:style w:type="paragraph" w:customStyle="1" w:styleId="xl35">
    <w:name w:val="xl35"/>
    <w:basedOn w:val="Normal"/>
    <w:pPr>
      <w:pBdr>
        <w:bottom w:val="single" w:sz="4" w:space="0" w:color="auto"/>
      </w:pBdr>
      <w:spacing w:before="100" w:beforeAutospacing="1" w:after="100" w:afterAutospacing="1"/>
    </w:pPr>
    <w:rPr>
      <w:rFonts w:eastAsia="Arial Unicode MS"/>
      <w:sz w:val="24"/>
      <w:szCs w:val="24"/>
    </w:rPr>
  </w:style>
  <w:style w:type="paragraph" w:customStyle="1" w:styleId="xl36">
    <w:name w:val="xl36"/>
    <w:basedOn w:val="Normal"/>
    <w:pPr>
      <w:shd w:val="clear" w:color="auto" w:fill="CCFFFF"/>
      <w:spacing w:before="100" w:beforeAutospacing="1" w:after="100" w:afterAutospacing="1"/>
    </w:pPr>
    <w:rPr>
      <w:rFonts w:eastAsia="Arial Unicode MS"/>
      <w:sz w:val="24"/>
      <w:szCs w:val="24"/>
    </w:rPr>
  </w:style>
  <w:style w:type="paragraph" w:customStyle="1" w:styleId="xl37">
    <w:name w:val="xl37"/>
    <w:basedOn w:val="Normal"/>
    <w:pPr>
      <w:shd w:val="clear" w:color="auto" w:fill="CCFFFF"/>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pPr>
      <w:shd w:val="clear" w:color="auto" w:fill="CCFFFF"/>
      <w:spacing w:before="100" w:beforeAutospacing="1" w:after="100" w:afterAutospacing="1"/>
      <w:jc w:val="right"/>
    </w:pPr>
    <w:rPr>
      <w:rFonts w:eastAsia="Arial Unicode MS"/>
      <w:sz w:val="24"/>
      <w:szCs w:val="24"/>
    </w:rPr>
  </w:style>
  <w:style w:type="paragraph" w:customStyle="1" w:styleId="xl34">
    <w:name w:val="xl34"/>
    <w:basedOn w:val="Normal"/>
    <w:pPr>
      <w:shd w:val="clear" w:color="auto" w:fill="CC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pPr>
      <w:spacing w:before="100" w:beforeAutospacing="1" w:after="100" w:afterAutospacing="1"/>
    </w:pPr>
    <w:rPr>
      <w:rFonts w:eastAsia="Arial Unicode MS"/>
      <w:sz w:val="24"/>
      <w:szCs w:val="24"/>
    </w:rPr>
  </w:style>
  <w:style w:type="paragraph" w:styleId="BodyTextIndent">
    <w:name w:val="Body Text Indent"/>
    <w:basedOn w:val="Normal"/>
    <w:pPr>
      <w:autoSpaceDE w:val="0"/>
      <w:autoSpaceDN w:val="0"/>
      <w:adjustRightInd w:val="0"/>
      <w:ind w:left="380"/>
    </w:pPr>
  </w:style>
  <w:style w:type="paragraph" w:styleId="DocumentMap">
    <w:name w:val="Document Map"/>
    <w:basedOn w:val="Normal"/>
    <w:semiHidden/>
    <w:rsid w:val="00745683"/>
    <w:pPr>
      <w:shd w:val="clear" w:color="auto" w:fill="000080"/>
    </w:pPr>
    <w:rPr>
      <w:rFonts w:ascii="Tahoma" w:hAnsi="Tahoma"/>
    </w:rPr>
  </w:style>
  <w:style w:type="paragraph" w:styleId="BodyText3">
    <w:name w:val="Body Text 3"/>
    <w:basedOn w:val="Normal"/>
    <w:rsid w:val="00745683"/>
    <w:pPr>
      <w:jc w:val="both"/>
    </w:pPr>
  </w:style>
  <w:style w:type="paragraph" w:styleId="BodyTextIndent2">
    <w:name w:val="Body Text Indent 2"/>
    <w:basedOn w:val="Normal"/>
    <w:pPr>
      <w:overflowPunct w:val="0"/>
      <w:autoSpaceDE w:val="0"/>
      <w:autoSpaceDN w:val="0"/>
      <w:adjustRightInd w:val="0"/>
      <w:ind w:left="540"/>
      <w:textAlignment w:val="baseline"/>
    </w:pPr>
    <w:rPr>
      <w:sz w:val="24"/>
    </w:rPr>
  </w:style>
  <w:style w:type="paragraph" w:customStyle="1" w:styleId="labeltext-1">
    <w:name w:val="labeltext-1"/>
    <w:basedOn w:val="Normal"/>
    <w:pPr>
      <w:spacing w:before="100" w:beforeAutospacing="1" w:after="100" w:afterAutospacing="1"/>
      <w:ind w:left="612" w:firstLine="480"/>
    </w:pPr>
    <w:rPr>
      <w:rFonts w:ascii="Arial Unicode MS" w:eastAsia="Arial Unicode MS" w:hAnsi="Arial Unicode MS" w:cs="Arial Unicode MS"/>
      <w:sz w:val="20"/>
    </w:rPr>
  </w:style>
  <w:style w:type="paragraph" w:customStyle="1" w:styleId="labelleader-2">
    <w:name w:val="labelleader-2"/>
    <w:basedOn w:val="Normal"/>
    <w:pPr>
      <w:spacing w:before="100" w:beforeAutospacing="1" w:after="100" w:afterAutospacing="1"/>
      <w:ind w:left="612"/>
    </w:pPr>
    <w:rPr>
      <w:rFonts w:ascii="Arial Unicode MS" w:eastAsia="Arial Unicode MS" w:hAnsi="Arial Unicode MS" w:cs="Arial Unicode MS"/>
      <w:sz w:val="20"/>
    </w:rPr>
  </w:style>
  <w:style w:type="paragraph" w:customStyle="1" w:styleId="labeltext-2">
    <w:name w:val="labeltext-2"/>
    <w:basedOn w:val="Normal"/>
    <w:pPr>
      <w:spacing w:before="100" w:beforeAutospacing="1" w:after="100" w:afterAutospacing="1"/>
      <w:ind w:left="1224" w:firstLine="480"/>
    </w:pPr>
    <w:rPr>
      <w:rFonts w:ascii="Arial Unicode MS" w:eastAsia="Arial Unicode MS" w:hAnsi="Arial Unicode MS" w:cs="Arial Unicode MS"/>
      <w:sz w:val="20"/>
    </w:rPr>
  </w:style>
  <w:style w:type="paragraph" w:customStyle="1" w:styleId="labelleader-3">
    <w:name w:val="labelleader-3"/>
    <w:basedOn w:val="Normal"/>
    <w:pPr>
      <w:spacing w:before="100" w:beforeAutospacing="1" w:after="100" w:afterAutospacing="1"/>
      <w:ind w:left="1224"/>
    </w:pPr>
    <w:rPr>
      <w:rFonts w:ascii="Arial Unicode MS" w:eastAsia="Arial Unicode MS" w:hAnsi="Arial Unicode MS" w:cs="Arial Unicode MS"/>
      <w:sz w:val="20"/>
    </w:rPr>
  </w:style>
  <w:style w:type="paragraph" w:customStyle="1" w:styleId="labeltext-3">
    <w:name w:val="labeltext-3"/>
    <w:basedOn w:val="Normal"/>
    <w:pPr>
      <w:spacing w:before="100" w:beforeAutospacing="1" w:after="100" w:afterAutospacing="1"/>
      <w:ind w:left="1836" w:firstLine="480"/>
    </w:pPr>
    <w:rPr>
      <w:rFonts w:ascii="Arial Unicode MS" w:eastAsia="Arial Unicode MS" w:hAnsi="Arial Unicode MS" w:cs="Arial Unicode MS"/>
      <w:sz w:val="20"/>
    </w:rPr>
  </w:style>
  <w:style w:type="character" w:customStyle="1" w:styleId="label-2">
    <w:name w:val="label-2"/>
    <w:basedOn w:val="DefaultParagraphFont"/>
    <w:rPr>
      <w:b/>
      <w:bCs/>
      <w:sz w:val="20"/>
      <w:szCs w:val="20"/>
    </w:rPr>
  </w:style>
  <w:style w:type="character" w:customStyle="1" w:styleId="label-3">
    <w:name w:val="label-3"/>
    <w:basedOn w:val="DefaultParagraphFont"/>
    <w:rPr>
      <w:b/>
      <w:bCs/>
      <w:sz w:val="20"/>
      <w:szCs w:val="20"/>
    </w:rPr>
  </w:style>
  <w:style w:type="paragraph" w:customStyle="1" w:styleId="labelleader-1">
    <w:name w:val="labelleader-1"/>
    <w:basedOn w:val="Normal"/>
    <w:pPr>
      <w:spacing w:before="100" w:beforeAutospacing="1" w:after="100" w:afterAutospacing="1"/>
    </w:pPr>
    <w:rPr>
      <w:rFonts w:ascii="Arial Unicode MS" w:eastAsia="Arial Unicode MS" w:hAnsi="Arial Unicode MS" w:cs="Arial Unicode MS"/>
      <w:sz w:val="20"/>
    </w:rPr>
  </w:style>
  <w:style w:type="character" w:customStyle="1" w:styleId="labelhead-1">
    <w:name w:val="labelhead-1"/>
    <w:basedOn w:val="DefaultParagraphFont"/>
    <w:rPr>
      <w:b w:val="0"/>
      <w:bCs w:val="0"/>
      <w:sz w:val="20"/>
      <w:szCs w:val="20"/>
    </w:rPr>
  </w:style>
  <w:style w:type="character" w:customStyle="1" w:styleId="labelhead-2">
    <w:name w:val="labelhead-2"/>
    <w:basedOn w:val="DefaultParagraphFont"/>
    <w:rPr>
      <w:b w:val="0"/>
      <w:bCs w:val="0"/>
      <w:sz w:val="20"/>
      <w:szCs w:val="20"/>
    </w:rPr>
  </w:style>
  <w:style w:type="character" w:customStyle="1" w:styleId="labelhead-3">
    <w:name w:val="labelhead-3"/>
    <w:basedOn w:val="DefaultParagraphFont"/>
    <w:rPr>
      <w:b w:val="0"/>
      <w:bCs w:val="0"/>
      <w:sz w:val="20"/>
      <w:szCs w:val="20"/>
    </w:rPr>
  </w:style>
  <w:style w:type="paragraph" w:customStyle="1" w:styleId="labelleader-nohead-4">
    <w:name w:val="labelleader-nohead-4"/>
    <w:basedOn w:val="Normal"/>
    <w:pPr>
      <w:spacing w:before="100" w:beforeAutospacing="1"/>
      <w:ind w:left="1836"/>
    </w:pPr>
    <w:rPr>
      <w:rFonts w:ascii="Arial Unicode MS" w:eastAsia="Arial Unicode MS" w:hAnsi="Arial Unicode MS" w:cs="Arial Unicode MS"/>
      <w:sz w:val="20"/>
    </w:rPr>
  </w:style>
  <w:style w:type="paragraph" w:customStyle="1" w:styleId="labeltext-4">
    <w:name w:val="labeltext-4"/>
    <w:basedOn w:val="Normal"/>
    <w:pPr>
      <w:spacing w:before="100" w:beforeAutospacing="1" w:after="100" w:afterAutospacing="1"/>
      <w:ind w:left="2448"/>
    </w:pPr>
    <w:rPr>
      <w:rFonts w:ascii="Arial Unicode MS" w:eastAsia="Arial Unicode MS" w:hAnsi="Arial Unicode MS" w:cs="Arial Unicode MS"/>
      <w:sz w:val="20"/>
    </w:rPr>
  </w:style>
  <w:style w:type="paragraph" w:customStyle="1" w:styleId="labelleader-nohead-5">
    <w:name w:val="labelleader-nohead-5"/>
    <w:basedOn w:val="Normal"/>
    <w:pPr>
      <w:spacing w:before="100" w:beforeAutospacing="1"/>
      <w:ind w:left="2448"/>
    </w:pPr>
    <w:rPr>
      <w:rFonts w:ascii="Arial Unicode MS" w:eastAsia="Arial Unicode MS" w:hAnsi="Arial Unicode MS" w:cs="Arial Unicode MS"/>
      <w:sz w:val="20"/>
    </w:rPr>
  </w:style>
  <w:style w:type="paragraph" w:customStyle="1" w:styleId="labeltext-5">
    <w:name w:val="labeltext-5"/>
    <w:basedOn w:val="Normal"/>
    <w:pPr>
      <w:spacing w:before="100" w:beforeAutospacing="1" w:after="100" w:afterAutospacing="1"/>
      <w:ind w:left="3060"/>
    </w:pPr>
    <w:rPr>
      <w:rFonts w:ascii="Arial Unicode MS" w:eastAsia="Arial Unicode MS" w:hAnsi="Arial Unicode MS" w:cs="Arial Unicode MS"/>
      <w:sz w:val="20"/>
    </w:rPr>
  </w:style>
  <w:style w:type="character" w:customStyle="1" w:styleId="label-4">
    <w:name w:val="label-4"/>
    <w:basedOn w:val="DefaultParagraphFont"/>
    <w:rPr>
      <w:b/>
      <w:bCs/>
      <w:sz w:val="20"/>
      <w:szCs w:val="20"/>
    </w:rPr>
  </w:style>
  <w:style w:type="character" w:customStyle="1" w:styleId="label-5">
    <w:name w:val="label-5"/>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F05D61"/>
    <w:rPr>
      <w:rFonts w:ascii="Tahoma" w:hAnsi="Tahoma" w:cs="Tahoma"/>
      <w:sz w:val="16"/>
      <w:szCs w:val="16"/>
    </w:rPr>
  </w:style>
  <w:style w:type="paragraph" w:customStyle="1" w:styleId="Subtitle2">
    <w:name w:val="Subtitle2"/>
    <w:basedOn w:val="Heading2"/>
    <w:rsid w:val="00233EAC"/>
    <w:rPr>
      <w:caps w:val="0"/>
    </w:rPr>
  </w:style>
  <w:style w:type="paragraph" w:customStyle="1" w:styleId="Subtitle3">
    <w:name w:val="Subtitle3"/>
    <w:basedOn w:val="Heading2"/>
    <w:rsid w:val="00745683"/>
    <w:rPr>
      <w:caps w:val="0"/>
    </w:rPr>
  </w:style>
  <w:style w:type="table" w:styleId="TableGrid">
    <w:name w:val="Table Grid"/>
    <w:basedOn w:val="TableNormal"/>
    <w:rsid w:val="0079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29FE"/>
    <w:rPr>
      <w:sz w:val="22"/>
    </w:rPr>
  </w:style>
  <w:style w:type="character" w:styleId="CommentReference">
    <w:name w:val="annotation reference"/>
    <w:basedOn w:val="DefaultParagraphFont"/>
    <w:semiHidden/>
    <w:unhideWhenUsed/>
    <w:rsid w:val="004A45E9"/>
    <w:rPr>
      <w:sz w:val="16"/>
      <w:szCs w:val="16"/>
    </w:rPr>
  </w:style>
  <w:style w:type="paragraph" w:styleId="CommentText">
    <w:name w:val="annotation text"/>
    <w:basedOn w:val="Normal"/>
    <w:link w:val="CommentTextChar"/>
    <w:unhideWhenUsed/>
    <w:rsid w:val="004A45E9"/>
    <w:rPr>
      <w:sz w:val="20"/>
    </w:rPr>
  </w:style>
  <w:style w:type="character" w:customStyle="1" w:styleId="CommentTextChar">
    <w:name w:val="Comment Text Char"/>
    <w:basedOn w:val="DefaultParagraphFont"/>
    <w:link w:val="CommentText"/>
    <w:rsid w:val="004A45E9"/>
  </w:style>
  <w:style w:type="paragraph" w:styleId="CommentSubject">
    <w:name w:val="annotation subject"/>
    <w:basedOn w:val="CommentText"/>
    <w:next w:val="CommentText"/>
    <w:link w:val="CommentSubjectChar"/>
    <w:semiHidden/>
    <w:unhideWhenUsed/>
    <w:rsid w:val="004A45E9"/>
    <w:rPr>
      <w:b/>
      <w:bCs/>
    </w:rPr>
  </w:style>
  <w:style w:type="character" w:customStyle="1" w:styleId="CommentSubjectChar">
    <w:name w:val="Comment Subject Char"/>
    <w:basedOn w:val="CommentTextChar"/>
    <w:link w:val="CommentSubject"/>
    <w:semiHidden/>
    <w:rsid w:val="004A45E9"/>
    <w:rPr>
      <w:b/>
      <w:bCs/>
    </w:rPr>
  </w:style>
  <w:style w:type="character" w:styleId="UnresolvedMention">
    <w:name w:val="Unresolved Mention"/>
    <w:basedOn w:val="DefaultParagraphFont"/>
    <w:uiPriority w:val="99"/>
    <w:semiHidden/>
    <w:unhideWhenUsed/>
    <w:rsid w:val="00963EC9"/>
    <w:rPr>
      <w:color w:val="605E5C"/>
      <w:shd w:val="clear" w:color="auto" w:fill="E1DFDD"/>
    </w:rPr>
  </w:style>
  <w:style w:type="character" w:customStyle="1" w:styleId="HeaderChar">
    <w:name w:val="Header Char"/>
    <w:basedOn w:val="DefaultParagraphFont"/>
    <w:link w:val="Header"/>
    <w:rsid w:val="00706D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E7D0-4C8A-4975-8A03-AC7C40BB1AC7}">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826143e3-bbcb-45bb-8829-107013e701e5"/>
    <ds:schemaRef ds:uri="http://purl.org/dc/terms/"/>
    <ds:schemaRef ds:uri="3c9e15a3-223f-4584-afb1-1dbe0b3878fa"/>
    <ds:schemaRef ds:uri="dbd46520-c392-41b5-9f68-fe7486eefad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912AC5F-09A3-4BDE-B66F-6E06E0C4381E}">
  <ds:schemaRefs>
    <ds:schemaRef ds:uri="http://schemas.microsoft.com/sharepoint/v3/contenttype/forms"/>
  </ds:schemaRefs>
</ds:datastoreItem>
</file>

<file path=customXml/itemProps3.xml><?xml version="1.0" encoding="utf-8"?>
<ds:datastoreItem xmlns:ds="http://schemas.openxmlformats.org/officeDocument/2006/customXml" ds:itemID="{C23C0D52-FF31-477D-9762-7654F31A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8449B-C535-4B1E-81F5-D88775B1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5608</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37505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creator>r marcotte</dc:creator>
  <dc:description>this adopts the tracked changes exposed and then adds tracked changes approved i</dc:description>
  <cp:lastModifiedBy>Marcotte, Robin</cp:lastModifiedBy>
  <cp:revision>28</cp:revision>
  <cp:lastPrinted>2022-01-20T13:14:00Z</cp:lastPrinted>
  <dcterms:created xsi:type="dcterms:W3CDTF">2022-11-07T22:50:00Z</dcterms:created>
  <dcterms:modified xsi:type="dcterms:W3CDTF">2022-12-20T16:18:00Z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