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26C556C"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0604F6">
        <w:rPr>
          <w:b/>
          <w:sz w:val="22"/>
          <w:szCs w:val="22"/>
        </w:rPr>
        <w:t>Negative IMR</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EF365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8530DA">
        <w:rPr>
          <w:sz w:val="22"/>
          <w:szCs w:val="22"/>
        </w:rPr>
        <w:fldChar w:fldCharType="begin">
          <w:ffData>
            <w:name w:val="Check1"/>
            <w:enabled/>
            <w:calcOnExit w:val="0"/>
            <w:checkBox>
              <w:sizeAuto/>
              <w:default w:val="0"/>
            </w:checkBox>
          </w:ffData>
        </w:fldChar>
      </w:r>
      <w:r w:rsidR="008530DA">
        <w:rPr>
          <w:sz w:val="22"/>
          <w:szCs w:val="22"/>
        </w:rPr>
        <w:instrText xml:space="preserve"> </w:instrText>
      </w:r>
      <w:bookmarkStart w:id="0" w:name="Check1"/>
      <w:r w:rsidR="008530DA">
        <w:rPr>
          <w:sz w:val="22"/>
          <w:szCs w:val="22"/>
        </w:rPr>
        <w:instrText xml:space="preserve">FORMCHECKBOX </w:instrText>
      </w:r>
      <w:r w:rsidR="00DF708E">
        <w:rPr>
          <w:sz w:val="22"/>
          <w:szCs w:val="22"/>
        </w:rPr>
      </w:r>
      <w:r w:rsidR="00DF708E">
        <w:rPr>
          <w:sz w:val="22"/>
          <w:szCs w:val="22"/>
        </w:rPr>
        <w:fldChar w:fldCharType="separate"/>
      </w:r>
      <w:r w:rsidR="008530DA">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C118ED">
        <w:rPr>
          <w:sz w:val="22"/>
          <w:szCs w:val="22"/>
        </w:rPr>
        <w:fldChar w:fldCharType="begin">
          <w:ffData>
            <w:name w:val="Check1"/>
            <w:enabled/>
            <w:calcOnExit w:val="0"/>
            <w:checkBox>
              <w:sizeAuto/>
              <w:default w:val="0"/>
            </w:checkBox>
          </w:ffData>
        </w:fldChar>
      </w:r>
      <w:r w:rsidR="00C118ED">
        <w:rPr>
          <w:sz w:val="22"/>
          <w:szCs w:val="22"/>
        </w:rPr>
        <w:instrText xml:space="preserve"> FORMCHECKBOX </w:instrText>
      </w:r>
      <w:r w:rsidR="00DF708E">
        <w:rPr>
          <w:sz w:val="22"/>
          <w:szCs w:val="22"/>
        </w:rPr>
      </w:r>
      <w:r w:rsidR="00DF708E">
        <w:rPr>
          <w:sz w:val="22"/>
          <w:szCs w:val="22"/>
        </w:rPr>
        <w:fldChar w:fldCharType="separate"/>
      </w:r>
      <w:r w:rsidR="00C118E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DF708E">
        <w:rPr>
          <w:sz w:val="22"/>
          <w:szCs w:val="22"/>
        </w:rPr>
      </w:r>
      <w:r w:rsidR="00DF708E">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00BB3018" w14:textId="035C59EF" w:rsidR="0073714B" w:rsidRDefault="002A1316" w:rsidP="0073714B">
      <w:pPr>
        <w:pStyle w:val="BodyText2"/>
        <w:rPr>
          <w:b w:val="0"/>
          <w:bCs w:val="0"/>
        </w:rPr>
      </w:pPr>
      <w:r>
        <w:t>Description of Issue:</w:t>
      </w:r>
      <w:r w:rsidR="00F7468A">
        <w:rPr>
          <w:b w:val="0"/>
          <w:bCs w:val="0"/>
        </w:rPr>
        <w:t xml:space="preserve"> </w:t>
      </w:r>
      <w:r w:rsidR="001D345E">
        <w:rPr>
          <w:b w:val="0"/>
          <w:bCs w:val="0"/>
        </w:rPr>
        <w:t xml:space="preserve">This agenda item has been developed to </w:t>
      </w:r>
      <w:r w:rsidR="00B67298">
        <w:rPr>
          <w:b w:val="0"/>
          <w:bCs w:val="0"/>
        </w:rPr>
        <w:t xml:space="preserve">discuss the interest maintenance reserve (IMR) within statutory accounting, specifically the current guidance for the </w:t>
      </w:r>
      <w:r w:rsidR="00D079E7">
        <w:rPr>
          <w:b w:val="0"/>
          <w:bCs w:val="0"/>
        </w:rPr>
        <w:t xml:space="preserve">nonadmittance of </w:t>
      </w:r>
      <w:r w:rsidR="00C03376">
        <w:rPr>
          <w:b w:val="0"/>
          <w:bCs w:val="0"/>
        </w:rPr>
        <w:t xml:space="preserve">disallowed </w:t>
      </w:r>
      <w:r w:rsidR="00D079E7">
        <w:rPr>
          <w:b w:val="0"/>
          <w:bCs w:val="0"/>
        </w:rPr>
        <w:t xml:space="preserve">negative IMR. Although the statutory accounting guidance has been </w:t>
      </w:r>
      <w:r w:rsidR="004F08F5">
        <w:rPr>
          <w:b w:val="0"/>
          <w:bCs w:val="0"/>
        </w:rPr>
        <w:t xml:space="preserve">in </w:t>
      </w:r>
      <w:r w:rsidR="00D079E7">
        <w:rPr>
          <w:b w:val="0"/>
          <w:bCs w:val="0"/>
        </w:rPr>
        <w:t xml:space="preserve">place </w:t>
      </w:r>
      <w:r w:rsidR="002028B1">
        <w:rPr>
          <w:b w:val="0"/>
          <w:bCs w:val="0"/>
        </w:rPr>
        <w:t xml:space="preserve">for several years, </w:t>
      </w:r>
      <w:r w:rsidR="00D6192A">
        <w:rPr>
          <w:b w:val="0"/>
          <w:bCs w:val="0"/>
        </w:rPr>
        <w:t>the rising interest rate environment has</w:t>
      </w:r>
      <w:r w:rsidR="006D7A8E">
        <w:rPr>
          <w:b w:val="0"/>
          <w:bCs w:val="0"/>
        </w:rPr>
        <w:t xml:space="preserve"> created an increased likelihood for reporting entities to move to a negative IMR position. </w:t>
      </w:r>
      <w:r w:rsidR="0073714B">
        <w:rPr>
          <w:b w:val="0"/>
          <w:bCs w:val="0"/>
        </w:rPr>
        <w:t>This agenda item intends to provide information on the background of IMR, current accounting guidance, recent discussions of the Life Actuarial (A) Task Force and some broad financial results from year-end 2021 and</w:t>
      </w:r>
      <w:r w:rsidR="009D0E0E">
        <w:rPr>
          <w:b w:val="0"/>
          <w:bCs w:val="0"/>
        </w:rPr>
        <w:t xml:space="preserve"> interim </w:t>
      </w:r>
      <w:r w:rsidR="0073714B">
        <w:rPr>
          <w:b w:val="0"/>
          <w:bCs w:val="0"/>
        </w:rPr>
        <w:t xml:space="preserve">2022 financial statements. The intent is to provide this information to facilitate Working Group discussion. </w:t>
      </w:r>
    </w:p>
    <w:p w14:paraId="4986350D" w14:textId="77777777" w:rsidR="0073714B" w:rsidRDefault="0073714B" w:rsidP="00C54519">
      <w:pPr>
        <w:pStyle w:val="BodyText2"/>
        <w:rPr>
          <w:b w:val="0"/>
          <w:bCs w:val="0"/>
        </w:rPr>
      </w:pPr>
    </w:p>
    <w:p w14:paraId="297D3854" w14:textId="2F6433DC" w:rsidR="006744B1" w:rsidRDefault="009F3531" w:rsidP="00C54519">
      <w:pPr>
        <w:pStyle w:val="BodyText2"/>
        <w:rPr>
          <w:b w:val="0"/>
          <w:bCs w:val="0"/>
        </w:rPr>
      </w:pPr>
      <w:r>
        <w:rPr>
          <w:b w:val="0"/>
          <w:bCs w:val="0"/>
        </w:rPr>
        <w:t>T</w:t>
      </w:r>
      <w:r w:rsidR="007C6F6C">
        <w:rPr>
          <w:b w:val="0"/>
          <w:bCs w:val="0"/>
        </w:rPr>
        <w:t xml:space="preserve">he following </w:t>
      </w:r>
      <w:r>
        <w:rPr>
          <w:b w:val="0"/>
          <w:bCs w:val="0"/>
        </w:rPr>
        <w:t>provide</w:t>
      </w:r>
      <w:r w:rsidR="007C6F6C">
        <w:rPr>
          <w:b w:val="0"/>
          <w:bCs w:val="0"/>
        </w:rPr>
        <w:t>s</w:t>
      </w:r>
      <w:r w:rsidR="009D0E0E">
        <w:rPr>
          <w:b w:val="0"/>
          <w:bCs w:val="0"/>
        </w:rPr>
        <w:t xml:space="preserve"> a</w:t>
      </w:r>
      <w:r>
        <w:rPr>
          <w:b w:val="0"/>
          <w:bCs w:val="0"/>
        </w:rPr>
        <w:t xml:space="preserve"> high</w:t>
      </w:r>
      <w:r w:rsidR="009D0E0E">
        <w:rPr>
          <w:b w:val="0"/>
          <w:bCs w:val="0"/>
        </w:rPr>
        <w:t>-</w:t>
      </w:r>
      <w:r>
        <w:rPr>
          <w:b w:val="0"/>
          <w:bCs w:val="0"/>
        </w:rPr>
        <w:t xml:space="preserve">level overview of </w:t>
      </w:r>
      <w:r w:rsidR="00F319D3">
        <w:rPr>
          <w:b w:val="0"/>
          <w:bCs w:val="0"/>
        </w:rPr>
        <w:t>the use of the terms</w:t>
      </w:r>
      <w:r w:rsidR="007C6F6C">
        <w:rPr>
          <w:b w:val="0"/>
          <w:bCs w:val="0"/>
        </w:rPr>
        <w:t xml:space="preserve"> positive IMR</w:t>
      </w:r>
      <w:r w:rsidR="00F319D3">
        <w:rPr>
          <w:b w:val="0"/>
          <w:bCs w:val="0"/>
        </w:rPr>
        <w:t xml:space="preserve"> and </w:t>
      </w:r>
      <w:r w:rsidR="009D0E0E">
        <w:rPr>
          <w:b w:val="0"/>
          <w:bCs w:val="0"/>
        </w:rPr>
        <w:t>negative</w:t>
      </w:r>
      <w:r w:rsidR="00F319D3">
        <w:rPr>
          <w:b w:val="0"/>
          <w:bCs w:val="0"/>
        </w:rPr>
        <w:t xml:space="preserve"> IMR</w:t>
      </w:r>
      <w:r w:rsidR="009D0E0E">
        <w:rPr>
          <w:b w:val="0"/>
          <w:bCs w:val="0"/>
        </w:rPr>
        <w:t xml:space="preserve"> </w:t>
      </w:r>
      <w:r w:rsidR="0073714B">
        <w:rPr>
          <w:b w:val="0"/>
          <w:bCs w:val="0"/>
        </w:rPr>
        <w:t>for entities filing the Life</w:t>
      </w:r>
      <w:r w:rsidR="00C048E4">
        <w:rPr>
          <w:b w:val="0"/>
          <w:bCs w:val="0"/>
        </w:rPr>
        <w:t>,</w:t>
      </w:r>
      <w:r w:rsidR="00CD5A72">
        <w:rPr>
          <w:b w:val="0"/>
          <w:bCs w:val="0"/>
        </w:rPr>
        <w:t xml:space="preserve"> Accident</w:t>
      </w:r>
      <w:r w:rsidR="0073714B">
        <w:rPr>
          <w:b w:val="0"/>
          <w:bCs w:val="0"/>
        </w:rPr>
        <w:t xml:space="preserve"> </w:t>
      </w:r>
      <w:r w:rsidR="00C048E4">
        <w:rPr>
          <w:b w:val="0"/>
          <w:bCs w:val="0"/>
        </w:rPr>
        <w:t>&amp;</w:t>
      </w:r>
      <w:r w:rsidR="0073714B">
        <w:rPr>
          <w:b w:val="0"/>
          <w:bCs w:val="0"/>
        </w:rPr>
        <w:t xml:space="preserve"> Health</w:t>
      </w:r>
      <w:r w:rsidR="00CD5A72">
        <w:rPr>
          <w:b w:val="0"/>
          <w:bCs w:val="0"/>
        </w:rPr>
        <w:t xml:space="preserve"> </w:t>
      </w:r>
      <w:r w:rsidR="0073714B">
        <w:rPr>
          <w:b w:val="0"/>
          <w:bCs w:val="0"/>
        </w:rPr>
        <w:t>/ Fraternal annual statement blank</w:t>
      </w:r>
      <w:r w:rsidR="007C6F6C">
        <w:rPr>
          <w:b w:val="0"/>
          <w:bCs w:val="0"/>
        </w:rPr>
        <w:t>:</w:t>
      </w:r>
    </w:p>
    <w:p w14:paraId="3DAF7EE8" w14:textId="77777777" w:rsidR="006744B1" w:rsidRDefault="006744B1" w:rsidP="00C54519">
      <w:pPr>
        <w:pStyle w:val="BodyText2"/>
        <w:rPr>
          <w:b w:val="0"/>
          <w:bCs w:val="0"/>
        </w:rPr>
      </w:pPr>
    </w:p>
    <w:p w14:paraId="334C57A1" w14:textId="6079FC84" w:rsidR="00ED0D78" w:rsidRDefault="00AF020E" w:rsidP="001B57A9">
      <w:pPr>
        <w:pStyle w:val="BodyText2"/>
        <w:numPr>
          <w:ilvl w:val="0"/>
          <w:numId w:val="16"/>
        </w:numPr>
        <w:rPr>
          <w:b w:val="0"/>
          <w:bCs w:val="0"/>
        </w:rPr>
      </w:pPr>
      <w:r>
        <w:rPr>
          <w:b w:val="0"/>
          <w:bCs w:val="0"/>
        </w:rPr>
        <w:t xml:space="preserve">A positive IMR </w:t>
      </w:r>
      <w:r w:rsidR="006744B1">
        <w:rPr>
          <w:b w:val="0"/>
          <w:bCs w:val="0"/>
        </w:rPr>
        <w:t xml:space="preserve">means that the net realized </w:t>
      </w:r>
      <w:r w:rsidR="003360E6">
        <w:rPr>
          <w:b w:val="0"/>
          <w:bCs w:val="0"/>
        </w:rPr>
        <w:t xml:space="preserve">interest related </w:t>
      </w:r>
      <w:r w:rsidR="006744B1">
        <w:rPr>
          <w:b w:val="0"/>
          <w:bCs w:val="0"/>
        </w:rPr>
        <w:t xml:space="preserve">gains </w:t>
      </w:r>
      <w:r w:rsidR="006740EB">
        <w:rPr>
          <w:b w:val="0"/>
          <w:bCs w:val="0"/>
        </w:rPr>
        <w:t xml:space="preserve">which are  amortized in the </w:t>
      </w:r>
      <w:r w:rsidR="0094520E">
        <w:rPr>
          <w:b w:val="0"/>
          <w:bCs w:val="0"/>
        </w:rPr>
        <w:t xml:space="preserve">IMR </w:t>
      </w:r>
      <w:r w:rsidR="006740EB">
        <w:rPr>
          <w:b w:val="0"/>
          <w:bCs w:val="0"/>
        </w:rPr>
        <w:t xml:space="preserve">calculation </w:t>
      </w:r>
      <w:r w:rsidR="006744B1">
        <w:rPr>
          <w:b w:val="0"/>
          <w:bCs w:val="0"/>
        </w:rPr>
        <w:t xml:space="preserve">are greater than net realized </w:t>
      </w:r>
      <w:r w:rsidR="003360E6">
        <w:rPr>
          <w:b w:val="0"/>
          <w:bCs w:val="0"/>
        </w:rPr>
        <w:t>interest related losses</w:t>
      </w:r>
      <w:r w:rsidR="006740EB">
        <w:rPr>
          <w:b w:val="0"/>
          <w:bCs w:val="0"/>
        </w:rPr>
        <w:t xml:space="preserve"> which are being amortized in the </w:t>
      </w:r>
      <w:r w:rsidR="0094520E">
        <w:rPr>
          <w:b w:val="0"/>
          <w:bCs w:val="0"/>
        </w:rPr>
        <w:t xml:space="preserve">IMR </w:t>
      </w:r>
      <w:r w:rsidR="006740EB">
        <w:rPr>
          <w:b w:val="0"/>
          <w:bCs w:val="0"/>
        </w:rPr>
        <w:t>calculation</w:t>
      </w:r>
      <w:r w:rsidR="003360E6">
        <w:rPr>
          <w:b w:val="0"/>
          <w:bCs w:val="0"/>
        </w:rPr>
        <w:t>.</w:t>
      </w:r>
      <w:r w:rsidR="001B57A9">
        <w:rPr>
          <w:b w:val="0"/>
          <w:bCs w:val="0"/>
        </w:rPr>
        <w:t xml:space="preserve"> </w:t>
      </w:r>
      <w:bookmarkStart w:id="1" w:name="_Hlk119608684"/>
      <w:r w:rsidR="001B57A9">
        <w:rPr>
          <w:b w:val="0"/>
          <w:bCs w:val="0"/>
        </w:rPr>
        <w:t>A positive IMR is r</w:t>
      </w:r>
      <w:r w:rsidR="006740EB">
        <w:rPr>
          <w:b w:val="0"/>
          <w:bCs w:val="0"/>
        </w:rPr>
        <w:t>eported</w:t>
      </w:r>
      <w:r w:rsidR="001B57A9">
        <w:rPr>
          <w:b w:val="0"/>
          <w:bCs w:val="0"/>
        </w:rPr>
        <w:t xml:space="preserve"> as a statutory liability</w:t>
      </w:r>
      <w:r w:rsidR="0073714B">
        <w:rPr>
          <w:b w:val="0"/>
          <w:bCs w:val="0"/>
        </w:rPr>
        <w:t xml:space="preserve"> </w:t>
      </w:r>
      <w:r w:rsidR="00955090">
        <w:rPr>
          <w:b w:val="0"/>
          <w:bCs w:val="0"/>
        </w:rPr>
        <w:t xml:space="preserve">and amortized to income over time. </w:t>
      </w:r>
    </w:p>
    <w:bookmarkEnd w:id="1"/>
    <w:p w14:paraId="7839D017" w14:textId="77777777" w:rsidR="0073714B" w:rsidRDefault="0073714B" w:rsidP="0073714B">
      <w:pPr>
        <w:pStyle w:val="BodyText2"/>
        <w:ind w:left="720"/>
        <w:rPr>
          <w:b w:val="0"/>
          <w:bCs w:val="0"/>
        </w:rPr>
      </w:pPr>
    </w:p>
    <w:p w14:paraId="231D0AF6" w14:textId="51239495" w:rsidR="00955090" w:rsidRDefault="001B57A9" w:rsidP="00955090">
      <w:pPr>
        <w:pStyle w:val="BodyText2"/>
        <w:numPr>
          <w:ilvl w:val="0"/>
          <w:numId w:val="16"/>
        </w:numPr>
        <w:rPr>
          <w:b w:val="0"/>
          <w:bCs w:val="0"/>
        </w:rPr>
      </w:pPr>
      <w:r>
        <w:rPr>
          <w:b w:val="0"/>
          <w:bCs w:val="0"/>
        </w:rPr>
        <w:t xml:space="preserve">A negative IMR means that net realized interest related </w:t>
      </w:r>
      <w:r w:rsidR="006740EB">
        <w:rPr>
          <w:b w:val="0"/>
          <w:bCs w:val="0"/>
        </w:rPr>
        <w:t>losses</w:t>
      </w:r>
      <w:r w:rsidR="0094520E" w:rsidRPr="0094520E">
        <w:rPr>
          <w:b w:val="0"/>
          <w:bCs w:val="0"/>
        </w:rPr>
        <w:t xml:space="preserve"> </w:t>
      </w:r>
      <w:r w:rsidR="0094520E">
        <w:rPr>
          <w:b w:val="0"/>
          <w:bCs w:val="0"/>
        </w:rPr>
        <w:t>which are  amortized in the IMR calculation</w:t>
      </w:r>
      <w:r w:rsidR="006740EB">
        <w:rPr>
          <w:b w:val="0"/>
          <w:bCs w:val="0"/>
        </w:rPr>
        <w:t xml:space="preserve"> are greater than net realized interested related </w:t>
      </w:r>
      <w:r w:rsidR="0094520E">
        <w:rPr>
          <w:b w:val="0"/>
          <w:bCs w:val="0"/>
        </w:rPr>
        <w:t xml:space="preserve">gains which are </w:t>
      </w:r>
      <w:r w:rsidR="007C5894">
        <w:rPr>
          <w:b w:val="0"/>
          <w:bCs w:val="0"/>
        </w:rPr>
        <w:t>a</w:t>
      </w:r>
      <w:r w:rsidR="0094520E">
        <w:rPr>
          <w:b w:val="0"/>
          <w:bCs w:val="0"/>
        </w:rPr>
        <w:t>mortized in the IMR calculation.</w:t>
      </w:r>
      <w:r w:rsidR="00955090" w:rsidRPr="00955090">
        <w:rPr>
          <w:b w:val="0"/>
          <w:bCs w:val="0"/>
        </w:rPr>
        <w:t xml:space="preserve"> </w:t>
      </w:r>
      <w:r w:rsidR="00955090">
        <w:rPr>
          <w:b w:val="0"/>
          <w:bCs w:val="0"/>
        </w:rPr>
        <w:t xml:space="preserve">A </w:t>
      </w:r>
      <w:r w:rsidR="001653C5">
        <w:rPr>
          <w:b w:val="0"/>
          <w:bCs w:val="0"/>
        </w:rPr>
        <w:t>di</w:t>
      </w:r>
      <w:r w:rsidR="006D5BF1">
        <w:rPr>
          <w:b w:val="0"/>
          <w:bCs w:val="0"/>
        </w:rPr>
        <w:t>s</w:t>
      </w:r>
      <w:r w:rsidR="001653C5">
        <w:rPr>
          <w:b w:val="0"/>
          <w:bCs w:val="0"/>
        </w:rPr>
        <w:t>allowed</w:t>
      </w:r>
      <w:r w:rsidR="006D5BF1">
        <w:rPr>
          <w:b w:val="0"/>
          <w:bCs w:val="0"/>
        </w:rPr>
        <w:t xml:space="preserve"> </w:t>
      </w:r>
      <w:r w:rsidR="00955090">
        <w:rPr>
          <w:b w:val="0"/>
          <w:bCs w:val="0"/>
        </w:rPr>
        <w:t xml:space="preserve">negative IMR is reported as a nonadmitted asset and amortized to income as a loss over time. </w:t>
      </w:r>
    </w:p>
    <w:p w14:paraId="3263C0FF" w14:textId="77777777" w:rsidR="00C92A90" w:rsidRDefault="00C92A90" w:rsidP="00C92A90">
      <w:pPr>
        <w:pStyle w:val="ListParagraph"/>
        <w:rPr>
          <w:b/>
          <w:bCs/>
        </w:rPr>
      </w:pPr>
    </w:p>
    <w:p w14:paraId="5ACE2B66" w14:textId="5A663383" w:rsidR="00C92A90" w:rsidRDefault="00C92A90" w:rsidP="00C92A90">
      <w:pPr>
        <w:pStyle w:val="BodyText2"/>
        <w:rPr>
          <w:b w:val="0"/>
          <w:bCs w:val="0"/>
        </w:rPr>
      </w:pPr>
      <w:r>
        <w:rPr>
          <w:b w:val="0"/>
          <w:bCs w:val="0"/>
        </w:rPr>
        <w:t>As IMR occurs in the general and separate account, there are specific guideline</w:t>
      </w:r>
      <w:r w:rsidR="00C03376">
        <w:rPr>
          <w:b w:val="0"/>
          <w:bCs w:val="0"/>
        </w:rPr>
        <w:t>s</w:t>
      </w:r>
      <w:r>
        <w:rPr>
          <w:b w:val="0"/>
          <w:bCs w:val="0"/>
        </w:rPr>
        <w:t xml:space="preserve"> in determining whether the IMR reflects a net </w:t>
      </w:r>
      <w:r w:rsidR="00E87019">
        <w:rPr>
          <w:b w:val="0"/>
          <w:bCs w:val="0"/>
        </w:rPr>
        <w:t xml:space="preserve">disallowed </w:t>
      </w:r>
      <w:r>
        <w:rPr>
          <w:b w:val="0"/>
          <w:bCs w:val="0"/>
        </w:rPr>
        <w:t>negative or position in the annual statement instructions. These are on page 5.</w:t>
      </w:r>
    </w:p>
    <w:p w14:paraId="01B85EB7" w14:textId="77777777" w:rsidR="00ED0D78" w:rsidRDefault="00ED0D78" w:rsidP="00C54519">
      <w:pPr>
        <w:pStyle w:val="BodyText2"/>
        <w:rPr>
          <w:b w:val="0"/>
          <w:bCs w:val="0"/>
        </w:rPr>
      </w:pPr>
    </w:p>
    <w:p w14:paraId="626534AD" w14:textId="402ACCA8" w:rsidR="00165EFA" w:rsidRDefault="005E14EF" w:rsidP="00C54519">
      <w:pPr>
        <w:pStyle w:val="BodyText2"/>
        <w:rPr>
          <w:b w:val="0"/>
          <w:bCs w:val="0"/>
        </w:rPr>
      </w:pPr>
      <w:r>
        <w:rPr>
          <w:b w:val="0"/>
          <w:bCs w:val="0"/>
        </w:rPr>
        <w:t xml:space="preserve">A letter from the </w:t>
      </w:r>
      <w:r w:rsidR="0084009E">
        <w:rPr>
          <w:b w:val="0"/>
          <w:bCs w:val="0"/>
        </w:rPr>
        <w:t>American Council of Life Insurers (</w:t>
      </w:r>
      <w:r>
        <w:rPr>
          <w:b w:val="0"/>
          <w:bCs w:val="0"/>
        </w:rPr>
        <w:t>ACLI</w:t>
      </w:r>
      <w:r w:rsidR="0084009E">
        <w:rPr>
          <w:b w:val="0"/>
          <w:bCs w:val="0"/>
        </w:rPr>
        <w:t>)</w:t>
      </w:r>
      <w:r>
        <w:rPr>
          <w:b w:val="0"/>
          <w:bCs w:val="0"/>
        </w:rPr>
        <w:t xml:space="preserve"> dated Oct. 31, 2022</w:t>
      </w:r>
      <w:r w:rsidR="004F08F5">
        <w:rPr>
          <w:b w:val="0"/>
          <w:bCs w:val="0"/>
        </w:rPr>
        <w:t>,</w:t>
      </w:r>
      <w:r w:rsidR="004F6FC8">
        <w:rPr>
          <w:b w:val="0"/>
          <w:bCs w:val="0"/>
        </w:rPr>
        <w:t xml:space="preserve"> </w:t>
      </w:r>
      <w:r w:rsidR="00165EFA">
        <w:rPr>
          <w:b w:val="0"/>
          <w:bCs w:val="0"/>
        </w:rPr>
        <w:t>raised</w:t>
      </w:r>
      <w:r w:rsidR="004F6FC8">
        <w:rPr>
          <w:b w:val="0"/>
          <w:bCs w:val="0"/>
        </w:rPr>
        <w:t xml:space="preserve"> </w:t>
      </w:r>
      <w:r w:rsidR="00EF373C">
        <w:rPr>
          <w:b w:val="0"/>
          <w:bCs w:val="0"/>
        </w:rPr>
        <w:t xml:space="preserve">concerns with </w:t>
      </w:r>
      <w:r w:rsidR="003D27DC">
        <w:rPr>
          <w:b w:val="0"/>
          <w:bCs w:val="0"/>
        </w:rPr>
        <w:t xml:space="preserve">existing statutory accounting requirements </w:t>
      </w:r>
      <w:r w:rsidR="00434F70">
        <w:rPr>
          <w:b w:val="0"/>
          <w:bCs w:val="0"/>
        </w:rPr>
        <w:t>on the</w:t>
      </w:r>
      <w:r w:rsidR="00F6630A">
        <w:rPr>
          <w:b w:val="0"/>
          <w:bCs w:val="0"/>
        </w:rPr>
        <w:t xml:space="preserve"> </w:t>
      </w:r>
      <w:r w:rsidR="00EF373C">
        <w:rPr>
          <w:b w:val="0"/>
          <w:bCs w:val="0"/>
        </w:rPr>
        <w:t>nonadmittance</w:t>
      </w:r>
      <w:r w:rsidR="003D27DC">
        <w:rPr>
          <w:b w:val="0"/>
          <w:bCs w:val="0"/>
        </w:rPr>
        <w:t xml:space="preserve"> </w:t>
      </w:r>
      <w:r w:rsidR="00C03376">
        <w:rPr>
          <w:b w:val="0"/>
          <w:bCs w:val="0"/>
        </w:rPr>
        <w:t>of disallowed</w:t>
      </w:r>
      <w:r w:rsidR="003D27DC">
        <w:rPr>
          <w:b w:val="0"/>
          <w:bCs w:val="0"/>
        </w:rPr>
        <w:t xml:space="preserve"> negative IMR </w:t>
      </w:r>
      <w:r w:rsidR="00EF373C">
        <w:rPr>
          <w:b w:val="0"/>
          <w:bCs w:val="0"/>
        </w:rPr>
        <w:t xml:space="preserve"> noting </w:t>
      </w:r>
      <w:r w:rsidR="00942F1B">
        <w:rPr>
          <w:b w:val="0"/>
          <w:bCs w:val="0"/>
        </w:rPr>
        <w:t xml:space="preserve">negative </w:t>
      </w:r>
      <w:r w:rsidR="00EF373C">
        <w:rPr>
          <w:b w:val="0"/>
          <w:bCs w:val="0"/>
        </w:rPr>
        <w:t xml:space="preserve">ramifications for </w:t>
      </w:r>
      <w:r w:rsidR="00165EFA">
        <w:rPr>
          <w:b w:val="0"/>
          <w:bCs w:val="0"/>
        </w:rPr>
        <w:t>insurers</w:t>
      </w:r>
      <w:r w:rsidR="00922951">
        <w:rPr>
          <w:b w:val="0"/>
          <w:bCs w:val="0"/>
        </w:rPr>
        <w:t xml:space="preserve">. Key summarized positions from this </w:t>
      </w:r>
      <w:r w:rsidR="00352550">
        <w:rPr>
          <w:b w:val="0"/>
          <w:bCs w:val="0"/>
        </w:rPr>
        <w:t xml:space="preserve">ACLI </w:t>
      </w:r>
      <w:r w:rsidR="00922951">
        <w:rPr>
          <w:b w:val="0"/>
          <w:bCs w:val="0"/>
        </w:rPr>
        <w:t xml:space="preserve">letter include: </w:t>
      </w:r>
      <w:r w:rsidR="00165EFA">
        <w:rPr>
          <w:b w:val="0"/>
          <w:bCs w:val="0"/>
        </w:rPr>
        <w:t xml:space="preserve"> </w:t>
      </w:r>
    </w:p>
    <w:p w14:paraId="20192D3B" w14:textId="77777777" w:rsidR="00165EFA" w:rsidRDefault="00165EFA" w:rsidP="00C54519">
      <w:pPr>
        <w:pStyle w:val="BodyText2"/>
        <w:rPr>
          <w:b w:val="0"/>
          <w:bCs w:val="0"/>
        </w:rPr>
      </w:pPr>
    </w:p>
    <w:p w14:paraId="05FCDF76" w14:textId="644E76BB" w:rsidR="00165EFA" w:rsidRDefault="00FB0E37">
      <w:pPr>
        <w:pStyle w:val="BodyText2"/>
        <w:numPr>
          <w:ilvl w:val="0"/>
          <w:numId w:val="9"/>
        </w:numPr>
        <w:rPr>
          <w:b w:val="0"/>
          <w:bCs w:val="0"/>
        </w:rPr>
      </w:pPr>
      <w:r>
        <w:rPr>
          <w:b w:val="0"/>
          <w:bCs w:val="0"/>
        </w:rPr>
        <w:t xml:space="preserve">In general, rising interest rates are favorable to the financial health of the insurance industry and policyholders. </w:t>
      </w:r>
      <w:r w:rsidR="00922951">
        <w:rPr>
          <w:b w:val="0"/>
          <w:bCs w:val="0"/>
        </w:rPr>
        <w:t xml:space="preserve">However, with negative IMR, there is an inappropriate perception of decreased financial strength through lower surplus and risk-based </w:t>
      </w:r>
      <w:r w:rsidR="00922951" w:rsidRPr="00FC69F6">
        <w:rPr>
          <w:b w:val="0"/>
          <w:bCs w:val="0"/>
        </w:rPr>
        <w:t>capital.</w:t>
      </w:r>
      <w:r w:rsidR="00922951">
        <w:rPr>
          <w:b w:val="0"/>
          <w:bCs w:val="0"/>
        </w:rPr>
        <w:t xml:space="preserve"> </w:t>
      </w:r>
    </w:p>
    <w:p w14:paraId="4F322C20" w14:textId="77777777" w:rsidR="00B4760E" w:rsidRDefault="00B4760E" w:rsidP="00B4760E">
      <w:pPr>
        <w:pStyle w:val="BodyText2"/>
        <w:ind w:left="720"/>
        <w:rPr>
          <w:b w:val="0"/>
          <w:bCs w:val="0"/>
        </w:rPr>
      </w:pPr>
    </w:p>
    <w:p w14:paraId="1A30A593" w14:textId="68AB5EB4" w:rsidR="00922951" w:rsidRDefault="00B4760E">
      <w:pPr>
        <w:pStyle w:val="BodyText2"/>
        <w:numPr>
          <w:ilvl w:val="0"/>
          <w:numId w:val="9"/>
        </w:numPr>
        <w:rPr>
          <w:b w:val="0"/>
          <w:bCs w:val="0"/>
        </w:rPr>
      </w:pPr>
      <w:r>
        <w:rPr>
          <w:b w:val="0"/>
          <w:bCs w:val="0"/>
        </w:rPr>
        <w:t xml:space="preserve">Negative IMR could impact the rating agency view of the </w:t>
      </w:r>
      <w:r w:rsidR="004F08F5">
        <w:rPr>
          <w:b w:val="0"/>
          <w:bCs w:val="0"/>
        </w:rPr>
        <w:t>industry or</w:t>
      </w:r>
      <w:r>
        <w:rPr>
          <w:b w:val="0"/>
          <w:bCs w:val="0"/>
        </w:rPr>
        <w:t xml:space="preserve"> incentivize companies to avoid prudent investment transactions that ar</w:t>
      </w:r>
      <w:r w:rsidR="00FC69F6">
        <w:rPr>
          <w:b w:val="0"/>
          <w:bCs w:val="0"/>
        </w:rPr>
        <w:t xml:space="preserve">e </w:t>
      </w:r>
      <w:r>
        <w:rPr>
          <w:b w:val="0"/>
          <w:bCs w:val="0"/>
        </w:rPr>
        <w:t xml:space="preserve">necessary to avoid mismatches between assets and liabilities. </w:t>
      </w:r>
      <w:r w:rsidR="00327CB8">
        <w:rPr>
          <w:b w:val="0"/>
          <w:bCs w:val="0"/>
        </w:rPr>
        <w:t xml:space="preserve">In either scenario, negative IMR encourages short-term non-economic activity that is not in the best long-term interest of a reporting entity’s financial health or its policyholders. </w:t>
      </w:r>
    </w:p>
    <w:p w14:paraId="0115D59C" w14:textId="77777777" w:rsidR="00165EFA" w:rsidRDefault="00165EFA" w:rsidP="00C54519">
      <w:pPr>
        <w:pStyle w:val="BodyText2"/>
        <w:rPr>
          <w:b w:val="0"/>
          <w:bCs w:val="0"/>
        </w:rPr>
      </w:pPr>
    </w:p>
    <w:p w14:paraId="5F36FC00" w14:textId="60FF464B" w:rsidR="0089556B" w:rsidRPr="00D62BDD" w:rsidRDefault="0089556B" w:rsidP="00C54519">
      <w:pPr>
        <w:pStyle w:val="BodyText2"/>
        <w:rPr>
          <w:b w:val="0"/>
          <w:bCs w:val="0"/>
          <w:u w:val="single"/>
        </w:rPr>
      </w:pPr>
      <w:r w:rsidRPr="00D62BDD">
        <w:rPr>
          <w:b w:val="0"/>
          <w:bCs w:val="0"/>
          <w:u w:val="single"/>
        </w:rPr>
        <w:t>Background of IMR</w:t>
      </w:r>
    </w:p>
    <w:p w14:paraId="02EBF155" w14:textId="2B6B1C88" w:rsidR="002D5B28" w:rsidRDefault="00EB7148" w:rsidP="00C54519">
      <w:pPr>
        <w:pStyle w:val="BodyText2"/>
        <w:rPr>
          <w:b w:val="0"/>
          <w:bCs w:val="0"/>
        </w:rPr>
      </w:pPr>
      <w:r>
        <w:rPr>
          <w:b w:val="0"/>
          <w:bCs w:val="0"/>
        </w:rPr>
        <w:t>T</w:t>
      </w:r>
      <w:r w:rsidR="00DE01B6">
        <w:rPr>
          <w:b w:val="0"/>
          <w:bCs w:val="0"/>
        </w:rPr>
        <w:t>he IMR was first effective in statutory accounting in 1992 and requires that a realized fixed income gain</w:t>
      </w:r>
      <w:r w:rsidR="007C7365">
        <w:rPr>
          <w:b w:val="0"/>
          <w:bCs w:val="0"/>
        </w:rPr>
        <w:t>s</w:t>
      </w:r>
      <w:r w:rsidR="00DE01B6">
        <w:rPr>
          <w:b w:val="0"/>
          <w:bCs w:val="0"/>
        </w:rPr>
        <w:t xml:space="preserve"> or loss</w:t>
      </w:r>
      <w:r w:rsidR="007C7365">
        <w:rPr>
          <w:b w:val="0"/>
          <w:bCs w:val="0"/>
        </w:rPr>
        <w:t>es</w:t>
      </w:r>
      <w:r w:rsidR="00DE01B6">
        <w:rPr>
          <w:b w:val="0"/>
          <w:bCs w:val="0"/>
        </w:rPr>
        <w:t xml:space="preserve"> attributable to change</w:t>
      </w:r>
      <w:r w:rsidR="00BE794A">
        <w:rPr>
          <w:b w:val="0"/>
          <w:bCs w:val="0"/>
        </w:rPr>
        <w:t xml:space="preserve">s in interest rates (excluding gains/losses that are credit related), be amortized into income </w:t>
      </w:r>
      <w:r w:rsidR="004504C3">
        <w:rPr>
          <w:b w:val="0"/>
          <w:bCs w:val="0"/>
        </w:rPr>
        <w:t xml:space="preserve">over </w:t>
      </w:r>
      <w:r w:rsidR="00BE794A">
        <w:rPr>
          <w:b w:val="0"/>
          <w:bCs w:val="0"/>
        </w:rPr>
        <w:t xml:space="preserve">the remaining term to maturity of the fixed-income investments (and related hedging programs) sold rather than being reflected in income immediately. </w:t>
      </w:r>
    </w:p>
    <w:p w14:paraId="12032559" w14:textId="44471AB3" w:rsidR="00F516B7" w:rsidRDefault="00487C04" w:rsidP="00C54519">
      <w:pPr>
        <w:pStyle w:val="BodyText2"/>
        <w:rPr>
          <w:b w:val="0"/>
          <w:bCs w:val="0"/>
        </w:rPr>
      </w:pPr>
      <w:r>
        <w:rPr>
          <w:b w:val="0"/>
          <w:bCs w:val="0"/>
        </w:rPr>
        <w:lastRenderedPageBreak/>
        <w:t>Minutes</w:t>
      </w:r>
      <w:r w:rsidR="003170AF">
        <w:rPr>
          <w:b w:val="0"/>
          <w:bCs w:val="0"/>
        </w:rPr>
        <w:t xml:space="preserve">, </w:t>
      </w:r>
      <w:r w:rsidR="001E4ECA">
        <w:rPr>
          <w:b w:val="0"/>
          <w:bCs w:val="0"/>
        </w:rPr>
        <w:t xml:space="preserve">including adopted materials – </w:t>
      </w:r>
      <w:r w:rsidR="003170AF">
        <w:rPr>
          <w:b w:val="0"/>
          <w:bCs w:val="0"/>
        </w:rPr>
        <w:t xml:space="preserve">in the </w:t>
      </w:r>
      <w:r w:rsidR="001E4ECA">
        <w:rPr>
          <w:b w:val="0"/>
          <w:bCs w:val="0"/>
        </w:rPr>
        <w:t>Blue Book</w:t>
      </w:r>
      <w:r w:rsidR="003170AF">
        <w:rPr>
          <w:b w:val="0"/>
          <w:bCs w:val="0"/>
        </w:rPr>
        <w:t xml:space="preserve"> (Life Statement</w:t>
      </w:r>
      <w:r w:rsidR="001E4ECA">
        <w:rPr>
          <w:b w:val="0"/>
          <w:bCs w:val="0"/>
        </w:rPr>
        <w:t>)</w:t>
      </w:r>
      <w:r w:rsidR="003170AF">
        <w:rPr>
          <w:b w:val="0"/>
          <w:bCs w:val="0"/>
        </w:rPr>
        <w:t>,</w:t>
      </w:r>
      <w:r w:rsidR="00F516B7">
        <w:rPr>
          <w:b w:val="0"/>
          <w:bCs w:val="0"/>
        </w:rPr>
        <w:t xml:space="preserve"> from the 2002 </w:t>
      </w:r>
      <w:r w:rsidR="001E4ECA">
        <w:rPr>
          <w:b w:val="0"/>
          <w:bCs w:val="0"/>
        </w:rPr>
        <w:t>4</w:t>
      </w:r>
      <w:r w:rsidR="001E4ECA" w:rsidRPr="001E4ECA">
        <w:rPr>
          <w:b w:val="0"/>
          <w:bCs w:val="0"/>
          <w:vertAlign w:val="superscript"/>
        </w:rPr>
        <w:t>th</w:t>
      </w:r>
      <w:r w:rsidR="001E4ECA">
        <w:rPr>
          <w:b w:val="0"/>
          <w:bCs w:val="0"/>
        </w:rPr>
        <w:t xml:space="preserve"> Quarter </w:t>
      </w:r>
      <w:r w:rsidR="00F516B7">
        <w:rPr>
          <w:b w:val="0"/>
          <w:bCs w:val="0"/>
        </w:rPr>
        <w:t xml:space="preserve">NAIC Proceedings discussing IMR </w:t>
      </w:r>
      <w:r w:rsidR="00260C0E">
        <w:rPr>
          <w:b w:val="0"/>
          <w:bCs w:val="0"/>
        </w:rPr>
        <w:t>are</w:t>
      </w:r>
      <w:r w:rsidR="00F516B7">
        <w:rPr>
          <w:b w:val="0"/>
          <w:bCs w:val="0"/>
        </w:rPr>
        <w:t xml:space="preserve"> provided below. Please note the last section that includes “Future Directions”</w:t>
      </w:r>
      <w:r w:rsidR="00917C0D">
        <w:rPr>
          <w:b w:val="0"/>
          <w:bCs w:val="0"/>
        </w:rPr>
        <w:t xml:space="preserve"> which identifies </w:t>
      </w:r>
      <w:r>
        <w:rPr>
          <w:b w:val="0"/>
          <w:bCs w:val="0"/>
        </w:rPr>
        <w:t xml:space="preserve">recognition of negative IMR as a major area of effort. </w:t>
      </w:r>
    </w:p>
    <w:p w14:paraId="48BA8DC2" w14:textId="77777777" w:rsidR="005F17EB" w:rsidRDefault="005F17EB" w:rsidP="00C54519">
      <w:pPr>
        <w:pStyle w:val="BodyText2"/>
        <w:rPr>
          <w:b w:val="0"/>
          <w:bCs w:val="0"/>
        </w:rPr>
      </w:pPr>
    </w:p>
    <w:p w14:paraId="3A5D810E" w14:textId="6B89ABC2" w:rsidR="005F17EB" w:rsidRPr="001E4ECA" w:rsidRDefault="00487C04" w:rsidP="003170AF">
      <w:pPr>
        <w:pStyle w:val="BodyText2"/>
      </w:pPr>
      <w:r w:rsidRPr="001E4ECA">
        <w:t>D</w:t>
      </w:r>
      <w:r w:rsidR="005F17EB" w:rsidRPr="001E4ECA">
        <w:t xml:space="preserve">escription </w:t>
      </w:r>
      <w:r w:rsidR="004E4FFB" w:rsidRPr="001E4ECA">
        <w:t xml:space="preserve">and other components </w:t>
      </w:r>
      <w:r w:rsidR="005F17EB" w:rsidRPr="001E4ECA">
        <w:t xml:space="preserve">of IMR from the </w:t>
      </w:r>
      <w:r w:rsidR="00893310" w:rsidRPr="001E4ECA">
        <w:t>Blue Book, captured in the 2002 4</w:t>
      </w:r>
      <w:r w:rsidR="00893310" w:rsidRPr="001E4ECA">
        <w:rPr>
          <w:vertAlign w:val="superscript"/>
        </w:rPr>
        <w:t>th</w:t>
      </w:r>
      <w:r w:rsidR="00893310" w:rsidRPr="001E4ECA">
        <w:t xml:space="preserve"> Quarter NAIC Proceedings, provides the following definition</w:t>
      </w:r>
      <w:r w:rsidR="00DB6E3C" w:rsidRPr="001E4ECA">
        <w:t xml:space="preserve"> and other details</w:t>
      </w:r>
      <w:r w:rsidR="00893310" w:rsidRPr="001E4ECA">
        <w:t xml:space="preserve">: </w:t>
      </w:r>
      <w:r w:rsidR="00F516B7" w:rsidRPr="001E4ECA">
        <w:rPr>
          <w:i/>
          <w:iCs/>
        </w:rPr>
        <w:t>(Only key excepts include</w:t>
      </w:r>
      <w:r w:rsidR="00F516B7" w:rsidRPr="001E4ECA">
        <w:t xml:space="preserve">d.) </w:t>
      </w:r>
    </w:p>
    <w:p w14:paraId="6C38A1FB" w14:textId="77777777" w:rsidR="00893310" w:rsidRDefault="00893310" w:rsidP="00C54519">
      <w:pPr>
        <w:pStyle w:val="BodyText2"/>
        <w:rPr>
          <w:b w:val="0"/>
          <w:bCs w:val="0"/>
        </w:rPr>
      </w:pPr>
    </w:p>
    <w:p w14:paraId="6665169B" w14:textId="2A9ABEF7" w:rsidR="00893310" w:rsidRDefault="00893310" w:rsidP="00424570">
      <w:pPr>
        <w:pStyle w:val="BodyText2"/>
        <w:ind w:left="720" w:hanging="720"/>
        <w:rPr>
          <w:rFonts w:ascii="Arial" w:hAnsi="Arial" w:cs="Arial"/>
          <w:b w:val="0"/>
          <w:bCs w:val="0"/>
          <w:sz w:val="20"/>
        </w:rPr>
      </w:pPr>
      <w:r>
        <w:rPr>
          <w:b w:val="0"/>
          <w:bCs w:val="0"/>
        </w:rPr>
        <w:tab/>
      </w:r>
      <w:r w:rsidRPr="00424570">
        <w:rPr>
          <w:rFonts w:ascii="Arial" w:hAnsi="Arial" w:cs="Arial"/>
          <w:b w:val="0"/>
          <w:bCs w:val="0"/>
          <w:sz w:val="20"/>
          <w:u w:val="single"/>
        </w:rPr>
        <w:t>The Interest Maintenance Reserve (IMR):</w:t>
      </w:r>
      <w:r w:rsidRPr="00424570">
        <w:rPr>
          <w:rFonts w:ascii="Arial" w:hAnsi="Arial" w:cs="Arial"/>
          <w:b w:val="0"/>
          <w:bCs w:val="0"/>
          <w:sz w:val="20"/>
        </w:rPr>
        <w:t xml:space="preserve"> </w:t>
      </w:r>
      <w:r w:rsidR="00424570" w:rsidRPr="00424570">
        <w:rPr>
          <w:rFonts w:ascii="Arial" w:hAnsi="Arial" w:cs="Arial"/>
          <w:b w:val="0"/>
          <w:bCs w:val="0"/>
          <w:sz w:val="20"/>
        </w:rPr>
        <w:t>captures for all types of fixed income investments, all of the realized capital gains and losses which result from changes in the overall level of interest rates as they occur. Once captured, these capital gains or losses are amortized into income over the remaining life (period to maturity) of the investments sold. Realized gains and losses on derivative investments, which alter the interest rate characteristics of assets/liabilities, also are allocated to the IMR and are to be amortized into income over the life of the associated assets/liabilities. Note: certain significant unusual transactions may require immediate recognition of any realized capital gains or losses, as described in a later section. This reserve is not subject to any maximum.</w:t>
      </w:r>
    </w:p>
    <w:p w14:paraId="1DDDD43A" w14:textId="77777777" w:rsidR="004D0463" w:rsidRPr="00424570" w:rsidRDefault="004D0463" w:rsidP="00424570">
      <w:pPr>
        <w:pStyle w:val="BodyText2"/>
        <w:ind w:left="720" w:hanging="720"/>
        <w:rPr>
          <w:rFonts w:ascii="Arial" w:hAnsi="Arial" w:cs="Arial"/>
          <w:b w:val="0"/>
          <w:bCs w:val="0"/>
          <w:sz w:val="20"/>
        </w:rPr>
      </w:pPr>
    </w:p>
    <w:p w14:paraId="349BB037" w14:textId="7A55C08D" w:rsidR="00BE794A" w:rsidRDefault="00F03DC4" w:rsidP="00F03DC4">
      <w:pPr>
        <w:pStyle w:val="BodyText2"/>
        <w:ind w:left="720"/>
        <w:rPr>
          <w:rFonts w:ascii="Arial" w:hAnsi="Arial" w:cs="Arial"/>
          <w:b w:val="0"/>
          <w:bCs w:val="0"/>
          <w:sz w:val="20"/>
        </w:rPr>
      </w:pPr>
      <w:r w:rsidRPr="00F03DC4">
        <w:rPr>
          <w:rFonts w:ascii="Arial" w:hAnsi="Arial" w:cs="Arial"/>
          <w:b w:val="0"/>
          <w:bCs w:val="0"/>
          <w:sz w:val="20"/>
          <w:u w:val="single"/>
        </w:rPr>
        <w:t>VII. IMR MINIMUMS/MAXIMUMS</w:t>
      </w:r>
      <w:r>
        <w:rPr>
          <w:rFonts w:ascii="Arial" w:hAnsi="Arial" w:cs="Arial"/>
          <w:b w:val="0"/>
          <w:bCs w:val="0"/>
          <w:sz w:val="20"/>
          <w:u w:val="single"/>
        </w:rPr>
        <w:t>:</w:t>
      </w:r>
      <w:r w:rsidRPr="00F03DC4">
        <w:rPr>
          <w:rFonts w:ascii="Arial" w:hAnsi="Arial" w:cs="Arial"/>
          <w:b w:val="0"/>
          <w:bCs w:val="0"/>
          <w:sz w:val="20"/>
        </w:rPr>
        <w:t xml:space="preserve"> A. Minimums: </w:t>
      </w:r>
      <w:r w:rsidRPr="004028C1">
        <w:rPr>
          <w:rFonts w:ascii="Arial" w:hAnsi="Arial" w:cs="Arial"/>
          <w:sz w:val="20"/>
        </w:rPr>
        <w:t>The IMR can be negative for any line of business as long as the aggregate IMR for the Company is not less than zero. Any otherwise negative IMR value is carried over to subsequent years</w:t>
      </w:r>
      <w:r w:rsidRPr="00F03DC4">
        <w:rPr>
          <w:rFonts w:ascii="Arial" w:hAnsi="Arial" w:cs="Arial"/>
          <w:b w:val="0"/>
          <w:bCs w:val="0"/>
          <w:sz w:val="20"/>
        </w:rPr>
        <w:t xml:space="preserve">. B. Maximums: There is no maximum of the </w:t>
      </w:r>
      <w:proofErr w:type="gramStart"/>
      <w:r w:rsidRPr="00F03DC4">
        <w:rPr>
          <w:rFonts w:ascii="Arial" w:hAnsi="Arial" w:cs="Arial"/>
          <w:b w:val="0"/>
          <w:bCs w:val="0"/>
          <w:sz w:val="20"/>
        </w:rPr>
        <w:t>IMR</w:t>
      </w:r>
      <w:proofErr w:type="gramEnd"/>
    </w:p>
    <w:p w14:paraId="506A7428" w14:textId="77777777" w:rsidR="00486D2D" w:rsidRDefault="00486D2D" w:rsidP="00F03DC4">
      <w:pPr>
        <w:pStyle w:val="BodyText2"/>
        <w:ind w:left="720"/>
        <w:rPr>
          <w:rFonts w:ascii="Arial" w:hAnsi="Arial" w:cs="Arial"/>
          <w:b w:val="0"/>
          <w:bCs w:val="0"/>
          <w:sz w:val="20"/>
        </w:rPr>
      </w:pPr>
    </w:p>
    <w:p w14:paraId="7222F442" w14:textId="2A3519E4" w:rsidR="000D6CB3" w:rsidRPr="00DF2A91" w:rsidRDefault="000D6CB3" w:rsidP="00F03DC4">
      <w:pPr>
        <w:pStyle w:val="BodyText2"/>
        <w:ind w:left="720"/>
        <w:rPr>
          <w:rFonts w:ascii="Arial" w:hAnsi="Arial" w:cs="Arial"/>
          <w:b w:val="0"/>
          <w:bCs w:val="0"/>
          <w:sz w:val="20"/>
        </w:rPr>
      </w:pPr>
      <w:r w:rsidRPr="00225297">
        <w:rPr>
          <w:rFonts w:ascii="Arial" w:hAnsi="Arial" w:cs="Arial"/>
          <w:b w:val="0"/>
          <w:bCs w:val="0"/>
          <w:sz w:val="20"/>
          <w:u w:val="single"/>
        </w:rPr>
        <w:t>VIII. BACKGROUND/PERSPECTIVE</w:t>
      </w:r>
      <w:r w:rsidR="00225297">
        <w:rPr>
          <w:rFonts w:ascii="Arial" w:hAnsi="Arial" w:cs="Arial"/>
          <w:b w:val="0"/>
          <w:bCs w:val="0"/>
          <w:sz w:val="20"/>
          <w:u w:val="single"/>
        </w:rPr>
        <w:t>:</w:t>
      </w:r>
      <w:r w:rsidRPr="00DF2A91">
        <w:rPr>
          <w:rFonts w:ascii="Arial" w:hAnsi="Arial" w:cs="Arial"/>
          <w:b w:val="0"/>
          <w:bCs w:val="0"/>
          <w:sz w:val="20"/>
        </w:rPr>
        <w:t xml:space="preserve"> To insure solvency of a company, its assets should be invested so that the company has a very high probability of paying its contractual liabilities when they become due. In order to assess whether a company is able to fulfill its obligations, it must present its liabilities and assets on a financially integrated basis. Since the accounting practices prescribed for the life insurance annual statement are an important element in this discipline, it is imperative that the accounting practices be consistent for assets and liabilities. If they are inconsistent, then the annual statement will not reveal whether assets exceed liabilities; more importantly, neither regulators nor management can determine the risk of insolvency for the company. </w:t>
      </w:r>
    </w:p>
    <w:p w14:paraId="575A5B88" w14:textId="77777777" w:rsidR="000D6CB3" w:rsidRPr="00DF2A91" w:rsidRDefault="000D6CB3" w:rsidP="00F03DC4">
      <w:pPr>
        <w:pStyle w:val="BodyText2"/>
        <w:ind w:left="720"/>
        <w:rPr>
          <w:rFonts w:ascii="Arial" w:hAnsi="Arial" w:cs="Arial"/>
          <w:b w:val="0"/>
          <w:bCs w:val="0"/>
          <w:sz w:val="20"/>
        </w:rPr>
      </w:pPr>
    </w:p>
    <w:p w14:paraId="20DDFEE3" w14:textId="77777777" w:rsidR="006A1CC1" w:rsidRPr="00DF2A91" w:rsidRDefault="000D6CB3" w:rsidP="00F03DC4">
      <w:pPr>
        <w:pStyle w:val="BodyText2"/>
        <w:ind w:left="720"/>
        <w:rPr>
          <w:rFonts w:ascii="Arial" w:hAnsi="Arial" w:cs="Arial"/>
          <w:b w:val="0"/>
          <w:bCs w:val="0"/>
          <w:sz w:val="20"/>
        </w:rPr>
      </w:pPr>
      <w:r w:rsidRPr="00DF2A91">
        <w:rPr>
          <w:rFonts w:ascii="Arial" w:hAnsi="Arial" w:cs="Arial"/>
          <w:b w:val="0"/>
          <w:bCs w:val="0"/>
          <w:sz w:val="20"/>
        </w:rPr>
        <w:t>The Valuation Actuary’s Opinion includes a statement that the assets backing the liabilities make adequate provision for the company’s liabilities. That is, the Actuary must look beyond the statutory valuation formulas and satisfy himself that the cash flows generated by the assets will probably be sufficient to discharge the liabilities. Prior to the AVR and IMR, there were many circumstances under which the statutory formula valuation methods gave rise to inappropriate results.</w:t>
      </w:r>
      <w:r w:rsidR="006A1CC1" w:rsidRPr="00DF2A91">
        <w:rPr>
          <w:rFonts w:ascii="Arial" w:hAnsi="Arial" w:cs="Arial"/>
          <w:b w:val="0"/>
          <w:bCs w:val="0"/>
          <w:sz w:val="20"/>
        </w:rPr>
        <w:t xml:space="preserve"> </w:t>
      </w:r>
      <w:r w:rsidRPr="00DF2A91">
        <w:rPr>
          <w:rFonts w:ascii="Arial" w:hAnsi="Arial" w:cs="Arial"/>
          <w:b w:val="0"/>
          <w:bCs w:val="0"/>
          <w:sz w:val="20"/>
        </w:rPr>
        <w:t xml:space="preserve">Some examples were: </w:t>
      </w:r>
    </w:p>
    <w:p w14:paraId="1EE3BB33" w14:textId="77777777" w:rsidR="006A1CC1" w:rsidRPr="00DF2A91" w:rsidRDefault="006A1CC1" w:rsidP="00F03DC4">
      <w:pPr>
        <w:pStyle w:val="BodyText2"/>
        <w:ind w:left="720"/>
        <w:rPr>
          <w:rFonts w:ascii="Arial" w:hAnsi="Arial" w:cs="Arial"/>
          <w:b w:val="0"/>
          <w:bCs w:val="0"/>
          <w:sz w:val="20"/>
        </w:rPr>
      </w:pPr>
    </w:p>
    <w:p w14:paraId="66C0F435" w14:textId="47402FE2" w:rsidR="006A1CC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 xml:space="preserve">Changes in values due to interest rate swings were recognized inconsistently on the asset and liability sides of the balance sheet. Liabilities are valued using interest rates fixed at issue while some assets may be valued using current interest rates through trading activity. </w:t>
      </w:r>
    </w:p>
    <w:p w14:paraId="37C2421B" w14:textId="77777777" w:rsidR="006A1CC1" w:rsidRPr="00DF2A91" w:rsidRDefault="006A1CC1" w:rsidP="00F03DC4">
      <w:pPr>
        <w:pStyle w:val="BodyText2"/>
        <w:ind w:left="720"/>
        <w:rPr>
          <w:rFonts w:ascii="Arial" w:hAnsi="Arial" w:cs="Arial"/>
          <w:b w:val="0"/>
          <w:bCs w:val="0"/>
          <w:sz w:val="20"/>
        </w:rPr>
      </w:pPr>
    </w:p>
    <w:p w14:paraId="695FC96B" w14:textId="57CEE834" w:rsidR="00DF2A9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When the assets are poorly matched to the liabilities, a significant adverse swing in the interest rates will reduce financial strength and could lead to insolvency even though the balance sheet value of the assets exceeds the balance sheet value of the liabilities. Using long term assets to back demand liabilities is dangerous if there is a significant upswing in interest rates. In addition, individual insurance premiums are received and invested for many years after the issue date on which the reserve interest rate is determined, creating a potential for inadequate yields that is not reflected in standard accounting procedures.</w:t>
      </w:r>
    </w:p>
    <w:p w14:paraId="0B9DC9B7" w14:textId="77777777" w:rsidR="00DF2A91" w:rsidRPr="00DF2A91" w:rsidRDefault="00DF2A91" w:rsidP="00F03DC4">
      <w:pPr>
        <w:pStyle w:val="BodyText2"/>
        <w:ind w:left="720"/>
        <w:rPr>
          <w:rFonts w:ascii="Arial" w:hAnsi="Arial" w:cs="Arial"/>
          <w:b w:val="0"/>
          <w:bCs w:val="0"/>
          <w:sz w:val="20"/>
        </w:rPr>
      </w:pPr>
    </w:p>
    <w:p w14:paraId="0369BCDE" w14:textId="251F8624" w:rsidR="00DF2A91" w:rsidRPr="00DF2A91" w:rsidRDefault="000D6CB3">
      <w:pPr>
        <w:pStyle w:val="BodyText2"/>
        <w:numPr>
          <w:ilvl w:val="0"/>
          <w:numId w:val="10"/>
        </w:numPr>
        <w:rPr>
          <w:rFonts w:ascii="Arial" w:hAnsi="Arial" w:cs="Arial"/>
          <w:b w:val="0"/>
          <w:bCs w:val="0"/>
          <w:sz w:val="20"/>
        </w:rPr>
      </w:pPr>
      <w:r w:rsidRPr="00DF2A91">
        <w:rPr>
          <w:rFonts w:ascii="Arial" w:hAnsi="Arial" w:cs="Arial"/>
          <w:b w:val="0"/>
          <w:bCs w:val="0"/>
          <w:sz w:val="20"/>
        </w:rPr>
        <w:t xml:space="preserve">The potential for future asset losses was not well reflected in the balance sheet or earnings statement. </w:t>
      </w:r>
    </w:p>
    <w:p w14:paraId="4CE16E44" w14:textId="77777777" w:rsidR="00DF2A91" w:rsidRPr="00DF2A91" w:rsidRDefault="00DF2A91" w:rsidP="00F03DC4">
      <w:pPr>
        <w:pStyle w:val="BodyText2"/>
        <w:ind w:left="720"/>
        <w:rPr>
          <w:rFonts w:ascii="Arial" w:hAnsi="Arial" w:cs="Arial"/>
          <w:b w:val="0"/>
          <w:bCs w:val="0"/>
          <w:sz w:val="20"/>
        </w:rPr>
      </w:pPr>
    </w:p>
    <w:p w14:paraId="34ADBAC8" w14:textId="0A7F3358" w:rsidR="00FD2B4F" w:rsidRPr="00DF2A91" w:rsidRDefault="000D6CB3" w:rsidP="00F03DC4">
      <w:pPr>
        <w:pStyle w:val="BodyText2"/>
        <w:ind w:left="720"/>
        <w:rPr>
          <w:rFonts w:ascii="Arial" w:hAnsi="Arial" w:cs="Arial"/>
          <w:b w:val="0"/>
          <w:bCs w:val="0"/>
          <w:sz w:val="20"/>
        </w:rPr>
      </w:pPr>
      <w:r w:rsidRPr="00DF2A91">
        <w:rPr>
          <w:rFonts w:ascii="Arial" w:hAnsi="Arial" w:cs="Arial"/>
          <w:b w:val="0"/>
          <w:bCs w:val="0"/>
          <w:sz w:val="20"/>
        </w:rPr>
        <w:t>It is desirable that the valuation of the assets and liabilities be made as consistent as possible to 1) minimize the instances where, in order to render a clean opinion, the actuary must establish extra reserves due to interest rate gains or potential for defaults and 2) increase the likelihood that assets supporting liabilities are sufficient even in the absence of an Actuarial Opinion. The development of an AVR and IMR will correct many of these deficiencies in consistency.</w:t>
      </w:r>
    </w:p>
    <w:p w14:paraId="55089CB7" w14:textId="77777777" w:rsidR="00225297" w:rsidRDefault="00225297" w:rsidP="00F03DC4">
      <w:pPr>
        <w:pStyle w:val="BodyText2"/>
        <w:ind w:left="720"/>
        <w:rPr>
          <w:rFonts w:ascii="Arial" w:hAnsi="Arial" w:cs="Arial"/>
          <w:b w:val="0"/>
          <w:bCs w:val="0"/>
          <w:sz w:val="20"/>
        </w:rPr>
      </w:pPr>
    </w:p>
    <w:p w14:paraId="13F94B2F" w14:textId="77777777" w:rsidR="00225297" w:rsidRDefault="00225297" w:rsidP="00F03DC4">
      <w:pPr>
        <w:pStyle w:val="BodyText2"/>
        <w:ind w:left="720"/>
        <w:rPr>
          <w:rFonts w:ascii="Arial" w:hAnsi="Arial" w:cs="Arial"/>
          <w:b w:val="0"/>
          <w:bCs w:val="0"/>
          <w:sz w:val="20"/>
        </w:rPr>
      </w:pPr>
      <w:r w:rsidRPr="00225297">
        <w:rPr>
          <w:rFonts w:ascii="Arial" w:hAnsi="Arial" w:cs="Arial"/>
          <w:b w:val="0"/>
          <w:bCs w:val="0"/>
          <w:sz w:val="20"/>
          <w:u w:val="single"/>
        </w:rPr>
        <w:lastRenderedPageBreak/>
        <w:t>XII. AVR AND IMR BUILT ON AND COMPLEMENT EXISTING VALUATION PRACTICES</w:t>
      </w:r>
      <w:r>
        <w:rPr>
          <w:rFonts w:ascii="Arial" w:hAnsi="Arial" w:cs="Arial"/>
          <w:b w:val="0"/>
          <w:bCs w:val="0"/>
          <w:sz w:val="20"/>
          <w:u w:val="single"/>
        </w:rPr>
        <w:t>:</w:t>
      </w:r>
      <w:r w:rsidRPr="00225297">
        <w:rPr>
          <w:rFonts w:ascii="Arial" w:hAnsi="Arial" w:cs="Arial"/>
          <w:b w:val="0"/>
          <w:bCs w:val="0"/>
          <w:sz w:val="20"/>
        </w:rPr>
        <w:t xml:space="preserve"> The existing framework of asset and liability valuation practices, as augmented by the NAIC Model Standard Valuation Law, played a key role in designing the AVR and IMR, including: </w:t>
      </w:r>
    </w:p>
    <w:p w14:paraId="12B63834" w14:textId="77777777" w:rsidR="00225297" w:rsidRDefault="00225297" w:rsidP="00F03DC4">
      <w:pPr>
        <w:pStyle w:val="BodyText2"/>
        <w:ind w:left="720"/>
        <w:rPr>
          <w:rFonts w:ascii="Arial" w:hAnsi="Arial" w:cs="Arial"/>
          <w:b w:val="0"/>
          <w:bCs w:val="0"/>
          <w:sz w:val="20"/>
        </w:rPr>
      </w:pPr>
    </w:p>
    <w:p w14:paraId="7E9ECF50" w14:textId="77777777" w:rsidR="00225297"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A. Reserve valuation standards should contain a provision for future losses. Although it is well understood that in cash flow testing provision must be made for future asset losses, it may not be as well understood that historically the minimum valuation standards implicitly contained such a provision. </w:t>
      </w:r>
    </w:p>
    <w:p w14:paraId="44F15ECB" w14:textId="77777777" w:rsidR="00225297" w:rsidRDefault="00225297" w:rsidP="00F03DC4">
      <w:pPr>
        <w:pStyle w:val="BodyText2"/>
        <w:ind w:left="720"/>
        <w:rPr>
          <w:rFonts w:ascii="Arial" w:hAnsi="Arial" w:cs="Arial"/>
          <w:b w:val="0"/>
          <w:bCs w:val="0"/>
          <w:sz w:val="20"/>
        </w:rPr>
      </w:pPr>
    </w:p>
    <w:p w14:paraId="06CD1189" w14:textId="77777777" w:rsidR="00EF417A"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B. Interest assumptions in reserve valuation generally recognize the potential for mismatch. Dynamic valuation rates are lower for ordinary life than for guaranteed investment contracts, for example, because the mismatch is almost inevitable on the former. In addition, it is required in other regulations, and in the NAIC Model Standard Valuation Law, that cash flow testing should be used and may result in the adoption of lower than the dynamic valuation rates if mismatch exists. Hence, with the one exception noted in section (c), there is no need for the IMR reserves to make provision for the risk of mismatch. </w:t>
      </w:r>
    </w:p>
    <w:p w14:paraId="52E9CE7E" w14:textId="77777777" w:rsidR="00EF417A" w:rsidRDefault="00EF417A" w:rsidP="00F03DC4">
      <w:pPr>
        <w:pStyle w:val="BodyText2"/>
        <w:ind w:left="720"/>
        <w:rPr>
          <w:rFonts w:ascii="Arial" w:hAnsi="Arial" w:cs="Arial"/>
          <w:b w:val="0"/>
          <w:bCs w:val="0"/>
          <w:sz w:val="20"/>
        </w:rPr>
      </w:pPr>
    </w:p>
    <w:p w14:paraId="17FB78D5" w14:textId="77777777" w:rsidR="00EF417A" w:rsidRDefault="00225297" w:rsidP="00F03DC4">
      <w:pPr>
        <w:pStyle w:val="BodyText2"/>
        <w:ind w:left="720"/>
        <w:rPr>
          <w:rFonts w:ascii="Arial" w:hAnsi="Arial" w:cs="Arial"/>
          <w:b w:val="0"/>
          <w:bCs w:val="0"/>
          <w:sz w:val="20"/>
        </w:rPr>
      </w:pPr>
      <w:r w:rsidRPr="00225297">
        <w:rPr>
          <w:rFonts w:ascii="Arial" w:hAnsi="Arial" w:cs="Arial"/>
          <w:b w:val="0"/>
          <w:bCs w:val="0"/>
          <w:sz w:val="20"/>
        </w:rPr>
        <w:t xml:space="preserve">C. Asset valuations for fixed interest securities usually reflect the outlook at the time of purchase of an asset. In particular, bond amortization tends to reflect the yields available at time of purchase and the expected cash flow. Liabilities are established at the same time, and the interest rate assumptions on them are those appropriate to the outlook at that time. </w:t>
      </w:r>
      <w:r w:rsidRPr="00A358C9">
        <w:rPr>
          <w:rFonts w:ascii="Arial" w:hAnsi="Arial" w:cs="Arial"/>
          <w:sz w:val="20"/>
        </w:rPr>
        <w:t>But if securities are traded, a new amortization schedule is established that may be based on an entirely different yield environment, which may not be consistent with the liabilities that have been established. Using the IMR to absorb trading gains is desirable and appropriate to eliminate this subsequently created mismatch.</w:t>
      </w:r>
      <w:r w:rsidRPr="00225297">
        <w:rPr>
          <w:rFonts w:ascii="Arial" w:hAnsi="Arial" w:cs="Arial"/>
          <w:b w:val="0"/>
          <w:bCs w:val="0"/>
          <w:sz w:val="20"/>
        </w:rPr>
        <w:t xml:space="preserve"> </w:t>
      </w:r>
    </w:p>
    <w:p w14:paraId="21FC51E6" w14:textId="77777777" w:rsidR="00EF417A" w:rsidRDefault="00EF417A" w:rsidP="00F03DC4">
      <w:pPr>
        <w:pStyle w:val="BodyText2"/>
        <w:ind w:left="720"/>
        <w:rPr>
          <w:rFonts w:ascii="Arial" w:hAnsi="Arial" w:cs="Arial"/>
          <w:b w:val="0"/>
          <w:bCs w:val="0"/>
          <w:sz w:val="20"/>
        </w:rPr>
      </w:pPr>
    </w:p>
    <w:p w14:paraId="799C3C76" w14:textId="25575248" w:rsidR="00225297" w:rsidRDefault="00225297" w:rsidP="00F03DC4">
      <w:pPr>
        <w:pStyle w:val="BodyText2"/>
        <w:ind w:left="720"/>
        <w:rPr>
          <w:rFonts w:ascii="Arial" w:hAnsi="Arial" w:cs="Arial"/>
          <w:b w:val="0"/>
          <w:bCs w:val="0"/>
          <w:sz w:val="20"/>
        </w:rPr>
      </w:pPr>
      <w:r w:rsidRPr="00225297">
        <w:rPr>
          <w:rFonts w:ascii="Arial" w:hAnsi="Arial" w:cs="Arial"/>
          <w:b w:val="0"/>
          <w:bCs w:val="0"/>
          <w:sz w:val="20"/>
        </w:rPr>
        <w:t>D. Equities present special valuation problems. Common stocks are valued at market rather than amortized value; hence they require different treatment. Real estate and similar investments, although usually valued at depreciated value, require special consideration because of the great likelihood of major changes in yield and yield expectation after purchase.</w:t>
      </w:r>
    </w:p>
    <w:p w14:paraId="7B13ECEA" w14:textId="77777777" w:rsidR="00876671" w:rsidRDefault="00876671" w:rsidP="00F03DC4">
      <w:pPr>
        <w:pStyle w:val="BodyText2"/>
        <w:ind w:left="720"/>
        <w:rPr>
          <w:rFonts w:ascii="Arial" w:hAnsi="Arial" w:cs="Arial"/>
          <w:b w:val="0"/>
          <w:bCs w:val="0"/>
          <w:sz w:val="20"/>
        </w:rPr>
      </w:pPr>
    </w:p>
    <w:p w14:paraId="2969BC57" w14:textId="77777777" w:rsidR="00876671" w:rsidRPr="00F22B6F" w:rsidRDefault="00876671" w:rsidP="00F03DC4">
      <w:pPr>
        <w:pStyle w:val="BodyText2"/>
        <w:ind w:left="720"/>
        <w:rPr>
          <w:rFonts w:ascii="Arial" w:hAnsi="Arial" w:cs="Arial"/>
          <w:b w:val="0"/>
          <w:bCs w:val="0"/>
          <w:sz w:val="20"/>
        </w:rPr>
      </w:pPr>
      <w:r w:rsidRPr="00F22B6F">
        <w:rPr>
          <w:rFonts w:ascii="Arial" w:hAnsi="Arial" w:cs="Arial"/>
          <w:b w:val="0"/>
          <w:bCs w:val="0"/>
          <w:sz w:val="20"/>
          <w:u w:val="single"/>
        </w:rPr>
        <w:t>XXII. RESERVE MAXIMUM AND MINIMUM LEVELS:</w:t>
      </w:r>
      <w:r w:rsidRPr="00F22B6F">
        <w:rPr>
          <w:rFonts w:ascii="Arial" w:hAnsi="Arial" w:cs="Arial"/>
          <w:b w:val="0"/>
          <w:bCs w:val="0"/>
          <w:sz w:val="20"/>
        </w:rPr>
        <w:t xml:space="preserve"> No maximum is placed on the Interest Maintenance Reserve. The aggregate minimum value for the IMR for the Company is zero. The IMR may be negative for any Line of Business as long as the aggregate for all lines equals zero. Provision is made in the accounting rules that if an aggregate negative IMR is developed in the absence of the zero minimum, that negative value is carried over to subsequent years. </w:t>
      </w:r>
    </w:p>
    <w:p w14:paraId="213C0EC8" w14:textId="77777777" w:rsidR="00876671" w:rsidRPr="00F22B6F" w:rsidRDefault="00876671" w:rsidP="00F03DC4">
      <w:pPr>
        <w:pStyle w:val="BodyText2"/>
        <w:ind w:left="720"/>
        <w:rPr>
          <w:rFonts w:ascii="Arial" w:hAnsi="Arial" w:cs="Arial"/>
          <w:b w:val="0"/>
          <w:bCs w:val="0"/>
          <w:sz w:val="20"/>
        </w:rPr>
      </w:pPr>
    </w:p>
    <w:p w14:paraId="35CDF303" w14:textId="586B2374" w:rsidR="00876671" w:rsidRPr="00300EA4" w:rsidRDefault="00876671" w:rsidP="00F03DC4">
      <w:pPr>
        <w:pStyle w:val="BodyText2"/>
        <w:ind w:left="720"/>
        <w:rPr>
          <w:rFonts w:ascii="Arial" w:hAnsi="Arial" w:cs="Arial"/>
          <w:sz w:val="20"/>
        </w:rPr>
      </w:pPr>
      <w:r w:rsidRPr="00300EA4">
        <w:rPr>
          <w:rFonts w:ascii="Arial" w:hAnsi="Arial" w:cs="Arial"/>
          <w:sz w:val="20"/>
        </w:rPr>
        <w:t xml:space="preserve">The basic rationale for the IMR would conclude that neither a maximum nor a minimum is appropriate. If the liability values </w:t>
      </w:r>
      <w:proofErr w:type="gramStart"/>
      <w:r w:rsidRPr="00300EA4">
        <w:rPr>
          <w:rFonts w:ascii="Arial" w:hAnsi="Arial" w:cs="Arial"/>
          <w:sz w:val="20"/>
        </w:rPr>
        <w:t>are based on the assumption</w:t>
      </w:r>
      <w:proofErr w:type="gramEnd"/>
      <w:r w:rsidRPr="00300EA4">
        <w:rPr>
          <w:rFonts w:ascii="Arial" w:hAnsi="Arial" w:cs="Arial"/>
          <w:sz w:val="20"/>
        </w:rPr>
        <w:t xml:space="preserve"> that the assets were purchased at about the same time as the liabilities were established, then there should be no bounds to the reserve which corrects for departures from that assumption; if a company has to set up a large reserve because of trading gains, it is in no worse position than if it had held the original assets. As for negative values of the IMR, the same rationale applies. However, the concept of a negative reserve in the aggregate has not been adopted.</w:t>
      </w:r>
    </w:p>
    <w:p w14:paraId="114A4118" w14:textId="77777777" w:rsidR="00E6662D" w:rsidRPr="00F22B6F" w:rsidRDefault="00E6662D" w:rsidP="00F03DC4">
      <w:pPr>
        <w:pStyle w:val="BodyText2"/>
        <w:ind w:left="720"/>
        <w:rPr>
          <w:rFonts w:ascii="Arial" w:hAnsi="Arial" w:cs="Arial"/>
          <w:b w:val="0"/>
          <w:bCs w:val="0"/>
          <w:sz w:val="20"/>
        </w:rPr>
      </w:pPr>
    </w:p>
    <w:p w14:paraId="7D446FD9" w14:textId="68D0C99C" w:rsidR="00E6662D" w:rsidRPr="00811EB7" w:rsidRDefault="00E6662D" w:rsidP="00F03DC4">
      <w:pPr>
        <w:pStyle w:val="BodyText2"/>
        <w:ind w:left="720"/>
        <w:rPr>
          <w:rFonts w:ascii="Arial" w:hAnsi="Arial" w:cs="Arial"/>
          <w:b w:val="0"/>
          <w:bCs w:val="0"/>
          <w:sz w:val="20"/>
        </w:rPr>
      </w:pPr>
      <w:r w:rsidRPr="00811EB7">
        <w:rPr>
          <w:rFonts w:ascii="Arial" w:hAnsi="Arial" w:cs="Arial"/>
          <w:b w:val="0"/>
          <w:bCs w:val="0"/>
          <w:sz w:val="20"/>
          <w:u w:val="single"/>
        </w:rPr>
        <w:t>XXVIII. EXCESSIVE WITHDRAWALS</w:t>
      </w:r>
      <w:r w:rsidRPr="00811EB7">
        <w:rPr>
          <w:rFonts w:ascii="Arial" w:hAnsi="Arial" w:cs="Arial"/>
          <w:b w:val="0"/>
          <w:bCs w:val="0"/>
          <w:sz w:val="20"/>
        </w:rPr>
        <w:t xml:space="preserve">: </w:t>
      </w:r>
    </w:p>
    <w:p w14:paraId="6CCA512F" w14:textId="77777777" w:rsidR="00E6662D" w:rsidRPr="00F22B6F" w:rsidRDefault="00E6662D" w:rsidP="00F03DC4">
      <w:pPr>
        <w:pStyle w:val="BodyText2"/>
        <w:ind w:left="720"/>
        <w:rPr>
          <w:rFonts w:ascii="Arial" w:hAnsi="Arial" w:cs="Arial"/>
          <w:b w:val="0"/>
          <w:bCs w:val="0"/>
          <w:sz w:val="20"/>
        </w:rPr>
      </w:pPr>
    </w:p>
    <w:p w14:paraId="20D16B5B" w14:textId="44527488" w:rsidR="00256E80" w:rsidRPr="00F22B6F" w:rsidRDefault="00E6662D">
      <w:pPr>
        <w:pStyle w:val="BodyText2"/>
        <w:numPr>
          <w:ilvl w:val="0"/>
          <w:numId w:val="11"/>
        </w:numPr>
        <w:rPr>
          <w:rFonts w:ascii="Arial" w:hAnsi="Arial" w:cs="Arial"/>
          <w:b w:val="0"/>
          <w:bCs w:val="0"/>
          <w:sz w:val="20"/>
        </w:rPr>
      </w:pPr>
      <w:r w:rsidRPr="00F22B6F">
        <w:rPr>
          <w:rFonts w:ascii="Arial" w:hAnsi="Arial" w:cs="Arial"/>
          <w:b w:val="0"/>
          <w:bCs w:val="0"/>
          <w:sz w:val="20"/>
        </w:rPr>
        <w:t>Background</w:t>
      </w:r>
      <w:r w:rsidR="00CF6365" w:rsidRPr="00F22B6F">
        <w:rPr>
          <w:rFonts w:ascii="Arial" w:hAnsi="Arial" w:cs="Arial"/>
          <w:b w:val="0"/>
          <w:bCs w:val="0"/>
          <w:sz w:val="20"/>
        </w:rPr>
        <w:t>:</w:t>
      </w:r>
      <w:r w:rsidRPr="00F22B6F">
        <w:rPr>
          <w:rFonts w:ascii="Arial" w:hAnsi="Arial" w:cs="Arial"/>
          <w:b w:val="0"/>
          <w:bCs w:val="0"/>
          <w:sz w:val="20"/>
        </w:rPr>
        <w:t xml:space="preserve"> Major book-value withdrawals or increases in policy loans can occur at a time of elevated interest rates. If these withdrawals or increases are far in excess of the withdrawals provided for in the company’s reserving and cash flow testing, and </w:t>
      </w:r>
      <w:r w:rsidRPr="003E0392">
        <w:rPr>
          <w:rFonts w:ascii="Arial" w:hAnsi="Arial" w:cs="Arial"/>
          <w:sz w:val="20"/>
        </w:rPr>
        <w:t>if asset sales at this point are, in effect, forced sales to fund liabilities that are no longer on the books, the allocation of a negative amount to the IMR is not correct.</w:t>
      </w:r>
      <w:r w:rsidRPr="00F22B6F">
        <w:rPr>
          <w:rFonts w:ascii="Arial" w:hAnsi="Arial" w:cs="Arial"/>
          <w:b w:val="0"/>
          <w:bCs w:val="0"/>
          <w:sz w:val="20"/>
        </w:rPr>
        <w:t xml:space="preserve"> </w:t>
      </w:r>
    </w:p>
    <w:p w14:paraId="7E455172" w14:textId="77777777" w:rsidR="00CF6365" w:rsidRPr="00F22B6F" w:rsidRDefault="00CF6365" w:rsidP="00CF6365">
      <w:pPr>
        <w:pStyle w:val="BodyText2"/>
        <w:ind w:left="1080"/>
        <w:rPr>
          <w:rFonts w:ascii="Arial" w:hAnsi="Arial" w:cs="Arial"/>
          <w:b w:val="0"/>
          <w:bCs w:val="0"/>
          <w:sz w:val="20"/>
        </w:rPr>
      </w:pPr>
    </w:p>
    <w:p w14:paraId="733ADD5A" w14:textId="77777777" w:rsidR="00CF6365"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t xml:space="preserve">A company may also experience a “run on the bank” due to adverse publicity. This could occur even during a period of low interest rates, and the sale of assets to meet a run would conceivably produce gains. It is appropriate to register the gains immediately. </w:t>
      </w:r>
    </w:p>
    <w:p w14:paraId="322CAA99" w14:textId="77777777" w:rsidR="00CF6365" w:rsidRPr="00F22B6F" w:rsidRDefault="00CF6365" w:rsidP="00CF6365">
      <w:pPr>
        <w:pStyle w:val="BodyText2"/>
        <w:ind w:left="1080"/>
        <w:rPr>
          <w:rFonts w:ascii="Arial" w:hAnsi="Arial" w:cs="Arial"/>
          <w:b w:val="0"/>
          <w:bCs w:val="0"/>
          <w:sz w:val="20"/>
        </w:rPr>
      </w:pPr>
    </w:p>
    <w:p w14:paraId="7987B96E" w14:textId="77777777" w:rsidR="00CF6365"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t xml:space="preserve">If the withdrawals were scheduled payments under a GIC, then there is a presumption that any gains or losses that might occur at the time of withdrawal should be added to the IMR since the gains or losses would be spurious if the company has followed a policy of matching its assets to its liabilities. </w:t>
      </w:r>
    </w:p>
    <w:p w14:paraId="43748817" w14:textId="66E1B941" w:rsidR="00E6662D" w:rsidRPr="00F22B6F" w:rsidRDefault="00E6662D" w:rsidP="00CF6365">
      <w:pPr>
        <w:pStyle w:val="BodyText2"/>
        <w:ind w:left="1080"/>
        <w:rPr>
          <w:rFonts w:ascii="Arial" w:hAnsi="Arial" w:cs="Arial"/>
          <w:b w:val="0"/>
          <w:bCs w:val="0"/>
          <w:sz w:val="20"/>
        </w:rPr>
      </w:pPr>
      <w:r w:rsidRPr="00F22B6F">
        <w:rPr>
          <w:rFonts w:ascii="Arial" w:hAnsi="Arial" w:cs="Arial"/>
          <w:b w:val="0"/>
          <w:bCs w:val="0"/>
          <w:sz w:val="20"/>
        </w:rPr>
        <w:lastRenderedPageBreak/>
        <w:t>Note that many of the situations where an upsurge in withdrawal activity generates real losses arise when a company has a severe mismatch between its assets and its liabilities. Such losses can be present even in the absence of any realized gains or losses. The primary protection as to the adequacy of reserves in these circumstances is the requirement for an actuary’s opinion.</w:t>
      </w:r>
    </w:p>
    <w:p w14:paraId="2807A953" w14:textId="77777777" w:rsidR="00B3538F" w:rsidRPr="00F22B6F" w:rsidRDefault="00B3538F" w:rsidP="00CF6365">
      <w:pPr>
        <w:pStyle w:val="BodyText2"/>
        <w:ind w:left="1080"/>
        <w:rPr>
          <w:rFonts w:ascii="Arial" w:hAnsi="Arial" w:cs="Arial"/>
          <w:b w:val="0"/>
          <w:bCs w:val="0"/>
          <w:sz w:val="20"/>
        </w:rPr>
      </w:pPr>
    </w:p>
    <w:p w14:paraId="5F91287F" w14:textId="09E3864E" w:rsidR="00B3538F" w:rsidRPr="00F22B6F" w:rsidRDefault="00B3538F">
      <w:pPr>
        <w:pStyle w:val="BodyText2"/>
        <w:numPr>
          <w:ilvl w:val="0"/>
          <w:numId w:val="11"/>
        </w:numPr>
        <w:rPr>
          <w:rFonts w:ascii="Arial" w:hAnsi="Arial" w:cs="Arial"/>
          <w:b w:val="0"/>
          <w:bCs w:val="0"/>
          <w:sz w:val="20"/>
        </w:rPr>
      </w:pPr>
      <w:r w:rsidRPr="00F22B6F">
        <w:rPr>
          <w:rFonts w:ascii="Arial" w:hAnsi="Arial" w:cs="Arial"/>
          <w:b w:val="0"/>
          <w:bCs w:val="0"/>
          <w:sz w:val="20"/>
        </w:rPr>
        <w:t>IMR Exclusions</w:t>
      </w:r>
      <w:r w:rsidR="00181BAC" w:rsidRPr="00F22B6F">
        <w:rPr>
          <w:rFonts w:ascii="Arial" w:hAnsi="Arial" w:cs="Arial"/>
          <w:b w:val="0"/>
          <w:bCs w:val="0"/>
          <w:sz w:val="20"/>
        </w:rPr>
        <w:t xml:space="preserve">: </w:t>
      </w:r>
      <w:r w:rsidRPr="00F22B6F">
        <w:rPr>
          <w:rFonts w:ascii="Arial" w:hAnsi="Arial" w:cs="Arial"/>
          <w:b w:val="0"/>
          <w:bCs w:val="0"/>
          <w:sz w:val="20"/>
        </w:rPr>
        <w:t xml:space="preserve"> All realized interest-related gains or losses which arise from the sale of investments required to meet “Excess Withdrawal Activity” as defined below will be excluded from the IMR and will be reflected in net income.</w:t>
      </w:r>
    </w:p>
    <w:p w14:paraId="14B0E62E" w14:textId="77777777" w:rsidR="00C077E7" w:rsidRPr="00F22B6F" w:rsidRDefault="00C077E7" w:rsidP="00C077E7">
      <w:pPr>
        <w:pStyle w:val="BodyText2"/>
        <w:ind w:left="1080"/>
        <w:rPr>
          <w:rFonts w:ascii="Arial" w:hAnsi="Arial" w:cs="Arial"/>
          <w:b w:val="0"/>
          <w:bCs w:val="0"/>
          <w:sz w:val="20"/>
        </w:rPr>
      </w:pPr>
    </w:p>
    <w:p w14:paraId="0B9C17E7" w14:textId="77777777" w:rsidR="008E3CAD" w:rsidRPr="00F22B6F" w:rsidRDefault="008E3CAD" w:rsidP="008E3CAD">
      <w:pPr>
        <w:pStyle w:val="BodyText2"/>
        <w:ind w:left="720"/>
        <w:rPr>
          <w:rFonts w:ascii="Arial" w:hAnsi="Arial" w:cs="Arial"/>
          <w:b w:val="0"/>
          <w:bCs w:val="0"/>
          <w:sz w:val="20"/>
        </w:rPr>
      </w:pPr>
      <w:r w:rsidRPr="00F22B6F">
        <w:rPr>
          <w:rFonts w:ascii="Arial" w:hAnsi="Arial" w:cs="Arial"/>
          <w:b w:val="0"/>
          <w:bCs w:val="0"/>
          <w:sz w:val="20"/>
        </w:rPr>
        <w:t xml:space="preserve">STANDARDS FOR ACTUARIAL RESERVES WITH AN IMR AND AN AVR </w:t>
      </w:r>
    </w:p>
    <w:p w14:paraId="038B1F80" w14:textId="77777777" w:rsidR="008E3CAD" w:rsidRPr="00F22B6F" w:rsidRDefault="008E3CAD" w:rsidP="008E3CAD">
      <w:pPr>
        <w:pStyle w:val="BodyText2"/>
        <w:ind w:left="720"/>
        <w:rPr>
          <w:rFonts w:ascii="Arial" w:hAnsi="Arial" w:cs="Arial"/>
          <w:b w:val="0"/>
          <w:bCs w:val="0"/>
          <w:sz w:val="20"/>
        </w:rPr>
      </w:pPr>
    </w:p>
    <w:p w14:paraId="3576F82D" w14:textId="77777777" w:rsidR="008E3CAD" w:rsidRDefault="008E3CAD" w:rsidP="008E3CAD">
      <w:pPr>
        <w:pStyle w:val="BodyText2"/>
        <w:ind w:left="720"/>
        <w:rPr>
          <w:rFonts w:ascii="Arial" w:hAnsi="Arial" w:cs="Arial"/>
          <w:b w:val="0"/>
          <w:bCs w:val="0"/>
          <w:sz w:val="20"/>
        </w:rPr>
      </w:pPr>
      <w:r w:rsidRPr="00F22B6F">
        <w:rPr>
          <w:rFonts w:ascii="Arial" w:hAnsi="Arial" w:cs="Arial"/>
          <w:b w:val="0"/>
          <w:bCs w:val="0"/>
          <w:sz w:val="20"/>
          <w:u w:val="single"/>
        </w:rPr>
        <w:t>LXX. IMR RESERVE STANDARD</w:t>
      </w:r>
      <w:r w:rsidRPr="00F22B6F">
        <w:rPr>
          <w:rFonts w:ascii="Arial" w:hAnsi="Arial" w:cs="Arial"/>
          <w:b w:val="0"/>
          <w:bCs w:val="0"/>
          <w:sz w:val="20"/>
        </w:rPr>
        <w:t xml:space="preserve"> The Interest Maintenance Reserve is a true actuarial reserve, and actuaries should use the assets supporting the Interest Maintenance Reserve when opining that the assets supporting the company’s reserves make adequate provision for the company’s obligations. </w:t>
      </w:r>
      <w:r w:rsidRPr="00F11AF1">
        <w:rPr>
          <w:rFonts w:ascii="Arial" w:hAnsi="Arial" w:cs="Arial"/>
          <w:sz w:val="20"/>
        </w:rPr>
        <w:t>In the case of a negative IMR, the actuarial opinion should include an explicit statement that the impact of the negative IMR on reserve adequacy has been considered and that the reserves after deduction of the negative IMR still make adequate provision for the liabilities.</w:t>
      </w:r>
      <w:r w:rsidRPr="008E3CAD">
        <w:rPr>
          <w:rFonts w:ascii="Arial" w:hAnsi="Arial" w:cs="Arial"/>
          <w:b w:val="0"/>
          <w:bCs w:val="0"/>
          <w:sz w:val="20"/>
        </w:rPr>
        <w:t xml:space="preserve"> </w:t>
      </w:r>
    </w:p>
    <w:p w14:paraId="44BFD6CA" w14:textId="77777777" w:rsidR="00F11AF1" w:rsidRDefault="00F11AF1" w:rsidP="008E3CAD">
      <w:pPr>
        <w:pStyle w:val="BodyText2"/>
        <w:ind w:left="720"/>
        <w:rPr>
          <w:rFonts w:ascii="Arial" w:hAnsi="Arial" w:cs="Arial"/>
          <w:b w:val="0"/>
          <w:bCs w:val="0"/>
          <w:sz w:val="20"/>
        </w:rPr>
      </w:pPr>
    </w:p>
    <w:p w14:paraId="44C82E4B" w14:textId="77777777" w:rsidR="00675F6F" w:rsidRDefault="008E3CAD" w:rsidP="008E3CAD">
      <w:pPr>
        <w:pStyle w:val="BodyText2"/>
        <w:ind w:left="720"/>
        <w:rPr>
          <w:rFonts w:ascii="Arial" w:hAnsi="Arial" w:cs="Arial"/>
          <w:b w:val="0"/>
          <w:bCs w:val="0"/>
          <w:sz w:val="20"/>
        </w:rPr>
      </w:pPr>
      <w:r w:rsidRPr="008E3CAD">
        <w:rPr>
          <w:rFonts w:ascii="Arial" w:hAnsi="Arial" w:cs="Arial"/>
          <w:b w:val="0"/>
          <w:bCs w:val="0"/>
          <w:sz w:val="20"/>
          <w:u w:val="single"/>
        </w:rPr>
        <w:t>LXXI. GENERAL EXPLANATION</w:t>
      </w:r>
      <w:r w:rsidRPr="008E3CAD">
        <w:rPr>
          <w:rFonts w:ascii="Arial" w:hAnsi="Arial" w:cs="Arial"/>
          <w:b w:val="0"/>
          <w:bCs w:val="0"/>
          <w:sz w:val="20"/>
        </w:rPr>
        <w:t xml:space="preserve"> The IMR is designed to work with minimum statutory reserves based on formulas contained in laws or regulations. Where, for example, the valuation rate is based on the interest rate conditions prevailing in the year of deposit, the assets supporting the liabilities will be consistent with the liability assumptions. Disposal of the assets during a period of declining interest rates will produce interest-related gains, but these gains will be needed to support the liabilities that are still valued at the interest rate levels prevailing at time of deposit. Thus, it is appropriate in the case of positive IMR to treat the IMR as an additional reserve requirement above and beyond formula minimums. </w:t>
      </w:r>
    </w:p>
    <w:p w14:paraId="226B2188" w14:textId="77777777" w:rsidR="00675F6F" w:rsidRDefault="00675F6F" w:rsidP="008E3CAD">
      <w:pPr>
        <w:pStyle w:val="BodyText2"/>
        <w:ind w:left="720"/>
        <w:rPr>
          <w:rFonts w:ascii="Arial" w:hAnsi="Arial" w:cs="Arial"/>
          <w:b w:val="0"/>
          <w:bCs w:val="0"/>
          <w:sz w:val="20"/>
        </w:rPr>
      </w:pPr>
    </w:p>
    <w:p w14:paraId="1BB61C00" w14:textId="77777777" w:rsidR="00675F6F" w:rsidRDefault="008E3CAD" w:rsidP="008E3CAD">
      <w:pPr>
        <w:pStyle w:val="BodyText2"/>
        <w:ind w:left="720"/>
        <w:rPr>
          <w:rFonts w:ascii="Arial" w:hAnsi="Arial" w:cs="Arial"/>
          <w:b w:val="0"/>
          <w:bCs w:val="0"/>
          <w:sz w:val="20"/>
        </w:rPr>
      </w:pPr>
      <w:r w:rsidRPr="008E3CAD">
        <w:rPr>
          <w:rFonts w:ascii="Arial" w:hAnsi="Arial" w:cs="Arial"/>
          <w:b w:val="0"/>
          <w:bCs w:val="0"/>
          <w:sz w:val="20"/>
        </w:rPr>
        <w:t xml:space="preserve">In cash-flow-testing actuaries take future cash flows into account from existing assets. In an example such as described above, existing assets may well have been purchased at rates below those prevailing at the time reserves were established. The positive IMR that has been built up has captured the gains and not allowed them to be available for distribution. The IMR is recognized as part of the reserves available to meet future obligation cash flows. </w:t>
      </w:r>
    </w:p>
    <w:p w14:paraId="6BF01D3B" w14:textId="77777777" w:rsidR="00675F6F" w:rsidRDefault="00675F6F" w:rsidP="008E3CAD">
      <w:pPr>
        <w:pStyle w:val="BodyText2"/>
        <w:ind w:left="720"/>
        <w:rPr>
          <w:rFonts w:ascii="Arial" w:hAnsi="Arial" w:cs="Arial"/>
          <w:b w:val="0"/>
          <w:bCs w:val="0"/>
          <w:sz w:val="20"/>
        </w:rPr>
      </w:pPr>
    </w:p>
    <w:p w14:paraId="771208AB" w14:textId="345CECAB" w:rsidR="008E3CAD" w:rsidRPr="00DB06A7" w:rsidRDefault="008E3CAD" w:rsidP="008E3CAD">
      <w:pPr>
        <w:pStyle w:val="BodyText2"/>
        <w:ind w:left="720"/>
        <w:rPr>
          <w:rFonts w:ascii="Arial" w:hAnsi="Arial" w:cs="Arial"/>
          <w:sz w:val="20"/>
        </w:rPr>
      </w:pPr>
      <w:r w:rsidRPr="00DB06A7">
        <w:rPr>
          <w:rFonts w:ascii="Arial" w:hAnsi="Arial" w:cs="Arial"/>
          <w:sz w:val="20"/>
        </w:rPr>
        <w:t>Thus from either point of view a positive IMR is treated as a true actuarial reserve. The same arguments should apply equally well in the case of a negative IMR, but some concern has been expressed that in this case the net reserves are in effect lower than statutory formulas minimums, and therefore special considerations are required.</w:t>
      </w:r>
    </w:p>
    <w:p w14:paraId="7CF8259B" w14:textId="77777777" w:rsidR="008E3CAD" w:rsidRPr="00181BAC" w:rsidRDefault="008E3CAD" w:rsidP="008E3CAD">
      <w:pPr>
        <w:pStyle w:val="BodyText2"/>
        <w:rPr>
          <w:rFonts w:ascii="Arial" w:hAnsi="Arial" w:cs="Arial"/>
          <w:b w:val="0"/>
          <w:bCs w:val="0"/>
          <w:sz w:val="20"/>
        </w:rPr>
      </w:pPr>
    </w:p>
    <w:p w14:paraId="755F6711" w14:textId="77777777" w:rsidR="00732DD8" w:rsidRPr="00487C04" w:rsidRDefault="00732DD8" w:rsidP="00F03DC4">
      <w:pPr>
        <w:pStyle w:val="BodyText2"/>
        <w:ind w:left="720"/>
        <w:rPr>
          <w:u w:val="single"/>
        </w:rPr>
      </w:pPr>
      <w:r w:rsidRPr="00487C04">
        <w:rPr>
          <w:u w:val="single"/>
        </w:rPr>
        <w:t xml:space="preserve">FUTURE DIRECTIONS </w:t>
      </w:r>
    </w:p>
    <w:p w14:paraId="2FC6A730" w14:textId="77777777" w:rsidR="00732DD8" w:rsidRDefault="00732DD8" w:rsidP="00F03DC4">
      <w:pPr>
        <w:pStyle w:val="BodyText2"/>
        <w:ind w:left="720"/>
      </w:pPr>
    </w:p>
    <w:p w14:paraId="4E628AD6" w14:textId="77777777" w:rsidR="00732DD8" w:rsidRDefault="00732DD8" w:rsidP="00F03DC4">
      <w:pPr>
        <w:pStyle w:val="BodyText2"/>
        <w:ind w:left="720"/>
        <w:rPr>
          <w:rFonts w:ascii="Arial" w:hAnsi="Arial" w:cs="Arial"/>
          <w:b w:val="0"/>
          <w:bCs w:val="0"/>
          <w:sz w:val="20"/>
        </w:rPr>
      </w:pPr>
      <w:r w:rsidRPr="00732DD8">
        <w:rPr>
          <w:rFonts w:ascii="Arial" w:hAnsi="Arial" w:cs="Arial"/>
          <w:b w:val="0"/>
          <w:bCs w:val="0"/>
          <w:sz w:val="20"/>
        </w:rPr>
        <w:t>In late 2002, the interested persons (as its name had become) considered refinements of the AVR/IMR for the next several years, from that vantage point, some of the major areas of effort appear to be as follows:</w:t>
      </w:r>
    </w:p>
    <w:p w14:paraId="65EA668F" w14:textId="77777777" w:rsidR="00732DD8" w:rsidRDefault="00732DD8" w:rsidP="00F03DC4">
      <w:pPr>
        <w:pStyle w:val="BodyText2"/>
        <w:ind w:left="720"/>
        <w:rPr>
          <w:rFonts w:ascii="Arial" w:hAnsi="Arial" w:cs="Arial"/>
          <w:b w:val="0"/>
          <w:bCs w:val="0"/>
          <w:sz w:val="20"/>
        </w:rPr>
      </w:pPr>
    </w:p>
    <w:p w14:paraId="3BFF1B58" w14:textId="1D6A3185" w:rsidR="00732DD8" w:rsidRPr="00386D4C" w:rsidRDefault="00732DD8">
      <w:pPr>
        <w:pStyle w:val="BodyText2"/>
        <w:numPr>
          <w:ilvl w:val="0"/>
          <w:numId w:val="12"/>
        </w:numPr>
        <w:rPr>
          <w:rFonts w:ascii="Arial" w:hAnsi="Arial" w:cs="Arial"/>
          <w:sz w:val="20"/>
        </w:rPr>
      </w:pPr>
      <w:r w:rsidRPr="00386D4C">
        <w:rPr>
          <w:rFonts w:ascii="Arial" w:hAnsi="Arial" w:cs="Arial"/>
          <w:sz w:val="20"/>
        </w:rPr>
        <w:t xml:space="preserve">There should be recognition of negative values of the IMR. The group had long recognized that the philosophical basis for the IMR supports negative values of the reserve as well as positive. There is a need to have investment return match the liabilities associated with the investment; and a need to remove the incentive for a company to make investment decisions based on the </w:t>
      </w:r>
      <w:proofErr w:type="spellStart"/>
      <w:r w:rsidRPr="00386D4C">
        <w:rPr>
          <w:rFonts w:ascii="Arial" w:hAnsi="Arial" w:cs="Arial"/>
          <w:sz w:val="20"/>
        </w:rPr>
        <w:t>shortterm</w:t>
      </w:r>
      <w:proofErr w:type="spellEnd"/>
      <w:r w:rsidRPr="00386D4C">
        <w:rPr>
          <w:rFonts w:ascii="Arial" w:hAnsi="Arial" w:cs="Arial"/>
          <w:sz w:val="20"/>
        </w:rPr>
        <w:t xml:space="preserve"> balance sheet effect; and these needs exist also on the negative side of the IMR. </w:t>
      </w:r>
    </w:p>
    <w:p w14:paraId="568DDBCE" w14:textId="77777777" w:rsidR="00732DD8" w:rsidRPr="00386D4C" w:rsidRDefault="00732DD8" w:rsidP="00732DD8">
      <w:pPr>
        <w:pStyle w:val="BodyText2"/>
        <w:ind w:left="1140"/>
        <w:rPr>
          <w:rFonts w:ascii="Arial" w:hAnsi="Arial" w:cs="Arial"/>
          <w:sz w:val="20"/>
        </w:rPr>
      </w:pPr>
    </w:p>
    <w:p w14:paraId="65581017" w14:textId="7E712B0F" w:rsidR="00EF417A" w:rsidRPr="00386D4C" w:rsidRDefault="00732DD8" w:rsidP="00732DD8">
      <w:pPr>
        <w:pStyle w:val="BodyText2"/>
        <w:ind w:left="1140"/>
        <w:rPr>
          <w:rFonts w:ascii="Arial" w:hAnsi="Arial" w:cs="Arial"/>
          <w:sz w:val="20"/>
        </w:rPr>
      </w:pPr>
      <w:r w:rsidRPr="00386D4C">
        <w:rPr>
          <w:rFonts w:ascii="Arial" w:hAnsi="Arial" w:cs="Arial"/>
          <w:sz w:val="20"/>
        </w:rPr>
        <w:t>No doubt there are concerns that a negative reserve of this type could somehow lead to an unsound condition, so there has been appended to this report a discussion entitled “Why Are Negative Values For the IMR Necessary?” It also seems as though there should be additional safeguards in the case of a negative IMR. Rather than put arbitrary limits on the amount of the negative reserve, however, consideration is being given to an actuary’s statement that an asset adequacy analysis has been carried out that demonstrates the soundness of the reserves.</w:t>
      </w:r>
    </w:p>
    <w:p w14:paraId="4C250CAB" w14:textId="77777777" w:rsidR="00BA18E8" w:rsidRDefault="00BA18E8" w:rsidP="00732DD8">
      <w:pPr>
        <w:pStyle w:val="BodyText2"/>
        <w:ind w:left="1140"/>
        <w:rPr>
          <w:rFonts w:ascii="Arial" w:hAnsi="Arial" w:cs="Arial"/>
          <w:b w:val="0"/>
          <w:bCs w:val="0"/>
          <w:sz w:val="20"/>
        </w:rPr>
      </w:pPr>
    </w:p>
    <w:p w14:paraId="48360BF5" w14:textId="10CE5AC8" w:rsidR="00BA18E8" w:rsidRPr="003157DB" w:rsidRDefault="00BA18E8" w:rsidP="00732DD8">
      <w:pPr>
        <w:pStyle w:val="BodyText2"/>
        <w:ind w:left="1140"/>
        <w:rPr>
          <w:b w:val="0"/>
          <w:bCs w:val="0"/>
          <w:i/>
          <w:iCs/>
          <w:szCs w:val="22"/>
        </w:rPr>
      </w:pPr>
      <w:r w:rsidRPr="003157DB">
        <w:rPr>
          <w:b w:val="0"/>
          <w:bCs w:val="0"/>
          <w:i/>
          <w:iCs/>
          <w:szCs w:val="22"/>
        </w:rPr>
        <w:t>(Staff Note: The NAIC li</w:t>
      </w:r>
      <w:r w:rsidR="00466D26" w:rsidRPr="003157DB">
        <w:rPr>
          <w:b w:val="0"/>
          <w:bCs w:val="0"/>
          <w:i/>
          <w:iCs/>
          <w:szCs w:val="22"/>
        </w:rPr>
        <w:t>brary does not have a record of the report noted in the above paragraph.</w:t>
      </w:r>
      <w:r w:rsidR="003157DB" w:rsidRPr="003157DB">
        <w:rPr>
          <w:b w:val="0"/>
          <w:bCs w:val="0"/>
          <w:i/>
          <w:iCs/>
          <w:szCs w:val="22"/>
        </w:rPr>
        <w:t>)</w:t>
      </w:r>
    </w:p>
    <w:p w14:paraId="3042B398" w14:textId="77777777" w:rsidR="00732DD8" w:rsidRDefault="00732DD8" w:rsidP="00F03DC4">
      <w:pPr>
        <w:pStyle w:val="BodyText2"/>
        <w:ind w:left="720"/>
        <w:rPr>
          <w:rFonts w:ascii="Arial" w:hAnsi="Arial" w:cs="Arial"/>
          <w:b w:val="0"/>
          <w:bCs w:val="0"/>
          <w:sz w:val="20"/>
        </w:rPr>
      </w:pPr>
    </w:p>
    <w:p w14:paraId="331C158D" w14:textId="77777777" w:rsidR="00B022C4" w:rsidRPr="00225297" w:rsidRDefault="00B022C4" w:rsidP="00F03DC4">
      <w:pPr>
        <w:pStyle w:val="BodyText2"/>
        <w:ind w:left="720"/>
        <w:rPr>
          <w:rFonts w:ascii="Arial" w:hAnsi="Arial" w:cs="Arial"/>
          <w:b w:val="0"/>
          <w:bCs w:val="0"/>
          <w:sz w:val="20"/>
        </w:rPr>
      </w:pPr>
    </w:p>
    <w:p w14:paraId="04FEEAE0" w14:textId="7797E293" w:rsidR="00507684" w:rsidRPr="002249C7" w:rsidRDefault="00507684" w:rsidP="00507684">
      <w:pPr>
        <w:pStyle w:val="BodyText2"/>
        <w:rPr>
          <w:u w:val="single"/>
        </w:rPr>
      </w:pPr>
      <w:r w:rsidRPr="002249C7">
        <w:rPr>
          <w:u w:val="single"/>
        </w:rPr>
        <w:lastRenderedPageBreak/>
        <w:t xml:space="preserve">Current Accounting Guidance </w:t>
      </w:r>
    </w:p>
    <w:p w14:paraId="2EAF09EA" w14:textId="77777777" w:rsidR="00ED10E5" w:rsidRPr="007247FF" w:rsidRDefault="00ED10E5" w:rsidP="00507684">
      <w:pPr>
        <w:pStyle w:val="BodyText2"/>
        <w:rPr>
          <w:b w:val="0"/>
          <w:bCs w:val="0"/>
        </w:rPr>
      </w:pPr>
    </w:p>
    <w:p w14:paraId="2E8A1ED8" w14:textId="7ED5C3E2" w:rsidR="00ED10E5" w:rsidRDefault="008D0DB1" w:rsidP="00507684">
      <w:pPr>
        <w:pStyle w:val="BodyText2"/>
        <w:rPr>
          <w:b w:val="0"/>
          <w:bCs w:val="0"/>
        </w:rPr>
      </w:pPr>
      <w:r w:rsidRPr="007247FF">
        <w:rPr>
          <w:b w:val="0"/>
          <w:bCs w:val="0"/>
        </w:rPr>
        <w:t xml:space="preserve">The statutory accounting guidance for IMR (and the Asset Valuation Reserve – AVR) </w:t>
      </w:r>
      <w:r w:rsidR="007247FF">
        <w:rPr>
          <w:b w:val="0"/>
          <w:bCs w:val="0"/>
        </w:rPr>
        <w:t xml:space="preserve">is within </w:t>
      </w:r>
      <w:r w:rsidR="007247FF" w:rsidRPr="00234312">
        <w:rPr>
          <w:b w:val="0"/>
          <w:bCs w:val="0"/>
          <w:i/>
          <w:iCs/>
        </w:rPr>
        <w:t>SSAP No. 7—Asset Valuation Reserve and Interest Maintenance Reserve</w:t>
      </w:r>
      <w:r w:rsidR="007247FF">
        <w:rPr>
          <w:b w:val="0"/>
          <w:bCs w:val="0"/>
        </w:rPr>
        <w:t xml:space="preserve">, but the guidance within that SSAP is very limited. </w:t>
      </w:r>
      <w:r w:rsidR="006F193A">
        <w:rPr>
          <w:b w:val="0"/>
          <w:bCs w:val="0"/>
        </w:rPr>
        <w:t xml:space="preserve">It provides a general description, identifies that IMR/AVR shall be calculated and reported </w:t>
      </w:r>
      <w:r w:rsidR="007A627D">
        <w:rPr>
          <w:b w:val="0"/>
          <w:bCs w:val="0"/>
        </w:rPr>
        <w:t xml:space="preserve">per the guidance in the applicable SSAP, and if not explicit in the SSAP, in accordance with the Annual Statement Instructions. The </w:t>
      </w:r>
      <w:r w:rsidR="00054D98">
        <w:rPr>
          <w:b w:val="0"/>
          <w:bCs w:val="0"/>
        </w:rPr>
        <w:t xml:space="preserve">SSAPs most often simply direct allocation </w:t>
      </w:r>
      <w:r w:rsidR="00BC5354">
        <w:rPr>
          <w:b w:val="0"/>
          <w:bCs w:val="0"/>
        </w:rPr>
        <w:t>to (or between)</w:t>
      </w:r>
      <w:r w:rsidR="00054D98">
        <w:rPr>
          <w:b w:val="0"/>
          <w:bCs w:val="0"/>
        </w:rPr>
        <w:t xml:space="preserve"> IMR and A</w:t>
      </w:r>
      <w:r w:rsidR="00234312">
        <w:rPr>
          <w:b w:val="0"/>
          <w:bCs w:val="0"/>
        </w:rPr>
        <w:t xml:space="preserve">VR, with the bulk of the guidance within the Annual Statement Instructions. </w:t>
      </w:r>
    </w:p>
    <w:p w14:paraId="06127349" w14:textId="77777777" w:rsidR="002249C7" w:rsidRDefault="002249C7" w:rsidP="00507684">
      <w:pPr>
        <w:pStyle w:val="BodyText2"/>
        <w:rPr>
          <w:b w:val="0"/>
          <w:bCs w:val="0"/>
        </w:rPr>
      </w:pPr>
    </w:p>
    <w:p w14:paraId="15261AD7" w14:textId="5422AA04" w:rsidR="00587E39" w:rsidRDefault="00587E39" w:rsidP="00507684">
      <w:pPr>
        <w:pStyle w:val="BodyText2"/>
        <w:rPr>
          <w:b w:val="0"/>
          <w:bCs w:val="0"/>
        </w:rPr>
      </w:pPr>
      <w:r>
        <w:rPr>
          <w:b w:val="0"/>
          <w:bCs w:val="0"/>
        </w:rPr>
        <w:t xml:space="preserve">The guidance in the </w:t>
      </w:r>
      <w:r w:rsidR="00F54842">
        <w:rPr>
          <w:b w:val="0"/>
          <w:bCs w:val="0"/>
        </w:rPr>
        <w:t xml:space="preserve"> </w:t>
      </w:r>
      <w:r w:rsidR="006E02D3">
        <w:rPr>
          <w:b w:val="0"/>
          <w:bCs w:val="0"/>
        </w:rPr>
        <w:t xml:space="preserve">Annual Statement  </w:t>
      </w:r>
      <w:r>
        <w:rPr>
          <w:b w:val="0"/>
          <w:bCs w:val="0"/>
        </w:rPr>
        <w:t xml:space="preserve">instructions </w:t>
      </w:r>
      <w:r w:rsidR="00D430A2">
        <w:rPr>
          <w:b w:val="0"/>
          <w:bCs w:val="0"/>
        </w:rPr>
        <w:t>provides information on the net IMR balance</w:t>
      </w:r>
      <w:r w:rsidR="00A05DF1">
        <w:rPr>
          <w:b w:val="0"/>
          <w:bCs w:val="0"/>
        </w:rPr>
        <w:t xml:space="preserve">, which </w:t>
      </w:r>
      <w:r w:rsidR="0020360B">
        <w:rPr>
          <w:b w:val="0"/>
          <w:bCs w:val="0"/>
        </w:rPr>
        <w:t>takes into consideration both the positive and negative balances in the general and separate accounts</w:t>
      </w:r>
      <w:r w:rsidR="00884937">
        <w:rPr>
          <w:b w:val="0"/>
          <w:bCs w:val="0"/>
        </w:rPr>
        <w:t xml:space="preserve">. As detailed, disallowed negative IMR </w:t>
      </w:r>
      <w:r w:rsidR="00E916D6">
        <w:rPr>
          <w:b w:val="0"/>
          <w:bCs w:val="0"/>
        </w:rPr>
        <w:t xml:space="preserve">is reported so that </w:t>
      </w:r>
      <w:r w:rsidR="00C463BD">
        <w:rPr>
          <w:b w:val="0"/>
          <w:bCs w:val="0"/>
        </w:rPr>
        <w:t xml:space="preserve">it </w:t>
      </w:r>
      <w:r w:rsidR="00725B41">
        <w:rPr>
          <w:b w:val="0"/>
          <w:bCs w:val="0"/>
        </w:rPr>
        <w:t>is a direct reduction to surplus</w:t>
      </w:r>
      <w:r w:rsidR="00665E45">
        <w:rPr>
          <w:b w:val="0"/>
          <w:bCs w:val="0"/>
        </w:rPr>
        <w:t xml:space="preserve"> on</w:t>
      </w:r>
      <w:r w:rsidR="00DD7038">
        <w:rPr>
          <w:b w:val="0"/>
          <w:bCs w:val="0"/>
        </w:rPr>
        <w:t xml:space="preserve"> the Summary of Operations, </w:t>
      </w:r>
      <w:r w:rsidR="00665E45">
        <w:rPr>
          <w:b w:val="0"/>
          <w:bCs w:val="0"/>
        </w:rPr>
        <w:t>page 4</w:t>
      </w:r>
      <w:r w:rsidR="00DD7038">
        <w:rPr>
          <w:b w:val="0"/>
          <w:bCs w:val="0"/>
        </w:rPr>
        <w:t xml:space="preserve">, line 41 </w:t>
      </w:r>
      <w:r w:rsidR="00373D0A">
        <w:rPr>
          <w:b w:val="0"/>
          <w:bCs w:val="0"/>
        </w:rPr>
        <w:t>change in nonadmitted assets</w:t>
      </w:r>
      <w:r w:rsidR="00D54CDE">
        <w:rPr>
          <w:b w:val="0"/>
          <w:bCs w:val="0"/>
        </w:rPr>
        <w:t>:</w:t>
      </w:r>
      <w:r w:rsidR="0020360B">
        <w:rPr>
          <w:b w:val="0"/>
          <w:bCs w:val="0"/>
        </w:rPr>
        <w:t xml:space="preserve"> </w:t>
      </w:r>
    </w:p>
    <w:p w14:paraId="687062E0" w14:textId="77777777" w:rsidR="00D05744" w:rsidRDefault="00D05744" w:rsidP="00507684">
      <w:pPr>
        <w:pStyle w:val="BodyText2"/>
        <w:rPr>
          <w:b w:val="0"/>
          <w:bCs w:val="0"/>
        </w:rPr>
      </w:pPr>
    </w:p>
    <w:p w14:paraId="25194F4B" w14:textId="77777777" w:rsidR="00D05744" w:rsidRPr="00D05744" w:rsidRDefault="00D05744" w:rsidP="00D05744">
      <w:pPr>
        <w:ind w:left="1980" w:hanging="1260"/>
        <w:rPr>
          <w:rFonts w:ascii="Arial" w:hAnsi="Arial" w:cs="Arial"/>
          <w:sz w:val="20"/>
          <w:szCs w:val="20"/>
        </w:rPr>
      </w:pPr>
      <w:r w:rsidRPr="00D05744">
        <w:rPr>
          <w:rFonts w:ascii="Arial" w:hAnsi="Arial" w:cs="Arial"/>
          <w:sz w:val="20"/>
          <w:szCs w:val="20"/>
        </w:rPr>
        <w:t xml:space="preserve">Line 6                –         Reserve as of December 31, Current Year </w:t>
      </w:r>
    </w:p>
    <w:p w14:paraId="5703AF1C" w14:textId="77777777" w:rsidR="00D05744" w:rsidRPr="00D05744" w:rsidRDefault="00D05744" w:rsidP="00D05744">
      <w:pPr>
        <w:ind w:left="720"/>
        <w:rPr>
          <w:rFonts w:ascii="Arial" w:hAnsi="Arial" w:cs="Arial"/>
          <w:sz w:val="20"/>
          <w:szCs w:val="20"/>
        </w:rPr>
      </w:pPr>
    </w:p>
    <w:p w14:paraId="4361AE39" w14:textId="77777777" w:rsidR="00D05744" w:rsidRPr="00D05744" w:rsidRDefault="00D05744" w:rsidP="009D3F2E">
      <w:pPr>
        <w:ind w:left="1800"/>
        <w:jc w:val="both"/>
        <w:rPr>
          <w:rFonts w:ascii="Arial" w:hAnsi="Arial" w:cs="Arial"/>
          <w:sz w:val="20"/>
          <w:szCs w:val="20"/>
        </w:rPr>
      </w:pPr>
      <w:r w:rsidRPr="00D05744">
        <w:rPr>
          <w:rFonts w:ascii="Arial" w:hAnsi="Arial" w:cs="Arial"/>
          <w:sz w:val="20"/>
          <w:szCs w:val="20"/>
        </w:rPr>
        <w:t>Record any positive or allowable negative balance in the liability line captioned “Interest Maintenance Reserve” on Page 3, Line 9.4 of the General Account Statement and Line 3 of the Separate Accounts Statement. A negative IMR balance may be recorded as a negative liability in either the General Account or the Separate Accounts Statement of a company only to the extent that it is covered or offset by a positive IMR liability in the other statement.</w:t>
      </w:r>
    </w:p>
    <w:p w14:paraId="762B77FC" w14:textId="77777777" w:rsidR="00D05744" w:rsidRDefault="00D05744" w:rsidP="00507684">
      <w:pPr>
        <w:pStyle w:val="BodyText2"/>
        <w:rPr>
          <w:b w:val="0"/>
          <w:bCs w:val="0"/>
        </w:rPr>
      </w:pPr>
    </w:p>
    <w:p w14:paraId="350BCE3F" w14:textId="77777777" w:rsidR="000C4240" w:rsidRPr="00D54CDE" w:rsidRDefault="000C4240" w:rsidP="0036046D">
      <w:pPr>
        <w:ind w:left="1800"/>
        <w:jc w:val="both"/>
        <w:rPr>
          <w:rFonts w:ascii="Arial" w:hAnsi="Arial" w:cs="Arial"/>
          <w:sz w:val="20"/>
          <w:szCs w:val="20"/>
        </w:rPr>
      </w:pPr>
      <w:r w:rsidRPr="00C463BD">
        <w:rPr>
          <w:rFonts w:ascii="Arial" w:hAnsi="Arial" w:cs="Arial"/>
          <w:b/>
          <w:bCs/>
          <w:sz w:val="20"/>
          <w:szCs w:val="20"/>
        </w:rPr>
        <w:t>If there is any disallowed negative IMR balance in the General Account Statement, include the change in the disallowed portion in Page 4, Line 41 so that the change will be appropriately charged or credited to the Capital and Surplus Account on Page 4.</w:t>
      </w:r>
      <w:r w:rsidRPr="00D54CDE">
        <w:rPr>
          <w:rFonts w:ascii="Arial" w:hAnsi="Arial" w:cs="Arial"/>
          <w:sz w:val="20"/>
          <w:szCs w:val="20"/>
        </w:rPr>
        <w:t xml:space="preserve"> If there is any disallowed negative IMR balance in the Separate Accounts Statement, determine the change in the disallowed portion (prior year less current year disallowed portions), and make a direct charge or credit to the surplus account for the “Change in Disallowed Interest Maintenance Reserve” in the write-in line, in the Surplus Account on Page 4 of the Separate Accounts Statement.</w:t>
      </w:r>
    </w:p>
    <w:p w14:paraId="20F41D82" w14:textId="77777777" w:rsidR="000C4240" w:rsidRPr="00D54CDE" w:rsidRDefault="000C4240" w:rsidP="000C4240">
      <w:pPr>
        <w:rPr>
          <w:rFonts w:ascii="Arial" w:hAnsi="Arial" w:cs="Arial"/>
          <w:sz w:val="20"/>
          <w:szCs w:val="20"/>
        </w:rPr>
      </w:pPr>
    </w:p>
    <w:p w14:paraId="501CB6CD" w14:textId="77777777" w:rsidR="000C4240" w:rsidRPr="00D54CDE" w:rsidRDefault="000C4240" w:rsidP="000C4240">
      <w:pPr>
        <w:ind w:left="1800"/>
        <w:rPr>
          <w:rFonts w:ascii="Arial" w:hAnsi="Arial" w:cs="Arial"/>
          <w:sz w:val="20"/>
          <w:szCs w:val="20"/>
        </w:rPr>
      </w:pPr>
      <w:r w:rsidRPr="00D54CDE">
        <w:rPr>
          <w:rFonts w:ascii="Arial" w:hAnsi="Arial" w:cs="Arial"/>
          <w:sz w:val="20"/>
          <w:szCs w:val="20"/>
        </w:rPr>
        <w:t>The following information is presented to assist in determining the proper accounting:</w:t>
      </w:r>
    </w:p>
    <w:p w14:paraId="789DC79C" w14:textId="77777777" w:rsidR="000C4240" w:rsidRPr="00D54CDE" w:rsidRDefault="000C4240" w:rsidP="000C4240">
      <w:pPr>
        <w:rPr>
          <w:rFonts w:ascii="Arial" w:hAnsi="Arial" w:cs="Arial"/>
          <w:sz w:val="20"/>
          <w:szCs w:val="20"/>
        </w:rPr>
      </w:pPr>
    </w:p>
    <w:tbl>
      <w:tblPr>
        <w:tblW w:w="7200" w:type="dxa"/>
        <w:tblInd w:w="2448" w:type="dxa"/>
        <w:tblLayout w:type="fixed"/>
        <w:tblLook w:val="0000" w:firstRow="0" w:lastRow="0" w:firstColumn="0" w:lastColumn="0" w:noHBand="0" w:noVBand="0"/>
      </w:tblPr>
      <w:tblGrid>
        <w:gridCol w:w="2127"/>
        <w:gridCol w:w="236"/>
        <w:gridCol w:w="2159"/>
        <w:gridCol w:w="268"/>
        <w:gridCol w:w="2410"/>
      </w:tblGrid>
      <w:tr w:rsidR="000C4240" w:rsidRPr="00D54CDE" w14:paraId="11828B8A" w14:textId="77777777">
        <w:tc>
          <w:tcPr>
            <w:tcW w:w="2160" w:type="dxa"/>
            <w:tcBorders>
              <w:bottom w:val="single" w:sz="6" w:space="0" w:color="auto"/>
            </w:tcBorders>
          </w:tcPr>
          <w:p w14:paraId="57FFB683" w14:textId="77777777" w:rsidR="000C4240" w:rsidRPr="00D54CDE" w:rsidRDefault="000C4240">
            <w:pPr>
              <w:jc w:val="center"/>
              <w:rPr>
                <w:rFonts w:ascii="Arial" w:hAnsi="Arial" w:cs="Arial"/>
                <w:sz w:val="20"/>
                <w:szCs w:val="20"/>
              </w:rPr>
            </w:pPr>
            <w:r w:rsidRPr="00D54CDE">
              <w:rPr>
                <w:rFonts w:ascii="Arial" w:hAnsi="Arial" w:cs="Arial"/>
                <w:sz w:val="20"/>
                <w:szCs w:val="20"/>
              </w:rPr>
              <w:t>General Account</w:t>
            </w:r>
          </w:p>
          <w:p w14:paraId="0809AFC3"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c>
          <w:tcPr>
            <w:tcW w:w="236" w:type="dxa"/>
          </w:tcPr>
          <w:p w14:paraId="76A87C17" w14:textId="77777777" w:rsidR="000C4240" w:rsidRPr="00D54CDE" w:rsidRDefault="000C4240">
            <w:pPr>
              <w:jc w:val="center"/>
              <w:rPr>
                <w:rFonts w:ascii="Arial" w:hAnsi="Arial" w:cs="Arial"/>
                <w:sz w:val="20"/>
                <w:szCs w:val="20"/>
              </w:rPr>
            </w:pPr>
          </w:p>
        </w:tc>
        <w:tc>
          <w:tcPr>
            <w:tcW w:w="2194" w:type="dxa"/>
            <w:tcBorders>
              <w:bottom w:val="single" w:sz="6" w:space="0" w:color="auto"/>
            </w:tcBorders>
          </w:tcPr>
          <w:p w14:paraId="38AD7DA9" w14:textId="77777777" w:rsidR="000C4240" w:rsidRPr="00D54CDE" w:rsidRDefault="000C4240">
            <w:pPr>
              <w:jc w:val="center"/>
              <w:rPr>
                <w:rFonts w:ascii="Arial" w:hAnsi="Arial" w:cs="Arial"/>
                <w:sz w:val="20"/>
                <w:szCs w:val="20"/>
              </w:rPr>
            </w:pPr>
            <w:r w:rsidRPr="00D54CDE">
              <w:rPr>
                <w:rFonts w:ascii="Arial" w:hAnsi="Arial" w:cs="Arial"/>
                <w:sz w:val="20"/>
                <w:szCs w:val="20"/>
              </w:rPr>
              <w:t>Separate Account</w:t>
            </w:r>
          </w:p>
          <w:p w14:paraId="72BA873F"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c>
          <w:tcPr>
            <w:tcW w:w="269" w:type="dxa"/>
          </w:tcPr>
          <w:p w14:paraId="78E36755" w14:textId="77777777" w:rsidR="000C4240" w:rsidRPr="00D54CDE" w:rsidRDefault="000C4240">
            <w:pPr>
              <w:jc w:val="center"/>
              <w:rPr>
                <w:rFonts w:ascii="Arial" w:hAnsi="Arial" w:cs="Arial"/>
                <w:sz w:val="20"/>
                <w:szCs w:val="20"/>
              </w:rPr>
            </w:pPr>
          </w:p>
        </w:tc>
        <w:tc>
          <w:tcPr>
            <w:tcW w:w="2449" w:type="dxa"/>
            <w:tcBorders>
              <w:bottom w:val="single" w:sz="6" w:space="0" w:color="auto"/>
            </w:tcBorders>
          </w:tcPr>
          <w:p w14:paraId="47001400" w14:textId="77777777" w:rsidR="000C4240" w:rsidRPr="00D54CDE" w:rsidRDefault="000C4240">
            <w:pPr>
              <w:jc w:val="center"/>
              <w:rPr>
                <w:rFonts w:ascii="Arial" w:hAnsi="Arial" w:cs="Arial"/>
                <w:sz w:val="20"/>
                <w:szCs w:val="20"/>
              </w:rPr>
            </w:pPr>
            <w:r w:rsidRPr="00D54CDE">
              <w:rPr>
                <w:rFonts w:ascii="Arial" w:hAnsi="Arial" w:cs="Arial"/>
                <w:sz w:val="20"/>
                <w:szCs w:val="20"/>
              </w:rPr>
              <w:t>Net</w:t>
            </w:r>
          </w:p>
          <w:p w14:paraId="690C2208" w14:textId="77777777" w:rsidR="000C4240" w:rsidRPr="00D54CDE" w:rsidRDefault="000C4240">
            <w:pPr>
              <w:jc w:val="center"/>
              <w:rPr>
                <w:rFonts w:ascii="Arial" w:hAnsi="Arial" w:cs="Arial"/>
                <w:sz w:val="20"/>
                <w:szCs w:val="20"/>
              </w:rPr>
            </w:pPr>
            <w:r w:rsidRPr="00D54CDE">
              <w:rPr>
                <w:rFonts w:ascii="Arial" w:hAnsi="Arial" w:cs="Arial"/>
                <w:sz w:val="20"/>
                <w:szCs w:val="20"/>
              </w:rPr>
              <w:t>IMR Balance</w:t>
            </w:r>
          </w:p>
        </w:tc>
      </w:tr>
      <w:tr w:rsidR="000C4240" w:rsidRPr="00D54CDE" w14:paraId="7B11CCBC" w14:textId="77777777">
        <w:tc>
          <w:tcPr>
            <w:tcW w:w="2160" w:type="dxa"/>
          </w:tcPr>
          <w:p w14:paraId="582FDF8F" w14:textId="77777777" w:rsidR="000C4240" w:rsidRPr="00D54CDE" w:rsidRDefault="000C4240">
            <w:pPr>
              <w:rPr>
                <w:rFonts w:ascii="Arial" w:hAnsi="Arial" w:cs="Arial"/>
                <w:sz w:val="20"/>
                <w:szCs w:val="20"/>
              </w:rPr>
            </w:pPr>
          </w:p>
        </w:tc>
        <w:tc>
          <w:tcPr>
            <w:tcW w:w="236" w:type="dxa"/>
          </w:tcPr>
          <w:p w14:paraId="3FA05428" w14:textId="77777777" w:rsidR="000C4240" w:rsidRPr="00D54CDE" w:rsidRDefault="000C4240">
            <w:pPr>
              <w:rPr>
                <w:rFonts w:ascii="Arial" w:hAnsi="Arial" w:cs="Arial"/>
                <w:sz w:val="20"/>
                <w:szCs w:val="20"/>
              </w:rPr>
            </w:pPr>
          </w:p>
        </w:tc>
        <w:tc>
          <w:tcPr>
            <w:tcW w:w="2194" w:type="dxa"/>
          </w:tcPr>
          <w:p w14:paraId="04C948E5" w14:textId="77777777" w:rsidR="000C4240" w:rsidRPr="00D54CDE" w:rsidRDefault="000C4240">
            <w:pPr>
              <w:rPr>
                <w:rFonts w:ascii="Arial" w:hAnsi="Arial" w:cs="Arial"/>
                <w:sz w:val="20"/>
                <w:szCs w:val="20"/>
              </w:rPr>
            </w:pPr>
          </w:p>
        </w:tc>
        <w:tc>
          <w:tcPr>
            <w:tcW w:w="269" w:type="dxa"/>
          </w:tcPr>
          <w:p w14:paraId="38FE1BCF" w14:textId="77777777" w:rsidR="000C4240" w:rsidRPr="00D54CDE" w:rsidRDefault="000C4240">
            <w:pPr>
              <w:rPr>
                <w:rFonts w:ascii="Arial" w:hAnsi="Arial" w:cs="Arial"/>
                <w:sz w:val="20"/>
                <w:szCs w:val="20"/>
              </w:rPr>
            </w:pPr>
          </w:p>
        </w:tc>
        <w:tc>
          <w:tcPr>
            <w:tcW w:w="2449" w:type="dxa"/>
          </w:tcPr>
          <w:p w14:paraId="077DAAE5" w14:textId="77777777" w:rsidR="000C4240" w:rsidRPr="00D54CDE" w:rsidRDefault="000C4240">
            <w:pPr>
              <w:rPr>
                <w:rFonts w:ascii="Arial" w:hAnsi="Arial" w:cs="Arial"/>
                <w:sz w:val="20"/>
                <w:szCs w:val="20"/>
              </w:rPr>
            </w:pPr>
          </w:p>
        </w:tc>
      </w:tr>
      <w:tr w:rsidR="000C4240" w:rsidRPr="00D54CDE" w14:paraId="185512D9" w14:textId="77777777">
        <w:tc>
          <w:tcPr>
            <w:tcW w:w="2160" w:type="dxa"/>
          </w:tcPr>
          <w:p w14:paraId="74E83551"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0B52495C" w14:textId="77777777" w:rsidR="000C4240" w:rsidRPr="00D54CDE" w:rsidRDefault="000C4240">
            <w:pPr>
              <w:jc w:val="center"/>
              <w:rPr>
                <w:rFonts w:ascii="Arial" w:hAnsi="Arial" w:cs="Arial"/>
                <w:sz w:val="20"/>
                <w:szCs w:val="20"/>
              </w:rPr>
            </w:pPr>
          </w:p>
        </w:tc>
        <w:tc>
          <w:tcPr>
            <w:tcW w:w="2194" w:type="dxa"/>
          </w:tcPr>
          <w:p w14:paraId="6ED4F54F"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7AD3BBF3" w14:textId="77777777" w:rsidR="000C4240" w:rsidRPr="00D54CDE" w:rsidRDefault="000C4240">
            <w:pPr>
              <w:jc w:val="center"/>
              <w:rPr>
                <w:rFonts w:ascii="Arial" w:hAnsi="Arial" w:cs="Arial"/>
                <w:sz w:val="20"/>
                <w:szCs w:val="20"/>
              </w:rPr>
            </w:pPr>
          </w:p>
        </w:tc>
        <w:tc>
          <w:tcPr>
            <w:tcW w:w="2449" w:type="dxa"/>
          </w:tcPr>
          <w:p w14:paraId="27DE5AFB"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a)</w:t>
            </w:r>
          </w:p>
        </w:tc>
      </w:tr>
      <w:tr w:rsidR="000C4240" w:rsidRPr="00D54CDE" w14:paraId="0598BC1E" w14:textId="77777777">
        <w:tc>
          <w:tcPr>
            <w:tcW w:w="2160" w:type="dxa"/>
          </w:tcPr>
          <w:p w14:paraId="12C0C32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080AC0F4" w14:textId="77777777" w:rsidR="000C4240" w:rsidRPr="00D54CDE" w:rsidRDefault="000C4240">
            <w:pPr>
              <w:jc w:val="center"/>
              <w:rPr>
                <w:rFonts w:ascii="Arial" w:hAnsi="Arial" w:cs="Arial"/>
                <w:sz w:val="20"/>
                <w:szCs w:val="20"/>
              </w:rPr>
            </w:pPr>
          </w:p>
        </w:tc>
        <w:tc>
          <w:tcPr>
            <w:tcW w:w="2194" w:type="dxa"/>
          </w:tcPr>
          <w:p w14:paraId="1F98FCB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4B233160" w14:textId="77777777" w:rsidR="000C4240" w:rsidRPr="00D54CDE" w:rsidRDefault="000C4240">
            <w:pPr>
              <w:jc w:val="center"/>
              <w:rPr>
                <w:rFonts w:ascii="Arial" w:hAnsi="Arial" w:cs="Arial"/>
                <w:sz w:val="20"/>
                <w:szCs w:val="20"/>
              </w:rPr>
            </w:pPr>
          </w:p>
        </w:tc>
        <w:tc>
          <w:tcPr>
            <w:tcW w:w="2449" w:type="dxa"/>
          </w:tcPr>
          <w:p w14:paraId="2029FB41"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b)</w:t>
            </w:r>
          </w:p>
        </w:tc>
      </w:tr>
      <w:tr w:rsidR="000C4240" w:rsidRPr="00D54CDE" w14:paraId="0A111443" w14:textId="77777777">
        <w:tc>
          <w:tcPr>
            <w:tcW w:w="2160" w:type="dxa"/>
          </w:tcPr>
          <w:p w14:paraId="4F7573A9"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67E2ED0A" w14:textId="77777777" w:rsidR="000C4240" w:rsidRPr="00D54CDE" w:rsidRDefault="000C4240">
            <w:pPr>
              <w:jc w:val="center"/>
              <w:rPr>
                <w:rFonts w:ascii="Arial" w:hAnsi="Arial" w:cs="Arial"/>
                <w:sz w:val="20"/>
                <w:szCs w:val="20"/>
              </w:rPr>
            </w:pPr>
          </w:p>
        </w:tc>
        <w:tc>
          <w:tcPr>
            <w:tcW w:w="2194" w:type="dxa"/>
          </w:tcPr>
          <w:p w14:paraId="07AC7FE3"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7FB2E67A" w14:textId="77777777" w:rsidR="000C4240" w:rsidRPr="00D54CDE" w:rsidRDefault="000C4240">
            <w:pPr>
              <w:jc w:val="center"/>
              <w:rPr>
                <w:rFonts w:ascii="Arial" w:hAnsi="Arial" w:cs="Arial"/>
                <w:sz w:val="20"/>
                <w:szCs w:val="20"/>
              </w:rPr>
            </w:pPr>
          </w:p>
        </w:tc>
        <w:tc>
          <w:tcPr>
            <w:tcW w:w="2449" w:type="dxa"/>
          </w:tcPr>
          <w:p w14:paraId="0D40CD4F"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c)</w:t>
            </w:r>
          </w:p>
        </w:tc>
      </w:tr>
      <w:tr w:rsidR="000C4240" w:rsidRPr="00D54CDE" w14:paraId="1AEFEABB" w14:textId="77777777">
        <w:tc>
          <w:tcPr>
            <w:tcW w:w="2160" w:type="dxa"/>
          </w:tcPr>
          <w:p w14:paraId="4C430988"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36" w:type="dxa"/>
          </w:tcPr>
          <w:p w14:paraId="42D19347" w14:textId="77777777" w:rsidR="000C4240" w:rsidRPr="00D54CDE" w:rsidRDefault="000C4240">
            <w:pPr>
              <w:jc w:val="center"/>
              <w:rPr>
                <w:rFonts w:ascii="Arial" w:hAnsi="Arial" w:cs="Arial"/>
                <w:sz w:val="20"/>
                <w:szCs w:val="20"/>
              </w:rPr>
            </w:pPr>
          </w:p>
        </w:tc>
        <w:tc>
          <w:tcPr>
            <w:tcW w:w="2194" w:type="dxa"/>
          </w:tcPr>
          <w:p w14:paraId="7D0BE1B5"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69" w:type="dxa"/>
          </w:tcPr>
          <w:p w14:paraId="4BDED191" w14:textId="77777777" w:rsidR="000C4240" w:rsidRPr="00D54CDE" w:rsidRDefault="000C4240">
            <w:pPr>
              <w:jc w:val="center"/>
              <w:rPr>
                <w:rFonts w:ascii="Arial" w:hAnsi="Arial" w:cs="Arial"/>
                <w:sz w:val="20"/>
                <w:szCs w:val="20"/>
              </w:rPr>
            </w:pPr>
          </w:p>
        </w:tc>
        <w:tc>
          <w:tcPr>
            <w:tcW w:w="2449" w:type="dxa"/>
          </w:tcPr>
          <w:p w14:paraId="3E1A8869"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d)</w:t>
            </w:r>
          </w:p>
        </w:tc>
      </w:tr>
      <w:tr w:rsidR="000C4240" w:rsidRPr="00D54CDE" w14:paraId="67CBF76E" w14:textId="77777777">
        <w:tc>
          <w:tcPr>
            <w:tcW w:w="2160" w:type="dxa"/>
          </w:tcPr>
          <w:p w14:paraId="010CBF76"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6119B5D5" w14:textId="77777777" w:rsidR="000C4240" w:rsidRPr="00D54CDE" w:rsidRDefault="000C4240">
            <w:pPr>
              <w:jc w:val="center"/>
              <w:rPr>
                <w:rFonts w:ascii="Arial" w:hAnsi="Arial" w:cs="Arial"/>
                <w:sz w:val="20"/>
                <w:szCs w:val="20"/>
              </w:rPr>
            </w:pPr>
          </w:p>
        </w:tc>
        <w:tc>
          <w:tcPr>
            <w:tcW w:w="2194" w:type="dxa"/>
          </w:tcPr>
          <w:p w14:paraId="32618D6A"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637AE310" w14:textId="77777777" w:rsidR="000C4240" w:rsidRPr="00D54CDE" w:rsidRDefault="000C4240">
            <w:pPr>
              <w:jc w:val="center"/>
              <w:rPr>
                <w:rFonts w:ascii="Arial" w:hAnsi="Arial" w:cs="Arial"/>
                <w:sz w:val="20"/>
                <w:szCs w:val="20"/>
              </w:rPr>
            </w:pPr>
          </w:p>
        </w:tc>
        <w:tc>
          <w:tcPr>
            <w:tcW w:w="2449" w:type="dxa"/>
          </w:tcPr>
          <w:p w14:paraId="7C65C88E" w14:textId="77777777" w:rsidR="000C4240" w:rsidRPr="00D54CDE" w:rsidRDefault="000C4240">
            <w:pPr>
              <w:jc w:val="center"/>
              <w:rPr>
                <w:rFonts w:ascii="Arial" w:hAnsi="Arial" w:cs="Arial"/>
                <w:sz w:val="20"/>
                <w:szCs w:val="20"/>
              </w:rPr>
            </w:pPr>
            <w:r w:rsidRPr="00D54CDE">
              <w:rPr>
                <w:rFonts w:ascii="Arial" w:hAnsi="Arial" w:cs="Arial"/>
                <w:sz w:val="20"/>
                <w:szCs w:val="20"/>
              </w:rPr>
              <w:t>Positive (See rule e)</w:t>
            </w:r>
          </w:p>
        </w:tc>
      </w:tr>
      <w:tr w:rsidR="000C4240" w:rsidRPr="00D54CDE" w14:paraId="602E65A2" w14:textId="77777777">
        <w:tc>
          <w:tcPr>
            <w:tcW w:w="2160" w:type="dxa"/>
          </w:tcPr>
          <w:p w14:paraId="16E01CF1" w14:textId="77777777" w:rsidR="000C4240" w:rsidRPr="00D54CDE" w:rsidRDefault="000C4240">
            <w:pPr>
              <w:jc w:val="center"/>
              <w:rPr>
                <w:rFonts w:ascii="Arial" w:hAnsi="Arial" w:cs="Arial"/>
                <w:sz w:val="20"/>
                <w:szCs w:val="20"/>
              </w:rPr>
            </w:pPr>
            <w:r w:rsidRPr="00D54CDE">
              <w:rPr>
                <w:rFonts w:ascii="Arial" w:hAnsi="Arial" w:cs="Arial"/>
                <w:sz w:val="20"/>
                <w:szCs w:val="20"/>
              </w:rPr>
              <w:t>Negative</w:t>
            </w:r>
          </w:p>
        </w:tc>
        <w:tc>
          <w:tcPr>
            <w:tcW w:w="236" w:type="dxa"/>
          </w:tcPr>
          <w:p w14:paraId="2EC30532" w14:textId="77777777" w:rsidR="000C4240" w:rsidRPr="00D54CDE" w:rsidRDefault="000C4240">
            <w:pPr>
              <w:jc w:val="center"/>
              <w:rPr>
                <w:rFonts w:ascii="Arial" w:hAnsi="Arial" w:cs="Arial"/>
                <w:sz w:val="20"/>
                <w:szCs w:val="20"/>
              </w:rPr>
            </w:pPr>
          </w:p>
        </w:tc>
        <w:tc>
          <w:tcPr>
            <w:tcW w:w="2194" w:type="dxa"/>
          </w:tcPr>
          <w:p w14:paraId="0AAB191F" w14:textId="77777777" w:rsidR="000C4240" w:rsidRPr="00D54CDE" w:rsidRDefault="000C4240">
            <w:pPr>
              <w:jc w:val="center"/>
              <w:rPr>
                <w:rFonts w:ascii="Arial" w:hAnsi="Arial" w:cs="Arial"/>
                <w:sz w:val="20"/>
                <w:szCs w:val="20"/>
              </w:rPr>
            </w:pPr>
            <w:r w:rsidRPr="00D54CDE">
              <w:rPr>
                <w:rFonts w:ascii="Arial" w:hAnsi="Arial" w:cs="Arial"/>
                <w:sz w:val="20"/>
                <w:szCs w:val="20"/>
              </w:rPr>
              <w:t>Positive</w:t>
            </w:r>
          </w:p>
        </w:tc>
        <w:tc>
          <w:tcPr>
            <w:tcW w:w="269" w:type="dxa"/>
          </w:tcPr>
          <w:p w14:paraId="60EF7873" w14:textId="77777777" w:rsidR="000C4240" w:rsidRPr="00D54CDE" w:rsidRDefault="000C4240">
            <w:pPr>
              <w:jc w:val="center"/>
              <w:rPr>
                <w:rFonts w:ascii="Arial" w:hAnsi="Arial" w:cs="Arial"/>
                <w:sz w:val="20"/>
                <w:szCs w:val="20"/>
              </w:rPr>
            </w:pPr>
          </w:p>
        </w:tc>
        <w:tc>
          <w:tcPr>
            <w:tcW w:w="2449" w:type="dxa"/>
          </w:tcPr>
          <w:p w14:paraId="5DECCAD6" w14:textId="77777777" w:rsidR="000C4240" w:rsidRPr="00D54CDE" w:rsidRDefault="000C4240">
            <w:pPr>
              <w:jc w:val="center"/>
              <w:rPr>
                <w:rFonts w:ascii="Arial" w:hAnsi="Arial" w:cs="Arial"/>
                <w:sz w:val="20"/>
                <w:szCs w:val="20"/>
              </w:rPr>
            </w:pPr>
            <w:r w:rsidRPr="00D54CDE">
              <w:rPr>
                <w:rFonts w:ascii="Arial" w:hAnsi="Arial" w:cs="Arial"/>
                <w:sz w:val="20"/>
                <w:szCs w:val="20"/>
              </w:rPr>
              <w:t>Negative (See rule f)</w:t>
            </w:r>
          </w:p>
        </w:tc>
      </w:tr>
    </w:tbl>
    <w:p w14:paraId="6EFDD549" w14:textId="77777777" w:rsidR="000C4240" w:rsidRPr="00D54CDE" w:rsidRDefault="000C4240" w:rsidP="000C4240">
      <w:pPr>
        <w:rPr>
          <w:rFonts w:ascii="Arial" w:hAnsi="Arial" w:cs="Arial"/>
          <w:sz w:val="20"/>
          <w:szCs w:val="20"/>
        </w:rPr>
      </w:pPr>
    </w:p>
    <w:p w14:paraId="1AEC3EC5" w14:textId="77777777" w:rsidR="000C4240" w:rsidRPr="00D54CDE" w:rsidRDefault="000C4240" w:rsidP="00FF68C7">
      <w:pPr>
        <w:ind w:left="1800"/>
        <w:jc w:val="both"/>
        <w:rPr>
          <w:rFonts w:ascii="Arial" w:hAnsi="Arial" w:cs="Arial"/>
          <w:sz w:val="20"/>
          <w:szCs w:val="20"/>
        </w:rPr>
      </w:pPr>
      <w:r w:rsidRPr="00D54CDE">
        <w:rPr>
          <w:rFonts w:ascii="Arial" w:hAnsi="Arial" w:cs="Arial"/>
          <w:sz w:val="20"/>
          <w:szCs w:val="20"/>
        </w:rPr>
        <w:t>Rules:</w:t>
      </w:r>
    </w:p>
    <w:p w14:paraId="7430B8BF" w14:textId="77777777" w:rsidR="000C4240" w:rsidRPr="00D54CDE" w:rsidRDefault="000C4240" w:rsidP="00FF68C7">
      <w:pPr>
        <w:jc w:val="both"/>
        <w:rPr>
          <w:rFonts w:ascii="Arial" w:hAnsi="Arial" w:cs="Arial"/>
          <w:sz w:val="20"/>
          <w:szCs w:val="20"/>
        </w:rPr>
      </w:pPr>
    </w:p>
    <w:p w14:paraId="0C2C6589" w14:textId="77D8D36C" w:rsidR="000C4240" w:rsidRPr="00CB503B" w:rsidRDefault="000C4240" w:rsidP="00CB503B">
      <w:pPr>
        <w:ind w:left="2160" w:hanging="360"/>
        <w:jc w:val="both"/>
      </w:pPr>
      <w:r w:rsidRPr="00CB503B">
        <w:t>a.</w:t>
      </w:r>
      <w:r w:rsidRPr="00CB503B">
        <w:tab/>
      </w:r>
      <w:r w:rsidRPr="00CB503B">
        <w:rPr>
          <w:rFonts w:ascii="Arial" w:hAnsi="Arial" w:cs="Arial"/>
          <w:sz w:val="20"/>
          <w:szCs w:val="20"/>
        </w:rPr>
        <w:t>If both balances are positive, then report each as a liability in its respective statement.</w:t>
      </w:r>
    </w:p>
    <w:p w14:paraId="1E3FECD9" w14:textId="77777777" w:rsidR="000C4240" w:rsidRPr="00D54CDE" w:rsidRDefault="000C4240" w:rsidP="00FF68C7">
      <w:pPr>
        <w:jc w:val="both"/>
        <w:rPr>
          <w:rFonts w:ascii="Arial" w:hAnsi="Arial" w:cs="Arial"/>
          <w:sz w:val="20"/>
          <w:szCs w:val="20"/>
        </w:rPr>
      </w:pPr>
    </w:p>
    <w:p w14:paraId="156DFD87"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b.</w:t>
      </w:r>
      <w:r w:rsidRPr="00D54CDE">
        <w:rPr>
          <w:rFonts w:ascii="Arial" w:hAnsi="Arial" w:cs="Arial"/>
          <w:sz w:val="20"/>
          <w:szCs w:val="20"/>
        </w:rPr>
        <w:tab/>
        <w:t>If both balances are negative, then no portion of the negative balances is allowable as a negative liability in either statement. Report a zero for the IMR liability in each statement and follow the above instructions for handling disallowed negative IMR balances in each statement.</w:t>
      </w:r>
    </w:p>
    <w:p w14:paraId="37A3DC77" w14:textId="77777777" w:rsidR="000C4240" w:rsidRPr="00D54CDE" w:rsidRDefault="000C4240" w:rsidP="00FF68C7">
      <w:pPr>
        <w:jc w:val="both"/>
        <w:rPr>
          <w:rFonts w:ascii="Arial" w:hAnsi="Arial" w:cs="Arial"/>
          <w:sz w:val="20"/>
          <w:szCs w:val="20"/>
        </w:rPr>
      </w:pPr>
    </w:p>
    <w:p w14:paraId="244D9274"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c.</w:t>
      </w:r>
      <w:r w:rsidRPr="00D54CDE">
        <w:rPr>
          <w:rFonts w:ascii="Arial" w:hAnsi="Arial" w:cs="Arial"/>
          <w:sz w:val="20"/>
          <w:szCs w:val="20"/>
        </w:rPr>
        <w:tab/>
        <w:t>If the general account balance is positive, the separate accounts balance is negative and the combined net balance is positive, then all of the negative IMR balance is allowable as a negative liability in the Separate Accounts Statement.</w:t>
      </w:r>
    </w:p>
    <w:p w14:paraId="4EF84215" w14:textId="77777777" w:rsidR="000C4240" w:rsidRPr="00D54CDE" w:rsidRDefault="000C4240" w:rsidP="00FF68C7">
      <w:pPr>
        <w:jc w:val="both"/>
        <w:rPr>
          <w:rFonts w:ascii="Arial" w:hAnsi="Arial" w:cs="Arial"/>
          <w:sz w:val="20"/>
          <w:szCs w:val="20"/>
        </w:rPr>
      </w:pPr>
    </w:p>
    <w:p w14:paraId="250C0695"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lastRenderedPageBreak/>
        <w:t>d.</w:t>
      </w:r>
      <w:r w:rsidRPr="00D54CDE">
        <w:rPr>
          <w:rFonts w:ascii="Arial" w:hAnsi="Arial" w:cs="Arial"/>
          <w:sz w:val="20"/>
          <w:szCs w:val="20"/>
        </w:rPr>
        <w:tab/>
        <w:t>If the general account balance is positive, the separate account balance is negative, and the combined net balance is negative, then the negative amount not covered by the positive amount is not allowable. Report only the allowable portion as a negative liability in the Separate Accounts Statement and follow the above instructions for handling the disallowed portion of negative IMR balances in the Separate Accounts Statement.</w:t>
      </w:r>
    </w:p>
    <w:p w14:paraId="59654BA2" w14:textId="77777777" w:rsidR="000C4240" w:rsidRPr="00D54CDE" w:rsidRDefault="000C4240" w:rsidP="00FF68C7">
      <w:pPr>
        <w:jc w:val="both"/>
        <w:rPr>
          <w:rFonts w:ascii="Arial" w:hAnsi="Arial" w:cs="Arial"/>
          <w:sz w:val="20"/>
          <w:szCs w:val="20"/>
        </w:rPr>
      </w:pPr>
    </w:p>
    <w:p w14:paraId="1E1366F6"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e.</w:t>
      </w:r>
      <w:r w:rsidRPr="00D54CDE">
        <w:rPr>
          <w:rFonts w:ascii="Arial" w:hAnsi="Arial" w:cs="Arial"/>
          <w:sz w:val="20"/>
          <w:szCs w:val="20"/>
        </w:rPr>
        <w:tab/>
        <w:t>If the general account balance is negative, the separate account balance is positive, and the combined net balance is positive, then all of the negative IMR balance is allowable as a negative liability in the General Account Statement.</w:t>
      </w:r>
    </w:p>
    <w:p w14:paraId="6961AE6D" w14:textId="77777777" w:rsidR="000C4240" w:rsidRPr="00D54CDE" w:rsidRDefault="000C4240" w:rsidP="00FF68C7">
      <w:pPr>
        <w:jc w:val="both"/>
        <w:rPr>
          <w:rFonts w:ascii="Arial" w:hAnsi="Arial" w:cs="Arial"/>
          <w:sz w:val="20"/>
          <w:szCs w:val="20"/>
        </w:rPr>
      </w:pPr>
    </w:p>
    <w:p w14:paraId="636D7B3D" w14:textId="77777777" w:rsidR="000C4240" w:rsidRPr="00D54CDE" w:rsidRDefault="000C4240" w:rsidP="00FF68C7">
      <w:pPr>
        <w:ind w:left="2160" w:hanging="360"/>
        <w:jc w:val="both"/>
        <w:rPr>
          <w:rFonts w:ascii="Arial" w:hAnsi="Arial" w:cs="Arial"/>
          <w:sz w:val="20"/>
          <w:szCs w:val="20"/>
        </w:rPr>
      </w:pPr>
      <w:r w:rsidRPr="00D54CDE">
        <w:rPr>
          <w:rFonts w:ascii="Arial" w:hAnsi="Arial" w:cs="Arial"/>
          <w:sz w:val="20"/>
          <w:szCs w:val="20"/>
        </w:rPr>
        <w:t>f.</w:t>
      </w:r>
      <w:r w:rsidRPr="00D54CDE">
        <w:rPr>
          <w:rFonts w:ascii="Arial" w:hAnsi="Arial" w:cs="Arial"/>
          <w:sz w:val="20"/>
          <w:szCs w:val="20"/>
        </w:rPr>
        <w:tab/>
        <w:t>If the general account balance is negative, the separate account balance is positive, and the combined net balance is negative, then the negative amount not covered by the positive amount is not allowable. Report only the allowable portion as a negative liability in the General Account Statement and follow the above instructions for handling the disallowed portion of negative IMR balances in the General Account Statement.</w:t>
      </w:r>
    </w:p>
    <w:p w14:paraId="1235CD25" w14:textId="77777777" w:rsidR="000C4240" w:rsidRPr="007247FF" w:rsidRDefault="000C4240" w:rsidP="00FF68C7">
      <w:pPr>
        <w:pStyle w:val="BodyText2"/>
        <w:rPr>
          <w:b w:val="0"/>
          <w:bCs w:val="0"/>
        </w:rPr>
      </w:pPr>
    </w:p>
    <w:p w14:paraId="5349D247" w14:textId="648A901E" w:rsidR="006F7D5B" w:rsidRDefault="006F7D5B" w:rsidP="00F55072">
      <w:pPr>
        <w:pStyle w:val="BodyText2"/>
        <w:rPr>
          <w:b w:val="0"/>
          <w:bCs w:val="0"/>
        </w:rPr>
      </w:pPr>
      <w:r>
        <w:rPr>
          <w:b w:val="0"/>
          <w:bCs w:val="0"/>
        </w:rPr>
        <w:t xml:space="preserve">The Statutory Accounting Statement of Concepts in the Preamble to the AP&amp;P provides the following on Recognition: </w:t>
      </w:r>
    </w:p>
    <w:p w14:paraId="0F6DC094" w14:textId="77777777" w:rsidR="006F7D5B" w:rsidRDefault="006F7D5B" w:rsidP="00F55072">
      <w:pPr>
        <w:pStyle w:val="BodyText2"/>
        <w:rPr>
          <w:b w:val="0"/>
          <w:bCs w:val="0"/>
        </w:rPr>
      </w:pPr>
    </w:p>
    <w:p w14:paraId="74CFD09E" w14:textId="77777777" w:rsidR="006F7D5B" w:rsidRPr="00073BD7" w:rsidRDefault="006F7D5B" w:rsidP="00073BD7">
      <w:pPr>
        <w:pStyle w:val="Heading4"/>
        <w:ind w:left="720"/>
        <w:rPr>
          <w:rFonts w:ascii="Arial" w:hAnsi="Arial" w:cs="Arial"/>
          <w:color w:val="auto"/>
          <w:sz w:val="20"/>
          <w:szCs w:val="20"/>
        </w:rPr>
      </w:pPr>
      <w:r w:rsidRPr="00073BD7">
        <w:rPr>
          <w:rFonts w:ascii="Arial" w:hAnsi="Arial" w:cs="Arial"/>
          <w:color w:val="auto"/>
          <w:sz w:val="20"/>
          <w:szCs w:val="20"/>
        </w:rPr>
        <w:t>Recognition</w:t>
      </w:r>
    </w:p>
    <w:p w14:paraId="6383249C" w14:textId="77777777" w:rsidR="006F7D5B" w:rsidRPr="00073BD7" w:rsidRDefault="006F7D5B" w:rsidP="00073BD7">
      <w:pPr>
        <w:pStyle w:val="ListContinue"/>
        <w:ind w:left="720"/>
        <w:rPr>
          <w:rFonts w:ascii="Arial" w:hAnsi="Arial" w:cs="Arial"/>
          <w:sz w:val="20"/>
        </w:rPr>
      </w:pPr>
      <w:r w:rsidRPr="00073BD7">
        <w:rPr>
          <w:rFonts w:ascii="Arial" w:hAnsi="Arial" w:cs="Arial"/>
          <w:sz w:val="20"/>
        </w:rPr>
        <w:t>35.</w:t>
      </w:r>
      <w:r w:rsidRPr="00073BD7">
        <w:rPr>
          <w:rFonts w:ascii="Arial" w:hAnsi="Arial" w:cs="Arial"/>
          <w:sz w:val="20"/>
        </w:rPr>
        <w:tab/>
        <w:t>The principal focus of solvency measurement is determination of financial condition through analysis of the balance sheet. However, protection of the policyholders can only be maintained through continued monitoring of the financial condition of the insurance enterprise. Operating performance is another indicator of an enterprise’s ability to maintain itself as a going concern. Accordingly, the income statement is a secondary focus of statutory accounting and should not be diminished in importance to the extent contemplated by a liquidation basis of accounting.</w:t>
      </w:r>
    </w:p>
    <w:p w14:paraId="392069C9" w14:textId="77777777" w:rsidR="006F7D5B" w:rsidRPr="00073BD7" w:rsidRDefault="006F7D5B" w:rsidP="00073BD7">
      <w:pPr>
        <w:pStyle w:val="ListContinue"/>
        <w:ind w:left="720"/>
        <w:rPr>
          <w:rFonts w:ascii="Arial" w:hAnsi="Arial" w:cs="Arial"/>
          <w:sz w:val="20"/>
        </w:rPr>
      </w:pPr>
      <w:r w:rsidRPr="00073BD7">
        <w:rPr>
          <w:rFonts w:ascii="Arial" w:hAnsi="Arial" w:cs="Arial"/>
          <w:sz w:val="20"/>
        </w:rPr>
        <w:t>36.</w:t>
      </w:r>
      <w:r w:rsidRPr="00073BD7">
        <w:rPr>
          <w:rFonts w:ascii="Arial" w:hAnsi="Arial" w:cs="Arial"/>
          <w:sz w:val="20"/>
        </w:rPr>
        <w:tab/>
        <w:t>The ability to meet policyholder obligations is predicated on the existence of readily marketable assets available when both current and future obligations are due. Assets having economic value other than those which can be used to fulfill policyholder obligations, or those assets which are unavailable due to encumbrances or other third party interests should not be recognized on the balance sheet but rather should be charged against surplus when acquired or when availability otherwise becomes questionable.</w:t>
      </w:r>
    </w:p>
    <w:p w14:paraId="2B871A30" w14:textId="77777777" w:rsidR="006F7D5B" w:rsidRDefault="006F7D5B" w:rsidP="00073BD7">
      <w:pPr>
        <w:pStyle w:val="ListContinue"/>
        <w:ind w:left="720"/>
        <w:rPr>
          <w:rFonts w:ascii="Arial" w:hAnsi="Arial" w:cs="Arial"/>
          <w:sz w:val="20"/>
        </w:rPr>
      </w:pPr>
      <w:r w:rsidRPr="00073BD7">
        <w:rPr>
          <w:rFonts w:ascii="Arial" w:hAnsi="Arial" w:cs="Arial"/>
          <w:sz w:val="20"/>
        </w:rPr>
        <w:t>37.</w:t>
      </w:r>
      <w:r w:rsidRPr="00073BD7">
        <w:rPr>
          <w:rFonts w:ascii="Arial" w:hAnsi="Arial" w:cs="Arial"/>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5D956153" w14:textId="73998A05" w:rsidR="00F55072" w:rsidRDefault="00087733" w:rsidP="00B63489">
      <w:pPr>
        <w:pStyle w:val="ListContinue"/>
        <w:rPr>
          <w:u w:val="single"/>
        </w:rPr>
      </w:pPr>
      <w:r>
        <w:rPr>
          <w:u w:val="single"/>
        </w:rPr>
        <w:t xml:space="preserve">Life Actuarial (A) Task Force </w:t>
      </w:r>
      <w:r w:rsidR="00C573D8">
        <w:rPr>
          <w:u w:val="single"/>
        </w:rPr>
        <w:t>2022</w:t>
      </w:r>
      <w:r w:rsidR="00BA6B79">
        <w:rPr>
          <w:u w:val="single"/>
        </w:rPr>
        <w:t xml:space="preserve"> </w:t>
      </w:r>
      <w:r w:rsidR="00264256">
        <w:rPr>
          <w:u w:val="single"/>
        </w:rPr>
        <w:t>Guidance</w:t>
      </w:r>
    </w:p>
    <w:p w14:paraId="0D952D4D" w14:textId="44358B0D" w:rsidR="008426C3" w:rsidRDefault="008D385C" w:rsidP="00F55072">
      <w:pPr>
        <w:pStyle w:val="BodyText2"/>
      </w:pPr>
      <w:r>
        <w:rPr>
          <w:b w:val="0"/>
          <w:bCs w:val="0"/>
        </w:rPr>
        <w:t xml:space="preserve">The Life Actuarial (A) Task Force considered comments from the ACLI </w:t>
      </w:r>
      <w:r w:rsidR="009E4FF1">
        <w:rPr>
          <w:b w:val="0"/>
          <w:bCs w:val="0"/>
        </w:rPr>
        <w:t>that the inclusion of a negative IMR balance in asset adequacy testing, the disallowance of a negative IMR could re</w:t>
      </w:r>
      <w:r w:rsidR="00C51487">
        <w:rPr>
          <w:b w:val="0"/>
          <w:bCs w:val="0"/>
        </w:rPr>
        <w:t xml:space="preserve">sult in </w:t>
      </w:r>
      <w:r w:rsidR="008D24E4">
        <w:rPr>
          <w:b w:val="0"/>
          <w:bCs w:val="0"/>
        </w:rPr>
        <w:t>double</w:t>
      </w:r>
      <w:r w:rsidR="00C51487">
        <w:rPr>
          <w:b w:val="0"/>
          <w:bCs w:val="0"/>
        </w:rPr>
        <w:t xml:space="preserve"> counting of losses (i.e., through the disallowance on the balance sheet and the potential AAT-related reserve deficiency). </w:t>
      </w:r>
      <w:r w:rsidR="008D24E4">
        <w:rPr>
          <w:b w:val="0"/>
          <w:bCs w:val="0"/>
        </w:rPr>
        <w:t xml:space="preserve">The Task Force </w:t>
      </w:r>
      <w:r w:rsidR="008426C3">
        <w:rPr>
          <w:b w:val="0"/>
          <w:bCs w:val="0"/>
        </w:rPr>
        <w:t>identified</w:t>
      </w:r>
      <w:r w:rsidR="008D24E4">
        <w:rPr>
          <w:b w:val="0"/>
          <w:bCs w:val="0"/>
        </w:rPr>
        <w:t xml:space="preserve"> that </w:t>
      </w:r>
      <w:r w:rsidR="008426C3" w:rsidRPr="008426C3">
        <w:rPr>
          <w:b w:val="0"/>
          <w:bCs w:val="0"/>
        </w:rPr>
        <w:t>VM-20 Section 7.D.7.b notes that “…the company shall use a reasonable approach to allocate any portion of the total company balance that is disallowable under statutory accounting procedures (i.e., when the total company balance is an asset rather than a liability).” Question 22 of the AAA’s Asset Adequacy Practice Note (Attachment 2) states that “… a negative IMR is not an admitted asset in the annual statement. So, some actuaries do not reflect a negative value of IMR in the liabilities used for asset adequacy analysis.” However, Question 22 also notes a 2012 survey data that showed varying practices across companies, including some companies that allocated negative IMR</w:t>
      </w:r>
      <w:r w:rsidR="008426C3">
        <w:t>.</w:t>
      </w:r>
    </w:p>
    <w:p w14:paraId="6D8F14D2" w14:textId="77777777" w:rsidR="007A7E1E" w:rsidRDefault="007A7E1E" w:rsidP="00F55072">
      <w:pPr>
        <w:pStyle w:val="BodyText2"/>
      </w:pPr>
    </w:p>
    <w:p w14:paraId="4AC12882" w14:textId="6783C040" w:rsidR="009034C1" w:rsidRDefault="00841337" w:rsidP="00F55072">
      <w:pPr>
        <w:pStyle w:val="BodyText2"/>
        <w:rPr>
          <w:b w:val="0"/>
          <w:bCs w:val="0"/>
        </w:rPr>
      </w:pPr>
      <w:r>
        <w:rPr>
          <w:b w:val="0"/>
          <w:bCs w:val="0"/>
        </w:rPr>
        <w:t>On Nov</w:t>
      </w:r>
      <w:r w:rsidR="002F5EAD">
        <w:rPr>
          <w:b w:val="0"/>
          <w:bCs w:val="0"/>
        </w:rPr>
        <w:t>.</w:t>
      </w:r>
      <w:r>
        <w:rPr>
          <w:b w:val="0"/>
          <w:bCs w:val="0"/>
        </w:rPr>
        <w:t xml:space="preserve"> 17, </w:t>
      </w:r>
      <w:r w:rsidRPr="00145730">
        <w:rPr>
          <w:b w:val="0"/>
          <w:bCs w:val="0"/>
        </w:rPr>
        <w:t xml:space="preserve">2022, </w:t>
      </w:r>
      <w:r w:rsidR="0033165C">
        <w:rPr>
          <w:b w:val="0"/>
          <w:bCs w:val="0"/>
        </w:rPr>
        <w:t>i</w:t>
      </w:r>
      <w:r w:rsidR="00A77FB8" w:rsidRPr="00145730">
        <w:rPr>
          <w:b w:val="0"/>
          <w:bCs w:val="0"/>
        </w:rPr>
        <w:t xml:space="preserve">n order to assist state regulators in achieving uniform outcomes for year-end 2022, the Task Force </w:t>
      </w:r>
      <w:r w:rsidR="00067DE5">
        <w:rPr>
          <w:b w:val="0"/>
          <w:bCs w:val="0"/>
        </w:rPr>
        <w:t>exposed</w:t>
      </w:r>
      <w:r w:rsidR="00B06409" w:rsidRPr="00145730">
        <w:rPr>
          <w:b w:val="0"/>
          <w:bCs w:val="0"/>
        </w:rPr>
        <w:t xml:space="preserve"> </w:t>
      </w:r>
      <w:r w:rsidR="007042DD">
        <w:rPr>
          <w:b w:val="0"/>
          <w:bCs w:val="0"/>
        </w:rPr>
        <w:t xml:space="preserve">guidance </w:t>
      </w:r>
      <w:r w:rsidR="006A47F5">
        <w:rPr>
          <w:b w:val="0"/>
          <w:bCs w:val="0"/>
        </w:rPr>
        <w:t>until November</w:t>
      </w:r>
      <w:r w:rsidR="001A78DE">
        <w:rPr>
          <w:b w:val="0"/>
          <w:bCs w:val="0"/>
        </w:rPr>
        <w:t xml:space="preserve"> 30, 2022:</w:t>
      </w:r>
    </w:p>
    <w:p w14:paraId="2C885613" w14:textId="77777777" w:rsidR="00F25DA2" w:rsidRDefault="00F25DA2" w:rsidP="00F55072">
      <w:pPr>
        <w:pStyle w:val="BodyText2"/>
        <w:rPr>
          <w:b w:val="0"/>
          <w:bCs w:val="0"/>
        </w:rPr>
      </w:pPr>
    </w:p>
    <w:p w14:paraId="0607D7AF" w14:textId="57F4036E" w:rsidR="00B24058" w:rsidRDefault="006A47F5" w:rsidP="00F25DA2">
      <w:pPr>
        <w:pStyle w:val="BodyText2"/>
        <w:ind w:left="720"/>
        <w:rPr>
          <w:rFonts w:ascii="Arial" w:hAnsi="Arial" w:cs="Arial"/>
          <w:b w:val="0"/>
          <w:bCs w:val="0"/>
          <w:sz w:val="20"/>
        </w:rPr>
      </w:pPr>
      <w:r w:rsidRPr="006A47F5">
        <w:rPr>
          <w:b w:val="0"/>
          <w:bCs w:val="0"/>
        </w:rPr>
        <w:t xml:space="preserve">Recommendation In order to assist state regulators in achieving uniform outcomes for year-end 2022, we have the following recommendation: the allocation of IMR in VM-20, VM-21, and VM-30 should be principle-based, “appropriate”, and “reasonable”. Companies are not required to allocate any non-admitted </w:t>
      </w:r>
      <w:r w:rsidRPr="006A47F5">
        <w:rPr>
          <w:b w:val="0"/>
          <w:bCs w:val="0"/>
        </w:rPr>
        <w:lastRenderedPageBreak/>
        <w:t>portion of IMR (or PIMR, as applicable) for purposes of VM-20, VM-21, and VM-30, as being consistent with the asset handling for the nonadmitted portion of IMR would be part of a principle-based, reasonable and appropriate allocation. However, if a company was granted a permitted practice to admit negative IMR as an asset, the company should allocate the formerly non-admitted portion of negative IMR, as again a principle-based, reasonable and appropriate IMR allocation would be consistent with the handling of the IMR asset. This recommended guidance is for year-end 2022, to address the current uncertainty and concerns with the “double-counting” of losses. This recommended guidance will help ensure consistency between states and between life insurers in this volatile rate environment. Refinement of this guidance may be considered beyond year-end 2022</w:t>
      </w:r>
      <w:r>
        <w:t>.</w:t>
      </w:r>
    </w:p>
    <w:p w14:paraId="15D10433" w14:textId="77777777" w:rsidR="00C85D4B" w:rsidRDefault="00C85D4B" w:rsidP="00B24058">
      <w:pPr>
        <w:pStyle w:val="BodyText2"/>
        <w:rPr>
          <w:b w:val="0"/>
          <w:bCs w:val="0"/>
        </w:rPr>
      </w:pPr>
    </w:p>
    <w:p w14:paraId="2D1B99B7" w14:textId="14ED0D40" w:rsidR="00B24058" w:rsidRDefault="00853A6E" w:rsidP="00B24058">
      <w:pPr>
        <w:pStyle w:val="BodyText2"/>
        <w:rPr>
          <w:b w:val="0"/>
          <w:bCs w:val="0"/>
        </w:rPr>
      </w:pPr>
      <w:r w:rsidRPr="00853A6E">
        <w:rPr>
          <w:b w:val="0"/>
          <w:bCs w:val="0"/>
        </w:rPr>
        <w:t xml:space="preserve">The </w:t>
      </w:r>
      <w:r w:rsidR="003D27DC">
        <w:rPr>
          <w:b w:val="0"/>
          <w:bCs w:val="0"/>
        </w:rPr>
        <w:t>Oct. 31</w:t>
      </w:r>
      <w:r w:rsidR="00B022C4">
        <w:rPr>
          <w:b w:val="0"/>
          <w:bCs w:val="0"/>
        </w:rPr>
        <w:t xml:space="preserve">, </w:t>
      </w:r>
      <w:proofErr w:type="gramStart"/>
      <w:r w:rsidR="00B022C4">
        <w:rPr>
          <w:b w:val="0"/>
          <w:bCs w:val="0"/>
        </w:rPr>
        <w:t>2022</w:t>
      </w:r>
      <w:proofErr w:type="gramEnd"/>
      <w:r w:rsidR="003D27DC">
        <w:rPr>
          <w:b w:val="0"/>
          <w:bCs w:val="0"/>
        </w:rPr>
        <w:t xml:space="preserve"> </w:t>
      </w:r>
      <w:r w:rsidRPr="00853A6E">
        <w:rPr>
          <w:b w:val="0"/>
          <w:bCs w:val="0"/>
        </w:rPr>
        <w:t>ACLI Letter also identified the following reference</w:t>
      </w:r>
      <w:r w:rsidR="0089117F">
        <w:rPr>
          <w:b w:val="0"/>
          <w:bCs w:val="0"/>
        </w:rPr>
        <w:t>s</w:t>
      </w:r>
      <w:r w:rsidRPr="00853A6E">
        <w:rPr>
          <w:b w:val="0"/>
          <w:bCs w:val="0"/>
        </w:rPr>
        <w:t xml:space="preserve"> to IMR in the valuation manual and Risk-Based Capital Calculations: </w:t>
      </w:r>
    </w:p>
    <w:p w14:paraId="67671AAC" w14:textId="77777777" w:rsidR="009604FB" w:rsidRPr="00B32FAE" w:rsidRDefault="009604FB" w:rsidP="00B24058">
      <w:pPr>
        <w:pStyle w:val="BodyText2"/>
        <w:rPr>
          <w:rFonts w:ascii="Arial" w:hAnsi="Arial" w:cs="Arial"/>
          <w:b w:val="0"/>
          <w:bCs w:val="0"/>
          <w:sz w:val="20"/>
        </w:rPr>
      </w:pPr>
    </w:p>
    <w:tbl>
      <w:tblPr>
        <w:tblW w:w="986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2932"/>
        <w:gridCol w:w="3296"/>
      </w:tblGrid>
      <w:tr w:rsidR="009604FB" w:rsidRPr="00B32FAE" w14:paraId="0F4AFC5E" w14:textId="77777777" w:rsidTr="00AD334A">
        <w:trPr>
          <w:trHeight w:val="109"/>
        </w:trPr>
        <w:tc>
          <w:tcPr>
            <w:tcW w:w="3638" w:type="dxa"/>
          </w:tcPr>
          <w:p w14:paraId="496D9A66" w14:textId="77777777" w:rsidR="009604FB" w:rsidRPr="00B32FAE" w:rsidRDefault="009604FB">
            <w:pPr>
              <w:pStyle w:val="Default"/>
              <w:rPr>
                <w:rFonts w:ascii="Arial" w:hAnsi="Arial" w:cs="Arial"/>
                <w:b/>
                <w:bCs/>
                <w:sz w:val="20"/>
                <w:szCs w:val="20"/>
              </w:rPr>
            </w:pPr>
            <w:r w:rsidRPr="00B32FAE">
              <w:rPr>
                <w:rFonts w:ascii="Arial" w:hAnsi="Arial" w:cs="Arial"/>
                <w:b/>
                <w:bCs/>
                <w:sz w:val="20"/>
                <w:szCs w:val="20"/>
              </w:rPr>
              <w:t xml:space="preserve">Regulation </w:t>
            </w:r>
          </w:p>
        </w:tc>
        <w:tc>
          <w:tcPr>
            <w:tcW w:w="2932" w:type="dxa"/>
          </w:tcPr>
          <w:p w14:paraId="0CC915CC" w14:textId="77777777" w:rsidR="009604FB" w:rsidRPr="00B32FAE" w:rsidRDefault="009604FB">
            <w:pPr>
              <w:pStyle w:val="Default"/>
              <w:rPr>
                <w:rFonts w:ascii="Arial" w:hAnsi="Arial" w:cs="Arial"/>
                <w:b/>
                <w:bCs/>
                <w:sz w:val="20"/>
                <w:szCs w:val="20"/>
              </w:rPr>
            </w:pPr>
            <w:r w:rsidRPr="00B32FAE">
              <w:rPr>
                <w:rFonts w:ascii="Arial" w:hAnsi="Arial" w:cs="Arial"/>
                <w:b/>
                <w:bCs/>
                <w:sz w:val="20"/>
                <w:szCs w:val="20"/>
              </w:rPr>
              <w:t xml:space="preserve">Use </w:t>
            </w:r>
          </w:p>
        </w:tc>
        <w:tc>
          <w:tcPr>
            <w:tcW w:w="3296" w:type="dxa"/>
          </w:tcPr>
          <w:p w14:paraId="2F9597F9" w14:textId="77777777" w:rsidR="009604FB" w:rsidRDefault="009604FB">
            <w:pPr>
              <w:pStyle w:val="Default"/>
              <w:rPr>
                <w:rFonts w:ascii="Arial" w:hAnsi="Arial" w:cs="Arial"/>
                <w:b/>
                <w:bCs/>
                <w:sz w:val="20"/>
                <w:szCs w:val="20"/>
              </w:rPr>
            </w:pPr>
            <w:r w:rsidRPr="00B32FAE">
              <w:rPr>
                <w:rFonts w:ascii="Arial" w:hAnsi="Arial" w:cs="Arial"/>
                <w:b/>
                <w:bCs/>
                <w:sz w:val="20"/>
                <w:szCs w:val="20"/>
              </w:rPr>
              <w:t xml:space="preserve">IMR references </w:t>
            </w:r>
          </w:p>
          <w:p w14:paraId="1955E550" w14:textId="61D1256C" w:rsidR="00AD334A" w:rsidRPr="00B32FAE" w:rsidRDefault="00AD334A">
            <w:pPr>
              <w:pStyle w:val="Default"/>
              <w:rPr>
                <w:rFonts w:ascii="Arial" w:hAnsi="Arial" w:cs="Arial"/>
                <w:b/>
                <w:bCs/>
                <w:sz w:val="20"/>
                <w:szCs w:val="20"/>
              </w:rPr>
            </w:pPr>
          </w:p>
        </w:tc>
      </w:tr>
      <w:tr w:rsidR="009604FB" w:rsidRPr="00B32FAE" w14:paraId="68622476" w14:textId="77777777" w:rsidTr="00AD334A">
        <w:trPr>
          <w:trHeight w:val="388"/>
        </w:trPr>
        <w:tc>
          <w:tcPr>
            <w:tcW w:w="3638" w:type="dxa"/>
          </w:tcPr>
          <w:p w14:paraId="4AC04E8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Actuarial Opinion and Memorandum Regulation (VM-30) </w:t>
            </w:r>
          </w:p>
        </w:tc>
        <w:tc>
          <w:tcPr>
            <w:tcW w:w="2932" w:type="dxa"/>
          </w:tcPr>
          <w:p w14:paraId="4E90991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Asset adequacy analysis for annual reserve opinion </w:t>
            </w:r>
          </w:p>
        </w:tc>
        <w:tc>
          <w:tcPr>
            <w:tcW w:w="3296" w:type="dxa"/>
          </w:tcPr>
          <w:p w14:paraId="1C4D9BE3"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An appropriate allocation of assets in the amount of the IMR, whether positive or negative, shall be used in any asset adequacy analysis. </w:t>
            </w:r>
          </w:p>
        </w:tc>
      </w:tr>
      <w:tr w:rsidR="009604FB" w:rsidRPr="00B32FAE" w14:paraId="6B5267D5" w14:textId="77777777" w:rsidTr="00AD334A">
        <w:trPr>
          <w:trHeight w:val="808"/>
        </w:trPr>
        <w:tc>
          <w:tcPr>
            <w:tcW w:w="3638" w:type="dxa"/>
          </w:tcPr>
          <w:p w14:paraId="181DAA4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Life principle-based reserves (VM-20) </w:t>
            </w:r>
          </w:p>
        </w:tc>
        <w:tc>
          <w:tcPr>
            <w:tcW w:w="2932" w:type="dxa"/>
          </w:tcPr>
          <w:p w14:paraId="4519E605"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Calculation of deterministic reserve </w:t>
            </w:r>
          </w:p>
        </w:tc>
        <w:tc>
          <w:tcPr>
            <w:tcW w:w="3296" w:type="dxa"/>
          </w:tcPr>
          <w:p w14:paraId="0D9A1633"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Calculate the deterministic reserve equal to the actuarial present value of benefits, expenses, and related amounts less the actuarial present value of premiums and related amounts, less the positive or negative pre-tax IMR balance at the valuation date allocated to the group of one or more policies being modeled </w:t>
            </w:r>
          </w:p>
        </w:tc>
      </w:tr>
      <w:tr w:rsidR="009604FB" w:rsidRPr="00B32FAE" w14:paraId="748DE31A" w14:textId="77777777" w:rsidTr="00AD334A">
        <w:trPr>
          <w:trHeight w:val="550"/>
        </w:trPr>
        <w:tc>
          <w:tcPr>
            <w:tcW w:w="3638" w:type="dxa"/>
          </w:tcPr>
          <w:p w14:paraId="5366574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Life principle-based reserves (VM-20) </w:t>
            </w:r>
          </w:p>
        </w:tc>
        <w:tc>
          <w:tcPr>
            <w:tcW w:w="2932" w:type="dxa"/>
          </w:tcPr>
          <w:p w14:paraId="182E42A4"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Calculation of stochastic reserve </w:t>
            </w:r>
          </w:p>
        </w:tc>
        <w:tc>
          <w:tcPr>
            <w:tcW w:w="3296" w:type="dxa"/>
          </w:tcPr>
          <w:p w14:paraId="41BF41E1" w14:textId="77777777" w:rsidR="009604FB" w:rsidRPr="00B32FAE" w:rsidRDefault="009604FB">
            <w:pPr>
              <w:pStyle w:val="Default"/>
              <w:rPr>
                <w:rFonts w:ascii="Arial" w:hAnsi="Arial" w:cs="Arial"/>
                <w:color w:val="auto"/>
                <w:sz w:val="20"/>
                <w:szCs w:val="20"/>
              </w:rPr>
            </w:pPr>
          </w:p>
          <w:p w14:paraId="614F2655" w14:textId="77777777" w:rsidR="009604FB" w:rsidRPr="00B32FAE" w:rsidRDefault="009604FB" w:rsidP="009604FB">
            <w:pPr>
              <w:pStyle w:val="Default"/>
              <w:numPr>
                <w:ilvl w:val="0"/>
                <w:numId w:val="15"/>
              </w:numPr>
              <w:rPr>
                <w:rFonts w:ascii="Arial" w:hAnsi="Arial" w:cs="Arial"/>
                <w:sz w:val="20"/>
                <w:szCs w:val="20"/>
              </w:rPr>
            </w:pPr>
            <w:r w:rsidRPr="00B32FAE">
              <w:rPr>
                <w:rFonts w:ascii="Arial" w:hAnsi="Arial" w:cs="Arial"/>
                <w:sz w:val="20"/>
                <w:szCs w:val="20"/>
              </w:rPr>
              <w:t xml:space="preserve">Add the CTE amount (D) plus any additional amount (E) less the positive or negative pre-tax IMR balance allocated to the group of one or more policies being modeled </w:t>
            </w:r>
          </w:p>
          <w:p w14:paraId="347E83AA" w14:textId="77777777" w:rsidR="009604FB" w:rsidRPr="00B32FAE" w:rsidRDefault="009604FB">
            <w:pPr>
              <w:pStyle w:val="Default"/>
              <w:rPr>
                <w:rFonts w:ascii="Arial" w:hAnsi="Arial" w:cs="Arial"/>
                <w:sz w:val="20"/>
                <w:szCs w:val="20"/>
              </w:rPr>
            </w:pPr>
          </w:p>
        </w:tc>
      </w:tr>
      <w:tr w:rsidR="009604FB" w:rsidRPr="00B32FAE" w14:paraId="1EED2E7F" w14:textId="77777777" w:rsidTr="00AD334A">
        <w:trPr>
          <w:trHeight w:val="390"/>
        </w:trPr>
        <w:tc>
          <w:tcPr>
            <w:tcW w:w="3638" w:type="dxa"/>
          </w:tcPr>
          <w:p w14:paraId="024E4E31"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Variable annuities principle-based reserves (VM-21) </w:t>
            </w:r>
          </w:p>
        </w:tc>
        <w:tc>
          <w:tcPr>
            <w:tcW w:w="2932" w:type="dxa"/>
          </w:tcPr>
          <w:p w14:paraId="111A5717"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Reserving for variable annuities </w:t>
            </w:r>
          </w:p>
        </w:tc>
        <w:tc>
          <w:tcPr>
            <w:tcW w:w="3296" w:type="dxa"/>
          </w:tcPr>
          <w:p w14:paraId="3A8BC40E"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The IMR shall be handled consistently with the treatment in the company’s cash-flow testing, and the amounts should be adjusted to a pre-tax basis. </w:t>
            </w:r>
          </w:p>
        </w:tc>
      </w:tr>
      <w:tr w:rsidR="009604FB" w:rsidRPr="00B32FAE" w14:paraId="742F6974" w14:textId="77777777" w:rsidTr="00AD334A">
        <w:trPr>
          <w:trHeight w:val="388"/>
        </w:trPr>
        <w:tc>
          <w:tcPr>
            <w:tcW w:w="3638" w:type="dxa"/>
          </w:tcPr>
          <w:p w14:paraId="0C1D76B6"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C3 Phase 1 (Interest rate risk capital) </w:t>
            </w:r>
          </w:p>
        </w:tc>
        <w:tc>
          <w:tcPr>
            <w:tcW w:w="2932" w:type="dxa"/>
          </w:tcPr>
          <w:p w14:paraId="615FDCE9"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RBC for fixed annuities and single premium life </w:t>
            </w:r>
          </w:p>
        </w:tc>
        <w:tc>
          <w:tcPr>
            <w:tcW w:w="3296" w:type="dxa"/>
          </w:tcPr>
          <w:p w14:paraId="35AACAB6" w14:textId="77777777" w:rsidR="009604FB" w:rsidRPr="00B32FAE" w:rsidRDefault="009604FB">
            <w:pPr>
              <w:pStyle w:val="Default"/>
              <w:rPr>
                <w:rFonts w:ascii="Arial" w:hAnsi="Arial" w:cs="Arial"/>
                <w:sz w:val="20"/>
                <w:szCs w:val="20"/>
              </w:rPr>
            </w:pPr>
            <w:r w:rsidRPr="00B32FAE">
              <w:rPr>
                <w:rFonts w:ascii="Arial" w:hAnsi="Arial" w:cs="Arial"/>
                <w:sz w:val="20"/>
                <w:szCs w:val="20"/>
              </w:rPr>
              <w:t xml:space="preserve">IMR assets should be used for C3 modeling. </w:t>
            </w:r>
          </w:p>
        </w:tc>
      </w:tr>
    </w:tbl>
    <w:p w14:paraId="6A3FF237" w14:textId="77777777" w:rsidR="009604FB" w:rsidRPr="009604FB" w:rsidRDefault="009604FB" w:rsidP="009604FB">
      <w:pPr>
        <w:pStyle w:val="BodyText2"/>
        <w:ind w:left="720"/>
        <w:rPr>
          <w:b w:val="0"/>
          <w:bCs w:val="0"/>
          <w:szCs w:val="22"/>
        </w:rPr>
      </w:pPr>
    </w:p>
    <w:p w14:paraId="0CBAC211" w14:textId="77777777" w:rsidR="005700E1" w:rsidRDefault="005700E1" w:rsidP="00FF68C7">
      <w:pPr>
        <w:pStyle w:val="ListParagraph"/>
        <w:jc w:val="both"/>
        <w:rPr>
          <w:b/>
          <w:szCs w:val="22"/>
        </w:rPr>
      </w:pPr>
    </w:p>
    <w:p w14:paraId="024921F6" w14:textId="77777777" w:rsidR="007D4563" w:rsidRDefault="007D4563">
      <w:pPr>
        <w:rPr>
          <w:b/>
          <w:sz w:val="22"/>
          <w:szCs w:val="22"/>
          <w:u w:val="single"/>
        </w:rPr>
      </w:pPr>
      <w:r>
        <w:rPr>
          <w:b/>
          <w:sz w:val="22"/>
          <w:szCs w:val="22"/>
          <w:u w:val="single"/>
        </w:rPr>
        <w:br w:type="page"/>
      </w:r>
    </w:p>
    <w:p w14:paraId="312576FF" w14:textId="200F33F6" w:rsidR="00252846" w:rsidRDefault="006E27AE" w:rsidP="006E27AE">
      <w:pPr>
        <w:jc w:val="both"/>
        <w:rPr>
          <w:b/>
          <w:sz w:val="22"/>
          <w:szCs w:val="22"/>
          <w:u w:val="single"/>
        </w:rPr>
      </w:pPr>
      <w:r w:rsidRPr="006B76E4">
        <w:rPr>
          <w:b/>
          <w:sz w:val="22"/>
          <w:szCs w:val="22"/>
          <w:u w:val="single"/>
        </w:rPr>
        <w:lastRenderedPageBreak/>
        <w:t xml:space="preserve">Assessment of </w:t>
      </w:r>
      <w:r w:rsidR="00DD6AF6">
        <w:rPr>
          <w:b/>
          <w:sz w:val="22"/>
          <w:szCs w:val="22"/>
          <w:u w:val="single"/>
        </w:rPr>
        <w:t xml:space="preserve">2020-2022 </w:t>
      </w:r>
      <w:r w:rsidRPr="006B76E4">
        <w:rPr>
          <w:b/>
          <w:sz w:val="22"/>
          <w:szCs w:val="22"/>
          <w:u w:val="single"/>
        </w:rPr>
        <w:t xml:space="preserve">IMR Balances: </w:t>
      </w:r>
    </w:p>
    <w:p w14:paraId="411C94B6" w14:textId="77777777" w:rsidR="007D4563" w:rsidRDefault="007D4563" w:rsidP="006E27AE">
      <w:pPr>
        <w:jc w:val="both"/>
        <w:rPr>
          <w:b/>
          <w:sz w:val="22"/>
          <w:szCs w:val="22"/>
          <w:u w:val="single"/>
        </w:rPr>
      </w:pPr>
    </w:p>
    <w:p w14:paraId="0FDCB928" w14:textId="626AD519" w:rsidR="007D4563" w:rsidRPr="00CA0132" w:rsidRDefault="7F7E67CA" w:rsidP="23FA8C93">
      <w:pPr>
        <w:jc w:val="both"/>
        <w:rPr>
          <w:i/>
          <w:iCs/>
          <w:sz w:val="22"/>
          <w:szCs w:val="22"/>
        </w:rPr>
      </w:pPr>
      <w:r w:rsidRPr="23FA8C93">
        <w:rPr>
          <w:i/>
          <w:iCs/>
          <w:sz w:val="22"/>
          <w:szCs w:val="22"/>
        </w:rPr>
        <w:t xml:space="preserve">Note </w:t>
      </w:r>
      <w:r w:rsidR="54433106" w:rsidRPr="23FA8C93">
        <w:rPr>
          <w:i/>
          <w:iCs/>
          <w:sz w:val="22"/>
          <w:szCs w:val="22"/>
        </w:rPr>
        <w:t>–</w:t>
      </w:r>
      <w:r w:rsidRPr="23FA8C93">
        <w:rPr>
          <w:i/>
          <w:iCs/>
          <w:sz w:val="22"/>
          <w:szCs w:val="22"/>
        </w:rPr>
        <w:t xml:space="preserve"> </w:t>
      </w:r>
      <w:r w:rsidR="54433106" w:rsidRPr="23FA8C93">
        <w:rPr>
          <w:i/>
          <w:iCs/>
          <w:sz w:val="22"/>
          <w:szCs w:val="22"/>
        </w:rPr>
        <w:t xml:space="preserve">The following </w:t>
      </w:r>
      <w:r w:rsidR="2A3C740A" w:rsidRPr="23FA8C93">
        <w:rPr>
          <w:i/>
          <w:iCs/>
          <w:sz w:val="22"/>
          <w:szCs w:val="22"/>
        </w:rPr>
        <w:t xml:space="preserve">amounts reflect the general account IMR </w:t>
      </w:r>
      <w:r w:rsidR="246B174D" w:rsidRPr="23FA8C93">
        <w:rPr>
          <w:i/>
          <w:iCs/>
          <w:sz w:val="22"/>
          <w:szCs w:val="22"/>
        </w:rPr>
        <w:t xml:space="preserve">Reserve </w:t>
      </w:r>
      <w:r w:rsidR="2A3C740A" w:rsidRPr="23FA8C93">
        <w:rPr>
          <w:i/>
          <w:iCs/>
          <w:sz w:val="22"/>
          <w:szCs w:val="22"/>
        </w:rPr>
        <w:t xml:space="preserve">balance. </w:t>
      </w:r>
      <w:r w:rsidR="62A8084E" w:rsidRPr="23FA8C93">
        <w:rPr>
          <w:i/>
          <w:iCs/>
          <w:sz w:val="22"/>
          <w:szCs w:val="22"/>
        </w:rPr>
        <w:t xml:space="preserve">(This is the amount shown as a liability </w:t>
      </w:r>
      <w:r w:rsidR="1A7B52A5" w:rsidRPr="23FA8C93">
        <w:rPr>
          <w:i/>
          <w:iCs/>
          <w:sz w:val="22"/>
          <w:szCs w:val="22"/>
        </w:rPr>
        <w:t xml:space="preserve">and </w:t>
      </w:r>
      <w:r w:rsidR="62A8084E" w:rsidRPr="23FA8C93">
        <w:rPr>
          <w:i/>
          <w:iCs/>
          <w:sz w:val="22"/>
          <w:szCs w:val="22"/>
        </w:rPr>
        <w:t>show</w:t>
      </w:r>
      <w:r w:rsidR="0A19A47C" w:rsidRPr="23FA8C93">
        <w:rPr>
          <w:i/>
          <w:iCs/>
          <w:sz w:val="22"/>
          <w:szCs w:val="22"/>
        </w:rPr>
        <w:t>s</w:t>
      </w:r>
      <w:r w:rsidR="62A8084E" w:rsidRPr="23FA8C93">
        <w:rPr>
          <w:i/>
          <w:iCs/>
          <w:sz w:val="22"/>
          <w:szCs w:val="22"/>
        </w:rPr>
        <w:t xml:space="preserve"> the decrease </w:t>
      </w:r>
      <w:r w:rsidR="31BD8FF5" w:rsidRPr="23FA8C93">
        <w:rPr>
          <w:i/>
          <w:iCs/>
          <w:sz w:val="22"/>
          <w:szCs w:val="22"/>
        </w:rPr>
        <w:t xml:space="preserve">in the positive IMR reported </w:t>
      </w:r>
      <w:r w:rsidR="62A8084E" w:rsidRPr="23FA8C93">
        <w:rPr>
          <w:i/>
          <w:iCs/>
          <w:sz w:val="22"/>
          <w:szCs w:val="22"/>
        </w:rPr>
        <w:t xml:space="preserve">since 2020.) This detail does not show the </w:t>
      </w:r>
      <w:r w:rsidR="1C4879C9" w:rsidRPr="23FA8C93">
        <w:rPr>
          <w:i/>
          <w:iCs/>
          <w:sz w:val="22"/>
          <w:szCs w:val="22"/>
        </w:rPr>
        <w:t xml:space="preserve">disallowed negative IMR reported as an asset and nonadmitted. </w:t>
      </w:r>
      <w:r w:rsidR="0A4B019E" w:rsidRPr="23FA8C93">
        <w:rPr>
          <w:i/>
          <w:iCs/>
          <w:sz w:val="22"/>
          <w:szCs w:val="22"/>
        </w:rPr>
        <w:t>Also, i</w:t>
      </w:r>
      <w:r w:rsidR="2A3C740A" w:rsidRPr="23FA8C93">
        <w:rPr>
          <w:i/>
          <w:iCs/>
          <w:sz w:val="22"/>
          <w:szCs w:val="22"/>
        </w:rPr>
        <w:t xml:space="preserve">nformation on the separate account IMR, which is </w:t>
      </w:r>
      <w:r w:rsidR="05C9406B" w:rsidRPr="23FA8C93">
        <w:rPr>
          <w:i/>
          <w:iCs/>
          <w:sz w:val="22"/>
          <w:szCs w:val="22"/>
        </w:rPr>
        <w:t>a factor</w:t>
      </w:r>
      <w:r w:rsidR="44531D9B" w:rsidRPr="23FA8C93">
        <w:rPr>
          <w:i/>
          <w:iCs/>
          <w:sz w:val="22"/>
          <w:szCs w:val="22"/>
        </w:rPr>
        <w:t xml:space="preserve"> in determining i</w:t>
      </w:r>
      <w:r w:rsidR="33023BC9" w:rsidRPr="23FA8C93">
        <w:rPr>
          <w:i/>
          <w:iCs/>
          <w:sz w:val="22"/>
          <w:szCs w:val="22"/>
        </w:rPr>
        <w:t>n</w:t>
      </w:r>
      <w:r w:rsidR="44531D9B" w:rsidRPr="23FA8C93">
        <w:rPr>
          <w:i/>
          <w:iCs/>
          <w:sz w:val="22"/>
          <w:szCs w:val="22"/>
        </w:rPr>
        <w:t xml:space="preserve"> </w:t>
      </w:r>
      <w:r w:rsidR="33023BC9" w:rsidRPr="23FA8C93">
        <w:rPr>
          <w:i/>
          <w:iCs/>
          <w:sz w:val="22"/>
          <w:szCs w:val="22"/>
        </w:rPr>
        <w:t>disallowed</w:t>
      </w:r>
      <w:r w:rsidR="44531D9B" w:rsidRPr="23FA8C93">
        <w:rPr>
          <w:i/>
          <w:iCs/>
          <w:sz w:val="22"/>
          <w:szCs w:val="22"/>
        </w:rPr>
        <w:t xml:space="preserve"> negative</w:t>
      </w:r>
      <w:r w:rsidR="33023BC9" w:rsidRPr="23FA8C93">
        <w:rPr>
          <w:i/>
          <w:iCs/>
          <w:sz w:val="22"/>
          <w:szCs w:val="22"/>
        </w:rPr>
        <w:t xml:space="preserve"> IMR</w:t>
      </w:r>
      <w:r w:rsidR="44531D9B" w:rsidRPr="23FA8C93">
        <w:rPr>
          <w:i/>
          <w:iCs/>
          <w:sz w:val="22"/>
          <w:szCs w:val="22"/>
        </w:rPr>
        <w:t xml:space="preserve">, will not be known until </w:t>
      </w:r>
      <w:r w:rsidR="05C9406B" w:rsidRPr="23FA8C93">
        <w:rPr>
          <w:i/>
          <w:iCs/>
          <w:sz w:val="22"/>
          <w:szCs w:val="22"/>
        </w:rPr>
        <w:t xml:space="preserve">the year-end financial statements are filed (March 1. 2023). </w:t>
      </w:r>
    </w:p>
    <w:p w14:paraId="76F38A95" w14:textId="77777777" w:rsidR="002E10B8" w:rsidRPr="006B76E4" w:rsidRDefault="002E10B8" w:rsidP="00AB485B">
      <w:pPr>
        <w:jc w:val="both"/>
        <w:rPr>
          <w:b/>
          <w:sz w:val="22"/>
          <w:szCs w:val="22"/>
        </w:rPr>
      </w:pPr>
    </w:p>
    <w:tbl>
      <w:tblPr>
        <w:tblStyle w:val="TableGrid"/>
        <w:tblW w:w="0" w:type="auto"/>
        <w:tblInd w:w="-95" w:type="dxa"/>
        <w:tblLook w:val="04A0" w:firstRow="1" w:lastRow="0" w:firstColumn="1" w:lastColumn="0" w:noHBand="0" w:noVBand="1"/>
      </w:tblPr>
      <w:tblGrid>
        <w:gridCol w:w="1890"/>
        <w:gridCol w:w="1661"/>
        <w:gridCol w:w="1658"/>
        <w:gridCol w:w="1690"/>
        <w:gridCol w:w="1634"/>
        <w:gridCol w:w="1632"/>
      </w:tblGrid>
      <w:tr w:rsidR="00B476ED" w:rsidRPr="006B76E4" w14:paraId="3951B932" w14:textId="77777777" w:rsidTr="00B476ED">
        <w:tc>
          <w:tcPr>
            <w:tcW w:w="1890" w:type="dxa"/>
          </w:tcPr>
          <w:p w14:paraId="11837EB1" w14:textId="77777777" w:rsidR="00B476ED" w:rsidRPr="006B76E4" w:rsidRDefault="00B476ED" w:rsidP="008B10D5">
            <w:pPr>
              <w:jc w:val="center"/>
              <w:rPr>
                <w:b/>
                <w:sz w:val="22"/>
                <w:szCs w:val="22"/>
              </w:rPr>
            </w:pPr>
          </w:p>
        </w:tc>
        <w:tc>
          <w:tcPr>
            <w:tcW w:w="1661" w:type="dxa"/>
          </w:tcPr>
          <w:p w14:paraId="1EF0366A" w14:textId="56F509BD" w:rsidR="00B476ED" w:rsidRPr="006B76E4" w:rsidRDefault="00B476ED" w:rsidP="008B10D5">
            <w:pPr>
              <w:jc w:val="center"/>
              <w:rPr>
                <w:b/>
                <w:sz w:val="22"/>
                <w:szCs w:val="22"/>
              </w:rPr>
            </w:pPr>
            <w:r w:rsidRPr="006B76E4">
              <w:rPr>
                <w:b/>
                <w:sz w:val="22"/>
                <w:szCs w:val="22"/>
              </w:rPr>
              <w:t>GA 2022 – Q3</w:t>
            </w:r>
          </w:p>
        </w:tc>
        <w:tc>
          <w:tcPr>
            <w:tcW w:w="1658" w:type="dxa"/>
          </w:tcPr>
          <w:p w14:paraId="00645089" w14:textId="5D57D88A" w:rsidR="00B476ED" w:rsidRPr="006B76E4" w:rsidRDefault="00B476ED" w:rsidP="008B10D5">
            <w:pPr>
              <w:jc w:val="center"/>
              <w:rPr>
                <w:b/>
                <w:sz w:val="22"/>
                <w:szCs w:val="22"/>
              </w:rPr>
            </w:pPr>
            <w:r w:rsidRPr="006B76E4">
              <w:rPr>
                <w:b/>
                <w:sz w:val="22"/>
                <w:szCs w:val="22"/>
              </w:rPr>
              <w:t>GA 2022 – Q2</w:t>
            </w:r>
          </w:p>
        </w:tc>
        <w:tc>
          <w:tcPr>
            <w:tcW w:w="1690" w:type="dxa"/>
          </w:tcPr>
          <w:p w14:paraId="23725955" w14:textId="12309100" w:rsidR="00B476ED" w:rsidRPr="006B76E4" w:rsidRDefault="00B476ED" w:rsidP="008B10D5">
            <w:pPr>
              <w:jc w:val="center"/>
              <w:rPr>
                <w:b/>
                <w:sz w:val="22"/>
                <w:szCs w:val="22"/>
              </w:rPr>
            </w:pPr>
            <w:r w:rsidRPr="006B76E4">
              <w:rPr>
                <w:b/>
                <w:sz w:val="22"/>
                <w:szCs w:val="22"/>
              </w:rPr>
              <w:t>GA 2022 – Q1</w:t>
            </w:r>
          </w:p>
        </w:tc>
        <w:tc>
          <w:tcPr>
            <w:tcW w:w="1634" w:type="dxa"/>
          </w:tcPr>
          <w:p w14:paraId="74D9E93E" w14:textId="481745D5" w:rsidR="00B476ED" w:rsidRPr="006B76E4" w:rsidRDefault="00B476ED" w:rsidP="008B10D5">
            <w:pPr>
              <w:jc w:val="center"/>
              <w:rPr>
                <w:b/>
                <w:sz w:val="22"/>
                <w:szCs w:val="22"/>
              </w:rPr>
            </w:pPr>
            <w:r w:rsidRPr="006B76E4">
              <w:rPr>
                <w:b/>
                <w:sz w:val="22"/>
                <w:szCs w:val="22"/>
              </w:rPr>
              <w:t>GA YE – 2021</w:t>
            </w:r>
          </w:p>
        </w:tc>
        <w:tc>
          <w:tcPr>
            <w:tcW w:w="1632" w:type="dxa"/>
          </w:tcPr>
          <w:p w14:paraId="66D5F62B" w14:textId="7857FD66" w:rsidR="00B476ED" w:rsidRPr="006B76E4" w:rsidRDefault="00B476ED" w:rsidP="008B10D5">
            <w:pPr>
              <w:jc w:val="center"/>
              <w:rPr>
                <w:b/>
                <w:sz w:val="22"/>
                <w:szCs w:val="22"/>
              </w:rPr>
            </w:pPr>
            <w:r w:rsidRPr="006B76E4">
              <w:rPr>
                <w:b/>
                <w:sz w:val="22"/>
                <w:szCs w:val="22"/>
              </w:rPr>
              <w:t xml:space="preserve">GA YE </w:t>
            </w:r>
            <w:r>
              <w:rPr>
                <w:b/>
                <w:sz w:val="22"/>
                <w:szCs w:val="22"/>
              </w:rPr>
              <w:t>–</w:t>
            </w:r>
            <w:r w:rsidRPr="006B76E4">
              <w:rPr>
                <w:b/>
                <w:sz w:val="22"/>
                <w:szCs w:val="22"/>
              </w:rPr>
              <w:t xml:space="preserve"> 2020</w:t>
            </w:r>
          </w:p>
        </w:tc>
      </w:tr>
      <w:tr w:rsidR="00B476ED" w:rsidRPr="006B76E4" w14:paraId="27D01535" w14:textId="77777777" w:rsidTr="00B476ED">
        <w:tc>
          <w:tcPr>
            <w:tcW w:w="1890" w:type="dxa"/>
          </w:tcPr>
          <w:p w14:paraId="1FBCF722" w14:textId="38E42CB7" w:rsidR="00B476ED" w:rsidRDefault="00B476ED" w:rsidP="00B564C0">
            <w:pPr>
              <w:jc w:val="center"/>
              <w:rPr>
                <w:bCs/>
                <w:sz w:val="22"/>
                <w:szCs w:val="22"/>
              </w:rPr>
            </w:pPr>
            <w:r>
              <w:rPr>
                <w:bCs/>
                <w:sz w:val="22"/>
                <w:szCs w:val="22"/>
              </w:rPr>
              <w:t>Aggregate IMR</w:t>
            </w:r>
          </w:p>
        </w:tc>
        <w:tc>
          <w:tcPr>
            <w:tcW w:w="1661" w:type="dxa"/>
          </w:tcPr>
          <w:p w14:paraId="0F3A8A62" w14:textId="7C9FF668" w:rsidR="00B476ED" w:rsidRPr="006B76E4" w:rsidRDefault="00B476ED" w:rsidP="00B564C0">
            <w:pPr>
              <w:jc w:val="center"/>
              <w:rPr>
                <w:bCs/>
                <w:sz w:val="22"/>
                <w:szCs w:val="22"/>
              </w:rPr>
            </w:pPr>
            <w:r>
              <w:rPr>
                <w:bCs/>
                <w:sz w:val="22"/>
                <w:szCs w:val="22"/>
              </w:rPr>
              <w:t>27,601,001,445</w:t>
            </w:r>
          </w:p>
        </w:tc>
        <w:tc>
          <w:tcPr>
            <w:tcW w:w="1658" w:type="dxa"/>
          </w:tcPr>
          <w:p w14:paraId="53DB9590" w14:textId="0C52FE00" w:rsidR="00B476ED" w:rsidRPr="006B76E4" w:rsidRDefault="00B476ED" w:rsidP="00B564C0">
            <w:pPr>
              <w:jc w:val="center"/>
              <w:rPr>
                <w:bCs/>
                <w:sz w:val="22"/>
                <w:szCs w:val="22"/>
              </w:rPr>
            </w:pPr>
            <w:r w:rsidRPr="006B76E4">
              <w:rPr>
                <w:bCs/>
                <w:sz w:val="22"/>
                <w:szCs w:val="22"/>
              </w:rPr>
              <w:t>31,859,274,989</w:t>
            </w:r>
          </w:p>
        </w:tc>
        <w:tc>
          <w:tcPr>
            <w:tcW w:w="1690" w:type="dxa"/>
          </w:tcPr>
          <w:p w14:paraId="2A05857D" w14:textId="61FF020C" w:rsidR="00B476ED" w:rsidRPr="006B76E4" w:rsidRDefault="00B476ED" w:rsidP="00B564C0">
            <w:pPr>
              <w:jc w:val="center"/>
              <w:rPr>
                <w:bCs/>
                <w:sz w:val="22"/>
                <w:szCs w:val="22"/>
              </w:rPr>
            </w:pPr>
            <w:r w:rsidRPr="006B76E4">
              <w:rPr>
                <w:bCs/>
                <w:sz w:val="22"/>
                <w:szCs w:val="22"/>
              </w:rPr>
              <w:t>37,697,176,149</w:t>
            </w:r>
          </w:p>
        </w:tc>
        <w:tc>
          <w:tcPr>
            <w:tcW w:w="1634" w:type="dxa"/>
          </w:tcPr>
          <w:p w14:paraId="30DECD86" w14:textId="32775D21" w:rsidR="00B476ED" w:rsidRPr="006B76E4" w:rsidRDefault="00B476ED" w:rsidP="00B564C0">
            <w:pPr>
              <w:jc w:val="center"/>
              <w:rPr>
                <w:bCs/>
                <w:sz w:val="22"/>
                <w:szCs w:val="22"/>
              </w:rPr>
            </w:pPr>
            <w:r w:rsidRPr="006B76E4">
              <w:rPr>
                <w:bCs/>
                <w:sz w:val="22"/>
                <w:szCs w:val="22"/>
              </w:rPr>
              <w:t>40,598,068,038</w:t>
            </w:r>
          </w:p>
        </w:tc>
        <w:tc>
          <w:tcPr>
            <w:tcW w:w="1632" w:type="dxa"/>
          </w:tcPr>
          <w:p w14:paraId="6E7F6199" w14:textId="40F751FD" w:rsidR="00B476ED" w:rsidRPr="006B76E4" w:rsidRDefault="00B476ED" w:rsidP="00B564C0">
            <w:pPr>
              <w:jc w:val="center"/>
              <w:rPr>
                <w:bCs/>
                <w:sz w:val="22"/>
                <w:szCs w:val="22"/>
              </w:rPr>
            </w:pPr>
            <w:r w:rsidRPr="006B76E4">
              <w:rPr>
                <w:bCs/>
                <w:sz w:val="22"/>
                <w:szCs w:val="22"/>
              </w:rPr>
              <w:t>35,229,578,726</w:t>
            </w:r>
          </w:p>
        </w:tc>
      </w:tr>
      <w:tr w:rsidR="00B476ED" w:rsidRPr="006B76E4" w14:paraId="0A2C54B9" w14:textId="77777777" w:rsidTr="00B476ED">
        <w:tc>
          <w:tcPr>
            <w:tcW w:w="1890" w:type="dxa"/>
          </w:tcPr>
          <w:p w14:paraId="4DE56903" w14:textId="19EB9DC4" w:rsidR="00B476ED" w:rsidRDefault="00B476ED" w:rsidP="00B564C0">
            <w:pPr>
              <w:jc w:val="center"/>
              <w:rPr>
                <w:bCs/>
                <w:sz w:val="22"/>
                <w:szCs w:val="22"/>
              </w:rPr>
            </w:pPr>
            <w:r>
              <w:rPr>
                <w:bCs/>
                <w:sz w:val="22"/>
                <w:szCs w:val="22"/>
              </w:rPr>
              <w:t>Change from Prior</w:t>
            </w:r>
          </w:p>
        </w:tc>
        <w:tc>
          <w:tcPr>
            <w:tcW w:w="1661" w:type="dxa"/>
          </w:tcPr>
          <w:p w14:paraId="5B97E786" w14:textId="2F6196DD" w:rsidR="00B476ED" w:rsidRPr="006B76E4" w:rsidRDefault="00B476ED" w:rsidP="00B564C0">
            <w:pPr>
              <w:jc w:val="center"/>
              <w:rPr>
                <w:bCs/>
                <w:sz w:val="22"/>
                <w:szCs w:val="22"/>
              </w:rPr>
            </w:pPr>
            <w:r>
              <w:rPr>
                <w:bCs/>
                <w:sz w:val="22"/>
                <w:szCs w:val="22"/>
              </w:rPr>
              <w:t>(4,258,273,544)</w:t>
            </w:r>
          </w:p>
        </w:tc>
        <w:tc>
          <w:tcPr>
            <w:tcW w:w="1658" w:type="dxa"/>
          </w:tcPr>
          <w:p w14:paraId="6D99F83D" w14:textId="2C0033A2" w:rsidR="00B476ED" w:rsidRPr="006B76E4" w:rsidRDefault="00B476ED" w:rsidP="00B564C0">
            <w:pPr>
              <w:jc w:val="center"/>
              <w:rPr>
                <w:bCs/>
                <w:sz w:val="22"/>
                <w:szCs w:val="22"/>
              </w:rPr>
            </w:pPr>
            <w:r w:rsidRPr="006B76E4">
              <w:rPr>
                <w:bCs/>
                <w:sz w:val="22"/>
                <w:szCs w:val="22"/>
              </w:rPr>
              <w:t>(5,837,901,160)</w:t>
            </w:r>
          </w:p>
        </w:tc>
        <w:tc>
          <w:tcPr>
            <w:tcW w:w="1690" w:type="dxa"/>
          </w:tcPr>
          <w:p w14:paraId="46D51FF7" w14:textId="0D7EB423" w:rsidR="00B476ED" w:rsidRPr="006B76E4" w:rsidRDefault="00B476ED" w:rsidP="00B564C0">
            <w:pPr>
              <w:jc w:val="center"/>
              <w:rPr>
                <w:bCs/>
                <w:sz w:val="22"/>
                <w:szCs w:val="22"/>
              </w:rPr>
            </w:pPr>
            <w:r w:rsidRPr="006B76E4">
              <w:rPr>
                <w:bCs/>
                <w:sz w:val="22"/>
                <w:szCs w:val="22"/>
              </w:rPr>
              <w:t>(2,900,891,889)</w:t>
            </w:r>
          </w:p>
        </w:tc>
        <w:tc>
          <w:tcPr>
            <w:tcW w:w="1634" w:type="dxa"/>
          </w:tcPr>
          <w:p w14:paraId="79381E78" w14:textId="1F889F81" w:rsidR="00B476ED" w:rsidRPr="006B76E4" w:rsidRDefault="00B476ED" w:rsidP="00B564C0">
            <w:pPr>
              <w:jc w:val="center"/>
              <w:rPr>
                <w:bCs/>
                <w:sz w:val="22"/>
                <w:szCs w:val="22"/>
              </w:rPr>
            </w:pPr>
            <w:r w:rsidRPr="006B76E4">
              <w:rPr>
                <w:bCs/>
                <w:sz w:val="22"/>
                <w:szCs w:val="22"/>
              </w:rPr>
              <w:t>5,368,489,312</w:t>
            </w:r>
          </w:p>
        </w:tc>
        <w:tc>
          <w:tcPr>
            <w:tcW w:w="1632" w:type="dxa"/>
          </w:tcPr>
          <w:p w14:paraId="78F5D654" w14:textId="77777777" w:rsidR="00B476ED" w:rsidRPr="006B76E4" w:rsidRDefault="00B476ED" w:rsidP="00B564C0">
            <w:pPr>
              <w:jc w:val="center"/>
              <w:rPr>
                <w:bCs/>
                <w:sz w:val="22"/>
                <w:szCs w:val="22"/>
              </w:rPr>
            </w:pPr>
          </w:p>
        </w:tc>
      </w:tr>
      <w:tr w:rsidR="00B476ED" w:rsidRPr="006B76E4" w14:paraId="09B4EF2D" w14:textId="77777777" w:rsidTr="00B476ED">
        <w:tc>
          <w:tcPr>
            <w:tcW w:w="1890" w:type="dxa"/>
          </w:tcPr>
          <w:p w14:paraId="46F18922" w14:textId="2FDE8074" w:rsidR="00B476ED" w:rsidRDefault="00B476ED" w:rsidP="00B564C0">
            <w:pPr>
              <w:jc w:val="center"/>
              <w:rPr>
                <w:bCs/>
                <w:sz w:val="22"/>
                <w:szCs w:val="22"/>
              </w:rPr>
            </w:pPr>
            <w:r>
              <w:rPr>
                <w:bCs/>
                <w:sz w:val="22"/>
                <w:szCs w:val="22"/>
              </w:rPr>
              <w:t>% Change</w:t>
            </w:r>
          </w:p>
        </w:tc>
        <w:tc>
          <w:tcPr>
            <w:tcW w:w="1661" w:type="dxa"/>
          </w:tcPr>
          <w:p w14:paraId="014C3F99" w14:textId="74FA71ED" w:rsidR="00B476ED" w:rsidRPr="006B76E4" w:rsidRDefault="00B476ED" w:rsidP="00B564C0">
            <w:pPr>
              <w:jc w:val="center"/>
              <w:rPr>
                <w:bCs/>
                <w:sz w:val="22"/>
                <w:szCs w:val="22"/>
              </w:rPr>
            </w:pPr>
            <w:r>
              <w:rPr>
                <w:bCs/>
                <w:sz w:val="22"/>
                <w:szCs w:val="22"/>
              </w:rPr>
              <w:t>(13.4%)</w:t>
            </w:r>
          </w:p>
        </w:tc>
        <w:tc>
          <w:tcPr>
            <w:tcW w:w="1658" w:type="dxa"/>
          </w:tcPr>
          <w:p w14:paraId="65308268" w14:textId="01A90294" w:rsidR="00B476ED" w:rsidRPr="006B76E4" w:rsidRDefault="00B476ED" w:rsidP="00B564C0">
            <w:pPr>
              <w:jc w:val="center"/>
              <w:rPr>
                <w:bCs/>
                <w:sz w:val="22"/>
                <w:szCs w:val="22"/>
              </w:rPr>
            </w:pPr>
            <w:r w:rsidRPr="006B76E4">
              <w:rPr>
                <w:bCs/>
                <w:sz w:val="22"/>
                <w:szCs w:val="22"/>
              </w:rPr>
              <w:t>(21.5%)</w:t>
            </w:r>
          </w:p>
        </w:tc>
        <w:tc>
          <w:tcPr>
            <w:tcW w:w="1690" w:type="dxa"/>
          </w:tcPr>
          <w:p w14:paraId="1107C7F8" w14:textId="098774D9" w:rsidR="00B476ED" w:rsidRPr="006B76E4" w:rsidRDefault="00B476ED" w:rsidP="00B564C0">
            <w:pPr>
              <w:jc w:val="center"/>
              <w:rPr>
                <w:bCs/>
                <w:sz w:val="22"/>
                <w:szCs w:val="22"/>
              </w:rPr>
            </w:pPr>
            <w:r w:rsidRPr="006B76E4">
              <w:rPr>
                <w:bCs/>
                <w:sz w:val="22"/>
                <w:szCs w:val="22"/>
              </w:rPr>
              <w:t>(7.1%)</w:t>
            </w:r>
          </w:p>
        </w:tc>
        <w:tc>
          <w:tcPr>
            <w:tcW w:w="1634" w:type="dxa"/>
          </w:tcPr>
          <w:p w14:paraId="728F4185" w14:textId="575BE078" w:rsidR="00B476ED" w:rsidRPr="006B76E4" w:rsidRDefault="00B476ED" w:rsidP="00B564C0">
            <w:pPr>
              <w:jc w:val="center"/>
              <w:rPr>
                <w:bCs/>
                <w:sz w:val="22"/>
                <w:szCs w:val="22"/>
              </w:rPr>
            </w:pPr>
            <w:r w:rsidRPr="006B76E4">
              <w:rPr>
                <w:bCs/>
                <w:sz w:val="22"/>
                <w:szCs w:val="22"/>
              </w:rPr>
              <w:t xml:space="preserve">15.2% </w:t>
            </w:r>
          </w:p>
        </w:tc>
        <w:tc>
          <w:tcPr>
            <w:tcW w:w="1632" w:type="dxa"/>
          </w:tcPr>
          <w:p w14:paraId="7CD16FA4" w14:textId="77777777" w:rsidR="00B476ED" w:rsidRPr="006B76E4" w:rsidRDefault="00B476ED" w:rsidP="00B564C0">
            <w:pPr>
              <w:jc w:val="center"/>
              <w:rPr>
                <w:bCs/>
                <w:sz w:val="22"/>
                <w:szCs w:val="22"/>
              </w:rPr>
            </w:pPr>
          </w:p>
        </w:tc>
      </w:tr>
    </w:tbl>
    <w:p w14:paraId="66A3A873" w14:textId="77777777" w:rsidR="00683BD8" w:rsidRPr="006B76E4" w:rsidRDefault="00683BD8" w:rsidP="00AB485B">
      <w:pPr>
        <w:jc w:val="both"/>
        <w:rPr>
          <w:b/>
          <w:sz w:val="22"/>
          <w:szCs w:val="22"/>
        </w:rPr>
      </w:pPr>
    </w:p>
    <w:p w14:paraId="69160E75" w14:textId="3F5C86C6" w:rsidR="0009286F" w:rsidRPr="00553720" w:rsidRDefault="00553720" w:rsidP="0009286F">
      <w:pPr>
        <w:jc w:val="both"/>
        <w:rPr>
          <w:bCs/>
          <w:sz w:val="22"/>
          <w:szCs w:val="22"/>
          <w:u w:val="single"/>
        </w:rPr>
      </w:pPr>
      <w:r w:rsidRPr="00553720">
        <w:rPr>
          <w:bCs/>
          <w:sz w:val="22"/>
          <w:szCs w:val="22"/>
          <w:u w:val="single"/>
        </w:rPr>
        <w:t xml:space="preserve">Review of </w:t>
      </w:r>
      <w:r>
        <w:rPr>
          <w:bCs/>
          <w:sz w:val="22"/>
          <w:szCs w:val="22"/>
          <w:u w:val="single"/>
        </w:rPr>
        <w:t xml:space="preserve">GA </w:t>
      </w:r>
      <w:r w:rsidRPr="00553720">
        <w:rPr>
          <w:bCs/>
          <w:sz w:val="22"/>
          <w:szCs w:val="22"/>
          <w:u w:val="single"/>
        </w:rPr>
        <w:t xml:space="preserve">IMR Reserve Decrease: </w:t>
      </w:r>
    </w:p>
    <w:p w14:paraId="44A01C88" w14:textId="77777777" w:rsidR="00553720" w:rsidRDefault="00553720" w:rsidP="00553720">
      <w:pPr>
        <w:pStyle w:val="ListParagraph"/>
        <w:jc w:val="both"/>
        <w:rPr>
          <w:bCs/>
          <w:sz w:val="22"/>
          <w:szCs w:val="22"/>
        </w:rPr>
      </w:pPr>
    </w:p>
    <w:p w14:paraId="4096E266" w14:textId="7BFA190E" w:rsidR="0009286F" w:rsidRDefault="006E7F80" w:rsidP="0009286F">
      <w:pPr>
        <w:pStyle w:val="ListParagraph"/>
        <w:numPr>
          <w:ilvl w:val="0"/>
          <w:numId w:val="13"/>
        </w:numPr>
        <w:jc w:val="both"/>
        <w:rPr>
          <w:bCs/>
          <w:sz w:val="22"/>
          <w:szCs w:val="22"/>
        </w:rPr>
      </w:pPr>
      <w:r w:rsidRPr="006B76E4">
        <w:rPr>
          <w:bCs/>
          <w:sz w:val="22"/>
          <w:szCs w:val="22"/>
        </w:rPr>
        <w:t xml:space="preserve">From </w:t>
      </w:r>
      <w:r w:rsidR="00583161">
        <w:rPr>
          <w:bCs/>
          <w:sz w:val="22"/>
          <w:szCs w:val="22"/>
        </w:rPr>
        <w:t>the first</w:t>
      </w:r>
      <w:r w:rsidR="0096428F">
        <w:rPr>
          <w:bCs/>
          <w:sz w:val="22"/>
          <w:szCs w:val="22"/>
        </w:rPr>
        <w:t xml:space="preserve"> quarter</w:t>
      </w:r>
      <w:r w:rsidR="0066429D">
        <w:rPr>
          <w:bCs/>
          <w:sz w:val="22"/>
          <w:szCs w:val="22"/>
        </w:rPr>
        <w:t xml:space="preserve"> (Q1)</w:t>
      </w:r>
      <w:r w:rsidR="0096428F" w:rsidRPr="006B76E4">
        <w:rPr>
          <w:bCs/>
          <w:sz w:val="22"/>
          <w:szCs w:val="22"/>
        </w:rPr>
        <w:t xml:space="preserve"> </w:t>
      </w:r>
      <w:r w:rsidRPr="006B76E4">
        <w:rPr>
          <w:bCs/>
          <w:sz w:val="22"/>
          <w:szCs w:val="22"/>
        </w:rPr>
        <w:t xml:space="preserve">to </w:t>
      </w:r>
      <w:bookmarkStart w:id="2" w:name="_Hlk119609309"/>
      <w:r w:rsidR="00F55C3F">
        <w:rPr>
          <w:bCs/>
          <w:sz w:val="22"/>
          <w:szCs w:val="22"/>
        </w:rPr>
        <w:t>second quarter</w:t>
      </w:r>
      <w:bookmarkEnd w:id="2"/>
      <w:r w:rsidR="0066429D">
        <w:rPr>
          <w:bCs/>
          <w:sz w:val="22"/>
          <w:szCs w:val="22"/>
        </w:rPr>
        <w:t xml:space="preserve"> (Q2)</w:t>
      </w:r>
      <w:r w:rsidRPr="006B76E4">
        <w:rPr>
          <w:bCs/>
          <w:sz w:val="22"/>
          <w:szCs w:val="22"/>
        </w:rPr>
        <w:t xml:space="preserve">, </w:t>
      </w:r>
      <w:r w:rsidR="0009286F" w:rsidRPr="006B76E4">
        <w:rPr>
          <w:bCs/>
          <w:sz w:val="22"/>
          <w:szCs w:val="22"/>
        </w:rPr>
        <w:t xml:space="preserve">25 companies </w:t>
      </w:r>
      <w:r w:rsidRPr="006B76E4">
        <w:rPr>
          <w:bCs/>
          <w:sz w:val="22"/>
          <w:szCs w:val="22"/>
        </w:rPr>
        <w:t xml:space="preserve">had decreases </w:t>
      </w:r>
      <w:r w:rsidR="00E54B54">
        <w:rPr>
          <w:bCs/>
          <w:sz w:val="22"/>
          <w:szCs w:val="22"/>
        </w:rPr>
        <w:t>in</w:t>
      </w:r>
      <w:r w:rsidR="00D73A66">
        <w:rPr>
          <w:bCs/>
          <w:sz w:val="22"/>
          <w:szCs w:val="22"/>
        </w:rPr>
        <w:t xml:space="preserve"> </w:t>
      </w:r>
      <w:r w:rsidR="00A63EB3">
        <w:rPr>
          <w:bCs/>
          <w:sz w:val="22"/>
          <w:szCs w:val="22"/>
        </w:rPr>
        <w:t xml:space="preserve">the </w:t>
      </w:r>
      <w:r w:rsidRPr="006B76E4">
        <w:rPr>
          <w:bCs/>
          <w:sz w:val="22"/>
          <w:szCs w:val="22"/>
        </w:rPr>
        <w:t xml:space="preserve">IMR </w:t>
      </w:r>
      <w:r w:rsidR="00A63EB3">
        <w:rPr>
          <w:bCs/>
          <w:sz w:val="22"/>
          <w:szCs w:val="22"/>
        </w:rPr>
        <w:t xml:space="preserve">reserve balance </w:t>
      </w:r>
      <w:r w:rsidRPr="006B76E4">
        <w:rPr>
          <w:bCs/>
          <w:sz w:val="22"/>
          <w:szCs w:val="22"/>
        </w:rPr>
        <w:t xml:space="preserve">over $50M totaling </w:t>
      </w:r>
      <w:r w:rsidR="00D73A66">
        <w:rPr>
          <w:bCs/>
          <w:sz w:val="22"/>
          <w:szCs w:val="22"/>
        </w:rPr>
        <w:t>$</w:t>
      </w:r>
      <w:r w:rsidRPr="006B76E4">
        <w:rPr>
          <w:bCs/>
          <w:sz w:val="22"/>
          <w:szCs w:val="22"/>
        </w:rPr>
        <w:t>4,717,657,986</w:t>
      </w:r>
      <w:r w:rsidR="0000107E" w:rsidRPr="006B76E4">
        <w:rPr>
          <w:bCs/>
          <w:sz w:val="22"/>
          <w:szCs w:val="22"/>
        </w:rPr>
        <w:t xml:space="preserve">, representing 80% of the overall change. </w:t>
      </w:r>
      <w:r w:rsidR="00560EA7" w:rsidRPr="006B76E4">
        <w:rPr>
          <w:bCs/>
          <w:sz w:val="22"/>
          <w:szCs w:val="22"/>
        </w:rPr>
        <w:t xml:space="preserve">13 of these companies had decreases of IMR over $100M, totaling </w:t>
      </w:r>
      <w:r w:rsidR="00D73A66">
        <w:rPr>
          <w:bCs/>
          <w:sz w:val="22"/>
          <w:szCs w:val="22"/>
        </w:rPr>
        <w:t>$</w:t>
      </w:r>
      <w:r w:rsidR="00560EA7" w:rsidRPr="006B76E4">
        <w:rPr>
          <w:bCs/>
          <w:sz w:val="22"/>
          <w:szCs w:val="22"/>
        </w:rPr>
        <w:t>3,959,569,339</w:t>
      </w:r>
      <w:r w:rsidR="007E68DB" w:rsidRPr="006B76E4">
        <w:rPr>
          <w:bCs/>
          <w:sz w:val="22"/>
          <w:szCs w:val="22"/>
        </w:rPr>
        <w:t xml:space="preserve">, representing </w:t>
      </w:r>
      <w:r w:rsidR="000720AF" w:rsidRPr="006B76E4">
        <w:rPr>
          <w:bCs/>
          <w:sz w:val="22"/>
          <w:szCs w:val="22"/>
        </w:rPr>
        <w:t xml:space="preserve">68% of the change. Four </w:t>
      </w:r>
      <w:r w:rsidR="00F07836" w:rsidRPr="006B76E4">
        <w:rPr>
          <w:bCs/>
          <w:sz w:val="22"/>
          <w:szCs w:val="22"/>
        </w:rPr>
        <w:t xml:space="preserve">of these </w:t>
      </w:r>
      <w:r w:rsidR="000720AF" w:rsidRPr="006B76E4">
        <w:rPr>
          <w:bCs/>
          <w:sz w:val="22"/>
          <w:szCs w:val="22"/>
        </w:rPr>
        <w:t>companies had decreases of IMR over $400M</w:t>
      </w:r>
      <w:r w:rsidR="00F07836" w:rsidRPr="006B76E4">
        <w:rPr>
          <w:bCs/>
          <w:sz w:val="22"/>
          <w:szCs w:val="22"/>
        </w:rPr>
        <w:t>.</w:t>
      </w:r>
      <w:r w:rsidR="00A45921">
        <w:rPr>
          <w:bCs/>
          <w:sz w:val="22"/>
          <w:szCs w:val="22"/>
        </w:rPr>
        <w:t xml:space="preserve"> </w:t>
      </w:r>
      <w:r w:rsidR="00793CF4">
        <w:rPr>
          <w:bCs/>
          <w:sz w:val="22"/>
          <w:szCs w:val="22"/>
        </w:rPr>
        <w:t xml:space="preserve">One </w:t>
      </w:r>
      <w:r w:rsidR="00A45921">
        <w:rPr>
          <w:bCs/>
          <w:sz w:val="22"/>
          <w:szCs w:val="22"/>
        </w:rPr>
        <w:t xml:space="preserve">of these companies reported a zero IMR </w:t>
      </w:r>
      <w:r w:rsidR="00F02353">
        <w:rPr>
          <w:bCs/>
          <w:sz w:val="22"/>
          <w:szCs w:val="22"/>
        </w:rPr>
        <w:t>liability and</w:t>
      </w:r>
      <w:r w:rsidR="00A45921">
        <w:rPr>
          <w:bCs/>
          <w:sz w:val="22"/>
          <w:szCs w:val="22"/>
        </w:rPr>
        <w:t xml:space="preserve"> reported a disallowed IMR </w:t>
      </w:r>
      <w:r w:rsidR="00F773E6">
        <w:rPr>
          <w:bCs/>
          <w:sz w:val="22"/>
          <w:szCs w:val="22"/>
        </w:rPr>
        <w:t>on the asset page</w:t>
      </w:r>
      <w:r w:rsidR="00367F9C">
        <w:rPr>
          <w:bCs/>
          <w:sz w:val="22"/>
          <w:szCs w:val="22"/>
        </w:rPr>
        <w:t xml:space="preserve"> of </w:t>
      </w:r>
      <w:r w:rsidR="002033E6">
        <w:rPr>
          <w:bCs/>
          <w:sz w:val="22"/>
          <w:szCs w:val="22"/>
        </w:rPr>
        <w:t>approx. $570M.</w:t>
      </w:r>
      <w:r w:rsidR="00F773E6">
        <w:rPr>
          <w:bCs/>
          <w:sz w:val="22"/>
          <w:szCs w:val="22"/>
        </w:rPr>
        <w:t xml:space="preserve"> </w:t>
      </w:r>
    </w:p>
    <w:p w14:paraId="316158A3" w14:textId="77777777" w:rsidR="00863561" w:rsidRPr="00863561" w:rsidRDefault="00863561" w:rsidP="00863561">
      <w:pPr>
        <w:pStyle w:val="ListParagraph"/>
        <w:rPr>
          <w:bCs/>
          <w:sz w:val="22"/>
          <w:szCs w:val="22"/>
        </w:rPr>
      </w:pPr>
    </w:p>
    <w:p w14:paraId="77129860" w14:textId="77777777" w:rsidR="00B476ED" w:rsidRDefault="00863561" w:rsidP="00B476ED">
      <w:pPr>
        <w:pStyle w:val="ListParagraph"/>
        <w:numPr>
          <w:ilvl w:val="0"/>
          <w:numId w:val="13"/>
        </w:numPr>
        <w:jc w:val="both"/>
        <w:rPr>
          <w:bCs/>
          <w:sz w:val="22"/>
          <w:szCs w:val="22"/>
        </w:rPr>
      </w:pPr>
      <w:r>
        <w:rPr>
          <w:bCs/>
          <w:sz w:val="22"/>
          <w:szCs w:val="22"/>
        </w:rPr>
        <w:t xml:space="preserve">From </w:t>
      </w:r>
      <w:r w:rsidR="00583161">
        <w:rPr>
          <w:bCs/>
          <w:sz w:val="22"/>
          <w:szCs w:val="22"/>
        </w:rPr>
        <w:t xml:space="preserve">the </w:t>
      </w:r>
      <w:r w:rsidR="007E0631">
        <w:rPr>
          <w:bCs/>
          <w:sz w:val="22"/>
          <w:szCs w:val="22"/>
        </w:rPr>
        <w:t>first quarter</w:t>
      </w:r>
      <w:r>
        <w:rPr>
          <w:bCs/>
          <w:sz w:val="22"/>
          <w:szCs w:val="22"/>
        </w:rPr>
        <w:t xml:space="preserve"> </w:t>
      </w:r>
      <w:r w:rsidR="00583161">
        <w:rPr>
          <w:bCs/>
          <w:sz w:val="22"/>
          <w:szCs w:val="22"/>
        </w:rPr>
        <w:t xml:space="preserve">(Q1) </w:t>
      </w:r>
      <w:r>
        <w:rPr>
          <w:bCs/>
          <w:sz w:val="22"/>
          <w:szCs w:val="22"/>
        </w:rPr>
        <w:t>to</w:t>
      </w:r>
      <w:r w:rsidR="007E0631" w:rsidRPr="007E0631">
        <w:rPr>
          <w:bCs/>
          <w:sz w:val="22"/>
          <w:szCs w:val="22"/>
        </w:rPr>
        <w:t xml:space="preserve"> </w:t>
      </w:r>
      <w:r w:rsidR="007E0631">
        <w:rPr>
          <w:bCs/>
          <w:sz w:val="22"/>
          <w:szCs w:val="22"/>
        </w:rPr>
        <w:t>second quarter</w:t>
      </w:r>
      <w:r w:rsidR="00583161">
        <w:rPr>
          <w:bCs/>
          <w:sz w:val="22"/>
          <w:szCs w:val="22"/>
        </w:rPr>
        <w:t xml:space="preserve"> (Q2)</w:t>
      </w:r>
      <w:r>
        <w:rPr>
          <w:bCs/>
          <w:sz w:val="22"/>
          <w:szCs w:val="22"/>
        </w:rPr>
        <w:t xml:space="preserve">, </w:t>
      </w:r>
      <w:r w:rsidR="00C80E34">
        <w:rPr>
          <w:bCs/>
          <w:sz w:val="22"/>
          <w:szCs w:val="22"/>
        </w:rPr>
        <w:t>49 companies increased their prior reported positive IMR by $61,390,564.</w:t>
      </w:r>
      <w:r w:rsidR="00B476ED">
        <w:rPr>
          <w:bCs/>
          <w:sz w:val="22"/>
          <w:szCs w:val="22"/>
        </w:rPr>
        <w:t xml:space="preserve"> From the second quarter (Q2) to third quarter (Q3), 56 companies increase their prior reported positive IMR by $60,316,403</w:t>
      </w:r>
    </w:p>
    <w:p w14:paraId="737C9A8D" w14:textId="77777777" w:rsidR="00B476ED" w:rsidRPr="00B476ED" w:rsidRDefault="00B476ED" w:rsidP="00B476ED">
      <w:pPr>
        <w:pStyle w:val="ListParagraph"/>
        <w:rPr>
          <w:bCs/>
          <w:sz w:val="22"/>
          <w:szCs w:val="22"/>
        </w:rPr>
      </w:pPr>
    </w:p>
    <w:p w14:paraId="25E178BF" w14:textId="37E68A54" w:rsidR="000F5114" w:rsidRDefault="000F5114" w:rsidP="0009286F">
      <w:pPr>
        <w:pStyle w:val="ListParagraph"/>
        <w:numPr>
          <w:ilvl w:val="0"/>
          <w:numId w:val="13"/>
        </w:numPr>
        <w:jc w:val="both"/>
        <w:rPr>
          <w:bCs/>
          <w:sz w:val="22"/>
          <w:szCs w:val="22"/>
        </w:rPr>
      </w:pPr>
      <w:r>
        <w:rPr>
          <w:bCs/>
          <w:sz w:val="22"/>
          <w:szCs w:val="22"/>
        </w:rPr>
        <w:t xml:space="preserve">From </w:t>
      </w:r>
      <w:r w:rsidR="0093422C">
        <w:rPr>
          <w:bCs/>
          <w:sz w:val="22"/>
          <w:szCs w:val="22"/>
        </w:rPr>
        <w:t xml:space="preserve">the </w:t>
      </w:r>
      <w:r w:rsidR="009905FD">
        <w:rPr>
          <w:bCs/>
          <w:sz w:val="22"/>
          <w:szCs w:val="22"/>
        </w:rPr>
        <w:t xml:space="preserve">second </w:t>
      </w:r>
      <w:r w:rsidR="00067232">
        <w:rPr>
          <w:bCs/>
          <w:sz w:val="22"/>
          <w:szCs w:val="22"/>
        </w:rPr>
        <w:t xml:space="preserve">quarter </w:t>
      </w:r>
      <w:r w:rsidR="0093422C">
        <w:rPr>
          <w:bCs/>
          <w:sz w:val="22"/>
          <w:szCs w:val="22"/>
        </w:rPr>
        <w:t>(Q2)</w:t>
      </w:r>
      <w:r w:rsidR="009905FD">
        <w:rPr>
          <w:bCs/>
          <w:sz w:val="22"/>
          <w:szCs w:val="22"/>
        </w:rPr>
        <w:t xml:space="preserve"> </w:t>
      </w:r>
      <w:r>
        <w:rPr>
          <w:bCs/>
          <w:sz w:val="22"/>
          <w:szCs w:val="22"/>
        </w:rPr>
        <w:t xml:space="preserve">to </w:t>
      </w:r>
      <w:r w:rsidR="00067232">
        <w:rPr>
          <w:bCs/>
          <w:sz w:val="22"/>
          <w:szCs w:val="22"/>
        </w:rPr>
        <w:t>third quarter</w:t>
      </w:r>
      <w:r w:rsidR="0093422C">
        <w:rPr>
          <w:bCs/>
          <w:sz w:val="22"/>
          <w:szCs w:val="22"/>
        </w:rPr>
        <w:t xml:space="preserve"> (Q3)</w:t>
      </w:r>
      <w:r>
        <w:rPr>
          <w:bCs/>
          <w:sz w:val="22"/>
          <w:szCs w:val="22"/>
        </w:rPr>
        <w:t xml:space="preserve">, </w:t>
      </w:r>
      <w:r w:rsidR="00843A29">
        <w:rPr>
          <w:bCs/>
          <w:sz w:val="22"/>
          <w:szCs w:val="22"/>
        </w:rPr>
        <w:t xml:space="preserve">16 companies had decreases </w:t>
      </w:r>
      <w:r w:rsidR="004548DD">
        <w:rPr>
          <w:bCs/>
          <w:sz w:val="22"/>
          <w:szCs w:val="22"/>
        </w:rPr>
        <w:t xml:space="preserve">in </w:t>
      </w:r>
      <w:r w:rsidR="001248B2">
        <w:rPr>
          <w:bCs/>
          <w:sz w:val="22"/>
          <w:szCs w:val="22"/>
        </w:rPr>
        <w:t xml:space="preserve">the </w:t>
      </w:r>
      <w:r w:rsidR="00843A29">
        <w:rPr>
          <w:bCs/>
          <w:sz w:val="22"/>
          <w:szCs w:val="22"/>
        </w:rPr>
        <w:t xml:space="preserve">IMR </w:t>
      </w:r>
      <w:r w:rsidR="00AF1EFD">
        <w:rPr>
          <w:bCs/>
          <w:sz w:val="22"/>
          <w:szCs w:val="22"/>
        </w:rPr>
        <w:t xml:space="preserve">reserve balance </w:t>
      </w:r>
      <w:r w:rsidR="00843A29">
        <w:rPr>
          <w:bCs/>
          <w:sz w:val="22"/>
          <w:szCs w:val="22"/>
        </w:rPr>
        <w:t>over $50M totaling $</w:t>
      </w:r>
      <w:r w:rsidR="00605860">
        <w:rPr>
          <w:bCs/>
          <w:sz w:val="22"/>
          <w:szCs w:val="22"/>
        </w:rPr>
        <w:t xml:space="preserve">3,161,570,362, </w:t>
      </w:r>
      <w:r w:rsidR="00BF5C4F">
        <w:rPr>
          <w:bCs/>
          <w:sz w:val="22"/>
          <w:szCs w:val="22"/>
        </w:rPr>
        <w:t xml:space="preserve">representing 74% of the change. </w:t>
      </w:r>
      <w:r w:rsidR="000C11B3">
        <w:rPr>
          <w:bCs/>
          <w:sz w:val="22"/>
          <w:szCs w:val="22"/>
        </w:rPr>
        <w:t>8 of these companies had decreases of IMR over $100M, totaling $2,580,832,015</w:t>
      </w:r>
      <w:r w:rsidR="00BD3E44">
        <w:rPr>
          <w:bCs/>
          <w:sz w:val="22"/>
          <w:szCs w:val="22"/>
        </w:rPr>
        <w:t xml:space="preserve">, representing 60% of the change. </w:t>
      </w:r>
      <w:r w:rsidR="00253116">
        <w:rPr>
          <w:bCs/>
          <w:sz w:val="22"/>
          <w:szCs w:val="22"/>
        </w:rPr>
        <w:t>All of these companies were still in a net positive IMR position.</w:t>
      </w:r>
    </w:p>
    <w:p w14:paraId="35F3E558" w14:textId="77777777" w:rsidR="00BD41A7" w:rsidRPr="00BD41A7" w:rsidRDefault="00BD41A7" w:rsidP="00BD41A7">
      <w:pPr>
        <w:pStyle w:val="ListParagraph"/>
        <w:rPr>
          <w:bCs/>
          <w:sz w:val="22"/>
          <w:szCs w:val="22"/>
        </w:rPr>
      </w:pPr>
    </w:p>
    <w:p w14:paraId="3C8B7121" w14:textId="0A780343" w:rsidR="00F400A2" w:rsidRDefault="00F400A2" w:rsidP="0009286F">
      <w:pPr>
        <w:pStyle w:val="ListParagraph"/>
        <w:numPr>
          <w:ilvl w:val="0"/>
          <w:numId w:val="13"/>
        </w:numPr>
        <w:jc w:val="both"/>
        <w:rPr>
          <w:bCs/>
          <w:sz w:val="22"/>
          <w:szCs w:val="22"/>
        </w:rPr>
      </w:pPr>
      <w:r>
        <w:rPr>
          <w:bCs/>
          <w:sz w:val="22"/>
          <w:szCs w:val="22"/>
        </w:rPr>
        <w:t xml:space="preserve">For the 30 companies that reflected the largest decline in reported IMR between </w:t>
      </w:r>
      <w:r w:rsidR="00414BDC">
        <w:rPr>
          <w:bCs/>
          <w:sz w:val="22"/>
          <w:szCs w:val="22"/>
        </w:rPr>
        <w:t>the first to second quarter and then the second to third quarter, the following key details are noted.</w:t>
      </w:r>
    </w:p>
    <w:p w14:paraId="7AA54118" w14:textId="77777777" w:rsidR="00414BDC" w:rsidRPr="00414BDC" w:rsidRDefault="00414BDC" w:rsidP="00414BDC">
      <w:pPr>
        <w:pStyle w:val="ListParagraph"/>
        <w:rPr>
          <w:bCs/>
          <w:sz w:val="22"/>
          <w:szCs w:val="22"/>
        </w:rPr>
      </w:pPr>
    </w:p>
    <w:p w14:paraId="0FA4E4A0" w14:textId="70BB300F" w:rsidR="00C27794" w:rsidRDefault="00C000EC" w:rsidP="00414BDC">
      <w:pPr>
        <w:pStyle w:val="ListParagraph"/>
        <w:numPr>
          <w:ilvl w:val="1"/>
          <w:numId w:val="13"/>
        </w:numPr>
        <w:jc w:val="both"/>
        <w:rPr>
          <w:bCs/>
          <w:sz w:val="22"/>
          <w:szCs w:val="22"/>
        </w:rPr>
      </w:pPr>
      <w:r>
        <w:rPr>
          <w:bCs/>
          <w:sz w:val="22"/>
          <w:szCs w:val="22"/>
        </w:rPr>
        <w:t xml:space="preserve">From </w:t>
      </w:r>
      <w:r w:rsidR="001127D9">
        <w:rPr>
          <w:bCs/>
          <w:sz w:val="22"/>
          <w:szCs w:val="22"/>
        </w:rPr>
        <w:t xml:space="preserve">the </w:t>
      </w:r>
      <w:r>
        <w:rPr>
          <w:bCs/>
          <w:sz w:val="22"/>
          <w:szCs w:val="22"/>
        </w:rPr>
        <w:t>fi</w:t>
      </w:r>
      <w:r w:rsidR="00197766">
        <w:rPr>
          <w:bCs/>
          <w:sz w:val="22"/>
          <w:szCs w:val="22"/>
        </w:rPr>
        <w:t xml:space="preserve">rst </w:t>
      </w:r>
      <w:r w:rsidR="001127D9">
        <w:rPr>
          <w:bCs/>
          <w:sz w:val="22"/>
          <w:szCs w:val="22"/>
        </w:rPr>
        <w:t xml:space="preserve">(Q1) </w:t>
      </w:r>
      <w:r w:rsidR="00197766">
        <w:rPr>
          <w:bCs/>
          <w:sz w:val="22"/>
          <w:szCs w:val="22"/>
        </w:rPr>
        <w:t>to second quarter</w:t>
      </w:r>
      <w:r w:rsidR="001127D9">
        <w:rPr>
          <w:bCs/>
          <w:sz w:val="22"/>
          <w:szCs w:val="22"/>
        </w:rPr>
        <w:t xml:space="preserve"> (Q2)</w:t>
      </w:r>
      <w:r w:rsidR="00197766">
        <w:rPr>
          <w:bCs/>
          <w:sz w:val="22"/>
          <w:szCs w:val="22"/>
        </w:rPr>
        <w:t>, t</w:t>
      </w:r>
      <w:r w:rsidR="00D139CC">
        <w:rPr>
          <w:bCs/>
          <w:sz w:val="22"/>
          <w:szCs w:val="22"/>
        </w:rPr>
        <w:t>he top 30 companies reflected a decrease in $4,923,166,733</w:t>
      </w:r>
      <w:r w:rsidR="00C27794">
        <w:rPr>
          <w:bCs/>
          <w:sz w:val="22"/>
          <w:szCs w:val="22"/>
        </w:rPr>
        <w:t>, which is</w:t>
      </w:r>
      <w:r w:rsidR="002B5AC1">
        <w:rPr>
          <w:bCs/>
          <w:sz w:val="22"/>
          <w:szCs w:val="22"/>
        </w:rPr>
        <w:t xml:space="preserve"> 84% of the total</w:t>
      </w:r>
      <w:r w:rsidR="00C27794">
        <w:rPr>
          <w:bCs/>
          <w:sz w:val="22"/>
          <w:szCs w:val="22"/>
        </w:rPr>
        <w:t xml:space="preserve"> decrease</w:t>
      </w:r>
      <w:r w:rsidR="002B5AC1">
        <w:rPr>
          <w:bCs/>
          <w:sz w:val="22"/>
          <w:szCs w:val="22"/>
        </w:rPr>
        <w:t>.</w:t>
      </w:r>
    </w:p>
    <w:p w14:paraId="62052690" w14:textId="30BAF710" w:rsidR="00414BDC" w:rsidRDefault="002B5AC1" w:rsidP="00C27794">
      <w:pPr>
        <w:pStyle w:val="ListParagraph"/>
        <w:ind w:left="1440"/>
        <w:jc w:val="both"/>
        <w:rPr>
          <w:bCs/>
          <w:sz w:val="22"/>
          <w:szCs w:val="22"/>
        </w:rPr>
      </w:pPr>
      <w:r>
        <w:rPr>
          <w:bCs/>
          <w:sz w:val="22"/>
          <w:szCs w:val="22"/>
        </w:rPr>
        <w:t xml:space="preserve"> </w:t>
      </w:r>
    </w:p>
    <w:p w14:paraId="77DC3F4F" w14:textId="7A58D16F" w:rsidR="002B5AC1" w:rsidRDefault="002B5AC1" w:rsidP="00414BDC">
      <w:pPr>
        <w:pStyle w:val="ListParagraph"/>
        <w:numPr>
          <w:ilvl w:val="1"/>
          <w:numId w:val="13"/>
        </w:numPr>
        <w:jc w:val="both"/>
        <w:rPr>
          <w:bCs/>
          <w:sz w:val="22"/>
          <w:szCs w:val="22"/>
        </w:rPr>
      </w:pPr>
      <w:r>
        <w:rPr>
          <w:bCs/>
          <w:sz w:val="22"/>
          <w:szCs w:val="22"/>
        </w:rPr>
        <w:t xml:space="preserve">From </w:t>
      </w:r>
      <w:r w:rsidR="001127D9">
        <w:rPr>
          <w:bCs/>
          <w:sz w:val="22"/>
          <w:szCs w:val="22"/>
        </w:rPr>
        <w:t xml:space="preserve">the </w:t>
      </w:r>
      <w:r>
        <w:rPr>
          <w:bCs/>
          <w:sz w:val="22"/>
          <w:szCs w:val="22"/>
        </w:rPr>
        <w:t xml:space="preserve">second </w:t>
      </w:r>
      <w:r w:rsidR="001127D9">
        <w:rPr>
          <w:bCs/>
          <w:sz w:val="22"/>
          <w:szCs w:val="22"/>
        </w:rPr>
        <w:t>(</w:t>
      </w:r>
      <w:r w:rsidR="007636F5">
        <w:rPr>
          <w:bCs/>
          <w:sz w:val="22"/>
          <w:szCs w:val="22"/>
        </w:rPr>
        <w:t>Q</w:t>
      </w:r>
      <w:r w:rsidR="007948C8">
        <w:rPr>
          <w:bCs/>
          <w:sz w:val="22"/>
          <w:szCs w:val="22"/>
        </w:rPr>
        <w:t xml:space="preserve">2) </w:t>
      </w:r>
      <w:r>
        <w:rPr>
          <w:bCs/>
          <w:sz w:val="22"/>
          <w:szCs w:val="22"/>
        </w:rPr>
        <w:t>to third quarter</w:t>
      </w:r>
      <w:r w:rsidR="007948C8">
        <w:rPr>
          <w:bCs/>
          <w:sz w:val="22"/>
          <w:szCs w:val="22"/>
        </w:rPr>
        <w:t xml:space="preserve"> (Q3)</w:t>
      </w:r>
      <w:r>
        <w:rPr>
          <w:bCs/>
          <w:sz w:val="22"/>
          <w:szCs w:val="22"/>
        </w:rPr>
        <w:t xml:space="preserve">, the top 30 companies reflected a decrease in </w:t>
      </w:r>
      <w:r w:rsidR="00C27794">
        <w:rPr>
          <w:bCs/>
          <w:sz w:val="22"/>
          <w:szCs w:val="22"/>
        </w:rPr>
        <w:t>$3,642,088,165</w:t>
      </w:r>
      <w:r w:rsidR="001127D9">
        <w:rPr>
          <w:bCs/>
          <w:sz w:val="22"/>
          <w:szCs w:val="22"/>
        </w:rPr>
        <w:t xml:space="preserve">, which is 85.5% of the total decrease. </w:t>
      </w:r>
    </w:p>
    <w:p w14:paraId="27AED445" w14:textId="77777777" w:rsidR="007948C8" w:rsidRPr="007948C8" w:rsidRDefault="007948C8" w:rsidP="007948C8">
      <w:pPr>
        <w:pStyle w:val="ListParagraph"/>
        <w:rPr>
          <w:bCs/>
          <w:sz w:val="22"/>
          <w:szCs w:val="22"/>
        </w:rPr>
      </w:pPr>
    </w:p>
    <w:p w14:paraId="669CF480" w14:textId="29AD8ECF" w:rsidR="00FC2B27" w:rsidRPr="009201D8" w:rsidRDefault="00FC2B27" w:rsidP="00A83D24">
      <w:pPr>
        <w:pStyle w:val="ListParagraph"/>
        <w:numPr>
          <w:ilvl w:val="1"/>
          <w:numId w:val="13"/>
        </w:numPr>
        <w:jc w:val="both"/>
        <w:rPr>
          <w:bCs/>
          <w:sz w:val="22"/>
          <w:szCs w:val="22"/>
        </w:rPr>
      </w:pPr>
      <w:r w:rsidRPr="009201D8">
        <w:rPr>
          <w:bCs/>
          <w:sz w:val="22"/>
          <w:szCs w:val="22"/>
        </w:rPr>
        <w:t xml:space="preserve">19 </w:t>
      </w:r>
      <w:r w:rsidR="007636F5" w:rsidRPr="009201D8">
        <w:rPr>
          <w:bCs/>
          <w:sz w:val="22"/>
          <w:szCs w:val="22"/>
        </w:rPr>
        <w:t xml:space="preserve">companies </w:t>
      </w:r>
      <w:r w:rsidR="006A4CC2" w:rsidRPr="009201D8">
        <w:rPr>
          <w:bCs/>
          <w:sz w:val="22"/>
          <w:szCs w:val="22"/>
        </w:rPr>
        <w:t xml:space="preserve">were noted as being in the population </w:t>
      </w:r>
      <w:r w:rsidR="002477DE" w:rsidRPr="009201D8">
        <w:rPr>
          <w:bCs/>
          <w:sz w:val="22"/>
          <w:szCs w:val="22"/>
        </w:rPr>
        <w:t xml:space="preserve">for </w:t>
      </w:r>
      <w:r w:rsidRPr="009201D8">
        <w:rPr>
          <w:bCs/>
          <w:sz w:val="22"/>
          <w:szCs w:val="22"/>
        </w:rPr>
        <w:t xml:space="preserve">both periods. </w:t>
      </w:r>
      <w:r w:rsidR="00CA6632" w:rsidRPr="009201D8">
        <w:rPr>
          <w:bCs/>
          <w:sz w:val="22"/>
          <w:szCs w:val="22"/>
        </w:rPr>
        <w:t>29 of the 30</w:t>
      </w:r>
      <w:r w:rsidRPr="009201D8">
        <w:rPr>
          <w:bCs/>
          <w:sz w:val="22"/>
          <w:szCs w:val="22"/>
        </w:rPr>
        <w:t xml:space="preserve"> companies </w:t>
      </w:r>
      <w:r w:rsidR="00CA6632" w:rsidRPr="009201D8">
        <w:rPr>
          <w:bCs/>
          <w:sz w:val="22"/>
          <w:szCs w:val="22"/>
        </w:rPr>
        <w:t>reported a net positive IMR in the third quarter</w:t>
      </w:r>
      <w:r w:rsidRPr="009201D8">
        <w:rPr>
          <w:bCs/>
          <w:sz w:val="22"/>
          <w:szCs w:val="22"/>
        </w:rPr>
        <w:t xml:space="preserve">. </w:t>
      </w:r>
      <w:r w:rsidR="00CA6632" w:rsidRPr="009201D8">
        <w:rPr>
          <w:bCs/>
          <w:sz w:val="22"/>
          <w:szCs w:val="22"/>
        </w:rPr>
        <w:t>One company</w:t>
      </w:r>
      <w:r w:rsidRPr="009201D8">
        <w:rPr>
          <w:bCs/>
          <w:sz w:val="22"/>
          <w:szCs w:val="22"/>
        </w:rPr>
        <w:t xml:space="preserve"> reported a zero IMR in Q3. </w:t>
      </w:r>
    </w:p>
    <w:p w14:paraId="4C7FD4EE" w14:textId="77777777" w:rsidR="00F400A2" w:rsidRPr="00F400A2" w:rsidRDefault="00F400A2" w:rsidP="00F400A2">
      <w:pPr>
        <w:pStyle w:val="ListParagraph"/>
        <w:rPr>
          <w:bCs/>
          <w:sz w:val="22"/>
          <w:szCs w:val="22"/>
        </w:rPr>
      </w:pPr>
    </w:p>
    <w:p w14:paraId="6E00F640" w14:textId="0E147B5F" w:rsidR="00BD41A7" w:rsidRDefault="00FB3D97" w:rsidP="0009286F">
      <w:pPr>
        <w:pStyle w:val="ListParagraph"/>
        <w:numPr>
          <w:ilvl w:val="0"/>
          <w:numId w:val="13"/>
        </w:numPr>
        <w:jc w:val="both"/>
        <w:rPr>
          <w:bCs/>
          <w:sz w:val="22"/>
          <w:szCs w:val="22"/>
        </w:rPr>
      </w:pPr>
      <w:r>
        <w:rPr>
          <w:bCs/>
          <w:sz w:val="22"/>
          <w:szCs w:val="22"/>
        </w:rPr>
        <w:t>F</w:t>
      </w:r>
      <w:r w:rsidR="00907FCA">
        <w:rPr>
          <w:bCs/>
          <w:sz w:val="22"/>
          <w:szCs w:val="22"/>
        </w:rPr>
        <w:t>or</w:t>
      </w:r>
      <w:r w:rsidR="00F45A88">
        <w:rPr>
          <w:bCs/>
          <w:sz w:val="22"/>
          <w:szCs w:val="22"/>
        </w:rPr>
        <w:t xml:space="preserve"> </w:t>
      </w:r>
      <w:r w:rsidR="0092447B">
        <w:rPr>
          <w:bCs/>
          <w:sz w:val="22"/>
          <w:szCs w:val="22"/>
        </w:rPr>
        <w:t xml:space="preserve">the 15 companies that had the largest declines between </w:t>
      </w:r>
      <w:r w:rsidR="00540DFB">
        <w:rPr>
          <w:bCs/>
          <w:sz w:val="22"/>
          <w:szCs w:val="22"/>
        </w:rPr>
        <w:t xml:space="preserve">the </w:t>
      </w:r>
      <w:r w:rsidR="00683BD8">
        <w:rPr>
          <w:bCs/>
          <w:sz w:val="22"/>
          <w:szCs w:val="22"/>
        </w:rPr>
        <w:t>first quarter</w:t>
      </w:r>
      <w:r w:rsidR="00540DFB">
        <w:rPr>
          <w:bCs/>
          <w:sz w:val="22"/>
          <w:szCs w:val="22"/>
        </w:rPr>
        <w:t xml:space="preserve"> (Q1)</w:t>
      </w:r>
      <w:r w:rsidR="0092447B">
        <w:rPr>
          <w:bCs/>
          <w:sz w:val="22"/>
          <w:szCs w:val="22"/>
        </w:rPr>
        <w:t xml:space="preserve"> to </w:t>
      </w:r>
      <w:r w:rsidR="00683BD8">
        <w:rPr>
          <w:bCs/>
          <w:sz w:val="22"/>
          <w:szCs w:val="22"/>
        </w:rPr>
        <w:t>second quarter</w:t>
      </w:r>
      <w:r w:rsidR="00540DFB">
        <w:rPr>
          <w:bCs/>
          <w:sz w:val="22"/>
          <w:szCs w:val="22"/>
        </w:rPr>
        <w:t xml:space="preserve"> (Q2)</w:t>
      </w:r>
      <w:r w:rsidR="0092447B">
        <w:rPr>
          <w:bCs/>
          <w:sz w:val="22"/>
          <w:szCs w:val="22"/>
        </w:rPr>
        <w:t>, eight of those companies also</w:t>
      </w:r>
      <w:r>
        <w:rPr>
          <w:bCs/>
          <w:sz w:val="22"/>
          <w:szCs w:val="22"/>
        </w:rPr>
        <w:t xml:space="preserve"> </w:t>
      </w:r>
      <w:r w:rsidR="0092447B">
        <w:rPr>
          <w:bCs/>
          <w:sz w:val="22"/>
          <w:szCs w:val="22"/>
        </w:rPr>
        <w:t xml:space="preserve">had the largest declines from </w:t>
      </w:r>
      <w:r w:rsidR="00683BD8">
        <w:rPr>
          <w:bCs/>
          <w:sz w:val="22"/>
          <w:szCs w:val="22"/>
        </w:rPr>
        <w:t xml:space="preserve">second quarter </w:t>
      </w:r>
      <w:r w:rsidR="008B42A2">
        <w:rPr>
          <w:bCs/>
          <w:sz w:val="22"/>
          <w:szCs w:val="22"/>
        </w:rPr>
        <w:t xml:space="preserve">(Q2) </w:t>
      </w:r>
      <w:r w:rsidR="0092447B">
        <w:rPr>
          <w:bCs/>
          <w:sz w:val="22"/>
          <w:szCs w:val="22"/>
        </w:rPr>
        <w:t xml:space="preserve">to </w:t>
      </w:r>
      <w:r w:rsidR="00683BD8">
        <w:rPr>
          <w:bCs/>
          <w:sz w:val="22"/>
          <w:szCs w:val="22"/>
        </w:rPr>
        <w:t>third quarter</w:t>
      </w:r>
      <w:r w:rsidR="00CA6632">
        <w:rPr>
          <w:bCs/>
          <w:sz w:val="22"/>
          <w:szCs w:val="22"/>
        </w:rPr>
        <w:t xml:space="preserve"> (Q3)</w:t>
      </w:r>
      <w:r w:rsidR="0092447B">
        <w:rPr>
          <w:bCs/>
          <w:sz w:val="22"/>
          <w:szCs w:val="22"/>
        </w:rPr>
        <w:t xml:space="preserve">. </w:t>
      </w:r>
    </w:p>
    <w:p w14:paraId="2B48EF88" w14:textId="77777777" w:rsidR="00294082" w:rsidRDefault="00294082" w:rsidP="00294082">
      <w:pPr>
        <w:pStyle w:val="ListParagraph"/>
        <w:jc w:val="both"/>
        <w:rPr>
          <w:bCs/>
          <w:sz w:val="22"/>
          <w:szCs w:val="22"/>
        </w:rPr>
      </w:pPr>
    </w:p>
    <w:p w14:paraId="53932E63" w14:textId="1B765055" w:rsidR="00294082" w:rsidRPr="006B76E4" w:rsidRDefault="1A2F30CE" w:rsidP="23FA8C93">
      <w:pPr>
        <w:pStyle w:val="ListParagraph"/>
        <w:numPr>
          <w:ilvl w:val="0"/>
          <w:numId w:val="13"/>
        </w:numPr>
        <w:jc w:val="both"/>
        <w:rPr>
          <w:i/>
          <w:iCs/>
          <w:sz w:val="22"/>
          <w:szCs w:val="22"/>
        </w:rPr>
      </w:pPr>
      <w:r w:rsidRPr="23FA8C93">
        <w:rPr>
          <w:sz w:val="22"/>
          <w:szCs w:val="22"/>
        </w:rPr>
        <w:t>A limited number of companies are reporting a negative IMR on the liabilities side. Seven companies reported a net negative IMR balance in the third quarter (Q3) for a total of 11,031,998.  One company made up $10.5M of the aggregate balance and this company initially went negative in the second quarter (Q2). Six companies reported a net negative IMR balance for Q2 for a total of $9,815,594. (The other companies with negative IMR were immaterial amounts.)</w:t>
      </w:r>
      <w:r w:rsidR="19407382" w:rsidRPr="23FA8C93">
        <w:rPr>
          <w:sz w:val="22"/>
          <w:szCs w:val="22"/>
        </w:rPr>
        <w:t xml:space="preserve"> </w:t>
      </w:r>
      <w:r w:rsidR="19407382" w:rsidRPr="23FA8C93">
        <w:rPr>
          <w:i/>
          <w:iCs/>
          <w:sz w:val="22"/>
          <w:szCs w:val="22"/>
        </w:rPr>
        <w:t>(Under the guidance in the A/S instructions, these companies should stop at zero and report the negative as disallowed nonadmitted asset.)</w:t>
      </w:r>
    </w:p>
    <w:p w14:paraId="5D055575" w14:textId="1C0570AC" w:rsidR="1DDF8BC2" w:rsidRDefault="1DDF8BC2" w:rsidP="23FA8C93">
      <w:pPr>
        <w:jc w:val="both"/>
        <w:rPr>
          <w:i/>
          <w:iCs/>
          <w:sz w:val="22"/>
          <w:szCs w:val="22"/>
        </w:rPr>
      </w:pPr>
    </w:p>
    <w:p w14:paraId="59253ED1" w14:textId="7054F597" w:rsidR="00B06CD4" w:rsidRPr="00BE6A11" w:rsidRDefault="00BE6A11" w:rsidP="1DDF8BC2">
      <w:pPr>
        <w:jc w:val="both"/>
        <w:rPr>
          <w:sz w:val="22"/>
          <w:szCs w:val="22"/>
          <w:u w:val="single"/>
        </w:rPr>
      </w:pPr>
      <w:r w:rsidRPr="1DDF8BC2">
        <w:rPr>
          <w:sz w:val="22"/>
          <w:szCs w:val="22"/>
          <w:u w:val="single"/>
        </w:rPr>
        <w:lastRenderedPageBreak/>
        <w:t xml:space="preserve">Review of </w:t>
      </w:r>
      <w:r w:rsidR="00234AB2" w:rsidRPr="1DDF8BC2">
        <w:rPr>
          <w:sz w:val="22"/>
          <w:szCs w:val="22"/>
          <w:u w:val="single"/>
        </w:rPr>
        <w:t>Disallowed IMR</w:t>
      </w:r>
      <w:r w:rsidRPr="1DDF8BC2">
        <w:rPr>
          <w:sz w:val="22"/>
          <w:szCs w:val="22"/>
          <w:u w:val="single"/>
        </w:rPr>
        <w:t>:</w:t>
      </w:r>
    </w:p>
    <w:p w14:paraId="0C3CA094" w14:textId="284EB70D" w:rsidR="003C57EA" w:rsidRDefault="430857F9" w:rsidP="23FA8C93">
      <w:pPr>
        <w:jc w:val="both"/>
        <w:rPr>
          <w:sz w:val="22"/>
          <w:szCs w:val="22"/>
        </w:rPr>
      </w:pPr>
      <w:r w:rsidRPr="23FA8C93">
        <w:rPr>
          <w:sz w:val="22"/>
          <w:szCs w:val="22"/>
        </w:rPr>
        <w:t xml:space="preserve">Although the assessment of the liability balance shows the decrease in positive IMR, it no longer tracks </w:t>
      </w:r>
      <w:r w:rsidR="576FB5C2" w:rsidRPr="23FA8C93">
        <w:rPr>
          <w:sz w:val="22"/>
          <w:szCs w:val="22"/>
        </w:rPr>
        <w:t xml:space="preserve">the decline for </w:t>
      </w:r>
      <w:r w:rsidRPr="23FA8C93">
        <w:rPr>
          <w:sz w:val="22"/>
          <w:szCs w:val="22"/>
        </w:rPr>
        <w:t xml:space="preserve">companies that go negative, as the reserve balance on the liability page should stop at zero. </w:t>
      </w:r>
      <w:r w:rsidR="4CE6D4CE" w:rsidRPr="23FA8C93">
        <w:rPr>
          <w:sz w:val="22"/>
          <w:szCs w:val="22"/>
        </w:rPr>
        <w:t xml:space="preserve">(This info may be identifiable from the IMR schedule, but not within the quarterly financials from a review of the IMR </w:t>
      </w:r>
      <w:r w:rsidR="5946F487" w:rsidRPr="23FA8C93">
        <w:rPr>
          <w:sz w:val="22"/>
          <w:szCs w:val="22"/>
        </w:rPr>
        <w:t>reported on</w:t>
      </w:r>
      <w:r w:rsidR="4CE6D4CE" w:rsidRPr="23FA8C93">
        <w:rPr>
          <w:sz w:val="22"/>
          <w:szCs w:val="22"/>
        </w:rPr>
        <w:t xml:space="preserve"> the liability page.) As such, NAIC staff completed a review of the data to identify the compan</w:t>
      </w:r>
      <w:r w:rsidR="18B6D9C5" w:rsidRPr="23FA8C93">
        <w:rPr>
          <w:sz w:val="22"/>
          <w:szCs w:val="22"/>
        </w:rPr>
        <w:t>ies that moved to a zero balanc</w:t>
      </w:r>
      <w:r w:rsidR="2AD783F1" w:rsidRPr="23FA8C93">
        <w:rPr>
          <w:sz w:val="22"/>
          <w:szCs w:val="22"/>
        </w:rPr>
        <w:t xml:space="preserve">e (from a prior positive balance) at year-end 2021 or in the 2022 quarters: </w:t>
      </w:r>
    </w:p>
    <w:p w14:paraId="331E16DF" w14:textId="406A080F" w:rsidR="003C57EA" w:rsidRDefault="003C57EA" w:rsidP="23FA8C93">
      <w:pPr>
        <w:jc w:val="both"/>
        <w:rPr>
          <w:sz w:val="22"/>
          <w:szCs w:val="22"/>
        </w:rPr>
      </w:pPr>
    </w:p>
    <w:p w14:paraId="3BDDA778" w14:textId="283CF510" w:rsidR="003C57EA" w:rsidRDefault="7684B8B4" w:rsidP="1DDF8BC2">
      <w:pPr>
        <w:jc w:val="both"/>
        <w:rPr>
          <w:sz w:val="22"/>
          <w:szCs w:val="22"/>
        </w:rPr>
      </w:pPr>
      <w:r w:rsidRPr="23FA8C93">
        <w:rPr>
          <w:sz w:val="22"/>
          <w:szCs w:val="22"/>
        </w:rPr>
        <w:t xml:space="preserve">Companies that moved from a positive IMR </w:t>
      </w:r>
      <w:r w:rsidR="0FCB51AD" w:rsidRPr="23FA8C93">
        <w:rPr>
          <w:sz w:val="22"/>
          <w:szCs w:val="22"/>
        </w:rPr>
        <w:t>(liability) to a zero balance:</w:t>
      </w:r>
    </w:p>
    <w:p w14:paraId="03A638C8" w14:textId="3A32ABB9" w:rsidR="2B076696" w:rsidRDefault="0E9C0825" w:rsidP="1DDF8BC2">
      <w:pPr>
        <w:pStyle w:val="ListParagraph"/>
        <w:numPr>
          <w:ilvl w:val="0"/>
          <w:numId w:val="13"/>
        </w:numPr>
        <w:jc w:val="both"/>
        <w:rPr>
          <w:color w:val="000000" w:themeColor="text1"/>
          <w:sz w:val="22"/>
          <w:szCs w:val="22"/>
        </w:rPr>
      </w:pPr>
      <w:r w:rsidRPr="23FA8C93">
        <w:rPr>
          <w:color w:val="000000" w:themeColor="text1"/>
          <w:sz w:val="22"/>
          <w:szCs w:val="22"/>
        </w:rPr>
        <w:t xml:space="preserve">Initially went to zero in </w:t>
      </w:r>
      <w:r w:rsidR="3E773797" w:rsidRPr="23FA8C93">
        <w:rPr>
          <w:color w:val="000000" w:themeColor="text1"/>
          <w:sz w:val="22"/>
          <w:szCs w:val="22"/>
        </w:rPr>
        <w:t>2022</w:t>
      </w:r>
      <w:r w:rsidR="0529B767" w:rsidRPr="23FA8C93">
        <w:rPr>
          <w:color w:val="000000" w:themeColor="text1"/>
          <w:sz w:val="22"/>
          <w:szCs w:val="22"/>
        </w:rPr>
        <w:t xml:space="preserve"> – </w:t>
      </w:r>
      <w:r w:rsidRPr="23FA8C93">
        <w:rPr>
          <w:color w:val="000000" w:themeColor="text1"/>
          <w:sz w:val="22"/>
          <w:szCs w:val="22"/>
        </w:rPr>
        <w:t>Q3</w:t>
      </w:r>
      <w:r w:rsidR="0529B767" w:rsidRPr="23FA8C93">
        <w:rPr>
          <w:color w:val="000000" w:themeColor="text1"/>
          <w:sz w:val="22"/>
          <w:szCs w:val="22"/>
        </w:rPr>
        <w:t xml:space="preserve">: </w:t>
      </w:r>
      <w:r w:rsidRPr="23FA8C93">
        <w:rPr>
          <w:color w:val="000000" w:themeColor="text1"/>
          <w:sz w:val="22"/>
          <w:szCs w:val="22"/>
        </w:rPr>
        <w:t xml:space="preserve">20 </w:t>
      </w:r>
      <w:proofErr w:type="gramStart"/>
      <w:r w:rsidRPr="23FA8C93">
        <w:rPr>
          <w:color w:val="000000" w:themeColor="text1"/>
          <w:sz w:val="22"/>
          <w:szCs w:val="22"/>
        </w:rPr>
        <w:t>companies</w:t>
      </w:r>
      <w:proofErr w:type="gramEnd"/>
    </w:p>
    <w:p w14:paraId="728B65B7" w14:textId="7CC2C0B9"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in </w:t>
      </w:r>
      <w:r w:rsidR="6C98D187" w:rsidRPr="23FA8C93">
        <w:rPr>
          <w:color w:val="000000" w:themeColor="text1"/>
          <w:sz w:val="22"/>
          <w:szCs w:val="22"/>
        </w:rPr>
        <w:t>2022</w:t>
      </w:r>
      <w:r w:rsidR="58231302" w:rsidRPr="23FA8C93">
        <w:rPr>
          <w:color w:val="000000" w:themeColor="text1"/>
          <w:sz w:val="22"/>
          <w:szCs w:val="22"/>
        </w:rPr>
        <w:t xml:space="preserve"> – </w:t>
      </w:r>
      <w:r w:rsidRPr="23FA8C93">
        <w:rPr>
          <w:color w:val="000000" w:themeColor="text1"/>
          <w:sz w:val="22"/>
          <w:szCs w:val="22"/>
        </w:rPr>
        <w:t>Q2</w:t>
      </w:r>
      <w:r w:rsidR="58231302" w:rsidRPr="23FA8C93">
        <w:rPr>
          <w:color w:val="000000" w:themeColor="text1"/>
          <w:sz w:val="22"/>
          <w:szCs w:val="22"/>
        </w:rPr>
        <w:t>:</w:t>
      </w:r>
      <w:r w:rsidRPr="23FA8C93">
        <w:rPr>
          <w:color w:val="000000" w:themeColor="text1"/>
          <w:sz w:val="22"/>
          <w:szCs w:val="22"/>
        </w:rPr>
        <w:t xml:space="preserve"> 20 </w:t>
      </w:r>
      <w:proofErr w:type="gramStart"/>
      <w:r w:rsidRPr="23FA8C93">
        <w:rPr>
          <w:color w:val="000000" w:themeColor="text1"/>
          <w:sz w:val="22"/>
          <w:szCs w:val="22"/>
        </w:rPr>
        <w:t>companies</w:t>
      </w:r>
      <w:proofErr w:type="gramEnd"/>
    </w:p>
    <w:p w14:paraId="79487C51" w14:textId="63D7A021"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in </w:t>
      </w:r>
      <w:r w:rsidR="469FA348" w:rsidRPr="23FA8C93">
        <w:rPr>
          <w:color w:val="000000" w:themeColor="text1"/>
          <w:sz w:val="22"/>
          <w:szCs w:val="22"/>
        </w:rPr>
        <w:t xml:space="preserve">2022 – Q1: </w:t>
      </w:r>
      <w:r w:rsidRPr="23FA8C93">
        <w:rPr>
          <w:color w:val="000000" w:themeColor="text1"/>
          <w:sz w:val="22"/>
          <w:szCs w:val="22"/>
        </w:rPr>
        <w:t xml:space="preserve">11 </w:t>
      </w:r>
      <w:proofErr w:type="gramStart"/>
      <w:r w:rsidRPr="23FA8C93">
        <w:rPr>
          <w:color w:val="000000" w:themeColor="text1"/>
          <w:sz w:val="22"/>
          <w:szCs w:val="22"/>
        </w:rPr>
        <w:t>companies</w:t>
      </w:r>
      <w:proofErr w:type="gramEnd"/>
    </w:p>
    <w:p w14:paraId="2880974F" w14:textId="6332D855" w:rsidR="2B076696" w:rsidRDefault="0E9C0825" w:rsidP="1DDF8BC2">
      <w:pPr>
        <w:pStyle w:val="ListParagraph"/>
        <w:numPr>
          <w:ilvl w:val="0"/>
          <w:numId w:val="13"/>
        </w:numPr>
        <w:rPr>
          <w:color w:val="000000" w:themeColor="text1"/>
          <w:sz w:val="22"/>
          <w:szCs w:val="22"/>
        </w:rPr>
      </w:pPr>
      <w:r w:rsidRPr="23FA8C93">
        <w:rPr>
          <w:color w:val="000000" w:themeColor="text1"/>
          <w:sz w:val="22"/>
          <w:szCs w:val="22"/>
        </w:rPr>
        <w:t xml:space="preserve">Initially went to zero YE 2021 – 20 </w:t>
      </w:r>
      <w:r w:rsidR="0932AF2B" w:rsidRPr="23FA8C93">
        <w:rPr>
          <w:color w:val="000000" w:themeColor="text1"/>
          <w:sz w:val="22"/>
          <w:szCs w:val="22"/>
        </w:rPr>
        <w:t>companies (</w:t>
      </w:r>
      <w:r w:rsidRPr="23FA8C93">
        <w:rPr>
          <w:color w:val="000000" w:themeColor="text1"/>
          <w:sz w:val="22"/>
          <w:szCs w:val="22"/>
        </w:rPr>
        <w:t>This is a comparison to YE 2020.)</w:t>
      </w:r>
    </w:p>
    <w:p w14:paraId="0721E74F" w14:textId="4D26B1BC" w:rsidR="28071A66" w:rsidRDefault="28071A66" w:rsidP="23FA8C93">
      <w:pPr>
        <w:ind w:left="720"/>
        <w:jc w:val="both"/>
        <w:rPr>
          <w:sz w:val="22"/>
          <w:szCs w:val="22"/>
        </w:rPr>
      </w:pPr>
    </w:p>
    <w:p w14:paraId="665F2399" w14:textId="3A882B1A" w:rsidR="49C6E80B" w:rsidRDefault="49C6E80B" w:rsidP="23FA8C93">
      <w:pPr>
        <w:jc w:val="both"/>
        <w:rPr>
          <w:sz w:val="22"/>
          <w:szCs w:val="22"/>
        </w:rPr>
      </w:pPr>
      <w:r w:rsidRPr="23FA8C93">
        <w:rPr>
          <w:sz w:val="22"/>
          <w:szCs w:val="22"/>
        </w:rPr>
        <w:t xml:space="preserve">For these 71 companies, NAIC staff has completed a manual review to the </w:t>
      </w:r>
      <w:r w:rsidR="5A0474CF" w:rsidRPr="23FA8C93">
        <w:rPr>
          <w:sz w:val="22"/>
          <w:szCs w:val="22"/>
        </w:rPr>
        <w:t xml:space="preserve">2022 third quarter </w:t>
      </w:r>
      <w:r w:rsidRPr="23FA8C93">
        <w:rPr>
          <w:sz w:val="22"/>
          <w:szCs w:val="22"/>
        </w:rPr>
        <w:t>financial statements to determine if a disallowed IMR was reported as an aggregate write-in on the asset page</w:t>
      </w:r>
      <w:r w:rsidR="3AADCE80" w:rsidRPr="23FA8C93">
        <w:rPr>
          <w:sz w:val="22"/>
          <w:szCs w:val="22"/>
        </w:rPr>
        <w:t xml:space="preserve">. For these companies, 60 were identified with a disallowed IMR for a total of $1 Billion as of the third quarter 2022. </w:t>
      </w:r>
    </w:p>
    <w:p w14:paraId="3D07E620" w14:textId="2AC27952" w:rsidR="00DB3EEE" w:rsidRDefault="00DB3EEE">
      <w:pPr>
        <w:rPr>
          <w:b/>
          <w:sz w:val="22"/>
          <w:szCs w:val="22"/>
        </w:rPr>
      </w:pPr>
    </w:p>
    <w:p w14:paraId="0FFEAFEC" w14:textId="347DA0CD" w:rsidR="00681DFC" w:rsidRPr="00937619" w:rsidRDefault="002A1316" w:rsidP="00937619">
      <w:pPr>
        <w:rPr>
          <w:b/>
          <w:szCs w:val="22"/>
        </w:rPr>
      </w:pPr>
      <w:r w:rsidRPr="00937619">
        <w:rPr>
          <w:b/>
          <w:szCs w:val="22"/>
        </w:rPr>
        <w:t>Existing Authoritative Literature:</w:t>
      </w:r>
      <w:r w:rsidR="00296E66" w:rsidRPr="00937619">
        <w:rPr>
          <w:b/>
          <w:szCs w:val="22"/>
        </w:rPr>
        <w:t xml:space="preserve"> </w:t>
      </w:r>
    </w:p>
    <w:p w14:paraId="0901A53E" w14:textId="77777777" w:rsidR="00433E0D" w:rsidRDefault="00433E0D" w:rsidP="00FF68C7">
      <w:pPr>
        <w:pStyle w:val="BodyText2"/>
        <w:rPr>
          <w:bCs w:val="0"/>
          <w:szCs w:val="22"/>
        </w:rPr>
      </w:pPr>
    </w:p>
    <w:p w14:paraId="1813791C" w14:textId="6B95E99D" w:rsidR="00433E0D" w:rsidRPr="0088714C" w:rsidRDefault="00433E0D" w:rsidP="00FF68C7">
      <w:pPr>
        <w:pStyle w:val="BodyText2"/>
        <w:rPr>
          <w:bCs w:val="0"/>
          <w:i/>
          <w:iCs/>
          <w:szCs w:val="22"/>
        </w:rPr>
      </w:pPr>
      <w:r w:rsidRPr="0088714C">
        <w:rPr>
          <w:bCs w:val="0"/>
          <w:i/>
          <w:iCs/>
          <w:szCs w:val="22"/>
        </w:rPr>
        <w:t>SSAP Authoritative Guidance:</w:t>
      </w:r>
    </w:p>
    <w:p w14:paraId="65B730C8" w14:textId="10CDEB10" w:rsidR="00C22209" w:rsidRPr="00DD6AF6" w:rsidRDefault="009C655A" w:rsidP="00617004">
      <w:pPr>
        <w:pStyle w:val="BodyText2"/>
        <w:numPr>
          <w:ilvl w:val="0"/>
          <w:numId w:val="6"/>
        </w:numPr>
        <w:rPr>
          <w:b w:val="0"/>
          <w:i/>
          <w:iCs/>
          <w:szCs w:val="22"/>
        </w:rPr>
      </w:pPr>
      <w:r w:rsidRPr="00DD6AF6">
        <w:rPr>
          <w:b w:val="0"/>
          <w:i/>
          <w:iCs/>
          <w:szCs w:val="22"/>
        </w:rPr>
        <w:t xml:space="preserve">SSAP No. </w:t>
      </w:r>
      <w:r w:rsidR="00617004" w:rsidRPr="00DD6AF6">
        <w:rPr>
          <w:b w:val="0"/>
          <w:i/>
          <w:iCs/>
          <w:szCs w:val="22"/>
        </w:rPr>
        <w:t>7—</w:t>
      </w:r>
      <w:r w:rsidR="00A40E7A" w:rsidRPr="00DD6AF6">
        <w:rPr>
          <w:b w:val="0"/>
          <w:i/>
          <w:iCs/>
          <w:szCs w:val="22"/>
        </w:rPr>
        <w:t>Asset Valuation Reserve and Interest Maintenance Reserve</w:t>
      </w:r>
    </w:p>
    <w:p w14:paraId="3CA42777" w14:textId="68121565" w:rsidR="00A40E7A" w:rsidRDefault="00A40E7A" w:rsidP="00617004">
      <w:pPr>
        <w:pStyle w:val="BodyText2"/>
        <w:numPr>
          <w:ilvl w:val="0"/>
          <w:numId w:val="6"/>
        </w:numPr>
        <w:rPr>
          <w:b w:val="0"/>
          <w:szCs w:val="22"/>
        </w:rPr>
      </w:pPr>
      <w:r>
        <w:rPr>
          <w:b w:val="0"/>
          <w:szCs w:val="22"/>
        </w:rPr>
        <w:t>Life Annual Statement I</w:t>
      </w:r>
      <w:r w:rsidR="008A44B9">
        <w:rPr>
          <w:b w:val="0"/>
          <w:szCs w:val="22"/>
        </w:rPr>
        <w:t>n</w:t>
      </w:r>
      <w:r>
        <w:rPr>
          <w:b w:val="0"/>
          <w:szCs w:val="22"/>
        </w:rPr>
        <w:t>s</w:t>
      </w:r>
      <w:r w:rsidR="008A44B9">
        <w:rPr>
          <w:b w:val="0"/>
          <w:szCs w:val="22"/>
        </w:rPr>
        <w:t xml:space="preserve">tructions </w:t>
      </w:r>
    </w:p>
    <w:p w14:paraId="0CCBC075" w14:textId="77777777" w:rsidR="00F7595C" w:rsidRDefault="00F7595C" w:rsidP="00F7595C">
      <w:pPr>
        <w:pStyle w:val="BodyText2"/>
        <w:ind w:left="360"/>
        <w:rPr>
          <w:b w:val="0"/>
          <w:szCs w:val="22"/>
        </w:rPr>
      </w:pPr>
    </w:p>
    <w:p w14:paraId="208E474C" w14:textId="77777777" w:rsidR="003A670B" w:rsidRPr="00F7595C" w:rsidRDefault="003A670B" w:rsidP="00F7595C">
      <w:pPr>
        <w:pStyle w:val="BodyText2"/>
        <w:ind w:left="360"/>
        <w:rPr>
          <w:b w:val="0"/>
          <w:i/>
          <w:iCs/>
          <w:szCs w:val="22"/>
        </w:rPr>
      </w:pPr>
      <w:r w:rsidRPr="00F7595C">
        <w:rPr>
          <w:b w:val="0"/>
          <w:i/>
          <w:iCs/>
          <w:szCs w:val="22"/>
        </w:rPr>
        <w:t xml:space="preserve">(Guidance included as part of discussion.) </w:t>
      </w:r>
    </w:p>
    <w:p w14:paraId="5DD21217" w14:textId="77777777" w:rsidR="003A670B" w:rsidRPr="00A40E7A" w:rsidRDefault="003A670B" w:rsidP="003A670B">
      <w:pPr>
        <w:pStyle w:val="BodyText2"/>
        <w:ind w:left="360"/>
        <w:rPr>
          <w:b w:val="0"/>
          <w:szCs w:val="22"/>
        </w:rPr>
      </w:pPr>
    </w:p>
    <w:p w14:paraId="59DFDF4B" w14:textId="5FA486C5"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678EC8BD" w14:textId="7B7CBDAE" w:rsidR="00261C0A" w:rsidRPr="0080591C" w:rsidRDefault="00261C0A" w:rsidP="00261C0A">
      <w:pPr>
        <w:pStyle w:val="BodyText2"/>
        <w:numPr>
          <w:ilvl w:val="0"/>
          <w:numId w:val="14"/>
        </w:numPr>
        <w:rPr>
          <w:b w:val="0"/>
          <w:bCs w:val="0"/>
          <w:szCs w:val="22"/>
        </w:rPr>
      </w:pPr>
      <w:r w:rsidRPr="0080591C">
        <w:rPr>
          <w:b w:val="0"/>
          <w:bCs w:val="0"/>
          <w:szCs w:val="22"/>
        </w:rPr>
        <w:t>Nov. 17, 2022</w:t>
      </w:r>
      <w:r w:rsidR="009D0C90" w:rsidRPr="0080591C">
        <w:rPr>
          <w:b w:val="0"/>
          <w:bCs w:val="0"/>
          <w:szCs w:val="22"/>
        </w:rPr>
        <w:t>,</w:t>
      </w:r>
      <w:r w:rsidRPr="0080591C">
        <w:rPr>
          <w:b w:val="0"/>
          <w:bCs w:val="0"/>
          <w:szCs w:val="22"/>
        </w:rPr>
        <w:t xml:space="preserve"> Discussion by Life Actuarial (A) Task Force as discussed above.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66722FA2" w14:textId="68660AAA" w:rsidR="004813F4" w:rsidRPr="0017319B" w:rsidRDefault="004813F4" w:rsidP="004813F4">
      <w:pPr>
        <w:pStyle w:val="BodyText2"/>
        <w:rPr>
          <w:b w:val="0"/>
          <w:bCs w:val="0"/>
          <w:szCs w:val="22"/>
        </w:rPr>
      </w:pPr>
      <w:r w:rsidRPr="0017319B">
        <w:rPr>
          <w:szCs w:val="22"/>
        </w:rPr>
        <w:t>NAIC staff recommend that the Working Group include this item on their maintenance agenda as a New SAP Concept for discussion to assess the current guidance for</w:t>
      </w:r>
      <w:r>
        <w:rPr>
          <w:szCs w:val="22"/>
        </w:rPr>
        <w:t xml:space="preserve"> disallowed </w:t>
      </w:r>
      <w:r w:rsidRPr="0017319B">
        <w:rPr>
          <w:szCs w:val="22"/>
        </w:rPr>
        <w:t xml:space="preserve">negative IMR. NAIC staff recommend that at the Working Group’s conclusion, </w:t>
      </w:r>
      <w:r>
        <w:rPr>
          <w:szCs w:val="22"/>
        </w:rPr>
        <w:t>d</w:t>
      </w:r>
      <w:r w:rsidRPr="0017319B">
        <w:rPr>
          <w:szCs w:val="22"/>
        </w:rPr>
        <w:t xml:space="preserve">ocumentation of the discussion, and resulting decisions, be </w:t>
      </w:r>
      <w:r>
        <w:rPr>
          <w:szCs w:val="22"/>
        </w:rPr>
        <w:t xml:space="preserve">captured </w:t>
      </w:r>
      <w:r w:rsidRPr="0017319B">
        <w:rPr>
          <w:szCs w:val="22"/>
        </w:rPr>
        <w:t xml:space="preserve">for historical purposes in an Issue Paper. </w:t>
      </w:r>
    </w:p>
    <w:p w14:paraId="1D4078FD" w14:textId="77777777" w:rsidR="00771D95" w:rsidRPr="00016321" w:rsidRDefault="00771D95" w:rsidP="00B30CA0">
      <w:pPr>
        <w:pStyle w:val="BodyText2"/>
        <w:rPr>
          <w:b w:val="0"/>
          <w:bCs w:val="0"/>
          <w:szCs w:val="22"/>
        </w:rPr>
      </w:pPr>
    </w:p>
    <w:p w14:paraId="53229BB2" w14:textId="05134330"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3A670B">
        <w:rPr>
          <w:b w:val="0"/>
          <w:bCs w:val="0"/>
          <w:szCs w:val="22"/>
        </w:rPr>
        <w:t>November 2022</w:t>
      </w:r>
    </w:p>
    <w:p w14:paraId="71BBEFE0" w14:textId="77777777" w:rsidR="002A1316" w:rsidRDefault="002A1316" w:rsidP="00B30CA0">
      <w:pPr>
        <w:rPr>
          <w:sz w:val="22"/>
        </w:rPr>
      </w:pPr>
    </w:p>
    <w:p w14:paraId="57D8EB53" w14:textId="77777777" w:rsidR="00967E73" w:rsidRPr="00530F98" w:rsidRDefault="00967E73" w:rsidP="00967E73">
      <w:pPr>
        <w:rPr>
          <w:b/>
          <w:bCs/>
          <w:sz w:val="22"/>
          <w:szCs w:val="22"/>
        </w:rPr>
      </w:pPr>
      <w:r w:rsidRPr="00530F98">
        <w:rPr>
          <w:b/>
          <w:bCs/>
          <w:sz w:val="22"/>
          <w:szCs w:val="22"/>
        </w:rPr>
        <w:t>Status:</w:t>
      </w:r>
    </w:p>
    <w:p w14:paraId="2F39DBFF" w14:textId="3CF9C60D" w:rsidR="00BF6A1C" w:rsidRDefault="00967E73" w:rsidP="00AE4705">
      <w:pPr>
        <w:jc w:val="both"/>
        <w:rPr>
          <w:sz w:val="22"/>
          <w:szCs w:val="22"/>
        </w:rPr>
      </w:pPr>
      <w:r w:rsidRPr="00530F98">
        <w:rPr>
          <w:sz w:val="22"/>
          <w:szCs w:val="22"/>
        </w:rPr>
        <w:t>On December 13, 2022, the Statutory Accounting Principles (E) Working Group moved this agenda item to the active listing, categorized as a</w:t>
      </w:r>
      <w:r>
        <w:rPr>
          <w:sz w:val="22"/>
          <w:szCs w:val="22"/>
        </w:rPr>
        <w:t xml:space="preserve"> New SAP Concept </w:t>
      </w:r>
      <w:r w:rsidR="00817ADA">
        <w:rPr>
          <w:sz w:val="22"/>
          <w:szCs w:val="22"/>
        </w:rPr>
        <w:t>and exposed the agenda item with a request for comments by indus</w:t>
      </w:r>
      <w:r w:rsidR="001A5886">
        <w:rPr>
          <w:sz w:val="22"/>
          <w:szCs w:val="22"/>
        </w:rPr>
        <w:t xml:space="preserve">try on potential guardrails and details on unique considerations. </w:t>
      </w:r>
      <w:r w:rsidR="00E43B38">
        <w:rPr>
          <w:sz w:val="22"/>
          <w:szCs w:val="22"/>
        </w:rPr>
        <w:t xml:space="preserve">The Working Group directed NAIC staff to coordinate with </w:t>
      </w:r>
      <w:r w:rsidR="004B0127">
        <w:rPr>
          <w:sz w:val="22"/>
          <w:szCs w:val="22"/>
        </w:rPr>
        <w:t>t</w:t>
      </w:r>
      <w:r w:rsidR="00E43B38">
        <w:rPr>
          <w:sz w:val="22"/>
          <w:szCs w:val="22"/>
        </w:rPr>
        <w:t xml:space="preserve">he Life Actuarial (A) Task Force and </w:t>
      </w:r>
      <w:r w:rsidR="004B5294">
        <w:rPr>
          <w:sz w:val="22"/>
          <w:szCs w:val="22"/>
        </w:rPr>
        <w:t xml:space="preserve">request regulator-only sessions with industry to receive specific company information. </w:t>
      </w:r>
    </w:p>
    <w:p w14:paraId="562EF9E1" w14:textId="77777777" w:rsidR="002166DB" w:rsidRDefault="002166DB" w:rsidP="00AE4705">
      <w:pPr>
        <w:jc w:val="both"/>
        <w:rPr>
          <w:sz w:val="22"/>
          <w:szCs w:val="22"/>
        </w:rPr>
      </w:pPr>
    </w:p>
    <w:p w14:paraId="2B695CD2" w14:textId="77777777" w:rsidR="00814380" w:rsidRDefault="00814380">
      <w:pPr>
        <w:rPr>
          <w:sz w:val="22"/>
          <w:szCs w:val="22"/>
        </w:rPr>
      </w:pPr>
      <w:r>
        <w:rPr>
          <w:sz w:val="22"/>
          <w:szCs w:val="22"/>
        </w:rPr>
        <w:br w:type="page"/>
      </w:r>
    </w:p>
    <w:p w14:paraId="7FE129EB" w14:textId="177A2215" w:rsidR="00814380" w:rsidRPr="00814380" w:rsidRDefault="002166DB" w:rsidP="00814380">
      <w:pPr>
        <w:jc w:val="both"/>
        <w:rPr>
          <w:sz w:val="22"/>
        </w:rPr>
      </w:pPr>
      <w:r w:rsidRPr="00530F98">
        <w:rPr>
          <w:sz w:val="22"/>
          <w:szCs w:val="22"/>
        </w:rPr>
        <w:lastRenderedPageBreak/>
        <w:t xml:space="preserve">On </w:t>
      </w:r>
      <w:r>
        <w:rPr>
          <w:sz w:val="22"/>
          <w:szCs w:val="22"/>
        </w:rPr>
        <w:t>March 22</w:t>
      </w:r>
      <w:r w:rsidRPr="00530F98">
        <w:rPr>
          <w:sz w:val="22"/>
          <w:szCs w:val="22"/>
        </w:rPr>
        <w:t>, 202</w:t>
      </w:r>
      <w:r>
        <w:rPr>
          <w:sz w:val="22"/>
          <w:szCs w:val="22"/>
        </w:rPr>
        <w:t>3</w:t>
      </w:r>
      <w:r w:rsidRPr="00530F98">
        <w:rPr>
          <w:sz w:val="22"/>
          <w:szCs w:val="22"/>
        </w:rPr>
        <w:t>, the Statutory Accounting Principles (E) Working Group</w:t>
      </w:r>
      <w:r w:rsidR="000F4FE4">
        <w:rPr>
          <w:sz w:val="22"/>
          <w:szCs w:val="22"/>
        </w:rPr>
        <w:t xml:space="preserve"> directed </w:t>
      </w:r>
      <w:r w:rsidR="00814380">
        <w:rPr>
          <w:rFonts w:cstheme="minorHAnsi"/>
          <w:sz w:val="22"/>
          <w:szCs w:val="22"/>
        </w:rPr>
        <w:t>NAIC staff regarding the consideration of negative interest maintenance reserve (IMR) with an intent to work on both a 2023 solution and a long-term solution as follows:</w:t>
      </w:r>
    </w:p>
    <w:p w14:paraId="7C12288F" w14:textId="77777777" w:rsidR="00814380" w:rsidRDefault="00814380" w:rsidP="00814380">
      <w:pPr>
        <w:pStyle w:val="ListParagraph"/>
        <w:rPr>
          <w:rFonts w:cstheme="minorHAnsi"/>
          <w:sz w:val="22"/>
          <w:szCs w:val="22"/>
        </w:rPr>
      </w:pPr>
    </w:p>
    <w:p w14:paraId="5FAAF075" w14:textId="35C37D1B" w:rsidR="00814380" w:rsidRDefault="000F4FE4" w:rsidP="00AC28F6">
      <w:pPr>
        <w:pStyle w:val="ListParagraph"/>
        <w:numPr>
          <w:ilvl w:val="0"/>
          <w:numId w:val="19"/>
        </w:numPr>
        <w:ind w:hanging="540"/>
        <w:contextualSpacing w:val="0"/>
        <w:jc w:val="both"/>
        <w:rPr>
          <w:sz w:val="22"/>
          <w:szCs w:val="22"/>
        </w:rPr>
      </w:pPr>
      <w:r>
        <w:rPr>
          <w:sz w:val="22"/>
          <w:szCs w:val="22"/>
        </w:rPr>
        <w:t xml:space="preserve">Draft </w:t>
      </w:r>
      <w:r w:rsidR="00814380">
        <w:rPr>
          <w:sz w:val="22"/>
          <w:szCs w:val="22"/>
        </w:rPr>
        <w:t xml:space="preserve">a </w:t>
      </w:r>
      <w:r w:rsidR="00814380" w:rsidRPr="00F56FC1">
        <w:rPr>
          <w:sz w:val="22"/>
          <w:szCs w:val="22"/>
        </w:rPr>
        <w:t xml:space="preserve">referral to </w:t>
      </w:r>
      <w:r w:rsidR="00814380">
        <w:rPr>
          <w:sz w:val="22"/>
          <w:szCs w:val="22"/>
        </w:rPr>
        <w:t xml:space="preserve">the </w:t>
      </w:r>
      <w:r w:rsidR="00814380" w:rsidRPr="00F56FC1">
        <w:rPr>
          <w:sz w:val="22"/>
          <w:szCs w:val="22"/>
        </w:rPr>
        <w:t>L</w:t>
      </w:r>
      <w:r w:rsidR="00814380">
        <w:rPr>
          <w:sz w:val="22"/>
          <w:szCs w:val="22"/>
        </w:rPr>
        <w:t xml:space="preserve">ife </w:t>
      </w:r>
      <w:r w:rsidR="00814380" w:rsidRPr="00F56FC1">
        <w:rPr>
          <w:sz w:val="22"/>
          <w:szCs w:val="22"/>
        </w:rPr>
        <w:t>A</w:t>
      </w:r>
      <w:r w:rsidR="00814380">
        <w:rPr>
          <w:sz w:val="22"/>
          <w:szCs w:val="22"/>
        </w:rPr>
        <w:t xml:space="preserve">ctuarial (A) </w:t>
      </w:r>
      <w:r w:rsidR="00814380" w:rsidRPr="00F56FC1">
        <w:rPr>
          <w:sz w:val="22"/>
          <w:szCs w:val="22"/>
        </w:rPr>
        <w:t>T</w:t>
      </w:r>
      <w:r w:rsidR="00814380">
        <w:rPr>
          <w:sz w:val="22"/>
          <w:szCs w:val="22"/>
        </w:rPr>
        <w:t xml:space="preserve">ask </w:t>
      </w:r>
      <w:r w:rsidR="00814380" w:rsidRPr="00F56FC1">
        <w:rPr>
          <w:sz w:val="22"/>
          <w:szCs w:val="22"/>
        </w:rPr>
        <w:t>F</w:t>
      </w:r>
      <w:r w:rsidR="00814380">
        <w:rPr>
          <w:sz w:val="22"/>
          <w:szCs w:val="22"/>
        </w:rPr>
        <w:t>orce</w:t>
      </w:r>
      <w:r w:rsidR="00814380" w:rsidRPr="00F56FC1">
        <w:rPr>
          <w:sz w:val="22"/>
          <w:szCs w:val="22"/>
        </w:rPr>
        <w:t xml:space="preserve"> on further consideration of the </w:t>
      </w:r>
      <w:r w:rsidR="00814380">
        <w:rPr>
          <w:sz w:val="22"/>
          <w:szCs w:val="22"/>
        </w:rPr>
        <w:t>a</w:t>
      </w:r>
      <w:r w:rsidR="00814380" w:rsidRPr="00F56FC1">
        <w:rPr>
          <w:sz w:val="22"/>
          <w:szCs w:val="22"/>
        </w:rPr>
        <w:t xml:space="preserve">sset </w:t>
      </w:r>
      <w:r w:rsidR="00814380">
        <w:rPr>
          <w:sz w:val="22"/>
          <w:szCs w:val="22"/>
        </w:rPr>
        <w:t>a</w:t>
      </w:r>
      <w:r w:rsidR="00814380" w:rsidRPr="00F56FC1">
        <w:rPr>
          <w:sz w:val="22"/>
          <w:szCs w:val="22"/>
        </w:rPr>
        <w:t>dequacy implications of negative IMR</w:t>
      </w:r>
      <w:r w:rsidR="00814380">
        <w:rPr>
          <w:sz w:val="22"/>
          <w:szCs w:val="22"/>
        </w:rPr>
        <w:t xml:space="preserve">. Items to include: 1) developing a template for </w:t>
      </w:r>
      <w:r w:rsidR="00814380" w:rsidRPr="00F56FC1">
        <w:rPr>
          <w:sz w:val="22"/>
          <w:szCs w:val="22"/>
        </w:rPr>
        <w:t xml:space="preserve">reporting within </w:t>
      </w:r>
      <w:r w:rsidR="00814380">
        <w:rPr>
          <w:sz w:val="22"/>
          <w:szCs w:val="22"/>
        </w:rPr>
        <w:t>asset adequacy testing (</w:t>
      </w:r>
      <w:r w:rsidR="00814380" w:rsidRPr="00F56FC1">
        <w:rPr>
          <w:sz w:val="22"/>
          <w:szCs w:val="22"/>
        </w:rPr>
        <w:t>AAT</w:t>
      </w:r>
      <w:r w:rsidR="00814380">
        <w:rPr>
          <w:sz w:val="22"/>
          <w:szCs w:val="22"/>
        </w:rPr>
        <w:t xml:space="preserve">); 2) </w:t>
      </w:r>
      <w:r w:rsidR="00814380" w:rsidRPr="00F56FC1">
        <w:rPr>
          <w:sz w:val="22"/>
          <w:szCs w:val="22"/>
        </w:rPr>
        <w:t>consider</w:t>
      </w:r>
      <w:r w:rsidR="00814380">
        <w:rPr>
          <w:sz w:val="22"/>
          <w:szCs w:val="22"/>
        </w:rPr>
        <w:t>ing</w:t>
      </w:r>
      <w:r w:rsidR="00814380" w:rsidRPr="00F56FC1">
        <w:rPr>
          <w:sz w:val="22"/>
          <w:szCs w:val="22"/>
        </w:rPr>
        <w:t xml:space="preserve"> the actual amount of negative IMR that is admitted to be used in the AAT</w:t>
      </w:r>
      <w:r w:rsidR="00814380">
        <w:rPr>
          <w:sz w:val="22"/>
          <w:szCs w:val="22"/>
        </w:rPr>
        <w:t xml:space="preserve">; 3) </w:t>
      </w:r>
      <w:r w:rsidR="00814380" w:rsidRPr="00F56FC1">
        <w:rPr>
          <w:sz w:val="22"/>
          <w:szCs w:val="22"/>
        </w:rPr>
        <w:t xml:space="preserve">better consideration of cash flows within AAT (and documentation), </w:t>
      </w:r>
      <w:r w:rsidR="00814380">
        <w:rPr>
          <w:sz w:val="22"/>
          <w:szCs w:val="22"/>
        </w:rPr>
        <w:t>as well as</w:t>
      </w:r>
      <w:r w:rsidR="00814380" w:rsidRPr="00F56FC1">
        <w:rPr>
          <w:sz w:val="22"/>
          <w:szCs w:val="22"/>
        </w:rPr>
        <w:t xml:space="preserve"> any liquidity stress test </w:t>
      </w:r>
      <w:r w:rsidR="00814380">
        <w:rPr>
          <w:sz w:val="22"/>
          <w:szCs w:val="22"/>
        </w:rPr>
        <w:t xml:space="preserve">(LST) </w:t>
      </w:r>
      <w:r w:rsidR="00814380" w:rsidRPr="00F56FC1">
        <w:rPr>
          <w:sz w:val="22"/>
          <w:szCs w:val="22"/>
        </w:rPr>
        <w:t>considerations</w:t>
      </w:r>
      <w:r w:rsidR="00814380">
        <w:rPr>
          <w:sz w:val="22"/>
          <w:szCs w:val="22"/>
        </w:rPr>
        <w:t>; 4) ensuring that</w:t>
      </w:r>
      <w:r w:rsidR="00814380" w:rsidRPr="00F56FC1">
        <w:rPr>
          <w:sz w:val="22"/>
          <w:szCs w:val="22"/>
        </w:rPr>
        <w:t xml:space="preserve"> excessive withdrawal considerations are consistent with actual data (sales of bonds because of excess </w:t>
      </w:r>
      <w:r w:rsidR="00814380">
        <w:rPr>
          <w:sz w:val="22"/>
          <w:szCs w:val="22"/>
        </w:rPr>
        <w:t>withdrawals</w:t>
      </w:r>
      <w:r w:rsidR="00814380" w:rsidRPr="00F56FC1">
        <w:rPr>
          <w:sz w:val="22"/>
          <w:szCs w:val="22"/>
        </w:rPr>
        <w:t xml:space="preserve"> should not use </w:t>
      </w:r>
      <w:r w:rsidR="00814380">
        <w:rPr>
          <w:sz w:val="22"/>
          <w:szCs w:val="22"/>
        </w:rPr>
        <w:t xml:space="preserve">the </w:t>
      </w:r>
      <w:r w:rsidR="00814380" w:rsidRPr="00F56FC1">
        <w:rPr>
          <w:sz w:val="22"/>
          <w:szCs w:val="22"/>
        </w:rPr>
        <w:t>IMR process)</w:t>
      </w:r>
      <w:r w:rsidR="00814380">
        <w:rPr>
          <w:sz w:val="22"/>
          <w:szCs w:val="22"/>
        </w:rPr>
        <w:t>; and 5) ensuring</w:t>
      </w:r>
      <w:r w:rsidR="00814380" w:rsidRPr="00F56FC1">
        <w:rPr>
          <w:sz w:val="22"/>
          <w:szCs w:val="22"/>
        </w:rPr>
        <w:t xml:space="preserve"> </w:t>
      </w:r>
      <w:r w:rsidR="00814380">
        <w:rPr>
          <w:sz w:val="22"/>
          <w:szCs w:val="22"/>
        </w:rPr>
        <w:t xml:space="preserve">that </w:t>
      </w:r>
      <w:r w:rsidR="00814380" w:rsidRPr="00F56FC1">
        <w:rPr>
          <w:sz w:val="22"/>
          <w:szCs w:val="22"/>
        </w:rPr>
        <w:t>any guardrails for assumptions in the AAT are reasonable and consistent with other aspects</w:t>
      </w:r>
      <w:r w:rsidR="00814380">
        <w:rPr>
          <w:sz w:val="22"/>
          <w:szCs w:val="22"/>
        </w:rPr>
        <w:t>.</w:t>
      </w:r>
    </w:p>
    <w:p w14:paraId="3BD791BE" w14:textId="77777777" w:rsidR="00814380" w:rsidRPr="00F56FC1" w:rsidRDefault="00814380" w:rsidP="00814380">
      <w:pPr>
        <w:pStyle w:val="ListParagraph"/>
        <w:ind w:left="1080"/>
        <w:contextualSpacing w:val="0"/>
        <w:jc w:val="both"/>
        <w:rPr>
          <w:sz w:val="22"/>
          <w:szCs w:val="22"/>
        </w:rPr>
      </w:pPr>
    </w:p>
    <w:p w14:paraId="57FF0CAD" w14:textId="41148B56" w:rsidR="00814380" w:rsidRPr="00F56FC1" w:rsidRDefault="000F4FE4" w:rsidP="00AC28F6">
      <w:pPr>
        <w:pStyle w:val="ListParagraph"/>
        <w:numPr>
          <w:ilvl w:val="0"/>
          <w:numId w:val="19"/>
        </w:numPr>
        <w:ind w:hanging="540"/>
        <w:contextualSpacing w:val="0"/>
        <w:jc w:val="both"/>
        <w:rPr>
          <w:sz w:val="22"/>
          <w:szCs w:val="22"/>
        </w:rPr>
      </w:pPr>
      <w:r>
        <w:rPr>
          <w:sz w:val="22"/>
          <w:szCs w:val="22"/>
        </w:rPr>
        <w:t xml:space="preserve">Draft </w:t>
      </w:r>
      <w:r w:rsidR="00814380">
        <w:rPr>
          <w:sz w:val="22"/>
          <w:szCs w:val="22"/>
        </w:rPr>
        <w:t xml:space="preserve">a </w:t>
      </w:r>
      <w:r w:rsidR="00814380" w:rsidRPr="00F56FC1">
        <w:rPr>
          <w:sz w:val="22"/>
          <w:szCs w:val="22"/>
        </w:rPr>
        <w:t xml:space="preserve">referral to the Capital Adequacy </w:t>
      </w:r>
      <w:r w:rsidR="00814380">
        <w:rPr>
          <w:sz w:val="22"/>
          <w:szCs w:val="22"/>
        </w:rPr>
        <w:t xml:space="preserve">(E) </w:t>
      </w:r>
      <w:r w:rsidR="00814380" w:rsidRPr="00F56FC1">
        <w:rPr>
          <w:sz w:val="22"/>
          <w:szCs w:val="22"/>
        </w:rPr>
        <w:t xml:space="preserve">Task Force for </w:t>
      </w:r>
      <w:r w:rsidR="00814380">
        <w:rPr>
          <w:sz w:val="22"/>
          <w:szCs w:val="22"/>
        </w:rPr>
        <w:t xml:space="preserve">the </w:t>
      </w:r>
      <w:r w:rsidR="00814380" w:rsidRPr="00F56FC1">
        <w:rPr>
          <w:sz w:val="22"/>
          <w:szCs w:val="22"/>
        </w:rPr>
        <w:t>consideration of eliminati</w:t>
      </w:r>
      <w:r w:rsidR="00814380">
        <w:rPr>
          <w:sz w:val="22"/>
          <w:szCs w:val="22"/>
        </w:rPr>
        <w:t>ng</w:t>
      </w:r>
      <w:r w:rsidR="00814380" w:rsidRPr="00F56FC1">
        <w:rPr>
          <w:sz w:val="22"/>
          <w:szCs w:val="22"/>
        </w:rPr>
        <w:t xml:space="preserve"> any admitted net negative IMR from </w:t>
      </w:r>
      <w:r w:rsidR="00814380">
        <w:rPr>
          <w:sz w:val="22"/>
          <w:szCs w:val="22"/>
        </w:rPr>
        <w:t>t</w:t>
      </w:r>
      <w:r w:rsidR="00814380" w:rsidRPr="00F56FC1">
        <w:rPr>
          <w:sz w:val="22"/>
          <w:szCs w:val="22"/>
        </w:rPr>
        <w:t xml:space="preserve">otal </w:t>
      </w:r>
      <w:r w:rsidR="00814380">
        <w:rPr>
          <w:sz w:val="22"/>
          <w:szCs w:val="22"/>
        </w:rPr>
        <w:t>a</w:t>
      </w:r>
      <w:r w:rsidR="00814380" w:rsidRPr="00F56FC1">
        <w:rPr>
          <w:sz w:val="22"/>
          <w:szCs w:val="22"/>
        </w:rPr>
        <w:t xml:space="preserve">djusted </w:t>
      </w:r>
      <w:r w:rsidR="00814380">
        <w:rPr>
          <w:sz w:val="22"/>
          <w:szCs w:val="22"/>
        </w:rPr>
        <w:t>c</w:t>
      </w:r>
      <w:r w:rsidR="00814380" w:rsidRPr="00F56FC1">
        <w:rPr>
          <w:sz w:val="22"/>
          <w:szCs w:val="22"/>
        </w:rPr>
        <w:t xml:space="preserve">apital </w:t>
      </w:r>
      <w:r w:rsidR="00814380">
        <w:rPr>
          <w:sz w:val="22"/>
          <w:szCs w:val="22"/>
        </w:rPr>
        <w:t xml:space="preserve">(TAC) </w:t>
      </w:r>
      <w:r w:rsidR="00814380" w:rsidRPr="00F56FC1">
        <w:rPr>
          <w:sz w:val="22"/>
          <w:szCs w:val="22"/>
        </w:rPr>
        <w:t xml:space="preserve">and </w:t>
      </w:r>
      <w:r w:rsidR="00814380">
        <w:rPr>
          <w:sz w:val="22"/>
          <w:szCs w:val="22"/>
        </w:rPr>
        <w:t xml:space="preserve">the </w:t>
      </w:r>
      <w:r w:rsidR="00814380" w:rsidRPr="00F56FC1">
        <w:rPr>
          <w:sz w:val="22"/>
          <w:szCs w:val="22"/>
        </w:rPr>
        <w:t xml:space="preserve">consideration of </w:t>
      </w:r>
      <w:r w:rsidR="00814380">
        <w:rPr>
          <w:sz w:val="22"/>
          <w:szCs w:val="22"/>
        </w:rPr>
        <w:t>s</w:t>
      </w:r>
      <w:r w:rsidR="00814380" w:rsidRPr="00F56FC1">
        <w:rPr>
          <w:sz w:val="22"/>
          <w:szCs w:val="22"/>
        </w:rPr>
        <w:t xml:space="preserve">ensitivity </w:t>
      </w:r>
      <w:r w:rsidR="00814380">
        <w:rPr>
          <w:sz w:val="22"/>
          <w:szCs w:val="22"/>
        </w:rPr>
        <w:t>t</w:t>
      </w:r>
      <w:r w:rsidR="00814380" w:rsidRPr="00F56FC1">
        <w:rPr>
          <w:sz w:val="22"/>
          <w:szCs w:val="22"/>
        </w:rPr>
        <w:t>esting with and without negative IMR.</w:t>
      </w:r>
    </w:p>
    <w:p w14:paraId="6E961CD7" w14:textId="77777777" w:rsidR="00814380" w:rsidRPr="00F56FC1" w:rsidRDefault="00814380" w:rsidP="00814380">
      <w:pPr>
        <w:jc w:val="both"/>
        <w:rPr>
          <w:sz w:val="22"/>
          <w:szCs w:val="22"/>
        </w:rPr>
      </w:pPr>
    </w:p>
    <w:p w14:paraId="0FDD55B3" w14:textId="77777777" w:rsidR="00814380" w:rsidRDefault="00814380" w:rsidP="00AC28F6">
      <w:pPr>
        <w:pStyle w:val="ListParagraph"/>
        <w:numPr>
          <w:ilvl w:val="0"/>
          <w:numId w:val="19"/>
        </w:numPr>
        <w:ind w:hanging="540"/>
        <w:contextualSpacing w:val="0"/>
        <w:jc w:val="both"/>
        <w:rPr>
          <w:sz w:val="22"/>
          <w:szCs w:val="22"/>
        </w:rPr>
      </w:pPr>
      <w:r w:rsidRPr="00F56FC1">
        <w:rPr>
          <w:sz w:val="22"/>
          <w:szCs w:val="22"/>
        </w:rPr>
        <w:t>Develop</w:t>
      </w:r>
      <w:r w:rsidRPr="00F56FC1">
        <w:rPr>
          <w:rFonts w:cstheme="minorHAnsi"/>
          <w:sz w:val="22"/>
          <w:szCs w:val="22"/>
        </w:rPr>
        <w:t xml:space="preserve"> guidance for future Working Group consideration that</w:t>
      </w:r>
      <w:r>
        <w:rPr>
          <w:rFonts w:cstheme="minorHAnsi"/>
          <w:sz w:val="22"/>
          <w:szCs w:val="22"/>
        </w:rPr>
        <w:t xml:space="preserve"> </w:t>
      </w:r>
      <w:r w:rsidRPr="00F56FC1">
        <w:rPr>
          <w:rFonts w:cstheme="minorHAnsi"/>
          <w:sz w:val="22"/>
          <w:szCs w:val="22"/>
        </w:rPr>
        <w:t>would allow the admission of negative IMR up to 5% of surplus using the type of limitation calculation similar to that used for goodwill admittance</w:t>
      </w:r>
      <w:r>
        <w:rPr>
          <w:rFonts w:cstheme="minorHAnsi"/>
          <w:sz w:val="22"/>
          <w:szCs w:val="22"/>
        </w:rPr>
        <w:t>. T</w:t>
      </w:r>
      <w:r w:rsidRPr="00F56FC1">
        <w:rPr>
          <w:rFonts w:cstheme="minorHAnsi"/>
          <w:sz w:val="22"/>
          <w:szCs w:val="22"/>
        </w:rPr>
        <w:t xml:space="preserve">he guidance should also provide for </w:t>
      </w:r>
      <w:r w:rsidRPr="00F56FC1">
        <w:rPr>
          <w:sz w:val="22"/>
          <w:szCs w:val="22"/>
        </w:rPr>
        <w:t xml:space="preserve">a downward adjustment if RBC </w:t>
      </w:r>
      <w:r>
        <w:rPr>
          <w:sz w:val="22"/>
          <w:szCs w:val="22"/>
        </w:rPr>
        <w:t xml:space="preserve">ratio </w:t>
      </w:r>
      <w:r w:rsidRPr="00F56FC1">
        <w:rPr>
          <w:sz w:val="22"/>
          <w:szCs w:val="22"/>
        </w:rPr>
        <w:t>is</w:t>
      </w:r>
      <w:r>
        <w:rPr>
          <w:sz w:val="22"/>
          <w:szCs w:val="22"/>
        </w:rPr>
        <w:t xml:space="preserve">  less than </w:t>
      </w:r>
      <w:r w:rsidRPr="00F56FC1">
        <w:rPr>
          <w:sz w:val="22"/>
          <w:szCs w:val="22"/>
        </w:rPr>
        <w:t>300</w:t>
      </w:r>
      <w:r>
        <w:rPr>
          <w:sz w:val="22"/>
          <w:szCs w:val="22"/>
        </w:rPr>
        <w:t>.</w:t>
      </w:r>
    </w:p>
    <w:p w14:paraId="392D7597" w14:textId="77777777" w:rsidR="00814380" w:rsidRPr="00696387" w:rsidRDefault="00814380" w:rsidP="00814380">
      <w:pPr>
        <w:pStyle w:val="ListParagraph"/>
        <w:rPr>
          <w:sz w:val="22"/>
          <w:szCs w:val="22"/>
        </w:rPr>
      </w:pPr>
    </w:p>
    <w:p w14:paraId="2004F939" w14:textId="77777777" w:rsidR="00814380" w:rsidRDefault="00814380" w:rsidP="00AC28F6">
      <w:pPr>
        <w:pStyle w:val="ListParagraph"/>
        <w:numPr>
          <w:ilvl w:val="0"/>
          <w:numId w:val="19"/>
        </w:numPr>
        <w:ind w:hanging="540"/>
        <w:contextualSpacing w:val="0"/>
        <w:jc w:val="both"/>
        <w:rPr>
          <w:sz w:val="22"/>
          <w:szCs w:val="22"/>
        </w:rPr>
      </w:pPr>
      <w:r w:rsidRPr="00F56FC1">
        <w:rPr>
          <w:sz w:val="22"/>
          <w:szCs w:val="22"/>
        </w:rPr>
        <w:t xml:space="preserve">Review and provide updates </w:t>
      </w:r>
      <w:r>
        <w:rPr>
          <w:sz w:val="22"/>
          <w:szCs w:val="22"/>
        </w:rPr>
        <w:t xml:space="preserve">on </w:t>
      </w:r>
      <w:r w:rsidRPr="00F56FC1">
        <w:rPr>
          <w:sz w:val="22"/>
          <w:szCs w:val="22"/>
        </w:rPr>
        <w:t xml:space="preserve">any </w:t>
      </w:r>
      <w:r>
        <w:rPr>
          <w:sz w:val="22"/>
          <w:szCs w:val="22"/>
        </w:rPr>
        <w:t xml:space="preserve">annual statement </w:t>
      </w:r>
      <w:r w:rsidRPr="00F56FC1">
        <w:rPr>
          <w:sz w:val="22"/>
          <w:szCs w:val="22"/>
        </w:rPr>
        <w:t>instructions for excess withdraws</w:t>
      </w:r>
      <w:r>
        <w:rPr>
          <w:sz w:val="22"/>
          <w:szCs w:val="22"/>
        </w:rPr>
        <w:t xml:space="preserve">, </w:t>
      </w:r>
      <w:r w:rsidRPr="00F56FC1">
        <w:rPr>
          <w:sz w:val="22"/>
          <w:szCs w:val="22"/>
        </w:rPr>
        <w:t xml:space="preserve">related bond gains/losses </w:t>
      </w:r>
      <w:r>
        <w:rPr>
          <w:sz w:val="22"/>
          <w:szCs w:val="22"/>
        </w:rPr>
        <w:t xml:space="preserve">and non-effective hedge gains/losses </w:t>
      </w:r>
      <w:r w:rsidRPr="00F56FC1">
        <w:rPr>
          <w:sz w:val="22"/>
          <w:szCs w:val="22"/>
        </w:rPr>
        <w:t xml:space="preserve">to clarify </w:t>
      </w:r>
      <w:r>
        <w:rPr>
          <w:sz w:val="22"/>
          <w:szCs w:val="22"/>
        </w:rPr>
        <w:t xml:space="preserve">that </w:t>
      </w:r>
      <w:r w:rsidRPr="00F56FC1">
        <w:rPr>
          <w:sz w:val="22"/>
          <w:szCs w:val="22"/>
        </w:rPr>
        <w:t>those related gains/losses are through asset valuation reserve (AVR), not IMR.</w:t>
      </w:r>
    </w:p>
    <w:p w14:paraId="79D9D19A" w14:textId="77777777" w:rsidR="00814380" w:rsidRPr="00696387" w:rsidRDefault="00814380" w:rsidP="00814380">
      <w:pPr>
        <w:pStyle w:val="ListParagraph"/>
        <w:rPr>
          <w:sz w:val="22"/>
          <w:szCs w:val="22"/>
        </w:rPr>
      </w:pPr>
    </w:p>
    <w:p w14:paraId="344AEF3E" w14:textId="77777777" w:rsidR="00814380" w:rsidRDefault="00814380" w:rsidP="00AC28F6">
      <w:pPr>
        <w:pStyle w:val="ListParagraph"/>
        <w:numPr>
          <w:ilvl w:val="0"/>
          <w:numId w:val="19"/>
        </w:numPr>
        <w:ind w:hanging="540"/>
        <w:contextualSpacing w:val="0"/>
        <w:jc w:val="both"/>
        <w:rPr>
          <w:sz w:val="22"/>
          <w:szCs w:val="22"/>
        </w:rPr>
      </w:pPr>
      <w:r w:rsidRPr="00F56FC1">
        <w:rPr>
          <w:sz w:val="22"/>
          <w:szCs w:val="22"/>
        </w:rPr>
        <w:t>Develop accounting and reporting</w:t>
      </w:r>
      <w:r>
        <w:rPr>
          <w:sz w:val="22"/>
          <w:szCs w:val="22"/>
        </w:rPr>
        <w:t xml:space="preserve"> </w:t>
      </w:r>
      <w:r w:rsidRPr="00F56FC1">
        <w:rPr>
          <w:sz w:val="22"/>
          <w:szCs w:val="22"/>
        </w:rPr>
        <w:t xml:space="preserve">guidance to require </w:t>
      </w:r>
      <w:r>
        <w:rPr>
          <w:sz w:val="22"/>
          <w:szCs w:val="22"/>
        </w:rPr>
        <w:t xml:space="preserve">the </w:t>
      </w:r>
      <w:r w:rsidRPr="00F56FC1">
        <w:rPr>
          <w:sz w:val="22"/>
          <w:szCs w:val="22"/>
        </w:rPr>
        <w:t>use of a special surplus (account or line) for net negative IMR.</w:t>
      </w:r>
    </w:p>
    <w:p w14:paraId="39C8DF63" w14:textId="77777777" w:rsidR="00814380" w:rsidRPr="00611429" w:rsidRDefault="00814380" w:rsidP="00814380">
      <w:pPr>
        <w:pStyle w:val="ListParagraph"/>
        <w:rPr>
          <w:sz w:val="22"/>
          <w:szCs w:val="22"/>
        </w:rPr>
      </w:pPr>
    </w:p>
    <w:p w14:paraId="6A2EA5D7" w14:textId="77777777" w:rsidR="00814380" w:rsidRDefault="00814380" w:rsidP="00AC28F6">
      <w:pPr>
        <w:pStyle w:val="ListParagraph"/>
        <w:numPr>
          <w:ilvl w:val="0"/>
          <w:numId w:val="19"/>
        </w:numPr>
        <w:ind w:hanging="540"/>
        <w:contextualSpacing w:val="0"/>
        <w:jc w:val="both"/>
        <w:rPr>
          <w:sz w:val="22"/>
          <w:szCs w:val="22"/>
        </w:rPr>
      </w:pPr>
      <w:r>
        <w:rPr>
          <w:sz w:val="22"/>
          <w:szCs w:val="22"/>
        </w:rPr>
        <w:t>Develop governance related documentation to ensure sales of bonds are reinvested in other bonds.</w:t>
      </w:r>
    </w:p>
    <w:p w14:paraId="1A9D10E2" w14:textId="77777777" w:rsidR="00814380" w:rsidRPr="00696387" w:rsidRDefault="00814380" w:rsidP="00814380">
      <w:pPr>
        <w:pStyle w:val="ListParagraph"/>
        <w:rPr>
          <w:sz w:val="22"/>
          <w:szCs w:val="22"/>
        </w:rPr>
      </w:pPr>
    </w:p>
    <w:p w14:paraId="169D7789" w14:textId="4C32388F" w:rsidR="00814380" w:rsidRPr="0080559E" w:rsidRDefault="00814380" w:rsidP="00AC28F6">
      <w:pPr>
        <w:pStyle w:val="ListParagraph"/>
        <w:numPr>
          <w:ilvl w:val="0"/>
          <w:numId w:val="19"/>
        </w:numPr>
        <w:ind w:hanging="540"/>
        <w:contextualSpacing w:val="0"/>
        <w:jc w:val="both"/>
        <w:rPr>
          <w:rFonts w:cstheme="minorHAnsi"/>
          <w:sz w:val="22"/>
          <w:szCs w:val="22"/>
        </w:rPr>
      </w:pPr>
      <w:r w:rsidRPr="0080559E">
        <w:rPr>
          <w:rFonts w:cstheme="minorHAnsi"/>
          <w:sz w:val="22"/>
          <w:szCs w:val="22"/>
        </w:rPr>
        <w:t xml:space="preserve">Develop </w:t>
      </w:r>
      <w:r>
        <w:rPr>
          <w:rFonts w:cstheme="minorHAnsi"/>
          <w:sz w:val="22"/>
          <w:szCs w:val="22"/>
        </w:rPr>
        <w:t xml:space="preserve">a </w:t>
      </w:r>
      <w:r w:rsidRPr="0080559E">
        <w:rPr>
          <w:rFonts w:cstheme="minorHAnsi"/>
          <w:sz w:val="22"/>
          <w:szCs w:val="22"/>
        </w:rPr>
        <w:t xml:space="preserve">footnote disclosure for quarterly and annual reporting. </w:t>
      </w:r>
    </w:p>
    <w:p w14:paraId="3DFD4176" w14:textId="77777777" w:rsidR="00BF6A1C" w:rsidRDefault="00BF6A1C" w:rsidP="00B30CA0">
      <w:pPr>
        <w:rPr>
          <w:sz w:val="22"/>
        </w:rPr>
      </w:pPr>
    </w:p>
    <w:p w14:paraId="68BD6302" w14:textId="28F1B3B3"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DF708E">
        <w:rPr>
          <w:noProof/>
          <w:sz w:val="16"/>
          <w:szCs w:val="16"/>
        </w:rPr>
        <w:t>https://naiconline.sharepoint.com/teams/FRSStatutoryAccounting/National Meetings/A. National Meeting Materials/2023/3-22-23 - Spring/Exposures/22-19 - Negative IMR.docx</w:t>
      </w:r>
      <w:r w:rsidRPr="000579B6">
        <w:rPr>
          <w:sz w:val="16"/>
          <w:szCs w:val="16"/>
        </w:rPr>
        <w:fldChar w:fldCharType="end"/>
      </w: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C098" w14:textId="77777777" w:rsidR="00BF4231" w:rsidRDefault="00BF4231">
      <w:r>
        <w:separator/>
      </w:r>
    </w:p>
  </w:endnote>
  <w:endnote w:type="continuationSeparator" w:id="0">
    <w:p w14:paraId="430361B9" w14:textId="77777777" w:rsidR="00BF4231" w:rsidRDefault="00BF4231">
      <w:r>
        <w:continuationSeparator/>
      </w:r>
    </w:p>
  </w:endnote>
  <w:endnote w:type="continuationNotice" w:id="1">
    <w:p w14:paraId="7C775048" w14:textId="77777777" w:rsidR="00BF4231" w:rsidRDefault="00BF4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4A426604"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EA7030">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C877" w14:textId="77777777" w:rsidR="00BF4231" w:rsidRDefault="00BF4231">
      <w:r>
        <w:separator/>
      </w:r>
    </w:p>
  </w:footnote>
  <w:footnote w:type="continuationSeparator" w:id="0">
    <w:p w14:paraId="75B6DEE5" w14:textId="77777777" w:rsidR="00BF4231" w:rsidRDefault="00BF4231">
      <w:r>
        <w:continuationSeparator/>
      </w:r>
    </w:p>
  </w:footnote>
  <w:footnote w:type="continuationNotice" w:id="1">
    <w:p w14:paraId="0DD03D47" w14:textId="77777777" w:rsidR="00BF4231" w:rsidRDefault="00BF4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05C0AC03"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1E225C">
      <w:rPr>
        <w:bCs/>
        <w:sz w:val="20"/>
      </w:rPr>
      <w:t>19</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9925EA2"/>
    <w:multiLevelType w:val="hybridMultilevel"/>
    <w:tmpl w:val="39BE75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575FD"/>
    <w:multiLevelType w:val="hybridMultilevel"/>
    <w:tmpl w:val="B4DE3B4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1"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0D1BEE"/>
    <w:multiLevelType w:val="hybridMultilevel"/>
    <w:tmpl w:val="428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10"/>
  </w:num>
  <w:num w:numId="2" w16cid:durableId="19017550">
    <w:abstractNumId w:val="13"/>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18"/>
  </w:num>
  <w:num w:numId="7" w16cid:durableId="197864344">
    <w:abstractNumId w:val="9"/>
  </w:num>
  <w:num w:numId="8" w16cid:durableId="355549082">
    <w:abstractNumId w:val="17"/>
  </w:num>
  <w:num w:numId="9" w16cid:durableId="1412777357">
    <w:abstractNumId w:val="15"/>
  </w:num>
  <w:num w:numId="10" w16cid:durableId="2137597126">
    <w:abstractNumId w:val="16"/>
  </w:num>
  <w:num w:numId="11" w16cid:durableId="433406096">
    <w:abstractNumId w:val="7"/>
  </w:num>
  <w:num w:numId="12" w16cid:durableId="1074552508">
    <w:abstractNumId w:val="11"/>
  </w:num>
  <w:num w:numId="13" w16cid:durableId="697316799">
    <w:abstractNumId w:val="5"/>
  </w:num>
  <w:num w:numId="14" w16cid:durableId="1178884407">
    <w:abstractNumId w:val="14"/>
  </w:num>
  <w:num w:numId="15" w16cid:durableId="759253091">
    <w:abstractNumId w:val="0"/>
  </w:num>
  <w:num w:numId="16" w16cid:durableId="1272276904">
    <w:abstractNumId w:val="12"/>
  </w:num>
  <w:num w:numId="17" w16cid:durableId="1958413341">
    <w:abstractNumId w:val="8"/>
  </w:num>
  <w:num w:numId="18" w16cid:durableId="1256750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95503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6E6E"/>
    <w:rsid w:val="00007006"/>
    <w:rsid w:val="00007627"/>
    <w:rsid w:val="00010B3B"/>
    <w:rsid w:val="000130E2"/>
    <w:rsid w:val="000138D5"/>
    <w:rsid w:val="00013BBC"/>
    <w:rsid w:val="00015830"/>
    <w:rsid w:val="00016321"/>
    <w:rsid w:val="000170A4"/>
    <w:rsid w:val="000179BF"/>
    <w:rsid w:val="00020E4B"/>
    <w:rsid w:val="00021028"/>
    <w:rsid w:val="000210E2"/>
    <w:rsid w:val="00023391"/>
    <w:rsid w:val="00023E5B"/>
    <w:rsid w:val="00025317"/>
    <w:rsid w:val="00025817"/>
    <w:rsid w:val="000273D7"/>
    <w:rsid w:val="00027A72"/>
    <w:rsid w:val="000301A7"/>
    <w:rsid w:val="000309E6"/>
    <w:rsid w:val="0003404E"/>
    <w:rsid w:val="000340AB"/>
    <w:rsid w:val="00034B2F"/>
    <w:rsid w:val="0003553F"/>
    <w:rsid w:val="000360CE"/>
    <w:rsid w:val="000361C6"/>
    <w:rsid w:val="00037EB2"/>
    <w:rsid w:val="00040C83"/>
    <w:rsid w:val="00043ADE"/>
    <w:rsid w:val="00043BC8"/>
    <w:rsid w:val="00045077"/>
    <w:rsid w:val="00046033"/>
    <w:rsid w:val="00047A25"/>
    <w:rsid w:val="00047EE2"/>
    <w:rsid w:val="00050942"/>
    <w:rsid w:val="00053670"/>
    <w:rsid w:val="00053F7A"/>
    <w:rsid w:val="00054D98"/>
    <w:rsid w:val="00054FF9"/>
    <w:rsid w:val="00055811"/>
    <w:rsid w:val="00056814"/>
    <w:rsid w:val="000579B6"/>
    <w:rsid w:val="00057CF4"/>
    <w:rsid w:val="000604F6"/>
    <w:rsid w:val="000608A6"/>
    <w:rsid w:val="00060B48"/>
    <w:rsid w:val="00061004"/>
    <w:rsid w:val="00062300"/>
    <w:rsid w:val="00065350"/>
    <w:rsid w:val="00065373"/>
    <w:rsid w:val="00067232"/>
    <w:rsid w:val="000675CC"/>
    <w:rsid w:val="00067DE5"/>
    <w:rsid w:val="00070094"/>
    <w:rsid w:val="00071194"/>
    <w:rsid w:val="00071500"/>
    <w:rsid w:val="00071609"/>
    <w:rsid w:val="00071709"/>
    <w:rsid w:val="000720AF"/>
    <w:rsid w:val="00073865"/>
    <w:rsid w:val="00073BD7"/>
    <w:rsid w:val="00073E68"/>
    <w:rsid w:val="00073EEB"/>
    <w:rsid w:val="000763C3"/>
    <w:rsid w:val="00077B4F"/>
    <w:rsid w:val="0008475C"/>
    <w:rsid w:val="00085065"/>
    <w:rsid w:val="000851DB"/>
    <w:rsid w:val="0008523F"/>
    <w:rsid w:val="000856B0"/>
    <w:rsid w:val="000856DF"/>
    <w:rsid w:val="00085F3C"/>
    <w:rsid w:val="000865F6"/>
    <w:rsid w:val="00087733"/>
    <w:rsid w:val="00087FBF"/>
    <w:rsid w:val="00091380"/>
    <w:rsid w:val="00091D47"/>
    <w:rsid w:val="00092527"/>
    <w:rsid w:val="0009286F"/>
    <w:rsid w:val="00093997"/>
    <w:rsid w:val="00094644"/>
    <w:rsid w:val="00094931"/>
    <w:rsid w:val="0009627E"/>
    <w:rsid w:val="000967FA"/>
    <w:rsid w:val="00096B0D"/>
    <w:rsid w:val="00097320"/>
    <w:rsid w:val="00097D1E"/>
    <w:rsid w:val="000A1F32"/>
    <w:rsid w:val="000A338D"/>
    <w:rsid w:val="000A3E6D"/>
    <w:rsid w:val="000A711B"/>
    <w:rsid w:val="000A7381"/>
    <w:rsid w:val="000A745C"/>
    <w:rsid w:val="000B1BA0"/>
    <w:rsid w:val="000B4849"/>
    <w:rsid w:val="000B5B00"/>
    <w:rsid w:val="000B5FC9"/>
    <w:rsid w:val="000B72D4"/>
    <w:rsid w:val="000C07C7"/>
    <w:rsid w:val="000C11B3"/>
    <w:rsid w:val="000C1AD7"/>
    <w:rsid w:val="000C21F0"/>
    <w:rsid w:val="000C2D7A"/>
    <w:rsid w:val="000C38E3"/>
    <w:rsid w:val="000C4240"/>
    <w:rsid w:val="000C5EA8"/>
    <w:rsid w:val="000C61ED"/>
    <w:rsid w:val="000C6EE3"/>
    <w:rsid w:val="000D045D"/>
    <w:rsid w:val="000D0AE1"/>
    <w:rsid w:val="000D1226"/>
    <w:rsid w:val="000D2AD3"/>
    <w:rsid w:val="000D4576"/>
    <w:rsid w:val="000D6AE8"/>
    <w:rsid w:val="000D6CB3"/>
    <w:rsid w:val="000D74B1"/>
    <w:rsid w:val="000E09FA"/>
    <w:rsid w:val="000E1131"/>
    <w:rsid w:val="000E16CA"/>
    <w:rsid w:val="000E4751"/>
    <w:rsid w:val="000E6BDE"/>
    <w:rsid w:val="000F17DA"/>
    <w:rsid w:val="000F4FE4"/>
    <w:rsid w:val="000F5114"/>
    <w:rsid w:val="000F6124"/>
    <w:rsid w:val="000F74B4"/>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3700"/>
    <w:rsid w:val="00113CC8"/>
    <w:rsid w:val="00115EF5"/>
    <w:rsid w:val="0011602D"/>
    <w:rsid w:val="00117566"/>
    <w:rsid w:val="00120AF2"/>
    <w:rsid w:val="0012174E"/>
    <w:rsid w:val="00124880"/>
    <w:rsid w:val="001248B2"/>
    <w:rsid w:val="00125301"/>
    <w:rsid w:val="001317A6"/>
    <w:rsid w:val="00131FC5"/>
    <w:rsid w:val="00133830"/>
    <w:rsid w:val="0013539B"/>
    <w:rsid w:val="00135EC4"/>
    <w:rsid w:val="001365A9"/>
    <w:rsid w:val="00137E60"/>
    <w:rsid w:val="00140E6B"/>
    <w:rsid w:val="00142381"/>
    <w:rsid w:val="001452F9"/>
    <w:rsid w:val="00145730"/>
    <w:rsid w:val="0014655D"/>
    <w:rsid w:val="00146BED"/>
    <w:rsid w:val="00154012"/>
    <w:rsid w:val="0015429C"/>
    <w:rsid w:val="0015560C"/>
    <w:rsid w:val="0015579F"/>
    <w:rsid w:val="001579D2"/>
    <w:rsid w:val="00160306"/>
    <w:rsid w:val="00160362"/>
    <w:rsid w:val="00161964"/>
    <w:rsid w:val="0016377E"/>
    <w:rsid w:val="00164657"/>
    <w:rsid w:val="001653C5"/>
    <w:rsid w:val="00165EFA"/>
    <w:rsid w:val="00166423"/>
    <w:rsid w:val="00167224"/>
    <w:rsid w:val="00170450"/>
    <w:rsid w:val="00170A9B"/>
    <w:rsid w:val="00171928"/>
    <w:rsid w:val="00171ED1"/>
    <w:rsid w:val="00172377"/>
    <w:rsid w:val="0017261A"/>
    <w:rsid w:val="00172BE2"/>
    <w:rsid w:val="00173F9B"/>
    <w:rsid w:val="00175E8C"/>
    <w:rsid w:val="0017686F"/>
    <w:rsid w:val="0017719A"/>
    <w:rsid w:val="00181059"/>
    <w:rsid w:val="00181BAC"/>
    <w:rsid w:val="0018256B"/>
    <w:rsid w:val="00183813"/>
    <w:rsid w:val="00183E0E"/>
    <w:rsid w:val="00184144"/>
    <w:rsid w:val="0018548A"/>
    <w:rsid w:val="00185E5E"/>
    <w:rsid w:val="00186635"/>
    <w:rsid w:val="0019095E"/>
    <w:rsid w:val="001928F2"/>
    <w:rsid w:val="00193099"/>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5886"/>
    <w:rsid w:val="001A78DE"/>
    <w:rsid w:val="001B1546"/>
    <w:rsid w:val="001B16DB"/>
    <w:rsid w:val="001B1F96"/>
    <w:rsid w:val="001B23C1"/>
    <w:rsid w:val="001B24C9"/>
    <w:rsid w:val="001B28A0"/>
    <w:rsid w:val="001B3138"/>
    <w:rsid w:val="001B3438"/>
    <w:rsid w:val="001B555F"/>
    <w:rsid w:val="001B5588"/>
    <w:rsid w:val="001B56BB"/>
    <w:rsid w:val="001B57A9"/>
    <w:rsid w:val="001B7F04"/>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225C"/>
    <w:rsid w:val="001E403F"/>
    <w:rsid w:val="001E4A9B"/>
    <w:rsid w:val="001E4ECA"/>
    <w:rsid w:val="001E5002"/>
    <w:rsid w:val="001E54BA"/>
    <w:rsid w:val="001E7723"/>
    <w:rsid w:val="001E795F"/>
    <w:rsid w:val="001F008E"/>
    <w:rsid w:val="001F3CF4"/>
    <w:rsid w:val="001F4498"/>
    <w:rsid w:val="001F46EB"/>
    <w:rsid w:val="001F4BF6"/>
    <w:rsid w:val="001F4C3C"/>
    <w:rsid w:val="001F62D5"/>
    <w:rsid w:val="00200007"/>
    <w:rsid w:val="00200367"/>
    <w:rsid w:val="002014DA"/>
    <w:rsid w:val="002028B1"/>
    <w:rsid w:val="002033E6"/>
    <w:rsid w:val="0020360B"/>
    <w:rsid w:val="00203FF7"/>
    <w:rsid w:val="002046F5"/>
    <w:rsid w:val="0020476B"/>
    <w:rsid w:val="00207C52"/>
    <w:rsid w:val="00207E1D"/>
    <w:rsid w:val="00213009"/>
    <w:rsid w:val="002141B3"/>
    <w:rsid w:val="00214E55"/>
    <w:rsid w:val="00214EC7"/>
    <w:rsid w:val="00215B42"/>
    <w:rsid w:val="00215D99"/>
    <w:rsid w:val="002166DB"/>
    <w:rsid w:val="00216D66"/>
    <w:rsid w:val="00222368"/>
    <w:rsid w:val="002225B6"/>
    <w:rsid w:val="002230F8"/>
    <w:rsid w:val="00223B02"/>
    <w:rsid w:val="00224222"/>
    <w:rsid w:val="002249C7"/>
    <w:rsid w:val="00224A27"/>
    <w:rsid w:val="00225297"/>
    <w:rsid w:val="00225762"/>
    <w:rsid w:val="00225EC6"/>
    <w:rsid w:val="00226BEF"/>
    <w:rsid w:val="00226FBD"/>
    <w:rsid w:val="002276F4"/>
    <w:rsid w:val="00227D28"/>
    <w:rsid w:val="002312D4"/>
    <w:rsid w:val="00231B56"/>
    <w:rsid w:val="00231BED"/>
    <w:rsid w:val="00233D96"/>
    <w:rsid w:val="00234312"/>
    <w:rsid w:val="00234AB2"/>
    <w:rsid w:val="00234DE3"/>
    <w:rsid w:val="00235312"/>
    <w:rsid w:val="0023724F"/>
    <w:rsid w:val="00237383"/>
    <w:rsid w:val="002376FD"/>
    <w:rsid w:val="002408D3"/>
    <w:rsid w:val="00240C5C"/>
    <w:rsid w:val="00240D4E"/>
    <w:rsid w:val="002410C7"/>
    <w:rsid w:val="00241671"/>
    <w:rsid w:val="00241B60"/>
    <w:rsid w:val="00242209"/>
    <w:rsid w:val="00244916"/>
    <w:rsid w:val="002465DC"/>
    <w:rsid w:val="002477DE"/>
    <w:rsid w:val="00247D09"/>
    <w:rsid w:val="00252846"/>
    <w:rsid w:val="00253116"/>
    <w:rsid w:val="00253C3F"/>
    <w:rsid w:val="002557C2"/>
    <w:rsid w:val="00255882"/>
    <w:rsid w:val="0025590C"/>
    <w:rsid w:val="00256398"/>
    <w:rsid w:val="00256464"/>
    <w:rsid w:val="00256AF9"/>
    <w:rsid w:val="00256E80"/>
    <w:rsid w:val="00260C0E"/>
    <w:rsid w:val="00261085"/>
    <w:rsid w:val="002611A7"/>
    <w:rsid w:val="00261273"/>
    <w:rsid w:val="00261A24"/>
    <w:rsid w:val="00261C0A"/>
    <w:rsid w:val="00261DC7"/>
    <w:rsid w:val="00262AC4"/>
    <w:rsid w:val="00264256"/>
    <w:rsid w:val="002642A9"/>
    <w:rsid w:val="00264551"/>
    <w:rsid w:val="00270CE4"/>
    <w:rsid w:val="00274005"/>
    <w:rsid w:val="0027541F"/>
    <w:rsid w:val="00275BC0"/>
    <w:rsid w:val="002766DB"/>
    <w:rsid w:val="0028233C"/>
    <w:rsid w:val="002848CD"/>
    <w:rsid w:val="00286D1B"/>
    <w:rsid w:val="00287A96"/>
    <w:rsid w:val="00291D71"/>
    <w:rsid w:val="00293119"/>
    <w:rsid w:val="00294082"/>
    <w:rsid w:val="0029443E"/>
    <w:rsid w:val="00294999"/>
    <w:rsid w:val="00295430"/>
    <w:rsid w:val="00296403"/>
    <w:rsid w:val="00296B86"/>
    <w:rsid w:val="00296E66"/>
    <w:rsid w:val="002A1316"/>
    <w:rsid w:val="002A2CC3"/>
    <w:rsid w:val="002A2F16"/>
    <w:rsid w:val="002A429D"/>
    <w:rsid w:val="002A44FE"/>
    <w:rsid w:val="002A4E9D"/>
    <w:rsid w:val="002A6BDC"/>
    <w:rsid w:val="002A6CB4"/>
    <w:rsid w:val="002B12A6"/>
    <w:rsid w:val="002B5AC1"/>
    <w:rsid w:val="002C2216"/>
    <w:rsid w:val="002C2278"/>
    <w:rsid w:val="002C2B63"/>
    <w:rsid w:val="002C3A5D"/>
    <w:rsid w:val="002C5CBA"/>
    <w:rsid w:val="002C6171"/>
    <w:rsid w:val="002C666A"/>
    <w:rsid w:val="002C7C73"/>
    <w:rsid w:val="002D0028"/>
    <w:rsid w:val="002D0149"/>
    <w:rsid w:val="002D0A6C"/>
    <w:rsid w:val="002D162A"/>
    <w:rsid w:val="002D1DEE"/>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3197"/>
    <w:rsid w:val="002E3A7B"/>
    <w:rsid w:val="002E3FF0"/>
    <w:rsid w:val="002E535F"/>
    <w:rsid w:val="002E5DCE"/>
    <w:rsid w:val="002F055F"/>
    <w:rsid w:val="002F05F4"/>
    <w:rsid w:val="002F0D79"/>
    <w:rsid w:val="002F1EBF"/>
    <w:rsid w:val="002F2935"/>
    <w:rsid w:val="002F5D54"/>
    <w:rsid w:val="002F5EAD"/>
    <w:rsid w:val="002F6FF9"/>
    <w:rsid w:val="00300EA4"/>
    <w:rsid w:val="0030135B"/>
    <w:rsid w:val="00302A97"/>
    <w:rsid w:val="00304CEC"/>
    <w:rsid w:val="0030546C"/>
    <w:rsid w:val="0030560B"/>
    <w:rsid w:val="00305EFE"/>
    <w:rsid w:val="003148E8"/>
    <w:rsid w:val="003157DB"/>
    <w:rsid w:val="00315880"/>
    <w:rsid w:val="00316044"/>
    <w:rsid w:val="003170AF"/>
    <w:rsid w:val="00317369"/>
    <w:rsid w:val="00317D79"/>
    <w:rsid w:val="00320CFF"/>
    <w:rsid w:val="0032153F"/>
    <w:rsid w:val="00321DE0"/>
    <w:rsid w:val="003245DA"/>
    <w:rsid w:val="00324997"/>
    <w:rsid w:val="00325660"/>
    <w:rsid w:val="00326416"/>
    <w:rsid w:val="003266E0"/>
    <w:rsid w:val="00326D84"/>
    <w:rsid w:val="00327340"/>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E1C"/>
    <w:rsid w:val="0037204C"/>
    <w:rsid w:val="003725D2"/>
    <w:rsid w:val="003735D9"/>
    <w:rsid w:val="00373D0A"/>
    <w:rsid w:val="0037579B"/>
    <w:rsid w:val="00375A23"/>
    <w:rsid w:val="00376450"/>
    <w:rsid w:val="00376842"/>
    <w:rsid w:val="00376C2F"/>
    <w:rsid w:val="00376FCE"/>
    <w:rsid w:val="00377A90"/>
    <w:rsid w:val="00377D50"/>
    <w:rsid w:val="00380CDF"/>
    <w:rsid w:val="003849E8"/>
    <w:rsid w:val="00384A51"/>
    <w:rsid w:val="00385476"/>
    <w:rsid w:val="00386D4C"/>
    <w:rsid w:val="00390D99"/>
    <w:rsid w:val="00391518"/>
    <w:rsid w:val="00392764"/>
    <w:rsid w:val="00394216"/>
    <w:rsid w:val="003945AD"/>
    <w:rsid w:val="003947D5"/>
    <w:rsid w:val="0039600A"/>
    <w:rsid w:val="00396170"/>
    <w:rsid w:val="00396B13"/>
    <w:rsid w:val="003970A2"/>
    <w:rsid w:val="00397FB4"/>
    <w:rsid w:val="003A0B67"/>
    <w:rsid w:val="003A2496"/>
    <w:rsid w:val="003A274A"/>
    <w:rsid w:val="003A2D8D"/>
    <w:rsid w:val="003A3E88"/>
    <w:rsid w:val="003A6148"/>
    <w:rsid w:val="003A63F2"/>
    <w:rsid w:val="003A670B"/>
    <w:rsid w:val="003B0FD5"/>
    <w:rsid w:val="003B12DE"/>
    <w:rsid w:val="003B17C0"/>
    <w:rsid w:val="003B33EB"/>
    <w:rsid w:val="003B3F47"/>
    <w:rsid w:val="003B4A81"/>
    <w:rsid w:val="003B6907"/>
    <w:rsid w:val="003B7FF4"/>
    <w:rsid w:val="003C07B6"/>
    <w:rsid w:val="003C14D0"/>
    <w:rsid w:val="003C174C"/>
    <w:rsid w:val="003C337D"/>
    <w:rsid w:val="003C410E"/>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893"/>
    <w:rsid w:val="003F08CA"/>
    <w:rsid w:val="003F0CB9"/>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93D"/>
    <w:rsid w:val="00401202"/>
    <w:rsid w:val="004018EA"/>
    <w:rsid w:val="004028C1"/>
    <w:rsid w:val="0040337C"/>
    <w:rsid w:val="00403632"/>
    <w:rsid w:val="00404002"/>
    <w:rsid w:val="0040516D"/>
    <w:rsid w:val="00406F8C"/>
    <w:rsid w:val="004107EC"/>
    <w:rsid w:val="004108E7"/>
    <w:rsid w:val="00410F4D"/>
    <w:rsid w:val="00412614"/>
    <w:rsid w:val="004128F1"/>
    <w:rsid w:val="00414676"/>
    <w:rsid w:val="00414BDC"/>
    <w:rsid w:val="00414EAE"/>
    <w:rsid w:val="00416BC2"/>
    <w:rsid w:val="004201DC"/>
    <w:rsid w:val="00421277"/>
    <w:rsid w:val="00421554"/>
    <w:rsid w:val="004228F5"/>
    <w:rsid w:val="00424570"/>
    <w:rsid w:val="00426456"/>
    <w:rsid w:val="00426919"/>
    <w:rsid w:val="00426F7F"/>
    <w:rsid w:val="004302C9"/>
    <w:rsid w:val="0043188F"/>
    <w:rsid w:val="004320C1"/>
    <w:rsid w:val="004326F0"/>
    <w:rsid w:val="00432A1F"/>
    <w:rsid w:val="00433E0D"/>
    <w:rsid w:val="00433E1D"/>
    <w:rsid w:val="00434207"/>
    <w:rsid w:val="00434711"/>
    <w:rsid w:val="00434970"/>
    <w:rsid w:val="00434F70"/>
    <w:rsid w:val="00434F98"/>
    <w:rsid w:val="00435281"/>
    <w:rsid w:val="00435DAC"/>
    <w:rsid w:val="00436721"/>
    <w:rsid w:val="00436AD8"/>
    <w:rsid w:val="0044022E"/>
    <w:rsid w:val="00441F52"/>
    <w:rsid w:val="004431D9"/>
    <w:rsid w:val="00443381"/>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D2"/>
    <w:rsid w:val="00456EC8"/>
    <w:rsid w:val="00457EC9"/>
    <w:rsid w:val="004600B3"/>
    <w:rsid w:val="00462173"/>
    <w:rsid w:val="004623DC"/>
    <w:rsid w:val="00462C30"/>
    <w:rsid w:val="00463E5B"/>
    <w:rsid w:val="004654C3"/>
    <w:rsid w:val="00465572"/>
    <w:rsid w:val="00466170"/>
    <w:rsid w:val="004662AE"/>
    <w:rsid w:val="00466D26"/>
    <w:rsid w:val="0046757B"/>
    <w:rsid w:val="004726AA"/>
    <w:rsid w:val="0047523A"/>
    <w:rsid w:val="00475942"/>
    <w:rsid w:val="004774AD"/>
    <w:rsid w:val="00480491"/>
    <w:rsid w:val="0048080F"/>
    <w:rsid w:val="004812C5"/>
    <w:rsid w:val="004813F4"/>
    <w:rsid w:val="00481B00"/>
    <w:rsid w:val="00481C54"/>
    <w:rsid w:val="004829CD"/>
    <w:rsid w:val="004833B9"/>
    <w:rsid w:val="004836C4"/>
    <w:rsid w:val="004837D9"/>
    <w:rsid w:val="00483AEC"/>
    <w:rsid w:val="0048488F"/>
    <w:rsid w:val="00484CB7"/>
    <w:rsid w:val="00485666"/>
    <w:rsid w:val="00485A3F"/>
    <w:rsid w:val="00485DFF"/>
    <w:rsid w:val="004860F9"/>
    <w:rsid w:val="00486129"/>
    <w:rsid w:val="004861C6"/>
    <w:rsid w:val="0048680B"/>
    <w:rsid w:val="00486D2D"/>
    <w:rsid w:val="004873FE"/>
    <w:rsid w:val="00487C04"/>
    <w:rsid w:val="00490434"/>
    <w:rsid w:val="00490996"/>
    <w:rsid w:val="00491EC3"/>
    <w:rsid w:val="004926D5"/>
    <w:rsid w:val="0049353F"/>
    <w:rsid w:val="004947FF"/>
    <w:rsid w:val="004953BB"/>
    <w:rsid w:val="00495439"/>
    <w:rsid w:val="00495D3E"/>
    <w:rsid w:val="0049733D"/>
    <w:rsid w:val="00497B6F"/>
    <w:rsid w:val="00497F4E"/>
    <w:rsid w:val="004A166E"/>
    <w:rsid w:val="004A23C7"/>
    <w:rsid w:val="004A47CB"/>
    <w:rsid w:val="004A4BBF"/>
    <w:rsid w:val="004A4F25"/>
    <w:rsid w:val="004A52CF"/>
    <w:rsid w:val="004A79D8"/>
    <w:rsid w:val="004B0127"/>
    <w:rsid w:val="004B0875"/>
    <w:rsid w:val="004B1375"/>
    <w:rsid w:val="004B3F4D"/>
    <w:rsid w:val="004B4AD1"/>
    <w:rsid w:val="004B51B6"/>
    <w:rsid w:val="004B5294"/>
    <w:rsid w:val="004B57D9"/>
    <w:rsid w:val="004B5C26"/>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E08D5"/>
    <w:rsid w:val="004E1EAF"/>
    <w:rsid w:val="004E2BB9"/>
    <w:rsid w:val="004E3B7D"/>
    <w:rsid w:val="004E4FFB"/>
    <w:rsid w:val="004E74E7"/>
    <w:rsid w:val="004F08F5"/>
    <w:rsid w:val="004F0EF3"/>
    <w:rsid w:val="004F1AB7"/>
    <w:rsid w:val="004F5274"/>
    <w:rsid w:val="004F6FC8"/>
    <w:rsid w:val="00501CAC"/>
    <w:rsid w:val="00501D63"/>
    <w:rsid w:val="00504D25"/>
    <w:rsid w:val="005064A5"/>
    <w:rsid w:val="00507048"/>
    <w:rsid w:val="00507684"/>
    <w:rsid w:val="005078AD"/>
    <w:rsid w:val="00510AFB"/>
    <w:rsid w:val="00511A4C"/>
    <w:rsid w:val="005131DD"/>
    <w:rsid w:val="005141C7"/>
    <w:rsid w:val="00517F39"/>
    <w:rsid w:val="0052035A"/>
    <w:rsid w:val="00520EED"/>
    <w:rsid w:val="00520FE2"/>
    <w:rsid w:val="00522062"/>
    <w:rsid w:val="005220EC"/>
    <w:rsid w:val="00523870"/>
    <w:rsid w:val="00525A97"/>
    <w:rsid w:val="00527CA1"/>
    <w:rsid w:val="00527DAD"/>
    <w:rsid w:val="0053011F"/>
    <w:rsid w:val="0053046B"/>
    <w:rsid w:val="00531194"/>
    <w:rsid w:val="0053202B"/>
    <w:rsid w:val="00532057"/>
    <w:rsid w:val="00532095"/>
    <w:rsid w:val="005320F6"/>
    <w:rsid w:val="005338B9"/>
    <w:rsid w:val="00535A9E"/>
    <w:rsid w:val="00540095"/>
    <w:rsid w:val="005408B8"/>
    <w:rsid w:val="00540DFB"/>
    <w:rsid w:val="0054164B"/>
    <w:rsid w:val="0054209F"/>
    <w:rsid w:val="00543E8E"/>
    <w:rsid w:val="005448DF"/>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4355"/>
    <w:rsid w:val="00574D5A"/>
    <w:rsid w:val="00577038"/>
    <w:rsid w:val="005822D6"/>
    <w:rsid w:val="00582366"/>
    <w:rsid w:val="00583161"/>
    <w:rsid w:val="00585849"/>
    <w:rsid w:val="00587B3E"/>
    <w:rsid w:val="00587E39"/>
    <w:rsid w:val="00590AF2"/>
    <w:rsid w:val="00592CD1"/>
    <w:rsid w:val="00592D7D"/>
    <w:rsid w:val="005932AF"/>
    <w:rsid w:val="0059440E"/>
    <w:rsid w:val="005A0AE4"/>
    <w:rsid w:val="005A1CAA"/>
    <w:rsid w:val="005A259E"/>
    <w:rsid w:val="005A2E55"/>
    <w:rsid w:val="005A3051"/>
    <w:rsid w:val="005A4C31"/>
    <w:rsid w:val="005A6231"/>
    <w:rsid w:val="005A6325"/>
    <w:rsid w:val="005A7693"/>
    <w:rsid w:val="005A77E0"/>
    <w:rsid w:val="005B13FB"/>
    <w:rsid w:val="005B17F6"/>
    <w:rsid w:val="005B23C2"/>
    <w:rsid w:val="005B25A3"/>
    <w:rsid w:val="005B3975"/>
    <w:rsid w:val="005B3FDE"/>
    <w:rsid w:val="005B478B"/>
    <w:rsid w:val="005B6F6C"/>
    <w:rsid w:val="005C0F76"/>
    <w:rsid w:val="005C193C"/>
    <w:rsid w:val="005C22EC"/>
    <w:rsid w:val="005C3866"/>
    <w:rsid w:val="005C49BA"/>
    <w:rsid w:val="005C5FF2"/>
    <w:rsid w:val="005C729E"/>
    <w:rsid w:val="005C7AFD"/>
    <w:rsid w:val="005D0451"/>
    <w:rsid w:val="005D3B90"/>
    <w:rsid w:val="005D3D8B"/>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92A"/>
    <w:rsid w:val="005F017E"/>
    <w:rsid w:val="005F01CF"/>
    <w:rsid w:val="005F033F"/>
    <w:rsid w:val="005F17EB"/>
    <w:rsid w:val="005F2609"/>
    <w:rsid w:val="005F27C1"/>
    <w:rsid w:val="005F376A"/>
    <w:rsid w:val="005F422E"/>
    <w:rsid w:val="005F6885"/>
    <w:rsid w:val="005F7BA2"/>
    <w:rsid w:val="00600564"/>
    <w:rsid w:val="00600F76"/>
    <w:rsid w:val="00601238"/>
    <w:rsid w:val="006014FD"/>
    <w:rsid w:val="006024CC"/>
    <w:rsid w:val="00605860"/>
    <w:rsid w:val="006069E1"/>
    <w:rsid w:val="00606F6E"/>
    <w:rsid w:val="00610914"/>
    <w:rsid w:val="00611D7D"/>
    <w:rsid w:val="006124C3"/>
    <w:rsid w:val="00612694"/>
    <w:rsid w:val="00612B11"/>
    <w:rsid w:val="006130B6"/>
    <w:rsid w:val="006143EE"/>
    <w:rsid w:val="00615345"/>
    <w:rsid w:val="00615514"/>
    <w:rsid w:val="006158F7"/>
    <w:rsid w:val="00615BA5"/>
    <w:rsid w:val="00615CD4"/>
    <w:rsid w:val="00617004"/>
    <w:rsid w:val="00617D5C"/>
    <w:rsid w:val="006224F6"/>
    <w:rsid w:val="006229E3"/>
    <w:rsid w:val="006249AB"/>
    <w:rsid w:val="00624C7E"/>
    <w:rsid w:val="00624E04"/>
    <w:rsid w:val="00624FC3"/>
    <w:rsid w:val="00625DFF"/>
    <w:rsid w:val="00626152"/>
    <w:rsid w:val="00626DB0"/>
    <w:rsid w:val="00626EC0"/>
    <w:rsid w:val="00630368"/>
    <w:rsid w:val="006306D5"/>
    <w:rsid w:val="0063120A"/>
    <w:rsid w:val="006333AF"/>
    <w:rsid w:val="00633872"/>
    <w:rsid w:val="0063456C"/>
    <w:rsid w:val="00634598"/>
    <w:rsid w:val="00635DC4"/>
    <w:rsid w:val="006360DF"/>
    <w:rsid w:val="0063760B"/>
    <w:rsid w:val="00637C40"/>
    <w:rsid w:val="00640801"/>
    <w:rsid w:val="00640B70"/>
    <w:rsid w:val="00643562"/>
    <w:rsid w:val="00645D0D"/>
    <w:rsid w:val="006463F5"/>
    <w:rsid w:val="00647BB4"/>
    <w:rsid w:val="00650594"/>
    <w:rsid w:val="006514EB"/>
    <w:rsid w:val="00651D38"/>
    <w:rsid w:val="00653E79"/>
    <w:rsid w:val="00653F63"/>
    <w:rsid w:val="006543A8"/>
    <w:rsid w:val="00654938"/>
    <w:rsid w:val="006611D9"/>
    <w:rsid w:val="0066429D"/>
    <w:rsid w:val="00664F6B"/>
    <w:rsid w:val="00665E45"/>
    <w:rsid w:val="00665E46"/>
    <w:rsid w:val="00666129"/>
    <w:rsid w:val="00666825"/>
    <w:rsid w:val="00667110"/>
    <w:rsid w:val="006705B3"/>
    <w:rsid w:val="00671C73"/>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DFC"/>
    <w:rsid w:val="00683BD8"/>
    <w:rsid w:val="00684437"/>
    <w:rsid w:val="00686433"/>
    <w:rsid w:val="00686E0C"/>
    <w:rsid w:val="00690138"/>
    <w:rsid w:val="006903CF"/>
    <w:rsid w:val="00690FEC"/>
    <w:rsid w:val="006924B7"/>
    <w:rsid w:val="0069258E"/>
    <w:rsid w:val="006926A3"/>
    <w:rsid w:val="006950F1"/>
    <w:rsid w:val="006957BA"/>
    <w:rsid w:val="00695B08"/>
    <w:rsid w:val="00695BDD"/>
    <w:rsid w:val="0069621E"/>
    <w:rsid w:val="0069783B"/>
    <w:rsid w:val="006A0A01"/>
    <w:rsid w:val="006A0D36"/>
    <w:rsid w:val="006A11EF"/>
    <w:rsid w:val="006A1CC1"/>
    <w:rsid w:val="006A28E1"/>
    <w:rsid w:val="006A3A65"/>
    <w:rsid w:val="006A47F5"/>
    <w:rsid w:val="006A4CC2"/>
    <w:rsid w:val="006A62CF"/>
    <w:rsid w:val="006B0EFF"/>
    <w:rsid w:val="006B2756"/>
    <w:rsid w:val="006B341C"/>
    <w:rsid w:val="006B363F"/>
    <w:rsid w:val="006B37DD"/>
    <w:rsid w:val="006B4174"/>
    <w:rsid w:val="006B6C8C"/>
    <w:rsid w:val="006B6D7F"/>
    <w:rsid w:val="006B76E4"/>
    <w:rsid w:val="006B7876"/>
    <w:rsid w:val="006C157C"/>
    <w:rsid w:val="006C5221"/>
    <w:rsid w:val="006C6B7A"/>
    <w:rsid w:val="006C7387"/>
    <w:rsid w:val="006C7DA7"/>
    <w:rsid w:val="006D14CF"/>
    <w:rsid w:val="006D3A59"/>
    <w:rsid w:val="006D5BF1"/>
    <w:rsid w:val="006D7A8E"/>
    <w:rsid w:val="006D7E68"/>
    <w:rsid w:val="006E0007"/>
    <w:rsid w:val="006E02D3"/>
    <w:rsid w:val="006E0B41"/>
    <w:rsid w:val="006E27AE"/>
    <w:rsid w:val="006E2E80"/>
    <w:rsid w:val="006E3CAA"/>
    <w:rsid w:val="006E75A7"/>
    <w:rsid w:val="006E786F"/>
    <w:rsid w:val="006E7F80"/>
    <w:rsid w:val="006F02BA"/>
    <w:rsid w:val="006F088C"/>
    <w:rsid w:val="006F124E"/>
    <w:rsid w:val="006F193A"/>
    <w:rsid w:val="006F280C"/>
    <w:rsid w:val="006F4E58"/>
    <w:rsid w:val="006F5CA0"/>
    <w:rsid w:val="006F656C"/>
    <w:rsid w:val="006F7985"/>
    <w:rsid w:val="006F7D5B"/>
    <w:rsid w:val="00700679"/>
    <w:rsid w:val="00702BF6"/>
    <w:rsid w:val="00703CCF"/>
    <w:rsid w:val="007042DD"/>
    <w:rsid w:val="00706B68"/>
    <w:rsid w:val="007072F8"/>
    <w:rsid w:val="0071027F"/>
    <w:rsid w:val="00711335"/>
    <w:rsid w:val="00712BFC"/>
    <w:rsid w:val="00713259"/>
    <w:rsid w:val="00714FDF"/>
    <w:rsid w:val="00715743"/>
    <w:rsid w:val="0072331C"/>
    <w:rsid w:val="007247FF"/>
    <w:rsid w:val="007250D9"/>
    <w:rsid w:val="0072525D"/>
    <w:rsid w:val="007257CB"/>
    <w:rsid w:val="00725B41"/>
    <w:rsid w:val="007260AB"/>
    <w:rsid w:val="00727D72"/>
    <w:rsid w:val="007306B9"/>
    <w:rsid w:val="00732DD8"/>
    <w:rsid w:val="0073318F"/>
    <w:rsid w:val="00734E48"/>
    <w:rsid w:val="007354A3"/>
    <w:rsid w:val="00735620"/>
    <w:rsid w:val="00736729"/>
    <w:rsid w:val="007367DE"/>
    <w:rsid w:val="0073714B"/>
    <w:rsid w:val="00740788"/>
    <w:rsid w:val="00742608"/>
    <w:rsid w:val="0074346D"/>
    <w:rsid w:val="00746146"/>
    <w:rsid w:val="0074616C"/>
    <w:rsid w:val="007470B3"/>
    <w:rsid w:val="00747C3E"/>
    <w:rsid w:val="00750A93"/>
    <w:rsid w:val="00750C76"/>
    <w:rsid w:val="00751364"/>
    <w:rsid w:val="00751DD7"/>
    <w:rsid w:val="00753C4E"/>
    <w:rsid w:val="007540BC"/>
    <w:rsid w:val="00755974"/>
    <w:rsid w:val="00755ABB"/>
    <w:rsid w:val="00755B3F"/>
    <w:rsid w:val="0075697C"/>
    <w:rsid w:val="00756AE3"/>
    <w:rsid w:val="00756D58"/>
    <w:rsid w:val="00756FA4"/>
    <w:rsid w:val="007574AB"/>
    <w:rsid w:val="00761440"/>
    <w:rsid w:val="007636F5"/>
    <w:rsid w:val="00764374"/>
    <w:rsid w:val="007646F6"/>
    <w:rsid w:val="00766A99"/>
    <w:rsid w:val="00766B60"/>
    <w:rsid w:val="007704B7"/>
    <w:rsid w:val="00770F8A"/>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85DAE"/>
    <w:rsid w:val="00792699"/>
    <w:rsid w:val="00793CF4"/>
    <w:rsid w:val="007940E3"/>
    <w:rsid w:val="007944F1"/>
    <w:rsid w:val="007948C8"/>
    <w:rsid w:val="00794B81"/>
    <w:rsid w:val="007957F8"/>
    <w:rsid w:val="00795898"/>
    <w:rsid w:val="00796353"/>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4554"/>
    <w:rsid w:val="007B4B5F"/>
    <w:rsid w:val="007B508A"/>
    <w:rsid w:val="007B6716"/>
    <w:rsid w:val="007C1E90"/>
    <w:rsid w:val="007C2698"/>
    <w:rsid w:val="007C275C"/>
    <w:rsid w:val="007C304B"/>
    <w:rsid w:val="007C3BDB"/>
    <w:rsid w:val="007C5894"/>
    <w:rsid w:val="007C6DF7"/>
    <w:rsid w:val="007C6F6C"/>
    <w:rsid w:val="007C7365"/>
    <w:rsid w:val="007C77BF"/>
    <w:rsid w:val="007D0379"/>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47E9"/>
    <w:rsid w:val="007E4EA8"/>
    <w:rsid w:val="007E50A9"/>
    <w:rsid w:val="007E68DB"/>
    <w:rsid w:val="007F04C5"/>
    <w:rsid w:val="007F053B"/>
    <w:rsid w:val="007F0BCA"/>
    <w:rsid w:val="007F1389"/>
    <w:rsid w:val="007F2559"/>
    <w:rsid w:val="007F2D4D"/>
    <w:rsid w:val="007F344C"/>
    <w:rsid w:val="008003E2"/>
    <w:rsid w:val="0080099B"/>
    <w:rsid w:val="0080375E"/>
    <w:rsid w:val="0080591C"/>
    <w:rsid w:val="00806FC1"/>
    <w:rsid w:val="008073B7"/>
    <w:rsid w:val="00811EB7"/>
    <w:rsid w:val="00812028"/>
    <w:rsid w:val="00812A19"/>
    <w:rsid w:val="00814380"/>
    <w:rsid w:val="00815284"/>
    <w:rsid w:val="00815A37"/>
    <w:rsid w:val="00816F35"/>
    <w:rsid w:val="00817ADA"/>
    <w:rsid w:val="00821B11"/>
    <w:rsid w:val="008236BC"/>
    <w:rsid w:val="0082374D"/>
    <w:rsid w:val="00826345"/>
    <w:rsid w:val="00827FA5"/>
    <w:rsid w:val="00832B2C"/>
    <w:rsid w:val="0083381C"/>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330C"/>
    <w:rsid w:val="008435B1"/>
    <w:rsid w:val="00843822"/>
    <w:rsid w:val="00843A29"/>
    <w:rsid w:val="00843C17"/>
    <w:rsid w:val="00844474"/>
    <w:rsid w:val="008462CB"/>
    <w:rsid w:val="00846AC1"/>
    <w:rsid w:val="00851C1F"/>
    <w:rsid w:val="00852D42"/>
    <w:rsid w:val="008530DA"/>
    <w:rsid w:val="00853A6E"/>
    <w:rsid w:val="008541AD"/>
    <w:rsid w:val="00854ACF"/>
    <w:rsid w:val="00855553"/>
    <w:rsid w:val="00855E9F"/>
    <w:rsid w:val="0085728C"/>
    <w:rsid w:val="00862915"/>
    <w:rsid w:val="00863561"/>
    <w:rsid w:val="008642AC"/>
    <w:rsid w:val="00864D9B"/>
    <w:rsid w:val="0086559C"/>
    <w:rsid w:val="00867601"/>
    <w:rsid w:val="00867DB1"/>
    <w:rsid w:val="008706E4"/>
    <w:rsid w:val="00870F11"/>
    <w:rsid w:val="00871328"/>
    <w:rsid w:val="008720D7"/>
    <w:rsid w:val="008724B2"/>
    <w:rsid w:val="008727CE"/>
    <w:rsid w:val="00874B55"/>
    <w:rsid w:val="00874D08"/>
    <w:rsid w:val="008758B4"/>
    <w:rsid w:val="00876671"/>
    <w:rsid w:val="008769D5"/>
    <w:rsid w:val="008772F1"/>
    <w:rsid w:val="00880244"/>
    <w:rsid w:val="00880C80"/>
    <w:rsid w:val="00881374"/>
    <w:rsid w:val="00884420"/>
    <w:rsid w:val="00884937"/>
    <w:rsid w:val="00885FA5"/>
    <w:rsid w:val="008869A6"/>
    <w:rsid w:val="00886C92"/>
    <w:rsid w:val="0088714C"/>
    <w:rsid w:val="008875C5"/>
    <w:rsid w:val="00890669"/>
    <w:rsid w:val="0089117F"/>
    <w:rsid w:val="00893310"/>
    <w:rsid w:val="00893899"/>
    <w:rsid w:val="008950CB"/>
    <w:rsid w:val="0089556B"/>
    <w:rsid w:val="00895863"/>
    <w:rsid w:val="00896B2A"/>
    <w:rsid w:val="00896E22"/>
    <w:rsid w:val="00896E95"/>
    <w:rsid w:val="008A0179"/>
    <w:rsid w:val="008A0C03"/>
    <w:rsid w:val="008A44B9"/>
    <w:rsid w:val="008A4A43"/>
    <w:rsid w:val="008A516F"/>
    <w:rsid w:val="008A5E85"/>
    <w:rsid w:val="008A71B5"/>
    <w:rsid w:val="008B0070"/>
    <w:rsid w:val="008B00A5"/>
    <w:rsid w:val="008B0D6C"/>
    <w:rsid w:val="008B10D5"/>
    <w:rsid w:val="008B1772"/>
    <w:rsid w:val="008B25F8"/>
    <w:rsid w:val="008B268E"/>
    <w:rsid w:val="008B317D"/>
    <w:rsid w:val="008B3604"/>
    <w:rsid w:val="008B3F3B"/>
    <w:rsid w:val="008B42A2"/>
    <w:rsid w:val="008C1F5F"/>
    <w:rsid w:val="008C26E4"/>
    <w:rsid w:val="008C3A60"/>
    <w:rsid w:val="008C471E"/>
    <w:rsid w:val="008C4CAB"/>
    <w:rsid w:val="008C59AA"/>
    <w:rsid w:val="008C718A"/>
    <w:rsid w:val="008D0DB1"/>
    <w:rsid w:val="008D14F5"/>
    <w:rsid w:val="008D236E"/>
    <w:rsid w:val="008D24E4"/>
    <w:rsid w:val="008D272C"/>
    <w:rsid w:val="008D2CF6"/>
    <w:rsid w:val="008D3694"/>
    <w:rsid w:val="008D385C"/>
    <w:rsid w:val="008D5077"/>
    <w:rsid w:val="008D5578"/>
    <w:rsid w:val="008D55D5"/>
    <w:rsid w:val="008D5CDD"/>
    <w:rsid w:val="008D6923"/>
    <w:rsid w:val="008D6BF6"/>
    <w:rsid w:val="008D7A3C"/>
    <w:rsid w:val="008E05C1"/>
    <w:rsid w:val="008E1747"/>
    <w:rsid w:val="008E3CAD"/>
    <w:rsid w:val="008F0BEB"/>
    <w:rsid w:val="008F2190"/>
    <w:rsid w:val="008F2E7F"/>
    <w:rsid w:val="008F357E"/>
    <w:rsid w:val="008F639B"/>
    <w:rsid w:val="0090228C"/>
    <w:rsid w:val="00902494"/>
    <w:rsid w:val="009029A1"/>
    <w:rsid w:val="009034C1"/>
    <w:rsid w:val="00903AD5"/>
    <w:rsid w:val="00907FCA"/>
    <w:rsid w:val="009106D7"/>
    <w:rsid w:val="0091120D"/>
    <w:rsid w:val="0091183B"/>
    <w:rsid w:val="00911869"/>
    <w:rsid w:val="00915AE8"/>
    <w:rsid w:val="00915B53"/>
    <w:rsid w:val="009173DE"/>
    <w:rsid w:val="00917C0D"/>
    <w:rsid w:val="009201D8"/>
    <w:rsid w:val="0092196B"/>
    <w:rsid w:val="00921FC1"/>
    <w:rsid w:val="00922951"/>
    <w:rsid w:val="0092447B"/>
    <w:rsid w:val="009245FA"/>
    <w:rsid w:val="009249B4"/>
    <w:rsid w:val="00924FC3"/>
    <w:rsid w:val="00925CB7"/>
    <w:rsid w:val="00927AB5"/>
    <w:rsid w:val="00927EFD"/>
    <w:rsid w:val="00930E48"/>
    <w:rsid w:val="00931150"/>
    <w:rsid w:val="009319C5"/>
    <w:rsid w:val="00931CF3"/>
    <w:rsid w:val="0093422C"/>
    <w:rsid w:val="009373FF"/>
    <w:rsid w:val="00937619"/>
    <w:rsid w:val="009400BB"/>
    <w:rsid w:val="009402A5"/>
    <w:rsid w:val="00940970"/>
    <w:rsid w:val="00940993"/>
    <w:rsid w:val="009409DA"/>
    <w:rsid w:val="00940BF7"/>
    <w:rsid w:val="00942F1B"/>
    <w:rsid w:val="009430E3"/>
    <w:rsid w:val="0094520E"/>
    <w:rsid w:val="009462E3"/>
    <w:rsid w:val="00946733"/>
    <w:rsid w:val="0094681B"/>
    <w:rsid w:val="00947048"/>
    <w:rsid w:val="00947A49"/>
    <w:rsid w:val="009505EC"/>
    <w:rsid w:val="00951324"/>
    <w:rsid w:val="00951959"/>
    <w:rsid w:val="00951EA4"/>
    <w:rsid w:val="00952A97"/>
    <w:rsid w:val="00953B80"/>
    <w:rsid w:val="009542AD"/>
    <w:rsid w:val="00955090"/>
    <w:rsid w:val="00955E89"/>
    <w:rsid w:val="00957780"/>
    <w:rsid w:val="00957BE9"/>
    <w:rsid w:val="0096003A"/>
    <w:rsid w:val="009604FB"/>
    <w:rsid w:val="00960852"/>
    <w:rsid w:val="009624DD"/>
    <w:rsid w:val="009628D2"/>
    <w:rsid w:val="009632B9"/>
    <w:rsid w:val="0096428F"/>
    <w:rsid w:val="00967E73"/>
    <w:rsid w:val="009718F5"/>
    <w:rsid w:val="00972A11"/>
    <w:rsid w:val="00973B33"/>
    <w:rsid w:val="00974DB6"/>
    <w:rsid w:val="009767F7"/>
    <w:rsid w:val="00976B70"/>
    <w:rsid w:val="00977371"/>
    <w:rsid w:val="009774F6"/>
    <w:rsid w:val="00980638"/>
    <w:rsid w:val="00981108"/>
    <w:rsid w:val="00981578"/>
    <w:rsid w:val="0098238E"/>
    <w:rsid w:val="009829E9"/>
    <w:rsid w:val="00983C33"/>
    <w:rsid w:val="00984ABE"/>
    <w:rsid w:val="00984FA6"/>
    <w:rsid w:val="009856E8"/>
    <w:rsid w:val="009857ED"/>
    <w:rsid w:val="0098632A"/>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1AA8"/>
    <w:rsid w:val="009A5409"/>
    <w:rsid w:val="009A5D4F"/>
    <w:rsid w:val="009A6727"/>
    <w:rsid w:val="009A6BEA"/>
    <w:rsid w:val="009B0306"/>
    <w:rsid w:val="009B20EB"/>
    <w:rsid w:val="009B3903"/>
    <w:rsid w:val="009B4F08"/>
    <w:rsid w:val="009B5063"/>
    <w:rsid w:val="009C07FA"/>
    <w:rsid w:val="009C112E"/>
    <w:rsid w:val="009C16A0"/>
    <w:rsid w:val="009C1F16"/>
    <w:rsid w:val="009C23A2"/>
    <w:rsid w:val="009C50B8"/>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531A"/>
    <w:rsid w:val="009D600D"/>
    <w:rsid w:val="009D62F0"/>
    <w:rsid w:val="009D7CED"/>
    <w:rsid w:val="009E06CC"/>
    <w:rsid w:val="009E079F"/>
    <w:rsid w:val="009E0FE6"/>
    <w:rsid w:val="009E1470"/>
    <w:rsid w:val="009E3B83"/>
    <w:rsid w:val="009E4493"/>
    <w:rsid w:val="009E4FF1"/>
    <w:rsid w:val="009E78EC"/>
    <w:rsid w:val="009F3531"/>
    <w:rsid w:val="009F417D"/>
    <w:rsid w:val="009F5833"/>
    <w:rsid w:val="009F5C8C"/>
    <w:rsid w:val="009F5F0A"/>
    <w:rsid w:val="009F664B"/>
    <w:rsid w:val="009F6705"/>
    <w:rsid w:val="00A014C7"/>
    <w:rsid w:val="00A01800"/>
    <w:rsid w:val="00A01F35"/>
    <w:rsid w:val="00A03E31"/>
    <w:rsid w:val="00A04C3E"/>
    <w:rsid w:val="00A0563E"/>
    <w:rsid w:val="00A05DF1"/>
    <w:rsid w:val="00A063F5"/>
    <w:rsid w:val="00A11226"/>
    <w:rsid w:val="00A11581"/>
    <w:rsid w:val="00A1180F"/>
    <w:rsid w:val="00A145CF"/>
    <w:rsid w:val="00A15D42"/>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56C"/>
    <w:rsid w:val="00A34ED4"/>
    <w:rsid w:val="00A358C9"/>
    <w:rsid w:val="00A370D9"/>
    <w:rsid w:val="00A3787A"/>
    <w:rsid w:val="00A37CE1"/>
    <w:rsid w:val="00A37FFB"/>
    <w:rsid w:val="00A40E7A"/>
    <w:rsid w:val="00A436C1"/>
    <w:rsid w:val="00A45893"/>
    <w:rsid w:val="00A45921"/>
    <w:rsid w:val="00A532E4"/>
    <w:rsid w:val="00A541A3"/>
    <w:rsid w:val="00A549AA"/>
    <w:rsid w:val="00A5641E"/>
    <w:rsid w:val="00A63EB3"/>
    <w:rsid w:val="00A64505"/>
    <w:rsid w:val="00A666EC"/>
    <w:rsid w:val="00A6777B"/>
    <w:rsid w:val="00A67E67"/>
    <w:rsid w:val="00A70E0E"/>
    <w:rsid w:val="00A7178F"/>
    <w:rsid w:val="00A721AD"/>
    <w:rsid w:val="00A752CB"/>
    <w:rsid w:val="00A77915"/>
    <w:rsid w:val="00A77FB8"/>
    <w:rsid w:val="00A816B9"/>
    <w:rsid w:val="00A8236B"/>
    <w:rsid w:val="00A8257F"/>
    <w:rsid w:val="00A82615"/>
    <w:rsid w:val="00A82676"/>
    <w:rsid w:val="00A82C39"/>
    <w:rsid w:val="00A83B2E"/>
    <w:rsid w:val="00A83D24"/>
    <w:rsid w:val="00A85083"/>
    <w:rsid w:val="00A85E56"/>
    <w:rsid w:val="00A8625B"/>
    <w:rsid w:val="00A872DB"/>
    <w:rsid w:val="00A90BD1"/>
    <w:rsid w:val="00A914A2"/>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7036"/>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8F6"/>
    <w:rsid w:val="00AC2AA4"/>
    <w:rsid w:val="00AC3CB4"/>
    <w:rsid w:val="00AC4C0E"/>
    <w:rsid w:val="00AC6007"/>
    <w:rsid w:val="00AC6B73"/>
    <w:rsid w:val="00AC7DCC"/>
    <w:rsid w:val="00AD0AD5"/>
    <w:rsid w:val="00AD334A"/>
    <w:rsid w:val="00AD45B0"/>
    <w:rsid w:val="00AD5AA8"/>
    <w:rsid w:val="00AD6318"/>
    <w:rsid w:val="00AD6CC6"/>
    <w:rsid w:val="00AE01FD"/>
    <w:rsid w:val="00AE27CE"/>
    <w:rsid w:val="00AE34CE"/>
    <w:rsid w:val="00AE4705"/>
    <w:rsid w:val="00AE6149"/>
    <w:rsid w:val="00AE6930"/>
    <w:rsid w:val="00AE73A6"/>
    <w:rsid w:val="00AE74CF"/>
    <w:rsid w:val="00AF020E"/>
    <w:rsid w:val="00AF0514"/>
    <w:rsid w:val="00AF07B0"/>
    <w:rsid w:val="00AF0D44"/>
    <w:rsid w:val="00AF0DA9"/>
    <w:rsid w:val="00AF1172"/>
    <w:rsid w:val="00AF17F1"/>
    <w:rsid w:val="00AF1B49"/>
    <w:rsid w:val="00AF1EFD"/>
    <w:rsid w:val="00AF397A"/>
    <w:rsid w:val="00AF3DB4"/>
    <w:rsid w:val="00AF480B"/>
    <w:rsid w:val="00AF4E99"/>
    <w:rsid w:val="00B000E3"/>
    <w:rsid w:val="00B01F58"/>
    <w:rsid w:val="00B022C4"/>
    <w:rsid w:val="00B02ACB"/>
    <w:rsid w:val="00B033B4"/>
    <w:rsid w:val="00B04148"/>
    <w:rsid w:val="00B046C2"/>
    <w:rsid w:val="00B04AB1"/>
    <w:rsid w:val="00B06409"/>
    <w:rsid w:val="00B06CD4"/>
    <w:rsid w:val="00B10C19"/>
    <w:rsid w:val="00B11B6F"/>
    <w:rsid w:val="00B11C2C"/>
    <w:rsid w:val="00B11DE8"/>
    <w:rsid w:val="00B1422E"/>
    <w:rsid w:val="00B14460"/>
    <w:rsid w:val="00B14B67"/>
    <w:rsid w:val="00B14E33"/>
    <w:rsid w:val="00B1560D"/>
    <w:rsid w:val="00B164E9"/>
    <w:rsid w:val="00B16DC5"/>
    <w:rsid w:val="00B170E9"/>
    <w:rsid w:val="00B20D7E"/>
    <w:rsid w:val="00B22DE0"/>
    <w:rsid w:val="00B22E16"/>
    <w:rsid w:val="00B23C54"/>
    <w:rsid w:val="00B24058"/>
    <w:rsid w:val="00B25018"/>
    <w:rsid w:val="00B252EB"/>
    <w:rsid w:val="00B2584E"/>
    <w:rsid w:val="00B25868"/>
    <w:rsid w:val="00B25E9F"/>
    <w:rsid w:val="00B26A7C"/>
    <w:rsid w:val="00B30B66"/>
    <w:rsid w:val="00B30CA0"/>
    <w:rsid w:val="00B31403"/>
    <w:rsid w:val="00B32FAE"/>
    <w:rsid w:val="00B3337E"/>
    <w:rsid w:val="00B33674"/>
    <w:rsid w:val="00B3538F"/>
    <w:rsid w:val="00B360AF"/>
    <w:rsid w:val="00B361B8"/>
    <w:rsid w:val="00B362EC"/>
    <w:rsid w:val="00B40C2B"/>
    <w:rsid w:val="00B437A5"/>
    <w:rsid w:val="00B437F3"/>
    <w:rsid w:val="00B43971"/>
    <w:rsid w:val="00B4432B"/>
    <w:rsid w:val="00B44ED0"/>
    <w:rsid w:val="00B4666D"/>
    <w:rsid w:val="00B46EBD"/>
    <w:rsid w:val="00B472B5"/>
    <w:rsid w:val="00B47585"/>
    <w:rsid w:val="00B4760E"/>
    <w:rsid w:val="00B476ED"/>
    <w:rsid w:val="00B51A76"/>
    <w:rsid w:val="00B51ECA"/>
    <w:rsid w:val="00B51FB4"/>
    <w:rsid w:val="00B5304C"/>
    <w:rsid w:val="00B55784"/>
    <w:rsid w:val="00B564C0"/>
    <w:rsid w:val="00B5744A"/>
    <w:rsid w:val="00B57F88"/>
    <w:rsid w:val="00B60F20"/>
    <w:rsid w:val="00B62A82"/>
    <w:rsid w:val="00B63489"/>
    <w:rsid w:val="00B654C4"/>
    <w:rsid w:val="00B65766"/>
    <w:rsid w:val="00B65D2A"/>
    <w:rsid w:val="00B67298"/>
    <w:rsid w:val="00B6752F"/>
    <w:rsid w:val="00B70D5A"/>
    <w:rsid w:val="00B80398"/>
    <w:rsid w:val="00B8166D"/>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047"/>
    <w:rsid w:val="00B93D09"/>
    <w:rsid w:val="00B9545A"/>
    <w:rsid w:val="00B957B3"/>
    <w:rsid w:val="00B976F7"/>
    <w:rsid w:val="00B97C7C"/>
    <w:rsid w:val="00BA18E8"/>
    <w:rsid w:val="00BA3233"/>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C0EA8"/>
    <w:rsid w:val="00BC161B"/>
    <w:rsid w:val="00BC1A66"/>
    <w:rsid w:val="00BC2230"/>
    <w:rsid w:val="00BC299A"/>
    <w:rsid w:val="00BC3625"/>
    <w:rsid w:val="00BC4B54"/>
    <w:rsid w:val="00BC4F09"/>
    <w:rsid w:val="00BC5354"/>
    <w:rsid w:val="00BC6142"/>
    <w:rsid w:val="00BC63BB"/>
    <w:rsid w:val="00BD0C92"/>
    <w:rsid w:val="00BD19A5"/>
    <w:rsid w:val="00BD2D6A"/>
    <w:rsid w:val="00BD3E44"/>
    <w:rsid w:val="00BD41A7"/>
    <w:rsid w:val="00BE13E0"/>
    <w:rsid w:val="00BE1CD3"/>
    <w:rsid w:val="00BE2541"/>
    <w:rsid w:val="00BE2758"/>
    <w:rsid w:val="00BE41BB"/>
    <w:rsid w:val="00BE51D5"/>
    <w:rsid w:val="00BE5786"/>
    <w:rsid w:val="00BE6A11"/>
    <w:rsid w:val="00BE794A"/>
    <w:rsid w:val="00BF0936"/>
    <w:rsid w:val="00BF0A89"/>
    <w:rsid w:val="00BF138D"/>
    <w:rsid w:val="00BF181C"/>
    <w:rsid w:val="00BF1A55"/>
    <w:rsid w:val="00BF3B51"/>
    <w:rsid w:val="00BF3BF5"/>
    <w:rsid w:val="00BF4231"/>
    <w:rsid w:val="00BF4EBD"/>
    <w:rsid w:val="00BF54AE"/>
    <w:rsid w:val="00BF5C4F"/>
    <w:rsid w:val="00BF6A1C"/>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CB0"/>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DDA"/>
    <w:rsid w:val="00C26106"/>
    <w:rsid w:val="00C26B71"/>
    <w:rsid w:val="00C27794"/>
    <w:rsid w:val="00C309EF"/>
    <w:rsid w:val="00C31420"/>
    <w:rsid w:val="00C3226C"/>
    <w:rsid w:val="00C33C58"/>
    <w:rsid w:val="00C34943"/>
    <w:rsid w:val="00C36075"/>
    <w:rsid w:val="00C3623A"/>
    <w:rsid w:val="00C41909"/>
    <w:rsid w:val="00C41B1A"/>
    <w:rsid w:val="00C426FD"/>
    <w:rsid w:val="00C43446"/>
    <w:rsid w:val="00C43628"/>
    <w:rsid w:val="00C437CC"/>
    <w:rsid w:val="00C4510F"/>
    <w:rsid w:val="00C463BD"/>
    <w:rsid w:val="00C47406"/>
    <w:rsid w:val="00C51487"/>
    <w:rsid w:val="00C524B9"/>
    <w:rsid w:val="00C53443"/>
    <w:rsid w:val="00C5431B"/>
    <w:rsid w:val="00C54362"/>
    <w:rsid w:val="00C5437C"/>
    <w:rsid w:val="00C54519"/>
    <w:rsid w:val="00C57131"/>
    <w:rsid w:val="00C572A2"/>
    <w:rsid w:val="00C573D8"/>
    <w:rsid w:val="00C624BA"/>
    <w:rsid w:val="00C634DE"/>
    <w:rsid w:val="00C63770"/>
    <w:rsid w:val="00C63A17"/>
    <w:rsid w:val="00C6544D"/>
    <w:rsid w:val="00C6564B"/>
    <w:rsid w:val="00C66177"/>
    <w:rsid w:val="00C66D18"/>
    <w:rsid w:val="00C71424"/>
    <w:rsid w:val="00C71C2C"/>
    <w:rsid w:val="00C757D3"/>
    <w:rsid w:val="00C761EF"/>
    <w:rsid w:val="00C77C33"/>
    <w:rsid w:val="00C8063E"/>
    <w:rsid w:val="00C80E34"/>
    <w:rsid w:val="00C85210"/>
    <w:rsid w:val="00C85D4B"/>
    <w:rsid w:val="00C85FE2"/>
    <w:rsid w:val="00C86D6C"/>
    <w:rsid w:val="00C9066D"/>
    <w:rsid w:val="00C90BD5"/>
    <w:rsid w:val="00C92A90"/>
    <w:rsid w:val="00C9527B"/>
    <w:rsid w:val="00C9654C"/>
    <w:rsid w:val="00CA0132"/>
    <w:rsid w:val="00CA08C4"/>
    <w:rsid w:val="00CA115B"/>
    <w:rsid w:val="00CA39BF"/>
    <w:rsid w:val="00CA4E49"/>
    <w:rsid w:val="00CA6632"/>
    <w:rsid w:val="00CA7310"/>
    <w:rsid w:val="00CA7C1D"/>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3D1"/>
    <w:rsid w:val="00CC35E1"/>
    <w:rsid w:val="00CC51ED"/>
    <w:rsid w:val="00CC53AA"/>
    <w:rsid w:val="00CC5B83"/>
    <w:rsid w:val="00CC5CE3"/>
    <w:rsid w:val="00CC6D21"/>
    <w:rsid w:val="00CC7F14"/>
    <w:rsid w:val="00CD2CE4"/>
    <w:rsid w:val="00CD4AD9"/>
    <w:rsid w:val="00CD5A72"/>
    <w:rsid w:val="00CD7087"/>
    <w:rsid w:val="00CE0B00"/>
    <w:rsid w:val="00CE0B23"/>
    <w:rsid w:val="00CE2C52"/>
    <w:rsid w:val="00CE2CF9"/>
    <w:rsid w:val="00CE3974"/>
    <w:rsid w:val="00CE3B76"/>
    <w:rsid w:val="00CE5D4C"/>
    <w:rsid w:val="00CE62C5"/>
    <w:rsid w:val="00CE7513"/>
    <w:rsid w:val="00CF0554"/>
    <w:rsid w:val="00CF06A7"/>
    <w:rsid w:val="00CF1777"/>
    <w:rsid w:val="00CF291A"/>
    <w:rsid w:val="00CF298C"/>
    <w:rsid w:val="00CF2BCF"/>
    <w:rsid w:val="00CF3629"/>
    <w:rsid w:val="00CF3750"/>
    <w:rsid w:val="00CF3837"/>
    <w:rsid w:val="00CF3C10"/>
    <w:rsid w:val="00CF6365"/>
    <w:rsid w:val="00CF64F9"/>
    <w:rsid w:val="00CF73D1"/>
    <w:rsid w:val="00D0059E"/>
    <w:rsid w:val="00D00FF1"/>
    <w:rsid w:val="00D023D9"/>
    <w:rsid w:val="00D036C2"/>
    <w:rsid w:val="00D03992"/>
    <w:rsid w:val="00D03EC6"/>
    <w:rsid w:val="00D051A0"/>
    <w:rsid w:val="00D05306"/>
    <w:rsid w:val="00D05744"/>
    <w:rsid w:val="00D05B9D"/>
    <w:rsid w:val="00D06250"/>
    <w:rsid w:val="00D079E7"/>
    <w:rsid w:val="00D10E21"/>
    <w:rsid w:val="00D12B2A"/>
    <w:rsid w:val="00D139CC"/>
    <w:rsid w:val="00D13E79"/>
    <w:rsid w:val="00D140D3"/>
    <w:rsid w:val="00D152C8"/>
    <w:rsid w:val="00D166E8"/>
    <w:rsid w:val="00D16FFE"/>
    <w:rsid w:val="00D17E22"/>
    <w:rsid w:val="00D20AD2"/>
    <w:rsid w:val="00D21513"/>
    <w:rsid w:val="00D2237D"/>
    <w:rsid w:val="00D23BEE"/>
    <w:rsid w:val="00D2500E"/>
    <w:rsid w:val="00D31858"/>
    <w:rsid w:val="00D318A5"/>
    <w:rsid w:val="00D31A22"/>
    <w:rsid w:val="00D3333F"/>
    <w:rsid w:val="00D3354C"/>
    <w:rsid w:val="00D34D6A"/>
    <w:rsid w:val="00D34F58"/>
    <w:rsid w:val="00D34FC4"/>
    <w:rsid w:val="00D36060"/>
    <w:rsid w:val="00D360D8"/>
    <w:rsid w:val="00D36F21"/>
    <w:rsid w:val="00D378FB"/>
    <w:rsid w:val="00D37F01"/>
    <w:rsid w:val="00D430A2"/>
    <w:rsid w:val="00D43BB1"/>
    <w:rsid w:val="00D43C47"/>
    <w:rsid w:val="00D47F0E"/>
    <w:rsid w:val="00D506C4"/>
    <w:rsid w:val="00D5090D"/>
    <w:rsid w:val="00D51795"/>
    <w:rsid w:val="00D51F35"/>
    <w:rsid w:val="00D52C59"/>
    <w:rsid w:val="00D52F09"/>
    <w:rsid w:val="00D5415A"/>
    <w:rsid w:val="00D54CDE"/>
    <w:rsid w:val="00D55D98"/>
    <w:rsid w:val="00D55EFE"/>
    <w:rsid w:val="00D562F8"/>
    <w:rsid w:val="00D56A84"/>
    <w:rsid w:val="00D57545"/>
    <w:rsid w:val="00D617D4"/>
    <w:rsid w:val="00D6192A"/>
    <w:rsid w:val="00D62BDD"/>
    <w:rsid w:val="00D63A0A"/>
    <w:rsid w:val="00D70222"/>
    <w:rsid w:val="00D70B60"/>
    <w:rsid w:val="00D714B6"/>
    <w:rsid w:val="00D720CB"/>
    <w:rsid w:val="00D72695"/>
    <w:rsid w:val="00D72C39"/>
    <w:rsid w:val="00D733A2"/>
    <w:rsid w:val="00D73A66"/>
    <w:rsid w:val="00D779AA"/>
    <w:rsid w:val="00D80D65"/>
    <w:rsid w:val="00D80D74"/>
    <w:rsid w:val="00D80DEB"/>
    <w:rsid w:val="00D81054"/>
    <w:rsid w:val="00D833B7"/>
    <w:rsid w:val="00D83EA4"/>
    <w:rsid w:val="00D90546"/>
    <w:rsid w:val="00D9168B"/>
    <w:rsid w:val="00D91948"/>
    <w:rsid w:val="00D924B0"/>
    <w:rsid w:val="00D924D4"/>
    <w:rsid w:val="00D9349B"/>
    <w:rsid w:val="00D93EF4"/>
    <w:rsid w:val="00D9483B"/>
    <w:rsid w:val="00D9762D"/>
    <w:rsid w:val="00DA0E3E"/>
    <w:rsid w:val="00DA1602"/>
    <w:rsid w:val="00DA1C46"/>
    <w:rsid w:val="00DA28FE"/>
    <w:rsid w:val="00DA40B1"/>
    <w:rsid w:val="00DA734B"/>
    <w:rsid w:val="00DA7C22"/>
    <w:rsid w:val="00DB06A7"/>
    <w:rsid w:val="00DB130C"/>
    <w:rsid w:val="00DB3066"/>
    <w:rsid w:val="00DB306A"/>
    <w:rsid w:val="00DB3EEE"/>
    <w:rsid w:val="00DB53CB"/>
    <w:rsid w:val="00DB6E3C"/>
    <w:rsid w:val="00DC071A"/>
    <w:rsid w:val="00DC1DBB"/>
    <w:rsid w:val="00DC2041"/>
    <w:rsid w:val="00DC26E2"/>
    <w:rsid w:val="00DC2C44"/>
    <w:rsid w:val="00DC2D14"/>
    <w:rsid w:val="00DC32DF"/>
    <w:rsid w:val="00DC3FBB"/>
    <w:rsid w:val="00DC4699"/>
    <w:rsid w:val="00DC5476"/>
    <w:rsid w:val="00DC6C1F"/>
    <w:rsid w:val="00DD176A"/>
    <w:rsid w:val="00DD5350"/>
    <w:rsid w:val="00DD5C67"/>
    <w:rsid w:val="00DD6AF6"/>
    <w:rsid w:val="00DD7038"/>
    <w:rsid w:val="00DE01AB"/>
    <w:rsid w:val="00DE01B6"/>
    <w:rsid w:val="00DE047F"/>
    <w:rsid w:val="00DE0BFD"/>
    <w:rsid w:val="00DE0F8F"/>
    <w:rsid w:val="00DE1FCD"/>
    <w:rsid w:val="00DE2B0B"/>
    <w:rsid w:val="00DE3563"/>
    <w:rsid w:val="00DE4BEA"/>
    <w:rsid w:val="00DE506F"/>
    <w:rsid w:val="00DE5CF7"/>
    <w:rsid w:val="00DE7226"/>
    <w:rsid w:val="00DE7AB4"/>
    <w:rsid w:val="00DF2331"/>
    <w:rsid w:val="00DF2782"/>
    <w:rsid w:val="00DF2A91"/>
    <w:rsid w:val="00DF2BBE"/>
    <w:rsid w:val="00DF2C33"/>
    <w:rsid w:val="00DF31CA"/>
    <w:rsid w:val="00DF3565"/>
    <w:rsid w:val="00DF407B"/>
    <w:rsid w:val="00DF620C"/>
    <w:rsid w:val="00DF708E"/>
    <w:rsid w:val="00E01062"/>
    <w:rsid w:val="00E01EB9"/>
    <w:rsid w:val="00E02D39"/>
    <w:rsid w:val="00E05911"/>
    <w:rsid w:val="00E077F0"/>
    <w:rsid w:val="00E07AA3"/>
    <w:rsid w:val="00E1180E"/>
    <w:rsid w:val="00E12AB3"/>
    <w:rsid w:val="00E1311E"/>
    <w:rsid w:val="00E136A0"/>
    <w:rsid w:val="00E1522A"/>
    <w:rsid w:val="00E166CC"/>
    <w:rsid w:val="00E16F0C"/>
    <w:rsid w:val="00E17A88"/>
    <w:rsid w:val="00E17C03"/>
    <w:rsid w:val="00E2026E"/>
    <w:rsid w:val="00E2304B"/>
    <w:rsid w:val="00E23DF5"/>
    <w:rsid w:val="00E24010"/>
    <w:rsid w:val="00E2462E"/>
    <w:rsid w:val="00E2688F"/>
    <w:rsid w:val="00E26ADB"/>
    <w:rsid w:val="00E27DE9"/>
    <w:rsid w:val="00E30ACC"/>
    <w:rsid w:val="00E35449"/>
    <w:rsid w:val="00E355A8"/>
    <w:rsid w:val="00E357A1"/>
    <w:rsid w:val="00E36570"/>
    <w:rsid w:val="00E37FC2"/>
    <w:rsid w:val="00E40BBC"/>
    <w:rsid w:val="00E4121B"/>
    <w:rsid w:val="00E43B38"/>
    <w:rsid w:val="00E453A1"/>
    <w:rsid w:val="00E45689"/>
    <w:rsid w:val="00E5134C"/>
    <w:rsid w:val="00E51ECD"/>
    <w:rsid w:val="00E51FEF"/>
    <w:rsid w:val="00E53E5E"/>
    <w:rsid w:val="00E53FD0"/>
    <w:rsid w:val="00E549F6"/>
    <w:rsid w:val="00E54B54"/>
    <w:rsid w:val="00E54D05"/>
    <w:rsid w:val="00E567BC"/>
    <w:rsid w:val="00E56BF7"/>
    <w:rsid w:val="00E56CA8"/>
    <w:rsid w:val="00E57922"/>
    <w:rsid w:val="00E57B54"/>
    <w:rsid w:val="00E6144C"/>
    <w:rsid w:val="00E61724"/>
    <w:rsid w:val="00E63FD9"/>
    <w:rsid w:val="00E64438"/>
    <w:rsid w:val="00E64857"/>
    <w:rsid w:val="00E6560A"/>
    <w:rsid w:val="00E6662D"/>
    <w:rsid w:val="00E67BE6"/>
    <w:rsid w:val="00E67D87"/>
    <w:rsid w:val="00E7029D"/>
    <w:rsid w:val="00E720D5"/>
    <w:rsid w:val="00E744E0"/>
    <w:rsid w:val="00E74F8F"/>
    <w:rsid w:val="00E75C6A"/>
    <w:rsid w:val="00E76F26"/>
    <w:rsid w:val="00E82CD7"/>
    <w:rsid w:val="00E86AA2"/>
    <w:rsid w:val="00E87019"/>
    <w:rsid w:val="00E87941"/>
    <w:rsid w:val="00E87F0C"/>
    <w:rsid w:val="00E90A65"/>
    <w:rsid w:val="00E91028"/>
    <w:rsid w:val="00E916D6"/>
    <w:rsid w:val="00E91A1D"/>
    <w:rsid w:val="00E9295D"/>
    <w:rsid w:val="00E95325"/>
    <w:rsid w:val="00E97EAC"/>
    <w:rsid w:val="00EA12CC"/>
    <w:rsid w:val="00EA2736"/>
    <w:rsid w:val="00EA3DB8"/>
    <w:rsid w:val="00EA4F52"/>
    <w:rsid w:val="00EA5668"/>
    <w:rsid w:val="00EA6C28"/>
    <w:rsid w:val="00EA7030"/>
    <w:rsid w:val="00EA74C7"/>
    <w:rsid w:val="00EB0668"/>
    <w:rsid w:val="00EB2878"/>
    <w:rsid w:val="00EB2E95"/>
    <w:rsid w:val="00EB2EF5"/>
    <w:rsid w:val="00EB3593"/>
    <w:rsid w:val="00EB3C3D"/>
    <w:rsid w:val="00EB485B"/>
    <w:rsid w:val="00EB53C7"/>
    <w:rsid w:val="00EB7148"/>
    <w:rsid w:val="00EC13CB"/>
    <w:rsid w:val="00EC15C1"/>
    <w:rsid w:val="00EC1A5B"/>
    <w:rsid w:val="00EC2482"/>
    <w:rsid w:val="00EC4638"/>
    <w:rsid w:val="00EC5295"/>
    <w:rsid w:val="00EC6182"/>
    <w:rsid w:val="00EC61F1"/>
    <w:rsid w:val="00EC6940"/>
    <w:rsid w:val="00EC7441"/>
    <w:rsid w:val="00ED0D78"/>
    <w:rsid w:val="00ED10E5"/>
    <w:rsid w:val="00ED1B02"/>
    <w:rsid w:val="00ED518A"/>
    <w:rsid w:val="00ED63B2"/>
    <w:rsid w:val="00ED6A5E"/>
    <w:rsid w:val="00ED74F9"/>
    <w:rsid w:val="00EE03F8"/>
    <w:rsid w:val="00EE1324"/>
    <w:rsid w:val="00EE359C"/>
    <w:rsid w:val="00EE365F"/>
    <w:rsid w:val="00EE410E"/>
    <w:rsid w:val="00EE47DB"/>
    <w:rsid w:val="00EE4CC2"/>
    <w:rsid w:val="00EE5479"/>
    <w:rsid w:val="00EE5A07"/>
    <w:rsid w:val="00EF2FDB"/>
    <w:rsid w:val="00EF32D3"/>
    <w:rsid w:val="00EF373C"/>
    <w:rsid w:val="00EF417A"/>
    <w:rsid w:val="00EF4925"/>
    <w:rsid w:val="00EF4958"/>
    <w:rsid w:val="00EF4B8B"/>
    <w:rsid w:val="00EF5178"/>
    <w:rsid w:val="00EF5DE9"/>
    <w:rsid w:val="00EF720B"/>
    <w:rsid w:val="00EF7299"/>
    <w:rsid w:val="00EF732C"/>
    <w:rsid w:val="00F002BC"/>
    <w:rsid w:val="00F02353"/>
    <w:rsid w:val="00F03DC4"/>
    <w:rsid w:val="00F04F9A"/>
    <w:rsid w:val="00F05F13"/>
    <w:rsid w:val="00F06BCB"/>
    <w:rsid w:val="00F0781F"/>
    <w:rsid w:val="00F07836"/>
    <w:rsid w:val="00F10B23"/>
    <w:rsid w:val="00F11AF1"/>
    <w:rsid w:val="00F127DB"/>
    <w:rsid w:val="00F13099"/>
    <w:rsid w:val="00F13601"/>
    <w:rsid w:val="00F1459F"/>
    <w:rsid w:val="00F15897"/>
    <w:rsid w:val="00F16EDB"/>
    <w:rsid w:val="00F174CB"/>
    <w:rsid w:val="00F179AD"/>
    <w:rsid w:val="00F21062"/>
    <w:rsid w:val="00F22962"/>
    <w:rsid w:val="00F22B6F"/>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231F"/>
    <w:rsid w:val="00F43271"/>
    <w:rsid w:val="00F43516"/>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60437"/>
    <w:rsid w:val="00F6183B"/>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54C3"/>
    <w:rsid w:val="00F858B9"/>
    <w:rsid w:val="00F8746A"/>
    <w:rsid w:val="00F878B4"/>
    <w:rsid w:val="00F93088"/>
    <w:rsid w:val="00F95A33"/>
    <w:rsid w:val="00F96507"/>
    <w:rsid w:val="00F96F0B"/>
    <w:rsid w:val="00F97748"/>
    <w:rsid w:val="00FA1412"/>
    <w:rsid w:val="00FA4F2C"/>
    <w:rsid w:val="00FA5A50"/>
    <w:rsid w:val="00FA6401"/>
    <w:rsid w:val="00FA7CA8"/>
    <w:rsid w:val="00FB0E37"/>
    <w:rsid w:val="00FB112E"/>
    <w:rsid w:val="00FB18FF"/>
    <w:rsid w:val="00FB3826"/>
    <w:rsid w:val="00FB3D97"/>
    <w:rsid w:val="00FB4077"/>
    <w:rsid w:val="00FB40AD"/>
    <w:rsid w:val="00FB445C"/>
    <w:rsid w:val="00FB4894"/>
    <w:rsid w:val="00FB77BF"/>
    <w:rsid w:val="00FB78A7"/>
    <w:rsid w:val="00FC178B"/>
    <w:rsid w:val="00FC2B27"/>
    <w:rsid w:val="00FC2DCE"/>
    <w:rsid w:val="00FC3E39"/>
    <w:rsid w:val="00FC572E"/>
    <w:rsid w:val="00FC5928"/>
    <w:rsid w:val="00FC613B"/>
    <w:rsid w:val="00FC69F6"/>
    <w:rsid w:val="00FC7140"/>
    <w:rsid w:val="00FD01B4"/>
    <w:rsid w:val="00FD1187"/>
    <w:rsid w:val="00FD22C0"/>
    <w:rsid w:val="00FD2B4F"/>
    <w:rsid w:val="00FD2FEE"/>
    <w:rsid w:val="00FD39D8"/>
    <w:rsid w:val="00FD3FB8"/>
    <w:rsid w:val="00FD4038"/>
    <w:rsid w:val="00FD44E3"/>
    <w:rsid w:val="00FD4AF9"/>
    <w:rsid w:val="00FD6BAE"/>
    <w:rsid w:val="00FD6FBB"/>
    <w:rsid w:val="00FD74BC"/>
    <w:rsid w:val="00FD768C"/>
    <w:rsid w:val="00FD7F59"/>
    <w:rsid w:val="00FE00E6"/>
    <w:rsid w:val="00FE08FC"/>
    <w:rsid w:val="00FE205F"/>
    <w:rsid w:val="00FE3FFD"/>
    <w:rsid w:val="00FE4E79"/>
    <w:rsid w:val="00FE6335"/>
    <w:rsid w:val="00FE6510"/>
    <w:rsid w:val="00FE72BC"/>
    <w:rsid w:val="00FE7FAA"/>
    <w:rsid w:val="00FF0118"/>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04258AD7-C683-45CB-910D-EAB0B81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basedOn w:val="Normal"/>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Props1.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2.xml><?xml version="1.0" encoding="utf-8"?>
<ds:datastoreItem xmlns:ds="http://schemas.openxmlformats.org/officeDocument/2006/customXml" ds:itemID="{9EEBC252-5257-44AE-9F7D-459755244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F4F32BA0-0A36-412D-9D37-8A12DC956502}">
  <ds:schemaRefs>
    <ds:schemaRef ds:uri="826143e3-bbcb-45bb-8829-107013e701e5"/>
    <ds:schemaRef ds:uri="http://schemas.microsoft.com/office/2006/metadata/properties"/>
    <ds:schemaRef ds:uri="http://purl.org/dc/elements/1.1/"/>
    <ds:schemaRef ds:uri="http://www.w3.org/XML/1998/namespace"/>
    <ds:schemaRef ds:uri="http://schemas.microsoft.com/office/infopath/2007/PartnerControls"/>
    <ds:schemaRef ds:uri="3c9e15a3-223f-4584-afb1-1dbe0b3878fa"/>
    <ds:schemaRef ds:uri="http://purl.org/dc/terms/"/>
    <ds:schemaRef ds:uri="http://purl.org/dc/dcmitype/"/>
    <ds:schemaRef ds:uri="http://schemas.microsoft.com/office/2006/documentManagement/types"/>
    <ds:schemaRef ds:uri="dbd46520-c392-41b5-9f68-fe7486eefad7"/>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5347</Words>
  <Characters>29080</Characters>
  <Application>Microsoft Office Word</Application>
  <DocSecurity>0</DocSecurity>
  <Lines>727</Lines>
  <Paragraphs>318</Paragraphs>
  <ScaleCrop>false</ScaleCrop>
  <Company>NAIC</Company>
  <LinksUpToDate>false</LinksUpToDate>
  <CharactersWithSpaces>34109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Stultz, Jake</cp:lastModifiedBy>
  <cp:revision>86</cp:revision>
  <cp:lastPrinted>2011-03-02T04:07:00Z</cp:lastPrinted>
  <dcterms:created xsi:type="dcterms:W3CDTF">2022-11-18T18:55:00Z</dcterms:created>
  <dcterms:modified xsi:type="dcterms:W3CDTF">2023-03-27T17:17:00Z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