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5B3F1" w14:textId="22B1F813" w:rsidR="00550A49" w:rsidRPr="00E061A9" w:rsidRDefault="00D97147" w:rsidP="0045369C">
      <w:pPr>
        <w:pStyle w:val="Heading1"/>
        <w:keepNext w:val="0"/>
        <w:keepLines w:val="0"/>
        <w:tabs>
          <w:tab w:val="left" w:pos="1495"/>
          <w:tab w:val="center" w:pos="5040"/>
        </w:tabs>
        <w:spacing w:before="0"/>
        <w:jc w:val="center"/>
        <w:rPr>
          <w:rFonts w:ascii="Times New Roman" w:hAnsi="Times New Roman" w:cs="Times New Roman"/>
          <w:color w:val="auto"/>
        </w:rPr>
      </w:pPr>
      <w:r>
        <w:rPr>
          <w:rFonts w:ascii="Times New Roman" w:hAnsi="Times New Roman" w:cs="Times New Roman"/>
          <w:color w:val="auto"/>
          <w:sz w:val="22"/>
          <w:szCs w:val="22"/>
        </w:rPr>
        <w:t xml:space="preserve"> </w:t>
      </w:r>
      <w:r w:rsidR="003C59C7" w:rsidRPr="00E061A9">
        <w:rPr>
          <w:rFonts w:ascii="Times New Roman" w:hAnsi="Times New Roman" w:cs="Times New Roman"/>
          <w:color w:val="auto"/>
        </w:rPr>
        <w:t>Interpretation of the</w:t>
      </w:r>
    </w:p>
    <w:p w14:paraId="3214AF48" w14:textId="77777777" w:rsidR="008120EB" w:rsidRPr="00E061A9" w:rsidRDefault="003C59C7" w:rsidP="00E061A9">
      <w:pPr>
        <w:pStyle w:val="Heading1"/>
        <w:keepNext w:val="0"/>
        <w:keepLines w:val="0"/>
        <w:tabs>
          <w:tab w:val="left" w:pos="1495"/>
          <w:tab w:val="center" w:pos="5040"/>
        </w:tabs>
        <w:spacing w:before="0"/>
        <w:jc w:val="center"/>
      </w:pPr>
      <w:r w:rsidRPr="00E061A9">
        <w:rPr>
          <w:rFonts w:ascii="Times New Roman" w:hAnsi="Times New Roman" w:cs="Times New Roman"/>
          <w:color w:val="auto"/>
        </w:rPr>
        <w:t>Statutory Accounting Principles (E) Working Group</w:t>
      </w:r>
    </w:p>
    <w:p w14:paraId="5E953BB7" w14:textId="77777777" w:rsidR="008120EB" w:rsidRPr="00E061A9" w:rsidRDefault="008120EB" w:rsidP="008120EB">
      <w:pPr>
        <w:rPr>
          <w:sz w:val="28"/>
          <w:szCs w:val="28"/>
        </w:rPr>
      </w:pPr>
    </w:p>
    <w:p w14:paraId="19A41C78" w14:textId="65082D49" w:rsidR="003C59C7" w:rsidRPr="00E061A9" w:rsidRDefault="0084599E" w:rsidP="0045369C">
      <w:pPr>
        <w:pStyle w:val="Heading3"/>
        <w:keepNext w:val="0"/>
        <w:spacing w:before="0" w:after="280"/>
        <w:jc w:val="center"/>
        <w:rPr>
          <w:rFonts w:ascii="Times New Roman" w:hAnsi="Times New Roman" w:cs="Times New Roman"/>
          <w:sz w:val="28"/>
          <w:szCs w:val="28"/>
        </w:rPr>
      </w:pPr>
      <w:r w:rsidRPr="00E061A9">
        <w:rPr>
          <w:rFonts w:ascii="Times New Roman" w:hAnsi="Times New Roman" w:cs="Times New Roman"/>
          <w:sz w:val="28"/>
          <w:szCs w:val="28"/>
        </w:rPr>
        <w:t xml:space="preserve">INT </w:t>
      </w:r>
      <w:r w:rsidR="006A44A6" w:rsidRPr="00E061A9">
        <w:rPr>
          <w:rFonts w:ascii="Times New Roman" w:hAnsi="Times New Roman" w:cs="Times New Roman"/>
          <w:sz w:val="28"/>
          <w:szCs w:val="28"/>
        </w:rPr>
        <w:t>23-</w:t>
      </w:r>
      <w:r w:rsidR="00DF775A" w:rsidRPr="00E061A9">
        <w:rPr>
          <w:rFonts w:ascii="Times New Roman" w:hAnsi="Times New Roman" w:cs="Times New Roman"/>
          <w:sz w:val="28"/>
          <w:szCs w:val="28"/>
        </w:rPr>
        <w:t>03</w:t>
      </w:r>
      <w:r w:rsidR="001C210C">
        <w:rPr>
          <w:rFonts w:ascii="Times New Roman" w:hAnsi="Times New Roman" w:cs="Times New Roman"/>
          <w:sz w:val="28"/>
          <w:szCs w:val="28"/>
        </w:rPr>
        <w:t>T</w:t>
      </w:r>
      <w:r w:rsidR="003C59C7" w:rsidRPr="00E061A9">
        <w:rPr>
          <w:rFonts w:ascii="Times New Roman" w:hAnsi="Times New Roman" w:cs="Times New Roman"/>
          <w:sz w:val="28"/>
          <w:szCs w:val="28"/>
        </w:rPr>
        <w:t>:</w:t>
      </w:r>
      <w:r w:rsidR="00A93935" w:rsidRPr="00E061A9">
        <w:rPr>
          <w:rFonts w:ascii="Times New Roman" w:hAnsi="Times New Roman" w:cs="Times New Roman"/>
          <w:sz w:val="28"/>
          <w:szCs w:val="28"/>
        </w:rPr>
        <w:t xml:space="preserve"> </w:t>
      </w:r>
      <w:r w:rsidR="00014CBB" w:rsidRPr="00E061A9">
        <w:rPr>
          <w:rFonts w:ascii="Times New Roman" w:hAnsi="Times New Roman" w:cs="Times New Roman"/>
          <w:sz w:val="28"/>
          <w:szCs w:val="28"/>
        </w:rPr>
        <w:t>Inflation Reduction</w:t>
      </w:r>
      <w:r w:rsidR="00FF1503" w:rsidRPr="00E061A9">
        <w:rPr>
          <w:rFonts w:ascii="Times New Roman" w:hAnsi="Times New Roman" w:cs="Times New Roman"/>
          <w:sz w:val="28"/>
          <w:szCs w:val="28"/>
        </w:rPr>
        <w:t xml:space="preserve"> Act</w:t>
      </w:r>
      <w:r w:rsidR="00B33EA9" w:rsidRPr="00E061A9">
        <w:rPr>
          <w:rFonts w:ascii="Times New Roman" w:hAnsi="Times New Roman" w:cs="Times New Roman"/>
          <w:sz w:val="28"/>
          <w:szCs w:val="28"/>
        </w:rPr>
        <w:t xml:space="preserve"> - Corporate Alternative Minimum Tax</w:t>
      </w:r>
      <w:r w:rsidR="00582592" w:rsidRPr="00E061A9">
        <w:rPr>
          <w:rFonts w:ascii="Times New Roman" w:hAnsi="Times New Roman" w:cs="Times New Roman"/>
          <w:sz w:val="28"/>
          <w:szCs w:val="28"/>
        </w:rPr>
        <w:t xml:space="preserve"> </w:t>
      </w:r>
    </w:p>
    <w:p w14:paraId="4A4ED83C" w14:textId="082B8FF3" w:rsidR="007C2AF9" w:rsidRPr="00481D2A" w:rsidRDefault="00EF5050" w:rsidP="00F75B44">
      <w:pPr>
        <w:jc w:val="both"/>
        <w:rPr>
          <w:i/>
          <w:iCs/>
          <w:u w:val="single"/>
        </w:rPr>
      </w:pPr>
      <w:r>
        <w:rPr>
          <w:i/>
          <w:iCs/>
          <w:highlight w:val="lightGray"/>
        </w:rPr>
        <w:t xml:space="preserve">Note: </w:t>
      </w:r>
      <w:r w:rsidR="007C2AF9" w:rsidRPr="00EF5050">
        <w:rPr>
          <w:i/>
          <w:iCs/>
          <w:highlight w:val="lightGray"/>
        </w:rPr>
        <w:t xml:space="preserve">Drafting notes will not be in the final document </w:t>
      </w:r>
      <w:r w:rsidRPr="00EF5050">
        <w:rPr>
          <w:i/>
          <w:iCs/>
          <w:highlight w:val="lightGray"/>
        </w:rPr>
        <w:t>and</w:t>
      </w:r>
      <w:r w:rsidR="007C2AF9" w:rsidRPr="00EF5050">
        <w:rPr>
          <w:i/>
          <w:iCs/>
          <w:highlight w:val="lightGray"/>
        </w:rPr>
        <w:t xml:space="preserve"> are only included to facilitate </w:t>
      </w:r>
      <w:r w:rsidRPr="00EF5050">
        <w:rPr>
          <w:i/>
          <w:iCs/>
          <w:highlight w:val="lightGray"/>
        </w:rPr>
        <w:t>exposure review</w:t>
      </w:r>
      <w:r w:rsidRPr="0039380A">
        <w:rPr>
          <w:i/>
          <w:iCs/>
          <w:highlight w:val="lightGray"/>
        </w:rPr>
        <w:t>.</w:t>
      </w:r>
      <w:r w:rsidRPr="00126B8F">
        <w:rPr>
          <w:i/>
          <w:iCs/>
          <w:highlight w:val="lightGray"/>
        </w:rPr>
        <w:t xml:space="preserve"> </w:t>
      </w:r>
      <w:r w:rsidR="00667684" w:rsidRPr="00126B8F">
        <w:rPr>
          <w:i/>
          <w:iCs/>
          <w:highlight w:val="lightGray"/>
        </w:rPr>
        <w:t xml:space="preserve"> </w:t>
      </w:r>
    </w:p>
    <w:p w14:paraId="6B806BE5" w14:textId="77777777" w:rsidR="00EF5050" w:rsidRPr="007645A0" w:rsidRDefault="00EF5050" w:rsidP="007645A0"/>
    <w:p w14:paraId="319574A2" w14:textId="40C729EB" w:rsidR="003C59C7" w:rsidRPr="00F815FA" w:rsidRDefault="003C59C7" w:rsidP="0045369C">
      <w:pPr>
        <w:pStyle w:val="Heading2"/>
        <w:keepNext w:val="0"/>
        <w:rPr>
          <w:b/>
          <w:sz w:val="22"/>
          <w:szCs w:val="22"/>
        </w:rPr>
      </w:pPr>
      <w:r w:rsidRPr="00F815FA">
        <w:rPr>
          <w:b/>
          <w:sz w:val="22"/>
          <w:szCs w:val="22"/>
        </w:rPr>
        <w:t xml:space="preserve">INT </w:t>
      </w:r>
      <w:r w:rsidR="0065378F">
        <w:rPr>
          <w:b/>
          <w:sz w:val="22"/>
          <w:szCs w:val="22"/>
        </w:rPr>
        <w:t>23-03T</w:t>
      </w:r>
      <w:r w:rsidRPr="00F815FA">
        <w:rPr>
          <w:b/>
          <w:sz w:val="22"/>
          <w:szCs w:val="22"/>
        </w:rPr>
        <w:t xml:space="preserve"> Dates Discussed</w:t>
      </w:r>
    </w:p>
    <w:p w14:paraId="38A62556" w14:textId="7CA1A91F" w:rsidR="003C59C7" w:rsidRDefault="00012183" w:rsidP="0045369C">
      <w:pPr>
        <w:rPr>
          <w:sz w:val="22"/>
          <w:szCs w:val="22"/>
        </w:rPr>
      </w:pPr>
      <w:r>
        <w:rPr>
          <w:sz w:val="22"/>
          <w:szCs w:val="22"/>
        </w:rPr>
        <w:t>August</w:t>
      </w:r>
      <w:r w:rsidR="009D4EB0">
        <w:rPr>
          <w:sz w:val="22"/>
          <w:szCs w:val="22"/>
        </w:rPr>
        <w:t xml:space="preserve"> </w:t>
      </w:r>
      <w:r w:rsidR="003F75C6">
        <w:rPr>
          <w:sz w:val="22"/>
          <w:szCs w:val="22"/>
        </w:rPr>
        <w:t>13</w:t>
      </w:r>
      <w:r w:rsidR="008F44DD">
        <w:rPr>
          <w:sz w:val="22"/>
          <w:szCs w:val="22"/>
        </w:rPr>
        <w:t>, 2023</w:t>
      </w:r>
    </w:p>
    <w:p w14:paraId="670EBCDF" w14:textId="77777777" w:rsidR="008F44DD" w:rsidRPr="00F815FA" w:rsidRDefault="008F44DD" w:rsidP="0045369C">
      <w:pPr>
        <w:rPr>
          <w:sz w:val="22"/>
          <w:szCs w:val="22"/>
        </w:rPr>
      </w:pPr>
    </w:p>
    <w:p w14:paraId="58F31CB2" w14:textId="1BCC1ABF" w:rsidR="003C59C7" w:rsidRPr="00F815FA" w:rsidRDefault="003C59C7" w:rsidP="0045369C">
      <w:pPr>
        <w:pStyle w:val="Heading2"/>
        <w:keepNext w:val="0"/>
        <w:spacing w:after="220"/>
        <w:rPr>
          <w:b/>
          <w:sz w:val="22"/>
          <w:szCs w:val="22"/>
        </w:rPr>
      </w:pPr>
      <w:r w:rsidRPr="00F815FA">
        <w:rPr>
          <w:b/>
          <w:sz w:val="22"/>
          <w:szCs w:val="22"/>
        </w:rPr>
        <w:t xml:space="preserve">INT </w:t>
      </w:r>
      <w:r w:rsidR="0065378F">
        <w:rPr>
          <w:b/>
          <w:sz w:val="22"/>
          <w:szCs w:val="22"/>
        </w:rPr>
        <w:t>23-03T</w:t>
      </w:r>
      <w:r w:rsidRPr="00F815FA">
        <w:rPr>
          <w:b/>
          <w:sz w:val="22"/>
          <w:szCs w:val="22"/>
        </w:rPr>
        <w:t xml:space="preserve"> References</w:t>
      </w:r>
    </w:p>
    <w:p w14:paraId="01A0CB4F" w14:textId="77777777" w:rsidR="00550A49" w:rsidRPr="00F815FA" w:rsidRDefault="00550A49" w:rsidP="0045369C">
      <w:pPr>
        <w:rPr>
          <w:b/>
          <w:sz w:val="22"/>
          <w:szCs w:val="22"/>
        </w:rPr>
      </w:pPr>
      <w:r w:rsidRPr="00F815FA">
        <w:rPr>
          <w:b/>
          <w:sz w:val="22"/>
          <w:szCs w:val="22"/>
        </w:rPr>
        <w:t>Current:</w:t>
      </w:r>
    </w:p>
    <w:p w14:paraId="6EDEB582" w14:textId="77777777" w:rsidR="00893AF8" w:rsidRDefault="00893AF8" w:rsidP="00C46868">
      <w:pPr>
        <w:rPr>
          <w:i/>
          <w:iCs/>
          <w:sz w:val="22"/>
          <w:szCs w:val="22"/>
        </w:rPr>
      </w:pPr>
      <w:r>
        <w:rPr>
          <w:i/>
          <w:iCs/>
          <w:sz w:val="22"/>
          <w:szCs w:val="22"/>
        </w:rPr>
        <w:t>SSAP No. 4—Assets and Nonadmitted Assets</w:t>
      </w:r>
    </w:p>
    <w:p w14:paraId="77D62A12" w14:textId="048B009E" w:rsidR="00C46868" w:rsidRPr="00F815FA" w:rsidRDefault="00C46868" w:rsidP="00C46868">
      <w:pPr>
        <w:rPr>
          <w:i/>
          <w:iCs/>
          <w:sz w:val="22"/>
          <w:szCs w:val="22"/>
        </w:rPr>
      </w:pPr>
      <w:r w:rsidRPr="00F815FA">
        <w:rPr>
          <w:i/>
          <w:iCs/>
          <w:sz w:val="22"/>
          <w:szCs w:val="22"/>
        </w:rPr>
        <w:t>SSAP No. 9</w:t>
      </w:r>
      <w:r w:rsidR="00B620DA">
        <w:rPr>
          <w:i/>
          <w:iCs/>
          <w:sz w:val="22"/>
          <w:szCs w:val="22"/>
        </w:rPr>
        <w:t>—</w:t>
      </w:r>
      <w:r w:rsidRPr="00F815FA">
        <w:rPr>
          <w:i/>
          <w:iCs/>
          <w:sz w:val="22"/>
          <w:szCs w:val="22"/>
        </w:rPr>
        <w:t xml:space="preserve"> Subsequent Events</w:t>
      </w:r>
    </w:p>
    <w:p w14:paraId="59C43EBC" w14:textId="4C81BC42" w:rsidR="003C59C7" w:rsidRPr="00F815FA" w:rsidRDefault="00FF1503" w:rsidP="0045369C">
      <w:pPr>
        <w:rPr>
          <w:sz w:val="22"/>
          <w:szCs w:val="22"/>
        </w:rPr>
      </w:pPr>
      <w:r w:rsidRPr="00F815FA">
        <w:rPr>
          <w:i/>
          <w:sz w:val="22"/>
          <w:szCs w:val="22"/>
        </w:rPr>
        <w:t>SSAP No. 101—Income Taxes</w:t>
      </w:r>
    </w:p>
    <w:p w14:paraId="00DBB4CF" w14:textId="77777777" w:rsidR="001B3B8A" w:rsidRDefault="001B3B8A" w:rsidP="0045369C">
      <w:pPr>
        <w:pStyle w:val="Heading2"/>
        <w:keepNext w:val="0"/>
        <w:spacing w:after="220"/>
        <w:rPr>
          <w:b/>
          <w:sz w:val="22"/>
          <w:szCs w:val="22"/>
        </w:rPr>
      </w:pPr>
    </w:p>
    <w:p w14:paraId="58A7A44D" w14:textId="1C40E69C" w:rsidR="003C59C7" w:rsidRPr="00F815FA" w:rsidRDefault="003C59C7" w:rsidP="0045369C">
      <w:pPr>
        <w:pStyle w:val="Heading2"/>
        <w:keepNext w:val="0"/>
        <w:spacing w:after="220"/>
        <w:rPr>
          <w:b/>
          <w:sz w:val="22"/>
          <w:szCs w:val="22"/>
        </w:rPr>
      </w:pPr>
      <w:r w:rsidRPr="00F815FA">
        <w:rPr>
          <w:b/>
          <w:sz w:val="22"/>
          <w:szCs w:val="22"/>
        </w:rPr>
        <w:t xml:space="preserve">INT </w:t>
      </w:r>
      <w:r w:rsidR="0065378F">
        <w:rPr>
          <w:b/>
          <w:sz w:val="22"/>
          <w:szCs w:val="22"/>
        </w:rPr>
        <w:t>23-03T</w:t>
      </w:r>
      <w:r w:rsidR="00500824" w:rsidRPr="00F815FA">
        <w:rPr>
          <w:b/>
          <w:sz w:val="22"/>
          <w:szCs w:val="22"/>
        </w:rPr>
        <w:t xml:space="preserve"> Issue</w:t>
      </w:r>
    </w:p>
    <w:p w14:paraId="3A48D513" w14:textId="46E97267" w:rsidR="008B14BB" w:rsidRPr="00F815FA" w:rsidRDefault="008B14BB" w:rsidP="008B14BB">
      <w:pPr>
        <w:rPr>
          <w:sz w:val="22"/>
          <w:szCs w:val="22"/>
        </w:rPr>
      </w:pPr>
      <w:r w:rsidRPr="00F815FA">
        <w:rPr>
          <w:sz w:val="22"/>
          <w:szCs w:val="22"/>
        </w:rPr>
        <w:t>Key Provisions of the Inflation Reduction Act</w:t>
      </w:r>
    </w:p>
    <w:p w14:paraId="04D6AFD0" w14:textId="77777777" w:rsidR="008B14BB" w:rsidRPr="00F815FA" w:rsidRDefault="008B14BB" w:rsidP="003F6F09">
      <w:pPr>
        <w:rPr>
          <w:sz w:val="22"/>
          <w:szCs w:val="22"/>
        </w:rPr>
      </w:pPr>
    </w:p>
    <w:p w14:paraId="13580B6C" w14:textId="07686F3E" w:rsidR="00454FD7" w:rsidRPr="005F5F85" w:rsidRDefault="00014CBB" w:rsidP="000D1D80">
      <w:pPr>
        <w:pStyle w:val="ListNumber"/>
        <w:tabs>
          <w:tab w:val="clear" w:pos="360"/>
        </w:tabs>
        <w:ind w:left="0" w:firstLine="0"/>
        <w:jc w:val="both"/>
        <w:rPr>
          <w:sz w:val="22"/>
          <w:szCs w:val="22"/>
        </w:rPr>
      </w:pPr>
      <w:r w:rsidRPr="005F5F85">
        <w:rPr>
          <w:sz w:val="22"/>
          <w:szCs w:val="22"/>
        </w:rPr>
        <w:t xml:space="preserve">The Inflation Reduction Act (Act) was enacted on August 16, </w:t>
      </w:r>
      <w:r w:rsidR="008D30AD" w:rsidRPr="005F5F85">
        <w:rPr>
          <w:sz w:val="22"/>
          <w:szCs w:val="22"/>
        </w:rPr>
        <w:t>2022,</w:t>
      </w:r>
      <w:r w:rsidR="000222FD" w:rsidRPr="005F5F85">
        <w:rPr>
          <w:sz w:val="22"/>
          <w:szCs w:val="22"/>
        </w:rPr>
        <w:t xml:space="preserve"> and included a new corporate alternative minimum tax (CAMT)</w:t>
      </w:r>
      <w:r w:rsidRPr="005F5F85">
        <w:rPr>
          <w:sz w:val="22"/>
          <w:szCs w:val="22"/>
        </w:rPr>
        <w:t xml:space="preserve">. </w:t>
      </w:r>
      <w:r w:rsidR="001A3EB2" w:rsidRPr="005F5F85">
        <w:rPr>
          <w:sz w:val="22"/>
          <w:szCs w:val="22"/>
        </w:rPr>
        <w:t xml:space="preserve">The </w:t>
      </w:r>
      <w:r w:rsidR="00BE01B5" w:rsidRPr="005F5F85">
        <w:rPr>
          <w:sz w:val="22"/>
          <w:szCs w:val="22"/>
        </w:rPr>
        <w:t xml:space="preserve">Act and the </w:t>
      </w:r>
      <w:r w:rsidR="001A3EB2" w:rsidRPr="005F5F85">
        <w:rPr>
          <w:sz w:val="22"/>
          <w:szCs w:val="22"/>
        </w:rPr>
        <w:t xml:space="preserve">CAMT go into effect </w:t>
      </w:r>
      <w:r w:rsidR="00431427" w:rsidRPr="005F5F85">
        <w:rPr>
          <w:sz w:val="22"/>
          <w:szCs w:val="22"/>
        </w:rPr>
        <w:t xml:space="preserve">for tax years beginning </w:t>
      </w:r>
      <w:r w:rsidR="00C55C85" w:rsidRPr="005F5F85">
        <w:rPr>
          <w:sz w:val="22"/>
          <w:szCs w:val="22"/>
        </w:rPr>
        <w:t>after 2022</w:t>
      </w:r>
      <w:r w:rsidR="00D328F9" w:rsidRPr="005F5F85">
        <w:rPr>
          <w:sz w:val="22"/>
          <w:szCs w:val="22"/>
        </w:rPr>
        <w:t xml:space="preserve">. </w:t>
      </w:r>
      <w:r w:rsidR="00C4754E" w:rsidRPr="005F5F85">
        <w:rPr>
          <w:sz w:val="22"/>
          <w:szCs w:val="22"/>
        </w:rPr>
        <w:t xml:space="preserve">Reporting entities shall refer to the Act and the resulting </w:t>
      </w:r>
      <w:r w:rsidR="00A5713E" w:rsidRPr="005F5F85">
        <w:rPr>
          <w:sz w:val="22"/>
          <w:szCs w:val="22"/>
        </w:rPr>
        <w:t>regulations and other tax guidance</w:t>
      </w:r>
      <w:r w:rsidR="00C4754E" w:rsidRPr="005F5F85">
        <w:rPr>
          <w:sz w:val="22"/>
          <w:szCs w:val="22"/>
        </w:rPr>
        <w:t xml:space="preserve"> to determine application, but </w:t>
      </w:r>
      <w:r w:rsidR="00A746B3" w:rsidRPr="005F5F85">
        <w:rPr>
          <w:sz w:val="22"/>
          <w:szCs w:val="22"/>
        </w:rPr>
        <w:t>a high</w:t>
      </w:r>
      <w:r w:rsidR="00C4754E" w:rsidRPr="005F5F85">
        <w:rPr>
          <w:sz w:val="22"/>
          <w:szCs w:val="22"/>
        </w:rPr>
        <w:t>-level summary</w:t>
      </w:r>
      <w:r w:rsidR="00F2686D" w:rsidRPr="005F5F85">
        <w:rPr>
          <w:sz w:val="22"/>
          <w:szCs w:val="22"/>
        </w:rPr>
        <w:t xml:space="preserve"> </w:t>
      </w:r>
      <w:r w:rsidR="001A2A37" w:rsidRPr="005F5F85">
        <w:rPr>
          <w:sz w:val="22"/>
          <w:szCs w:val="22"/>
        </w:rPr>
        <w:t>of</w:t>
      </w:r>
      <w:r w:rsidR="00F2686D" w:rsidRPr="005F5F85">
        <w:rPr>
          <w:sz w:val="22"/>
          <w:szCs w:val="22"/>
        </w:rPr>
        <w:t xml:space="preserve"> CAMT</w:t>
      </w:r>
      <w:r w:rsidR="00C4754E" w:rsidRPr="005F5F85">
        <w:rPr>
          <w:sz w:val="22"/>
          <w:szCs w:val="22"/>
        </w:rPr>
        <w:t xml:space="preserve"> is </w:t>
      </w:r>
      <w:r w:rsidR="004A18A7" w:rsidRPr="005F5F85">
        <w:rPr>
          <w:sz w:val="22"/>
          <w:szCs w:val="22"/>
        </w:rPr>
        <w:t xml:space="preserve">below. </w:t>
      </w:r>
    </w:p>
    <w:p w14:paraId="107CF12D" w14:textId="77777777" w:rsidR="00724ED2" w:rsidRPr="005F5F85" w:rsidRDefault="00724ED2">
      <w:pPr>
        <w:pStyle w:val="ListNumber"/>
        <w:numPr>
          <w:ilvl w:val="0"/>
          <w:numId w:val="0"/>
        </w:numPr>
        <w:jc w:val="both"/>
        <w:rPr>
          <w:sz w:val="22"/>
          <w:szCs w:val="22"/>
        </w:rPr>
      </w:pPr>
    </w:p>
    <w:p w14:paraId="79A82230" w14:textId="77777777" w:rsidR="00EA6352" w:rsidRPr="005F5F85" w:rsidRDefault="007A2829" w:rsidP="00555A3A">
      <w:pPr>
        <w:pStyle w:val="ListNumber"/>
        <w:numPr>
          <w:ilvl w:val="0"/>
          <w:numId w:val="5"/>
        </w:numPr>
        <w:ind w:left="1440" w:hanging="720"/>
        <w:jc w:val="both"/>
        <w:rPr>
          <w:sz w:val="22"/>
          <w:szCs w:val="22"/>
        </w:rPr>
      </w:pPr>
      <w:r w:rsidRPr="005F5F85">
        <w:rPr>
          <w:sz w:val="22"/>
          <w:szCs w:val="22"/>
        </w:rPr>
        <w:t>The CAMT</w:t>
      </w:r>
      <w:r w:rsidR="00D63A90" w:rsidRPr="005F5F85">
        <w:rPr>
          <w:sz w:val="22"/>
          <w:szCs w:val="22"/>
        </w:rPr>
        <w:t xml:space="preserve"> </w:t>
      </w:r>
      <w:r w:rsidR="001F5EB2" w:rsidRPr="005F5F85">
        <w:rPr>
          <w:sz w:val="22"/>
          <w:szCs w:val="22"/>
        </w:rPr>
        <w:t>is 15</w:t>
      </w:r>
      <w:r w:rsidR="006A3BC7" w:rsidRPr="005F5F85">
        <w:rPr>
          <w:sz w:val="22"/>
          <w:szCs w:val="22"/>
        </w:rPr>
        <w:t>%</w:t>
      </w:r>
      <w:r w:rsidR="009D7D4E" w:rsidRPr="005F5F85">
        <w:rPr>
          <w:sz w:val="22"/>
          <w:szCs w:val="22"/>
        </w:rPr>
        <w:t xml:space="preserve"> of </w:t>
      </w:r>
      <w:r w:rsidR="00433591" w:rsidRPr="005F5F85">
        <w:rPr>
          <w:sz w:val="22"/>
          <w:szCs w:val="22"/>
        </w:rPr>
        <w:t>the</w:t>
      </w:r>
      <w:r w:rsidR="009D7D4E" w:rsidRPr="005F5F85">
        <w:rPr>
          <w:sz w:val="22"/>
          <w:szCs w:val="22"/>
        </w:rPr>
        <w:t xml:space="preserve"> corporation’s “adjusted financial statement income” for the tax year, </w:t>
      </w:r>
      <w:r w:rsidR="00EF3C39" w:rsidRPr="005F5F85">
        <w:rPr>
          <w:sz w:val="22"/>
          <w:szCs w:val="22"/>
        </w:rPr>
        <w:t xml:space="preserve">reduced by </w:t>
      </w:r>
      <w:r w:rsidR="007E7DBF" w:rsidRPr="005F5F85">
        <w:rPr>
          <w:sz w:val="22"/>
          <w:szCs w:val="22"/>
        </w:rPr>
        <w:t xml:space="preserve">corporate </w:t>
      </w:r>
      <w:r w:rsidR="000F287B" w:rsidRPr="005F5F85">
        <w:rPr>
          <w:sz w:val="22"/>
          <w:szCs w:val="22"/>
        </w:rPr>
        <w:t>alternative</w:t>
      </w:r>
      <w:r w:rsidR="007E7DBF" w:rsidRPr="005F5F85">
        <w:rPr>
          <w:sz w:val="22"/>
          <w:szCs w:val="22"/>
        </w:rPr>
        <w:t xml:space="preserve"> </w:t>
      </w:r>
      <w:r w:rsidR="00DE28C6" w:rsidRPr="005F5F85">
        <w:rPr>
          <w:sz w:val="22"/>
          <w:szCs w:val="22"/>
        </w:rPr>
        <w:t xml:space="preserve">minimum foreign tax credit. </w:t>
      </w:r>
    </w:p>
    <w:p w14:paraId="54ED682F" w14:textId="77777777" w:rsidR="00EA6352" w:rsidRPr="005F5F85" w:rsidRDefault="00EA6352" w:rsidP="00EA6352">
      <w:pPr>
        <w:pStyle w:val="ListNumber"/>
        <w:numPr>
          <w:ilvl w:val="0"/>
          <w:numId w:val="0"/>
        </w:numPr>
        <w:ind w:left="1440"/>
        <w:jc w:val="both"/>
        <w:rPr>
          <w:sz w:val="22"/>
          <w:szCs w:val="22"/>
        </w:rPr>
      </w:pPr>
    </w:p>
    <w:p w14:paraId="35AC6835" w14:textId="541CE7CD" w:rsidR="00555A3A" w:rsidRPr="005F5F85" w:rsidRDefault="00555A3A" w:rsidP="00555A3A">
      <w:pPr>
        <w:pStyle w:val="ListNumber"/>
        <w:numPr>
          <w:ilvl w:val="0"/>
          <w:numId w:val="5"/>
        </w:numPr>
        <w:ind w:left="1440" w:hanging="720"/>
        <w:jc w:val="both"/>
        <w:rPr>
          <w:sz w:val="22"/>
          <w:szCs w:val="22"/>
        </w:rPr>
      </w:pPr>
      <w:r w:rsidRPr="005F5F85">
        <w:rPr>
          <w:sz w:val="22"/>
          <w:szCs w:val="22"/>
        </w:rPr>
        <w:t>The CAMT differs from the previous traditional alternative minimum tax (AMT)</w:t>
      </w:r>
      <w:r w:rsidR="007E615B" w:rsidRPr="005F5F85">
        <w:rPr>
          <w:sz w:val="22"/>
          <w:szCs w:val="22"/>
        </w:rPr>
        <w:t xml:space="preserve"> that applied under pre-2018 tax law</w:t>
      </w:r>
      <w:r w:rsidRPr="005F5F85">
        <w:rPr>
          <w:sz w:val="22"/>
          <w:szCs w:val="22"/>
        </w:rPr>
        <w:t xml:space="preserve"> in that it starts at a financial statement measure (book income) – not an Internal Revenue Code tax calculation. Adjusted financial statement income does not include other comprehensive income including unrealized gains and losses on available for sale </w:t>
      </w:r>
      <w:r w:rsidR="005D3A92" w:rsidRPr="005F5F85">
        <w:rPr>
          <w:sz w:val="22"/>
          <w:szCs w:val="22"/>
        </w:rPr>
        <w:t>securities.</w:t>
      </w:r>
      <w:r w:rsidR="007E7DE2" w:rsidRPr="005F5F85">
        <w:rPr>
          <w:sz w:val="22"/>
          <w:szCs w:val="22"/>
        </w:rPr>
        <w:t xml:space="preserve"> </w:t>
      </w:r>
      <w:r w:rsidR="00727549" w:rsidRPr="005F5F85">
        <w:rPr>
          <w:sz w:val="22"/>
          <w:szCs w:val="22"/>
        </w:rPr>
        <w:t>T</w:t>
      </w:r>
      <w:r w:rsidR="007E615B" w:rsidRPr="005F5F85">
        <w:rPr>
          <w:sz w:val="22"/>
          <w:szCs w:val="22"/>
        </w:rPr>
        <w:t xml:space="preserve">he determination of whether the CAMT applies is made on a tax-controlled group basis (scope determination), the tentative CAMT is based on the group’s adjusted financial statement income (not adjusted regular taxable income), and any tax </w:t>
      </w:r>
      <w:r w:rsidR="008555FF" w:rsidRPr="005F5F85">
        <w:rPr>
          <w:sz w:val="22"/>
          <w:szCs w:val="22"/>
        </w:rPr>
        <w:t>due</w:t>
      </w:r>
      <w:r w:rsidR="007E615B" w:rsidRPr="005F5F85">
        <w:rPr>
          <w:sz w:val="22"/>
          <w:szCs w:val="22"/>
        </w:rPr>
        <w:t xml:space="preserve"> (liability determination) is based on a comparison of consolidated tentative CAMT to consolidated regular tax. </w:t>
      </w:r>
    </w:p>
    <w:p w14:paraId="2C7CD3F3" w14:textId="32268FDF" w:rsidR="00564AEF" w:rsidRPr="005F5F85" w:rsidRDefault="00564AEF" w:rsidP="00555A3A">
      <w:pPr>
        <w:pStyle w:val="ListNumber"/>
        <w:numPr>
          <w:ilvl w:val="0"/>
          <w:numId w:val="0"/>
        </w:numPr>
        <w:ind w:left="1440"/>
        <w:jc w:val="both"/>
        <w:rPr>
          <w:sz w:val="22"/>
          <w:szCs w:val="22"/>
        </w:rPr>
      </w:pPr>
    </w:p>
    <w:p w14:paraId="406D1416" w14:textId="148E8130" w:rsidR="00E3077A" w:rsidRPr="005F5F85" w:rsidRDefault="00E3077A" w:rsidP="00E3077A">
      <w:pPr>
        <w:pStyle w:val="ListNumber"/>
        <w:numPr>
          <w:ilvl w:val="0"/>
          <w:numId w:val="5"/>
        </w:numPr>
        <w:ind w:left="1440" w:hanging="720"/>
        <w:jc w:val="both"/>
        <w:rPr>
          <w:sz w:val="22"/>
          <w:szCs w:val="22"/>
        </w:rPr>
      </w:pPr>
      <w:r w:rsidRPr="005F5F85">
        <w:rPr>
          <w:sz w:val="22"/>
          <w:szCs w:val="22"/>
        </w:rPr>
        <w:t xml:space="preserve">The CAMT applies only to corporations (determined on a </w:t>
      </w:r>
      <w:r w:rsidR="00E022CB">
        <w:rPr>
          <w:sz w:val="22"/>
          <w:szCs w:val="22"/>
        </w:rPr>
        <w:t>tax-controlled</w:t>
      </w:r>
      <w:r w:rsidRPr="005F5F85">
        <w:rPr>
          <w:sz w:val="22"/>
          <w:szCs w:val="22"/>
        </w:rPr>
        <w:t xml:space="preserve"> group basis as defined for </w:t>
      </w:r>
      <w:r w:rsidR="00C446D8" w:rsidRPr="005F5F85">
        <w:rPr>
          <w:sz w:val="22"/>
          <w:szCs w:val="22"/>
        </w:rPr>
        <w:t xml:space="preserve">federal </w:t>
      </w:r>
      <w:r w:rsidRPr="005F5F85">
        <w:rPr>
          <w:sz w:val="22"/>
          <w:szCs w:val="22"/>
        </w:rPr>
        <w:t>income tax purposes</w:t>
      </w:r>
      <w:r w:rsidR="00801EC4">
        <w:rPr>
          <w:sz w:val="22"/>
          <w:szCs w:val="22"/>
        </w:rPr>
        <w:t>,</w:t>
      </w:r>
      <w:r w:rsidR="00DB7D56">
        <w:rPr>
          <w:sz w:val="22"/>
          <w:szCs w:val="22"/>
        </w:rPr>
        <w:t xml:space="preserve"> </w:t>
      </w:r>
      <w:r w:rsidR="00767BFF">
        <w:rPr>
          <w:sz w:val="22"/>
          <w:szCs w:val="22"/>
        </w:rPr>
        <w:t>this</w:t>
      </w:r>
      <w:r w:rsidR="00DB7D56">
        <w:rPr>
          <w:sz w:val="22"/>
          <w:szCs w:val="22"/>
        </w:rPr>
        <w:t xml:space="preserve"> could include </w:t>
      </w:r>
      <w:r w:rsidR="00772212">
        <w:rPr>
          <w:sz w:val="22"/>
          <w:szCs w:val="22"/>
        </w:rPr>
        <w:t>standalone</w:t>
      </w:r>
      <w:r w:rsidR="00DB7D56">
        <w:rPr>
          <w:sz w:val="22"/>
          <w:szCs w:val="22"/>
        </w:rPr>
        <w:t xml:space="preserve"> </w:t>
      </w:r>
      <w:r w:rsidR="00772212">
        <w:rPr>
          <w:sz w:val="22"/>
          <w:szCs w:val="22"/>
        </w:rPr>
        <w:t>unaffiliated</w:t>
      </w:r>
      <w:r w:rsidR="00DB7D56">
        <w:rPr>
          <w:sz w:val="22"/>
          <w:szCs w:val="22"/>
        </w:rPr>
        <w:t xml:space="preserve"> entities which meet the</w:t>
      </w:r>
      <w:r w:rsidR="00767BFF">
        <w:rPr>
          <w:sz w:val="22"/>
          <w:szCs w:val="22"/>
        </w:rPr>
        <w:t xml:space="preserve"> specified income </w:t>
      </w:r>
      <w:r w:rsidR="00DB7D56">
        <w:rPr>
          <w:sz w:val="22"/>
          <w:szCs w:val="22"/>
        </w:rPr>
        <w:t>threshold</w:t>
      </w:r>
      <w:r w:rsidR="00767BFF">
        <w:rPr>
          <w:sz w:val="22"/>
          <w:szCs w:val="22"/>
        </w:rPr>
        <w:t>s</w:t>
      </w:r>
      <w:r w:rsidR="00772212">
        <w:rPr>
          <w:sz w:val="22"/>
          <w:szCs w:val="22"/>
        </w:rPr>
        <w:t xml:space="preserve"> </w:t>
      </w:r>
      <w:r w:rsidR="00DB7D56">
        <w:rPr>
          <w:sz w:val="22"/>
          <w:szCs w:val="22"/>
        </w:rPr>
        <w:t xml:space="preserve">- </w:t>
      </w:r>
      <w:r w:rsidR="00772212">
        <w:rPr>
          <w:sz w:val="22"/>
          <w:szCs w:val="22"/>
        </w:rPr>
        <w:t>s</w:t>
      </w:r>
      <w:r w:rsidR="00DB7D56">
        <w:rPr>
          <w:sz w:val="22"/>
          <w:szCs w:val="22"/>
        </w:rPr>
        <w:t xml:space="preserve">ee </w:t>
      </w:r>
      <w:r w:rsidR="00772212">
        <w:rPr>
          <w:sz w:val="22"/>
          <w:szCs w:val="22"/>
        </w:rPr>
        <w:t>paragraph 3</w:t>
      </w:r>
      <w:r w:rsidRPr="005F5F85">
        <w:rPr>
          <w:sz w:val="22"/>
          <w:szCs w:val="22"/>
        </w:rPr>
        <w:t xml:space="preserve">) with average annual adjusted financial statement income </w:t>
      </w:r>
      <w:proofErr w:type="gramStart"/>
      <w:r w:rsidRPr="005F5F85">
        <w:rPr>
          <w:sz w:val="22"/>
          <w:szCs w:val="22"/>
        </w:rPr>
        <w:t>in excess of</w:t>
      </w:r>
      <w:proofErr w:type="gramEnd"/>
      <w:r w:rsidRPr="005F5F85">
        <w:rPr>
          <w:sz w:val="22"/>
          <w:szCs w:val="22"/>
        </w:rPr>
        <w:t xml:space="preserve"> $1 billion for three prior taxable years. The threshold is reduced to $100 million in the case of certain foreign-owned corporations</w:t>
      </w:r>
      <w:r w:rsidR="00056EE2" w:rsidRPr="005F5F85">
        <w:rPr>
          <w:sz w:val="22"/>
          <w:szCs w:val="22"/>
        </w:rPr>
        <w:t xml:space="preserve">. </w:t>
      </w:r>
      <w:r w:rsidRPr="005F5F85">
        <w:rPr>
          <w:sz w:val="22"/>
          <w:szCs w:val="22"/>
        </w:rPr>
        <w:t>A corporation that meets the applicable threshold is an “applicable corporation.”</w:t>
      </w:r>
      <w:r w:rsidR="00526210" w:rsidRPr="005F5F85">
        <w:rPr>
          <w:sz w:val="22"/>
          <w:szCs w:val="22"/>
        </w:rPr>
        <w:t xml:space="preserve"> </w:t>
      </w:r>
      <w:r w:rsidRPr="005F5F85">
        <w:rPr>
          <w:sz w:val="22"/>
          <w:szCs w:val="22"/>
        </w:rPr>
        <w:t xml:space="preserve">Applicable corporations generally remain applicable corporations for subsequent taxable </w:t>
      </w:r>
      <w:r w:rsidR="008E45C5" w:rsidRPr="005F5F85">
        <w:rPr>
          <w:sz w:val="22"/>
          <w:szCs w:val="22"/>
        </w:rPr>
        <w:t>years unless</w:t>
      </w:r>
      <w:r w:rsidRPr="005F5F85">
        <w:rPr>
          <w:sz w:val="22"/>
          <w:szCs w:val="22"/>
        </w:rPr>
        <w:t xml:space="preserve"> certain limited exceptions apply.</w:t>
      </w:r>
      <w:r w:rsidR="00777BF9" w:rsidRPr="005F5F85">
        <w:rPr>
          <w:sz w:val="22"/>
          <w:szCs w:val="22"/>
        </w:rPr>
        <w:t xml:space="preserve"> Applicable corporation status means that CAMT must be tentatively determined and compared to regular tax liability</w:t>
      </w:r>
      <w:r w:rsidR="00056EE2" w:rsidRPr="005F5F85">
        <w:rPr>
          <w:sz w:val="22"/>
          <w:szCs w:val="22"/>
        </w:rPr>
        <w:t xml:space="preserve">. </w:t>
      </w:r>
    </w:p>
    <w:p w14:paraId="3EB46757" w14:textId="72479DF3" w:rsidR="00603362" w:rsidRPr="005F5F85" w:rsidRDefault="00603362" w:rsidP="00526210">
      <w:pPr>
        <w:pStyle w:val="ListNumber"/>
        <w:numPr>
          <w:ilvl w:val="0"/>
          <w:numId w:val="0"/>
        </w:numPr>
        <w:ind w:left="1440"/>
        <w:jc w:val="both"/>
        <w:rPr>
          <w:sz w:val="22"/>
          <w:szCs w:val="22"/>
        </w:rPr>
      </w:pPr>
    </w:p>
    <w:p w14:paraId="63DB717C" w14:textId="3711BE0A" w:rsidR="001D28B9" w:rsidRPr="005F5F85" w:rsidRDefault="00CE7188">
      <w:pPr>
        <w:pStyle w:val="ListNumber"/>
        <w:numPr>
          <w:ilvl w:val="0"/>
          <w:numId w:val="5"/>
        </w:numPr>
        <w:ind w:left="1440" w:hanging="720"/>
        <w:jc w:val="both"/>
        <w:rPr>
          <w:sz w:val="22"/>
          <w:szCs w:val="22"/>
        </w:rPr>
      </w:pPr>
      <w:r w:rsidRPr="005F5F85">
        <w:rPr>
          <w:sz w:val="22"/>
          <w:szCs w:val="22"/>
        </w:rPr>
        <w:lastRenderedPageBreak/>
        <w:t xml:space="preserve">A </w:t>
      </w:r>
      <w:r w:rsidR="003D743F" w:rsidRPr="005F5F85">
        <w:rPr>
          <w:sz w:val="22"/>
          <w:szCs w:val="22"/>
        </w:rPr>
        <w:t>corporation</w:t>
      </w:r>
      <w:r w:rsidR="00F54888" w:rsidRPr="005F5F85">
        <w:rPr>
          <w:sz w:val="22"/>
          <w:szCs w:val="22"/>
        </w:rPr>
        <w:t xml:space="preserve">'s </w:t>
      </w:r>
      <w:bookmarkStart w:id="0" w:name="_Hlk113375544"/>
      <w:r w:rsidR="00B1703E" w:rsidRPr="005F5F85">
        <w:rPr>
          <w:sz w:val="22"/>
          <w:szCs w:val="22"/>
        </w:rPr>
        <w:t xml:space="preserve">adjusted financial statement income </w:t>
      </w:r>
      <w:bookmarkEnd w:id="0"/>
      <w:r w:rsidR="00B1703E" w:rsidRPr="005F5F85">
        <w:rPr>
          <w:sz w:val="22"/>
          <w:szCs w:val="22"/>
        </w:rPr>
        <w:t>is the amount of net income or loss the corporation reports on its applicable financial statement</w:t>
      </w:r>
      <w:r w:rsidR="00626600" w:rsidRPr="005F5F85">
        <w:rPr>
          <w:sz w:val="22"/>
          <w:szCs w:val="22"/>
        </w:rPr>
        <w:t xml:space="preserve">. </w:t>
      </w:r>
      <w:r w:rsidR="00B91242" w:rsidRPr="005F5F85">
        <w:rPr>
          <w:sz w:val="22"/>
          <w:szCs w:val="22"/>
        </w:rPr>
        <w:t>T</w:t>
      </w:r>
      <w:r w:rsidR="00B712E8" w:rsidRPr="005F5F85">
        <w:rPr>
          <w:sz w:val="22"/>
          <w:szCs w:val="22"/>
        </w:rPr>
        <w:t>he</w:t>
      </w:r>
      <w:r w:rsidR="00626600" w:rsidRPr="005F5F85">
        <w:rPr>
          <w:sz w:val="22"/>
          <w:szCs w:val="22"/>
        </w:rPr>
        <w:t xml:space="preserve"> </w:t>
      </w:r>
      <w:r w:rsidR="00B91242" w:rsidRPr="005F5F85">
        <w:rPr>
          <w:sz w:val="22"/>
          <w:szCs w:val="22"/>
        </w:rPr>
        <w:t>income</w:t>
      </w:r>
      <w:r w:rsidR="00C91EB1" w:rsidRPr="005F5F85">
        <w:rPr>
          <w:sz w:val="22"/>
          <w:szCs w:val="22"/>
        </w:rPr>
        <w:t xml:space="preserve"> </w:t>
      </w:r>
      <w:r w:rsidR="00626600" w:rsidRPr="005F5F85">
        <w:rPr>
          <w:sz w:val="22"/>
          <w:szCs w:val="22"/>
        </w:rPr>
        <w:t>is adjusted for various purposes including certain adjustments in the case of consolidated returns or for foreign income</w:t>
      </w:r>
      <w:r w:rsidR="00B712E8" w:rsidRPr="005F5F85">
        <w:rPr>
          <w:sz w:val="22"/>
          <w:szCs w:val="22"/>
        </w:rPr>
        <w:t>.</w:t>
      </w:r>
      <w:bookmarkStart w:id="1" w:name="_bookmark3"/>
      <w:bookmarkEnd w:id="1"/>
      <w:r w:rsidR="001D28B9" w:rsidRPr="005F5F85">
        <w:rPr>
          <w:sz w:val="22"/>
          <w:szCs w:val="22"/>
        </w:rPr>
        <w:t xml:space="preserve"> </w:t>
      </w:r>
    </w:p>
    <w:p w14:paraId="749D9895" w14:textId="77777777" w:rsidR="001D28B9" w:rsidRPr="005F5F85" w:rsidRDefault="001D28B9" w:rsidP="001D28B9">
      <w:pPr>
        <w:pStyle w:val="ListParagraph"/>
        <w:rPr>
          <w:rFonts w:ascii="Times New Roman" w:hAnsi="Times New Roman"/>
        </w:rPr>
      </w:pPr>
    </w:p>
    <w:p w14:paraId="24E9A373" w14:textId="51B1E539" w:rsidR="000D4091" w:rsidRPr="005F5F85" w:rsidRDefault="00AE32BE">
      <w:pPr>
        <w:pStyle w:val="ListNumber"/>
        <w:numPr>
          <w:ilvl w:val="0"/>
          <w:numId w:val="5"/>
        </w:numPr>
        <w:ind w:left="1440" w:hanging="720"/>
        <w:jc w:val="both"/>
        <w:rPr>
          <w:sz w:val="22"/>
          <w:szCs w:val="22"/>
        </w:rPr>
      </w:pPr>
      <w:r w:rsidRPr="005F5F85">
        <w:rPr>
          <w:sz w:val="22"/>
          <w:szCs w:val="22"/>
        </w:rPr>
        <w:t>The</w:t>
      </w:r>
      <w:r w:rsidR="007C7FBB" w:rsidRPr="005F5F85">
        <w:rPr>
          <w:sz w:val="22"/>
          <w:szCs w:val="22"/>
        </w:rPr>
        <w:t xml:space="preserve"> Act includes references to the </w:t>
      </w:r>
      <w:r w:rsidR="00B37A0E" w:rsidRPr="005F5F85">
        <w:rPr>
          <w:sz w:val="22"/>
          <w:szCs w:val="22"/>
        </w:rPr>
        <w:t>tax codes which provides a hierarchy for determining the</w:t>
      </w:r>
      <w:r w:rsidRPr="005F5F85">
        <w:rPr>
          <w:sz w:val="22"/>
          <w:szCs w:val="22"/>
        </w:rPr>
        <w:t xml:space="preserve"> </w:t>
      </w:r>
      <w:r w:rsidR="00A67D7C" w:rsidRPr="005F5F85">
        <w:rPr>
          <w:sz w:val="22"/>
          <w:szCs w:val="22"/>
        </w:rPr>
        <w:t>“</w:t>
      </w:r>
      <w:r w:rsidRPr="005F5F85">
        <w:rPr>
          <w:sz w:val="22"/>
          <w:szCs w:val="22"/>
        </w:rPr>
        <w:t>applicable financial statement</w:t>
      </w:r>
      <w:r w:rsidR="00B37A0E" w:rsidRPr="005F5F85">
        <w:rPr>
          <w:sz w:val="22"/>
          <w:szCs w:val="22"/>
        </w:rPr>
        <w:t>.</w:t>
      </w:r>
      <w:r w:rsidR="00A67D7C" w:rsidRPr="005F5F85">
        <w:rPr>
          <w:sz w:val="22"/>
          <w:szCs w:val="22"/>
        </w:rPr>
        <w:t>”</w:t>
      </w:r>
      <w:r w:rsidRPr="005F5F85">
        <w:rPr>
          <w:sz w:val="22"/>
          <w:szCs w:val="22"/>
        </w:rPr>
        <w:t xml:space="preserve"> </w:t>
      </w:r>
      <w:r w:rsidR="00E61702" w:rsidRPr="005F5F85">
        <w:rPr>
          <w:sz w:val="22"/>
          <w:szCs w:val="22"/>
        </w:rPr>
        <w:t>At a high level</w:t>
      </w:r>
      <w:r w:rsidR="002D08A1" w:rsidRPr="005F5F85">
        <w:rPr>
          <w:sz w:val="22"/>
          <w:szCs w:val="22"/>
        </w:rPr>
        <w:t>,</w:t>
      </w:r>
      <w:r w:rsidR="006B48E3" w:rsidRPr="005F5F85">
        <w:rPr>
          <w:sz w:val="22"/>
          <w:szCs w:val="22"/>
        </w:rPr>
        <w:t xml:space="preserve"> the first choice is</w:t>
      </w:r>
      <w:r w:rsidR="00F0151A" w:rsidRPr="005F5F85">
        <w:rPr>
          <w:sz w:val="22"/>
          <w:szCs w:val="22"/>
        </w:rPr>
        <w:t xml:space="preserve"> </w:t>
      </w:r>
      <w:r w:rsidR="00724948" w:rsidRPr="005F5F85">
        <w:rPr>
          <w:sz w:val="22"/>
          <w:szCs w:val="22"/>
        </w:rPr>
        <w:t xml:space="preserve">U.S. </w:t>
      </w:r>
      <w:r w:rsidR="00F0151A" w:rsidRPr="005F5F85">
        <w:rPr>
          <w:sz w:val="22"/>
          <w:szCs w:val="22"/>
        </w:rPr>
        <w:t xml:space="preserve">generally </w:t>
      </w:r>
      <w:r w:rsidR="00A67D7C" w:rsidRPr="005F5F85">
        <w:rPr>
          <w:sz w:val="22"/>
          <w:szCs w:val="22"/>
        </w:rPr>
        <w:t>accepted accounting principles</w:t>
      </w:r>
      <w:r w:rsidR="00F0151A" w:rsidRPr="005F5F85">
        <w:rPr>
          <w:sz w:val="22"/>
          <w:szCs w:val="22"/>
        </w:rPr>
        <w:t xml:space="preserve"> (GAAP)</w:t>
      </w:r>
      <w:r w:rsidR="006B48E3" w:rsidRPr="005F5F85">
        <w:rPr>
          <w:sz w:val="22"/>
          <w:szCs w:val="22"/>
        </w:rPr>
        <w:t xml:space="preserve"> financial </w:t>
      </w:r>
      <w:r w:rsidR="00997959" w:rsidRPr="005F5F85">
        <w:rPr>
          <w:sz w:val="22"/>
          <w:szCs w:val="22"/>
        </w:rPr>
        <w:t>statements;</w:t>
      </w:r>
      <w:r w:rsidR="006B48E3" w:rsidRPr="005F5F85">
        <w:rPr>
          <w:sz w:val="22"/>
          <w:szCs w:val="22"/>
        </w:rPr>
        <w:t xml:space="preserve"> the second choice is </w:t>
      </w:r>
      <w:r w:rsidR="00D27209" w:rsidRPr="005F5F85">
        <w:rPr>
          <w:sz w:val="22"/>
          <w:szCs w:val="22"/>
        </w:rPr>
        <w:t>international financial reporting standards (</w:t>
      </w:r>
      <w:r w:rsidR="006B48E3" w:rsidRPr="005F5F85">
        <w:rPr>
          <w:sz w:val="22"/>
          <w:szCs w:val="22"/>
        </w:rPr>
        <w:t>IFRS</w:t>
      </w:r>
      <w:r w:rsidR="00D27209" w:rsidRPr="005F5F85">
        <w:rPr>
          <w:sz w:val="22"/>
          <w:szCs w:val="22"/>
        </w:rPr>
        <w:t>)</w:t>
      </w:r>
      <w:r w:rsidR="006B48E3" w:rsidRPr="005F5F85">
        <w:rPr>
          <w:sz w:val="22"/>
          <w:szCs w:val="22"/>
        </w:rPr>
        <w:t xml:space="preserve"> financial statements</w:t>
      </w:r>
      <w:r w:rsidR="00D27209" w:rsidRPr="005F5F85">
        <w:rPr>
          <w:sz w:val="22"/>
          <w:szCs w:val="22"/>
        </w:rPr>
        <w:t>. I</w:t>
      </w:r>
      <w:r w:rsidR="00674136" w:rsidRPr="005F5F85">
        <w:rPr>
          <w:sz w:val="22"/>
          <w:szCs w:val="22"/>
        </w:rPr>
        <w:t xml:space="preserve">f </w:t>
      </w:r>
      <w:r w:rsidR="00D27209" w:rsidRPr="005F5F85">
        <w:rPr>
          <w:sz w:val="22"/>
          <w:szCs w:val="22"/>
        </w:rPr>
        <w:t xml:space="preserve">GAAP and IFRS </w:t>
      </w:r>
      <w:r w:rsidR="002D08A1" w:rsidRPr="005F5F85">
        <w:rPr>
          <w:sz w:val="22"/>
          <w:szCs w:val="22"/>
        </w:rPr>
        <w:t xml:space="preserve">financial statements </w:t>
      </w:r>
      <w:r w:rsidR="00674136" w:rsidRPr="005F5F85">
        <w:rPr>
          <w:sz w:val="22"/>
          <w:szCs w:val="22"/>
        </w:rPr>
        <w:t>are not available</w:t>
      </w:r>
      <w:r w:rsidR="00D27209" w:rsidRPr="005F5F85">
        <w:rPr>
          <w:sz w:val="22"/>
          <w:szCs w:val="22"/>
        </w:rPr>
        <w:t>,</w:t>
      </w:r>
      <w:r w:rsidR="00674136" w:rsidRPr="005F5F85">
        <w:rPr>
          <w:sz w:val="22"/>
          <w:szCs w:val="22"/>
        </w:rPr>
        <w:t xml:space="preserve"> the financial statements filed by the taxpayer with any other regulatory or government body </w:t>
      </w:r>
      <w:r w:rsidR="003F3DA5" w:rsidRPr="005F5F85">
        <w:rPr>
          <w:sz w:val="22"/>
          <w:szCs w:val="22"/>
        </w:rPr>
        <w:t>are</w:t>
      </w:r>
      <w:r w:rsidR="00674136" w:rsidRPr="005F5F85">
        <w:rPr>
          <w:sz w:val="22"/>
          <w:szCs w:val="22"/>
        </w:rPr>
        <w:t xml:space="preserve"> acceptable. </w:t>
      </w:r>
      <w:r w:rsidR="000D1D80" w:rsidRPr="00640096">
        <w:rPr>
          <w:sz w:val="22"/>
          <w:szCs w:val="22"/>
        </w:rPr>
        <w:t>If the taxpayer is part of a tax-controlled group of corporations, the group’s applicable financial statement is the applicable financial statement for each member of the group.</w:t>
      </w:r>
    </w:p>
    <w:p w14:paraId="4A36BAB9" w14:textId="77777777" w:rsidR="000D1D80" w:rsidRPr="005F5F85" w:rsidRDefault="000D1D80" w:rsidP="000D1D80">
      <w:pPr>
        <w:pStyle w:val="ListParagraph"/>
        <w:rPr>
          <w:rFonts w:ascii="Times New Roman" w:hAnsi="Times New Roman"/>
        </w:rPr>
      </w:pPr>
    </w:p>
    <w:p w14:paraId="1132DF96" w14:textId="488294F0" w:rsidR="00281B12" w:rsidRPr="005F5F85" w:rsidRDefault="000D4091">
      <w:pPr>
        <w:pStyle w:val="ListNumber"/>
        <w:numPr>
          <w:ilvl w:val="0"/>
          <w:numId w:val="5"/>
        </w:numPr>
        <w:ind w:left="1440" w:hanging="720"/>
        <w:jc w:val="both"/>
        <w:rPr>
          <w:sz w:val="22"/>
          <w:szCs w:val="22"/>
        </w:rPr>
      </w:pPr>
      <w:r w:rsidRPr="005F5F85">
        <w:rPr>
          <w:sz w:val="22"/>
          <w:szCs w:val="22"/>
        </w:rPr>
        <w:t>To determine its U</w:t>
      </w:r>
      <w:r w:rsidR="00B12F43" w:rsidRPr="005F5F85">
        <w:rPr>
          <w:sz w:val="22"/>
          <w:szCs w:val="22"/>
        </w:rPr>
        <w:t>.</w:t>
      </w:r>
      <w:r w:rsidRPr="005F5F85">
        <w:rPr>
          <w:sz w:val="22"/>
          <w:szCs w:val="22"/>
        </w:rPr>
        <w:t>S</w:t>
      </w:r>
      <w:r w:rsidR="00B12F43" w:rsidRPr="005F5F85">
        <w:rPr>
          <w:sz w:val="22"/>
          <w:szCs w:val="22"/>
        </w:rPr>
        <w:t>.</w:t>
      </w:r>
      <w:r w:rsidRPr="005F5F85">
        <w:rPr>
          <w:sz w:val="22"/>
          <w:szCs w:val="22"/>
        </w:rPr>
        <w:t xml:space="preserve"> federal income tax liability, a</w:t>
      </w:r>
      <w:r w:rsidR="00077D12" w:rsidRPr="005F5F85">
        <w:rPr>
          <w:sz w:val="22"/>
          <w:szCs w:val="22"/>
        </w:rPr>
        <w:t>n applicable</w:t>
      </w:r>
      <w:r w:rsidRPr="005F5F85">
        <w:rPr>
          <w:sz w:val="22"/>
          <w:szCs w:val="22"/>
        </w:rPr>
        <w:t xml:space="preserve"> </w:t>
      </w:r>
      <w:r w:rsidR="00D63A90" w:rsidRPr="005F5F85">
        <w:rPr>
          <w:sz w:val="22"/>
          <w:szCs w:val="22"/>
        </w:rPr>
        <w:t>corporation</w:t>
      </w:r>
      <w:r w:rsidRPr="005F5F85">
        <w:rPr>
          <w:sz w:val="22"/>
          <w:szCs w:val="22"/>
        </w:rPr>
        <w:t xml:space="preserve"> will need to compute taxes under both systems—the regular tax system and the CAMT system. The CAMT is payable to the extent the tentative CAMT exceeds the</w:t>
      </w:r>
      <w:r w:rsidR="002110C7" w:rsidRPr="005F5F85">
        <w:rPr>
          <w:sz w:val="22"/>
          <w:szCs w:val="22"/>
        </w:rPr>
        <w:t xml:space="preserve"> sum of the</w:t>
      </w:r>
      <w:r w:rsidRPr="005F5F85">
        <w:rPr>
          <w:sz w:val="22"/>
          <w:szCs w:val="22"/>
        </w:rPr>
        <w:t xml:space="preserve"> regular corporate income tax</w:t>
      </w:r>
      <w:r w:rsidR="00E32BBC" w:rsidRPr="005F5F85">
        <w:rPr>
          <w:sz w:val="22"/>
          <w:szCs w:val="22"/>
        </w:rPr>
        <w:t xml:space="preserve"> plus </w:t>
      </w:r>
      <w:r w:rsidR="00E32BBC" w:rsidRPr="005F5F85">
        <w:rPr>
          <w:rFonts w:eastAsia="Calibri"/>
          <w:sz w:val="22"/>
          <w:szCs w:val="22"/>
        </w:rPr>
        <w:t>base erosion and anti-abuse tax (</w:t>
      </w:r>
      <w:r w:rsidR="00E32BBC" w:rsidRPr="005F5F85">
        <w:rPr>
          <w:sz w:val="22"/>
          <w:szCs w:val="22"/>
        </w:rPr>
        <w:t>BEAT) liability.</w:t>
      </w:r>
      <w:r w:rsidRPr="005F5F85">
        <w:rPr>
          <w:sz w:val="22"/>
          <w:szCs w:val="22"/>
        </w:rPr>
        <w:t> </w:t>
      </w:r>
    </w:p>
    <w:p w14:paraId="040B4E32" w14:textId="77777777" w:rsidR="007D79C1" w:rsidRPr="005F5F85" w:rsidRDefault="007D79C1" w:rsidP="007D79C1">
      <w:pPr>
        <w:pStyle w:val="ListNumber"/>
        <w:numPr>
          <w:ilvl w:val="0"/>
          <w:numId w:val="0"/>
        </w:numPr>
        <w:ind w:left="1440"/>
        <w:jc w:val="both"/>
        <w:rPr>
          <w:sz w:val="22"/>
          <w:szCs w:val="22"/>
        </w:rPr>
      </w:pPr>
    </w:p>
    <w:p w14:paraId="5331AD71" w14:textId="4340AA68" w:rsidR="009E1DA2" w:rsidRPr="005F5F85" w:rsidRDefault="000D4091" w:rsidP="00000A5E">
      <w:pPr>
        <w:pStyle w:val="ListNumber"/>
        <w:numPr>
          <w:ilvl w:val="0"/>
          <w:numId w:val="5"/>
        </w:numPr>
        <w:ind w:left="1440" w:hanging="720"/>
        <w:jc w:val="both"/>
        <w:rPr>
          <w:sz w:val="22"/>
          <w:szCs w:val="22"/>
        </w:rPr>
      </w:pPr>
      <w:r w:rsidRPr="005F5F85">
        <w:rPr>
          <w:sz w:val="22"/>
          <w:szCs w:val="22"/>
        </w:rPr>
        <w:t>Any CAMT paid is available indefinitely as a credit carryover that could reduce future regular tax in future years</w:t>
      </w:r>
      <w:r w:rsidR="00C9747F" w:rsidRPr="005F5F85">
        <w:rPr>
          <w:sz w:val="22"/>
          <w:szCs w:val="22"/>
        </w:rPr>
        <w:t xml:space="preserve"> whe</w:t>
      </w:r>
      <w:r w:rsidR="00B144DC" w:rsidRPr="005F5F85">
        <w:rPr>
          <w:sz w:val="22"/>
          <w:szCs w:val="22"/>
        </w:rPr>
        <w:t xml:space="preserve">n </w:t>
      </w:r>
      <w:r w:rsidRPr="005F5F85">
        <w:rPr>
          <w:sz w:val="22"/>
          <w:szCs w:val="22"/>
        </w:rPr>
        <w:t xml:space="preserve">the regular tax liability is </w:t>
      </w:r>
      <w:proofErr w:type="gramStart"/>
      <w:r w:rsidRPr="005F5F85">
        <w:rPr>
          <w:sz w:val="22"/>
          <w:szCs w:val="22"/>
        </w:rPr>
        <w:t>in excess of</w:t>
      </w:r>
      <w:proofErr w:type="gramEnd"/>
      <w:r w:rsidRPr="005F5F85">
        <w:rPr>
          <w:sz w:val="22"/>
          <w:szCs w:val="22"/>
        </w:rPr>
        <w:t xml:space="preserve"> CAMT tax liability.</w:t>
      </w:r>
      <w:r w:rsidR="009E1DA2" w:rsidRPr="005F5F85">
        <w:rPr>
          <w:sz w:val="22"/>
          <w:szCs w:val="22"/>
        </w:rPr>
        <w:t xml:space="preserve"> That is, the CAMT tax credit can be used to reduce the regular tax but not below CAMT liability. </w:t>
      </w:r>
    </w:p>
    <w:p w14:paraId="0DBBDFC5" w14:textId="77777777" w:rsidR="00D67EF1" w:rsidRPr="005F5F85" w:rsidRDefault="00D67EF1" w:rsidP="00D67EF1">
      <w:pPr>
        <w:pStyle w:val="ListParagraph"/>
        <w:rPr>
          <w:rFonts w:ascii="Times New Roman" w:hAnsi="Times New Roman"/>
        </w:rPr>
      </w:pPr>
    </w:p>
    <w:p w14:paraId="73D3DC44" w14:textId="103C70D4" w:rsidR="00EB7731" w:rsidRPr="005F5F85" w:rsidRDefault="00801615" w:rsidP="00EB7731">
      <w:pPr>
        <w:pStyle w:val="ListNumber"/>
        <w:numPr>
          <w:ilvl w:val="0"/>
          <w:numId w:val="5"/>
        </w:numPr>
        <w:ind w:left="1440" w:hanging="720"/>
        <w:jc w:val="both"/>
        <w:rPr>
          <w:rFonts w:eastAsia="Calibri"/>
          <w:sz w:val="22"/>
          <w:szCs w:val="22"/>
        </w:rPr>
      </w:pPr>
      <w:r w:rsidRPr="005F5F85">
        <w:rPr>
          <w:sz w:val="22"/>
          <w:szCs w:val="22"/>
        </w:rPr>
        <w:t xml:space="preserve">A foreign tax credit (FTC) will reduce the tentative minimum CAMT. Note that unused FTCs can be carried forward </w:t>
      </w:r>
      <w:r w:rsidR="009D15F5" w:rsidRPr="005F5F85">
        <w:rPr>
          <w:sz w:val="22"/>
          <w:szCs w:val="22"/>
        </w:rPr>
        <w:t xml:space="preserve">for </w:t>
      </w:r>
      <w:r w:rsidRPr="005F5F85">
        <w:rPr>
          <w:sz w:val="22"/>
          <w:szCs w:val="22"/>
        </w:rPr>
        <w:t>5 years.</w:t>
      </w:r>
      <w:r w:rsidR="00EB7731" w:rsidRPr="005F5F85">
        <w:rPr>
          <w:rFonts w:eastAsia="Calibri"/>
          <w:sz w:val="22"/>
          <w:szCs w:val="22"/>
        </w:rPr>
        <w:t xml:space="preserve"> General business credits can generally</w:t>
      </w:r>
      <w:r w:rsidR="007732EF" w:rsidRPr="005F5F85">
        <w:rPr>
          <w:rFonts w:eastAsia="Calibri"/>
          <w:sz w:val="22"/>
          <w:szCs w:val="22"/>
        </w:rPr>
        <w:t xml:space="preserve"> be</w:t>
      </w:r>
      <w:r w:rsidR="00EB7731" w:rsidRPr="005F5F85">
        <w:rPr>
          <w:rFonts w:eastAsia="Calibri"/>
          <w:sz w:val="22"/>
          <w:szCs w:val="22"/>
        </w:rPr>
        <w:t xml:space="preserve"> offset up to 75% of regular and minimum tax.</w:t>
      </w:r>
    </w:p>
    <w:p w14:paraId="4724EC7F" w14:textId="21B5FFD6" w:rsidR="00FE2057" w:rsidRPr="005F5F85" w:rsidRDefault="00FE2057" w:rsidP="00EB7731">
      <w:pPr>
        <w:pStyle w:val="ListNumber"/>
        <w:numPr>
          <w:ilvl w:val="0"/>
          <w:numId w:val="0"/>
        </w:numPr>
        <w:ind w:left="1440"/>
        <w:jc w:val="both"/>
        <w:rPr>
          <w:sz w:val="22"/>
          <w:szCs w:val="22"/>
        </w:rPr>
      </w:pPr>
    </w:p>
    <w:p w14:paraId="0521D4E2" w14:textId="0490E368" w:rsidR="00472393" w:rsidRPr="005F5F85" w:rsidRDefault="008B14BB" w:rsidP="00472393">
      <w:pPr>
        <w:pStyle w:val="ListNumber"/>
        <w:tabs>
          <w:tab w:val="clear" w:pos="360"/>
        </w:tabs>
        <w:ind w:left="0" w:firstLine="0"/>
        <w:jc w:val="both"/>
        <w:rPr>
          <w:sz w:val="22"/>
          <w:szCs w:val="22"/>
        </w:rPr>
      </w:pPr>
      <w:r w:rsidRPr="005F5F85">
        <w:rPr>
          <w:sz w:val="22"/>
          <w:szCs w:val="22"/>
        </w:rPr>
        <w:t xml:space="preserve">This interpretation is focused on addressing accounting and reporting aspects of the CAMT. </w:t>
      </w:r>
      <w:r w:rsidR="00893AF8">
        <w:rPr>
          <w:sz w:val="22"/>
          <w:szCs w:val="22"/>
        </w:rPr>
        <w:t>As</w:t>
      </w:r>
      <w:r w:rsidR="00893AF8" w:rsidRPr="005F5F85">
        <w:rPr>
          <w:sz w:val="22"/>
          <w:szCs w:val="22"/>
        </w:rPr>
        <w:t xml:space="preserve"> </w:t>
      </w:r>
      <w:r w:rsidR="001C56FC" w:rsidRPr="005F5F85">
        <w:rPr>
          <w:sz w:val="22"/>
          <w:szCs w:val="22"/>
        </w:rPr>
        <w:t xml:space="preserve">most reporting entities </w:t>
      </w:r>
      <w:r w:rsidR="004104C4" w:rsidRPr="005F5F85">
        <w:rPr>
          <w:sz w:val="22"/>
          <w:szCs w:val="22"/>
        </w:rPr>
        <w:t xml:space="preserve">will </w:t>
      </w:r>
      <w:r w:rsidR="003F6F09" w:rsidRPr="005F5F85">
        <w:rPr>
          <w:sz w:val="22"/>
          <w:szCs w:val="22"/>
        </w:rPr>
        <w:t>not</w:t>
      </w:r>
      <w:r w:rsidR="004104C4" w:rsidRPr="005F5F85">
        <w:rPr>
          <w:sz w:val="22"/>
          <w:szCs w:val="22"/>
        </w:rPr>
        <w:t xml:space="preserve"> be </w:t>
      </w:r>
      <w:r w:rsidR="001C56FC" w:rsidRPr="005F5F85">
        <w:rPr>
          <w:sz w:val="22"/>
          <w:szCs w:val="22"/>
        </w:rPr>
        <w:t xml:space="preserve">above the applicable </w:t>
      </w:r>
      <w:r w:rsidR="00BF3381" w:rsidRPr="005F5F85">
        <w:rPr>
          <w:sz w:val="22"/>
          <w:szCs w:val="22"/>
        </w:rPr>
        <w:t xml:space="preserve">corporation threshold </w:t>
      </w:r>
      <w:r w:rsidR="00893AF8">
        <w:rPr>
          <w:sz w:val="22"/>
          <w:szCs w:val="22"/>
        </w:rPr>
        <w:t>and will not be subject to</w:t>
      </w:r>
      <w:r w:rsidR="00BF3381" w:rsidRPr="005F5F85">
        <w:rPr>
          <w:sz w:val="22"/>
          <w:szCs w:val="22"/>
        </w:rPr>
        <w:t xml:space="preserve"> the CAMT </w:t>
      </w:r>
      <w:r w:rsidR="00B00BFD" w:rsidRPr="005F5F85">
        <w:rPr>
          <w:sz w:val="22"/>
          <w:szCs w:val="22"/>
        </w:rPr>
        <w:t>calculation, this</w:t>
      </w:r>
      <w:r w:rsidR="009D65CD" w:rsidRPr="005F5F85">
        <w:rPr>
          <w:sz w:val="22"/>
          <w:szCs w:val="22"/>
        </w:rPr>
        <w:t xml:space="preserve"> guidance </w:t>
      </w:r>
      <w:r w:rsidR="002C1262" w:rsidRPr="005F5F85">
        <w:rPr>
          <w:sz w:val="22"/>
          <w:szCs w:val="22"/>
        </w:rPr>
        <w:t>has been d</w:t>
      </w:r>
      <w:r w:rsidR="00B00BFD" w:rsidRPr="005F5F85">
        <w:rPr>
          <w:sz w:val="22"/>
          <w:szCs w:val="22"/>
        </w:rPr>
        <w:t xml:space="preserve">eveloped </w:t>
      </w:r>
      <w:r w:rsidR="009D65CD" w:rsidRPr="005F5F85">
        <w:rPr>
          <w:sz w:val="22"/>
          <w:szCs w:val="22"/>
        </w:rPr>
        <w:t>as an interpretation</w:t>
      </w:r>
      <w:r w:rsidR="00893AF8">
        <w:rPr>
          <w:sz w:val="22"/>
          <w:szCs w:val="22"/>
        </w:rPr>
        <w:t xml:space="preserve">. </w:t>
      </w:r>
      <w:r w:rsidR="00472393" w:rsidRPr="005F5F85">
        <w:rPr>
          <w:sz w:val="22"/>
          <w:szCs w:val="22"/>
        </w:rPr>
        <w:t>While most insurers will not be applicable corporations, this interpretation provides comprehensive statutory accounting guidance for all reporting entities with respect to the CAMT. This interpretation incorporates a principles-based approach for purposes of statutory accounting for the CAMT.</w:t>
      </w:r>
    </w:p>
    <w:p w14:paraId="3EB4FDDF" w14:textId="77777777" w:rsidR="00595698" w:rsidRPr="005F5F85" w:rsidRDefault="00595698" w:rsidP="00595698">
      <w:pPr>
        <w:pStyle w:val="ListNumber"/>
        <w:numPr>
          <w:ilvl w:val="0"/>
          <w:numId w:val="0"/>
        </w:numPr>
        <w:jc w:val="both"/>
        <w:rPr>
          <w:sz w:val="22"/>
          <w:szCs w:val="22"/>
        </w:rPr>
      </w:pPr>
    </w:p>
    <w:p w14:paraId="6DF1919C" w14:textId="1668A8B2" w:rsidR="00306BF8" w:rsidRPr="005F5F85" w:rsidRDefault="00595698">
      <w:pPr>
        <w:pStyle w:val="ListNumber"/>
        <w:tabs>
          <w:tab w:val="clear" w:pos="360"/>
        </w:tabs>
        <w:ind w:left="0" w:firstLine="0"/>
        <w:jc w:val="both"/>
        <w:rPr>
          <w:sz w:val="22"/>
          <w:szCs w:val="22"/>
        </w:rPr>
      </w:pPr>
      <w:r w:rsidRPr="005F5F85">
        <w:rPr>
          <w:sz w:val="22"/>
          <w:szCs w:val="22"/>
        </w:rPr>
        <w:t xml:space="preserve">Although it is likely that most insurers that are applicable corporations will be members of a tax-controlled group of corporations and included in a consolidated </w:t>
      </w:r>
      <w:r w:rsidR="00AA4345" w:rsidRPr="005F5F85">
        <w:rPr>
          <w:sz w:val="22"/>
          <w:szCs w:val="22"/>
        </w:rPr>
        <w:t>f</w:t>
      </w:r>
      <w:r w:rsidRPr="005F5F85">
        <w:rPr>
          <w:sz w:val="22"/>
          <w:szCs w:val="22"/>
        </w:rPr>
        <w:t>ederal income tax return with other members of the group, this interpretation applies to all reporting entities</w:t>
      </w:r>
      <w:r w:rsidR="00893AF8">
        <w:rPr>
          <w:sz w:val="22"/>
          <w:szCs w:val="22"/>
        </w:rPr>
        <w:t xml:space="preserve"> subject to the CAMT</w:t>
      </w:r>
      <w:r w:rsidRPr="005F5F85">
        <w:rPr>
          <w:sz w:val="22"/>
          <w:szCs w:val="22"/>
        </w:rPr>
        <w:t>, whether an unaffiliated corporation</w:t>
      </w:r>
      <w:r w:rsidRPr="005F5F85">
        <w:rPr>
          <w:rStyle w:val="FootnoteReference"/>
          <w:sz w:val="22"/>
          <w:szCs w:val="22"/>
        </w:rPr>
        <w:footnoteReference w:id="2"/>
      </w:r>
      <w:r w:rsidRPr="005F5F85">
        <w:rPr>
          <w:sz w:val="22"/>
          <w:szCs w:val="22"/>
        </w:rPr>
        <w:t xml:space="preserve"> that files a separate tax return, a member of a tax-controlled group not included in the common parent company’s consolidated tax return that files a separate company tax return or a separate consolidated tax return with other members of the group, or as a member of the common parent’s consolidated return group.  </w:t>
      </w:r>
    </w:p>
    <w:p w14:paraId="6DAB7843" w14:textId="77777777" w:rsidR="007A379B" w:rsidRPr="005F5F85" w:rsidRDefault="007A379B" w:rsidP="007A379B">
      <w:pPr>
        <w:pStyle w:val="ListParagraph"/>
        <w:rPr>
          <w:rFonts w:ascii="Times New Roman" w:hAnsi="Times New Roman"/>
        </w:rPr>
      </w:pPr>
    </w:p>
    <w:p w14:paraId="59E22617" w14:textId="3CF79CB9" w:rsidR="00B24334" w:rsidRPr="005F5F85" w:rsidRDefault="00B24334" w:rsidP="00B24334">
      <w:pPr>
        <w:pStyle w:val="ListNumber"/>
        <w:tabs>
          <w:tab w:val="clear" w:pos="360"/>
        </w:tabs>
        <w:ind w:left="0" w:firstLine="0"/>
        <w:jc w:val="both"/>
        <w:rPr>
          <w:sz w:val="22"/>
          <w:szCs w:val="22"/>
        </w:rPr>
      </w:pPr>
      <w:r w:rsidRPr="005F5F85">
        <w:rPr>
          <w:sz w:val="22"/>
          <w:szCs w:val="22"/>
        </w:rPr>
        <w:t>For reporting entities that are included in a consolidated tax return, the fundamental statutory tax accounting issue for the CAMT is how to reflect in the reporting entity’s separate company financial statements a portion of what is essentially an add-on tax for a consolidated tax return group that is based on the group’s financial statement income</w:t>
      </w:r>
      <w:r w:rsidR="00893AF8">
        <w:rPr>
          <w:sz w:val="22"/>
          <w:szCs w:val="22"/>
        </w:rPr>
        <w:t xml:space="preserve"> and group tax rate</w:t>
      </w:r>
      <w:r w:rsidRPr="005F5F85">
        <w:rPr>
          <w:sz w:val="22"/>
          <w:szCs w:val="22"/>
        </w:rPr>
        <w:t xml:space="preserve">.  Even if a member of a tax-controlled group of corporations files its own separate </w:t>
      </w:r>
      <w:r w:rsidR="00231BDB" w:rsidRPr="005F5F85">
        <w:rPr>
          <w:sz w:val="22"/>
          <w:szCs w:val="22"/>
        </w:rPr>
        <w:t xml:space="preserve">federal </w:t>
      </w:r>
      <w:r w:rsidRPr="005F5F85">
        <w:rPr>
          <w:sz w:val="22"/>
          <w:szCs w:val="22"/>
        </w:rPr>
        <w:t>income tax return, the tax law does not provide for a separate company scope determination, but rather looks to the tax-controlled group for applicable corporation status and determination of the applicable financial statement</w:t>
      </w:r>
      <w:r w:rsidR="00E22C7E" w:rsidRPr="005F5F85">
        <w:rPr>
          <w:sz w:val="22"/>
          <w:szCs w:val="22"/>
        </w:rPr>
        <w:t xml:space="preserve">. </w:t>
      </w:r>
    </w:p>
    <w:p w14:paraId="5728D9E2" w14:textId="1EB5F54D" w:rsidR="003C59C7" w:rsidRPr="005F5F85" w:rsidRDefault="00F62C9E" w:rsidP="0045369C">
      <w:pPr>
        <w:pStyle w:val="Heading3"/>
        <w:spacing w:after="220"/>
        <w:rPr>
          <w:rFonts w:ascii="Times New Roman" w:hAnsi="Times New Roman" w:cs="Times New Roman"/>
          <w:sz w:val="22"/>
          <w:szCs w:val="22"/>
        </w:rPr>
      </w:pPr>
      <w:r>
        <w:rPr>
          <w:rFonts w:ascii="Times New Roman" w:hAnsi="Times New Roman" w:cs="Times New Roman"/>
          <w:sz w:val="22"/>
          <w:szCs w:val="22"/>
        </w:rPr>
        <w:lastRenderedPageBreak/>
        <w:t>I</w:t>
      </w:r>
      <w:r w:rsidR="003C59C7" w:rsidRPr="005F5F85">
        <w:rPr>
          <w:rFonts w:ascii="Times New Roman" w:hAnsi="Times New Roman" w:cs="Times New Roman"/>
          <w:sz w:val="22"/>
          <w:szCs w:val="22"/>
        </w:rPr>
        <w:t xml:space="preserve">NT </w:t>
      </w:r>
      <w:r w:rsidR="0065378F">
        <w:rPr>
          <w:rFonts w:ascii="Times New Roman" w:hAnsi="Times New Roman" w:cs="Times New Roman"/>
          <w:sz w:val="22"/>
          <w:szCs w:val="22"/>
        </w:rPr>
        <w:t>23-03T</w:t>
      </w:r>
      <w:r w:rsidR="003C59C7" w:rsidRPr="005F5F85">
        <w:rPr>
          <w:rFonts w:ascii="Times New Roman" w:hAnsi="Times New Roman" w:cs="Times New Roman"/>
          <w:sz w:val="22"/>
          <w:szCs w:val="22"/>
        </w:rPr>
        <w:t xml:space="preserve"> Discussion</w:t>
      </w:r>
    </w:p>
    <w:p w14:paraId="553B9C73" w14:textId="4F9B7CD9" w:rsidR="003402A6" w:rsidRPr="005F5F85" w:rsidRDefault="003402A6" w:rsidP="00812FE2">
      <w:pPr>
        <w:pStyle w:val="ListNumber"/>
        <w:tabs>
          <w:tab w:val="clear" w:pos="360"/>
        </w:tabs>
        <w:spacing w:after="220"/>
        <w:ind w:left="0" w:firstLine="0"/>
        <w:jc w:val="both"/>
        <w:rPr>
          <w:sz w:val="22"/>
          <w:szCs w:val="22"/>
        </w:rPr>
      </w:pPr>
      <w:r w:rsidRPr="001974D3">
        <w:rPr>
          <w:sz w:val="22"/>
          <w:szCs w:val="22"/>
        </w:rPr>
        <w:t xml:space="preserve">The </w:t>
      </w:r>
      <w:r w:rsidR="00A40F90" w:rsidRPr="001974D3">
        <w:rPr>
          <w:sz w:val="22"/>
          <w:szCs w:val="22"/>
        </w:rPr>
        <w:t xml:space="preserve">discussion along with the </w:t>
      </w:r>
      <w:r w:rsidR="00500824" w:rsidRPr="001974D3">
        <w:rPr>
          <w:sz w:val="22"/>
          <w:szCs w:val="22"/>
        </w:rPr>
        <w:t xml:space="preserve">Statutory Accounting Principles (E) </w:t>
      </w:r>
      <w:r w:rsidRPr="001974D3">
        <w:rPr>
          <w:sz w:val="22"/>
          <w:szCs w:val="22"/>
        </w:rPr>
        <w:t xml:space="preserve">Working Group </w:t>
      </w:r>
      <w:r w:rsidR="00A3662C" w:rsidRPr="001974D3">
        <w:rPr>
          <w:sz w:val="22"/>
          <w:szCs w:val="22"/>
        </w:rPr>
        <w:t xml:space="preserve">tentative </w:t>
      </w:r>
      <w:r w:rsidRPr="001974D3">
        <w:rPr>
          <w:sz w:val="22"/>
          <w:szCs w:val="22"/>
        </w:rPr>
        <w:t>consensuses are included below.</w:t>
      </w:r>
    </w:p>
    <w:p w14:paraId="0D93A6D2" w14:textId="46DFF96C" w:rsidR="009E4823" w:rsidRPr="000953ED" w:rsidRDefault="009E4823" w:rsidP="009E4823">
      <w:pPr>
        <w:pStyle w:val="ListNumber"/>
        <w:numPr>
          <w:ilvl w:val="0"/>
          <w:numId w:val="0"/>
        </w:numPr>
        <w:jc w:val="both"/>
        <w:rPr>
          <w:b/>
          <w:bCs/>
          <w:sz w:val="22"/>
          <w:szCs w:val="22"/>
        </w:rPr>
      </w:pPr>
      <w:r w:rsidRPr="000953ED">
        <w:rPr>
          <w:b/>
          <w:bCs/>
          <w:sz w:val="22"/>
          <w:szCs w:val="22"/>
        </w:rPr>
        <w:t>Categories of Reporting Entities</w:t>
      </w:r>
    </w:p>
    <w:p w14:paraId="1EDB7997" w14:textId="77777777" w:rsidR="009E4823" w:rsidRPr="000953ED" w:rsidRDefault="009E4823" w:rsidP="009E4823">
      <w:pPr>
        <w:pStyle w:val="ListNumber"/>
        <w:numPr>
          <w:ilvl w:val="0"/>
          <w:numId w:val="0"/>
        </w:numPr>
        <w:jc w:val="both"/>
        <w:rPr>
          <w:sz w:val="22"/>
          <w:szCs w:val="22"/>
          <w:u w:val="single"/>
        </w:rPr>
      </w:pPr>
    </w:p>
    <w:p w14:paraId="74736C0D" w14:textId="2989AFC6" w:rsidR="009E4823" w:rsidRDefault="009E4823" w:rsidP="002D3CD3">
      <w:pPr>
        <w:pStyle w:val="ListNumber"/>
        <w:tabs>
          <w:tab w:val="clear" w:pos="360"/>
        </w:tabs>
        <w:ind w:left="0" w:firstLine="0"/>
        <w:jc w:val="both"/>
        <w:rPr>
          <w:sz w:val="22"/>
          <w:szCs w:val="22"/>
        </w:rPr>
      </w:pPr>
      <w:r w:rsidRPr="000953ED">
        <w:rPr>
          <w:sz w:val="22"/>
          <w:szCs w:val="22"/>
        </w:rPr>
        <w:t>In an annual determination</w:t>
      </w:r>
      <w:r w:rsidR="002D3CD3" w:rsidRPr="000953ED">
        <w:rPr>
          <w:sz w:val="22"/>
          <w:szCs w:val="22"/>
        </w:rPr>
        <w:t xml:space="preserve"> of applicable corporation status</w:t>
      </w:r>
      <w:r w:rsidRPr="000953ED">
        <w:rPr>
          <w:sz w:val="22"/>
          <w:szCs w:val="22"/>
        </w:rPr>
        <w:t xml:space="preserve">, all reporting entities are separated into </w:t>
      </w:r>
      <w:r w:rsidR="0090476B" w:rsidRPr="000953ED">
        <w:rPr>
          <w:sz w:val="22"/>
          <w:szCs w:val="22"/>
        </w:rPr>
        <w:t xml:space="preserve">one of the following </w:t>
      </w:r>
      <w:r w:rsidRPr="000953ED">
        <w:rPr>
          <w:sz w:val="22"/>
          <w:szCs w:val="22"/>
        </w:rPr>
        <w:t>categories</w:t>
      </w:r>
      <w:r w:rsidR="00A40F90">
        <w:rPr>
          <w:sz w:val="22"/>
          <w:szCs w:val="22"/>
        </w:rPr>
        <w:t xml:space="preserve">: </w:t>
      </w:r>
    </w:p>
    <w:p w14:paraId="3DC8ADC8" w14:textId="77777777" w:rsidR="00A40F90" w:rsidRDefault="00A40F90" w:rsidP="00A40F90">
      <w:pPr>
        <w:pStyle w:val="ListNumber"/>
        <w:numPr>
          <w:ilvl w:val="0"/>
          <w:numId w:val="0"/>
        </w:numPr>
        <w:ind w:left="720"/>
        <w:jc w:val="both"/>
        <w:rPr>
          <w:sz w:val="22"/>
          <w:szCs w:val="22"/>
        </w:rPr>
      </w:pPr>
    </w:p>
    <w:p w14:paraId="125ECF77" w14:textId="4D7D6BCC" w:rsidR="00A40F90" w:rsidRDefault="00A40F90" w:rsidP="002D1AD8">
      <w:pPr>
        <w:pStyle w:val="ListNumber"/>
        <w:numPr>
          <w:ilvl w:val="0"/>
          <w:numId w:val="10"/>
        </w:numPr>
        <w:spacing w:after="220"/>
        <w:ind w:hanging="720"/>
        <w:jc w:val="both"/>
        <w:rPr>
          <w:sz w:val="22"/>
          <w:szCs w:val="22"/>
        </w:rPr>
      </w:pPr>
      <w:r>
        <w:rPr>
          <w:sz w:val="22"/>
          <w:szCs w:val="22"/>
        </w:rPr>
        <w:t xml:space="preserve">Nonapplicable </w:t>
      </w:r>
      <w:r w:rsidR="00BE782D">
        <w:rPr>
          <w:sz w:val="22"/>
          <w:szCs w:val="22"/>
        </w:rPr>
        <w:t>r</w:t>
      </w:r>
      <w:r>
        <w:rPr>
          <w:sz w:val="22"/>
          <w:szCs w:val="22"/>
        </w:rPr>
        <w:t xml:space="preserve">eporting </w:t>
      </w:r>
      <w:r w:rsidR="00BE782D">
        <w:rPr>
          <w:sz w:val="22"/>
          <w:szCs w:val="22"/>
        </w:rPr>
        <w:t>e</w:t>
      </w:r>
      <w:r>
        <w:rPr>
          <w:sz w:val="22"/>
          <w:szCs w:val="22"/>
        </w:rPr>
        <w:t>ntities</w:t>
      </w:r>
    </w:p>
    <w:p w14:paraId="54906829" w14:textId="57482FFC" w:rsidR="0033721D" w:rsidRPr="00640096" w:rsidRDefault="0033721D" w:rsidP="002D1AD8">
      <w:pPr>
        <w:pStyle w:val="ListNumber"/>
        <w:numPr>
          <w:ilvl w:val="0"/>
          <w:numId w:val="10"/>
        </w:numPr>
        <w:spacing w:after="220"/>
        <w:ind w:hanging="720"/>
        <w:jc w:val="both"/>
        <w:rPr>
          <w:sz w:val="22"/>
          <w:szCs w:val="22"/>
        </w:rPr>
      </w:pPr>
      <w:r>
        <w:rPr>
          <w:sz w:val="22"/>
          <w:szCs w:val="22"/>
        </w:rPr>
        <w:t xml:space="preserve">Applicable </w:t>
      </w:r>
      <w:r w:rsidR="00BE782D">
        <w:rPr>
          <w:sz w:val="22"/>
          <w:szCs w:val="22"/>
        </w:rPr>
        <w:t>r</w:t>
      </w:r>
      <w:r>
        <w:rPr>
          <w:sz w:val="22"/>
          <w:szCs w:val="22"/>
        </w:rPr>
        <w:t xml:space="preserve">eporting </w:t>
      </w:r>
      <w:r w:rsidR="00BE782D">
        <w:rPr>
          <w:sz w:val="22"/>
          <w:szCs w:val="22"/>
        </w:rPr>
        <w:t>e</w:t>
      </w:r>
      <w:r>
        <w:rPr>
          <w:sz w:val="22"/>
          <w:szCs w:val="22"/>
        </w:rPr>
        <w:t>ntities</w:t>
      </w:r>
    </w:p>
    <w:p w14:paraId="5D4891D1" w14:textId="54B95822" w:rsidR="00A40F90" w:rsidRDefault="00A40F90" w:rsidP="002D1AD8">
      <w:pPr>
        <w:pStyle w:val="ListNumber"/>
        <w:numPr>
          <w:ilvl w:val="0"/>
          <w:numId w:val="10"/>
        </w:numPr>
        <w:spacing w:after="220"/>
        <w:ind w:hanging="720"/>
        <w:jc w:val="both"/>
        <w:rPr>
          <w:sz w:val="22"/>
          <w:szCs w:val="22"/>
        </w:rPr>
      </w:pPr>
      <w:r>
        <w:rPr>
          <w:sz w:val="22"/>
          <w:szCs w:val="22"/>
        </w:rPr>
        <w:t xml:space="preserve">Applicable </w:t>
      </w:r>
      <w:r w:rsidR="00BE782D">
        <w:rPr>
          <w:sz w:val="22"/>
          <w:szCs w:val="22"/>
        </w:rPr>
        <w:t>r</w:t>
      </w:r>
      <w:r>
        <w:rPr>
          <w:sz w:val="22"/>
          <w:szCs w:val="22"/>
        </w:rPr>
        <w:t xml:space="preserve">eporting </w:t>
      </w:r>
      <w:r w:rsidR="00BE782D">
        <w:rPr>
          <w:sz w:val="22"/>
          <w:szCs w:val="22"/>
        </w:rPr>
        <w:t>e</w:t>
      </w:r>
      <w:r>
        <w:rPr>
          <w:sz w:val="22"/>
          <w:szCs w:val="22"/>
        </w:rPr>
        <w:t xml:space="preserve">ntities with </w:t>
      </w:r>
      <w:r w:rsidR="00BE782D">
        <w:rPr>
          <w:sz w:val="22"/>
          <w:szCs w:val="22"/>
        </w:rPr>
        <w:t>t</w:t>
      </w:r>
      <w:r>
        <w:rPr>
          <w:sz w:val="22"/>
          <w:szCs w:val="22"/>
        </w:rPr>
        <w:t xml:space="preserve">ax </w:t>
      </w:r>
      <w:r w:rsidR="00BE782D">
        <w:rPr>
          <w:sz w:val="22"/>
          <w:szCs w:val="22"/>
        </w:rPr>
        <w:t>s</w:t>
      </w:r>
      <w:r>
        <w:rPr>
          <w:sz w:val="22"/>
          <w:szCs w:val="22"/>
        </w:rPr>
        <w:t xml:space="preserve">haring </w:t>
      </w:r>
      <w:r w:rsidR="00BE782D">
        <w:rPr>
          <w:sz w:val="22"/>
          <w:szCs w:val="22"/>
        </w:rPr>
        <w:t>a</w:t>
      </w:r>
      <w:r>
        <w:rPr>
          <w:sz w:val="22"/>
          <w:szCs w:val="22"/>
        </w:rPr>
        <w:t xml:space="preserve">greement (TSA) </w:t>
      </w:r>
      <w:r w:rsidR="000D0024">
        <w:rPr>
          <w:sz w:val="22"/>
          <w:szCs w:val="22"/>
        </w:rPr>
        <w:t>e</w:t>
      </w:r>
      <w:r>
        <w:rPr>
          <w:sz w:val="22"/>
          <w:szCs w:val="22"/>
        </w:rPr>
        <w:t>xclusions</w:t>
      </w:r>
    </w:p>
    <w:p w14:paraId="636CF13C" w14:textId="77777777" w:rsidR="002D3CD3" w:rsidRPr="00640096" w:rsidRDefault="002D3CD3" w:rsidP="002D3CD3">
      <w:pPr>
        <w:pStyle w:val="ListNumber"/>
        <w:numPr>
          <w:ilvl w:val="0"/>
          <w:numId w:val="0"/>
        </w:numPr>
        <w:jc w:val="both"/>
        <w:rPr>
          <w:sz w:val="22"/>
          <w:szCs w:val="22"/>
        </w:rPr>
      </w:pPr>
    </w:p>
    <w:p w14:paraId="41F31211" w14:textId="274A2DF4" w:rsidR="003E5112" w:rsidRPr="002F38F9" w:rsidRDefault="003E5112">
      <w:pPr>
        <w:pStyle w:val="ListNumber"/>
        <w:numPr>
          <w:ilvl w:val="0"/>
          <w:numId w:val="0"/>
        </w:numPr>
        <w:jc w:val="both"/>
        <w:rPr>
          <w:i/>
          <w:iCs/>
          <w:sz w:val="22"/>
          <w:szCs w:val="22"/>
        </w:rPr>
      </w:pPr>
      <w:r w:rsidRPr="002F38F9">
        <w:rPr>
          <w:i/>
          <w:iCs/>
          <w:sz w:val="22"/>
          <w:szCs w:val="22"/>
        </w:rPr>
        <w:t xml:space="preserve">Nonapplicable </w:t>
      </w:r>
      <w:r w:rsidR="00B178F5" w:rsidRPr="002F38F9">
        <w:rPr>
          <w:i/>
          <w:iCs/>
          <w:sz w:val="22"/>
          <w:szCs w:val="22"/>
        </w:rPr>
        <w:t>R</w:t>
      </w:r>
      <w:r w:rsidRPr="002F38F9">
        <w:rPr>
          <w:i/>
          <w:iCs/>
          <w:sz w:val="22"/>
          <w:szCs w:val="22"/>
        </w:rPr>
        <w:t xml:space="preserve">eporting </w:t>
      </w:r>
      <w:r w:rsidR="00B178F5" w:rsidRPr="002F38F9">
        <w:rPr>
          <w:i/>
          <w:iCs/>
          <w:sz w:val="22"/>
          <w:szCs w:val="22"/>
        </w:rPr>
        <w:t>E</w:t>
      </w:r>
      <w:r w:rsidRPr="002F38F9">
        <w:rPr>
          <w:i/>
          <w:iCs/>
          <w:sz w:val="22"/>
          <w:szCs w:val="22"/>
        </w:rPr>
        <w:t xml:space="preserve">ntities </w:t>
      </w:r>
    </w:p>
    <w:p w14:paraId="5B98D4A1" w14:textId="77777777" w:rsidR="003E66CB" w:rsidRPr="000953ED" w:rsidRDefault="003E66CB" w:rsidP="003E66CB">
      <w:pPr>
        <w:pStyle w:val="ListNumber"/>
        <w:numPr>
          <w:ilvl w:val="0"/>
          <w:numId w:val="0"/>
        </w:numPr>
        <w:jc w:val="both"/>
        <w:rPr>
          <w:sz w:val="22"/>
          <w:szCs w:val="22"/>
        </w:rPr>
      </w:pPr>
    </w:p>
    <w:p w14:paraId="3B9C13EA" w14:textId="20945393" w:rsidR="00504213" w:rsidRDefault="00BC3508" w:rsidP="009E4823">
      <w:pPr>
        <w:pStyle w:val="ListNumber"/>
        <w:tabs>
          <w:tab w:val="clear" w:pos="360"/>
        </w:tabs>
        <w:ind w:left="0" w:firstLine="0"/>
        <w:jc w:val="both"/>
        <w:rPr>
          <w:sz w:val="22"/>
          <w:szCs w:val="22"/>
        </w:rPr>
      </w:pPr>
      <w:r w:rsidRPr="000953ED">
        <w:rPr>
          <w:sz w:val="22"/>
          <w:szCs w:val="22"/>
        </w:rPr>
        <w:t xml:space="preserve"> </w:t>
      </w:r>
      <w:r w:rsidR="00504213">
        <w:rPr>
          <w:sz w:val="22"/>
          <w:szCs w:val="22"/>
        </w:rPr>
        <w:t>Nonapplicable reporting entities are reporting entities that do not reasonably expect to be an applicable corporation</w:t>
      </w:r>
      <w:r w:rsidR="0033721D">
        <w:rPr>
          <w:sz w:val="22"/>
          <w:szCs w:val="22"/>
        </w:rPr>
        <w:t xml:space="preserve"> </w:t>
      </w:r>
      <w:r w:rsidR="00CC6A12">
        <w:rPr>
          <w:sz w:val="22"/>
          <w:szCs w:val="22"/>
        </w:rPr>
        <w:t xml:space="preserve">either </w:t>
      </w:r>
      <w:r w:rsidR="0033721D">
        <w:rPr>
          <w:sz w:val="22"/>
          <w:szCs w:val="22"/>
        </w:rPr>
        <w:t>as a member of a tax-controlled group of corporations</w:t>
      </w:r>
      <w:r w:rsidR="0033721D">
        <w:rPr>
          <w:rStyle w:val="FootnoteReference"/>
          <w:sz w:val="22"/>
          <w:szCs w:val="22"/>
        </w:rPr>
        <w:footnoteReference w:id="3"/>
      </w:r>
      <w:r w:rsidR="0033721D">
        <w:rPr>
          <w:sz w:val="22"/>
          <w:szCs w:val="22"/>
        </w:rPr>
        <w:t xml:space="preserve"> or individually as an unaffiliated corporation,</w:t>
      </w:r>
      <w:r w:rsidR="00504213">
        <w:rPr>
          <w:sz w:val="22"/>
          <w:szCs w:val="22"/>
        </w:rPr>
        <w:t xml:space="preserve"> for the taxable year</w:t>
      </w:r>
      <w:r w:rsidR="0033721D">
        <w:rPr>
          <w:sz w:val="22"/>
          <w:szCs w:val="22"/>
        </w:rPr>
        <w:t xml:space="preserve"> that </w:t>
      </w:r>
      <w:r w:rsidR="00504213">
        <w:rPr>
          <w:sz w:val="22"/>
          <w:szCs w:val="22"/>
        </w:rPr>
        <w:t>includes the current reporting period</w:t>
      </w:r>
      <w:r w:rsidR="0033721D">
        <w:rPr>
          <w:sz w:val="22"/>
          <w:szCs w:val="22"/>
        </w:rPr>
        <w:t>. Nonapplicable reporting entities</w:t>
      </w:r>
      <w:r w:rsidR="00504213">
        <w:rPr>
          <w:sz w:val="22"/>
          <w:szCs w:val="22"/>
        </w:rPr>
        <w:t xml:space="preserve"> are not required to calculate or recognize </w:t>
      </w:r>
      <w:r w:rsidR="00CC6A12">
        <w:rPr>
          <w:sz w:val="22"/>
          <w:szCs w:val="22"/>
        </w:rPr>
        <w:t xml:space="preserve">a payable for </w:t>
      </w:r>
      <w:r w:rsidR="00504213">
        <w:rPr>
          <w:sz w:val="22"/>
          <w:szCs w:val="22"/>
        </w:rPr>
        <w:t>CAMT</w:t>
      </w:r>
      <w:r w:rsidR="008D1A8D">
        <w:rPr>
          <w:sz w:val="22"/>
          <w:szCs w:val="22"/>
        </w:rPr>
        <w:t xml:space="preserve">. </w:t>
      </w:r>
      <w:r w:rsidR="00CC6A12">
        <w:rPr>
          <w:sz w:val="22"/>
          <w:szCs w:val="22"/>
        </w:rPr>
        <w:t xml:space="preserve">If a reporting entity is not subject to pay CAMT, then they will have no CAMT credit carryforward. </w:t>
      </w:r>
      <w:r w:rsidR="00931210">
        <w:rPr>
          <w:sz w:val="22"/>
          <w:szCs w:val="22"/>
        </w:rPr>
        <w:t>For</w:t>
      </w:r>
      <w:r w:rsidR="00CC6A12">
        <w:rPr>
          <w:sz w:val="22"/>
          <w:szCs w:val="22"/>
        </w:rPr>
        <w:t xml:space="preserve"> nonapplicable reporting entit</w:t>
      </w:r>
      <w:r w:rsidR="0098788A">
        <w:rPr>
          <w:sz w:val="22"/>
          <w:szCs w:val="22"/>
        </w:rPr>
        <w:t>ies</w:t>
      </w:r>
      <w:r w:rsidR="00CC6A12">
        <w:rPr>
          <w:sz w:val="22"/>
          <w:szCs w:val="22"/>
        </w:rPr>
        <w:t>, further assessment</w:t>
      </w:r>
      <w:r w:rsidR="00193093">
        <w:rPr>
          <w:sz w:val="22"/>
          <w:szCs w:val="22"/>
        </w:rPr>
        <w:t xml:space="preserve"> of the CAMT</w:t>
      </w:r>
      <w:r w:rsidR="00CC6A12">
        <w:rPr>
          <w:sz w:val="22"/>
          <w:szCs w:val="22"/>
        </w:rPr>
        <w:t xml:space="preserve"> is not </w:t>
      </w:r>
      <w:r w:rsidR="007B02BD">
        <w:rPr>
          <w:sz w:val="22"/>
          <w:szCs w:val="22"/>
        </w:rPr>
        <w:t>required</w:t>
      </w:r>
      <w:r w:rsidR="00D444D6">
        <w:rPr>
          <w:sz w:val="22"/>
          <w:szCs w:val="22"/>
        </w:rPr>
        <w:t xml:space="preserve"> for current or deferred tax computations</w:t>
      </w:r>
      <w:r w:rsidR="007B02BD">
        <w:rPr>
          <w:sz w:val="22"/>
          <w:szCs w:val="22"/>
        </w:rPr>
        <w:t>,</w:t>
      </w:r>
      <w:r w:rsidR="00CC6A12">
        <w:rPr>
          <w:sz w:val="22"/>
          <w:szCs w:val="22"/>
        </w:rPr>
        <w:t xml:space="preserve"> and the remaining </w:t>
      </w:r>
      <w:r w:rsidR="007B02BD">
        <w:rPr>
          <w:sz w:val="22"/>
          <w:szCs w:val="22"/>
        </w:rPr>
        <w:t xml:space="preserve">accounting </w:t>
      </w:r>
      <w:r w:rsidR="00CC6A12">
        <w:rPr>
          <w:sz w:val="22"/>
          <w:szCs w:val="22"/>
        </w:rPr>
        <w:t>components of the interpretation</w:t>
      </w:r>
      <w:r w:rsidR="007B02BD">
        <w:rPr>
          <w:sz w:val="22"/>
          <w:szCs w:val="22"/>
        </w:rPr>
        <w:t xml:space="preserve"> </w:t>
      </w:r>
      <w:r w:rsidR="00CC6A12">
        <w:rPr>
          <w:sz w:val="22"/>
          <w:szCs w:val="22"/>
        </w:rPr>
        <w:t xml:space="preserve">do not apply. </w:t>
      </w:r>
      <w:r w:rsidR="007B02BD">
        <w:rPr>
          <w:sz w:val="22"/>
          <w:szCs w:val="22"/>
        </w:rPr>
        <w:t xml:space="preserve">Applicable disclosures are required. </w:t>
      </w:r>
    </w:p>
    <w:p w14:paraId="371F9872" w14:textId="77777777" w:rsidR="00504213" w:rsidRDefault="00504213" w:rsidP="002F38F9">
      <w:pPr>
        <w:pStyle w:val="ListNumber"/>
        <w:numPr>
          <w:ilvl w:val="0"/>
          <w:numId w:val="0"/>
        </w:numPr>
        <w:jc w:val="both"/>
        <w:rPr>
          <w:sz w:val="22"/>
          <w:szCs w:val="22"/>
        </w:rPr>
      </w:pPr>
    </w:p>
    <w:p w14:paraId="35338B1E" w14:textId="507810A2" w:rsidR="00695D58" w:rsidRPr="000953ED" w:rsidRDefault="00A40F90" w:rsidP="009E4823">
      <w:pPr>
        <w:pStyle w:val="ListNumber"/>
        <w:tabs>
          <w:tab w:val="clear" w:pos="360"/>
        </w:tabs>
        <w:ind w:left="0" w:firstLine="0"/>
        <w:jc w:val="both"/>
        <w:rPr>
          <w:sz w:val="22"/>
          <w:szCs w:val="22"/>
        </w:rPr>
      </w:pPr>
      <w:r>
        <w:rPr>
          <w:sz w:val="22"/>
          <w:szCs w:val="22"/>
        </w:rPr>
        <w:t>A</w:t>
      </w:r>
      <w:r w:rsidR="00045F7A" w:rsidRPr="000953ED">
        <w:rPr>
          <w:sz w:val="22"/>
          <w:szCs w:val="22"/>
        </w:rPr>
        <w:t xml:space="preserve"> reporting entity </w:t>
      </w:r>
      <w:r w:rsidR="00695D58" w:rsidRPr="000953ED">
        <w:rPr>
          <w:sz w:val="22"/>
          <w:szCs w:val="22"/>
        </w:rPr>
        <w:t xml:space="preserve">that was an applicable corporation for the preceding taxable year </w:t>
      </w:r>
      <w:r w:rsidR="0033721D">
        <w:rPr>
          <w:sz w:val="22"/>
          <w:szCs w:val="22"/>
        </w:rPr>
        <w:t>shall</w:t>
      </w:r>
      <w:r w:rsidR="00695D58" w:rsidRPr="000953ED">
        <w:rPr>
          <w:sz w:val="22"/>
          <w:szCs w:val="22"/>
        </w:rPr>
        <w:t xml:space="preserve"> reasonably expect to be an applicable corporation for the current taxable year, unless one of the tax law exceptions to continued applicable corporation status applies</w:t>
      </w:r>
      <w:r w:rsidR="004C3805" w:rsidRPr="000953ED">
        <w:rPr>
          <w:sz w:val="22"/>
          <w:szCs w:val="22"/>
        </w:rPr>
        <w:t xml:space="preserve">. </w:t>
      </w:r>
    </w:p>
    <w:p w14:paraId="7079248D" w14:textId="77777777" w:rsidR="0057438F" w:rsidRDefault="0057438F" w:rsidP="00640096">
      <w:pPr>
        <w:pStyle w:val="ListParagraph"/>
        <w:rPr>
          <w:highlight w:val="yellow"/>
        </w:rPr>
      </w:pPr>
    </w:p>
    <w:p w14:paraId="3B8DB6AC" w14:textId="05740FE2" w:rsidR="00E41DF8" w:rsidRPr="009667B1" w:rsidRDefault="00E41DF8" w:rsidP="00370E3A">
      <w:pPr>
        <w:pStyle w:val="ListNumber"/>
        <w:numPr>
          <w:ilvl w:val="0"/>
          <w:numId w:val="0"/>
        </w:numPr>
        <w:jc w:val="both"/>
        <w:rPr>
          <w:i/>
          <w:iCs/>
          <w:sz w:val="22"/>
          <w:szCs w:val="22"/>
        </w:rPr>
      </w:pPr>
      <w:r w:rsidRPr="009667B1">
        <w:rPr>
          <w:i/>
          <w:iCs/>
          <w:sz w:val="22"/>
          <w:szCs w:val="22"/>
        </w:rPr>
        <w:t>Appli</w:t>
      </w:r>
      <w:r w:rsidR="00302621" w:rsidRPr="009667B1">
        <w:rPr>
          <w:i/>
          <w:iCs/>
          <w:sz w:val="22"/>
          <w:szCs w:val="22"/>
        </w:rPr>
        <w:t xml:space="preserve">cable </w:t>
      </w:r>
      <w:r w:rsidR="00A81B5A" w:rsidRPr="009667B1">
        <w:rPr>
          <w:i/>
          <w:iCs/>
          <w:sz w:val="22"/>
          <w:szCs w:val="22"/>
        </w:rPr>
        <w:t xml:space="preserve">Reporting Entities </w:t>
      </w:r>
    </w:p>
    <w:p w14:paraId="46A5C418" w14:textId="77777777" w:rsidR="00E41DF8" w:rsidRPr="00C61499" w:rsidRDefault="00E41DF8" w:rsidP="00640096">
      <w:pPr>
        <w:pStyle w:val="ListParagraph"/>
      </w:pPr>
    </w:p>
    <w:p w14:paraId="66B39D17" w14:textId="77777777" w:rsidR="00F62C9E" w:rsidRDefault="009E4823" w:rsidP="00987161">
      <w:pPr>
        <w:pStyle w:val="ListNumber"/>
        <w:tabs>
          <w:tab w:val="clear" w:pos="360"/>
        </w:tabs>
        <w:ind w:left="0" w:firstLine="0"/>
        <w:jc w:val="both"/>
        <w:rPr>
          <w:sz w:val="22"/>
          <w:szCs w:val="22"/>
        </w:rPr>
      </w:pPr>
      <w:r w:rsidRPr="00F162FF">
        <w:rPr>
          <w:sz w:val="22"/>
          <w:szCs w:val="22"/>
        </w:rPr>
        <w:t xml:space="preserve"> </w:t>
      </w:r>
      <w:r w:rsidR="0033721D" w:rsidRPr="000D0024">
        <w:rPr>
          <w:sz w:val="22"/>
          <w:szCs w:val="22"/>
        </w:rPr>
        <w:t>Applicable reporting entities are r</w:t>
      </w:r>
      <w:r w:rsidRPr="000D0024">
        <w:rPr>
          <w:sz w:val="22"/>
          <w:szCs w:val="22"/>
        </w:rPr>
        <w:t>eporting entit</w:t>
      </w:r>
      <w:r w:rsidR="0033721D" w:rsidRPr="000D0024">
        <w:rPr>
          <w:sz w:val="22"/>
          <w:szCs w:val="22"/>
        </w:rPr>
        <w:t>ies</w:t>
      </w:r>
      <w:r w:rsidRPr="000D0024">
        <w:rPr>
          <w:sz w:val="22"/>
          <w:szCs w:val="22"/>
        </w:rPr>
        <w:t xml:space="preserve"> that reasonably expect to be applicable corporation</w:t>
      </w:r>
      <w:r w:rsidR="0033721D" w:rsidRPr="000D0024">
        <w:rPr>
          <w:sz w:val="22"/>
          <w:szCs w:val="22"/>
        </w:rPr>
        <w:t>s</w:t>
      </w:r>
      <w:r w:rsidRPr="000D0024">
        <w:rPr>
          <w:sz w:val="22"/>
          <w:szCs w:val="22"/>
        </w:rPr>
        <w:t xml:space="preserve"> for the taxable year that includes the </w:t>
      </w:r>
      <w:r w:rsidR="0033721D" w:rsidRPr="000D0024">
        <w:rPr>
          <w:sz w:val="22"/>
          <w:szCs w:val="22"/>
        </w:rPr>
        <w:t xml:space="preserve">current </w:t>
      </w:r>
      <w:r w:rsidRPr="000D0024">
        <w:rPr>
          <w:sz w:val="22"/>
          <w:szCs w:val="22"/>
        </w:rPr>
        <w:t xml:space="preserve">reporting period, either </w:t>
      </w:r>
      <w:r w:rsidR="0033721D" w:rsidRPr="000D0024">
        <w:rPr>
          <w:sz w:val="22"/>
          <w:szCs w:val="22"/>
        </w:rPr>
        <w:t xml:space="preserve">individually </w:t>
      </w:r>
      <w:r w:rsidRPr="000D0024">
        <w:rPr>
          <w:sz w:val="22"/>
          <w:szCs w:val="22"/>
        </w:rPr>
        <w:t>as an unaffiliated corporation or as a member of a tax-controlled group of corporations</w:t>
      </w:r>
      <w:r w:rsidR="00E03BCE" w:rsidRPr="000D0024">
        <w:rPr>
          <w:rStyle w:val="FootnoteReference"/>
          <w:sz w:val="22"/>
          <w:szCs w:val="22"/>
        </w:rPr>
        <w:footnoteReference w:id="4"/>
      </w:r>
      <w:r w:rsidR="0033721D" w:rsidRPr="000D0024">
        <w:rPr>
          <w:sz w:val="22"/>
          <w:szCs w:val="22"/>
        </w:rPr>
        <w:t>.</w:t>
      </w:r>
      <w:r w:rsidR="008D1A8D" w:rsidRPr="000D0024">
        <w:rPr>
          <w:sz w:val="22"/>
          <w:szCs w:val="22"/>
        </w:rPr>
        <w:t xml:space="preserve"> </w:t>
      </w:r>
      <w:r w:rsidR="0033721D" w:rsidRPr="000D0024">
        <w:rPr>
          <w:sz w:val="22"/>
          <w:szCs w:val="22"/>
        </w:rPr>
        <w:t xml:space="preserve">Applicable reporting entities are required to consider CAMT in current and deferred tax computations in the manner set forth in </w:t>
      </w:r>
      <w:r w:rsidR="00E03BCE" w:rsidRPr="000D0024">
        <w:rPr>
          <w:sz w:val="22"/>
          <w:szCs w:val="22"/>
        </w:rPr>
        <w:t>this interpretation</w:t>
      </w:r>
      <w:r w:rsidR="0033721D" w:rsidRPr="000D0024">
        <w:rPr>
          <w:sz w:val="22"/>
          <w:szCs w:val="22"/>
        </w:rPr>
        <w:t xml:space="preserve">. </w:t>
      </w:r>
    </w:p>
    <w:p w14:paraId="53AD4C92" w14:textId="77777777" w:rsidR="00F62C9E" w:rsidRDefault="00F62C9E" w:rsidP="00F62C9E">
      <w:pPr>
        <w:pStyle w:val="ListNumber"/>
        <w:numPr>
          <w:ilvl w:val="0"/>
          <w:numId w:val="0"/>
        </w:numPr>
        <w:jc w:val="both"/>
        <w:rPr>
          <w:sz w:val="22"/>
          <w:szCs w:val="22"/>
        </w:rPr>
      </w:pPr>
    </w:p>
    <w:p w14:paraId="4170E4A1" w14:textId="3124FE04" w:rsidR="0033721D" w:rsidRPr="00987161" w:rsidRDefault="0033721D" w:rsidP="00987161">
      <w:pPr>
        <w:pStyle w:val="ListNumber"/>
        <w:tabs>
          <w:tab w:val="clear" w:pos="360"/>
        </w:tabs>
        <w:ind w:left="0" w:firstLine="0"/>
        <w:jc w:val="both"/>
        <w:rPr>
          <w:sz w:val="22"/>
          <w:szCs w:val="22"/>
        </w:rPr>
      </w:pPr>
      <w:r w:rsidRPr="000D0024">
        <w:rPr>
          <w:sz w:val="22"/>
          <w:szCs w:val="22"/>
        </w:rPr>
        <w:t xml:space="preserve">Because CAMT is not payable by an applicable corporation unless it is in excess of regular tax liability, the </w:t>
      </w:r>
      <w:r w:rsidR="00DF5BEF" w:rsidRPr="000D0024">
        <w:rPr>
          <w:sz w:val="22"/>
          <w:szCs w:val="22"/>
        </w:rPr>
        <w:t xml:space="preserve">CAMT </w:t>
      </w:r>
      <w:r w:rsidRPr="000D0024">
        <w:rPr>
          <w:sz w:val="22"/>
          <w:szCs w:val="22"/>
        </w:rPr>
        <w:t xml:space="preserve">calculations for applicable reporting entities </w:t>
      </w:r>
      <w:r w:rsidR="00DF5BEF" w:rsidRPr="000D0024">
        <w:rPr>
          <w:sz w:val="22"/>
          <w:szCs w:val="22"/>
        </w:rPr>
        <w:t>within this interpretation</w:t>
      </w:r>
      <w:r w:rsidR="00E03BCE" w:rsidRPr="000D0024">
        <w:rPr>
          <w:sz w:val="22"/>
          <w:szCs w:val="22"/>
        </w:rPr>
        <w:t xml:space="preserve"> m</w:t>
      </w:r>
      <w:r w:rsidRPr="000D0024">
        <w:rPr>
          <w:sz w:val="22"/>
          <w:szCs w:val="22"/>
        </w:rPr>
        <w:t>ay or may not result in different current and deferred income taxes than if the CAMT was not taken into account.</w:t>
      </w:r>
      <w:r w:rsidR="000F133B" w:rsidRPr="000D0024">
        <w:rPr>
          <w:sz w:val="22"/>
          <w:szCs w:val="22"/>
        </w:rPr>
        <w:t xml:space="preserve"> (Applicable reporting entities with TSA exclusions </w:t>
      </w:r>
      <w:r w:rsidR="000D0024">
        <w:rPr>
          <w:sz w:val="22"/>
          <w:szCs w:val="22"/>
        </w:rPr>
        <w:t xml:space="preserve">that meet the requirements of </w:t>
      </w:r>
      <w:r w:rsidR="000F133B" w:rsidRPr="000D0024">
        <w:rPr>
          <w:sz w:val="22"/>
          <w:szCs w:val="22"/>
        </w:rPr>
        <w:t>paragraph</w:t>
      </w:r>
      <w:r w:rsidR="000F133B" w:rsidRPr="009667B1">
        <w:rPr>
          <w:sz w:val="22"/>
          <w:szCs w:val="22"/>
        </w:rPr>
        <w:t xml:space="preserve"> 1</w:t>
      </w:r>
      <w:r w:rsidR="00F62C9E">
        <w:rPr>
          <w:sz w:val="22"/>
          <w:szCs w:val="22"/>
        </w:rPr>
        <w:t>1</w:t>
      </w:r>
      <w:r w:rsidR="000F133B">
        <w:rPr>
          <w:sz w:val="22"/>
          <w:szCs w:val="22"/>
        </w:rPr>
        <w:t xml:space="preserve"> of this interpretation shall follow the guidance in paragraph 1</w:t>
      </w:r>
      <w:r w:rsidR="00F62C9E">
        <w:rPr>
          <w:sz w:val="22"/>
          <w:szCs w:val="22"/>
        </w:rPr>
        <w:t>2 of this interpretation</w:t>
      </w:r>
      <w:r w:rsidR="000F133B">
        <w:rPr>
          <w:sz w:val="22"/>
          <w:szCs w:val="22"/>
        </w:rPr>
        <w:t>.)</w:t>
      </w:r>
    </w:p>
    <w:p w14:paraId="3B3833D8" w14:textId="0FF54B6B" w:rsidR="009E4823" w:rsidRDefault="009E4823" w:rsidP="0033721D">
      <w:pPr>
        <w:pStyle w:val="ListNumber"/>
        <w:numPr>
          <w:ilvl w:val="0"/>
          <w:numId w:val="0"/>
        </w:numPr>
        <w:jc w:val="both"/>
        <w:rPr>
          <w:sz w:val="22"/>
          <w:szCs w:val="22"/>
        </w:rPr>
      </w:pPr>
      <w:r w:rsidRPr="0033721D">
        <w:rPr>
          <w:sz w:val="22"/>
          <w:szCs w:val="22"/>
        </w:rPr>
        <w:lastRenderedPageBreak/>
        <w:t xml:space="preserve"> </w:t>
      </w:r>
    </w:p>
    <w:p w14:paraId="4D10DDE3" w14:textId="77777777" w:rsidR="0033721D" w:rsidRPr="009667B1" w:rsidRDefault="0033721D" w:rsidP="0033721D">
      <w:pPr>
        <w:pStyle w:val="ListNumber"/>
        <w:numPr>
          <w:ilvl w:val="0"/>
          <w:numId w:val="0"/>
        </w:numPr>
        <w:jc w:val="both"/>
        <w:rPr>
          <w:i/>
          <w:iCs/>
          <w:sz w:val="22"/>
          <w:szCs w:val="22"/>
        </w:rPr>
      </w:pPr>
      <w:r w:rsidRPr="00F93C35">
        <w:rPr>
          <w:i/>
          <w:iCs/>
          <w:sz w:val="22"/>
          <w:szCs w:val="22"/>
        </w:rPr>
        <w:t xml:space="preserve">Applicable Reporting Entities with TSA Exclusions </w:t>
      </w:r>
    </w:p>
    <w:p w14:paraId="1B1D37CA" w14:textId="77777777" w:rsidR="0033721D" w:rsidRDefault="0033721D" w:rsidP="0033721D">
      <w:pPr>
        <w:pStyle w:val="ListNumber"/>
        <w:numPr>
          <w:ilvl w:val="0"/>
          <w:numId w:val="0"/>
        </w:numPr>
        <w:jc w:val="both"/>
        <w:rPr>
          <w:sz w:val="22"/>
          <w:szCs w:val="22"/>
        </w:rPr>
      </w:pPr>
    </w:p>
    <w:p w14:paraId="4AF2108E" w14:textId="28A8A8F1" w:rsidR="0033721D" w:rsidRPr="00257D1B" w:rsidRDefault="00E03BCE" w:rsidP="0033721D">
      <w:pPr>
        <w:pStyle w:val="ListNumber"/>
        <w:tabs>
          <w:tab w:val="clear" w:pos="360"/>
        </w:tabs>
        <w:ind w:left="0" w:firstLine="0"/>
        <w:jc w:val="both"/>
        <w:rPr>
          <w:sz w:val="22"/>
          <w:szCs w:val="22"/>
        </w:rPr>
      </w:pPr>
      <w:r w:rsidRPr="00257D1B">
        <w:rPr>
          <w:sz w:val="22"/>
          <w:szCs w:val="22"/>
        </w:rPr>
        <w:t>Applicable reporting entities with TSA exclusions are reporting entities that qualify as an applicable corporation as a member of a tax-controlled group of corporations pursuant to paragraph</w:t>
      </w:r>
      <w:r w:rsidR="00F62C9E">
        <w:rPr>
          <w:sz w:val="22"/>
          <w:szCs w:val="22"/>
        </w:rPr>
        <w:t>s</w:t>
      </w:r>
      <w:r w:rsidRPr="00257D1B">
        <w:rPr>
          <w:sz w:val="22"/>
          <w:szCs w:val="22"/>
        </w:rPr>
        <w:t xml:space="preserve"> 9</w:t>
      </w:r>
      <w:r w:rsidR="00B2554C">
        <w:rPr>
          <w:sz w:val="22"/>
          <w:szCs w:val="22"/>
        </w:rPr>
        <w:t xml:space="preserve"> </w:t>
      </w:r>
      <w:r w:rsidR="00F62C9E">
        <w:rPr>
          <w:sz w:val="22"/>
          <w:szCs w:val="22"/>
        </w:rPr>
        <w:t xml:space="preserve">and 10 </w:t>
      </w:r>
      <w:r w:rsidR="00B2554C">
        <w:rPr>
          <w:sz w:val="22"/>
          <w:szCs w:val="22"/>
        </w:rPr>
        <w:t>of this interpretation</w:t>
      </w:r>
      <w:r w:rsidR="00DF5BEF" w:rsidRPr="00257D1B">
        <w:rPr>
          <w:sz w:val="22"/>
          <w:szCs w:val="22"/>
        </w:rPr>
        <w:t xml:space="preserve">, </w:t>
      </w:r>
      <w:r w:rsidR="0033721D" w:rsidRPr="00257D1B">
        <w:rPr>
          <w:sz w:val="22"/>
          <w:szCs w:val="22"/>
        </w:rPr>
        <w:t xml:space="preserve">and is a party to a TSA that is in effect for the reporting period </w:t>
      </w:r>
      <w:r w:rsidR="00DF5BEF" w:rsidRPr="00257D1B">
        <w:rPr>
          <w:sz w:val="22"/>
          <w:szCs w:val="22"/>
        </w:rPr>
        <w:t xml:space="preserve">that has </w:t>
      </w:r>
      <w:r w:rsidR="00CC6A12">
        <w:rPr>
          <w:sz w:val="22"/>
          <w:szCs w:val="22"/>
        </w:rPr>
        <w:t xml:space="preserve">all of </w:t>
      </w:r>
      <w:r w:rsidR="00DF5BEF" w:rsidRPr="00257D1B">
        <w:rPr>
          <w:sz w:val="22"/>
          <w:szCs w:val="22"/>
        </w:rPr>
        <w:t>the following terms</w:t>
      </w:r>
      <w:r w:rsidR="0033721D" w:rsidRPr="00257D1B">
        <w:rPr>
          <w:sz w:val="22"/>
          <w:szCs w:val="22"/>
        </w:rPr>
        <w:t>:</w:t>
      </w:r>
    </w:p>
    <w:p w14:paraId="4371FF10" w14:textId="77777777" w:rsidR="0033721D" w:rsidRPr="00257D1B" w:rsidRDefault="0033721D" w:rsidP="0033721D">
      <w:pPr>
        <w:pStyle w:val="ListNumber"/>
        <w:numPr>
          <w:ilvl w:val="0"/>
          <w:numId w:val="0"/>
        </w:numPr>
        <w:jc w:val="both"/>
        <w:rPr>
          <w:sz w:val="22"/>
          <w:szCs w:val="22"/>
        </w:rPr>
      </w:pPr>
    </w:p>
    <w:p w14:paraId="0752DCBC" w14:textId="59B39D4E" w:rsidR="0033721D" w:rsidRPr="00257D1B" w:rsidRDefault="00DF5BEF" w:rsidP="002D1AD8">
      <w:pPr>
        <w:pStyle w:val="ListNumber"/>
        <w:numPr>
          <w:ilvl w:val="0"/>
          <w:numId w:val="6"/>
        </w:numPr>
        <w:ind w:left="1440" w:hanging="720"/>
        <w:jc w:val="both"/>
        <w:rPr>
          <w:sz w:val="22"/>
          <w:szCs w:val="22"/>
        </w:rPr>
      </w:pPr>
      <w:r w:rsidRPr="00257D1B">
        <w:rPr>
          <w:sz w:val="22"/>
          <w:szCs w:val="22"/>
        </w:rPr>
        <w:t xml:space="preserve">The reporting entity </w:t>
      </w:r>
      <w:r w:rsidR="0033721D" w:rsidRPr="00257D1B">
        <w:rPr>
          <w:sz w:val="22"/>
          <w:szCs w:val="22"/>
        </w:rPr>
        <w:t>is excluded from charges for any portion of the group’s CAMT, and</w:t>
      </w:r>
    </w:p>
    <w:p w14:paraId="10EADC8F" w14:textId="77777777" w:rsidR="0033721D" w:rsidRPr="00257D1B" w:rsidRDefault="0033721D" w:rsidP="0033721D">
      <w:pPr>
        <w:pStyle w:val="ListNumber"/>
        <w:numPr>
          <w:ilvl w:val="0"/>
          <w:numId w:val="0"/>
        </w:numPr>
        <w:jc w:val="both"/>
        <w:rPr>
          <w:sz w:val="22"/>
          <w:szCs w:val="22"/>
        </w:rPr>
      </w:pPr>
    </w:p>
    <w:p w14:paraId="2361A5F3" w14:textId="77777777" w:rsidR="00461A3F" w:rsidRPr="00257D1B" w:rsidRDefault="00DF5BEF" w:rsidP="002D1AD8">
      <w:pPr>
        <w:pStyle w:val="ListNumber"/>
        <w:numPr>
          <w:ilvl w:val="0"/>
          <w:numId w:val="6"/>
        </w:numPr>
        <w:ind w:left="1440" w:hanging="720"/>
        <w:jc w:val="both"/>
        <w:rPr>
          <w:sz w:val="22"/>
          <w:szCs w:val="22"/>
        </w:rPr>
      </w:pPr>
      <w:r w:rsidRPr="00257D1B">
        <w:rPr>
          <w:sz w:val="22"/>
          <w:szCs w:val="22"/>
        </w:rPr>
        <w:t xml:space="preserve">The reporting entity </w:t>
      </w:r>
      <w:r w:rsidR="0033721D" w:rsidRPr="00257D1B">
        <w:rPr>
          <w:sz w:val="22"/>
          <w:szCs w:val="22"/>
        </w:rPr>
        <w:t>is not allocated any portion of the group’s CAMT credit carryover.</w:t>
      </w:r>
    </w:p>
    <w:p w14:paraId="742811E6" w14:textId="77777777" w:rsidR="00461A3F" w:rsidRPr="009667B1" w:rsidRDefault="00461A3F" w:rsidP="009667B1">
      <w:pPr>
        <w:pStyle w:val="ListParagraph"/>
      </w:pPr>
    </w:p>
    <w:p w14:paraId="146E8E5B" w14:textId="105C498E" w:rsidR="0033721D" w:rsidRPr="001C7132" w:rsidRDefault="00211F02" w:rsidP="002D1AD8">
      <w:pPr>
        <w:pStyle w:val="ListNumber"/>
        <w:numPr>
          <w:ilvl w:val="0"/>
          <w:numId w:val="6"/>
        </w:numPr>
        <w:ind w:left="1440" w:hanging="720"/>
        <w:jc w:val="both"/>
        <w:rPr>
          <w:sz w:val="22"/>
          <w:szCs w:val="22"/>
        </w:rPr>
      </w:pPr>
      <w:bookmarkStart w:id="2" w:name="_Hlk139624526"/>
      <w:r w:rsidRPr="001C7132">
        <w:rPr>
          <w:sz w:val="22"/>
          <w:szCs w:val="22"/>
        </w:rPr>
        <w:t xml:space="preserve">The </w:t>
      </w:r>
      <w:r w:rsidR="00A3333B" w:rsidRPr="001C7132">
        <w:rPr>
          <w:sz w:val="22"/>
          <w:szCs w:val="22"/>
        </w:rPr>
        <w:t>reporting entity reasonably expects</w:t>
      </w:r>
      <w:r w:rsidR="00187B02" w:rsidRPr="001C7132">
        <w:rPr>
          <w:sz w:val="22"/>
          <w:szCs w:val="22"/>
        </w:rPr>
        <w:t xml:space="preserve"> or has know</w:t>
      </w:r>
      <w:r w:rsidR="00E26FB5" w:rsidRPr="001C7132">
        <w:rPr>
          <w:sz w:val="22"/>
          <w:szCs w:val="22"/>
        </w:rPr>
        <w:t>ledge</w:t>
      </w:r>
      <w:r w:rsidR="00A3333B" w:rsidRPr="001C7132">
        <w:rPr>
          <w:sz w:val="22"/>
          <w:szCs w:val="22"/>
        </w:rPr>
        <w:t xml:space="preserve"> that the part</w:t>
      </w:r>
      <w:r w:rsidR="0040109E" w:rsidRPr="001C7132">
        <w:rPr>
          <w:sz w:val="22"/>
          <w:szCs w:val="22"/>
        </w:rPr>
        <w:t xml:space="preserve">ies liable for the CAMT </w:t>
      </w:r>
      <w:r w:rsidR="00187B02" w:rsidRPr="001C7132">
        <w:rPr>
          <w:sz w:val="22"/>
          <w:szCs w:val="22"/>
        </w:rPr>
        <w:t>payables under</w:t>
      </w:r>
      <w:r w:rsidR="008A562D" w:rsidRPr="001C7132">
        <w:rPr>
          <w:sz w:val="22"/>
          <w:szCs w:val="22"/>
        </w:rPr>
        <w:t xml:space="preserve"> the TSA are meeting their obligations. </w:t>
      </w:r>
      <w:bookmarkEnd w:id="2"/>
    </w:p>
    <w:p w14:paraId="6087C0F4" w14:textId="77777777" w:rsidR="00396CF6" w:rsidRPr="009667B1" w:rsidRDefault="00396CF6" w:rsidP="00427A81">
      <w:pPr>
        <w:pStyle w:val="ListNumber"/>
        <w:numPr>
          <w:ilvl w:val="0"/>
          <w:numId w:val="0"/>
        </w:numPr>
        <w:ind w:left="1440"/>
        <w:jc w:val="both"/>
        <w:rPr>
          <w:sz w:val="22"/>
          <w:szCs w:val="22"/>
        </w:rPr>
      </w:pPr>
    </w:p>
    <w:p w14:paraId="7057F12D" w14:textId="3CDEC96F" w:rsidR="0033721D" w:rsidRPr="001C7132" w:rsidRDefault="0033721D" w:rsidP="0049387D">
      <w:pPr>
        <w:pStyle w:val="ListNumber"/>
        <w:tabs>
          <w:tab w:val="clear" w:pos="360"/>
        </w:tabs>
        <w:ind w:left="0" w:firstLine="0"/>
        <w:jc w:val="both"/>
        <w:rPr>
          <w:sz w:val="22"/>
          <w:szCs w:val="22"/>
        </w:rPr>
      </w:pPr>
      <w:r w:rsidRPr="001C7132">
        <w:rPr>
          <w:sz w:val="22"/>
          <w:szCs w:val="22"/>
        </w:rPr>
        <w:t xml:space="preserve">Reporting entities with TSA CAMT exclusions </w:t>
      </w:r>
      <w:r w:rsidR="00EC4D48" w:rsidRPr="001C7132">
        <w:rPr>
          <w:sz w:val="22"/>
          <w:szCs w:val="22"/>
        </w:rPr>
        <w:t xml:space="preserve">which </w:t>
      </w:r>
      <w:r w:rsidR="00BA33F0" w:rsidRPr="001C7132">
        <w:rPr>
          <w:sz w:val="22"/>
          <w:szCs w:val="22"/>
        </w:rPr>
        <w:t>qualify under paragraph 1</w:t>
      </w:r>
      <w:r w:rsidR="00F62C9E">
        <w:rPr>
          <w:sz w:val="22"/>
          <w:szCs w:val="22"/>
        </w:rPr>
        <w:t>1</w:t>
      </w:r>
      <w:r w:rsidR="00B2554C" w:rsidRPr="001C7132">
        <w:rPr>
          <w:sz w:val="22"/>
          <w:szCs w:val="22"/>
        </w:rPr>
        <w:t xml:space="preserve"> of this interpretation,</w:t>
      </w:r>
      <w:r w:rsidR="00BA33F0" w:rsidRPr="001C7132">
        <w:rPr>
          <w:sz w:val="22"/>
          <w:szCs w:val="22"/>
        </w:rPr>
        <w:t xml:space="preserve"> </w:t>
      </w:r>
      <w:r w:rsidRPr="001C7132">
        <w:rPr>
          <w:sz w:val="22"/>
          <w:szCs w:val="22"/>
        </w:rPr>
        <w:t xml:space="preserve">are not required to </w:t>
      </w:r>
      <w:r w:rsidR="004C3805" w:rsidRPr="001C7132">
        <w:rPr>
          <w:sz w:val="22"/>
          <w:szCs w:val="22"/>
        </w:rPr>
        <w:t>calculate,</w:t>
      </w:r>
      <w:r w:rsidR="00DF5BEF" w:rsidRPr="001C7132">
        <w:rPr>
          <w:sz w:val="22"/>
          <w:szCs w:val="22"/>
        </w:rPr>
        <w:t xml:space="preserve"> or </w:t>
      </w:r>
      <w:r w:rsidRPr="001C7132">
        <w:rPr>
          <w:sz w:val="22"/>
          <w:szCs w:val="22"/>
        </w:rPr>
        <w:t xml:space="preserve">recognize CAMT in </w:t>
      </w:r>
      <w:r w:rsidR="009334FC" w:rsidRPr="001C7132">
        <w:rPr>
          <w:sz w:val="22"/>
          <w:szCs w:val="22"/>
        </w:rPr>
        <w:t xml:space="preserve">their </w:t>
      </w:r>
      <w:r w:rsidRPr="001C7132">
        <w:rPr>
          <w:sz w:val="22"/>
          <w:szCs w:val="22"/>
        </w:rPr>
        <w:t>current or deferred tax computations</w:t>
      </w:r>
      <w:r w:rsidR="00DF5BEF" w:rsidRPr="001C7132">
        <w:rPr>
          <w:sz w:val="22"/>
          <w:szCs w:val="22"/>
        </w:rPr>
        <w:t>.</w:t>
      </w:r>
      <w:r w:rsidR="00A1404F" w:rsidRPr="001C7132">
        <w:rPr>
          <w:sz w:val="22"/>
          <w:szCs w:val="22"/>
        </w:rPr>
        <w:t xml:space="preserve"> </w:t>
      </w:r>
      <w:r w:rsidR="00CC6A12" w:rsidRPr="001C7132">
        <w:rPr>
          <w:sz w:val="22"/>
          <w:szCs w:val="22"/>
        </w:rPr>
        <w:t>Even with the TSA exclusions, the guidance for joint and several liabilities pursuant to SSAP No. 5, paragraph 5 continues to apply. This guidance requires the reporting entity to recognize the amount the reporting entity has agreed to pay with the agreements of their co-obligors and any additional amount the reporting entity expects to pay on behalf of its co-obligors</w:t>
      </w:r>
      <w:r w:rsidR="004C3805" w:rsidRPr="001C7132">
        <w:rPr>
          <w:sz w:val="22"/>
          <w:szCs w:val="22"/>
        </w:rPr>
        <w:t xml:space="preserve">. </w:t>
      </w:r>
    </w:p>
    <w:p w14:paraId="53A0124D" w14:textId="77777777" w:rsidR="00FB0674" w:rsidRPr="002950E6" w:rsidRDefault="00FB0674" w:rsidP="00FB0674">
      <w:pPr>
        <w:pStyle w:val="ListNumber"/>
        <w:numPr>
          <w:ilvl w:val="0"/>
          <w:numId w:val="0"/>
        </w:numPr>
        <w:ind w:left="360" w:hanging="360"/>
        <w:jc w:val="both"/>
        <w:rPr>
          <w:sz w:val="22"/>
          <w:szCs w:val="22"/>
          <w:highlight w:val="yellow"/>
        </w:rPr>
      </w:pPr>
    </w:p>
    <w:p w14:paraId="3502A413" w14:textId="2889C9F3" w:rsidR="00DF5BEF" w:rsidRDefault="00FB0674" w:rsidP="00AF7268">
      <w:pPr>
        <w:pStyle w:val="ListNumber"/>
        <w:numPr>
          <w:ilvl w:val="0"/>
          <w:numId w:val="0"/>
        </w:numPr>
        <w:jc w:val="both"/>
        <w:rPr>
          <w:sz w:val="22"/>
          <w:szCs w:val="22"/>
          <w:highlight w:val="lightGray"/>
          <w:shd w:val="clear" w:color="auto" w:fill="FFFFFF"/>
        </w:rPr>
      </w:pPr>
      <w:r w:rsidRPr="00892C62">
        <w:rPr>
          <w:b/>
          <w:bCs/>
          <w:sz w:val="22"/>
          <w:szCs w:val="22"/>
          <w:highlight w:val="lightGray"/>
          <w:shd w:val="clear" w:color="auto" w:fill="FFFFFF"/>
        </w:rPr>
        <w:t>NAIC Staff Note:</w:t>
      </w:r>
      <w:r w:rsidRPr="00892C62">
        <w:rPr>
          <w:sz w:val="22"/>
          <w:szCs w:val="22"/>
          <w:highlight w:val="lightGray"/>
          <w:shd w:val="clear" w:color="auto" w:fill="FFFFFF"/>
        </w:rPr>
        <w:t xml:space="preserve"> NAIC staff </w:t>
      </w:r>
      <w:r>
        <w:rPr>
          <w:sz w:val="22"/>
          <w:szCs w:val="22"/>
          <w:highlight w:val="lightGray"/>
          <w:shd w:val="clear" w:color="auto" w:fill="FFFFFF"/>
        </w:rPr>
        <w:t xml:space="preserve">do not believe it is possible for an insurer to completely remove themselves from the </w:t>
      </w:r>
      <w:r w:rsidR="00552BCC">
        <w:rPr>
          <w:sz w:val="22"/>
          <w:szCs w:val="22"/>
          <w:highlight w:val="lightGray"/>
          <w:shd w:val="clear" w:color="auto" w:fill="FFFFFF"/>
        </w:rPr>
        <w:t xml:space="preserve">joint and several </w:t>
      </w:r>
      <w:r>
        <w:rPr>
          <w:sz w:val="22"/>
          <w:szCs w:val="22"/>
          <w:highlight w:val="lightGray"/>
          <w:shd w:val="clear" w:color="auto" w:fill="FFFFFF"/>
        </w:rPr>
        <w:t>tax liability under the tax law</w:t>
      </w:r>
      <w:r w:rsidR="00096452">
        <w:rPr>
          <w:sz w:val="22"/>
          <w:szCs w:val="22"/>
          <w:highlight w:val="lightGray"/>
          <w:shd w:val="clear" w:color="auto" w:fill="FFFFFF"/>
        </w:rPr>
        <w:t xml:space="preserve">. </w:t>
      </w:r>
      <w:r w:rsidR="0005385F">
        <w:rPr>
          <w:sz w:val="22"/>
          <w:szCs w:val="22"/>
          <w:highlight w:val="lightGray"/>
          <w:shd w:val="clear" w:color="auto" w:fill="FFFFFF"/>
        </w:rPr>
        <w:t xml:space="preserve">There is guidance </w:t>
      </w:r>
      <w:r w:rsidR="007D71D0">
        <w:rPr>
          <w:sz w:val="22"/>
          <w:szCs w:val="22"/>
          <w:highlight w:val="lightGray"/>
          <w:shd w:val="clear" w:color="auto" w:fill="FFFFFF"/>
        </w:rPr>
        <w:t xml:space="preserve">in SSAP No. 5, paragraph 5, that addresses joint and several liabilities. Under that guidance, reporting entities are required to measure and report the liability </w:t>
      </w:r>
      <w:r w:rsidR="00CB0B29">
        <w:rPr>
          <w:sz w:val="22"/>
          <w:szCs w:val="22"/>
          <w:highlight w:val="lightGray"/>
          <w:shd w:val="clear" w:color="auto" w:fill="FFFFFF"/>
        </w:rPr>
        <w:t xml:space="preserve">as the sum of 1) the amount the reporting entity agrees to pay </w:t>
      </w:r>
      <w:r w:rsidR="004837E6">
        <w:rPr>
          <w:sz w:val="22"/>
          <w:szCs w:val="22"/>
          <w:highlight w:val="lightGray"/>
          <w:shd w:val="clear" w:color="auto" w:fill="FFFFFF"/>
        </w:rPr>
        <w:t>on the basis of agreements among co-obligors and 2) any additional amount the reporting entity expects to pay on behalf of its co-obligors</w:t>
      </w:r>
      <w:r w:rsidR="00AB62F5">
        <w:rPr>
          <w:sz w:val="22"/>
          <w:szCs w:val="22"/>
          <w:highlight w:val="lightGray"/>
          <w:shd w:val="clear" w:color="auto" w:fill="FFFFFF"/>
        </w:rPr>
        <w:t xml:space="preserve">. </w:t>
      </w:r>
      <w:r w:rsidR="00941C92">
        <w:rPr>
          <w:sz w:val="22"/>
          <w:szCs w:val="22"/>
          <w:highlight w:val="lightGray"/>
          <w:shd w:val="clear" w:color="auto" w:fill="FFFFFF"/>
        </w:rPr>
        <w:t xml:space="preserve"> </w:t>
      </w:r>
    </w:p>
    <w:p w14:paraId="04B1F755" w14:textId="77777777" w:rsidR="000D0024" w:rsidRDefault="000D0024" w:rsidP="00AF7268">
      <w:pPr>
        <w:pStyle w:val="ListNumber"/>
        <w:numPr>
          <w:ilvl w:val="0"/>
          <w:numId w:val="0"/>
        </w:numPr>
        <w:jc w:val="both"/>
        <w:rPr>
          <w:sz w:val="22"/>
          <w:szCs w:val="22"/>
          <w:highlight w:val="cyan"/>
        </w:rPr>
      </w:pPr>
    </w:p>
    <w:p w14:paraId="7629AB60" w14:textId="2A39C819" w:rsidR="009E4823" w:rsidRPr="00F815FA" w:rsidRDefault="00F84777" w:rsidP="00056EE2">
      <w:pPr>
        <w:pStyle w:val="ListNumber"/>
        <w:numPr>
          <w:ilvl w:val="0"/>
          <w:numId w:val="0"/>
        </w:numPr>
        <w:jc w:val="both"/>
        <w:rPr>
          <w:b/>
          <w:bCs/>
          <w:sz w:val="22"/>
          <w:szCs w:val="22"/>
        </w:rPr>
      </w:pPr>
      <w:r>
        <w:rPr>
          <w:b/>
          <w:bCs/>
          <w:sz w:val="22"/>
          <w:szCs w:val="22"/>
        </w:rPr>
        <w:t xml:space="preserve">Accounting for Applicable </w:t>
      </w:r>
      <w:r w:rsidR="00DD2390">
        <w:rPr>
          <w:b/>
          <w:bCs/>
          <w:sz w:val="22"/>
          <w:szCs w:val="22"/>
        </w:rPr>
        <w:t>Reporting Entities</w:t>
      </w:r>
    </w:p>
    <w:p w14:paraId="05129020" w14:textId="77777777" w:rsidR="00CB5C5B" w:rsidRDefault="00CB5C5B" w:rsidP="007E7565">
      <w:pPr>
        <w:pStyle w:val="ListNumber"/>
        <w:numPr>
          <w:ilvl w:val="0"/>
          <w:numId w:val="0"/>
        </w:numPr>
        <w:jc w:val="both"/>
        <w:rPr>
          <w:sz w:val="22"/>
          <w:szCs w:val="22"/>
          <w:highlight w:val="yellow"/>
          <w:u w:val="single"/>
        </w:rPr>
      </w:pPr>
    </w:p>
    <w:p w14:paraId="73AAAAF5" w14:textId="3660EA4F" w:rsidR="00C75494" w:rsidRDefault="00C75494" w:rsidP="00C75494">
      <w:pPr>
        <w:pStyle w:val="ListNumber"/>
        <w:numPr>
          <w:ilvl w:val="0"/>
          <w:numId w:val="0"/>
        </w:numPr>
        <w:spacing w:after="220"/>
        <w:jc w:val="both"/>
        <w:rPr>
          <w:sz w:val="22"/>
          <w:szCs w:val="22"/>
        </w:rPr>
      </w:pPr>
      <w:r>
        <w:rPr>
          <w:bCs/>
          <w:i/>
          <w:iCs/>
          <w:sz w:val="22"/>
          <w:szCs w:val="22"/>
        </w:rPr>
        <w:t xml:space="preserve">Impact of Tax </w:t>
      </w:r>
      <w:r w:rsidR="00E16467">
        <w:rPr>
          <w:bCs/>
          <w:i/>
          <w:iCs/>
          <w:sz w:val="22"/>
          <w:szCs w:val="22"/>
        </w:rPr>
        <w:t xml:space="preserve">Allocation </w:t>
      </w:r>
      <w:r>
        <w:rPr>
          <w:bCs/>
          <w:i/>
          <w:iCs/>
          <w:sz w:val="22"/>
          <w:szCs w:val="22"/>
        </w:rPr>
        <w:t>Agreements</w:t>
      </w:r>
      <w:r w:rsidR="002C0D4C">
        <w:rPr>
          <w:bCs/>
          <w:i/>
          <w:iCs/>
          <w:sz w:val="22"/>
          <w:szCs w:val="22"/>
        </w:rPr>
        <w:t xml:space="preserve"> </w:t>
      </w:r>
    </w:p>
    <w:p w14:paraId="756D8198" w14:textId="43DD41CD" w:rsidR="00C75494" w:rsidRPr="00640096" w:rsidRDefault="00C75494" w:rsidP="00C75494">
      <w:pPr>
        <w:pStyle w:val="ListNumber"/>
        <w:tabs>
          <w:tab w:val="clear" w:pos="360"/>
        </w:tabs>
        <w:spacing w:after="220"/>
        <w:ind w:left="0" w:firstLine="0"/>
        <w:jc w:val="both"/>
        <w:rPr>
          <w:sz w:val="22"/>
          <w:szCs w:val="22"/>
        </w:rPr>
      </w:pPr>
      <w:r>
        <w:rPr>
          <w:sz w:val="22"/>
          <w:szCs w:val="22"/>
        </w:rPr>
        <w:t>T</w:t>
      </w:r>
      <w:r w:rsidRPr="00640096">
        <w:rPr>
          <w:sz w:val="22"/>
          <w:szCs w:val="22"/>
        </w:rPr>
        <w:t xml:space="preserve">his interpretation is based on the principle that the statutory accounting for the CAMT for reporting entities included in a consolidated tax return should be matched to the CAMT charges </w:t>
      </w:r>
      <w:r w:rsidR="00CC6A12">
        <w:rPr>
          <w:sz w:val="22"/>
          <w:szCs w:val="22"/>
        </w:rPr>
        <w:t xml:space="preserve">expected to be paid by the reporting entity </w:t>
      </w:r>
      <w:r w:rsidRPr="00640096">
        <w:rPr>
          <w:sz w:val="22"/>
          <w:szCs w:val="22"/>
        </w:rPr>
        <w:t xml:space="preserve">and </w:t>
      </w:r>
      <w:r w:rsidR="00CC6A12">
        <w:rPr>
          <w:sz w:val="22"/>
          <w:szCs w:val="22"/>
        </w:rPr>
        <w:t xml:space="preserve">the corresponding CAMT </w:t>
      </w:r>
      <w:r w:rsidRPr="00640096">
        <w:rPr>
          <w:sz w:val="22"/>
          <w:szCs w:val="22"/>
        </w:rPr>
        <w:t xml:space="preserve">credits expected to </w:t>
      </w:r>
      <w:r w:rsidR="00F5456C" w:rsidRPr="00640096">
        <w:rPr>
          <w:sz w:val="22"/>
          <w:szCs w:val="22"/>
        </w:rPr>
        <w:t>be received</w:t>
      </w:r>
      <w:r w:rsidR="00CC6A12">
        <w:rPr>
          <w:sz w:val="22"/>
          <w:szCs w:val="22"/>
        </w:rPr>
        <w:t xml:space="preserve"> by </w:t>
      </w:r>
      <w:r w:rsidRPr="00640096">
        <w:rPr>
          <w:sz w:val="22"/>
          <w:szCs w:val="22"/>
        </w:rPr>
        <w:t>the reporting entity. For such reporting entities, this interpretation applies the provisions of the intercompany tax allocation agreement</w:t>
      </w:r>
      <w:r w:rsidR="0008228F">
        <w:rPr>
          <w:rStyle w:val="FootnoteReference"/>
          <w:sz w:val="22"/>
          <w:szCs w:val="22"/>
        </w:rPr>
        <w:footnoteReference w:id="5"/>
      </w:r>
      <w:r w:rsidRPr="00640096">
        <w:rPr>
          <w:sz w:val="22"/>
          <w:szCs w:val="22"/>
        </w:rPr>
        <w:t xml:space="preserve"> (also referred to as a tax sharing agreement or TSA) that governs allocation of consolidated taxes to individual members of the group.</w:t>
      </w:r>
    </w:p>
    <w:p w14:paraId="0511A985" w14:textId="3BB9208B" w:rsidR="00C75494" w:rsidRPr="00E8408E" w:rsidRDefault="00C75494" w:rsidP="00C75494">
      <w:pPr>
        <w:pStyle w:val="ListNumber"/>
        <w:tabs>
          <w:tab w:val="clear" w:pos="360"/>
        </w:tabs>
        <w:spacing w:after="220"/>
        <w:ind w:left="0" w:firstLine="0"/>
        <w:jc w:val="both"/>
        <w:rPr>
          <w:rStyle w:val="CommentReference"/>
          <w:sz w:val="22"/>
          <w:szCs w:val="22"/>
        </w:rPr>
      </w:pPr>
      <w:r w:rsidRPr="009A7C0E">
        <w:rPr>
          <w:sz w:val="22"/>
          <w:szCs w:val="22"/>
        </w:rPr>
        <w:t>SSAP No. 101</w:t>
      </w:r>
      <w:r w:rsidR="002950E6" w:rsidRPr="009A7C0E">
        <w:rPr>
          <w:sz w:val="22"/>
          <w:szCs w:val="22"/>
        </w:rPr>
        <w:t xml:space="preserve">, </w:t>
      </w:r>
      <w:r w:rsidR="008D1A8D" w:rsidRPr="009A7C0E">
        <w:rPr>
          <w:sz w:val="22"/>
          <w:szCs w:val="22"/>
        </w:rPr>
        <w:t>p</w:t>
      </w:r>
      <w:r w:rsidR="002950E6" w:rsidRPr="009A7C0E">
        <w:rPr>
          <w:sz w:val="22"/>
          <w:szCs w:val="22"/>
        </w:rPr>
        <w:t xml:space="preserve">aragraph 16 </w:t>
      </w:r>
      <w:r w:rsidRPr="009A7C0E">
        <w:rPr>
          <w:sz w:val="22"/>
          <w:szCs w:val="22"/>
        </w:rPr>
        <w:t xml:space="preserve">provides that in the case of a reporting entity that files a consolidated income tax return with one or more affiliates, income tax transactions between the affiliated parties shall be recognized if such transactions are economic transactions as defined in SSAP No. 25; are pursuant to a </w:t>
      </w:r>
      <w:r w:rsidRPr="009A7C0E">
        <w:rPr>
          <w:sz w:val="22"/>
          <w:szCs w:val="22"/>
        </w:rPr>
        <w:lastRenderedPageBreak/>
        <w:t>written TSA; and income taxes incurred are accounted for in a manner consistent with the principles of FAS 109 (the predecessor of what is now ASC 740), as modified by SSAP No. 101.</w:t>
      </w:r>
    </w:p>
    <w:p w14:paraId="11A10C31" w14:textId="11BA8506" w:rsidR="00C75494" w:rsidRPr="00186E7D" w:rsidRDefault="001A35A9" w:rsidP="00C75494">
      <w:pPr>
        <w:pStyle w:val="ListNumber"/>
        <w:tabs>
          <w:tab w:val="clear" w:pos="360"/>
        </w:tabs>
        <w:spacing w:after="220"/>
        <w:ind w:left="0" w:firstLine="0"/>
        <w:jc w:val="both"/>
        <w:rPr>
          <w:sz w:val="22"/>
          <w:szCs w:val="22"/>
        </w:rPr>
      </w:pPr>
      <w:r>
        <w:rPr>
          <w:sz w:val="22"/>
          <w:szCs w:val="22"/>
          <w:shd w:val="clear" w:color="auto" w:fill="FFFFFF"/>
        </w:rPr>
        <w:t>F</w:t>
      </w:r>
      <w:r w:rsidR="00C75494" w:rsidRPr="00A81B5A">
        <w:rPr>
          <w:sz w:val="22"/>
          <w:szCs w:val="22"/>
          <w:shd w:val="clear" w:color="auto" w:fill="FFFFFF"/>
        </w:rPr>
        <w:t xml:space="preserve">or a reporting entity that is included in a consolidated tax return and is subject to a </w:t>
      </w:r>
      <w:r w:rsidR="00CC6A12">
        <w:rPr>
          <w:sz w:val="22"/>
          <w:szCs w:val="22"/>
          <w:shd w:val="clear" w:color="auto" w:fill="FFFFFF"/>
        </w:rPr>
        <w:t xml:space="preserve">qualifying </w:t>
      </w:r>
      <w:r w:rsidR="00C75494" w:rsidRPr="00A81B5A">
        <w:rPr>
          <w:sz w:val="22"/>
          <w:szCs w:val="22"/>
          <w:shd w:val="clear" w:color="auto" w:fill="FFFFFF"/>
        </w:rPr>
        <w:t>TSA</w:t>
      </w:r>
      <w:r w:rsidR="00C24A41">
        <w:rPr>
          <w:sz w:val="22"/>
          <w:szCs w:val="22"/>
          <w:shd w:val="clear" w:color="auto" w:fill="FFFFFF"/>
        </w:rPr>
        <w:t xml:space="preserve"> which is </w:t>
      </w:r>
      <w:r w:rsidR="00F60C22">
        <w:rPr>
          <w:sz w:val="22"/>
          <w:szCs w:val="22"/>
          <w:shd w:val="clear" w:color="auto" w:fill="FFFFFF"/>
        </w:rPr>
        <w:t>c</w:t>
      </w:r>
      <w:r w:rsidR="00C75494" w:rsidRPr="00A81B5A">
        <w:rPr>
          <w:sz w:val="22"/>
          <w:szCs w:val="22"/>
          <w:shd w:val="clear" w:color="auto" w:fill="FFFFFF"/>
        </w:rPr>
        <w:t xml:space="preserve">onsistent with </w:t>
      </w:r>
      <w:r w:rsidR="0090509F">
        <w:rPr>
          <w:sz w:val="22"/>
          <w:szCs w:val="22"/>
          <w:shd w:val="clear" w:color="auto" w:fill="FFFFFF"/>
        </w:rPr>
        <w:t xml:space="preserve">paragraphs 16 and 17 of </w:t>
      </w:r>
      <w:r w:rsidR="00C75494" w:rsidRPr="00A81B5A">
        <w:rPr>
          <w:sz w:val="22"/>
          <w:szCs w:val="22"/>
          <w:shd w:val="clear" w:color="auto" w:fill="FFFFFF"/>
        </w:rPr>
        <w:t xml:space="preserve">SSAP No. 101, the </w:t>
      </w:r>
      <w:r w:rsidR="00CC6A12">
        <w:rPr>
          <w:sz w:val="22"/>
          <w:szCs w:val="22"/>
          <w:shd w:val="clear" w:color="auto" w:fill="FFFFFF"/>
        </w:rPr>
        <w:t xml:space="preserve">amount of </w:t>
      </w:r>
      <w:r w:rsidR="00C75494" w:rsidRPr="00A81B5A">
        <w:rPr>
          <w:sz w:val="22"/>
          <w:szCs w:val="22"/>
          <w:shd w:val="clear" w:color="auto" w:fill="FFFFFF"/>
        </w:rPr>
        <w:t xml:space="preserve">CAMT </w:t>
      </w:r>
      <w:r w:rsidR="00CC6A12">
        <w:rPr>
          <w:sz w:val="22"/>
          <w:szCs w:val="22"/>
          <w:shd w:val="clear" w:color="auto" w:fill="FFFFFF"/>
        </w:rPr>
        <w:t>payable (</w:t>
      </w:r>
      <w:r w:rsidR="00C75494" w:rsidRPr="00A81B5A">
        <w:rPr>
          <w:sz w:val="22"/>
          <w:szCs w:val="22"/>
          <w:shd w:val="clear" w:color="auto" w:fill="FFFFFF"/>
        </w:rPr>
        <w:t>expense</w:t>
      </w:r>
      <w:r w:rsidR="00CC6A12">
        <w:rPr>
          <w:sz w:val="22"/>
          <w:szCs w:val="22"/>
          <w:shd w:val="clear" w:color="auto" w:fill="FFFFFF"/>
        </w:rPr>
        <w:t>)</w:t>
      </w:r>
      <w:r w:rsidR="00C75494" w:rsidRPr="00A81B5A">
        <w:rPr>
          <w:sz w:val="22"/>
          <w:szCs w:val="22"/>
          <w:shd w:val="clear" w:color="auto" w:fill="FFFFFF"/>
        </w:rPr>
        <w:t xml:space="preserve"> or </w:t>
      </w:r>
      <w:r w:rsidR="00F60C22">
        <w:rPr>
          <w:sz w:val="22"/>
          <w:szCs w:val="22"/>
          <w:shd w:val="clear" w:color="auto" w:fill="FFFFFF"/>
        </w:rPr>
        <w:t xml:space="preserve">CAMT </w:t>
      </w:r>
      <w:r w:rsidR="00D108C2">
        <w:rPr>
          <w:sz w:val="22"/>
          <w:szCs w:val="22"/>
          <w:shd w:val="clear" w:color="auto" w:fill="FFFFFF"/>
        </w:rPr>
        <w:t>tax credit</w:t>
      </w:r>
      <w:r w:rsidR="00C75494" w:rsidRPr="00A81B5A">
        <w:rPr>
          <w:sz w:val="22"/>
          <w:szCs w:val="22"/>
          <w:shd w:val="clear" w:color="auto" w:fill="FFFFFF"/>
        </w:rPr>
        <w:t xml:space="preserve"> </w:t>
      </w:r>
      <w:r w:rsidR="00CC6A12">
        <w:rPr>
          <w:sz w:val="22"/>
          <w:szCs w:val="22"/>
          <w:shd w:val="clear" w:color="auto" w:fill="FFFFFF"/>
        </w:rPr>
        <w:t xml:space="preserve">carryforward </w:t>
      </w:r>
      <w:r w:rsidR="00C75494" w:rsidRPr="00A81B5A">
        <w:rPr>
          <w:sz w:val="22"/>
          <w:szCs w:val="22"/>
          <w:shd w:val="clear" w:color="auto" w:fill="FFFFFF"/>
        </w:rPr>
        <w:t>is recognized in accordance with the TSA.</w:t>
      </w:r>
      <w:r w:rsidR="00C75494">
        <w:rPr>
          <w:sz w:val="22"/>
          <w:szCs w:val="22"/>
          <w:shd w:val="clear" w:color="auto" w:fill="FFFFFF"/>
        </w:rPr>
        <w:t xml:space="preserve"> </w:t>
      </w:r>
    </w:p>
    <w:p w14:paraId="2724D33F" w14:textId="3FA9B18F" w:rsidR="003073E1" w:rsidRPr="00A51367" w:rsidRDefault="00A51367" w:rsidP="00D2684A">
      <w:pPr>
        <w:pStyle w:val="ListNumber"/>
        <w:numPr>
          <w:ilvl w:val="0"/>
          <w:numId w:val="0"/>
        </w:numPr>
        <w:spacing w:after="220"/>
        <w:ind w:left="360" w:hanging="360"/>
        <w:jc w:val="both"/>
        <w:rPr>
          <w:sz w:val="22"/>
          <w:szCs w:val="22"/>
        </w:rPr>
      </w:pPr>
      <w:r w:rsidRPr="00A51367">
        <w:rPr>
          <w:sz w:val="22"/>
          <w:szCs w:val="22"/>
          <w:shd w:val="clear" w:color="auto" w:fill="FFFFFF"/>
        </w:rPr>
        <w:tab/>
      </w:r>
      <w:r w:rsidR="003073E1" w:rsidRPr="00863AEB">
        <w:rPr>
          <w:b/>
          <w:bCs/>
          <w:sz w:val="22"/>
          <w:szCs w:val="22"/>
          <w:highlight w:val="lightGray"/>
          <w:shd w:val="clear" w:color="auto" w:fill="FFFFFF"/>
        </w:rPr>
        <w:t>NAIC Staff Note:</w:t>
      </w:r>
      <w:r w:rsidR="003073E1" w:rsidRPr="00186E7D">
        <w:rPr>
          <w:sz w:val="22"/>
          <w:szCs w:val="22"/>
          <w:highlight w:val="lightGray"/>
          <w:shd w:val="clear" w:color="auto" w:fill="FFFFFF"/>
        </w:rPr>
        <w:t xml:space="preserve"> </w:t>
      </w:r>
      <w:r w:rsidR="009877F0" w:rsidRPr="00186E7D">
        <w:rPr>
          <w:sz w:val="22"/>
          <w:szCs w:val="22"/>
          <w:highlight w:val="lightGray"/>
          <w:shd w:val="clear" w:color="auto" w:fill="FFFFFF"/>
        </w:rPr>
        <w:t xml:space="preserve">NAIC staff is aware that reporting entities plan to enter into updated TSA agreements based on the </w:t>
      </w:r>
      <w:r w:rsidR="00817B63" w:rsidRPr="00186E7D">
        <w:rPr>
          <w:sz w:val="22"/>
          <w:szCs w:val="22"/>
          <w:highlight w:val="lightGray"/>
          <w:shd w:val="clear" w:color="auto" w:fill="FFFFFF"/>
        </w:rPr>
        <w:t xml:space="preserve">results of the guidance from this INT. </w:t>
      </w:r>
    </w:p>
    <w:p w14:paraId="625E0973" w14:textId="484A6D82" w:rsidR="00543955" w:rsidRPr="00186E7D" w:rsidRDefault="00543955" w:rsidP="007E7565">
      <w:pPr>
        <w:pStyle w:val="ListNumber"/>
        <w:numPr>
          <w:ilvl w:val="0"/>
          <w:numId w:val="0"/>
        </w:numPr>
        <w:jc w:val="both"/>
        <w:rPr>
          <w:i/>
          <w:iCs/>
          <w:sz w:val="22"/>
          <w:szCs w:val="22"/>
        </w:rPr>
      </w:pPr>
      <w:r w:rsidRPr="00186E7D">
        <w:rPr>
          <w:i/>
          <w:iCs/>
          <w:sz w:val="22"/>
          <w:szCs w:val="22"/>
        </w:rPr>
        <w:t>Recognition of CAMT Payable</w:t>
      </w:r>
    </w:p>
    <w:p w14:paraId="24BD2F64" w14:textId="77777777" w:rsidR="00543955" w:rsidRPr="00186E7D" w:rsidRDefault="00543955" w:rsidP="007E7565">
      <w:pPr>
        <w:pStyle w:val="ListNumber"/>
        <w:numPr>
          <w:ilvl w:val="0"/>
          <w:numId w:val="0"/>
        </w:numPr>
        <w:jc w:val="both"/>
        <w:rPr>
          <w:i/>
          <w:iCs/>
          <w:sz w:val="22"/>
          <w:szCs w:val="22"/>
          <w:u w:val="single"/>
        </w:rPr>
      </w:pPr>
    </w:p>
    <w:p w14:paraId="6610E547" w14:textId="09D4AF31" w:rsidR="00C11526" w:rsidRDefault="006D7531" w:rsidP="00D2684A">
      <w:pPr>
        <w:pStyle w:val="ListNumber"/>
        <w:tabs>
          <w:tab w:val="clear" w:pos="360"/>
        </w:tabs>
        <w:spacing w:after="220"/>
        <w:ind w:left="0" w:firstLine="0"/>
        <w:jc w:val="both"/>
        <w:rPr>
          <w:sz w:val="22"/>
          <w:szCs w:val="22"/>
        </w:rPr>
      </w:pPr>
      <w:r w:rsidRPr="00936E49">
        <w:rPr>
          <w:sz w:val="22"/>
          <w:szCs w:val="22"/>
        </w:rPr>
        <w:t xml:space="preserve">Reporting entities </w:t>
      </w:r>
      <w:r w:rsidR="008A10D5" w:rsidRPr="00936E49">
        <w:rPr>
          <w:sz w:val="22"/>
          <w:szCs w:val="22"/>
        </w:rPr>
        <w:t xml:space="preserve">that </w:t>
      </w:r>
      <w:r w:rsidR="008A10D5">
        <w:rPr>
          <w:sz w:val="22"/>
          <w:szCs w:val="22"/>
        </w:rPr>
        <w:t xml:space="preserve">are </w:t>
      </w:r>
      <w:r w:rsidRPr="00936E49">
        <w:rPr>
          <w:sz w:val="22"/>
          <w:szCs w:val="22"/>
        </w:rPr>
        <w:t xml:space="preserve">applicable </w:t>
      </w:r>
      <w:r w:rsidR="00543955" w:rsidRPr="00936E49">
        <w:rPr>
          <w:sz w:val="22"/>
          <w:szCs w:val="22"/>
        </w:rPr>
        <w:t>corporations</w:t>
      </w:r>
      <w:r w:rsidRPr="00936E49">
        <w:rPr>
          <w:sz w:val="22"/>
          <w:szCs w:val="22"/>
        </w:rPr>
        <w:t>,</w:t>
      </w:r>
      <w:r w:rsidR="00EB7026">
        <w:rPr>
          <w:sz w:val="22"/>
          <w:szCs w:val="22"/>
        </w:rPr>
        <w:t xml:space="preserve"> </w:t>
      </w:r>
      <w:r w:rsidR="00CC6A12">
        <w:rPr>
          <w:sz w:val="22"/>
          <w:szCs w:val="22"/>
        </w:rPr>
        <w:t xml:space="preserve">excluding </w:t>
      </w:r>
      <w:r w:rsidR="00A23F19">
        <w:rPr>
          <w:sz w:val="22"/>
          <w:szCs w:val="22"/>
        </w:rPr>
        <w:t xml:space="preserve">those </w:t>
      </w:r>
      <w:r w:rsidRPr="00936E49">
        <w:rPr>
          <w:sz w:val="22"/>
          <w:szCs w:val="22"/>
        </w:rPr>
        <w:t xml:space="preserve">captured </w:t>
      </w:r>
      <w:r w:rsidR="00457E67">
        <w:rPr>
          <w:sz w:val="22"/>
          <w:szCs w:val="22"/>
        </w:rPr>
        <w:t xml:space="preserve">as having </w:t>
      </w:r>
      <w:r w:rsidR="00F1215B">
        <w:rPr>
          <w:sz w:val="22"/>
          <w:szCs w:val="22"/>
        </w:rPr>
        <w:t xml:space="preserve">qualifying TSA </w:t>
      </w:r>
      <w:r w:rsidR="00F1215B" w:rsidRPr="00D2684A">
        <w:rPr>
          <w:sz w:val="22"/>
          <w:szCs w:val="22"/>
          <w:shd w:val="clear" w:color="auto" w:fill="FFFFFF"/>
        </w:rPr>
        <w:t>exclusions</w:t>
      </w:r>
      <w:r w:rsidR="00F1215B">
        <w:rPr>
          <w:sz w:val="22"/>
          <w:szCs w:val="22"/>
        </w:rPr>
        <w:t xml:space="preserve"> </w:t>
      </w:r>
      <w:r w:rsidR="00CC6A12">
        <w:rPr>
          <w:sz w:val="22"/>
          <w:szCs w:val="22"/>
        </w:rPr>
        <w:t>per</w:t>
      </w:r>
      <w:r w:rsidR="00CC6A12" w:rsidRPr="00936E49">
        <w:rPr>
          <w:sz w:val="22"/>
          <w:szCs w:val="22"/>
        </w:rPr>
        <w:t xml:space="preserve"> </w:t>
      </w:r>
      <w:r w:rsidRPr="00936E49">
        <w:rPr>
          <w:sz w:val="22"/>
          <w:szCs w:val="22"/>
        </w:rPr>
        <w:t>paragraph 1</w:t>
      </w:r>
      <w:r w:rsidR="00F62C9E">
        <w:rPr>
          <w:sz w:val="22"/>
          <w:szCs w:val="22"/>
        </w:rPr>
        <w:t>1</w:t>
      </w:r>
      <w:r w:rsidR="00541737">
        <w:rPr>
          <w:sz w:val="22"/>
          <w:szCs w:val="22"/>
        </w:rPr>
        <w:t xml:space="preserve"> of this interpretation</w:t>
      </w:r>
      <w:r w:rsidRPr="00936E49">
        <w:rPr>
          <w:sz w:val="22"/>
          <w:szCs w:val="22"/>
        </w:rPr>
        <w:t>, are required to take CAMT payable into account in the calculation of current income tax expense</w:t>
      </w:r>
      <w:r w:rsidR="00CC6A12">
        <w:rPr>
          <w:sz w:val="22"/>
          <w:szCs w:val="22"/>
        </w:rPr>
        <w:t xml:space="preserve"> pursuant to SSAP No. 101</w:t>
      </w:r>
      <w:r w:rsidRPr="00936E49">
        <w:rPr>
          <w:sz w:val="22"/>
          <w:szCs w:val="22"/>
        </w:rPr>
        <w:t xml:space="preserve">. </w:t>
      </w:r>
      <w:r w:rsidR="00543955" w:rsidRPr="00936E49">
        <w:rPr>
          <w:sz w:val="22"/>
          <w:szCs w:val="22"/>
        </w:rPr>
        <w:t xml:space="preserve">Reporting entities </w:t>
      </w:r>
      <w:r w:rsidR="00EB7026" w:rsidRPr="00936E49">
        <w:rPr>
          <w:sz w:val="22"/>
          <w:szCs w:val="22"/>
        </w:rPr>
        <w:t>shall</w:t>
      </w:r>
      <w:r w:rsidR="00EB7026">
        <w:rPr>
          <w:sz w:val="22"/>
          <w:szCs w:val="22"/>
        </w:rPr>
        <w:t xml:space="preserve"> accrue</w:t>
      </w:r>
      <w:r w:rsidR="00F04F98">
        <w:rPr>
          <w:sz w:val="22"/>
          <w:szCs w:val="22"/>
        </w:rPr>
        <w:t xml:space="preserve"> </w:t>
      </w:r>
      <w:r w:rsidR="00543955" w:rsidRPr="00936E49">
        <w:rPr>
          <w:sz w:val="22"/>
          <w:szCs w:val="22"/>
        </w:rPr>
        <w:t xml:space="preserve">the CAMT owed, reflecting the amount </w:t>
      </w:r>
      <w:r w:rsidR="00BE2C84">
        <w:rPr>
          <w:sz w:val="22"/>
          <w:szCs w:val="22"/>
        </w:rPr>
        <w:t>owed as a separate return filer</w:t>
      </w:r>
      <w:r w:rsidR="00543955" w:rsidRPr="00936E49">
        <w:rPr>
          <w:sz w:val="22"/>
          <w:szCs w:val="22"/>
        </w:rPr>
        <w:t xml:space="preserve"> or in accordance with the amount allocated through the </w:t>
      </w:r>
      <w:r w:rsidR="00EB7026">
        <w:rPr>
          <w:sz w:val="22"/>
          <w:szCs w:val="22"/>
        </w:rPr>
        <w:t>tax-controlled</w:t>
      </w:r>
      <w:r w:rsidR="002D62E6">
        <w:rPr>
          <w:sz w:val="22"/>
          <w:szCs w:val="22"/>
        </w:rPr>
        <w:t xml:space="preserve"> </w:t>
      </w:r>
      <w:r w:rsidR="00543955" w:rsidRPr="00936E49">
        <w:rPr>
          <w:sz w:val="22"/>
          <w:szCs w:val="22"/>
        </w:rPr>
        <w:t>group’s tax sharing agreement</w:t>
      </w:r>
      <w:r w:rsidR="008A53C5">
        <w:rPr>
          <w:sz w:val="22"/>
          <w:szCs w:val="22"/>
        </w:rPr>
        <w:t xml:space="preserve"> pursuant to paragraph</w:t>
      </w:r>
      <w:r w:rsidR="00444E2F">
        <w:rPr>
          <w:sz w:val="22"/>
          <w:szCs w:val="22"/>
        </w:rPr>
        <w:t xml:space="preserve"> 1</w:t>
      </w:r>
      <w:r w:rsidR="00727F7A">
        <w:rPr>
          <w:sz w:val="22"/>
          <w:szCs w:val="22"/>
        </w:rPr>
        <w:t>5</w:t>
      </w:r>
      <w:r w:rsidR="00444E2F">
        <w:rPr>
          <w:sz w:val="22"/>
          <w:szCs w:val="22"/>
        </w:rPr>
        <w:t xml:space="preserve"> of this INT</w:t>
      </w:r>
      <w:r w:rsidR="00543955" w:rsidRPr="00936E49">
        <w:rPr>
          <w:sz w:val="22"/>
          <w:szCs w:val="22"/>
        </w:rPr>
        <w:t>.</w:t>
      </w:r>
    </w:p>
    <w:p w14:paraId="7F40505A" w14:textId="18D4D60D" w:rsidR="00543955" w:rsidRPr="005B0DAF" w:rsidRDefault="003910F4" w:rsidP="00DF775A">
      <w:pPr>
        <w:pStyle w:val="ListNumber"/>
        <w:tabs>
          <w:tab w:val="clear" w:pos="360"/>
        </w:tabs>
        <w:spacing w:after="220"/>
        <w:ind w:left="0" w:firstLine="0"/>
        <w:jc w:val="both"/>
        <w:rPr>
          <w:sz w:val="22"/>
          <w:szCs w:val="22"/>
        </w:rPr>
      </w:pPr>
      <w:r w:rsidRPr="005B0DAF">
        <w:rPr>
          <w:sz w:val="22"/>
          <w:szCs w:val="22"/>
        </w:rPr>
        <w:t xml:space="preserve">Consistent with SSAP No. 101, </w:t>
      </w:r>
      <w:r w:rsidR="008514A8" w:rsidRPr="005B0DAF">
        <w:rPr>
          <w:sz w:val="22"/>
          <w:szCs w:val="22"/>
        </w:rPr>
        <w:t xml:space="preserve">paragraph 8, </w:t>
      </w:r>
      <w:r w:rsidR="005244C2" w:rsidRPr="005B0DAF">
        <w:rPr>
          <w:sz w:val="22"/>
          <w:szCs w:val="22"/>
        </w:rPr>
        <w:t>changes in DTAs and DTLs, including changes attributable to changes in tax rates and changes in tax status, if any, shall be recognized as a separate component of gains and losses in unassigned funds</w:t>
      </w:r>
      <w:r w:rsidR="00C91BD8" w:rsidRPr="005B0DAF">
        <w:rPr>
          <w:sz w:val="22"/>
          <w:szCs w:val="22"/>
        </w:rPr>
        <w:t xml:space="preserve"> </w:t>
      </w:r>
      <w:r w:rsidR="005244C2" w:rsidRPr="005B0DAF">
        <w:rPr>
          <w:sz w:val="22"/>
          <w:szCs w:val="22"/>
        </w:rPr>
        <w:t>(</w:t>
      </w:r>
      <w:r w:rsidR="004A74D9" w:rsidRPr="005B0DAF">
        <w:rPr>
          <w:sz w:val="22"/>
          <w:szCs w:val="22"/>
        </w:rPr>
        <w:t>surplus) as</w:t>
      </w:r>
      <w:r w:rsidR="00162554" w:rsidRPr="005B0DAF">
        <w:rPr>
          <w:sz w:val="22"/>
          <w:szCs w:val="22"/>
        </w:rPr>
        <w:t xml:space="preserve"> “change in net deferred income</w:t>
      </w:r>
      <w:r w:rsidR="00236B36" w:rsidRPr="005B0DAF">
        <w:rPr>
          <w:sz w:val="22"/>
          <w:szCs w:val="22"/>
        </w:rPr>
        <w:t xml:space="preserve"> </w:t>
      </w:r>
      <w:r w:rsidR="00162554" w:rsidRPr="005B0DAF">
        <w:rPr>
          <w:sz w:val="22"/>
          <w:szCs w:val="22"/>
        </w:rPr>
        <w:t>tax,” excluding any change reflected in unrealized capital gains.</w:t>
      </w:r>
    </w:p>
    <w:p w14:paraId="2C80612E" w14:textId="49939295" w:rsidR="00885C73" w:rsidRPr="00313ED8" w:rsidRDefault="00885C73" w:rsidP="00427A81">
      <w:pPr>
        <w:pStyle w:val="ListNumber"/>
        <w:tabs>
          <w:tab w:val="clear" w:pos="360"/>
        </w:tabs>
        <w:ind w:left="0" w:firstLine="0"/>
        <w:jc w:val="both"/>
        <w:rPr>
          <w:sz w:val="22"/>
          <w:szCs w:val="22"/>
        </w:rPr>
      </w:pPr>
      <w:r w:rsidRPr="00427A81">
        <w:rPr>
          <w:sz w:val="22"/>
          <w:szCs w:val="22"/>
        </w:rPr>
        <w:t xml:space="preserve">Paragraph 8.3 of SSAP No. 101 Exhibit A – Implementation Questions and </w:t>
      </w:r>
      <w:r w:rsidRPr="00313ED8">
        <w:rPr>
          <w:sz w:val="22"/>
          <w:szCs w:val="22"/>
        </w:rPr>
        <w:t xml:space="preserve">Answers (Q&amp;A) is not applicable </w:t>
      </w:r>
      <w:r w:rsidR="00313ED8" w:rsidRPr="00313ED8">
        <w:rPr>
          <w:sz w:val="22"/>
          <w:szCs w:val="22"/>
        </w:rPr>
        <w:t>to reporting</w:t>
      </w:r>
      <w:r w:rsidRPr="00313ED8">
        <w:rPr>
          <w:sz w:val="22"/>
          <w:szCs w:val="22"/>
        </w:rPr>
        <w:t xml:space="preserve"> entities </w:t>
      </w:r>
      <w:r w:rsidR="00CC6A12" w:rsidRPr="00313ED8">
        <w:rPr>
          <w:sz w:val="22"/>
          <w:szCs w:val="22"/>
        </w:rPr>
        <w:t>subject to</w:t>
      </w:r>
      <w:r w:rsidRPr="00313ED8">
        <w:rPr>
          <w:sz w:val="22"/>
          <w:szCs w:val="22"/>
        </w:rPr>
        <w:t xml:space="preserve"> CAMT</w:t>
      </w:r>
      <w:r w:rsidR="00CC6A12" w:rsidRPr="00313ED8">
        <w:rPr>
          <w:sz w:val="22"/>
          <w:szCs w:val="22"/>
        </w:rPr>
        <w:t xml:space="preserve"> through a tax-controlled group structure</w:t>
      </w:r>
      <w:r w:rsidRPr="00313ED8">
        <w:rPr>
          <w:sz w:val="22"/>
          <w:szCs w:val="22"/>
        </w:rPr>
        <w:t>.</w:t>
      </w:r>
      <w:r w:rsidR="009764F0" w:rsidRPr="00313ED8">
        <w:rPr>
          <w:sz w:val="22"/>
          <w:szCs w:val="22"/>
        </w:rPr>
        <w:t xml:space="preserve"> This exclusion is provided due to the consolidated nature of the CAMT calculation.</w:t>
      </w:r>
      <w:r w:rsidR="00114D79" w:rsidRPr="00313ED8">
        <w:rPr>
          <w:sz w:val="22"/>
          <w:szCs w:val="22"/>
        </w:rPr>
        <w:t xml:space="preserve"> Any theoretical separate entity calculation of the CAMT liability </w:t>
      </w:r>
      <w:r w:rsidR="00CC6A12" w:rsidRPr="00313ED8">
        <w:rPr>
          <w:sz w:val="22"/>
          <w:szCs w:val="22"/>
        </w:rPr>
        <w:t xml:space="preserve">may </w:t>
      </w:r>
      <w:r w:rsidR="0021294A" w:rsidRPr="00313ED8">
        <w:rPr>
          <w:sz w:val="22"/>
          <w:szCs w:val="22"/>
        </w:rPr>
        <w:t xml:space="preserve">be unrelated to the actual </w:t>
      </w:r>
      <w:r w:rsidR="008F552A" w:rsidRPr="00313ED8">
        <w:rPr>
          <w:sz w:val="22"/>
          <w:szCs w:val="22"/>
        </w:rPr>
        <w:t>consolidated</w:t>
      </w:r>
      <w:r w:rsidR="0021294A" w:rsidRPr="00313ED8">
        <w:rPr>
          <w:sz w:val="22"/>
          <w:szCs w:val="22"/>
        </w:rPr>
        <w:t xml:space="preserve"> tax return computations </w:t>
      </w:r>
      <w:r w:rsidR="00096452" w:rsidRPr="00313ED8">
        <w:rPr>
          <w:sz w:val="22"/>
          <w:szCs w:val="22"/>
        </w:rPr>
        <w:t>and</w:t>
      </w:r>
      <w:r w:rsidR="0021294A" w:rsidRPr="00313ED8">
        <w:rPr>
          <w:sz w:val="22"/>
          <w:szCs w:val="22"/>
        </w:rPr>
        <w:t xml:space="preserve"> to the </w:t>
      </w:r>
      <w:r w:rsidR="00E72434" w:rsidRPr="00313ED8">
        <w:rPr>
          <w:sz w:val="22"/>
          <w:szCs w:val="22"/>
        </w:rPr>
        <w:t>TSA allocation of liability</w:t>
      </w:r>
      <w:r w:rsidR="004C3805" w:rsidRPr="00313ED8">
        <w:rPr>
          <w:sz w:val="22"/>
          <w:szCs w:val="22"/>
        </w:rPr>
        <w:t xml:space="preserve">. </w:t>
      </w:r>
    </w:p>
    <w:p w14:paraId="54456693" w14:textId="77777777" w:rsidR="00186E7D" w:rsidRPr="00313ED8" w:rsidRDefault="00186E7D" w:rsidP="00186E7D">
      <w:pPr>
        <w:pStyle w:val="ListNumber"/>
        <w:numPr>
          <w:ilvl w:val="0"/>
          <w:numId w:val="0"/>
        </w:numPr>
        <w:jc w:val="both"/>
        <w:rPr>
          <w:sz w:val="22"/>
          <w:szCs w:val="22"/>
        </w:rPr>
      </w:pPr>
    </w:p>
    <w:p w14:paraId="056DE90E" w14:textId="339DDD76" w:rsidR="00936E49" w:rsidRPr="00CC65CA" w:rsidRDefault="00936E49" w:rsidP="00CC65CA">
      <w:pPr>
        <w:pStyle w:val="ListNumber"/>
        <w:numPr>
          <w:ilvl w:val="0"/>
          <w:numId w:val="0"/>
        </w:numPr>
        <w:jc w:val="both"/>
        <w:rPr>
          <w:i/>
          <w:iCs/>
          <w:sz w:val="22"/>
          <w:szCs w:val="22"/>
        </w:rPr>
      </w:pPr>
      <w:r w:rsidRPr="00CC65CA">
        <w:rPr>
          <w:i/>
          <w:iCs/>
          <w:sz w:val="22"/>
          <w:szCs w:val="22"/>
        </w:rPr>
        <w:t>Recognition of CAMT Deferred Tax Asset (Future Tax Credit)</w:t>
      </w:r>
    </w:p>
    <w:p w14:paraId="0C164E79" w14:textId="77777777" w:rsidR="00543955" w:rsidRPr="00CC65CA" w:rsidRDefault="00543955" w:rsidP="00543955">
      <w:pPr>
        <w:pStyle w:val="ListNumber"/>
        <w:numPr>
          <w:ilvl w:val="0"/>
          <w:numId w:val="0"/>
        </w:numPr>
        <w:jc w:val="both"/>
        <w:rPr>
          <w:sz w:val="22"/>
          <w:szCs w:val="22"/>
          <w:u w:val="single"/>
        </w:rPr>
      </w:pPr>
    </w:p>
    <w:p w14:paraId="14D83F6D" w14:textId="3F51967C" w:rsidR="00936E49" w:rsidRDefault="00936E49" w:rsidP="00936E49">
      <w:pPr>
        <w:pStyle w:val="ListNumber"/>
        <w:tabs>
          <w:tab w:val="clear" w:pos="360"/>
        </w:tabs>
        <w:ind w:left="0" w:firstLine="0"/>
        <w:jc w:val="both"/>
        <w:rPr>
          <w:sz w:val="22"/>
          <w:szCs w:val="22"/>
        </w:rPr>
      </w:pPr>
      <w:r w:rsidRPr="00CC65CA">
        <w:rPr>
          <w:sz w:val="22"/>
          <w:szCs w:val="22"/>
        </w:rPr>
        <w:t xml:space="preserve">Reporting entities shall </w:t>
      </w:r>
      <w:r w:rsidR="00320027">
        <w:rPr>
          <w:sz w:val="22"/>
          <w:szCs w:val="22"/>
        </w:rPr>
        <w:t xml:space="preserve">initially </w:t>
      </w:r>
      <w:r w:rsidRPr="00CC65CA">
        <w:rPr>
          <w:sz w:val="22"/>
          <w:szCs w:val="22"/>
        </w:rPr>
        <w:t xml:space="preserve">recognize a corresponding </w:t>
      </w:r>
      <w:r w:rsidR="00CC6A12">
        <w:rPr>
          <w:sz w:val="22"/>
          <w:szCs w:val="22"/>
        </w:rPr>
        <w:t>DTA</w:t>
      </w:r>
      <w:r w:rsidRPr="00CC65CA">
        <w:rPr>
          <w:sz w:val="22"/>
          <w:szCs w:val="22"/>
        </w:rPr>
        <w:t xml:space="preserve"> </w:t>
      </w:r>
      <w:r w:rsidR="00BA5F15">
        <w:rPr>
          <w:sz w:val="22"/>
          <w:szCs w:val="22"/>
        </w:rPr>
        <w:t xml:space="preserve">which </w:t>
      </w:r>
      <w:r w:rsidR="00566A08">
        <w:rPr>
          <w:sz w:val="22"/>
          <w:szCs w:val="22"/>
        </w:rPr>
        <w:t>represents the</w:t>
      </w:r>
      <w:r w:rsidRPr="00CC65CA">
        <w:rPr>
          <w:sz w:val="22"/>
          <w:szCs w:val="22"/>
        </w:rPr>
        <w:t xml:space="preserve"> indefinite </w:t>
      </w:r>
      <w:r w:rsidR="00313ED8">
        <w:rPr>
          <w:sz w:val="22"/>
          <w:szCs w:val="22"/>
        </w:rPr>
        <w:t xml:space="preserve">tax </w:t>
      </w:r>
      <w:r w:rsidRPr="00CC65CA">
        <w:rPr>
          <w:sz w:val="22"/>
          <w:szCs w:val="22"/>
        </w:rPr>
        <w:t xml:space="preserve">credit </w:t>
      </w:r>
      <w:r w:rsidRPr="005A33CA">
        <w:rPr>
          <w:sz w:val="22"/>
          <w:szCs w:val="22"/>
        </w:rPr>
        <w:t xml:space="preserve">carryover </w:t>
      </w:r>
      <w:r w:rsidR="00774DA9" w:rsidRPr="005A33CA">
        <w:rPr>
          <w:sz w:val="22"/>
          <w:szCs w:val="22"/>
        </w:rPr>
        <w:t>equal and offsetting to the current CAMT</w:t>
      </w:r>
      <w:r w:rsidR="00D14653" w:rsidRPr="005A33CA">
        <w:rPr>
          <w:sz w:val="22"/>
          <w:szCs w:val="22"/>
        </w:rPr>
        <w:t xml:space="preserve"> accrued</w:t>
      </w:r>
      <w:r w:rsidR="002D39E5" w:rsidRPr="005A33CA">
        <w:rPr>
          <w:sz w:val="22"/>
          <w:szCs w:val="22"/>
        </w:rPr>
        <w:t>.</w:t>
      </w:r>
      <w:r w:rsidR="002D39E5">
        <w:rPr>
          <w:sz w:val="22"/>
          <w:szCs w:val="22"/>
        </w:rPr>
        <w:t xml:space="preserve"> Th</w:t>
      </w:r>
      <w:r w:rsidR="00CC65CA">
        <w:rPr>
          <w:sz w:val="22"/>
          <w:szCs w:val="22"/>
        </w:rPr>
        <w:t>e</w:t>
      </w:r>
      <w:r w:rsidR="002D39E5">
        <w:rPr>
          <w:sz w:val="22"/>
          <w:szCs w:val="22"/>
        </w:rPr>
        <w:t xml:space="preserve"> </w:t>
      </w:r>
      <w:r w:rsidR="00320027">
        <w:rPr>
          <w:sz w:val="22"/>
          <w:szCs w:val="22"/>
        </w:rPr>
        <w:t xml:space="preserve">CAMT tax </w:t>
      </w:r>
      <w:r w:rsidR="00EB7026">
        <w:rPr>
          <w:sz w:val="22"/>
          <w:szCs w:val="22"/>
        </w:rPr>
        <w:t>credit</w:t>
      </w:r>
      <w:r w:rsidRPr="00CC65CA">
        <w:rPr>
          <w:sz w:val="22"/>
          <w:szCs w:val="22"/>
        </w:rPr>
        <w:t xml:space="preserve"> can be used to reduce regular tax in future years when the regular tax liability is in excess of the CAMT tax liability as permitted under the tax law. </w:t>
      </w:r>
    </w:p>
    <w:p w14:paraId="4FDA2998" w14:textId="776C2752" w:rsidR="00936E49" w:rsidRDefault="00936E49" w:rsidP="00936E49">
      <w:pPr>
        <w:pStyle w:val="ListNumber"/>
        <w:numPr>
          <w:ilvl w:val="0"/>
          <w:numId w:val="0"/>
        </w:numPr>
        <w:ind w:left="360" w:hanging="360"/>
        <w:jc w:val="both"/>
        <w:rPr>
          <w:sz w:val="22"/>
          <w:szCs w:val="22"/>
          <w:highlight w:val="yellow"/>
        </w:rPr>
      </w:pPr>
    </w:p>
    <w:p w14:paraId="20089B6F" w14:textId="12431453" w:rsidR="007E7565" w:rsidRPr="00186E7D" w:rsidRDefault="00543955" w:rsidP="007E7565">
      <w:pPr>
        <w:pStyle w:val="ListNumber"/>
        <w:numPr>
          <w:ilvl w:val="0"/>
          <w:numId w:val="0"/>
        </w:numPr>
        <w:jc w:val="both"/>
        <w:rPr>
          <w:i/>
          <w:iCs/>
          <w:sz w:val="22"/>
          <w:szCs w:val="22"/>
        </w:rPr>
      </w:pPr>
      <w:r w:rsidRPr="00186E7D">
        <w:rPr>
          <w:i/>
          <w:iCs/>
          <w:sz w:val="22"/>
          <w:szCs w:val="22"/>
        </w:rPr>
        <w:t xml:space="preserve">Impact of CAMT to the </w:t>
      </w:r>
      <w:r w:rsidR="005C615A" w:rsidRPr="002171E9">
        <w:rPr>
          <w:i/>
          <w:iCs/>
          <w:sz w:val="22"/>
          <w:szCs w:val="22"/>
        </w:rPr>
        <w:t xml:space="preserve">Statutory </w:t>
      </w:r>
      <w:r w:rsidR="007E7565" w:rsidRPr="00186E7D">
        <w:rPr>
          <w:i/>
          <w:iCs/>
          <w:sz w:val="22"/>
          <w:szCs w:val="22"/>
        </w:rPr>
        <w:t xml:space="preserve">Valuation Allowance </w:t>
      </w:r>
    </w:p>
    <w:p w14:paraId="053FAB53" w14:textId="77777777" w:rsidR="007E7565" w:rsidRPr="00A81B5A" w:rsidRDefault="007E7565" w:rsidP="007E7565">
      <w:pPr>
        <w:pStyle w:val="ListNumber"/>
        <w:numPr>
          <w:ilvl w:val="0"/>
          <w:numId w:val="0"/>
        </w:numPr>
        <w:jc w:val="both"/>
        <w:rPr>
          <w:sz w:val="22"/>
          <w:szCs w:val="22"/>
        </w:rPr>
      </w:pPr>
    </w:p>
    <w:p w14:paraId="769C32E4" w14:textId="77777777" w:rsidR="007E7565" w:rsidRDefault="007E7565" w:rsidP="00322E8B">
      <w:pPr>
        <w:pStyle w:val="ListNumber"/>
        <w:tabs>
          <w:tab w:val="clear" w:pos="360"/>
        </w:tabs>
        <w:ind w:left="0" w:firstLine="0"/>
        <w:jc w:val="both"/>
        <w:rPr>
          <w:sz w:val="22"/>
          <w:szCs w:val="22"/>
        </w:rPr>
      </w:pPr>
      <w:r w:rsidRPr="00A81B5A">
        <w:rPr>
          <w:sz w:val="22"/>
          <w:szCs w:val="22"/>
        </w:rPr>
        <w:t xml:space="preserve"> </w:t>
      </w:r>
      <w:r w:rsidRPr="00A81B5A">
        <w:rPr>
          <w:i/>
          <w:iCs/>
          <w:sz w:val="22"/>
          <w:szCs w:val="22"/>
        </w:rPr>
        <w:t>SSAP No. 101—Income Taxes</w:t>
      </w:r>
      <w:r w:rsidRPr="00A81B5A">
        <w:rPr>
          <w:sz w:val="22"/>
          <w:szCs w:val="22"/>
        </w:rPr>
        <w:t xml:space="preserve">, paragraph 7.e. requires the statutory valuation allowance adjustment as a direct reduction in the gross DTA if, based on the weight of available evidence, it is more likely than not that some or all of the </w:t>
      </w:r>
      <w:r w:rsidRPr="00CE0AF8">
        <w:rPr>
          <w:sz w:val="22"/>
          <w:szCs w:val="22"/>
        </w:rPr>
        <w:t xml:space="preserve">gross </w:t>
      </w:r>
      <w:r w:rsidRPr="00A81B5A">
        <w:rPr>
          <w:sz w:val="22"/>
          <w:szCs w:val="22"/>
        </w:rPr>
        <w:t xml:space="preserve">DTAs will not be realized. Gross DTA less the statutory valuation allowance results in adjusted gross DTAs. The statutory valuation allowance adjustment is not reported as a separate line in the statutory financial statements (it is an off-balance sheet item that reduces the gross DTAs). The statutory valuation allowance is disclosed. </w:t>
      </w:r>
    </w:p>
    <w:p w14:paraId="2E7EB173" w14:textId="7F426FFD" w:rsidR="00514A36" w:rsidRDefault="00145DB0" w:rsidP="00F24627">
      <w:pPr>
        <w:pStyle w:val="ListNumber"/>
        <w:numPr>
          <w:ilvl w:val="0"/>
          <w:numId w:val="0"/>
        </w:numPr>
        <w:jc w:val="both"/>
        <w:rPr>
          <w:sz w:val="22"/>
          <w:szCs w:val="22"/>
        </w:rPr>
      </w:pPr>
      <w:r>
        <w:rPr>
          <w:sz w:val="22"/>
          <w:szCs w:val="22"/>
        </w:rPr>
        <w:t xml:space="preserve"> </w:t>
      </w:r>
    </w:p>
    <w:p w14:paraId="73C676FA" w14:textId="282BE3F2" w:rsidR="00E50131" w:rsidRDefault="00E50131" w:rsidP="00E50131">
      <w:pPr>
        <w:pStyle w:val="ListNumber"/>
        <w:tabs>
          <w:tab w:val="clear" w:pos="360"/>
        </w:tabs>
        <w:ind w:left="0" w:firstLine="0"/>
        <w:jc w:val="both"/>
        <w:rPr>
          <w:sz w:val="22"/>
          <w:szCs w:val="22"/>
        </w:rPr>
      </w:pPr>
      <w:r>
        <w:rPr>
          <w:sz w:val="22"/>
          <w:szCs w:val="22"/>
        </w:rPr>
        <w:t>The determination of a statutory valuation allowance</w:t>
      </w:r>
      <w:r w:rsidR="00CE0AF8">
        <w:rPr>
          <w:rStyle w:val="FootnoteReference"/>
          <w:sz w:val="22"/>
          <w:szCs w:val="22"/>
        </w:rPr>
        <w:footnoteReference w:id="6"/>
      </w:r>
      <w:r>
        <w:rPr>
          <w:sz w:val="22"/>
          <w:szCs w:val="22"/>
        </w:rPr>
        <w:t xml:space="preserve"> for CAMT credit carryforwards depends on whether the reporting entity is part of a </w:t>
      </w:r>
      <w:r w:rsidR="003055A3">
        <w:rPr>
          <w:sz w:val="22"/>
          <w:szCs w:val="22"/>
        </w:rPr>
        <w:t>consolidated tax return group or a separate tax return filer</w:t>
      </w:r>
      <w:r>
        <w:rPr>
          <w:sz w:val="22"/>
          <w:szCs w:val="22"/>
        </w:rPr>
        <w:t xml:space="preserve">: </w:t>
      </w:r>
    </w:p>
    <w:p w14:paraId="1FCF4ECF" w14:textId="77777777" w:rsidR="00E50131" w:rsidRDefault="00E50131" w:rsidP="00E50131">
      <w:pPr>
        <w:pStyle w:val="ListParagraph"/>
      </w:pPr>
    </w:p>
    <w:p w14:paraId="6F0F0F1F" w14:textId="7E2CC8E3" w:rsidR="00E50131" w:rsidRPr="00EE1916" w:rsidRDefault="00032ACB" w:rsidP="002D1AD8">
      <w:pPr>
        <w:pStyle w:val="ListNumber"/>
        <w:numPr>
          <w:ilvl w:val="0"/>
          <w:numId w:val="13"/>
        </w:numPr>
        <w:ind w:left="1530" w:hanging="810"/>
        <w:jc w:val="both"/>
        <w:rPr>
          <w:sz w:val="22"/>
          <w:szCs w:val="22"/>
        </w:rPr>
      </w:pPr>
      <w:r>
        <w:rPr>
          <w:sz w:val="22"/>
          <w:szCs w:val="22"/>
        </w:rPr>
        <w:t xml:space="preserve">Consolidated </w:t>
      </w:r>
      <w:r w:rsidR="00AA145F">
        <w:rPr>
          <w:sz w:val="22"/>
          <w:szCs w:val="22"/>
        </w:rPr>
        <w:t xml:space="preserve">Tax Return </w:t>
      </w:r>
      <w:r w:rsidR="00E50131">
        <w:rPr>
          <w:sz w:val="22"/>
          <w:szCs w:val="22"/>
        </w:rPr>
        <w:t xml:space="preserve">Group: A reporting entity that is an applicable entity </w:t>
      </w:r>
      <w:r w:rsidR="0063527F">
        <w:rPr>
          <w:sz w:val="22"/>
          <w:szCs w:val="22"/>
        </w:rPr>
        <w:t xml:space="preserve">and a member of </w:t>
      </w:r>
      <w:r w:rsidR="007134A6">
        <w:rPr>
          <w:sz w:val="22"/>
          <w:szCs w:val="22"/>
        </w:rPr>
        <w:t>consolidate</w:t>
      </w:r>
      <w:r w:rsidR="00F528D8">
        <w:rPr>
          <w:sz w:val="22"/>
          <w:szCs w:val="22"/>
        </w:rPr>
        <w:t>d</w:t>
      </w:r>
      <w:r w:rsidR="007134A6">
        <w:rPr>
          <w:sz w:val="22"/>
          <w:szCs w:val="22"/>
        </w:rPr>
        <w:t xml:space="preserve"> tax ret</w:t>
      </w:r>
      <w:r w:rsidR="00386033">
        <w:rPr>
          <w:sz w:val="22"/>
          <w:szCs w:val="22"/>
        </w:rPr>
        <w:t>urn</w:t>
      </w:r>
      <w:r w:rsidR="00E50131">
        <w:rPr>
          <w:sz w:val="22"/>
          <w:szCs w:val="22"/>
        </w:rPr>
        <w:t xml:space="preserve"> group shall utilize the statutory valuation assessment for the CAMT credit carryforward completed at the </w:t>
      </w:r>
      <w:r w:rsidR="004B7B26">
        <w:rPr>
          <w:sz w:val="22"/>
          <w:szCs w:val="22"/>
        </w:rPr>
        <w:t>consolidated tax return g</w:t>
      </w:r>
      <w:r w:rsidR="00E50131">
        <w:rPr>
          <w:sz w:val="22"/>
          <w:szCs w:val="22"/>
        </w:rPr>
        <w:t xml:space="preserve">roup level. A reporting entity is not required to adjust the group statutory valuation allowance for CAMT credit </w:t>
      </w:r>
      <w:r w:rsidR="00C1618C">
        <w:rPr>
          <w:sz w:val="22"/>
          <w:szCs w:val="22"/>
        </w:rPr>
        <w:t>carryforwards.</w:t>
      </w:r>
      <w:r w:rsidR="00E50131">
        <w:rPr>
          <w:sz w:val="22"/>
          <w:szCs w:val="22"/>
        </w:rPr>
        <w:t xml:space="preserve"> Rather, the group determined statutory valuation allowance and the resulting credit carryforward deemed to be more likely than not to be realized, is permitted to be allocated to the reporting entity and reflected as an “CAMT adjusted gross DTA</w:t>
      </w:r>
      <w:r w:rsidR="00096452">
        <w:rPr>
          <w:sz w:val="22"/>
          <w:szCs w:val="22"/>
        </w:rPr>
        <w:t>.”</w:t>
      </w:r>
      <w:r w:rsidR="00E50131">
        <w:rPr>
          <w:sz w:val="22"/>
          <w:szCs w:val="22"/>
        </w:rPr>
        <w:t xml:space="preserve"> The reporting entity shall continue to have a separate statutory valuation allowance calculation for non-CAMT DTAs as required under SSAP </w:t>
      </w:r>
      <w:r w:rsidR="00E50131" w:rsidRPr="00EE1916">
        <w:rPr>
          <w:sz w:val="22"/>
          <w:szCs w:val="22"/>
        </w:rPr>
        <w:t xml:space="preserve">No. 101. The combination of the CAMT adjusted gross DTA (as received from the group) and the adjusted gross DTAs from non-CAMT DTAs shall equal the total adjusted gross DTAs </w:t>
      </w:r>
      <w:r w:rsidR="005253F2">
        <w:rPr>
          <w:sz w:val="22"/>
          <w:szCs w:val="22"/>
        </w:rPr>
        <w:t>review</w:t>
      </w:r>
      <w:r w:rsidR="005714B7">
        <w:rPr>
          <w:sz w:val="22"/>
          <w:szCs w:val="22"/>
        </w:rPr>
        <w:t>ed</w:t>
      </w:r>
      <w:r w:rsidR="005253F2">
        <w:rPr>
          <w:sz w:val="22"/>
          <w:szCs w:val="22"/>
        </w:rPr>
        <w:t xml:space="preserve"> for </w:t>
      </w:r>
      <w:r w:rsidR="00E50131" w:rsidRPr="00EE1916">
        <w:rPr>
          <w:sz w:val="22"/>
          <w:szCs w:val="22"/>
        </w:rPr>
        <w:t xml:space="preserve">admittance within the scope of this interpretation. </w:t>
      </w:r>
    </w:p>
    <w:p w14:paraId="2FC413BF" w14:textId="77777777" w:rsidR="00E50131" w:rsidRDefault="00E50131" w:rsidP="00E50131">
      <w:pPr>
        <w:pStyle w:val="ListNumber"/>
        <w:numPr>
          <w:ilvl w:val="0"/>
          <w:numId w:val="0"/>
        </w:numPr>
        <w:ind w:left="1080"/>
        <w:jc w:val="both"/>
        <w:rPr>
          <w:sz w:val="22"/>
          <w:szCs w:val="22"/>
        </w:rPr>
      </w:pPr>
    </w:p>
    <w:p w14:paraId="1036470E" w14:textId="7FE625D0" w:rsidR="00E50131" w:rsidRPr="008A5AD5" w:rsidRDefault="009966BD" w:rsidP="002D1AD8">
      <w:pPr>
        <w:pStyle w:val="ListNumber"/>
        <w:numPr>
          <w:ilvl w:val="0"/>
          <w:numId w:val="13"/>
        </w:numPr>
        <w:ind w:left="1530" w:hanging="810"/>
        <w:jc w:val="both"/>
        <w:rPr>
          <w:sz w:val="22"/>
          <w:szCs w:val="22"/>
        </w:rPr>
      </w:pPr>
      <w:r>
        <w:rPr>
          <w:sz w:val="22"/>
          <w:szCs w:val="22"/>
        </w:rPr>
        <w:t>Separate Tax Return Filer</w:t>
      </w:r>
      <w:r w:rsidR="00E50131">
        <w:rPr>
          <w:sz w:val="22"/>
          <w:szCs w:val="22"/>
        </w:rPr>
        <w:t xml:space="preserve">: A reporting entity that is an applicable entity </w:t>
      </w:r>
      <w:r w:rsidR="00687691">
        <w:rPr>
          <w:sz w:val="22"/>
          <w:szCs w:val="22"/>
        </w:rPr>
        <w:t>and files a separate tax return</w:t>
      </w:r>
      <w:r w:rsidR="00E50131">
        <w:rPr>
          <w:sz w:val="22"/>
          <w:szCs w:val="22"/>
        </w:rPr>
        <w:t xml:space="preserve">, is required to complete a statutory valuation allowance for all deferred tax assets, </w:t>
      </w:r>
      <w:r w:rsidR="00E50131" w:rsidRPr="008A5AD5">
        <w:rPr>
          <w:sz w:val="22"/>
          <w:szCs w:val="22"/>
        </w:rPr>
        <w:t>including CAMT credit carryforwards, in determining their total adjusted gross DTAs.</w:t>
      </w:r>
      <w:r w:rsidR="00B40616" w:rsidRPr="007645A0">
        <w:rPr>
          <w:sz w:val="22"/>
          <w:szCs w:val="22"/>
        </w:rPr>
        <w:t xml:space="preserve"> (The CAMT DTA can be assessed separately from non-CAMT DTAs in determining whether the DTA is more likely than not to be realized.)</w:t>
      </w:r>
      <w:r w:rsidR="00B40616" w:rsidRPr="008A5AD5">
        <w:rPr>
          <w:sz w:val="22"/>
          <w:szCs w:val="22"/>
        </w:rPr>
        <w:t xml:space="preserve"> </w:t>
      </w:r>
      <w:r w:rsidR="00E50131" w:rsidRPr="008A5AD5">
        <w:rPr>
          <w:sz w:val="22"/>
          <w:szCs w:val="22"/>
        </w:rPr>
        <w:t xml:space="preserve">The total adjusted gross DTAs </w:t>
      </w:r>
      <w:r w:rsidR="005253F2" w:rsidRPr="008A5AD5">
        <w:rPr>
          <w:sz w:val="22"/>
          <w:szCs w:val="22"/>
        </w:rPr>
        <w:t xml:space="preserve">are </w:t>
      </w:r>
      <w:r w:rsidR="00372C31" w:rsidRPr="008A5AD5">
        <w:rPr>
          <w:sz w:val="22"/>
          <w:szCs w:val="22"/>
        </w:rPr>
        <w:t>then reviewed</w:t>
      </w:r>
      <w:r w:rsidR="005253F2" w:rsidRPr="008A5AD5">
        <w:rPr>
          <w:sz w:val="22"/>
          <w:szCs w:val="22"/>
        </w:rPr>
        <w:t xml:space="preserve"> for </w:t>
      </w:r>
      <w:r w:rsidR="00E50131" w:rsidRPr="008A5AD5">
        <w:rPr>
          <w:sz w:val="22"/>
          <w:szCs w:val="22"/>
        </w:rPr>
        <w:t xml:space="preserve">admittance within the scope of this </w:t>
      </w:r>
      <w:r w:rsidR="00C06E81" w:rsidRPr="008A5AD5">
        <w:rPr>
          <w:sz w:val="22"/>
          <w:szCs w:val="22"/>
        </w:rPr>
        <w:t>interpretation.</w:t>
      </w:r>
    </w:p>
    <w:p w14:paraId="0D508E33" w14:textId="77777777" w:rsidR="00E50131" w:rsidRDefault="00E50131" w:rsidP="00E50131">
      <w:pPr>
        <w:pStyle w:val="ListNumber"/>
        <w:numPr>
          <w:ilvl w:val="0"/>
          <w:numId w:val="0"/>
        </w:numPr>
        <w:jc w:val="both"/>
        <w:rPr>
          <w:sz w:val="22"/>
          <w:szCs w:val="22"/>
        </w:rPr>
      </w:pPr>
    </w:p>
    <w:p w14:paraId="28CD45C8" w14:textId="77777777" w:rsidR="00372C31" w:rsidRPr="00372C31" w:rsidRDefault="009E4823">
      <w:pPr>
        <w:pStyle w:val="ListNumber"/>
        <w:tabs>
          <w:tab w:val="clear" w:pos="360"/>
        </w:tabs>
        <w:ind w:left="0" w:firstLine="0"/>
        <w:jc w:val="both"/>
        <w:rPr>
          <w:b/>
          <w:bCs/>
          <w:sz w:val="22"/>
          <w:szCs w:val="22"/>
        </w:rPr>
      </w:pPr>
      <w:r w:rsidRPr="00372C31">
        <w:rPr>
          <w:sz w:val="22"/>
          <w:szCs w:val="22"/>
        </w:rPr>
        <w:t xml:space="preserve">A reporting entity is allowed an accounting policy election to either consider or disregard CAMT when evaluating </w:t>
      </w:r>
      <w:r w:rsidRPr="00EC4B84">
        <w:rPr>
          <w:sz w:val="22"/>
          <w:szCs w:val="22"/>
        </w:rPr>
        <w:t>the need for a valuation allowance for its regular tax DTAs.</w:t>
      </w:r>
      <w:r w:rsidRPr="00EC4B84">
        <w:rPr>
          <w:sz w:val="22"/>
          <w:szCs w:val="22"/>
          <w:vertAlign w:val="superscript"/>
        </w:rPr>
        <w:footnoteReference w:id="7"/>
      </w:r>
      <w:r w:rsidRPr="00EC4B84">
        <w:rPr>
          <w:sz w:val="22"/>
          <w:szCs w:val="22"/>
        </w:rPr>
        <w:t xml:space="preserve">  The</w:t>
      </w:r>
      <w:r w:rsidRPr="00372C31">
        <w:rPr>
          <w:sz w:val="22"/>
          <w:szCs w:val="22"/>
        </w:rPr>
        <w:t xml:space="preserve"> accounting policy election applies for valuation allowance purposes only </w:t>
      </w:r>
      <w:r w:rsidR="005710CF" w:rsidRPr="00372C31">
        <w:rPr>
          <w:sz w:val="22"/>
          <w:szCs w:val="22"/>
        </w:rPr>
        <w:t>–</w:t>
      </w:r>
      <w:r w:rsidRPr="00372C31">
        <w:rPr>
          <w:sz w:val="22"/>
          <w:szCs w:val="22"/>
        </w:rPr>
        <w:t xml:space="preserve"> that is, in the determination of adjusted gross DTAs other than CAMT-related DTAs</w:t>
      </w:r>
      <w:r w:rsidR="00056EE2" w:rsidRPr="00372C31">
        <w:rPr>
          <w:sz w:val="22"/>
          <w:szCs w:val="22"/>
        </w:rPr>
        <w:t xml:space="preserve">. </w:t>
      </w:r>
      <w:r w:rsidRPr="00372C31">
        <w:rPr>
          <w:sz w:val="22"/>
          <w:szCs w:val="22"/>
        </w:rPr>
        <w:t>This accounting policy election cannot be used to avoid a valuation allowance analysis for CAMT credit carryforward DTAs. The accounting policy election must be disclosed in the notes to the financial statements and applied consistently in subsequent reporting periods</w:t>
      </w:r>
      <w:r w:rsidR="00E22C7E" w:rsidRPr="00372C31">
        <w:rPr>
          <w:sz w:val="22"/>
          <w:szCs w:val="22"/>
        </w:rPr>
        <w:t>.</w:t>
      </w:r>
      <w:r w:rsidR="00526210" w:rsidRPr="00372C31">
        <w:rPr>
          <w:sz w:val="22"/>
          <w:szCs w:val="22"/>
        </w:rPr>
        <w:t xml:space="preserve"> </w:t>
      </w:r>
    </w:p>
    <w:p w14:paraId="60FCBE97" w14:textId="77777777" w:rsidR="00372C31" w:rsidRPr="00372C31" w:rsidRDefault="00372C31" w:rsidP="00372C31">
      <w:pPr>
        <w:pStyle w:val="ListNumber"/>
        <w:numPr>
          <w:ilvl w:val="0"/>
          <w:numId w:val="0"/>
        </w:numPr>
        <w:jc w:val="both"/>
        <w:rPr>
          <w:b/>
          <w:bCs/>
          <w:sz w:val="22"/>
          <w:szCs w:val="22"/>
        </w:rPr>
      </w:pPr>
    </w:p>
    <w:p w14:paraId="3CAC5424" w14:textId="65FAC8F8" w:rsidR="00436F92" w:rsidRPr="00372C31" w:rsidRDefault="00436F92" w:rsidP="00372C31">
      <w:pPr>
        <w:pStyle w:val="ListNumber"/>
        <w:numPr>
          <w:ilvl w:val="0"/>
          <w:numId w:val="0"/>
        </w:numPr>
        <w:jc w:val="both"/>
        <w:rPr>
          <w:b/>
          <w:bCs/>
          <w:sz w:val="22"/>
          <w:szCs w:val="22"/>
        </w:rPr>
      </w:pPr>
      <w:r w:rsidRPr="00372C31">
        <w:rPr>
          <w:b/>
          <w:bCs/>
          <w:sz w:val="22"/>
          <w:szCs w:val="22"/>
        </w:rPr>
        <w:t xml:space="preserve">Admissibility </w:t>
      </w:r>
    </w:p>
    <w:p w14:paraId="3A24C6BD" w14:textId="77777777" w:rsidR="00436F92" w:rsidRPr="00372C31" w:rsidRDefault="00436F92" w:rsidP="00A81B5A">
      <w:pPr>
        <w:jc w:val="both"/>
        <w:rPr>
          <w:sz w:val="22"/>
          <w:szCs w:val="22"/>
          <w:u w:val="single"/>
        </w:rPr>
      </w:pPr>
    </w:p>
    <w:p w14:paraId="4364C66F" w14:textId="77777777" w:rsidR="00C722DA" w:rsidRPr="002C45DB" w:rsidRDefault="00C722DA" w:rsidP="00C722DA">
      <w:pPr>
        <w:pStyle w:val="ListNumber"/>
        <w:numPr>
          <w:ilvl w:val="0"/>
          <w:numId w:val="0"/>
        </w:numPr>
        <w:jc w:val="both"/>
        <w:rPr>
          <w:bCs/>
          <w:i/>
          <w:iCs/>
          <w:sz w:val="22"/>
          <w:szCs w:val="22"/>
        </w:rPr>
      </w:pPr>
      <w:r w:rsidRPr="002C45DB">
        <w:rPr>
          <w:bCs/>
          <w:i/>
          <w:iCs/>
          <w:sz w:val="22"/>
          <w:szCs w:val="22"/>
        </w:rPr>
        <w:t xml:space="preserve">Admittance - Implications of Group Tax Assessment (Related Parties) </w:t>
      </w:r>
    </w:p>
    <w:p w14:paraId="0C1D7927" w14:textId="77777777" w:rsidR="00C722DA" w:rsidRPr="005F5F85" w:rsidRDefault="00C722DA" w:rsidP="00C722DA">
      <w:pPr>
        <w:pStyle w:val="ListNumber"/>
        <w:numPr>
          <w:ilvl w:val="0"/>
          <w:numId w:val="0"/>
        </w:numPr>
        <w:jc w:val="both"/>
        <w:rPr>
          <w:b/>
          <w:sz w:val="22"/>
          <w:szCs w:val="22"/>
        </w:rPr>
      </w:pPr>
    </w:p>
    <w:p w14:paraId="61BD8510" w14:textId="6CE542F6" w:rsidR="00C722DA" w:rsidRDefault="00C722DA" w:rsidP="00C722DA">
      <w:pPr>
        <w:pStyle w:val="ListNumber"/>
        <w:tabs>
          <w:tab w:val="clear" w:pos="360"/>
        </w:tabs>
        <w:spacing w:after="220"/>
        <w:ind w:left="0" w:firstLine="0"/>
        <w:jc w:val="both"/>
        <w:rPr>
          <w:sz w:val="22"/>
          <w:szCs w:val="22"/>
        </w:rPr>
      </w:pPr>
      <w:r>
        <w:rPr>
          <w:sz w:val="22"/>
          <w:szCs w:val="22"/>
        </w:rPr>
        <w:t xml:space="preserve">For reporting entities that are applicable corporations as they are a member of a tax-controlled group of corporations, the reporting entity may be subject to the CAMT, or be hindered from utilizing the CAMT tax credit, through the actions of their </w:t>
      </w:r>
      <w:r w:rsidR="00FE48BE">
        <w:rPr>
          <w:sz w:val="22"/>
          <w:szCs w:val="22"/>
        </w:rPr>
        <w:t xml:space="preserve">tax-controlled group </w:t>
      </w:r>
      <w:r>
        <w:rPr>
          <w:sz w:val="22"/>
          <w:szCs w:val="22"/>
        </w:rPr>
        <w:t>related parties. (As noted in footnote 5, although a reporting entity may have earned an indefinite tax credit through payment of CAMT, the reporting entity is not eligible to utilize that tax credit until the tax-controlled group has sufficient tax liability that allows the members of the group to utilize their tax credit.</w:t>
      </w:r>
      <w:r w:rsidR="00E97BBC">
        <w:rPr>
          <w:sz w:val="22"/>
          <w:szCs w:val="22"/>
        </w:rPr>
        <w:t xml:space="preserve"> This means </w:t>
      </w:r>
      <w:r w:rsidR="009A352E">
        <w:rPr>
          <w:sz w:val="22"/>
          <w:szCs w:val="22"/>
        </w:rPr>
        <w:t>that</w:t>
      </w:r>
      <w:r w:rsidR="00E97BBC">
        <w:rPr>
          <w:sz w:val="22"/>
          <w:szCs w:val="22"/>
        </w:rPr>
        <w:t xml:space="preserve"> on a group basis </w:t>
      </w:r>
      <w:r w:rsidR="009A352E">
        <w:rPr>
          <w:sz w:val="22"/>
          <w:szCs w:val="22"/>
        </w:rPr>
        <w:t xml:space="preserve">they </w:t>
      </w:r>
      <w:r w:rsidR="00E97BBC">
        <w:rPr>
          <w:sz w:val="22"/>
          <w:szCs w:val="22"/>
        </w:rPr>
        <w:t>are no longer CAMT pay</w:t>
      </w:r>
      <w:r w:rsidR="00BC2F8D">
        <w:rPr>
          <w:sz w:val="22"/>
          <w:szCs w:val="22"/>
        </w:rPr>
        <w:t>o</w:t>
      </w:r>
      <w:r w:rsidR="00E97BBC">
        <w:rPr>
          <w:sz w:val="22"/>
          <w:szCs w:val="22"/>
        </w:rPr>
        <w:t>rs</w:t>
      </w:r>
      <w:r w:rsidR="009A352E">
        <w:rPr>
          <w:sz w:val="22"/>
          <w:szCs w:val="22"/>
        </w:rPr>
        <w:t>.</w:t>
      </w:r>
      <w:r>
        <w:rPr>
          <w:sz w:val="22"/>
          <w:szCs w:val="22"/>
        </w:rPr>
        <w:t xml:space="preserve">) SSAP No. 4 requires assets that are restricted by the action of a related party to be nonadmitted assets. </w:t>
      </w:r>
    </w:p>
    <w:p w14:paraId="2B4AE0AA" w14:textId="613E9B2C" w:rsidR="005F3A2A" w:rsidRPr="00F471B3" w:rsidRDefault="005F3A2A" w:rsidP="002C45DB">
      <w:pPr>
        <w:pStyle w:val="ListNumber"/>
        <w:numPr>
          <w:ilvl w:val="0"/>
          <w:numId w:val="0"/>
        </w:numPr>
        <w:spacing w:after="220"/>
        <w:ind w:left="720"/>
        <w:jc w:val="both"/>
        <w:rPr>
          <w:sz w:val="22"/>
          <w:szCs w:val="22"/>
        </w:rPr>
      </w:pPr>
      <w:r w:rsidRPr="00F471B3">
        <w:rPr>
          <w:sz w:val="22"/>
          <w:szCs w:val="22"/>
        </w:rPr>
        <w:t xml:space="preserve">SSAP No. 4, Footnote 2: </w:t>
      </w:r>
      <w:bookmarkStart w:id="3" w:name="_Hlk113518439"/>
      <w:r w:rsidR="00F471B3" w:rsidRPr="002C45DB">
        <w:rPr>
          <w:rFonts w:ascii="Arial" w:hAnsi="Arial" w:cs="Arial"/>
          <w:sz w:val="20"/>
          <w:szCs w:val="20"/>
        </w:rPr>
        <w:t xml:space="preserve">If assets of an insurance entity are pledged </w:t>
      </w:r>
      <w:r w:rsidR="00F471B3" w:rsidRPr="002C45DB">
        <w:rPr>
          <w:rFonts w:ascii="Arial" w:hAnsi="Arial" w:cs="Arial"/>
          <w:b/>
          <w:bCs/>
          <w:sz w:val="20"/>
          <w:szCs w:val="20"/>
          <w:u w:val="single"/>
        </w:rPr>
        <w:t>or otherwise restricted by the action of a related party,</w:t>
      </w:r>
      <w:r w:rsidR="00F471B3" w:rsidRPr="002C45DB">
        <w:rPr>
          <w:rFonts w:ascii="Arial" w:hAnsi="Arial" w:cs="Arial"/>
          <w:sz w:val="20"/>
          <w:szCs w:val="20"/>
        </w:rPr>
        <w:t xml:space="preserve"> </w:t>
      </w:r>
      <w:r w:rsidR="00F471B3" w:rsidRPr="002C45DB">
        <w:rPr>
          <w:rFonts w:ascii="Arial" w:hAnsi="Arial" w:cs="Arial"/>
          <w:b/>
          <w:bCs/>
          <w:sz w:val="20"/>
          <w:szCs w:val="20"/>
          <w:u w:val="single"/>
        </w:rPr>
        <w:t>the assets are not under the exclusive control of the insurance entity and are not available to satisfy policyholder obligations due to these encumbrances or other third-party interests. Thus, pursuant to paragraph 2, such assets shall not be recognized as an admitted asset on the balance sheet.</w:t>
      </w:r>
      <w:r w:rsidR="00F471B3" w:rsidRPr="002C45DB">
        <w:rPr>
          <w:rFonts w:ascii="Arial" w:hAnsi="Arial" w:cs="Arial"/>
          <w:sz w:val="20"/>
          <w:szCs w:val="20"/>
        </w:rPr>
        <w:t xml:space="preserve"> Additional guidance for assets pledged as collateral is included in INT 01-31.</w:t>
      </w:r>
      <w:bookmarkEnd w:id="3"/>
    </w:p>
    <w:p w14:paraId="19EDC6FA" w14:textId="79DD1C85" w:rsidR="00C722DA" w:rsidRPr="008A5AD5" w:rsidRDefault="00515191" w:rsidP="00C722DA">
      <w:pPr>
        <w:pStyle w:val="ListNumber"/>
        <w:tabs>
          <w:tab w:val="clear" w:pos="360"/>
        </w:tabs>
        <w:spacing w:after="220"/>
        <w:ind w:left="0" w:firstLine="0"/>
        <w:jc w:val="both"/>
        <w:rPr>
          <w:sz w:val="22"/>
          <w:szCs w:val="22"/>
        </w:rPr>
      </w:pPr>
      <w:r w:rsidRPr="008A5AD5">
        <w:rPr>
          <w:sz w:val="22"/>
          <w:szCs w:val="22"/>
        </w:rPr>
        <w:lastRenderedPageBreak/>
        <w:t>A</w:t>
      </w:r>
      <w:r w:rsidR="00C722DA" w:rsidRPr="008A5AD5">
        <w:rPr>
          <w:sz w:val="22"/>
          <w:szCs w:val="22"/>
        </w:rPr>
        <w:t xml:space="preserve"> key focus of this interpretation is the admittance of the deferred tax assets (future tax credits) earned from the </w:t>
      </w:r>
      <w:r w:rsidR="007B32EE" w:rsidRPr="008A5AD5">
        <w:rPr>
          <w:sz w:val="22"/>
          <w:szCs w:val="22"/>
        </w:rPr>
        <w:t xml:space="preserve">payment </w:t>
      </w:r>
      <w:r w:rsidR="00C722DA" w:rsidRPr="008A5AD5">
        <w:rPr>
          <w:sz w:val="22"/>
          <w:szCs w:val="22"/>
        </w:rPr>
        <w:t xml:space="preserve">of </w:t>
      </w:r>
      <w:r w:rsidR="007B32EE" w:rsidRPr="008A5AD5">
        <w:rPr>
          <w:sz w:val="22"/>
          <w:szCs w:val="22"/>
        </w:rPr>
        <w:t xml:space="preserve">the </w:t>
      </w:r>
      <w:r w:rsidR="00C722DA" w:rsidRPr="008A5AD5">
        <w:rPr>
          <w:sz w:val="22"/>
          <w:szCs w:val="22"/>
        </w:rPr>
        <w:t>CAMT</w:t>
      </w:r>
      <w:r w:rsidR="001E243B" w:rsidRPr="008A5AD5">
        <w:rPr>
          <w:sz w:val="22"/>
          <w:szCs w:val="22"/>
        </w:rPr>
        <w:t xml:space="preserve">. However, </w:t>
      </w:r>
      <w:r w:rsidR="00C722DA" w:rsidRPr="008A5AD5">
        <w:rPr>
          <w:sz w:val="22"/>
          <w:szCs w:val="22"/>
        </w:rPr>
        <w:t xml:space="preserve">it is recognized that under </w:t>
      </w:r>
      <w:r w:rsidR="000F2EE8" w:rsidRPr="008A5AD5">
        <w:rPr>
          <w:sz w:val="22"/>
          <w:szCs w:val="22"/>
        </w:rPr>
        <w:t xml:space="preserve">the </w:t>
      </w:r>
      <w:r w:rsidR="00C722DA" w:rsidRPr="008A5AD5">
        <w:rPr>
          <w:sz w:val="22"/>
          <w:szCs w:val="22"/>
        </w:rPr>
        <w:t>existing statutory accounting guidance in SSAP No. 4 a reporting entity</w:t>
      </w:r>
      <w:r w:rsidR="001E243B" w:rsidRPr="008A5AD5">
        <w:rPr>
          <w:sz w:val="22"/>
          <w:szCs w:val="22"/>
        </w:rPr>
        <w:t xml:space="preserve"> recognizing </w:t>
      </w:r>
      <w:r w:rsidR="00933ACC" w:rsidRPr="008A5AD5">
        <w:rPr>
          <w:sz w:val="22"/>
          <w:szCs w:val="22"/>
        </w:rPr>
        <w:t>CAMT tax credits</w:t>
      </w:r>
      <w:r w:rsidR="00C722DA" w:rsidRPr="008A5AD5">
        <w:rPr>
          <w:sz w:val="22"/>
          <w:szCs w:val="22"/>
        </w:rPr>
        <w:t xml:space="preserve"> would not be permitted to admit </w:t>
      </w:r>
      <w:r w:rsidR="00933ACC" w:rsidRPr="008A5AD5">
        <w:rPr>
          <w:sz w:val="22"/>
          <w:szCs w:val="22"/>
        </w:rPr>
        <w:t>those</w:t>
      </w:r>
      <w:r w:rsidR="00467074" w:rsidRPr="008A5AD5">
        <w:rPr>
          <w:sz w:val="22"/>
          <w:szCs w:val="22"/>
        </w:rPr>
        <w:t xml:space="preserve"> assets if </w:t>
      </w:r>
      <w:r w:rsidR="00875876" w:rsidRPr="008A5AD5">
        <w:rPr>
          <w:sz w:val="22"/>
          <w:szCs w:val="22"/>
        </w:rPr>
        <w:t xml:space="preserve">part of a tax-controlled group </w:t>
      </w:r>
      <w:r w:rsidR="00C722DA" w:rsidRPr="008A5AD5">
        <w:rPr>
          <w:sz w:val="22"/>
          <w:szCs w:val="22"/>
        </w:rPr>
        <w:t xml:space="preserve">as the ability to receive those credits is explicitly linked to the actions of other entities within the group. If the group on a collective basis does not </w:t>
      </w:r>
      <w:r w:rsidR="00D36A4A" w:rsidRPr="008A5AD5">
        <w:rPr>
          <w:sz w:val="22"/>
          <w:szCs w:val="22"/>
        </w:rPr>
        <w:t>incur</w:t>
      </w:r>
      <w:r w:rsidR="002C45DB" w:rsidRPr="008A5AD5">
        <w:rPr>
          <w:sz w:val="22"/>
          <w:szCs w:val="22"/>
        </w:rPr>
        <w:t xml:space="preserve"> enough</w:t>
      </w:r>
      <w:r w:rsidR="00C722DA" w:rsidRPr="008A5AD5">
        <w:rPr>
          <w:sz w:val="22"/>
          <w:szCs w:val="22"/>
        </w:rPr>
        <w:t xml:space="preserve"> tax to allow utilization of the tax credits, then the reporting entity cannot use the tax credits as a reduction of tax liability, regardless of the income or tax paid by the reporting entity. This aspect is not impacted by the tax sharing agreement. Although the tax sharing agreement may specify how the CAMT tax credits will be allocated among the group, such tax credits allocated to the reporting entity can only be realized when the group qualifies for the credit</w:t>
      </w:r>
      <w:r w:rsidR="008D1A8D" w:rsidRPr="008A5AD5">
        <w:rPr>
          <w:sz w:val="22"/>
          <w:szCs w:val="22"/>
        </w:rPr>
        <w:t xml:space="preserve">. </w:t>
      </w:r>
    </w:p>
    <w:p w14:paraId="51F722C9" w14:textId="6811DBC6" w:rsidR="00C722DA" w:rsidRDefault="00871071" w:rsidP="00C722DA">
      <w:pPr>
        <w:pStyle w:val="ListNumber"/>
        <w:tabs>
          <w:tab w:val="clear" w:pos="360"/>
        </w:tabs>
        <w:spacing w:after="220"/>
        <w:ind w:left="0" w:firstLine="0"/>
        <w:jc w:val="both"/>
        <w:rPr>
          <w:sz w:val="22"/>
          <w:szCs w:val="22"/>
        </w:rPr>
      </w:pPr>
      <w:r>
        <w:rPr>
          <w:sz w:val="22"/>
          <w:szCs w:val="22"/>
        </w:rPr>
        <w:t>For</w:t>
      </w:r>
      <w:r w:rsidR="00C722DA">
        <w:rPr>
          <w:sz w:val="22"/>
          <w:szCs w:val="22"/>
        </w:rPr>
        <w:t xml:space="preserve"> the CAMT deferred tax assets allocated to the reporting entity to be permitted as admitted assets, </w:t>
      </w:r>
      <w:r w:rsidR="00B47CCD">
        <w:rPr>
          <w:sz w:val="22"/>
          <w:szCs w:val="22"/>
        </w:rPr>
        <w:t xml:space="preserve">this interpretation </w:t>
      </w:r>
      <w:r w:rsidR="007160C7">
        <w:rPr>
          <w:sz w:val="22"/>
          <w:szCs w:val="22"/>
        </w:rPr>
        <w:t>provides</w:t>
      </w:r>
      <w:r w:rsidR="00B47CCD">
        <w:rPr>
          <w:sz w:val="22"/>
          <w:szCs w:val="22"/>
        </w:rPr>
        <w:t xml:space="preserve"> an exception </w:t>
      </w:r>
      <w:r w:rsidR="00C722DA">
        <w:rPr>
          <w:sz w:val="22"/>
          <w:szCs w:val="22"/>
        </w:rPr>
        <w:t xml:space="preserve">to the guidance in SSAP No. 4, footnote 2, recognizing that the impact to ultimately utilize the allocated tax credits is dependent on the actions of the other parties within the group. </w:t>
      </w:r>
    </w:p>
    <w:p w14:paraId="78EFED37" w14:textId="41FCEB9C" w:rsidR="00C75494" w:rsidRPr="00F62C9E" w:rsidRDefault="00C75494" w:rsidP="00016718">
      <w:pPr>
        <w:pStyle w:val="ListNumber"/>
        <w:numPr>
          <w:ilvl w:val="0"/>
          <w:numId w:val="0"/>
        </w:numPr>
        <w:ind w:left="360" w:hanging="360"/>
        <w:rPr>
          <w:i/>
          <w:iCs/>
          <w:sz w:val="22"/>
        </w:rPr>
      </w:pPr>
      <w:r w:rsidRPr="00F62C9E">
        <w:rPr>
          <w:i/>
          <w:iCs/>
          <w:sz w:val="22"/>
        </w:rPr>
        <w:t xml:space="preserve">Admittance – </w:t>
      </w:r>
      <w:r w:rsidR="00DB58F7" w:rsidRPr="00F62C9E">
        <w:rPr>
          <w:i/>
          <w:iCs/>
          <w:sz w:val="22"/>
        </w:rPr>
        <w:t>Adjusted Gross DTAs</w:t>
      </w:r>
    </w:p>
    <w:p w14:paraId="6B0AD0E5" w14:textId="77777777" w:rsidR="00016718" w:rsidRPr="00F62C9E" w:rsidRDefault="00016718" w:rsidP="00BB7176">
      <w:pPr>
        <w:pStyle w:val="ListNumber"/>
        <w:numPr>
          <w:ilvl w:val="0"/>
          <w:numId w:val="0"/>
        </w:numPr>
        <w:ind w:left="360" w:hanging="360"/>
        <w:rPr>
          <w:sz w:val="22"/>
        </w:rPr>
      </w:pPr>
    </w:p>
    <w:p w14:paraId="2FE91C73" w14:textId="6914241A" w:rsidR="00436F92" w:rsidRDefault="00436F92" w:rsidP="00322E8B">
      <w:pPr>
        <w:pStyle w:val="ListNumber"/>
        <w:tabs>
          <w:tab w:val="clear" w:pos="360"/>
        </w:tabs>
        <w:ind w:left="0" w:firstLine="0"/>
        <w:jc w:val="both"/>
        <w:rPr>
          <w:sz w:val="22"/>
          <w:szCs w:val="22"/>
        </w:rPr>
      </w:pPr>
      <w:r w:rsidRPr="00CC01A3">
        <w:rPr>
          <w:sz w:val="22"/>
          <w:szCs w:val="22"/>
        </w:rPr>
        <w:t xml:space="preserve">The </w:t>
      </w:r>
      <w:r w:rsidR="001E46CC">
        <w:rPr>
          <w:sz w:val="22"/>
          <w:szCs w:val="22"/>
        </w:rPr>
        <w:t xml:space="preserve">guidance in SSAP No. 101 </w:t>
      </w:r>
      <w:r w:rsidR="00E8386C">
        <w:rPr>
          <w:sz w:val="22"/>
          <w:szCs w:val="22"/>
        </w:rPr>
        <w:t xml:space="preserve">allows admittance of </w:t>
      </w:r>
      <w:r w:rsidRPr="00CC01A3">
        <w:rPr>
          <w:sz w:val="22"/>
          <w:szCs w:val="22"/>
        </w:rPr>
        <w:t>adjusted gross DTAs (gross DTAs reduced by the</w:t>
      </w:r>
      <w:r w:rsidR="004E24D7">
        <w:rPr>
          <w:sz w:val="22"/>
          <w:szCs w:val="22"/>
        </w:rPr>
        <w:t xml:space="preserve"> statutory </w:t>
      </w:r>
      <w:r w:rsidRPr="00CC01A3">
        <w:rPr>
          <w:sz w:val="22"/>
          <w:szCs w:val="22"/>
        </w:rPr>
        <w:t>valuation allowance</w:t>
      </w:r>
      <w:r w:rsidR="003736B9">
        <w:rPr>
          <w:sz w:val="22"/>
          <w:szCs w:val="22"/>
        </w:rPr>
        <w:t xml:space="preserve">) pursuant to a </w:t>
      </w:r>
      <w:r w:rsidRPr="00CC01A3">
        <w:rPr>
          <w:sz w:val="22"/>
          <w:szCs w:val="22"/>
        </w:rPr>
        <w:t xml:space="preserve">three-component calculation, for which the second step limits admittance of adjusted gross DTAs to those that are expected to be realized in a timeframe that does not exceed three years. The actual number of years </w:t>
      </w:r>
      <w:r w:rsidR="00CC01A3" w:rsidRPr="00CC01A3">
        <w:rPr>
          <w:sz w:val="22"/>
          <w:szCs w:val="22"/>
        </w:rPr>
        <w:t xml:space="preserve">to realization </w:t>
      </w:r>
      <w:r w:rsidRPr="00CC01A3">
        <w:rPr>
          <w:sz w:val="22"/>
          <w:szCs w:val="22"/>
        </w:rPr>
        <w:t xml:space="preserve">permitted depends on specifics for each reporting entity (type and other information about the reporting entity), but the maximum timeframe is three years. The last step </w:t>
      </w:r>
      <w:r w:rsidR="002A4789" w:rsidRPr="00CC01A3">
        <w:rPr>
          <w:sz w:val="22"/>
          <w:szCs w:val="22"/>
        </w:rPr>
        <w:t>(</w:t>
      </w:r>
      <w:r w:rsidR="004A3BA2" w:rsidRPr="00CC01A3">
        <w:rPr>
          <w:sz w:val="22"/>
          <w:szCs w:val="22"/>
        </w:rPr>
        <w:t xml:space="preserve">SSAP No. 101, </w:t>
      </w:r>
      <w:r w:rsidR="002A4789" w:rsidRPr="00CC01A3">
        <w:rPr>
          <w:sz w:val="22"/>
          <w:szCs w:val="22"/>
        </w:rPr>
        <w:t>paragraph</w:t>
      </w:r>
      <w:r w:rsidR="004A3BA2" w:rsidRPr="00CC01A3">
        <w:rPr>
          <w:sz w:val="22"/>
          <w:szCs w:val="22"/>
        </w:rPr>
        <w:t xml:space="preserve"> 11.c.</w:t>
      </w:r>
      <w:r w:rsidR="00CC01A3" w:rsidRPr="00CC01A3">
        <w:rPr>
          <w:sz w:val="22"/>
          <w:szCs w:val="22"/>
        </w:rPr>
        <w:t>)</w:t>
      </w:r>
      <w:r w:rsidR="002A4789" w:rsidRPr="00CC01A3">
        <w:rPr>
          <w:sz w:val="22"/>
          <w:szCs w:val="22"/>
        </w:rPr>
        <w:t xml:space="preserve"> </w:t>
      </w:r>
      <w:r w:rsidRPr="00CC01A3">
        <w:rPr>
          <w:sz w:val="22"/>
          <w:szCs w:val="22"/>
        </w:rPr>
        <w:t xml:space="preserve">admits DTAs which can be offset by DTLs. </w:t>
      </w:r>
    </w:p>
    <w:p w14:paraId="330F915A" w14:textId="77777777" w:rsidR="003736B9" w:rsidRDefault="003736B9" w:rsidP="006D5A63">
      <w:pPr>
        <w:pStyle w:val="ListNumber"/>
        <w:numPr>
          <w:ilvl w:val="0"/>
          <w:numId w:val="0"/>
        </w:numPr>
        <w:jc w:val="both"/>
        <w:rPr>
          <w:sz w:val="22"/>
          <w:szCs w:val="22"/>
        </w:rPr>
      </w:pPr>
    </w:p>
    <w:p w14:paraId="4B6EB176" w14:textId="01381F2B" w:rsidR="003736B9" w:rsidRDefault="00E63357" w:rsidP="00322E8B">
      <w:pPr>
        <w:pStyle w:val="ListNumber"/>
        <w:tabs>
          <w:tab w:val="clear" w:pos="360"/>
        </w:tabs>
        <w:ind w:left="0" w:firstLine="0"/>
        <w:jc w:val="both"/>
        <w:rPr>
          <w:sz w:val="22"/>
          <w:szCs w:val="22"/>
        </w:rPr>
      </w:pPr>
      <w:r>
        <w:rPr>
          <w:sz w:val="22"/>
          <w:szCs w:val="22"/>
        </w:rPr>
        <w:t>Due to the</w:t>
      </w:r>
      <w:r w:rsidR="007F18B3">
        <w:rPr>
          <w:sz w:val="22"/>
          <w:szCs w:val="22"/>
        </w:rPr>
        <w:t xml:space="preserve"> following aspects regarding the CAMT tax credits</w:t>
      </w:r>
      <w:r w:rsidR="00A033AC">
        <w:rPr>
          <w:sz w:val="22"/>
          <w:szCs w:val="22"/>
        </w:rPr>
        <w:t xml:space="preserve">, specific admittance guidance </w:t>
      </w:r>
      <w:r w:rsidR="003B526A">
        <w:rPr>
          <w:sz w:val="22"/>
          <w:szCs w:val="22"/>
        </w:rPr>
        <w:t xml:space="preserve">for the CAMT tax credit DTAs </w:t>
      </w:r>
      <w:r w:rsidR="00A033AC">
        <w:rPr>
          <w:sz w:val="22"/>
          <w:szCs w:val="22"/>
        </w:rPr>
        <w:t xml:space="preserve">has been established: </w:t>
      </w:r>
    </w:p>
    <w:p w14:paraId="269BC737" w14:textId="77777777" w:rsidR="00CB3AA8" w:rsidRDefault="00CB3AA8" w:rsidP="00CB3AA8">
      <w:pPr>
        <w:pStyle w:val="ListParagraph"/>
      </w:pPr>
    </w:p>
    <w:p w14:paraId="52317D24" w14:textId="6E07D837" w:rsidR="00CB3AA8" w:rsidRPr="004F4235" w:rsidRDefault="00CB3AA8" w:rsidP="00CB3AA8">
      <w:pPr>
        <w:pStyle w:val="ListNumber"/>
        <w:numPr>
          <w:ilvl w:val="0"/>
          <w:numId w:val="11"/>
        </w:numPr>
        <w:ind w:left="1440" w:hanging="720"/>
        <w:jc w:val="both"/>
        <w:rPr>
          <w:sz w:val="22"/>
          <w:szCs w:val="22"/>
        </w:rPr>
      </w:pPr>
      <w:r w:rsidRPr="004F4235">
        <w:rPr>
          <w:sz w:val="22"/>
          <w:szCs w:val="22"/>
        </w:rPr>
        <w:t xml:space="preserve">The CAMT tax credit is an indefinite tax credit carryforward. </w:t>
      </w:r>
      <w:r w:rsidR="00032D9C" w:rsidRPr="004F4235">
        <w:rPr>
          <w:sz w:val="22"/>
          <w:szCs w:val="22"/>
        </w:rPr>
        <w:t>As long</w:t>
      </w:r>
      <w:r w:rsidRPr="004F4235">
        <w:rPr>
          <w:sz w:val="22"/>
          <w:szCs w:val="22"/>
        </w:rPr>
        <w:t xml:space="preserve"> as the reporting entity is a CAMT payor or is part of a tax-</w:t>
      </w:r>
      <w:r w:rsidR="007F736E" w:rsidRPr="004F4235">
        <w:rPr>
          <w:sz w:val="22"/>
          <w:szCs w:val="22"/>
        </w:rPr>
        <w:t>con</w:t>
      </w:r>
      <w:r w:rsidR="007F736E">
        <w:rPr>
          <w:sz w:val="22"/>
          <w:szCs w:val="22"/>
        </w:rPr>
        <w:t>solidated</w:t>
      </w:r>
      <w:r w:rsidR="007F736E" w:rsidRPr="004F4235">
        <w:rPr>
          <w:sz w:val="22"/>
          <w:szCs w:val="22"/>
        </w:rPr>
        <w:t xml:space="preserve"> </w:t>
      </w:r>
      <w:r w:rsidRPr="004F4235">
        <w:rPr>
          <w:sz w:val="22"/>
          <w:szCs w:val="22"/>
        </w:rPr>
        <w:t xml:space="preserve">group that is a CAMT payor, the reporting entity cannot utilize the tax credit. </w:t>
      </w:r>
    </w:p>
    <w:p w14:paraId="4F9AB268" w14:textId="77777777" w:rsidR="00CB3AA8" w:rsidRDefault="00CB3AA8" w:rsidP="000D106A"/>
    <w:p w14:paraId="6695D063" w14:textId="75582933" w:rsidR="000956A8" w:rsidRPr="00BE293F" w:rsidRDefault="000956A8" w:rsidP="002D1AD8">
      <w:pPr>
        <w:pStyle w:val="ListNumber"/>
        <w:numPr>
          <w:ilvl w:val="0"/>
          <w:numId w:val="11"/>
        </w:numPr>
        <w:ind w:left="1440" w:hanging="720"/>
        <w:jc w:val="both"/>
        <w:rPr>
          <w:sz w:val="22"/>
          <w:szCs w:val="22"/>
        </w:rPr>
      </w:pPr>
      <w:r>
        <w:rPr>
          <w:sz w:val="22"/>
          <w:szCs w:val="22"/>
        </w:rPr>
        <w:t xml:space="preserve">The ability to utilize the CAMT tax credit is contingent on the </w:t>
      </w:r>
      <w:r w:rsidR="00771D71">
        <w:rPr>
          <w:sz w:val="22"/>
          <w:szCs w:val="22"/>
        </w:rPr>
        <w:t>actions and tax paying behaviors of the tax-controlled group. Although the reporting entity may be paying sufficient tax</w:t>
      </w:r>
      <w:r w:rsidR="008F0306">
        <w:rPr>
          <w:sz w:val="22"/>
          <w:szCs w:val="22"/>
        </w:rPr>
        <w:t xml:space="preserve"> above the CAMT threshold</w:t>
      </w:r>
      <w:r w:rsidR="00771D71">
        <w:rPr>
          <w:sz w:val="22"/>
          <w:szCs w:val="22"/>
        </w:rPr>
        <w:t xml:space="preserve">, </w:t>
      </w:r>
      <w:r w:rsidR="007523A9">
        <w:rPr>
          <w:sz w:val="22"/>
          <w:szCs w:val="22"/>
        </w:rPr>
        <w:t xml:space="preserve">if other parties within the group </w:t>
      </w:r>
      <w:r w:rsidR="008F0306">
        <w:rPr>
          <w:sz w:val="22"/>
          <w:szCs w:val="22"/>
        </w:rPr>
        <w:t>do</w:t>
      </w:r>
      <w:r w:rsidR="007523A9">
        <w:rPr>
          <w:sz w:val="22"/>
          <w:szCs w:val="22"/>
        </w:rPr>
        <w:t xml:space="preserve"> not act in a similar manner</w:t>
      </w:r>
      <w:r w:rsidR="008F0306">
        <w:rPr>
          <w:sz w:val="22"/>
          <w:szCs w:val="22"/>
        </w:rPr>
        <w:t xml:space="preserve">, putting the group below the CAMT threshold, </w:t>
      </w:r>
      <w:r w:rsidR="007523A9">
        <w:rPr>
          <w:sz w:val="22"/>
          <w:szCs w:val="22"/>
        </w:rPr>
        <w:t xml:space="preserve">then the CAMT tax credit </w:t>
      </w:r>
      <w:r w:rsidR="007523A9" w:rsidRPr="00BE293F">
        <w:rPr>
          <w:sz w:val="22"/>
          <w:szCs w:val="22"/>
        </w:rPr>
        <w:t>cannot be utilized</w:t>
      </w:r>
      <w:r w:rsidR="00C830CD" w:rsidRPr="00BE293F">
        <w:rPr>
          <w:sz w:val="22"/>
          <w:szCs w:val="22"/>
        </w:rPr>
        <w:t xml:space="preserve"> by the reporting entity. </w:t>
      </w:r>
    </w:p>
    <w:p w14:paraId="695311F5" w14:textId="1B15B942" w:rsidR="001934F1" w:rsidRPr="00BE293F" w:rsidRDefault="001934F1" w:rsidP="00126B8F">
      <w:pPr>
        <w:pStyle w:val="ListNumber"/>
        <w:tabs>
          <w:tab w:val="clear" w:pos="360"/>
        </w:tabs>
        <w:spacing w:before="240"/>
        <w:ind w:left="0" w:firstLine="0"/>
        <w:jc w:val="both"/>
        <w:rPr>
          <w:sz w:val="22"/>
          <w:szCs w:val="22"/>
        </w:rPr>
      </w:pPr>
      <w:r w:rsidRPr="00BE293F">
        <w:rPr>
          <w:sz w:val="22"/>
          <w:szCs w:val="22"/>
        </w:rPr>
        <w:t xml:space="preserve">With these noted limitations in utilization </w:t>
      </w:r>
      <w:r w:rsidR="00740C76" w:rsidRPr="00BE293F">
        <w:rPr>
          <w:sz w:val="22"/>
          <w:szCs w:val="22"/>
        </w:rPr>
        <w:t>of the earned tax credits, reporting entities are only permitted to</w:t>
      </w:r>
      <w:r w:rsidR="00D71719" w:rsidRPr="00126B8F">
        <w:rPr>
          <w:sz w:val="22"/>
          <w:szCs w:val="22"/>
        </w:rPr>
        <w:t xml:space="preserve"> admit</w:t>
      </w:r>
      <w:r w:rsidR="00740C76" w:rsidRPr="00BE293F">
        <w:rPr>
          <w:sz w:val="22"/>
          <w:szCs w:val="22"/>
        </w:rPr>
        <w:t xml:space="preserve"> CAMT tax credits </w:t>
      </w:r>
      <w:r w:rsidR="008C026F" w:rsidRPr="00BE293F">
        <w:rPr>
          <w:sz w:val="22"/>
          <w:szCs w:val="22"/>
        </w:rPr>
        <w:t xml:space="preserve">if the reporting entity </w:t>
      </w:r>
      <w:r w:rsidR="00162C19" w:rsidRPr="00BE293F">
        <w:rPr>
          <w:sz w:val="22"/>
          <w:szCs w:val="22"/>
        </w:rPr>
        <w:t xml:space="preserve">tax projections </w:t>
      </w:r>
      <w:r w:rsidR="00E97F41" w:rsidRPr="00BE293F">
        <w:rPr>
          <w:sz w:val="22"/>
          <w:szCs w:val="22"/>
        </w:rPr>
        <w:t>(</w:t>
      </w:r>
      <w:r w:rsidR="001207F5" w:rsidRPr="001247BE">
        <w:rPr>
          <w:sz w:val="22"/>
          <w:szCs w:val="22"/>
        </w:rPr>
        <w:t>i</w:t>
      </w:r>
      <w:r w:rsidR="004D7B23">
        <w:rPr>
          <w:sz w:val="22"/>
          <w:szCs w:val="22"/>
        </w:rPr>
        <w:t>f</w:t>
      </w:r>
      <w:r w:rsidR="001207F5" w:rsidRPr="001247BE">
        <w:rPr>
          <w:sz w:val="22"/>
          <w:szCs w:val="22"/>
        </w:rPr>
        <w:t xml:space="preserve"> a separate tax return filer)</w:t>
      </w:r>
      <w:r w:rsidR="00A557B8" w:rsidRPr="001247BE">
        <w:rPr>
          <w:sz w:val="22"/>
          <w:szCs w:val="22"/>
        </w:rPr>
        <w:t xml:space="preserve"> or projections of the tax-consolidate</w:t>
      </w:r>
      <w:r w:rsidR="000B1BC5">
        <w:rPr>
          <w:sz w:val="22"/>
          <w:szCs w:val="22"/>
        </w:rPr>
        <w:t>d</w:t>
      </w:r>
      <w:r w:rsidR="00A557B8" w:rsidRPr="00126B8F">
        <w:rPr>
          <w:sz w:val="22"/>
          <w:szCs w:val="22"/>
        </w:rPr>
        <w:t xml:space="preserve"> group</w:t>
      </w:r>
      <w:r w:rsidR="00F107EE" w:rsidRPr="00126B8F">
        <w:rPr>
          <w:sz w:val="22"/>
          <w:szCs w:val="22"/>
        </w:rPr>
        <w:t xml:space="preserve"> (if a member of such group) </w:t>
      </w:r>
      <w:r w:rsidR="00E97F41" w:rsidRPr="00BE293F">
        <w:rPr>
          <w:sz w:val="22"/>
          <w:szCs w:val="22"/>
        </w:rPr>
        <w:t xml:space="preserve">indicate that the </w:t>
      </w:r>
      <w:r w:rsidR="00C830CD" w:rsidRPr="00BE293F">
        <w:rPr>
          <w:sz w:val="22"/>
          <w:szCs w:val="22"/>
        </w:rPr>
        <w:t xml:space="preserve">CAMT </w:t>
      </w:r>
      <w:r w:rsidR="00E97F41" w:rsidRPr="00BE293F">
        <w:rPr>
          <w:sz w:val="22"/>
          <w:szCs w:val="22"/>
        </w:rPr>
        <w:t>tax credit will be realizable within the stated timeframes</w:t>
      </w:r>
      <w:r w:rsidR="009601A3" w:rsidRPr="00126B8F">
        <w:rPr>
          <w:sz w:val="22"/>
          <w:szCs w:val="22"/>
        </w:rPr>
        <w:t xml:space="preserve"> using the</w:t>
      </w:r>
      <w:r w:rsidR="00AA0103" w:rsidRPr="00126B8F">
        <w:rPr>
          <w:sz w:val="22"/>
          <w:szCs w:val="22"/>
        </w:rPr>
        <w:t xml:space="preserve"> applicable </w:t>
      </w:r>
      <w:r w:rsidR="009601A3" w:rsidRPr="00126B8F">
        <w:rPr>
          <w:sz w:val="22"/>
          <w:szCs w:val="22"/>
        </w:rPr>
        <w:t xml:space="preserve"> SSAP No. 101, paragraph 11 real</w:t>
      </w:r>
      <w:r w:rsidR="00A53F7B" w:rsidRPr="00126B8F">
        <w:rPr>
          <w:sz w:val="22"/>
          <w:szCs w:val="22"/>
        </w:rPr>
        <w:t>ization table thresholds</w:t>
      </w:r>
      <w:r w:rsidR="00E97F41" w:rsidRPr="00BE293F">
        <w:rPr>
          <w:sz w:val="22"/>
          <w:szCs w:val="22"/>
        </w:rPr>
        <w:t>. This means that</w:t>
      </w:r>
      <w:r w:rsidR="00663025" w:rsidRPr="00BE293F">
        <w:rPr>
          <w:sz w:val="22"/>
          <w:szCs w:val="22"/>
        </w:rPr>
        <w:t xml:space="preserve"> </w:t>
      </w:r>
      <w:r w:rsidR="00E97F41" w:rsidRPr="00BE293F">
        <w:rPr>
          <w:sz w:val="22"/>
          <w:szCs w:val="22"/>
        </w:rPr>
        <w:t>the tax projections</w:t>
      </w:r>
      <w:r w:rsidR="00961ED2" w:rsidRPr="00BE293F">
        <w:rPr>
          <w:sz w:val="22"/>
          <w:szCs w:val="22"/>
        </w:rPr>
        <w:t xml:space="preserve">, will </w:t>
      </w:r>
      <w:r w:rsidR="00663025" w:rsidRPr="00BE293F">
        <w:rPr>
          <w:sz w:val="22"/>
          <w:szCs w:val="22"/>
        </w:rPr>
        <w:t xml:space="preserve">have sufficient tax liability that permits </w:t>
      </w:r>
      <w:r w:rsidR="000B7057" w:rsidRPr="00BE293F">
        <w:rPr>
          <w:sz w:val="22"/>
          <w:szCs w:val="22"/>
        </w:rPr>
        <w:t>utilization of the CAMT tax credits</w:t>
      </w:r>
      <w:r w:rsidR="00FC1D9F" w:rsidRPr="00BE293F">
        <w:rPr>
          <w:sz w:val="22"/>
          <w:szCs w:val="22"/>
        </w:rPr>
        <w:t>.</w:t>
      </w:r>
      <w:r w:rsidR="002A4A2F" w:rsidRPr="00BE293F">
        <w:rPr>
          <w:sz w:val="22"/>
          <w:szCs w:val="22"/>
        </w:rPr>
        <w:t xml:space="preserve"> </w:t>
      </w:r>
      <w:r w:rsidR="00D47BE2" w:rsidRPr="00BE293F">
        <w:rPr>
          <w:sz w:val="22"/>
          <w:szCs w:val="22"/>
        </w:rPr>
        <w:t>For example</w:t>
      </w:r>
      <w:r w:rsidR="002A4A2F" w:rsidRPr="00BE293F">
        <w:rPr>
          <w:sz w:val="22"/>
          <w:szCs w:val="22"/>
        </w:rPr>
        <w:t xml:space="preserve">, a reporting entity with greater than 300% RBC can only </w:t>
      </w:r>
      <w:r w:rsidR="004F1862" w:rsidRPr="007149DD">
        <w:rPr>
          <w:sz w:val="22"/>
          <w:szCs w:val="22"/>
        </w:rPr>
        <w:t>admit</w:t>
      </w:r>
      <w:r w:rsidR="004F1862" w:rsidRPr="00BE293F">
        <w:rPr>
          <w:sz w:val="22"/>
          <w:szCs w:val="22"/>
        </w:rPr>
        <w:t xml:space="preserve"> </w:t>
      </w:r>
      <w:r w:rsidR="002A4A2F" w:rsidRPr="00BE293F">
        <w:rPr>
          <w:sz w:val="22"/>
          <w:szCs w:val="22"/>
        </w:rPr>
        <w:t>CAMT tax credits</w:t>
      </w:r>
      <w:r w:rsidR="006F627D" w:rsidRPr="00BE293F">
        <w:rPr>
          <w:sz w:val="22"/>
          <w:szCs w:val="22"/>
        </w:rPr>
        <w:t xml:space="preserve"> </w:t>
      </w:r>
      <w:r w:rsidR="002A4A2F" w:rsidRPr="00BE293F">
        <w:rPr>
          <w:sz w:val="22"/>
          <w:szCs w:val="22"/>
        </w:rPr>
        <w:t xml:space="preserve">that are </w:t>
      </w:r>
      <w:r w:rsidR="006F627D" w:rsidRPr="00BE293F">
        <w:rPr>
          <w:sz w:val="22"/>
          <w:szCs w:val="22"/>
        </w:rPr>
        <w:t xml:space="preserve">expected to be realized in three years. Reporting entities </w:t>
      </w:r>
      <w:r w:rsidR="00655B1E" w:rsidRPr="00BE293F">
        <w:rPr>
          <w:sz w:val="22"/>
          <w:szCs w:val="22"/>
        </w:rPr>
        <w:t>that have RBC between 200-300% can only</w:t>
      </w:r>
      <w:r w:rsidR="007E7F88" w:rsidRPr="00126B8F">
        <w:rPr>
          <w:sz w:val="22"/>
          <w:szCs w:val="22"/>
        </w:rPr>
        <w:t xml:space="preserve"> admit</w:t>
      </w:r>
      <w:r w:rsidR="00655B1E" w:rsidRPr="00BE293F">
        <w:rPr>
          <w:sz w:val="22"/>
          <w:szCs w:val="22"/>
        </w:rPr>
        <w:t xml:space="preserve"> CAMT tax credits that are expected to be realized in </w:t>
      </w:r>
      <w:r w:rsidR="00930036" w:rsidRPr="007149DD">
        <w:rPr>
          <w:sz w:val="22"/>
          <w:szCs w:val="22"/>
        </w:rPr>
        <w:t>one</w:t>
      </w:r>
      <w:r w:rsidR="00930036" w:rsidRPr="00BE293F">
        <w:rPr>
          <w:sz w:val="22"/>
          <w:szCs w:val="22"/>
        </w:rPr>
        <w:t xml:space="preserve"> </w:t>
      </w:r>
      <w:r w:rsidR="00655B1E" w:rsidRPr="00BE293F">
        <w:rPr>
          <w:sz w:val="22"/>
          <w:szCs w:val="22"/>
        </w:rPr>
        <w:t xml:space="preserve">year. </w:t>
      </w:r>
      <w:r w:rsidR="00674808" w:rsidRPr="00BE293F">
        <w:rPr>
          <w:sz w:val="22"/>
          <w:szCs w:val="22"/>
        </w:rPr>
        <w:t xml:space="preserve">If a reporting entity cannot project </w:t>
      </w:r>
      <w:r w:rsidR="007E7F88" w:rsidRPr="007149DD">
        <w:rPr>
          <w:sz w:val="22"/>
          <w:szCs w:val="22"/>
        </w:rPr>
        <w:t xml:space="preserve">(either on its own if a separate return filer </w:t>
      </w:r>
      <w:r w:rsidR="00D139AB" w:rsidRPr="007149DD">
        <w:rPr>
          <w:sz w:val="22"/>
          <w:szCs w:val="22"/>
        </w:rPr>
        <w:t>or at the group if a consolidated tax return group member</w:t>
      </w:r>
      <w:r w:rsidR="00B71C93">
        <w:rPr>
          <w:sz w:val="22"/>
          <w:szCs w:val="22"/>
        </w:rPr>
        <w:t>)</w:t>
      </w:r>
      <w:r w:rsidR="00127FDD" w:rsidRPr="007149DD">
        <w:rPr>
          <w:sz w:val="22"/>
          <w:szCs w:val="22"/>
        </w:rPr>
        <w:t xml:space="preserve"> </w:t>
      </w:r>
      <w:r w:rsidR="00FF5569" w:rsidRPr="00BE293F">
        <w:rPr>
          <w:sz w:val="22"/>
          <w:szCs w:val="22"/>
        </w:rPr>
        <w:t xml:space="preserve">sufficient tax liability that allows </w:t>
      </w:r>
      <w:r w:rsidR="00E867D8" w:rsidRPr="00BE293F">
        <w:rPr>
          <w:sz w:val="22"/>
          <w:szCs w:val="22"/>
        </w:rPr>
        <w:t>them</w:t>
      </w:r>
      <w:r w:rsidR="00FF5569" w:rsidRPr="00BE293F">
        <w:rPr>
          <w:sz w:val="22"/>
          <w:szCs w:val="22"/>
        </w:rPr>
        <w:t xml:space="preserve"> to utilize the CAMT tax credit</w:t>
      </w:r>
      <w:r w:rsidR="00F24D3B" w:rsidRPr="00BE293F">
        <w:rPr>
          <w:sz w:val="22"/>
          <w:szCs w:val="22"/>
        </w:rPr>
        <w:t xml:space="preserve"> within the </w:t>
      </w:r>
      <w:r w:rsidR="00E867D8" w:rsidRPr="00BE293F">
        <w:rPr>
          <w:sz w:val="22"/>
          <w:szCs w:val="22"/>
        </w:rPr>
        <w:t>realizable timeframes for admittance</w:t>
      </w:r>
      <w:r w:rsidR="00FF5569" w:rsidRPr="00BE293F">
        <w:rPr>
          <w:sz w:val="22"/>
          <w:szCs w:val="22"/>
        </w:rPr>
        <w:t xml:space="preserve">, then </w:t>
      </w:r>
      <w:r w:rsidR="00127FDD" w:rsidRPr="00126B8F">
        <w:rPr>
          <w:sz w:val="22"/>
          <w:szCs w:val="22"/>
        </w:rPr>
        <w:t xml:space="preserve">the portion of </w:t>
      </w:r>
      <w:r w:rsidR="00F24D3B" w:rsidRPr="00BE293F">
        <w:rPr>
          <w:sz w:val="22"/>
          <w:szCs w:val="22"/>
        </w:rPr>
        <w:t xml:space="preserve">CAMT tax credits </w:t>
      </w:r>
      <w:r w:rsidR="00127FDD" w:rsidRPr="00126B8F">
        <w:rPr>
          <w:sz w:val="22"/>
          <w:szCs w:val="22"/>
        </w:rPr>
        <w:t xml:space="preserve">that cannot be utilized </w:t>
      </w:r>
      <w:r w:rsidR="00F24D3B" w:rsidRPr="00BE293F">
        <w:rPr>
          <w:sz w:val="22"/>
          <w:szCs w:val="22"/>
        </w:rPr>
        <w:t xml:space="preserve">are required to be nonadmitted. </w:t>
      </w:r>
      <w:r w:rsidR="00EB7C5B" w:rsidRPr="00B360A1">
        <w:rPr>
          <w:sz w:val="22"/>
          <w:szCs w:val="22"/>
        </w:rPr>
        <w:t xml:space="preserve"> </w:t>
      </w:r>
    </w:p>
    <w:p w14:paraId="6AFD1493" w14:textId="77777777" w:rsidR="00761035" w:rsidRPr="00126B8F" w:rsidRDefault="00761035" w:rsidP="00863AEB">
      <w:pPr>
        <w:pStyle w:val="ListNumber"/>
        <w:numPr>
          <w:ilvl w:val="0"/>
          <w:numId w:val="0"/>
        </w:numPr>
        <w:jc w:val="both"/>
        <w:rPr>
          <w:sz w:val="22"/>
          <w:szCs w:val="22"/>
          <w:highlight w:val="yellow"/>
        </w:rPr>
      </w:pPr>
    </w:p>
    <w:p w14:paraId="76951B64" w14:textId="39E8B86F" w:rsidR="00B21068" w:rsidRPr="00BE293F" w:rsidRDefault="00311AC4" w:rsidP="00D96C4F">
      <w:pPr>
        <w:pStyle w:val="ListNumber"/>
        <w:tabs>
          <w:tab w:val="clear" w:pos="360"/>
        </w:tabs>
        <w:ind w:left="0" w:firstLine="0"/>
        <w:jc w:val="both"/>
        <w:rPr>
          <w:sz w:val="22"/>
          <w:szCs w:val="22"/>
        </w:rPr>
      </w:pPr>
      <w:r w:rsidRPr="00BE293F">
        <w:rPr>
          <w:sz w:val="22"/>
          <w:szCs w:val="22"/>
        </w:rPr>
        <w:lastRenderedPageBreak/>
        <w:t xml:space="preserve">CAMT tax credits included in the SSAP No. </w:t>
      </w:r>
      <w:r w:rsidR="00FB24B9" w:rsidRPr="00BE293F">
        <w:rPr>
          <w:sz w:val="22"/>
          <w:szCs w:val="22"/>
        </w:rPr>
        <w:t>101</w:t>
      </w:r>
      <w:r w:rsidR="00766978" w:rsidRPr="00BE293F">
        <w:rPr>
          <w:sz w:val="22"/>
          <w:szCs w:val="22"/>
        </w:rPr>
        <w:t xml:space="preserve">, </w:t>
      </w:r>
      <w:r w:rsidR="00C60B66" w:rsidRPr="00BE293F">
        <w:rPr>
          <w:sz w:val="22"/>
          <w:szCs w:val="22"/>
        </w:rPr>
        <w:t>paragraph</w:t>
      </w:r>
      <w:r w:rsidR="00F62C9E" w:rsidRPr="00BE293F">
        <w:rPr>
          <w:sz w:val="22"/>
          <w:szCs w:val="22"/>
        </w:rPr>
        <w:t>s</w:t>
      </w:r>
      <w:r w:rsidR="00FB24B9" w:rsidRPr="00BE293F">
        <w:rPr>
          <w:sz w:val="22"/>
          <w:szCs w:val="22"/>
        </w:rPr>
        <w:t xml:space="preserve"> </w:t>
      </w:r>
      <w:r w:rsidRPr="00BE293F">
        <w:rPr>
          <w:sz w:val="22"/>
          <w:szCs w:val="22"/>
        </w:rPr>
        <w:t>11</w:t>
      </w:r>
      <w:r w:rsidR="00C60B66" w:rsidRPr="00BE293F">
        <w:rPr>
          <w:sz w:val="22"/>
          <w:szCs w:val="22"/>
        </w:rPr>
        <w:t xml:space="preserve"> and 11</w:t>
      </w:r>
      <w:r w:rsidR="00CE5D19" w:rsidRPr="00BE293F">
        <w:rPr>
          <w:sz w:val="22"/>
          <w:szCs w:val="22"/>
        </w:rPr>
        <w:t>.</w:t>
      </w:r>
      <w:r w:rsidR="00C60B66" w:rsidRPr="00BE293F">
        <w:rPr>
          <w:sz w:val="22"/>
          <w:szCs w:val="22"/>
        </w:rPr>
        <w:t>b</w:t>
      </w:r>
      <w:r w:rsidR="00CE5D19" w:rsidRPr="00BE293F">
        <w:rPr>
          <w:sz w:val="22"/>
          <w:szCs w:val="22"/>
        </w:rPr>
        <w:t>.</w:t>
      </w:r>
      <w:r w:rsidRPr="00BE293F">
        <w:rPr>
          <w:sz w:val="22"/>
          <w:szCs w:val="22"/>
        </w:rPr>
        <w:t xml:space="preserve"> calculation</w:t>
      </w:r>
      <w:r w:rsidR="00CD15D4" w:rsidRPr="00BE293F">
        <w:rPr>
          <w:sz w:val="22"/>
          <w:szCs w:val="22"/>
        </w:rPr>
        <w:t xml:space="preserve"> </w:t>
      </w:r>
      <w:r w:rsidR="00815582" w:rsidRPr="00BE293F">
        <w:rPr>
          <w:sz w:val="22"/>
          <w:szCs w:val="22"/>
        </w:rPr>
        <w:t>as they are expected to be realized within the</w:t>
      </w:r>
      <w:r w:rsidR="003E2848" w:rsidRPr="00BE293F">
        <w:rPr>
          <w:sz w:val="22"/>
          <w:szCs w:val="22"/>
        </w:rPr>
        <w:t xml:space="preserve"> </w:t>
      </w:r>
      <w:r w:rsidR="00276096" w:rsidRPr="00BE293F">
        <w:rPr>
          <w:sz w:val="22"/>
          <w:szCs w:val="22"/>
        </w:rPr>
        <w:t xml:space="preserve">applicable </w:t>
      </w:r>
      <w:r w:rsidR="00B223B0" w:rsidRPr="00180E07">
        <w:rPr>
          <w:sz w:val="22"/>
          <w:szCs w:val="22"/>
        </w:rPr>
        <w:t>1</w:t>
      </w:r>
      <w:r w:rsidR="00B223B0" w:rsidRPr="00BE293F">
        <w:rPr>
          <w:sz w:val="22"/>
          <w:szCs w:val="22"/>
        </w:rPr>
        <w:t xml:space="preserve"> </w:t>
      </w:r>
      <w:r w:rsidR="00815582" w:rsidRPr="00BE293F">
        <w:rPr>
          <w:sz w:val="22"/>
          <w:szCs w:val="22"/>
        </w:rPr>
        <w:t xml:space="preserve">or 3 year </w:t>
      </w:r>
      <w:r w:rsidR="00CD15D4" w:rsidRPr="00BE293F">
        <w:rPr>
          <w:sz w:val="22"/>
          <w:szCs w:val="22"/>
        </w:rPr>
        <w:t xml:space="preserve">permitted </w:t>
      </w:r>
      <w:r w:rsidR="00815582" w:rsidRPr="00BE293F">
        <w:rPr>
          <w:sz w:val="22"/>
          <w:szCs w:val="22"/>
        </w:rPr>
        <w:t>timeframe</w:t>
      </w:r>
      <w:r w:rsidR="00CD15D4" w:rsidRPr="00BE293F">
        <w:rPr>
          <w:sz w:val="22"/>
          <w:szCs w:val="22"/>
        </w:rPr>
        <w:t>s</w:t>
      </w:r>
      <w:r w:rsidR="00276096" w:rsidRPr="00BE293F">
        <w:rPr>
          <w:sz w:val="22"/>
          <w:szCs w:val="22"/>
        </w:rPr>
        <w:t xml:space="preserve"> </w:t>
      </w:r>
      <w:r w:rsidR="00EE2F5B" w:rsidRPr="00BE293F">
        <w:rPr>
          <w:sz w:val="22"/>
          <w:szCs w:val="22"/>
        </w:rPr>
        <w:t>shall then be combined with non-CAMT</w:t>
      </w:r>
      <w:r w:rsidR="00FE7A1B" w:rsidRPr="00090284">
        <w:rPr>
          <w:sz w:val="22"/>
          <w:szCs w:val="22"/>
        </w:rPr>
        <w:t xml:space="preserve"> adjusted </w:t>
      </w:r>
      <w:r w:rsidR="00E82D0D" w:rsidRPr="00090284">
        <w:rPr>
          <w:sz w:val="22"/>
          <w:szCs w:val="22"/>
        </w:rPr>
        <w:t>gross deferred tax assets</w:t>
      </w:r>
      <w:r w:rsidR="00EE2F5B" w:rsidRPr="00BE293F">
        <w:rPr>
          <w:sz w:val="22"/>
          <w:szCs w:val="22"/>
        </w:rPr>
        <w:t xml:space="preserve"> </w:t>
      </w:r>
      <w:r w:rsidR="00C251ED" w:rsidRPr="00BE293F">
        <w:rPr>
          <w:sz w:val="22"/>
          <w:szCs w:val="22"/>
        </w:rPr>
        <w:t>and admitted to the extent that the total DTAs admitted under paragraph 11</w:t>
      </w:r>
      <w:r w:rsidR="00766978" w:rsidRPr="00BE293F">
        <w:rPr>
          <w:sz w:val="22"/>
          <w:szCs w:val="22"/>
        </w:rPr>
        <w:t>.</w:t>
      </w:r>
      <w:r w:rsidR="00C251ED" w:rsidRPr="00BE293F">
        <w:rPr>
          <w:sz w:val="22"/>
          <w:szCs w:val="22"/>
        </w:rPr>
        <w:t>b</w:t>
      </w:r>
      <w:r w:rsidR="00CE5D19" w:rsidRPr="00BE293F">
        <w:rPr>
          <w:sz w:val="22"/>
          <w:szCs w:val="22"/>
        </w:rPr>
        <w:t>.</w:t>
      </w:r>
      <w:r w:rsidR="00C251ED" w:rsidRPr="00BE293F">
        <w:rPr>
          <w:sz w:val="22"/>
          <w:szCs w:val="22"/>
        </w:rPr>
        <w:t xml:space="preserve"> </w:t>
      </w:r>
      <w:r w:rsidR="00E25BFA" w:rsidRPr="00BE293F">
        <w:rPr>
          <w:sz w:val="22"/>
          <w:szCs w:val="22"/>
        </w:rPr>
        <w:t xml:space="preserve">do not exceed the capital and surplus percentage limit for the </w:t>
      </w:r>
      <w:r w:rsidR="005F7BBC" w:rsidRPr="00BE293F">
        <w:rPr>
          <w:sz w:val="22"/>
          <w:szCs w:val="22"/>
        </w:rPr>
        <w:t>company type</w:t>
      </w:r>
      <w:r w:rsidR="00E25BFA" w:rsidRPr="00BE293F">
        <w:rPr>
          <w:sz w:val="22"/>
          <w:szCs w:val="22"/>
        </w:rPr>
        <w:t xml:space="preserve">. </w:t>
      </w:r>
      <w:r w:rsidR="00542028" w:rsidRPr="00BE293F">
        <w:rPr>
          <w:sz w:val="22"/>
          <w:szCs w:val="22"/>
        </w:rPr>
        <w:t xml:space="preserve"> </w:t>
      </w:r>
      <w:r w:rsidR="002922C6" w:rsidRPr="00090284">
        <w:rPr>
          <w:sz w:val="22"/>
          <w:szCs w:val="22"/>
        </w:rPr>
        <w:t>All references to SSAP No. 101, paragraph 11b include the modifications in this Interpretation.</w:t>
      </w:r>
    </w:p>
    <w:p w14:paraId="729CFB27" w14:textId="0E0F053B" w:rsidR="0017690D" w:rsidRPr="00E041E9" w:rsidRDefault="0017690D" w:rsidP="00F912F5">
      <w:pPr>
        <w:rPr>
          <w:sz w:val="22"/>
          <w:highlight w:val="yellow"/>
        </w:rPr>
      </w:pPr>
    </w:p>
    <w:p w14:paraId="3C5B2247" w14:textId="50F96985" w:rsidR="00D96C4F" w:rsidRPr="008E3EDA" w:rsidRDefault="00B97554" w:rsidP="00F84518">
      <w:pPr>
        <w:pStyle w:val="ListNumber"/>
        <w:tabs>
          <w:tab w:val="clear" w:pos="360"/>
        </w:tabs>
        <w:ind w:left="0" w:firstLine="0"/>
        <w:jc w:val="both"/>
        <w:rPr>
          <w:sz w:val="22"/>
          <w:szCs w:val="22"/>
        </w:rPr>
      </w:pPr>
      <w:r w:rsidRPr="008E3EDA">
        <w:rPr>
          <w:sz w:val="22"/>
          <w:szCs w:val="22"/>
        </w:rPr>
        <w:t xml:space="preserve">Reporting entities shall use the </w:t>
      </w:r>
      <w:bookmarkStart w:id="4" w:name="_Hlk139389714"/>
      <w:r w:rsidR="0001610F" w:rsidRPr="008E3EDA">
        <w:rPr>
          <w:sz w:val="22"/>
          <w:szCs w:val="22"/>
        </w:rPr>
        <w:t xml:space="preserve">Realization Threshold Limitations Tables </w:t>
      </w:r>
      <w:bookmarkEnd w:id="4"/>
      <w:r w:rsidR="0001610F" w:rsidRPr="008E3EDA">
        <w:rPr>
          <w:sz w:val="22"/>
          <w:szCs w:val="22"/>
        </w:rPr>
        <w:t>in</w:t>
      </w:r>
      <w:r w:rsidR="006A5BA3" w:rsidRPr="008E3EDA">
        <w:rPr>
          <w:sz w:val="22"/>
          <w:szCs w:val="22"/>
        </w:rPr>
        <w:t xml:space="preserve"> SSAP No. 101</w:t>
      </w:r>
      <w:r w:rsidR="00152ED2" w:rsidRPr="008E3EDA">
        <w:rPr>
          <w:sz w:val="22"/>
          <w:szCs w:val="22"/>
        </w:rPr>
        <w:t>,</w:t>
      </w:r>
      <w:r w:rsidR="0001610F" w:rsidRPr="008E3EDA">
        <w:rPr>
          <w:sz w:val="22"/>
          <w:szCs w:val="22"/>
        </w:rPr>
        <w:t xml:space="preserve"> </w:t>
      </w:r>
      <w:r w:rsidR="003032D6" w:rsidRPr="008E3EDA">
        <w:rPr>
          <w:sz w:val="22"/>
          <w:szCs w:val="22"/>
        </w:rPr>
        <w:t>paragraph 11</w:t>
      </w:r>
      <w:r w:rsidR="00D76838" w:rsidRPr="008E3EDA">
        <w:rPr>
          <w:sz w:val="22"/>
          <w:szCs w:val="22"/>
        </w:rPr>
        <w:t>.</w:t>
      </w:r>
      <w:r w:rsidR="003032D6" w:rsidRPr="008E3EDA">
        <w:rPr>
          <w:sz w:val="22"/>
          <w:szCs w:val="22"/>
        </w:rPr>
        <w:t>b. as applicable to the entity for determination of the admissibility of the</w:t>
      </w:r>
      <w:r w:rsidR="00974813" w:rsidRPr="008E3EDA">
        <w:rPr>
          <w:sz w:val="22"/>
          <w:szCs w:val="22"/>
        </w:rPr>
        <w:t xml:space="preserve"> CAMT credits</w:t>
      </w:r>
      <w:r w:rsidR="00B733B5" w:rsidRPr="008E3EDA">
        <w:rPr>
          <w:sz w:val="22"/>
          <w:szCs w:val="22"/>
        </w:rPr>
        <w:t xml:space="preserve">. </w:t>
      </w:r>
      <w:r w:rsidR="00E64A1E" w:rsidRPr="008E3EDA">
        <w:rPr>
          <w:sz w:val="22"/>
          <w:szCs w:val="22"/>
        </w:rPr>
        <w:t xml:space="preserve">The percentage limitations of capital and surplus of </w:t>
      </w:r>
      <w:r w:rsidR="005D0E8B" w:rsidRPr="008E3EDA">
        <w:rPr>
          <w:sz w:val="22"/>
          <w:szCs w:val="22"/>
        </w:rPr>
        <w:t xml:space="preserve">and the </w:t>
      </w:r>
      <w:r w:rsidR="00081ED0" w:rsidRPr="008E3EDA">
        <w:rPr>
          <w:sz w:val="22"/>
          <w:szCs w:val="22"/>
        </w:rPr>
        <w:t xml:space="preserve">projected realization periods </w:t>
      </w:r>
      <w:r w:rsidR="005D0E8B" w:rsidRPr="008E3EDA">
        <w:rPr>
          <w:sz w:val="22"/>
          <w:szCs w:val="22"/>
        </w:rPr>
        <w:t>continue</w:t>
      </w:r>
      <w:r w:rsidR="00E64A1E" w:rsidRPr="008E3EDA">
        <w:rPr>
          <w:sz w:val="22"/>
          <w:szCs w:val="22"/>
        </w:rPr>
        <w:t xml:space="preserve"> to apply to admitted adjusted gross DTAs, including the adjusted gross DTA for any CAMT credit carryforward</w:t>
      </w:r>
      <w:r w:rsidR="00081ED0" w:rsidRPr="008E3EDA">
        <w:rPr>
          <w:sz w:val="22"/>
          <w:szCs w:val="22"/>
        </w:rPr>
        <w:t>.</w:t>
      </w:r>
    </w:p>
    <w:p w14:paraId="3BF4A7C5" w14:textId="497EF0E9" w:rsidR="003133D4" w:rsidRPr="008E3EDA" w:rsidRDefault="003133D4" w:rsidP="00F912F5">
      <w:pPr>
        <w:rPr>
          <w:sz w:val="22"/>
        </w:rPr>
      </w:pPr>
    </w:p>
    <w:p w14:paraId="6B785414" w14:textId="7D09D824" w:rsidR="000E5E46" w:rsidRPr="008E3EDA" w:rsidRDefault="00632A72">
      <w:pPr>
        <w:pStyle w:val="ListNumber"/>
        <w:tabs>
          <w:tab w:val="clear" w:pos="360"/>
        </w:tabs>
        <w:ind w:left="0" w:firstLine="0"/>
        <w:jc w:val="both"/>
        <w:rPr>
          <w:sz w:val="22"/>
        </w:rPr>
      </w:pPr>
      <w:bookmarkStart w:id="5" w:name="_Hlk139450925"/>
      <w:r w:rsidRPr="008E3EDA">
        <w:rPr>
          <w:sz w:val="22"/>
          <w:szCs w:val="22"/>
        </w:rPr>
        <w:t xml:space="preserve">A </w:t>
      </w:r>
      <w:r w:rsidR="009E4823" w:rsidRPr="008E3EDA">
        <w:rPr>
          <w:sz w:val="22"/>
          <w:szCs w:val="22"/>
        </w:rPr>
        <w:t xml:space="preserve">reporting entity </w:t>
      </w:r>
      <w:r w:rsidR="00A46DC8" w:rsidRPr="008E3EDA">
        <w:rPr>
          <w:sz w:val="22"/>
          <w:szCs w:val="22"/>
        </w:rPr>
        <w:t>which meets</w:t>
      </w:r>
      <w:r w:rsidR="00F36CE1" w:rsidRPr="008E3EDA">
        <w:rPr>
          <w:sz w:val="22"/>
          <w:szCs w:val="22"/>
        </w:rPr>
        <w:t xml:space="preserve"> or exceeds</w:t>
      </w:r>
      <w:r w:rsidR="00A46DC8" w:rsidRPr="008E3EDA">
        <w:rPr>
          <w:sz w:val="22"/>
          <w:szCs w:val="22"/>
        </w:rPr>
        <w:t xml:space="preserve"> the </w:t>
      </w:r>
      <w:r w:rsidRPr="008E3EDA">
        <w:rPr>
          <w:sz w:val="22"/>
          <w:szCs w:val="22"/>
        </w:rPr>
        <w:t xml:space="preserve">top line </w:t>
      </w:r>
      <w:r w:rsidR="007608E2" w:rsidRPr="008E3EDA">
        <w:rPr>
          <w:sz w:val="22"/>
          <w:szCs w:val="22"/>
        </w:rPr>
        <w:t xml:space="preserve">of the </w:t>
      </w:r>
      <w:r w:rsidR="008C5A87" w:rsidRPr="008E3EDA">
        <w:rPr>
          <w:sz w:val="22"/>
          <w:szCs w:val="22"/>
        </w:rPr>
        <w:t>applicable</w:t>
      </w:r>
      <w:r w:rsidRPr="008E3EDA">
        <w:rPr>
          <w:sz w:val="22"/>
          <w:szCs w:val="22"/>
        </w:rPr>
        <w:t xml:space="preserve"> of the </w:t>
      </w:r>
      <w:bookmarkStart w:id="6" w:name="_Hlk139448301"/>
      <w:r w:rsidRPr="008E3EDA">
        <w:rPr>
          <w:sz w:val="22"/>
          <w:szCs w:val="22"/>
        </w:rPr>
        <w:t xml:space="preserve">Realization </w:t>
      </w:r>
      <w:r w:rsidR="008C5A87" w:rsidRPr="008E3EDA">
        <w:rPr>
          <w:sz w:val="22"/>
          <w:szCs w:val="22"/>
        </w:rPr>
        <w:t>T</w:t>
      </w:r>
      <w:r w:rsidRPr="008E3EDA">
        <w:rPr>
          <w:sz w:val="22"/>
          <w:szCs w:val="22"/>
        </w:rPr>
        <w:t xml:space="preserve">hreshold </w:t>
      </w:r>
      <w:r w:rsidR="00CC01A3" w:rsidRPr="008E3EDA">
        <w:rPr>
          <w:sz w:val="22"/>
          <w:szCs w:val="22"/>
        </w:rPr>
        <w:t>L</w:t>
      </w:r>
      <w:r w:rsidR="008C5A87" w:rsidRPr="008E3EDA">
        <w:rPr>
          <w:sz w:val="22"/>
          <w:szCs w:val="22"/>
        </w:rPr>
        <w:t xml:space="preserve">imitation </w:t>
      </w:r>
      <w:r w:rsidR="00CC01A3" w:rsidRPr="008E3EDA">
        <w:rPr>
          <w:sz w:val="22"/>
          <w:szCs w:val="22"/>
        </w:rPr>
        <w:t>T</w:t>
      </w:r>
      <w:r w:rsidR="008C5A87" w:rsidRPr="008E3EDA">
        <w:rPr>
          <w:sz w:val="22"/>
          <w:szCs w:val="22"/>
        </w:rPr>
        <w:t xml:space="preserve">able (Ex. </w:t>
      </w:r>
      <w:r w:rsidR="00261D6B" w:rsidRPr="008E3EDA">
        <w:rPr>
          <w:sz w:val="22"/>
          <w:szCs w:val="22"/>
        </w:rPr>
        <w:t xml:space="preserve">3 years and 15%) </w:t>
      </w:r>
      <w:bookmarkEnd w:id="5"/>
      <w:bookmarkEnd w:id="6"/>
      <w:r w:rsidR="009E4823" w:rsidRPr="008E3EDA">
        <w:rPr>
          <w:sz w:val="22"/>
          <w:szCs w:val="22"/>
        </w:rPr>
        <w:t xml:space="preserve">is </w:t>
      </w:r>
      <w:r w:rsidR="009E4823" w:rsidRPr="008E3EDA">
        <w:rPr>
          <w:b/>
          <w:bCs/>
          <w:sz w:val="22"/>
          <w:szCs w:val="22"/>
        </w:rPr>
        <w:t>not required</w:t>
      </w:r>
      <w:r w:rsidR="009E4823" w:rsidRPr="008E3EDA">
        <w:rPr>
          <w:sz w:val="22"/>
          <w:szCs w:val="22"/>
        </w:rPr>
        <w:t xml:space="preserve"> to take the CAMT into account in calculating the “with and without</w:t>
      </w:r>
      <w:r w:rsidR="00B53829" w:rsidRPr="008E3EDA">
        <w:rPr>
          <w:rStyle w:val="FootnoteReference"/>
          <w:sz w:val="22"/>
          <w:szCs w:val="22"/>
        </w:rPr>
        <w:footnoteReference w:id="8"/>
      </w:r>
      <w:r w:rsidR="009E4823" w:rsidRPr="008E3EDA">
        <w:rPr>
          <w:sz w:val="22"/>
          <w:szCs w:val="22"/>
        </w:rPr>
        <w:t xml:space="preserve">” tax liability for purposes of determining the amount expected to be </w:t>
      </w:r>
      <w:r w:rsidR="000C369A" w:rsidRPr="008E3EDA">
        <w:rPr>
          <w:sz w:val="22"/>
          <w:szCs w:val="22"/>
        </w:rPr>
        <w:t>realized under</w:t>
      </w:r>
      <w:r w:rsidR="009E4823" w:rsidRPr="008E3EDA">
        <w:rPr>
          <w:sz w:val="22"/>
          <w:szCs w:val="22"/>
        </w:rPr>
        <w:t xml:space="preserve"> SSAP No. 101</w:t>
      </w:r>
      <w:r w:rsidR="00152ED2" w:rsidRPr="008E3EDA">
        <w:rPr>
          <w:sz w:val="22"/>
          <w:szCs w:val="22"/>
        </w:rPr>
        <w:t xml:space="preserve">, paragraph </w:t>
      </w:r>
      <w:r w:rsidR="000767B3" w:rsidRPr="008E3EDA">
        <w:rPr>
          <w:sz w:val="22"/>
          <w:szCs w:val="22"/>
        </w:rPr>
        <w:t>11. b.</w:t>
      </w:r>
      <w:r w:rsidR="00F5456C" w:rsidRPr="008E3EDA">
        <w:rPr>
          <w:sz w:val="22"/>
          <w:szCs w:val="22"/>
        </w:rPr>
        <w:t xml:space="preserve"> </w:t>
      </w:r>
      <w:r w:rsidR="000767B3" w:rsidRPr="008E3EDA">
        <w:rPr>
          <w:sz w:val="22"/>
          <w:szCs w:val="22"/>
        </w:rPr>
        <w:t>i.</w:t>
      </w:r>
      <w:r w:rsidR="00261D6B" w:rsidRPr="008E3EDA">
        <w:rPr>
          <w:sz w:val="22"/>
          <w:szCs w:val="22"/>
        </w:rPr>
        <w:t xml:space="preserve"> </w:t>
      </w:r>
      <w:r w:rsidR="00F26915" w:rsidRPr="008E3EDA">
        <w:rPr>
          <w:sz w:val="22"/>
          <w:szCs w:val="22"/>
        </w:rPr>
        <w:t>However,</w:t>
      </w:r>
      <w:r w:rsidR="00261D6B" w:rsidRPr="008E3EDA">
        <w:rPr>
          <w:sz w:val="22"/>
          <w:szCs w:val="22"/>
        </w:rPr>
        <w:t xml:space="preserve"> any admitted CAMT tax credits in this step must be realizable within </w:t>
      </w:r>
      <w:r w:rsidR="00F102A4" w:rsidRPr="008E3EDA">
        <w:rPr>
          <w:sz w:val="22"/>
          <w:szCs w:val="22"/>
        </w:rPr>
        <w:t>the</w:t>
      </w:r>
      <w:r w:rsidR="006A5BA3" w:rsidRPr="008E3EDA">
        <w:rPr>
          <w:sz w:val="22"/>
          <w:szCs w:val="22"/>
        </w:rPr>
        <w:t xml:space="preserve"> applicant </w:t>
      </w:r>
      <w:r w:rsidR="00261D6B" w:rsidRPr="008E3EDA">
        <w:rPr>
          <w:sz w:val="22"/>
          <w:szCs w:val="22"/>
        </w:rPr>
        <w:t>time period specified in the</w:t>
      </w:r>
      <w:r w:rsidR="00F26915" w:rsidRPr="008E3EDA">
        <w:rPr>
          <w:sz w:val="22"/>
          <w:szCs w:val="22"/>
        </w:rPr>
        <w:t xml:space="preserve"> applicable</w:t>
      </w:r>
      <w:r w:rsidR="00261D6B" w:rsidRPr="008E3EDA">
        <w:rPr>
          <w:sz w:val="22"/>
          <w:szCs w:val="22"/>
        </w:rPr>
        <w:t xml:space="preserve"> </w:t>
      </w:r>
      <w:r w:rsidR="00F26915" w:rsidRPr="008E3EDA">
        <w:rPr>
          <w:sz w:val="22"/>
          <w:szCs w:val="22"/>
        </w:rPr>
        <w:t xml:space="preserve">Realization Threshold Limitation </w:t>
      </w:r>
      <w:r w:rsidR="00B53829" w:rsidRPr="008E3EDA">
        <w:rPr>
          <w:sz w:val="22"/>
          <w:szCs w:val="22"/>
        </w:rPr>
        <w:t>T</w:t>
      </w:r>
      <w:r w:rsidR="00F26915" w:rsidRPr="008E3EDA">
        <w:rPr>
          <w:sz w:val="22"/>
          <w:szCs w:val="22"/>
        </w:rPr>
        <w:t>able</w:t>
      </w:r>
      <w:r w:rsidR="00F102A4" w:rsidRPr="008E3EDA">
        <w:rPr>
          <w:sz w:val="22"/>
          <w:szCs w:val="22"/>
        </w:rPr>
        <w:t xml:space="preserve"> (Ex, top line</w:t>
      </w:r>
      <w:r w:rsidR="00A9389B" w:rsidRPr="008E3EDA">
        <w:rPr>
          <w:sz w:val="22"/>
          <w:szCs w:val="22"/>
        </w:rPr>
        <w:t xml:space="preserve"> -</w:t>
      </w:r>
      <w:r w:rsidR="00F102A4" w:rsidRPr="008E3EDA">
        <w:rPr>
          <w:sz w:val="22"/>
          <w:szCs w:val="22"/>
        </w:rPr>
        <w:t xml:space="preserve"> </w:t>
      </w:r>
      <w:r w:rsidR="008B0EE2" w:rsidRPr="008E3EDA">
        <w:rPr>
          <w:sz w:val="22"/>
          <w:szCs w:val="22"/>
        </w:rPr>
        <w:t>3 years)</w:t>
      </w:r>
      <w:r w:rsidR="009E4823" w:rsidRPr="008E3EDA">
        <w:rPr>
          <w:sz w:val="22"/>
          <w:szCs w:val="22"/>
        </w:rPr>
        <w:t xml:space="preserve">. The post-valuation allowance adjusted gross DTA for any CAMT credit carryforward is admitted </w:t>
      </w:r>
      <w:r w:rsidR="00AE5661" w:rsidRPr="008E3EDA">
        <w:rPr>
          <w:sz w:val="22"/>
          <w:szCs w:val="22"/>
        </w:rPr>
        <w:t>following the guidance</w:t>
      </w:r>
      <w:r w:rsidR="009E4823" w:rsidRPr="008E3EDA">
        <w:rPr>
          <w:sz w:val="22"/>
          <w:szCs w:val="22"/>
        </w:rPr>
        <w:t xml:space="preserve"> </w:t>
      </w:r>
      <w:r w:rsidR="00AE5661" w:rsidRPr="008E3EDA">
        <w:rPr>
          <w:sz w:val="22"/>
          <w:szCs w:val="22"/>
        </w:rPr>
        <w:t xml:space="preserve">in </w:t>
      </w:r>
      <w:r w:rsidR="0009726F" w:rsidRPr="008E3EDA">
        <w:rPr>
          <w:sz w:val="22"/>
          <w:szCs w:val="22"/>
        </w:rPr>
        <w:t>SSAP No</w:t>
      </w:r>
      <w:r w:rsidR="00E0607B" w:rsidRPr="008E3EDA">
        <w:rPr>
          <w:sz w:val="22"/>
          <w:szCs w:val="22"/>
        </w:rPr>
        <w:t xml:space="preserve">. 101, </w:t>
      </w:r>
      <w:r w:rsidR="009E4823" w:rsidRPr="008E3EDA">
        <w:rPr>
          <w:sz w:val="22"/>
          <w:szCs w:val="22"/>
        </w:rPr>
        <w:t xml:space="preserve">paragraph 11.b.i. </w:t>
      </w:r>
      <w:r w:rsidR="00E0607B" w:rsidRPr="00090284">
        <w:rPr>
          <w:sz w:val="22"/>
          <w:szCs w:val="22"/>
        </w:rPr>
        <w:t>as modified by this Interpretation.</w:t>
      </w:r>
      <w:r w:rsidR="009E4823" w:rsidRPr="008E3EDA">
        <w:rPr>
          <w:sz w:val="22"/>
          <w:szCs w:val="22"/>
        </w:rPr>
        <w:t xml:space="preserve"> The 15% limitation of capital and surplus </w:t>
      </w:r>
      <w:r w:rsidR="000767B3" w:rsidRPr="008E3EDA">
        <w:rPr>
          <w:sz w:val="22"/>
          <w:szCs w:val="22"/>
        </w:rPr>
        <w:t>which is provided</w:t>
      </w:r>
      <w:r w:rsidR="00A211D5" w:rsidRPr="008E3EDA">
        <w:rPr>
          <w:sz w:val="22"/>
          <w:szCs w:val="22"/>
        </w:rPr>
        <w:t xml:space="preserve"> in </w:t>
      </w:r>
      <w:r w:rsidR="00CC01A3" w:rsidRPr="008E3EDA">
        <w:rPr>
          <w:sz w:val="22"/>
          <w:szCs w:val="22"/>
        </w:rPr>
        <w:t>SSAP No. 101</w:t>
      </w:r>
      <w:r w:rsidR="00851771" w:rsidRPr="008E3EDA">
        <w:rPr>
          <w:sz w:val="22"/>
          <w:szCs w:val="22"/>
        </w:rPr>
        <w:t>, paragraph 11.</w:t>
      </w:r>
      <w:r w:rsidR="000767B3" w:rsidRPr="008E3EDA">
        <w:rPr>
          <w:sz w:val="22"/>
          <w:szCs w:val="22"/>
        </w:rPr>
        <w:t xml:space="preserve"> </w:t>
      </w:r>
      <w:r w:rsidR="00851771" w:rsidRPr="008E3EDA">
        <w:rPr>
          <w:sz w:val="22"/>
          <w:szCs w:val="22"/>
        </w:rPr>
        <w:t xml:space="preserve">b. ii. </w:t>
      </w:r>
      <w:r w:rsidR="009E4823" w:rsidRPr="008E3EDA">
        <w:rPr>
          <w:sz w:val="22"/>
          <w:szCs w:val="22"/>
        </w:rPr>
        <w:t>continues to apply to admitted adjusted gross DTAs, including the adjusted gross DTA for any CAMT credit carryforward</w:t>
      </w:r>
      <w:r w:rsidR="009D4EB0" w:rsidRPr="008E3EDA">
        <w:rPr>
          <w:sz w:val="22"/>
          <w:szCs w:val="22"/>
        </w:rPr>
        <w:t xml:space="preserve">. </w:t>
      </w:r>
    </w:p>
    <w:p w14:paraId="78C8C6D6" w14:textId="77777777" w:rsidR="000E5E46" w:rsidRDefault="000E5E46" w:rsidP="000E5E46">
      <w:pPr>
        <w:pStyle w:val="ListParagraph"/>
      </w:pPr>
    </w:p>
    <w:p w14:paraId="2692EA8F" w14:textId="547E9119" w:rsidR="0071736C" w:rsidRPr="001C1A19" w:rsidRDefault="007608E2" w:rsidP="001C1A19">
      <w:pPr>
        <w:pStyle w:val="ListNumber"/>
        <w:tabs>
          <w:tab w:val="clear" w:pos="360"/>
        </w:tabs>
        <w:ind w:left="0" w:firstLine="0"/>
        <w:jc w:val="both"/>
        <w:rPr>
          <w:sz w:val="22"/>
          <w:szCs w:val="22"/>
        </w:rPr>
      </w:pPr>
      <w:r w:rsidRPr="00E60CBB">
        <w:rPr>
          <w:sz w:val="22"/>
          <w:szCs w:val="22"/>
        </w:rPr>
        <w:t xml:space="preserve">A reporting entity which meets the second line of the applicable Realization Threshold Limitation Table (Ex. </w:t>
      </w:r>
      <w:r w:rsidR="00486282">
        <w:rPr>
          <w:sz w:val="22"/>
          <w:szCs w:val="22"/>
        </w:rPr>
        <w:t>1</w:t>
      </w:r>
      <w:r w:rsidR="00486282" w:rsidRPr="00E60CBB">
        <w:rPr>
          <w:sz w:val="22"/>
          <w:szCs w:val="22"/>
        </w:rPr>
        <w:t xml:space="preserve"> </w:t>
      </w:r>
      <w:r w:rsidRPr="00E60CBB">
        <w:rPr>
          <w:sz w:val="22"/>
          <w:szCs w:val="22"/>
        </w:rPr>
        <w:t>year and 10%),</w:t>
      </w:r>
      <w:r w:rsidR="00806DA0">
        <w:rPr>
          <w:sz w:val="22"/>
          <w:szCs w:val="22"/>
        </w:rPr>
        <w:t xml:space="preserve"> </w:t>
      </w:r>
      <w:r w:rsidR="009E4823" w:rsidRPr="00E60CBB">
        <w:rPr>
          <w:sz w:val="22"/>
          <w:szCs w:val="22"/>
        </w:rPr>
        <w:t xml:space="preserve">the amount expected to be realized under </w:t>
      </w:r>
      <w:r w:rsidR="00CC01A3" w:rsidRPr="00E60CBB">
        <w:rPr>
          <w:sz w:val="22"/>
          <w:szCs w:val="22"/>
        </w:rPr>
        <w:t>SSAP No. 101</w:t>
      </w:r>
      <w:r w:rsidR="00A211D5">
        <w:rPr>
          <w:sz w:val="22"/>
          <w:szCs w:val="22"/>
        </w:rPr>
        <w:t>,</w:t>
      </w:r>
      <w:r w:rsidR="009E4823" w:rsidRPr="00E60CBB">
        <w:rPr>
          <w:sz w:val="22"/>
          <w:szCs w:val="22"/>
        </w:rPr>
        <w:t xml:space="preserve"> </w:t>
      </w:r>
      <w:r w:rsidR="00A211D5" w:rsidRPr="00E60CBB">
        <w:rPr>
          <w:sz w:val="22"/>
          <w:szCs w:val="22"/>
        </w:rPr>
        <w:t xml:space="preserve">paragraph 11.b.i. </w:t>
      </w:r>
      <w:r w:rsidR="009E4823" w:rsidRPr="00E60CBB">
        <w:rPr>
          <w:sz w:val="22"/>
          <w:szCs w:val="22"/>
        </w:rPr>
        <w:t xml:space="preserve">within the applicable period determined under paragraph 11.b. </w:t>
      </w:r>
      <w:r w:rsidR="009E4823" w:rsidRPr="009F09D6">
        <w:rPr>
          <w:b/>
          <w:bCs/>
          <w:sz w:val="22"/>
          <w:szCs w:val="22"/>
        </w:rPr>
        <w:t>is based</w:t>
      </w:r>
      <w:r w:rsidR="009E4823" w:rsidRPr="00E60CBB">
        <w:rPr>
          <w:sz w:val="22"/>
          <w:szCs w:val="22"/>
        </w:rPr>
        <w:t xml:space="preserve"> on the reporting entity’s “with and without” regular tax liability reduced by CAMT, if any, reasonably expected to be incurred during the paragraph 11.b. applicable period.  In the case of a reporting entity included in a consolidated </w:t>
      </w:r>
      <w:r w:rsidR="000637A2" w:rsidRPr="00E60CBB">
        <w:rPr>
          <w:sz w:val="22"/>
          <w:szCs w:val="22"/>
        </w:rPr>
        <w:t>f</w:t>
      </w:r>
      <w:r w:rsidR="009E4823" w:rsidRPr="00E60CBB">
        <w:rPr>
          <w:sz w:val="22"/>
          <w:szCs w:val="22"/>
        </w:rPr>
        <w:t xml:space="preserve">ederal income tax return, the amount expected to be realized is reduced by the portion of the consolidated CAMT, if any, reasonably expected to be allocable to the reporting entity pursuant to the group’s TSA.  CAMT credit utilization during the applicable period is recognized based on the same </w:t>
      </w:r>
      <w:r w:rsidR="00726592" w:rsidRPr="00E60CBB">
        <w:rPr>
          <w:sz w:val="22"/>
          <w:szCs w:val="22"/>
        </w:rPr>
        <w:t>principles, –</w:t>
      </w:r>
      <w:r w:rsidR="009E4823" w:rsidRPr="00E60CBB">
        <w:rPr>
          <w:sz w:val="22"/>
          <w:szCs w:val="22"/>
        </w:rPr>
        <w:t xml:space="preserve"> that is, as an admitted DTA. The purpose of these computations is to account for CAMT in deferred taxes in the same manner as </w:t>
      </w:r>
      <w:r w:rsidR="009E4823" w:rsidRPr="001C1A19">
        <w:rPr>
          <w:sz w:val="22"/>
          <w:szCs w:val="22"/>
        </w:rPr>
        <w:t xml:space="preserve">CAMT would be reflected in current taxes. </w:t>
      </w:r>
    </w:p>
    <w:p w14:paraId="6AD342F1" w14:textId="77777777" w:rsidR="00E8408E" w:rsidRPr="00E21109" w:rsidRDefault="00E8408E" w:rsidP="00E21109">
      <w:pPr>
        <w:jc w:val="both"/>
        <w:rPr>
          <w:highlight w:val="darkGray"/>
          <w:shd w:val="clear" w:color="auto" w:fill="FFFFFF"/>
        </w:rPr>
      </w:pPr>
    </w:p>
    <w:p w14:paraId="4B4FF336" w14:textId="04E73320" w:rsidR="00F912F5" w:rsidRPr="001B3B8A" w:rsidRDefault="00E8408E" w:rsidP="00E21109">
      <w:pPr>
        <w:jc w:val="both"/>
        <w:rPr>
          <w:i/>
          <w:iCs/>
          <w:sz w:val="22"/>
          <w:szCs w:val="22"/>
          <w:shd w:val="clear" w:color="auto" w:fill="FFFFFF"/>
        </w:rPr>
      </w:pPr>
      <w:r w:rsidRPr="001B3B8A">
        <w:rPr>
          <w:i/>
          <w:iCs/>
          <w:sz w:val="22"/>
          <w:szCs w:val="22"/>
          <w:highlight w:val="lightGray"/>
          <w:shd w:val="clear" w:color="auto" w:fill="FFFFFF"/>
        </w:rPr>
        <w:t xml:space="preserve">NAIC Staff Note: The use of the realization threshold limitation tables is consistent with </w:t>
      </w:r>
      <w:r w:rsidR="00B84CCB" w:rsidRPr="001B3B8A">
        <w:rPr>
          <w:i/>
          <w:iCs/>
          <w:sz w:val="22"/>
          <w:szCs w:val="22"/>
          <w:highlight w:val="lightGray"/>
          <w:shd w:val="clear" w:color="auto" w:fill="FFFFFF"/>
        </w:rPr>
        <w:t>th</w:t>
      </w:r>
      <w:r w:rsidRPr="001B3B8A">
        <w:rPr>
          <w:i/>
          <w:iCs/>
          <w:sz w:val="22"/>
          <w:szCs w:val="22"/>
          <w:highlight w:val="lightGray"/>
          <w:shd w:val="clear" w:color="auto" w:fill="FFFFFF"/>
        </w:rPr>
        <w:t>e treatment of</w:t>
      </w:r>
      <w:r w:rsidR="00B84CCB" w:rsidRPr="001B3B8A">
        <w:rPr>
          <w:i/>
          <w:iCs/>
          <w:sz w:val="22"/>
          <w:szCs w:val="22"/>
          <w:highlight w:val="lightGray"/>
          <w:shd w:val="clear" w:color="auto" w:fill="FFFFFF"/>
        </w:rPr>
        <w:t xml:space="preserve"> other DTAs in SSAP No. 101, paragraph 11b</w:t>
      </w:r>
      <w:r w:rsidR="001C1A19" w:rsidRPr="001B3B8A">
        <w:rPr>
          <w:i/>
          <w:iCs/>
          <w:sz w:val="22"/>
          <w:szCs w:val="22"/>
          <w:highlight w:val="lightGray"/>
          <w:shd w:val="clear" w:color="auto" w:fill="FFFFFF"/>
        </w:rPr>
        <w:t xml:space="preserve"> (most </w:t>
      </w:r>
      <w:r w:rsidR="003D6826" w:rsidRPr="001B3B8A">
        <w:rPr>
          <w:i/>
          <w:iCs/>
          <w:sz w:val="22"/>
          <w:szCs w:val="22"/>
          <w:highlight w:val="lightGray"/>
          <w:shd w:val="clear" w:color="auto" w:fill="FFFFFF"/>
        </w:rPr>
        <w:t xml:space="preserve">entities </w:t>
      </w:r>
      <w:r w:rsidR="001C1A19" w:rsidRPr="001B3B8A">
        <w:rPr>
          <w:i/>
          <w:iCs/>
          <w:sz w:val="22"/>
          <w:szCs w:val="22"/>
          <w:highlight w:val="lightGray"/>
          <w:shd w:val="clear" w:color="auto" w:fill="FFFFFF"/>
        </w:rPr>
        <w:t>will use 3 years 15%)</w:t>
      </w:r>
      <w:r w:rsidR="003B0B29" w:rsidRPr="001B3B8A">
        <w:rPr>
          <w:i/>
          <w:iCs/>
          <w:sz w:val="22"/>
          <w:szCs w:val="22"/>
          <w:highlight w:val="lightGray"/>
          <w:shd w:val="clear" w:color="auto" w:fill="FFFFFF"/>
        </w:rPr>
        <w:t>.</w:t>
      </w:r>
      <w:r w:rsidR="00B84CCB" w:rsidRPr="001B3B8A">
        <w:rPr>
          <w:i/>
          <w:iCs/>
          <w:sz w:val="22"/>
          <w:szCs w:val="22"/>
          <w:highlight w:val="lightGray"/>
          <w:shd w:val="clear" w:color="auto" w:fill="FFFFFF"/>
        </w:rPr>
        <w:t xml:space="preserve"> NAIC staff suggest this is simpler than trying to </w:t>
      </w:r>
      <w:r w:rsidR="00E21109" w:rsidRPr="001B3B8A">
        <w:rPr>
          <w:i/>
          <w:iCs/>
          <w:sz w:val="22"/>
          <w:szCs w:val="22"/>
          <w:highlight w:val="lightGray"/>
          <w:shd w:val="clear" w:color="auto" w:fill="FFFFFF"/>
        </w:rPr>
        <w:t>create</w:t>
      </w:r>
      <w:r w:rsidR="00B84CCB" w:rsidRPr="001B3B8A">
        <w:rPr>
          <w:i/>
          <w:iCs/>
          <w:sz w:val="22"/>
          <w:szCs w:val="22"/>
          <w:highlight w:val="lightGray"/>
          <w:shd w:val="clear" w:color="auto" w:fill="FFFFFF"/>
        </w:rPr>
        <w:t xml:space="preserve"> new </w:t>
      </w:r>
      <w:r w:rsidR="003B0B29" w:rsidRPr="001B3B8A">
        <w:rPr>
          <w:i/>
          <w:iCs/>
          <w:sz w:val="22"/>
          <w:szCs w:val="22"/>
          <w:highlight w:val="lightGray"/>
          <w:shd w:val="clear" w:color="auto" w:fill="FFFFFF"/>
        </w:rPr>
        <w:t xml:space="preserve">financial </w:t>
      </w:r>
      <w:r w:rsidR="00B84CCB" w:rsidRPr="001B3B8A">
        <w:rPr>
          <w:i/>
          <w:iCs/>
          <w:sz w:val="22"/>
          <w:szCs w:val="22"/>
          <w:highlight w:val="lightGray"/>
          <w:shd w:val="clear" w:color="auto" w:fill="FFFFFF"/>
        </w:rPr>
        <w:t>thresholds</w:t>
      </w:r>
      <w:r w:rsidR="003B0B29" w:rsidRPr="001B3B8A">
        <w:rPr>
          <w:i/>
          <w:iCs/>
          <w:sz w:val="22"/>
          <w:szCs w:val="22"/>
          <w:highlight w:val="lightGray"/>
          <w:shd w:val="clear" w:color="auto" w:fill="FFFFFF"/>
        </w:rPr>
        <w:t xml:space="preserve"> and realization periods</w:t>
      </w:r>
      <w:r w:rsidR="00B84CCB" w:rsidRPr="001B3B8A">
        <w:rPr>
          <w:i/>
          <w:iCs/>
          <w:sz w:val="22"/>
          <w:szCs w:val="22"/>
          <w:highlight w:val="lightGray"/>
          <w:shd w:val="clear" w:color="auto" w:fill="FFFFFF"/>
        </w:rPr>
        <w:t xml:space="preserve">. </w:t>
      </w:r>
      <w:r w:rsidR="00AD3323" w:rsidRPr="001B3B8A">
        <w:rPr>
          <w:i/>
          <w:iCs/>
          <w:sz w:val="22"/>
          <w:szCs w:val="22"/>
          <w:highlight w:val="lightGray"/>
          <w:shd w:val="clear" w:color="auto" w:fill="FFFFFF"/>
        </w:rPr>
        <w:t>Overall,</w:t>
      </w:r>
      <w:r w:rsidR="00B84CCB" w:rsidRPr="001B3B8A">
        <w:rPr>
          <w:i/>
          <w:iCs/>
          <w:sz w:val="22"/>
          <w:szCs w:val="22"/>
          <w:highlight w:val="lightGray"/>
          <w:shd w:val="clear" w:color="auto" w:fill="FFFFFF"/>
        </w:rPr>
        <w:t xml:space="preserve"> the </w:t>
      </w:r>
      <w:r w:rsidR="00AD3323" w:rsidRPr="001B3B8A">
        <w:rPr>
          <w:i/>
          <w:iCs/>
          <w:sz w:val="22"/>
          <w:szCs w:val="22"/>
          <w:highlight w:val="lightGray"/>
          <w:shd w:val="clear" w:color="auto" w:fill="FFFFFF"/>
        </w:rPr>
        <w:t>SSAP N</w:t>
      </w:r>
      <w:r w:rsidR="003B0B29" w:rsidRPr="001B3B8A">
        <w:rPr>
          <w:i/>
          <w:iCs/>
          <w:sz w:val="22"/>
          <w:szCs w:val="22"/>
          <w:highlight w:val="lightGray"/>
          <w:shd w:val="clear" w:color="auto" w:fill="FFFFFF"/>
        </w:rPr>
        <w:t>o</w:t>
      </w:r>
      <w:r w:rsidR="00AD3323" w:rsidRPr="001B3B8A">
        <w:rPr>
          <w:i/>
          <w:iCs/>
          <w:sz w:val="22"/>
          <w:szCs w:val="22"/>
          <w:highlight w:val="lightGray"/>
          <w:shd w:val="clear" w:color="auto" w:fill="FFFFFF"/>
        </w:rPr>
        <w:t xml:space="preserve">. 101 </w:t>
      </w:r>
      <w:r w:rsidR="00B84CCB" w:rsidRPr="001B3B8A">
        <w:rPr>
          <w:i/>
          <w:iCs/>
          <w:sz w:val="22"/>
          <w:szCs w:val="22"/>
          <w:highlight w:val="lightGray"/>
          <w:shd w:val="clear" w:color="auto" w:fill="FFFFFF"/>
        </w:rPr>
        <w:t xml:space="preserve">11b </w:t>
      </w:r>
      <w:r w:rsidR="00AD3323" w:rsidRPr="001B3B8A">
        <w:rPr>
          <w:i/>
          <w:iCs/>
          <w:sz w:val="22"/>
          <w:szCs w:val="22"/>
          <w:highlight w:val="lightGray"/>
          <w:shd w:val="clear" w:color="auto" w:fill="FFFFFF"/>
        </w:rPr>
        <w:t xml:space="preserve">admissibility </w:t>
      </w:r>
      <w:r w:rsidR="00B84CCB" w:rsidRPr="001B3B8A">
        <w:rPr>
          <w:i/>
          <w:iCs/>
          <w:sz w:val="22"/>
          <w:szCs w:val="22"/>
          <w:highlight w:val="lightGray"/>
          <w:shd w:val="clear" w:color="auto" w:fill="FFFFFF"/>
        </w:rPr>
        <w:t>treatment proposed in this INT is the same as existing guidance</w:t>
      </w:r>
      <w:r w:rsidR="00AD3323" w:rsidRPr="001B3B8A">
        <w:rPr>
          <w:i/>
          <w:iCs/>
          <w:sz w:val="22"/>
          <w:szCs w:val="22"/>
          <w:highlight w:val="lightGray"/>
          <w:shd w:val="clear" w:color="auto" w:fill="FFFFFF"/>
        </w:rPr>
        <w:t xml:space="preserve">. This </w:t>
      </w:r>
      <w:r w:rsidR="003B0B29" w:rsidRPr="001B3B8A">
        <w:rPr>
          <w:i/>
          <w:iCs/>
          <w:sz w:val="22"/>
          <w:szCs w:val="22"/>
          <w:highlight w:val="lightGray"/>
          <w:shd w:val="clear" w:color="auto" w:fill="FFFFFF"/>
        </w:rPr>
        <w:t>INT</w:t>
      </w:r>
      <w:r w:rsidR="00AD3323" w:rsidRPr="001B3B8A">
        <w:rPr>
          <w:i/>
          <w:iCs/>
          <w:sz w:val="22"/>
          <w:szCs w:val="22"/>
          <w:highlight w:val="lightGray"/>
          <w:shd w:val="clear" w:color="auto" w:fill="FFFFFF"/>
        </w:rPr>
        <w:t xml:space="preserve"> allows an </w:t>
      </w:r>
      <w:r w:rsidR="00B84CCB" w:rsidRPr="001B3B8A">
        <w:rPr>
          <w:i/>
          <w:iCs/>
          <w:sz w:val="22"/>
          <w:szCs w:val="22"/>
          <w:highlight w:val="lightGray"/>
          <w:shd w:val="clear" w:color="auto" w:fill="FFFFFF"/>
        </w:rPr>
        <w:t>except</w:t>
      </w:r>
      <w:r w:rsidR="001C1A19" w:rsidRPr="001B3B8A">
        <w:rPr>
          <w:i/>
          <w:iCs/>
          <w:sz w:val="22"/>
          <w:szCs w:val="22"/>
          <w:highlight w:val="lightGray"/>
          <w:shd w:val="clear" w:color="auto" w:fill="FFFFFF"/>
        </w:rPr>
        <w:t xml:space="preserve">ion </w:t>
      </w:r>
      <w:r w:rsidR="00AD3323" w:rsidRPr="001B3B8A">
        <w:rPr>
          <w:i/>
          <w:iCs/>
          <w:sz w:val="22"/>
          <w:szCs w:val="22"/>
          <w:highlight w:val="lightGray"/>
          <w:shd w:val="clear" w:color="auto" w:fill="FFFFFF"/>
        </w:rPr>
        <w:t>allowing entities over 300% ex DTA RBC (3 year 15</w:t>
      </w:r>
      <w:r w:rsidR="001C1A19" w:rsidRPr="001B3B8A">
        <w:rPr>
          <w:i/>
          <w:iCs/>
          <w:sz w:val="22"/>
          <w:szCs w:val="22"/>
          <w:highlight w:val="lightGray"/>
          <w:shd w:val="clear" w:color="auto" w:fill="FFFFFF"/>
        </w:rPr>
        <w:t>%) to</w:t>
      </w:r>
      <w:r w:rsidR="00AD3323" w:rsidRPr="001B3B8A">
        <w:rPr>
          <w:i/>
          <w:iCs/>
          <w:sz w:val="22"/>
          <w:szCs w:val="22"/>
          <w:highlight w:val="lightGray"/>
          <w:shd w:val="clear" w:color="auto" w:fill="FFFFFF"/>
        </w:rPr>
        <w:t xml:space="preserve"> avoid doing </w:t>
      </w:r>
      <w:r w:rsidR="003B0B29" w:rsidRPr="001B3B8A">
        <w:rPr>
          <w:i/>
          <w:iCs/>
          <w:sz w:val="22"/>
          <w:szCs w:val="22"/>
          <w:highlight w:val="lightGray"/>
          <w:shd w:val="clear" w:color="auto" w:fill="FFFFFF"/>
        </w:rPr>
        <w:t>“</w:t>
      </w:r>
      <w:r w:rsidR="00AD3323" w:rsidRPr="001B3B8A">
        <w:rPr>
          <w:i/>
          <w:iCs/>
          <w:sz w:val="22"/>
          <w:szCs w:val="22"/>
          <w:highlight w:val="lightGray"/>
          <w:shd w:val="clear" w:color="auto" w:fill="FFFFFF"/>
        </w:rPr>
        <w:t>with and without</w:t>
      </w:r>
      <w:r w:rsidR="003B0B29" w:rsidRPr="001B3B8A">
        <w:rPr>
          <w:i/>
          <w:iCs/>
          <w:sz w:val="22"/>
          <w:szCs w:val="22"/>
          <w:highlight w:val="lightGray"/>
          <w:shd w:val="clear" w:color="auto" w:fill="FFFFFF"/>
        </w:rPr>
        <w:t xml:space="preserve">” calculations which determine the impact of CAMT for </w:t>
      </w:r>
      <w:r w:rsidR="00AF6E06" w:rsidRPr="001B3B8A">
        <w:rPr>
          <w:i/>
          <w:iCs/>
          <w:sz w:val="22"/>
          <w:szCs w:val="22"/>
          <w:highlight w:val="lightGray"/>
          <w:shd w:val="clear" w:color="auto" w:fill="FFFFFF"/>
        </w:rPr>
        <w:t xml:space="preserve">use </w:t>
      </w:r>
      <w:r w:rsidR="003B0B29" w:rsidRPr="001B3B8A">
        <w:rPr>
          <w:i/>
          <w:iCs/>
          <w:sz w:val="22"/>
          <w:szCs w:val="22"/>
          <w:highlight w:val="lightGray"/>
          <w:shd w:val="clear" w:color="auto" w:fill="FFFFFF"/>
        </w:rPr>
        <w:t>of “normal” DTA</w:t>
      </w:r>
      <w:r w:rsidR="001C1A19" w:rsidRPr="001B3B8A">
        <w:rPr>
          <w:i/>
          <w:iCs/>
          <w:sz w:val="22"/>
          <w:szCs w:val="22"/>
          <w:highlight w:val="lightGray"/>
          <w:shd w:val="clear" w:color="auto" w:fill="FFFFFF"/>
        </w:rPr>
        <w:t>. T</w:t>
      </w:r>
      <w:r w:rsidR="00AD3323" w:rsidRPr="001B3B8A">
        <w:rPr>
          <w:i/>
          <w:iCs/>
          <w:sz w:val="22"/>
          <w:szCs w:val="22"/>
          <w:highlight w:val="lightGray"/>
          <w:shd w:val="clear" w:color="auto" w:fill="FFFFFF"/>
        </w:rPr>
        <w:t xml:space="preserve">his </w:t>
      </w:r>
      <w:r w:rsidR="006B18D5" w:rsidRPr="001B3B8A">
        <w:rPr>
          <w:i/>
          <w:iCs/>
          <w:sz w:val="22"/>
          <w:szCs w:val="22"/>
          <w:highlight w:val="lightGray"/>
          <w:shd w:val="clear" w:color="auto" w:fill="FFFFFF"/>
        </w:rPr>
        <w:t xml:space="preserve">was requested </w:t>
      </w:r>
      <w:r w:rsidR="00CC7CBF" w:rsidRPr="001B3B8A">
        <w:rPr>
          <w:i/>
          <w:iCs/>
          <w:sz w:val="22"/>
          <w:szCs w:val="22"/>
          <w:highlight w:val="lightGray"/>
          <w:shd w:val="clear" w:color="auto" w:fill="FFFFFF"/>
        </w:rPr>
        <w:t>by industry</w:t>
      </w:r>
      <w:r w:rsidR="00AD3323" w:rsidRPr="001B3B8A">
        <w:rPr>
          <w:i/>
          <w:iCs/>
          <w:sz w:val="22"/>
          <w:szCs w:val="22"/>
          <w:highlight w:val="lightGray"/>
          <w:shd w:val="clear" w:color="auto" w:fill="FFFFFF"/>
        </w:rPr>
        <w:t xml:space="preserve"> </w:t>
      </w:r>
      <w:r w:rsidR="00043C7E" w:rsidRPr="001B3B8A">
        <w:rPr>
          <w:i/>
          <w:iCs/>
          <w:sz w:val="22"/>
          <w:szCs w:val="22"/>
          <w:highlight w:val="lightGray"/>
          <w:shd w:val="clear" w:color="auto" w:fill="FFFFFF"/>
        </w:rPr>
        <w:t xml:space="preserve">for </w:t>
      </w:r>
      <w:r w:rsidR="00AD3323" w:rsidRPr="001B3B8A">
        <w:rPr>
          <w:i/>
          <w:iCs/>
          <w:sz w:val="22"/>
          <w:szCs w:val="22"/>
          <w:highlight w:val="lightGray"/>
          <w:shd w:val="clear" w:color="auto" w:fill="FFFFFF"/>
        </w:rPr>
        <w:t xml:space="preserve">the higher threshold </w:t>
      </w:r>
      <w:r w:rsidR="001C1A19" w:rsidRPr="001B3B8A">
        <w:rPr>
          <w:i/>
          <w:iCs/>
          <w:sz w:val="22"/>
          <w:szCs w:val="22"/>
          <w:highlight w:val="lightGray"/>
          <w:shd w:val="clear" w:color="auto" w:fill="FFFFFF"/>
        </w:rPr>
        <w:t>entities</w:t>
      </w:r>
      <w:r w:rsidR="00AD3323" w:rsidRPr="001B3B8A">
        <w:rPr>
          <w:i/>
          <w:iCs/>
          <w:sz w:val="22"/>
          <w:szCs w:val="22"/>
          <w:highlight w:val="lightGray"/>
          <w:shd w:val="clear" w:color="auto" w:fill="FFFFFF"/>
        </w:rPr>
        <w:t>.</w:t>
      </w:r>
      <w:r w:rsidR="00AD3323" w:rsidRPr="001B3B8A">
        <w:rPr>
          <w:i/>
          <w:iCs/>
          <w:sz w:val="22"/>
          <w:szCs w:val="22"/>
          <w:shd w:val="clear" w:color="auto" w:fill="FFFFFF"/>
        </w:rPr>
        <w:t xml:space="preserve"> </w:t>
      </w:r>
    </w:p>
    <w:p w14:paraId="6ED33974" w14:textId="77777777" w:rsidR="00AD3323" w:rsidRPr="003136E3" w:rsidRDefault="00AD3323" w:rsidP="00090284"/>
    <w:p w14:paraId="0C332C48" w14:textId="71C05632" w:rsidR="00806DA0" w:rsidRDefault="00806DA0">
      <w:pPr>
        <w:pStyle w:val="ListNumber"/>
        <w:tabs>
          <w:tab w:val="clear" w:pos="360"/>
        </w:tabs>
        <w:ind w:left="0" w:firstLine="0"/>
        <w:jc w:val="both"/>
        <w:rPr>
          <w:sz w:val="22"/>
          <w:szCs w:val="22"/>
        </w:rPr>
      </w:pPr>
      <w:r>
        <w:rPr>
          <w:sz w:val="22"/>
          <w:szCs w:val="22"/>
        </w:rPr>
        <w:t xml:space="preserve"> A </w:t>
      </w:r>
      <w:r w:rsidR="00800BC9">
        <w:rPr>
          <w:sz w:val="22"/>
          <w:szCs w:val="22"/>
        </w:rPr>
        <w:t xml:space="preserve">reporting entity </w:t>
      </w:r>
      <w:r w:rsidR="00DE6F2C">
        <w:rPr>
          <w:sz w:val="22"/>
          <w:szCs w:val="22"/>
        </w:rPr>
        <w:t xml:space="preserve">which meets or is </w:t>
      </w:r>
      <w:r w:rsidR="004620FD">
        <w:rPr>
          <w:sz w:val="22"/>
          <w:szCs w:val="22"/>
        </w:rPr>
        <w:t xml:space="preserve">below the </w:t>
      </w:r>
      <w:r w:rsidR="00DE6F2C">
        <w:rPr>
          <w:sz w:val="22"/>
          <w:szCs w:val="22"/>
        </w:rPr>
        <w:t xml:space="preserve">third line </w:t>
      </w:r>
      <w:r w:rsidR="004620FD" w:rsidRPr="00E60CBB">
        <w:rPr>
          <w:sz w:val="22"/>
          <w:szCs w:val="22"/>
        </w:rPr>
        <w:t xml:space="preserve">of the applicable Realization Threshold Limitation Table (Ex. </w:t>
      </w:r>
      <w:r w:rsidR="004620FD">
        <w:rPr>
          <w:sz w:val="22"/>
          <w:szCs w:val="22"/>
        </w:rPr>
        <w:t>0</w:t>
      </w:r>
      <w:r w:rsidR="004620FD" w:rsidRPr="00E60CBB">
        <w:rPr>
          <w:sz w:val="22"/>
          <w:szCs w:val="22"/>
        </w:rPr>
        <w:t xml:space="preserve"> years and 0%),</w:t>
      </w:r>
      <w:r w:rsidR="004620FD">
        <w:rPr>
          <w:sz w:val="22"/>
          <w:szCs w:val="22"/>
        </w:rPr>
        <w:t xml:space="preserve"> is not permitted to admit </w:t>
      </w:r>
      <w:r w:rsidR="00DB5617">
        <w:rPr>
          <w:sz w:val="22"/>
          <w:szCs w:val="22"/>
        </w:rPr>
        <w:t>either CAMT credit carryforwards or DTAs under SSAP No. 101</w:t>
      </w:r>
      <w:r w:rsidR="001F7269">
        <w:rPr>
          <w:sz w:val="22"/>
          <w:szCs w:val="22"/>
        </w:rPr>
        <w:t>,</w:t>
      </w:r>
      <w:r w:rsidR="001F7269" w:rsidRPr="001F7269">
        <w:rPr>
          <w:sz w:val="22"/>
          <w:szCs w:val="22"/>
        </w:rPr>
        <w:t xml:space="preserve"> </w:t>
      </w:r>
      <w:r w:rsidR="001F7269">
        <w:rPr>
          <w:sz w:val="22"/>
          <w:szCs w:val="22"/>
        </w:rPr>
        <w:t xml:space="preserve">paragraph 11.b. </w:t>
      </w:r>
    </w:p>
    <w:p w14:paraId="44D980A6" w14:textId="77777777" w:rsidR="00DB5617" w:rsidRDefault="00DB5617" w:rsidP="00DB5617">
      <w:pPr>
        <w:pStyle w:val="ListParagraph"/>
      </w:pPr>
    </w:p>
    <w:p w14:paraId="716FF247" w14:textId="18717450" w:rsidR="004C5231" w:rsidRPr="002C6229" w:rsidRDefault="004C5231" w:rsidP="00090284">
      <w:pPr>
        <w:pStyle w:val="ListNumber"/>
        <w:tabs>
          <w:tab w:val="clear" w:pos="360"/>
        </w:tabs>
        <w:ind w:left="0" w:firstLine="0"/>
        <w:jc w:val="both"/>
        <w:rPr>
          <w:shd w:val="clear" w:color="auto" w:fill="FFFFFF"/>
        </w:rPr>
      </w:pPr>
      <w:r w:rsidRPr="002C6229">
        <w:rPr>
          <w:sz w:val="22"/>
          <w:szCs w:val="22"/>
        </w:rPr>
        <w:t xml:space="preserve">The adjusted gross DTA for any CAMT tax credit carryforward which does not qualify for admission under </w:t>
      </w:r>
      <w:r w:rsidRPr="002C6229">
        <w:rPr>
          <w:iCs/>
          <w:sz w:val="22"/>
          <w:szCs w:val="22"/>
        </w:rPr>
        <w:t>SSAP No. 101, paragraph 11. a.  or 11. b.</w:t>
      </w:r>
      <w:r w:rsidRPr="002C6229">
        <w:rPr>
          <w:sz w:val="22"/>
          <w:szCs w:val="22"/>
        </w:rPr>
        <w:t xml:space="preserve"> is permitted to be recognized as an offset against applicable deferred tax liabilities (DTLs) in accordance with SSAP No. 101, paragraph 11.c. </w:t>
      </w:r>
      <w:r w:rsidRPr="002C6229">
        <w:rPr>
          <w:rFonts w:ascii="TimesNewRomanPSMT" w:hAnsi="TimesNewRomanPSMT" w:cs="TimesNewRomanPSMT"/>
          <w:sz w:val="22"/>
          <w:szCs w:val="22"/>
        </w:rPr>
        <w:t xml:space="preserve">The </w:t>
      </w:r>
      <w:r w:rsidR="00315782" w:rsidRPr="002C6229">
        <w:rPr>
          <w:rFonts w:ascii="TimesNewRomanPSMT" w:hAnsi="TimesNewRomanPSMT" w:cs="TimesNewRomanPSMT"/>
          <w:sz w:val="22"/>
          <w:szCs w:val="22"/>
        </w:rPr>
        <w:t xml:space="preserve">reporting entity shall admit the remaining </w:t>
      </w:r>
      <w:r w:rsidRPr="002C6229">
        <w:rPr>
          <w:rFonts w:ascii="TimesNewRomanPSMT" w:hAnsi="TimesNewRomanPSMT" w:cs="TimesNewRomanPSMT"/>
          <w:sz w:val="22"/>
          <w:szCs w:val="22"/>
        </w:rPr>
        <w:t xml:space="preserve">amount of adjusted gross DTAs, after application of paragraphs 11.a. and </w:t>
      </w:r>
      <w:r w:rsidRPr="002C6229">
        <w:rPr>
          <w:rFonts w:ascii="TimesNewRomanPSMT" w:hAnsi="TimesNewRomanPSMT" w:cs="TimesNewRomanPSMT"/>
          <w:sz w:val="22"/>
          <w:szCs w:val="22"/>
        </w:rPr>
        <w:lastRenderedPageBreak/>
        <w:t>11.b. that can be offset against existing gross DTLs. The reporting entity shall consider the character (i.e., ordinary versus capital) of the DTAs and DTLs such that offsetting would be permitted in the tax return under existing enacted federal income tax laws and regulations.</w:t>
      </w:r>
    </w:p>
    <w:p w14:paraId="1B9818AB" w14:textId="77777777" w:rsidR="00B85CDB" w:rsidRDefault="00B85CDB" w:rsidP="00B85CDB">
      <w:pPr>
        <w:pStyle w:val="ListNumber"/>
        <w:numPr>
          <w:ilvl w:val="0"/>
          <w:numId w:val="0"/>
        </w:numPr>
        <w:ind w:left="360"/>
        <w:rPr>
          <w:highlight w:val="lightGray"/>
          <w:shd w:val="clear" w:color="auto" w:fill="FFFFFF"/>
        </w:rPr>
      </w:pPr>
    </w:p>
    <w:p w14:paraId="13E97B07" w14:textId="47C13BCF" w:rsidR="000354D3" w:rsidRPr="00FB24B9" w:rsidRDefault="000354D3" w:rsidP="000354D3">
      <w:pPr>
        <w:pStyle w:val="ListNumber"/>
        <w:numPr>
          <w:ilvl w:val="0"/>
          <w:numId w:val="0"/>
        </w:numPr>
        <w:jc w:val="both"/>
        <w:rPr>
          <w:i/>
          <w:iCs/>
          <w:sz w:val="22"/>
          <w:szCs w:val="22"/>
        </w:rPr>
      </w:pPr>
      <w:r w:rsidRPr="00FB24B9">
        <w:rPr>
          <w:i/>
          <w:iCs/>
          <w:sz w:val="22"/>
          <w:szCs w:val="22"/>
        </w:rPr>
        <w:t xml:space="preserve">Admittance - Projections </w:t>
      </w:r>
    </w:p>
    <w:p w14:paraId="7F216C51" w14:textId="77777777" w:rsidR="000354D3" w:rsidRPr="00F815FA" w:rsidRDefault="000354D3" w:rsidP="000354D3">
      <w:pPr>
        <w:pStyle w:val="ListNumber"/>
        <w:numPr>
          <w:ilvl w:val="0"/>
          <w:numId w:val="0"/>
        </w:numPr>
        <w:jc w:val="both"/>
        <w:rPr>
          <w:b/>
          <w:bCs/>
          <w:sz w:val="22"/>
          <w:szCs w:val="22"/>
        </w:rPr>
      </w:pPr>
    </w:p>
    <w:p w14:paraId="40456925" w14:textId="77777777" w:rsidR="000354D3" w:rsidRPr="00F815FA" w:rsidRDefault="000354D3" w:rsidP="000354D3">
      <w:pPr>
        <w:pStyle w:val="ListNumber"/>
        <w:tabs>
          <w:tab w:val="clear" w:pos="360"/>
        </w:tabs>
        <w:ind w:left="0" w:firstLine="0"/>
        <w:jc w:val="both"/>
        <w:rPr>
          <w:sz w:val="22"/>
          <w:szCs w:val="22"/>
        </w:rPr>
      </w:pPr>
      <w:r w:rsidRPr="00F815FA">
        <w:rPr>
          <w:sz w:val="22"/>
          <w:szCs w:val="22"/>
        </w:rPr>
        <w:t>Projections of CAMT liability, if any, (and CAMT credit utilization) during the applicable period involve forward-looking data, groupings, estimates and other adjustments for both the reporting entity and the group of which it is a member. The manner in which this is done shall be conducted in a reasonable and consistent manner. A reporting entity shall retain internal documentation to support these computations and the methodologies so employed. Modifications are permitted should events or circumstances change from a previous period – such as a change in materiality or administrative costs associated with the computations, or system changes that affect the level of detail available. Entities that make such modifications should be prepared to rationalize the changes</w:t>
      </w:r>
      <w:r w:rsidRPr="00724019">
        <w:rPr>
          <w:sz w:val="22"/>
          <w:szCs w:val="22"/>
        </w:rPr>
        <w:t>. Disclosure of material modifications, and the general reason for such, should be made in the notes to the financial statements.</w:t>
      </w:r>
      <w:r w:rsidRPr="00724019">
        <w:rPr>
          <w:rStyle w:val="FootnoteReference"/>
          <w:sz w:val="22"/>
          <w:szCs w:val="22"/>
        </w:rPr>
        <w:footnoteReference w:id="9"/>
      </w:r>
      <w:r w:rsidRPr="00F815FA">
        <w:rPr>
          <w:sz w:val="22"/>
          <w:szCs w:val="22"/>
        </w:rPr>
        <w:t xml:space="preserve"> </w:t>
      </w:r>
    </w:p>
    <w:p w14:paraId="41DF84E3" w14:textId="255E69C4" w:rsidR="000354D3" w:rsidRPr="002352F7" w:rsidRDefault="000354D3" w:rsidP="000354D3">
      <w:pPr>
        <w:pStyle w:val="ListNumber"/>
        <w:numPr>
          <w:ilvl w:val="0"/>
          <w:numId w:val="0"/>
        </w:numPr>
        <w:jc w:val="both"/>
        <w:rPr>
          <w:i/>
          <w:iCs/>
          <w:sz w:val="22"/>
          <w:szCs w:val="22"/>
        </w:rPr>
      </w:pPr>
      <w:r w:rsidRPr="00F815FA">
        <w:rPr>
          <w:sz w:val="22"/>
          <w:szCs w:val="22"/>
        </w:rPr>
        <w:br/>
      </w:r>
      <w:r w:rsidRPr="002352F7">
        <w:rPr>
          <w:i/>
          <w:iCs/>
          <w:sz w:val="22"/>
          <w:szCs w:val="22"/>
        </w:rPr>
        <w:t xml:space="preserve">Admittance - Tax Planning Strategies </w:t>
      </w:r>
    </w:p>
    <w:p w14:paraId="36F9C724" w14:textId="77777777" w:rsidR="000354D3" w:rsidRPr="002352F7" w:rsidRDefault="000354D3" w:rsidP="000354D3">
      <w:pPr>
        <w:pStyle w:val="ListNumber"/>
        <w:numPr>
          <w:ilvl w:val="0"/>
          <w:numId w:val="0"/>
        </w:numPr>
        <w:jc w:val="both"/>
        <w:rPr>
          <w:b/>
          <w:bCs/>
          <w:sz w:val="22"/>
          <w:szCs w:val="22"/>
        </w:rPr>
      </w:pPr>
    </w:p>
    <w:p w14:paraId="27597F47" w14:textId="255DD251" w:rsidR="000354D3" w:rsidRPr="002352F7" w:rsidRDefault="000354D3" w:rsidP="000354D3">
      <w:pPr>
        <w:pStyle w:val="ListNumber"/>
        <w:tabs>
          <w:tab w:val="clear" w:pos="360"/>
        </w:tabs>
        <w:ind w:left="0" w:firstLine="0"/>
        <w:jc w:val="both"/>
        <w:rPr>
          <w:sz w:val="22"/>
          <w:szCs w:val="22"/>
        </w:rPr>
      </w:pPr>
      <w:r w:rsidRPr="002352F7">
        <w:rPr>
          <w:iCs/>
          <w:sz w:val="22"/>
          <w:szCs w:val="22"/>
        </w:rPr>
        <w:t>SSAP No. 101</w:t>
      </w:r>
      <w:r w:rsidRPr="002352F7">
        <w:rPr>
          <w:i/>
          <w:iCs/>
          <w:sz w:val="22"/>
          <w:szCs w:val="22"/>
        </w:rPr>
        <w:t xml:space="preserve"> </w:t>
      </w:r>
      <w:r w:rsidRPr="002352F7">
        <w:rPr>
          <w:sz w:val="22"/>
          <w:szCs w:val="22"/>
        </w:rPr>
        <w:t xml:space="preserve">provides that </w:t>
      </w:r>
      <w:r w:rsidRPr="002352F7">
        <w:rPr>
          <w:b/>
          <w:bCs/>
          <w:sz w:val="22"/>
          <w:szCs w:val="22"/>
        </w:rPr>
        <w:t>tax-planning strategies</w:t>
      </w:r>
      <w:r w:rsidRPr="002352F7">
        <w:rPr>
          <w:sz w:val="22"/>
          <w:szCs w:val="22"/>
        </w:rPr>
        <w:t xml:space="preserve"> are required to be considered in the valuation allowance analysis and may be considered in determining the admission of DTAs under SSAP No. 101</w:t>
      </w:r>
      <w:r w:rsidR="00CE5D19" w:rsidRPr="002352F7">
        <w:rPr>
          <w:sz w:val="22"/>
          <w:szCs w:val="22"/>
        </w:rPr>
        <w:t>,</w:t>
      </w:r>
      <w:r w:rsidRPr="002352F7">
        <w:rPr>
          <w:sz w:val="22"/>
          <w:szCs w:val="22"/>
        </w:rPr>
        <w:t xml:space="preserve"> paragraph 11. </w:t>
      </w:r>
      <w:r w:rsidR="00426570" w:rsidRPr="002352F7">
        <w:rPr>
          <w:sz w:val="22"/>
          <w:szCs w:val="22"/>
        </w:rPr>
        <w:t xml:space="preserve">For reporting entities </w:t>
      </w:r>
      <w:r w:rsidR="003009C7">
        <w:rPr>
          <w:sz w:val="22"/>
          <w:szCs w:val="22"/>
        </w:rPr>
        <w:t>that</w:t>
      </w:r>
      <w:r w:rsidR="00280EAA">
        <w:rPr>
          <w:sz w:val="22"/>
          <w:szCs w:val="22"/>
        </w:rPr>
        <w:t xml:space="preserve"> </w:t>
      </w:r>
      <w:r w:rsidR="003009C7">
        <w:rPr>
          <w:sz w:val="22"/>
          <w:szCs w:val="22"/>
        </w:rPr>
        <w:t xml:space="preserve">are </w:t>
      </w:r>
      <w:r w:rsidR="00426570" w:rsidRPr="002352F7">
        <w:rPr>
          <w:sz w:val="22"/>
          <w:szCs w:val="22"/>
        </w:rPr>
        <w:t>part of</w:t>
      </w:r>
      <w:r w:rsidR="00280EAA">
        <w:rPr>
          <w:sz w:val="22"/>
          <w:szCs w:val="22"/>
        </w:rPr>
        <w:t xml:space="preserve"> a consolidated tax return</w:t>
      </w:r>
      <w:r w:rsidR="00426570" w:rsidRPr="002352F7">
        <w:rPr>
          <w:sz w:val="22"/>
          <w:szCs w:val="22"/>
        </w:rPr>
        <w:t xml:space="preserve"> group, tax planning strategies impacting the CAMT are determined at a group level, as long as the tax planning strategies at the group level do not conflict with tax planning strategies at the reporting level and vice versa. For reporting entities that are </w:t>
      </w:r>
      <w:r w:rsidR="00602365">
        <w:rPr>
          <w:sz w:val="22"/>
          <w:szCs w:val="22"/>
        </w:rPr>
        <w:t>separate</w:t>
      </w:r>
      <w:r w:rsidR="0012628F">
        <w:rPr>
          <w:sz w:val="22"/>
          <w:szCs w:val="22"/>
        </w:rPr>
        <w:t xml:space="preserve"> tax</w:t>
      </w:r>
      <w:r w:rsidR="00602365">
        <w:rPr>
          <w:sz w:val="22"/>
          <w:szCs w:val="22"/>
        </w:rPr>
        <w:t xml:space="preserve"> return filers</w:t>
      </w:r>
      <w:r w:rsidR="00426570" w:rsidRPr="002352F7">
        <w:rPr>
          <w:sz w:val="22"/>
          <w:szCs w:val="22"/>
        </w:rPr>
        <w:t xml:space="preserve">, a reporting entity </w:t>
      </w:r>
      <w:r w:rsidR="00292353" w:rsidRPr="002352F7">
        <w:rPr>
          <w:sz w:val="22"/>
          <w:szCs w:val="22"/>
        </w:rPr>
        <w:t>must</w:t>
      </w:r>
      <w:r w:rsidR="00426570" w:rsidRPr="002352F7">
        <w:rPr>
          <w:sz w:val="22"/>
          <w:szCs w:val="22"/>
        </w:rPr>
        <w:t xml:space="preserve"> consider tax-planning strategies in making the </w:t>
      </w:r>
      <w:r w:rsidR="00292353" w:rsidRPr="002352F7">
        <w:rPr>
          <w:sz w:val="22"/>
          <w:szCs w:val="22"/>
        </w:rPr>
        <w:t>valuation allow</w:t>
      </w:r>
      <w:r w:rsidR="00AA75B6" w:rsidRPr="002352F7">
        <w:rPr>
          <w:sz w:val="22"/>
          <w:szCs w:val="22"/>
        </w:rPr>
        <w:t xml:space="preserve">ance analysis </w:t>
      </w:r>
      <w:r w:rsidR="00426570" w:rsidRPr="002352F7">
        <w:rPr>
          <w:sz w:val="22"/>
          <w:szCs w:val="22"/>
        </w:rPr>
        <w:t xml:space="preserve">required under this interpretation. </w:t>
      </w:r>
    </w:p>
    <w:p w14:paraId="2F74A069" w14:textId="77777777" w:rsidR="000354D3" w:rsidRPr="00F815FA" w:rsidRDefault="000354D3" w:rsidP="000354D3">
      <w:pPr>
        <w:pStyle w:val="ListNumber"/>
        <w:numPr>
          <w:ilvl w:val="0"/>
          <w:numId w:val="0"/>
        </w:numPr>
        <w:jc w:val="both"/>
        <w:rPr>
          <w:sz w:val="22"/>
          <w:szCs w:val="22"/>
        </w:rPr>
      </w:pPr>
    </w:p>
    <w:p w14:paraId="41F34CCA" w14:textId="77777777" w:rsidR="00EB2DFC" w:rsidRPr="00F815FA" w:rsidRDefault="00EB2DFC" w:rsidP="00EB2DFC">
      <w:pPr>
        <w:pStyle w:val="ListNumber"/>
        <w:numPr>
          <w:ilvl w:val="0"/>
          <w:numId w:val="0"/>
        </w:numPr>
        <w:spacing w:after="220"/>
        <w:ind w:left="360" w:hanging="360"/>
        <w:jc w:val="both"/>
        <w:rPr>
          <w:b/>
          <w:bCs/>
          <w:sz w:val="22"/>
          <w:szCs w:val="22"/>
        </w:rPr>
      </w:pPr>
      <w:r w:rsidRPr="00F815FA">
        <w:rPr>
          <w:b/>
          <w:bCs/>
          <w:sz w:val="22"/>
          <w:szCs w:val="22"/>
        </w:rPr>
        <w:t>Transition Guidance</w:t>
      </w:r>
    </w:p>
    <w:p w14:paraId="2DD5B8AD" w14:textId="2AEA9AD6" w:rsidR="00EB2DFC" w:rsidRPr="002352F7" w:rsidRDefault="00EB2DFC" w:rsidP="00EB2DFC">
      <w:pPr>
        <w:pStyle w:val="ListNumber"/>
        <w:tabs>
          <w:tab w:val="clear" w:pos="360"/>
        </w:tabs>
        <w:ind w:left="0" w:firstLine="0"/>
        <w:jc w:val="both"/>
        <w:rPr>
          <w:sz w:val="22"/>
          <w:szCs w:val="22"/>
        </w:rPr>
      </w:pPr>
      <w:r w:rsidRPr="002352F7">
        <w:rPr>
          <w:sz w:val="22"/>
          <w:szCs w:val="22"/>
        </w:rPr>
        <w:t>Even though the CAMT was enacted in 2022 and generally became effective January 1, 2023, the requirements for statutory tax accounting for the CAMT have effectively been deferred by INT 22-02</w:t>
      </w:r>
      <w:r w:rsidR="004C3805" w:rsidRPr="002352F7">
        <w:rPr>
          <w:sz w:val="22"/>
          <w:szCs w:val="22"/>
        </w:rPr>
        <w:t xml:space="preserve">. </w:t>
      </w:r>
      <w:r w:rsidRPr="002352F7">
        <w:rPr>
          <w:sz w:val="22"/>
          <w:szCs w:val="22"/>
        </w:rPr>
        <w:t>This paragraph provides the applicable transition rules for year-end 2023 statutory accounting for requests for a timely-filed TSA amendment or a new TSA for the 2023 taxable year.</w:t>
      </w:r>
      <w:r w:rsidR="00852308" w:rsidRPr="002352F7">
        <w:rPr>
          <w:sz w:val="22"/>
          <w:szCs w:val="22"/>
        </w:rPr>
        <w:t xml:space="preserve"> </w:t>
      </w:r>
    </w:p>
    <w:p w14:paraId="7B1A8FC6" w14:textId="77777777" w:rsidR="00EB2DFC" w:rsidRPr="002352F7" w:rsidRDefault="00EB2DFC" w:rsidP="00EB2DFC">
      <w:pPr>
        <w:pStyle w:val="ListNumber"/>
        <w:numPr>
          <w:ilvl w:val="0"/>
          <w:numId w:val="0"/>
        </w:numPr>
        <w:jc w:val="both"/>
        <w:rPr>
          <w:sz w:val="22"/>
          <w:szCs w:val="22"/>
        </w:rPr>
      </w:pPr>
    </w:p>
    <w:p w14:paraId="450A9158" w14:textId="3A4B1F9D" w:rsidR="00EB2DFC" w:rsidRPr="002352F7" w:rsidRDefault="00EB2DFC" w:rsidP="002D1AD8">
      <w:pPr>
        <w:pStyle w:val="ListNumber"/>
        <w:numPr>
          <w:ilvl w:val="0"/>
          <w:numId w:val="8"/>
        </w:numPr>
        <w:spacing w:after="220"/>
        <w:ind w:left="1440" w:hanging="720"/>
        <w:jc w:val="both"/>
        <w:rPr>
          <w:sz w:val="22"/>
          <w:szCs w:val="22"/>
        </w:rPr>
      </w:pPr>
      <w:r w:rsidRPr="002352F7">
        <w:rPr>
          <w:sz w:val="22"/>
          <w:szCs w:val="22"/>
        </w:rPr>
        <w:t xml:space="preserve">Because the CAMT was </w:t>
      </w:r>
      <w:r w:rsidR="00096452" w:rsidRPr="002352F7">
        <w:rPr>
          <w:sz w:val="22"/>
          <w:szCs w:val="22"/>
        </w:rPr>
        <w:t>newly enacted</w:t>
      </w:r>
      <w:r w:rsidRPr="002352F7">
        <w:rPr>
          <w:sz w:val="22"/>
          <w:szCs w:val="22"/>
        </w:rPr>
        <w:t xml:space="preserve"> effective for 2023, TSAs in effect for periods prior to the 2023 taxable year include no explicit provisions relating to the CAMT. Thus, applicable reporting entities (with and without TSA exclusions) may need to amend TSAs to deal with the CAMT effective for the entire 2023 taxable year. A reporting entity would file a request for amendment to a TSA or a new TSA on Form D – Prior Notice of a Transaction </w:t>
      </w:r>
      <w:r w:rsidR="00961586" w:rsidRPr="002352F7">
        <w:rPr>
          <w:sz w:val="22"/>
          <w:szCs w:val="22"/>
        </w:rPr>
        <w:t>as required under the</w:t>
      </w:r>
      <w:r w:rsidR="00961586" w:rsidRPr="00F62C9E">
        <w:rPr>
          <w:sz w:val="22"/>
        </w:rPr>
        <w:t xml:space="preserve"> </w:t>
      </w:r>
      <w:r w:rsidR="00961586" w:rsidRPr="00F62C9E">
        <w:rPr>
          <w:i/>
          <w:iCs/>
          <w:sz w:val="22"/>
        </w:rPr>
        <w:t xml:space="preserve">Insurance Holding Company System Regulatory Act </w:t>
      </w:r>
      <w:r w:rsidR="00961586" w:rsidRPr="00F62C9E">
        <w:rPr>
          <w:sz w:val="22"/>
        </w:rPr>
        <w:t>(Model #440)</w:t>
      </w:r>
      <w:r w:rsidR="00F3154F" w:rsidRPr="00F62C9E">
        <w:rPr>
          <w:i/>
          <w:iCs/>
          <w:sz w:val="22"/>
        </w:rPr>
        <w:t xml:space="preserve"> </w:t>
      </w:r>
      <w:r w:rsidR="00F3154F" w:rsidRPr="00F62C9E">
        <w:rPr>
          <w:sz w:val="22"/>
        </w:rPr>
        <w:t xml:space="preserve">and the related regulation, </w:t>
      </w:r>
      <w:r w:rsidR="00F912F5" w:rsidRPr="00F62C9E">
        <w:rPr>
          <w:sz w:val="22"/>
        </w:rPr>
        <w:t xml:space="preserve">(Model </w:t>
      </w:r>
      <w:r w:rsidR="00F3154F" w:rsidRPr="00F62C9E">
        <w:rPr>
          <w:sz w:val="22"/>
        </w:rPr>
        <w:t>#450</w:t>
      </w:r>
      <w:r w:rsidR="00F912F5" w:rsidRPr="00F62C9E">
        <w:rPr>
          <w:sz w:val="22"/>
        </w:rPr>
        <w:t>)</w:t>
      </w:r>
      <w:r w:rsidR="00F3154F" w:rsidRPr="00F62C9E">
        <w:rPr>
          <w:sz w:val="22"/>
        </w:rPr>
        <w:t xml:space="preserve"> </w:t>
      </w:r>
      <w:r w:rsidRPr="002352F7">
        <w:rPr>
          <w:sz w:val="22"/>
          <w:szCs w:val="22"/>
        </w:rPr>
        <w:t>with its applicable domiciliary regulator(s) and commercial domiciliary regulator(s).</w:t>
      </w:r>
    </w:p>
    <w:p w14:paraId="4176C4E5" w14:textId="2D24D625" w:rsidR="00EB2DFC" w:rsidRPr="002352F7" w:rsidRDefault="00EB2DFC" w:rsidP="002D1AD8">
      <w:pPr>
        <w:pStyle w:val="ListNumber"/>
        <w:numPr>
          <w:ilvl w:val="0"/>
          <w:numId w:val="8"/>
        </w:numPr>
        <w:spacing w:after="220"/>
        <w:ind w:left="1440" w:hanging="720"/>
        <w:jc w:val="both"/>
        <w:rPr>
          <w:sz w:val="22"/>
          <w:szCs w:val="22"/>
        </w:rPr>
      </w:pPr>
      <w:r w:rsidRPr="002352F7">
        <w:rPr>
          <w:sz w:val="22"/>
          <w:szCs w:val="22"/>
        </w:rPr>
        <w:t>Time is of the essence in both requesting and approving TSA amendments or a new TSA relating to the CAMT for the 2023 taxable year to be applicable to the 2023 reporting period. Accordingly, if, a reporting entity files the applicable Form D request(s) for TSA amendment or a new TSA</w:t>
      </w:r>
      <w:r w:rsidR="00611382" w:rsidRPr="002352F7">
        <w:rPr>
          <w:sz w:val="22"/>
          <w:szCs w:val="22"/>
        </w:rPr>
        <w:t xml:space="preserve"> prior to the end of 2023</w:t>
      </w:r>
      <w:r w:rsidRPr="002352F7">
        <w:rPr>
          <w:sz w:val="22"/>
          <w:szCs w:val="22"/>
        </w:rPr>
        <w:t xml:space="preserve"> to address the CAMT for 2023 and subsequent taxable years, </w:t>
      </w:r>
      <w:r w:rsidR="00F3154F" w:rsidRPr="002352F7">
        <w:rPr>
          <w:sz w:val="22"/>
          <w:szCs w:val="22"/>
        </w:rPr>
        <w:t xml:space="preserve">and the </w:t>
      </w:r>
      <w:r w:rsidR="005F46CF" w:rsidRPr="002352F7">
        <w:rPr>
          <w:sz w:val="22"/>
          <w:szCs w:val="22"/>
        </w:rPr>
        <w:t>domiciliary</w:t>
      </w:r>
      <w:r w:rsidR="00F3154F" w:rsidRPr="002352F7">
        <w:rPr>
          <w:sz w:val="22"/>
          <w:szCs w:val="22"/>
        </w:rPr>
        <w:t xml:space="preserve"> regulatory has </w:t>
      </w:r>
      <w:r w:rsidR="00E77517" w:rsidRPr="002352F7">
        <w:rPr>
          <w:sz w:val="22"/>
          <w:szCs w:val="22"/>
        </w:rPr>
        <w:t xml:space="preserve">confirmed that they have </w:t>
      </w:r>
      <w:r w:rsidR="00F3154F" w:rsidRPr="002352F7">
        <w:rPr>
          <w:sz w:val="22"/>
          <w:szCs w:val="22"/>
        </w:rPr>
        <w:t xml:space="preserve">no objections to using the new </w:t>
      </w:r>
      <w:r w:rsidRPr="002352F7">
        <w:rPr>
          <w:sz w:val="22"/>
          <w:szCs w:val="22"/>
        </w:rPr>
        <w:t>TSA amendment or new TSA</w:t>
      </w:r>
      <w:r w:rsidR="005F46CF" w:rsidRPr="002352F7">
        <w:rPr>
          <w:sz w:val="22"/>
          <w:szCs w:val="22"/>
        </w:rPr>
        <w:t>, while under review</w:t>
      </w:r>
      <w:r w:rsidR="00982B83" w:rsidRPr="002352F7">
        <w:rPr>
          <w:sz w:val="22"/>
          <w:szCs w:val="22"/>
        </w:rPr>
        <w:t xml:space="preserve">. The </w:t>
      </w:r>
      <w:r w:rsidR="00982B83" w:rsidRPr="002352F7">
        <w:rPr>
          <w:sz w:val="22"/>
          <w:szCs w:val="22"/>
        </w:rPr>
        <w:lastRenderedPageBreak/>
        <w:t xml:space="preserve">reporting entity </w:t>
      </w:r>
      <w:r w:rsidRPr="002352F7">
        <w:rPr>
          <w:sz w:val="22"/>
          <w:szCs w:val="22"/>
        </w:rPr>
        <w:t xml:space="preserve">shall be </w:t>
      </w:r>
      <w:r w:rsidR="00982B83" w:rsidRPr="002352F7">
        <w:rPr>
          <w:sz w:val="22"/>
          <w:szCs w:val="22"/>
        </w:rPr>
        <w:t xml:space="preserve">allowed to </w:t>
      </w:r>
      <w:r w:rsidRPr="002352F7">
        <w:rPr>
          <w:sz w:val="22"/>
          <w:szCs w:val="22"/>
        </w:rPr>
        <w:t>account</w:t>
      </w:r>
      <w:r w:rsidR="00982B83" w:rsidRPr="002352F7">
        <w:rPr>
          <w:sz w:val="22"/>
          <w:szCs w:val="22"/>
        </w:rPr>
        <w:t xml:space="preserve"> for the TSA</w:t>
      </w:r>
      <w:r w:rsidRPr="002352F7">
        <w:rPr>
          <w:sz w:val="22"/>
          <w:szCs w:val="22"/>
        </w:rPr>
        <w:t xml:space="preserve"> as applicable for the entire 2023 reporting period</w:t>
      </w:r>
      <w:r w:rsidR="00E81C61" w:rsidRPr="002352F7">
        <w:rPr>
          <w:sz w:val="22"/>
          <w:szCs w:val="22"/>
        </w:rPr>
        <w:t xml:space="preserve">. </w:t>
      </w:r>
    </w:p>
    <w:p w14:paraId="5704E1C9" w14:textId="5AC5FF98" w:rsidR="00074664" w:rsidRPr="00C73D40" w:rsidRDefault="0064503D" w:rsidP="00090284">
      <w:pPr>
        <w:pStyle w:val="ListNumber"/>
        <w:numPr>
          <w:ilvl w:val="0"/>
          <w:numId w:val="0"/>
        </w:numPr>
        <w:shd w:val="clear" w:color="auto" w:fill="D9D9D9" w:themeFill="background1" w:themeFillShade="D9"/>
        <w:spacing w:after="220"/>
        <w:ind w:left="720"/>
        <w:jc w:val="both"/>
        <w:rPr>
          <w:i/>
          <w:iCs/>
          <w:sz w:val="22"/>
          <w:szCs w:val="22"/>
        </w:rPr>
      </w:pPr>
      <w:r w:rsidRPr="004D3835">
        <w:rPr>
          <w:i/>
          <w:iCs/>
          <w:sz w:val="22"/>
          <w:szCs w:val="22"/>
        </w:rPr>
        <w:t xml:space="preserve">NAIC staff note: Application of an unsigned agreement prior finalization and approval is inconsistent with statutory accounting contract boundary principles. In addition, we have concerns with providing any guidance which might be perceived as a limitation of the state authority. We have proposed language in paragraph 37b which explicitly defers to the will of the domiciliary state and also requires filing by year end. While </w:t>
      </w:r>
      <w:r w:rsidR="00C73D40">
        <w:rPr>
          <w:i/>
          <w:iCs/>
          <w:sz w:val="22"/>
          <w:szCs w:val="22"/>
        </w:rPr>
        <w:t xml:space="preserve">NAIC Staff </w:t>
      </w:r>
      <w:r w:rsidRPr="004D3835">
        <w:rPr>
          <w:i/>
          <w:iCs/>
          <w:sz w:val="22"/>
          <w:szCs w:val="22"/>
        </w:rPr>
        <w:t>understand</w:t>
      </w:r>
      <w:r w:rsidR="00C73D40">
        <w:rPr>
          <w:i/>
          <w:iCs/>
          <w:sz w:val="22"/>
          <w:szCs w:val="22"/>
        </w:rPr>
        <w:t>s</w:t>
      </w:r>
      <w:r w:rsidRPr="004D3835">
        <w:rPr>
          <w:i/>
          <w:iCs/>
          <w:sz w:val="22"/>
          <w:szCs w:val="22"/>
        </w:rPr>
        <w:t xml:space="preserve"> the industry’s desire for certainty, we don’t think it can be provided for an unapproved contract and would alternatively be supportive of deleting this section</w:t>
      </w:r>
      <w:r w:rsidR="00F36CE1" w:rsidRPr="00C73D40">
        <w:rPr>
          <w:i/>
          <w:iCs/>
          <w:sz w:val="22"/>
          <w:szCs w:val="22"/>
        </w:rPr>
        <w:t xml:space="preserve">. </w:t>
      </w:r>
    </w:p>
    <w:p w14:paraId="046C5C90" w14:textId="77777777" w:rsidR="00EB2DFC" w:rsidRPr="00F815FA" w:rsidRDefault="00EB2DFC" w:rsidP="002D1AD8">
      <w:pPr>
        <w:pStyle w:val="ListNumber"/>
        <w:numPr>
          <w:ilvl w:val="0"/>
          <w:numId w:val="8"/>
        </w:numPr>
        <w:spacing w:after="220"/>
        <w:ind w:left="1440" w:hanging="720"/>
        <w:jc w:val="both"/>
        <w:rPr>
          <w:sz w:val="22"/>
          <w:szCs w:val="22"/>
        </w:rPr>
      </w:pPr>
      <w:r w:rsidRPr="00F815FA">
        <w:rPr>
          <w:sz w:val="22"/>
          <w:szCs w:val="22"/>
        </w:rPr>
        <w:t>If the final approved TSA differs in its treatment of the CAMT allocation from the TSA originally requested on the Form D, the difference shall be recorded as follows:</w:t>
      </w:r>
    </w:p>
    <w:p w14:paraId="4C27ABD8" w14:textId="77777777" w:rsidR="00EB2DFC" w:rsidRDefault="00EB2DFC" w:rsidP="002D1AD8">
      <w:pPr>
        <w:pStyle w:val="ListNumber"/>
        <w:numPr>
          <w:ilvl w:val="0"/>
          <w:numId w:val="9"/>
        </w:numPr>
        <w:tabs>
          <w:tab w:val="left" w:pos="2250"/>
        </w:tabs>
        <w:ind w:left="2250" w:hanging="810"/>
        <w:jc w:val="both"/>
        <w:rPr>
          <w:sz w:val="22"/>
          <w:szCs w:val="22"/>
        </w:rPr>
      </w:pPr>
      <w:r w:rsidRPr="00F815FA">
        <w:rPr>
          <w:sz w:val="22"/>
          <w:szCs w:val="22"/>
        </w:rPr>
        <w:t xml:space="preserve">If Form D approval occurs subsequent to the balance sheet date, but before the issuance of the statutory financial statements and before the date the audited financial statements are issued, or available to be issued, such approval shall be considered a Type I subsequent event within the meaning of SSAP No. 9 – Subsequent Events. </w:t>
      </w:r>
    </w:p>
    <w:p w14:paraId="28F86BC4" w14:textId="77777777" w:rsidR="00EB2DFC" w:rsidRPr="00F815FA" w:rsidRDefault="00EB2DFC" w:rsidP="00EB2DFC">
      <w:pPr>
        <w:pStyle w:val="ListNumber"/>
        <w:numPr>
          <w:ilvl w:val="0"/>
          <w:numId w:val="0"/>
        </w:numPr>
        <w:tabs>
          <w:tab w:val="left" w:pos="2250"/>
        </w:tabs>
        <w:ind w:left="2250"/>
        <w:jc w:val="both"/>
        <w:rPr>
          <w:sz w:val="22"/>
          <w:szCs w:val="22"/>
        </w:rPr>
      </w:pPr>
    </w:p>
    <w:p w14:paraId="5D4B0010" w14:textId="203C9B63" w:rsidR="00EB2DFC" w:rsidRPr="00F815FA" w:rsidRDefault="00671E54" w:rsidP="002D1AD8">
      <w:pPr>
        <w:pStyle w:val="ListNumber"/>
        <w:numPr>
          <w:ilvl w:val="0"/>
          <w:numId w:val="9"/>
        </w:numPr>
        <w:tabs>
          <w:tab w:val="left" w:pos="2250"/>
        </w:tabs>
        <w:ind w:left="2250" w:hanging="810"/>
        <w:jc w:val="both"/>
        <w:rPr>
          <w:sz w:val="22"/>
          <w:szCs w:val="22"/>
        </w:rPr>
      </w:pPr>
      <w:r>
        <w:rPr>
          <w:sz w:val="22"/>
          <w:szCs w:val="22"/>
        </w:rPr>
        <w:t xml:space="preserve">If the </w:t>
      </w:r>
      <w:r w:rsidR="00EB2DFC" w:rsidRPr="00F815FA">
        <w:rPr>
          <w:sz w:val="22"/>
          <w:szCs w:val="22"/>
        </w:rPr>
        <w:t xml:space="preserve">Form D approval occurs after the period which defines a subsequent event in SSAP No. 9, the difference created by such approval shall be recognized and disclosed in the period in which the approval is given. </w:t>
      </w:r>
    </w:p>
    <w:p w14:paraId="214E590E" w14:textId="77777777" w:rsidR="00EB2DFC" w:rsidRPr="00F815FA" w:rsidRDefault="00EB2DFC" w:rsidP="00EB2DFC">
      <w:pPr>
        <w:pStyle w:val="ListNumber"/>
        <w:numPr>
          <w:ilvl w:val="0"/>
          <w:numId w:val="0"/>
        </w:numPr>
        <w:tabs>
          <w:tab w:val="left" w:pos="2250"/>
        </w:tabs>
        <w:ind w:left="2250"/>
        <w:jc w:val="both"/>
        <w:rPr>
          <w:sz w:val="22"/>
          <w:szCs w:val="22"/>
        </w:rPr>
      </w:pPr>
    </w:p>
    <w:p w14:paraId="55BB2F7F" w14:textId="56412583" w:rsidR="00EB2DFC" w:rsidRPr="0097132F" w:rsidRDefault="00EB2DFC" w:rsidP="002D1AD8">
      <w:pPr>
        <w:pStyle w:val="ListNumber"/>
        <w:numPr>
          <w:ilvl w:val="0"/>
          <w:numId w:val="8"/>
        </w:numPr>
        <w:spacing w:after="220"/>
        <w:ind w:left="1440" w:hanging="720"/>
        <w:jc w:val="both"/>
        <w:rPr>
          <w:sz w:val="22"/>
          <w:szCs w:val="22"/>
        </w:rPr>
      </w:pPr>
      <w:r w:rsidRPr="0097132F">
        <w:rPr>
          <w:sz w:val="22"/>
          <w:szCs w:val="22"/>
        </w:rPr>
        <w:t xml:space="preserve">The transition guidance in </w:t>
      </w:r>
      <w:r w:rsidR="005E1066" w:rsidRPr="0097132F">
        <w:rPr>
          <w:sz w:val="22"/>
          <w:szCs w:val="22"/>
        </w:rPr>
        <w:t>paragraph</w:t>
      </w:r>
      <w:r w:rsidR="00FE0CEB" w:rsidRPr="0097132F">
        <w:rPr>
          <w:sz w:val="22"/>
          <w:szCs w:val="22"/>
        </w:rPr>
        <w:t xml:space="preserve"> 3</w:t>
      </w:r>
      <w:r w:rsidR="00F62C9E" w:rsidRPr="0097132F">
        <w:rPr>
          <w:sz w:val="22"/>
          <w:szCs w:val="22"/>
        </w:rPr>
        <w:t>7</w:t>
      </w:r>
      <w:r w:rsidRPr="0097132F">
        <w:rPr>
          <w:sz w:val="22"/>
          <w:szCs w:val="22"/>
        </w:rPr>
        <w:t>. does not apply to a reporting entity that does not file a Form D request for a CAMT-related TSA amendment or a new TSA within</w:t>
      </w:r>
      <w:r w:rsidR="00611382" w:rsidRPr="0097132F">
        <w:rPr>
          <w:sz w:val="22"/>
          <w:szCs w:val="22"/>
        </w:rPr>
        <w:t xml:space="preserve"> prior to the end of 2023</w:t>
      </w:r>
      <w:r w:rsidRPr="0097132F">
        <w:rPr>
          <w:sz w:val="22"/>
          <w:szCs w:val="22"/>
        </w:rPr>
        <w:t>.</w:t>
      </w:r>
    </w:p>
    <w:p w14:paraId="091A0AEF" w14:textId="60820027" w:rsidR="00EB2DFC" w:rsidRPr="00163111" w:rsidRDefault="00EB2DFC" w:rsidP="00EB2DFC">
      <w:pPr>
        <w:pStyle w:val="ListNumber"/>
        <w:tabs>
          <w:tab w:val="clear" w:pos="360"/>
        </w:tabs>
        <w:ind w:left="0" w:firstLine="0"/>
        <w:jc w:val="both"/>
        <w:rPr>
          <w:sz w:val="22"/>
          <w:szCs w:val="22"/>
        </w:rPr>
      </w:pPr>
      <w:r w:rsidRPr="0097132F">
        <w:rPr>
          <w:sz w:val="22"/>
          <w:szCs w:val="22"/>
          <w:shd w:val="clear" w:color="auto" w:fill="FFFFFF"/>
        </w:rPr>
        <w:t xml:space="preserve">Consistent with </w:t>
      </w:r>
      <w:r w:rsidRPr="0097132F">
        <w:rPr>
          <w:i/>
          <w:iCs/>
          <w:sz w:val="22"/>
          <w:szCs w:val="22"/>
          <w:shd w:val="clear" w:color="auto" w:fill="FFFFFF"/>
        </w:rPr>
        <w:t>SSAP No. 3—Accounting Changes and Corrections of Errors</w:t>
      </w:r>
      <w:r w:rsidR="00C1642A" w:rsidRPr="0097132F">
        <w:rPr>
          <w:i/>
          <w:iCs/>
          <w:sz w:val="22"/>
          <w:szCs w:val="22"/>
          <w:shd w:val="clear" w:color="auto" w:fill="FFFFFF"/>
        </w:rPr>
        <w:t>,</w:t>
      </w:r>
      <w:r w:rsidR="00C1642A" w:rsidRPr="0097132F">
        <w:rPr>
          <w:sz w:val="22"/>
          <w:szCs w:val="22"/>
          <w:shd w:val="clear" w:color="auto" w:fill="FFFFFF"/>
        </w:rPr>
        <w:t xml:space="preserve"> paragraph 4</w:t>
      </w:r>
      <w:r w:rsidRPr="0097132F">
        <w:rPr>
          <w:sz w:val="22"/>
          <w:szCs w:val="22"/>
          <w:shd w:val="clear" w:color="auto" w:fill="FFFFFF"/>
        </w:rPr>
        <w:t>, initial</w:t>
      </w:r>
      <w:r>
        <w:rPr>
          <w:sz w:val="22"/>
          <w:szCs w:val="22"/>
          <w:shd w:val="clear" w:color="auto" w:fill="FFFFFF"/>
        </w:rPr>
        <w:t xml:space="preserve"> </w:t>
      </w:r>
      <w:r w:rsidRPr="00F36B0D">
        <w:rPr>
          <w:sz w:val="22"/>
          <w:szCs w:val="22"/>
          <w:shd w:val="clear" w:color="auto" w:fill="FFFFFF"/>
        </w:rPr>
        <w:t>application of this interpretation shall not be considered a change in accounting principle</w:t>
      </w:r>
      <w:r w:rsidR="00F36CE1">
        <w:rPr>
          <w:sz w:val="22"/>
          <w:szCs w:val="22"/>
          <w:shd w:val="clear" w:color="auto" w:fill="FFFFFF"/>
        </w:rPr>
        <w:t>, but instead application of a new principle for the first time</w:t>
      </w:r>
      <w:r w:rsidRPr="00F36B0D">
        <w:rPr>
          <w:sz w:val="22"/>
          <w:szCs w:val="22"/>
          <w:shd w:val="clear" w:color="auto" w:fill="FFFFFF"/>
        </w:rPr>
        <w:t>.</w:t>
      </w:r>
    </w:p>
    <w:p w14:paraId="7C49A3DB" w14:textId="77777777" w:rsidR="00163111" w:rsidRDefault="00163111" w:rsidP="00163111">
      <w:pPr>
        <w:pStyle w:val="ListNumber"/>
        <w:numPr>
          <w:ilvl w:val="0"/>
          <w:numId w:val="0"/>
        </w:numPr>
        <w:ind w:left="360" w:hanging="360"/>
        <w:jc w:val="both"/>
        <w:rPr>
          <w:sz w:val="22"/>
          <w:szCs w:val="22"/>
          <w:shd w:val="clear" w:color="auto" w:fill="FFFFFF"/>
        </w:rPr>
      </w:pPr>
    </w:p>
    <w:p w14:paraId="597F51AA" w14:textId="77777777" w:rsidR="00163111" w:rsidRPr="00163111" w:rsidRDefault="00163111" w:rsidP="00163111">
      <w:pPr>
        <w:ind w:left="360" w:hanging="360"/>
        <w:jc w:val="both"/>
        <w:rPr>
          <w:b/>
          <w:bCs/>
          <w:sz w:val="22"/>
          <w:szCs w:val="22"/>
        </w:rPr>
      </w:pPr>
      <w:r w:rsidRPr="00163111">
        <w:rPr>
          <w:b/>
          <w:bCs/>
          <w:sz w:val="22"/>
          <w:szCs w:val="22"/>
        </w:rPr>
        <w:t>Disclosures</w:t>
      </w:r>
    </w:p>
    <w:p w14:paraId="046CC266" w14:textId="77777777" w:rsidR="00163111" w:rsidRPr="00163111" w:rsidRDefault="00163111" w:rsidP="00163111">
      <w:pPr>
        <w:ind w:left="360" w:hanging="360"/>
        <w:jc w:val="both"/>
        <w:rPr>
          <w:b/>
          <w:bCs/>
          <w:sz w:val="22"/>
          <w:szCs w:val="22"/>
        </w:rPr>
      </w:pPr>
    </w:p>
    <w:p w14:paraId="5B6A7C26" w14:textId="77777777" w:rsidR="00163111" w:rsidRPr="00163111" w:rsidRDefault="00163111" w:rsidP="00163111">
      <w:pPr>
        <w:pStyle w:val="ListNumber"/>
        <w:tabs>
          <w:tab w:val="clear" w:pos="360"/>
        </w:tabs>
        <w:ind w:left="0" w:firstLine="0"/>
        <w:jc w:val="both"/>
        <w:rPr>
          <w:sz w:val="22"/>
          <w:szCs w:val="22"/>
        </w:rPr>
      </w:pPr>
      <w:r w:rsidRPr="00163111">
        <w:rPr>
          <w:sz w:val="22"/>
          <w:szCs w:val="22"/>
        </w:rPr>
        <w:t>The reporting entity shall disclose whether it is a non-applicable reporting entity; an applicable reporting entity with TSA exceptions or an applicable reporting entity.</w:t>
      </w:r>
    </w:p>
    <w:p w14:paraId="1F29A762" w14:textId="77777777" w:rsidR="00163111" w:rsidRPr="00163111" w:rsidRDefault="00163111" w:rsidP="00163111">
      <w:pPr>
        <w:jc w:val="both"/>
        <w:rPr>
          <w:sz w:val="22"/>
          <w:szCs w:val="22"/>
        </w:rPr>
      </w:pPr>
    </w:p>
    <w:p w14:paraId="1C070B75" w14:textId="6DD553A5" w:rsidR="00163111" w:rsidRDefault="00163111" w:rsidP="00163111">
      <w:pPr>
        <w:pStyle w:val="ListNumber"/>
        <w:tabs>
          <w:tab w:val="clear" w:pos="360"/>
        </w:tabs>
        <w:ind w:left="0" w:firstLine="0"/>
        <w:jc w:val="both"/>
        <w:rPr>
          <w:sz w:val="22"/>
          <w:szCs w:val="22"/>
        </w:rPr>
      </w:pPr>
      <w:r w:rsidRPr="00163111">
        <w:rPr>
          <w:sz w:val="22"/>
          <w:szCs w:val="22"/>
        </w:rPr>
        <w:t>Additionally, the following disclosures shall be made in the notes to the financial statements of applicable reporting entities (which do not have TSA exclusions</w:t>
      </w:r>
      <w:r w:rsidR="00F36CE1">
        <w:rPr>
          <w:sz w:val="22"/>
          <w:szCs w:val="22"/>
        </w:rPr>
        <w:t xml:space="preserve"> in accordance with paragraph 1</w:t>
      </w:r>
      <w:r w:rsidR="00F62C9E">
        <w:rPr>
          <w:sz w:val="22"/>
          <w:szCs w:val="22"/>
        </w:rPr>
        <w:t>1</w:t>
      </w:r>
      <w:r w:rsidR="00F36CE1">
        <w:rPr>
          <w:sz w:val="22"/>
          <w:szCs w:val="22"/>
        </w:rPr>
        <w:t xml:space="preserve"> of this interpretation</w:t>
      </w:r>
      <w:r w:rsidRPr="00163111">
        <w:rPr>
          <w:sz w:val="22"/>
          <w:szCs w:val="22"/>
        </w:rPr>
        <w:t>):</w:t>
      </w:r>
    </w:p>
    <w:p w14:paraId="7B7151C3" w14:textId="77777777" w:rsidR="004C3805" w:rsidRDefault="004C3805" w:rsidP="004C3805">
      <w:pPr>
        <w:pStyle w:val="ListParagraph"/>
      </w:pPr>
    </w:p>
    <w:p w14:paraId="5E0EE467" w14:textId="4AACC661" w:rsidR="00163111" w:rsidRPr="004F4836" w:rsidRDefault="00163111" w:rsidP="002D1AD8">
      <w:pPr>
        <w:numPr>
          <w:ilvl w:val="0"/>
          <w:numId w:val="7"/>
        </w:numPr>
        <w:spacing w:after="220"/>
        <w:ind w:left="1440" w:hanging="720"/>
        <w:jc w:val="both"/>
        <w:rPr>
          <w:sz w:val="22"/>
          <w:szCs w:val="22"/>
        </w:rPr>
      </w:pPr>
      <w:r w:rsidRPr="00163111">
        <w:rPr>
          <w:sz w:val="22"/>
          <w:szCs w:val="22"/>
        </w:rPr>
        <w:t xml:space="preserve">If the reporting entity has made an accounting policy election to either consider or disregard CAMT when evaluating the need for a valuation allowance for its regular tax DTAs </w:t>
      </w:r>
      <w:r w:rsidRPr="004F4836">
        <w:rPr>
          <w:sz w:val="22"/>
          <w:szCs w:val="22"/>
        </w:rPr>
        <w:t>described in paragraph 2</w:t>
      </w:r>
      <w:r w:rsidR="00F62C9E" w:rsidRPr="004F4836">
        <w:rPr>
          <w:sz w:val="22"/>
          <w:szCs w:val="22"/>
        </w:rPr>
        <w:t>2</w:t>
      </w:r>
      <w:r w:rsidRPr="004F4836">
        <w:rPr>
          <w:sz w:val="22"/>
          <w:szCs w:val="22"/>
        </w:rPr>
        <w:t xml:space="preserve"> of this interpretation. </w:t>
      </w:r>
    </w:p>
    <w:p w14:paraId="7C5D2AE4" w14:textId="439A6823" w:rsidR="00163111" w:rsidRPr="004F4836" w:rsidRDefault="00163111" w:rsidP="002D1AD8">
      <w:pPr>
        <w:numPr>
          <w:ilvl w:val="0"/>
          <w:numId w:val="7"/>
        </w:numPr>
        <w:spacing w:after="220"/>
        <w:ind w:left="1440" w:hanging="720"/>
        <w:jc w:val="both"/>
        <w:rPr>
          <w:sz w:val="22"/>
          <w:szCs w:val="22"/>
        </w:rPr>
      </w:pPr>
      <w:r w:rsidRPr="004F4836">
        <w:rPr>
          <w:sz w:val="22"/>
          <w:szCs w:val="22"/>
        </w:rPr>
        <w:t xml:space="preserve">Application of the </w:t>
      </w:r>
      <w:r w:rsidRPr="004F4836">
        <w:rPr>
          <w:sz w:val="22"/>
        </w:rPr>
        <w:t xml:space="preserve">Realization Threshold Limitations Tables </w:t>
      </w:r>
      <w:r w:rsidR="000E5E46" w:rsidRPr="004F4836">
        <w:rPr>
          <w:sz w:val="22"/>
        </w:rPr>
        <w:t xml:space="preserve">for the CAMT </w:t>
      </w:r>
      <w:r w:rsidRPr="004F4836">
        <w:rPr>
          <w:sz w:val="22"/>
          <w:szCs w:val="22"/>
        </w:rPr>
        <w:t>described in paragraph</w:t>
      </w:r>
      <w:r w:rsidR="000E5E46" w:rsidRPr="004F4836">
        <w:rPr>
          <w:sz w:val="22"/>
          <w:szCs w:val="22"/>
        </w:rPr>
        <w:t>s</w:t>
      </w:r>
      <w:r w:rsidR="00F24627" w:rsidRPr="004F4836">
        <w:rPr>
          <w:sz w:val="22"/>
          <w:szCs w:val="22"/>
        </w:rPr>
        <w:t xml:space="preserve"> 3</w:t>
      </w:r>
      <w:r w:rsidR="00F62C9E" w:rsidRPr="004F4836">
        <w:rPr>
          <w:sz w:val="22"/>
          <w:szCs w:val="22"/>
        </w:rPr>
        <w:t>1</w:t>
      </w:r>
      <w:r w:rsidR="00F24627" w:rsidRPr="004F4836">
        <w:rPr>
          <w:sz w:val="22"/>
          <w:szCs w:val="22"/>
        </w:rPr>
        <w:t>-3</w:t>
      </w:r>
      <w:r w:rsidR="00F62C9E" w:rsidRPr="004F4836">
        <w:rPr>
          <w:sz w:val="22"/>
          <w:szCs w:val="22"/>
        </w:rPr>
        <w:t>3</w:t>
      </w:r>
      <w:r w:rsidRPr="004F4836">
        <w:rPr>
          <w:sz w:val="22"/>
          <w:szCs w:val="22"/>
        </w:rPr>
        <w:t xml:space="preserve"> of this interpretation.</w:t>
      </w:r>
    </w:p>
    <w:p w14:paraId="1D43671D" w14:textId="11C80F15" w:rsidR="00163111" w:rsidRPr="00163111" w:rsidRDefault="00163111" w:rsidP="002D1AD8">
      <w:pPr>
        <w:numPr>
          <w:ilvl w:val="0"/>
          <w:numId w:val="7"/>
        </w:numPr>
        <w:spacing w:after="220"/>
        <w:ind w:left="1440" w:hanging="720"/>
        <w:jc w:val="both"/>
        <w:rPr>
          <w:sz w:val="22"/>
          <w:szCs w:val="22"/>
        </w:rPr>
      </w:pPr>
      <w:r w:rsidRPr="00F355D6">
        <w:rPr>
          <w:sz w:val="22"/>
          <w:szCs w:val="22"/>
        </w:rPr>
        <w:t xml:space="preserve">Any disclosure of material modifications to projections </w:t>
      </w:r>
      <w:r w:rsidR="00C06E81" w:rsidRPr="00F355D6">
        <w:rPr>
          <w:sz w:val="22"/>
          <w:szCs w:val="22"/>
        </w:rPr>
        <w:t>is required</w:t>
      </w:r>
      <w:r w:rsidRPr="00F355D6">
        <w:rPr>
          <w:sz w:val="22"/>
          <w:szCs w:val="22"/>
        </w:rPr>
        <w:t xml:space="preserve"> by </w:t>
      </w:r>
      <w:r w:rsidRPr="004F4836">
        <w:rPr>
          <w:sz w:val="22"/>
          <w:szCs w:val="22"/>
        </w:rPr>
        <w:t>paragraph 3</w:t>
      </w:r>
      <w:r w:rsidR="00F62C9E" w:rsidRPr="004F4836">
        <w:rPr>
          <w:sz w:val="22"/>
          <w:szCs w:val="22"/>
        </w:rPr>
        <w:t>5</w:t>
      </w:r>
      <w:r w:rsidRPr="00163111">
        <w:rPr>
          <w:sz w:val="22"/>
          <w:szCs w:val="22"/>
        </w:rPr>
        <w:t xml:space="preserve"> of this interpretation.</w:t>
      </w:r>
    </w:p>
    <w:p w14:paraId="3DD787CC" w14:textId="0F477C60" w:rsidR="00163111" w:rsidRPr="00163111" w:rsidRDefault="00163111" w:rsidP="00163111">
      <w:pPr>
        <w:pStyle w:val="ListNumber"/>
        <w:tabs>
          <w:tab w:val="clear" w:pos="360"/>
        </w:tabs>
        <w:ind w:left="0" w:firstLine="0"/>
        <w:jc w:val="both"/>
        <w:rPr>
          <w:sz w:val="22"/>
          <w:szCs w:val="22"/>
        </w:rPr>
      </w:pPr>
      <w:r w:rsidRPr="00163111">
        <w:rPr>
          <w:sz w:val="22"/>
          <w:szCs w:val="22"/>
        </w:rPr>
        <w:t>Relevant disclosures required by SSAP No. 101 also apply including but not limited to</w:t>
      </w:r>
      <w:r w:rsidR="00F36CE1">
        <w:rPr>
          <w:sz w:val="22"/>
          <w:szCs w:val="22"/>
        </w:rPr>
        <w:t>, the following:</w:t>
      </w:r>
      <w:r w:rsidRPr="00163111">
        <w:rPr>
          <w:sz w:val="22"/>
          <w:szCs w:val="22"/>
        </w:rPr>
        <w:t xml:space="preserve"> </w:t>
      </w:r>
    </w:p>
    <w:p w14:paraId="108162CC" w14:textId="77777777" w:rsidR="00163111" w:rsidRPr="00163111" w:rsidRDefault="00163111" w:rsidP="00163111">
      <w:pPr>
        <w:jc w:val="both"/>
        <w:rPr>
          <w:sz w:val="22"/>
          <w:szCs w:val="22"/>
        </w:rPr>
      </w:pPr>
    </w:p>
    <w:p w14:paraId="4EB7DCBD" w14:textId="759ABB12" w:rsidR="00163111" w:rsidRPr="00163111" w:rsidRDefault="00163111" w:rsidP="002D1AD8">
      <w:pPr>
        <w:numPr>
          <w:ilvl w:val="0"/>
          <w:numId w:val="12"/>
        </w:numPr>
        <w:spacing w:after="220"/>
        <w:ind w:left="1440" w:hanging="720"/>
        <w:jc w:val="both"/>
        <w:rPr>
          <w:sz w:val="22"/>
          <w:szCs w:val="22"/>
        </w:rPr>
      </w:pPr>
      <w:r w:rsidRPr="00163111">
        <w:rPr>
          <w:sz w:val="22"/>
          <w:szCs w:val="22"/>
        </w:rPr>
        <w:t>The disclosure of the statutory valuation allowance as required by SSAP No. 101, paragraph 21</w:t>
      </w:r>
      <w:r w:rsidR="008D1A8D" w:rsidRPr="00163111">
        <w:rPr>
          <w:sz w:val="22"/>
          <w:szCs w:val="22"/>
        </w:rPr>
        <w:t xml:space="preserve">. </w:t>
      </w:r>
    </w:p>
    <w:p w14:paraId="7E9C1413" w14:textId="644D422D" w:rsidR="00163111" w:rsidRPr="00163111" w:rsidRDefault="00163111" w:rsidP="002D1AD8">
      <w:pPr>
        <w:numPr>
          <w:ilvl w:val="0"/>
          <w:numId w:val="12"/>
        </w:numPr>
        <w:spacing w:after="220"/>
        <w:ind w:left="1440" w:hanging="720"/>
        <w:jc w:val="both"/>
        <w:rPr>
          <w:sz w:val="22"/>
          <w:szCs w:val="22"/>
        </w:rPr>
      </w:pPr>
      <w:r w:rsidRPr="00163111">
        <w:rPr>
          <w:sz w:val="22"/>
          <w:szCs w:val="22"/>
        </w:rPr>
        <w:t>The disclosure of tax planning strategies is required by SSAP No. 101</w:t>
      </w:r>
      <w:r w:rsidR="00646F90">
        <w:rPr>
          <w:sz w:val="22"/>
          <w:szCs w:val="22"/>
        </w:rPr>
        <w:t>.</w:t>
      </w:r>
      <w:r w:rsidRPr="00163111">
        <w:rPr>
          <w:sz w:val="22"/>
          <w:szCs w:val="22"/>
        </w:rPr>
        <w:t xml:space="preserve"> In the disclosure required by SSAP No. 101</w:t>
      </w:r>
      <w:r w:rsidR="00F62C9E">
        <w:rPr>
          <w:sz w:val="22"/>
          <w:szCs w:val="22"/>
        </w:rPr>
        <w:t>,</w:t>
      </w:r>
      <w:r w:rsidR="00117BA2" w:rsidRPr="00117BA2">
        <w:rPr>
          <w:sz w:val="22"/>
          <w:szCs w:val="22"/>
        </w:rPr>
        <w:t xml:space="preserve"> </w:t>
      </w:r>
      <w:r w:rsidR="00117BA2" w:rsidRPr="00163111">
        <w:rPr>
          <w:sz w:val="22"/>
          <w:szCs w:val="22"/>
        </w:rPr>
        <w:t>paragraph 28.b.</w:t>
      </w:r>
      <w:r w:rsidRPr="00163111">
        <w:rPr>
          <w:sz w:val="22"/>
          <w:szCs w:val="22"/>
        </w:rPr>
        <w:t xml:space="preserve">, a statement as to whether the reporting entity may be charged with a portion of CAMT incurred by the consolidated group (or credited with a portion of the consolidated group’s CAMT credit utilization). </w:t>
      </w:r>
    </w:p>
    <w:p w14:paraId="44BB1FCD" w14:textId="1CBBB9F3" w:rsidR="00163111" w:rsidRPr="00163111" w:rsidRDefault="00163111" w:rsidP="002D1AD8">
      <w:pPr>
        <w:numPr>
          <w:ilvl w:val="0"/>
          <w:numId w:val="12"/>
        </w:numPr>
        <w:spacing w:after="220"/>
        <w:ind w:left="1440" w:hanging="720"/>
        <w:jc w:val="both"/>
        <w:rPr>
          <w:sz w:val="22"/>
          <w:szCs w:val="22"/>
        </w:rPr>
      </w:pPr>
      <w:r w:rsidRPr="00163111">
        <w:rPr>
          <w:sz w:val="22"/>
          <w:szCs w:val="22"/>
        </w:rPr>
        <w:t>Inclusion of CAMT credit carryforwards, if any, in the disclosure required by SSAP No. 101</w:t>
      </w:r>
      <w:r w:rsidR="00824B3D">
        <w:rPr>
          <w:sz w:val="22"/>
          <w:szCs w:val="22"/>
        </w:rPr>
        <w:t>,</w:t>
      </w:r>
      <w:r w:rsidR="009E5178" w:rsidRPr="009E5178">
        <w:rPr>
          <w:sz w:val="22"/>
          <w:szCs w:val="22"/>
        </w:rPr>
        <w:t xml:space="preserve"> </w:t>
      </w:r>
      <w:r w:rsidR="009E5178" w:rsidRPr="00163111">
        <w:rPr>
          <w:sz w:val="22"/>
          <w:szCs w:val="22"/>
        </w:rPr>
        <w:t xml:space="preserve">paragraph 26.a. </w:t>
      </w:r>
      <w:r w:rsidR="00E0005A">
        <w:rPr>
          <w:sz w:val="22"/>
          <w:szCs w:val="22"/>
        </w:rPr>
        <w:t xml:space="preserve">regarding the origination dates and expiration of tax credit carry forwards. </w:t>
      </w:r>
    </w:p>
    <w:p w14:paraId="59BFE1E6" w14:textId="35E5F9A2" w:rsidR="00163111" w:rsidRPr="00163111" w:rsidRDefault="00163111" w:rsidP="002D1AD8">
      <w:pPr>
        <w:numPr>
          <w:ilvl w:val="0"/>
          <w:numId w:val="12"/>
        </w:numPr>
        <w:spacing w:after="220"/>
        <w:ind w:left="1440" w:hanging="720"/>
        <w:jc w:val="both"/>
        <w:rPr>
          <w:b/>
          <w:bCs/>
          <w:sz w:val="22"/>
          <w:szCs w:val="22"/>
        </w:rPr>
      </w:pPr>
      <w:r w:rsidRPr="00163111">
        <w:rPr>
          <w:sz w:val="22"/>
          <w:szCs w:val="22"/>
        </w:rPr>
        <w:t>The impact of CAMT tax-planning strategies, if any, in the disclosure required by SSAP No. 101</w:t>
      </w:r>
      <w:r w:rsidR="00C06E81">
        <w:rPr>
          <w:sz w:val="22"/>
          <w:szCs w:val="22"/>
        </w:rPr>
        <w:t>,</w:t>
      </w:r>
      <w:r w:rsidR="00C06E81" w:rsidRPr="00C06E81">
        <w:rPr>
          <w:sz w:val="22"/>
          <w:szCs w:val="22"/>
        </w:rPr>
        <w:t xml:space="preserve"> </w:t>
      </w:r>
      <w:r w:rsidR="00C06E81" w:rsidRPr="00163111">
        <w:rPr>
          <w:sz w:val="22"/>
          <w:szCs w:val="22"/>
        </w:rPr>
        <w:t>paragraph 22. f.</w:t>
      </w:r>
      <w:r w:rsidRPr="00163111">
        <w:rPr>
          <w:sz w:val="22"/>
          <w:szCs w:val="22"/>
        </w:rPr>
        <w:t xml:space="preserve"> </w:t>
      </w:r>
    </w:p>
    <w:p w14:paraId="47222699" w14:textId="4C018922" w:rsidR="00EB2DFC" w:rsidRPr="00F815FA" w:rsidRDefault="00EB2DFC" w:rsidP="00EB2DFC">
      <w:pPr>
        <w:pStyle w:val="Heading1"/>
        <w:spacing w:before="120"/>
        <w:jc w:val="both"/>
        <w:rPr>
          <w:rFonts w:ascii="Times New Roman" w:hAnsi="Times New Roman" w:cs="Times New Roman"/>
          <w:bCs w:val="0"/>
          <w:color w:val="auto"/>
          <w:sz w:val="22"/>
          <w:szCs w:val="22"/>
        </w:rPr>
      </w:pPr>
      <w:r w:rsidRPr="00F815FA">
        <w:rPr>
          <w:rFonts w:ascii="Times New Roman" w:hAnsi="Times New Roman" w:cs="Times New Roman"/>
          <w:bCs w:val="0"/>
          <w:color w:val="auto"/>
          <w:sz w:val="22"/>
          <w:szCs w:val="22"/>
        </w:rPr>
        <w:t xml:space="preserve">INT </w:t>
      </w:r>
      <w:r w:rsidR="0065378F">
        <w:rPr>
          <w:rFonts w:ascii="Times New Roman" w:hAnsi="Times New Roman" w:cs="Times New Roman"/>
          <w:bCs w:val="0"/>
          <w:color w:val="auto"/>
          <w:sz w:val="22"/>
          <w:szCs w:val="22"/>
        </w:rPr>
        <w:t>23-03T</w:t>
      </w:r>
      <w:r w:rsidRPr="00F815FA">
        <w:rPr>
          <w:rFonts w:ascii="Times New Roman" w:hAnsi="Times New Roman" w:cs="Times New Roman"/>
          <w:bCs w:val="0"/>
          <w:color w:val="auto"/>
          <w:sz w:val="22"/>
          <w:szCs w:val="22"/>
        </w:rPr>
        <w:t xml:space="preserve"> Status </w:t>
      </w:r>
    </w:p>
    <w:p w14:paraId="042FA922" w14:textId="77777777" w:rsidR="00EB2DFC" w:rsidRPr="00F815FA" w:rsidRDefault="00EB2DFC" w:rsidP="00EB2DFC">
      <w:pPr>
        <w:rPr>
          <w:bCs/>
          <w:sz w:val="22"/>
          <w:szCs w:val="22"/>
        </w:rPr>
      </w:pPr>
    </w:p>
    <w:p w14:paraId="33781FE5" w14:textId="3251693C" w:rsidR="00EB2DFC" w:rsidRPr="00A81B5A" w:rsidRDefault="00EB2DFC" w:rsidP="00EB2DFC">
      <w:pPr>
        <w:pStyle w:val="ListNumber"/>
        <w:tabs>
          <w:tab w:val="clear" w:pos="360"/>
        </w:tabs>
        <w:spacing w:after="220"/>
        <w:ind w:left="0" w:firstLine="0"/>
        <w:jc w:val="both"/>
        <w:rPr>
          <w:sz w:val="22"/>
          <w:szCs w:val="22"/>
        </w:rPr>
      </w:pPr>
      <w:r w:rsidRPr="00A81B5A">
        <w:rPr>
          <w:rFonts w:eastAsia="Calibri"/>
          <w:sz w:val="22"/>
          <w:szCs w:val="22"/>
        </w:rPr>
        <w:t>The</w:t>
      </w:r>
      <w:r w:rsidRPr="00A81B5A">
        <w:rPr>
          <w:sz w:val="22"/>
          <w:szCs w:val="22"/>
        </w:rPr>
        <w:t xml:space="preserve"> consensuses in this interpretation are effective beginning </w:t>
      </w:r>
      <w:r w:rsidRPr="00DB1F6E">
        <w:rPr>
          <w:sz w:val="22"/>
          <w:szCs w:val="22"/>
        </w:rPr>
        <w:t xml:space="preserve">with </w:t>
      </w:r>
      <w:r w:rsidRPr="00AD2287">
        <w:rPr>
          <w:sz w:val="22"/>
          <w:szCs w:val="22"/>
        </w:rPr>
        <w:t>year-end 2023</w:t>
      </w:r>
      <w:r w:rsidRPr="00DB1F6E">
        <w:rPr>
          <w:sz w:val="22"/>
          <w:szCs w:val="22"/>
        </w:rPr>
        <w:t xml:space="preserve"> financial</w:t>
      </w:r>
      <w:r w:rsidRPr="00A81B5A">
        <w:rPr>
          <w:sz w:val="22"/>
          <w:szCs w:val="22"/>
        </w:rPr>
        <w:t xml:space="preserve"> statements and periods thereafter.</w:t>
      </w:r>
    </w:p>
    <w:p w14:paraId="226C63EB" w14:textId="77777777" w:rsidR="00EB2DFC" w:rsidRPr="00F815FA" w:rsidRDefault="00EB2DFC" w:rsidP="00EB2DFC">
      <w:pPr>
        <w:pStyle w:val="ListNumber"/>
        <w:tabs>
          <w:tab w:val="clear" w:pos="360"/>
        </w:tabs>
        <w:spacing w:after="220"/>
        <w:ind w:left="0" w:firstLine="0"/>
        <w:jc w:val="both"/>
        <w:rPr>
          <w:sz w:val="22"/>
          <w:szCs w:val="22"/>
        </w:rPr>
      </w:pPr>
      <w:r w:rsidRPr="00F815FA">
        <w:rPr>
          <w:sz w:val="22"/>
          <w:szCs w:val="22"/>
        </w:rPr>
        <w:t>Further discussion is planned.</w:t>
      </w:r>
    </w:p>
    <w:p w14:paraId="118ECF5C" w14:textId="7EE6114B" w:rsidR="00E23F72" w:rsidRPr="001B3B8A" w:rsidRDefault="0064503D">
      <w:pPr>
        <w:rPr>
          <w:i/>
          <w:iCs/>
          <w:sz w:val="22"/>
          <w:szCs w:val="22"/>
          <w:highlight w:val="lightGray"/>
        </w:rPr>
      </w:pPr>
      <w:r w:rsidRPr="001B3B8A">
        <w:rPr>
          <w:i/>
          <w:iCs/>
          <w:sz w:val="22"/>
          <w:szCs w:val="22"/>
          <w:highlight w:val="lightGray"/>
        </w:rPr>
        <w:t>NAIC Staff Note:</w:t>
      </w:r>
      <w:r w:rsidR="00C06E81" w:rsidRPr="001B3B8A">
        <w:rPr>
          <w:i/>
          <w:iCs/>
          <w:sz w:val="22"/>
          <w:szCs w:val="22"/>
          <w:highlight w:val="lightGray"/>
        </w:rPr>
        <w:t xml:space="preserve"> </w:t>
      </w:r>
      <w:r w:rsidR="00DB1F6E" w:rsidRPr="001B3B8A">
        <w:rPr>
          <w:i/>
          <w:iCs/>
          <w:sz w:val="22"/>
          <w:szCs w:val="22"/>
          <w:highlight w:val="lightGray"/>
        </w:rPr>
        <w:t xml:space="preserve">Comments requested regarding whether to add references </w:t>
      </w:r>
      <w:r w:rsidR="007C2AF9" w:rsidRPr="001B3B8A">
        <w:rPr>
          <w:i/>
          <w:iCs/>
          <w:sz w:val="22"/>
          <w:szCs w:val="22"/>
          <w:highlight w:val="lightGray"/>
        </w:rPr>
        <w:t xml:space="preserve">in </w:t>
      </w:r>
      <w:r w:rsidR="00DB1F6E" w:rsidRPr="001B3B8A">
        <w:rPr>
          <w:i/>
          <w:iCs/>
          <w:sz w:val="22"/>
          <w:szCs w:val="22"/>
          <w:highlight w:val="lightGray"/>
        </w:rPr>
        <w:t>SSAP No. 1</w:t>
      </w:r>
      <w:r w:rsidR="001F0B0A" w:rsidRPr="001B3B8A">
        <w:rPr>
          <w:i/>
          <w:iCs/>
          <w:sz w:val="22"/>
          <w:szCs w:val="22"/>
          <w:highlight w:val="lightGray"/>
        </w:rPr>
        <w:t xml:space="preserve">01 scope and </w:t>
      </w:r>
      <w:r w:rsidR="007279BC" w:rsidRPr="001B3B8A">
        <w:rPr>
          <w:i/>
          <w:iCs/>
          <w:sz w:val="22"/>
          <w:szCs w:val="22"/>
          <w:highlight w:val="lightGray"/>
        </w:rPr>
        <w:t xml:space="preserve">/ </w:t>
      </w:r>
      <w:r w:rsidR="001F0B0A" w:rsidRPr="001B3B8A">
        <w:rPr>
          <w:i/>
          <w:iCs/>
          <w:sz w:val="22"/>
          <w:szCs w:val="22"/>
          <w:highlight w:val="lightGray"/>
        </w:rPr>
        <w:t xml:space="preserve">or disclosures section to this INT. </w:t>
      </w:r>
      <w:r w:rsidR="00C06E81" w:rsidRPr="001B3B8A">
        <w:rPr>
          <w:i/>
          <w:iCs/>
          <w:sz w:val="22"/>
          <w:szCs w:val="22"/>
          <w:highlight w:val="lightGray"/>
        </w:rPr>
        <w:t xml:space="preserve"> </w:t>
      </w:r>
    </w:p>
    <w:p w14:paraId="2060B3C8" w14:textId="5C3BA367" w:rsidR="00CB7E50" w:rsidRDefault="00CB7E50">
      <w:pPr>
        <w:rPr>
          <w:b/>
          <w:bCs/>
          <w:sz w:val="22"/>
          <w:szCs w:val="22"/>
        </w:rPr>
      </w:pPr>
      <w:r>
        <w:rPr>
          <w:b/>
          <w:bCs/>
          <w:sz w:val="22"/>
          <w:szCs w:val="22"/>
        </w:rPr>
        <w:br w:type="page"/>
      </w:r>
    </w:p>
    <w:p w14:paraId="0478B05A" w14:textId="77777777" w:rsidR="00CB7E50" w:rsidRPr="00CB7E50" w:rsidRDefault="00CB7E50" w:rsidP="00CB7E50">
      <w:pPr>
        <w:jc w:val="both"/>
        <w:rPr>
          <w:rFonts w:cs="Calibri"/>
          <w:b/>
          <w:bCs/>
          <w:sz w:val="22"/>
        </w:rPr>
      </w:pPr>
      <w:r w:rsidRPr="00CB7E50">
        <w:rPr>
          <w:rFonts w:cs="Calibri"/>
          <w:b/>
          <w:bCs/>
          <w:sz w:val="22"/>
        </w:rPr>
        <w:lastRenderedPageBreak/>
        <w:t>Examples</w:t>
      </w:r>
    </w:p>
    <w:p w14:paraId="44C1FA23" w14:textId="77777777" w:rsidR="00CB7E50" w:rsidRPr="009501B9" w:rsidRDefault="00CB7E50" w:rsidP="00CB7E50">
      <w:pPr>
        <w:jc w:val="both"/>
        <w:rPr>
          <w:rFonts w:cs="Calibri"/>
          <w:sz w:val="22"/>
          <w:szCs w:val="22"/>
        </w:rPr>
      </w:pPr>
    </w:p>
    <w:p w14:paraId="0310204E" w14:textId="77777777" w:rsidR="00EE518D" w:rsidRPr="00EE518D" w:rsidRDefault="00EE518D" w:rsidP="00EE518D">
      <w:pPr>
        <w:jc w:val="both"/>
        <w:rPr>
          <w:rFonts w:cs="Calibri"/>
          <w:b/>
          <w:bCs/>
          <w:sz w:val="22"/>
          <w:szCs w:val="22"/>
        </w:rPr>
      </w:pPr>
      <w:r w:rsidRPr="00EE518D">
        <w:rPr>
          <w:rFonts w:cs="Calibri"/>
          <w:b/>
          <w:bCs/>
          <w:sz w:val="22"/>
          <w:szCs w:val="22"/>
        </w:rPr>
        <w:t xml:space="preserve">Basic Facts Used in All Examples </w:t>
      </w:r>
    </w:p>
    <w:p w14:paraId="42C93FCE" w14:textId="77777777" w:rsidR="00EE518D" w:rsidRPr="00EE518D" w:rsidRDefault="00EE518D" w:rsidP="00EE518D">
      <w:pPr>
        <w:jc w:val="both"/>
        <w:rPr>
          <w:rFonts w:cs="Calibri"/>
          <w:b/>
          <w:bCs/>
          <w:sz w:val="22"/>
          <w:szCs w:val="22"/>
          <w:u w:val="single"/>
        </w:rPr>
      </w:pPr>
    </w:p>
    <w:p w14:paraId="3DA18CEA" w14:textId="0B1F863D" w:rsidR="00EE518D" w:rsidRPr="00EE518D" w:rsidRDefault="00EE518D" w:rsidP="00EE518D">
      <w:pPr>
        <w:pStyle w:val="ListNumber"/>
        <w:tabs>
          <w:tab w:val="clear" w:pos="360"/>
        </w:tabs>
        <w:spacing w:after="220"/>
        <w:ind w:left="0" w:firstLine="0"/>
        <w:jc w:val="both"/>
        <w:rPr>
          <w:rFonts w:cs="Calibri"/>
          <w:sz w:val="22"/>
          <w:szCs w:val="22"/>
        </w:rPr>
      </w:pPr>
      <w:r w:rsidRPr="00EE518D">
        <w:rPr>
          <w:sz w:val="22"/>
          <w:szCs w:val="22"/>
        </w:rPr>
        <w:t>The</w:t>
      </w:r>
      <w:r w:rsidRPr="00EE518D">
        <w:rPr>
          <w:rFonts w:cs="Calibri"/>
          <w:sz w:val="22"/>
          <w:szCs w:val="22"/>
        </w:rPr>
        <w:t xml:space="preserve"> reporting entity is a member of a tax-affiliated group of corporations that files consolidated federal income tax return</w:t>
      </w:r>
      <w:r w:rsidR="00004B0C">
        <w:rPr>
          <w:rFonts w:cs="Calibri"/>
          <w:sz w:val="22"/>
          <w:szCs w:val="22"/>
        </w:rPr>
        <w:t>s</w:t>
      </w:r>
      <w:r w:rsidRPr="00EE518D">
        <w:rPr>
          <w:rFonts w:cs="Calibri"/>
          <w:sz w:val="22"/>
          <w:szCs w:val="22"/>
        </w:rPr>
        <w:t xml:space="preserve"> </w:t>
      </w:r>
      <w:r w:rsidR="00004B0C">
        <w:rPr>
          <w:rFonts w:cs="Calibri"/>
          <w:sz w:val="22"/>
          <w:szCs w:val="22"/>
        </w:rPr>
        <w:t>which</w:t>
      </w:r>
      <w:r w:rsidRPr="00EE518D">
        <w:rPr>
          <w:rFonts w:cs="Calibri"/>
          <w:sz w:val="22"/>
          <w:szCs w:val="22"/>
        </w:rPr>
        <w:t xml:space="preserve"> reasonably expects to be an applicable corporation for 20X3. </w:t>
      </w:r>
    </w:p>
    <w:p w14:paraId="79A7C6FE" w14:textId="70462DAC" w:rsidR="00EE518D" w:rsidRPr="00EE518D" w:rsidRDefault="00EE518D" w:rsidP="004D3FB4">
      <w:pPr>
        <w:numPr>
          <w:ilvl w:val="0"/>
          <w:numId w:val="14"/>
        </w:numPr>
        <w:spacing w:after="220"/>
        <w:ind w:left="1440" w:hanging="720"/>
        <w:jc w:val="both"/>
        <w:rPr>
          <w:rFonts w:cs="Calibri"/>
          <w:sz w:val="22"/>
          <w:szCs w:val="22"/>
        </w:rPr>
      </w:pPr>
      <w:r w:rsidRPr="00EE518D">
        <w:rPr>
          <w:rFonts w:cs="Calibri"/>
          <w:sz w:val="22"/>
          <w:szCs w:val="22"/>
        </w:rPr>
        <w:t>Reporting entity also has $2</w:t>
      </w:r>
      <w:r w:rsidR="003F683C">
        <w:rPr>
          <w:rFonts w:cs="Calibri"/>
          <w:sz w:val="22"/>
          <w:szCs w:val="22"/>
        </w:rPr>
        <w:t>0</w:t>
      </w:r>
      <w:r w:rsidRPr="00EE518D">
        <w:rPr>
          <w:rFonts w:cs="Calibri"/>
          <w:sz w:val="22"/>
          <w:szCs w:val="22"/>
        </w:rPr>
        <w:t>0x</w:t>
      </w:r>
      <w:r w:rsidRPr="00EE518D">
        <w:rPr>
          <w:rFonts w:cs="Calibri"/>
          <w:b/>
          <w:bCs/>
          <w:sz w:val="22"/>
          <w:szCs w:val="22"/>
        </w:rPr>
        <w:t xml:space="preserve"> </w:t>
      </w:r>
      <w:r w:rsidRPr="00EE518D">
        <w:rPr>
          <w:rFonts w:cs="Calibri"/>
          <w:sz w:val="22"/>
          <w:szCs w:val="22"/>
        </w:rPr>
        <w:t xml:space="preserve">of regular tax adjusted gross DTAs (i.e., has already reduced by any required valuation allowance of </w:t>
      </w:r>
      <w:r w:rsidR="000773BC">
        <w:rPr>
          <w:rFonts w:cs="Calibri"/>
          <w:sz w:val="22"/>
          <w:szCs w:val="22"/>
        </w:rPr>
        <w:t>$</w:t>
      </w:r>
      <w:r w:rsidRPr="00EE518D">
        <w:rPr>
          <w:rFonts w:cs="Calibri"/>
          <w:sz w:val="22"/>
          <w:szCs w:val="22"/>
        </w:rPr>
        <w:t>40</w:t>
      </w:r>
      <w:r w:rsidR="000773BC">
        <w:rPr>
          <w:rFonts w:cs="Calibri"/>
          <w:sz w:val="22"/>
          <w:szCs w:val="22"/>
        </w:rPr>
        <w:t>x</w:t>
      </w:r>
      <w:r w:rsidRPr="00EE518D">
        <w:rPr>
          <w:rFonts w:cs="Calibri"/>
          <w:sz w:val="22"/>
          <w:szCs w:val="22"/>
        </w:rPr>
        <w:t>)</w:t>
      </w:r>
      <w:r w:rsidR="003F683C">
        <w:rPr>
          <w:rFonts w:cs="Calibri"/>
          <w:sz w:val="22"/>
          <w:szCs w:val="22"/>
        </w:rPr>
        <w:t>. Of this $200</w:t>
      </w:r>
      <w:r w:rsidR="00137EE0">
        <w:rPr>
          <w:rFonts w:cs="Calibri"/>
          <w:sz w:val="22"/>
          <w:szCs w:val="22"/>
        </w:rPr>
        <w:t>x</w:t>
      </w:r>
      <w:r w:rsidRPr="00EE518D">
        <w:rPr>
          <w:rFonts w:cs="Calibri"/>
          <w:sz w:val="22"/>
          <w:szCs w:val="22"/>
        </w:rPr>
        <w:t xml:space="preserve"> of which $150x reverses over the 3-year applicable period 20X4-20X6 and is expected to be realized</w:t>
      </w:r>
      <w:r w:rsidR="00D50FF6">
        <w:rPr>
          <w:rFonts w:cs="Calibri"/>
          <w:sz w:val="22"/>
          <w:szCs w:val="22"/>
        </w:rPr>
        <w:t>.</w:t>
      </w:r>
      <w:r w:rsidRPr="00EE518D">
        <w:rPr>
          <w:rFonts w:cs="Calibri"/>
          <w:sz w:val="22"/>
          <w:szCs w:val="22"/>
        </w:rPr>
        <w:t xml:space="preserve"> </w:t>
      </w:r>
    </w:p>
    <w:p w14:paraId="348A043F" w14:textId="77777777" w:rsidR="00EE518D" w:rsidRPr="00EE518D" w:rsidRDefault="00EE518D" w:rsidP="004D3FB4">
      <w:pPr>
        <w:numPr>
          <w:ilvl w:val="0"/>
          <w:numId w:val="14"/>
        </w:numPr>
        <w:spacing w:after="220"/>
        <w:ind w:left="1440" w:hanging="720"/>
        <w:jc w:val="both"/>
        <w:rPr>
          <w:rFonts w:cs="Calibri"/>
          <w:sz w:val="22"/>
          <w:szCs w:val="22"/>
        </w:rPr>
      </w:pPr>
      <w:r w:rsidRPr="00EE518D">
        <w:rPr>
          <w:rFonts w:cs="Calibri"/>
          <w:sz w:val="22"/>
          <w:szCs w:val="22"/>
        </w:rPr>
        <w:t xml:space="preserve">At the end of 20X3, reporting entity has a $50x CAMT credit carryover DTA (pursuant to the consolidated group's TSA, reporting entity was allocated a portion of the group's expected 20X3 current CAMT expense, which reporting entity included in its 20X3 current tax expense). </w:t>
      </w:r>
    </w:p>
    <w:p w14:paraId="6141463E" w14:textId="643CD3D5" w:rsidR="00EE518D" w:rsidRDefault="00EE518D">
      <w:pPr>
        <w:numPr>
          <w:ilvl w:val="0"/>
          <w:numId w:val="14"/>
        </w:numPr>
        <w:ind w:left="1440" w:hanging="720"/>
        <w:jc w:val="both"/>
        <w:rPr>
          <w:sz w:val="22"/>
          <w:szCs w:val="22"/>
        </w:rPr>
      </w:pPr>
      <w:r w:rsidRPr="00EE518D">
        <w:rPr>
          <w:sz w:val="22"/>
          <w:szCs w:val="22"/>
        </w:rPr>
        <w:t xml:space="preserve">The consolidated group of which the reporting entity is a member establishes a $20x valuation allowance against its $50x </w:t>
      </w:r>
      <w:r w:rsidR="00137EE0" w:rsidRPr="00363D83">
        <w:rPr>
          <w:sz w:val="22"/>
          <w:szCs w:val="22"/>
        </w:rPr>
        <w:t>C</w:t>
      </w:r>
      <w:r w:rsidRPr="00EE518D">
        <w:rPr>
          <w:sz w:val="22"/>
          <w:szCs w:val="22"/>
        </w:rPr>
        <w:t>AMT credit carryforward DTA, resulting in an adjusted gross DTA of $30x</w:t>
      </w:r>
      <w:r w:rsidR="00363D83" w:rsidRPr="00363D83">
        <w:rPr>
          <w:sz w:val="22"/>
          <w:szCs w:val="22"/>
        </w:rPr>
        <w:t xml:space="preserve"> that is </w:t>
      </w:r>
      <w:r w:rsidRPr="00EE518D">
        <w:rPr>
          <w:sz w:val="22"/>
          <w:szCs w:val="22"/>
        </w:rPr>
        <w:t xml:space="preserve">more likely than not to be realized. </w:t>
      </w:r>
    </w:p>
    <w:p w14:paraId="6CC81CCD" w14:textId="77777777" w:rsidR="00363D83" w:rsidRPr="00EE518D" w:rsidRDefault="00363D83" w:rsidP="00363D83">
      <w:pPr>
        <w:ind w:left="1440"/>
        <w:jc w:val="both"/>
        <w:rPr>
          <w:sz w:val="22"/>
          <w:szCs w:val="22"/>
        </w:rPr>
      </w:pPr>
    </w:p>
    <w:p w14:paraId="0500EDB7" w14:textId="3C480484" w:rsidR="00EE518D" w:rsidRPr="00363D83" w:rsidRDefault="00EE518D">
      <w:pPr>
        <w:numPr>
          <w:ilvl w:val="0"/>
          <w:numId w:val="14"/>
        </w:numPr>
        <w:ind w:left="1440" w:hanging="720"/>
        <w:jc w:val="both"/>
        <w:rPr>
          <w:rFonts w:ascii="Calibri" w:eastAsia="Calibri" w:hAnsi="Calibri"/>
          <w:sz w:val="22"/>
          <w:szCs w:val="22"/>
        </w:rPr>
      </w:pPr>
      <w:r w:rsidRPr="00EE518D">
        <w:rPr>
          <w:sz w:val="22"/>
          <w:szCs w:val="22"/>
        </w:rPr>
        <w:t xml:space="preserve">The reporting entity makes an accounting policy election to disregard CAMT when evaluating the need for a valuation allowance for its regular tax DTAs. </w:t>
      </w:r>
    </w:p>
    <w:p w14:paraId="122E7D64" w14:textId="77777777" w:rsidR="00363D83" w:rsidRDefault="00363D83" w:rsidP="00363D83">
      <w:pPr>
        <w:pStyle w:val="ListParagraph"/>
      </w:pPr>
    </w:p>
    <w:p w14:paraId="0FAC43C0" w14:textId="77777777" w:rsidR="00EE518D" w:rsidRDefault="00EE518D" w:rsidP="004D3FB4">
      <w:pPr>
        <w:numPr>
          <w:ilvl w:val="0"/>
          <w:numId w:val="14"/>
        </w:numPr>
        <w:spacing w:after="220"/>
        <w:ind w:left="1440" w:hanging="720"/>
        <w:jc w:val="both"/>
        <w:rPr>
          <w:rFonts w:cs="Calibri"/>
          <w:sz w:val="22"/>
          <w:szCs w:val="22"/>
        </w:rPr>
      </w:pPr>
      <w:r w:rsidRPr="00EE518D">
        <w:rPr>
          <w:rFonts w:cs="Calibri"/>
          <w:sz w:val="22"/>
          <w:szCs w:val="22"/>
        </w:rPr>
        <w:t>Reporting entity’s capital and surplus for purposes of calculating the limitation under SSAP No. 101, paragraph 11.b. ii. is $2,000. Therefore, the 15% of surplus limitation is $300 (based on the top line of the applicable SSAP No. 101 paragraph 11.b. realization threshold limitation table), the 10% limitation is $200 (based on the second line of the applicable SSAP No. 101 paragraph 11.b. realization threshold limitation table).</w:t>
      </w:r>
    </w:p>
    <w:p w14:paraId="2AF1B84B" w14:textId="7AB0D29A" w:rsidR="009806B7" w:rsidRPr="00EE518D" w:rsidRDefault="009806B7" w:rsidP="004D3FB4">
      <w:pPr>
        <w:numPr>
          <w:ilvl w:val="0"/>
          <w:numId w:val="14"/>
        </w:numPr>
        <w:spacing w:after="220"/>
        <w:ind w:left="1440" w:hanging="720"/>
        <w:jc w:val="both"/>
        <w:rPr>
          <w:rFonts w:cs="Calibri"/>
          <w:sz w:val="22"/>
          <w:szCs w:val="22"/>
        </w:rPr>
      </w:pPr>
      <w:r w:rsidRPr="00EE518D">
        <w:rPr>
          <w:rFonts w:cs="Calibri"/>
          <w:sz w:val="22"/>
          <w:szCs w:val="22"/>
        </w:rPr>
        <w:t>For the purposes of th</w:t>
      </w:r>
      <w:r>
        <w:rPr>
          <w:rFonts w:cs="Calibri"/>
          <w:sz w:val="22"/>
          <w:szCs w:val="22"/>
        </w:rPr>
        <w:t>ese</w:t>
      </w:r>
      <w:r w:rsidRPr="00EE518D">
        <w:rPr>
          <w:rFonts w:cs="Calibri"/>
          <w:sz w:val="22"/>
          <w:szCs w:val="22"/>
        </w:rPr>
        <w:t xml:space="preserve"> example</w:t>
      </w:r>
      <w:r>
        <w:rPr>
          <w:rFonts w:cs="Calibri"/>
          <w:sz w:val="22"/>
          <w:szCs w:val="22"/>
        </w:rPr>
        <w:t>s</w:t>
      </w:r>
      <w:r w:rsidRPr="00EE518D">
        <w:rPr>
          <w:rFonts w:cs="Calibri"/>
          <w:sz w:val="22"/>
          <w:szCs w:val="22"/>
        </w:rPr>
        <w:t xml:space="preserve"> any DTA admittance under SSAP No. 101, paragraphs 11.a. and 11.c. is ignored.</w:t>
      </w:r>
    </w:p>
    <w:p w14:paraId="5EAFCE0D" w14:textId="77777777" w:rsidR="00EE518D" w:rsidRPr="00EE518D" w:rsidRDefault="00EE518D" w:rsidP="00EE518D">
      <w:pPr>
        <w:rPr>
          <w:rFonts w:cs="Calibri"/>
          <w:b/>
          <w:bCs/>
          <w:sz w:val="22"/>
          <w:szCs w:val="22"/>
        </w:rPr>
      </w:pPr>
      <w:r w:rsidRPr="00EE518D">
        <w:rPr>
          <w:rFonts w:cs="Calibri"/>
          <w:b/>
          <w:bCs/>
          <w:sz w:val="22"/>
          <w:szCs w:val="22"/>
        </w:rPr>
        <w:br w:type="page"/>
      </w:r>
    </w:p>
    <w:p w14:paraId="1980B67F" w14:textId="6B208A8D" w:rsidR="00EE518D" w:rsidRPr="00EE518D" w:rsidRDefault="00EE518D" w:rsidP="00EE518D">
      <w:pPr>
        <w:jc w:val="both"/>
        <w:rPr>
          <w:rFonts w:cs="Calibri"/>
          <w:b/>
          <w:bCs/>
          <w:sz w:val="22"/>
          <w:szCs w:val="22"/>
        </w:rPr>
      </w:pPr>
      <w:r w:rsidRPr="00C86604">
        <w:rPr>
          <w:rFonts w:cs="Calibri"/>
          <w:b/>
          <w:bCs/>
          <w:sz w:val="22"/>
          <w:szCs w:val="22"/>
        </w:rPr>
        <w:lastRenderedPageBreak/>
        <w:t xml:space="preserve">Example 1 – Applicable reporting entity meets or exceeds the top line of the </w:t>
      </w:r>
      <w:bookmarkStart w:id="7" w:name="_Hlk140142169"/>
      <w:r w:rsidR="00C3172F" w:rsidRPr="00C86604">
        <w:rPr>
          <w:rFonts w:cs="Calibri"/>
          <w:b/>
          <w:bCs/>
          <w:sz w:val="22"/>
          <w:szCs w:val="22"/>
        </w:rPr>
        <w:t>relevant</w:t>
      </w:r>
      <w:r w:rsidRPr="00C86604">
        <w:rPr>
          <w:rFonts w:cs="Calibri"/>
          <w:b/>
          <w:bCs/>
          <w:sz w:val="22"/>
          <w:szCs w:val="22"/>
        </w:rPr>
        <w:t xml:space="preserve"> SSAP No. 101, paragraph 11.b. Realization Threshold Limitation table (Ex. 3 years, 15%).</w:t>
      </w:r>
      <w:bookmarkEnd w:id="7"/>
    </w:p>
    <w:p w14:paraId="79E5DD95" w14:textId="77777777" w:rsidR="00EE518D" w:rsidRPr="00EE518D" w:rsidRDefault="00EE518D" w:rsidP="00EE518D">
      <w:pPr>
        <w:jc w:val="both"/>
        <w:rPr>
          <w:rFonts w:cs="Calibri"/>
          <w:sz w:val="22"/>
          <w:szCs w:val="22"/>
        </w:rPr>
      </w:pPr>
    </w:p>
    <w:p w14:paraId="027286DB" w14:textId="77777777" w:rsidR="00EE518D" w:rsidRPr="00EE518D" w:rsidRDefault="00EE518D" w:rsidP="004D3FB4">
      <w:pPr>
        <w:pStyle w:val="ListNumber"/>
        <w:tabs>
          <w:tab w:val="clear" w:pos="360"/>
        </w:tabs>
        <w:spacing w:after="220"/>
        <w:ind w:left="0" w:firstLine="0"/>
        <w:jc w:val="both"/>
        <w:rPr>
          <w:rFonts w:cs="Calibri"/>
          <w:sz w:val="22"/>
          <w:szCs w:val="22"/>
        </w:rPr>
      </w:pPr>
      <w:r w:rsidRPr="00EE518D">
        <w:rPr>
          <w:rFonts w:cs="Calibri"/>
          <w:sz w:val="22"/>
          <w:szCs w:val="22"/>
        </w:rPr>
        <w:t xml:space="preserve">The basic facts above apply with the following additional information: </w:t>
      </w:r>
    </w:p>
    <w:p w14:paraId="7EAC3E6C" w14:textId="6DE140E9" w:rsidR="00EE518D" w:rsidRPr="00EE518D" w:rsidRDefault="00EE518D" w:rsidP="00EE518D">
      <w:pPr>
        <w:numPr>
          <w:ilvl w:val="0"/>
          <w:numId w:val="15"/>
        </w:numPr>
        <w:ind w:left="1440" w:hanging="720"/>
        <w:jc w:val="both"/>
        <w:rPr>
          <w:rFonts w:cs="Calibri"/>
          <w:sz w:val="22"/>
          <w:szCs w:val="22"/>
        </w:rPr>
      </w:pPr>
      <w:r w:rsidRPr="00EE518D">
        <w:rPr>
          <w:rFonts w:cs="Calibri"/>
          <w:sz w:val="22"/>
          <w:szCs w:val="22"/>
        </w:rPr>
        <w:t>For</w:t>
      </w:r>
      <w:r w:rsidRPr="00EE518D">
        <w:rPr>
          <w:sz w:val="22"/>
          <w:szCs w:val="22"/>
        </w:rPr>
        <w:t xml:space="preserve"> 20</w:t>
      </w:r>
      <w:r w:rsidR="001914B1">
        <w:rPr>
          <w:sz w:val="22"/>
          <w:szCs w:val="22"/>
        </w:rPr>
        <w:t>x</w:t>
      </w:r>
      <w:r w:rsidRPr="00EE518D">
        <w:rPr>
          <w:sz w:val="22"/>
          <w:szCs w:val="22"/>
        </w:rPr>
        <w:t xml:space="preserve">3, the reporting entity </w:t>
      </w:r>
      <w:bookmarkStart w:id="8" w:name="_Hlk140150522"/>
      <w:r w:rsidRPr="00EE518D">
        <w:rPr>
          <w:sz w:val="22"/>
          <w:szCs w:val="22"/>
        </w:rPr>
        <w:t>exceeds the first line of the applicable realization threshold limitation in SSAP No. 101, paragraph 11.b. for use of a 3-year applicable period and the limitation of capital and surplus is 15%</w:t>
      </w:r>
      <w:bookmarkEnd w:id="8"/>
      <w:r w:rsidR="00A47530" w:rsidRPr="00EE518D">
        <w:rPr>
          <w:sz w:val="22"/>
          <w:szCs w:val="22"/>
        </w:rPr>
        <w:t>.</w:t>
      </w:r>
      <w:r w:rsidR="00A47530" w:rsidRPr="00B03A98">
        <w:rPr>
          <w:sz w:val="22"/>
          <w:szCs w:val="22"/>
        </w:rPr>
        <w:t xml:space="preserve"> </w:t>
      </w:r>
      <w:r w:rsidR="003315E7" w:rsidRPr="00B03A98">
        <w:rPr>
          <w:sz w:val="22"/>
          <w:szCs w:val="22"/>
        </w:rPr>
        <w:t xml:space="preserve">Pursuant to </w:t>
      </w:r>
      <w:r w:rsidR="00B03A98" w:rsidRPr="00B03A98">
        <w:rPr>
          <w:sz w:val="22"/>
          <w:szCs w:val="22"/>
        </w:rPr>
        <w:t xml:space="preserve">paragraph 31 of this interpretation, the </w:t>
      </w:r>
      <w:r w:rsidRPr="00EE518D">
        <w:rPr>
          <w:sz w:val="22"/>
          <w:szCs w:val="22"/>
        </w:rPr>
        <w:t>reporting entity would not have to</w:t>
      </w:r>
      <w:r w:rsidR="00B10343">
        <w:rPr>
          <w:sz w:val="22"/>
          <w:szCs w:val="22"/>
        </w:rPr>
        <w:t xml:space="preserve"> take the CAMT into account in calculating the</w:t>
      </w:r>
      <w:r w:rsidRPr="00EE518D">
        <w:rPr>
          <w:sz w:val="22"/>
          <w:szCs w:val="22"/>
        </w:rPr>
        <w:t xml:space="preserve"> </w:t>
      </w:r>
      <w:r w:rsidR="00B03A98" w:rsidRPr="00B03A98">
        <w:rPr>
          <w:sz w:val="22"/>
          <w:szCs w:val="22"/>
        </w:rPr>
        <w:t>“</w:t>
      </w:r>
      <w:r w:rsidRPr="00EE518D">
        <w:rPr>
          <w:sz w:val="22"/>
          <w:szCs w:val="22"/>
        </w:rPr>
        <w:t>with and without</w:t>
      </w:r>
      <w:r w:rsidR="00B03A98" w:rsidRPr="00B03A98">
        <w:rPr>
          <w:sz w:val="22"/>
          <w:szCs w:val="22"/>
        </w:rPr>
        <w:t>”</w:t>
      </w:r>
      <w:r w:rsidRPr="00EE518D">
        <w:rPr>
          <w:sz w:val="22"/>
          <w:szCs w:val="22"/>
        </w:rPr>
        <w:t xml:space="preserve"> </w:t>
      </w:r>
      <w:r w:rsidR="001D3E4F">
        <w:rPr>
          <w:sz w:val="22"/>
          <w:szCs w:val="22"/>
        </w:rPr>
        <w:t>tax liability for purposes of determining the amount expected to be re</w:t>
      </w:r>
      <w:r w:rsidR="006A4BEA">
        <w:rPr>
          <w:sz w:val="22"/>
          <w:szCs w:val="22"/>
        </w:rPr>
        <w:t>alized under SSAP No. 101, paragraph 11.b.i.</w:t>
      </w:r>
      <w:r w:rsidRPr="00EE518D">
        <w:rPr>
          <w:sz w:val="22"/>
          <w:szCs w:val="22"/>
        </w:rPr>
        <w:t>.</w:t>
      </w:r>
      <w:r w:rsidR="00366C08">
        <w:rPr>
          <w:sz w:val="22"/>
          <w:szCs w:val="22"/>
        </w:rPr>
        <w:t xml:space="preserve"> </w:t>
      </w:r>
    </w:p>
    <w:p w14:paraId="30E39E4A" w14:textId="77777777" w:rsidR="00EE518D" w:rsidRPr="00EE518D" w:rsidRDefault="00EE518D" w:rsidP="00EE518D">
      <w:pPr>
        <w:ind w:left="720"/>
        <w:jc w:val="both"/>
        <w:rPr>
          <w:rFonts w:cs="Calibri"/>
          <w:sz w:val="22"/>
          <w:szCs w:val="22"/>
        </w:rPr>
      </w:pPr>
    </w:p>
    <w:p w14:paraId="273C3A67" w14:textId="2A321527" w:rsidR="00EE518D" w:rsidRDefault="00EE518D" w:rsidP="00EE518D">
      <w:pPr>
        <w:numPr>
          <w:ilvl w:val="0"/>
          <w:numId w:val="15"/>
        </w:numPr>
        <w:ind w:left="1440" w:hanging="720"/>
        <w:jc w:val="both"/>
        <w:rPr>
          <w:sz w:val="22"/>
          <w:szCs w:val="22"/>
        </w:rPr>
      </w:pPr>
      <w:r w:rsidRPr="00EE518D">
        <w:rPr>
          <w:sz w:val="22"/>
          <w:szCs w:val="22"/>
        </w:rPr>
        <w:t>The reporting entity has assessed and determined that the CAMT tax credit carry fo</w:t>
      </w:r>
      <w:r w:rsidR="00745EC9">
        <w:rPr>
          <w:sz w:val="22"/>
          <w:szCs w:val="22"/>
        </w:rPr>
        <w:t>r</w:t>
      </w:r>
      <w:r w:rsidRPr="00EE518D">
        <w:rPr>
          <w:sz w:val="22"/>
          <w:szCs w:val="22"/>
        </w:rPr>
        <w:t>ward amounts after the valuation allowance of $30</w:t>
      </w:r>
      <w:r w:rsidR="00A93F72">
        <w:rPr>
          <w:sz w:val="22"/>
          <w:szCs w:val="22"/>
        </w:rPr>
        <w:t>x</w:t>
      </w:r>
      <w:r w:rsidR="00745EC9">
        <w:rPr>
          <w:sz w:val="22"/>
          <w:szCs w:val="22"/>
        </w:rPr>
        <w:t xml:space="preserve"> is</w:t>
      </w:r>
      <w:r w:rsidRPr="00EE518D">
        <w:rPr>
          <w:sz w:val="22"/>
          <w:szCs w:val="22"/>
        </w:rPr>
        <w:t xml:space="preserve"> expected to be utilized in 20x4, 20x5 and 20x6</w:t>
      </w:r>
      <w:r w:rsidR="00874EBD">
        <w:rPr>
          <w:sz w:val="22"/>
          <w:szCs w:val="22"/>
        </w:rPr>
        <w:t>.</w:t>
      </w:r>
      <w:r w:rsidRPr="00EE518D">
        <w:rPr>
          <w:sz w:val="22"/>
          <w:szCs w:val="22"/>
        </w:rPr>
        <w:t xml:space="preserve"> </w:t>
      </w:r>
      <w:r w:rsidR="00874EBD">
        <w:rPr>
          <w:sz w:val="22"/>
          <w:szCs w:val="22"/>
        </w:rPr>
        <w:t>T</w:t>
      </w:r>
      <w:r w:rsidR="00874EBD" w:rsidRPr="00EE518D">
        <w:rPr>
          <w:sz w:val="22"/>
          <w:szCs w:val="22"/>
        </w:rPr>
        <w:t>hereby</w:t>
      </w:r>
      <w:r w:rsidRPr="00EE518D">
        <w:rPr>
          <w:sz w:val="22"/>
          <w:szCs w:val="22"/>
        </w:rPr>
        <w:t xml:space="preserve"> meeting redeemable within 3 years criteria in SSAP No. 101, paragraph 11b for entities which meet or exceed the top line of the applicable realization threshold limitation.</w:t>
      </w:r>
    </w:p>
    <w:p w14:paraId="6C8CB3E6" w14:textId="77777777" w:rsidR="00B03A98" w:rsidRDefault="00B03A98" w:rsidP="00B03A98">
      <w:pPr>
        <w:pStyle w:val="ListParagraph"/>
      </w:pPr>
    </w:p>
    <w:p w14:paraId="4C9939C3" w14:textId="6638B101" w:rsidR="00EE518D" w:rsidRPr="00EE518D" w:rsidRDefault="00EE518D" w:rsidP="004D3FB4">
      <w:pPr>
        <w:pStyle w:val="ListNumber"/>
        <w:tabs>
          <w:tab w:val="clear" w:pos="360"/>
        </w:tabs>
        <w:spacing w:after="220"/>
        <w:ind w:left="0" w:firstLine="0"/>
        <w:jc w:val="both"/>
        <w:rPr>
          <w:rFonts w:cs="Calibri"/>
          <w:sz w:val="22"/>
          <w:szCs w:val="22"/>
        </w:rPr>
      </w:pPr>
      <w:r w:rsidRPr="00EE518D">
        <w:rPr>
          <w:rFonts w:cs="Calibri"/>
          <w:sz w:val="22"/>
          <w:szCs w:val="22"/>
        </w:rPr>
        <w:t xml:space="preserve">The reporting entity admits the $30x adjusted gross DTA for </w:t>
      </w:r>
      <w:r w:rsidR="001F2529" w:rsidRPr="00EE518D">
        <w:rPr>
          <w:rFonts w:cs="Calibri"/>
          <w:sz w:val="22"/>
          <w:szCs w:val="22"/>
        </w:rPr>
        <w:t>its</w:t>
      </w:r>
      <w:r w:rsidR="00C3172F">
        <w:rPr>
          <w:rFonts w:cs="Calibri"/>
          <w:sz w:val="22"/>
          <w:szCs w:val="22"/>
        </w:rPr>
        <w:t xml:space="preserve"> portion of the allocated </w:t>
      </w:r>
      <w:r w:rsidRPr="00EE518D">
        <w:rPr>
          <w:rFonts w:cs="Calibri"/>
          <w:sz w:val="22"/>
          <w:szCs w:val="22"/>
        </w:rPr>
        <w:t>CAMT credit carryover expected to be utilized within three years and admits the</w:t>
      </w:r>
      <w:r w:rsidR="00874EBD">
        <w:rPr>
          <w:rFonts w:cs="Calibri"/>
          <w:sz w:val="22"/>
          <w:szCs w:val="22"/>
        </w:rPr>
        <w:t xml:space="preserve"> </w:t>
      </w:r>
      <w:r w:rsidR="00874EBD" w:rsidRPr="00EE518D">
        <w:rPr>
          <w:rFonts w:cs="Calibri"/>
          <w:sz w:val="22"/>
          <w:szCs w:val="22"/>
        </w:rPr>
        <w:t>$150</w:t>
      </w:r>
      <w:r w:rsidR="007B76AF">
        <w:rPr>
          <w:rFonts w:cs="Calibri"/>
          <w:sz w:val="22"/>
          <w:szCs w:val="22"/>
        </w:rPr>
        <w:t>x</w:t>
      </w:r>
      <w:r w:rsidR="00874EBD">
        <w:rPr>
          <w:rFonts w:cs="Calibri"/>
          <w:sz w:val="22"/>
          <w:szCs w:val="22"/>
        </w:rPr>
        <w:t xml:space="preserve"> regular tax</w:t>
      </w:r>
      <w:r w:rsidRPr="00EE518D">
        <w:rPr>
          <w:rFonts w:cs="Calibri"/>
          <w:sz w:val="22"/>
          <w:szCs w:val="22"/>
        </w:rPr>
        <w:t xml:space="preserve"> adjusted gross DTA after valuation allowance than can be utilized within three years of. Therefore, the admitted DTA and CAMT tax credit would be$180x ($150 +$30 =$180).</w:t>
      </w:r>
      <w:r w:rsidR="001B19CF">
        <w:rPr>
          <w:rFonts w:cs="Calibri"/>
          <w:sz w:val="22"/>
          <w:szCs w:val="22"/>
        </w:rPr>
        <w:t xml:space="preserve"> </w:t>
      </w:r>
    </w:p>
    <w:p w14:paraId="2D49DE75" w14:textId="638A9820" w:rsidR="00EE518D" w:rsidRPr="00EE518D" w:rsidRDefault="001B19CF" w:rsidP="004D3FB4">
      <w:pPr>
        <w:pStyle w:val="ListNumber"/>
        <w:tabs>
          <w:tab w:val="clear" w:pos="360"/>
        </w:tabs>
        <w:spacing w:after="220"/>
        <w:ind w:left="0" w:firstLine="0"/>
        <w:jc w:val="both"/>
        <w:rPr>
          <w:rFonts w:cs="Calibri"/>
          <w:sz w:val="22"/>
          <w:szCs w:val="22"/>
        </w:rPr>
      </w:pPr>
      <w:r>
        <w:rPr>
          <w:rFonts w:cs="Calibri"/>
          <w:sz w:val="22"/>
          <w:szCs w:val="22"/>
        </w:rPr>
        <w:t xml:space="preserve">The $180 is less than the $300 15% of surplus limitation in paragraph 11bii., so it is not a limiting factor. </w:t>
      </w:r>
      <w:r w:rsidR="00EE518D" w:rsidRPr="00EE518D">
        <w:rPr>
          <w:rFonts w:cs="Calibri"/>
          <w:sz w:val="22"/>
          <w:szCs w:val="22"/>
        </w:rPr>
        <w:t>(However, if reporting entity’s 15% of surplus limitation under paragraph 11.b. ii. was $175x, the reporting entity’s admitted adjusted gross DTA would be further reduced to $175).</w:t>
      </w:r>
    </w:p>
    <w:tbl>
      <w:tblPr>
        <w:tblW w:w="9540" w:type="dxa"/>
        <w:tblLayout w:type="fixed"/>
        <w:tblLook w:val="04A0" w:firstRow="1" w:lastRow="0" w:firstColumn="1" w:lastColumn="0" w:noHBand="0" w:noVBand="1"/>
      </w:tblPr>
      <w:tblGrid>
        <w:gridCol w:w="2340"/>
        <w:gridCol w:w="630"/>
        <w:gridCol w:w="900"/>
        <w:gridCol w:w="1080"/>
        <w:gridCol w:w="990"/>
        <w:gridCol w:w="720"/>
        <w:gridCol w:w="900"/>
        <w:gridCol w:w="900"/>
        <w:gridCol w:w="1080"/>
      </w:tblGrid>
      <w:tr w:rsidR="00EE518D" w:rsidRPr="00EE518D" w14:paraId="76BA0D11" w14:textId="77777777">
        <w:trPr>
          <w:trHeight w:val="1200"/>
        </w:trPr>
        <w:tc>
          <w:tcPr>
            <w:tcW w:w="2340" w:type="dxa"/>
            <w:shd w:val="clear" w:color="auto" w:fill="4472C4"/>
            <w:noWrap/>
            <w:vAlign w:val="bottom"/>
            <w:hideMark/>
          </w:tcPr>
          <w:p w14:paraId="05E80892" w14:textId="77777777" w:rsidR="00EE518D" w:rsidRPr="00EE518D" w:rsidRDefault="00EE518D" w:rsidP="00EE518D">
            <w:pPr>
              <w:rPr>
                <w:rFonts w:ascii="Calibri" w:hAnsi="Calibri" w:cs="Calibri"/>
                <w:color w:val="FFFFFF"/>
                <w:sz w:val="16"/>
                <w:szCs w:val="16"/>
              </w:rPr>
            </w:pPr>
            <w:bookmarkStart w:id="9" w:name="_Hlk140149658"/>
            <w:r w:rsidRPr="00EE518D">
              <w:rPr>
                <w:rFonts w:ascii="Calibri" w:hAnsi="Calibri" w:cs="Calibri"/>
                <w:color w:val="FFFFFF"/>
                <w:sz w:val="16"/>
                <w:szCs w:val="16"/>
              </w:rPr>
              <w:t> </w:t>
            </w:r>
          </w:p>
        </w:tc>
        <w:tc>
          <w:tcPr>
            <w:tcW w:w="630" w:type="dxa"/>
            <w:shd w:val="clear" w:color="auto" w:fill="4472C4"/>
            <w:noWrap/>
            <w:vAlign w:val="bottom"/>
            <w:hideMark/>
          </w:tcPr>
          <w:p w14:paraId="319D8941" w14:textId="77777777" w:rsidR="00EE518D" w:rsidRPr="00EE518D" w:rsidRDefault="00EE518D" w:rsidP="00EE518D">
            <w:pPr>
              <w:rPr>
                <w:rFonts w:ascii="Calibri" w:hAnsi="Calibri" w:cs="Calibri"/>
                <w:color w:val="FFFFFF"/>
                <w:sz w:val="16"/>
                <w:szCs w:val="16"/>
              </w:rPr>
            </w:pPr>
            <w:r w:rsidRPr="00EE518D">
              <w:rPr>
                <w:rFonts w:ascii="Calibri" w:hAnsi="Calibri" w:cs="Calibri"/>
                <w:color w:val="FFFFFF"/>
                <w:sz w:val="16"/>
                <w:szCs w:val="16"/>
              </w:rPr>
              <w:t xml:space="preserve"> DTA </w:t>
            </w:r>
          </w:p>
        </w:tc>
        <w:tc>
          <w:tcPr>
            <w:tcW w:w="900" w:type="dxa"/>
            <w:shd w:val="clear" w:color="auto" w:fill="4472C4"/>
            <w:vAlign w:val="bottom"/>
            <w:hideMark/>
          </w:tcPr>
          <w:p w14:paraId="03A74FA5" w14:textId="77777777" w:rsidR="00EE518D" w:rsidRPr="00EE518D" w:rsidRDefault="00EE518D" w:rsidP="00EE518D">
            <w:pPr>
              <w:rPr>
                <w:rFonts w:ascii="Calibri" w:hAnsi="Calibri" w:cs="Calibri"/>
                <w:color w:val="FFFFFF"/>
                <w:sz w:val="16"/>
                <w:szCs w:val="16"/>
              </w:rPr>
            </w:pPr>
            <w:r w:rsidRPr="00EE518D">
              <w:rPr>
                <w:rFonts w:ascii="Calibri" w:hAnsi="Calibri" w:cs="Calibri"/>
                <w:color w:val="FFFFFF"/>
                <w:sz w:val="16"/>
                <w:szCs w:val="16"/>
              </w:rPr>
              <w:t xml:space="preserve">Valuation Allowance </w:t>
            </w:r>
          </w:p>
        </w:tc>
        <w:tc>
          <w:tcPr>
            <w:tcW w:w="1080" w:type="dxa"/>
            <w:shd w:val="clear" w:color="auto" w:fill="4472C4"/>
            <w:vAlign w:val="bottom"/>
            <w:hideMark/>
          </w:tcPr>
          <w:p w14:paraId="44A715ED" w14:textId="77777777" w:rsidR="00EE518D" w:rsidRPr="00EE518D" w:rsidRDefault="00EE518D" w:rsidP="00EE518D">
            <w:pPr>
              <w:rPr>
                <w:rFonts w:ascii="Calibri" w:hAnsi="Calibri" w:cs="Calibri"/>
                <w:color w:val="FFFFFF"/>
                <w:sz w:val="16"/>
                <w:szCs w:val="16"/>
              </w:rPr>
            </w:pPr>
            <w:r w:rsidRPr="00EE518D">
              <w:rPr>
                <w:rFonts w:ascii="Calibri" w:hAnsi="Calibri" w:cs="Calibri"/>
                <w:color w:val="FFFFFF"/>
                <w:sz w:val="16"/>
                <w:szCs w:val="16"/>
              </w:rPr>
              <w:t xml:space="preserve">Not Recoverable Within 3 Years </w:t>
            </w:r>
          </w:p>
        </w:tc>
        <w:tc>
          <w:tcPr>
            <w:tcW w:w="990" w:type="dxa"/>
            <w:shd w:val="clear" w:color="auto" w:fill="4472C4"/>
            <w:vAlign w:val="bottom"/>
            <w:hideMark/>
          </w:tcPr>
          <w:p w14:paraId="59010CA6" w14:textId="77777777" w:rsidR="00EE518D" w:rsidRPr="00EE518D" w:rsidRDefault="00EE518D" w:rsidP="00EE518D">
            <w:pPr>
              <w:rPr>
                <w:rFonts w:ascii="Calibri" w:hAnsi="Calibri" w:cs="Calibri"/>
                <w:color w:val="FFFFFF"/>
                <w:sz w:val="16"/>
                <w:szCs w:val="16"/>
              </w:rPr>
            </w:pPr>
            <w:r w:rsidRPr="00EE518D">
              <w:rPr>
                <w:rFonts w:ascii="Calibri" w:hAnsi="Calibri" w:cs="Calibri"/>
                <w:color w:val="FFFFFF"/>
                <w:sz w:val="16"/>
                <w:szCs w:val="16"/>
              </w:rPr>
              <w:t>Regular DTA Admitted Standalone</w:t>
            </w:r>
          </w:p>
        </w:tc>
        <w:tc>
          <w:tcPr>
            <w:tcW w:w="720" w:type="dxa"/>
            <w:shd w:val="clear" w:color="auto" w:fill="4472C4"/>
            <w:vAlign w:val="bottom"/>
            <w:hideMark/>
          </w:tcPr>
          <w:p w14:paraId="184F1732" w14:textId="77777777" w:rsidR="00EE518D" w:rsidRPr="00EE518D" w:rsidRDefault="00EE518D" w:rsidP="00EE518D">
            <w:pPr>
              <w:rPr>
                <w:rFonts w:ascii="Calibri" w:hAnsi="Calibri" w:cs="Calibri"/>
                <w:color w:val="FFFFFF"/>
                <w:sz w:val="16"/>
                <w:szCs w:val="16"/>
              </w:rPr>
            </w:pPr>
            <w:r w:rsidRPr="00EE518D">
              <w:rPr>
                <w:rFonts w:ascii="Calibri" w:hAnsi="Calibri" w:cs="Calibri"/>
                <w:color w:val="FFFFFF"/>
                <w:sz w:val="16"/>
                <w:szCs w:val="16"/>
              </w:rPr>
              <w:t>Impact of Consol. DTA and VA</w:t>
            </w:r>
          </w:p>
        </w:tc>
        <w:tc>
          <w:tcPr>
            <w:tcW w:w="900" w:type="dxa"/>
            <w:shd w:val="clear" w:color="auto" w:fill="4472C4"/>
            <w:vAlign w:val="bottom"/>
            <w:hideMark/>
          </w:tcPr>
          <w:p w14:paraId="2D39994E" w14:textId="77777777" w:rsidR="00EE518D" w:rsidRPr="00EE518D" w:rsidRDefault="00EE518D" w:rsidP="00EE518D">
            <w:pPr>
              <w:rPr>
                <w:rFonts w:ascii="Calibri" w:hAnsi="Calibri" w:cs="Calibri"/>
                <w:color w:val="FFFFFF"/>
                <w:sz w:val="16"/>
                <w:szCs w:val="16"/>
              </w:rPr>
            </w:pPr>
            <w:r w:rsidRPr="00EE518D">
              <w:rPr>
                <w:rFonts w:ascii="Calibri" w:hAnsi="Calibri" w:cs="Calibri"/>
                <w:color w:val="FFFFFF"/>
                <w:sz w:val="16"/>
                <w:szCs w:val="16"/>
              </w:rPr>
              <w:t>Admitted DTA under 11bi</w:t>
            </w:r>
          </w:p>
        </w:tc>
        <w:tc>
          <w:tcPr>
            <w:tcW w:w="900" w:type="dxa"/>
            <w:shd w:val="clear" w:color="auto" w:fill="4472C4"/>
            <w:vAlign w:val="bottom"/>
            <w:hideMark/>
          </w:tcPr>
          <w:p w14:paraId="15BB0B66" w14:textId="77777777" w:rsidR="00EE518D" w:rsidRPr="00EE518D" w:rsidRDefault="00EE518D" w:rsidP="00EE518D">
            <w:pPr>
              <w:rPr>
                <w:rFonts w:ascii="Calibri" w:hAnsi="Calibri" w:cs="Calibri"/>
                <w:color w:val="FFFFFF"/>
                <w:sz w:val="16"/>
                <w:szCs w:val="16"/>
              </w:rPr>
            </w:pPr>
            <w:r w:rsidRPr="00EE518D">
              <w:rPr>
                <w:rFonts w:ascii="Calibri" w:hAnsi="Calibri" w:cs="Calibri"/>
                <w:color w:val="FFFFFF"/>
                <w:sz w:val="16"/>
                <w:szCs w:val="16"/>
              </w:rPr>
              <w:t>15% surplus limitation under 11bii</w:t>
            </w:r>
          </w:p>
        </w:tc>
        <w:tc>
          <w:tcPr>
            <w:tcW w:w="1080" w:type="dxa"/>
            <w:shd w:val="clear" w:color="auto" w:fill="4472C4"/>
            <w:vAlign w:val="bottom"/>
            <w:hideMark/>
          </w:tcPr>
          <w:p w14:paraId="43B0F529" w14:textId="77777777" w:rsidR="00EE518D" w:rsidRPr="00EE518D" w:rsidRDefault="00EE518D" w:rsidP="00EE518D">
            <w:pPr>
              <w:ind w:left="76"/>
              <w:rPr>
                <w:rFonts w:ascii="Calibri" w:hAnsi="Calibri" w:cs="Calibri"/>
                <w:color w:val="FFFFFF"/>
                <w:sz w:val="16"/>
                <w:szCs w:val="16"/>
              </w:rPr>
            </w:pPr>
            <w:r w:rsidRPr="00EE518D">
              <w:rPr>
                <w:rFonts w:ascii="Calibri" w:hAnsi="Calibri" w:cs="Calibri"/>
                <w:color w:val="FFFFFF"/>
                <w:sz w:val="16"/>
                <w:szCs w:val="16"/>
              </w:rPr>
              <w:t>Non-admitted DTAs</w:t>
            </w:r>
          </w:p>
        </w:tc>
      </w:tr>
      <w:tr w:rsidR="00EE518D" w:rsidRPr="00EE518D" w14:paraId="57F69DB9" w14:textId="77777777">
        <w:trPr>
          <w:trHeight w:val="300"/>
        </w:trPr>
        <w:tc>
          <w:tcPr>
            <w:tcW w:w="2340" w:type="dxa"/>
            <w:tcBorders>
              <w:top w:val="single" w:sz="4" w:space="0" w:color="auto"/>
              <w:left w:val="single" w:sz="4" w:space="0" w:color="auto"/>
              <w:bottom w:val="single" w:sz="4" w:space="0" w:color="auto"/>
              <w:right w:val="single" w:sz="4" w:space="0" w:color="auto"/>
            </w:tcBorders>
            <w:shd w:val="clear" w:color="auto" w:fill="D9E1F2"/>
            <w:noWrap/>
            <w:vAlign w:val="bottom"/>
            <w:hideMark/>
          </w:tcPr>
          <w:p w14:paraId="5A9449F3" w14:textId="77777777" w:rsidR="00EE518D" w:rsidRPr="00EE518D" w:rsidRDefault="00EE518D" w:rsidP="00EE518D">
            <w:pPr>
              <w:rPr>
                <w:rFonts w:ascii="Calibri" w:hAnsi="Calibri" w:cs="Calibri"/>
                <w:color w:val="000000"/>
                <w:sz w:val="18"/>
                <w:szCs w:val="18"/>
              </w:rPr>
            </w:pPr>
            <w:r w:rsidRPr="00EE518D">
              <w:rPr>
                <w:rFonts w:ascii="Calibri" w:hAnsi="Calibri" w:cs="Calibri"/>
                <w:color w:val="000000"/>
                <w:sz w:val="18"/>
                <w:szCs w:val="18"/>
              </w:rPr>
              <w:t xml:space="preserve">DTAs </w:t>
            </w:r>
          </w:p>
        </w:tc>
        <w:tc>
          <w:tcPr>
            <w:tcW w:w="630" w:type="dxa"/>
            <w:tcBorders>
              <w:top w:val="single" w:sz="4" w:space="0" w:color="auto"/>
              <w:left w:val="nil"/>
              <w:bottom w:val="single" w:sz="4" w:space="0" w:color="auto"/>
              <w:right w:val="single" w:sz="4" w:space="0" w:color="auto"/>
            </w:tcBorders>
            <w:shd w:val="clear" w:color="auto" w:fill="D9E1F2"/>
            <w:noWrap/>
            <w:vAlign w:val="bottom"/>
            <w:hideMark/>
          </w:tcPr>
          <w:p w14:paraId="05E5C406" w14:textId="77777777" w:rsidR="00EE518D" w:rsidRPr="00EE518D" w:rsidRDefault="00EE518D" w:rsidP="00EE518D">
            <w:pPr>
              <w:jc w:val="right"/>
              <w:rPr>
                <w:rFonts w:ascii="Calibri" w:hAnsi="Calibri" w:cs="Calibri"/>
                <w:color w:val="000000"/>
                <w:sz w:val="18"/>
                <w:szCs w:val="18"/>
              </w:rPr>
            </w:pPr>
            <w:r w:rsidRPr="00EE518D">
              <w:rPr>
                <w:rFonts w:ascii="Calibri" w:hAnsi="Calibri" w:cs="Calibri"/>
                <w:color w:val="000000"/>
                <w:sz w:val="18"/>
                <w:szCs w:val="18"/>
              </w:rPr>
              <w:t>240</w:t>
            </w:r>
          </w:p>
        </w:tc>
        <w:tc>
          <w:tcPr>
            <w:tcW w:w="900" w:type="dxa"/>
            <w:tcBorders>
              <w:top w:val="single" w:sz="4" w:space="0" w:color="auto"/>
              <w:left w:val="nil"/>
              <w:bottom w:val="single" w:sz="4" w:space="0" w:color="auto"/>
              <w:right w:val="single" w:sz="4" w:space="0" w:color="auto"/>
            </w:tcBorders>
            <w:shd w:val="clear" w:color="auto" w:fill="D9E1F2"/>
            <w:noWrap/>
            <w:vAlign w:val="bottom"/>
            <w:hideMark/>
          </w:tcPr>
          <w:p w14:paraId="5A9DDE5D" w14:textId="77777777" w:rsidR="00EE518D" w:rsidRPr="00EE518D" w:rsidRDefault="00EE518D" w:rsidP="00EE518D">
            <w:pPr>
              <w:jc w:val="right"/>
              <w:rPr>
                <w:rFonts w:ascii="Calibri" w:hAnsi="Calibri" w:cs="Calibri"/>
                <w:color w:val="000000"/>
                <w:sz w:val="18"/>
                <w:szCs w:val="18"/>
              </w:rPr>
            </w:pPr>
          </w:p>
          <w:p w14:paraId="75687ADC" w14:textId="77777777" w:rsidR="00EE518D" w:rsidRPr="00EE518D" w:rsidRDefault="00EE518D" w:rsidP="00EE518D">
            <w:pPr>
              <w:jc w:val="right"/>
              <w:rPr>
                <w:rFonts w:ascii="Calibri" w:hAnsi="Calibri" w:cs="Calibri"/>
                <w:color w:val="000000"/>
                <w:sz w:val="18"/>
                <w:szCs w:val="18"/>
              </w:rPr>
            </w:pPr>
            <w:r w:rsidRPr="00EE518D">
              <w:rPr>
                <w:rFonts w:ascii="Calibri" w:hAnsi="Calibri" w:cs="Calibri"/>
                <w:color w:val="000000"/>
                <w:sz w:val="18"/>
                <w:szCs w:val="18"/>
              </w:rPr>
              <w:t> -40</w:t>
            </w:r>
          </w:p>
          <w:p w14:paraId="443E4B66" w14:textId="77777777" w:rsidR="00EE518D" w:rsidRPr="00EE518D" w:rsidRDefault="00EE518D" w:rsidP="00EE518D">
            <w:pPr>
              <w:jc w:val="right"/>
              <w:rPr>
                <w:rFonts w:ascii="Calibri" w:hAnsi="Calibri" w:cs="Calibri"/>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D9E1F2"/>
            <w:noWrap/>
            <w:vAlign w:val="bottom"/>
            <w:hideMark/>
          </w:tcPr>
          <w:p w14:paraId="24DF5D1A" w14:textId="77777777" w:rsidR="00EE518D" w:rsidRPr="00EE518D" w:rsidRDefault="00EE518D" w:rsidP="00EE518D">
            <w:pPr>
              <w:jc w:val="right"/>
              <w:rPr>
                <w:rFonts w:ascii="Calibri" w:hAnsi="Calibri" w:cs="Calibri"/>
                <w:color w:val="000000"/>
                <w:sz w:val="18"/>
                <w:szCs w:val="18"/>
              </w:rPr>
            </w:pPr>
            <w:r w:rsidRPr="00EE518D">
              <w:rPr>
                <w:rFonts w:ascii="Calibri" w:hAnsi="Calibri" w:cs="Calibri"/>
                <w:color w:val="000000"/>
                <w:sz w:val="18"/>
                <w:szCs w:val="18"/>
              </w:rPr>
              <w:t>-50</w:t>
            </w:r>
          </w:p>
        </w:tc>
        <w:tc>
          <w:tcPr>
            <w:tcW w:w="990" w:type="dxa"/>
            <w:tcBorders>
              <w:top w:val="single" w:sz="4" w:space="0" w:color="auto"/>
              <w:left w:val="nil"/>
              <w:bottom w:val="single" w:sz="4" w:space="0" w:color="auto"/>
              <w:right w:val="single" w:sz="4" w:space="0" w:color="auto"/>
            </w:tcBorders>
            <w:shd w:val="clear" w:color="auto" w:fill="D9E1F2"/>
            <w:noWrap/>
            <w:vAlign w:val="bottom"/>
            <w:hideMark/>
          </w:tcPr>
          <w:p w14:paraId="28036824" w14:textId="77777777" w:rsidR="00EE518D" w:rsidRPr="00EE518D" w:rsidRDefault="00EE518D" w:rsidP="00EE518D">
            <w:pPr>
              <w:jc w:val="right"/>
              <w:rPr>
                <w:rFonts w:ascii="Calibri" w:hAnsi="Calibri" w:cs="Calibri"/>
                <w:color w:val="000000"/>
                <w:sz w:val="18"/>
                <w:szCs w:val="18"/>
              </w:rPr>
            </w:pPr>
            <w:r w:rsidRPr="00EE518D">
              <w:rPr>
                <w:rFonts w:ascii="Calibri" w:hAnsi="Calibri" w:cs="Calibri"/>
                <w:color w:val="000000"/>
                <w:sz w:val="18"/>
                <w:szCs w:val="18"/>
              </w:rPr>
              <w:t>150</w:t>
            </w:r>
          </w:p>
        </w:tc>
        <w:tc>
          <w:tcPr>
            <w:tcW w:w="720" w:type="dxa"/>
            <w:tcBorders>
              <w:top w:val="single" w:sz="4" w:space="0" w:color="auto"/>
              <w:left w:val="nil"/>
              <w:bottom w:val="single" w:sz="4" w:space="0" w:color="auto"/>
              <w:right w:val="single" w:sz="4" w:space="0" w:color="auto"/>
            </w:tcBorders>
            <w:shd w:val="clear" w:color="auto" w:fill="D9E1F2"/>
            <w:noWrap/>
            <w:vAlign w:val="bottom"/>
            <w:hideMark/>
          </w:tcPr>
          <w:p w14:paraId="25BF01AD" w14:textId="77777777" w:rsidR="00EE518D" w:rsidRPr="00EE518D" w:rsidRDefault="00EE518D" w:rsidP="00EE518D">
            <w:pPr>
              <w:rPr>
                <w:rFonts w:ascii="Calibri" w:hAnsi="Calibri" w:cs="Calibri"/>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D9E1F2"/>
            <w:noWrap/>
            <w:vAlign w:val="bottom"/>
            <w:hideMark/>
          </w:tcPr>
          <w:p w14:paraId="2BB00019" w14:textId="77777777" w:rsidR="00EE518D" w:rsidRPr="00EE518D" w:rsidRDefault="00EE518D" w:rsidP="00EE518D">
            <w:pPr>
              <w:ind w:hanging="107"/>
              <w:jc w:val="right"/>
              <w:rPr>
                <w:rFonts w:ascii="Calibri" w:hAnsi="Calibri" w:cs="Calibri"/>
                <w:color w:val="000000"/>
                <w:sz w:val="18"/>
                <w:szCs w:val="18"/>
              </w:rPr>
            </w:pPr>
            <w:r w:rsidRPr="00EE518D">
              <w:rPr>
                <w:rFonts w:ascii="Calibri" w:hAnsi="Calibri" w:cs="Calibri"/>
                <w:color w:val="000000"/>
                <w:sz w:val="18"/>
                <w:szCs w:val="18"/>
              </w:rPr>
              <w:t>150</w:t>
            </w:r>
          </w:p>
        </w:tc>
        <w:tc>
          <w:tcPr>
            <w:tcW w:w="900" w:type="dxa"/>
            <w:tcBorders>
              <w:top w:val="single" w:sz="4" w:space="0" w:color="auto"/>
              <w:left w:val="nil"/>
              <w:bottom w:val="single" w:sz="4" w:space="0" w:color="auto"/>
              <w:right w:val="single" w:sz="4" w:space="0" w:color="auto"/>
            </w:tcBorders>
            <w:shd w:val="clear" w:color="auto" w:fill="D9E1F2"/>
            <w:noWrap/>
            <w:vAlign w:val="bottom"/>
            <w:hideMark/>
          </w:tcPr>
          <w:p w14:paraId="1A00860B" w14:textId="77777777" w:rsidR="00EE518D" w:rsidRPr="00EE518D" w:rsidRDefault="00EE518D" w:rsidP="00EE518D">
            <w:pPr>
              <w:rPr>
                <w:rFonts w:ascii="Calibri" w:hAnsi="Calibri" w:cs="Calibri"/>
                <w:color w:val="000000"/>
                <w:sz w:val="18"/>
                <w:szCs w:val="18"/>
              </w:rPr>
            </w:pPr>
            <w:r w:rsidRPr="00EE518D">
              <w:rPr>
                <w:rFonts w:ascii="Calibri" w:hAnsi="Calibri"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auto" w:fill="D9E1F2"/>
            <w:noWrap/>
            <w:vAlign w:val="bottom"/>
            <w:hideMark/>
          </w:tcPr>
          <w:p w14:paraId="21230800" w14:textId="77777777" w:rsidR="00EE518D" w:rsidRPr="00EE518D" w:rsidRDefault="00EE518D" w:rsidP="00EE518D">
            <w:pPr>
              <w:jc w:val="right"/>
              <w:rPr>
                <w:rFonts w:ascii="Calibri" w:hAnsi="Calibri" w:cs="Calibri"/>
                <w:color w:val="000000"/>
                <w:sz w:val="18"/>
                <w:szCs w:val="18"/>
              </w:rPr>
            </w:pPr>
            <w:r w:rsidRPr="00EE518D">
              <w:rPr>
                <w:rFonts w:ascii="Calibri" w:hAnsi="Calibri" w:cs="Calibri"/>
                <w:color w:val="000000"/>
                <w:sz w:val="18"/>
                <w:szCs w:val="18"/>
              </w:rPr>
              <w:t>50</w:t>
            </w:r>
          </w:p>
        </w:tc>
      </w:tr>
      <w:tr w:rsidR="00EE518D" w:rsidRPr="00EE518D" w14:paraId="6D388EF7" w14:textId="77777777">
        <w:trPr>
          <w:trHeight w:val="315"/>
        </w:trPr>
        <w:tc>
          <w:tcPr>
            <w:tcW w:w="2340" w:type="dxa"/>
            <w:tcBorders>
              <w:top w:val="nil"/>
              <w:left w:val="single" w:sz="4" w:space="0" w:color="auto"/>
              <w:bottom w:val="single" w:sz="4" w:space="0" w:color="auto"/>
              <w:right w:val="single" w:sz="4" w:space="0" w:color="auto"/>
            </w:tcBorders>
            <w:noWrap/>
            <w:vAlign w:val="bottom"/>
            <w:hideMark/>
          </w:tcPr>
          <w:p w14:paraId="2B0DA51D" w14:textId="77777777" w:rsidR="00EE518D" w:rsidRPr="00EE518D" w:rsidRDefault="00EE518D" w:rsidP="00EE518D">
            <w:pPr>
              <w:rPr>
                <w:rFonts w:ascii="Calibri" w:hAnsi="Calibri" w:cs="Calibri"/>
                <w:color w:val="000000"/>
                <w:sz w:val="18"/>
                <w:szCs w:val="18"/>
              </w:rPr>
            </w:pPr>
            <w:r w:rsidRPr="00EE518D">
              <w:rPr>
                <w:rFonts w:ascii="Calibri" w:hAnsi="Calibri" w:cs="Calibri"/>
                <w:color w:val="000000"/>
                <w:sz w:val="18"/>
                <w:szCs w:val="18"/>
              </w:rPr>
              <w:t>CAMT credit DTA (excluded)</w:t>
            </w:r>
          </w:p>
        </w:tc>
        <w:tc>
          <w:tcPr>
            <w:tcW w:w="630" w:type="dxa"/>
            <w:tcBorders>
              <w:top w:val="single" w:sz="4" w:space="0" w:color="auto"/>
              <w:left w:val="nil"/>
              <w:bottom w:val="single" w:sz="4" w:space="0" w:color="auto"/>
              <w:right w:val="single" w:sz="4" w:space="0" w:color="auto"/>
            </w:tcBorders>
            <w:noWrap/>
            <w:vAlign w:val="bottom"/>
            <w:hideMark/>
          </w:tcPr>
          <w:p w14:paraId="45841A62" w14:textId="77777777" w:rsidR="00EE518D" w:rsidRPr="00EE518D" w:rsidRDefault="00EE518D" w:rsidP="00EE518D">
            <w:pPr>
              <w:jc w:val="right"/>
              <w:rPr>
                <w:rFonts w:ascii="Calibri" w:hAnsi="Calibri" w:cs="Calibri"/>
                <w:color w:val="000000"/>
                <w:sz w:val="18"/>
                <w:szCs w:val="18"/>
                <w:u w:val="single"/>
              </w:rPr>
            </w:pPr>
            <w:r w:rsidRPr="00EE518D">
              <w:rPr>
                <w:rFonts w:ascii="Calibri" w:hAnsi="Calibri" w:cs="Calibri"/>
                <w:color w:val="000000"/>
                <w:sz w:val="18"/>
                <w:szCs w:val="18"/>
                <w:u w:val="single"/>
              </w:rPr>
              <w:t>50</w:t>
            </w:r>
          </w:p>
        </w:tc>
        <w:tc>
          <w:tcPr>
            <w:tcW w:w="900" w:type="dxa"/>
            <w:tcBorders>
              <w:top w:val="single" w:sz="4" w:space="0" w:color="auto"/>
              <w:left w:val="nil"/>
              <w:bottom w:val="single" w:sz="4" w:space="0" w:color="auto"/>
              <w:right w:val="single" w:sz="4" w:space="0" w:color="auto"/>
            </w:tcBorders>
            <w:noWrap/>
            <w:vAlign w:val="bottom"/>
          </w:tcPr>
          <w:p w14:paraId="77F4FB10" w14:textId="77777777" w:rsidR="00EE518D" w:rsidRPr="00EE518D" w:rsidRDefault="00EE518D" w:rsidP="00EE518D">
            <w:pPr>
              <w:jc w:val="right"/>
              <w:rPr>
                <w:rFonts w:ascii="Calibri" w:hAnsi="Calibri" w:cs="Calibri"/>
                <w:color w:val="000000"/>
                <w:sz w:val="18"/>
                <w:szCs w:val="18"/>
                <w:u w:val="single"/>
              </w:rPr>
            </w:pPr>
            <w:r w:rsidRPr="00EE518D">
              <w:rPr>
                <w:rFonts w:ascii="Calibri" w:hAnsi="Calibri" w:cs="Calibri"/>
                <w:color w:val="000000"/>
                <w:sz w:val="18"/>
                <w:szCs w:val="18"/>
                <w:u w:val="single"/>
              </w:rPr>
              <w:t>-20</w:t>
            </w:r>
          </w:p>
        </w:tc>
        <w:tc>
          <w:tcPr>
            <w:tcW w:w="1080" w:type="dxa"/>
            <w:tcBorders>
              <w:top w:val="single" w:sz="4" w:space="0" w:color="auto"/>
              <w:left w:val="nil"/>
              <w:bottom w:val="single" w:sz="4" w:space="0" w:color="auto"/>
              <w:right w:val="single" w:sz="4" w:space="0" w:color="auto"/>
            </w:tcBorders>
            <w:noWrap/>
            <w:vAlign w:val="bottom"/>
          </w:tcPr>
          <w:p w14:paraId="0C50905F" w14:textId="77777777" w:rsidR="00EE518D" w:rsidRPr="00EE518D" w:rsidRDefault="00EE518D" w:rsidP="00EE518D">
            <w:pPr>
              <w:jc w:val="right"/>
              <w:rPr>
                <w:rFonts w:ascii="Calibri" w:hAnsi="Calibri" w:cs="Calibri"/>
                <w:color w:val="000000"/>
                <w:sz w:val="18"/>
                <w:szCs w:val="18"/>
                <w:u w:val="single"/>
              </w:rPr>
            </w:pPr>
            <w:r w:rsidRPr="00EE518D">
              <w:rPr>
                <w:rFonts w:ascii="Calibri" w:hAnsi="Calibri" w:cs="Calibri"/>
                <w:color w:val="000000"/>
                <w:sz w:val="18"/>
                <w:szCs w:val="18"/>
                <w:u w:val="single"/>
              </w:rPr>
              <w:t>0</w:t>
            </w:r>
          </w:p>
        </w:tc>
        <w:tc>
          <w:tcPr>
            <w:tcW w:w="990" w:type="dxa"/>
            <w:tcBorders>
              <w:top w:val="single" w:sz="4" w:space="0" w:color="auto"/>
              <w:left w:val="nil"/>
              <w:bottom w:val="single" w:sz="4" w:space="0" w:color="auto"/>
              <w:right w:val="single" w:sz="4" w:space="0" w:color="auto"/>
            </w:tcBorders>
            <w:noWrap/>
            <w:vAlign w:val="bottom"/>
          </w:tcPr>
          <w:p w14:paraId="09BF5439" w14:textId="77777777" w:rsidR="00EE518D" w:rsidRPr="00EE518D" w:rsidRDefault="00EE518D" w:rsidP="00EE518D">
            <w:pPr>
              <w:rPr>
                <w:rFonts w:ascii="Calibri" w:hAnsi="Calibri" w:cs="Calibri"/>
                <w:color w:val="000000"/>
                <w:sz w:val="18"/>
                <w:szCs w:val="18"/>
                <w:u w:val="single"/>
              </w:rPr>
            </w:pPr>
          </w:p>
        </w:tc>
        <w:tc>
          <w:tcPr>
            <w:tcW w:w="720" w:type="dxa"/>
            <w:tcBorders>
              <w:top w:val="single" w:sz="4" w:space="0" w:color="auto"/>
              <w:left w:val="nil"/>
              <w:bottom w:val="single" w:sz="4" w:space="0" w:color="auto"/>
              <w:right w:val="single" w:sz="4" w:space="0" w:color="auto"/>
            </w:tcBorders>
            <w:noWrap/>
            <w:vAlign w:val="bottom"/>
          </w:tcPr>
          <w:p w14:paraId="0C0EBBAB" w14:textId="77777777" w:rsidR="00EE518D" w:rsidRPr="00EE518D" w:rsidRDefault="00EE518D" w:rsidP="00EE518D">
            <w:pPr>
              <w:jc w:val="right"/>
              <w:rPr>
                <w:rFonts w:ascii="Calibri" w:hAnsi="Calibri" w:cs="Calibri"/>
                <w:color w:val="000000"/>
                <w:sz w:val="18"/>
                <w:szCs w:val="18"/>
                <w:u w:val="single"/>
              </w:rPr>
            </w:pPr>
            <w:r w:rsidRPr="00EE518D">
              <w:rPr>
                <w:rFonts w:ascii="Calibri" w:hAnsi="Calibri" w:cs="Calibri"/>
                <w:color w:val="000000"/>
                <w:sz w:val="18"/>
                <w:szCs w:val="18"/>
                <w:u w:val="single"/>
              </w:rPr>
              <w:t>30</w:t>
            </w:r>
          </w:p>
        </w:tc>
        <w:tc>
          <w:tcPr>
            <w:tcW w:w="900" w:type="dxa"/>
            <w:tcBorders>
              <w:top w:val="single" w:sz="4" w:space="0" w:color="auto"/>
              <w:left w:val="nil"/>
              <w:bottom w:val="single" w:sz="4" w:space="0" w:color="auto"/>
              <w:right w:val="single" w:sz="4" w:space="0" w:color="auto"/>
            </w:tcBorders>
            <w:noWrap/>
            <w:vAlign w:val="bottom"/>
          </w:tcPr>
          <w:p w14:paraId="2C424200" w14:textId="77777777" w:rsidR="00EE518D" w:rsidRPr="00EE518D" w:rsidRDefault="00EE518D" w:rsidP="00EE518D">
            <w:pPr>
              <w:jc w:val="right"/>
              <w:rPr>
                <w:rFonts w:ascii="Calibri" w:hAnsi="Calibri" w:cs="Calibri"/>
                <w:color w:val="000000"/>
                <w:sz w:val="18"/>
                <w:szCs w:val="18"/>
                <w:u w:val="single"/>
              </w:rPr>
            </w:pPr>
            <w:r w:rsidRPr="00EE518D">
              <w:rPr>
                <w:rFonts w:ascii="Calibri" w:hAnsi="Calibri" w:cs="Calibri"/>
                <w:color w:val="000000"/>
                <w:sz w:val="18"/>
                <w:szCs w:val="18"/>
                <w:u w:val="single"/>
              </w:rPr>
              <w:t>30</w:t>
            </w:r>
          </w:p>
        </w:tc>
        <w:tc>
          <w:tcPr>
            <w:tcW w:w="900" w:type="dxa"/>
            <w:tcBorders>
              <w:top w:val="single" w:sz="4" w:space="0" w:color="auto"/>
              <w:left w:val="nil"/>
              <w:bottom w:val="single" w:sz="4" w:space="0" w:color="auto"/>
              <w:right w:val="single" w:sz="4" w:space="0" w:color="auto"/>
            </w:tcBorders>
            <w:noWrap/>
            <w:vAlign w:val="bottom"/>
            <w:hideMark/>
          </w:tcPr>
          <w:p w14:paraId="04EABA4B" w14:textId="77777777" w:rsidR="00EE518D" w:rsidRPr="00EE518D" w:rsidRDefault="00EE518D" w:rsidP="00EE518D">
            <w:pPr>
              <w:rPr>
                <w:rFonts w:ascii="Calibri" w:hAnsi="Calibri" w:cs="Calibri"/>
                <w:color w:val="000000"/>
                <w:sz w:val="18"/>
                <w:szCs w:val="18"/>
                <w:u w:val="single"/>
              </w:rPr>
            </w:pPr>
            <w:r w:rsidRPr="00EE518D">
              <w:rPr>
                <w:rFonts w:ascii="Calibri" w:hAnsi="Calibri" w:cs="Calibri"/>
                <w:color w:val="000000"/>
                <w:sz w:val="18"/>
                <w:szCs w:val="18"/>
                <w:u w:val="single"/>
              </w:rPr>
              <w:t> </w:t>
            </w:r>
          </w:p>
        </w:tc>
        <w:tc>
          <w:tcPr>
            <w:tcW w:w="1080" w:type="dxa"/>
            <w:tcBorders>
              <w:top w:val="single" w:sz="4" w:space="0" w:color="auto"/>
              <w:left w:val="nil"/>
              <w:bottom w:val="single" w:sz="4" w:space="0" w:color="auto"/>
              <w:right w:val="single" w:sz="4" w:space="0" w:color="auto"/>
            </w:tcBorders>
            <w:noWrap/>
            <w:vAlign w:val="bottom"/>
            <w:hideMark/>
          </w:tcPr>
          <w:p w14:paraId="3BF97CE1" w14:textId="77777777" w:rsidR="00EE518D" w:rsidRPr="00EE518D" w:rsidRDefault="00EE518D" w:rsidP="00EE518D">
            <w:pPr>
              <w:rPr>
                <w:rFonts w:ascii="Calibri" w:hAnsi="Calibri" w:cs="Calibri"/>
                <w:color w:val="000000"/>
                <w:sz w:val="18"/>
                <w:szCs w:val="18"/>
                <w:u w:val="single"/>
              </w:rPr>
            </w:pPr>
            <w:r w:rsidRPr="00EE518D">
              <w:rPr>
                <w:rFonts w:ascii="Calibri" w:hAnsi="Calibri" w:cs="Calibri"/>
                <w:color w:val="000000"/>
                <w:sz w:val="18"/>
                <w:szCs w:val="18"/>
                <w:u w:val="single"/>
              </w:rPr>
              <w:t> </w:t>
            </w:r>
          </w:p>
        </w:tc>
      </w:tr>
      <w:tr w:rsidR="00EE518D" w:rsidRPr="00EE518D" w14:paraId="74B039AB" w14:textId="77777777">
        <w:trPr>
          <w:trHeight w:val="250"/>
        </w:trPr>
        <w:tc>
          <w:tcPr>
            <w:tcW w:w="2340" w:type="dxa"/>
            <w:tcBorders>
              <w:top w:val="nil"/>
              <w:left w:val="single" w:sz="4" w:space="0" w:color="auto"/>
              <w:bottom w:val="single" w:sz="4" w:space="0" w:color="auto"/>
              <w:right w:val="single" w:sz="4" w:space="0" w:color="auto"/>
            </w:tcBorders>
            <w:shd w:val="clear" w:color="auto" w:fill="D9E1F2"/>
            <w:noWrap/>
            <w:vAlign w:val="bottom"/>
            <w:hideMark/>
          </w:tcPr>
          <w:p w14:paraId="2DD181A8" w14:textId="77777777" w:rsidR="00EE518D" w:rsidRPr="00EE518D" w:rsidRDefault="00EE518D" w:rsidP="00EE518D">
            <w:pPr>
              <w:rPr>
                <w:rFonts w:ascii="Calibri" w:hAnsi="Calibri" w:cs="Calibri"/>
                <w:b/>
                <w:bCs/>
                <w:color w:val="000000"/>
                <w:sz w:val="18"/>
                <w:szCs w:val="18"/>
              </w:rPr>
            </w:pPr>
            <w:r w:rsidRPr="00EE518D">
              <w:rPr>
                <w:rFonts w:ascii="Calibri" w:hAnsi="Calibri" w:cs="Calibri"/>
                <w:b/>
                <w:bCs/>
                <w:color w:val="000000"/>
                <w:sz w:val="18"/>
                <w:szCs w:val="18"/>
              </w:rPr>
              <w:t xml:space="preserve">totals </w:t>
            </w:r>
          </w:p>
        </w:tc>
        <w:tc>
          <w:tcPr>
            <w:tcW w:w="630" w:type="dxa"/>
            <w:tcBorders>
              <w:top w:val="single" w:sz="4" w:space="0" w:color="auto"/>
              <w:left w:val="nil"/>
              <w:bottom w:val="single" w:sz="4" w:space="0" w:color="auto"/>
              <w:right w:val="single" w:sz="4" w:space="0" w:color="auto"/>
            </w:tcBorders>
            <w:shd w:val="clear" w:color="auto" w:fill="D9E1F2"/>
            <w:noWrap/>
            <w:vAlign w:val="bottom"/>
            <w:hideMark/>
          </w:tcPr>
          <w:p w14:paraId="5967E179" w14:textId="77777777" w:rsidR="00EE518D" w:rsidRPr="00EE518D" w:rsidRDefault="00EE518D" w:rsidP="00EE518D">
            <w:pPr>
              <w:jc w:val="right"/>
              <w:rPr>
                <w:rFonts w:ascii="Calibri" w:hAnsi="Calibri" w:cs="Calibri"/>
                <w:b/>
                <w:bCs/>
                <w:color w:val="000000"/>
                <w:sz w:val="18"/>
                <w:szCs w:val="18"/>
              </w:rPr>
            </w:pPr>
            <w:r w:rsidRPr="00EE518D">
              <w:rPr>
                <w:rFonts w:ascii="Calibri" w:hAnsi="Calibri" w:cs="Calibri"/>
                <w:b/>
                <w:bCs/>
                <w:color w:val="000000"/>
                <w:sz w:val="18"/>
                <w:szCs w:val="18"/>
              </w:rPr>
              <w:t>290</w:t>
            </w:r>
          </w:p>
        </w:tc>
        <w:tc>
          <w:tcPr>
            <w:tcW w:w="900" w:type="dxa"/>
            <w:tcBorders>
              <w:top w:val="single" w:sz="4" w:space="0" w:color="auto"/>
              <w:left w:val="nil"/>
              <w:bottom w:val="single" w:sz="4" w:space="0" w:color="auto"/>
              <w:right w:val="single" w:sz="4" w:space="0" w:color="auto"/>
            </w:tcBorders>
            <w:shd w:val="clear" w:color="auto" w:fill="D9E1F2"/>
            <w:noWrap/>
            <w:vAlign w:val="bottom"/>
            <w:hideMark/>
          </w:tcPr>
          <w:p w14:paraId="0141B7D3" w14:textId="77777777" w:rsidR="00EE518D" w:rsidRPr="00EE518D" w:rsidRDefault="00EE518D" w:rsidP="00EE518D">
            <w:pPr>
              <w:jc w:val="right"/>
              <w:rPr>
                <w:rFonts w:ascii="Calibri" w:hAnsi="Calibri" w:cs="Calibri"/>
                <w:b/>
                <w:bCs/>
                <w:color w:val="000000"/>
                <w:sz w:val="18"/>
                <w:szCs w:val="18"/>
              </w:rPr>
            </w:pPr>
            <w:r w:rsidRPr="00EE518D">
              <w:rPr>
                <w:rFonts w:ascii="Calibri" w:hAnsi="Calibri" w:cs="Calibri"/>
                <w:b/>
                <w:bCs/>
                <w:color w:val="000000"/>
                <w:sz w:val="18"/>
                <w:szCs w:val="18"/>
              </w:rPr>
              <w:t>-60</w:t>
            </w:r>
          </w:p>
        </w:tc>
        <w:tc>
          <w:tcPr>
            <w:tcW w:w="1080" w:type="dxa"/>
            <w:tcBorders>
              <w:top w:val="single" w:sz="4" w:space="0" w:color="auto"/>
              <w:left w:val="nil"/>
              <w:bottom w:val="single" w:sz="4" w:space="0" w:color="auto"/>
              <w:right w:val="single" w:sz="4" w:space="0" w:color="auto"/>
            </w:tcBorders>
            <w:shd w:val="clear" w:color="auto" w:fill="D9E1F2"/>
            <w:noWrap/>
            <w:vAlign w:val="bottom"/>
            <w:hideMark/>
          </w:tcPr>
          <w:p w14:paraId="5135DD76" w14:textId="77777777" w:rsidR="00EE518D" w:rsidRPr="00EE518D" w:rsidRDefault="00EE518D" w:rsidP="00EE518D">
            <w:pPr>
              <w:jc w:val="right"/>
              <w:rPr>
                <w:rFonts w:ascii="Calibri" w:hAnsi="Calibri" w:cs="Calibri"/>
                <w:b/>
                <w:bCs/>
                <w:color w:val="000000"/>
                <w:sz w:val="18"/>
                <w:szCs w:val="18"/>
              </w:rPr>
            </w:pPr>
            <w:r w:rsidRPr="00EE518D">
              <w:rPr>
                <w:rFonts w:ascii="Calibri" w:hAnsi="Calibri" w:cs="Calibri"/>
                <w:b/>
                <w:bCs/>
                <w:color w:val="000000"/>
                <w:sz w:val="18"/>
                <w:szCs w:val="18"/>
              </w:rPr>
              <w:t>-50</w:t>
            </w:r>
          </w:p>
        </w:tc>
        <w:tc>
          <w:tcPr>
            <w:tcW w:w="990" w:type="dxa"/>
            <w:tcBorders>
              <w:top w:val="single" w:sz="4" w:space="0" w:color="auto"/>
              <w:left w:val="nil"/>
              <w:bottom w:val="single" w:sz="4" w:space="0" w:color="auto"/>
              <w:right w:val="single" w:sz="4" w:space="0" w:color="auto"/>
            </w:tcBorders>
            <w:shd w:val="clear" w:color="auto" w:fill="D9E1F2"/>
            <w:noWrap/>
            <w:vAlign w:val="bottom"/>
            <w:hideMark/>
          </w:tcPr>
          <w:p w14:paraId="1A7DE079" w14:textId="77777777" w:rsidR="00EE518D" w:rsidRPr="00EE518D" w:rsidRDefault="00EE518D" w:rsidP="00EE518D">
            <w:pPr>
              <w:jc w:val="right"/>
              <w:rPr>
                <w:rFonts w:ascii="Calibri" w:hAnsi="Calibri" w:cs="Calibri"/>
                <w:b/>
                <w:bCs/>
                <w:color w:val="000000"/>
                <w:sz w:val="18"/>
                <w:szCs w:val="18"/>
              </w:rPr>
            </w:pPr>
            <w:r w:rsidRPr="00EE518D">
              <w:rPr>
                <w:rFonts w:ascii="Calibri" w:hAnsi="Calibri" w:cs="Calibri"/>
                <w:b/>
                <w:bCs/>
                <w:color w:val="000000"/>
                <w:sz w:val="18"/>
                <w:szCs w:val="18"/>
              </w:rPr>
              <w:t>150</w:t>
            </w:r>
          </w:p>
        </w:tc>
        <w:tc>
          <w:tcPr>
            <w:tcW w:w="720" w:type="dxa"/>
            <w:tcBorders>
              <w:top w:val="single" w:sz="4" w:space="0" w:color="auto"/>
              <w:left w:val="nil"/>
              <w:bottom w:val="single" w:sz="4" w:space="0" w:color="auto"/>
              <w:right w:val="single" w:sz="4" w:space="0" w:color="auto"/>
            </w:tcBorders>
            <w:shd w:val="clear" w:color="auto" w:fill="D9E1F2"/>
            <w:noWrap/>
            <w:vAlign w:val="bottom"/>
            <w:hideMark/>
          </w:tcPr>
          <w:p w14:paraId="6A193069" w14:textId="77777777" w:rsidR="00EE518D" w:rsidRPr="00EE518D" w:rsidRDefault="00EE518D" w:rsidP="00EE518D">
            <w:pPr>
              <w:jc w:val="right"/>
              <w:rPr>
                <w:rFonts w:ascii="Calibri" w:hAnsi="Calibri" w:cs="Calibri"/>
                <w:b/>
                <w:bCs/>
                <w:color w:val="000000"/>
                <w:sz w:val="18"/>
                <w:szCs w:val="18"/>
              </w:rPr>
            </w:pPr>
            <w:r w:rsidRPr="00EE518D">
              <w:rPr>
                <w:rFonts w:ascii="Calibri" w:hAnsi="Calibri" w:cs="Calibri"/>
                <w:b/>
                <w:bCs/>
                <w:color w:val="000000"/>
                <w:sz w:val="18"/>
                <w:szCs w:val="18"/>
              </w:rPr>
              <w:t>30</w:t>
            </w:r>
          </w:p>
        </w:tc>
        <w:tc>
          <w:tcPr>
            <w:tcW w:w="90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63631DA9" w14:textId="77777777" w:rsidR="00EE518D" w:rsidRPr="00EE518D" w:rsidRDefault="00EE518D" w:rsidP="00EE518D">
            <w:pPr>
              <w:jc w:val="right"/>
              <w:rPr>
                <w:rFonts w:ascii="Calibri" w:hAnsi="Calibri" w:cs="Calibri"/>
                <w:b/>
                <w:bCs/>
                <w:color w:val="000000"/>
                <w:sz w:val="18"/>
                <w:szCs w:val="18"/>
              </w:rPr>
            </w:pPr>
            <w:r w:rsidRPr="00EE518D">
              <w:rPr>
                <w:noProof/>
              </w:rPr>
              <mc:AlternateContent>
                <mc:Choice Requires="wps">
                  <w:drawing>
                    <wp:anchor distT="0" distB="0" distL="114300" distR="114300" simplePos="0" relativeHeight="251658241" behindDoc="0" locked="0" layoutInCell="1" allowOverlap="1" wp14:anchorId="63DE813F" wp14:editId="0649F2D4">
                      <wp:simplePos x="0" y="0"/>
                      <wp:positionH relativeFrom="column">
                        <wp:posOffset>58420</wp:posOffset>
                      </wp:positionH>
                      <wp:positionV relativeFrom="paragraph">
                        <wp:posOffset>-15875</wp:posOffset>
                      </wp:positionV>
                      <wp:extent cx="468630" cy="235585"/>
                      <wp:effectExtent l="0" t="0" r="26670" b="12065"/>
                      <wp:wrapNone/>
                      <wp:docPr id="780243518" name="Oval 780243518"/>
                      <wp:cNvGraphicFramePr/>
                      <a:graphic xmlns:a="http://schemas.openxmlformats.org/drawingml/2006/main">
                        <a:graphicData uri="http://schemas.microsoft.com/office/word/2010/wordprocessingShape">
                          <wps:wsp>
                            <wps:cNvSpPr/>
                            <wps:spPr>
                              <a:xfrm>
                                <a:off x="0" y="0"/>
                                <a:ext cx="468630" cy="235585"/>
                              </a:xfrm>
                              <a:prstGeom prst="ellipse">
                                <a:avLst/>
                              </a:prstGeom>
                              <a:noFill/>
                              <a:ln w="25400" cap="flat" cmpd="sng" algn="ctr">
                                <a:solidFill>
                                  <a:srgbClr val="4BACC6"/>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oval w14:anchorId="10501CF0" id="Oval 1" o:spid="_x0000_s1026" style="position:absolute;margin-left:4.6pt;margin-top:-1.25pt;width:36.9pt;height:1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" filled="f" strokecolor="#4bacc6" strokeweight="2pt"/>
                  </w:pict>
                </mc:Fallback>
              </mc:AlternateContent>
            </w:r>
            <w:r w:rsidRPr="00EE518D">
              <w:rPr>
                <w:rFonts w:ascii="Calibri" w:hAnsi="Calibri" w:cs="Calibri"/>
                <w:b/>
                <w:bCs/>
                <w:color w:val="000000"/>
                <w:sz w:val="18"/>
                <w:szCs w:val="18"/>
              </w:rPr>
              <w:t>180</w:t>
            </w:r>
          </w:p>
        </w:tc>
        <w:tc>
          <w:tcPr>
            <w:tcW w:w="90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6C75BD59" w14:textId="77777777" w:rsidR="00EE518D" w:rsidRPr="00EE518D" w:rsidRDefault="00EE518D" w:rsidP="00EE518D">
            <w:pPr>
              <w:jc w:val="right"/>
              <w:rPr>
                <w:rFonts w:ascii="Calibri" w:hAnsi="Calibri" w:cs="Calibri"/>
                <w:b/>
                <w:bCs/>
                <w:color w:val="000000"/>
                <w:sz w:val="18"/>
                <w:szCs w:val="18"/>
              </w:rPr>
            </w:pPr>
            <w:r w:rsidRPr="00EE518D">
              <w:rPr>
                <w:rFonts w:ascii="Calibri" w:hAnsi="Calibri" w:cs="Calibri"/>
                <w:b/>
                <w:bCs/>
                <w:color w:val="000000"/>
                <w:sz w:val="18"/>
                <w:szCs w:val="18"/>
              </w:rPr>
              <w:t>300</w:t>
            </w:r>
          </w:p>
        </w:tc>
        <w:tc>
          <w:tcPr>
            <w:tcW w:w="1080" w:type="dxa"/>
            <w:tcBorders>
              <w:top w:val="single" w:sz="4" w:space="0" w:color="auto"/>
              <w:left w:val="nil"/>
              <w:bottom w:val="single" w:sz="4" w:space="0" w:color="auto"/>
              <w:right w:val="single" w:sz="4" w:space="0" w:color="auto"/>
            </w:tcBorders>
            <w:shd w:val="clear" w:color="auto" w:fill="D9E1F2"/>
            <w:noWrap/>
            <w:vAlign w:val="bottom"/>
            <w:hideMark/>
          </w:tcPr>
          <w:p w14:paraId="7BEE012E" w14:textId="77777777" w:rsidR="00EE518D" w:rsidRPr="00EE518D" w:rsidRDefault="00EE518D" w:rsidP="00EE518D">
            <w:pPr>
              <w:jc w:val="right"/>
              <w:rPr>
                <w:rFonts w:ascii="Calibri" w:hAnsi="Calibri" w:cs="Calibri"/>
                <w:b/>
                <w:bCs/>
                <w:color w:val="000000"/>
                <w:sz w:val="18"/>
                <w:szCs w:val="18"/>
              </w:rPr>
            </w:pPr>
            <w:r w:rsidRPr="00EE518D">
              <w:rPr>
                <w:rFonts w:ascii="Calibri" w:hAnsi="Calibri" w:cs="Calibri"/>
                <w:b/>
                <w:bCs/>
                <w:color w:val="000000"/>
                <w:sz w:val="18"/>
                <w:szCs w:val="18"/>
              </w:rPr>
              <w:t>50</w:t>
            </w:r>
          </w:p>
        </w:tc>
      </w:tr>
      <w:bookmarkEnd w:id="9"/>
    </w:tbl>
    <w:p w14:paraId="27A14DFB" w14:textId="77777777" w:rsidR="00EE518D" w:rsidRPr="00EE518D" w:rsidRDefault="00EE518D" w:rsidP="00EE518D">
      <w:pPr>
        <w:jc w:val="both"/>
        <w:rPr>
          <w:color w:val="FF0000"/>
          <w:highlight w:val="yellow"/>
        </w:rPr>
      </w:pPr>
    </w:p>
    <w:p w14:paraId="207A28A1" w14:textId="6439ACB5" w:rsidR="00EE518D" w:rsidRPr="00EE518D" w:rsidRDefault="00EE518D" w:rsidP="00EE518D">
      <w:pPr>
        <w:jc w:val="both"/>
        <w:rPr>
          <w:b/>
          <w:bCs/>
          <w:sz w:val="22"/>
          <w:szCs w:val="22"/>
        </w:rPr>
      </w:pPr>
      <w:r w:rsidRPr="00EE518D">
        <w:rPr>
          <w:b/>
          <w:bCs/>
          <w:sz w:val="22"/>
          <w:szCs w:val="22"/>
        </w:rPr>
        <w:t>Example 2. Applicable entity, that meets level 2 on the</w:t>
      </w:r>
      <w:r w:rsidRPr="00EE518D">
        <w:rPr>
          <w:rFonts w:cs="Calibri"/>
          <w:b/>
          <w:bCs/>
          <w:sz w:val="22"/>
          <w:szCs w:val="22"/>
        </w:rPr>
        <w:t xml:space="preserve"> </w:t>
      </w:r>
      <w:r w:rsidR="00C3172F">
        <w:rPr>
          <w:rFonts w:cs="Calibri"/>
          <w:b/>
          <w:bCs/>
          <w:sz w:val="22"/>
          <w:szCs w:val="22"/>
        </w:rPr>
        <w:t>relevant</w:t>
      </w:r>
      <w:r w:rsidRPr="00EE518D">
        <w:rPr>
          <w:rFonts w:cs="Calibri"/>
          <w:b/>
          <w:bCs/>
          <w:sz w:val="22"/>
          <w:szCs w:val="22"/>
        </w:rPr>
        <w:t xml:space="preserve"> SSAP No. 101, paragraph 11.b. Realization Threshold Limitation table</w:t>
      </w:r>
      <w:r w:rsidRPr="00EE518D">
        <w:rPr>
          <w:b/>
          <w:bCs/>
          <w:sz w:val="22"/>
          <w:szCs w:val="22"/>
        </w:rPr>
        <w:t xml:space="preserve"> (Ex.-</w:t>
      </w:r>
      <w:r w:rsidR="00631ABF">
        <w:rPr>
          <w:b/>
          <w:bCs/>
          <w:sz w:val="22"/>
          <w:szCs w:val="22"/>
        </w:rPr>
        <w:t>1</w:t>
      </w:r>
      <w:r w:rsidR="00631ABF" w:rsidRPr="00EE518D">
        <w:rPr>
          <w:b/>
          <w:bCs/>
          <w:sz w:val="22"/>
          <w:szCs w:val="22"/>
        </w:rPr>
        <w:t xml:space="preserve"> </w:t>
      </w:r>
      <w:r w:rsidRPr="00EE518D">
        <w:rPr>
          <w:b/>
          <w:bCs/>
          <w:sz w:val="22"/>
          <w:szCs w:val="22"/>
        </w:rPr>
        <w:t>year 10%).</w:t>
      </w:r>
    </w:p>
    <w:p w14:paraId="0975743F" w14:textId="77777777" w:rsidR="00EE518D" w:rsidRPr="00EE518D" w:rsidRDefault="00EE518D" w:rsidP="00EE518D">
      <w:pPr>
        <w:jc w:val="both"/>
        <w:rPr>
          <w:b/>
          <w:bCs/>
          <w:sz w:val="22"/>
          <w:szCs w:val="22"/>
          <w:u w:val="single"/>
        </w:rPr>
      </w:pPr>
    </w:p>
    <w:p w14:paraId="79F93A7F" w14:textId="77777777" w:rsidR="00EE518D" w:rsidRPr="00EE518D" w:rsidRDefault="00EE518D" w:rsidP="004D3FB4">
      <w:pPr>
        <w:pStyle w:val="ListNumber"/>
        <w:tabs>
          <w:tab w:val="clear" w:pos="360"/>
        </w:tabs>
        <w:spacing w:after="220"/>
        <w:ind w:left="0" w:firstLine="0"/>
        <w:jc w:val="both"/>
        <w:rPr>
          <w:rFonts w:cs="Calibri"/>
          <w:sz w:val="22"/>
          <w:szCs w:val="22"/>
        </w:rPr>
      </w:pPr>
      <w:r w:rsidRPr="00EE518D">
        <w:rPr>
          <w:rFonts w:cs="Calibri"/>
          <w:sz w:val="22"/>
          <w:szCs w:val="22"/>
        </w:rPr>
        <w:t xml:space="preserve">The basic facts above apply with the following additional information: </w:t>
      </w:r>
    </w:p>
    <w:p w14:paraId="427B8132" w14:textId="13A39AC3" w:rsidR="00EE518D" w:rsidRPr="00EE518D" w:rsidRDefault="00EE518D" w:rsidP="00255BBA">
      <w:pPr>
        <w:numPr>
          <w:ilvl w:val="0"/>
          <w:numId w:val="19"/>
        </w:numPr>
        <w:ind w:left="1440" w:hanging="720"/>
        <w:jc w:val="both"/>
        <w:rPr>
          <w:rFonts w:cs="Calibri"/>
          <w:sz w:val="22"/>
          <w:szCs w:val="22"/>
        </w:rPr>
      </w:pPr>
      <w:r w:rsidRPr="00EE518D">
        <w:rPr>
          <w:rFonts w:cs="Calibri"/>
          <w:sz w:val="22"/>
          <w:szCs w:val="22"/>
        </w:rPr>
        <w:t>For</w:t>
      </w:r>
      <w:r w:rsidRPr="00EE518D">
        <w:rPr>
          <w:sz w:val="22"/>
          <w:szCs w:val="22"/>
        </w:rPr>
        <w:t xml:space="preserve"> 20</w:t>
      </w:r>
      <w:r w:rsidR="001914B1">
        <w:rPr>
          <w:sz w:val="22"/>
          <w:szCs w:val="22"/>
        </w:rPr>
        <w:t>x</w:t>
      </w:r>
      <w:r w:rsidRPr="00EE518D">
        <w:rPr>
          <w:sz w:val="22"/>
          <w:szCs w:val="22"/>
        </w:rPr>
        <w:t xml:space="preserve">3, the reporting entity meets the second line of the applicable realization threshold limitation in SSAP No. 101, paragraph 11.b. for use of a </w:t>
      </w:r>
      <w:r w:rsidR="00631ABF">
        <w:rPr>
          <w:sz w:val="22"/>
          <w:szCs w:val="22"/>
        </w:rPr>
        <w:t>1</w:t>
      </w:r>
      <w:r w:rsidRPr="00EE518D">
        <w:rPr>
          <w:sz w:val="22"/>
          <w:szCs w:val="22"/>
        </w:rPr>
        <w:t xml:space="preserve">-year applicable period and the limitation of capital and surplus is 10%. </w:t>
      </w:r>
      <w:r w:rsidR="00255BBA">
        <w:rPr>
          <w:sz w:val="22"/>
          <w:szCs w:val="22"/>
        </w:rPr>
        <w:t>Pursuant</w:t>
      </w:r>
      <w:r w:rsidR="001F2529">
        <w:rPr>
          <w:sz w:val="22"/>
          <w:szCs w:val="22"/>
        </w:rPr>
        <w:t xml:space="preserve"> to </w:t>
      </w:r>
      <w:r w:rsidR="00255BBA">
        <w:rPr>
          <w:sz w:val="22"/>
          <w:szCs w:val="22"/>
        </w:rPr>
        <w:t>paragraph 32 of this interpretation</w:t>
      </w:r>
      <w:r w:rsidRPr="00EE518D">
        <w:rPr>
          <w:sz w:val="22"/>
          <w:szCs w:val="22"/>
        </w:rPr>
        <w:t>,</w:t>
      </w:r>
      <w:r w:rsidR="001914B1">
        <w:rPr>
          <w:sz w:val="22"/>
          <w:szCs w:val="22"/>
        </w:rPr>
        <w:t xml:space="preserve"> the</w:t>
      </w:r>
      <w:r w:rsidRPr="00EE518D">
        <w:rPr>
          <w:sz w:val="22"/>
          <w:szCs w:val="22"/>
        </w:rPr>
        <w:t xml:space="preserve"> reporting entity would have to also apply</w:t>
      </w:r>
      <w:r w:rsidR="00231F3A">
        <w:rPr>
          <w:sz w:val="22"/>
          <w:szCs w:val="22"/>
        </w:rPr>
        <w:t xml:space="preserve"> the</w:t>
      </w:r>
      <w:r w:rsidRPr="00EE518D">
        <w:rPr>
          <w:sz w:val="22"/>
          <w:szCs w:val="22"/>
        </w:rPr>
        <w:t xml:space="preserve"> with and without calculation of the determination of the impact of the CAMT on the realization of DTAs. </w:t>
      </w:r>
    </w:p>
    <w:p w14:paraId="68E9A41F" w14:textId="77777777" w:rsidR="00EE518D" w:rsidRPr="00EE518D" w:rsidRDefault="00EE518D" w:rsidP="00255BBA">
      <w:pPr>
        <w:ind w:left="1440" w:hanging="720"/>
        <w:jc w:val="both"/>
        <w:rPr>
          <w:sz w:val="22"/>
          <w:szCs w:val="22"/>
        </w:rPr>
      </w:pPr>
    </w:p>
    <w:p w14:paraId="29E4D88D" w14:textId="0CE114AD" w:rsidR="00EE518D" w:rsidRPr="004E7FE2" w:rsidRDefault="00EE518D">
      <w:pPr>
        <w:numPr>
          <w:ilvl w:val="0"/>
          <w:numId w:val="19"/>
        </w:numPr>
        <w:ind w:left="1440" w:hanging="720"/>
        <w:jc w:val="both"/>
        <w:rPr>
          <w:sz w:val="22"/>
          <w:szCs w:val="22"/>
        </w:rPr>
      </w:pPr>
      <w:r w:rsidRPr="004E7FE2">
        <w:rPr>
          <w:sz w:val="22"/>
          <w:szCs w:val="22"/>
        </w:rPr>
        <w:t>The consolidated group of which</w:t>
      </w:r>
      <w:r w:rsidR="001A0503" w:rsidRPr="004E7FE2">
        <w:rPr>
          <w:sz w:val="22"/>
          <w:szCs w:val="22"/>
        </w:rPr>
        <w:t xml:space="preserve"> the</w:t>
      </w:r>
      <w:r w:rsidRPr="004E7FE2">
        <w:rPr>
          <w:sz w:val="22"/>
          <w:szCs w:val="22"/>
        </w:rPr>
        <w:t xml:space="preserve"> reporting entity is a member expects to incur CAMT in </w:t>
      </w:r>
      <w:r w:rsidR="006635F1" w:rsidRPr="004E7FE2">
        <w:rPr>
          <w:sz w:val="22"/>
          <w:szCs w:val="22"/>
        </w:rPr>
        <w:t>20x</w:t>
      </w:r>
      <w:r w:rsidR="006635F1">
        <w:rPr>
          <w:sz w:val="22"/>
          <w:szCs w:val="22"/>
        </w:rPr>
        <w:t>4</w:t>
      </w:r>
      <w:r w:rsidRPr="004E7FE2">
        <w:rPr>
          <w:sz w:val="22"/>
          <w:szCs w:val="22"/>
        </w:rPr>
        <w:t>, of which $10 is expected to be allocated under the TSA to reporting entity. The</w:t>
      </w:r>
      <w:r w:rsidR="00255BBA" w:rsidRPr="004E7FE2">
        <w:rPr>
          <w:sz w:val="22"/>
          <w:szCs w:val="22"/>
        </w:rPr>
        <w:t xml:space="preserve"> </w:t>
      </w:r>
      <w:r w:rsidRPr="004E7FE2">
        <w:rPr>
          <w:sz w:val="22"/>
          <w:szCs w:val="22"/>
        </w:rPr>
        <w:t xml:space="preserve">reporting </w:t>
      </w:r>
      <w:r w:rsidR="00DF4CE5" w:rsidRPr="004E7FE2">
        <w:rPr>
          <w:sz w:val="22"/>
          <w:szCs w:val="22"/>
        </w:rPr>
        <w:t>entity reduces</w:t>
      </w:r>
      <w:r w:rsidRPr="004E7FE2">
        <w:rPr>
          <w:sz w:val="22"/>
          <w:szCs w:val="22"/>
        </w:rPr>
        <w:t xml:space="preserve"> its $150x of regular tax admitted </w:t>
      </w:r>
      <w:r w:rsidR="00AE3462" w:rsidRPr="004E7FE2">
        <w:rPr>
          <w:sz w:val="22"/>
          <w:szCs w:val="22"/>
        </w:rPr>
        <w:t xml:space="preserve">adjusted gross </w:t>
      </w:r>
      <w:r w:rsidRPr="004E7FE2">
        <w:rPr>
          <w:sz w:val="22"/>
          <w:szCs w:val="22"/>
        </w:rPr>
        <w:t xml:space="preserve">DTAs </w:t>
      </w:r>
      <w:r w:rsidR="002F5E05" w:rsidRPr="004E7FE2">
        <w:rPr>
          <w:sz w:val="22"/>
          <w:szCs w:val="22"/>
        </w:rPr>
        <w:t>by its</w:t>
      </w:r>
      <w:r w:rsidRPr="004E7FE2">
        <w:rPr>
          <w:sz w:val="22"/>
          <w:szCs w:val="22"/>
        </w:rPr>
        <w:t xml:space="preserve"> $10x share of the consolidated CAMT expected to be incurred in </w:t>
      </w:r>
      <w:r w:rsidR="006635F1" w:rsidRPr="004E7FE2">
        <w:rPr>
          <w:sz w:val="22"/>
          <w:szCs w:val="22"/>
        </w:rPr>
        <w:t>20x</w:t>
      </w:r>
      <w:r w:rsidR="006635F1">
        <w:rPr>
          <w:sz w:val="22"/>
          <w:szCs w:val="22"/>
        </w:rPr>
        <w:t>4</w:t>
      </w:r>
      <w:r w:rsidRPr="004E7FE2">
        <w:rPr>
          <w:sz w:val="22"/>
          <w:szCs w:val="22"/>
        </w:rPr>
        <w:t xml:space="preserve">. </w:t>
      </w:r>
    </w:p>
    <w:p w14:paraId="41BF8E92" w14:textId="77777777" w:rsidR="00AE3462" w:rsidRPr="00EE518D" w:rsidRDefault="00AE3462" w:rsidP="00AE3462">
      <w:pPr>
        <w:ind w:left="1080"/>
        <w:jc w:val="both"/>
        <w:rPr>
          <w:sz w:val="22"/>
          <w:szCs w:val="22"/>
        </w:rPr>
      </w:pPr>
    </w:p>
    <w:p w14:paraId="556711B3" w14:textId="33E4D6E6" w:rsidR="00DF4CE5" w:rsidRPr="004119B1" w:rsidRDefault="00EE518D" w:rsidP="00DF4CE5">
      <w:pPr>
        <w:pStyle w:val="ListNumber"/>
        <w:tabs>
          <w:tab w:val="clear" w:pos="360"/>
        </w:tabs>
        <w:spacing w:after="220"/>
        <w:ind w:left="0" w:firstLine="0"/>
        <w:jc w:val="both"/>
        <w:rPr>
          <w:sz w:val="22"/>
          <w:szCs w:val="22"/>
        </w:rPr>
      </w:pPr>
      <w:r w:rsidRPr="00AD2287">
        <w:rPr>
          <w:sz w:val="22"/>
          <w:szCs w:val="22"/>
          <w:shd w:val="clear" w:color="auto" w:fill="FFFFFF" w:themeFill="background1"/>
        </w:rPr>
        <w:t>The reporting entities admitted DTA would be $</w:t>
      </w:r>
      <w:r w:rsidR="0024268F" w:rsidRPr="00AD2287">
        <w:rPr>
          <w:sz w:val="22"/>
          <w:szCs w:val="22"/>
          <w:shd w:val="clear" w:color="auto" w:fill="FFFFFF" w:themeFill="background1"/>
        </w:rPr>
        <w:t>1</w:t>
      </w:r>
      <w:r w:rsidR="0024268F">
        <w:rPr>
          <w:sz w:val="22"/>
          <w:szCs w:val="22"/>
          <w:shd w:val="clear" w:color="auto" w:fill="FFFFFF" w:themeFill="background1"/>
        </w:rPr>
        <w:t>40</w:t>
      </w:r>
      <w:r w:rsidR="0024268F" w:rsidRPr="00AD2287">
        <w:rPr>
          <w:sz w:val="22"/>
          <w:szCs w:val="22"/>
          <w:shd w:val="clear" w:color="auto" w:fill="FFFFFF" w:themeFill="background1"/>
        </w:rPr>
        <w:t>x</w:t>
      </w:r>
      <w:r w:rsidRPr="00AD2287">
        <w:rPr>
          <w:sz w:val="22"/>
          <w:szCs w:val="22"/>
          <w:shd w:val="clear" w:color="auto" w:fill="FFFFFF" w:themeFill="background1"/>
        </w:rPr>
        <w:t>.</w:t>
      </w:r>
      <w:r w:rsidRPr="00AD2287">
        <w:rPr>
          <w:sz w:val="22"/>
          <w:szCs w:val="22"/>
        </w:rPr>
        <w:t xml:space="preserve"> </w:t>
      </w:r>
      <w:r w:rsidR="00AE3462" w:rsidRPr="008B19F7">
        <w:rPr>
          <w:sz w:val="22"/>
          <w:szCs w:val="22"/>
        </w:rPr>
        <w:t>The result</w:t>
      </w:r>
      <w:r w:rsidR="00AE3462" w:rsidRPr="00EE518D">
        <w:rPr>
          <w:sz w:val="22"/>
          <w:szCs w:val="22"/>
        </w:rPr>
        <w:t xml:space="preserve"> is an </w:t>
      </w:r>
      <w:r w:rsidR="00AA0ED5" w:rsidRPr="004119B1">
        <w:rPr>
          <w:sz w:val="22"/>
          <w:szCs w:val="22"/>
        </w:rPr>
        <w:t xml:space="preserve">adjusted </w:t>
      </w:r>
      <w:r w:rsidR="00645231" w:rsidRPr="004119B1">
        <w:rPr>
          <w:sz w:val="22"/>
          <w:szCs w:val="22"/>
        </w:rPr>
        <w:t>gross</w:t>
      </w:r>
      <w:r w:rsidR="00DF4CE5" w:rsidRPr="004119B1">
        <w:rPr>
          <w:sz w:val="22"/>
          <w:szCs w:val="22"/>
        </w:rPr>
        <w:t xml:space="preserve"> regular</w:t>
      </w:r>
      <w:r w:rsidR="00E93C7E" w:rsidRPr="004119B1">
        <w:rPr>
          <w:sz w:val="22"/>
          <w:szCs w:val="22"/>
        </w:rPr>
        <w:t xml:space="preserve"> </w:t>
      </w:r>
      <w:r w:rsidR="00AE3462" w:rsidRPr="00EE518D">
        <w:rPr>
          <w:sz w:val="22"/>
          <w:szCs w:val="22"/>
        </w:rPr>
        <w:t>DTA of $1</w:t>
      </w:r>
      <w:r w:rsidR="00E93C7E" w:rsidRPr="004119B1">
        <w:rPr>
          <w:sz w:val="22"/>
          <w:szCs w:val="22"/>
        </w:rPr>
        <w:t>50</w:t>
      </w:r>
      <w:r w:rsidR="00AE3462" w:rsidRPr="00EE518D">
        <w:rPr>
          <w:sz w:val="22"/>
          <w:szCs w:val="22"/>
        </w:rPr>
        <w:t>x,</w:t>
      </w:r>
      <w:r w:rsidR="00F75540" w:rsidRPr="004119B1">
        <w:rPr>
          <w:sz w:val="22"/>
          <w:szCs w:val="22"/>
        </w:rPr>
        <w:t xml:space="preserve"> minus the $10 impa</w:t>
      </w:r>
      <w:r w:rsidR="00654D61" w:rsidRPr="004119B1">
        <w:rPr>
          <w:sz w:val="22"/>
          <w:szCs w:val="22"/>
        </w:rPr>
        <w:t>ct of the consolidated DTA</w:t>
      </w:r>
      <w:r w:rsidR="00EF429B">
        <w:rPr>
          <w:sz w:val="22"/>
          <w:szCs w:val="22"/>
        </w:rPr>
        <w:t xml:space="preserve"> </w:t>
      </w:r>
      <w:r w:rsidR="00654D61" w:rsidRPr="004119B1">
        <w:rPr>
          <w:sz w:val="22"/>
          <w:szCs w:val="22"/>
        </w:rPr>
        <w:t xml:space="preserve">(with and without) </w:t>
      </w:r>
      <w:r w:rsidR="007B2FB8" w:rsidRPr="004119B1">
        <w:rPr>
          <w:sz w:val="22"/>
          <w:szCs w:val="22"/>
        </w:rPr>
        <w:t>equals</w:t>
      </w:r>
      <w:r w:rsidR="00654D61" w:rsidRPr="004119B1">
        <w:rPr>
          <w:sz w:val="22"/>
          <w:szCs w:val="22"/>
        </w:rPr>
        <w:t xml:space="preserve"> 140 </w:t>
      </w:r>
      <w:r w:rsidR="007B2FB8" w:rsidRPr="004119B1">
        <w:rPr>
          <w:sz w:val="22"/>
          <w:szCs w:val="22"/>
        </w:rPr>
        <w:t>regular</w:t>
      </w:r>
      <w:r w:rsidR="00654D61" w:rsidRPr="004119B1">
        <w:rPr>
          <w:sz w:val="22"/>
          <w:szCs w:val="22"/>
        </w:rPr>
        <w:t xml:space="preserve"> DTA. </w:t>
      </w:r>
    </w:p>
    <w:p w14:paraId="130997A1" w14:textId="491809E5" w:rsidR="00EE518D" w:rsidRPr="00EE518D" w:rsidRDefault="00DF4CE5" w:rsidP="00672191">
      <w:pPr>
        <w:pStyle w:val="ListNumber"/>
        <w:tabs>
          <w:tab w:val="clear" w:pos="360"/>
        </w:tabs>
        <w:spacing w:after="220"/>
        <w:ind w:left="0" w:firstLine="0"/>
        <w:jc w:val="both"/>
        <w:rPr>
          <w:b/>
          <w:bCs/>
          <w:sz w:val="22"/>
          <w:szCs w:val="22"/>
          <w:u w:val="single"/>
        </w:rPr>
      </w:pPr>
      <w:r w:rsidRPr="004119B1">
        <w:rPr>
          <w:sz w:val="22"/>
          <w:szCs w:val="22"/>
        </w:rPr>
        <w:t>The resulting $1</w:t>
      </w:r>
      <w:r w:rsidR="008853D5">
        <w:rPr>
          <w:sz w:val="22"/>
          <w:szCs w:val="22"/>
        </w:rPr>
        <w:t>40</w:t>
      </w:r>
      <w:r w:rsidRPr="004119B1">
        <w:rPr>
          <w:sz w:val="22"/>
          <w:szCs w:val="22"/>
        </w:rPr>
        <w:t xml:space="preserve">x of </w:t>
      </w:r>
      <w:r w:rsidR="00EE518D" w:rsidRPr="004119B1">
        <w:rPr>
          <w:sz w:val="22"/>
          <w:szCs w:val="22"/>
        </w:rPr>
        <w:t xml:space="preserve">DTA admitted under paragraph 11.b.i., which is less than the $200x paragraph </w:t>
      </w:r>
      <w:r w:rsidR="005D2C85" w:rsidRPr="004119B1">
        <w:rPr>
          <w:rFonts w:cs="Calibri"/>
          <w:sz w:val="22"/>
          <w:szCs w:val="22"/>
        </w:rPr>
        <w:t>is less than the $200 10% of surplus limitation in paragraph 11bii., so it is not a limiting factor.</w:t>
      </w:r>
    </w:p>
    <w:tbl>
      <w:tblPr>
        <w:tblW w:w="9540" w:type="dxa"/>
        <w:tblLayout w:type="fixed"/>
        <w:tblLook w:val="04A0" w:firstRow="1" w:lastRow="0" w:firstColumn="1" w:lastColumn="0" w:noHBand="0" w:noVBand="1"/>
      </w:tblPr>
      <w:tblGrid>
        <w:gridCol w:w="2340"/>
        <w:gridCol w:w="630"/>
        <w:gridCol w:w="900"/>
        <w:gridCol w:w="1080"/>
        <w:gridCol w:w="990"/>
        <w:gridCol w:w="720"/>
        <w:gridCol w:w="900"/>
        <w:gridCol w:w="900"/>
        <w:gridCol w:w="1080"/>
      </w:tblGrid>
      <w:tr w:rsidR="00DF4CE5" w:rsidRPr="00EE518D" w14:paraId="2D8D5981" w14:textId="77777777">
        <w:trPr>
          <w:trHeight w:val="1200"/>
        </w:trPr>
        <w:tc>
          <w:tcPr>
            <w:tcW w:w="2340" w:type="dxa"/>
            <w:shd w:val="clear" w:color="auto" w:fill="4472C4"/>
            <w:noWrap/>
            <w:vAlign w:val="bottom"/>
            <w:hideMark/>
          </w:tcPr>
          <w:p w14:paraId="09687E0C" w14:textId="77777777" w:rsidR="00DF4CE5" w:rsidRPr="00EE518D" w:rsidRDefault="00DF4CE5">
            <w:pPr>
              <w:rPr>
                <w:rFonts w:ascii="Calibri" w:hAnsi="Calibri" w:cs="Calibri"/>
                <w:color w:val="FFFFFF"/>
                <w:sz w:val="16"/>
                <w:szCs w:val="16"/>
              </w:rPr>
            </w:pPr>
            <w:r w:rsidRPr="00EE518D">
              <w:rPr>
                <w:rFonts w:ascii="Calibri" w:hAnsi="Calibri" w:cs="Calibri"/>
                <w:color w:val="FFFFFF"/>
                <w:sz w:val="16"/>
                <w:szCs w:val="16"/>
              </w:rPr>
              <w:t> </w:t>
            </w:r>
          </w:p>
        </w:tc>
        <w:tc>
          <w:tcPr>
            <w:tcW w:w="630" w:type="dxa"/>
            <w:shd w:val="clear" w:color="auto" w:fill="4472C4"/>
            <w:noWrap/>
            <w:vAlign w:val="bottom"/>
            <w:hideMark/>
          </w:tcPr>
          <w:p w14:paraId="08B84CA8" w14:textId="77777777" w:rsidR="00DF4CE5" w:rsidRPr="00EE518D" w:rsidRDefault="00DF4CE5">
            <w:pPr>
              <w:rPr>
                <w:rFonts w:ascii="Calibri" w:hAnsi="Calibri" w:cs="Calibri"/>
                <w:color w:val="FFFFFF"/>
                <w:sz w:val="16"/>
                <w:szCs w:val="16"/>
              </w:rPr>
            </w:pPr>
            <w:r w:rsidRPr="00EE518D">
              <w:rPr>
                <w:rFonts w:ascii="Calibri" w:hAnsi="Calibri" w:cs="Calibri"/>
                <w:color w:val="FFFFFF"/>
                <w:sz w:val="16"/>
                <w:szCs w:val="16"/>
              </w:rPr>
              <w:t xml:space="preserve"> DTA </w:t>
            </w:r>
          </w:p>
        </w:tc>
        <w:tc>
          <w:tcPr>
            <w:tcW w:w="900" w:type="dxa"/>
            <w:shd w:val="clear" w:color="auto" w:fill="4472C4"/>
            <w:vAlign w:val="bottom"/>
            <w:hideMark/>
          </w:tcPr>
          <w:p w14:paraId="216188A6" w14:textId="77777777" w:rsidR="00DF4CE5" w:rsidRPr="00EE518D" w:rsidRDefault="00DF4CE5">
            <w:pPr>
              <w:rPr>
                <w:rFonts w:ascii="Calibri" w:hAnsi="Calibri" w:cs="Calibri"/>
                <w:color w:val="FFFFFF"/>
                <w:sz w:val="16"/>
                <w:szCs w:val="16"/>
              </w:rPr>
            </w:pPr>
            <w:r w:rsidRPr="00EE518D">
              <w:rPr>
                <w:rFonts w:ascii="Calibri" w:hAnsi="Calibri" w:cs="Calibri"/>
                <w:color w:val="FFFFFF"/>
                <w:sz w:val="16"/>
                <w:szCs w:val="16"/>
              </w:rPr>
              <w:t xml:space="preserve">Valuation Allowance </w:t>
            </w:r>
          </w:p>
        </w:tc>
        <w:tc>
          <w:tcPr>
            <w:tcW w:w="1080" w:type="dxa"/>
            <w:shd w:val="clear" w:color="auto" w:fill="4472C4"/>
            <w:vAlign w:val="bottom"/>
            <w:hideMark/>
          </w:tcPr>
          <w:p w14:paraId="35C403F3" w14:textId="13FCF0EE" w:rsidR="00DF4CE5" w:rsidRPr="00EE518D" w:rsidRDefault="00DF4CE5">
            <w:pPr>
              <w:rPr>
                <w:rFonts w:ascii="Calibri" w:hAnsi="Calibri" w:cs="Calibri"/>
                <w:color w:val="FFFFFF"/>
                <w:sz w:val="16"/>
                <w:szCs w:val="16"/>
              </w:rPr>
            </w:pPr>
            <w:r w:rsidRPr="00EE518D">
              <w:rPr>
                <w:rFonts w:ascii="Calibri" w:hAnsi="Calibri" w:cs="Calibri"/>
                <w:color w:val="FFFFFF"/>
                <w:sz w:val="16"/>
                <w:szCs w:val="16"/>
              </w:rPr>
              <w:t xml:space="preserve">Not Recoverable Within </w:t>
            </w:r>
            <w:r w:rsidR="003126BE">
              <w:rPr>
                <w:rFonts w:ascii="Calibri" w:hAnsi="Calibri" w:cs="Calibri"/>
                <w:color w:val="FFFFFF"/>
                <w:sz w:val="16"/>
                <w:szCs w:val="16"/>
              </w:rPr>
              <w:t>1</w:t>
            </w:r>
            <w:r w:rsidR="003126BE" w:rsidRPr="00EE518D">
              <w:rPr>
                <w:rFonts w:ascii="Calibri" w:hAnsi="Calibri" w:cs="Calibri"/>
                <w:color w:val="FFFFFF"/>
                <w:sz w:val="16"/>
                <w:szCs w:val="16"/>
              </w:rPr>
              <w:t xml:space="preserve"> </w:t>
            </w:r>
            <w:r w:rsidRPr="00EE518D">
              <w:rPr>
                <w:rFonts w:ascii="Calibri" w:hAnsi="Calibri" w:cs="Calibri"/>
                <w:color w:val="FFFFFF"/>
                <w:sz w:val="16"/>
                <w:szCs w:val="16"/>
              </w:rPr>
              <w:t xml:space="preserve">Year </w:t>
            </w:r>
          </w:p>
        </w:tc>
        <w:tc>
          <w:tcPr>
            <w:tcW w:w="990" w:type="dxa"/>
            <w:shd w:val="clear" w:color="auto" w:fill="4472C4"/>
            <w:vAlign w:val="bottom"/>
            <w:hideMark/>
          </w:tcPr>
          <w:p w14:paraId="3BD84B3B" w14:textId="77777777" w:rsidR="00DF4CE5" w:rsidRPr="00EE518D" w:rsidRDefault="00DF4CE5">
            <w:pPr>
              <w:rPr>
                <w:rFonts w:ascii="Calibri" w:hAnsi="Calibri" w:cs="Calibri"/>
                <w:color w:val="FFFFFF"/>
                <w:sz w:val="16"/>
                <w:szCs w:val="16"/>
              </w:rPr>
            </w:pPr>
            <w:r w:rsidRPr="00EE518D">
              <w:rPr>
                <w:rFonts w:ascii="Calibri" w:hAnsi="Calibri" w:cs="Calibri"/>
                <w:color w:val="FFFFFF"/>
                <w:sz w:val="16"/>
                <w:szCs w:val="16"/>
              </w:rPr>
              <w:t>Regular DTA Admitted Standalone</w:t>
            </w:r>
          </w:p>
        </w:tc>
        <w:tc>
          <w:tcPr>
            <w:tcW w:w="720" w:type="dxa"/>
            <w:shd w:val="clear" w:color="auto" w:fill="4472C4"/>
            <w:vAlign w:val="bottom"/>
            <w:hideMark/>
          </w:tcPr>
          <w:p w14:paraId="73CAFAFC" w14:textId="77777777" w:rsidR="00DF4CE5" w:rsidRPr="00EE518D" w:rsidRDefault="00DF4CE5">
            <w:pPr>
              <w:rPr>
                <w:rFonts w:ascii="Calibri" w:hAnsi="Calibri" w:cs="Calibri"/>
                <w:color w:val="FFFFFF"/>
                <w:sz w:val="16"/>
                <w:szCs w:val="16"/>
              </w:rPr>
            </w:pPr>
            <w:r w:rsidRPr="00EE518D">
              <w:rPr>
                <w:rFonts w:ascii="Calibri" w:hAnsi="Calibri" w:cs="Calibri"/>
                <w:color w:val="FFFFFF"/>
                <w:sz w:val="16"/>
                <w:szCs w:val="16"/>
              </w:rPr>
              <w:t>Impact of Consol. DTA and VA</w:t>
            </w:r>
          </w:p>
        </w:tc>
        <w:tc>
          <w:tcPr>
            <w:tcW w:w="900" w:type="dxa"/>
            <w:shd w:val="clear" w:color="auto" w:fill="4472C4"/>
            <w:vAlign w:val="bottom"/>
            <w:hideMark/>
          </w:tcPr>
          <w:p w14:paraId="4D0B8C9C" w14:textId="77777777" w:rsidR="00DF4CE5" w:rsidRPr="00EE518D" w:rsidRDefault="00DF4CE5">
            <w:pPr>
              <w:rPr>
                <w:rFonts w:ascii="Calibri" w:hAnsi="Calibri" w:cs="Calibri"/>
                <w:color w:val="FFFFFF"/>
                <w:sz w:val="16"/>
                <w:szCs w:val="16"/>
              </w:rPr>
            </w:pPr>
            <w:r w:rsidRPr="00EE518D">
              <w:rPr>
                <w:rFonts w:ascii="Calibri" w:hAnsi="Calibri" w:cs="Calibri"/>
                <w:color w:val="FFFFFF"/>
                <w:sz w:val="16"/>
                <w:szCs w:val="16"/>
              </w:rPr>
              <w:t>Admitted DTA under 11bi</w:t>
            </w:r>
          </w:p>
        </w:tc>
        <w:tc>
          <w:tcPr>
            <w:tcW w:w="900" w:type="dxa"/>
            <w:shd w:val="clear" w:color="auto" w:fill="4472C4"/>
            <w:vAlign w:val="bottom"/>
            <w:hideMark/>
          </w:tcPr>
          <w:p w14:paraId="4F1E0846" w14:textId="675249A0" w:rsidR="00DF4CE5" w:rsidRPr="00EE518D" w:rsidRDefault="00DF4CE5">
            <w:pPr>
              <w:rPr>
                <w:rFonts w:ascii="Calibri" w:hAnsi="Calibri" w:cs="Calibri"/>
                <w:color w:val="FFFFFF"/>
                <w:sz w:val="16"/>
                <w:szCs w:val="16"/>
              </w:rPr>
            </w:pPr>
            <w:r w:rsidRPr="00EE518D">
              <w:rPr>
                <w:rFonts w:ascii="Calibri" w:hAnsi="Calibri" w:cs="Calibri"/>
                <w:color w:val="FFFFFF"/>
                <w:sz w:val="16"/>
                <w:szCs w:val="16"/>
              </w:rPr>
              <w:t>1</w:t>
            </w:r>
            <w:r w:rsidR="00E01D5E">
              <w:rPr>
                <w:rFonts w:ascii="Calibri" w:hAnsi="Calibri" w:cs="Calibri"/>
                <w:color w:val="FFFFFF"/>
                <w:sz w:val="16"/>
                <w:szCs w:val="16"/>
              </w:rPr>
              <w:t>0</w:t>
            </w:r>
            <w:r w:rsidRPr="00EE518D">
              <w:rPr>
                <w:rFonts w:ascii="Calibri" w:hAnsi="Calibri" w:cs="Calibri"/>
                <w:color w:val="FFFFFF"/>
                <w:sz w:val="16"/>
                <w:szCs w:val="16"/>
              </w:rPr>
              <w:t>% surplus limitation under 11bii</w:t>
            </w:r>
          </w:p>
        </w:tc>
        <w:tc>
          <w:tcPr>
            <w:tcW w:w="1080" w:type="dxa"/>
            <w:shd w:val="clear" w:color="auto" w:fill="4472C4"/>
            <w:vAlign w:val="bottom"/>
            <w:hideMark/>
          </w:tcPr>
          <w:p w14:paraId="4E3049D5" w14:textId="77777777" w:rsidR="00DF4CE5" w:rsidRPr="00EE518D" w:rsidRDefault="00DF4CE5">
            <w:pPr>
              <w:ind w:left="76"/>
              <w:rPr>
                <w:rFonts w:ascii="Calibri" w:hAnsi="Calibri" w:cs="Calibri"/>
                <w:color w:val="FFFFFF"/>
                <w:sz w:val="16"/>
                <w:szCs w:val="16"/>
              </w:rPr>
            </w:pPr>
            <w:r w:rsidRPr="00EE518D">
              <w:rPr>
                <w:rFonts w:ascii="Calibri" w:hAnsi="Calibri" w:cs="Calibri"/>
                <w:color w:val="FFFFFF"/>
                <w:sz w:val="16"/>
                <w:szCs w:val="16"/>
              </w:rPr>
              <w:t>Non-admitted DTAs</w:t>
            </w:r>
          </w:p>
        </w:tc>
      </w:tr>
      <w:tr w:rsidR="00DF4CE5" w:rsidRPr="00EE518D" w14:paraId="7A70FDAA" w14:textId="77777777">
        <w:trPr>
          <w:trHeight w:val="300"/>
        </w:trPr>
        <w:tc>
          <w:tcPr>
            <w:tcW w:w="2340" w:type="dxa"/>
            <w:tcBorders>
              <w:top w:val="single" w:sz="4" w:space="0" w:color="auto"/>
              <w:left w:val="single" w:sz="4" w:space="0" w:color="auto"/>
              <w:bottom w:val="single" w:sz="4" w:space="0" w:color="auto"/>
              <w:right w:val="single" w:sz="4" w:space="0" w:color="auto"/>
            </w:tcBorders>
            <w:shd w:val="clear" w:color="auto" w:fill="D9E1F2"/>
            <w:noWrap/>
            <w:vAlign w:val="bottom"/>
            <w:hideMark/>
          </w:tcPr>
          <w:p w14:paraId="22AF7DA3" w14:textId="77777777" w:rsidR="00DF4CE5" w:rsidRPr="00EE518D" w:rsidRDefault="00DF4CE5">
            <w:pPr>
              <w:rPr>
                <w:rFonts w:ascii="Calibri" w:hAnsi="Calibri" w:cs="Calibri"/>
                <w:color w:val="000000"/>
                <w:sz w:val="18"/>
                <w:szCs w:val="18"/>
              </w:rPr>
            </w:pPr>
            <w:r w:rsidRPr="00EE518D">
              <w:rPr>
                <w:rFonts w:ascii="Calibri" w:hAnsi="Calibri" w:cs="Calibri"/>
                <w:color w:val="000000"/>
                <w:sz w:val="18"/>
                <w:szCs w:val="18"/>
              </w:rPr>
              <w:t xml:space="preserve">DTAs </w:t>
            </w:r>
          </w:p>
        </w:tc>
        <w:tc>
          <w:tcPr>
            <w:tcW w:w="630" w:type="dxa"/>
            <w:tcBorders>
              <w:top w:val="single" w:sz="4" w:space="0" w:color="auto"/>
              <w:left w:val="nil"/>
              <w:bottom w:val="single" w:sz="4" w:space="0" w:color="auto"/>
              <w:right w:val="single" w:sz="4" w:space="0" w:color="auto"/>
            </w:tcBorders>
            <w:shd w:val="clear" w:color="auto" w:fill="D9E1F2"/>
            <w:noWrap/>
            <w:vAlign w:val="bottom"/>
            <w:hideMark/>
          </w:tcPr>
          <w:p w14:paraId="41738C8A" w14:textId="77777777" w:rsidR="00DF4CE5" w:rsidRPr="00EE518D" w:rsidRDefault="00DF4CE5">
            <w:pPr>
              <w:jc w:val="right"/>
              <w:rPr>
                <w:rFonts w:ascii="Calibri" w:hAnsi="Calibri" w:cs="Calibri"/>
                <w:color w:val="000000"/>
                <w:sz w:val="18"/>
                <w:szCs w:val="18"/>
              </w:rPr>
            </w:pPr>
            <w:r w:rsidRPr="00EE518D">
              <w:rPr>
                <w:rFonts w:ascii="Calibri" w:hAnsi="Calibri" w:cs="Calibri"/>
                <w:color w:val="000000"/>
                <w:sz w:val="18"/>
                <w:szCs w:val="18"/>
              </w:rPr>
              <w:t>240</w:t>
            </w:r>
          </w:p>
        </w:tc>
        <w:tc>
          <w:tcPr>
            <w:tcW w:w="900" w:type="dxa"/>
            <w:tcBorders>
              <w:top w:val="single" w:sz="4" w:space="0" w:color="auto"/>
              <w:left w:val="nil"/>
              <w:bottom w:val="single" w:sz="4" w:space="0" w:color="auto"/>
              <w:right w:val="single" w:sz="4" w:space="0" w:color="auto"/>
            </w:tcBorders>
            <w:shd w:val="clear" w:color="auto" w:fill="D9E1F2"/>
            <w:noWrap/>
            <w:vAlign w:val="bottom"/>
            <w:hideMark/>
          </w:tcPr>
          <w:p w14:paraId="08E35810" w14:textId="77777777" w:rsidR="00DF4CE5" w:rsidRPr="00EE518D" w:rsidRDefault="00DF4CE5">
            <w:pPr>
              <w:jc w:val="right"/>
              <w:rPr>
                <w:rFonts w:ascii="Calibri" w:hAnsi="Calibri" w:cs="Calibri"/>
                <w:color w:val="000000"/>
                <w:sz w:val="18"/>
                <w:szCs w:val="18"/>
              </w:rPr>
            </w:pPr>
          </w:p>
          <w:p w14:paraId="14B60DB2" w14:textId="77777777" w:rsidR="00DF4CE5" w:rsidRPr="00EE518D" w:rsidRDefault="00DF4CE5">
            <w:pPr>
              <w:jc w:val="right"/>
              <w:rPr>
                <w:rFonts w:ascii="Calibri" w:hAnsi="Calibri" w:cs="Calibri"/>
                <w:color w:val="000000"/>
                <w:sz w:val="18"/>
                <w:szCs w:val="18"/>
              </w:rPr>
            </w:pPr>
            <w:r w:rsidRPr="00EE518D">
              <w:rPr>
                <w:rFonts w:ascii="Calibri" w:hAnsi="Calibri" w:cs="Calibri"/>
                <w:color w:val="000000"/>
                <w:sz w:val="18"/>
                <w:szCs w:val="18"/>
              </w:rPr>
              <w:t> -40</w:t>
            </w:r>
          </w:p>
          <w:p w14:paraId="27381BC4" w14:textId="77777777" w:rsidR="00DF4CE5" w:rsidRPr="00EE518D" w:rsidRDefault="00DF4CE5">
            <w:pPr>
              <w:jc w:val="right"/>
              <w:rPr>
                <w:rFonts w:ascii="Calibri" w:hAnsi="Calibri" w:cs="Calibri"/>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D9E1F2"/>
            <w:noWrap/>
            <w:vAlign w:val="bottom"/>
            <w:hideMark/>
          </w:tcPr>
          <w:p w14:paraId="2E8DE73A" w14:textId="77777777" w:rsidR="00DF4CE5" w:rsidRPr="00EE518D" w:rsidRDefault="00DF4CE5">
            <w:pPr>
              <w:jc w:val="right"/>
              <w:rPr>
                <w:rFonts w:ascii="Calibri" w:hAnsi="Calibri" w:cs="Calibri"/>
                <w:color w:val="000000"/>
                <w:sz w:val="18"/>
                <w:szCs w:val="18"/>
              </w:rPr>
            </w:pPr>
            <w:r w:rsidRPr="00EE518D">
              <w:rPr>
                <w:rFonts w:ascii="Calibri" w:hAnsi="Calibri" w:cs="Calibri"/>
                <w:color w:val="000000"/>
                <w:sz w:val="18"/>
                <w:szCs w:val="18"/>
              </w:rPr>
              <w:t>-50</w:t>
            </w:r>
          </w:p>
        </w:tc>
        <w:tc>
          <w:tcPr>
            <w:tcW w:w="990" w:type="dxa"/>
            <w:tcBorders>
              <w:top w:val="single" w:sz="4" w:space="0" w:color="auto"/>
              <w:left w:val="nil"/>
              <w:bottom w:val="single" w:sz="4" w:space="0" w:color="auto"/>
              <w:right w:val="single" w:sz="4" w:space="0" w:color="auto"/>
            </w:tcBorders>
            <w:shd w:val="clear" w:color="auto" w:fill="D9E1F2"/>
            <w:noWrap/>
            <w:vAlign w:val="bottom"/>
            <w:hideMark/>
          </w:tcPr>
          <w:p w14:paraId="14EC5851" w14:textId="77777777" w:rsidR="00DF4CE5" w:rsidRPr="00EE518D" w:rsidRDefault="00DF4CE5">
            <w:pPr>
              <w:jc w:val="right"/>
              <w:rPr>
                <w:rFonts w:ascii="Calibri" w:hAnsi="Calibri" w:cs="Calibri"/>
                <w:color w:val="000000"/>
                <w:sz w:val="18"/>
                <w:szCs w:val="18"/>
              </w:rPr>
            </w:pPr>
            <w:r w:rsidRPr="00EE518D">
              <w:rPr>
                <w:rFonts w:ascii="Calibri" w:hAnsi="Calibri" w:cs="Calibri"/>
                <w:color w:val="000000"/>
                <w:sz w:val="18"/>
                <w:szCs w:val="18"/>
              </w:rPr>
              <w:t>150</w:t>
            </w:r>
          </w:p>
        </w:tc>
        <w:tc>
          <w:tcPr>
            <w:tcW w:w="720" w:type="dxa"/>
            <w:tcBorders>
              <w:top w:val="single" w:sz="4" w:space="0" w:color="auto"/>
              <w:left w:val="nil"/>
              <w:bottom w:val="single" w:sz="4" w:space="0" w:color="auto"/>
              <w:right w:val="single" w:sz="4" w:space="0" w:color="auto"/>
            </w:tcBorders>
            <w:shd w:val="clear" w:color="auto" w:fill="D9E1F2"/>
            <w:noWrap/>
            <w:vAlign w:val="bottom"/>
            <w:hideMark/>
          </w:tcPr>
          <w:p w14:paraId="4A04D066" w14:textId="458DF909" w:rsidR="00DF4CE5" w:rsidRPr="00EE518D" w:rsidRDefault="00E01D5E" w:rsidP="00E01D5E">
            <w:pPr>
              <w:jc w:val="right"/>
              <w:rPr>
                <w:rFonts w:ascii="Calibri" w:hAnsi="Calibri" w:cs="Calibri"/>
                <w:color w:val="000000"/>
                <w:sz w:val="18"/>
                <w:szCs w:val="18"/>
              </w:rPr>
            </w:pPr>
            <w:r w:rsidRPr="003126BE">
              <w:rPr>
                <w:rFonts w:ascii="Calibri" w:hAnsi="Calibri" w:cs="Calibri"/>
                <w:color w:val="000000"/>
                <w:sz w:val="18"/>
                <w:szCs w:val="18"/>
              </w:rPr>
              <w:t>-10</w:t>
            </w:r>
          </w:p>
        </w:tc>
        <w:tc>
          <w:tcPr>
            <w:tcW w:w="900" w:type="dxa"/>
            <w:tcBorders>
              <w:top w:val="single" w:sz="4" w:space="0" w:color="auto"/>
              <w:left w:val="nil"/>
              <w:bottom w:val="single" w:sz="4" w:space="0" w:color="auto"/>
              <w:right w:val="single" w:sz="4" w:space="0" w:color="auto"/>
            </w:tcBorders>
            <w:shd w:val="clear" w:color="auto" w:fill="D9E1F2"/>
            <w:noWrap/>
            <w:vAlign w:val="bottom"/>
            <w:hideMark/>
          </w:tcPr>
          <w:p w14:paraId="35BBC301" w14:textId="085A4D79" w:rsidR="00DF4CE5" w:rsidRPr="00EE518D" w:rsidRDefault="00DF4CE5">
            <w:pPr>
              <w:ind w:hanging="107"/>
              <w:jc w:val="right"/>
              <w:rPr>
                <w:rFonts w:ascii="Calibri" w:hAnsi="Calibri" w:cs="Calibri"/>
                <w:color w:val="000000"/>
                <w:sz w:val="18"/>
                <w:szCs w:val="18"/>
              </w:rPr>
            </w:pPr>
            <w:r w:rsidRPr="00EE518D">
              <w:rPr>
                <w:rFonts w:ascii="Calibri" w:hAnsi="Calibri" w:cs="Calibri"/>
                <w:color w:val="000000"/>
                <w:sz w:val="18"/>
                <w:szCs w:val="18"/>
              </w:rPr>
              <w:t>1</w:t>
            </w:r>
            <w:r w:rsidR="002A0BF1">
              <w:rPr>
                <w:rFonts w:ascii="Calibri" w:hAnsi="Calibri" w:cs="Calibri"/>
                <w:color w:val="000000"/>
                <w:sz w:val="18"/>
                <w:szCs w:val="18"/>
              </w:rPr>
              <w:t>4</w:t>
            </w:r>
            <w:r w:rsidRPr="00EE518D">
              <w:rPr>
                <w:rFonts w:ascii="Calibri" w:hAnsi="Calibri" w:cs="Calibri"/>
                <w:color w:val="000000"/>
                <w:sz w:val="18"/>
                <w:szCs w:val="18"/>
              </w:rPr>
              <w:t>0</w:t>
            </w:r>
          </w:p>
        </w:tc>
        <w:tc>
          <w:tcPr>
            <w:tcW w:w="900" w:type="dxa"/>
            <w:tcBorders>
              <w:top w:val="single" w:sz="4" w:space="0" w:color="auto"/>
              <w:left w:val="nil"/>
              <w:bottom w:val="single" w:sz="4" w:space="0" w:color="auto"/>
              <w:right w:val="single" w:sz="4" w:space="0" w:color="auto"/>
            </w:tcBorders>
            <w:shd w:val="clear" w:color="auto" w:fill="D9E1F2"/>
            <w:noWrap/>
            <w:vAlign w:val="bottom"/>
            <w:hideMark/>
          </w:tcPr>
          <w:p w14:paraId="7F34D10E" w14:textId="77777777" w:rsidR="00DF4CE5" w:rsidRPr="00EE518D" w:rsidRDefault="00DF4CE5">
            <w:pPr>
              <w:rPr>
                <w:rFonts w:ascii="Calibri" w:hAnsi="Calibri" w:cs="Calibri"/>
                <w:color w:val="000000"/>
                <w:sz w:val="18"/>
                <w:szCs w:val="18"/>
              </w:rPr>
            </w:pPr>
            <w:r w:rsidRPr="00EE518D">
              <w:rPr>
                <w:rFonts w:ascii="Calibri" w:hAnsi="Calibri"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auto" w:fill="D9E1F2"/>
            <w:noWrap/>
            <w:vAlign w:val="bottom"/>
            <w:hideMark/>
          </w:tcPr>
          <w:p w14:paraId="2845022B" w14:textId="02CD7933" w:rsidR="00DF4CE5" w:rsidRPr="00EE518D" w:rsidRDefault="00E01D5E">
            <w:pPr>
              <w:jc w:val="right"/>
              <w:rPr>
                <w:rFonts w:ascii="Calibri" w:hAnsi="Calibri" w:cs="Calibri"/>
                <w:color w:val="000000"/>
                <w:sz w:val="18"/>
                <w:szCs w:val="18"/>
              </w:rPr>
            </w:pPr>
            <w:r>
              <w:rPr>
                <w:rFonts w:ascii="Calibri" w:hAnsi="Calibri" w:cs="Calibri"/>
                <w:color w:val="000000"/>
                <w:sz w:val="18"/>
                <w:szCs w:val="18"/>
              </w:rPr>
              <w:t>6</w:t>
            </w:r>
            <w:r w:rsidR="00DF4CE5" w:rsidRPr="00EE518D">
              <w:rPr>
                <w:rFonts w:ascii="Calibri" w:hAnsi="Calibri" w:cs="Calibri"/>
                <w:color w:val="000000"/>
                <w:sz w:val="18"/>
                <w:szCs w:val="18"/>
              </w:rPr>
              <w:t>0</w:t>
            </w:r>
          </w:p>
        </w:tc>
      </w:tr>
      <w:tr w:rsidR="00DF4CE5" w:rsidRPr="00EE518D" w14:paraId="1759F6C6" w14:textId="77777777">
        <w:trPr>
          <w:trHeight w:val="315"/>
        </w:trPr>
        <w:tc>
          <w:tcPr>
            <w:tcW w:w="2340" w:type="dxa"/>
            <w:tcBorders>
              <w:top w:val="nil"/>
              <w:left w:val="single" w:sz="4" w:space="0" w:color="auto"/>
              <w:bottom w:val="single" w:sz="4" w:space="0" w:color="auto"/>
              <w:right w:val="single" w:sz="4" w:space="0" w:color="auto"/>
            </w:tcBorders>
            <w:noWrap/>
            <w:vAlign w:val="bottom"/>
            <w:hideMark/>
          </w:tcPr>
          <w:p w14:paraId="5BC05EFD" w14:textId="77777777" w:rsidR="00DF4CE5" w:rsidRPr="00EE518D" w:rsidRDefault="00DF4CE5">
            <w:pPr>
              <w:rPr>
                <w:rFonts w:ascii="Calibri" w:hAnsi="Calibri" w:cs="Calibri"/>
                <w:color w:val="000000"/>
                <w:sz w:val="18"/>
                <w:szCs w:val="18"/>
              </w:rPr>
            </w:pPr>
            <w:r w:rsidRPr="00EE518D">
              <w:rPr>
                <w:rFonts w:ascii="Calibri" w:hAnsi="Calibri" w:cs="Calibri"/>
                <w:color w:val="000000"/>
                <w:sz w:val="18"/>
                <w:szCs w:val="18"/>
              </w:rPr>
              <w:t>CAMT credit DTA (excluded)</w:t>
            </w:r>
          </w:p>
        </w:tc>
        <w:tc>
          <w:tcPr>
            <w:tcW w:w="630" w:type="dxa"/>
            <w:tcBorders>
              <w:top w:val="single" w:sz="4" w:space="0" w:color="auto"/>
              <w:left w:val="nil"/>
              <w:bottom w:val="single" w:sz="4" w:space="0" w:color="auto"/>
              <w:right w:val="single" w:sz="4" w:space="0" w:color="auto"/>
            </w:tcBorders>
            <w:noWrap/>
            <w:vAlign w:val="bottom"/>
            <w:hideMark/>
          </w:tcPr>
          <w:p w14:paraId="7E08F00A" w14:textId="77777777" w:rsidR="00DF4CE5" w:rsidRPr="00EE518D" w:rsidRDefault="00DF4CE5">
            <w:pPr>
              <w:jc w:val="right"/>
              <w:rPr>
                <w:rFonts w:ascii="Calibri" w:hAnsi="Calibri" w:cs="Calibri"/>
                <w:color w:val="000000"/>
                <w:sz w:val="18"/>
                <w:szCs w:val="18"/>
                <w:u w:val="single"/>
              </w:rPr>
            </w:pPr>
            <w:r w:rsidRPr="00EE518D">
              <w:rPr>
                <w:rFonts w:ascii="Calibri" w:hAnsi="Calibri" w:cs="Calibri"/>
                <w:color w:val="000000"/>
                <w:sz w:val="18"/>
                <w:szCs w:val="18"/>
                <w:u w:val="single"/>
              </w:rPr>
              <w:t>50</w:t>
            </w:r>
          </w:p>
        </w:tc>
        <w:tc>
          <w:tcPr>
            <w:tcW w:w="900" w:type="dxa"/>
            <w:tcBorders>
              <w:top w:val="single" w:sz="4" w:space="0" w:color="auto"/>
              <w:left w:val="nil"/>
              <w:bottom w:val="single" w:sz="4" w:space="0" w:color="auto"/>
              <w:right w:val="single" w:sz="4" w:space="0" w:color="auto"/>
            </w:tcBorders>
            <w:noWrap/>
            <w:vAlign w:val="bottom"/>
          </w:tcPr>
          <w:p w14:paraId="37EDB18F" w14:textId="77777777" w:rsidR="00DF4CE5" w:rsidRPr="00EE518D" w:rsidRDefault="00DF4CE5">
            <w:pPr>
              <w:jc w:val="right"/>
              <w:rPr>
                <w:rFonts w:ascii="Calibri" w:hAnsi="Calibri" w:cs="Calibri"/>
                <w:color w:val="000000"/>
                <w:sz w:val="18"/>
                <w:szCs w:val="18"/>
                <w:u w:val="single"/>
              </w:rPr>
            </w:pPr>
            <w:r w:rsidRPr="00EE518D">
              <w:rPr>
                <w:rFonts w:ascii="Calibri" w:hAnsi="Calibri" w:cs="Calibri"/>
                <w:color w:val="000000"/>
                <w:sz w:val="18"/>
                <w:szCs w:val="18"/>
                <w:u w:val="single"/>
              </w:rPr>
              <w:t>-20</w:t>
            </w:r>
          </w:p>
        </w:tc>
        <w:tc>
          <w:tcPr>
            <w:tcW w:w="1080" w:type="dxa"/>
            <w:tcBorders>
              <w:top w:val="single" w:sz="4" w:space="0" w:color="auto"/>
              <w:left w:val="nil"/>
              <w:bottom w:val="single" w:sz="4" w:space="0" w:color="auto"/>
              <w:right w:val="single" w:sz="4" w:space="0" w:color="auto"/>
            </w:tcBorders>
            <w:noWrap/>
            <w:vAlign w:val="bottom"/>
          </w:tcPr>
          <w:p w14:paraId="34C19397" w14:textId="69B3A144" w:rsidR="00DF4CE5" w:rsidRPr="00EE518D" w:rsidRDefault="00DF4CE5">
            <w:pPr>
              <w:jc w:val="right"/>
              <w:rPr>
                <w:rFonts w:ascii="Calibri" w:hAnsi="Calibri" w:cs="Calibri"/>
                <w:color w:val="000000"/>
                <w:sz w:val="18"/>
                <w:szCs w:val="18"/>
                <w:u w:val="single"/>
              </w:rPr>
            </w:pPr>
            <w:r>
              <w:rPr>
                <w:rFonts w:ascii="Calibri" w:hAnsi="Calibri" w:cs="Calibri"/>
                <w:color w:val="000000"/>
                <w:sz w:val="18"/>
                <w:szCs w:val="18"/>
                <w:u w:val="single"/>
              </w:rPr>
              <w:t>-</w:t>
            </w:r>
            <w:r w:rsidR="003670F6">
              <w:rPr>
                <w:rFonts w:ascii="Calibri" w:hAnsi="Calibri" w:cs="Calibri"/>
                <w:color w:val="000000"/>
                <w:sz w:val="18"/>
                <w:szCs w:val="18"/>
                <w:u w:val="single"/>
              </w:rPr>
              <w:t>30</w:t>
            </w:r>
          </w:p>
        </w:tc>
        <w:tc>
          <w:tcPr>
            <w:tcW w:w="990" w:type="dxa"/>
            <w:tcBorders>
              <w:top w:val="single" w:sz="4" w:space="0" w:color="auto"/>
              <w:left w:val="nil"/>
              <w:bottom w:val="single" w:sz="4" w:space="0" w:color="auto"/>
              <w:right w:val="single" w:sz="4" w:space="0" w:color="auto"/>
            </w:tcBorders>
            <w:noWrap/>
            <w:vAlign w:val="bottom"/>
          </w:tcPr>
          <w:p w14:paraId="0147DD21" w14:textId="2DB8EE08" w:rsidR="00DF4CE5" w:rsidRPr="00EE518D" w:rsidRDefault="00DF4CE5" w:rsidP="002A0BF1">
            <w:pPr>
              <w:jc w:val="right"/>
              <w:rPr>
                <w:rFonts w:ascii="Calibri" w:hAnsi="Calibri" w:cs="Calibri"/>
                <w:color w:val="000000"/>
                <w:sz w:val="18"/>
                <w:szCs w:val="18"/>
                <w:u w:val="single"/>
              </w:rPr>
            </w:pPr>
          </w:p>
        </w:tc>
        <w:tc>
          <w:tcPr>
            <w:tcW w:w="720" w:type="dxa"/>
            <w:tcBorders>
              <w:top w:val="single" w:sz="4" w:space="0" w:color="auto"/>
              <w:left w:val="nil"/>
              <w:bottom w:val="single" w:sz="4" w:space="0" w:color="auto"/>
              <w:right w:val="single" w:sz="4" w:space="0" w:color="auto"/>
            </w:tcBorders>
            <w:noWrap/>
            <w:vAlign w:val="bottom"/>
          </w:tcPr>
          <w:p w14:paraId="3CFAE33A" w14:textId="2B3EA07F" w:rsidR="00DF4CE5" w:rsidRPr="00EE518D" w:rsidRDefault="00DF4CE5">
            <w:pPr>
              <w:jc w:val="right"/>
              <w:rPr>
                <w:rFonts w:ascii="Calibri" w:hAnsi="Calibri" w:cs="Calibri"/>
                <w:color w:val="000000"/>
                <w:sz w:val="18"/>
                <w:szCs w:val="18"/>
                <w:u w:val="single"/>
              </w:rPr>
            </w:pPr>
          </w:p>
        </w:tc>
        <w:tc>
          <w:tcPr>
            <w:tcW w:w="900" w:type="dxa"/>
            <w:tcBorders>
              <w:top w:val="single" w:sz="4" w:space="0" w:color="auto"/>
              <w:left w:val="nil"/>
              <w:bottom w:val="single" w:sz="4" w:space="0" w:color="auto"/>
              <w:right w:val="single" w:sz="4" w:space="0" w:color="auto"/>
            </w:tcBorders>
            <w:noWrap/>
            <w:vAlign w:val="bottom"/>
          </w:tcPr>
          <w:p w14:paraId="7FEBF04C" w14:textId="1C9FE61B" w:rsidR="00DF4CE5" w:rsidRPr="00EE518D" w:rsidRDefault="00DF4CE5">
            <w:pPr>
              <w:jc w:val="right"/>
              <w:rPr>
                <w:rFonts w:ascii="Calibri" w:hAnsi="Calibri" w:cs="Calibri"/>
                <w:color w:val="000000"/>
                <w:sz w:val="18"/>
                <w:szCs w:val="18"/>
                <w:u w:val="single"/>
              </w:rPr>
            </w:pPr>
          </w:p>
        </w:tc>
        <w:tc>
          <w:tcPr>
            <w:tcW w:w="900" w:type="dxa"/>
            <w:tcBorders>
              <w:top w:val="single" w:sz="4" w:space="0" w:color="auto"/>
              <w:left w:val="nil"/>
              <w:bottom w:val="single" w:sz="4" w:space="0" w:color="auto"/>
              <w:right w:val="single" w:sz="4" w:space="0" w:color="auto"/>
            </w:tcBorders>
            <w:noWrap/>
            <w:vAlign w:val="bottom"/>
            <w:hideMark/>
          </w:tcPr>
          <w:p w14:paraId="196EA32D" w14:textId="77777777" w:rsidR="00DF4CE5" w:rsidRPr="00EE518D" w:rsidRDefault="00DF4CE5">
            <w:pPr>
              <w:rPr>
                <w:rFonts w:ascii="Calibri" w:hAnsi="Calibri" w:cs="Calibri"/>
                <w:color w:val="000000"/>
                <w:sz w:val="18"/>
                <w:szCs w:val="18"/>
                <w:u w:val="single"/>
              </w:rPr>
            </w:pPr>
            <w:r w:rsidRPr="00EE518D">
              <w:rPr>
                <w:rFonts w:ascii="Calibri" w:hAnsi="Calibri" w:cs="Calibri"/>
                <w:color w:val="000000"/>
                <w:sz w:val="18"/>
                <w:szCs w:val="18"/>
                <w:u w:val="single"/>
              </w:rPr>
              <w:t> </w:t>
            </w:r>
          </w:p>
        </w:tc>
        <w:tc>
          <w:tcPr>
            <w:tcW w:w="1080" w:type="dxa"/>
            <w:tcBorders>
              <w:top w:val="single" w:sz="4" w:space="0" w:color="auto"/>
              <w:left w:val="nil"/>
              <w:bottom w:val="single" w:sz="4" w:space="0" w:color="auto"/>
              <w:right w:val="single" w:sz="4" w:space="0" w:color="auto"/>
            </w:tcBorders>
            <w:noWrap/>
            <w:vAlign w:val="bottom"/>
            <w:hideMark/>
          </w:tcPr>
          <w:p w14:paraId="4476A9B9" w14:textId="3D4B559A" w:rsidR="00DF4CE5" w:rsidRPr="00EE518D" w:rsidRDefault="00962F9E" w:rsidP="002A0BF1">
            <w:pPr>
              <w:jc w:val="right"/>
              <w:rPr>
                <w:rFonts w:ascii="Calibri" w:hAnsi="Calibri" w:cs="Calibri"/>
                <w:color w:val="000000"/>
                <w:sz w:val="18"/>
                <w:szCs w:val="18"/>
                <w:u w:val="single"/>
              </w:rPr>
            </w:pPr>
            <w:r>
              <w:rPr>
                <w:rFonts w:ascii="Calibri" w:hAnsi="Calibri" w:cs="Calibri"/>
                <w:color w:val="000000"/>
                <w:sz w:val="18"/>
                <w:szCs w:val="18"/>
                <w:u w:val="single"/>
              </w:rPr>
              <w:t>30</w:t>
            </w:r>
          </w:p>
        </w:tc>
      </w:tr>
      <w:tr w:rsidR="00DF4CE5" w:rsidRPr="00EE518D" w14:paraId="17BA4266" w14:textId="77777777">
        <w:trPr>
          <w:trHeight w:val="250"/>
        </w:trPr>
        <w:tc>
          <w:tcPr>
            <w:tcW w:w="2340" w:type="dxa"/>
            <w:tcBorders>
              <w:top w:val="nil"/>
              <w:left w:val="single" w:sz="4" w:space="0" w:color="auto"/>
              <w:bottom w:val="single" w:sz="4" w:space="0" w:color="auto"/>
              <w:right w:val="single" w:sz="4" w:space="0" w:color="auto"/>
            </w:tcBorders>
            <w:shd w:val="clear" w:color="auto" w:fill="D9E1F2"/>
            <w:noWrap/>
            <w:vAlign w:val="bottom"/>
            <w:hideMark/>
          </w:tcPr>
          <w:p w14:paraId="715CD83A" w14:textId="77777777" w:rsidR="00DF4CE5" w:rsidRPr="00EE518D" w:rsidRDefault="00DF4CE5">
            <w:pPr>
              <w:rPr>
                <w:rFonts w:ascii="Calibri" w:hAnsi="Calibri" w:cs="Calibri"/>
                <w:b/>
                <w:bCs/>
                <w:color w:val="000000"/>
                <w:sz w:val="18"/>
                <w:szCs w:val="18"/>
              </w:rPr>
            </w:pPr>
            <w:r w:rsidRPr="00EE518D">
              <w:rPr>
                <w:rFonts w:ascii="Calibri" w:hAnsi="Calibri" w:cs="Calibri"/>
                <w:b/>
                <w:bCs/>
                <w:color w:val="000000"/>
                <w:sz w:val="18"/>
                <w:szCs w:val="18"/>
              </w:rPr>
              <w:t xml:space="preserve">totals </w:t>
            </w:r>
          </w:p>
        </w:tc>
        <w:tc>
          <w:tcPr>
            <w:tcW w:w="630" w:type="dxa"/>
            <w:tcBorders>
              <w:top w:val="single" w:sz="4" w:space="0" w:color="auto"/>
              <w:left w:val="nil"/>
              <w:bottom w:val="single" w:sz="4" w:space="0" w:color="auto"/>
              <w:right w:val="single" w:sz="4" w:space="0" w:color="auto"/>
            </w:tcBorders>
            <w:shd w:val="clear" w:color="auto" w:fill="D9E1F2"/>
            <w:noWrap/>
            <w:vAlign w:val="bottom"/>
            <w:hideMark/>
          </w:tcPr>
          <w:p w14:paraId="11E02228" w14:textId="77777777" w:rsidR="00DF4CE5" w:rsidRPr="00EE518D" w:rsidRDefault="00DF4CE5">
            <w:pPr>
              <w:jc w:val="right"/>
              <w:rPr>
                <w:rFonts w:ascii="Calibri" w:hAnsi="Calibri" w:cs="Calibri"/>
                <w:b/>
                <w:bCs/>
                <w:color w:val="000000"/>
                <w:sz w:val="18"/>
                <w:szCs w:val="18"/>
              </w:rPr>
            </w:pPr>
            <w:r w:rsidRPr="00EE518D">
              <w:rPr>
                <w:rFonts w:ascii="Calibri" w:hAnsi="Calibri" w:cs="Calibri"/>
                <w:b/>
                <w:bCs/>
                <w:color w:val="000000"/>
                <w:sz w:val="18"/>
                <w:szCs w:val="18"/>
              </w:rPr>
              <w:t>290</w:t>
            </w:r>
          </w:p>
        </w:tc>
        <w:tc>
          <w:tcPr>
            <w:tcW w:w="900" w:type="dxa"/>
            <w:tcBorders>
              <w:top w:val="single" w:sz="4" w:space="0" w:color="auto"/>
              <w:left w:val="nil"/>
              <w:bottom w:val="single" w:sz="4" w:space="0" w:color="auto"/>
              <w:right w:val="single" w:sz="4" w:space="0" w:color="auto"/>
            </w:tcBorders>
            <w:shd w:val="clear" w:color="auto" w:fill="D9E1F2"/>
            <w:noWrap/>
            <w:vAlign w:val="bottom"/>
            <w:hideMark/>
          </w:tcPr>
          <w:p w14:paraId="5E8B2063" w14:textId="77777777" w:rsidR="00DF4CE5" w:rsidRPr="00EE518D" w:rsidRDefault="00DF4CE5">
            <w:pPr>
              <w:jc w:val="right"/>
              <w:rPr>
                <w:rFonts w:ascii="Calibri" w:hAnsi="Calibri" w:cs="Calibri"/>
                <w:b/>
                <w:bCs/>
                <w:color w:val="000000"/>
                <w:sz w:val="18"/>
                <w:szCs w:val="18"/>
              </w:rPr>
            </w:pPr>
            <w:r w:rsidRPr="00EE518D">
              <w:rPr>
                <w:rFonts w:ascii="Calibri" w:hAnsi="Calibri" w:cs="Calibri"/>
                <w:b/>
                <w:bCs/>
                <w:color w:val="000000"/>
                <w:sz w:val="18"/>
                <w:szCs w:val="18"/>
              </w:rPr>
              <w:t>-60</w:t>
            </w:r>
          </w:p>
        </w:tc>
        <w:tc>
          <w:tcPr>
            <w:tcW w:w="1080" w:type="dxa"/>
            <w:tcBorders>
              <w:top w:val="single" w:sz="4" w:space="0" w:color="auto"/>
              <w:left w:val="nil"/>
              <w:bottom w:val="single" w:sz="4" w:space="0" w:color="auto"/>
              <w:right w:val="single" w:sz="4" w:space="0" w:color="auto"/>
            </w:tcBorders>
            <w:shd w:val="clear" w:color="auto" w:fill="D9E1F2"/>
            <w:noWrap/>
            <w:vAlign w:val="bottom"/>
            <w:hideMark/>
          </w:tcPr>
          <w:p w14:paraId="1A665739" w14:textId="0E1FCCD7" w:rsidR="00DF4CE5" w:rsidRPr="00EE518D" w:rsidRDefault="00DF4CE5">
            <w:pPr>
              <w:jc w:val="right"/>
              <w:rPr>
                <w:rFonts w:ascii="Calibri" w:hAnsi="Calibri" w:cs="Calibri"/>
                <w:b/>
                <w:bCs/>
                <w:color w:val="000000"/>
                <w:sz w:val="18"/>
                <w:szCs w:val="18"/>
              </w:rPr>
            </w:pPr>
            <w:r w:rsidRPr="00EE518D">
              <w:rPr>
                <w:rFonts w:ascii="Calibri" w:hAnsi="Calibri" w:cs="Calibri"/>
                <w:b/>
                <w:bCs/>
                <w:color w:val="000000"/>
                <w:sz w:val="18"/>
                <w:szCs w:val="18"/>
              </w:rPr>
              <w:t>-</w:t>
            </w:r>
            <w:r w:rsidR="001C2BF6">
              <w:rPr>
                <w:rFonts w:ascii="Calibri" w:hAnsi="Calibri" w:cs="Calibri"/>
                <w:b/>
                <w:bCs/>
                <w:color w:val="000000"/>
                <w:sz w:val="18"/>
                <w:szCs w:val="18"/>
              </w:rPr>
              <w:t>80</w:t>
            </w:r>
          </w:p>
        </w:tc>
        <w:tc>
          <w:tcPr>
            <w:tcW w:w="990" w:type="dxa"/>
            <w:tcBorders>
              <w:top w:val="single" w:sz="4" w:space="0" w:color="auto"/>
              <w:left w:val="nil"/>
              <w:bottom w:val="single" w:sz="4" w:space="0" w:color="auto"/>
              <w:right w:val="single" w:sz="4" w:space="0" w:color="auto"/>
            </w:tcBorders>
            <w:shd w:val="clear" w:color="auto" w:fill="D9E1F2"/>
            <w:noWrap/>
            <w:vAlign w:val="bottom"/>
            <w:hideMark/>
          </w:tcPr>
          <w:p w14:paraId="632CF6B4" w14:textId="6B665F71" w:rsidR="00DF4CE5" w:rsidRPr="00EE518D" w:rsidRDefault="00DF4CE5">
            <w:pPr>
              <w:jc w:val="right"/>
              <w:rPr>
                <w:rFonts w:ascii="Calibri" w:hAnsi="Calibri" w:cs="Calibri"/>
                <w:b/>
                <w:bCs/>
                <w:color w:val="000000"/>
                <w:sz w:val="18"/>
                <w:szCs w:val="18"/>
              </w:rPr>
            </w:pPr>
            <w:r w:rsidRPr="00EE518D">
              <w:rPr>
                <w:rFonts w:ascii="Calibri" w:hAnsi="Calibri" w:cs="Calibri"/>
                <w:b/>
                <w:bCs/>
                <w:color w:val="000000"/>
                <w:sz w:val="18"/>
                <w:szCs w:val="18"/>
              </w:rPr>
              <w:t>1</w:t>
            </w:r>
            <w:r w:rsidR="00E20725">
              <w:rPr>
                <w:rFonts w:ascii="Calibri" w:hAnsi="Calibri" w:cs="Calibri"/>
                <w:b/>
                <w:bCs/>
                <w:color w:val="000000"/>
                <w:sz w:val="18"/>
                <w:szCs w:val="18"/>
              </w:rPr>
              <w:t>50</w:t>
            </w:r>
          </w:p>
        </w:tc>
        <w:tc>
          <w:tcPr>
            <w:tcW w:w="720" w:type="dxa"/>
            <w:tcBorders>
              <w:top w:val="single" w:sz="4" w:space="0" w:color="auto"/>
              <w:left w:val="nil"/>
              <w:bottom w:val="single" w:sz="4" w:space="0" w:color="auto"/>
              <w:right w:val="single" w:sz="4" w:space="0" w:color="auto"/>
            </w:tcBorders>
            <w:shd w:val="clear" w:color="auto" w:fill="D9E1F2"/>
            <w:noWrap/>
            <w:vAlign w:val="bottom"/>
            <w:hideMark/>
          </w:tcPr>
          <w:p w14:paraId="4F013ECB" w14:textId="75020A0D" w:rsidR="00DF4CE5" w:rsidRPr="00EE518D" w:rsidRDefault="0086709A">
            <w:pPr>
              <w:jc w:val="right"/>
              <w:rPr>
                <w:rFonts w:ascii="Calibri" w:hAnsi="Calibri" w:cs="Calibri"/>
                <w:b/>
                <w:bCs/>
                <w:color w:val="000000"/>
                <w:sz w:val="18"/>
                <w:szCs w:val="18"/>
              </w:rPr>
            </w:pPr>
            <w:r>
              <w:rPr>
                <w:rFonts w:ascii="Calibri" w:hAnsi="Calibri" w:cs="Calibri"/>
                <w:b/>
                <w:bCs/>
                <w:color w:val="000000"/>
                <w:sz w:val="18"/>
                <w:szCs w:val="18"/>
              </w:rPr>
              <w:t>-</w:t>
            </w:r>
            <w:r w:rsidR="0085599C">
              <w:rPr>
                <w:rFonts w:ascii="Calibri" w:hAnsi="Calibri" w:cs="Calibri"/>
                <w:b/>
                <w:bCs/>
                <w:color w:val="000000"/>
                <w:sz w:val="18"/>
                <w:szCs w:val="18"/>
              </w:rPr>
              <w:t>10</w:t>
            </w:r>
          </w:p>
        </w:tc>
        <w:tc>
          <w:tcPr>
            <w:tcW w:w="90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7DD2BEB2" w14:textId="7C442853" w:rsidR="00DF4CE5" w:rsidRPr="00EE518D" w:rsidRDefault="00962F9E">
            <w:pPr>
              <w:jc w:val="right"/>
              <w:rPr>
                <w:rFonts w:ascii="Calibri" w:hAnsi="Calibri" w:cs="Calibri"/>
                <w:b/>
                <w:bCs/>
                <w:color w:val="000000"/>
                <w:sz w:val="18"/>
                <w:szCs w:val="18"/>
              </w:rPr>
            </w:pPr>
            <w:r w:rsidRPr="00EE518D">
              <w:rPr>
                <w:noProof/>
              </w:rPr>
              <mc:AlternateContent>
                <mc:Choice Requires="wps">
                  <w:drawing>
                    <wp:anchor distT="0" distB="0" distL="114300" distR="114300" simplePos="0" relativeHeight="251658242" behindDoc="0" locked="0" layoutInCell="1" allowOverlap="1" wp14:anchorId="5F91FE9F" wp14:editId="7D91D08F">
                      <wp:simplePos x="0" y="0"/>
                      <wp:positionH relativeFrom="column">
                        <wp:posOffset>66675</wp:posOffset>
                      </wp:positionH>
                      <wp:positionV relativeFrom="paragraph">
                        <wp:posOffset>-6350</wp:posOffset>
                      </wp:positionV>
                      <wp:extent cx="468630" cy="235585"/>
                      <wp:effectExtent l="0" t="0" r="26670" b="12065"/>
                      <wp:wrapNone/>
                      <wp:docPr id="891363464" name="Oval 891363464"/>
                      <wp:cNvGraphicFramePr/>
                      <a:graphic xmlns:a="http://schemas.openxmlformats.org/drawingml/2006/main">
                        <a:graphicData uri="http://schemas.microsoft.com/office/word/2010/wordprocessingShape">
                          <wps:wsp>
                            <wps:cNvSpPr/>
                            <wps:spPr>
                              <a:xfrm>
                                <a:off x="0" y="0"/>
                                <a:ext cx="468630" cy="235585"/>
                              </a:xfrm>
                              <a:prstGeom prst="ellipse">
                                <a:avLst/>
                              </a:prstGeom>
                              <a:noFill/>
                              <a:ln w="25400" cap="flat" cmpd="sng" algn="ctr">
                                <a:solidFill>
                                  <a:srgbClr val="4BACC6"/>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oval w14:anchorId="1E58F526" id="Oval 891363464" o:spid="_x0000_s1026" style="position:absolute;margin-left:5.25pt;margin-top:-.5pt;width:36.9pt;height:18.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" filled="f" strokecolor="#4bacc6" strokeweight="2pt"/>
                  </w:pict>
                </mc:Fallback>
              </mc:AlternateContent>
            </w:r>
            <w:r>
              <w:rPr>
                <w:rFonts w:ascii="Calibri" w:hAnsi="Calibri" w:cs="Calibri"/>
                <w:b/>
                <w:bCs/>
                <w:color w:val="000000"/>
                <w:sz w:val="18"/>
                <w:szCs w:val="18"/>
              </w:rPr>
              <w:t>140</w:t>
            </w:r>
          </w:p>
        </w:tc>
        <w:tc>
          <w:tcPr>
            <w:tcW w:w="90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18EAA169" w14:textId="506DB26F" w:rsidR="00DF4CE5" w:rsidRPr="00EE518D" w:rsidRDefault="002A0BF1">
            <w:pPr>
              <w:jc w:val="right"/>
              <w:rPr>
                <w:rFonts w:ascii="Calibri" w:hAnsi="Calibri" w:cs="Calibri"/>
                <w:b/>
                <w:bCs/>
                <w:color w:val="000000"/>
                <w:sz w:val="18"/>
                <w:szCs w:val="18"/>
              </w:rPr>
            </w:pPr>
            <w:r>
              <w:rPr>
                <w:rFonts w:ascii="Calibri" w:hAnsi="Calibri" w:cs="Calibri"/>
                <w:b/>
                <w:bCs/>
                <w:color w:val="000000"/>
                <w:sz w:val="18"/>
                <w:szCs w:val="18"/>
              </w:rPr>
              <w:t>2</w:t>
            </w:r>
            <w:r w:rsidR="00DF4CE5" w:rsidRPr="00EE518D">
              <w:rPr>
                <w:rFonts w:ascii="Calibri" w:hAnsi="Calibri" w:cs="Calibri"/>
                <w:b/>
                <w:bCs/>
                <w:color w:val="000000"/>
                <w:sz w:val="18"/>
                <w:szCs w:val="18"/>
              </w:rPr>
              <w:t>00</w:t>
            </w:r>
          </w:p>
        </w:tc>
        <w:tc>
          <w:tcPr>
            <w:tcW w:w="1080" w:type="dxa"/>
            <w:tcBorders>
              <w:top w:val="single" w:sz="4" w:space="0" w:color="auto"/>
              <w:left w:val="nil"/>
              <w:bottom w:val="single" w:sz="4" w:space="0" w:color="auto"/>
              <w:right w:val="single" w:sz="4" w:space="0" w:color="auto"/>
            </w:tcBorders>
            <w:shd w:val="clear" w:color="auto" w:fill="D9E1F2"/>
            <w:noWrap/>
            <w:vAlign w:val="bottom"/>
            <w:hideMark/>
          </w:tcPr>
          <w:p w14:paraId="7C3EFE9A" w14:textId="5DCC0012" w:rsidR="00DF4CE5" w:rsidRPr="00EE518D" w:rsidRDefault="00962F9E">
            <w:pPr>
              <w:jc w:val="right"/>
              <w:rPr>
                <w:rFonts w:ascii="Calibri" w:hAnsi="Calibri" w:cs="Calibri"/>
                <w:b/>
                <w:bCs/>
                <w:color w:val="000000"/>
                <w:sz w:val="18"/>
                <w:szCs w:val="18"/>
              </w:rPr>
            </w:pPr>
            <w:r>
              <w:rPr>
                <w:rFonts w:ascii="Calibri" w:hAnsi="Calibri" w:cs="Calibri"/>
                <w:b/>
                <w:bCs/>
                <w:color w:val="000000"/>
                <w:sz w:val="18"/>
                <w:szCs w:val="18"/>
              </w:rPr>
              <w:t>90</w:t>
            </w:r>
          </w:p>
        </w:tc>
      </w:tr>
    </w:tbl>
    <w:p w14:paraId="2123491B" w14:textId="77777777" w:rsidR="00FB6222" w:rsidRDefault="00FB6222" w:rsidP="00EE518D">
      <w:pPr>
        <w:rPr>
          <w:b/>
          <w:bCs/>
          <w:sz w:val="22"/>
          <w:szCs w:val="22"/>
          <w:u w:val="single"/>
        </w:rPr>
      </w:pPr>
    </w:p>
    <w:p w14:paraId="720AAC90" w14:textId="61B843B8" w:rsidR="00EE518D" w:rsidRPr="00EE518D" w:rsidRDefault="00EE518D" w:rsidP="00EE518D">
      <w:pPr>
        <w:rPr>
          <w:b/>
          <w:bCs/>
          <w:sz w:val="22"/>
          <w:szCs w:val="22"/>
          <w:u w:val="single"/>
        </w:rPr>
      </w:pPr>
    </w:p>
    <w:p w14:paraId="1E8B0F8B" w14:textId="77777777" w:rsidR="00EE518D" w:rsidRPr="00EE518D" w:rsidRDefault="00EE518D" w:rsidP="00EE518D">
      <w:pPr>
        <w:jc w:val="both"/>
        <w:rPr>
          <w:b/>
          <w:bCs/>
          <w:sz w:val="22"/>
          <w:szCs w:val="22"/>
          <w:u w:val="single"/>
        </w:rPr>
      </w:pPr>
      <w:r w:rsidRPr="00EE518D">
        <w:rPr>
          <w:b/>
          <w:bCs/>
          <w:sz w:val="22"/>
          <w:szCs w:val="22"/>
          <w:u w:val="single"/>
        </w:rPr>
        <w:t>Example 3 Applicable entity with qualifying TSA exclusions</w:t>
      </w:r>
    </w:p>
    <w:p w14:paraId="57E00B74" w14:textId="77777777" w:rsidR="00EE518D" w:rsidRPr="00EE518D" w:rsidRDefault="00EE518D" w:rsidP="00EE518D">
      <w:pPr>
        <w:jc w:val="both"/>
        <w:rPr>
          <w:b/>
          <w:bCs/>
          <w:sz w:val="22"/>
          <w:szCs w:val="22"/>
          <w:u w:val="single"/>
        </w:rPr>
      </w:pPr>
    </w:p>
    <w:p w14:paraId="2E0FF419" w14:textId="09413847" w:rsidR="002F5E05" w:rsidRPr="002F5E05" w:rsidRDefault="001B19CF" w:rsidP="001B19CF">
      <w:pPr>
        <w:pStyle w:val="ListNumber"/>
        <w:tabs>
          <w:tab w:val="clear" w:pos="360"/>
        </w:tabs>
        <w:spacing w:after="220"/>
        <w:ind w:left="0" w:firstLine="0"/>
        <w:jc w:val="both"/>
        <w:rPr>
          <w:sz w:val="22"/>
          <w:szCs w:val="22"/>
        </w:rPr>
      </w:pPr>
      <w:r>
        <w:rPr>
          <w:color w:val="000000"/>
          <w:sz w:val="22"/>
          <w:szCs w:val="22"/>
        </w:rPr>
        <w:t>The basic facts</w:t>
      </w:r>
      <w:r w:rsidR="002F5E05">
        <w:rPr>
          <w:color w:val="000000"/>
          <w:sz w:val="22"/>
          <w:szCs w:val="22"/>
        </w:rPr>
        <w:t xml:space="preserve"> situation applies. </w:t>
      </w:r>
    </w:p>
    <w:p w14:paraId="455992C7" w14:textId="77777777" w:rsidR="002F5E05" w:rsidRDefault="002F5E05" w:rsidP="002F5E05">
      <w:pPr>
        <w:pStyle w:val="ListNumber"/>
        <w:numPr>
          <w:ilvl w:val="0"/>
          <w:numId w:val="36"/>
        </w:numPr>
        <w:spacing w:after="220"/>
        <w:ind w:hanging="720"/>
        <w:jc w:val="both"/>
        <w:rPr>
          <w:sz w:val="22"/>
          <w:szCs w:val="22"/>
        </w:rPr>
      </w:pPr>
      <w:r>
        <w:rPr>
          <w:sz w:val="22"/>
          <w:szCs w:val="22"/>
        </w:rPr>
        <w:t xml:space="preserve">Similar to Example 1, the reporting entity meets the </w:t>
      </w:r>
      <w:r w:rsidRPr="00EE518D">
        <w:rPr>
          <w:sz w:val="22"/>
          <w:szCs w:val="22"/>
        </w:rPr>
        <w:t>exceeds the first line of the applicable realization threshold limitation in SSAP No. 101, paragraph 11.b. for use of a 3-year applicable period and the limitation of capital and surplus is 15%.</w:t>
      </w:r>
    </w:p>
    <w:p w14:paraId="57579C9F" w14:textId="77777777" w:rsidR="005D2C85" w:rsidRDefault="004E358B" w:rsidP="002F5E05">
      <w:pPr>
        <w:pStyle w:val="ListNumber"/>
        <w:numPr>
          <w:ilvl w:val="0"/>
          <w:numId w:val="36"/>
        </w:numPr>
        <w:spacing w:after="220"/>
        <w:ind w:hanging="720"/>
        <w:jc w:val="both"/>
        <w:rPr>
          <w:sz w:val="22"/>
          <w:szCs w:val="22"/>
        </w:rPr>
      </w:pPr>
      <w:r>
        <w:rPr>
          <w:sz w:val="22"/>
          <w:szCs w:val="22"/>
        </w:rPr>
        <w:t xml:space="preserve">The </w:t>
      </w:r>
      <w:r w:rsidR="00EE518D" w:rsidRPr="00EE518D">
        <w:rPr>
          <w:sz w:val="22"/>
          <w:szCs w:val="22"/>
        </w:rPr>
        <w:t xml:space="preserve">reporting entity </w:t>
      </w:r>
      <w:r>
        <w:rPr>
          <w:sz w:val="22"/>
          <w:szCs w:val="22"/>
        </w:rPr>
        <w:t xml:space="preserve">is </w:t>
      </w:r>
      <w:r w:rsidR="00EE518D" w:rsidRPr="00EE518D">
        <w:rPr>
          <w:sz w:val="22"/>
          <w:szCs w:val="22"/>
        </w:rPr>
        <w:t xml:space="preserve">excluded </w:t>
      </w:r>
      <w:r>
        <w:rPr>
          <w:sz w:val="22"/>
          <w:szCs w:val="22"/>
        </w:rPr>
        <w:t xml:space="preserve">pursuant to the TSA </w:t>
      </w:r>
      <w:r w:rsidR="00EE518D" w:rsidRPr="00EE518D">
        <w:rPr>
          <w:sz w:val="22"/>
          <w:szCs w:val="22"/>
        </w:rPr>
        <w:t>from any allocation of CAMT or CAMT credit utilization</w:t>
      </w:r>
      <w:r>
        <w:rPr>
          <w:sz w:val="22"/>
          <w:szCs w:val="22"/>
        </w:rPr>
        <w:t xml:space="preserve"> in a </w:t>
      </w:r>
      <w:r w:rsidR="005F4556">
        <w:rPr>
          <w:sz w:val="22"/>
          <w:szCs w:val="22"/>
        </w:rPr>
        <w:t xml:space="preserve">qualifying TSA as described in paragraph 11 of this interpretation. </w:t>
      </w:r>
    </w:p>
    <w:p w14:paraId="179D184B" w14:textId="5321447D" w:rsidR="00F66CCB" w:rsidRDefault="005F4556" w:rsidP="005D2C85">
      <w:pPr>
        <w:pStyle w:val="ListNumber"/>
        <w:tabs>
          <w:tab w:val="clear" w:pos="360"/>
        </w:tabs>
        <w:spacing w:after="220"/>
        <w:ind w:left="0" w:firstLine="0"/>
        <w:jc w:val="both"/>
        <w:rPr>
          <w:sz w:val="22"/>
          <w:szCs w:val="22"/>
        </w:rPr>
      </w:pPr>
      <w:r>
        <w:rPr>
          <w:sz w:val="22"/>
          <w:szCs w:val="22"/>
        </w:rPr>
        <w:t>Accordingly</w:t>
      </w:r>
      <w:r w:rsidR="00EE518D" w:rsidRPr="00EE518D">
        <w:rPr>
          <w:sz w:val="22"/>
          <w:szCs w:val="22"/>
        </w:rPr>
        <w:t xml:space="preserve">, </w:t>
      </w:r>
      <w:r>
        <w:rPr>
          <w:sz w:val="22"/>
          <w:szCs w:val="22"/>
        </w:rPr>
        <w:t xml:space="preserve">the </w:t>
      </w:r>
      <w:r w:rsidR="00EE518D" w:rsidRPr="00EE518D">
        <w:rPr>
          <w:sz w:val="22"/>
          <w:szCs w:val="22"/>
        </w:rPr>
        <w:t>reporting entity for 20</w:t>
      </w:r>
      <w:r w:rsidR="001A5C9D">
        <w:rPr>
          <w:sz w:val="22"/>
          <w:szCs w:val="22"/>
        </w:rPr>
        <w:t>x</w:t>
      </w:r>
      <w:r w:rsidR="00EE518D" w:rsidRPr="00EE518D">
        <w:rPr>
          <w:sz w:val="22"/>
          <w:szCs w:val="22"/>
        </w:rPr>
        <w:t xml:space="preserve">3, would be excluded from the </w:t>
      </w:r>
      <w:r w:rsidRPr="00EE518D">
        <w:rPr>
          <w:sz w:val="22"/>
          <w:szCs w:val="22"/>
        </w:rPr>
        <w:t xml:space="preserve">CAMT </w:t>
      </w:r>
      <w:r w:rsidR="00EE518D" w:rsidRPr="00EE518D">
        <w:rPr>
          <w:sz w:val="22"/>
          <w:szCs w:val="22"/>
        </w:rPr>
        <w:t xml:space="preserve">calculations, and </w:t>
      </w:r>
      <w:r w:rsidR="00A47530" w:rsidRPr="00EE518D">
        <w:rPr>
          <w:sz w:val="22"/>
          <w:szCs w:val="22"/>
        </w:rPr>
        <w:t>the reporting</w:t>
      </w:r>
      <w:r w:rsidR="00EE518D" w:rsidRPr="00EE518D">
        <w:rPr>
          <w:sz w:val="22"/>
          <w:szCs w:val="22"/>
        </w:rPr>
        <w:t xml:space="preserve"> entity’s admitted adjusted gross DTA would be $150x.</w:t>
      </w:r>
      <w:r w:rsidR="00DD2726">
        <w:rPr>
          <w:sz w:val="22"/>
          <w:szCs w:val="22"/>
        </w:rPr>
        <w:t xml:space="preserve"> which is the amount after the valuation allowance of $40 and the $50 reduction for the amount not recoverable </w:t>
      </w:r>
      <w:r w:rsidR="007D629A">
        <w:rPr>
          <w:sz w:val="22"/>
          <w:szCs w:val="22"/>
        </w:rPr>
        <w:t>within</w:t>
      </w:r>
      <w:r w:rsidR="00DD2726">
        <w:rPr>
          <w:sz w:val="22"/>
          <w:szCs w:val="22"/>
        </w:rPr>
        <w:t xml:space="preserve"> 3 years</w:t>
      </w:r>
      <w:r w:rsidR="003D6826">
        <w:rPr>
          <w:sz w:val="22"/>
          <w:szCs w:val="22"/>
        </w:rPr>
        <w:t xml:space="preserve">. </w:t>
      </w:r>
    </w:p>
    <w:p w14:paraId="492457AD" w14:textId="762B9F8F" w:rsidR="00EE518D" w:rsidRDefault="00F66CCB" w:rsidP="005D2C85">
      <w:pPr>
        <w:pStyle w:val="ListNumber"/>
        <w:tabs>
          <w:tab w:val="clear" w:pos="360"/>
        </w:tabs>
        <w:spacing w:after="220"/>
        <w:ind w:left="0" w:firstLine="0"/>
        <w:jc w:val="both"/>
        <w:rPr>
          <w:sz w:val="22"/>
          <w:szCs w:val="22"/>
        </w:rPr>
      </w:pPr>
      <w:r>
        <w:rPr>
          <w:rFonts w:cs="Calibri"/>
          <w:sz w:val="22"/>
          <w:szCs w:val="22"/>
        </w:rPr>
        <w:t>The $</w:t>
      </w:r>
      <w:r w:rsidR="003126BE">
        <w:rPr>
          <w:rFonts w:cs="Calibri"/>
          <w:sz w:val="22"/>
          <w:szCs w:val="22"/>
        </w:rPr>
        <w:t xml:space="preserve">150 </w:t>
      </w:r>
      <w:r>
        <w:rPr>
          <w:rFonts w:cs="Calibri"/>
          <w:sz w:val="22"/>
          <w:szCs w:val="22"/>
        </w:rPr>
        <w:t>is less than the $300 15% of surplus limitation in paragraph 11bii., so it is not a limiting factor.</w:t>
      </w:r>
    </w:p>
    <w:tbl>
      <w:tblPr>
        <w:tblW w:w="9540" w:type="dxa"/>
        <w:tblLayout w:type="fixed"/>
        <w:tblLook w:val="04A0" w:firstRow="1" w:lastRow="0" w:firstColumn="1" w:lastColumn="0" w:noHBand="0" w:noVBand="1"/>
      </w:tblPr>
      <w:tblGrid>
        <w:gridCol w:w="2880"/>
        <w:gridCol w:w="630"/>
        <w:gridCol w:w="630"/>
        <w:gridCol w:w="810"/>
        <w:gridCol w:w="990"/>
        <w:gridCol w:w="720"/>
        <w:gridCol w:w="630"/>
        <w:gridCol w:w="900"/>
        <w:gridCol w:w="180"/>
        <w:gridCol w:w="1170"/>
      </w:tblGrid>
      <w:tr w:rsidR="00EE518D" w:rsidRPr="00EE518D" w14:paraId="726AB324" w14:textId="77777777">
        <w:trPr>
          <w:trHeight w:val="1200"/>
        </w:trPr>
        <w:tc>
          <w:tcPr>
            <w:tcW w:w="2880" w:type="dxa"/>
            <w:shd w:val="clear" w:color="auto" w:fill="4472C4"/>
            <w:noWrap/>
            <w:vAlign w:val="bottom"/>
            <w:hideMark/>
          </w:tcPr>
          <w:p w14:paraId="666F9712" w14:textId="77777777" w:rsidR="00EE518D" w:rsidRPr="00EE518D" w:rsidRDefault="00EE518D" w:rsidP="00EE518D">
            <w:pPr>
              <w:rPr>
                <w:rFonts w:ascii="Calibri" w:hAnsi="Calibri" w:cs="Calibri"/>
                <w:color w:val="FFFFFF"/>
                <w:sz w:val="16"/>
                <w:szCs w:val="16"/>
              </w:rPr>
            </w:pPr>
            <w:r w:rsidRPr="00EE518D">
              <w:rPr>
                <w:rFonts w:ascii="Calibri" w:hAnsi="Calibri" w:cs="Calibri"/>
                <w:color w:val="FFFFFF"/>
                <w:sz w:val="16"/>
                <w:szCs w:val="16"/>
              </w:rPr>
              <w:t> </w:t>
            </w:r>
          </w:p>
        </w:tc>
        <w:tc>
          <w:tcPr>
            <w:tcW w:w="630" w:type="dxa"/>
            <w:shd w:val="clear" w:color="auto" w:fill="4472C4"/>
            <w:noWrap/>
            <w:vAlign w:val="bottom"/>
            <w:hideMark/>
          </w:tcPr>
          <w:p w14:paraId="62037829" w14:textId="77777777" w:rsidR="00EE518D" w:rsidRPr="00EE518D" w:rsidRDefault="00EE518D" w:rsidP="00EE518D">
            <w:pPr>
              <w:rPr>
                <w:rFonts w:ascii="Calibri" w:hAnsi="Calibri" w:cs="Calibri"/>
                <w:color w:val="FFFFFF"/>
                <w:sz w:val="16"/>
                <w:szCs w:val="16"/>
              </w:rPr>
            </w:pPr>
            <w:r w:rsidRPr="00EE518D">
              <w:rPr>
                <w:rFonts w:ascii="Calibri" w:hAnsi="Calibri" w:cs="Calibri"/>
                <w:color w:val="FFFFFF"/>
                <w:sz w:val="16"/>
                <w:szCs w:val="16"/>
              </w:rPr>
              <w:t xml:space="preserve"> DTA </w:t>
            </w:r>
          </w:p>
        </w:tc>
        <w:tc>
          <w:tcPr>
            <w:tcW w:w="630" w:type="dxa"/>
            <w:shd w:val="clear" w:color="auto" w:fill="4472C4"/>
            <w:vAlign w:val="bottom"/>
            <w:hideMark/>
          </w:tcPr>
          <w:p w14:paraId="3A25A8F1" w14:textId="77777777" w:rsidR="00EE518D" w:rsidRPr="00EE518D" w:rsidRDefault="00EE518D" w:rsidP="00EE518D">
            <w:pPr>
              <w:rPr>
                <w:rFonts w:ascii="Calibri" w:hAnsi="Calibri" w:cs="Calibri"/>
                <w:color w:val="FFFFFF"/>
                <w:sz w:val="16"/>
                <w:szCs w:val="16"/>
              </w:rPr>
            </w:pPr>
            <w:r w:rsidRPr="00EE518D">
              <w:rPr>
                <w:rFonts w:ascii="Calibri" w:hAnsi="Calibri" w:cs="Calibri"/>
                <w:color w:val="FFFFFF"/>
                <w:sz w:val="16"/>
                <w:szCs w:val="16"/>
              </w:rPr>
              <w:t xml:space="preserve">Valuation Allowance </w:t>
            </w:r>
          </w:p>
        </w:tc>
        <w:tc>
          <w:tcPr>
            <w:tcW w:w="810" w:type="dxa"/>
            <w:shd w:val="clear" w:color="auto" w:fill="4472C4"/>
            <w:vAlign w:val="bottom"/>
            <w:hideMark/>
          </w:tcPr>
          <w:p w14:paraId="51CEFC8B" w14:textId="77777777" w:rsidR="00EE518D" w:rsidRPr="00EE518D" w:rsidRDefault="00EE518D" w:rsidP="00EE518D">
            <w:pPr>
              <w:rPr>
                <w:rFonts w:ascii="Calibri" w:hAnsi="Calibri" w:cs="Calibri"/>
                <w:color w:val="FFFFFF"/>
                <w:sz w:val="16"/>
                <w:szCs w:val="16"/>
              </w:rPr>
            </w:pPr>
            <w:r w:rsidRPr="00EE518D">
              <w:rPr>
                <w:rFonts w:ascii="Calibri" w:hAnsi="Calibri" w:cs="Calibri"/>
                <w:color w:val="FFFFFF"/>
                <w:sz w:val="16"/>
                <w:szCs w:val="16"/>
              </w:rPr>
              <w:t xml:space="preserve">Not Recoverable Within 3 Years </w:t>
            </w:r>
          </w:p>
        </w:tc>
        <w:tc>
          <w:tcPr>
            <w:tcW w:w="990" w:type="dxa"/>
            <w:shd w:val="clear" w:color="auto" w:fill="4472C4"/>
            <w:vAlign w:val="bottom"/>
            <w:hideMark/>
          </w:tcPr>
          <w:p w14:paraId="0CBB35EB" w14:textId="77777777" w:rsidR="00EE518D" w:rsidRPr="00EE518D" w:rsidRDefault="00EE518D" w:rsidP="00EE518D">
            <w:pPr>
              <w:rPr>
                <w:rFonts w:ascii="Calibri" w:hAnsi="Calibri" w:cs="Calibri"/>
                <w:color w:val="FFFFFF"/>
                <w:sz w:val="16"/>
                <w:szCs w:val="16"/>
              </w:rPr>
            </w:pPr>
            <w:r w:rsidRPr="00EE518D">
              <w:rPr>
                <w:rFonts w:ascii="Calibri" w:hAnsi="Calibri" w:cs="Calibri"/>
                <w:color w:val="FFFFFF"/>
                <w:sz w:val="16"/>
                <w:szCs w:val="16"/>
              </w:rPr>
              <w:t>Regular DTA Admitted Standalone</w:t>
            </w:r>
          </w:p>
        </w:tc>
        <w:tc>
          <w:tcPr>
            <w:tcW w:w="720" w:type="dxa"/>
            <w:shd w:val="clear" w:color="auto" w:fill="4472C4"/>
            <w:vAlign w:val="bottom"/>
            <w:hideMark/>
          </w:tcPr>
          <w:p w14:paraId="05102E8C" w14:textId="77777777" w:rsidR="00EE518D" w:rsidRPr="00EE518D" w:rsidRDefault="00EE518D" w:rsidP="00EE518D">
            <w:pPr>
              <w:rPr>
                <w:rFonts w:ascii="Calibri" w:hAnsi="Calibri" w:cs="Calibri"/>
                <w:color w:val="FFFFFF"/>
                <w:sz w:val="16"/>
                <w:szCs w:val="16"/>
              </w:rPr>
            </w:pPr>
            <w:r w:rsidRPr="00EE518D">
              <w:rPr>
                <w:rFonts w:ascii="Calibri" w:hAnsi="Calibri" w:cs="Calibri"/>
                <w:color w:val="FFFFFF"/>
                <w:sz w:val="16"/>
                <w:szCs w:val="16"/>
              </w:rPr>
              <w:t>Impact of Consol. DTA and VA</w:t>
            </w:r>
          </w:p>
        </w:tc>
        <w:tc>
          <w:tcPr>
            <w:tcW w:w="630" w:type="dxa"/>
            <w:shd w:val="clear" w:color="auto" w:fill="4472C4"/>
            <w:vAlign w:val="bottom"/>
            <w:hideMark/>
          </w:tcPr>
          <w:p w14:paraId="58D670D9" w14:textId="77777777" w:rsidR="00EE518D" w:rsidRPr="00EE518D" w:rsidRDefault="00EE518D" w:rsidP="00EE518D">
            <w:pPr>
              <w:rPr>
                <w:rFonts w:ascii="Calibri" w:hAnsi="Calibri" w:cs="Calibri"/>
                <w:color w:val="FFFFFF"/>
                <w:sz w:val="16"/>
                <w:szCs w:val="16"/>
              </w:rPr>
            </w:pPr>
            <w:r w:rsidRPr="00EE518D">
              <w:rPr>
                <w:rFonts w:ascii="Calibri" w:hAnsi="Calibri" w:cs="Calibri"/>
                <w:color w:val="FFFFFF"/>
                <w:sz w:val="16"/>
                <w:szCs w:val="16"/>
              </w:rPr>
              <w:t>Admitted DTA under 11bi</w:t>
            </w:r>
          </w:p>
        </w:tc>
        <w:tc>
          <w:tcPr>
            <w:tcW w:w="900" w:type="dxa"/>
            <w:shd w:val="clear" w:color="auto" w:fill="4472C4"/>
            <w:vAlign w:val="bottom"/>
            <w:hideMark/>
          </w:tcPr>
          <w:p w14:paraId="35B41351" w14:textId="77777777" w:rsidR="00EE518D" w:rsidRPr="00EE518D" w:rsidRDefault="00EE518D" w:rsidP="00EE518D">
            <w:pPr>
              <w:rPr>
                <w:rFonts w:ascii="Calibri" w:hAnsi="Calibri" w:cs="Calibri"/>
                <w:color w:val="FFFFFF"/>
                <w:sz w:val="16"/>
                <w:szCs w:val="16"/>
              </w:rPr>
            </w:pPr>
            <w:r w:rsidRPr="00EE518D">
              <w:rPr>
                <w:rFonts w:ascii="Calibri" w:hAnsi="Calibri" w:cs="Calibri"/>
                <w:color w:val="FFFFFF"/>
                <w:sz w:val="16"/>
                <w:szCs w:val="16"/>
              </w:rPr>
              <w:t>15% surplus limitation under 11bii</w:t>
            </w:r>
          </w:p>
        </w:tc>
        <w:tc>
          <w:tcPr>
            <w:tcW w:w="1350" w:type="dxa"/>
            <w:gridSpan w:val="2"/>
            <w:shd w:val="clear" w:color="auto" w:fill="4472C4"/>
            <w:vAlign w:val="bottom"/>
            <w:hideMark/>
          </w:tcPr>
          <w:p w14:paraId="5855E623" w14:textId="77777777" w:rsidR="00EE518D" w:rsidRPr="00EE518D" w:rsidRDefault="00EE518D" w:rsidP="00EE518D">
            <w:pPr>
              <w:ind w:left="76"/>
              <w:rPr>
                <w:rFonts w:ascii="Calibri" w:hAnsi="Calibri" w:cs="Calibri"/>
                <w:color w:val="FFFFFF"/>
                <w:sz w:val="16"/>
                <w:szCs w:val="16"/>
              </w:rPr>
            </w:pPr>
            <w:r w:rsidRPr="00EE518D">
              <w:rPr>
                <w:rFonts w:ascii="Calibri" w:hAnsi="Calibri" w:cs="Calibri"/>
                <w:color w:val="FFFFFF"/>
                <w:sz w:val="16"/>
                <w:szCs w:val="16"/>
              </w:rPr>
              <w:t>Non-admitted DTAs</w:t>
            </w:r>
          </w:p>
        </w:tc>
      </w:tr>
      <w:tr w:rsidR="00EE518D" w:rsidRPr="00EE518D" w14:paraId="24FA17BC" w14:textId="77777777">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D9E1F2"/>
            <w:noWrap/>
            <w:vAlign w:val="bottom"/>
            <w:hideMark/>
          </w:tcPr>
          <w:p w14:paraId="02675189" w14:textId="77777777" w:rsidR="00EE518D" w:rsidRPr="00EE518D" w:rsidRDefault="00EE518D" w:rsidP="00EE518D">
            <w:pPr>
              <w:rPr>
                <w:rFonts w:ascii="Calibri" w:hAnsi="Calibri" w:cs="Calibri"/>
                <w:color w:val="000000"/>
                <w:sz w:val="18"/>
                <w:szCs w:val="18"/>
              </w:rPr>
            </w:pPr>
            <w:r w:rsidRPr="00EE518D">
              <w:rPr>
                <w:rFonts w:ascii="Calibri" w:hAnsi="Calibri" w:cs="Calibri"/>
                <w:color w:val="000000"/>
                <w:sz w:val="18"/>
                <w:szCs w:val="18"/>
              </w:rPr>
              <w:t xml:space="preserve">DTAs </w:t>
            </w:r>
          </w:p>
        </w:tc>
        <w:tc>
          <w:tcPr>
            <w:tcW w:w="630" w:type="dxa"/>
            <w:tcBorders>
              <w:top w:val="single" w:sz="4" w:space="0" w:color="auto"/>
              <w:left w:val="nil"/>
              <w:bottom w:val="single" w:sz="4" w:space="0" w:color="auto"/>
              <w:right w:val="single" w:sz="4" w:space="0" w:color="auto"/>
            </w:tcBorders>
            <w:shd w:val="clear" w:color="auto" w:fill="D9E1F2"/>
            <w:noWrap/>
            <w:vAlign w:val="bottom"/>
            <w:hideMark/>
          </w:tcPr>
          <w:p w14:paraId="50AFA626" w14:textId="77777777" w:rsidR="00EE518D" w:rsidRPr="00EE518D" w:rsidRDefault="00EE518D" w:rsidP="00EE518D">
            <w:pPr>
              <w:jc w:val="right"/>
              <w:rPr>
                <w:rFonts w:ascii="Calibri" w:hAnsi="Calibri" w:cs="Calibri"/>
                <w:color w:val="000000"/>
                <w:sz w:val="18"/>
                <w:szCs w:val="18"/>
              </w:rPr>
            </w:pPr>
            <w:r w:rsidRPr="00EE518D">
              <w:rPr>
                <w:rFonts w:ascii="Calibri" w:hAnsi="Calibri" w:cs="Calibri"/>
                <w:color w:val="000000"/>
                <w:sz w:val="18"/>
                <w:szCs w:val="18"/>
              </w:rPr>
              <w:t>240</w:t>
            </w:r>
          </w:p>
        </w:tc>
        <w:tc>
          <w:tcPr>
            <w:tcW w:w="630" w:type="dxa"/>
            <w:tcBorders>
              <w:top w:val="single" w:sz="4" w:space="0" w:color="auto"/>
              <w:left w:val="nil"/>
              <w:bottom w:val="single" w:sz="4" w:space="0" w:color="auto"/>
              <w:right w:val="single" w:sz="4" w:space="0" w:color="auto"/>
            </w:tcBorders>
            <w:shd w:val="clear" w:color="auto" w:fill="D9E1F2"/>
            <w:noWrap/>
            <w:vAlign w:val="bottom"/>
            <w:hideMark/>
          </w:tcPr>
          <w:p w14:paraId="7D85CE2E" w14:textId="77777777" w:rsidR="00EE518D" w:rsidRPr="00EE518D" w:rsidRDefault="00EE518D" w:rsidP="00EE518D">
            <w:pPr>
              <w:jc w:val="right"/>
              <w:rPr>
                <w:rFonts w:ascii="Calibri" w:hAnsi="Calibri" w:cs="Calibri"/>
                <w:color w:val="000000"/>
                <w:sz w:val="18"/>
                <w:szCs w:val="18"/>
              </w:rPr>
            </w:pPr>
          </w:p>
          <w:p w14:paraId="1143AB68" w14:textId="77777777" w:rsidR="00EE518D" w:rsidRPr="00EE518D" w:rsidRDefault="00EE518D" w:rsidP="00EE518D">
            <w:pPr>
              <w:jc w:val="right"/>
              <w:rPr>
                <w:rFonts w:ascii="Calibri" w:hAnsi="Calibri" w:cs="Calibri"/>
                <w:color w:val="000000"/>
                <w:sz w:val="18"/>
                <w:szCs w:val="18"/>
              </w:rPr>
            </w:pPr>
            <w:r w:rsidRPr="00EE518D">
              <w:rPr>
                <w:rFonts w:ascii="Calibri" w:hAnsi="Calibri" w:cs="Calibri"/>
                <w:color w:val="000000"/>
                <w:sz w:val="18"/>
                <w:szCs w:val="18"/>
              </w:rPr>
              <w:t> -40</w:t>
            </w:r>
          </w:p>
          <w:p w14:paraId="6C136F73" w14:textId="77777777" w:rsidR="00EE518D" w:rsidRPr="00EE518D" w:rsidRDefault="00EE518D" w:rsidP="00EE518D">
            <w:pPr>
              <w:jc w:val="right"/>
              <w:rPr>
                <w:rFonts w:ascii="Calibri" w:hAnsi="Calibri" w:cs="Calibri"/>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D9E1F2"/>
            <w:noWrap/>
            <w:vAlign w:val="bottom"/>
            <w:hideMark/>
          </w:tcPr>
          <w:p w14:paraId="40A7713C" w14:textId="77777777" w:rsidR="00EE518D" w:rsidRPr="00EE518D" w:rsidRDefault="00EE518D" w:rsidP="00EE518D">
            <w:pPr>
              <w:jc w:val="right"/>
              <w:rPr>
                <w:rFonts w:ascii="Calibri" w:hAnsi="Calibri" w:cs="Calibri"/>
                <w:color w:val="000000"/>
                <w:sz w:val="18"/>
                <w:szCs w:val="18"/>
              </w:rPr>
            </w:pPr>
            <w:r w:rsidRPr="00EE518D">
              <w:rPr>
                <w:rFonts w:ascii="Calibri" w:hAnsi="Calibri" w:cs="Calibri"/>
                <w:color w:val="000000"/>
                <w:sz w:val="18"/>
                <w:szCs w:val="18"/>
              </w:rPr>
              <w:t>-50</w:t>
            </w:r>
          </w:p>
        </w:tc>
        <w:tc>
          <w:tcPr>
            <w:tcW w:w="990" w:type="dxa"/>
            <w:tcBorders>
              <w:top w:val="single" w:sz="4" w:space="0" w:color="auto"/>
              <w:left w:val="nil"/>
              <w:bottom w:val="single" w:sz="4" w:space="0" w:color="auto"/>
              <w:right w:val="single" w:sz="4" w:space="0" w:color="auto"/>
            </w:tcBorders>
            <w:shd w:val="clear" w:color="auto" w:fill="D9E1F2"/>
            <w:noWrap/>
            <w:vAlign w:val="bottom"/>
            <w:hideMark/>
          </w:tcPr>
          <w:p w14:paraId="72AFD858" w14:textId="77777777" w:rsidR="00EE518D" w:rsidRPr="00EE518D" w:rsidRDefault="00EE518D" w:rsidP="00EE518D">
            <w:pPr>
              <w:jc w:val="right"/>
              <w:rPr>
                <w:rFonts w:ascii="Calibri" w:hAnsi="Calibri" w:cs="Calibri"/>
                <w:color w:val="000000"/>
                <w:sz w:val="18"/>
                <w:szCs w:val="18"/>
              </w:rPr>
            </w:pPr>
            <w:r w:rsidRPr="00EE518D">
              <w:rPr>
                <w:rFonts w:ascii="Calibri" w:hAnsi="Calibri" w:cs="Calibri"/>
                <w:color w:val="000000"/>
                <w:sz w:val="18"/>
                <w:szCs w:val="18"/>
              </w:rPr>
              <w:t>150</w:t>
            </w:r>
          </w:p>
        </w:tc>
        <w:tc>
          <w:tcPr>
            <w:tcW w:w="720" w:type="dxa"/>
            <w:tcBorders>
              <w:top w:val="single" w:sz="4" w:space="0" w:color="auto"/>
              <w:left w:val="nil"/>
              <w:bottom w:val="single" w:sz="4" w:space="0" w:color="auto"/>
              <w:right w:val="single" w:sz="4" w:space="0" w:color="auto"/>
            </w:tcBorders>
            <w:shd w:val="clear" w:color="auto" w:fill="D9E1F2"/>
            <w:noWrap/>
            <w:vAlign w:val="bottom"/>
            <w:hideMark/>
          </w:tcPr>
          <w:p w14:paraId="5F0BA818" w14:textId="77777777" w:rsidR="00EE518D" w:rsidRPr="00EE518D" w:rsidRDefault="00EE518D" w:rsidP="00EE518D">
            <w:pPr>
              <w:jc w:val="right"/>
              <w:rPr>
                <w:rFonts w:ascii="Calibri" w:hAnsi="Calibri" w:cs="Calibri"/>
                <w:color w:val="000000"/>
                <w:sz w:val="18"/>
                <w:szCs w:val="18"/>
              </w:rPr>
            </w:pPr>
          </w:p>
        </w:tc>
        <w:tc>
          <w:tcPr>
            <w:tcW w:w="630" w:type="dxa"/>
            <w:tcBorders>
              <w:top w:val="single" w:sz="4" w:space="0" w:color="auto"/>
              <w:left w:val="nil"/>
              <w:bottom w:val="single" w:sz="4" w:space="0" w:color="auto"/>
              <w:right w:val="single" w:sz="4" w:space="0" w:color="auto"/>
            </w:tcBorders>
            <w:shd w:val="clear" w:color="auto" w:fill="D9E1F2"/>
            <w:noWrap/>
            <w:vAlign w:val="bottom"/>
            <w:hideMark/>
          </w:tcPr>
          <w:p w14:paraId="5D3C91EF" w14:textId="77777777" w:rsidR="00EE518D" w:rsidRPr="00EE518D" w:rsidRDefault="00EE518D" w:rsidP="00EE518D">
            <w:pPr>
              <w:ind w:hanging="107"/>
              <w:jc w:val="right"/>
              <w:rPr>
                <w:rFonts w:ascii="Calibri" w:hAnsi="Calibri" w:cs="Calibri"/>
                <w:color w:val="000000"/>
                <w:sz w:val="18"/>
                <w:szCs w:val="18"/>
              </w:rPr>
            </w:pPr>
            <w:r w:rsidRPr="00EE518D">
              <w:rPr>
                <w:rFonts w:ascii="Calibri" w:hAnsi="Calibri" w:cs="Calibri"/>
                <w:color w:val="000000"/>
                <w:sz w:val="18"/>
                <w:szCs w:val="18"/>
              </w:rPr>
              <w:t>150</w:t>
            </w:r>
          </w:p>
        </w:tc>
        <w:tc>
          <w:tcPr>
            <w:tcW w:w="1080" w:type="dxa"/>
            <w:gridSpan w:val="2"/>
            <w:tcBorders>
              <w:top w:val="single" w:sz="4" w:space="0" w:color="auto"/>
              <w:left w:val="nil"/>
              <w:bottom w:val="single" w:sz="4" w:space="0" w:color="auto"/>
              <w:right w:val="single" w:sz="4" w:space="0" w:color="auto"/>
            </w:tcBorders>
            <w:shd w:val="clear" w:color="auto" w:fill="D9E1F2"/>
            <w:noWrap/>
            <w:vAlign w:val="bottom"/>
            <w:hideMark/>
          </w:tcPr>
          <w:p w14:paraId="77B76945" w14:textId="77777777" w:rsidR="00EE518D" w:rsidRPr="00EE518D" w:rsidRDefault="00EE518D" w:rsidP="00EE518D">
            <w:pPr>
              <w:jc w:val="right"/>
              <w:rPr>
                <w:rFonts w:ascii="Calibri" w:hAnsi="Calibri" w:cs="Calibri"/>
                <w:color w:val="000000"/>
                <w:sz w:val="18"/>
                <w:szCs w:val="18"/>
              </w:rPr>
            </w:pPr>
            <w:r w:rsidRPr="00EE518D">
              <w:rPr>
                <w:rFonts w:ascii="Calibri" w:hAnsi="Calibri" w:cs="Calibri"/>
                <w:color w:val="000000"/>
                <w:sz w:val="18"/>
                <w:szCs w:val="18"/>
              </w:rPr>
              <w:t> </w:t>
            </w:r>
          </w:p>
        </w:tc>
        <w:tc>
          <w:tcPr>
            <w:tcW w:w="1170" w:type="dxa"/>
            <w:tcBorders>
              <w:top w:val="single" w:sz="4" w:space="0" w:color="auto"/>
              <w:left w:val="nil"/>
              <w:bottom w:val="single" w:sz="4" w:space="0" w:color="auto"/>
              <w:right w:val="single" w:sz="4" w:space="0" w:color="auto"/>
            </w:tcBorders>
            <w:shd w:val="clear" w:color="auto" w:fill="D9E1F2"/>
            <w:noWrap/>
            <w:vAlign w:val="bottom"/>
            <w:hideMark/>
          </w:tcPr>
          <w:p w14:paraId="524E680A" w14:textId="77777777" w:rsidR="00EE518D" w:rsidRPr="00EE518D" w:rsidRDefault="00EE518D" w:rsidP="00EE518D">
            <w:pPr>
              <w:jc w:val="right"/>
              <w:rPr>
                <w:rFonts w:ascii="Calibri" w:hAnsi="Calibri" w:cs="Calibri"/>
                <w:color w:val="000000"/>
                <w:sz w:val="18"/>
                <w:szCs w:val="18"/>
              </w:rPr>
            </w:pPr>
            <w:r w:rsidRPr="00EE518D">
              <w:rPr>
                <w:rFonts w:ascii="Calibri" w:hAnsi="Calibri" w:cs="Calibri"/>
                <w:color w:val="000000"/>
                <w:sz w:val="18"/>
                <w:szCs w:val="18"/>
              </w:rPr>
              <w:t>50</w:t>
            </w:r>
          </w:p>
        </w:tc>
      </w:tr>
      <w:tr w:rsidR="00EE518D" w:rsidRPr="00EE518D" w14:paraId="6F11FDDE" w14:textId="77777777">
        <w:trPr>
          <w:trHeight w:val="315"/>
        </w:trPr>
        <w:tc>
          <w:tcPr>
            <w:tcW w:w="2880" w:type="dxa"/>
            <w:tcBorders>
              <w:top w:val="nil"/>
              <w:left w:val="single" w:sz="4" w:space="0" w:color="auto"/>
              <w:bottom w:val="single" w:sz="4" w:space="0" w:color="auto"/>
              <w:right w:val="single" w:sz="4" w:space="0" w:color="auto"/>
            </w:tcBorders>
            <w:noWrap/>
            <w:vAlign w:val="bottom"/>
            <w:hideMark/>
          </w:tcPr>
          <w:p w14:paraId="296D4171" w14:textId="77777777" w:rsidR="00EE518D" w:rsidRPr="00EE518D" w:rsidRDefault="00EE518D" w:rsidP="00EE518D">
            <w:pPr>
              <w:rPr>
                <w:rFonts w:ascii="Calibri" w:hAnsi="Calibri" w:cs="Calibri"/>
                <w:color w:val="000000"/>
                <w:sz w:val="18"/>
                <w:szCs w:val="18"/>
              </w:rPr>
            </w:pPr>
            <w:r w:rsidRPr="00EE518D">
              <w:rPr>
                <w:rFonts w:ascii="Calibri" w:hAnsi="Calibri" w:cs="Calibri"/>
                <w:color w:val="000000"/>
                <w:sz w:val="18"/>
                <w:szCs w:val="18"/>
              </w:rPr>
              <w:t>CAMT credit DTA (excluded)</w:t>
            </w:r>
          </w:p>
        </w:tc>
        <w:tc>
          <w:tcPr>
            <w:tcW w:w="630" w:type="dxa"/>
            <w:tcBorders>
              <w:top w:val="single" w:sz="4" w:space="0" w:color="auto"/>
              <w:left w:val="nil"/>
              <w:bottom w:val="single" w:sz="4" w:space="0" w:color="auto"/>
              <w:right w:val="single" w:sz="4" w:space="0" w:color="auto"/>
            </w:tcBorders>
            <w:noWrap/>
            <w:vAlign w:val="bottom"/>
            <w:hideMark/>
          </w:tcPr>
          <w:p w14:paraId="5F746417" w14:textId="77777777" w:rsidR="00EE518D" w:rsidRPr="00EE518D" w:rsidRDefault="00EE518D" w:rsidP="00EE518D">
            <w:pPr>
              <w:jc w:val="right"/>
              <w:rPr>
                <w:rFonts w:ascii="Calibri" w:hAnsi="Calibri" w:cs="Calibri"/>
                <w:color w:val="000000"/>
                <w:sz w:val="18"/>
                <w:szCs w:val="18"/>
                <w:u w:val="single"/>
              </w:rPr>
            </w:pPr>
            <w:r w:rsidRPr="00EE518D">
              <w:rPr>
                <w:rFonts w:ascii="Calibri" w:hAnsi="Calibri" w:cs="Calibri"/>
                <w:color w:val="000000"/>
                <w:sz w:val="18"/>
                <w:szCs w:val="18"/>
                <w:u w:val="single"/>
              </w:rPr>
              <w:t>0</w:t>
            </w:r>
          </w:p>
        </w:tc>
        <w:tc>
          <w:tcPr>
            <w:tcW w:w="630" w:type="dxa"/>
            <w:tcBorders>
              <w:top w:val="single" w:sz="4" w:space="0" w:color="auto"/>
              <w:left w:val="nil"/>
              <w:bottom w:val="single" w:sz="4" w:space="0" w:color="auto"/>
              <w:right w:val="single" w:sz="4" w:space="0" w:color="auto"/>
            </w:tcBorders>
            <w:noWrap/>
            <w:vAlign w:val="bottom"/>
          </w:tcPr>
          <w:p w14:paraId="0F30B09B" w14:textId="77777777" w:rsidR="00EE518D" w:rsidRPr="00EE518D" w:rsidRDefault="00EE518D" w:rsidP="00EE518D">
            <w:pPr>
              <w:jc w:val="right"/>
              <w:rPr>
                <w:rFonts w:ascii="Calibri" w:hAnsi="Calibri" w:cs="Calibri"/>
                <w:color w:val="000000"/>
                <w:sz w:val="18"/>
                <w:szCs w:val="18"/>
                <w:u w:val="single"/>
              </w:rPr>
            </w:pPr>
          </w:p>
        </w:tc>
        <w:tc>
          <w:tcPr>
            <w:tcW w:w="810" w:type="dxa"/>
            <w:tcBorders>
              <w:top w:val="single" w:sz="4" w:space="0" w:color="auto"/>
              <w:left w:val="nil"/>
              <w:bottom w:val="single" w:sz="4" w:space="0" w:color="auto"/>
              <w:right w:val="single" w:sz="4" w:space="0" w:color="auto"/>
            </w:tcBorders>
            <w:noWrap/>
            <w:vAlign w:val="bottom"/>
          </w:tcPr>
          <w:p w14:paraId="59F3F383" w14:textId="77777777" w:rsidR="00EE518D" w:rsidRPr="00EE518D" w:rsidRDefault="00EE518D" w:rsidP="00EE518D">
            <w:pPr>
              <w:jc w:val="right"/>
              <w:rPr>
                <w:rFonts w:ascii="Calibri" w:hAnsi="Calibri" w:cs="Calibri"/>
                <w:color w:val="000000"/>
                <w:sz w:val="18"/>
                <w:szCs w:val="18"/>
                <w:u w:val="single"/>
              </w:rPr>
            </w:pPr>
          </w:p>
        </w:tc>
        <w:tc>
          <w:tcPr>
            <w:tcW w:w="990" w:type="dxa"/>
            <w:tcBorders>
              <w:top w:val="single" w:sz="4" w:space="0" w:color="auto"/>
              <w:left w:val="nil"/>
              <w:bottom w:val="single" w:sz="4" w:space="0" w:color="auto"/>
              <w:right w:val="single" w:sz="4" w:space="0" w:color="auto"/>
            </w:tcBorders>
            <w:noWrap/>
            <w:vAlign w:val="bottom"/>
          </w:tcPr>
          <w:p w14:paraId="7ED1D42F" w14:textId="77777777" w:rsidR="00EE518D" w:rsidRPr="00EE518D" w:rsidRDefault="00EE518D" w:rsidP="00EE518D">
            <w:pPr>
              <w:jc w:val="right"/>
              <w:rPr>
                <w:rFonts w:ascii="Calibri" w:hAnsi="Calibri" w:cs="Calibri"/>
                <w:color w:val="000000"/>
                <w:sz w:val="18"/>
                <w:szCs w:val="18"/>
                <w:u w:val="single"/>
              </w:rPr>
            </w:pPr>
          </w:p>
        </w:tc>
        <w:tc>
          <w:tcPr>
            <w:tcW w:w="720" w:type="dxa"/>
            <w:tcBorders>
              <w:top w:val="single" w:sz="4" w:space="0" w:color="auto"/>
              <w:left w:val="nil"/>
              <w:bottom w:val="single" w:sz="4" w:space="0" w:color="auto"/>
              <w:right w:val="single" w:sz="4" w:space="0" w:color="auto"/>
            </w:tcBorders>
            <w:noWrap/>
            <w:vAlign w:val="bottom"/>
          </w:tcPr>
          <w:p w14:paraId="52C608FB" w14:textId="77777777" w:rsidR="00EE518D" w:rsidRPr="00EE518D" w:rsidRDefault="00EE518D" w:rsidP="00EE518D">
            <w:pPr>
              <w:jc w:val="right"/>
              <w:rPr>
                <w:rFonts w:ascii="Calibri" w:hAnsi="Calibri" w:cs="Calibri"/>
                <w:color w:val="000000"/>
                <w:sz w:val="18"/>
                <w:szCs w:val="18"/>
                <w:u w:val="single"/>
              </w:rPr>
            </w:pPr>
          </w:p>
        </w:tc>
        <w:tc>
          <w:tcPr>
            <w:tcW w:w="630" w:type="dxa"/>
            <w:tcBorders>
              <w:top w:val="single" w:sz="4" w:space="0" w:color="auto"/>
              <w:left w:val="nil"/>
              <w:bottom w:val="single" w:sz="4" w:space="0" w:color="auto"/>
              <w:right w:val="single" w:sz="4" w:space="0" w:color="auto"/>
            </w:tcBorders>
            <w:noWrap/>
            <w:vAlign w:val="bottom"/>
          </w:tcPr>
          <w:p w14:paraId="12537368" w14:textId="77777777" w:rsidR="00EE518D" w:rsidRPr="00EE518D" w:rsidRDefault="00EE518D" w:rsidP="00EE518D">
            <w:pPr>
              <w:jc w:val="right"/>
              <w:rPr>
                <w:rFonts w:ascii="Calibri" w:hAnsi="Calibri" w:cs="Calibri"/>
                <w:color w:val="000000"/>
                <w:sz w:val="18"/>
                <w:szCs w:val="18"/>
                <w:u w:val="single"/>
              </w:rPr>
            </w:pPr>
          </w:p>
        </w:tc>
        <w:tc>
          <w:tcPr>
            <w:tcW w:w="1080" w:type="dxa"/>
            <w:gridSpan w:val="2"/>
            <w:tcBorders>
              <w:top w:val="single" w:sz="4" w:space="0" w:color="auto"/>
              <w:left w:val="nil"/>
              <w:bottom w:val="single" w:sz="4" w:space="0" w:color="auto"/>
              <w:right w:val="single" w:sz="4" w:space="0" w:color="auto"/>
            </w:tcBorders>
            <w:noWrap/>
            <w:vAlign w:val="bottom"/>
            <w:hideMark/>
          </w:tcPr>
          <w:p w14:paraId="267F17AD" w14:textId="77777777" w:rsidR="00EE518D" w:rsidRPr="00EE518D" w:rsidRDefault="00EE518D" w:rsidP="00EE518D">
            <w:pPr>
              <w:jc w:val="right"/>
              <w:rPr>
                <w:rFonts w:ascii="Calibri" w:hAnsi="Calibri" w:cs="Calibri"/>
                <w:color w:val="000000"/>
                <w:sz w:val="18"/>
                <w:szCs w:val="18"/>
                <w:u w:val="single"/>
              </w:rPr>
            </w:pPr>
            <w:r w:rsidRPr="00EE518D">
              <w:rPr>
                <w:rFonts w:ascii="Calibri" w:hAnsi="Calibri" w:cs="Calibri"/>
                <w:color w:val="000000"/>
                <w:sz w:val="18"/>
                <w:szCs w:val="18"/>
                <w:u w:val="single"/>
              </w:rPr>
              <w:t> </w:t>
            </w:r>
          </w:p>
        </w:tc>
        <w:tc>
          <w:tcPr>
            <w:tcW w:w="1170" w:type="dxa"/>
            <w:tcBorders>
              <w:top w:val="single" w:sz="4" w:space="0" w:color="auto"/>
              <w:left w:val="nil"/>
              <w:bottom w:val="single" w:sz="4" w:space="0" w:color="auto"/>
              <w:right w:val="single" w:sz="4" w:space="0" w:color="auto"/>
            </w:tcBorders>
            <w:noWrap/>
            <w:vAlign w:val="bottom"/>
            <w:hideMark/>
          </w:tcPr>
          <w:p w14:paraId="74BC18D8" w14:textId="77777777" w:rsidR="00EE518D" w:rsidRPr="00EE518D" w:rsidRDefault="00EE518D" w:rsidP="00EE518D">
            <w:pPr>
              <w:jc w:val="right"/>
              <w:rPr>
                <w:rFonts w:ascii="Calibri" w:hAnsi="Calibri" w:cs="Calibri"/>
                <w:color w:val="000000"/>
                <w:sz w:val="18"/>
                <w:szCs w:val="18"/>
                <w:u w:val="single"/>
              </w:rPr>
            </w:pPr>
            <w:r w:rsidRPr="00EE518D">
              <w:rPr>
                <w:rFonts w:ascii="Calibri" w:hAnsi="Calibri" w:cs="Calibri"/>
                <w:color w:val="000000"/>
                <w:sz w:val="18"/>
                <w:szCs w:val="18"/>
                <w:u w:val="single"/>
              </w:rPr>
              <w:t> </w:t>
            </w:r>
          </w:p>
        </w:tc>
      </w:tr>
      <w:tr w:rsidR="00EE518D" w:rsidRPr="00EE518D" w14:paraId="5B3F663E" w14:textId="77777777">
        <w:trPr>
          <w:trHeight w:val="250"/>
        </w:trPr>
        <w:tc>
          <w:tcPr>
            <w:tcW w:w="2880" w:type="dxa"/>
            <w:tcBorders>
              <w:top w:val="nil"/>
              <w:left w:val="single" w:sz="4" w:space="0" w:color="auto"/>
              <w:bottom w:val="single" w:sz="4" w:space="0" w:color="auto"/>
              <w:right w:val="single" w:sz="4" w:space="0" w:color="auto"/>
            </w:tcBorders>
            <w:shd w:val="clear" w:color="auto" w:fill="D9E1F2"/>
            <w:noWrap/>
            <w:vAlign w:val="bottom"/>
            <w:hideMark/>
          </w:tcPr>
          <w:p w14:paraId="204520F7" w14:textId="77777777" w:rsidR="00EE518D" w:rsidRPr="00EE518D" w:rsidRDefault="00EE518D" w:rsidP="00EE518D">
            <w:pPr>
              <w:rPr>
                <w:rFonts w:ascii="Calibri" w:hAnsi="Calibri" w:cs="Calibri"/>
                <w:b/>
                <w:bCs/>
                <w:color w:val="000000"/>
                <w:sz w:val="18"/>
                <w:szCs w:val="18"/>
              </w:rPr>
            </w:pPr>
            <w:r w:rsidRPr="00EE518D">
              <w:rPr>
                <w:rFonts w:ascii="Calibri" w:hAnsi="Calibri" w:cs="Calibri"/>
                <w:b/>
                <w:bCs/>
                <w:color w:val="000000"/>
                <w:sz w:val="18"/>
                <w:szCs w:val="18"/>
              </w:rPr>
              <w:t xml:space="preserve">totals </w:t>
            </w:r>
          </w:p>
        </w:tc>
        <w:tc>
          <w:tcPr>
            <w:tcW w:w="630" w:type="dxa"/>
            <w:tcBorders>
              <w:top w:val="single" w:sz="4" w:space="0" w:color="auto"/>
              <w:left w:val="nil"/>
              <w:bottom w:val="single" w:sz="4" w:space="0" w:color="auto"/>
              <w:right w:val="single" w:sz="4" w:space="0" w:color="auto"/>
            </w:tcBorders>
            <w:shd w:val="clear" w:color="auto" w:fill="D9E1F2"/>
            <w:noWrap/>
            <w:vAlign w:val="bottom"/>
            <w:hideMark/>
          </w:tcPr>
          <w:p w14:paraId="170E6C30" w14:textId="77777777" w:rsidR="00EE518D" w:rsidRPr="00EE518D" w:rsidRDefault="00EE518D" w:rsidP="00EE518D">
            <w:pPr>
              <w:jc w:val="right"/>
              <w:rPr>
                <w:rFonts w:ascii="Calibri" w:hAnsi="Calibri" w:cs="Calibri"/>
                <w:b/>
                <w:bCs/>
                <w:color w:val="000000"/>
                <w:sz w:val="18"/>
                <w:szCs w:val="18"/>
              </w:rPr>
            </w:pPr>
            <w:r w:rsidRPr="00EE518D">
              <w:rPr>
                <w:rFonts w:ascii="Calibri" w:hAnsi="Calibri" w:cs="Calibri"/>
                <w:b/>
                <w:bCs/>
                <w:color w:val="000000"/>
                <w:sz w:val="18"/>
                <w:szCs w:val="18"/>
              </w:rPr>
              <w:t>240</w:t>
            </w:r>
          </w:p>
        </w:tc>
        <w:tc>
          <w:tcPr>
            <w:tcW w:w="630" w:type="dxa"/>
            <w:tcBorders>
              <w:top w:val="single" w:sz="4" w:space="0" w:color="auto"/>
              <w:left w:val="nil"/>
              <w:bottom w:val="single" w:sz="4" w:space="0" w:color="auto"/>
              <w:right w:val="single" w:sz="4" w:space="0" w:color="auto"/>
            </w:tcBorders>
            <w:shd w:val="clear" w:color="auto" w:fill="D9E1F2"/>
            <w:noWrap/>
            <w:vAlign w:val="bottom"/>
            <w:hideMark/>
          </w:tcPr>
          <w:p w14:paraId="1F5939B8" w14:textId="77777777" w:rsidR="00EE518D" w:rsidRPr="00EE518D" w:rsidRDefault="00EE518D" w:rsidP="00EE518D">
            <w:pPr>
              <w:jc w:val="right"/>
              <w:rPr>
                <w:rFonts w:ascii="Calibri" w:hAnsi="Calibri" w:cs="Calibri"/>
                <w:b/>
                <w:bCs/>
                <w:color w:val="000000"/>
                <w:sz w:val="18"/>
                <w:szCs w:val="18"/>
              </w:rPr>
            </w:pPr>
            <w:r w:rsidRPr="00EE518D">
              <w:rPr>
                <w:rFonts w:ascii="Calibri" w:hAnsi="Calibri" w:cs="Calibri"/>
                <w:b/>
                <w:bCs/>
                <w:color w:val="000000"/>
                <w:sz w:val="18"/>
                <w:szCs w:val="18"/>
              </w:rPr>
              <w:t>-40</w:t>
            </w:r>
          </w:p>
        </w:tc>
        <w:tc>
          <w:tcPr>
            <w:tcW w:w="810" w:type="dxa"/>
            <w:tcBorders>
              <w:top w:val="single" w:sz="4" w:space="0" w:color="auto"/>
              <w:left w:val="nil"/>
              <w:bottom w:val="single" w:sz="4" w:space="0" w:color="auto"/>
              <w:right w:val="single" w:sz="4" w:space="0" w:color="auto"/>
            </w:tcBorders>
            <w:shd w:val="clear" w:color="auto" w:fill="D9E1F2"/>
            <w:noWrap/>
            <w:vAlign w:val="bottom"/>
            <w:hideMark/>
          </w:tcPr>
          <w:p w14:paraId="3D07F7E0" w14:textId="77777777" w:rsidR="00EE518D" w:rsidRPr="00EE518D" w:rsidRDefault="00EE518D" w:rsidP="00EE518D">
            <w:pPr>
              <w:jc w:val="right"/>
              <w:rPr>
                <w:rFonts w:ascii="Calibri" w:hAnsi="Calibri" w:cs="Calibri"/>
                <w:b/>
                <w:bCs/>
                <w:color w:val="000000"/>
                <w:sz w:val="18"/>
                <w:szCs w:val="18"/>
              </w:rPr>
            </w:pPr>
            <w:r w:rsidRPr="00EE518D">
              <w:rPr>
                <w:rFonts w:ascii="Calibri" w:hAnsi="Calibri" w:cs="Calibri"/>
                <w:b/>
                <w:bCs/>
                <w:color w:val="000000"/>
                <w:sz w:val="18"/>
                <w:szCs w:val="18"/>
              </w:rPr>
              <w:t>-50</w:t>
            </w:r>
          </w:p>
        </w:tc>
        <w:tc>
          <w:tcPr>
            <w:tcW w:w="990" w:type="dxa"/>
            <w:tcBorders>
              <w:top w:val="single" w:sz="4" w:space="0" w:color="auto"/>
              <w:left w:val="nil"/>
              <w:bottom w:val="single" w:sz="4" w:space="0" w:color="auto"/>
              <w:right w:val="single" w:sz="4" w:space="0" w:color="auto"/>
            </w:tcBorders>
            <w:shd w:val="clear" w:color="auto" w:fill="D9E1F2"/>
            <w:noWrap/>
            <w:vAlign w:val="bottom"/>
            <w:hideMark/>
          </w:tcPr>
          <w:p w14:paraId="75BD1068" w14:textId="77777777" w:rsidR="00EE518D" w:rsidRPr="00EE518D" w:rsidRDefault="00EE518D" w:rsidP="00EE518D">
            <w:pPr>
              <w:jc w:val="right"/>
              <w:rPr>
                <w:rFonts w:ascii="Calibri" w:hAnsi="Calibri" w:cs="Calibri"/>
                <w:b/>
                <w:bCs/>
                <w:color w:val="000000"/>
                <w:sz w:val="18"/>
                <w:szCs w:val="18"/>
              </w:rPr>
            </w:pPr>
            <w:r w:rsidRPr="00EE518D">
              <w:rPr>
                <w:rFonts w:ascii="Calibri" w:hAnsi="Calibri" w:cs="Calibri"/>
                <w:b/>
                <w:bCs/>
                <w:color w:val="000000"/>
                <w:sz w:val="18"/>
                <w:szCs w:val="18"/>
              </w:rPr>
              <w:t>150</w:t>
            </w:r>
          </w:p>
        </w:tc>
        <w:tc>
          <w:tcPr>
            <w:tcW w:w="720" w:type="dxa"/>
            <w:tcBorders>
              <w:top w:val="single" w:sz="4" w:space="0" w:color="auto"/>
              <w:left w:val="nil"/>
              <w:bottom w:val="single" w:sz="4" w:space="0" w:color="auto"/>
              <w:right w:val="single" w:sz="4" w:space="0" w:color="auto"/>
            </w:tcBorders>
            <w:shd w:val="clear" w:color="auto" w:fill="D9E1F2"/>
            <w:noWrap/>
            <w:vAlign w:val="bottom"/>
            <w:hideMark/>
          </w:tcPr>
          <w:p w14:paraId="712B6349" w14:textId="77777777" w:rsidR="00EE518D" w:rsidRPr="00EE518D" w:rsidRDefault="00EE518D" w:rsidP="00EE518D">
            <w:pPr>
              <w:jc w:val="right"/>
              <w:rPr>
                <w:rFonts w:ascii="Calibri" w:hAnsi="Calibri" w:cs="Calibri"/>
                <w:b/>
                <w:bCs/>
                <w:color w:val="000000"/>
                <w:sz w:val="18"/>
                <w:szCs w:val="18"/>
              </w:rPr>
            </w:pPr>
          </w:p>
        </w:tc>
        <w:tc>
          <w:tcPr>
            <w:tcW w:w="63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288CCAF3" w14:textId="77777777" w:rsidR="00EE518D" w:rsidRPr="00EE518D" w:rsidRDefault="00EE518D" w:rsidP="00EE518D">
            <w:pPr>
              <w:jc w:val="right"/>
              <w:rPr>
                <w:rFonts w:ascii="Calibri" w:hAnsi="Calibri" w:cs="Calibri"/>
                <w:b/>
                <w:bCs/>
                <w:color w:val="000000"/>
                <w:sz w:val="18"/>
                <w:szCs w:val="18"/>
              </w:rPr>
            </w:pPr>
            <w:r w:rsidRPr="00EE518D">
              <w:rPr>
                <w:noProof/>
              </w:rPr>
              <mc:AlternateContent>
                <mc:Choice Requires="wps">
                  <w:drawing>
                    <wp:anchor distT="0" distB="0" distL="114300" distR="114300" simplePos="0" relativeHeight="251658240" behindDoc="0" locked="0" layoutInCell="1" allowOverlap="1" wp14:anchorId="0EDE35F1" wp14:editId="7DC81AA4">
                      <wp:simplePos x="0" y="0"/>
                      <wp:positionH relativeFrom="column">
                        <wp:posOffset>-64770</wp:posOffset>
                      </wp:positionH>
                      <wp:positionV relativeFrom="paragraph">
                        <wp:posOffset>-15240</wp:posOffset>
                      </wp:positionV>
                      <wp:extent cx="468630" cy="235585"/>
                      <wp:effectExtent l="0" t="0" r="26670" b="12065"/>
                      <wp:wrapNone/>
                      <wp:docPr id="1521095319" name="Oval 1521095319"/>
                      <wp:cNvGraphicFramePr/>
                      <a:graphic xmlns:a="http://schemas.openxmlformats.org/drawingml/2006/main">
                        <a:graphicData uri="http://schemas.microsoft.com/office/word/2010/wordprocessingShape">
                          <wps:wsp>
                            <wps:cNvSpPr/>
                            <wps:spPr>
                              <a:xfrm>
                                <a:off x="0" y="0"/>
                                <a:ext cx="468630" cy="235585"/>
                              </a:xfrm>
                              <a:prstGeom prst="ellipse">
                                <a:avLst/>
                              </a:prstGeom>
                              <a:noFill/>
                              <a:ln w="25400" cap="flat" cmpd="sng" algn="ctr">
                                <a:solidFill>
                                  <a:srgbClr val="4BACC6"/>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oval w14:anchorId="348C3A8D" id="Oval 1" o:spid="_x0000_s1026" style="position:absolute;margin-left:-5.1pt;margin-top:-1.2pt;width:36.9pt;height:1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" filled="f" strokecolor="#4bacc6" strokeweight="2pt"/>
                  </w:pict>
                </mc:Fallback>
              </mc:AlternateContent>
            </w:r>
            <w:r w:rsidRPr="00EE518D">
              <w:rPr>
                <w:rFonts w:ascii="Calibri" w:hAnsi="Calibri" w:cs="Calibri"/>
                <w:b/>
                <w:bCs/>
                <w:color w:val="000000"/>
                <w:sz w:val="18"/>
                <w:szCs w:val="18"/>
              </w:rPr>
              <w:t>150</w:t>
            </w:r>
          </w:p>
        </w:tc>
        <w:tc>
          <w:tcPr>
            <w:tcW w:w="1080"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3C52A79E" w14:textId="4B3139B2" w:rsidR="00EE518D" w:rsidRPr="00EE518D" w:rsidRDefault="00967D43" w:rsidP="00EE518D">
            <w:pPr>
              <w:jc w:val="right"/>
              <w:rPr>
                <w:rFonts w:ascii="Calibri" w:hAnsi="Calibri" w:cs="Calibri"/>
                <w:b/>
                <w:bCs/>
                <w:color w:val="000000"/>
                <w:sz w:val="18"/>
                <w:szCs w:val="18"/>
              </w:rPr>
            </w:pPr>
            <w:r>
              <w:rPr>
                <w:rFonts w:ascii="Calibri" w:hAnsi="Calibri" w:cs="Calibri"/>
                <w:b/>
                <w:bCs/>
                <w:color w:val="000000"/>
                <w:sz w:val="18"/>
                <w:szCs w:val="18"/>
              </w:rPr>
              <w:t>300</w:t>
            </w:r>
          </w:p>
        </w:tc>
        <w:tc>
          <w:tcPr>
            <w:tcW w:w="1170" w:type="dxa"/>
            <w:tcBorders>
              <w:top w:val="single" w:sz="4" w:space="0" w:color="auto"/>
              <w:left w:val="nil"/>
              <w:bottom w:val="single" w:sz="4" w:space="0" w:color="auto"/>
              <w:right w:val="single" w:sz="4" w:space="0" w:color="auto"/>
            </w:tcBorders>
            <w:shd w:val="clear" w:color="auto" w:fill="D9E1F2"/>
            <w:noWrap/>
            <w:vAlign w:val="bottom"/>
            <w:hideMark/>
          </w:tcPr>
          <w:p w14:paraId="49F51BFC" w14:textId="77777777" w:rsidR="00EE518D" w:rsidRPr="00EE518D" w:rsidRDefault="00EE518D" w:rsidP="00EE518D">
            <w:pPr>
              <w:jc w:val="right"/>
              <w:rPr>
                <w:rFonts w:ascii="Calibri" w:hAnsi="Calibri" w:cs="Calibri"/>
                <w:b/>
                <w:bCs/>
                <w:color w:val="000000"/>
                <w:sz w:val="18"/>
                <w:szCs w:val="18"/>
              </w:rPr>
            </w:pPr>
            <w:r w:rsidRPr="00EE518D">
              <w:rPr>
                <w:rFonts w:ascii="Calibri" w:hAnsi="Calibri" w:cs="Calibri"/>
                <w:b/>
                <w:bCs/>
                <w:color w:val="000000"/>
                <w:sz w:val="18"/>
                <w:szCs w:val="18"/>
              </w:rPr>
              <w:t>50</w:t>
            </w:r>
          </w:p>
        </w:tc>
      </w:tr>
    </w:tbl>
    <w:p w14:paraId="2A422E3E" w14:textId="77777777" w:rsidR="00EE518D" w:rsidRPr="00EE518D" w:rsidRDefault="00EE518D" w:rsidP="00EE518D">
      <w:pPr>
        <w:jc w:val="both"/>
        <w:rPr>
          <w:sz w:val="22"/>
          <w:szCs w:val="22"/>
        </w:rPr>
      </w:pPr>
    </w:p>
    <w:bookmarkStart w:id="10" w:name="_Hlk43376426"/>
    <w:p w14:paraId="40EEFBFA" w14:textId="22346B95" w:rsidR="00042020" w:rsidRPr="005B5AA3" w:rsidRDefault="00042020" w:rsidP="00042020">
      <w:pPr>
        <w:contextualSpacing/>
        <w:rPr>
          <w:rFonts w:cstheme="minorHAnsi"/>
          <w:sz w:val="16"/>
          <w:szCs w:val="16"/>
        </w:rPr>
      </w:pPr>
      <w:r w:rsidRPr="005B5AA3">
        <w:rPr>
          <w:rFonts w:cstheme="minorHAnsi"/>
          <w:sz w:val="16"/>
          <w:szCs w:val="16"/>
        </w:rPr>
        <w:fldChar w:fldCharType="begin"/>
      </w:r>
      <w:r w:rsidRPr="005B5AA3">
        <w:rPr>
          <w:rFonts w:cstheme="minorHAnsi"/>
          <w:sz w:val="16"/>
          <w:szCs w:val="16"/>
        </w:rPr>
        <w:instrText xml:space="preserve"> FILENAME  \* Lower \p  \* MERGEFORMAT </w:instrText>
      </w:r>
      <w:r w:rsidRPr="005B5AA3">
        <w:rPr>
          <w:rFonts w:cstheme="minorHAnsi"/>
          <w:sz w:val="16"/>
          <w:szCs w:val="16"/>
        </w:rPr>
        <w:fldChar w:fldCharType="separate"/>
      </w:r>
      <w:r w:rsidR="004E3080">
        <w:rPr>
          <w:rFonts w:cstheme="minorHAnsi"/>
          <w:noProof/>
          <w:sz w:val="16"/>
          <w:szCs w:val="16"/>
        </w:rPr>
        <w:t>https://naiconline.sharepoint.com/teams/frsstatutoryaccounting/national meetings/a. national meeting materials/2023/8-13-23 summer national meeting/exposures/23-04 -int 23-03t camt 8-15-23 edits.docx</w:t>
      </w:r>
      <w:r w:rsidRPr="005B5AA3">
        <w:rPr>
          <w:rFonts w:cstheme="minorHAnsi"/>
          <w:sz w:val="16"/>
          <w:szCs w:val="16"/>
        </w:rPr>
        <w:fldChar w:fldCharType="end"/>
      </w:r>
      <w:bookmarkEnd w:id="10"/>
    </w:p>
    <w:sectPr w:rsidR="00042020" w:rsidRPr="005B5AA3" w:rsidSect="003E4789">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C4563" w14:textId="77777777" w:rsidR="00E211D0" w:rsidRDefault="00E211D0">
      <w:r>
        <w:separator/>
      </w:r>
    </w:p>
  </w:endnote>
  <w:endnote w:type="continuationSeparator" w:id="0">
    <w:p w14:paraId="09C3C1A5" w14:textId="77777777" w:rsidR="00E211D0" w:rsidRDefault="00E211D0">
      <w:r>
        <w:continuationSeparator/>
      </w:r>
    </w:p>
  </w:endnote>
  <w:endnote w:type="continuationNotice" w:id="1">
    <w:p w14:paraId="33722F4C" w14:textId="77777777" w:rsidR="00E211D0" w:rsidRDefault="00E21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E7B3" w14:textId="72FCCC1C" w:rsidR="00D61907" w:rsidRPr="00D61907" w:rsidRDefault="00E6302D" w:rsidP="00844362">
    <w:pPr>
      <w:pStyle w:val="Footer"/>
      <w:tabs>
        <w:tab w:val="clear" w:pos="4320"/>
        <w:tab w:val="center" w:pos="4860"/>
      </w:tabs>
      <w:spacing w:before="220"/>
      <w:rPr>
        <w:b/>
        <w:sz w:val="18"/>
        <w:szCs w:val="18"/>
      </w:rPr>
    </w:pPr>
    <w:r w:rsidRPr="009140C5">
      <w:rPr>
        <w:sz w:val="18"/>
        <w:szCs w:val="18"/>
      </w:rPr>
      <w:t xml:space="preserve">© </w:t>
    </w:r>
    <w:r w:rsidR="00452D10" w:rsidRPr="009140C5">
      <w:rPr>
        <w:sz w:val="18"/>
        <w:szCs w:val="18"/>
      </w:rPr>
      <w:t>202</w:t>
    </w:r>
    <w:r w:rsidR="00452D10">
      <w:rPr>
        <w:sz w:val="18"/>
        <w:szCs w:val="18"/>
      </w:rPr>
      <w:t>3</w:t>
    </w:r>
    <w:r w:rsidR="00452D10" w:rsidRPr="009140C5">
      <w:rPr>
        <w:sz w:val="18"/>
        <w:szCs w:val="18"/>
      </w:rPr>
      <w:t xml:space="preserve"> </w:t>
    </w:r>
    <w:r w:rsidRPr="009140C5">
      <w:rPr>
        <w:sz w:val="18"/>
        <w:szCs w:val="18"/>
      </w:rPr>
      <w:t>National Association of Insurance Commissioners</w:t>
    </w:r>
    <w:r w:rsidR="003119EB">
      <w:rPr>
        <w:sz w:val="18"/>
        <w:szCs w:val="18"/>
      </w:rPr>
      <w:t xml:space="preserve"> </w:t>
    </w:r>
    <w:r w:rsidR="00D61907">
      <w:rPr>
        <w:b/>
        <w:sz w:val="18"/>
        <w:szCs w:val="18"/>
      </w:rPr>
      <w:tab/>
    </w:r>
    <w:r w:rsidR="006A44A6">
      <w:rPr>
        <w:b/>
        <w:sz w:val="18"/>
        <w:szCs w:val="18"/>
      </w:rPr>
      <w:t>23-</w:t>
    </w:r>
    <w:r w:rsidR="00DF775A">
      <w:rPr>
        <w:b/>
        <w:sz w:val="18"/>
        <w:szCs w:val="18"/>
      </w:rPr>
      <w:t>03</w:t>
    </w:r>
    <w:r w:rsidR="00D61907">
      <w:rPr>
        <w:b/>
        <w:sz w:val="18"/>
        <w:szCs w:val="18"/>
      </w:rPr>
      <w:t>-</w:t>
    </w:r>
    <w:r w:rsidR="00D61907" w:rsidRPr="00D61907">
      <w:rPr>
        <w:b/>
        <w:sz w:val="18"/>
        <w:szCs w:val="18"/>
      </w:rPr>
      <w:fldChar w:fldCharType="begin"/>
    </w:r>
    <w:r w:rsidR="00D61907" w:rsidRPr="00D61907">
      <w:rPr>
        <w:b/>
        <w:sz w:val="18"/>
        <w:szCs w:val="18"/>
      </w:rPr>
      <w:instrText xml:space="preserve"> PAGE   \* MERGEFORMAT </w:instrText>
    </w:r>
    <w:r w:rsidR="00D61907" w:rsidRPr="00D61907">
      <w:rPr>
        <w:b/>
        <w:sz w:val="18"/>
        <w:szCs w:val="18"/>
      </w:rPr>
      <w:fldChar w:fldCharType="separate"/>
    </w:r>
    <w:r w:rsidR="0047030F">
      <w:rPr>
        <w:b/>
        <w:noProof/>
        <w:sz w:val="18"/>
        <w:szCs w:val="18"/>
      </w:rPr>
      <w:t>2</w:t>
    </w:r>
    <w:r w:rsidR="00D61907" w:rsidRPr="00D61907">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7956" w14:textId="1EDB6764" w:rsidR="00E17C85" w:rsidRPr="00F62C9E" w:rsidRDefault="00E6302D" w:rsidP="00844362">
    <w:pPr>
      <w:pStyle w:val="Footer"/>
      <w:tabs>
        <w:tab w:val="clear" w:pos="4320"/>
        <w:tab w:val="center" w:pos="4860"/>
      </w:tabs>
      <w:spacing w:before="220"/>
      <w:rPr>
        <w:sz w:val="22"/>
      </w:rPr>
    </w:pPr>
    <w:r w:rsidRPr="009140C5">
      <w:rPr>
        <w:sz w:val="18"/>
        <w:szCs w:val="18"/>
      </w:rPr>
      <w:t xml:space="preserve">© </w:t>
    </w:r>
    <w:r w:rsidR="00452D10" w:rsidRPr="009140C5">
      <w:rPr>
        <w:sz w:val="18"/>
        <w:szCs w:val="18"/>
      </w:rPr>
      <w:t>202</w:t>
    </w:r>
    <w:r w:rsidR="00452D10">
      <w:rPr>
        <w:sz w:val="18"/>
        <w:szCs w:val="18"/>
      </w:rPr>
      <w:t>3</w:t>
    </w:r>
    <w:r w:rsidR="00452D10" w:rsidRPr="009140C5">
      <w:rPr>
        <w:sz w:val="18"/>
        <w:szCs w:val="18"/>
      </w:rPr>
      <w:t xml:space="preserve"> </w:t>
    </w:r>
    <w:r w:rsidRPr="009140C5">
      <w:rPr>
        <w:sz w:val="18"/>
        <w:szCs w:val="18"/>
      </w:rPr>
      <w:t>National Association of Insurance Commissioners</w:t>
    </w:r>
    <w:r w:rsidR="003119EB">
      <w:rPr>
        <w:sz w:val="18"/>
        <w:szCs w:val="18"/>
      </w:rPr>
      <w:t xml:space="preserve"> </w:t>
    </w:r>
    <w:r w:rsidR="004C2CB8">
      <w:rPr>
        <w:b/>
        <w:sz w:val="18"/>
        <w:szCs w:val="18"/>
      </w:rPr>
      <w:tab/>
    </w:r>
    <w:r w:rsidR="006A44A6">
      <w:rPr>
        <w:b/>
        <w:sz w:val="18"/>
        <w:szCs w:val="18"/>
      </w:rPr>
      <w:t>23-</w:t>
    </w:r>
    <w:r w:rsidR="00DF775A">
      <w:rPr>
        <w:b/>
        <w:sz w:val="18"/>
        <w:szCs w:val="18"/>
      </w:rPr>
      <w:t>03</w:t>
    </w:r>
    <w:r w:rsidR="00550A49">
      <w:rPr>
        <w:b/>
        <w:sz w:val="18"/>
        <w:szCs w:val="18"/>
      </w:rPr>
      <w:t>-</w:t>
    </w:r>
    <w:r w:rsidR="00550A49" w:rsidRPr="00550A49">
      <w:rPr>
        <w:b/>
        <w:sz w:val="18"/>
        <w:szCs w:val="18"/>
      </w:rPr>
      <w:fldChar w:fldCharType="begin"/>
    </w:r>
    <w:r w:rsidR="00550A49" w:rsidRPr="00550A49">
      <w:rPr>
        <w:b/>
        <w:sz w:val="18"/>
        <w:szCs w:val="18"/>
      </w:rPr>
      <w:instrText xml:space="preserve"> PAGE   \* MERGEFORMAT </w:instrText>
    </w:r>
    <w:r w:rsidR="00550A49" w:rsidRPr="00550A49">
      <w:rPr>
        <w:b/>
        <w:sz w:val="18"/>
        <w:szCs w:val="18"/>
      </w:rPr>
      <w:fldChar w:fldCharType="separate"/>
    </w:r>
    <w:r w:rsidR="0047030F">
      <w:rPr>
        <w:b/>
        <w:noProof/>
        <w:sz w:val="18"/>
        <w:szCs w:val="18"/>
      </w:rPr>
      <w:t>3</w:t>
    </w:r>
    <w:r w:rsidR="00550A49" w:rsidRPr="00550A49">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4253A" w14:textId="22ED97FB" w:rsidR="00E17C85" w:rsidRPr="00F62C9E" w:rsidRDefault="009F0139" w:rsidP="00844362">
    <w:pPr>
      <w:pStyle w:val="Footer"/>
      <w:tabs>
        <w:tab w:val="clear" w:pos="4320"/>
        <w:tab w:val="center" w:pos="4950"/>
      </w:tabs>
      <w:rPr>
        <w:sz w:val="22"/>
      </w:rPr>
    </w:pPr>
    <w:r w:rsidRPr="009140C5">
      <w:rPr>
        <w:sz w:val="18"/>
        <w:szCs w:val="18"/>
      </w:rPr>
      <w:t xml:space="preserve">© </w:t>
    </w:r>
    <w:r w:rsidR="008D2CC5" w:rsidRPr="009140C5">
      <w:rPr>
        <w:sz w:val="18"/>
        <w:szCs w:val="18"/>
      </w:rPr>
      <w:t>202</w:t>
    </w:r>
    <w:r w:rsidR="008D2CC5">
      <w:rPr>
        <w:sz w:val="18"/>
        <w:szCs w:val="18"/>
      </w:rPr>
      <w:t>3</w:t>
    </w:r>
    <w:r w:rsidR="008D2CC5" w:rsidRPr="009140C5">
      <w:rPr>
        <w:sz w:val="18"/>
        <w:szCs w:val="18"/>
      </w:rPr>
      <w:t xml:space="preserve"> </w:t>
    </w:r>
    <w:r w:rsidRPr="009140C5">
      <w:rPr>
        <w:sz w:val="18"/>
        <w:szCs w:val="18"/>
      </w:rPr>
      <w:t>National Association of Insurance Commissioners</w:t>
    </w:r>
    <w:r w:rsidR="00550A49">
      <w:rPr>
        <w:b/>
        <w:sz w:val="18"/>
        <w:szCs w:val="18"/>
      </w:rPr>
      <w:tab/>
    </w:r>
    <w:r w:rsidR="006A44A6">
      <w:rPr>
        <w:b/>
        <w:sz w:val="18"/>
        <w:szCs w:val="18"/>
      </w:rPr>
      <w:t>23-</w:t>
    </w:r>
    <w:r w:rsidR="00DF775A">
      <w:rPr>
        <w:b/>
        <w:sz w:val="18"/>
        <w:szCs w:val="18"/>
      </w:rPr>
      <w:t>03</w:t>
    </w:r>
    <w:r w:rsidR="00550A49">
      <w:rPr>
        <w:b/>
        <w:sz w:val="18"/>
        <w:szCs w:val="18"/>
      </w:rPr>
      <w:t>-</w:t>
    </w:r>
    <w:r w:rsidR="00550A49" w:rsidRPr="00550A49">
      <w:rPr>
        <w:b/>
        <w:sz w:val="18"/>
        <w:szCs w:val="18"/>
      </w:rPr>
      <w:fldChar w:fldCharType="begin"/>
    </w:r>
    <w:r w:rsidR="00550A49" w:rsidRPr="00550A49">
      <w:rPr>
        <w:b/>
        <w:sz w:val="18"/>
        <w:szCs w:val="18"/>
      </w:rPr>
      <w:instrText xml:space="preserve"> PAGE   \* MERGEFORMAT </w:instrText>
    </w:r>
    <w:r w:rsidR="00550A49" w:rsidRPr="00550A49">
      <w:rPr>
        <w:b/>
        <w:sz w:val="18"/>
        <w:szCs w:val="18"/>
      </w:rPr>
      <w:fldChar w:fldCharType="separate"/>
    </w:r>
    <w:r w:rsidR="0047030F">
      <w:rPr>
        <w:b/>
        <w:noProof/>
        <w:sz w:val="18"/>
        <w:szCs w:val="18"/>
      </w:rPr>
      <w:t>1</w:t>
    </w:r>
    <w:r w:rsidR="00550A49" w:rsidRPr="00550A49">
      <w:rPr>
        <w:b/>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78798" w14:textId="77777777" w:rsidR="00E211D0" w:rsidRDefault="00E211D0">
      <w:r>
        <w:separator/>
      </w:r>
    </w:p>
  </w:footnote>
  <w:footnote w:type="continuationSeparator" w:id="0">
    <w:p w14:paraId="37070FEA" w14:textId="77777777" w:rsidR="00E211D0" w:rsidRDefault="00E211D0">
      <w:r>
        <w:continuationSeparator/>
      </w:r>
    </w:p>
  </w:footnote>
  <w:footnote w:type="continuationNotice" w:id="1">
    <w:p w14:paraId="33BE41B4" w14:textId="77777777" w:rsidR="00E211D0" w:rsidRDefault="00E211D0"/>
  </w:footnote>
  <w:footnote w:id="2">
    <w:p w14:paraId="6E16081D" w14:textId="77777777" w:rsidR="00595698" w:rsidRPr="00E70F20" w:rsidRDefault="00595698" w:rsidP="00595698">
      <w:pPr>
        <w:pStyle w:val="FootnoteText"/>
        <w:rPr>
          <w:sz w:val="18"/>
          <w:szCs w:val="18"/>
        </w:rPr>
      </w:pPr>
      <w:r w:rsidRPr="00E70F20">
        <w:rPr>
          <w:rStyle w:val="FootnoteReference"/>
          <w:sz w:val="18"/>
          <w:szCs w:val="18"/>
        </w:rPr>
        <w:footnoteRef/>
      </w:r>
      <w:r w:rsidRPr="00E70F20">
        <w:rPr>
          <w:sz w:val="18"/>
          <w:szCs w:val="18"/>
        </w:rPr>
        <w:t xml:space="preserve"> As used herein, an “unaffiliated” corporation is one that is not a member of a tax-controlled group.</w:t>
      </w:r>
    </w:p>
  </w:footnote>
  <w:footnote w:id="3">
    <w:p w14:paraId="36E7B2F5" w14:textId="7E284546" w:rsidR="0033721D" w:rsidRPr="00E70F20" w:rsidRDefault="0033721D" w:rsidP="0097132F">
      <w:pPr>
        <w:pStyle w:val="FootnoteText"/>
        <w:jc w:val="both"/>
        <w:rPr>
          <w:sz w:val="18"/>
          <w:szCs w:val="18"/>
        </w:rPr>
      </w:pPr>
      <w:r w:rsidRPr="00E70F20">
        <w:rPr>
          <w:rStyle w:val="FootnoteReference"/>
          <w:sz w:val="18"/>
          <w:szCs w:val="18"/>
        </w:rPr>
        <w:footnoteRef/>
      </w:r>
      <w:r w:rsidRPr="00E70F20">
        <w:rPr>
          <w:sz w:val="18"/>
          <w:szCs w:val="18"/>
        </w:rPr>
        <w:t xml:space="preserve"> A reporting entity that is a member of a tax-controlled group that does not reasonably expect to be applicable corporation on a group basis is not required to make a separate company determination as the CAMT is determined on a group basis. </w:t>
      </w:r>
    </w:p>
  </w:footnote>
  <w:footnote w:id="4">
    <w:p w14:paraId="5F5DCE70" w14:textId="12B1FF5A" w:rsidR="00E03BCE" w:rsidRDefault="00E03BCE">
      <w:pPr>
        <w:pStyle w:val="FootnoteText"/>
      </w:pPr>
      <w:r w:rsidRPr="00E70F20">
        <w:rPr>
          <w:rStyle w:val="FootnoteReference"/>
          <w:sz w:val="18"/>
          <w:szCs w:val="18"/>
        </w:rPr>
        <w:footnoteRef/>
      </w:r>
      <w:r w:rsidRPr="00E70F20">
        <w:rPr>
          <w:sz w:val="18"/>
          <w:szCs w:val="18"/>
        </w:rPr>
        <w:t xml:space="preserve"> Determination of applicable reporting entity within a tax-controlled group is subject to the tax law. A reporting entity within a tax-controlled group is captured with the group’s applicable corporation status </w:t>
      </w:r>
      <w:r w:rsidR="00C11526" w:rsidRPr="00E70F20">
        <w:rPr>
          <w:sz w:val="18"/>
          <w:szCs w:val="18"/>
        </w:rPr>
        <w:t>regardless of</w:t>
      </w:r>
      <w:r w:rsidRPr="00E70F20">
        <w:rPr>
          <w:sz w:val="18"/>
          <w:szCs w:val="18"/>
        </w:rPr>
        <w:t xml:space="preserve"> if they were excluded from the consolidated tax return and filed their own separate return. </w:t>
      </w:r>
      <w:r w:rsidR="005D5FD0" w:rsidRPr="00E70F20">
        <w:rPr>
          <w:sz w:val="18"/>
          <w:szCs w:val="18"/>
        </w:rPr>
        <w:t>For</w:t>
      </w:r>
      <w:r w:rsidR="005D5FD0" w:rsidRPr="0097132F">
        <w:rPr>
          <w:sz w:val="18"/>
          <w:szCs w:val="18"/>
        </w:rPr>
        <w:t xml:space="preserve"> example, </w:t>
      </w:r>
      <w:r w:rsidR="000A53AE" w:rsidRPr="00E70F20">
        <w:rPr>
          <w:sz w:val="18"/>
          <w:szCs w:val="18"/>
        </w:rPr>
        <w:t xml:space="preserve">if </w:t>
      </w:r>
      <w:r w:rsidR="005D5FD0" w:rsidRPr="0097132F">
        <w:rPr>
          <w:sz w:val="18"/>
          <w:szCs w:val="18"/>
        </w:rPr>
        <w:t>the reporting entity is a life insurance company and i) the group has not made a “life-nonlife” consolidated return election, or ii) the reporting entity has been recently acquired and is excluded from the life-nonlife consolidated return for a period of 5 years.</w:t>
      </w:r>
    </w:p>
  </w:footnote>
  <w:footnote w:id="5">
    <w:p w14:paraId="75CE576F" w14:textId="53F1A827" w:rsidR="009B41F4" w:rsidRDefault="0008228F" w:rsidP="009B41F4">
      <w:pPr>
        <w:rPr>
          <w:sz w:val="18"/>
          <w:szCs w:val="18"/>
        </w:rPr>
      </w:pPr>
      <w:r w:rsidRPr="00E70F20">
        <w:rPr>
          <w:rStyle w:val="FootnoteReference"/>
          <w:sz w:val="18"/>
          <w:szCs w:val="18"/>
        </w:rPr>
        <w:footnoteRef/>
      </w:r>
      <w:r w:rsidRPr="00E70F20">
        <w:rPr>
          <w:sz w:val="18"/>
          <w:szCs w:val="18"/>
        </w:rPr>
        <w:t xml:space="preserve"> </w:t>
      </w:r>
      <w:r w:rsidR="00EE0D5A" w:rsidRPr="00E70F20">
        <w:rPr>
          <w:sz w:val="18"/>
          <w:szCs w:val="18"/>
        </w:rPr>
        <w:t>SSAP No. 101</w:t>
      </w:r>
      <w:r w:rsidR="006D2703" w:rsidRPr="00E70F20">
        <w:rPr>
          <w:sz w:val="18"/>
          <w:szCs w:val="18"/>
        </w:rPr>
        <w:t>, paragraph</w:t>
      </w:r>
      <w:r w:rsidR="00512E17" w:rsidRPr="00E70F20">
        <w:rPr>
          <w:sz w:val="18"/>
          <w:szCs w:val="18"/>
        </w:rPr>
        <w:t>s 16 and 17</w:t>
      </w:r>
      <w:r w:rsidR="00EE0D5A" w:rsidRPr="00E70F20">
        <w:rPr>
          <w:sz w:val="18"/>
          <w:szCs w:val="18"/>
        </w:rPr>
        <w:t xml:space="preserve"> </w:t>
      </w:r>
      <w:r w:rsidR="006D2703" w:rsidRPr="00E70F20">
        <w:rPr>
          <w:sz w:val="18"/>
          <w:szCs w:val="18"/>
        </w:rPr>
        <w:t>provide</w:t>
      </w:r>
      <w:r w:rsidR="00EE0D5A" w:rsidRPr="00E70F20">
        <w:rPr>
          <w:sz w:val="18"/>
          <w:szCs w:val="18"/>
        </w:rPr>
        <w:t xml:space="preserve"> </w:t>
      </w:r>
      <w:r w:rsidR="00512E17" w:rsidRPr="00E70F20">
        <w:rPr>
          <w:sz w:val="18"/>
          <w:szCs w:val="18"/>
        </w:rPr>
        <w:t xml:space="preserve">requirements for </w:t>
      </w:r>
      <w:r w:rsidR="00EE0D5A" w:rsidRPr="00E70F20">
        <w:rPr>
          <w:sz w:val="18"/>
          <w:szCs w:val="18"/>
        </w:rPr>
        <w:t>tax allocation</w:t>
      </w:r>
      <w:r w:rsidR="00512E17" w:rsidRPr="00E70F20">
        <w:rPr>
          <w:sz w:val="18"/>
          <w:szCs w:val="18"/>
        </w:rPr>
        <w:t xml:space="preserve"> agreement recognition. Tax allocation </w:t>
      </w:r>
      <w:r w:rsidR="00495010" w:rsidRPr="00E70F20">
        <w:rPr>
          <w:sz w:val="18"/>
          <w:szCs w:val="18"/>
        </w:rPr>
        <w:t>agreements</w:t>
      </w:r>
      <w:r w:rsidR="00EE0D5A" w:rsidRPr="00E70F20">
        <w:rPr>
          <w:sz w:val="18"/>
          <w:szCs w:val="18"/>
        </w:rPr>
        <w:t xml:space="preserve"> are also </w:t>
      </w:r>
      <w:r w:rsidR="00EE0D5A" w:rsidRPr="00C77A12">
        <w:rPr>
          <w:sz w:val="18"/>
          <w:szCs w:val="18"/>
        </w:rPr>
        <w:t xml:space="preserve">subject to internal revenue service </w:t>
      </w:r>
      <w:r w:rsidR="00D509A1" w:rsidRPr="00C77A12">
        <w:rPr>
          <w:sz w:val="18"/>
          <w:szCs w:val="18"/>
        </w:rPr>
        <w:t>requirements and</w:t>
      </w:r>
      <w:r w:rsidR="00EE0D5A" w:rsidRPr="00C77A12">
        <w:rPr>
          <w:sz w:val="18"/>
          <w:szCs w:val="18"/>
        </w:rPr>
        <w:t xml:space="preserve"> are subject to </w:t>
      </w:r>
      <w:r w:rsidR="00B23640" w:rsidRPr="00C77A12">
        <w:rPr>
          <w:sz w:val="18"/>
          <w:szCs w:val="18"/>
        </w:rPr>
        <w:t xml:space="preserve">domiciliary regulator review under the </w:t>
      </w:r>
      <w:r w:rsidR="00D509A1" w:rsidRPr="00C77A12">
        <w:rPr>
          <w:sz w:val="18"/>
          <w:szCs w:val="18"/>
        </w:rPr>
        <w:t xml:space="preserve">Insurance Holding Company System Regulatory Act </w:t>
      </w:r>
      <w:r w:rsidR="00B23640" w:rsidRPr="00C77A12">
        <w:rPr>
          <w:sz w:val="18"/>
          <w:szCs w:val="18"/>
        </w:rPr>
        <w:t>(Model #440)</w:t>
      </w:r>
      <w:r w:rsidR="00495010" w:rsidRPr="00C77A12">
        <w:rPr>
          <w:sz w:val="18"/>
          <w:szCs w:val="18"/>
        </w:rPr>
        <w:t>,</w:t>
      </w:r>
      <w:r w:rsidR="00B23640" w:rsidRPr="00C77A12">
        <w:rPr>
          <w:sz w:val="18"/>
          <w:szCs w:val="18"/>
        </w:rPr>
        <w:t xml:space="preserve"> which also requires that the </w:t>
      </w:r>
      <w:r w:rsidR="00D509A1" w:rsidRPr="00C77A12">
        <w:rPr>
          <w:sz w:val="18"/>
          <w:szCs w:val="18"/>
        </w:rPr>
        <w:t xml:space="preserve">terms of intercompany agreements </w:t>
      </w:r>
      <w:r w:rsidR="00D97BC5" w:rsidRPr="00C77A12">
        <w:rPr>
          <w:sz w:val="18"/>
          <w:szCs w:val="18"/>
        </w:rPr>
        <w:t>be</w:t>
      </w:r>
      <w:r w:rsidR="00D509A1" w:rsidRPr="00C77A12">
        <w:rPr>
          <w:sz w:val="18"/>
          <w:szCs w:val="18"/>
        </w:rPr>
        <w:t xml:space="preserve"> fair and reasonable. </w:t>
      </w:r>
      <w:r w:rsidR="009B41F4" w:rsidRPr="007A2444">
        <w:rPr>
          <w:sz w:val="18"/>
          <w:szCs w:val="18"/>
        </w:rPr>
        <w:t>In assessing fair and reasonable, state insurance regulators are encouraged to assess the terms of the TSA for allocations to the insurance reporting entity for both CAMT payables and CAMT credit carryforwards.</w:t>
      </w:r>
    </w:p>
    <w:p w14:paraId="07FD2B19" w14:textId="77777777" w:rsidR="009B41F4" w:rsidRDefault="009B41F4" w:rsidP="009B41F4">
      <w:pPr>
        <w:rPr>
          <w:sz w:val="18"/>
          <w:szCs w:val="18"/>
        </w:rPr>
      </w:pPr>
    </w:p>
    <w:p w14:paraId="1D40CD4E" w14:textId="6D7EC63F" w:rsidR="0008228F" w:rsidRPr="00E70F20" w:rsidRDefault="0008228F" w:rsidP="0097132F">
      <w:pPr>
        <w:pStyle w:val="FootnoteText"/>
        <w:jc w:val="both"/>
        <w:rPr>
          <w:sz w:val="18"/>
          <w:szCs w:val="18"/>
        </w:rPr>
      </w:pPr>
    </w:p>
  </w:footnote>
  <w:footnote w:id="6">
    <w:p w14:paraId="36CBC1E4" w14:textId="3A00278F" w:rsidR="00CE0AF8" w:rsidRPr="00313ED8" w:rsidRDefault="00CE0AF8" w:rsidP="00CE0AF8">
      <w:pPr>
        <w:pStyle w:val="ListNumber"/>
        <w:numPr>
          <w:ilvl w:val="0"/>
          <w:numId w:val="0"/>
        </w:numPr>
        <w:jc w:val="both"/>
        <w:rPr>
          <w:sz w:val="18"/>
          <w:szCs w:val="18"/>
        </w:rPr>
      </w:pPr>
      <w:r w:rsidRPr="00313ED8">
        <w:rPr>
          <w:rStyle w:val="FootnoteReference"/>
          <w:sz w:val="18"/>
          <w:szCs w:val="18"/>
        </w:rPr>
        <w:footnoteRef/>
      </w:r>
      <w:r w:rsidRPr="00313ED8">
        <w:rPr>
          <w:sz w:val="18"/>
          <w:szCs w:val="18"/>
        </w:rPr>
        <w:t xml:space="preserve"> </w:t>
      </w:r>
      <w:r w:rsidRPr="0097132F">
        <w:rPr>
          <w:sz w:val="18"/>
          <w:szCs w:val="18"/>
        </w:rPr>
        <w:t xml:space="preserve">Although reporting entities may conclude that the indefinite CAMT more likely than not </w:t>
      </w:r>
      <w:r w:rsidRPr="00313ED8">
        <w:rPr>
          <w:sz w:val="18"/>
          <w:szCs w:val="18"/>
        </w:rPr>
        <w:t>will</w:t>
      </w:r>
      <w:r w:rsidRPr="0097132F">
        <w:rPr>
          <w:sz w:val="18"/>
          <w:szCs w:val="18"/>
        </w:rPr>
        <w:t xml:space="preserve"> ultimately be realized, reporting entities will not be able to utilize the tax credit until the reporting entity</w:t>
      </w:r>
      <w:r w:rsidR="00687691">
        <w:rPr>
          <w:sz w:val="18"/>
          <w:szCs w:val="18"/>
        </w:rPr>
        <w:t xml:space="preserve"> if a separate tax return filer</w:t>
      </w:r>
      <w:r w:rsidRPr="0097132F">
        <w:rPr>
          <w:sz w:val="18"/>
          <w:szCs w:val="18"/>
        </w:rPr>
        <w:t xml:space="preserve">, </w:t>
      </w:r>
      <w:r w:rsidRPr="00313ED8">
        <w:rPr>
          <w:sz w:val="18"/>
          <w:szCs w:val="18"/>
        </w:rPr>
        <w:t>or</w:t>
      </w:r>
      <w:r w:rsidRPr="0097132F">
        <w:rPr>
          <w:sz w:val="18"/>
          <w:szCs w:val="18"/>
        </w:rPr>
        <w:t xml:space="preserve"> the tax</w:t>
      </w:r>
      <w:r w:rsidR="00241651">
        <w:rPr>
          <w:sz w:val="18"/>
          <w:szCs w:val="18"/>
        </w:rPr>
        <w:t xml:space="preserve"> </w:t>
      </w:r>
      <w:r w:rsidR="00EB4FE4">
        <w:rPr>
          <w:sz w:val="18"/>
          <w:szCs w:val="18"/>
        </w:rPr>
        <w:t>consolidated</w:t>
      </w:r>
      <w:r w:rsidRPr="0097132F">
        <w:rPr>
          <w:sz w:val="18"/>
          <w:szCs w:val="18"/>
        </w:rPr>
        <w:t xml:space="preserve"> group of corporations</w:t>
      </w:r>
      <w:r w:rsidR="00EB4FE4">
        <w:rPr>
          <w:sz w:val="18"/>
          <w:szCs w:val="18"/>
        </w:rPr>
        <w:t xml:space="preserve"> if</w:t>
      </w:r>
      <w:r w:rsidRPr="0097132F">
        <w:rPr>
          <w:sz w:val="18"/>
          <w:szCs w:val="18"/>
        </w:rPr>
        <w:t xml:space="preserve"> the reporting entity is </w:t>
      </w:r>
      <w:r w:rsidR="00EB4FE4">
        <w:rPr>
          <w:sz w:val="18"/>
          <w:szCs w:val="18"/>
        </w:rPr>
        <w:t xml:space="preserve">a member of such </w:t>
      </w:r>
      <w:r w:rsidR="00241651">
        <w:rPr>
          <w:sz w:val="18"/>
          <w:szCs w:val="18"/>
        </w:rPr>
        <w:t xml:space="preserve">group </w:t>
      </w:r>
      <w:r w:rsidRPr="0097132F">
        <w:rPr>
          <w:sz w:val="18"/>
          <w:szCs w:val="18"/>
        </w:rPr>
        <w:t>, are no longer CAMT pay</w:t>
      </w:r>
      <w:r w:rsidR="00BC2F8D" w:rsidRPr="00313ED8">
        <w:rPr>
          <w:sz w:val="18"/>
          <w:szCs w:val="18"/>
        </w:rPr>
        <w:t>o</w:t>
      </w:r>
      <w:r w:rsidRPr="00F62C9E">
        <w:rPr>
          <w:sz w:val="18"/>
          <w:szCs w:val="18"/>
        </w:rPr>
        <w:t xml:space="preserve">rs and have sufficient tax liability that permits the group the ability to use the CAMT tax credits. </w:t>
      </w:r>
    </w:p>
    <w:p w14:paraId="4786B23C" w14:textId="77777777" w:rsidR="00CE0AF8" w:rsidRPr="00F62C9E" w:rsidRDefault="00CE0AF8" w:rsidP="00CE0AF8">
      <w:pPr>
        <w:pStyle w:val="ListNumber"/>
        <w:numPr>
          <w:ilvl w:val="0"/>
          <w:numId w:val="0"/>
        </w:numPr>
        <w:jc w:val="both"/>
        <w:rPr>
          <w:sz w:val="22"/>
        </w:rPr>
      </w:pPr>
    </w:p>
  </w:footnote>
  <w:footnote w:id="7">
    <w:p w14:paraId="6BB3183D" w14:textId="03CE1D65" w:rsidR="009E4823" w:rsidRPr="00E70F20" w:rsidRDefault="009E4823" w:rsidP="002352F7">
      <w:pPr>
        <w:pStyle w:val="FootnoteText"/>
        <w:jc w:val="both"/>
        <w:rPr>
          <w:sz w:val="18"/>
          <w:szCs w:val="18"/>
        </w:rPr>
      </w:pPr>
      <w:r w:rsidRPr="00E70F20">
        <w:rPr>
          <w:rStyle w:val="FootnoteReference"/>
          <w:sz w:val="18"/>
          <w:szCs w:val="18"/>
        </w:rPr>
        <w:footnoteRef/>
      </w:r>
      <w:r w:rsidRPr="00E70F20">
        <w:rPr>
          <w:sz w:val="18"/>
          <w:szCs w:val="18"/>
        </w:rPr>
        <w:t xml:space="preserve"> ASC 740 does not specifically address whether future years’ CAMT should be anticipated in a valuation allowance assessment for regular tax DTAs. Accordingly, an accounting policy election is allowed for GAAP purposes as to whether to consider or disregard CAMT when evaluating the need for a valuation allowance for regular tax DTAs.</w:t>
      </w:r>
    </w:p>
  </w:footnote>
  <w:footnote w:id="8">
    <w:p w14:paraId="711385EF" w14:textId="3027BC75" w:rsidR="00B53829" w:rsidRPr="00B53829" w:rsidRDefault="00B53829" w:rsidP="009F09D6">
      <w:pPr>
        <w:rPr>
          <w:sz w:val="18"/>
          <w:szCs w:val="18"/>
        </w:rPr>
      </w:pPr>
      <w:r w:rsidRPr="009F09D6">
        <w:rPr>
          <w:rStyle w:val="FootnoteReference"/>
          <w:sz w:val="18"/>
          <w:szCs w:val="18"/>
        </w:rPr>
        <w:footnoteRef/>
      </w:r>
      <w:r w:rsidRPr="009F09D6">
        <w:rPr>
          <w:sz w:val="18"/>
          <w:szCs w:val="18"/>
        </w:rPr>
        <w:t xml:space="preserve"> </w:t>
      </w:r>
      <w:r w:rsidR="009F09D6">
        <w:rPr>
          <w:sz w:val="18"/>
          <w:szCs w:val="18"/>
        </w:rPr>
        <w:t>“</w:t>
      </w:r>
      <w:r w:rsidRPr="009F09D6">
        <w:rPr>
          <w:sz w:val="18"/>
          <w:szCs w:val="18"/>
        </w:rPr>
        <w:t xml:space="preserve">With and </w:t>
      </w:r>
      <w:r w:rsidR="009F09D6" w:rsidRPr="009F09D6">
        <w:rPr>
          <w:sz w:val="18"/>
          <w:szCs w:val="18"/>
        </w:rPr>
        <w:t>without</w:t>
      </w:r>
      <w:r w:rsidR="009F09D6">
        <w:rPr>
          <w:sz w:val="18"/>
          <w:szCs w:val="18"/>
        </w:rPr>
        <w:t>”</w:t>
      </w:r>
      <w:r w:rsidRPr="009F09D6">
        <w:rPr>
          <w:sz w:val="18"/>
          <w:szCs w:val="18"/>
        </w:rPr>
        <w:t xml:space="preserve"> is further described in SSAP No. 101</w:t>
      </w:r>
      <w:r w:rsidR="00BE10DF" w:rsidRPr="009F09D6">
        <w:rPr>
          <w:sz w:val="18"/>
          <w:szCs w:val="18"/>
        </w:rPr>
        <w:t xml:space="preserve">. </w:t>
      </w:r>
    </w:p>
    <w:p w14:paraId="21996A16" w14:textId="15062554" w:rsidR="00B53829" w:rsidRDefault="00B53829">
      <w:pPr>
        <w:pStyle w:val="FootnoteText"/>
      </w:pPr>
    </w:p>
  </w:footnote>
  <w:footnote w:id="9">
    <w:p w14:paraId="5493FE28" w14:textId="77777777" w:rsidR="000354D3" w:rsidRPr="00E70F20" w:rsidRDefault="000354D3" w:rsidP="000354D3">
      <w:pPr>
        <w:pStyle w:val="FootnoteText"/>
        <w:rPr>
          <w:sz w:val="18"/>
          <w:szCs w:val="18"/>
        </w:rPr>
      </w:pPr>
      <w:r w:rsidRPr="00E70F20">
        <w:rPr>
          <w:rStyle w:val="FootnoteReference"/>
          <w:sz w:val="18"/>
          <w:szCs w:val="18"/>
        </w:rPr>
        <w:footnoteRef/>
      </w:r>
      <w:r w:rsidRPr="00E70F20">
        <w:rPr>
          <w:sz w:val="18"/>
          <w:szCs w:val="18"/>
        </w:rPr>
        <w:t xml:space="preserve"> See paragraph 2.9 of the </w:t>
      </w:r>
      <w:r w:rsidRPr="00E70F20">
        <w:rPr>
          <w:i/>
          <w:iCs/>
          <w:sz w:val="18"/>
          <w:szCs w:val="18"/>
        </w:rPr>
        <w:t>SSAP No. 101 Q&amp;A</w:t>
      </w:r>
      <w:r w:rsidRPr="00E70F20">
        <w:rPr>
          <w:sz w:val="18"/>
          <w:szCs w:val="18"/>
        </w:rPr>
        <w:t xml:space="preserve"> for similar requirements in the context of grouping of assets and liabilities for measurement.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92AF" w14:textId="77296BBC" w:rsidR="009F0139" w:rsidRPr="00A65130" w:rsidRDefault="00A65130" w:rsidP="00A65130">
    <w:pPr>
      <w:pStyle w:val="Heading3"/>
      <w:keepNext w:val="0"/>
      <w:spacing w:before="0" w:after="280"/>
      <w:jc w:val="center"/>
      <w:rPr>
        <w:rFonts w:ascii="Times New Roman" w:hAnsi="Times New Roman" w:cs="Times New Roman"/>
        <w:sz w:val="22"/>
        <w:szCs w:val="22"/>
      </w:rPr>
    </w:pPr>
    <w:r w:rsidRPr="00231BDB">
      <w:rPr>
        <w:rFonts w:ascii="Times New Roman" w:hAnsi="Times New Roman" w:cs="Times New Roman"/>
        <w:sz w:val="22"/>
        <w:szCs w:val="22"/>
      </w:rPr>
      <w:t>INT 23-</w:t>
    </w:r>
    <w:r w:rsidR="00DF775A">
      <w:rPr>
        <w:rFonts w:ascii="Times New Roman" w:hAnsi="Times New Roman" w:cs="Times New Roman"/>
        <w:sz w:val="22"/>
        <w:szCs w:val="22"/>
      </w:rPr>
      <w:t>03</w:t>
    </w:r>
    <w:r w:rsidR="0065378F">
      <w:rPr>
        <w:rFonts w:ascii="Times New Roman" w:hAnsi="Times New Roman" w:cs="Times New Roman"/>
        <w:sz w:val="22"/>
        <w:szCs w:val="22"/>
      </w:rPr>
      <w:t>T</w:t>
    </w:r>
    <w:r w:rsidRPr="00231BDB">
      <w:rPr>
        <w:rFonts w:ascii="Times New Roman" w:hAnsi="Times New Roman" w:cs="Times New Roman"/>
        <w:sz w:val="22"/>
        <w:szCs w:val="22"/>
      </w:rPr>
      <w:t xml:space="preserve">: Inflation Reduction Act - Corporate Alternative Minimum Tax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398A" w14:textId="35A067C5" w:rsidR="00A57959" w:rsidRPr="004C5231" w:rsidRDefault="00DD50FE" w:rsidP="007E2BA3">
    <w:pPr>
      <w:pStyle w:val="Heading3"/>
      <w:keepNext w:val="0"/>
      <w:spacing w:before="0" w:after="0"/>
      <w:jc w:val="right"/>
      <w:rPr>
        <w:rFonts w:ascii="Times New Roman" w:hAnsi="Times New Roman" w:cs="Times New Roman"/>
        <w:sz w:val="20"/>
        <w:szCs w:val="20"/>
      </w:rPr>
    </w:pPr>
    <w:r>
      <w:rPr>
        <w:rFonts w:ascii="Times New Roman" w:hAnsi="Times New Roman" w:cs="Times New Roman"/>
        <w:sz w:val="18"/>
        <w:szCs w:val="18"/>
      </w:rPr>
      <w:tab/>
    </w:r>
  </w:p>
  <w:p w14:paraId="1F64E76E" w14:textId="0B170296" w:rsidR="00A65130" w:rsidRPr="00231BDB" w:rsidRDefault="00A65130" w:rsidP="00A57959">
    <w:pPr>
      <w:pStyle w:val="Heading3"/>
      <w:keepNext w:val="0"/>
      <w:spacing w:before="0" w:after="280"/>
      <w:jc w:val="center"/>
      <w:rPr>
        <w:rFonts w:ascii="Times New Roman" w:hAnsi="Times New Roman" w:cs="Times New Roman"/>
        <w:sz w:val="22"/>
        <w:szCs w:val="22"/>
      </w:rPr>
    </w:pPr>
    <w:r w:rsidRPr="00231BDB">
      <w:rPr>
        <w:rFonts w:ascii="Times New Roman" w:hAnsi="Times New Roman" w:cs="Times New Roman"/>
        <w:sz w:val="22"/>
        <w:szCs w:val="22"/>
      </w:rPr>
      <w:t>INT 23-</w:t>
    </w:r>
    <w:r w:rsidR="00DF775A">
      <w:rPr>
        <w:rFonts w:ascii="Times New Roman" w:hAnsi="Times New Roman" w:cs="Times New Roman"/>
        <w:sz w:val="22"/>
        <w:szCs w:val="22"/>
      </w:rPr>
      <w:t>03</w:t>
    </w:r>
    <w:r w:rsidR="0065378F">
      <w:rPr>
        <w:rFonts w:ascii="Times New Roman" w:hAnsi="Times New Roman" w:cs="Times New Roman"/>
        <w:sz w:val="22"/>
        <w:szCs w:val="22"/>
      </w:rPr>
      <w:t>T</w:t>
    </w:r>
    <w:r w:rsidRPr="00231BDB">
      <w:rPr>
        <w:rFonts w:ascii="Times New Roman" w:hAnsi="Times New Roman" w:cs="Times New Roman"/>
        <w:sz w:val="22"/>
        <w:szCs w:val="22"/>
      </w:rPr>
      <w:t>: Inflation Reduction Act - Corporate Alternative Minimum Tax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20B5" w14:textId="63898652" w:rsidR="00A57959" w:rsidRPr="004C5231" w:rsidRDefault="00A57959" w:rsidP="00A57959">
    <w:pPr>
      <w:pStyle w:val="Header"/>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FC948568"/>
    <w:lvl w:ilvl="0">
      <w:start w:val="1"/>
      <w:numFmt w:val="decimal"/>
      <w:pStyle w:val="ListNumber"/>
      <w:lvlText w:val="%1."/>
      <w:lvlJc w:val="left"/>
      <w:pPr>
        <w:tabs>
          <w:tab w:val="num" w:pos="360"/>
        </w:tabs>
        <w:ind w:left="360" w:hanging="360"/>
      </w:pPr>
      <w:rPr>
        <w:b w:val="0"/>
        <w:bCs w:val="0"/>
      </w:r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11E12331"/>
    <w:multiLevelType w:val="multilevel"/>
    <w:tmpl w:val="892860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9C6CDA"/>
    <w:multiLevelType w:val="hybridMultilevel"/>
    <w:tmpl w:val="E656245A"/>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B76BB"/>
    <w:multiLevelType w:val="hybridMultilevel"/>
    <w:tmpl w:val="AC20DBD4"/>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19841098"/>
    <w:multiLevelType w:val="hybridMultilevel"/>
    <w:tmpl w:val="BEB842EC"/>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C4D3335"/>
    <w:multiLevelType w:val="hybridMultilevel"/>
    <w:tmpl w:val="7F1AB0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A1501A"/>
    <w:multiLevelType w:val="hybridMultilevel"/>
    <w:tmpl w:val="DC02CAEE"/>
    <w:lvl w:ilvl="0" w:tplc="FFFFFFFF">
      <w:start w:val="1"/>
      <w:numFmt w:val="lowerLetter"/>
      <w:lvlText w:val="%1."/>
      <w:lvlJc w:val="left"/>
      <w:pPr>
        <w:ind w:left="1080" w:hanging="360"/>
      </w:pPr>
      <w:rPr>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76731E2"/>
    <w:multiLevelType w:val="hybridMultilevel"/>
    <w:tmpl w:val="B33A64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E76932"/>
    <w:multiLevelType w:val="hybridMultilevel"/>
    <w:tmpl w:val="BEB842EC"/>
    <w:lvl w:ilvl="0" w:tplc="FFFFFFFF">
      <w:start w:val="1"/>
      <w:numFmt w:val="lowerLetter"/>
      <w:lvlText w:val="%1."/>
      <w:lvlJc w:val="left"/>
      <w:pPr>
        <w:ind w:left="-1440" w:hanging="360"/>
      </w:pPr>
    </w:lvl>
    <w:lvl w:ilvl="1" w:tplc="FFFFFFFF">
      <w:start w:val="1"/>
      <w:numFmt w:val="lowerLetter"/>
      <w:lvlText w:val="%2."/>
      <w:lvlJc w:val="left"/>
      <w:pPr>
        <w:ind w:left="-720" w:hanging="360"/>
      </w:pPr>
    </w:lvl>
    <w:lvl w:ilvl="2" w:tplc="FFFFFFFF" w:tentative="1">
      <w:start w:val="1"/>
      <w:numFmt w:val="lowerRoman"/>
      <w:lvlText w:val="%3."/>
      <w:lvlJc w:val="right"/>
      <w:pPr>
        <w:ind w:left="0" w:hanging="180"/>
      </w:pPr>
    </w:lvl>
    <w:lvl w:ilvl="3" w:tplc="FFFFFFFF" w:tentative="1">
      <w:start w:val="1"/>
      <w:numFmt w:val="decimal"/>
      <w:lvlText w:val="%4."/>
      <w:lvlJc w:val="left"/>
      <w:pPr>
        <w:ind w:left="720" w:hanging="360"/>
      </w:pPr>
    </w:lvl>
    <w:lvl w:ilvl="4" w:tplc="FFFFFFFF" w:tentative="1">
      <w:start w:val="1"/>
      <w:numFmt w:val="lowerLetter"/>
      <w:lvlText w:val="%5."/>
      <w:lvlJc w:val="left"/>
      <w:pPr>
        <w:ind w:left="1440" w:hanging="360"/>
      </w:pPr>
    </w:lvl>
    <w:lvl w:ilvl="5" w:tplc="FFFFFFFF" w:tentative="1">
      <w:start w:val="1"/>
      <w:numFmt w:val="lowerRoman"/>
      <w:lvlText w:val="%6."/>
      <w:lvlJc w:val="right"/>
      <w:pPr>
        <w:ind w:left="2160" w:hanging="180"/>
      </w:pPr>
    </w:lvl>
    <w:lvl w:ilvl="6" w:tplc="FFFFFFFF" w:tentative="1">
      <w:start w:val="1"/>
      <w:numFmt w:val="decimal"/>
      <w:lvlText w:val="%7."/>
      <w:lvlJc w:val="left"/>
      <w:pPr>
        <w:ind w:left="2880" w:hanging="360"/>
      </w:pPr>
    </w:lvl>
    <w:lvl w:ilvl="7" w:tplc="FFFFFFFF" w:tentative="1">
      <w:start w:val="1"/>
      <w:numFmt w:val="lowerLetter"/>
      <w:lvlText w:val="%8."/>
      <w:lvlJc w:val="left"/>
      <w:pPr>
        <w:ind w:left="3600" w:hanging="360"/>
      </w:pPr>
    </w:lvl>
    <w:lvl w:ilvl="8" w:tplc="FFFFFFFF" w:tentative="1">
      <w:start w:val="1"/>
      <w:numFmt w:val="lowerRoman"/>
      <w:lvlText w:val="%9."/>
      <w:lvlJc w:val="right"/>
      <w:pPr>
        <w:ind w:left="4320" w:hanging="180"/>
      </w:pPr>
    </w:lvl>
  </w:abstractNum>
  <w:abstractNum w:abstractNumId="11" w15:restartNumberingAfterBreak="0">
    <w:nsid w:val="4524361B"/>
    <w:multiLevelType w:val="hybridMultilevel"/>
    <w:tmpl w:val="BEB842EC"/>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675305A"/>
    <w:multiLevelType w:val="hybridMultilevel"/>
    <w:tmpl w:val="FA24F0D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 w15:restartNumberingAfterBreak="0">
    <w:nsid w:val="55711F9A"/>
    <w:multiLevelType w:val="hybridMultilevel"/>
    <w:tmpl w:val="FA24F0D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571A57FD"/>
    <w:multiLevelType w:val="hybridMultilevel"/>
    <w:tmpl w:val="DC02CAEE"/>
    <w:lvl w:ilvl="0" w:tplc="924AC058">
      <w:start w:val="1"/>
      <w:numFmt w:val="lowerLetter"/>
      <w:lvlText w:val="%1."/>
      <w:lvlJc w:val="left"/>
      <w:pPr>
        <w:ind w:left="1080" w:hanging="360"/>
      </w:pPr>
      <w:rPr>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A47113C"/>
    <w:multiLevelType w:val="hybridMultilevel"/>
    <w:tmpl w:val="BEB842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887EBE"/>
    <w:multiLevelType w:val="hybridMultilevel"/>
    <w:tmpl w:val="08645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84334B"/>
    <w:multiLevelType w:val="hybridMultilevel"/>
    <w:tmpl w:val="DC02CAEE"/>
    <w:lvl w:ilvl="0" w:tplc="FFFFFFFF">
      <w:start w:val="1"/>
      <w:numFmt w:val="lowerLetter"/>
      <w:lvlText w:val="%1."/>
      <w:lvlJc w:val="left"/>
      <w:pPr>
        <w:ind w:left="1080" w:hanging="360"/>
      </w:pPr>
      <w:rPr>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EAC441B"/>
    <w:multiLevelType w:val="hybridMultilevel"/>
    <w:tmpl w:val="024A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548E0"/>
    <w:multiLevelType w:val="hybridMultilevel"/>
    <w:tmpl w:val="EB966604"/>
    <w:lvl w:ilvl="0" w:tplc="04090019">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642DD6"/>
    <w:multiLevelType w:val="multilevel"/>
    <w:tmpl w:val="62A84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6A4204"/>
    <w:multiLevelType w:val="hybridMultilevel"/>
    <w:tmpl w:val="AAD091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BE6F21"/>
    <w:multiLevelType w:val="hybridMultilevel"/>
    <w:tmpl w:val="BEB842EC"/>
    <w:lvl w:ilvl="0" w:tplc="FFFFFFFF">
      <w:start w:val="1"/>
      <w:numFmt w:val="lowerLetter"/>
      <w:lvlText w:val="%1."/>
      <w:lvlJc w:val="left"/>
      <w:pPr>
        <w:ind w:left="-1440" w:hanging="360"/>
      </w:pPr>
    </w:lvl>
    <w:lvl w:ilvl="1" w:tplc="FFFFFFFF">
      <w:start w:val="1"/>
      <w:numFmt w:val="lowerLetter"/>
      <w:lvlText w:val="%2."/>
      <w:lvlJc w:val="left"/>
      <w:pPr>
        <w:ind w:left="-720" w:hanging="360"/>
      </w:pPr>
    </w:lvl>
    <w:lvl w:ilvl="2" w:tplc="FFFFFFFF" w:tentative="1">
      <w:start w:val="1"/>
      <w:numFmt w:val="lowerRoman"/>
      <w:lvlText w:val="%3."/>
      <w:lvlJc w:val="right"/>
      <w:pPr>
        <w:ind w:left="0" w:hanging="180"/>
      </w:pPr>
    </w:lvl>
    <w:lvl w:ilvl="3" w:tplc="FFFFFFFF" w:tentative="1">
      <w:start w:val="1"/>
      <w:numFmt w:val="decimal"/>
      <w:lvlText w:val="%4."/>
      <w:lvlJc w:val="left"/>
      <w:pPr>
        <w:ind w:left="720" w:hanging="360"/>
      </w:pPr>
    </w:lvl>
    <w:lvl w:ilvl="4" w:tplc="FFFFFFFF" w:tentative="1">
      <w:start w:val="1"/>
      <w:numFmt w:val="lowerLetter"/>
      <w:lvlText w:val="%5."/>
      <w:lvlJc w:val="left"/>
      <w:pPr>
        <w:ind w:left="1440" w:hanging="360"/>
      </w:pPr>
    </w:lvl>
    <w:lvl w:ilvl="5" w:tplc="FFFFFFFF" w:tentative="1">
      <w:start w:val="1"/>
      <w:numFmt w:val="lowerRoman"/>
      <w:lvlText w:val="%6."/>
      <w:lvlJc w:val="right"/>
      <w:pPr>
        <w:ind w:left="2160" w:hanging="180"/>
      </w:pPr>
    </w:lvl>
    <w:lvl w:ilvl="6" w:tplc="FFFFFFFF" w:tentative="1">
      <w:start w:val="1"/>
      <w:numFmt w:val="decimal"/>
      <w:lvlText w:val="%7."/>
      <w:lvlJc w:val="left"/>
      <w:pPr>
        <w:ind w:left="2880" w:hanging="360"/>
      </w:pPr>
    </w:lvl>
    <w:lvl w:ilvl="7" w:tplc="FFFFFFFF" w:tentative="1">
      <w:start w:val="1"/>
      <w:numFmt w:val="lowerLetter"/>
      <w:lvlText w:val="%8."/>
      <w:lvlJc w:val="left"/>
      <w:pPr>
        <w:ind w:left="3600" w:hanging="360"/>
      </w:pPr>
    </w:lvl>
    <w:lvl w:ilvl="8" w:tplc="FFFFFFFF" w:tentative="1">
      <w:start w:val="1"/>
      <w:numFmt w:val="lowerRoman"/>
      <w:lvlText w:val="%9."/>
      <w:lvlJc w:val="right"/>
      <w:pPr>
        <w:ind w:left="4320" w:hanging="180"/>
      </w:pPr>
    </w:lvl>
  </w:abstractNum>
  <w:num w:numId="1" w16cid:durableId="86318099">
    <w:abstractNumId w:val="20"/>
  </w:num>
  <w:num w:numId="2" w16cid:durableId="2005081975">
    <w:abstractNumId w:val="0"/>
  </w:num>
  <w:num w:numId="3" w16cid:durableId="1614970332">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4" w16cid:durableId="645400553">
    <w:abstractNumId w:val="1"/>
  </w:num>
  <w:num w:numId="5" w16cid:durableId="979308328">
    <w:abstractNumId w:val="15"/>
  </w:num>
  <w:num w:numId="6" w16cid:durableId="1729110051">
    <w:abstractNumId w:val="10"/>
  </w:num>
  <w:num w:numId="7" w16cid:durableId="1029138095">
    <w:abstractNumId w:val="14"/>
  </w:num>
  <w:num w:numId="8" w16cid:durableId="134227408">
    <w:abstractNumId w:val="17"/>
  </w:num>
  <w:num w:numId="9" w16cid:durableId="905846491">
    <w:abstractNumId w:val="19"/>
  </w:num>
  <w:num w:numId="10" w16cid:durableId="1330525471">
    <w:abstractNumId w:val="9"/>
  </w:num>
  <w:num w:numId="11" w16cid:durableId="572395258">
    <w:abstractNumId w:val="23"/>
  </w:num>
  <w:num w:numId="12" w16cid:durableId="1110511733">
    <w:abstractNumId w:val="8"/>
  </w:num>
  <w:num w:numId="13" w16cid:durableId="734277560">
    <w:abstractNumId w:val="6"/>
  </w:num>
  <w:num w:numId="14" w16cid:durableId="1138642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980551">
    <w:abstractNumId w:val="5"/>
  </w:num>
  <w:num w:numId="16" w16cid:durableId="246305130">
    <w:abstractNumId w:val="1"/>
  </w:num>
  <w:num w:numId="17" w16cid:durableId="11540915">
    <w:abstractNumId w:val="1"/>
  </w:num>
  <w:num w:numId="18" w16cid:durableId="495387547">
    <w:abstractNumId w:val="5"/>
  </w:num>
  <w:num w:numId="19" w16cid:durableId="221134347">
    <w:abstractNumId w:val="13"/>
  </w:num>
  <w:num w:numId="20" w16cid:durableId="437869581">
    <w:abstractNumId w:val="12"/>
  </w:num>
  <w:num w:numId="21" w16cid:durableId="2103257112">
    <w:abstractNumId w:val="1"/>
  </w:num>
  <w:num w:numId="22" w16cid:durableId="452872598">
    <w:abstractNumId w:val="1"/>
  </w:num>
  <w:num w:numId="23" w16cid:durableId="784236124">
    <w:abstractNumId w:val="1"/>
  </w:num>
  <w:num w:numId="24" w16cid:durableId="1635062552">
    <w:abstractNumId w:val="1"/>
  </w:num>
  <w:num w:numId="25" w16cid:durableId="1503811181">
    <w:abstractNumId w:val="1"/>
  </w:num>
  <w:num w:numId="26" w16cid:durableId="1589269084">
    <w:abstractNumId w:val="1"/>
    <w:lvlOverride w:ilvl="0">
      <w:startOverride w:val="1"/>
    </w:lvlOverride>
  </w:num>
  <w:num w:numId="27" w16cid:durableId="1278565061">
    <w:abstractNumId w:val="1"/>
  </w:num>
  <w:num w:numId="28" w16cid:durableId="585923801">
    <w:abstractNumId w:val="1"/>
  </w:num>
  <w:num w:numId="29" w16cid:durableId="629020496">
    <w:abstractNumId w:val="1"/>
  </w:num>
  <w:num w:numId="30" w16cid:durableId="1596209491">
    <w:abstractNumId w:val="1"/>
  </w:num>
  <w:num w:numId="31" w16cid:durableId="1537306322">
    <w:abstractNumId w:val="1"/>
  </w:num>
  <w:num w:numId="32" w16cid:durableId="71197914">
    <w:abstractNumId w:val="1"/>
  </w:num>
  <w:num w:numId="33" w16cid:durableId="713624474">
    <w:abstractNumId w:val="1"/>
  </w:num>
  <w:num w:numId="34" w16cid:durableId="1878080026">
    <w:abstractNumId w:val="1"/>
  </w:num>
  <w:num w:numId="35" w16cid:durableId="847985638">
    <w:abstractNumId w:val="1"/>
  </w:num>
  <w:num w:numId="36" w16cid:durableId="1684361232">
    <w:abstractNumId w:val="7"/>
  </w:num>
  <w:num w:numId="37" w16cid:durableId="271060947">
    <w:abstractNumId w:val="1"/>
  </w:num>
  <w:num w:numId="38" w16cid:durableId="158860292">
    <w:abstractNumId w:val="1"/>
  </w:num>
  <w:num w:numId="39" w16cid:durableId="731076914">
    <w:abstractNumId w:val="1"/>
  </w:num>
  <w:num w:numId="40" w16cid:durableId="1679846552">
    <w:abstractNumId w:val="1"/>
  </w:num>
  <w:num w:numId="41" w16cid:durableId="386951442">
    <w:abstractNumId w:val="1"/>
  </w:num>
  <w:num w:numId="42" w16cid:durableId="1068192297">
    <w:abstractNumId w:val="1"/>
  </w:num>
  <w:num w:numId="43" w16cid:durableId="855733531">
    <w:abstractNumId w:val="1"/>
  </w:num>
  <w:num w:numId="44" w16cid:durableId="1298488478">
    <w:abstractNumId w:val="1"/>
  </w:num>
  <w:num w:numId="45" w16cid:durableId="1049576174">
    <w:abstractNumId w:val="18"/>
  </w:num>
  <w:num w:numId="46" w16cid:durableId="331568935">
    <w:abstractNumId w:val="3"/>
  </w:num>
  <w:num w:numId="47" w16cid:durableId="1437675698">
    <w:abstractNumId w:val="21"/>
  </w:num>
  <w:num w:numId="48" w16cid:durableId="951476299">
    <w:abstractNumId w:val="16"/>
  </w:num>
  <w:num w:numId="49" w16cid:durableId="1549761255">
    <w:abstractNumId w:val="1"/>
  </w:num>
  <w:num w:numId="50" w16cid:durableId="1296911699">
    <w:abstractNumId w:val="1"/>
  </w:num>
  <w:num w:numId="51" w16cid:durableId="1044793150">
    <w:abstractNumId w:val="1"/>
  </w:num>
  <w:num w:numId="52" w16cid:durableId="1851411822">
    <w:abstractNumId w:val="4"/>
  </w:num>
  <w:num w:numId="53" w16cid:durableId="906765033">
    <w:abstractNumId w:val="22"/>
  </w:num>
  <w:num w:numId="54" w16cid:durableId="357200119">
    <w:abstractNumId w:val="1"/>
  </w:num>
  <w:num w:numId="55" w16cid:durableId="1879003691">
    <w:abstractNumId w:val="1"/>
  </w:num>
  <w:num w:numId="56" w16cid:durableId="1416055336">
    <w:abstractNumId w:val="1"/>
  </w:num>
  <w:num w:numId="57" w16cid:durableId="1399085886">
    <w:abstractNumId w:val="1"/>
  </w:num>
  <w:num w:numId="58" w16cid:durableId="1479298323">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938"/>
    <w:rsid w:val="00000A5E"/>
    <w:rsid w:val="0000187B"/>
    <w:rsid w:val="00003290"/>
    <w:rsid w:val="00004B0C"/>
    <w:rsid w:val="00004DEC"/>
    <w:rsid w:val="00005A0D"/>
    <w:rsid w:val="00006289"/>
    <w:rsid w:val="00007CA9"/>
    <w:rsid w:val="000103B4"/>
    <w:rsid w:val="00010902"/>
    <w:rsid w:val="00011D83"/>
    <w:rsid w:val="00012183"/>
    <w:rsid w:val="000132D2"/>
    <w:rsid w:val="00013D48"/>
    <w:rsid w:val="00014CBB"/>
    <w:rsid w:val="00014CC9"/>
    <w:rsid w:val="00015843"/>
    <w:rsid w:val="00015FCB"/>
    <w:rsid w:val="0001610F"/>
    <w:rsid w:val="000161A7"/>
    <w:rsid w:val="00016718"/>
    <w:rsid w:val="00016EDE"/>
    <w:rsid w:val="00017EF1"/>
    <w:rsid w:val="0002040D"/>
    <w:rsid w:val="00020AE5"/>
    <w:rsid w:val="00020B9B"/>
    <w:rsid w:val="0002163C"/>
    <w:rsid w:val="00021CB8"/>
    <w:rsid w:val="000222FD"/>
    <w:rsid w:val="00022E09"/>
    <w:rsid w:val="00022E78"/>
    <w:rsid w:val="0002381B"/>
    <w:rsid w:val="00023B35"/>
    <w:rsid w:val="00023CB1"/>
    <w:rsid w:val="00023D6B"/>
    <w:rsid w:val="00024BD7"/>
    <w:rsid w:val="000253AD"/>
    <w:rsid w:val="00027AD8"/>
    <w:rsid w:val="00030390"/>
    <w:rsid w:val="0003076D"/>
    <w:rsid w:val="00032ACB"/>
    <w:rsid w:val="00032D9C"/>
    <w:rsid w:val="00032E36"/>
    <w:rsid w:val="000345FE"/>
    <w:rsid w:val="00034B2F"/>
    <w:rsid w:val="000354D3"/>
    <w:rsid w:val="00035D91"/>
    <w:rsid w:val="00037190"/>
    <w:rsid w:val="000371BB"/>
    <w:rsid w:val="00037357"/>
    <w:rsid w:val="0003745F"/>
    <w:rsid w:val="000406BB"/>
    <w:rsid w:val="00040AAA"/>
    <w:rsid w:val="00041377"/>
    <w:rsid w:val="00042020"/>
    <w:rsid w:val="0004223A"/>
    <w:rsid w:val="00042CE0"/>
    <w:rsid w:val="000438DE"/>
    <w:rsid w:val="00043C55"/>
    <w:rsid w:val="00043C7E"/>
    <w:rsid w:val="000445D0"/>
    <w:rsid w:val="0004471B"/>
    <w:rsid w:val="00045E69"/>
    <w:rsid w:val="00045F7A"/>
    <w:rsid w:val="0004688D"/>
    <w:rsid w:val="00050766"/>
    <w:rsid w:val="00052182"/>
    <w:rsid w:val="000521BE"/>
    <w:rsid w:val="0005258C"/>
    <w:rsid w:val="00053171"/>
    <w:rsid w:val="0005385F"/>
    <w:rsid w:val="00055205"/>
    <w:rsid w:val="00055273"/>
    <w:rsid w:val="00055F2B"/>
    <w:rsid w:val="00056783"/>
    <w:rsid w:val="00056D74"/>
    <w:rsid w:val="00056EE2"/>
    <w:rsid w:val="0005731B"/>
    <w:rsid w:val="000579B6"/>
    <w:rsid w:val="00057CFB"/>
    <w:rsid w:val="00057DEF"/>
    <w:rsid w:val="00061587"/>
    <w:rsid w:val="00061832"/>
    <w:rsid w:val="00062300"/>
    <w:rsid w:val="00062A88"/>
    <w:rsid w:val="000637A2"/>
    <w:rsid w:val="00063D86"/>
    <w:rsid w:val="00064AF3"/>
    <w:rsid w:val="00066AE0"/>
    <w:rsid w:val="00067402"/>
    <w:rsid w:val="0006773C"/>
    <w:rsid w:val="00071130"/>
    <w:rsid w:val="000711FA"/>
    <w:rsid w:val="000714AC"/>
    <w:rsid w:val="000729CB"/>
    <w:rsid w:val="00073376"/>
    <w:rsid w:val="00073E6E"/>
    <w:rsid w:val="00074664"/>
    <w:rsid w:val="000755F2"/>
    <w:rsid w:val="00076791"/>
    <w:rsid w:val="000767B3"/>
    <w:rsid w:val="000773BC"/>
    <w:rsid w:val="00077D12"/>
    <w:rsid w:val="00077E71"/>
    <w:rsid w:val="00077FD4"/>
    <w:rsid w:val="00081ED0"/>
    <w:rsid w:val="0008228F"/>
    <w:rsid w:val="000827C9"/>
    <w:rsid w:val="00083873"/>
    <w:rsid w:val="00083B44"/>
    <w:rsid w:val="00084BAA"/>
    <w:rsid w:val="000856C1"/>
    <w:rsid w:val="000863B9"/>
    <w:rsid w:val="00086498"/>
    <w:rsid w:val="00086C02"/>
    <w:rsid w:val="00087F11"/>
    <w:rsid w:val="0009010F"/>
    <w:rsid w:val="00090284"/>
    <w:rsid w:val="000903E1"/>
    <w:rsid w:val="00090DA2"/>
    <w:rsid w:val="00090EAC"/>
    <w:rsid w:val="00091380"/>
    <w:rsid w:val="00091381"/>
    <w:rsid w:val="00091619"/>
    <w:rsid w:val="00091851"/>
    <w:rsid w:val="00091DF8"/>
    <w:rsid w:val="000933ED"/>
    <w:rsid w:val="00094BD5"/>
    <w:rsid w:val="000953ED"/>
    <w:rsid w:val="000956A8"/>
    <w:rsid w:val="00096452"/>
    <w:rsid w:val="00096587"/>
    <w:rsid w:val="000967FA"/>
    <w:rsid w:val="0009726F"/>
    <w:rsid w:val="000977BF"/>
    <w:rsid w:val="00097D73"/>
    <w:rsid w:val="000A11D8"/>
    <w:rsid w:val="000A222D"/>
    <w:rsid w:val="000A253A"/>
    <w:rsid w:val="000A53AE"/>
    <w:rsid w:val="000A5B7F"/>
    <w:rsid w:val="000B1BC5"/>
    <w:rsid w:val="000B21B2"/>
    <w:rsid w:val="000B2A5F"/>
    <w:rsid w:val="000B4EB8"/>
    <w:rsid w:val="000B51A9"/>
    <w:rsid w:val="000B5CC0"/>
    <w:rsid w:val="000B68AA"/>
    <w:rsid w:val="000B7057"/>
    <w:rsid w:val="000B7CBC"/>
    <w:rsid w:val="000B7F1E"/>
    <w:rsid w:val="000C0390"/>
    <w:rsid w:val="000C1827"/>
    <w:rsid w:val="000C1EBF"/>
    <w:rsid w:val="000C369A"/>
    <w:rsid w:val="000C5C29"/>
    <w:rsid w:val="000C6E0B"/>
    <w:rsid w:val="000C74F0"/>
    <w:rsid w:val="000C7D7B"/>
    <w:rsid w:val="000D0024"/>
    <w:rsid w:val="000D03CB"/>
    <w:rsid w:val="000D106A"/>
    <w:rsid w:val="000D1D80"/>
    <w:rsid w:val="000D21F4"/>
    <w:rsid w:val="000D22F4"/>
    <w:rsid w:val="000D233C"/>
    <w:rsid w:val="000D2D30"/>
    <w:rsid w:val="000D4091"/>
    <w:rsid w:val="000D5054"/>
    <w:rsid w:val="000D530C"/>
    <w:rsid w:val="000D64D0"/>
    <w:rsid w:val="000D674E"/>
    <w:rsid w:val="000D6AE8"/>
    <w:rsid w:val="000E09B8"/>
    <w:rsid w:val="000E1131"/>
    <w:rsid w:val="000E16CA"/>
    <w:rsid w:val="000E2F39"/>
    <w:rsid w:val="000E5E46"/>
    <w:rsid w:val="000F0AF4"/>
    <w:rsid w:val="000F0B5F"/>
    <w:rsid w:val="000F133B"/>
    <w:rsid w:val="000F1AA3"/>
    <w:rsid w:val="000F1BAE"/>
    <w:rsid w:val="000F287B"/>
    <w:rsid w:val="000F2EE8"/>
    <w:rsid w:val="000F42C2"/>
    <w:rsid w:val="000F4A07"/>
    <w:rsid w:val="000F4AFD"/>
    <w:rsid w:val="000F53DE"/>
    <w:rsid w:val="000F625B"/>
    <w:rsid w:val="000F6D57"/>
    <w:rsid w:val="0010444C"/>
    <w:rsid w:val="0010450E"/>
    <w:rsid w:val="0010719A"/>
    <w:rsid w:val="0011089F"/>
    <w:rsid w:val="00112375"/>
    <w:rsid w:val="00114092"/>
    <w:rsid w:val="0011437B"/>
    <w:rsid w:val="00114959"/>
    <w:rsid w:val="00114BEA"/>
    <w:rsid w:val="00114D79"/>
    <w:rsid w:val="00115D04"/>
    <w:rsid w:val="0011630B"/>
    <w:rsid w:val="0011651F"/>
    <w:rsid w:val="00116F1A"/>
    <w:rsid w:val="00117233"/>
    <w:rsid w:val="0011752E"/>
    <w:rsid w:val="00117B5C"/>
    <w:rsid w:val="00117BA2"/>
    <w:rsid w:val="00117C33"/>
    <w:rsid w:val="0012060D"/>
    <w:rsid w:val="001207F5"/>
    <w:rsid w:val="00120CA4"/>
    <w:rsid w:val="00120E0F"/>
    <w:rsid w:val="00121771"/>
    <w:rsid w:val="0012238D"/>
    <w:rsid w:val="001229E9"/>
    <w:rsid w:val="00123082"/>
    <w:rsid w:val="0012325E"/>
    <w:rsid w:val="00123790"/>
    <w:rsid w:val="00124574"/>
    <w:rsid w:val="001247BE"/>
    <w:rsid w:val="0012552A"/>
    <w:rsid w:val="0012628F"/>
    <w:rsid w:val="00126B8F"/>
    <w:rsid w:val="00127435"/>
    <w:rsid w:val="00127D6B"/>
    <w:rsid w:val="00127FDD"/>
    <w:rsid w:val="001309EF"/>
    <w:rsid w:val="001328CA"/>
    <w:rsid w:val="00133830"/>
    <w:rsid w:val="00133E87"/>
    <w:rsid w:val="00134AB2"/>
    <w:rsid w:val="0013539B"/>
    <w:rsid w:val="00136B6A"/>
    <w:rsid w:val="00137EE0"/>
    <w:rsid w:val="0014072A"/>
    <w:rsid w:val="00141C43"/>
    <w:rsid w:val="0014233D"/>
    <w:rsid w:val="00143401"/>
    <w:rsid w:val="00145DB0"/>
    <w:rsid w:val="001465E1"/>
    <w:rsid w:val="00150CC3"/>
    <w:rsid w:val="0015128A"/>
    <w:rsid w:val="00151745"/>
    <w:rsid w:val="00152ED2"/>
    <w:rsid w:val="001541A5"/>
    <w:rsid w:val="0015458E"/>
    <w:rsid w:val="00155679"/>
    <w:rsid w:val="0015577C"/>
    <w:rsid w:val="00155F28"/>
    <w:rsid w:val="00161820"/>
    <w:rsid w:val="00161C91"/>
    <w:rsid w:val="00162526"/>
    <w:rsid w:val="00162554"/>
    <w:rsid w:val="00162C19"/>
    <w:rsid w:val="00163111"/>
    <w:rsid w:val="0016370A"/>
    <w:rsid w:val="00163BDA"/>
    <w:rsid w:val="00165247"/>
    <w:rsid w:val="00166128"/>
    <w:rsid w:val="0016654E"/>
    <w:rsid w:val="0016662F"/>
    <w:rsid w:val="0017225D"/>
    <w:rsid w:val="0017276D"/>
    <w:rsid w:val="0017354D"/>
    <w:rsid w:val="00173FAA"/>
    <w:rsid w:val="00175572"/>
    <w:rsid w:val="0017690D"/>
    <w:rsid w:val="0018011C"/>
    <w:rsid w:val="00180E07"/>
    <w:rsid w:val="00181111"/>
    <w:rsid w:val="00181B72"/>
    <w:rsid w:val="00183553"/>
    <w:rsid w:val="001839EB"/>
    <w:rsid w:val="00184144"/>
    <w:rsid w:val="00184378"/>
    <w:rsid w:val="00185719"/>
    <w:rsid w:val="00186E7D"/>
    <w:rsid w:val="00187B02"/>
    <w:rsid w:val="0019013F"/>
    <w:rsid w:val="0019028D"/>
    <w:rsid w:val="001914B1"/>
    <w:rsid w:val="001918E8"/>
    <w:rsid w:val="00193093"/>
    <w:rsid w:val="001934F1"/>
    <w:rsid w:val="00194834"/>
    <w:rsid w:val="0019503D"/>
    <w:rsid w:val="0019505A"/>
    <w:rsid w:val="00195245"/>
    <w:rsid w:val="001956E7"/>
    <w:rsid w:val="00195A80"/>
    <w:rsid w:val="00196385"/>
    <w:rsid w:val="00196990"/>
    <w:rsid w:val="001970C9"/>
    <w:rsid w:val="001972C3"/>
    <w:rsid w:val="00197444"/>
    <w:rsid w:val="001974D3"/>
    <w:rsid w:val="001A0503"/>
    <w:rsid w:val="001A066D"/>
    <w:rsid w:val="001A155B"/>
    <w:rsid w:val="001A1956"/>
    <w:rsid w:val="001A27D2"/>
    <w:rsid w:val="001A2A37"/>
    <w:rsid w:val="001A2E6F"/>
    <w:rsid w:val="001A35A9"/>
    <w:rsid w:val="001A3EB2"/>
    <w:rsid w:val="001A3FE9"/>
    <w:rsid w:val="001A3FED"/>
    <w:rsid w:val="001A40FA"/>
    <w:rsid w:val="001A4696"/>
    <w:rsid w:val="001A46C6"/>
    <w:rsid w:val="001A4B61"/>
    <w:rsid w:val="001A4CF5"/>
    <w:rsid w:val="001A4D00"/>
    <w:rsid w:val="001A554E"/>
    <w:rsid w:val="001A5711"/>
    <w:rsid w:val="001A5C9D"/>
    <w:rsid w:val="001A6751"/>
    <w:rsid w:val="001A6FCE"/>
    <w:rsid w:val="001B00D8"/>
    <w:rsid w:val="001B075A"/>
    <w:rsid w:val="001B0A4C"/>
    <w:rsid w:val="001B1743"/>
    <w:rsid w:val="001B19CF"/>
    <w:rsid w:val="001B2DE2"/>
    <w:rsid w:val="001B3138"/>
    <w:rsid w:val="001B3476"/>
    <w:rsid w:val="001B3B8A"/>
    <w:rsid w:val="001B449E"/>
    <w:rsid w:val="001B5FF0"/>
    <w:rsid w:val="001B60BC"/>
    <w:rsid w:val="001B7974"/>
    <w:rsid w:val="001C1A19"/>
    <w:rsid w:val="001C210C"/>
    <w:rsid w:val="001C2BF6"/>
    <w:rsid w:val="001C34DE"/>
    <w:rsid w:val="001C4935"/>
    <w:rsid w:val="001C5259"/>
    <w:rsid w:val="001C56FC"/>
    <w:rsid w:val="001C7132"/>
    <w:rsid w:val="001C7CDF"/>
    <w:rsid w:val="001D00DC"/>
    <w:rsid w:val="001D0835"/>
    <w:rsid w:val="001D0DF6"/>
    <w:rsid w:val="001D0E2D"/>
    <w:rsid w:val="001D1033"/>
    <w:rsid w:val="001D112B"/>
    <w:rsid w:val="001D1717"/>
    <w:rsid w:val="001D28B9"/>
    <w:rsid w:val="001D3E4F"/>
    <w:rsid w:val="001D5E2B"/>
    <w:rsid w:val="001D73E8"/>
    <w:rsid w:val="001E243B"/>
    <w:rsid w:val="001E2607"/>
    <w:rsid w:val="001E2683"/>
    <w:rsid w:val="001E453B"/>
    <w:rsid w:val="001E46CC"/>
    <w:rsid w:val="001E4F2F"/>
    <w:rsid w:val="001E663A"/>
    <w:rsid w:val="001E7831"/>
    <w:rsid w:val="001F048A"/>
    <w:rsid w:val="001F07A6"/>
    <w:rsid w:val="001F0B0A"/>
    <w:rsid w:val="001F2529"/>
    <w:rsid w:val="001F2BB1"/>
    <w:rsid w:val="001F3941"/>
    <w:rsid w:val="001F3CF4"/>
    <w:rsid w:val="001F46EB"/>
    <w:rsid w:val="001F47BC"/>
    <w:rsid w:val="001F4FCD"/>
    <w:rsid w:val="001F5838"/>
    <w:rsid w:val="001F5DE6"/>
    <w:rsid w:val="001F5EB2"/>
    <w:rsid w:val="001F5EDA"/>
    <w:rsid w:val="001F6668"/>
    <w:rsid w:val="001F7269"/>
    <w:rsid w:val="002004E9"/>
    <w:rsid w:val="00200D7F"/>
    <w:rsid w:val="00202DEE"/>
    <w:rsid w:val="00202F96"/>
    <w:rsid w:val="002036C0"/>
    <w:rsid w:val="00203FF7"/>
    <w:rsid w:val="0020438A"/>
    <w:rsid w:val="002046F5"/>
    <w:rsid w:val="00205214"/>
    <w:rsid w:val="002061D7"/>
    <w:rsid w:val="002066DB"/>
    <w:rsid w:val="0020710E"/>
    <w:rsid w:val="002110C7"/>
    <w:rsid w:val="002111E7"/>
    <w:rsid w:val="00211F02"/>
    <w:rsid w:val="0021294A"/>
    <w:rsid w:val="00214C30"/>
    <w:rsid w:val="002164C4"/>
    <w:rsid w:val="002167DA"/>
    <w:rsid w:val="00216DFE"/>
    <w:rsid w:val="002171E9"/>
    <w:rsid w:val="002212F1"/>
    <w:rsid w:val="0022168B"/>
    <w:rsid w:val="00221773"/>
    <w:rsid w:val="00222F8D"/>
    <w:rsid w:val="00224D45"/>
    <w:rsid w:val="00225B39"/>
    <w:rsid w:val="00230213"/>
    <w:rsid w:val="002308C6"/>
    <w:rsid w:val="00230B6B"/>
    <w:rsid w:val="00230D18"/>
    <w:rsid w:val="00231BDB"/>
    <w:rsid w:val="00231F3A"/>
    <w:rsid w:val="00234767"/>
    <w:rsid w:val="002352F7"/>
    <w:rsid w:val="00236B36"/>
    <w:rsid w:val="002375D5"/>
    <w:rsid w:val="00237940"/>
    <w:rsid w:val="00237C79"/>
    <w:rsid w:val="00241336"/>
    <w:rsid w:val="00241651"/>
    <w:rsid w:val="00241D7B"/>
    <w:rsid w:val="002421DD"/>
    <w:rsid w:val="0024268F"/>
    <w:rsid w:val="00242D83"/>
    <w:rsid w:val="0024320B"/>
    <w:rsid w:val="0024543B"/>
    <w:rsid w:val="00245A51"/>
    <w:rsid w:val="00245C48"/>
    <w:rsid w:val="002463C9"/>
    <w:rsid w:val="00246E4D"/>
    <w:rsid w:val="00254133"/>
    <w:rsid w:val="0025584C"/>
    <w:rsid w:val="00255BBA"/>
    <w:rsid w:val="002569F5"/>
    <w:rsid w:val="002570FE"/>
    <w:rsid w:val="00257A59"/>
    <w:rsid w:val="00257BE3"/>
    <w:rsid w:val="00257C4D"/>
    <w:rsid w:val="00257D1B"/>
    <w:rsid w:val="00261273"/>
    <w:rsid w:val="00261294"/>
    <w:rsid w:val="00261D6B"/>
    <w:rsid w:val="00262731"/>
    <w:rsid w:val="00262E88"/>
    <w:rsid w:val="00263529"/>
    <w:rsid w:val="00264625"/>
    <w:rsid w:val="00264B96"/>
    <w:rsid w:val="0026568E"/>
    <w:rsid w:val="002661DA"/>
    <w:rsid w:val="002672D1"/>
    <w:rsid w:val="002673D3"/>
    <w:rsid w:val="0027058B"/>
    <w:rsid w:val="00271B7F"/>
    <w:rsid w:val="00274516"/>
    <w:rsid w:val="002745C8"/>
    <w:rsid w:val="00276096"/>
    <w:rsid w:val="00276CCE"/>
    <w:rsid w:val="002779DD"/>
    <w:rsid w:val="00280EAA"/>
    <w:rsid w:val="00281900"/>
    <w:rsid w:val="00281B12"/>
    <w:rsid w:val="00283483"/>
    <w:rsid w:val="002839EA"/>
    <w:rsid w:val="002849A9"/>
    <w:rsid w:val="00285640"/>
    <w:rsid w:val="00285924"/>
    <w:rsid w:val="00285A0D"/>
    <w:rsid w:val="00285DD3"/>
    <w:rsid w:val="00286252"/>
    <w:rsid w:val="00286920"/>
    <w:rsid w:val="00286DEF"/>
    <w:rsid w:val="002870D1"/>
    <w:rsid w:val="00287F03"/>
    <w:rsid w:val="0029026F"/>
    <w:rsid w:val="002912A1"/>
    <w:rsid w:val="0029142B"/>
    <w:rsid w:val="00291D93"/>
    <w:rsid w:val="0029208D"/>
    <w:rsid w:val="002922C6"/>
    <w:rsid w:val="00292353"/>
    <w:rsid w:val="00292D54"/>
    <w:rsid w:val="002941B8"/>
    <w:rsid w:val="00294416"/>
    <w:rsid w:val="00294FBF"/>
    <w:rsid w:val="002950E6"/>
    <w:rsid w:val="002955CD"/>
    <w:rsid w:val="00297159"/>
    <w:rsid w:val="00297BD3"/>
    <w:rsid w:val="00297C73"/>
    <w:rsid w:val="002A0BF1"/>
    <w:rsid w:val="002A1316"/>
    <w:rsid w:val="002A21F9"/>
    <w:rsid w:val="002A44FE"/>
    <w:rsid w:val="002A4789"/>
    <w:rsid w:val="002A4A2F"/>
    <w:rsid w:val="002A54F6"/>
    <w:rsid w:val="002A6597"/>
    <w:rsid w:val="002A6F63"/>
    <w:rsid w:val="002B0E1A"/>
    <w:rsid w:val="002B3282"/>
    <w:rsid w:val="002B453C"/>
    <w:rsid w:val="002B7AD2"/>
    <w:rsid w:val="002B7AF8"/>
    <w:rsid w:val="002C021A"/>
    <w:rsid w:val="002C0D4C"/>
    <w:rsid w:val="002C11EA"/>
    <w:rsid w:val="002C1262"/>
    <w:rsid w:val="002C1CD3"/>
    <w:rsid w:val="002C2CC8"/>
    <w:rsid w:val="002C37F9"/>
    <w:rsid w:val="002C3A65"/>
    <w:rsid w:val="002C45DB"/>
    <w:rsid w:val="002C57E9"/>
    <w:rsid w:val="002C5BFF"/>
    <w:rsid w:val="002C5FB5"/>
    <w:rsid w:val="002C6229"/>
    <w:rsid w:val="002C629B"/>
    <w:rsid w:val="002C6372"/>
    <w:rsid w:val="002C6435"/>
    <w:rsid w:val="002C7649"/>
    <w:rsid w:val="002C790F"/>
    <w:rsid w:val="002C7CBA"/>
    <w:rsid w:val="002C7E3C"/>
    <w:rsid w:val="002D06C8"/>
    <w:rsid w:val="002D08A1"/>
    <w:rsid w:val="002D1439"/>
    <w:rsid w:val="002D1A39"/>
    <w:rsid w:val="002D1AD8"/>
    <w:rsid w:val="002D39E5"/>
    <w:rsid w:val="002D3CD3"/>
    <w:rsid w:val="002D3D01"/>
    <w:rsid w:val="002D4B38"/>
    <w:rsid w:val="002D5927"/>
    <w:rsid w:val="002D59E2"/>
    <w:rsid w:val="002D62E6"/>
    <w:rsid w:val="002D727A"/>
    <w:rsid w:val="002E176F"/>
    <w:rsid w:val="002E1B7D"/>
    <w:rsid w:val="002E1FF8"/>
    <w:rsid w:val="002E2D72"/>
    <w:rsid w:val="002E2E51"/>
    <w:rsid w:val="002E44CB"/>
    <w:rsid w:val="002E4876"/>
    <w:rsid w:val="002E6988"/>
    <w:rsid w:val="002E6CBB"/>
    <w:rsid w:val="002E726C"/>
    <w:rsid w:val="002E7888"/>
    <w:rsid w:val="002F104C"/>
    <w:rsid w:val="002F2CF3"/>
    <w:rsid w:val="002F2D98"/>
    <w:rsid w:val="002F38F9"/>
    <w:rsid w:val="002F3C50"/>
    <w:rsid w:val="002F4C6D"/>
    <w:rsid w:val="002F5ACC"/>
    <w:rsid w:val="002F5D2C"/>
    <w:rsid w:val="002F5E05"/>
    <w:rsid w:val="002F6FF9"/>
    <w:rsid w:val="002F7ADC"/>
    <w:rsid w:val="00300153"/>
    <w:rsid w:val="003005A1"/>
    <w:rsid w:val="003009C7"/>
    <w:rsid w:val="003018AB"/>
    <w:rsid w:val="00301D8F"/>
    <w:rsid w:val="00302621"/>
    <w:rsid w:val="003032D6"/>
    <w:rsid w:val="0030347D"/>
    <w:rsid w:val="00303C62"/>
    <w:rsid w:val="0030420B"/>
    <w:rsid w:val="00304241"/>
    <w:rsid w:val="003047D7"/>
    <w:rsid w:val="00304CEC"/>
    <w:rsid w:val="003055A3"/>
    <w:rsid w:val="003056B9"/>
    <w:rsid w:val="00305C28"/>
    <w:rsid w:val="00306BF8"/>
    <w:rsid w:val="003073E1"/>
    <w:rsid w:val="00310706"/>
    <w:rsid w:val="00310E69"/>
    <w:rsid w:val="003119EB"/>
    <w:rsid w:val="00311AC4"/>
    <w:rsid w:val="003126BE"/>
    <w:rsid w:val="00312B52"/>
    <w:rsid w:val="003133D4"/>
    <w:rsid w:val="003136E3"/>
    <w:rsid w:val="00313ED8"/>
    <w:rsid w:val="003142E4"/>
    <w:rsid w:val="003148E8"/>
    <w:rsid w:val="00315782"/>
    <w:rsid w:val="0031637A"/>
    <w:rsid w:val="00316A8C"/>
    <w:rsid w:val="00317353"/>
    <w:rsid w:val="00317E3B"/>
    <w:rsid w:val="00320027"/>
    <w:rsid w:val="00320C8C"/>
    <w:rsid w:val="003225CA"/>
    <w:rsid w:val="00322E8B"/>
    <w:rsid w:val="0032313D"/>
    <w:rsid w:val="00323A8D"/>
    <w:rsid w:val="003241A2"/>
    <w:rsid w:val="00324407"/>
    <w:rsid w:val="003247D8"/>
    <w:rsid w:val="0032518C"/>
    <w:rsid w:val="0032532D"/>
    <w:rsid w:val="00325660"/>
    <w:rsid w:val="00325B73"/>
    <w:rsid w:val="00325E26"/>
    <w:rsid w:val="00327747"/>
    <w:rsid w:val="00330696"/>
    <w:rsid w:val="00330B91"/>
    <w:rsid w:val="00331224"/>
    <w:rsid w:val="003315E7"/>
    <w:rsid w:val="003325E9"/>
    <w:rsid w:val="003329D5"/>
    <w:rsid w:val="00333C16"/>
    <w:rsid w:val="00333FC0"/>
    <w:rsid w:val="003341A9"/>
    <w:rsid w:val="003346C5"/>
    <w:rsid w:val="0033687A"/>
    <w:rsid w:val="00336B14"/>
    <w:rsid w:val="0033721D"/>
    <w:rsid w:val="003372FC"/>
    <w:rsid w:val="00337C02"/>
    <w:rsid w:val="003402A6"/>
    <w:rsid w:val="003415C3"/>
    <w:rsid w:val="003416E6"/>
    <w:rsid w:val="003418A7"/>
    <w:rsid w:val="0034544B"/>
    <w:rsid w:val="00345936"/>
    <w:rsid w:val="00345D53"/>
    <w:rsid w:val="00347E92"/>
    <w:rsid w:val="00351F47"/>
    <w:rsid w:val="00352E73"/>
    <w:rsid w:val="0035452B"/>
    <w:rsid w:val="0035542F"/>
    <w:rsid w:val="00355560"/>
    <w:rsid w:val="0035609F"/>
    <w:rsid w:val="00356587"/>
    <w:rsid w:val="00357190"/>
    <w:rsid w:val="00357EEA"/>
    <w:rsid w:val="0036116A"/>
    <w:rsid w:val="003620BD"/>
    <w:rsid w:val="00362AD9"/>
    <w:rsid w:val="00363D83"/>
    <w:rsid w:val="00364B3C"/>
    <w:rsid w:val="00366A9C"/>
    <w:rsid w:val="00366C08"/>
    <w:rsid w:val="00366E4A"/>
    <w:rsid w:val="00367001"/>
    <w:rsid w:val="003670F6"/>
    <w:rsid w:val="00370E3A"/>
    <w:rsid w:val="003716D3"/>
    <w:rsid w:val="00372C31"/>
    <w:rsid w:val="003736B9"/>
    <w:rsid w:val="003740A7"/>
    <w:rsid w:val="00374D2B"/>
    <w:rsid w:val="0037505C"/>
    <w:rsid w:val="003773FE"/>
    <w:rsid w:val="003808A7"/>
    <w:rsid w:val="00381106"/>
    <w:rsid w:val="00381B01"/>
    <w:rsid w:val="00382199"/>
    <w:rsid w:val="00384C36"/>
    <w:rsid w:val="00386033"/>
    <w:rsid w:val="00386509"/>
    <w:rsid w:val="00387520"/>
    <w:rsid w:val="003910F4"/>
    <w:rsid w:val="003912F4"/>
    <w:rsid w:val="00391CF5"/>
    <w:rsid w:val="003924CE"/>
    <w:rsid w:val="0039380A"/>
    <w:rsid w:val="00393908"/>
    <w:rsid w:val="00394B19"/>
    <w:rsid w:val="00394D52"/>
    <w:rsid w:val="00396CF6"/>
    <w:rsid w:val="00397584"/>
    <w:rsid w:val="00397A9D"/>
    <w:rsid w:val="00397C5F"/>
    <w:rsid w:val="003A0778"/>
    <w:rsid w:val="003A1DBE"/>
    <w:rsid w:val="003A1E4D"/>
    <w:rsid w:val="003A2D56"/>
    <w:rsid w:val="003A3954"/>
    <w:rsid w:val="003A4B61"/>
    <w:rsid w:val="003A5435"/>
    <w:rsid w:val="003A57CA"/>
    <w:rsid w:val="003A5B8C"/>
    <w:rsid w:val="003A6E22"/>
    <w:rsid w:val="003B0B29"/>
    <w:rsid w:val="003B12DE"/>
    <w:rsid w:val="003B1705"/>
    <w:rsid w:val="003B25A8"/>
    <w:rsid w:val="003B2A2E"/>
    <w:rsid w:val="003B3AC7"/>
    <w:rsid w:val="003B446F"/>
    <w:rsid w:val="003B526A"/>
    <w:rsid w:val="003B55E1"/>
    <w:rsid w:val="003B57EE"/>
    <w:rsid w:val="003B57FD"/>
    <w:rsid w:val="003B6670"/>
    <w:rsid w:val="003B6800"/>
    <w:rsid w:val="003B6CC1"/>
    <w:rsid w:val="003C0C09"/>
    <w:rsid w:val="003C2C34"/>
    <w:rsid w:val="003C39BB"/>
    <w:rsid w:val="003C4820"/>
    <w:rsid w:val="003C4DB7"/>
    <w:rsid w:val="003C59C7"/>
    <w:rsid w:val="003C6BDE"/>
    <w:rsid w:val="003C70F5"/>
    <w:rsid w:val="003C7478"/>
    <w:rsid w:val="003C7C87"/>
    <w:rsid w:val="003C7D85"/>
    <w:rsid w:val="003D05FC"/>
    <w:rsid w:val="003D0721"/>
    <w:rsid w:val="003D1752"/>
    <w:rsid w:val="003D2695"/>
    <w:rsid w:val="003D3B4E"/>
    <w:rsid w:val="003D3EEC"/>
    <w:rsid w:val="003D6537"/>
    <w:rsid w:val="003D6826"/>
    <w:rsid w:val="003D7154"/>
    <w:rsid w:val="003D743F"/>
    <w:rsid w:val="003E0029"/>
    <w:rsid w:val="003E0513"/>
    <w:rsid w:val="003E2750"/>
    <w:rsid w:val="003E2848"/>
    <w:rsid w:val="003E2A5A"/>
    <w:rsid w:val="003E3178"/>
    <w:rsid w:val="003E4789"/>
    <w:rsid w:val="003E5112"/>
    <w:rsid w:val="003E54B3"/>
    <w:rsid w:val="003E55D5"/>
    <w:rsid w:val="003E5BC2"/>
    <w:rsid w:val="003E66CB"/>
    <w:rsid w:val="003E7509"/>
    <w:rsid w:val="003F194E"/>
    <w:rsid w:val="003F1C13"/>
    <w:rsid w:val="003F2A77"/>
    <w:rsid w:val="003F2BDB"/>
    <w:rsid w:val="003F2DF3"/>
    <w:rsid w:val="003F3DA5"/>
    <w:rsid w:val="003F43DA"/>
    <w:rsid w:val="003F4DD6"/>
    <w:rsid w:val="003F502A"/>
    <w:rsid w:val="003F683C"/>
    <w:rsid w:val="003F6F09"/>
    <w:rsid w:val="003F70EA"/>
    <w:rsid w:val="003F75C6"/>
    <w:rsid w:val="0040093D"/>
    <w:rsid w:val="0040109D"/>
    <w:rsid w:val="0040109E"/>
    <w:rsid w:val="00401D69"/>
    <w:rsid w:val="00401DCC"/>
    <w:rsid w:val="00404892"/>
    <w:rsid w:val="00404F03"/>
    <w:rsid w:val="0040639C"/>
    <w:rsid w:val="0041007A"/>
    <w:rsid w:val="004104C4"/>
    <w:rsid w:val="004108EB"/>
    <w:rsid w:val="00410E12"/>
    <w:rsid w:val="004114A7"/>
    <w:rsid w:val="004119B1"/>
    <w:rsid w:val="00411C28"/>
    <w:rsid w:val="00412089"/>
    <w:rsid w:val="0041266F"/>
    <w:rsid w:val="0041294B"/>
    <w:rsid w:val="00412B6C"/>
    <w:rsid w:val="00412B98"/>
    <w:rsid w:val="00415C8B"/>
    <w:rsid w:val="0041690D"/>
    <w:rsid w:val="00420117"/>
    <w:rsid w:val="004204CF"/>
    <w:rsid w:val="00420963"/>
    <w:rsid w:val="00420B79"/>
    <w:rsid w:val="00420C87"/>
    <w:rsid w:val="0042140C"/>
    <w:rsid w:val="004214C3"/>
    <w:rsid w:val="0042197F"/>
    <w:rsid w:val="00422ABC"/>
    <w:rsid w:val="00422D0B"/>
    <w:rsid w:val="00424423"/>
    <w:rsid w:val="0042461B"/>
    <w:rsid w:val="0042600C"/>
    <w:rsid w:val="00426570"/>
    <w:rsid w:val="004266B1"/>
    <w:rsid w:val="00427A81"/>
    <w:rsid w:val="00431427"/>
    <w:rsid w:val="0043260A"/>
    <w:rsid w:val="00433591"/>
    <w:rsid w:val="004341E3"/>
    <w:rsid w:val="004341F0"/>
    <w:rsid w:val="004343F9"/>
    <w:rsid w:val="00434970"/>
    <w:rsid w:val="00435DAC"/>
    <w:rsid w:val="00436F92"/>
    <w:rsid w:val="004377E7"/>
    <w:rsid w:val="00437AE1"/>
    <w:rsid w:val="004407EA"/>
    <w:rsid w:val="0044093A"/>
    <w:rsid w:val="00442A9A"/>
    <w:rsid w:val="00442E0F"/>
    <w:rsid w:val="00442E96"/>
    <w:rsid w:val="00443987"/>
    <w:rsid w:val="00443D08"/>
    <w:rsid w:val="00444375"/>
    <w:rsid w:val="00444E2F"/>
    <w:rsid w:val="004451EE"/>
    <w:rsid w:val="00445E47"/>
    <w:rsid w:val="00445FF1"/>
    <w:rsid w:val="00446244"/>
    <w:rsid w:val="0044637F"/>
    <w:rsid w:val="00447EF0"/>
    <w:rsid w:val="00450111"/>
    <w:rsid w:val="004516AB"/>
    <w:rsid w:val="00451908"/>
    <w:rsid w:val="004527CA"/>
    <w:rsid w:val="00452842"/>
    <w:rsid w:val="0045294F"/>
    <w:rsid w:val="00452D10"/>
    <w:rsid w:val="0045369C"/>
    <w:rsid w:val="00453A15"/>
    <w:rsid w:val="004549F4"/>
    <w:rsid w:val="00454CC9"/>
    <w:rsid w:val="00454FD7"/>
    <w:rsid w:val="00457A9B"/>
    <w:rsid w:val="00457B72"/>
    <w:rsid w:val="00457E67"/>
    <w:rsid w:val="0046156D"/>
    <w:rsid w:val="004615A7"/>
    <w:rsid w:val="004618CC"/>
    <w:rsid w:val="00461A3F"/>
    <w:rsid w:val="004620FD"/>
    <w:rsid w:val="00462810"/>
    <w:rsid w:val="00462DEB"/>
    <w:rsid w:val="0046391A"/>
    <w:rsid w:val="004657E2"/>
    <w:rsid w:val="00466525"/>
    <w:rsid w:val="00466C2D"/>
    <w:rsid w:val="00467074"/>
    <w:rsid w:val="0046742A"/>
    <w:rsid w:val="00467DD3"/>
    <w:rsid w:val="0047030F"/>
    <w:rsid w:val="00471D0B"/>
    <w:rsid w:val="00472393"/>
    <w:rsid w:val="004802D6"/>
    <w:rsid w:val="00480AB2"/>
    <w:rsid w:val="00481D2A"/>
    <w:rsid w:val="004829CD"/>
    <w:rsid w:val="00482DE7"/>
    <w:rsid w:val="004837E6"/>
    <w:rsid w:val="00483CD1"/>
    <w:rsid w:val="00483CD3"/>
    <w:rsid w:val="00483F19"/>
    <w:rsid w:val="004843FD"/>
    <w:rsid w:val="004852E6"/>
    <w:rsid w:val="0048588C"/>
    <w:rsid w:val="00485FBA"/>
    <w:rsid w:val="00486282"/>
    <w:rsid w:val="00486612"/>
    <w:rsid w:val="0048680B"/>
    <w:rsid w:val="00486D31"/>
    <w:rsid w:val="00486EEC"/>
    <w:rsid w:val="00490899"/>
    <w:rsid w:val="0049095F"/>
    <w:rsid w:val="00490996"/>
    <w:rsid w:val="00491E1E"/>
    <w:rsid w:val="00493552"/>
    <w:rsid w:val="0049387D"/>
    <w:rsid w:val="004944BC"/>
    <w:rsid w:val="00494649"/>
    <w:rsid w:val="00494735"/>
    <w:rsid w:val="004947A8"/>
    <w:rsid w:val="00495010"/>
    <w:rsid w:val="004953BB"/>
    <w:rsid w:val="004961FA"/>
    <w:rsid w:val="00496D38"/>
    <w:rsid w:val="0049733D"/>
    <w:rsid w:val="004977DC"/>
    <w:rsid w:val="00497D4C"/>
    <w:rsid w:val="00497FF9"/>
    <w:rsid w:val="004A0205"/>
    <w:rsid w:val="004A0EDF"/>
    <w:rsid w:val="004A166E"/>
    <w:rsid w:val="004A18A7"/>
    <w:rsid w:val="004A1D92"/>
    <w:rsid w:val="004A1FE6"/>
    <w:rsid w:val="004A2F46"/>
    <w:rsid w:val="004A3685"/>
    <w:rsid w:val="004A3BA2"/>
    <w:rsid w:val="004A3C55"/>
    <w:rsid w:val="004A4640"/>
    <w:rsid w:val="004A483B"/>
    <w:rsid w:val="004A4B71"/>
    <w:rsid w:val="004A4D34"/>
    <w:rsid w:val="004A64EB"/>
    <w:rsid w:val="004A6A27"/>
    <w:rsid w:val="004A6FE4"/>
    <w:rsid w:val="004A74D9"/>
    <w:rsid w:val="004B3E5B"/>
    <w:rsid w:val="004B51B6"/>
    <w:rsid w:val="004B525F"/>
    <w:rsid w:val="004B5835"/>
    <w:rsid w:val="004B7317"/>
    <w:rsid w:val="004B7B26"/>
    <w:rsid w:val="004B7EFB"/>
    <w:rsid w:val="004C125D"/>
    <w:rsid w:val="004C2CB8"/>
    <w:rsid w:val="004C3805"/>
    <w:rsid w:val="004C3AE7"/>
    <w:rsid w:val="004C5231"/>
    <w:rsid w:val="004C5F36"/>
    <w:rsid w:val="004C6651"/>
    <w:rsid w:val="004C6867"/>
    <w:rsid w:val="004C6CFE"/>
    <w:rsid w:val="004C7586"/>
    <w:rsid w:val="004D0718"/>
    <w:rsid w:val="004D2B25"/>
    <w:rsid w:val="004D2D88"/>
    <w:rsid w:val="004D2FA0"/>
    <w:rsid w:val="004D3FB4"/>
    <w:rsid w:val="004D4598"/>
    <w:rsid w:val="004D4855"/>
    <w:rsid w:val="004D56CA"/>
    <w:rsid w:val="004D5DFD"/>
    <w:rsid w:val="004D6731"/>
    <w:rsid w:val="004D782C"/>
    <w:rsid w:val="004D7B23"/>
    <w:rsid w:val="004E0140"/>
    <w:rsid w:val="004E10FA"/>
    <w:rsid w:val="004E148D"/>
    <w:rsid w:val="004E1F27"/>
    <w:rsid w:val="004E1FE5"/>
    <w:rsid w:val="004E2153"/>
    <w:rsid w:val="004E24D7"/>
    <w:rsid w:val="004E2BB9"/>
    <w:rsid w:val="004E3080"/>
    <w:rsid w:val="004E358B"/>
    <w:rsid w:val="004E3B7D"/>
    <w:rsid w:val="004E505C"/>
    <w:rsid w:val="004E5774"/>
    <w:rsid w:val="004E6950"/>
    <w:rsid w:val="004E7A7B"/>
    <w:rsid w:val="004E7FE2"/>
    <w:rsid w:val="004F12CE"/>
    <w:rsid w:val="004F1862"/>
    <w:rsid w:val="004F29AC"/>
    <w:rsid w:val="004F2A7B"/>
    <w:rsid w:val="004F3B0B"/>
    <w:rsid w:val="004F4235"/>
    <w:rsid w:val="004F4836"/>
    <w:rsid w:val="004F4A82"/>
    <w:rsid w:val="004F4B05"/>
    <w:rsid w:val="004F6938"/>
    <w:rsid w:val="004F6F4E"/>
    <w:rsid w:val="005005DF"/>
    <w:rsid w:val="00500824"/>
    <w:rsid w:val="0050189A"/>
    <w:rsid w:val="00501CBE"/>
    <w:rsid w:val="00503D11"/>
    <w:rsid w:val="00503ECA"/>
    <w:rsid w:val="00504213"/>
    <w:rsid w:val="00504EA0"/>
    <w:rsid w:val="005062C3"/>
    <w:rsid w:val="00507D38"/>
    <w:rsid w:val="00510266"/>
    <w:rsid w:val="0051097C"/>
    <w:rsid w:val="00511BB7"/>
    <w:rsid w:val="00511C7D"/>
    <w:rsid w:val="00511F05"/>
    <w:rsid w:val="00512E17"/>
    <w:rsid w:val="00513162"/>
    <w:rsid w:val="00513809"/>
    <w:rsid w:val="00514A36"/>
    <w:rsid w:val="00514C07"/>
    <w:rsid w:val="00514CF1"/>
    <w:rsid w:val="00514FA1"/>
    <w:rsid w:val="00515191"/>
    <w:rsid w:val="00515A2F"/>
    <w:rsid w:val="00516CD0"/>
    <w:rsid w:val="00517736"/>
    <w:rsid w:val="00517D2A"/>
    <w:rsid w:val="00521131"/>
    <w:rsid w:val="0052159A"/>
    <w:rsid w:val="005244C2"/>
    <w:rsid w:val="00525062"/>
    <w:rsid w:val="005253F2"/>
    <w:rsid w:val="00526210"/>
    <w:rsid w:val="005270D3"/>
    <w:rsid w:val="00527A4A"/>
    <w:rsid w:val="00532A24"/>
    <w:rsid w:val="00533209"/>
    <w:rsid w:val="00533B81"/>
    <w:rsid w:val="005340EA"/>
    <w:rsid w:val="00535281"/>
    <w:rsid w:val="005403BE"/>
    <w:rsid w:val="0054142A"/>
    <w:rsid w:val="00541737"/>
    <w:rsid w:val="00541D50"/>
    <w:rsid w:val="00542028"/>
    <w:rsid w:val="005425BD"/>
    <w:rsid w:val="00542DDC"/>
    <w:rsid w:val="00543955"/>
    <w:rsid w:val="00543B06"/>
    <w:rsid w:val="0054468E"/>
    <w:rsid w:val="005453D2"/>
    <w:rsid w:val="005458C6"/>
    <w:rsid w:val="00547695"/>
    <w:rsid w:val="00547E69"/>
    <w:rsid w:val="005501DC"/>
    <w:rsid w:val="00550A49"/>
    <w:rsid w:val="00550E10"/>
    <w:rsid w:val="005524B2"/>
    <w:rsid w:val="00552BCC"/>
    <w:rsid w:val="00553676"/>
    <w:rsid w:val="00553C08"/>
    <w:rsid w:val="0055435E"/>
    <w:rsid w:val="005549F4"/>
    <w:rsid w:val="00554B40"/>
    <w:rsid w:val="00555A3A"/>
    <w:rsid w:val="005571D6"/>
    <w:rsid w:val="005577E3"/>
    <w:rsid w:val="005578DA"/>
    <w:rsid w:val="00560549"/>
    <w:rsid w:val="00562444"/>
    <w:rsid w:val="00562EBD"/>
    <w:rsid w:val="00562FA5"/>
    <w:rsid w:val="00563D8F"/>
    <w:rsid w:val="00564878"/>
    <w:rsid w:val="00564AEF"/>
    <w:rsid w:val="005665EE"/>
    <w:rsid w:val="00566A08"/>
    <w:rsid w:val="00566D75"/>
    <w:rsid w:val="00566EFB"/>
    <w:rsid w:val="00567938"/>
    <w:rsid w:val="00570CC4"/>
    <w:rsid w:val="00570DD3"/>
    <w:rsid w:val="005710CF"/>
    <w:rsid w:val="005714B7"/>
    <w:rsid w:val="0057158D"/>
    <w:rsid w:val="005725F8"/>
    <w:rsid w:val="005733A8"/>
    <w:rsid w:val="005735A5"/>
    <w:rsid w:val="0057360B"/>
    <w:rsid w:val="00574201"/>
    <w:rsid w:val="0057438F"/>
    <w:rsid w:val="00574A3C"/>
    <w:rsid w:val="00575B41"/>
    <w:rsid w:val="005764FA"/>
    <w:rsid w:val="00576552"/>
    <w:rsid w:val="0058010D"/>
    <w:rsid w:val="00582592"/>
    <w:rsid w:val="00582CA5"/>
    <w:rsid w:val="00584638"/>
    <w:rsid w:val="00586E95"/>
    <w:rsid w:val="00587DDF"/>
    <w:rsid w:val="005906CF"/>
    <w:rsid w:val="00593524"/>
    <w:rsid w:val="00593EA0"/>
    <w:rsid w:val="00594CD6"/>
    <w:rsid w:val="00595698"/>
    <w:rsid w:val="0059601A"/>
    <w:rsid w:val="00596A6B"/>
    <w:rsid w:val="00596DE4"/>
    <w:rsid w:val="00597604"/>
    <w:rsid w:val="005A159A"/>
    <w:rsid w:val="005A1BC3"/>
    <w:rsid w:val="005A259E"/>
    <w:rsid w:val="005A33CA"/>
    <w:rsid w:val="005A4479"/>
    <w:rsid w:val="005A5525"/>
    <w:rsid w:val="005A59AF"/>
    <w:rsid w:val="005A6D8E"/>
    <w:rsid w:val="005B0AEE"/>
    <w:rsid w:val="005B0DAF"/>
    <w:rsid w:val="005B1C3C"/>
    <w:rsid w:val="005B1EDF"/>
    <w:rsid w:val="005B2105"/>
    <w:rsid w:val="005B214F"/>
    <w:rsid w:val="005B23C6"/>
    <w:rsid w:val="005B244F"/>
    <w:rsid w:val="005B2571"/>
    <w:rsid w:val="005B2E0D"/>
    <w:rsid w:val="005B323A"/>
    <w:rsid w:val="005B3612"/>
    <w:rsid w:val="005B4900"/>
    <w:rsid w:val="005B49BE"/>
    <w:rsid w:val="005B4E5C"/>
    <w:rsid w:val="005B59F1"/>
    <w:rsid w:val="005B5AA3"/>
    <w:rsid w:val="005B65A6"/>
    <w:rsid w:val="005B6826"/>
    <w:rsid w:val="005B7182"/>
    <w:rsid w:val="005B7525"/>
    <w:rsid w:val="005B790C"/>
    <w:rsid w:val="005B7F56"/>
    <w:rsid w:val="005C0CEA"/>
    <w:rsid w:val="005C0EF3"/>
    <w:rsid w:val="005C1012"/>
    <w:rsid w:val="005C238B"/>
    <w:rsid w:val="005C26E9"/>
    <w:rsid w:val="005C3B05"/>
    <w:rsid w:val="005C4AF5"/>
    <w:rsid w:val="005C510C"/>
    <w:rsid w:val="005C5209"/>
    <w:rsid w:val="005C615A"/>
    <w:rsid w:val="005D014B"/>
    <w:rsid w:val="005D0E8B"/>
    <w:rsid w:val="005D0F70"/>
    <w:rsid w:val="005D1889"/>
    <w:rsid w:val="005D1CE7"/>
    <w:rsid w:val="005D2C85"/>
    <w:rsid w:val="005D32D5"/>
    <w:rsid w:val="005D3A92"/>
    <w:rsid w:val="005D55C4"/>
    <w:rsid w:val="005D5FD0"/>
    <w:rsid w:val="005D638C"/>
    <w:rsid w:val="005D6C00"/>
    <w:rsid w:val="005D7B44"/>
    <w:rsid w:val="005E1050"/>
    <w:rsid w:val="005E1066"/>
    <w:rsid w:val="005E15E0"/>
    <w:rsid w:val="005E16EC"/>
    <w:rsid w:val="005E2631"/>
    <w:rsid w:val="005E30BE"/>
    <w:rsid w:val="005E4BB2"/>
    <w:rsid w:val="005E5086"/>
    <w:rsid w:val="005E552F"/>
    <w:rsid w:val="005E56D8"/>
    <w:rsid w:val="005E6562"/>
    <w:rsid w:val="005E73BB"/>
    <w:rsid w:val="005F0608"/>
    <w:rsid w:val="005F0C3E"/>
    <w:rsid w:val="005F3988"/>
    <w:rsid w:val="005F3A2A"/>
    <w:rsid w:val="005F409B"/>
    <w:rsid w:val="005F4556"/>
    <w:rsid w:val="005F46CF"/>
    <w:rsid w:val="005F5E57"/>
    <w:rsid w:val="005F5F85"/>
    <w:rsid w:val="005F6541"/>
    <w:rsid w:val="005F713F"/>
    <w:rsid w:val="005F7BBC"/>
    <w:rsid w:val="006007FC"/>
    <w:rsid w:val="006011AC"/>
    <w:rsid w:val="006017B2"/>
    <w:rsid w:val="00602365"/>
    <w:rsid w:val="00603362"/>
    <w:rsid w:val="006038D4"/>
    <w:rsid w:val="0060460F"/>
    <w:rsid w:val="00604A80"/>
    <w:rsid w:val="00605552"/>
    <w:rsid w:val="00605D0F"/>
    <w:rsid w:val="00607BA0"/>
    <w:rsid w:val="00611382"/>
    <w:rsid w:val="0061149C"/>
    <w:rsid w:val="006123AB"/>
    <w:rsid w:val="006144C4"/>
    <w:rsid w:val="0061520B"/>
    <w:rsid w:val="00617236"/>
    <w:rsid w:val="0061760D"/>
    <w:rsid w:val="00617D79"/>
    <w:rsid w:val="00620AA8"/>
    <w:rsid w:val="00622115"/>
    <w:rsid w:val="006227BB"/>
    <w:rsid w:val="006228BD"/>
    <w:rsid w:val="00624055"/>
    <w:rsid w:val="00624E04"/>
    <w:rsid w:val="0062595C"/>
    <w:rsid w:val="00626152"/>
    <w:rsid w:val="00626600"/>
    <w:rsid w:val="006272C7"/>
    <w:rsid w:val="00630368"/>
    <w:rsid w:val="006311BE"/>
    <w:rsid w:val="00631ABF"/>
    <w:rsid w:val="00632A72"/>
    <w:rsid w:val="0063420C"/>
    <w:rsid w:val="00634598"/>
    <w:rsid w:val="0063527F"/>
    <w:rsid w:val="00637C40"/>
    <w:rsid w:val="00640096"/>
    <w:rsid w:val="00640458"/>
    <w:rsid w:val="0064064D"/>
    <w:rsid w:val="00642A1D"/>
    <w:rsid w:val="0064324B"/>
    <w:rsid w:val="00643590"/>
    <w:rsid w:val="00644660"/>
    <w:rsid w:val="0064503D"/>
    <w:rsid w:val="00645231"/>
    <w:rsid w:val="0064533D"/>
    <w:rsid w:val="00646F90"/>
    <w:rsid w:val="00647061"/>
    <w:rsid w:val="0064753B"/>
    <w:rsid w:val="00647C63"/>
    <w:rsid w:val="00647DFA"/>
    <w:rsid w:val="006506A1"/>
    <w:rsid w:val="00650F92"/>
    <w:rsid w:val="006521C8"/>
    <w:rsid w:val="0065365F"/>
    <w:rsid w:val="0065378F"/>
    <w:rsid w:val="006541AE"/>
    <w:rsid w:val="006548AA"/>
    <w:rsid w:val="00654938"/>
    <w:rsid w:val="00654D61"/>
    <w:rsid w:val="006553E0"/>
    <w:rsid w:val="00655715"/>
    <w:rsid w:val="00655B1E"/>
    <w:rsid w:val="00655FCE"/>
    <w:rsid w:val="00660144"/>
    <w:rsid w:val="006604F8"/>
    <w:rsid w:val="00660A2F"/>
    <w:rsid w:val="00661BD8"/>
    <w:rsid w:val="00662611"/>
    <w:rsid w:val="00663004"/>
    <w:rsid w:val="00663025"/>
    <w:rsid w:val="006635F1"/>
    <w:rsid w:val="00663D07"/>
    <w:rsid w:val="00663F7D"/>
    <w:rsid w:val="006657CA"/>
    <w:rsid w:val="00665B7F"/>
    <w:rsid w:val="006665D0"/>
    <w:rsid w:val="00667684"/>
    <w:rsid w:val="00671887"/>
    <w:rsid w:val="00671E54"/>
    <w:rsid w:val="00671F38"/>
    <w:rsid w:val="00672191"/>
    <w:rsid w:val="00672F5D"/>
    <w:rsid w:val="00674136"/>
    <w:rsid w:val="00674808"/>
    <w:rsid w:val="006767ED"/>
    <w:rsid w:val="00676A9F"/>
    <w:rsid w:val="00676D8E"/>
    <w:rsid w:val="0067711E"/>
    <w:rsid w:val="0068007A"/>
    <w:rsid w:val="00680F07"/>
    <w:rsid w:val="00684735"/>
    <w:rsid w:val="00684D24"/>
    <w:rsid w:val="00687678"/>
    <w:rsid w:val="00687691"/>
    <w:rsid w:val="00690138"/>
    <w:rsid w:val="00690CBB"/>
    <w:rsid w:val="0069280F"/>
    <w:rsid w:val="00692D96"/>
    <w:rsid w:val="00693C23"/>
    <w:rsid w:val="00693C58"/>
    <w:rsid w:val="00693F07"/>
    <w:rsid w:val="00693F8A"/>
    <w:rsid w:val="00695D58"/>
    <w:rsid w:val="006961F0"/>
    <w:rsid w:val="0069699A"/>
    <w:rsid w:val="00697796"/>
    <w:rsid w:val="006A08E4"/>
    <w:rsid w:val="006A0961"/>
    <w:rsid w:val="006A0D4C"/>
    <w:rsid w:val="006A28FB"/>
    <w:rsid w:val="006A37F0"/>
    <w:rsid w:val="006A3BC7"/>
    <w:rsid w:val="006A3DA2"/>
    <w:rsid w:val="006A44A6"/>
    <w:rsid w:val="006A4BEA"/>
    <w:rsid w:val="006A5BA3"/>
    <w:rsid w:val="006A64D1"/>
    <w:rsid w:val="006A74B3"/>
    <w:rsid w:val="006A7F1B"/>
    <w:rsid w:val="006B0755"/>
    <w:rsid w:val="006B18D5"/>
    <w:rsid w:val="006B243C"/>
    <w:rsid w:val="006B24F1"/>
    <w:rsid w:val="006B37DD"/>
    <w:rsid w:val="006B41C8"/>
    <w:rsid w:val="006B48E3"/>
    <w:rsid w:val="006B52DB"/>
    <w:rsid w:val="006B674E"/>
    <w:rsid w:val="006B72EA"/>
    <w:rsid w:val="006B7F54"/>
    <w:rsid w:val="006C0128"/>
    <w:rsid w:val="006C0818"/>
    <w:rsid w:val="006C1B2C"/>
    <w:rsid w:val="006C1B66"/>
    <w:rsid w:val="006C1BB9"/>
    <w:rsid w:val="006C2A31"/>
    <w:rsid w:val="006C33C0"/>
    <w:rsid w:val="006C3A57"/>
    <w:rsid w:val="006C51B2"/>
    <w:rsid w:val="006C6704"/>
    <w:rsid w:val="006C7754"/>
    <w:rsid w:val="006C7AB3"/>
    <w:rsid w:val="006D0B18"/>
    <w:rsid w:val="006D2703"/>
    <w:rsid w:val="006D3494"/>
    <w:rsid w:val="006D3A59"/>
    <w:rsid w:val="006D3D19"/>
    <w:rsid w:val="006D41C5"/>
    <w:rsid w:val="006D485F"/>
    <w:rsid w:val="006D5452"/>
    <w:rsid w:val="006D5A63"/>
    <w:rsid w:val="006D7531"/>
    <w:rsid w:val="006E0576"/>
    <w:rsid w:val="006E1EF5"/>
    <w:rsid w:val="006E3CBE"/>
    <w:rsid w:val="006E6639"/>
    <w:rsid w:val="006E6ADF"/>
    <w:rsid w:val="006E70C7"/>
    <w:rsid w:val="006F251E"/>
    <w:rsid w:val="006F34B3"/>
    <w:rsid w:val="006F3861"/>
    <w:rsid w:val="006F4CF8"/>
    <w:rsid w:val="006F5184"/>
    <w:rsid w:val="006F627D"/>
    <w:rsid w:val="006F6BAD"/>
    <w:rsid w:val="00703364"/>
    <w:rsid w:val="00703653"/>
    <w:rsid w:val="0070516B"/>
    <w:rsid w:val="0070567D"/>
    <w:rsid w:val="00705BF4"/>
    <w:rsid w:val="00706B68"/>
    <w:rsid w:val="00706D49"/>
    <w:rsid w:val="007108FD"/>
    <w:rsid w:val="00710BE1"/>
    <w:rsid w:val="00711FB7"/>
    <w:rsid w:val="00712B7D"/>
    <w:rsid w:val="007134A6"/>
    <w:rsid w:val="0071494E"/>
    <w:rsid w:val="007149DD"/>
    <w:rsid w:val="007155C8"/>
    <w:rsid w:val="00715743"/>
    <w:rsid w:val="00715B88"/>
    <w:rsid w:val="007160C7"/>
    <w:rsid w:val="00716E75"/>
    <w:rsid w:val="0071736C"/>
    <w:rsid w:val="00717BB5"/>
    <w:rsid w:val="00717D43"/>
    <w:rsid w:val="00721A2A"/>
    <w:rsid w:val="00721EFE"/>
    <w:rsid w:val="00722010"/>
    <w:rsid w:val="00722489"/>
    <w:rsid w:val="00724019"/>
    <w:rsid w:val="00724948"/>
    <w:rsid w:val="00724A57"/>
    <w:rsid w:val="00724ED2"/>
    <w:rsid w:val="0072525D"/>
    <w:rsid w:val="00726592"/>
    <w:rsid w:val="00727549"/>
    <w:rsid w:val="007279BC"/>
    <w:rsid w:val="00727BAE"/>
    <w:rsid w:val="00727F7A"/>
    <w:rsid w:val="0073037E"/>
    <w:rsid w:val="007306B9"/>
    <w:rsid w:val="007308F4"/>
    <w:rsid w:val="00732966"/>
    <w:rsid w:val="00732A48"/>
    <w:rsid w:val="00732FC6"/>
    <w:rsid w:val="00733B92"/>
    <w:rsid w:val="007360C3"/>
    <w:rsid w:val="007361FB"/>
    <w:rsid w:val="00736311"/>
    <w:rsid w:val="00736F54"/>
    <w:rsid w:val="00737FC3"/>
    <w:rsid w:val="0074099E"/>
    <w:rsid w:val="00740C76"/>
    <w:rsid w:val="00740E78"/>
    <w:rsid w:val="007415E9"/>
    <w:rsid w:val="007447AF"/>
    <w:rsid w:val="00744F2E"/>
    <w:rsid w:val="00745CFC"/>
    <w:rsid w:val="00745EC9"/>
    <w:rsid w:val="00750326"/>
    <w:rsid w:val="00751B13"/>
    <w:rsid w:val="00751C18"/>
    <w:rsid w:val="007523A9"/>
    <w:rsid w:val="00752C1D"/>
    <w:rsid w:val="00754302"/>
    <w:rsid w:val="007548EC"/>
    <w:rsid w:val="00756AE3"/>
    <w:rsid w:val="0075742B"/>
    <w:rsid w:val="007574AB"/>
    <w:rsid w:val="007577A4"/>
    <w:rsid w:val="00757CD6"/>
    <w:rsid w:val="00757F99"/>
    <w:rsid w:val="00760365"/>
    <w:rsid w:val="007608E2"/>
    <w:rsid w:val="00761030"/>
    <w:rsid w:val="00761035"/>
    <w:rsid w:val="0076174D"/>
    <w:rsid w:val="00763164"/>
    <w:rsid w:val="00763673"/>
    <w:rsid w:val="00763D81"/>
    <w:rsid w:val="007642CC"/>
    <w:rsid w:val="007645A0"/>
    <w:rsid w:val="0076496E"/>
    <w:rsid w:val="00765704"/>
    <w:rsid w:val="00765EA2"/>
    <w:rsid w:val="00766316"/>
    <w:rsid w:val="00766978"/>
    <w:rsid w:val="007670EE"/>
    <w:rsid w:val="00767AC9"/>
    <w:rsid w:val="00767BFF"/>
    <w:rsid w:val="00770903"/>
    <w:rsid w:val="00771D71"/>
    <w:rsid w:val="00772212"/>
    <w:rsid w:val="007732EF"/>
    <w:rsid w:val="00773614"/>
    <w:rsid w:val="007741FD"/>
    <w:rsid w:val="00774C35"/>
    <w:rsid w:val="00774DA9"/>
    <w:rsid w:val="00774EEB"/>
    <w:rsid w:val="00776321"/>
    <w:rsid w:val="007767B8"/>
    <w:rsid w:val="00776A94"/>
    <w:rsid w:val="007770A3"/>
    <w:rsid w:val="007774AA"/>
    <w:rsid w:val="0077754C"/>
    <w:rsid w:val="00777733"/>
    <w:rsid w:val="00777BF9"/>
    <w:rsid w:val="00780180"/>
    <w:rsid w:val="00781305"/>
    <w:rsid w:val="007843D8"/>
    <w:rsid w:val="00785289"/>
    <w:rsid w:val="007864CC"/>
    <w:rsid w:val="00786D24"/>
    <w:rsid w:val="0079082C"/>
    <w:rsid w:val="00791BE4"/>
    <w:rsid w:val="007926B1"/>
    <w:rsid w:val="00794B81"/>
    <w:rsid w:val="00795467"/>
    <w:rsid w:val="00795898"/>
    <w:rsid w:val="00795EFE"/>
    <w:rsid w:val="0079656E"/>
    <w:rsid w:val="0079737A"/>
    <w:rsid w:val="007979D4"/>
    <w:rsid w:val="007A0A7F"/>
    <w:rsid w:val="007A1229"/>
    <w:rsid w:val="007A141D"/>
    <w:rsid w:val="007A2444"/>
    <w:rsid w:val="007A2829"/>
    <w:rsid w:val="007A31F1"/>
    <w:rsid w:val="007A379B"/>
    <w:rsid w:val="007A3D13"/>
    <w:rsid w:val="007A5968"/>
    <w:rsid w:val="007A62B8"/>
    <w:rsid w:val="007B02BD"/>
    <w:rsid w:val="007B1158"/>
    <w:rsid w:val="007B28C1"/>
    <w:rsid w:val="007B2FB8"/>
    <w:rsid w:val="007B32EE"/>
    <w:rsid w:val="007B4554"/>
    <w:rsid w:val="007B4C43"/>
    <w:rsid w:val="007B6C6E"/>
    <w:rsid w:val="007B76AF"/>
    <w:rsid w:val="007B7C74"/>
    <w:rsid w:val="007B7CEF"/>
    <w:rsid w:val="007C0135"/>
    <w:rsid w:val="007C262B"/>
    <w:rsid w:val="007C2911"/>
    <w:rsid w:val="007C2AF9"/>
    <w:rsid w:val="007C3348"/>
    <w:rsid w:val="007C3B06"/>
    <w:rsid w:val="007C3B79"/>
    <w:rsid w:val="007C3D81"/>
    <w:rsid w:val="007C552F"/>
    <w:rsid w:val="007C64AC"/>
    <w:rsid w:val="007C6B24"/>
    <w:rsid w:val="007C7FBB"/>
    <w:rsid w:val="007D010E"/>
    <w:rsid w:val="007D15BF"/>
    <w:rsid w:val="007D15E9"/>
    <w:rsid w:val="007D1FFA"/>
    <w:rsid w:val="007D2338"/>
    <w:rsid w:val="007D47E9"/>
    <w:rsid w:val="007D5128"/>
    <w:rsid w:val="007D5FF9"/>
    <w:rsid w:val="007D629A"/>
    <w:rsid w:val="007D71D0"/>
    <w:rsid w:val="007D79C1"/>
    <w:rsid w:val="007D7FF0"/>
    <w:rsid w:val="007E040E"/>
    <w:rsid w:val="007E0F75"/>
    <w:rsid w:val="007E1BED"/>
    <w:rsid w:val="007E2BA3"/>
    <w:rsid w:val="007E32BE"/>
    <w:rsid w:val="007E5CB0"/>
    <w:rsid w:val="007E615B"/>
    <w:rsid w:val="007E6BA0"/>
    <w:rsid w:val="007E709A"/>
    <w:rsid w:val="007E7565"/>
    <w:rsid w:val="007E773D"/>
    <w:rsid w:val="007E7DBF"/>
    <w:rsid w:val="007E7DE2"/>
    <w:rsid w:val="007E7F88"/>
    <w:rsid w:val="007F03FB"/>
    <w:rsid w:val="007F0845"/>
    <w:rsid w:val="007F1360"/>
    <w:rsid w:val="007F1389"/>
    <w:rsid w:val="007F18B3"/>
    <w:rsid w:val="007F344C"/>
    <w:rsid w:val="007F364A"/>
    <w:rsid w:val="007F40C0"/>
    <w:rsid w:val="007F4650"/>
    <w:rsid w:val="007F64CA"/>
    <w:rsid w:val="007F691E"/>
    <w:rsid w:val="007F6DF2"/>
    <w:rsid w:val="007F711B"/>
    <w:rsid w:val="007F736E"/>
    <w:rsid w:val="00800BC9"/>
    <w:rsid w:val="00800E9B"/>
    <w:rsid w:val="00801615"/>
    <w:rsid w:val="00801D23"/>
    <w:rsid w:val="00801EC4"/>
    <w:rsid w:val="008021D5"/>
    <w:rsid w:val="00802533"/>
    <w:rsid w:val="00802699"/>
    <w:rsid w:val="008027AE"/>
    <w:rsid w:val="0080290E"/>
    <w:rsid w:val="0080389F"/>
    <w:rsid w:val="00803AF1"/>
    <w:rsid w:val="00803C38"/>
    <w:rsid w:val="00803C7B"/>
    <w:rsid w:val="00804001"/>
    <w:rsid w:val="00805257"/>
    <w:rsid w:val="0080569A"/>
    <w:rsid w:val="00805924"/>
    <w:rsid w:val="00806DA0"/>
    <w:rsid w:val="00807722"/>
    <w:rsid w:val="00807AF9"/>
    <w:rsid w:val="0081007F"/>
    <w:rsid w:val="008109A1"/>
    <w:rsid w:val="008114C8"/>
    <w:rsid w:val="00811B4E"/>
    <w:rsid w:val="008120EB"/>
    <w:rsid w:val="00812FE2"/>
    <w:rsid w:val="00813C3E"/>
    <w:rsid w:val="00813F55"/>
    <w:rsid w:val="0081402F"/>
    <w:rsid w:val="00814993"/>
    <w:rsid w:val="00814BB4"/>
    <w:rsid w:val="00815582"/>
    <w:rsid w:val="00816EB6"/>
    <w:rsid w:val="00817B63"/>
    <w:rsid w:val="008214A0"/>
    <w:rsid w:val="0082340A"/>
    <w:rsid w:val="0082389E"/>
    <w:rsid w:val="00823983"/>
    <w:rsid w:val="00823FD7"/>
    <w:rsid w:val="00824B3D"/>
    <w:rsid w:val="008263F0"/>
    <w:rsid w:val="00826938"/>
    <w:rsid w:val="00827028"/>
    <w:rsid w:val="00827220"/>
    <w:rsid w:val="0082724A"/>
    <w:rsid w:val="00827AF1"/>
    <w:rsid w:val="00827D62"/>
    <w:rsid w:val="00830403"/>
    <w:rsid w:val="0083358E"/>
    <w:rsid w:val="0083382B"/>
    <w:rsid w:val="0083509A"/>
    <w:rsid w:val="00835730"/>
    <w:rsid w:val="008369D4"/>
    <w:rsid w:val="00837E14"/>
    <w:rsid w:val="008412F4"/>
    <w:rsid w:val="00841E3F"/>
    <w:rsid w:val="0084226F"/>
    <w:rsid w:val="00843EAE"/>
    <w:rsid w:val="008440F7"/>
    <w:rsid w:val="00844362"/>
    <w:rsid w:val="00844AA8"/>
    <w:rsid w:val="00845182"/>
    <w:rsid w:val="0084577D"/>
    <w:rsid w:val="0084599E"/>
    <w:rsid w:val="00845E72"/>
    <w:rsid w:val="008463A3"/>
    <w:rsid w:val="00846C44"/>
    <w:rsid w:val="008470E9"/>
    <w:rsid w:val="00847222"/>
    <w:rsid w:val="008474C0"/>
    <w:rsid w:val="008506DF"/>
    <w:rsid w:val="00850DF7"/>
    <w:rsid w:val="0085130A"/>
    <w:rsid w:val="008514A8"/>
    <w:rsid w:val="00851771"/>
    <w:rsid w:val="00852308"/>
    <w:rsid w:val="008523D0"/>
    <w:rsid w:val="0085250F"/>
    <w:rsid w:val="0085371C"/>
    <w:rsid w:val="008538C7"/>
    <w:rsid w:val="00853D62"/>
    <w:rsid w:val="00853EAB"/>
    <w:rsid w:val="0085519B"/>
    <w:rsid w:val="008555FF"/>
    <w:rsid w:val="0085599C"/>
    <w:rsid w:val="00855DB9"/>
    <w:rsid w:val="0085608E"/>
    <w:rsid w:val="0085610E"/>
    <w:rsid w:val="0085748A"/>
    <w:rsid w:val="0085760C"/>
    <w:rsid w:val="00860E8C"/>
    <w:rsid w:val="00861E14"/>
    <w:rsid w:val="00863AEB"/>
    <w:rsid w:val="008641D0"/>
    <w:rsid w:val="00864A97"/>
    <w:rsid w:val="00864E3A"/>
    <w:rsid w:val="00865E1D"/>
    <w:rsid w:val="0086709A"/>
    <w:rsid w:val="00871071"/>
    <w:rsid w:val="00871645"/>
    <w:rsid w:val="0087399F"/>
    <w:rsid w:val="00873BEA"/>
    <w:rsid w:val="00874A7C"/>
    <w:rsid w:val="00874C11"/>
    <w:rsid w:val="00874EBD"/>
    <w:rsid w:val="00875876"/>
    <w:rsid w:val="008758B4"/>
    <w:rsid w:val="008761B4"/>
    <w:rsid w:val="008770F6"/>
    <w:rsid w:val="008800DF"/>
    <w:rsid w:val="00880A1E"/>
    <w:rsid w:val="00882C71"/>
    <w:rsid w:val="0088353A"/>
    <w:rsid w:val="00883752"/>
    <w:rsid w:val="0088454D"/>
    <w:rsid w:val="008853BA"/>
    <w:rsid w:val="008853D5"/>
    <w:rsid w:val="00885C73"/>
    <w:rsid w:val="008865ED"/>
    <w:rsid w:val="00886748"/>
    <w:rsid w:val="008869A6"/>
    <w:rsid w:val="00887E9F"/>
    <w:rsid w:val="00891408"/>
    <w:rsid w:val="008915F9"/>
    <w:rsid w:val="00891712"/>
    <w:rsid w:val="00891755"/>
    <w:rsid w:val="00892A19"/>
    <w:rsid w:val="00892D0E"/>
    <w:rsid w:val="0089357C"/>
    <w:rsid w:val="00893AF4"/>
    <w:rsid w:val="00893AF8"/>
    <w:rsid w:val="00894060"/>
    <w:rsid w:val="0089522F"/>
    <w:rsid w:val="008955C0"/>
    <w:rsid w:val="00896BEA"/>
    <w:rsid w:val="00897454"/>
    <w:rsid w:val="008A02FF"/>
    <w:rsid w:val="008A076D"/>
    <w:rsid w:val="008A081E"/>
    <w:rsid w:val="008A10D5"/>
    <w:rsid w:val="008A19DD"/>
    <w:rsid w:val="008A1B57"/>
    <w:rsid w:val="008A2833"/>
    <w:rsid w:val="008A2CFB"/>
    <w:rsid w:val="008A524A"/>
    <w:rsid w:val="008A53C5"/>
    <w:rsid w:val="008A562D"/>
    <w:rsid w:val="008A5AD5"/>
    <w:rsid w:val="008A5EC8"/>
    <w:rsid w:val="008A6A3D"/>
    <w:rsid w:val="008A7FD0"/>
    <w:rsid w:val="008B0EE2"/>
    <w:rsid w:val="008B0FB8"/>
    <w:rsid w:val="008B14BB"/>
    <w:rsid w:val="008B16E2"/>
    <w:rsid w:val="008B1706"/>
    <w:rsid w:val="008B19F7"/>
    <w:rsid w:val="008B267E"/>
    <w:rsid w:val="008B37E7"/>
    <w:rsid w:val="008B6580"/>
    <w:rsid w:val="008B7BC8"/>
    <w:rsid w:val="008B7D5C"/>
    <w:rsid w:val="008C026F"/>
    <w:rsid w:val="008C2712"/>
    <w:rsid w:val="008C32DC"/>
    <w:rsid w:val="008C368E"/>
    <w:rsid w:val="008C37F4"/>
    <w:rsid w:val="008C3A60"/>
    <w:rsid w:val="008C4127"/>
    <w:rsid w:val="008C46DC"/>
    <w:rsid w:val="008C46FF"/>
    <w:rsid w:val="008C48DF"/>
    <w:rsid w:val="008C4D59"/>
    <w:rsid w:val="008C5197"/>
    <w:rsid w:val="008C59AA"/>
    <w:rsid w:val="008C5A7E"/>
    <w:rsid w:val="008C5A87"/>
    <w:rsid w:val="008C6186"/>
    <w:rsid w:val="008C64AD"/>
    <w:rsid w:val="008C6717"/>
    <w:rsid w:val="008C7B9D"/>
    <w:rsid w:val="008D1A8D"/>
    <w:rsid w:val="008D2CC5"/>
    <w:rsid w:val="008D30AD"/>
    <w:rsid w:val="008D4330"/>
    <w:rsid w:val="008D4B95"/>
    <w:rsid w:val="008D4BCE"/>
    <w:rsid w:val="008D524D"/>
    <w:rsid w:val="008D574B"/>
    <w:rsid w:val="008D5E2B"/>
    <w:rsid w:val="008D6CAF"/>
    <w:rsid w:val="008D7FAD"/>
    <w:rsid w:val="008E09B0"/>
    <w:rsid w:val="008E131E"/>
    <w:rsid w:val="008E19C6"/>
    <w:rsid w:val="008E22D1"/>
    <w:rsid w:val="008E36B2"/>
    <w:rsid w:val="008E3733"/>
    <w:rsid w:val="008E3EDA"/>
    <w:rsid w:val="008E45C5"/>
    <w:rsid w:val="008E536D"/>
    <w:rsid w:val="008E6770"/>
    <w:rsid w:val="008E7151"/>
    <w:rsid w:val="008F0306"/>
    <w:rsid w:val="008F04D2"/>
    <w:rsid w:val="008F0859"/>
    <w:rsid w:val="008F1836"/>
    <w:rsid w:val="008F19E9"/>
    <w:rsid w:val="008F317B"/>
    <w:rsid w:val="008F3557"/>
    <w:rsid w:val="008F3B5C"/>
    <w:rsid w:val="008F3E43"/>
    <w:rsid w:val="008F44DD"/>
    <w:rsid w:val="008F543D"/>
    <w:rsid w:val="008F552A"/>
    <w:rsid w:val="008F56DD"/>
    <w:rsid w:val="008F6E45"/>
    <w:rsid w:val="008F703C"/>
    <w:rsid w:val="008F79C5"/>
    <w:rsid w:val="00901C14"/>
    <w:rsid w:val="009024CA"/>
    <w:rsid w:val="00902E4C"/>
    <w:rsid w:val="009033F6"/>
    <w:rsid w:val="0090476B"/>
    <w:rsid w:val="0090509F"/>
    <w:rsid w:val="0090531D"/>
    <w:rsid w:val="00907DD1"/>
    <w:rsid w:val="00907F37"/>
    <w:rsid w:val="00910167"/>
    <w:rsid w:val="00911974"/>
    <w:rsid w:val="009119AC"/>
    <w:rsid w:val="009132C3"/>
    <w:rsid w:val="00913610"/>
    <w:rsid w:val="009140C5"/>
    <w:rsid w:val="00914C19"/>
    <w:rsid w:val="0091551D"/>
    <w:rsid w:val="009163AB"/>
    <w:rsid w:val="009179A9"/>
    <w:rsid w:val="0092196B"/>
    <w:rsid w:val="00921982"/>
    <w:rsid w:val="00922138"/>
    <w:rsid w:val="00922ED4"/>
    <w:rsid w:val="0092307B"/>
    <w:rsid w:val="0092464E"/>
    <w:rsid w:val="009249B4"/>
    <w:rsid w:val="00927CA9"/>
    <w:rsid w:val="00930036"/>
    <w:rsid w:val="00930A56"/>
    <w:rsid w:val="00931210"/>
    <w:rsid w:val="00932A6C"/>
    <w:rsid w:val="009333C6"/>
    <w:rsid w:val="009334FC"/>
    <w:rsid w:val="00933A6B"/>
    <w:rsid w:val="00933ACC"/>
    <w:rsid w:val="00934224"/>
    <w:rsid w:val="00934E5F"/>
    <w:rsid w:val="009366FF"/>
    <w:rsid w:val="00936D0E"/>
    <w:rsid w:val="00936E49"/>
    <w:rsid w:val="0093749E"/>
    <w:rsid w:val="0094002B"/>
    <w:rsid w:val="00940DAB"/>
    <w:rsid w:val="00941C92"/>
    <w:rsid w:val="00943C49"/>
    <w:rsid w:val="00943E9C"/>
    <w:rsid w:val="009444D3"/>
    <w:rsid w:val="00944ABB"/>
    <w:rsid w:val="009453C1"/>
    <w:rsid w:val="009501B9"/>
    <w:rsid w:val="00951997"/>
    <w:rsid w:val="00951C01"/>
    <w:rsid w:val="009535CA"/>
    <w:rsid w:val="00955697"/>
    <w:rsid w:val="0095708D"/>
    <w:rsid w:val="00957780"/>
    <w:rsid w:val="009601A3"/>
    <w:rsid w:val="00960935"/>
    <w:rsid w:val="00960F54"/>
    <w:rsid w:val="00961586"/>
    <w:rsid w:val="00961ED2"/>
    <w:rsid w:val="00962F9E"/>
    <w:rsid w:val="009631A9"/>
    <w:rsid w:val="0096548B"/>
    <w:rsid w:val="009667B1"/>
    <w:rsid w:val="0096762A"/>
    <w:rsid w:val="00967D43"/>
    <w:rsid w:val="009704BE"/>
    <w:rsid w:val="00970E13"/>
    <w:rsid w:val="0097132F"/>
    <w:rsid w:val="00971333"/>
    <w:rsid w:val="00972A11"/>
    <w:rsid w:val="00972DBF"/>
    <w:rsid w:val="00974201"/>
    <w:rsid w:val="009745C8"/>
    <w:rsid w:val="009747B3"/>
    <w:rsid w:val="00974813"/>
    <w:rsid w:val="009755DF"/>
    <w:rsid w:val="009756DD"/>
    <w:rsid w:val="0097588C"/>
    <w:rsid w:val="00975D34"/>
    <w:rsid w:val="009761F3"/>
    <w:rsid w:val="009764F0"/>
    <w:rsid w:val="00980638"/>
    <w:rsid w:val="009806B7"/>
    <w:rsid w:val="00980BDC"/>
    <w:rsid w:val="00980DE9"/>
    <w:rsid w:val="00982B83"/>
    <w:rsid w:val="009836DC"/>
    <w:rsid w:val="00983852"/>
    <w:rsid w:val="009848AB"/>
    <w:rsid w:val="00984ED1"/>
    <w:rsid w:val="00984FA6"/>
    <w:rsid w:val="009854D0"/>
    <w:rsid w:val="00985BF8"/>
    <w:rsid w:val="00985E09"/>
    <w:rsid w:val="00985EAC"/>
    <w:rsid w:val="0098632A"/>
    <w:rsid w:val="00987161"/>
    <w:rsid w:val="009877F0"/>
    <w:rsid w:val="0098788A"/>
    <w:rsid w:val="00991945"/>
    <w:rsid w:val="00991C3D"/>
    <w:rsid w:val="00992685"/>
    <w:rsid w:val="00993765"/>
    <w:rsid w:val="00993AE8"/>
    <w:rsid w:val="00993FCB"/>
    <w:rsid w:val="009966BD"/>
    <w:rsid w:val="00997959"/>
    <w:rsid w:val="009A06D5"/>
    <w:rsid w:val="009A0E1C"/>
    <w:rsid w:val="009A12F4"/>
    <w:rsid w:val="009A16E0"/>
    <w:rsid w:val="009A189B"/>
    <w:rsid w:val="009A1FF8"/>
    <w:rsid w:val="009A2C06"/>
    <w:rsid w:val="009A352E"/>
    <w:rsid w:val="009A4956"/>
    <w:rsid w:val="009A6021"/>
    <w:rsid w:val="009A6C67"/>
    <w:rsid w:val="009A76EB"/>
    <w:rsid w:val="009A7C0E"/>
    <w:rsid w:val="009A7EA6"/>
    <w:rsid w:val="009B03FB"/>
    <w:rsid w:val="009B20EB"/>
    <w:rsid w:val="009B3F93"/>
    <w:rsid w:val="009B4160"/>
    <w:rsid w:val="009B41F4"/>
    <w:rsid w:val="009B4D5B"/>
    <w:rsid w:val="009B5367"/>
    <w:rsid w:val="009B5497"/>
    <w:rsid w:val="009B57BB"/>
    <w:rsid w:val="009B7362"/>
    <w:rsid w:val="009B7902"/>
    <w:rsid w:val="009B7BEC"/>
    <w:rsid w:val="009B7E37"/>
    <w:rsid w:val="009C04ED"/>
    <w:rsid w:val="009C0F0C"/>
    <w:rsid w:val="009C111C"/>
    <w:rsid w:val="009C1603"/>
    <w:rsid w:val="009C2659"/>
    <w:rsid w:val="009C38F1"/>
    <w:rsid w:val="009C4D90"/>
    <w:rsid w:val="009C5966"/>
    <w:rsid w:val="009C5A30"/>
    <w:rsid w:val="009C5B0E"/>
    <w:rsid w:val="009C5FFE"/>
    <w:rsid w:val="009C702B"/>
    <w:rsid w:val="009D04B3"/>
    <w:rsid w:val="009D0568"/>
    <w:rsid w:val="009D08F5"/>
    <w:rsid w:val="009D15F5"/>
    <w:rsid w:val="009D1E6C"/>
    <w:rsid w:val="009D3B7E"/>
    <w:rsid w:val="009D3C65"/>
    <w:rsid w:val="009D4EB0"/>
    <w:rsid w:val="009D65CD"/>
    <w:rsid w:val="009D6C8A"/>
    <w:rsid w:val="009D7507"/>
    <w:rsid w:val="009D79CB"/>
    <w:rsid w:val="009D7D4E"/>
    <w:rsid w:val="009E017F"/>
    <w:rsid w:val="009E0D8B"/>
    <w:rsid w:val="009E15FE"/>
    <w:rsid w:val="009E197F"/>
    <w:rsid w:val="009E1DA2"/>
    <w:rsid w:val="009E4823"/>
    <w:rsid w:val="009E4CE1"/>
    <w:rsid w:val="009E5178"/>
    <w:rsid w:val="009E577F"/>
    <w:rsid w:val="009E5AAC"/>
    <w:rsid w:val="009E79E2"/>
    <w:rsid w:val="009F003D"/>
    <w:rsid w:val="009F0139"/>
    <w:rsid w:val="009F09D6"/>
    <w:rsid w:val="009F0C44"/>
    <w:rsid w:val="009F1C43"/>
    <w:rsid w:val="009F2DF6"/>
    <w:rsid w:val="009F388F"/>
    <w:rsid w:val="009F5560"/>
    <w:rsid w:val="009F5975"/>
    <w:rsid w:val="009F69F0"/>
    <w:rsid w:val="009F6BA1"/>
    <w:rsid w:val="00A003B8"/>
    <w:rsid w:val="00A00727"/>
    <w:rsid w:val="00A02577"/>
    <w:rsid w:val="00A03283"/>
    <w:rsid w:val="00A033AC"/>
    <w:rsid w:val="00A041D0"/>
    <w:rsid w:val="00A05DD3"/>
    <w:rsid w:val="00A06063"/>
    <w:rsid w:val="00A06879"/>
    <w:rsid w:val="00A069B4"/>
    <w:rsid w:val="00A0707B"/>
    <w:rsid w:val="00A116C1"/>
    <w:rsid w:val="00A11ECE"/>
    <w:rsid w:val="00A13212"/>
    <w:rsid w:val="00A13F24"/>
    <w:rsid w:val="00A13FF5"/>
    <w:rsid w:val="00A1404F"/>
    <w:rsid w:val="00A14422"/>
    <w:rsid w:val="00A147F1"/>
    <w:rsid w:val="00A15EA9"/>
    <w:rsid w:val="00A16569"/>
    <w:rsid w:val="00A202AF"/>
    <w:rsid w:val="00A20473"/>
    <w:rsid w:val="00A206F7"/>
    <w:rsid w:val="00A211D5"/>
    <w:rsid w:val="00A23033"/>
    <w:rsid w:val="00A23CC9"/>
    <w:rsid w:val="00A23F19"/>
    <w:rsid w:val="00A25546"/>
    <w:rsid w:val="00A25F0E"/>
    <w:rsid w:val="00A26AFB"/>
    <w:rsid w:val="00A26DAE"/>
    <w:rsid w:val="00A2742C"/>
    <w:rsid w:val="00A27E94"/>
    <w:rsid w:val="00A31276"/>
    <w:rsid w:val="00A32248"/>
    <w:rsid w:val="00A324E4"/>
    <w:rsid w:val="00A32F7B"/>
    <w:rsid w:val="00A330D4"/>
    <w:rsid w:val="00A3333B"/>
    <w:rsid w:val="00A34072"/>
    <w:rsid w:val="00A3471E"/>
    <w:rsid w:val="00A34DE5"/>
    <w:rsid w:val="00A365B1"/>
    <w:rsid w:val="00A3662C"/>
    <w:rsid w:val="00A409FA"/>
    <w:rsid w:val="00A40F90"/>
    <w:rsid w:val="00A41B5B"/>
    <w:rsid w:val="00A42722"/>
    <w:rsid w:val="00A439AA"/>
    <w:rsid w:val="00A43A1C"/>
    <w:rsid w:val="00A43F4C"/>
    <w:rsid w:val="00A43FE7"/>
    <w:rsid w:val="00A44A78"/>
    <w:rsid w:val="00A45331"/>
    <w:rsid w:val="00A45F87"/>
    <w:rsid w:val="00A46DC8"/>
    <w:rsid w:val="00A47530"/>
    <w:rsid w:val="00A5018D"/>
    <w:rsid w:val="00A51367"/>
    <w:rsid w:val="00A52C6D"/>
    <w:rsid w:val="00A52F20"/>
    <w:rsid w:val="00A534E8"/>
    <w:rsid w:val="00A53F7B"/>
    <w:rsid w:val="00A54946"/>
    <w:rsid w:val="00A5537E"/>
    <w:rsid w:val="00A557B8"/>
    <w:rsid w:val="00A55D00"/>
    <w:rsid w:val="00A562EC"/>
    <w:rsid w:val="00A5713E"/>
    <w:rsid w:val="00A57683"/>
    <w:rsid w:val="00A57959"/>
    <w:rsid w:val="00A57C73"/>
    <w:rsid w:val="00A62F7C"/>
    <w:rsid w:val="00A63D87"/>
    <w:rsid w:val="00A63F16"/>
    <w:rsid w:val="00A648F8"/>
    <w:rsid w:val="00A64C9A"/>
    <w:rsid w:val="00A64E3D"/>
    <w:rsid w:val="00A65130"/>
    <w:rsid w:val="00A6568E"/>
    <w:rsid w:val="00A67D7C"/>
    <w:rsid w:val="00A703BC"/>
    <w:rsid w:val="00A7092E"/>
    <w:rsid w:val="00A71379"/>
    <w:rsid w:val="00A71625"/>
    <w:rsid w:val="00A71AF1"/>
    <w:rsid w:val="00A7414D"/>
    <w:rsid w:val="00A741E1"/>
    <w:rsid w:val="00A7462D"/>
    <w:rsid w:val="00A746B3"/>
    <w:rsid w:val="00A748D1"/>
    <w:rsid w:val="00A74DD4"/>
    <w:rsid w:val="00A7512C"/>
    <w:rsid w:val="00A75D18"/>
    <w:rsid w:val="00A81B5A"/>
    <w:rsid w:val="00A81E2D"/>
    <w:rsid w:val="00A82C39"/>
    <w:rsid w:val="00A830F7"/>
    <w:rsid w:val="00A83B20"/>
    <w:rsid w:val="00A84431"/>
    <w:rsid w:val="00A84F85"/>
    <w:rsid w:val="00A87346"/>
    <w:rsid w:val="00A91010"/>
    <w:rsid w:val="00A91DE4"/>
    <w:rsid w:val="00A92A92"/>
    <w:rsid w:val="00A92C35"/>
    <w:rsid w:val="00A92C59"/>
    <w:rsid w:val="00A9389B"/>
    <w:rsid w:val="00A93935"/>
    <w:rsid w:val="00A93F72"/>
    <w:rsid w:val="00A94A03"/>
    <w:rsid w:val="00A94E1A"/>
    <w:rsid w:val="00A95441"/>
    <w:rsid w:val="00A956C6"/>
    <w:rsid w:val="00A958EF"/>
    <w:rsid w:val="00A95CA8"/>
    <w:rsid w:val="00A96841"/>
    <w:rsid w:val="00A96B00"/>
    <w:rsid w:val="00A973D7"/>
    <w:rsid w:val="00AA0103"/>
    <w:rsid w:val="00AA03DA"/>
    <w:rsid w:val="00AA0ED5"/>
    <w:rsid w:val="00AA145F"/>
    <w:rsid w:val="00AA1AB4"/>
    <w:rsid w:val="00AA1E41"/>
    <w:rsid w:val="00AA3F26"/>
    <w:rsid w:val="00AA3FFA"/>
    <w:rsid w:val="00AA4345"/>
    <w:rsid w:val="00AA4850"/>
    <w:rsid w:val="00AA4887"/>
    <w:rsid w:val="00AA665A"/>
    <w:rsid w:val="00AA6691"/>
    <w:rsid w:val="00AA75B6"/>
    <w:rsid w:val="00AA7680"/>
    <w:rsid w:val="00AB0290"/>
    <w:rsid w:val="00AB051E"/>
    <w:rsid w:val="00AB1A05"/>
    <w:rsid w:val="00AB60E8"/>
    <w:rsid w:val="00AB62F5"/>
    <w:rsid w:val="00AB6FCD"/>
    <w:rsid w:val="00AB7471"/>
    <w:rsid w:val="00AB7BC1"/>
    <w:rsid w:val="00AC14AF"/>
    <w:rsid w:val="00AC16F5"/>
    <w:rsid w:val="00AC19A6"/>
    <w:rsid w:val="00AC3B3D"/>
    <w:rsid w:val="00AC4138"/>
    <w:rsid w:val="00AC5845"/>
    <w:rsid w:val="00AC69E4"/>
    <w:rsid w:val="00AC6B10"/>
    <w:rsid w:val="00AC6F98"/>
    <w:rsid w:val="00AC7773"/>
    <w:rsid w:val="00AD1652"/>
    <w:rsid w:val="00AD1A25"/>
    <w:rsid w:val="00AD1B2B"/>
    <w:rsid w:val="00AD2287"/>
    <w:rsid w:val="00AD3323"/>
    <w:rsid w:val="00AD3B72"/>
    <w:rsid w:val="00AD5D20"/>
    <w:rsid w:val="00AD61BC"/>
    <w:rsid w:val="00AD6460"/>
    <w:rsid w:val="00AD65FC"/>
    <w:rsid w:val="00AD689D"/>
    <w:rsid w:val="00AD70FD"/>
    <w:rsid w:val="00AE00C4"/>
    <w:rsid w:val="00AE0E55"/>
    <w:rsid w:val="00AE2544"/>
    <w:rsid w:val="00AE32BE"/>
    <w:rsid w:val="00AE336F"/>
    <w:rsid w:val="00AE3462"/>
    <w:rsid w:val="00AE4511"/>
    <w:rsid w:val="00AE4CDF"/>
    <w:rsid w:val="00AE5661"/>
    <w:rsid w:val="00AE56EA"/>
    <w:rsid w:val="00AE60DD"/>
    <w:rsid w:val="00AE6149"/>
    <w:rsid w:val="00AE74CF"/>
    <w:rsid w:val="00AF0C7A"/>
    <w:rsid w:val="00AF1054"/>
    <w:rsid w:val="00AF1AC4"/>
    <w:rsid w:val="00AF20D4"/>
    <w:rsid w:val="00AF257F"/>
    <w:rsid w:val="00AF3307"/>
    <w:rsid w:val="00AF4C59"/>
    <w:rsid w:val="00AF50C2"/>
    <w:rsid w:val="00AF5424"/>
    <w:rsid w:val="00AF58E8"/>
    <w:rsid w:val="00AF59AB"/>
    <w:rsid w:val="00AF6E06"/>
    <w:rsid w:val="00AF7268"/>
    <w:rsid w:val="00B00289"/>
    <w:rsid w:val="00B00BFD"/>
    <w:rsid w:val="00B00E1E"/>
    <w:rsid w:val="00B019BA"/>
    <w:rsid w:val="00B02A35"/>
    <w:rsid w:val="00B034D5"/>
    <w:rsid w:val="00B03966"/>
    <w:rsid w:val="00B03A98"/>
    <w:rsid w:val="00B052FC"/>
    <w:rsid w:val="00B05CC0"/>
    <w:rsid w:val="00B06464"/>
    <w:rsid w:val="00B0755B"/>
    <w:rsid w:val="00B100F2"/>
    <w:rsid w:val="00B10343"/>
    <w:rsid w:val="00B10C19"/>
    <w:rsid w:val="00B10FC7"/>
    <w:rsid w:val="00B1167D"/>
    <w:rsid w:val="00B123C0"/>
    <w:rsid w:val="00B12F43"/>
    <w:rsid w:val="00B144DC"/>
    <w:rsid w:val="00B16AC1"/>
    <w:rsid w:val="00B1703E"/>
    <w:rsid w:val="00B178F5"/>
    <w:rsid w:val="00B17B82"/>
    <w:rsid w:val="00B17F93"/>
    <w:rsid w:val="00B20867"/>
    <w:rsid w:val="00B20BCF"/>
    <w:rsid w:val="00B21068"/>
    <w:rsid w:val="00B223B0"/>
    <w:rsid w:val="00B22A4F"/>
    <w:rsid w:val="00B23640"/>
    <w:rsid w:val="00B24334"/>
    <w:rsid w:val="00B2554C"/>
    <w:rsid w:val="00B2585D"/>
    <w:rsid w:val="00B25C7A"/>
    <w:rsid w:val="00B26C52"/>
    <w:rsid w:val="00B27C4E"/>
    <w:rsid w:val="00B30CA0"/>
    <w:rsid w:val="00B31EC3"/>
    <w:rsid w:val="00B32566"/>
    <w:rsid w:val="00B32B8B"/>
    <w:rsid w:val="00B33782"/>
    <w:rsid w:val="00B33EA9"/>
    <w:rsid w:val="00B340D6"/>
    <w:rsid w:val="00B360A1"/>
    <w:rsid w:val="00B36FCE"/>
    <w:rsid w:val="00B37A0E"/>
    <w:rsid w:val="00B404FC"/>
    <w:rsid w:val="00B40616"/>
    <w:rsid w:val="00B4348C"/>
    <w:rsid w:val="00B43D4D"/>
    <w:rsid w:val="00B454F3"/>
    <w:rsid w:val="00B46798"/>
    <w:rsid w:val="00B46D6D"/>
    <w:rsid w:val="00B46F33"/>
    <w:rsid w:val="00B47013"/>
    <w:rsid w:val="00B47CCD"/>
    <w:rsid w:val="00B50E05"/>
    <w:rsid w:val="00B50F5F"/>
    <w:rsid w:val="00B51564"/>
    <w:rsid w:val="00B51665"/>
    <w:rsid w:val="00B519D5"/>
    <w:rsid w:val="00B51A18"/>
    <w:rsid w:val="00B51EEC"/>
    <w:rsid w:val="00B5332B"/>
    <w:rsid w:val="00B53829"/>
    <w:rsid w:val="00B53900"/>
    <w:rsid w:val="00B53D2E"/>
    <w:rsid w:val="00B5574E"/>
    <w:rsid w:val="00B55F8B"/>
    <w:rsid w:val="00B56010"/>
    <w:rsid w:val="00B5626A"/>
    <w:rsid w:val="00B60EA6"/>
    <w:rsid w:val="00B610AA"/>
    <w:rsid w:val="00B61950"/>
    <w:rsid w:val="00B620DA"/>
    <w:rsid w:val="00B6280F"/>
    <w:rsid w:val="00B6310D"/>
    <w:rsid w:val="00B63946"/>
    <w:rsid w:val="00B64BF5"/>
    <w:rsid w:val="00B70092"/>
    <w:rsid w:val="00B70748"/>
    <w:rsid w:val="00B712E8"/>
    <w:rsid w:val="00B71C93"/>
    <w:rsid w:val="00B72BEE"/>
    <w:rsid w:val="00B733B5"/>
    <w:rsid w:val="00B75F5A"/>
    <w:rsid w:val="00B7695E"/>
    <w:rsid w:val="00B77C7E"/>
    <w:rsid w:val="00B8068E"/>
    <w:rsid w:val="00B80AC2"/>
    <w:rsid w:val="00B8111C"/>
    <w:rsid w:val="00B819F1"/>
    <w:rsid w:val="00B826F6"/>
    <w:rsid w:val="00B82ABC"/>
    <w:rsid w:val="00B84CCB"/>
    <w:rsid w:val="00B85CDB"/>
    <w:rsid w:val="00B87815"/>
    <w:rsid w:val="00B90327"/>
    <w:rsid w:val="00B904C3"/>
    <w:rsid w:val="00B90A12"/>
    <w:rsid w:val="00B90B17"/>
    <w:rsid w:val="00B91242"/>
    <w:rsid w:val="00B9306C"/>
    <w:rsid w:val="00B930FD"/>
    <w:rsid w:val="00B95761"/>
    <w:rsid w:val="00B96B63"/>
    <w:rsid w:val="00B9750B"/>
    <w:rsid w:val="00B97554"/>
    <w:rsid w:val="00B97EFF"/>
    <w:rsid w:val="00BA08C7"/>
    <w:rsid w:val="00BA0EDF"/>
    <w:rsid w:val="00BA1748"/>
    <w:rsid w:val="00BA1C00"/>
    <w:rsid w:val="00BA3113"/>
    <w:rsid w:val="00BA33F0"/>
    <w:rsid w:val="00BA5F15"/>
    <w:rsid w:val="00BA7128"/>
    <w:rsid w:val="00BB10BA"/>
    <w:rsid w:val="00BB1BCC"/>
    <w:rsid w:val="00BB2BC5"/>
    <w:rsid w:val="00BB2D87"/>
    <w:rsid w:val="00BB4227"/>
    <w:rsid w:val="00BB4948"/>
    <w:rsid w:val="00BB4EC9"/>
    <w:rsid w:val="00BB4FB2"/>
    <w:rsid w:val="00BB52A4"/>
    <w:rsid w:val="00BB550E"/>
    <w:rsid w:val="00BB5939"/>
    <w:rsid w:val="00BB687E"/>
    <w:rsid w:val="00BB7176"/>
    <w:rsid w:val="00BC0BD5"/>
    <w:rsid w:val="00BC19DF"/>
    <w:rsid w:val="00BC2F8D"/>
    <w:rsid w:val="00BC3508"/>
    <w:rsid w:val="00BC3676"/>
    <w:rsid w:val="00BC4316"/>
    <w:rsid w:val="00BC4F3B"/>
    <w:rsid w:val="00BD05E3"/>
    <w:rsid w:val="00BD149D"/>
    <w:rsid w:val="00BD2EEA"/>
    <w:rsid w:val="00BD34C0"/>
    <w:rsid w:val="00BD3A5B"/>
    <w:rsid w:val="00BD3A62"/>
    <w:rsid w:val="00BD41C7"/>
    <w:rsid w:val="00BD63D0"/>
    <w:rsid w:val="00BE01B5"/>
    <w:rsid w:val="00BE0222"/>
    <w:rsid w:val="00BE10DF"/>
    <w:rsid w:val="00BE25FC"/>
    <w:rsid w:val="00BE293F"/>
    <w:rsid w:val="00BE2C84"/>
    <w:rsid w:val="00BE59E3"/>
    <w:rsid w:val="00BE60A5"/>
    <w:rsid w:val="00BE7607"/>
    <w:rsid w:val="00BE77A1"/>
    <w:rsid w:val="00BE782D"/>
    <w:rsid w:val="00BE7F6F"/>
    <w:rsid w:val="00BF0326"/>
    <w:rsid w:val="00BF1DD0"/>
    <w:rsid w:val="00BF2685"/>
    <w:rsid w:val="00BF3381"/>
    <w:rsid w:val="00BF385E"/>
    <w:rsid w:val="00BF3DDE"/>
    <w:rsid w:val="00BF4480"/>
    <w:rsid w:val="00BF4B59"/>
    <w:rsid w:val="00BF521A"/>
    <w:rsid w:val="00BF58CC"/>
    <w:rsid w:val="00BF6C2A"/>
    <w:rsid w:val="00BF7D59"/>
    <w:rsid w:val="00C022C5"/>
    <w:rsid w:val="00C04A3E"/>
    <w:rsid w:val="00C04FA0"/>
    <w:rsid w:val="00C051DB"/>
    <w:rsid w:val="00C06E81"/>
    <w:rsid w:val="00C1006B"/>
    <w:rsid w:val="00C1136F"/>
    <w:rsid w:val="00C11526"/>
    <w:rsid w:val="00C11964"/>
    <w:rsid w:val="00C130AD"/>
    <w:rsid w:val="00C130FC"/>
    <w:rsid w:val="00C146AC"/>
    <w:rsid w:val="00C1618C"/>
    <w:rsid w:val="00C1642A"/>
    <w:rsid w:val="00C1764A"/>
    <w:rsid w:val="00C21464"/>
    <w:rsid w:val="00C21DE3"/>
    <w:rsid w:val="00C223B7"/>
    <w:rsid w:val="00C230B6"/>
    <w:rsid w:val="00C24A41"/>
    <w:rsid w:val="00C24A59"/>
    <w:rsid w:val="00C24BA4"/>
    <w:rsid w:val="00C251ED"/>
    <w:rsid w:val="00C25939"/>
    <w:rsid w:val="00C26231"/>
    <w:rsid w:val="00C2662F"/>
    <w:rsid w:val="00C26B71"/>
    <w:rsid w:val="00C276F3"/>
    <w:rsid w:val="00C3172F"/>
    <w:rsid w:val="00C31ADB"/>
    <w:rsid w:val="00C31B7B"/>
    <w:rsid w:val="00C32104"/>
    <w:rsid w:val="00C34585"/>
    <w:rsid w:val="00C353C5"/>
    <w:rsid w:val="00C35E8B"/>
    <w:rsid w:val="00C37038"/>
    <w:rsid w:val="00C37FA4"/>
    <w:rsid w:val="00C40461"/>
    <w:rsid w:val="00C42B70"/>
    <w:rsid w:val="00C446D8"/>
    <w:rsid w:val="00C449B4"/>
    <w:rsid w:val="00C465CD"/>
    <w:rsid w:val="00C466C0"/>
    <w:rsid w:val="00C46868"/>
    <w:rsid w:val="00C4692A"/>
    <w:rsid w:val="00C47534"/>
    <w:rsid w:val="00C4754E"/>
    <w:rsid w:val="00C50112"/>
    <w:rsid w:val="00C51987"/>
    <w:rsid w:val="00C52028"/>
    <w:rsid w:val="00C53092"/>
    <w:rsid w:val="00C53134"/>
    <w:rsid w:val="00C5320F"/>
    <w:rsid w:val="00C542C0"/>
    <w:rsid w:val="00C55C85"/>
    <w:rsid w:val="00C57F57"/>
    <w:rsid w:val="00C600B4"/>
    <w:rsid w:val="00C60B66"/>
    <w:rsid w:val="00C61499"/>
    <w:rsid w:val="00C61D78"/>
    <w:rsid w:val="00C629CB"/>
    <w:rsid w:val="00C6544D"/>
    <w:rsid w:val="00C722DA"/>
    <w:rsid w:val="00C73B1D"/>
    <w:rsid w:val="00C73BB6"/>
    <w:rsid w:val="00C73D40"/>
    <w:rsid w:val="00C73E81"/>
    <w:rsid w:val="00C74F36"/>
    <w:rsid w:val="00C75494"/>
    <w:rsid w:val="00C75ED7"/>
    <w:rsid w:val="00C77A12"/>
    <w:rsid w:val="00C77F8A"/>
    <w:rsid w:val="00C8005D"/>
    <w:rsid w:val="00C80595"/>
    <w:rsid w:val="00C8070D"/>
    <w:rsid w:val="00C820D0"/>
    <w:rsid w:val="00C82117"/>
    <w:rsid w:val="00C82759"/>
    <w:rsid w:val="00C830CD"/>
    <w:rsid w:val="00C8642D"/>
    <w:rsid w:val="00C86604"/>
    <w:rsid w:val="00C901D5"/>
    <w:rsid w:val="00C9066D"/>
    <w:rsid w:val="00C90AEB"/>
    <w:rsid w:val="00C91BD8"/>
    <w:rsid w:val="00C91EB1"/>
    <w:rsid w:val="00C9568D"/>
    <w:rsid w:val="00C95A2B"/>
    <w:rsid w:val="00C95A3E"/>
    <w:rsid w:val="00C96093"/>
    <w:rsid w:val="00C970A2"/>
    <w:rsid w:val="00C973FB"/>
    <w:rsid w:val="00C9747F"/>
    <w:rsid w:val="00CA1FA2"/>
    <w:rsid w:val="00CA21EA"/>
    <w:rsid w:val="00CA2B55"/>
    <w:rsid w:val="00CA2F9F"/>
    <w:rsid w:val="00CA387D"/>
    <w:rsid w:val="00CA39BF"/>
    <w:rsid w:val="00CA5342"/>
    <w:rsid w:val="00CA5AF3"/>
    <w:rsid w:val="00CA765E"/>
    <w:rsid w:val="00CB0519"/>
    <w:rsid w:val="00CB0B29"/>
    <w:rsid w:val="00CB0F9A"/>
    <w:rsid w:val="00CB1DF4"/>
    <w:rsid w:val="00CB2019"/>
    <w:rsid w:val="00CB203E"/>
    <w:rsid w:val="00CB3AA8"/>
    <w:rsid w:val="00CB40FD"/>
    <w:rsid w:val="00CB516D"/>
    <w:rsid w:val="00CB57A7"/>
    <w:rsid w:val="00CB5956"/>
    <w:rsid w:val="00CB5A6C"/>
    <w:rsid w:val="00CB5C5B"/>
    <w:rsid w:val="00CB624A"/>
    <w:rsid w:val="00CB6404"/>
    <w:rsid w:val="00CB6D24"/>
    <w:rsid w:val="00CB7CFA"/>
    <w:rsid w:val="00CB7E50"/>
    <w:rsid w:val="00CC0033"/>
    <w:rsid w:val="00CC01A3"/>
    <w:rsid w:val="00CC0739"/>
    <w:rsid w:val="00CC22BC"/>
    <w:rsid w:val="00CC3874"/>
    <w:rsid w:val="00CC45E8"/>
    <w:rsid w:val="00CC46D1"/>
    <w:rsid w:val="00CC53AA"/>
    <w:rsid w:val="00CC65CA"/>
    <w:rsid w:val="00CC6A12"/>
    <w:rsid w:val="00CC7CBF"/>
    <w:rsid w:val="00CC7D6E"/>
    <w:rsid w:val="00CD0353"/>
    <w:rsid w:val="00CD0516"/>
    <w:rsid w:val="00CD0974"/>
    <w:rsid w:val="00CD15D4"/>
    <w:rsid w:val="00CD259E"/>
    <w:rsid w:val="00CD29D7"/>
    <w:rsid w:val="00CD2AF5"/>
    <w:rsid w:val="00CD4805"/>
    <w:rsid w:val="00CD49B6"/>
    <w:rsid w:val="00CE0A2B"/>
    <w:rsid w:val="00CE0AF8"/>
    <w:rsid w:val="00CE27ED"/>
    <w:rsid w:val="00CE2C09"/>
    <w:rsid w:val="00CE38AA"/>
    <w:rsid w:val="00CE3B76"/>
    <w:rsid w:val="00CE517D"/>
    <w:rsid w:val="00CE5D19"/>
    <w:rsid w:val="00CE6248"/>
    <w:rsid w:val="00CE6D0A"/>
    <w:rsid w:val="00CE7188"/>
    <w:rsid w:val="00CF0162"/>
    <w:rsid w:val="00CF0EF1"/>
    <w:rsid w:val="00CF1295"/>
    <w:rsid w:val="00CF2E5A"/>
    <w:rsid w:val="00CF3750"/>
    <w:rsid w:val="00CF3D7A"/>
    <w:rsid w:val="00CF4180"/>
    <w:rsid w:val="00CF4D9D"/>
    <w:rsid w:val="00CF4E44"/>
    <w:rsid w:val="00CF5756"/>
    <w:rsid w:val="00CF7CE1"/>
    <w:rsid w:val="00CF7F86"/>
    <w:rsid w:val="00D04C52"/>
    <w:rsid w:val="00D054EC"/>
    <w:rsid w:val="00D073FB"/>
    <w:rsid w:val="00D07DCE"/>
    <w:rsid w:val="00D108C2"/>
    <w:rsid w:val="00D10E18"/>
    <w:rsid w:val="00D12819"/>
    <w:rsid w:val="00D12A44"/>
    <w:rsid w:val="00D1311B"/>
    <w:rsid w:val="00D139AB"/>
    <w:rsid w:val="00D14413"/>
    <w:rsid w:val="00D14653"/>
    <w:rsid w:val="00D14718"/>
    <w:rsid w:val="00D14739"/>
    <w:rsid w:val="00D14860"/>
    <w:rsid w:val="00D1548D"/>
    <w:rsid w:val="00D1605A"/>
    <w:rsid w:val="00D161A9"/>
    <w:rsid w:val="00D161CC"/>
    <w:rsid w:val="00D16667"/>
    <w:rsid w:val="00D16857"/>
    <w:rsid w:val="00D16F6F"/>
    <w:rsid w:val="00D17228"/>
    <w:rsid w:val="00D1742C"/>
    <w:rsid w:val="00D17C4B"/>
    <w:rsid w:val="00D17F9D"/>
    <w:rsid w:val="00D21092"/>
    <w:rsid w:val="00D21513"/>
    <w:rsid w:val="00D23D8D"/>
    <w:rsid w:val="00D264E4"/>
    <w:rsid w:val="00D2684A"/>
    <w:rsid w:val="00D27209"/>
    <w:rsid w:val="00D274A6"/>
    <w:rsid w:val="00D30051"/>
    <w:rsid w:val="00D30DAC"/>
    <w:rsid w:val="00D311CD"/>
    <w:rsid w:val="00D31321"/>
    <w:rsid w:val="00D328F9"/>
    <w:rsid w:val="00D33246"/>
    <w:rsid w:val="00D34883"/>
    <w:rsid w:val="00D3661F"/>
    <w:rsid w:val="00D36A4A"/>
    <w:rsid w:val="00D36B96"/>
    <w:rsid w:val="00D36EA0"/>
    <w:rsid w:val="00D36FEA"/>
    <w:rsid w:val="00D375B1"/>
    <w:rsid w:val="00D40E98"/>
    <w:rsid w:val="00D410D4"/>
    <w:rsid w:val="00D41CBF"/>
    <w:rsid w:val="00D444D6"/>
    <w:rsid w:val="00D44B83"/>
    <w:rsid w:val="00D471B9"/>
    <w:rsid w:val="00D47382"/>
    <w:rsid w:val="00D47BE2"/>
    <w:rsid w:val="00D506C4"/>
    <w:rsid w:val="00D509A1"/>
    <w:rsid w:val="00D50FF6"/>
    <w:rsid w:val="00D52106"/>
    <w:rsid w:val="00D53193"/>
    <w:rsid w:val="00D54665"/>
    <w:rsid w:val="00D5755E"/>
    <w:rsid w:val="00D57864"/>
    <w:rsid w:val="00D60A91"/>
    <w:rsid w:val="00D61907"/>
    <w:rsid w:val="00D63A90"/>
    <w:rsid w:val="00D64553"/>
    <w:rsid w:val="00D64B05"/>
    <w:rsid w:val="00D653A4"/>
    <w:rsid w:val="00D658BE"/>
    <w:rsid w:val="00D66B59"/>
    <w:rsid w:val="00D675E8"/>
    <w:rsid w:val="00D67B1A"/>
    <w:rsid w:val="00D67EF1"/>
    <w:rsid w:val="00D701A6"/>
    <w:rsid w:val="00D70340"/>
    <w:rsid w:val="00D70B8D"/>
    <w:rsid w:val="00D70E78"/>
    <w:rsid w:val="00D71719"/>
    <w:rsid w:val="00D71EA2"/>
    <w:rsid w:val="00D758F9"/>
    <w:rsid w:val="00D7606A"/>
    <w:rsid w:val="00D76838"/>
    <w:rsid w:val="00D76DA3"/>
    <w:rsid w:val="00D8138F"/>
    <w:rsid w:val="00D8178C"/>
    <w:rsid w:val="00D81ACD"/>
    <w:rsid w:val="00D83F58"/>
    <w:rsid w:val="00D8402B"/>
    <w:rsid w:val="00D84C93"/>
    <w:rsid w:val="00D924B0"/>
    <w:rsid w:val="00D9286A"/>
    <w:rsid w:val="00D931D3"/>
    <w:rsid w:val="00D936F9"/>
    <w:rsid w:val="00D942B0"/>
    <w:rsid w:val="00D95856"/>
    <w:rsid w:val="00D9604E"/>
    <w:rsid w:val="00D96C4F"/>
    <w:rsid w:val="00D97147"/>
    <w:rsid w:val="00D97BC5"/>
    <w:rsid w:val="00DA0E3D"/>
    <w:rsid w:val="00DA1016"/>
    <w:rsid w:val="00DA1C46"/>
    <w:rsid w:val="00DA202B"/>
    <w:rsid w:val="00DA24D4"/>
    <w:rsid w:val="00DA3611"/>
    <w:rsid w:val="00DA3DA2"/>
    <w:rsid w:val="00DA4F62"/>
    <w:rsid w:val="00DA5F0B"/>
    <w:rsid w:val="00DA6B5B"/>
    <w:rsid w:val="00DA762B"/>
    <w:rsid w:val="00DB1D3A"/>
    <w:rsid w:val="00DB1F6E"/>
    <w:rsid w:val="00DB2D21"/>
    <w:rsid w:val="00DB363B"/>
    <w:rsid w:val="00DB3E2C"/>
    <w:rsid w:val="00DB4F13"/>
    <w:rsid w:val="00DB5617"/>
    <w:rsid w:val="00DB58DE"/>
    <w:rsid w:val="00DB58F7"/>
    <w:rsid w:val="00DB5C30"/>
    <w:rsid w:val="00DB5F5A"/>
    <w:rsid w:val="00DB7D56"/>
    <w:rsid w:val="00DC071A"/>
    <w:rsid w:val="00DC1A91"/>
    <w:rsid w:val="00DC2EF4"/>
    <w:rsid w:val="00DC3047"/>
    <w:rsid w:val="00DC5DA2"/>
    <w:rsid w:val="00DD07A0"/>
    <w:rsid w:val="00DD0832"/>
    <w:rsid w:val="00DD0FE0"/>
    <w:rsid w:val="00DD1864"/>
    <w:rsid w:val="00DD2390"/>
    <w:rsid w:val="00DD2726"/>
    <w:rsid w:val="00DD2BCD"/>
    <w:rsid w:val="00DD4DE5"/>
    <w:rsid w:val="00DD506E"/>
    <w:rsid w:val="00DD50FE"/>
    <w:rsid w:val="00DD5362"/>
    <w:rsid w:val="00DD6520"/>
    <w:rsid w:val="00DD6776"/>
    <w:rsid w:val="00DD70C2"/>
    <w:rsid w:val="00DD7B29"/>
    <w:rsid w:val="00DE1C0A"/>
    <w:rsid w:val="00DE28C6"/>
    <w:rsid w:val="00DE6F2C"/>
    <w:rsid w:val="00DE7A41"/>
    <w:rsid w:val="00DF052B"/>
    <w:rsid w:val="00DF0751"/>
    <w:rsid w:val="00DF0F88"/>
    <w:rsid w:val="00DF1354"/>
    <w:rsid w:val="00DF1515"/>
    <w:rsid w:val="00DF3954"/>
    <w:rsid w:val="00DF4A39"/>
    <w:rsid w:val="00DF4CE5"/>
    <w:rsid w:val="00DF5BEF"/>
    <w:rsid w:val="00DF6247"/>
    <w:rsid w:val="00DF775A"/>
    <w:rsid w:val="00E0005A"/>
    <w:rsid w:val="00E00BC7"/>
    <w:rsid w:val="00E010FE"/>
    <w:rsid w:val="00E01D5E"/>
    <w:rsid w:val="00E020E4"/>
    <w:rsid w:val="00E022CB"/>
    <w:rsid w:val="00E02ACF"/>
    <w:rsid w:val="00E0387F"/>
    <w:rsid w:val="00E038A0"/>
    <w:rsid w:val="00E03BCE"/>
    <w:rsid w:val="00E03DF8"/>
    <w:rsid w:val="00E041D1"/>
    <w:rsid w:val="00E041E9"/>
    <w:rsid w:val="00E0510D"/>
    <w:rsid w:val="00E053C6"/>
    <w:rsid w:val="00E05DCC"/>
    <w:rsid w:val="00E0607B"/>
    <w:rsid w:val="00E061A9"/>
    <w:rsid w:val="00E07131"/>
    <w:rsid w:val="00E077F0"/>
    <w:rsid w:val="00E0786F"/>
    <w:rsid w:val="00E07A64"/>
    <w:rsid w:val="00E10962"/>
    <w:rsid w:val="00E114B6"/>
    <w:rsid w:val="00E136A0"/>
    <w:rsid w:val="00E13EFD"/>
    <w:rsid w:val="00E16467"/>
    <w:rsid w:val="00E17C85"/>
    <w:rsid w:val="00E201DB"/>
    <w:rsid w:val="00E20725"/>
    <w:rsid w:val="00E208D1"/>
    <w:rsid w:val="00E21109"/>
    <w:rsid w:val="00E211D0"/>
    <w:rsid w:val="00E21565"/>
    <w:rsid w:val="00E22604"/>
    <w:rsid w:val="00E22A06"/>
    <w:rsid w:val="00E22AF6"/>
    <w:rsid w:val="00E22C7E"/>
    <w:rsid w:val="00E23F72"/>
    <w:rsid w:val="00E2462E"/>
    <w:rsid w:val="00E25BFA"/>
    <w:rsid w:val="00E26FB5"/>
    <w:rsid w:val="00E3077A"/>
    <w:rsid w:val="00E30ACC"/>
    <w:rsid w:val="00E30E5E"/>
    <w:rsid w:val="00E30FBA"/>
    <w:rsid w:val="00E32BBC"/>
    <w:rsid w:val="00E32C09"/>
    <w:rsid w:val="00E32D78"/>
    <w:rsid w:val="00E33098"/>
    <w:rsid w:val="00E350C7"/>
    <w:rsid w:val="00E3591B"/>
    <w:rsid w:val="00E365F4"/>
    <w:rsid w:val="00E36D4F"/>
    <w:rsid w:val="00E37A3E"/>
    <w:rsid w:val="00E41DF8"/>
    <w:rsid w:val="00E427E8"/>
    <w:rsid w:val="00E43C47"/>
    <w:rsid w:val="00E44F1C"/>
    <w:rsid w:val="00E464A4"/>
    <w:rsid w:val="00E46E0C"/>
    <w:rsid w:val="00E47C81"/>
    <w:rsid w:val="00E50131"/>
    <w:rsid w:val="00E5140B"/>
    <w:rsid w:val="00E529E7"/>
    <w:rsid w:val="00E52C9A"/>
    <w:rsid w:val="00E532E9"/>
    <w:rsid w:val="00E53B89"/>
    <w:rsid w:val="00E54D7D"/>
    <w:rsid w:val="00E54FE2"/>
    <w:rsid w:val="00E554F1"/>
    <w:rsid w:val="00E5697C"/>
    <w:rsid w:val="00E56E6A"/>
    <w:rsid w:val="00E57E62"/>
    <w:rsid w:val="00E60233"/>
    <w:rsid w:val="00E60CBB"/>
    <w:rsid w:val="00E61702"/>
    <w:rsid w:val="00E61E41"/>
    <w:rsid w:val="00E623FD"/>
    <w:rsid w:val="00E62F25"/>
    <w:rsid w:val="00E6302D"/>
    <w:rsid w:val="00E63357"/>
    <w:rsid w:val="00E63994"/>
    <w:rsid w:val="00E644F9"/>
    <w:rsid w:val="00E645CA"/>
    <w:rsid w:val="00E64A1E"/>
    <w:rsid w:val="00E64DCF"/>
    <w:rsid w:val="00E656B7"/>
    <w:rsid w:val="00E65BB8"/>
    <w:rsid w:val="00E6649B"/>
    <w:rsid w:val="00E668C7"/>
    <w:rsid w:val="00E66FD5"/>
    <w:rsid w:val="00E67954"/>
    <w:rsid w:val="00E67B8E"/>
    <w:rsid w:val="00E67E4D"/>
    <w:rsid w:val="00E70D40"/>
    <w:rsid w:val="00E70F20"/>
    <w:rsid w:val="00E72434"/>
    <w:rsid w:val="00E7341D"/>
    <w:rsid w:val="00E77517"/>
    <w:rsid w:val="00E77614"/>
    <w:rsid w:val="00E81167"/>
    <w:rsid w:val="00E81C61"/>
    <w:rsid w:val="00E81F61"/>
    <w:rsid w:val="00E82D0D"/>
    <w:rsid w:val="00E8386C"/>
    <w:rsid w:val="00E8408E"/>
    <w:rsid w:val="00E84160"/>
    <w:rsid w:val="00E842B7"/>
    <w:rsid w:val="00E867D8"/>
    <w:rsid w:val="00E876E2"/>
    <w:rsid w:val="00E90A65"/>
    <w:rsid w:val="00E90BED"/>
    <w:rsid w:val="00E9174F"/>
    <w:rsid w:val="00E91A1F"/>
    <w:rsid w:val="00E92484"/>
    <w:rsid w:val="00E92F34"/>
    <w:rsid w:val="00E93C7E"/>
    <w:rsid w:val="00E9403F"/>
    <w:rsid w:val="00E94734"/>
    <w:rsid w:val="00E953AF"/>
    <w:rsid w:val="00E97A77"/>
    <w:rsid w:val="00E97B23"/>
    <w:rsid w:val="00E97BBC"/>
    <w:rsid w:val="00E97F41"/>
    <w:rsid w:val="00EA0C3F"/>
    <w:rsid w:val="00EA11E5"/>
    <w:rsid w:val="00EA185C"/>
    <w:rsid w:val="00EA2736"/>
    <w:rsid w:val="00EA60A4"/>
    <w:rsid w:val="00EA6352"/>
    <w:rsid w:val="00EA6F21"/>
    <w:rsid w:val="00EB09C2"/>
    <w:rsid w:val="00EB10C5"/>
    <w:rsid w:val="00EB2DFC"/>
    <w:rsid w:val="00EB313E"/>
    <w:rsid w:val="00EB38F3"/>
    <w:rsid w:val="00EB3CC2"/>
    <w:rsid w:val="00EB4124"/>
    <w:rsid w:val="00EB447B"/>
    <w:rsid w:val="00EB4AA1"/>
    <w:rsid w:val="00EB4FE4"/>
    <w:rsid w:val="00EB5F93"/>
    <w:rsid w:val="00EB6369"/>
    <w:rsid w:val="00EB7026"/>
    <w:rsid w:val="00EB743A"/>
    <w:rsid w:val="00EB765B"/>
    <w:rsid w:val="00EB7731"/>
    <w:rsid w:val="00EB77D4"/>
    <w:rsid w:val="00EB7C0E"/>
    <w:rsid w:val="00EB7C5B"/>
    <w:rsid w:val="00EC01C6"/>
    <w:rsid w:val="00EC15C1"/>
    <w:rsid w:val="00EC248A"/>
    <w:rsid w:val="00EC29FE"/>
    <w:rsid w:val="00EC31E8"/>
    <w:rsid w:val="00EC339F"/>
    <w:rsid w:val="00EC3C52"/>
    <w:rsid w:val="00EC4014"/>
    <w:rsid w:val="00EC4B84"/>
    <w:rsid w:val="00EC4D48"/>
    <w:rsid w:val="00EC5334"/>
    <w:rsid w:val="00EC612F"/>
    <w:rsid w:val="00EC61F1"/>
    <w:rsid w:val="00EC7BE3"/>
    <w:rsid w:val="00ED0A65"/>
    <w:rsid w:val="00ED16F5"/>
    <w:rsid w:val="00ED2515"/>
    <w:rsid w:val="00ED3D73"/>
    <w:rsid w:val="00ED50EB"/>
    <w:rsid w:val="00ED5241"/>
    <w:rsid w:val="00ED55A7"/>
    <w:rsid w:val="00ED5E6E"/>
    <w:rsid w:val="00ED661B"/>
    <w:rsid w:val="00EE06AF"/>
    <w:rsid w:val="00EE0B0B"/>
    <w:rsid w:val="00EE0D5A"/>
    <w:rsid w:val="00EE1126"/>
    <w:rsid w:val="00EE177C"/>
    <w:rsid w:val="00EE1916"/>
    <w:rsid w:val="00EE232B"/>
    <w:rsid w:val="00EE29DA"/>
    <w:rsid w:val="00EE2F5B"/>
    <w:rsid w:val="00EE3EF5"/>
    <w:rsid w:val="00EE518D"/>
    <w:rsid w:val="00EF0C01"/>
    <w:rsid w:val="00EF29A3"/>
    <w:rsid w:val="00EF3C39"/>
    <w:rsid w:val="00EF429B"/>
    <w:rsid w:val="00EF5050"/>
    <w:rsid w:val="00EF5ED9"/>
    <w:rsid w:val="00EF641F"/>
    <w:rsid w:val="00EF6A48"/>
    <w:rsid w:val="00EF720B"/>
    <w:rsid w:val="00EF780D"/>
    <w:rsid w:val="00F00342"/>
    <w:rsid w:val="00F003B7"/>
    <w:rsid w:val="00F0151A"/>
    <w:rsid w:val="00F01541"/>
    <w:rsid w:val="00F0177B"/>
    <w:rsid w:val="00F0203D"/>
    <w:rsid w:val="00F02967"/>
    <w:rsid w:val="00F030C7"/>
    <w:rsid w:val="00F04ABC"/>
    <w:rsid w:val="00F04DCD"/>
    <w:rsid w:val="00F04DF8"/>
    <w:rsid w:val="00F04F98"/>
    <w:rsid w:val="00F05F13"/>
    <w:rsid w:val="00F06761"/>
    <w:rsid w:val="00F075A6"/>
    <w:rsid w:val="00F076C2"/>
    <w:rsid w:val="00F079C8"/>
    <w:rsid w:val="00F102A4"/>
    <w:rsid w:val="00F107EE"/>
    <w:rsid w:val="00F11A81"/>
    <w:rsid w:val="00F1215B"/>
    <w:rsid w:val="00F12E08"/>
    <w:rsid w:val="00F142C2"/>
    <w:rsid w:val="00F145C7"/>
    <w:rsid w:val="00F14E5F"/>
    <w:rsid w:val="00F16054"/>
    <w:rsid w:val="00F161DF"/>
    <w:rsid w:val="00F162FF"/>
    <w:rsid w:val="00F179AD"/>
    <w:rsid w:val="00F20068"/>
    <w:rsid w:val="00F207F3"/>
    <w:rsid w:val="00F208E8"/>
    <w:rsid w:val="00F218BB"/>
    <w:rsid w:val="00F23001"/>
    <w:rsid w:val="00F24627"/>
    <w:rsid w:val="00F24D3B"/>
    <w:rsid w:val="00F2686D"/>
    <w:rsid w:val="00F26915"/>
    <w:rsid w:val="00F26B72"/>
    <w:rsid w:val="00F27638"/>
    <w:rsid w:val="00F3032A"/>
    <w:rsid w:val="00F30372"/>
    <w:rsid w:val="00F305FA"/>
    <w:rsid w:val="00F3101D"/>
    <w:rsid w:val="00F3154F"/>
    <w:rsid w:val="00F32A3D"/>
    <w:rsid w:val="00F339AC"/>
    <w:rsid w:val="00F3453B"/>
    <w:rsid w:val="00F355D6"/>
    <w:rsid w:val="00F36A7D"/>
    <w:rsid w:val="00F36CE1"/>
    <w:rsid w:val="00F36D97"/>
    <w:rsid w:val="00F371C6"/>
    <w:rsid w:val="00F37D63"/>
    <w:rsid w:val="00F37E4E"/>
    <w:rsid w:val="00F40019"/>
    <w:rsid w:val="00F404B2"/>
    <w:rsid w:val="00F43D17"/>
    <w:rsid w:val="00F441DB"/>
    <w:rsid w:val="00F44E3C"/>
    <w:rsid w:val="00F4589F"/>
    <w:rsid w:val="00F458B8"/>
    <w:rsid w:val="00F45D51"/>
    <w:rsid w:val="00F45EA2"/>
    <w:rsid w:val="00F471B3"/>
    <w:rsid w:val="00F47C85"/>
    <w:rsid w:val="00F50B4A"/>
    <w:rsid w:val="00F528D8"/>
    <w:rsid w:val="00F5456C"/>
    <w:rsid w:val="00F54888"/>
    <w:rsid w:val="00F5611E"/>
    <w:rsid w:val="00F561C8"/>
    <w:rsid w:val="00F60879"/>
    <w:rsid w:val="00F60941"/>
    <w:rsid w:val="00F60C22"/>
    <w:rsid w:val="00F6125C"/>
    <w:rsid w:val="00F62C9E"/>
    <w:rsid w:val="00F62E20"/>
    <w:rsid w:val="00F63E0B"/>
    <w:rsid w:val="00F64779"/>
    <w:rsid w:val="00F6557D"/>
    <w:rsid w:val="00F664BA"/>
    <w:rsid w:val="00F66688"/>
    <w:rsid w:val="00F66CCB"/>
    <w:rsid w:val="00F715D4"/>
    <w:rsid w:val="00F71679"/>
    <w:rsid w:val="00F716A9"/>
    <w:rsid w:val="00F723F1"/>
    <w:rsid w:val="00F72808"/>
    <w:rsid w:val="00F72837"/>
    <w:rsid w:val="00F72A08"/>
    <w:rsid w:val="00F72B3D"/>
    <w:rsid w:val="00F72B47"/>
    <w:rsid w:val="00F72DE1"/>
    <w:rsid w:val="00F745BE"/>
    <w:rsid w:val="00F74CE8"/>
    <w:rsid w:val="00F752A5"/>
    <w:rsid w:val="00F75540"/>
    <w:rsid w:val="00F759AE"/>
    <w:rsid w:val="00F75B44"/>
    <w:rsid w:val="00F76372"/>
    <w:rsid w:val="00F76800"/>
    <w:rsid w:val="00F774D1"/>
    <w:rsid w:val="00F778F1"/>
    <w:rsid w:val="00F77E40"/>
    <w:rsid w:val="00F80577"/>
    <w:rsid w:val="00F80588"/>
    <w:rsid w:val="00F815FA"/>
    <w:rsid w:val="00F818D1"/>
    <w:rsid w:val="00F835FD"/>
    <w:rsid w:val="00F844A7"/>
    <w:rsid w:val="00F84518"/>
    <w:rsid w:val="00F84777"/>
    <w:rsid w:val="00F850EA"/>
    <w:rsid w:val="00F858B9"/>
    <w:rsid w:val="00F871EA"/>
    <w:rsid w:val="00F87322"/>
    <w:rsid w:val="00F87904"/>
    <w:rsid w:val="00F87926"/>
    <w:rsid w:val="00F90621"/>
    <w:rsid w:val="00F90E1D"/>
    <w:rsid w:val="00F912F5"/>
    <w:rsid w:val="00F91357"/>
    <w:rsid w:val="00F914A4"/>
    <w:rsid w:val="00F92BD5"/>
    <w:rsid w:val="00F9328D"/>
    <w:rsid w:val="00F9335A"/>
    <w:rsid w:val="00F9361C"/>
    <w:rsid w:val="00F93C35"/>
    <w:rsid w:val="00F94EF9"/>
    <w:rsid w:val="00F964D4"/>
    <w:rsid w:val="00F972CB"/>
    <w:rsid w:val="00FA34A8"/>
    <w:rsid w:val="00FA375B"/>
    <w:rsid w:val="00FA3C55"/>
    <w:rsid w:val="00FA4010"/>
    <w:rsid w:val="00FA4107"/>
    <w:rsid w:val="00FA42C8"/>
    <w:rsid w:val="00FA4EE9"/>
    <w:rsid w:val="00FA71D6"/>
    <w:rsid w:val="00FA7771"/>
    <w:rsid w:val="00FB0674"/>
    <w:rsid w:val="00FB24B9"/>
    <w:rsid w:val="00FB2901"/>
    <w:rsid w:val="00FB2E62"/>
    <w:rsid w:val="00FB4A03"/>
    <w:rsid w:val="00FB6222"/>
    <w:rsid w:val="00FB657E"/>
    <w:rsid w:val="00FB7C30"/>
    <w:rsid w:val="00FC0019"/>
    <w:rsid w:val="00FC1D9F"/>
    <w:rsid w:val="00FC2A7E"/>
    <w:rsid w:val="00FC2F0B"/>
    <w:rsid w:val="00FC3C8D"/>
    <w:rsid w:val="00FC5459"/>
    <w:rsid w:val="00FC5481"/>
    <w:rsid w:val="00FC5D56"/>
    <w:rsid w:val="00FC5F79"/>
    <w:rsid w:val="00FC7C24"/>
    <w:rsid w:val="00FD1B49"/>
    <w:rsid w:val="00FD1D3A"/>
    <w:rsid w:val="00FD25F1"/>
    <w:rsid w:val="00FD3199"/>
    <w:rsid w:val="00FD781E"/>
    <w:rsid w:val="00FD78B6"/>
    <w:rsid w:val="00FE0CEB"/>
    <w:rsid w:val="00FE2057"/>
    <w:rsid w:val="00FE3785"/>
    <w:rsid w:val="00FE4672"/>
    <w:rsid w:val="00FE48BE"/>
    <w:rsid w:val="00FE4DC1"/>
    <w:rsid w:val="00FE4EA8"/>
    <w:rsid w:val="00FE572D"/>
    <w:rsid w:val="00FE5838"/>
    <w:rsid w:val="00FE6822"/>
    <w:rsid w:val="00FE7A1B"/>
    <w:rsid w:val="00FE7FAA"/>
    <w:rsid w:val="00FF1017"/>
    <w:rsid w:val="00FF13F8"/>
    <w:rsid w:val="00FF1503"/>
    <w:rsid w:val="00FF1CF6"/>
    <w:rsid w:val="00FF1DF6"/>
    <w:rsid w:val="00FF2066"/>
    <w:rsid w:val="00FF2317"/>
    <w:rsid w:val="00FF2AD5"/>
    <w:rsid w:val="00FF2D61"/>
    <w:rsid w:val="00FF32C0"/>
    <w:rsid w:val="00FF3F3E"/>
    <w:rsid w:val="00FF5542"/>
    <w:rsid w:val="00FF5569"/>
    <w:rsid w:val="00FF6A9D"/>
    <w:rsid w:val="00FF7B18"/>
    <w:rsid w:val="19778D4C"/>
    <w:rsid w:val="393C9A19"/>
    <w:rsid w:val="6A07B339"/>
    <w:rsid w:val="6CFF98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BF88F"/>
  <w15:docId w15:val="{43DEFD6C-CFF8-446A-9596-F771B4C7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CE5"/>
    <w:rPr>
      <w:sz w:val="24"/>
      <w:szCs w:val="24"/>
    </w:rPr>
  </w:style>
  <w:style w:type="paragraph" w:styleId="Heading1">
    <w:name w:val="heading 1"/>
    <w:basedOn w:val="Normal"/>
    <w:next w:val="Normal"/>
    <w:link w:val="Heading1Char"/>
    <w:qFormat/>
    <w:rsid w:val="005340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link w:val="Heading3Char"/>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uiPriority w:val="99"/>
    <w:rsid w:val="00184144"/>
    <w:pPr>
      <w:spacing w:after="220"/>
    </w:pPr>
    <w:rPr>
      <w:sz w:val="20"/>
      <w:szCs w:val="20"/>
    </w:rPr>
  </w:style>
  <w:style w:type="character" w:styleId="FootnoteReference">
    <w:name w:val="footnote reference"/>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3"/>
      </w:numPr>
      <w:spacing w:after="220"/>
      <w:jc w:val="both"/>
    </w:pPr>
    <w:rPr>
      <w:i/>
      <w:color w:val="000000"/>
      <w:sz w:val="22"/>
      <w:szCs w:val="20"/>
    </w:rPr>
  </w:style>
  <w:style w:type="paragraph" w:styleId="ListNumber">
    <w:name w:val="List Number"/>
    <w:basedOn w:val="Normal"/>
    <w:rsid w:val="00452842"/>
    <w:pPr>
      <w:numPr>
        <w:numId w:val="4"/>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character" w:customStyle="1" w:styleId="FootnoteTextChar">
    <w:name w:val="Footnote Text Char"/>
    <w:link w:val="FootnoteText"/>
    <w:uiPriority w:val="99"/>
    <w:rsid w:val="001918E8"/>
  </w:style>
  <w:style w:type="paragraph" w:styleId="ListParagraph">
    <w:name w:val="List Paragraph"/>
    <w:basedOn w:val="Normal"/>
    <w:uiPriority w:val="34"/>
    <w:qFormat/>
    <w:rsid w:val="00AD61BC"/>
    <w:pPr>
      <w:ind w:left="720"/>
    </w:pPr>
    <w:rPr>
      <w:rFonts w:ascii="Calibri" w:eastAsia="Calibri" w:hAnsi="Calibri"/>
      <w:sz w:val="22"/>
      <w:szCs w:val="22"/>
    </w:rPr>
  </w:style>
  <w:style w:type="character" w:styleId="CommentReference">
    <w:name w:val="annotation reference"/>
    <w:basedOn w:val="DefaultParagraphFont"/>
    <w:uiPriority w:val="99"/>
    <w:rsid w:val="005B7525"/>
    <w:rPr>
      <w:sz w:val="16"/>
      <w:szCs w:val="16"/>
    </w:rPr>
  </w:style>
  <w:style w:type="paragraph" w:styleId="CommentText">
    <w:name w:val="annotation text"/>
    <w:basedOn w:val="Normal"/>
    <w:link w:val="CommentTextChar"/>
    <w:uiPriority w:val="99"/>
    <w:rsid w:val="005B7525"/>
    <w:rPr>
      <w:sz w:val="20"/>
      <w:szCs w:val="20"/>
    </w:rPr>
  </w:style>
  <w:style w:type="character" w:customStyle="1" w:styleId="CommentTextChar">
    <w:name w:val="Comment Text Char"/>
    <w:basedOn w:val="DefaultParagraphFont"/>
    <w:link w:val="CommentText"/>
    <w:uiPriority w:val="99"/>
    <w:rsid w:val="005B7525"/>
  </w:style>
  <w:style w:type="paragraph" w:styleId="CommentSubject">
    <w:name w:val="annotation subject"/>
    <w:basedOn w:val="CommentText"/>
    <w:next w:val="CommentText"/>
    <w:link w:val="CommentSubjectChar"/>
    <w:rsid w:val="005B7525"/>
    <w:rPr>
      <w:b/>
      <w:bCs/>
    </w:rPr>
  </w:style>
  <w:style w:type="character" w:customStyle="1" w:styleId="CommentSubjectChar">
    <w:name w:val="Comment Subject Char"/>
    <w:basedOn w:val="CommentTextChar"/>
    <w:link w:val="CommentSubject"/>
    <w:rsid w:val="005B7525"/>
    <w:rPr>
      <w:b/>
      <w:bCs/>
    </w:rPr>
  </w:style>
  <w:style w:type="paragraph" w:styleId="BalloonText">
    <w:name w:val="Balloon Text"/>
    <w:basedOn w:val="Normal"/>
    <w:link w:val="BalloonTextChar"/>
    <w:rsid w:val="005B7525"/>
    <w:rPr>
      <w:rFonts w:ascii="Tahoma" w:hAnsi="Tahoma" w:cs="Tahoma"/>
      <w:sz w:val="16"/>
      <w:szCs w:val="16"/>
    </w:rPr>
  </w:style>
  <w:style w:type="character" w:customStyle="1" w:styleId="BalloonTextChar">
    <w:name w:val="Balloon Text Char"/>
    <w:basedOn w:val="DefaultParagraphFont"/>
    <w:link w:val="BalloonText"/>
    <w:rsid w:val="005B7525"/>
    <w:rPr>
      <w:rFonts w:ascii="Tahoma" w:hAnsi="Tahoma" w:cs="Tahoma"/>
      <w:sz w:val="16"/>
      <w:szCs w:val="16"/>
    </w:rPr>
  </w:style>
  <w:style w:type="character" w:customStyle="1" w:styleId="Heading1Char">
    <w:name w:val="Heading 1 Char"/>
    <w:basedOn w:val="DefaultParagraphFont"/>
    <w:link w:val="Heading1"/>
    <w:rsid w:val="005340EA"/>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993765"/>
    <w:rPr>
      <w:sz w:val="24"/>
      <w:szCs w:val="24"/>
    </w:rPr>
  </w:style>
  <w:style w:type="paragraph" w:customStyle="1" w:styleId="xgmail-msolistparagraph">
    <w:name w:val="x_gmail-msolistparagraph"/>
    <w:basedOn w:val="Normal"/>
    <w:rsid w:val="003F4DD6"/>
    <w:pPr>
      <w:spacing w:before="100" w:beforeAutospacing="1" w:after="100" w:afterAutospacing="1"/>
    </w:pPr>
    <w:rPr>
      <w:rFonts w:ascii="Calibri" w:eastAsiaTheme="minorHAnsi" w:hAnsi="Calibri" w:cs="Calibri"/>
      <w:sz w:val="22"/>
      <w:szCs w:val="22"/>
    </w:rPr>
  </w:style>
  <w:style w:type="character" w:customStyle="1" w:styleId="xgmail-apple-converted-space">
    <w:name w:val="x_gmail-apple-converted-space"/>
    <w:basedOn w:val="DefaultParagraphFont"/>
    <w:rsid w:val="003F4DD6"/>
  </w:style>
  <w:style w:type="character" w:customStyle="1" w:styleId="BodyTextChar">
    <w:name w:val="Body Text Char"/>
    <w:basedOn w:val="DefaultParagraphFont"/>
    <w:link w:val="BodyText"/>
    <w:rsid w:val="000132D2"/>
    <w:rPr>
      <w:sz w:val="24"/>
    </w:rPr>
  </w:style>
  <w:style w:type="character" w:customStyle="1" w:styleId="Heading3Char">
    <w:name w:val="Heading 3 Char"/>
    <w:basedOn w:val="DefaultParagraphFont"/>
    <w:link w:val="Heading3"/>
    <w:rsid w:val="0085610E"/>
    <w:rPr>
      <w:rFonts w:ascii="Arial" w:hAnsi="Arial" w:cs="Arial"/>
      <w:b/>
      <w:bCs/>
      <w:sz w:val="26"/>
      <w:szCs w:val="26"/>
    </w:rPr>
  </w:style>
  <w:style w:type="character" w:customStyle="1" w:styleId="HeaderChar">
    <w:name w:val="Header Char"/>
    <w:basedOn w:val="DefaultParagraphFont"/>
    <w:link w:val="Header"/>
    <w:rsid w:val="009F6B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0289">
      <w:bodyDiv w:val="1"/>
      <w:marLeft w:val="0"/>
      <w:marRight w:val="0"/>
      <w:marTop w:val="0"/>
      <w:marBottom w:val="0"/>
      <w:divBdr>
        <w:top w:val="none" w:sz="0" w:space="0" w:color="auto"/>
        <w:left w:val="none" w:sz="0" w:space="0" w:color="auto"/>
        <w:bottom w:val="none" w:sz="0" w:space="0" w:color="auto"/>
        <w:right w:val="none" w:sz="0" w:space="0" w:color="auto"/>
      </w:divBdr>
    </w:div>
    <w:div w:id="66148369">
      <w:bodyDiv w:val="1"/>
      <w:marLeft w:val="0"/>
      <w:marRight w:val="0"/>
      <w:marTop w:val="0"/>
      <w:marBottom w:val="0"/>
      <w:divBdr>
        <w:top w:val="none" w:sz="0" w:space="0" w:color="auto"/>
        <w:left w:val="none" w:sz="0" w:space="0" w:color="auto"/>
        <w:bottom w:val="none" w:sz="0" w:space="0" w:color="auto"/>
        <w:right w:val="none" w:sz="0" w:space="0" w:color="auto"/>
      </w:divBdr>
    </w:div>
    <w:div w:id="110982115">
      <w:bodyDiv w:val="1"/>
      <w:marLeft w:val="0"/>
      <w:marRight w:val="0"/>
      <w:marTop w:val="0"/>
      <w:marBottom w:val="0"/>
      <w:divBdr>
        <w:top w:val="none" w:sz="0" w:space="0" w:color="auto"/>
        <w:left w:val="none" w:sz="0" w:space="0" w:color="auto"/>
        <w:bottom w:val="none" w:sz="0" w:space="0" w:color="auto"/>
        <w:right w:val="none" w:sz="0" w:space="0" w:color="auto"/>
      </w:divBdr>
    </w:div>
    <w:div w:id="186914078">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
    <w:div w:id="260534169">
      <w:bodyDiv w:val="1"/>
      <w:marLeft w:val="0"/>
      <w:marRight w:val="0"/>
      <w:marTop w:val="0"/>
      <w:marBottom w:val="0"/>
      <w:divBdr>
        <w:top w:val="none" w:sz="0" w:space="0" w:color="auto"/>
        <w:left w:val="none" w:sz="0" w:space="0" w:color="auto"/>
        <w:bottom w:val="none" w:sz="0" w:space="0" w:color="auto"/>
        <w:right w:val="none" w:sz="0" w:space="0" w:color="auto"/>
      </w:divBdr>
    </w:div>
    <w:div w:id="383221129">
      <w:bodyDiv w:val="1"/>
      <w:marLeft w:val="0"/>
      <w:marRight w:val="0"/>
      <w:marTop w:val="0"/>
      <w:marBottom w:val="0"/>
      <w:divBdr>
        <w:top w:val="none" w:sz="0" w:space="0" w:color="auto"/>
        <w:left w:val="none" w:sz="0" w:space="0" w:color="auto"/>
        <w:bottom w:val="none" w:sz="0" w:space="0" w:color="auto"/>
        <w:right w:val="none" w:sz="0" w:space="0" w:color="auto"/>
      </w:divBdr>
      <w:divsChild>
        <w:div w:id="43022588">
          <w:marLeft w:val="547"/>
          <w:marRight w:val="0"/>
          <w:marTop w:val="120"/>
          <w:marBottom w:val="240"/>
          <w:divBdr>
            <w:top w:val="none" w:sz="0" w:space="0" w:color="auto"/>
            <w:left w:val="none" w:sz="0" w:space="0" w:color="auto"/>
            <w:bottom w:val="none" w:sz="0" w:space="0" w:color="auto"/>
            <w:right w:val="none" w:sz="0" w:space="0" w:color="auto"/>
          </w:divBdr>
        </w:div>
        <w:div w:id="937713480">
          <w:marLeft w:val="547"/>
          <w:marRight w:val="0"/>
          <w:marTop w:val="120"/>
          <w:marBottom w:val="240"/>
          <w:divBdr>
            <w:top w:val="none" w:sz="0" w:space="0" w:color="auto"/>
            <w:left w:val="none" w:sz="0" w:space="0" w:color="auto"/>
            <w:bottom w:val="none" w:sz="0" w:space="0" w:color="auto"/>
            <w:right w:val="none" w:sz="0" w:space="0" w:color="auto"/>
          </w:divBdr>
        </w:div>
      </w:divsChild>
    </w:div>
    <w:div w:id="518087397">
      <w:bodyDiv w:val="1"/>
      <w:marLeft w:val="0"/>
      <w:marRight w:val="0"/>
      <w:marTop w:val="0"/>
      <w:marBottom w:val="0"/>
      <w:divBdr>
        <w:top w:val="none" w:sz="0" w:space="0" w:color="auto"/>
        <w:left w:val="none" w:sz="0" w:space="0" w:color="auto"/>
        <w:bottom w:val="none" w:sz="0" w:space="0" w:color="auto"/>
        <w:right w:val="none" w:sz="0" w:space="0" w:color="auto"/>
      </w:divBdr>
    </w:div>
    <w:div w:id="538133047">
      <w:bodyDiv w:val="1"/>
      <w:marLeft w:val="0"/>
      <w:marRight w:val="0"/>
      <w:marTop w:val="0"/>
      <w:marBottom w:val="0"/>
      <w:divBdr>
        <w:top w:val="none" w:sz="0" w:space="0" w:color="auto"/>
        <w:left w:val="none" w:sz="0" w:space="0" w:color="auto"/>
        <w:bottom w:val="none" w:sz="0" w:space="0" w:color="auto"/>
        <w:right w:val="none" w:sz="0" w:space="0" w:color="auto"/>
      </w:divBdr>
    </w:div>
    <w:div w:id="727148666">
      <w:bodyDiv w:val="1"/>
      <w:marLeft w:val="0"/>
      <w:marRight w:val="0"/>
      <w:marTop w:val="0"/>
      <w:marBottom w:val="0"/>
      <w:divBdr>
        <w:top w:val="none" w:sz="0" w:space="0" w:color="auto"/>
        <w:left w:val="none" w:sz="0" w:space="0" w:color="auto"/>
        <w:bottom w:val="none" w:sz="0" w:space="0" w:color="auto"/>
        <w:right w:val="none" w:sz="0" w:space="0" w:color="auto"/>
      </w:divBdr>
    </w:div>
    <w:div w:id="836071489">
      <w:bodyDiv w:val="1"/>
      <w:marLeft w:val="0"/>
      <w:marRight w:val="0"/>
      <w:marTop w:val="0"/>
      <w:marBottom w:val="0"/>
      <w:divBdr>
        <w:top w:val="none" w:sz="0" w:space="0" w:color="auto"/>
        <w:left w:val="none" w:sz="0" w:space="0" w:color="auto"/>
        <w:bottom w:val="none" w:sz="0" w:space="0" w:color="auto"/>
        <w:right w:val="none" w:sz="0" w:space="0" w:color="auto"/>
      </w:divBdr>
    </w:div>
    <w:div w:id="882787782">
      <w:bodyDiv w:val="1"/>
      <w:marLeft w:val="0"/>
      <w:marRight w:val="0"/>
      <w:marTop w:val="0"/>
      <w:marBottom w:val="0"/>
      <w:divBdr>
        <w:top w:val="none" w:sz="0" w:space="0" w:color="auto"/>
        <w:left w:val="none" w:sz="0" w:space="0" w:color="auto"/>
        <w:bottom w:val="none" w:sz="0" w:space="0" w:color="auto"/>
        <w:right w:val="none" w:sz="0" w:space="0" w:color="auto"/>
      </w:divBdr>
    </w:div>
    <w:div w:id="1008286008">
      <w:bodyDiv w:val="1"/>
      <w:marLeft w:val="0"/>
      <w:marRight w:val="0"/>
      <w:marTop w:val="0"/>
      <w:marBottom w:val="0"/>
      <w:divBdr>
        <w:top w:val="none" w:sz="0" w:space="0" w:color="auto"/>
        <w:left w:val="none" w:sz="0" w:space="0" w:color="auto"/>
        <w:bottom w:val="none" w:sz="0" w:space="0" w:color="auto"/>
        <w:right w:val="none" w:sz="0" w:space="0" w:color="auto"/>
      </w:divBdr>
    </w:div>
    <w:div w:id="1013918031">
      <w:bodyDiv w:val="1"/>
      <w:marLeft w:val="0"/>
      <w:marRight w:val="0"/>
      <w:marTop w:val="0"/>
      <w:marBottom w:val="0"/>
      <w:divBdr>
        <w:top w:val="none" w:sz="0" w:space="0" w:color="auto"/>
        <w:left w:val="none" w:sz="0" w:space="0" w:color="auto"/>
        <w:bottom w:val="none" w:sz="0" w:space="0" w:color="auto"/>
        <w:right w:val="none" w:sz="0" w:space="0" w:color="auto"/>
      </w:divBdr>
    </w:div>
    <w:div w:id="1125583939">
      <w:bodyDiv w:val="1"/>
      <w:marLeft w:val="0"/>
      <w:marRight w:val="0"/>
      <w:marTop w:val="0"/>
      <w:marBottom w:val="0"/>
      <w:divBdr>
        <w:top w:val="none" w:sz="0" w:space="0" w:color="auto"/>
        <w:left w:val="none" w:sz="0" w:space="0" w:color="auto"/>
        <w:bottom w:val="none" w:sz="0" w:space="0" w:color="auto"/>
        <w:right w:val="none" w:sz="0" w:space="0" w:color="auto"/>
      </w:divBdr>
    </w:div>
    <w:div w:id="1174417587">
      <w:bodyDiv w:val="1"/>
      <w:marLeft w:val="0"/>
      <w:marRight w:val="0"/>
      <w:marTop w:val="0"/>
      <w:marBottom w:val="0"/>
      <w:divBdr>
        <w:top w:val="none" w:sz="0" w:space="0" w:color="auto"/>
        <w:left w:val="none" w:sz="0" w:space="0" w:color="auto"/>
        <w:bottom w:val="none" w:sz="0" w:space="0" w:color="auto"/>
        <w:right w:val="none" w:sz="0" w:space="0" w:color="auto"/>
      </w:divBdr>
    </w:div>
    <w:div w:id="1279294062">
      <w:bodyDiv w:val="1"/>
      <w:marLeft w:val="0"/>
      <w:marRight w:val="0"/>
      <w:marTop w:val="0"/>
      <w:marBottom w:val="0"/>
      <w:divBdr>
        <w:top w:val="none" w:sz="0" w:space="0" w:color="auto"/>
        <w:left w:val="none" w:sz="0" w:space="0" w:color="auto"/>
        <w:bottom w:val="none" w:sz="0" w:space="0" w:color="auto"/>
        <w:right w:val="none" w:sz="0" w:space="0" w:color="auto"/>
      </w:divBdr>
    </w:div>
    <w:div w:id="1300262626">
      <w:bodyDiv w:val="1"/>
      <w:marLeft w:val="0"/>
      <w:marRight w:val="0"/>
      <w:marTop w:val="0"/>
      <w:marBottom w:val="0"/>
      <w:divBdr>
        <w:top w:val="none" w:sz="0" w:space="0" w:color="auto"/>
        <w:left w:val="none" w:sz="0" w:space="0" w:color="auto"/>
        <w:bottom w:val="none" w:sz="0" w:space="0" w:color="auto"/>
        <w:right w:val="none" w:sz="0" w:space="0" w:color="auto"/>
      </w:divBdr>
    </w:div>
    <w:div w:id="1367680442">
      <w:bodyDiv w:val="1"/>
      <w:marLeft w:val="0"/>
      <w:marRight w:val="0"/>
      <w:marTop w:val="0"/>
      <w:marBottom w:val="0"/>
      <w:divBdr>
        <w:top w:val="none" w:sz="0" w:space="0" w:color="auto"/>
        <w:left w:val="none" w:sz="0" w:space="0" w:color="auto"/>
        <w:bottom w:val="none" w:sz="0" w:space="0" w:color="auto"/>
        <w:right w:val="none" w:sz="0" w:space="0" w:color="auto"/>
      </w:divBdr>
    </w:div>
    <w:div w:id="1385329657">
      <w:bodyDiv w:val="1"/>
      <w:marLeft w:val="0"/>
      <w:marRight w:val="0"/>
      <w:marTop w:val="0"/>
      <w:marBottom w:val="0"/>
      <w:divBdr>
        <w:top w:val="none" w:sz="0" w:space="0" w:color="auto"/>
        <w:left w:val="none" w:sz="0" w:space="0" w:color="auto"/>
        <w:bottom w:val="none" w:sz="0" w:space="0" w:color="auto"/>
        <w:right w:val="none" w:sz="0" w:space="0" w:color="auto"/>
      </w:divBdr>
    </w:div>
    <w:div w:id="1503083146">
      <w:bodyDiv w:val="1"/>
      <w:marLeft w:val="0"/>
      <w:marRight w:val="0"/>
      <w:marTop w:val="0"/>
      <w:marBottom w:val="0"/>
      <w:divBdr>
        <w:top w:val="none" w:sz="0" w:space="0" w:color="auto"/>
        <w:left w:val="none" w:sz="0" w:space="0" w:color="auto"/>
        <w:bottom w:val="none" w:sz="0" w:space="0" w:color="auto"/>
        <w:right w:val="none" w:sz="0" w:space="0" w:color="auto"/>
      </w:divBdr>
    </w:div>
    <w:div w:id="1584416578">
      <w:bodyDiv w:val="1"/>
      <w:marLeft w:val="0"/>
      <w:marRight w:val="0"/>
      <w:marTop w:val="0"/>
      <w:marBottom w:val="0"/>
      <w:divBdr>
        <w:top w:val="none" w:sz="0" w:space="0" w:color="auto"/>
        <w:left w:val="none" w:sz="0" w:space="0" w:color="auto"/>
        <w:bottom w:val="none" w:sz="0" w:space="0" w:color="auto"/>
        <w:right w:val="none" w:sz="0" w:space="0" w:color="auto"/>
      </w:divBdr>
    </w:div>
    <w:div w:id="1624266516">
      <w:bodyDiv w:val="1"/>
      <w:marLeft w:val="0"/>
      <w:marRight w:val="0"/>
      <w:marTop w:val="0"/>
      <w:marBottom w:val="0"/>
      <w:divBdr>
        <w:top w:val="none" w:sz="0" w:space="0" w:color="auto"/>
        <w:left w:val="none" w:sz="0" w:space="0" w:color="auto"/>
        <w:bottom w:val="none" w:sz="0" w:space="0" w:color="auto"/>
        <w:right w:val="none" w:sz="0" w:space="0" w:color="auto"/>
      </w:divBdr>
    </w:div>
    <w:div w:id="1723480682">
      <w:bodyDiv w:val="1"/>
      <w:marLeft w:val="0"/>
      <w:marRight w:val="0"/>
      <w:marTop w:val="0"/>
      <w:marBottom w:val="0"/>
      <w:divBdr>
        <w:top w:val="none" w:sz="0" w:space="0" w:color="auto"/>
        <w:left w:val="none" w:sz="0" w:space="0" w:color="auto"/>
        <w:bottom w:val="none" w:sz="0" w:space="0" w:color="auto"/>
        <w:right w:val="none" w:sz="0" w:space="0" w:color="auto"/>
      </w:divBdr>
    </w:div>
    <w:div w:id="1747263761">
      <w:bodyDiv w:val="1"/>
      <w:marLeft w:val="0"/>
      <w:marRight w:val="0"/>
      <w:marTop w:val="0"/>
      <w:marBottom w:val="0"/>
      <w:divBdr>
        <w:top w:val="none" w:sz="0" w:space="0" w:color="auto"/>
        <w:left w:val="none" w:sz="0" w:space="0" w:color="auto"/>
        <w:bottom w:val="none" w:sz="0" w:space="0" w:color="auto"/>
        <w:right w:val="none" w:sz="0" w:space="0" w:color="auto"/>
      </w:divBdr>
    </w:div>
    <w:div w:id="1780952073">
      <w:bodyDiv w:val="1"/>
      <w:marLeft w:val="0"/>
      <w:marRight w:val="0"/>
      <w:marTop w:val="0"/>
      <w:marBottom w:val="0"/>
      <w:divBdr>
        <w:top w:val="none" w:sz="0" w:space="0" w:color="auto"/>
        <w:left w:val="none" w:sz="0" w:space="0" w:color="auto"/>
        <w:bottom w:val="none" w:sz="0" w:space="0" w:color="auto"/>
        <w:right w:val="none" w:sz="0" w:space="0" w:color="auto"/>
      </w:divBdr>
    </w:div>
    <w:div w:id="1796174519">
      <w:bodyDiv w:val="1"/>
      <w:marLeft w:val="0"/>
      <w:marRight w:val="0"/>
      <w:marTop w:val="0"/>
      <w:marBottom w:val="0"/>
      <w:divBdr>
        <w:top w:val="none" w:sz="0" w:space="0" w:color="auto"/>
        <w:left w:val="none" w:sz="0" w:space="0" w:color="auto"/>
        <w:bottom w:val="none" w:sz="0" w:space="0" w:color="auto"/>
        <w:right w:val="none" w:sz="0" w:space="0" w:color="auto"/>
      </w:divBdr>
    </w:div>
    <w:div w:id="1817532698">
      <w:bodyDiv w:val="1"/>
      <w:marLeft w:val="0"/>
      <w:marRight w:val="0"/>
      <w:marTop w:val="0"/>
      <w:marBottom w:val="0"/>
      <w:divBdr>
        <w:top w:val="none" w:sz="0" w:space="0" w:color="auto"/>
        <w:left w:val="none" w:sz="0" w:space="0" w:color="auto"/>
        <w:bottom w:val="none" w:sz="0" w:space="0" w:color="auto"/>
        <w:right w:val="none" w:sz="0" w:space="0" w:color="auto"/>
      </w:divBdr>
    </w:div>
    <w:div w:id="1841773407">
      <w:bodyDiv w:val="1"/>
      <w:marLeft w:val="0"/>
      <w:marRight w:val="0"/>
      <w:marTop w:val="0"/>
      <w:marBottom w:val="0"/>
      <w:divBdr>
        <w:top w:val="none" w:sz="0" w:space="0" w:color="auto"/>
        <w:left w:val="none" w:sz="0" w:space="0" w:color="auto"/>
        <w:bottom w:val="none" w:sz="0" w:space="0" w:color="auto"/>
        <w:right w:val="none" w:sz="0" w:space="0" w:color="auto"/>
      </w:divBdr>
    </w:div>
    <w:div w:id="1870027214">
      <w:bodyDiv w:val="1"/>
      <w:marLeft w:val="0"/>
      <w:marRight w:val="0"/>
      <w:marTop w:val="0"/>
      <w:marBottom w:val="0"/>
      <w:divBdr>
        <w:top w:val="none" w:sz="0" w:space="0" w:color="auto"/>
        <w:left w:val="none" w:sz="0" w:space="0" w:color="auto"/>
        <w:bottom w:val="none" w:sz="0" w:space="0" w:color="auto"/>
        <w:right w:val="none" w:sz="0" w:space="0" w:color="auto"/>
      </w:divBdr>
    </w:div>
    <w:div w:id="205554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fc01d89a52dc94c4ab20f4b15a60a1f2">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3655adfa25ae50042a27f4aacbe6aa1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scription="Green = Complete&#10;Yellow = In-Progress&#10;Red = Not Started" ma:format="Dropdown" ma:internalName="ProgressStatus">
      <xsd:simpleType>
        <xsd:restriction base="dms:Choice">
          <xsd:enumeration value="Complete"/>
          <xsd:enumeration value="Ready for Review"/>
          <xsd:enumeration value="In-Progress"/>
          <xsd:enumeration value="Not Started"/>
        </xsd:restrict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Gann, Julie</DisplayName>
        <AccountId>42</AccountId>
        <AccountType/>
      </UserInfo>
    </SharedWithUsers>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Props1.xml><?xml version="1.0" encoding="utf-8"?>
<ds:datastoreItem xmlns:ds="http://schemas.openxmlformats.org/officeDocument/2006/customXml" ds:itemID="{295ACDED-2D14-493B-AD8C-98AC77D82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059FBA-884E-49FE-BDB2-C3CE218A16A0}">
  <ds:schemaRefs>
    <ds:schemaRef ds:uri="http://schemas.microsoft.com/sharepoint/v3/contenttype/forms"/>
  </ds:schemaRefs>
</ds:datastoreItem>
</file>

<file path=customXml/itemProps3.xml><?xml version="1.0" encoding="utf-8"?>
<ds:datastoreItem xmlns:ds="http://schemas.openxmlformats.org/officeDocument/2006/customXml" ds:itemID="{CBAB5EA6-CE1F-40BA-A7D6-0603918605B4}">
  <ds:schemaRefs>
    <ds:schemaRef ds:uri="http://schemas.openxmlformats.org/officeDocument/2006/bibliography"/>
  </ds:schemaRefs>
</ds:datastoreItem>
</file>

<file path=customXml/itemProps4.xml><?xml version="1.0" encoding="utf-8"?>
<ds:datastoreItem xmlns:ds="http://schemas.openxmlformats.org/officeDocument/2006/customXml" ds:itemID="{76598F22-CBD1-4649-90A1-51DF4A7D5BCA}">
  <ds:schemaRefs>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826143e3-bbcb-45bb-8829-107013e701e5"/>
    <ds:schemaRef ds:uri="http://www.w3.org/XML/1998/namespace"/>
    <ds:schemaRef ds:uri="3c9e15a3-223f-4584-afb1-1dbe0b3878fa"/>
    <ds:schemaRef ds:uri="dbd46520-c392-41b5-9f68-fe7486eefad7"/>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14</Pages>
  <Words>6473</Words>
  <Characters>34166</Characters>
  <Application>Microsoft Office Word</Application>
  <DocSecurity>0</DocSecurity>
  <Lines>284</Lines>
  <Paragraphs>81</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40558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cp:lastModifiedBy>Stultz, Jake</cp:lastModifiedBy>
  <cp:revision>172</cp:revision>
  <cp:lastPrinted>2023-07-14T13:54:00Z</cp:lastPrinted>
  <dcterms:created xsi:type="dcterms:W3CDTF">2023-08-03T17:45:00Z</dcterms:created>
  <dcterms:modified xsi:type="dcterms:W3CDTF">2023-08-17T14:59:00Z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ies>
</file>