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6F43EB" w:rsidRDefault="002A1316">
      <w:pPr>
        <w:jc w:val="center"/>
        <w:rPr>
          <w:bCs/>
          <w:sz w:val="22"/>
          <w:szCs w:val="22"/>
        </w:rPr>
      </w:pPr>
      <w:r w:rsidRPr="006F43EB">
        <w:rPr>
          <w:bCs/>
          <w:sz w:val="22"/>
          <w:szCs w:val="22"/>
        </w:rPr>
        <w:t>Form A</w:t>
      </w:r>
    </w:p>
    <w:p w14:paraId="65BCA41C" w14:textId="77777777" w:rsidR="002A1316" w:rsidRPr="00016321" w:rsidRDefault="002A1316">
      <w:pPr>
        <w:pStyle w:val="Heading2"/>
        <w:jc w:val="center"/>
        <w:rPr>
          <w:sz w:val="22"/>
          <w:szCs w:val="22"/>
        </w:rPr>
      </w:pPr>
    </w:p>
    <w:p w14:paraId="10F0B4B2" w14:textId="2CA72353"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261B4D" w:rsidRPr="00F61C77">
        <w:rPr>
          <w:b/>
          <w:i/>
          <w:iCs/>
          <w:sz w:val="22"/>
          <w:szCs w:val="22"/>
        </w:rPr>
        <w:t>ASU</w:t>
      </w:r>
      <w:r w:rsidR="00F61C77" w:rsidRPr="00F61C77">
        <w:rPr>
          <w:b/>
          <w:i/>
          <w:iCs/>
          <w:sz w:val="22"/>
          <w:szCs w:val="22"/>
        </w:rPr>
        <w:t xml:space="preserve"> 2022-06, </w:t>
      </w:r>
      <w:r w:rsidR="00BE37B1" w:rsidRPr="00F61C77">
        <w:rPr>
          <w:b/>
          <w:i/>
          <w:iCs/>
          <w:sz w:val="22"/>
          <w:szCs w:val="22"/>
        </w:rPr>
        <w:t xml:space="preserve">Reference Rate Reform </w:t>
      </w:r>
      <w:r w:rsidR="00F61C77" w:rsidRPr="00F61C77">
        <w:rPr>
          <w:b/>
          <w:i/>
          <w:iCs/>
          <w:sz w:val="22"/>
          <w:szCs w:val="22"/>
        </w:rPr>
        <w:t>(Topic 848), Deferral of the Sunset Date of Topic 848</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BD4D62">
        <w:rPr>
          <w:sz w:val="22"/>
          <w:szCs w:val="22"/>
        </w:rPr>
      </w:r>
      <w:r w:rsidR="00BD4D62">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BD4D62">
        <w:rPr>
          <w:sz w:val="22"/>
          <w:szCs w:val="22"/>
        </w:rPr>
      </w:r>
      <w:r w:rsidR="00BD4D62">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BD4D62">
        <w:rPr>
          <w:sz w:val="22"/>
          <w:szCs w:val="22"/>
        </w:rPr>
      </w:r>
      <w:r w:rsidR="00BD4D62">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BD4D62">
        <w:rPr>
          <w:sz w:val="22"/>
          <w:szCs w:val="22"/>
        </w:rPr>
      </w:r>
      <w:r w:rsidR="00BD4D62">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BD4D62">
        <w:rPr>
          <w:sz w:val="22"/>
          <w:szCs w:val="22"/>
        </w:rPr>
      </w:r>
      <w:r w:rsidR="00BD4D62">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BD4D62">
        <w:rPr>
          <w:sz w:val="22"/>
          <w:szCs w:val="22"/>
        </w:rPr>
      </w:r>
      <w:r w:rsidR="00BD4D62">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BD4D62">
        <w:rPr>
          <w:sz w:val="22"/>
          <w:szCs w:val="22"/>
        </w:rPr>
      </w:r>
      <w:r w:rsidR="00BD4D62">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BD4D62">
        <w:rPr>
          <w:sz w:val="22"/>
          <w:szCs w:val="22"/>
        </w:rPr>
      </w:r>
      <w:r w:rsidR="00BD4D62">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BD4D62">
        <w:rPr>
          <w:sz w:val="22"/>
          <w:szCs w:val="22"/>
        </w:rPr>
      </w:r>
      <w:r w:rsidR="00BD4D62">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77777777" w:rsidR="002A1316" w:rsidRPr="00016321" w:rsidRDefault="002A1316" w:rsidP="00B30CA0">
      <w:pPr>
        <w:pStyle w:val="BodyText2"/>
        <w:rPr>
          <w:b w:val="0"/>
          <w:bCs w:val="0"/>
          <w:szCs w:val="22"/>
        </w:rPr>
      </w:pPr>
      <w:r w:rsidRPr="00016321">
        <w:rPr>
          <w:bCs w:val="0"/>
          <w:szCs w:val="22"/>
        </w:rPr>
        <w:t>Description of Issue:</w:t>
      </w:r>
    </w:p>
    <w:p w14:paraId="040C7183" w14:textId="7CE8D143" w:rsidR="00435DAC" w:rsidRPr="006F43EB" w:rsidRDefault="005B5FC6" w:rsidP="00845D96">
      <w:pPr>
        <w:pStyle w:val="BodyText2"/>
        <w:rPr>
          <w:b w:val="0"/>
          <w:szCs w:val="22"/>
        </w:rPr>
      </w:pPr>
      <w:r w:rsidRPr="005B5FC6">
        <w:rPr>
          <w:b w:val="0"/>
          <w:szCs w:val="22"/>
        </w:rPr>
        <w:t>The Financial Accounting Standards Board (FASB) issued</w:t>
      </w:r>
      <w:r>
        <w:rPr>
          <w:b w:val="0"/>
          <w:szCs w:val="22"/>
        </w:rPr>
        <w:t xml:space="preserve"> </w:t>
      </w:r>
      <w:r w:rsidRPr="00845D96">
        <w:rPr>
          <w:b w:val="0"/>
          <w:i/>
          <w:iCs/>
          <w:szCs w:val="22"/>
        </w:rPr>
        <w:t>ASU 2022-06, Reference Rate Reform (Topic 848), Deferral of the Sunset Date of Topic 848</w:t>
      </w:r>
      <w:r w:rsidR="00580CD9">
        <w:rPr>
          <w:b w:val="0"/>
          <w:szCs w:val="22"/>
        </w:rPr>
        <w:t xml:space="preserve"> </w:t>
      </w:r>
      <w:r w:rsidR="00A833CF">
        <w:rPr>
          <w:b w:val="0"/>
          <w:szCs w:val="22"/>
        </w:rPr>
        <w:t xml:space="preserve">to extend the sunset date of the reference rate reform guidance that was </w:t>
      </w:r>
      <w:r w:rsidR="00845D96">
        <w:rPr>
          <w:b w:val="0"/>
          <w:szCs w:val="22"/>
        </w:rPr>
        <w:t xml:space="preserve">included in </w:t>
      </w:r>
      <w:r w:rsidR="00845D96" w:rsidRPr="00845D96">
        <w:rPr>
          <w:b w:val="0"/>
          <w:i/>
          <w:iCs/>
          <w:szCs w:val="22"/>
        </w:rPr>
        <w:t>ASU 2020-04, Reference Rate Reform (Topic 848) Facilitation of the Effects of Reference Rate Reform on Financial Reporting</w:t>
      </w:r>
      <w:r w:rsidR="00250242">
        <w:rPr>
          <w:b w:val="0"/>
          <w:szCs w:val="22"/>
        </w:rPr>
        <w:t xml:space="preserve"> </w:t>
      </w:r>
      <w:r w:rsidR="00250242" w:rsidRPr="006F43EB">
        <w:rPr>
          <w:b w:val="0"/>
          <w:szCs w:val="22"/>
        </w:rPr>
        <w:t xml:space="preserve">and </w:t>
      </w:r>
      <w:r w:rsidR="00B0756A" w:rsidRPr="006F43EB">
        <w:rPr>
          <w:b w:val="0"/>
          <w:i/>
          <w:szCs w:val="22"/>
        </w:rPr>
        <w:t>ASU 2021-01, Reference Rate Reform (Topic 848)</w:t>
      </w:r>
      <w:r w:rsidR="00C45079" w:rsidRPr="006F43EB">
        <w:rPr>
          <w:b w:val="0"/>
          <w:i/>
          <w:szCs w:val="22"/>
        </w:rPr>
        <w:t xml:space="preserve">, </w:t>
      </w:r>
      <w:r w:rsidR="006F43EB" w:rsidRPr="006F43EB">
        <w:rPr>
          <w:b w:val="0"/>
          <w:i/>
          <w:szCs w:val="22"/>
        </w:rPr>
        <w:t>Scope</w:t>
      </w:r>
      <w:r w:rsidR="00845D96" w:rsidRPr="006F43EB">
        <w:rPr>
          <w:b w:val="0"/>
          <w:szCs w:val="22"/>
        </w:rPr>
        <w:t>.</w:t>
      </w:r>
    </w:p>
    <w:p w14:paraId="2F929398" w14:textId="77777777" w:rsidR="00F61C77" w:rsidRPr="006F43EB" w:rsidRDefault="00F61C77" w:rsidP="00A92C59">
      <w:pPr>
        <w:pStyle w:val="BodyText2"/>
        <w:rPr>
          <w:b w:val="0"/>
          <w:szCs w:val="22"/>
        </w:rPr>
      </w:pPr>
    </w:p>
    <w:p w14:paraId="27E7737E" w14:textId="192048DB" w:rsidR="001074D9" w:rsidRDefault="008C3E57" w:rsidP="001074D9">
      <w:pPr>
        <w:pStyle w:val="BodyText2"/>
        <w:rPr>
          <w:b w:val="0"/>
          <w:bCs w:val="0"/>
          <w:szCs w:val="22"/>
        </w:rPr>
      </w:pPr>
      <w:r w:rsidRPr="006F43EB">
        <w:rPr>
          <w:b w:val="0"/>
          <w:szCs w:val="22"/>
        </w:rPr>
        <w:t>As background</w:t>
      </w:r>
      <w:r w:rsidR="00037531" w:rsidRPr="006F43EB">
        <w:rPr>
          <w:b w:val="0"/>
          <w:szCs w:val="22"/>
        </w:rPr>
        <w:t>, r</w:t>
      </w:r>
      <w:r w:rsidR="002C196E" w:rsidRPr="006F43EB">
        <w:rPr>
          <w:b w:val="0"/>
          <w:szCs w:val="22"/>
        </w:rPr>
        <w:t xml:space="preserve">eference </w:t>
      </w:r>
      <w:r w:rsidR="001074D9" w:rsidRPr="006F43EB">
        <w:rPr>
          <w:b w:val="0"/>
          <w:szCs w:val="22"/>
        </w:rPr>
        <w:t>rate reform refers to the transition away from referencing the London Interbank Offered Rate (LIBOR), and other interbank offered rates (IBORs), and moving toward alternative reference rates that are more observable or transaction based. In July 2017, the governing</w:t>
      </w:r>
      <w:r w:rsidR="001074D9" w:rsidRPr="003E36C8">
        <w:rPr>
          <w:b w:val="0"/>
          <w:bCs w:val="0"/>
          <w:szCs w:val="22"/>
        </w:rPr>
        <w:t xml:space="preserve"> body responsible for regulating LIBOR announced it </w:t>
      </w:r>
      <w:r w:rsidR="001074D9">
        <w:rPr>
          <w:b w:val="0"/>
          <w:bCs w:val="0"/>
          <w:szCs w:val="22"/>
        </w:rPr>
        <w:t>would</w:t>
      </w:r>
      <w:r w:rsidR="001074D9" w:rsidRPr="003E36C8">
        <w:rPr>
          <w:b w:val="0"/>
          <w:bCs w:val="0"/>
          <w:szCs w:val="22"/>
        </w:rPr>
        <w:t xml:space="preserve"> no longer require banks to continue </w:t>
      </w:r>
      <w:r w:rsidR="001074D9">
        <w:rPr>
          <w:b w:val="0"/>
          <w:bCs w:val="0"/>
          <w:szCs w:val="22"/>
        </w:rPr>
        <w:t>rate</w:t>
      </w:r>
      <w:r w:rsidR="001074D9" w:rsidRPr="003E36C8">
        <w:rPr>
          <w:b w:val="0"/>
          <w:bCs w:val="0"/>
          <w:szCs w:val="22"/>
        </w:rPr>
        <w:t xml:space="preserve"> submissions after 2021 – </w:t>
      </w:r>
      <w:r w:rsidR="001074D9">
        <w:rPr>
          <w:b w:val="0"/>
          <w:bCs w:val="0"/>
          <w:szCs w:val="22"/>
        </w:rPr>
        <w:t xml:space="preserve">thus, </w:t>
      </w:r>
      <w:r w:rsidR="001074D9" w:rsidRPr="003E36C8">
        <w:rPr>
          <w:b w:val="0"/>
          <w:bCs w:val="0"/>
          <w:szCs w:val="22"/>
        </w:rPr>
        <w:t xml:space="preserve">likely sunsetting both </w:t>
      </w:r>
      <w:r w:rsidR="001074D9">
        <w:rPr>
          <w:b w:val="0"/>
          <w:bCs w:val="0"/>
          <w:szCs w:val="22"/>
        </w:rPr>
        <w:t>the</w:t>
      </w:r>
      <w:r w:rsidR="001074D9" w:rsidRPr="003E36C8">
        <w:rPr>
          <w:b w:val="0"/>
          <w:bCs w:val="0"/>
          <w:szCs w:val="22"/>
        </w:rPr>
        <w:t xml:space="preserve"> use and publication</w:t>
      </w:r>
      <w:r w:rsidR="001074D9">
        <w:rPr>
          <w:b w:val="0"/>
          <w:bCs w:val="0"/>
          <w:szCs w:val="22"/>
        </w:rPr>
        <w:t xml:space="preserve"> of LIBOR</w:t>
      </w:r>
      <w:r w:rsidR="001074D9" w:rsidRPr="003E36C8">
        <w:rPr>
          <w:b w:val="0"/>
          <w:bCs w:val="0"/>
          <w:szCs w:val="22"/>
        </w:rPr>
        <w:t>.</w:t>
      </w:r>
      <w:r w:rsidR="001074D9">
        <w:rPr>
          <w:b w:val="0"/>
          <w:bCs w:val="0"/>
          <w:szCs w:val="22"/>
        </w:rPr>
        <w:t xml:space="preserve"> An important item to note is that while LIBOR is the primary interbank offering rate, other similar rates are potentially affected by reference rate reform. For simplicity, LIBOR will be the sole IBOR referenced throughout this agenda item.</w:t>
      </w:r>
    </w:p>
    <w:p w14:paraId="75466F5A" w14:textId="77777777" w:rsidR="001074D9" w:rsidRPr="003E36C8" w:rsidRDefault="001074D9" w:rsidP="001074D9">
      <w:pPr>
        <w:pStyle w:val="BodyText2"/>
        <w:rPr>
          <w:b w:val="0"/>
          <w:bCs w:val="0"/>
          <w:szCs w:val="22"/>
        </w:rPr>
      </w:pPr>
    </w:p>
    <w:p w14:paraId="6715CCDD" w14:textId="75AB448A" w:rsidR="00845D96" w:rsidRPr="00A040D4" w:rsidRDefault="001074D9" w:rsidP="00A92C59">
      <w:pPr>
        <w:pStyle w:val="BodyText2"/>
        <w:rPr>
          <w:b w:val="0"/>
          <w:bCs w:val="0"/>
          <w:szCs w:val="22"/>
        </w:rPr>
      </w:pPr>
      <w:r w:rsidRPr="003E36C8">
        <w:rPr>
          <w:b w:val="0"/>
          <w:bCs w:val="0"/>
          <w:szCs w:val="22"/>
        </w:rPr>
        <w:t xml:space="preserve">With a significant number of financial contracts referencing LIBOR, its discontinuance will require organizations to reevaluate and modify any contract </w:t>
      </w:r>
      <w:r>
        <w:rPr>
          <w:b w:val="0"/>
          <w:bCs w:val="0"/>
          <w:szCs w:val="22"/>
        </w:rPr>
        <w:t>which</w:t>
      </w:r>
      <w:r w:rsidRPr="003E36C8">
        <w:rPr>
          <w:b w:val="0"/>
          <w:bCs w:val="0"/>
          <w:szCs w:val="22"/>
        </w:rPr>
        <w:t xml:space="preserve"> does not contain a substitute reference rate. </w:t>
      </w:r>
      <w:r>
        <w:rPr>
          <w:b w:val="0"/>
          <w:bCs w:val="0"/>
          <w:szCs w:val="22"/>
        </w:rPr>
        <w:t>A</w:t>
      </w:r>
      <w:r w:rsidRPr="003E36C8">
        <w:rPr>
          <w:b w:val="0"/>
          <w:bCs w:val="0"/>
          <w:szCs w:val="22"/>
        </w:rPr>
        <w:t xml:space="preserve"> </w:t>
      </w:r>
      <w:r>
        <w:rPr>
          <w:b w:val="0"/>
          <w:bCs w:val="0"/>
          <w:szCs w:val="22"/>
        </w:rPr>
        <w:t>large</w:t>
      </w:r>
      <w:r w:rsidRPr="003E36C8">
        <w:rPr>
          <w:b w:val="0"/>
          <w:bCs w:val="0"/>
          <w:szCs w:val="22"/>
        </w:rPr>
        <w:t xml:space="preserve"> volume of contracts and other arrangements, such as debt agreements, lease agreements, and derivative instruments, will likely need to be modified to replace </w:t>
      </w:r>
      <w:r>
        <w:rPr>
          <w:b w:val="0"/>
          <w:bCs w:val="0"/>
          <w:szCs w:val="22"/>
        </w:rPr>
        <w:t xml:space="preserve">all </w:t>
      </w:r>
      <w:r w:rsidRPr="003E36C8">
        <w:rPr>
          <w:b w:val="0"/>
          <w:bCs w:val="0"/>
          <w:szCs w:val="22"/>
        </w:rPr>
        <w:t>references</w:t>
      </w:r>
      <w:r>
        <w:rPr>
          <w:b w:val="0"/>
          <w:bCs w:val="0"/>
          <w:szCs w:val="22"/>
        </w:rPr>
        <w:t xml:space="preserve"> of</w:t>
      </w:r>
      <w:r w:rsidRPr="003E36C8">
        <w:rPr>
          <w:b w:val="0"/>
          <w:bCs w:val="0"/>
          <w:szCs w:val="22"/>
        </w:rPr>
        <w:t xml:space="preserve"> </w:t>
      </w:r>
      <w:r>
        <w:rPr>
          <w:b w:val="0"/>
          <w:bCs w:val="0"/>
          <w:szCs w:val="22"/>
        </w:rPr>
        <w:t xml:space="preserve">interbank offering </w:t>
      </w:r>
      <w:r w:rsidRPr="003E36C8">
        <w:rPr>
          <w:b w:val="0"/>
          <w:bCs w:val="0"/>
          <w:szCs w:val="22"/>
        </w:rPr>
        <w:t>rates</w:t>
      </w:r>
      <w:r>
        <w:rPr>
          <w:b w:val="0"/>
          <w:bCs w:val="0"/>
          <w:szCs w:val="22"/>
        </w:rPr>
        <w:t xml:space="preserve"> that are expected to be discontinued</w:t>
      </w:r>
      <w:r w:rsidRPr="003E36C8">
        <w:rPr>
          <w:b w:val="0"/>
          <w:bCs w:val="0"/>
          <w:szCs w:val="22"/>
        </w:rPr>
        <w:t xml:space="preserve">. </w:t>
      </w:r>
      <w:r>
        <w:rPr>
          <w:b w:val="0"/>
          <w:bCs w:val="0"/>
          <w:szCs w:val="22"/>
        </w:rPr>
        <w:t xml:space="preserve">While operational, logistical, and legal challenges exist due to the sheer volume of contracts that will require modification, accounting challenges were presented as </w:t>
      </w:r>
      <w:r w:rsidRPr="003E36C8">
        <w:rPr>
          <w:b w:val="0"/>
          <w:bCs w:val="0"/>
          <w:szCs w:val="22"/>
        </w:rPr>
        <w:t>contract modifications typically require an evaluation to determine whether the modifications result in the establishment of</w:t>
      </w:r>
      <w:r>
        <w:rPr>
          <w:b w:val="0"/>
          <w:bCs w:val="0"/>
          <w:szCs w:val="22"/>
        </w:rPr>
        <w:t xml:space="preserve"> a</w:t>
      </w:r>
      <w:r w:rsidRPr="003E36C8">
        <w:rPr>
          <w:b w:val="0"/>
          <w:bCs w:val="0"/>
          <w:szCs w:val="22"/>
        </w:rPr>
        <w:t xml:space="preserve"> new contract or the continuation of </w:t>
      </w:r>
      <w:r>
        <w:rPr>
          <w:b w:val="0"/>
          <w:bCs w:val="0"/>
          <w:szCs w:val="22"/>
        </w:rPr>
        <w:t xml:space="preserve">an </w:t>
      </w:r>
      <w:r w:rsidRPr="003E36C8">
        <w:rPr>
          <w:b w:val="0"/>
          <w:bCs w:val="0"/>
          <w:szCs w:val="22"/>
        </w:rPr>
        <w:t>existing contract. As is often the case</w:t>
      </w:r>
      <w:r w:rsidRPr="00EE398C">
        <w:rPr>
          <w:b w:val="0"/>
          <w:bCs w:val="0"/>
          <w:szCs w:val="22"/>
        </w:rPr>
        <w:t>, a change to the critical terms (including reference rate modifications) typically requires remeasurement of the contract, or in the case of a hedging relationship, a dedesignation of the transaction.</w:t>
      </w:r>
      <w:r>
        <w:rPr>
          <w:b w:val="0"/>
          <w:bCs w:val="0"/>
          <w:szCs w:val="22"/>
        </w:rPr>
        <w:t xml:space="preserve"> </w:t>
      </w:r>
    </w:p>
    <w:p w14:paraId="7A0DCC76" w14:textId="77777777" w:rsidR="00F61C77" w:rsidRDefault="00F61C77" w:rsidP="00A92C59">
      <w:pPr>
        <w:pStyle w:val="BodyText2"/>
        <w:rPr>
          <w:b w:val="0"/>
          <w:szCs w:val="22"/>
        </w:rPr>
      </w:pPr>
    </w:p>
    <w:p w14:paraId="67E85578" w14:textId="1435BB76" w:rsidR="00EE398C" w:rsidRDefault="0020020C" w:rsidP="00A92C59">
      <w:pPr>
        <w:pStyle w:val="BodyText2"/>
        <w:rPr>
          <w:b w:val="0"/>
          <w:szCs w:val="22"/>
        </w:rPr>
      </w:pPr>
      <w:r>
        <w:rPr>
          <w:b w:val="0"/>
          <w:szCs w:val="22"/>
        </w:rPr>
        <w:t xml:space="preserve">To address ASU </w:t>
      </w:r>
      <w:r w:rsidR="005910AB">
        <w:rPr>
          <w:b w:val="0"/>
          <w:szCs w:val="22"/>
        </w:rPr>
        <w:t>2020-04</w:t>
      </w:r>
      <w:r w:rsidR="00EE398C">
        <w:rPr>
          <w:b w:val="0"/>
          <w:szCs w:val="22"/>
        </w:rPr>
        <w:t xml:space="preserve"> </w:t>
      </w:r>
      <w:r w:rsidR="008C68F7">
        <w:rPr>
          <w:b w:val="0"/>
          <w:szCs w:val="22"/>
        </w:rPr>
        <w:t xml:space="preserve">the </w:t>
      </w:r>
      <w:r w:rsidR="00EE398C">
        <w:rPr>
          <w:b w:val="0"/>
          <w:szCs w:val="22"/>
        </w:rPr>
        <w:t>Working Grou</w:t>
      </w:r>
      <w:r w:rsidR="008C68F7">
        <w:rPr>
          <w:b w:val="0"/>
          <w:szCs w:val="22"/>
        </w:rPr>
        <w:t xml:space="preserve">p </w:t>
      </w:r>
      <w:r w:rsidR="008C68F7" w:rsidRPr="00146482">
        <w:rPr>
          <w:b w:val="0"/>
          <w:i/>
          <w:szCs w:val="22"/>
        </w:rPr>
        <w:t>issued INT 20-01</w:t>
      </w:r>
      <w:r w:rsidR="00146482">
        <w:rPr>
          <w:b w:val="0"/>
          <w:i/>
          <w:iCs/>
          <w:szCs w:val="22"/>
        </w:rPr>
        <w:t>: Reference Rate Reform</w:t>
      </w:r>
      <w:r w:rsidR="008C68F7">
        <w:rPr>
          <w:b w:val="0"/>
          <w:szCs w:val="22"/>
        </w:rPr>
        <w:t xml:space="preserve">, and this interpretation was then </w:t>
      </w:r>
      <w:r w:rsidR="00AB3EAF">
        <w:rPr>
          <w:b w:val="0"/>
          <w:szCs w:val="22"/>
        </w:rPr>
        <w:t xml:space="preserve">revised to incorporate guidance from ASU 2021-01. This agenda item intends to </w:t>
      </w:r>
      <w:r w:rsidR="00706B08">
        <w:rPr>
          <w:b w:val="0"/>
          <w:szCs w:val="22"/>
        </w:rPr>
        <w:t xml:space="preserve">again </w:t>
      </w:r>
      <w:r w:rsidR="00062FB8">
        <w:rPr>
          <w:b w:val="0"/>
          <w:szCs w:val="22"/>
        </w:rPr>
        <w:t>revise</w:t>
      </w:r>
      <w:r w:rsidR="00706B08">
        <w:rPr>
          <w:b w:val="0"/>
          <w:szCs w:val="22"/>
        </w:rPr>
        <w:t xml:space="preserve"> INT 20-01 to include the revised sunset date of December 31, 2024.</w:t>
      </w:r>
    </w:p>
    <w:p w14:paraId="1544D682" w14:textId="77777777" w:rsidR="00EE398C" w:rsidRPr="00F61C77" w:rsidRDefault="00EE398C" w:rsidP="00A92C59">
      <w:pPr>
        <w:pStyle w:val="BodyText2"/>
        <w:rPr>
          <w:b w:val="0"/>
          <w:szCs w:val="22"/>
        </w:rPr>
      </w:pPr>
    </w:p>
    <w:p w14:paraId="6C6B67AF" w14:textId="77777777" w:rsidR="002A1316" w:rsidRPr="00016321" w:rsidRDefault="002A1316" w:rsidP="00B30CA0">
      <w:pPr>
        <w:pStyle w:val="BodyText2"/>
        <w:rPr>
          <w:bCs w:val="0"/>
          <w:szCs w:val="22"/>
        </w:rPr>
      </w:pPr>
      <w:r w:rsidRPr="00016321">
        <w:rPr>
          <w:bCs w:val="0"/>
          <w:szCs w:val="22"/>
        </w:rPr>
        <w:t>Existing Authoritative Literature:</w:t>
      </w:r>
    </w:p>
    <w:p w14:paraId="6F758E25" w14:textId="08DFE1BB" w:rsidR="004E2BB9" w:rsidRPr="00597393" w:rsidRDefault="00053FA8" w:rsidP="00B30CA0">
      <w:pPr>
        <w:pStyle w:val="BodyText2"/>
        <w:rPr>
          <w:b w:val="0"/>
          <w:bCs w:val="0"/>
          <w:szCs w:val="22"/>
        </w:rPr>
      </w:pPr>
      <w:r>
        <w:rPr>
          <w:b w:val="0"/>
          <w:bCs w:val="0"/>
          <w:szCs w:val="22"/>
        </w:rPr>
        <w:t>The Working Group adopted INT 20-01 to address ASU 2020-04, and further revised that interpretation to address ASU 20</w:t>
      </w:r>
      <w:r w:rsidR="00881723">
        <w:rPr>
          <w:b w:val="0"/>
          <w:bCs w:val="0"/>
          <w:szCs w:val="22"/>
        </w:rPr>
        <w:t xml:space="preserve">21-01. </w:t>
      </w:r>
      <w:r w:rsidR="003F1602" w:rsidRPr="00597393">
        <w:rPr>
          <w:b w:val="0"/>
          <w:bCs w:val="0"/>
          <w:szCs w:val="22"/>
        </w:rPr>
        <w:t xml:space="preserve">The modifications in ASU 2020-04 address hedge accounting and the allowance for a reporting entity to change the reference rate and other critical terms related to reference rate reform without having to dedesignate the hedging relationship. </w:t>
      </w:r>
      <w:r w:rsidR="006F43EB">
        <w:rPr>
          <w:b w:val="0"/>
          <w:bCs w:val="0"/>
          <w:szCs w:val="22"/>
        </w:rPr>
        <w:t>A</w:t>
      </w:r>
      <w:r w:rsidR="003F1602" w:rsidRPr="00597393">
        <w:rPr>
          <w:b w:val="0"/>
          <w:bCs w:val="0"/>
          <w:szCs w:val="22"/>
        </w:rPr>
        <w:t>lternative benchmark interest rates were previously addressed in agenda item 2018-46 – Benchmark Interest Rate</w:t>
      </w:r>
      <w:r w:rsidR="006F43EB">
        <w:rPr>
          <w:b w:val="0"/>
          <w:bCs w:val="0"/>
          <w:szCs w:val="22"/>
        </w:rPr>
        <w:t>.</w:t>
      </w:r>
    </w:p>
    <w:p w14:paraId="33D1E648" w14:textId="77777777" w:rsidR="007E53BE" w:rsidRDefault="007E53BE" w:rsidP="00B30CA0">
      <w:pPr>
        <w:pStyle w:val="BodyText2"/>
        <w:rPr>
          <w:b w:val="0"/>
          <w:bCs w:val="0"/>
          <w:szCs w:val="22"/>
        </w:rPr>
      </w:pPr>
    </w:p>
    <w:p w14:paraId="167C2436" w14:textId="70BDB841" w:rsidR="007E53BE" w:rsidRDefault="007E53BE" w:rsidP="007E53BE">
      <w:pPr>
        <w:pStyle w:val="BodyText2"/>
        <w:rPr>
          <w:b w:val="0"/>
          <w:i/>
          <w:iCs/>
          <w:szCs w:val="22"/>
        </w:rPr>
      </w:pPr>
      <w:r>
        <w:rPr>
          <w:b w:val="0"/>
          <w:szCs w:val="22"/>
        </w:rPr>
        <w:t xml:space="preserve">ASU 2021-01 </w:t>
      </w:r>
      <w:r w:rsidR="00FA50A6">
        <w:rPr>
          <w:b w:val="0"/>
          <w:szCs w:val="22"/>
        </w:rPr>
        <w:t>increased</w:t>
      </w:r>
      <w:r>
        <w:rPr>
          <w:b w:val="0"/>
          <w:szCs w:val="22"/>
        </w:rPr>
        <w:t xml:space="preserve"> the scope of the </w:t>
      </w:r>
      <w:r>
        <w:rPr>
          <w:b w:val="0"/>
          <w:bCs w:val="0"/>
        </w:rPr>
        <w:t xml:space="preserve">optional, expedient accounting guidance </w:t>
      </w:r>
      <w:r>
        <w:rPr>
          <w:b w:val="0"/>
          <w:szCs w:val="22"/>
        </w:rPr>
        <w:t>for derivative instruments in ASU 2020-04</w:t>
      </w:r>
      <w:r w:rsidR="00303FAE">
        <w:rPr>
          <w:b w:val="0"/>
          <w:szCs w:val="22"/>
        </w:rPr>
        <w:t xml:space="preserve"> which </w:t>
      </w:r>
      <w:r w:rsidR="005F2190">
        <w:rPr>
          <w:b w:val="0"/>
          <w:szCs w:val="22"/>
        </w:rPr>
        <w:t xml:space="preserve">would </w:t>
      </w:r>
      <w:r w:rsidR="00303FAE">
        <w:rPr>
          <w:b w:val="0"/>
          <w:szCs w:val="22"/>
        </w:rPr>
        <w:t xml:space="preserve">primarily affect </w:t>
      </w:r>
      <w:r w:rsidR="00303FAE" w:rsidRPr="00146482">
        <w:rPr>
          <w:b w:val="0"/>
          <w:i/>
          <w:iCs/>
          <w:szCs w:val="22"/>
        </w:rPr>
        <w:t>SSAP No. 86—Derivatives</w:t>
      </w:r>
      <w:r>
        <w:rPr>
          <w:b w:val="0"/>
          <w:szCs w:val="22"/>
        </w:rPr>
        <w:t>. While detailed in the original agenda item (Ref #2020-12), additional SSAP</w:t>
      </w:r>
      <w:r w:rsidR="00597393">
        <w:rPr>
          <w:b w:val="0"/>
          <w:szCs w:val="22"/>
        </w:rPr>
        <w:t>s</w:t>
      </w:r>
      <w:r>
        <w:rPr>
          <w:b w:val="0"/>
          <w:szCs w:val="22"/>
        </w:rPr>
        <w:t xml:space="preserve"> impacted by ASU 2020-04 were</w:t>
      </w:r>
      <w:r w:rsidRPr="005B78E2">
        <w:rPr>
          <w:b w:val="0"/>
          <w:szCs w:val="22"/>
        </w:rPr>
        <w:t xml:space="preserve"> </w:t>
      </w:r>
      <w:r w:rsidRPr="005B78E2">
        <w:rPr>
          <w:b w:val="0"/>
          <w:i/>
          <w:iCs/>
          <w:szCs w:val="22"/>
        </w:rPr>
        <w:t>SSAP No. 15—Debt and Holding Company Obligations</w:t>
      </w:r>
      <w:r>
        <w:rPr>
          <w:b w:val="0"/>
          <w:szCs w:val="22"/>
        </w:rPr>
        <w:t xml:space="preserve"> and</w:t>
      </w:r>
      <w:r w:rsidRPr="005B78E2">
        <w:rPr>
          <w:b w:val="0"/>
          <w:i/>
          <w:iCs/>
          <w:szCs w:val="22"/>
        </w:rPr>
        <w:t xml:space="preserve"> SSAP No. 22R—Leases</w:t>
      </w:r>
      <w:r>
        <w:rPr>
          <w:b w:val="0"/>
          <w:i/>
          <w:iCs/>
          <w:szCs w:val="22"/>
        </w:rPr>
        <w:t>.</w:t>
      </w:r>
    </w:p>
    <w:p w14:paraId="617BD3C3" w14:textId="77777777" w:rsidR="00597393" w:rsidRPr="00597393" w:rsidRDefault="00597393" w:rsidP="007E53BE">
      <w:pPr>
        <w:pStyle w:val="BodyText2"/>
        <w:rPr>
          <w:b w:val="0"/>
          <w:i/>
          <w:iCs/>
          <w:szCs w:val="22"/>
        </w:rPr>
      </w:pPr>
    </w:p>
    <w:p w14:paraId="0BDB1F1A" w14:textId="5EA0E9E0" w:rsidR="002A1316"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p>
    <w:p w14:paraId="4B859EEC" w14:textId="77777777" w:rsidR="00403BC6" w:rsidRDefault="00403BC6" w:rsidP="00B30CA0">
      <w:pPr>
        <w:pStyle w:val="BodyText2"/>
        <w:rPr>
          <w:szCs w:val="22"/>
        </w:rPr>
      </w:pPr>
    </w:p>
    <w:p w14:paraId="4F7C99C9" w14:textId="77777777" w:rsidR="00403BC6" w:rsidRPr="00916F2F" w:rsidRDefault="00403BC6" w:rsidP="00403BC6">
      <w:pPr>
        <w:pStyle w:val="BodyText2"/>
        <w:rPr>
          <w:b w:val="0"/>
          <w:bCs w:val="0"/>
          <w:szCs w:val="22"/>
        </w:rPr>
      </w:pPr>
      <w:r>
        <w:rPr>
          <w:b w:val="0"/>
          <w:bCs w:val="0"/>
          <w:szCs w:val="22"/>
        </w:rPr>
        <w:t xml:space="preserve">The Working Group has taken several actions related to reference rate reform; each are summarized below. </w:t>
      </w:r>
    </w:p>
    <w:p w14:paraId="7A248457" w14:textId="77777777" w:rsidR="00403BC6" w:rsidRDefault="00403BC6" w:rsidP="00403BC6">
      <w:pPr>
        <w:pStyle w:val="BodyText2"/>
        <w:rPr>
          <w:szCs w:val="22"/>
        </w:rPr>
      </w:pPr>
    </w:p>
    <w:p w14:paraId="65F5F304" w14:textId="77777777" w:rsidR="00403BC6" w:rsidRDefault="00403BC6" w:rsidP="00403BC6">
      <w:pPr>
        <w:pStyle w:val="BodyText2"/>
        <w:numPr>
          <w:ilvl w:val="0"/>
          <w:numId w:val="27"/>
        </w:numPr>
        <w:rPr>
          <w:b w:val="0"/>
          <w:szCs w:val="22"/>
        </w:rPr>
      </w:pPr>
      <w:r w:rsidRPr="00B7403B">
        <w:rPr>
          <w:b w:val="0"/>
          <w:szCs w:val="22"/>
        </w:rPr>
        <w:t xml:space="preserve">Agenda item </w:t>
      </w:r>
      <w:r w:rsidRPr="00D87BB5">
        <w:rPr>
          <w:b w:val="0"/>
          <w:szCs w:val="22"/>
        </w:rPr>
        <w:t>2018-46</w:t>
      </w:r>
      <w:r>
        <w:rPr>
          <w:b w:val="0"/>
          <w:szCs w:val="22"/>
        </w:rPr>
        <w:t xml:space="preserve"> – Benchmark Interest Rate</w:t>
      </w:r>
      <w:r w:rsidRPr="00B7403B">
        <w:rPr>
          <w:b w:val="0"/>
          <w:szCs w:val="22"/>
        </w:rPr>
        <w:t>, incorporated revisions</w:t>
      </w:r>
      <w:r>
        <w:rPr>
          <w:b w:val="0"/>
          <w:szCs w:val="22"/>
        </w:rPr>
        <w:t xml:space="preserve"> to SSAP No. 86, adding</w:t>
      </w:r>
      <w:r w:rsidRPr="00B7403B">
        <w:rPr>
          <w:b w:val="0"/>
          <w:szCs w:val="22"/>
        </w:rPr>
        <w:t xml:space="preserve"> the Securities Industry and Financial Markets (SIFMA) Municipal Swap Rate and the Secured Overnight Financing Rate (SOFR) Overnight Index Swap (OIS) Rate as </w:t>
      </w:r>
      <w:r>
        <w:rPr>
          <w:b w:val="0"/>
          <w:szCs w:val="22"/>
        </w:rPr>
        <w:t xml:space="preserve">acceptable </w:t>
      </w:r>
      <w:r w:rsidRPr="00B7403B">
        <w:rPr>
          <w:b w:val="0"/>
          <w:szCs w:val="22"/>
        </w:rPr>
        <w:t xml:space="preserve">benchmark interest rates for hedge accounting. </w:t>
      </w:r>
      <w:r>
        <w:rPr>
          <w:b w:val="0"/>
          <w:szCs w:val="22"/>
        </w:rPr>
        <w:t xml:space="preserve">Prior to this change, only LIBOR and the Fed Funds Effective Swap Rate (also referred to as the Overnight Index Swap Rate) were considered acceptable benchmark interest rates. </w:t>
      </w:r>
    </w:p>
    <w:p w14:paraId="2778D292" w14:textId="77777777" w:rsidR="00403BC6" w:rsidRDefault="00403BC6" w:rsidP="00403BC6">
      <w:pPr>
        <w:pStyle w:val="BodyText2"/>
        <w:rPr>
          <w:b w:val="0"/>
          <w:szCs w:val="22"/>
        </w:rPr>
      </w:pPr>
    </w:p>
    <w:p w14:paraId="6132F704" w14:textId="77777777" w:rsidR="00403BC6" w:rsidRDefault="00403BC6" w:rsidP="00403BC6">
      <w:pPr>
        <w:pStyle w:val="BodyText2"/>
        <w:numPr>
          <w:ilvl w:val="0"/>
          <w:numId w:val="27"/>
        </w:numPr>
        <w:rPr>
          <w:b w:val="0"/>
          <w:szCs w:val="22"/>
        </w:rPr>
      </w:pPr>
      <w:r>
        <w:rPr>
          <w:b w:val="0"/>
          <w:szCs w:val="22"/>
        </w:rPr>
        <w:t>Agenda item 2020-12 reviews ASU 2020-04, the foundation of which this agenda item and related ASU (2021-01) are based. Agenda item 2020-12 resulted in the Working Group adopting INT 20-01.</w:t>
      </w:r>
    </w:p>
    <w:p w14:paraId="7B3B3555" w14:textId="77777777" w:rsidR="00403BC6" w:rsidRDefault="00403BC6" w:rsidP="00403BC6">
      <w:pPr>
        <w:pStyle w:val="BodyText2"/>
        <w:ind w:left="360"/>
        <w:rPr>
          <w:b w:val="0"/>
          <w:szCs w:val="22"/>
        </w:rPr>
      </w:pPr>
    </w:p>
    <w:p w14:paraId="2979F8C3" w14:textId="0C6CA0E8" w:rsidR="00403BC6" w:rsidRDefault="00403BC6" w:rsidP="00403BC6">
      <w:pPr>
        <w:pStyle w:val="BodyText2"/>
        <w:numPr>
          <w:ilvl w:val="0"/>
          <w:numId w:val="27"/>
        </w:numPr>
        <w:rPr>
          <w:b w:val="0"/>
          <w:szCs w:val="22"/>
        </w:rPr>
      </w:pPr>
      <w:r w:rsidRPr="00092814">
        <w:rPr>
          <w:b w:val="0"/>
          <w:i/>
          <w:iCs/>
          <w:szCs w:val="22"/>
        </w:rPr>
        <w:t>INT 20-01: ASU 2020-04 - Reference Rate Reform</w:t>
      </w:r>
      <w:r>
        <w:rPr>
          <w:b w:val="0"/>
          <w:szCs w:val="22"/>
        </w:rPr>
        <w:t>, adopted by the Working Group in April 2020, broadly adopted ASU 2020-04 for statutory accounting stating that for statutory accounting:</w:t>
      </w:r>
    </w:p>
    <w:p w14:paraId="4749267C" w14:textId="77777777" w:rsidR="00403BC6" w:rsidRDefault="00403BC6" w:rsidP="00403BC6">
      <w:pPr>
        <w:pStyle w:val="BodyText2"/>
        <w:rPr>
          <w:b w:val="0"/>
          <w:szCs w:val="22"/>
        </w:rPr>
      </w:pPr>
    </w:p>
    <w:p w14:paraId="5C562E20" w14:textId="77777777" w:rsidR="00403BC6" w:rsidRPr="00313249" w:rsidRDefault="00403BC6" w:rsidP="00146482">
      <w:pPr>
        <w:pStyle w:val="BodyText2"/>
        <w:numPr>
          <w:ilvl w:val="1"/>
          <w:numId w:val="26"/>
        </w:numPr>
        <w:spacing w:after="120"/>
        <w:rPr>
          <w:b w:val="0"/>
          <w:bCs w:val="0"/>
          <w:szCs w:val="22"/>
        </w:rPr>
      </w:pPr>
      <w:r>
        <w:rPr>
          <w:b w:val="0"/>
          <w:bCs w:val="0"/>
          <w:szCs w:val="22"/>
        </w:rPr>
        <w:t xml:space="preserve">For all </w:t>
      </w:r>
      <w:r w:rsidRPr="00313249">
        <w:rPr>
          <w:b w:val="0"/>
          <w:bCs w:val="0"/>
          <w:szCs w:val="22"/>
        </w:rPr>
        <w:t xml:space="preserve">contracts within scope of ASU 2020-04, modifications due to reference rate reform </w:t>
      </w:r>
      <w:r>
        <w:rPr>
          <w:b w:val="0"/>
          <w:bCs w:val="0"/>
          <w:szCs w:val="22"/>
        </w:rPr>
        <w:t xml:space="preserve">are afforded an </w:t>
      </w:r>
      <w:r w:rsidRPr="00313249">
        <w:rPr>
          <w:b w:val="0"/>
          <w:bCs w:val="0"/>
          <w:szCs w:val="22"/>
        </w:rPr>
        <w:t>optional expedient to be accounted for as a continuation of the existing contract</w:t>
      </w:r>
      <w:r>
        <w:rPr>
          <w:b w:val="0"/>
          <w:bCs w:val="0"/>
          <w:szCs w:val="22"/>
        </w:rPr>
        <w:t>.</w:t>
      </w:r>
    </w:p>
    <w:p w14:paraId="71345B9C" w14:textId="77777777" w:rsidR="00403BC6" w:rsidRPr="00313249" w:rsidRDefault="00403BC6" w:rsidP="00146482">
      <w:pPr>
        <w:pStyle w:val="BodyText2"/>
        <w:numPr>
          <w:ilvl w:val="1"/>
          <w:numId w:val="26"/>
        </w:numPr>
        <w:spacing w:after="120"/>
        <w:rPr>
          <w:b w:val="0"/>
          <w:bCs w:val="0"/>
          <w:szCs w:val="22"/>
        </w:rPr>
      </w:pPr>
      <w:r>
        <w:rPr>
          <w:b w:val="0"/>
          <w:bCs w:val="0"/>
          <w:szCs w:val="22"/>
        </w:rPr>
        <w:t>D</w:t>
      </w:r>
      <w:r w:rsidRPr="00313249">
        <w:rPr>
          <w:b w:val="0"/>
          <w:bCs w:val="0"/>
          <w:szCs w:val="22"/>
        </w:rPr>
        <w:t xml:space="preserve">ebt and service agreement modifications, as a result of </w:t>
      </w:r>
      <w:r w:rsidRPr="00313249">
        <w:rPr>
          <w:b w:val="0"/>
          <w:bCs w:val="0"/>
          <w:iCs/>
          <w:szCs w:val="22"/>
        </w:rPr>
        <w:t>reference</w:t>
      </w:r>
      <w:r w:rsidRPr="00313249">
        <w:rPr>
          <w:b w:val="0"/>
          <w:bCs w:val="0"/>
          <w:szCs w:val="22"/>
        </w:rPr>
        <w:t xml:space="preserve"> rate reform, should not typically rise to the level of requiring a reversal and rebooking of the liability, as </w:t>
      </w:r>
      <w:r w:rsidRPr="00313249">
        <w:rPr>
          <w:b w:val="0"/>
          <w:bCs w:val="0"/>
          <w:i/>
          <w:iCs/>
          <w:szCs w:val="22"/>
        </w:rPr>
        <w:t>SSAP No. 15—Debt and Holding Company Obligations</w:t>
      </w:r>
      <w:r w:rsidRPr="00313249">
        <w:rPr>
          <w:b w:val="0"/>
          <w:bCs w:val="0"/>
          <w:szCs w:val="22"/>
        </w:rPr>
        <w:t xml:space="preserve"> states such liabilities should only be derecognized if extinguished</w:t>
      </w:r>
      <w:r>
        <w:rPr>
          <w:b w:val="0"/>
          <w:bCs w:val="0"/>
          <w:szCs w:val="22"/>
        </w:rPr>
        <w:t>.</w:t>
      </w:r>
    </w:p>
    <w:p w14:paraId="00AB75A6" w14:textId="77777777" w:rsidR="00403BC6" w:rsidRDefault="00403BC6" w:rsidP="00146482">
      <w:pPr>
        <w:pStyle w:val="BodyText2"/>
        <w:numPr>
          <w:ilvl w:val="1"/>
          <w:numId w:val="26"/>
        </w:numPr>
        <w:spacing w:after="120"/>
        <w:rPr>
          <w:b w:val="0"/>
          <w:bCs w:val="0"/>
          <w:szCs w:val="22"/>
        </w:rPr>
      </w:pPr>
      <w:r>
        <w:rPr>
          <w:b w:val="0"/>
          <w:bCs w:val="0"/>
          <w:szCs w:val="22"/>
        </w:rPr>
        <w:t>Le</w:t>
      </w:r>
      <w:r w:rsidRPr="00313249">
        <w:rPr>
          <w:b w:val="0"/>
          <w:bCs w:val="0"/>
          <w:szCs w:val="22"/>
        </w:rPr>
        <w:t xml:space="preserve">ase modifications, solely caused by reference rate reform and ones eligible for optional expedience, likely do not rise to the level of a modification requiring re-recognition as a new lease under </w:t>
      </w:r>
      <w:r>
        <w:rPr>
          <w:b w:val="0"/>
          <w:bCs w:val="0"/>
          <w:i/>
          <w:iCs/>
          <w:szCs w:val="22"/>
        </w:rPr>
        <w:t>SSAP No. 22R—Leases.</w:t>
      </w:r>
    </w:p>
    <w:p w14:paraId="4CCD0C17" w14:textId="77777777" w:rsidR="00403BC6" w:rsidRDefault="00403BC6" w:rsidP="00403BC6">
      <w:pPr>
        <w:pStyle w:val="BodyText2"/>
        <w:numPr>
          <w:ilvl w:val="1"/>
          <w:numId w:val="26"/>
        </w:numPr>
        <w:rPr>
          <w:b w:val="0"/>
          <w:bCs w:val="0"/>
          <w:szCs w:val="22"/>
        </w:rPr>
      </w:pPr>
      <w:r>
        <w:rPr>
          <w:b w:val="0"/>
          <w:bCs w:val="0"/>
          <w:szCs w:val="22"/>
        </w:rPr>
        <w:t>For d</w:t>
      </w:r>
      <w:r w:rsidRPr="00762935">
        <w:rPr>
          <w:b w:val="0"/>
          <w:bCs w:val="0"/>
          <w:szCs w:val="22"/>
        </w:rPr>
        <w:t>erivative transactions</w:t>
      </w:r>
      <w:r w:rsidRPr="0095529D">
        <w:rPr>
          <w:b w:val="0"/>
          <w:bCs w:val="0"/>
          <w:szCs w:val="22"/>
        </w:rPr>
        <w:t xml:space="preserve"> </w:t>
      </w:r>
      <w:r w:rsidRPr="00762935">
        <w:rPr>
          <w:b w:val="0"/>
          <w:bCs w:val="0"/>
          <w:szCs w:val="22"/>
        </w:rPr>
        <w:t>within scope of ASU 2020-04</w:t>
      </w:r>
      <w:r>
        <w:rPr>
          <w:b w:val="0"/>
          <w:bCs w:val="0"/>
          <w:szCs w:val="22"/>
        </w:rPr>
        <w:t>,</w:t>
      </w:r>
      <w:r w:rsidRPr="00C61C8E">
        <w:rPr>
          <w:b w:val="0"/>
          <w:bCs w:val="0"/>
          <w:szCs w:val="22"/>
        </w:rPr>
        <w:t xml:space="preserve"> a change to the critical terms of the hedging relationship</w:t>
      </w:r>
      <w:r>
        <w:rPr>
          <w:b w:val="0"/>
          <w:bCs w:val="0"/>
          <w:szCs w:val="22"/>
        </w:rPr>
        <w:t xml:space="preserve"> (due to reference rate reform),</w:t>
      </w:r>
      <w:r w:rsidRPr="0095529D">
        <w:rPr>
          <w:b w:val="0"/>
          <w:bCs w:val="0"/>
          <w:szCs w:val="22"/>
        </w:rPr>
        <w:t xml:space="preserve"> </w:t>
      </w:r>
      <w:r w:rsidRPr="00762935">
        <w:rPr>
          <w:b w:val="0"/>
          <w:bCs w:val="0"/>
          <w:szCs w:val="22"/>
        </w:rPr>
        <w:t xml:space="preserve">shall be afforded similar treatment in that </w:t>
      </w:r>
      <w:r>
        <w:rPr>
          <w:b w:val="0"/>
          <w:bCs w:val="0"/>
          <w:szCs w:val="22"/>
        </w:rPr>
        <w:t xml:space="preserve">the </w:t>
      </w:r>
      <w:r w:rsidRPr="00C61C8E">
        <w:rPr>
          <w:b w:val="0"/>
          <w:bCs w:val="0"/>
          <w:szCs w:val="22"/>
        </w:rPr>
        <w:t>hedging relationship</w:t>
      </w:r>
      <w:r>
        <w:rPr>
          <w:b w:val="0"/>
          <w:bCs w:val="0"/>
          <w:szCs w:val="22"/>
        </w:rPr>
        <w:t xml:space="preserve"> can </w:t>
      </w:r>
      <w:r w:rsidRPr="00C61C8E">
        <w:rPr>
          <w:b w:val="0"/>
          <w:bCs w:val="0"/>
          <w:szCs w:val="22"/>
        </w:rPr>
        <w:t>continue</w:t>
      </w:r>
      <w:r>
        <w:rPr>
          <w:b w:val="0"/>
          <w:bCs w:val="0"/>
          <w:szCs w:val="22"/>
        </w:rPr>
        <w:t xml:space="preserve"> the original</w:t>
      </w:r>
      <w:r w:rsidRPr="00C61C8E">
        <w:rPr>
          <w:b w:val="0"/>
          <w:bCs w:val="0"/>
          <w:szCs w:val="22"/>
        </w:rPr>
        <w:t xml:space="preserve"> hedge accounting rather than dedesignate the hedging relationship.</w:t>
      </w:r>
    </w:p>
    <w:p w14:paraId="71559D54" w14:textId="77777777" w:rsidR="00403BC6" w:rsidRPr="00762935" w:rsidRDefault="00403BC6" w:rsidP="00403BC6">
      <w:pPr>
        <w:pStyle w:val="BodyText2"/>
        <w:ind w:left="1440"/>
        <w:rPr>
          <w:b w:val="0"/>
          <w:bCs w:val="0"/>
          <w:szCs w:val="22"/>
        </w:rPr>
      </w:pPr>
    </w:p>
    <w:p w14:paraId="7C81960C" w14:textId="0114E688" w:rsidR="00403BC6" w:rsidRDefault="00403BC6" w:rsidP="00403BC6">
      <w:pPr>
        <w:pStyle w:val="BodyText2"/>
        <w:numPr>
          <w:ilvl w:val="0"/>
          <w:numId w:val="27"/>
        </w:numPr>
        <w:rPr>
          <w:b w:val="0"/>
          <w:bCs w:val="0"/>
          <w:szCs w:val="22"/>
        </w:rPr>
      </w:pPr>
      <w:r w:rsidRPr="00092814">
        <w:rPr>
          <w:b w:val="0"/>
          <w:bCs w:val="0"/>
          <w:i/>
          <w:iCs/>
          <w:szCs w:val="22"/>
        </w:rPr>
        <w:t>INT 20-09: Basis Swaps as a Result of the LIBOR Transition</w:t>
      </w:r>
      <w:r>
        <w:rPr>
          <w:b w:val="0"/>
          <w:bCs w:val="0"/>
          <w:szCs w:val="22"/>
        </w:rPr>
        <w:t>, adopted by the Working Group in July 2020, provided statutory accounting and reporting guidance for basis swaps issued by CCPs. This INT designated that basis swaps, issued by CCPs, in response to reference rate reform (i.e., the discounting transition), shall be classified as a derivative used for hedging. This categorization allowed for the basis swap derivatives to be admitted under SSAP No. 86. Additionally, the INT directed that basis swap derivatives shall not be reported as “effective” unless the instrument qualifies, with the required documentation, as highly effective under SSAP No. 86.</w:t>
      </w:r>
    </w:p>
    <w:p w14:paraId="2D53101A" w14:textId="77777777" w:rsidR="00B548B6" w:rsidRDefault="00B548B6" w:rsidP="00B548B6">
      <w:pPr>
        <w:pStyle w:val="BodyText2"/>
        <w:ind w:left="720"/>
        <w:rPr>
          <w:b w:val="0"/>
          <w:bCs w:val="0"/>
          <w:szCs w:val="22"/>
        </w:rPr>
      </w:pPr>
    </w:p>
    <w:p w14:paraId="5865ABCC" w14:textId="41BEC9F0" w:rsidR="00403BC6" w:rsidRPr="00E53B05" w:rsidRDefault="00634E39" w:rsidP="00B30CA0">
      <w:pPr>
        <w:pStyle w:val="BodyText2"/>
        <w:numPr>
          <w:ilvl w:val="0"/>
          <w:numId w:val="27"/>
        </w:numPr>
        <w:rPr>
          <w:b w:val="0"/>
          <w:bCs w:val="0"/>
          <w:szCs w:val="22"/>
        </w:rPr>
      </w:pPr>
      <w:r>
        <w:rPr>
          <w:b w:val="0"/>
          <w:bCs w:val="0"/>
          <w:szCs w:val="22"/>
        </w:rPr>
        <w:t>Agenda item 2021-09 further revised INT 20-01</w:t>
      </w:r>
      <w:r w:rsidR="00E53B05">
        <w:rPr>
          <w:b w:val="0"/>
          <w:bCs w:val="0"/>
          <w:szCs w:val="22"/>
        </w:rPr>
        <w:t xml:space="preserve"> and </w:t>
      </w:r>
      <w:r w:rsidR="00E53B05">
        <w:rPr>
          <w:b w:val="0"/>
          <w:szCs w:val="22"/>
        </w:rPr>
        <w:t xml:space="preserve">increased the scope of the </w:t>
      </w:r>
      <w:r w:rsidR="00E53B05">
        <w:rPr>
          <w:b w:val="0"/>
          <w:bCs w:val="0"/>
        </w:rPr>
        <w:t xml:space="preserve">optional, expedient accounting guidance </w:t>
      </w:r>
      <w:r w:rsidR="00E53B05">
        <w:rPr>
          <w:b w:val="0"/>
          <w:szCs w:val="22"/>
        </w:rPr>
        <w:t>for derivative instruments in ASU 2020-04</w:t>
      </w:r>
      <w:r w:rsidR="00A46BC1">
        <w:rPr>
          <w:b w:val="0"/>
          <w:szCs w:val="22"/>
        </w:rPr>
        <w:t>.</w:t>
      </w:r>
    </w:p>
    <w:p w14:paraId="7044CD15" w14:textId="77777777" w:rsidR="00A202AF" w:rsidRPr="00016321" w:rsidRDefault="00A202AF"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37EC1844" w:rsidR="00490996" w:rsidRPr="00E53B05" w:rsidRDefault="00490996" w:rsidP="00490996">
      <w:pPr>
        <w:pStyle w:val="Default"/>
        <w:rPr>
          <w:bCs/>
          <w:sz w:val="22"/>
          <w:szCs w:val="22"/>
        </w:rPr>
      </w:pPr>
      <w:r w:rsidRPr="00016321">
        <w:rPr>
          <w:b/>
          <w:sz w:val="22"/>
          <w:szCs w:val="22"/>
        </w:rPr>
        <w:t>Convergence with International Financial Reporting Standards (IFRS):</w:t>
      </w:r>
      <w:r w:rsidR="00E53B05">
        <w:rPr>
          <w:b/>
          <w:sz w:val="22"/>
          <w:szCs w:val="22"/>
        </w:rPr>
        <w:t xml:space="preserve"> </w:t>
      </w:r>
      <w:r w:rsidR="00E53B05">
        <w:rPr>
          <w:bCs/>
          <w:sz w:val="22"/>
          <w:szCs w:val="22"/>
        </w:rPr>
        <w:t>None</w:t>
      </w:r>
    </w:p>
    <w:p w14:paraId="45ED1F04" w14:textId="77777777" w:rsidR="006B37DD" w:rsidRPr="00016321" w:rsidRDefault="006B37DD" w:rsidP="00490996">
      <w:pPr>
        <w:pStyle w:val="BodyText2"/>
        <w:rPr>
          <w:b w:val="0"/>
          <w:bCs w:val="0"/>
          <w:szCs w:val="22"/>
        </w:rPr>
      </w:pPr>
    </w:p>
    <w:p w14:paraId="28891CC3" w14:textId="77777777" w:rsidR="001F1777" w:rsidRDefault="002A1316" w:rsidP="004E2BB9">
      <w:pPr>
        <w:pStyle w:val="BodyText2"/>
        <w:rPr>
          <w:szCs w:val="22"/>
        </w:rPr>
      </w:pPr>
      <w:r w:rsidRPr="00016321">
        <w:rPr>
          <w:szCs w:val="22"/>
        </w:rPr>
        <w:t>Staff Recommendation:</w:t>
      </w:r>
      <w:r w:rsidR="004128F1">
        <w:rPr>
          <w:szCs w:val="22"/>
        </w:rPr>
        <w:t xml:space="preserve"> </w:t>
      </w:r>
    </w:p>
    <w:p w14:paraId="1675B0C9" w14:textId="53FBA978" w:rsidR="00984FA6" w:rsidRPr="00051D6E" w:rsidRDefault="001F1777" w:rsidP="00B30CA0">
      <w:pPr>
        <w:pStyle w:val="BodyText2"/>
        <w:rPr>
          <w:szCs w:val="22"/>
        </w:rPr>
      </w:pPr>
      <w:r>
        <w:rPr>
          <w:szCs w:val="22"/>
        </w:rPr>
        <w:t>NAIC s</w:t>
      </w:r>
      <w:r w:rsidRPr="00016321">
        <w:rPr>
          <w:szCs w:val="22"/>
        </w:rPr>
        <w:t>taff recommend</w:t>
      </w:r>
      <w:r>
        <w:rPr>
          <w:szCs w:val="22"/>
        </w:rPr>
        <w:t>s</w:t>
      </w:r>
      <w:r w:rsidRPr="00016321">
        <w:rPr>
          <w:szCs w:val="22"/>
        </w:rPr>
        <w:t xml:space="preserve"> that the Working Group move this item to the active listing, </w:t>
      </w:r>
      <w:r w:rsidRPr="00510167">
        <w:rPr>
          <w:szCs w:val="22"/>
        </w:rPr>
        <w:t xml:space="preserve">categorized as </w:t>
      </w:r>
      <w:r w:rsidR="00DE79B6">
        <w:rPr>
          <w:szCs w:val="22"/>
        </w:rPr>
        <w:t>SAP clarification</w:t>
      </w:r>
      <w:r w:rsidRPr="00510167">
        <w:rPr>
          <w:szCs w:val="22"/>
        </w:rPr>
        <w:t xml:space="preserve"> and</w:t>
      </w:r>
      <w:r w:rsidRPr="00016321">
        <w:rPr>
          <w:szCs w:val="22"/>
        </w:rPr>
        <w:t xml:space="preserve"> expose</w:t>
      </w:r>
      <w:r>
        <w:rPr>
          <w:szCs w:val="22"/>
        </w:rPr>
        <w:t xml:space="preserve"> temporary (optional) expedient and exception </w:t>
      </w:r>
      <w:r w:rsidRPr="00C61C8E">
        <w:rPr>
          <w:szCs w:val="22"/>
        </w:rPr>
        <w:t xml:space="preserve">interpretative guidance, </w:t>
      </w:r>
      <w:r w:rsidR="00A17CAD">
        <w:rPr>
          <w:szCs w:val="22"/>
        </w:rPr>
        <w:t>to revise</w:t>
      </w:r>
      <w:r w:rsidR="0031757B">
        <w:rPr>
          <w:szCs w:val="22"/>
        </w:rPr>
        <w:t xml:space="preserve"> the </w:t>
      </w:r>
      <w:r>
        <w:rPr>
          <w:szCs w:val="22"/>
        </w:rPr>
        <w:t>expiration</w:t>
      </w:r>
      <w:r w:rsidRPr="00C61C8E">
        <w:rPr>
          <w:szCs w:val="22"/>
        </w:rPr>
        <w:t xml:space="preserve"> date of </w:t>
      </w:r>
      <w:r w:rsidR="00A17CAD">
        <w:rPr>
          <w:szCs w:val="22"/>
        </w:rPr>
        <w:t xml:space="preserve">the </w:t>
      </w:r>
      <w:r w:rsidR="0031757B">
        <w:rPr>
          <w:szCs w:val="22"/>
        </w:rPr>
        <w:t xml:space="preserve">guidance in </w:t>
      </w:r>
      <w:r w:rsidR="007A1565" w:rsidRPr="00092814">
        <w:rPr>
          <w:i/>
          <w:iCs/>
          <w:szCs w:val="22"/>
        </w:rPr>
        <w:t>INT 20-01: ASU 2020-04</w:t>
      </w:r>
      <w:r w:rsidR="00DE79B6">
        <w:rPr>
          <w:i/>
          <w:iCs/>
          <w:szCs w:val="22"/>
        </w:rPr>
        <w:t xml:space="preserve"> &amp; </w:t>
      </w:r>
      <w:r w:rsidR="00051D6E">
        <w:rPr>
          <w:i/>
          <w:iCs/>
          <w:szCs w:val="22"/>
        </w:rPr>
        <w:t>2021-01</w:t>
      </w:r>
      <w:r w:rsidR="007A1565" w:rsidRPr="00092814">
        <w:rPr>
          <w:i/>
          <w:iCs/>
          <w:szCs w:val="22"/>
        </w:rPr>
        <w:t xml:space="preserve"> - Reference Rate Reform</w:t>
      </w:r>
      <w:r w:rsidR="00051D6E">
        <w:rPr>
          <w:szCs w:val="22"/>
        </w:rPr>
        <w:t xml:space="preserve"> to be December 31, 2024.</w:t>
      </w:r>
    </w:p>
    <w:p w14:paraId="3079AAAC" w14:textId="6681769F" w:rsidR="00E60B70" w:rsidRPr="00187D81" w:rsidRDefault="00E60B70" w:rsidP="00E60B70">
      <w:pPr>
        <w:pStyle w:val="BodyText2"/>
        <w:rPr>
          <w:b w:val="0"/>
          <w:szCs w:val="22"/>
        </w:rPr>
      </w:pPr>
      <w:r w:rsidRPr="00187D81">
        <w:rPr>
          <w:b w:val="0"/>
          <w:szCs w:val="22"/>
        </w:rPr>
        <w:t xml:space="preserve">The proposed </w:t>
      </w:r>
      <w:r>
        <w:rPr>
          <w:b w:val="0"/>
          <w:szCs w:val="22"/>
        </w:rPr>
        <w:t xml:space="preserve">modifications to INT 20-01 </w:t>
      </w:r>
      <w:r w:rsidRPr="00187D81">
        <w:rPr>
          <w:b w:val="0"/>
          <w:szCs w:val="22"/>
        </w:rPr>
        <w:t xml:space="preserve">temporarily override </w:t>
      </w:r>
      <w:r w:rsidR="009C2670">
        <w:rPr>
          <w:b w:val="0"/>
          <w:szCs w:val="22"/>
        </w:rPr>
        <w:t xml:space="preserve">SSAP No. 15, SSAP No. 22R and </w:t>
      </w:r>
      <w:r>
        <w:rPr>
          <w:b w:val="0"/>
          <w:szCs w:val="22"/>
        </w:rPr>
        <w:t>SSAP No. 86 guidance</w:t>
      </w:r>
      <w:r w:rsidRPr="00187D81">
        <w:rPr>
          <w:b w:val="0"/>
          <w:szCs w:val="22"/>
        </w:rPr>
        <w:t>, therefore the policy statement in Appendix F requires 2/3</w:t>
      </w:r>
      <w:r w:rsidRPr="00187D81">
        <w:rPr>
          <w:b w:val="0"/>
          <w:szCs w:val="22"/>
          <w:vertAlign w:val="superscript"/>
        </w:rPr>
        <w:t>rd</w:t>
      </w:r>
      <w:r w:rsidRPr="00187D81">
        <w:rPr>
          <w:b w:val="0"/>
          <w:szCs w:val="22"/>
        </w:rPr>
        <w:t xml:space="preserve"> (two-thirds) of the Working Group members to be present and voting and a supermajority of the Working Group members present to vote in support of the interpretation before it can be finalized.</w:t>
      </w:r>
    </w:p>
    <w:p w14:paraId="6C87CABD" w14:textId="77777777" w:rsidR="00E60B70" w:rsidRPr="00016321" w:rsidRDefault="00E60B70" w:rsidP="00B30CA0">
      <w:pPr>
        <w:pStyle w:val="BodyText2"/>
        <w:rPr>
          <w:b w:val="0"/>
          <w:bCs w:val="0"/>
          <w:szCs w:val="22"/>
        </w:rPr>
      </w:pPr>
    </w:p>
    <w:p w14:paraId="53229BB2" w14:textId="5B0AFC10" w:rsidR="002A1316" w:rsidRPr="00016321" w:rsidRDefault="002A1316" w:rsidP="00C71C2C">
      <w:pPr>
        <w:pStyle w:val="BodyText2"/>
        <w:rPr>
          <w:b w:val="0"/>
          <w:szCs w:val="22"/>
        </w:rPr>
      </w:pPr>
      <w:r w:rsidRPr="00016321">
        <w:rPr>
          <w:szCs w:val="22"/>
        </w:rPr>
        <w:t>Staff Review Completed by:</w:t>
      </w:r>
      <w:r w:rsidR="00CA4E49">
        <w:rPr>
          <w:szCs w:val="22"/>
        </w:rPr>
        <w:t xml:space="preserve"> </w:t>
      </w:r>
      <w:r w:rsidR="001F1777">
        <w:rPr>
          <w:b w:val="0"/>
          <w:bCs w:val="0"/>
          <w:szCs w:val="22"/>
        </w:rPr>
        <w:t>Jake Stultz—February 2023</w:t>
      </w:r>
    </w:p>
    <w:p w14:paraId="71BBEFE0" w14:textId="77777777" w:rsidR="002A1316" w:rsidRDefault="002A1316" w:rsidP="00B30CA0">
      <w:pPr>
        <w:rPr>
          <w:sz w:val="22"/>
        </w:rPr>
      </w:pPr>
    </w:p>
    <w:p w14:paraId="567FC2E9" w14:textId="4A2DDC8F" w:rsidR="00D75039" w:rsidRDefault="00D75039" w:rsidP="00D75039">
      <w:pPr>
        <w:pStyle w:val="BodyText2"/>
        <w:rPr>
          <w:szCs w:val="22"/>
        </w:rPr>
      </w:pPr>
      <w:r w:rsidRPr="00016321">
        <w:rPr>
          <w:szCs w:val="22"/>
        </w:rPr>
        <w:t>S</w:t>
      </w:r>
      <w:r>
        <w:rPr>
          <w:szCs w:val="22"/>
        </w:rPr>
        <w:t>tatus</w:t>
      </w:r>
      <w:r w:rsidRPr="00016321">
        <w:rPr>
          <w:szCs w:val="22"/>
        </w:rPr>
        <w:t>:</w:t>
      </w:r>
    </w:p>
    <w:p w14:paraId="38F6585D" w14:textId="25942E5E" w:rsidR="00155001" w:rsidRDefault="00155001" w:rsidP="00155001">
      <w:pPr>
        <w:pStyle w:val="BodyText2"/>
        <w:rPr>
          <w:b w:val="0"/>
          <w:bCs w:val="0"/>
          <w:szCs w:val="22"/>
        </w:rPr>
      </w:pPr>
      <w:r w:rsidRPr="009042D4">
        <w:rPr>
          <w:b w:val="0"/>
          <w:bCs w:val="0"/>
          <w:szCs w:val="22"/>
        </w:rPr>
        <w:t xml:space="preserve">On March 22, 2023, the Statutory Accounting Principles (E) Working Group moved this agenda item to the active listing, categorized as a SAP clarification, </w:t>
      </w:r>
      <w:r>
        <w:rPr>
          <w:b w:val="0"/>
          <w:bCs w:val="0"/>
          <w:szCs w:val="22"/>
        </w:rPr>
        <w:t xml:space="preserve">and </w:t>
      </w:r>
      <w:r w:rsidR="00190C81" w:rsidRPr="00190C81">
        <w:rPr>
          <w:b w:val="0"/>
          <w:bCs w:val="0"/>
          <w:szCs w:val="22"/>
        </w:rPr>
        <w:t>expose</w:t>
      </w:r>
      <w:r w:rsidR="00190C81">
        <w:rPr>
          <w:b w:val="0"/>
          <w:bCs w:val="0"/>
          <w:szCs w:val="22"/>
        </w:rPr>
        <w:t>d</w:t>
      </w:r>
      <w:r w:rsidR="00190C81" w:rsidRPr="00190C81">
        <w:rPr>
          <w:b w:val="0"/>
          <w:bCs w:val="0"/>
          <w:szCs w:val="22"/>
        </w:rPr>
        <w:t xml:space="preserve"> temporary (optional) expedient and exception interpretative guidance, to revise the expiration date of the guidance </w:t>
      </w:r>
      <w:r w:rsidR="00190C81" w:rsidRPr="00A327BB">
        <w:rPr>
          <w:b w:val="0"/>
          <w:bCs w:val="0"/>
          <w:szCs w:val="22"/>
        </w:rPr>
        <w:t xml:space="preserve">in </w:t>
      </w:r>
      <w:r w:rsidR="00190C81" w:rsidRPr="00A327BB">
        <w:rPr>
          <w:b w:val="0"/>
          <w:i/>
          <w:szCs w:val="22"/>
        </w:rPr>
        <w:t xml:space="preserve">INT 20-01: </w:t>
      </w:r>
      <w:r w:rsidR="00A327BB" w:rsidRPr="00A327BB">
        <w:rPr>
          <w:b w:val="0"/>
          <w:i/>
          <w:szCs w:val="22"/>
        </w:rPr>
        <w:t xml:space="preserve">2020-04, 2021-01 &amp; 2022-06 </w:t>
      </w:r>
      <w:r w:rsidR="00190C81" w:rsidRPr="0006592A">
        <w:rPr>
          <w:b w:val="0"/>
          <w:bCs w:val="0"/>
          <w:i/>
          <w:iCs/>
          <w:szCs w:val="22"/>
        </w:rPr>
        <w:t>- Reference Rate Reform</w:t>
      </w:r>
      <w:r w:rsidR="00190C81" w:rsidRPr="00190C81">
        <w:rPr>
          <w:b w:val="0"/>
          <w:bCs w:val="0"/>
          <w:szCs w:val="22"/>
        </w:rPr>
        <w:t xml:space="preserve"> to be December 31, 2024</w:t>
      </w:r>
      <w:r w:rsidR="00D92963">
        <w:rPr>
          <w:b w:val="0"/>
          <w:bCs w:val="0"/>
          <w:szCs w:val="22"/>
        </w:rPr>
        <w:t>, as reflected in INT 20-01</w:t>
      </w:r>
      <w:r w:rsidR="00190C81" w:rsidRPr="00190C81">
        <w:rPr>
          <w:b w:val="0"/>
          <w:bCs w:val="0"/>
          <w:szCs w:val="22"/>
        </w:rPr>
        <w:t>.</w:t>
      </w:r>
    </w:p>
    <w:p w14:paraId="400005D3" w14:textId="77777777" w:rsidR="006B37DD" w:rsidRDefault="006B37DD" w:rsidP="00B30CA0">
      <w:pPr>
        <w:rPr>
          <w:sz w:val="22"/>
        </w:rPr>
      </w:pPr>
    </w:p>
    <w:p w14:paraId="5BEC363C" w14:textId="0DC3142E"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06592A">
        <w:rPr>
          <w:noProof/>
          <w:sz w:val="16"/>
          <w:szCs w:val="16"/>
        </w:rPr>
        <w:t>https://naiconline.sharepoint.com/teams/FRSStatutoryAccounting/National Meetings/A. National Meeting Materials/2023/3-22-23 - Spring/Exposures/23-05 - ASU 2022-06 - LIBOR.docx</w:t>
      </w:r>
      <w:r w:rsidRPr="000579B6">
        <w:rPr>
          <w:sz w:val="16"/>
          <w:szCs w:val="16"/>
        </w:rPr>
        <w:fldChar w:fldCharType="end"/>
      </w:r>
    </w:p>
    <w:p w14:paraId="0FE979AF" w14:textId="77777777" w:rsidR="00AA1DC0" w:rsidRPr="00DF407B" w:rsidRDefault="00AA1DC0" w:rsidP="000579B6">
      <w:pPr>
        <w:rPr>
          <w:sz w:val="22"/>
          <w:szCs w:val="22"/>
        </w:rPr>
      </w:pPr>
    </w:p>
    <w:sectPr w:rsidR="00AA1DC0" w:rsidRPr="00DF407B" w:rsidSect="00DF407B">
      <w:headerReference w:type="default"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B7630" w14:textId="77777777" w:rsidR="006E6452" w:rsidRDefault="006E6452">
      <w:r>
        <w:separator/>
      </w:r>
    </w:p>
  </w:endnote>
  <w:endnote w:type="continuationSeparator" w:id="0">
    <w:p w14:paraId="1943C67F" w14:textId="77777777" w:rsidR="006E6452" w:rsidRDefault="006E6452">
      <w:r>
        <w:continuationSeparator/>
      </w:r>
    </w:p>
  </w:endnote>
  <w:endnote w:type="continuationNotice" w:id="1">
    <w:p w14:paraId="44B21F21" w14:textId="77777777" w:rsidR="006E6452" w:rsidRDefault="006E64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938B" w14:textId="07589F96" w:rsidR="006D3A59" w:rsidRDefault="006D3A59" w:rsidP="00DF407B">
    <w:pPr>
      <w:pStyle w:val="Footer"/>
      <w:tabs>
        <w:tab w:val="clear" w:pos="4320"/>
        <w:tab w:val="center" w:pos="5040"/>
      </w:tabs>
      <w:rPr>
        <w:sz w:val="20"/>
      </w:rPr>
    </w:pPr>
    <w:r>
      <w:rPr>
        <w:sz w:val="20"/>
      </w:rPr>
      <w:t xml:space="preserve">© </w:t>
    </w:r>
    <w:r w:rsidR="005B478B">
      <w:rPr>
        <w:sz w:val="20"/>
      </w:rPr>
      <w:t>20</w:t>
    </w:r>
    <w:r w:rsidR="00CA4E49">
      <w:rPr>
        <w:sz w:val="20"/>
      </w:rPr>
      <w:t>2</w:t>
    </w:r>
    <w:r w:rsidR="00830174">
      <w:rPr>
        <w:sz w:val="20"/>
      </w:rPr>
      <w:t>3</w:t>
    </w:r>
    <w:r>
      <w:rPr>
        <w:sz w:val="20"/>
      </w:rPr>
      <w:t xml:space="preserve"> National Association of Insurance Commissioners</w:t>
    </w:r>
    <w:r w:rsidR="00DF407B">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0D23" w14:textId="15EC467B" w:rsidR="006D3A59" w:rsidRDefault="006D3A59" w:rsidP="006B37DD">
    <w:pPr>
      <w:pStyle w:val="Footer"/>
      <w:tabs>
        <w:tab w:val="clear" w:pos="4320"/>
        <w:tab w:val="center" w:pos="5040"/>
      </w:tabs>
      <w:rPr>
        <w:sz w:val="20"/>
      </w:rPr>
    </w:pPr>
    <w:r>
      <w:rPr>
        <w:sz w:val="20"/>
      </w:rPr>
      <w:t>© 201</w:t>
    </w:r>
    <w:r w:rsidR="002D70E6">
      <w:rPr>
        <w:sz w:val="20"/>
      </w:rPr>
      <w:t>9</w:t>
    </w:r>
    <w:r>
      <w:rPr>
        <w:sz w:val="20"/>
      </w:rPr>
      <w:t xml:space="preserve"> National Association of Insurance Commissioners</w:t>
    </w:r>
    <w:r w:rsidR="006B37DD">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5F4B1" w14:textId="77777777" w:rsidR="006E6452" w:rsidRDefault="006E6452">
      <w:r>
        <w:separator/>
      </w:r>
    </w:p>
  </w:footnote>
  <w:footnote w:type="continuationSeparator" w:id="0">
    <w:p w14:paraId="71B8C394" w14:textId="77777777" w:rsidR="006E6452" w:rsidRDefault="006E6452">
      <w:r>
        <w:continuationSeparator/>
      </w:r>
    </w:p>
  </w:footnote>
  <w:footnote w:type="continuationNotice" w:id="1">
    <w:p w14:paraId="5C764972" w14:textId="77777777" w:rsidR="006E6452" w:rsidRDefault="006E64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ED1A" w14:textId="57EE59DF" w:rsidR="006D3A59" w:rsidRPr="00F04F9A" w:rsidRDefault="006D3A59">
    <w:pPr>
      <w:pStyle w:val="Header"/>
      <w:jc w:val="right"/>
      <w:rPr>
        <w:bCs/>
        <w:sz w:val="20"/>
      </w:rPr>
    </w:pPr>
    <w:r w:rsidRPr="00F04F9A">
      <w:rPr>
        <w:bCs/>
        <w:sz w:val="20"/>
      </w:rPr>
      <w:t>Ref #20</w:t>
    </w:r>
    <w:r w:rsidR="008424D9">
      <w:rPr>
        <w:bCs/>
        <w:sz w:val="20"/>
      </w:rPr>
      <w:t>2</w:t>
    </w:r>
    <w:r w:rsidR="00E53B05">
      <w:rPr>
        <w:bCs/>
        <w:sz w:val="20"/>
      </w:rPr>
      <w:t>3</w:t>
    </w:r>
    <w:r w:rsidRPr="00F04F9A">
      <w:rPr>
        <w:bCs/>
        <w:sz w:val="20"/>
      </w:rPr>
      <w:t>-</w:t>
    </w:r>
    <w:r w:rsidR="00B36B75">
      <w:rPr>
        <w:bCs/>
        <w:sz w:val="20"/>
      </w:rPr>
      <w:t>05</w:t>
    </w:r>
  </w:p>
  <w:p w14:paraId="12DAC63B" w14:textId="77777777" w:rsidR="006D3A59" w:rsidRDefault="006D3A5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815E" w14:textId="77777777" w:rsidR="006D3A59" w:rsidRPr="00F04F9A" w:rsidRDefault="006D3A59" w:rsidP="00AE74CF">
    <w:pPr>
      <w:pStyle w:val="Header"/>
      <w:jc w:val="right"/>
      <w:rPr>
        <w:b/>
        <w:sz w:val="20"/>
      </w:rPr>
    </w:pPr>
    <w:r w:rsidRPr="00F04F9A">
      <w:rPr>
        <w:b/>
        <w:sz w:val="20"/>
      </w:rPr>
      <w:t>Attachment __</w:t>
    </w:r>
  </w:p>
  <w:p w14:paraId="6B24D022" w14:textId="403538C5" w:rsidR="006D3A59" w:rsidRPr="00F04F9A" w:rsidRDefault="006D3A59" w:rsidP="00AE74CF">
    <w:pPr>
      <w:pStyle w:val="Header"/>
      <w:jc w:val="right"/>
      <w:rPr>
        <w:bCs/>
        <w:sz w:val="20"/>
      </w:rPr>
    </w:pPr>
    <w:r w:rsidRPr="00F04F9A">
      <w:rPr>
        <w:bCs/>
        <w:sz w:val="20"/>
      </w:rPr>
      <w:t>Ref #201</w:t>
    </w:r>
    <w:r w:rsidR="002D70E6">
      <w:rPr>
        <w:bCs/>
        <w:sz w:val="20"/>
      </w:rPr>
      <w:t>9</w:t>
    </w:r>
    <w:r w:rsidRPr="00F04F9A">
      <w:rPr>
        <w:bCs/>
        <w:sz w:val="20"/>
      </w:rPr>
      <w:t>-</w:t>
    </w:r>
  </w:p>
  <w:p w14:paraId="7E519226" w14:textId="77777777" w:rsidR="006D3A59" w:rsidRDefault="006D3A59"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6"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8"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0"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54625D8"/>
    <w:multiLevelType w:val="hybridMultilevel"/>
    <w:tmpl w:val="F6CC9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18"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0"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3"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15:restartNumberingAfterBreak="0">
    <w:nsid w:val="7A6303D1"/>
    <w:multiLevelType w:val="hybridMultilevel"/>
    <w:tmpl w:val="55C6E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16cid:durableId="949124495">
    <w:abstractNumId w:val="11"/>
  </w:num>
  <w:num w:numId="2" w16cid:durableId="124473872">
    <w:abstractNumId w:val="21"/>
  </w:num>
  <w:num w:numId="3" w16cid:durableId="1736200778">
    <w:abstractNumId w:val="18"/>
  </w:num>
  <w:num w:numId="4" w16cid:durableId="1753817529">
    <w:abstractNumId w:val="13"/>
  </w:num>
  <w:num w:numId="5" w16cid:durableId="1117600130">
    <w:abstractNumId w:val="14"/>
  </w:num>
  <w:num w:numId="6" w16cid:durableId="696123471">
    <w:abstractNumId w:val="10"/>
  </w:num>
  <w:num w:numId="7" w16cid:durableId="2084600477">
    <w:abstractNumId w:val="7"/>
  </w:num>
  <w:num w:numId="8" w16cid:durableId="1195928133">
    <w:abstractNumId w:val="12"/>
  </w:num>
  <w:num w:numId="9" w16cid:durableId="1426073380">
    <w:abstractNumId w:val="17"/>
  </w:num>
  <w:num w:numId="10" w16cid:durableId="1901748065">
    <w:abstractNumId w:val="19"/>
  </w:num>
  <w:num w:numId="11" w16cid:durableId="1629050746">
    <w:abstractNumId w:val="3"/>
  </w:num>
  <w:num w:numId="12" w16cid:durableId="1453746734">
    <w:abstractNumId w:val="15"/>
  </w:num>
  <w:num w:numId="13" w16cid:durableId="1894609188">
    <w:abstractNumId w:val="20"/>
  </w:num>
  <w:num w:numId="14" w16cid:durableId="1117023081">
    <w:abstractNumId w:val="0"/>
  </w:num>
  <w:num w:numId="15" w16cid:durableId="289482149">
    <w:abstractNumId w:val="5"/>
  </w:num>
  <w:num w:numId="16" w16cid:durableId="900989026">
    <w:abstractNumId w:val="22"/>
  </w:num>
  <w:num w:numId="17" w16cid:durableId="1801680105">
    <w:abstractNumId w:val="25"/>
  </w:num>
  <w:num w:numId="18" w16cid:durableId="2071998960">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16cid:durableId="81491737">
    <w:abstractNumId w:val="9"/>
  </w:num>
  <w:num w:numId="20" w16cid:durableId="1211115873">
    <w:abstractNumId w:val="4"/>
  </w:num>
  <w:num w:numId="21" w16cid:durableId="1381897201">
    <w:abstractNumId w:val="1"/>
  </w:num>
  <w:num w:numId="22" w16cid:durableId="1266115158">
    <w:abstractNumId w:val="23"/>
  </w:num>
  <w:num w:numId="23" w16cid:durableId="34931900">
    <w:abstractNumId w:val="1"/>
  </w:num>
  <w:num w:numId="24" w16cid:durableId="353313877">
    <w:abstractNumId w:val="6"/>
  </w:num>
  <w:num w:numId="25" w16cid:durableId="366297002">
    <w:abstractNumId w:val="8"/>
  </w:num>
  <w:num w:numId="26" w16cid:durableId="121507783">
    <w:abstractNumId w:val="24"/>
  </w:num>
  <w:num w:numId="27" w16cid:durableId="20139895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6321"/>
    <w:rsid w:val="00034B2F"/>
    <w:rsid w:val="00037531"/>
    <w:rsid w:val="00051D6E"/>
    <w:rsid w:val="00053FA8"/>
    <w:rsid w:val="000579B6"/>
    <w:rsid w:val="00062300"/>
    <w:rsid w:val="00062FB8"/>
    <w:rsid w:val="0006592A"/>
    <w:rsid w:val="00091380"/>
    <w:rsid w:val="000967FA"/>
    <w:rsid w:val="000D6AE8"/>
    <w:rsid w:val="000E1131"/>
    <w:rsid w:val="000E16CA"/>
    <w:rsid w:val="001074D9"/>
    <w:rsid w:val="00123F2B"/>
    <w:rsid w:val="00133830"/>
    <w:rsid w:val="0013539B"/>
    <w:rsid w:val="00146482"/>
    <w:rsid w:val="00155001"/>
    <w:rsid w:val="00184144"/>
    <w:rsid w:val="00190C81"/>
    <w:rsid w:val="0019505A"/>
    <w:rsid w:val="001A2B4F"/>
    <w:rsid w:val="001B3138"/>
    <w:rsid w:val="001C7347"/>
    <w:rsid w:val="001F1777"/>
    <w:rsid w:val="001F3CF4"/>
    <w:rsid w:val="001F46EB"/>
    <w:rsid w:val="0020020C"/>
    <w:rsid w:val="00203FF7"/>
    <w:rsid w:val="002046F5"/>
    <w:rsid w:val="002059F5"/>
    <w:rsid w:val="00250242"/>
    <w:rsid w:val="00261273"/>
    <w:rsid w:val="00261B4D"/>
    <w:rsid w:val="002A1316"/>
    <w:rsid w:val="002A44FE"/>
    <w:rsid w:val="002A79BF"/>
    <w:rsid w:val="002C196E"/>
    <w:rsid w:val="002D70E6"/>
    <w:rsid w:val="002E3240"/>
    <w:rsid w:val="002F6FF9"/>
    <w:rsid w:val="00303FAE"/>
    <w:rsid w:val="00304CEC"/>
    <w:rsid w:val="003148E8"/>
    <w:rsid w:val="0031757B"/>
    <w:rsid w:val="00325660"/>
    <w:rsid w:val="003325E9"/>
    <w:rsid w:val="00333FC0"/>
    <w:rsid w:val="003415C3"/>
    <w:rsid w:val="00343C89"/>
    <w:rsid w:val="0034544B"/>
    <w:rsid w:val="0035609F"/>
    <w:rsid w:val="00356AF6"/>
    <w:rsid w:val="00357190"/>
    <w:rsid w:val="0036579E"/>
    <w:rsid w:val="00385FF0"/>
    <w:rsid w:val="0039600A"/>
    <w:rsid w:val="003A2D8D"/>
    <w:rsid w:val="003B12DE"/>
    <w:rsid w:val="003B2CEE"/>
    <w:rsid w:val="003F1602"/>
    <w:rsid w:val="0040093D"/>
    <w:rsid w:val="0040337C"/>
    <w:rsid w:val="00403BC6"/>
    <w:rsid w:val="004128F1"/>
    <w:rsid w:val="00434970"/>
    <w:rsid w:val="00435DAC"/>
    <w:rsid w:val="0044022E"/>
    <w:rsid w:val="00446244"/>
    <w:rsid w:val="004516AB"/>
    <w:rsid w:val="00452842"/>
    <w:rsid w:val="004829CD"/>
    <w:rsid w:val="0048680B"/>
    <w:rsid w:val="00490996"/>
    <w:rsid w:val="004953BB"/>
    <w:rsid w:val="0049733D"/>
    <w:rsid w:val="004A166E"/>
    <w:rsid w:val="004B51B6"/>
    <w:rsid w:val="004C74D1"/>
    <w:rsid w:val="004D4855"/>
    <w:rsid w:val="004E2BB9"/>
    <w:rsid w:val="004E3B7D"/>
    <w:rsid w:val="00500BFD"/>
    <w:rsid w:val="00553245"/>
    <w:rsid w:val="00562444"/>
    <w:rsid w:val="0057078A"/>
    <w:rsid w:val="00580CD9"/>
    <w:rsid w:val="005910AB"/>
    <w:rsid w:val="00597393"/>
    <w:rsid w:val="005A259E"/>
    <w:rsid w:val="005A4C7B"/>
    <w:rsid w:val="005B478B"/>
    <w:rsid w:val="005B5A99"/>
    <w:rsid w:val="005B5FC6"/>
    <w:rsid w:val="005D13D4"/>
    <w:rsid w:val="005E15E0"/>
    <w:rsid w:val="005E7957"/>
    <w:rsid w:val="005F2190"/>
    <w:rsid w:val="00602338"/>
    <w:rsid w:val="0062011B"/>
    <w:rsid w:val="00624E04"/>
    <w:rsid w:val="00626152"/>
    <w:rsid w:val="00626EC0"/>
    <w:rsid w:val="00630368"/>
    <w:rsid w:val="00634598"/>
    <w:rsid w:val="00634E39"/>
    <w:rsid w:val="00637C40"/>
    <w:rsid w:val="00654938"/>
    <w:rsid w:val="006746FD"/>
    <w:rsid w:val="00676A9F"/>
    <w:rsid w:val="00681983"/>
    <w:rsid w:val="00690138"/>
    <w:rsid w:val="006B37DD"/>
    <w:rsid w:val="006D3A59"/>
    <w:rsid w:val="006E6452"/>
    <w:rsid w:val="006E64C8"/>
    <w:rsid w:val="006F381F"/>
    <w:rsid w:val="006F43EB"/>
    <w:rsid w:val="006F723B"/>
    <w:rsid w:val="00706B08"/>
    <w:rsid w:val="00706B68"/>
    <w:rsid w:val="007137F0"/>
    <w:rsid w:val="00714020"/>
    <w:rsid w:val="00715743"/>
    <w:rsid w:val="0072525D"/>
    <w:rsid w:val="007306B9"/>
    <w:rsid w:val="00756AE3"/>
    <w:rsid w:val="007574AB"/>
    <w:rsid w:val="00761440"/>
    <w:rsid w:val="007646F6"/>
    <w:rsid w:val="00774EEB"/>
    <w:rsid w:val="007767B8"/>
    <w:rsid w:val="007774AA"/>
    <w:rsid w:val="00794B81"/>
    <w:rsid w:val="00795898"/>
    <w:rsid w:val="007A1565"/>
    <w:rsid w:val="007B4554"/>
    <w:rsid w:val="007E53BE"/>
    <w:rsid w:val="007F1389"/>
    <w:rsid w:val="007F344C"/>
    <w:rsid w:val="00806FC1"/>
    <w:rsid w:val="00830174"/>
    <w:rsid w:val="008424D9"/>
    <w:rsid w:val="00845D96"/>
    <w:rsid w:val="008758B4"/>
    <w:rsid w:val="00881723"/>
    <w:rsid w:val="008869A6"/>
    <w:rsid w:val="008C3A60"/>
    <w:rsid w:val="008C3E57"/>
    <w:rsid w:val="008C59AA"/>
    <w:rsid w:val="008C68F7"/>
    <w:rsid w:val="0092196B"/>
    <w:rsid w:val="009249B4"/>
    <w:rsid w:val="00945E4B"/>
    <w:rsid w:val="00957780"/>
    <w:rsid w:val="00972A11"/>
    <w:rsid w:val="00980638"/>
    <w:rsid w:val="00984FA6"/>
    <w:rsid w:val="0098632A"/>
    <w:rsid w:val="009B20EB"/>
    <w:rsid w:val="009C2670"/>
    <w:rsid w:val="009C702B"/>
    <w:rsid w:val="009F0CE8"/>
    <w:rsid w:val="00A040D4"/>
    <w:rsid w:val="00A11581"/>
    <w:rsid w:val="00A17CAD"/>
    <w:rsid w:val="00A202AF"/>
    <w:rsid w:val="00A203F9"/>
    <w:rsid w:val="00A327BB"/>
    <w:rsid w:val="00A407D8"/>
    <w:rsid w:val="00A46BC1"/>
    <w:rsid w:val="00A541A3"/>
    <w:rsid w:val="00A82C39"/>
    <w:rsid w:val="00A833CF"/>
    <w:rsid w:val="00A92C59"/>
    <w:rsid w:val="00AA1DC0"/>
    <w:rsid w:val="00AA6691"/>
    <w:rsid w:val="00AB3EAF"/>
    <w:rsid w:val="00AC14AF"/>
    <w:rsid w:val="00AC6B73"/>
    <w:rsid w:val="00AE6149"/>
    <w:rsid w:val="00AE74CF"/>
    <w:rsid w:val="00B0756A"/>
    <w:rsid w:val="00B10C19"/>
    <w:rsid w:val="00B30CA0"/>
    <w:rsid w:val="00B36B75"/>
    <w:rsid w:val="00B548B6"/>
    <w:rsid w:val="00B90723"/>
    <w:rsid w:val="00BB5939"/>
    <w:rsid w:val="00BC5548"/>
    <w:rsid w:val="00BD4D62"/>
    <w:rsid w:val="00BE2D0E"/>
    <w:rsid w:val="00BE37B1"/>
    <w:rsid w:val="00C04FA0"/>
    <w:rsid w:val="00C051DB"/>
    <w:rsid w:val="00C26B71"/>
    <w:rsid w:val="00C45079"/>
    <w:rsid w:val="00C610D1"/>
    <w:rsid w:val="00C6544D"/>
    <w:rsid w:val="00C71C2C"/>
    <w:rsid w:val="00C9066D"/>
    <w:rsid w:val="00CA39BF"/>
    <w:rsid w:val="00CA4E49"/>
    <w:rsid w:val="00CB7CFA"/>
    <w:rsid w:val="00CC53AA"/>
    <w:rsid w:val="00CE3B76"/>
    <w:rsid w:val="00CF3750"/>
    <w:rsid w:val="00D21513"/>
    <w:rsid w:val="00D463B6"/>
    <w:rsid w:val="00D506C4"/>
    <w:rsid w:val="00D75039"/>
    <w:rsid w:val="00D83CB1"/>
    <w:rsid w:val="00D924B0"/>
    <w:rsid w:val="00D92963"/>
    <w:rsid w:val="00DA1C46"/>
    <w:rsid w:val="00DC071A"/>
    <w:rsid w:val="00DE79B6"/>
    <w:rsid w:val="00DF407B"/>
    <w:rsid w:val="00E01062"/>
    <w:rsid w:val="00E077F0"/>
    <w:rsid w:val="00E136A0"/>
    <w:rsid w:val="00E2462E"/>
    <w:rsid w:val="00E30ACC"/>
    <w:rsid w:val="00E53B05"/>
    <w:rsid w:val="00E60B70"/>
    <w:rsid w:val="00E90A65"/>
    <w:rsid w:val="00E96FDA"/>
    <w:rsid w:val="00EA202D"/>
    <w:rsid w:val="00EA2736"/>
    <w:rsid w:val="00EC15C1"/>
    <w:rsid w:val="00EC3D40"/>
    <w:rsid w:val="00EC61F1"/>
    <w:rsid w:val="00EE398C"/>
    <w:rsid w:val="00EF720B"/>
    <w:rsid w:val="00F04F9A"/>
    <w:rsid w:val="00F05F13"/>
    <w:rsid w:val="00F179AD"/>
    <w:rsid w:val="00F36D97"/>
    <w:rsid w:val="00F44AAE"/>
    <w:rsid w:val="00F45D51"/>
    <w:rsid w:val="00F468BB"/>
    <w:rsid w:val="00F61C77"/>
    <w:rsid w:val="00F723F1"/>
    <w:rsid w:val="00F858B9"/>
    <w:rsid w:val="00F91ACD"/>
    <w:rsid w:val="00FA50A6"/>
    <w:rsid w:val="00FE7094"/>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A474C"/>
  <w15:docId w15:val="{5430797E-6AF6-4684-A8F3-F153BE8E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Revision">
    <w:name w:val="Revision"/>
    <w:hidden/>
    <w:uiPriority w:val="99"/>
    <w:semiHidden/>
    <w:rsid w:val="00A407D8"/>
    <w:rPr>
      <w:sz w:val="24"/>
      <w:szCs w:val="24"/>
    </w:rPr>
  </w:style>
  <w:style w:type="character" w:styleId="CommentReference">
    <w:name w:val="annotation reference"/>
    <w:basedOn w:val="DefaultParagraphFont"/>
    <w:semiHidden/>
    <w:unhideWhenUsed/>
    <w:rsid w:val="00A407D8"/>
    <w:rPr>
      <w:sz w:val="16"/>
      <w:szCs w:val="16"/>
    </w:rPr>
  </w:style>
  <w:style w:type="paragraph" w:styleId="CommentText">
    <w:name w:val="annotation text"/>
    <w:basedOn w:val="Normal"/>
    <w:link w:val="CommentTextChar"/>
    <w:unhideWhenUsed/>
    <w:rsid w:val="00A407D8"/>
    <w:rPr>
      <w:sz w:val="20"/>
      <w:szCs w:val="20"/>
    </w:rPr>
  </w:style>
  <w:style w:type="character" w:customStyle="1" w:styleId="CommentTextChar">
    <w:name w:val="Comment Text Char"/>
    <w:basedOn w:val="DefaultParagraphFont"/>
    <w:link w:val="CommentText"/>
    <w:rsid w:val="00A407D8"/>
  </w:style>
  <w:style w:type="paragraph" w:styleId="CommentSubject">
    <w:name w:val="annotation subject"/>
    <w:basedOn w:val="CommentText"/>
    <w:next w:val="CommentText"/>
    <w:link w:val="CommentSubjectChar"/>
    <w:semiHidden/>
    <w:unhideWhenUsed/>
    <w:rsid w:val="00A407D8"/>
    <w:rPr>
      <w:b/>
      <w:bCs/>
    </w:rPr>
  </w:style>
  <w:style w:type="character" w:customStyle="1" w:styleId="CommentSubjectChar">
    <w:name w:val="Comment Subject Char"/>
    <w:basedOn w:val="CommentTextChar"/>
    <w:link w:val="CommentSubject"/>
    <w:semiHidden/>
    <w:rsid w:val="00A407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bd46520-c392-41b5-9f68-fe7486eefad7">
      <Terms xmlns="http://schemas.microsoft.com/office/infopath/2007/PartnerControls"/>
    </lcf76f155ced4ddcb4097134ff3c332f>
    <TaxCatchAll xmlns="3c9e15a3-223f-4584-afb1-1dbe0b3878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5" ma:contentTypeDescription="Create a new document." ma:contentTypeScope="" ma:versionID="56a827bd2b5cb84d25b1a7bd685f03bd">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d6dad19478cb1e330b4fa60b93b3bd8d"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0C1648-9339-4652-A793-1DC3C2B430DC}">
  <ds:schemaRefs>
    <ds:schemaRef ds:uri="http://schemas.openxmlformats.org/officeDocument/2006/bibliography"/>
  </ds:schemaRefs>
</ds:datastoreItem>
</file>

<file path=customXml/itemProps2.xml><?xml version="1.0" encoding="utf-8"?>
<ds:datastoreItem xmlns:ds="http://schemas.openxmlformats.org/officeDocument/2006/customXml" ds:itemID="{F4F32BA0-0A36-412D-9D37-8A12DC956502}">
  <ds:schemaRefs>
    <ds:schemaRef ds:uri="http://schemas.microsoft.com/office/2006/metadata/properties"/>
    <ds:schemaRef ds:uri="http://schemas.microsoft.com/office/infopath/2007/PartnerControls"/>
    <ds:schemaRef ds:uri="dbd46520-c392-41b5-9f68-fe7486eefad7"/>
    <ds:schemaRef ds:uri="3c9e15a3-223f-4584-afb1-1dbe0b3878fa"/>
  </ds:schemaRefs>
</ds:datastoreItem>
</file>

<file path=customXml/itemProps3.xml><?xml version="1.0" encoding="utf-8"?>
<ds:datastoreItem xmlns:ds="http://schemas.openxmlformats.org/officeDocument/2006/customXml" ds:itemID="{5ED219B7-B912-49B5-A628-C77300BD8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2116DE-A9E3-4368-85A4-B7B44E8B48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1248</Words>
  <Characters>7115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Marcotte, Robin</cp:lastModifiedBy>
  <cp:revision>69</cp:revision>
  <cp:lastPrinted>2011-03-02T00:07:00Z</cp:lastPrinted>
  <dcterms:created xsi:type="dcterms:W3CDTF">2019-08-13T17:50:00Z</dcterms:created>
  <dcterms:modified xsi:type="dcterms:W3CDTF">2023-03-29T18:48:00Z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ies>
</file>