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DAA" w14:textId="0F6D42A8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30EC3404" w:rsidR="002A1316" w:rsidRPr="008A3EB0" w:rsidRDefault="002A1316" w:rsidP="00F500A1">
      <w:pPr>
        <w:pStyle w:val="Heading2"/>
        <w:rPr>
          <w:b/>
          <w:i/>
          <w:sz w:val="22"/>
          <w:szCs w:val="22"/>
          <w:highlight w:val="yellow"/>
        </w:rPr>
      </w:pPr>
      <w:r w:rsidRPr="00016321">
        <w:rPr>
          <w:b/>
          <w:sz w:val="22"/>
          <w:szCs w:val="22"/>
        </w:rPr>
        <w:t>Issue</w:t>
      </w:r>
      <w:r w:rsidRPr="00476C23">
        <w:rPr>
          <w:b/>
          <w:sz w:val="22"/>
          <w:szCs w:val="22"/>
        </w:rPr>
        <w:t>:</w:t>
      </w:r>
      <w:r w:rsidR="00EC61F1" w:rsidRPr="00476C23">
        <w:rPr>
          <w:b/>
          <w:sz w:val="22"/>
          <w:szCs w:val="22"/>
        </w:rPr>
        <w:t xml:space="preserve"> </w:t>
      </w:r>
      <w:r w:rsidR="005B1DE0" w:rsidRPr="00DC0270">
        <w:rPr>
          <w:b/>
          <w:iCs/>
          <w:sz w:val="22"/>
          <w:szCs w:val="22"/>
        </w:rPr>
        <w:t>ASU 20</w:t>
      </w:r>
      <w:r w:rsidR="00B532B7" w:rsidRPr="00DC0270">
        <w:rPr>
          <w:b/>
          <w:iCs/>
          <w:sz w:val="22"/>
          <w:szCs w:val="22"/>
        </w:rPr>
        <w:t>19</w:t>
      </w:r>
      <w:r w:rsidR="005B1DE0" w:rsidRPr="00DC0270">
        <w:rPr>
          <w:b/>
          <w:iCs/>
          <w:sz w:val="22"/>
          <w:szCs w:val="22"/>
        </w:rPr>
        <w:t>-0</w:t>
      </w:r>
      <w:r w:rsidR="00B532B7" w:rsidRPr="00DC0270">
        <w:rPr>
          <w:b/>
          <w:iCs/>
          <w:sz w:val="22"/>
          <w:szCs w:val="22"/>
        </w:rPr>
        <w:t>7</w:t>
      </w:r>
      <w:r w:rsidR="00DC0270">
        <w:rPr>
          <w:b/>
          <w:iCs/>
          <w:sz w:val="22"/>
          <w:szCs w:val="22"/>
        </w:rPr>
        <w:t xml:space="preserve">, </w:t>
      </w:r>
      <w:r w:rsidR="00F258D3" w:rsidRPr="00DC0270">
        <w:rPr>
          <w:b/>
          <w:iCs/>
          <w:sz w:val="22"/>
          <w:szCs w:val="22"/>
        </w:rPr>
        <w:t>Codification Updates to SEC Sections</w:t>
      </w:r>
    </w:p>
    <w:p w14:paraId="7D50C110" w14:textId="77777777" w:rsidR="00B30CA0" w:rsidRPr="00F258D3" w:rsidRDefault="00B30CA0" w:rsidP="00B30CA0">
      <w:pPr>
        <w:rPr>
          <w:sz w:val="22"/>
          <w:szCs w:val="22"/>
        </w:rPr>
      </w:pPr>
    </w:p>
    <w:p w14:paraId="1E0B900E" w14:textId="77777777" w:rsidR="002A1316" w:rsidRPr="00F258D3" w:rsidRDefault="002A1316" w:rsidP="00B30CA0">
      <w:pPr>
        <w:jc w:val="both"/>
        <w:rPr>
          <w:b/>
          <w:sz w:val="22"/>
          <w:szCs w:val="22"/>
        </w:rPr>
      </w:pPr>
      <w:r w:rsidRPr="00F258D3">
        <w:rPr>
          <w:b/>
          <w:sz w:val="22"/>
          <w:szCs w:val="22"/>
        </w:rPr>
        <w:t>Check (applicable entity):</w:t>
      </w:r>
    </w:p>
    <w:p w14:paraId="3CA22BB3" w14:textId="77777777" w:rsidR="006B37DD" w:rsidRPr="00F258D3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F258D3">
        <w:rPr>
          <w:sz w:val="22"/>
          <w:szCs w:val="22"/>
        </w:rPr>
        <w:tab/>
        <w:t>P/C</w:t>
      </w:r>
      <w:r w:rsidRPr="00F258D3">
        <w:rPr>
          <w:sz w:val="22"/>
          <w:szCs w:val="22"/>
        </w:rPr>
        <w:tab/>
        <w:t>Life</w:t>
      </w:r>
      <w:r w:rsidRPr="00F258D3">
        <w:rPr>
          <w:sz w:val="22"/>
          <w:szCs w:val="22"/>
        </w:rPr>
        <w:tab/>
        <w:t>Health</w:t>
      </w:r>
    </w:p>
    <w:p w14:paraId="347337DD" w14:textId="68EE60B9" w:rsidR="002A1316" w:rsidRPr="00F258D3" w:rsidRDefault="002A1316" w:rsidP="00B30CA0">
      <w:pPr>
        <w:ind w:firstLine="720"/>
        <w:jc w:val="both"/>
        <w:rPr>
          <w:sz w:val="22"/>
          <w:szCs w:val="22"/>
        </w:rPr>
      </w:pPr>
      <w:r w:rsidRPr="00F258D3">
        <w:rPr>
          <w:sz w:val="22"/>
          <w:szCs w:val="22"/>
        </w:rPr>
        <w:t xml:space="preserve">Modification of </w:t>
      </w:r>
      <w:r w:rsidR="00DF407B" w:rsidRPr="00F258D3">
        <w:rPr>
          <w:sz w:val="22"/>
          <w:szCs w:val="22"/>
        </w:rPr>
        <w:t>E</w:t>
      </w:r>
      <w:r w:rsidRPr="00F258D3">
        <w:rPr>
          <w:sz w:val="22"/>
          <w:szCs w:val="22"/>
        </w:rPr>
        <w:t>xisting SSAP</w:t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bookmarkEnd w:id="0"/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</w:p>
    <w:p w14:paraId="4332D7DA" w14:textId="02284300" w:rsidR="002A1316" w:rsidRPr="00F258D3" w:rsidRDefault="002A1316" w:rsidP="00B30CA0">
      <w:pPr>
        <w:ind w:firstLine="720"/>
        <w:jc w:val="both"/>
        <w:rPr>
          <w:sz w:val="22"/>
          <w:szCs w:val="22"/>
        </w:rPr>
      </w:pPr>
      <w:r w:rsidRPr="00F258D3">
        <w:rPr>
          <w:sz w:val="22"/>
          <w:szCs w:val="22"/>
        </w:rPr>
        <w:t>New Issue or SSAP</w:t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</w:p>
    <w:p w14:paraId="108F9360" w14:textId="5D9EFA97" w:rsidR="0044022E" w:rsidRPr="00F258D3" w:rsidRDefault="0044022E" w:rsidP="0044022E">
      <w:pPr>
        <w:ind w:firstLine="720"/>
        <w:jc w:val="both"/>
        <w:rPr>
          <w:sz w:val="22"/>
          <w:szCs w:val="22"/>
        </w:rPr>
      </w:pPr>
      <w:r w:rsidRPr="00F258D3">
        <w:rPr>
          <w:sz w:val="22"/>
          <w:szCs w:val="22"/>
        </w:rPr>
        <w:t>Interpretation</w:t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tab/>
      </w:r>
      <w:r w:rsidRPr="00F258D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58D3">
        <w:rPr>
          <w:sz w:val="22"/>
          <w:szCs w:val="22"/>
        </w:rPr>
        <w:instrText xml:space="preserve"> FORMCHECKBOX </w:instrText>
      </w:r>
      <w:r w:rsidR="00FE7B48">
        <w:rPr>
          <w:sz w:val="22"/>
          <w:szCs w:val="22"/>
        </w:rPr>
      </w:r>
      <w:r w:rsidR="00FE7B48">
        <w:rPr>
          <w:sz w:val="22"/>
          <w:szCs w:val="22"/>
        </w:rPr>
        <w:fldChar w:fldCharType="separate"/>
      </w:r>
      <w:r w:rsidRPr="00F258D3">
        <w:rPr>
          <w:sz w:val="22"/>
          <w:szCs w:val="22"/>
        </w:rPr>
        <w:fldChar w:fldCharType="end"/>
      </w:r>
    </w:p>
    <w:p w14:paraId="6F1580CB" w14:textId="77777777" w:rsidR="002A1316" w:rsidRPr="00F258D3" w:rsidRDefault="002A1316" w:rsidP="00B30CA0">
      <w:pPr>
        <w:jc w:val="both"/>
        <w:rPr>
          <w:sz w:val="22"/>
          <w:szCs w:val="22"/>
        </w:rPr>
      </w:pPr>
    </w:p>
    <w:p w14:paraId="26FAF16C" w14:textId="655F859D" w:rsidR="002A1316" w:rsidRPr="00F258D3" w:rsidRDefault="002A1316" w:rsidP="00B30CA0">
      <w:pPr>
        <w:pStyle w:val="BodyText2"/>
        <w:rPr>
          <w:bCs w:val="0"/>
          <w:szCs w:val="22"/>
        </w:rPr>
      </w:pPr>
      <w:r w:rsidRPr="00F258D3">
        <w:rPr>
          <w:bCs w:val="0"/>
          <w:szCs w:val="22"/>
        </w:rPr>
        <w:t>Description of Issue:</w:t>
      </w:r>
    </w:p>
    <w:p w14:paraId="0B168B45" w14:textId="1ED827A3" w:rsidR="00306C82" w:rsidRPr="00B532B7" w:rsidRDefault="00B575EF" w:rsidP="00B30CA0">
      <w:pPr>
        <w:pStyle w:val="BodyText2"/>
        <w:rPr>
          <w:b w:val="0"/>
          <w:szCs w:val="22"/>
          <w:highlight w:val="yellow"/>
        </w:rPr>
      </w:pPr>
      <w:r w:rsidRPr="00F258D3">
        <w:rPr>
          <w:b w:val="0"/>
          <w:bCs w:val="0"/>
          <w:szCs w:val="22"/>
        </w:rPr>
        <w:t xml:space="preserve">FASB issued </w:t>
      </w:r>
      <w:r w:rsidR="00F258D3" w:rsidRPr="00F258D3">
        <w:rPr>
          <w:b w:val="0"/>
          <w:bCs w:val="0"/>
          <w:i/>
          <w:iCs/>
          <w:szCs w:val="22"/>
        </w:rPr>
        <w:t xml:space="preserve">ASU 2019-07—Codification Updates to SEC Sections: Amendments to SEC Paragraphs Pursuant to SEC Final Rule Releases No. 33-10532, Disclosure Update and Simplification, and Nos. 33-10231 and 33-10442, Investment Company Reporting Modernization, and Miscellaneous </w:t>
      </w:r>
      <w:r w:rsidR="00F258D3" w:rsidRPr="00685E6D">
        <w:rPr>
          <w:b w:val="0"/>
          <w:bCs w:val="0"/>
          <w:i/>
          <w:iCs/>
          <w:szCs w:val="22"/>
        </w:rPr>
        <w:t>Updates</w:t>
      </w:r>
      <w:r w:rsidRPr="00685E6D">
        <w:rPr>
          <w:b w:val="0"/>
          <w:szCs w:val="22"/>
        </w:rPr>
        <w:t>, which</w:t>
      </w:r>
      <w:r w:rsidR="00BE51B2" w:rsidRPr="00685E6D">
        <w:rPr>
          <w:b w:val="0"/>
          <w:szCs w:val="22"/>
        </w:rPr>
        <w:t xml:space="preserve"> primarily </w:t>
      </w:r>
      <w:r w:rsidR="00187E34" w:rsidRPr="00685E6D">
        <w:rPr>
          <w:b w:val="0"/>
          <w:szCs w:val="22"/>
        </w:rPr>
        <w:t>effects the codification</w:t>
      </w:r>
      <w:r w:rsidR="000321FD" w:rsidRPr="00685E6D">
        <w:rPr>
          <w:b w:val="0"/>
          <w:szCs w:val="22"/>
        </w:rPr>
        <w:t>s</w:t>
      </w:r>
      <w:r w:rsidR="00187E34" w:rsidRPr="00685E6D">
        <w:rPr>
          <w:b w:val="0"/>
          <w:szCs w:val="22"/>
        </w:rPr>
        <w:t xml:space="preserve"> </w:t>
      </w:r>
      <w:r w:rsidR="000321FD" w:rsidRPr="00685E6D">
        <w:rPr>
          <w:b w:val="0"/>
          <w:szCs w:val="22"/>
        </w:rPr>
        <w:t>of</w:t>
      </w:r>
      <w:r w:rsidR="00187E34" w:rsidRPr="00685E6D">
        <w:rPr>
          <w:b w:val="0"/>
          <w:szCs w:val="22"/>
        </w:rPr>
        <w:t xml:space="preserve"> </w:t>
      </w:r>
      <w:r w:rsidR="00165CF4" w:rsidRPr="00685E6D">
        <w:rPr>
          <w:b w:val="0"/>
          <w:szCs w:val="22"/>
        </w:rPr>
        <w:t xml:space="preserve">Financial </w:t>
      </w:r>
      <w:r w:rsidR="00165CF4" w:rsidRPr="00930C7C">
        <w:rPr>
          <w:b w:val="0"/>
          <w:szCs w:val="22"/>
        </w:rPr>
        <w:t>Services</w:t>
      </w:r>
      <w:r w:rsidR="0015143F" w:rsidRPr="00930C7C">
        <w:rPr>
          <w:b w:val="0"/>
          <w:szCs w:val="22"/>
        </w:rPr>
        <w:t>—Depository and Lending</w:t>
      </w:r>
      <w:r w:rsidR="00187E34" w:rsidRPr="00930C7C">
        <w:rPr>
          <w:b w:val="0"/>
          <w:szCs w:val="22"/>
        </w:rPr>
        <w:t xml:space="preserve"> (Topic </w:t>
      </w:r>
      <w:r w:rsidR="00CB5BF5" w:rsidRPr="00930C7C">
        <w:rPr>
          <w:b w:val="0"/>
          <w:szCs w:val="22"/>
        </w:rPr>
        <w:t>942</w:t>
      </w:r>
      <w:r w:rsidR="00187E34" w:rsidRPr="00930C7C">
        <w:rPr>
          <w:b w:val="0"/>
          <w:szCs w:val="22"/>
        </w:rPr>
        <w:t>)</w:t>
      </w:r>
      <w:r w:rsidR="00CB5BF5" w:rsidRPr="00930C7C">
        <w:rPr>
          <w:b w:val="0"/>
          <w:szCs w:val="22"/>
        </w:rPr>
        <w:t xml:space="preserve">, </w:t>
      </w:r>
      <w:r w:rsidR="0015143F" w:rsidRPr="00930C7C">
        <w:rPr>
          <w:b w:val="0"/>
          <w:szCs w:val="22"/>
        </w:rPr>
        <w:t xml:space="preserve">Financial Services—Insurance (Topic </w:t>
      </w:r>
      <w:r w:rsidR="00CB5BF5" w:rsidRPr="00930C7C">
        <w:rPr>
          <w:b w:val="0"/>
          <w:szCs w:val="22"/>
        </w:rPr>
        <w:t>944</w:t>
      </w:r>
      <w:r w:rsidR="0015143F" w:rsidRPr="00930C7C">
        <w:rPr>
          <w:b w:val="0"/>
          <w:szCs w:val="22"/>
        </w:rPr>
        <w:t>)</w:t>
      </w:r>
      <w:r w:rsidR="00CB5BF5" w:rsidRPr="00930C7C">
        <w:rPr>
          <w:b w:val="0"/>
          <w:szCs w:val="22"/>
        </w:rPr>
        <w:t xml:space="preserve">, </w:t>
      </w:r>
      <w:r w:rsidR="0015143F" w:rsidRPr="00930C7C">
        <w:rPr>
          <w:b w:val="0"/>
          <w:szCs w:val="22"/>
        </w:rPr>
        <w:t xml:space="preserve">and </w:t>
      </w:r>
      <w:r w:rsidR="001A0821" w:rsidRPr="00930C7C">
        <w:rPr>
          <w:b w:val="0"/>
          <w:szCs w:val="22"/>
        </w:rPr>
        <w:t xml:space="preserve">Financial Services—Investment Companies (Topic </w:t>
      </w:r>
      <w:r w:rsidR="00CB5BF5" w:rsidRPr="00930C7C">
        <w:rPr>
          <w:b w:val="0"/>
          <w:szCs w:val="22"/>
        </w:rPr>
        <w:t>946</w:t>
      </w:r>
      <w:r w:rsidR="001A0821" w:rsidRPr="00930C7C">
        <w:rPr>
          <w:b w:val="0"/>
          <w:szCs w:val="22"/>
        </w:rPr>
        <w:t>)</w:t>
      </w:r>
      <w:r w:rsidR="00187E34" w:rsidRPr="00930C7C">
        <w:rPr>
          <w:b w:val="0"/>
          <w:szCs w:val="22"/>
        </w:rPr>
        <w:t>.</w:t>
      </w:r>
      <w:r w:rsidR="00E72E8D" w:rsidRPr="00930C7C">
        <w:rPr>
          <w:b w:val="0"/>
          <w:szCs w:val="22"/>
        </w:rPr>
        <w:t xml:space="preserve"> </w:t>
      </w:r>
      <w:r w:rsidR="0054315F" w:rsidRPr="00930C7C">
        <w:rPr>
          <w:b w:val="0"/>
          <w:szCs w:val="22"/>
        </w:rPr>
        <w:t xml:space="preserve"> </w:t>
      </w:r>
      <w:r w:rsidR="00E72E8D" w:rsidRPr="00930C7C">
        <w:rPr>
          <w:b w:val="0"/>
          <w:szCs w:val="22"/>
        </w:rPr>
        <w:t>The update a</w:t>
      </w:r>
      <w:r w:rsidR="007A2FB9" w:rsidRPr="00930C7C">
        <w:rPr>
          <w:b w:val="0"/>
          <w:szCs w:val="22"/>
        </w:rPr>
        <w:t>mends and supersedes certain</w:t>
      </w:r>
      <w:r w:rsidR="00AE51E3" w:rsidRPr="00930C7C">
        <w:rPr>
          <w:b w:val="0"/>
          <w:szCs w:val="22"/>
        </w:rPr>
        <w:t xml:space="preserve"> SEC</w:t>
      </w:r>
      <w:r w:rsidR="00E72E8D" w:rsidRPr="00930C7C">
        <w:rPr>
          <w:b w:val="0"/>
          <w:szCs w:val="22"/>
        </w:rPr>
        <w:t xml:space="preserve"> section</w:t>
      </w:r>
      <w:r w:rsidR="00AE51E3" w:rsidRPr="00930C7C">
        <w:rPr>
          <w:b w:val="0"/>
          <w:szCs w:val="22"/>
        </w:rPr>
        <w:t>s</w:t>
      </w:r>
      <w:r w:rsidR="00E72E8D" w:rsidRPr="00930C7C">
        <w:rPr>
          <w:b w:val="0"/>
          <w:szCs w:val="22"/>
        </w:rPr>
        <w:t xml:space="preserve"> in Topic </w:t>
      </w:r>
      <w:r w:rsidR="003E110D" w:rsidRPr="00930C7C">
        <w:rPr>
          <w:b w:val="0"/>
          <w:szCs w:val="22"/>
        </w:rPr>
        <w:t>94</w:t>
      </w:r>
      <w:r w:rsidR="00F14BB2" w:rsidRPr="00930C7C">
        <w:rPr>
          <w:b w:val="0"/>
          <w:szCs w:val="22"/>
        </w:rPr>
        <w:t>2</w:t>
      </w:r>
      <w:r w:rsidR="003E110D" w:rsidRPr="00930C7C">
        <w:rPr>
          <w:b w:val="0"/>
          <w:szCs w:val="22"/>
        </w:rPr>
        <w:t xml:space="preserve">, 944, and </w:t>
      </w:r>
      <w:r w:rsidR="00F14BB2" w:rsidRPr="00930C7C">
        <w:rPr>
          <w:b w:val="0"/>
          <w:szCs w:val="22"/>
        </w:rPr>
        <w:t>946</w:t>
      </w:r>
      <w:r w:rsidR="00E72E8D" w:rsidRPr="00930C7C">
        <w:rPr>
          <w:b w:val="0"/>
          <w:szCs w:val="22"/>
        </w:rPr>
        <w:t xml:space="preserve"> </w:t>
      </w:r>
      <w:r w:rsidR="004B31AD" w:rsidRPr="00930C7C">
        <w:rPr>
          <w:b w:val="0"/>
          <w:szCs w:val="22"/>
        </w:rPr>
        <w:t>to</w:t>
      </w:r>
      <w:r w:rsidR="00E72E8D" w:rsidRPr="00930C7C">
        <w:rPr>
          <w:b w:val="0"/>
          <w:szCs w:val="22"/>
        </w:rPr>
        <w:t xml:space="preserve"> </w:t>
      </w:r>
      <w:r w:rsidR="00AE51E3" w:rsidRPr="00930C7C">
        <w:rPr>
          <w:b w:val="0"/>
          <w:szCs w:val="22"/>
        </w:rPr>
        <w:t>align</w:t>
      </w:r>
      <w:r w:rsidR="004B31AD" w:rsidRPr="00930C7C">
        <w:rPr>
          <w:b w:val="0"/>
          <w:szCs w:val="22"/>
        </w:rPr>
        <w:t xml:space="preserve"> </w:t>
      </w:r>
      <w:r w:rsidR="00AE51E3" w:rsidRPr="00930C7C">
        <w:rPr>
          <w:b w:val="0"/>
          <w:szCs w:val="22"/>
        </w:rPr>
        <w:t xml:space="preserve">codification guidance </w:t>
      </w:r>
      <w:r w:rsidR="00EC0FCD" w:rsidRPr="00930C7C">
        <w:rPr>
          <w:b w:val="0"/>
          <w:szCs w:val="22"/>
        </w:rPr>
        <w:t xml:space="preserve">with </w:t>
      </w:r>
      <w:r w:rsidR="004B31AD" w:rsidRPr="00930C7C">
        <w:rPr>
          <w:b w:val="0"/>
          <w:szCs w:val="22"/>
        </w:rPr>
        <w:t>SEC Release</w:t>
      </w:r>
      <w:r w:rsidR="00F14BB2" w:rsidRPr="00930C7C">
        <w:rPr>
          <w:b w:val="0"/>
          <w:szCs w:val="22"/>
        </w:rPr>
        <w:t>s</w:t>
      </w:r>
      <w:r w:rsidR="004B31AD" w:rsidRPr="00930C7C">
        <w:rPr>
          <w:b w:val="0"/>
          <w:szCs w:val="22"/>
        </w:rPr>
        <w:t xml:space="preserve"> No. </w:t>
      </w:r>
      <w:r w:rsidR="00F14BB2" w:rsidRPr="00930C7C">
        <w:rPr>
          <w:b w:val="0"/>
          <w:szCs w:val="22"/>
        </w:rPr>
        <w:t xml:space="preserve">33-10532, 33-10231, and 33-10442. </w:t>
      </w:r>
      <w:r w:rsidR="006D36FB">
        <w:rPr>
          <w:b w:val="0"/>
          <w:szCs w:val="22"/>
        </w:rPr>
        <w:t xml:space="preserve">These SEC </w:t>
      </w:r>
      <w:r w:rsidR="00E611FD">
        <w:rPr>
          <w:b w:val="0"/>
          <w:szCs w:val="22"/>
        </w:rPr>
        <w:t>R</w:t>
      </w:r>
      <w:r w:rsidR="006D36FB">
        <w:rPr>
          <w:b w:val="0"/>
          <w:szCs w:val="22"/>
        </w:rPr>
        <w:t xml:space="preserve">eleases </w:t>
      </w:r>
      <w:r w:rsidR="00A21201">
        <w:rPr>
          <w:b w:val="0"/>
          <w:szCs w:val="22"/>
        </w:rPr>
        <w:t>amend</w:t>
      </w:r>
      <w:r w:rsidR="00E611FD">
        <w:rPr>
          <w:b w:val="0"/>
          <w:szCs w:val="22"/>
        </w:rPr>
        <w:t xml:space="preserve"> a wide range of disclosure requirements which were determined to be </w:t>
      </w:r>
      <w:r w:rsidR="00A21201">
        <w:rPr>
          <w:b w:val="0"/>
          <w:szCs w:val="22"/>
        </w:rPr>
        <w:t>r</w:t>
      </w:r>
      <w:r w:rsidR="00A21201" w:rsidRPr="00A21201">
        <w:rPr>
          <w:b w:val="0"/>
          <w:szCs w:val="22"/>
        </w:rPr>
        <w:t>edundant, duplicative, overlapping, outdated, or superseded</w:t>
      </w:r>
      <w:r w:rsidR="00E611FD">
        <w:rPr>
          <w:b w:val="0"/>
          <w:szCs w:val="22"/>
        </w:rPr>
        <w:t xml:space="preserve"> by other relevant </w:t>
      </w:r>
      <w:r w:rsidR="00C94489">
        <w:rPr>
          <w:b w:val="0"/>
          <w:szCs w:val="22"/>
        </w:rPr>
        <w:t xml:space="preserve">literature.  </w:t>
      </w:r>
      <w:r w:rsidR="00F14BB2" w:rsidRPr="00930C7C">
        <w:rPr>
          <w:b w:val="0"/>
          <w:szCs w:val="22"/>
        </w:rPr>
        <w:t xml:space="preserve">Additionally, </w:t>
      </w:r>
      <w:r w:rsidR="00C94489">
        <w:rPr>
          <w:b w:val="0"/>
          <w:szCs w:val="22"/>
        </w:rPr>
        <w:t xml:space="preserve">the SEC Releases </w:t>
      </w:r>
      <w:r w:rsidR="00A05A0A">
        <w:rPr>
          <w:b w:val="0"/>
          <w:szCs w:val="22"/>
        </w:rPr>
        <w:t xml:space="preserve">include </w:t>
      </w:r>
      <w:r w:rsidR="00930C7C" w:rsidRPr="00930C7C">
        <w:rPr>
          <w:b w:val="0"/>
          <w:szCs w:val="22"/>
        </w:rPr>
        <w:t>several</w:t>
      </w:r>
      <w:r w:rsidR="00F14BB2" w:rsidRPr="00930C7C">
        <w:rPr>
          <w:b w:val="0"/>
          <w:szCs w:val="22"/>
        </w:rPr>
        <w:t xml:space="preserve"> miscellaneous</w:t>
      </w:r>
      <w:r w:rsidR="00F14BB2">
        <w:rPr>
          <w:b w:val="0"/>
          <w:szCs w:val="22"/>
        </w:rPr>
        <w:t xml:space="preserve"> updates</w:t>
      </w:r>
      <w:r w:rsidR="00A05A0A">
        <w:rPr>
          <w:b w:val="0"/>
          <w:szCs w:val="22"/>
        </w:rPr>
        <w:t xml:space="preserve"> and</w:t>
      </w:r>
      <w:r w:rsidR="00F14BB2">
        <w:rPr>
          <w:b w:val="0"/>
          <w:szCs w:val="22"/>
        </w:rPr>
        <w:t xml:space="preserve"> corrections</w:t>
      </w:r>
      <w:r w:rsidR="00A05A0A">
        <w:rPr>
          <w:b w:val="0"/>
          <w:szCs w:val="22"/>
        </w:rPr>
        <w:t xml:space="preserve"> </w:t>
      </w:r>
      <w:r w:rsidR="00E164B5">
        <w:rPr>
          <w:b w:val="0"/>
          <w:szCs w:val="22"/>
        </w:rPr>
        <w:t xml:space="preserve">intended to clarify </w:t>
      </w:r>
      <w:r w:rsidR="006E6649">
        <w:rPr>
          <w:b w:val="0"/>
          <w:szCs w:val="22"/>
        </w:rPr>
        <w:t xml:space="preserve">SEC </w:t>
      </w:r>
      <w:r w:rsidR="00E164B5">
        <w:rPr>
          <w:b w:val="0"/>
          <w:szCs w:val="22"/>
        </w:rPr>
        <w:t>guidance</w:t>
      </w:r>
      <w:r w:rsidR="00F14BB2">
        <w:rPr>
          <w:b w:val="0"/>
          <w:szCs w:val="22"/>
        </w:rPr>
        <w:t>.</w:t>
      </w:r>
    </w:p>
    <w:p w14:paraId="040C7183" w14:textId="77777777" w:rsidR="00435DAC" w:rsidRPr="00B532B7" w:rsidRDefault="00435DAC" w:rsidP="00A92C59">
      <w:pPr>
        <w:pStyle w:val="BodyText2"/>
        <w:rPr>
          <w:bCs w:val="0"/>
          <w:szCs w:val="22"/>
          <w:highlight w:val="yellow"/>
        </w:rPr>
      </w:pPr>
    </w:p>
    <w:p w14:paraId="6C6B67AF" w14:textId="77777777" w:rsidR="002A1316" w:rsidRPr="00F258D3" w:rsidRDefault="002A1316" w:rsidP="00B30CA0">
      <w:pPr>
        <w:pStyle w:val="BodyText2"/>
        <w:rPr>
          <w:bCs w:val="0"/>
          <w:szCs w:val="22"/>
        </w:rPr>
      </w:pPr>
      <w:r w:rsidRPr="00F258D3">
        <w:rPr>
          <w:bCs w:val="0"/>
          <w:szCs w:val="22"/>
        </w:rPr>
        <w:t>Existing Authoritative Literature:</w:t>
      </w:r>
    </w:p>
    <w:p w14:paraId="6F758E25" w14:textId="76131A92" w:rsidR="004E2BB9" w:rsidRPr="00F258D3" w:rsidRDefault="00C66C7A" w:rsidP="00B30CA0">
      <w:pPr>
        <w:pStyle w:val="BodyText2"/>
        <w:rPr>
          <w:b w:val="0"/>
          <w:bCs w:val="0"/>
          <w:szCs w:val="22"/>
        </w:rPr>
      </w:pPr>
      <w:r w:rsidRPr="00C66C7A">
        <w:rPr>
          <w:b w:val="0"/>
          <w:bCs w:val="0"/>
          <w:szCs w:val="22"/>
        </w:rPr>
        <w:t xml:space="preserve">Historically, </w:t>
      </w:r>
      <w:r w:rsidR="000705D0" w:rsidRPr="00F258D3">
        <w:rPr>
          <w:b w:val="0"/>
          <w:bCs w:val="0"/>
          <w:szCs w:val="22"/>
        </w:rPr>
        <w:t xml:space="preserve">SEC guidance from ASUs </w:t>
      </w:r>
      <w:r w:rsidRPr="00C66C7A">
        <w:rPr>
          <w:b w:val="0"/>
          <w:bCs w:val="0"/>
          <w:szCs w:val="22"/>
        </w:rPr>
        <w:t>have been</w:t>
      </w:r>
      <w:r w:rsidR="000705D0" w:rsidRPr="00F258D3">
        <w:rPr>
          <w:b w:val="0"/>
          <w:bCs w:val="0"/>
          <w:szCs w:val="22"/>
        </w:rPr>
        <w:t xml:space="preserve"> rejected as not applicable for statutory accounting in Appendix D.</w:t>
      </w:r>
      <w:r w:rsidRPr="00C66C7A">
        <w:rPr>
          <w:b w:val="0"/>
          <w:bCs w:val="0"/>
          <w:szCs w:val="22"/>
        </w:rPr>
        <w:t xml:space="preserve"> Regardless, all ASUs are reviewed for statutory accounting purposes to determine if the guidance should be considered for statutory accounting.</w:t>
      </w:r>
    </w:p>
    <w:p w14:paraId="44DF7382" w14:textId="77777777" w:rsidR="00E72E8D" w:rsidRPr="00B532B7" w:rsidRDefault="00E72E8D" w:rsidP="00B30CA0">
      <w:pPr>
        <w:pStyle w:val="BodyText2"/>
        <w:rPr>
          <w:b w:val="0"/>
          <w:bCs w:val="0"/>
          <w:szCs w:val="22"/>
          <w:highlight w:val="yellow"/>
        </w:rPr>
      </w:pPr>
    </w:p>
    <w:p w14:paraId="628BF821" w14:textId="15BB8A6D" w:rsidR="00FD21E2" w:rsidRPr="00443809" w:rsidRDefault="0009129B" w:rsidP="00B30CA0">
      <w:pPr>
        <w:pStyle w:val="BodyText2"/>
        <w:rPr>
          <w:b w:val="0"/>
          <w:bCs w:val="0"/>
          <w:iCs/>
          <w:szCs w:val="22"/>
        </w:rPr>
      </w:pPr>
      <w:r w:rsidRPr="00E843F6">
        <w:rPr>
          <w:b w:val="0"/>
          <w:bCs w:val="0"/>
          <w:szCs w:val="22"/>
        </w:rPr>
        <w:t xml:space="preserve">Debt is covered in </w:t>
      </w:r>
      <w:r w:rsidRPr="00E843F6">
        <w:rPr>
          <w:b w:val="0"/>
          <w:bCs w:val="0"/>
          <w:i/>
          <w:szCs w:val="22"/>
        </w:rPr>
        <w:t>SSAP No. 15—</w:t>
      </w:r>
      <w:r w:rsidRPr="00E843F6">
        <w:t xml:space="preserve"> </w:t>
      </w:r>
      <w:r w:rsidRPr="00E843F6">
        <w:rPr>
          <w:b w:val="0"/>
          <w:bCs w:val="0"/>
          <w:i/>
          <w:szCs w:val="22"/>
        </w:rPr>
        <w:t>Debt and Holding Company Obligations</w:t>
      </w:r>
      <w:r w:rsidRPr="0009129B">
        <w:rPr>
          <w:b w:val="0"/>
          <w:bCs w:val="0"/>
          <w:iCs/>
          <w:szCs w:val="22"/>
        </w:rPr>
        <w:t>,</w:t>
      </w:r>
      <w:r w:rsidRPr="00E843F6">
        <w:rPr>
          <w:b w:val="0"/>
          <w:bCs w:val="0"/>
          <w:i/>
          <w:szCs w:val="22"/>
        </w:rPr>
        <w:t xml:space="preserve"> </w:t>
      </w:r>
      <w:r>
        <w:rPr>
          <w:b w:val="0"/>
          <w:bCs w:val="0"/>
          <w:szCs w:val="22"/>
        </w:rPr>
        <w:t>surplus</w:t>
      </w:r>
      <w:r w:rsidRPr="00E843F6">
        <w:rPr>
          <w:b w:val="0"/>
          <w:bCs w:val="0"/>
          <w:szCs w:val="22"/>
        </w:rPr>
        <w:t xml:space="preserve"> is covered in </w:t>
      </w:r>
      <w:r w:rsidRPr="00E843F6">
        <w:rPr>
          <w:b w:val="0"/>
          <w:bCs w:val="0"/>
          <w:i/>
          <w:szCs w:val="22"/>
        </w:rPr>
        <w:t xml:space="preserve">SSAP No. </w:t>
      </w:r>
      <w:r>
        <w:rPr>
          <w:b w:val="0"/>
          <w:bCs w:val="0"/>
          <w:i/>
          <w:szCs w:val="22"/>
        </w:rPr>
        <w:t>7</w:t>
      </w:r>
      <w:r w:rsidR="00503CD4">
        <w:rPr>
          <w:b w:val="0"/>
          <w:bCs w:val="0"/>
          <w:i/>
          <w:szCs w:val="22"/>
        </w:rPr>
        <w:t>2</w:t>
      </w:r>
      <w:r w:rsidRPr="00E843F6">
        <w:rPr>
          <w:b w:val="0"/>
          <w:bCs w:val="0"/>
          <w:i/>
          <w:szCs w:val="22"/>
        </w:rPr>
        <w:t>—</w:t>
      </w:r>
      <w:r w:rsidRPr="00E843F6">
        <w:t xml:space="preserve"> </w:t>
      </w:r>
      <w:r w:rsidR="00503CD4" w:rsidRPr="00503CD4">
        <w:rPr>
          <w:b w:val="0"/>
          <w:bCs w:val="0"/>
          <w:i/>
          <w:szCs w:val="22"/>
        </w:rPr>
        <w:t>Surplus and Quasi-Reorganizations</w:t>
      </w:r>
      <w:r w:rsidR="001855AF">
        <w:rPr>
          <w:b w:val="0"/>
          <w:bCs w:val="0"/>
          <w:szCs w:val="22"/>
        </w:rPr>
        <w:t xml:space="preserve">, </w:t>
      </w:r>
      <w:r w:rsidR="00CD6FB9">
        <w:rPr>
          <w:b w:val="0"/>
          <w:bCs w:val="0"/>
          <w:szCs w:val="22"/>
        </w:rPr>
        <w:t xml:space="preserve">and </w:t>
      </w:r>
      <w:r w:rsidR="001855AF">
        <w:rPr>
          <w:b w:val="0"/>
          <w:bCs w:val="0"/>
          <w:szCs w:val="22"/>
        </w:rPr>
        <w:t xml:space="preserve">consolidation guidance is discussed </w:t>
      </w:r>
      <w:r w:rsidR="009959A0">
        <w:rPr>
          <w:b w:val="0"/>
          <w:bCs w:val="0"/>
          <w:szCs w:val="22"/>
        </w:rPr>
        <w:t xml:space="preserve">in </w:t>
      </w:r>
      <w:r w:rsidR="009959A0" w:rsidRPr="0069033E">
        <w:rPr>
          <w:b w:val="0"/>
          <w:bCs w:val="0"/>
          <w:i/>
          <w:iCs/>
          <w:szCs w:val="22"/>
        </w:rPr>
        <w:t>SSAP No. 97—</w:t>
      </w:r>
      <w:r w:rsidR="009959A0" w:rsidRPr="009959A0">
        <w:rPr>
          <w:b w:val="0"/>
          <w:bCs w:val="0"/>
          <w:i/>
          <w:szCs w:val="22"/>
        </w:rPr>
        <w:t>Investments in Subsidiary, Controlled and Affiliated Entities</w:t>
      </w:r>
      <w:r w:rsidR="00CD6FB9">
        <w:rPr>
          <w:b w:val="0"/>
          <w:bCs w:val="0"/>
          <w:iCs/>
          <w:szCs w:val="22"/>
        </w:rPr>
        <w:t>.</w:t>
      </w:r>
    </w:p>
    <w:p w14:paraId="4A57A1C3" w14:textId="77777777" w:rsidR="009959A0" w:rsidRPr="00B532B7" w:rsidRDefault="009959A0" w:rsidP="00B30CA0">
      <w:pPr>
        <w:pStyle w:val="BodyText2"/>
        <w:rPr>
          <w:b w:val="0"/>
          <w:bCs w:val="0"/>
          <w:szCs w:val="22"/>
          <w:highlight w:val="yellow"/>
        </w:rPr>
      </w:pPr>
    </w:p>
    <w:p w14:paraId="4D873E6A" w14:textId="65BFB78E" w:rsidR="003C5AA1" w:rsidRPr="00F258D3" w:rsidRDefault="002A1316" w:rsidP="009302F8">
      <w:pPr>
        <w:pStyle w:val="BodyText2"/>
        <w:rPr>
          <w:bCs w:val="0"/>
          <w:szCs w:val="22"/>
        </w:rPr>
      </w:pPr>
      <w:r w:rsidRPr="00F258D3">
        <w:rPr>
          <w:szCs w:val="22"/>
        </w:rPr>
        <w:t xml:space="preserve">Activity to Date (issues previously addressed by </w:t>
      </w:r>
      <w:r w:rsidR="006B37DD" w:rsidRPr="00F258D3">
        <w:rPr>
          <w:szCs w:val="22"/>
        </w:rPr>
        <w:t xml:space="preserve">the </w:t>
      </w:r>
      <w:r w:rsidR="00004652" w:rsidRPr="00F258D3">
        <w:rPr>
          <w:szCs w:val="22"/>
        </w:rPr>
        <w:t>Working Group</w:t>
      </w:r>
      <w:r w:rsidRPr="00F258D3">
        <w:rPr>
          <w:szCs w:val="22"/>
        </w:rPr>
        <w:t xml:space="preserve">, Emerging Accounting Issues </w:t>
      </w:r>
      <w:r w:rsidR="00004652" w:rsidRPr="00F258D3">
        <w:rPr>
          <w:szCs w:val="22"/>
        </w:rPr>
        <w:t>(E) Working Group</w:t>
      </w:r>
      <w:r w:rsidRPr="00F258D3">
        <w:rPr>
          <w:szCs w:val="22"/>
        </w:rPr>
        <w:t>, SEC, FASB, other State Departments of Insurance or other NAIC groups):</w:t>
      </w:r>
      <w:r w:rsidR="009302F8">
        <w:rPr>
          <w:szCs w:val="22"/>
        </w:rPr>
        <w:t xml:space="preserve"> </w:t>
      </w:r>
      <w:r w:rsidR="00DD5C4D" w:rsidRPr="009E6335">
        <w:rPr>
          <w:b w:val="0"/>
          <w:bCs w:val="0"/>
          <w:szCs w:val="22"/>
        </w:rPr>
        <w:t>None</w:t>
      </w:r>
      <w:r w:rsidR="0069033E">
        <w:rPr>
          <w:b w:val="0"/>
          <w:bCs w:val="0"/>
          <w:szCs w:val="22"/>
        </w:rPr>
        <w:t>.</w:t>
      </w:r>
    </w:p>
    <w:p w14:paraId="7044CD15" w14:textId="77777777" w:rsidR="00A202AF" w:rsidRPr="00F258D3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F258D3" w:rsidRDefault="002A1316" w:rsidP="00B30CA0">
      <w:pPr>
        <w:pStyle w:val="BodyText"/>
        <w:rPr>
          <w:b/>
          <w:sz w:val="22"/>
          <w:szCs w:val="22"/>
        </w:rPr>
      </w:pPr>
      <w:r w:rsidRPr="00F258D3">
        <w:rPr>
          <w:b/>
          <w:sz w:val="22"/>
          <w:szCs w:val="22"/>
        </w:rPr>
        <w:t xml:space="preserve">Information or </w:t>
      </w:r>
      <w:r w:rsidR="00DF407B" w:rsidRPr="00F258D3">
        <w:rPr>
          <w:b/>
          <w:sz w:val="22"/>
          <w:szCs w:val="22"/>
        </w:rPr>
        <w:t>i</w:t>
      </w:r>
      <w:r w:rsidRPr="00F258D3">
        <w:rPr>
          <w:b/>
          <w:sz w:val="22"/>
          <w:szCs w:val="22"/>
        </w:rPr>
        <w:t xml:space="preserve">ssues (included in </w:t>
      </w:r>
      <w:r w:rsidRPr="00F258D3">
        <w:rPr>
          <w:b/>
          <w:i/>
          <w:sz w:val="22"/>
          <w:szCs w:val="22"/>
        </w:rPr>
        <w:t>Description of Issue</w:t>
      </w:r>
      <w:r w:rsidRPr="00F258D3">
        <w:rPr>
          <w:b/>
          <w:sz w:val="22"/>
          <w:szCs w:val="22"/>
        </w:rPr>
        <w:t xml:space="preserve">) not previously contemplated by the </w:t>
      </w:r>
      <w:r w:rsidR="00004652" w:rsidRPr="00F258D3">
        <w:rPr>
          <w:b/>
          <w:sz w:val="22"/>
          <w:szCs w:val="22"/>
        </w:rPr>
        <w:t>Working Group</w:t>
      </w:r>
      <w:r w:rsidRPr="00F258D3">
        <w:rPr>
          <w:b/>
          <w:sz w:val="22"/>
          <w:szCs w:val="22"/>
        </w:rPr>
        <w:t>:</w:t>
      </w:r>
    </w:p>
    <w:p w14:paraId="38E08ED2" w14:textId="06F1BC59" w:rsidR="002A1316" w:rsidRPr="00F258D3" w:rsidRDefault="00FE7FAA" w:rsidP="00B30CA0">
      <w:pPr>
        <w:pStyle w:val="BodyText"/>
        <w:rPr>
          <w:bCs/>
          <w:sz w:val="22"/>
          <w:szCs w:val="22"/>
        </w:rPr>
      </w:pPr>
      <w:r w:rsidRPr="00F258D3">
        <w:rPr>
          <w:bCs/>
          <w:sz w:val="22"/>
          <w:szCs w:val="22"/>
        </w:rPr>
        <w:t>None</w:t>
      </w:r>
      <w:r w:rsidR="0069033E">
        <w:rPr>
          <w:bCs/>
          <w:sz w:val="22"/>
          <w:szCs w:val="22"/>
        </w:rPr>
        <w:t>.</w:t>
      </w:r>
    </w:p>
    <w:p w14:paraId="42D8D9A1" w14:textId="77777777" w:rsidR="00787C29" w:rsidRPr="00F258D3" w:rsidRDefault="00787C29" w:rsidP="00490996">
      <w:pPr>
        <w:pStyle w:val="Default"/>
        <w:rPr>
          <w:b/>
          <w:sz w:val="22"/>
          <w:szCs w:val="22"/>
        </w:rPr>
      </w:pPr>
    </w:p>
    <w:p w14:paraId="1F1F1EA7" w14:textId="4CB34FBB" w:rsidR="002156FF" w:rsidRPr="00F258D3" w:rsidRDefault="00490996" w:rsidP="009E6335">
      <w:pPr>
        <w:pStyle w:val="Default"/>
        <w:rPr>
          <w:b/>
          <w:sz w:val="22"/>
          <w:szCs w:val="22"/>
        </w:rPr>
      </w:pPr>
      <w:r w:rsidRPr="00F258D3">
        <w:rPr>
          <w:b/>
          <w:sz w:val="22"/>
          <w:szCs w:val="22"/>
        </w:rPr>
        <w:t>Convergence with International Financial Reporting Standards (IFRS):</w:t>
      </w:r>
      <w:r w:rsidR="009E6335">
        <w:rPr>
          <w:b/>
          <w:sz w:val="22"/>
          <w:szCs w:val="22"/>
        </w:rPr>
        <w:t xml:space="preserve"> </w:t>
      </w:r>
      <w:r w:rsidR="00787C29" w:rsidRPr="00F258D3">
        <w:rPr>
          <w:color w:val="auto"/>
          <w:sz w:val="22"/>
          <w:szCs w:val="22"/>
        </w:rPr>
        <w:t>None</w:t>
      </w:r>
    </w:p>
    <w:p w14:paraId="6E612040" w14:textId="77777777" w:rsidR="002156FF" w:rsidRPr="00F258D3" w:rsidRDefault="002156FF" w:rsidP="00490996">
      <w:pPr>
        <w:pStyle w:val="BodyText2"/>
        <w:rPr>
          <w:b w:val="0"/>
          <w:bCs w:val="0"/>
          <w:szCs w:val="22"/>
        </w:rPr>
      </w:pPr>
    </w:p>
    <w:p w14:paraId="04378B19" w14:textId="77777777" w:rsidR="004718D3" w:rsidRPr="003A1D59" w:rsidRDefault="002A1316" w:rsidP="002156FF">
      <w:pPr>
        <w:pStyle w:val="BodyText2"/>
        <w:rPr>
          <w:szCs w:val="22"/>
        </w:rPr>
      </w:pPr>
      <w:r w:rsidRPr="003A1D59">
        <w:rPr>
          <w:szCs w:val="22"/>
        </w:rPr>
        <w:t>Staff Recommendation:</w:t>
      </w:r>
      <w:bookmarkStart w:id="1" w:name="_Hlk33432049"/>
    </w:p>
    <w:p w14:paraId="5913E6F4" w14:textId="7CCD5713" w:rsidR="002156FF" w:rsidRPr="00F3247F" w:rsidRDefault="002156FF" w:rsidP="002156FF">
      <w:pPr>
        <w:pStyle w:val="BodyText2"/>
        <w:rPr>
          <w:szCs w:val="22"/>
        </w:rPr>
      </w:pPr>
      <w:r w:rsidRPr="003A1D59">
        <w:rPr>
          <w:szCs w:val="22"/>
        </w:rPr>
        <w:t xml:space="preserve">NAIC staff recommends that the Working Group move this item to the active listing, categorized as </w:t>
      </w:r>
      <w:r w:rsidR="005719EB">
        <w:rPr>
          <w:szCs w:val="22"/>
        </w:rPr>
        <w:t>a SAP clarification</w:t>
      </w:r>
      <w:r w:rsidRPr="003A1D59">
        <w:rPr>
          <w:szCs w:val="22"/>
        </w:rPr>
        <w:t xml:space="preserve">, and expose revisions to </w:t>
      </w:r>
      <w:r w:rsidRPr="003A1D59">
        <w:rPr>
          <w:i/>
          <w:szCs w:val="22"/>
        </w:rPr>
        <w:t>Appendix D—Nonapplicable GAAP Pronouncements</w:t>
      </w:r>
      <w:r w:rsidRPr="003A1D59">
        <w:rPr>
          <w:szCs w:val="22"/>
        </w:rPr>
        <w:t xml:space="preserve"> to reject </w:t>
      </w:r>
      <w:r w:rsidR="003A1D59" w:rsidRPr="003A1D59">
        <w:rPr>
          <w:i/>
          <w:iCs/>
          <w:szCs w:val="22"/>
        </w:rPr>
        <w:t>ASU 2019-07—Codification Updates to SEC Sections: Amendments to SEC Paragraphs Pursuant to SEC Final Rule Releases No. 33-10532, Disclosure Update and Simplification, and Nos. 33-10231 and 33-10442, Investment Company Reporting Modernization, and Miscellaneous Updates</w:t>
      </w:r>
      <w:r w:rsidR="00787C29" w:rsidRPr="003A1D59">
        <w:rPr>
          <w:i/>
          <w:iCs/>
          <w:szCs w:val="22"/>
        </w:rPr>
        <w:t xml:space="preserve"> </w:t>
      </w:r>
      <w:r w:rsidRPr="003A1D59">
        <w:rPr>
          <w:szCs w:val="22"/>
        </w:rPr>
        <w:t>as not applicable to statutory accounting.</w:t>
      </w:r>
      <w:r w:rsidR="009E6335">
        <w:rPr>
          <w:szCs w:val="22"/>
        </w:rPr>
        <w:t xml:space="preserve"> </w:t>
      </w:r>
      <w:r w:rsidRPr="00F3247F">
        <w:rPr>
          <w:b w:val="0"/>
          <w:bCs w:val="0"/>
          <w:szCs w:val="22"/>
        </w:rPr>
        <w:t xml:space="preserve">This item is proposed to be rejected as not applicable as ASU </w:t>
      </w:r>
      <w:r w:rsidR="00F3247F" w:rsidRPr="00F3247F">
        <w:rPr>
          <w:b w:val="0"/>
          <w:bCs w:val="0"/>
          <w:szCs w:val="22"/>
        </w:rPr>
        <w:t>2019-07</w:t>
      </w:r>
      <w:r w:rsidRPr="00F3247F">
        <w:rPr>
          <w:b w:val="0"/>
          <w:bCs w:val="0"/>
          <w:szCs w:val="22"/>
        </w:rPr>
        <w:t xml:space="preserve"> is specific to </w:t>
      </w:r>
      <w:r w:rsidR="00787C29" w:rsidRPr="00F3247F">
        <w:rPr>
          <w:b w:val="0"/>
          <w:bCs w:val="0"/>
          <w:szCs w:val="22"/>
        </w:rPr>
        <w:t>amend</w:t>
      </w:r>
      <w:r w:rsidR="004D6DB6" w:rsidRPr="00F3247F">
        <w:rPr>
          <w:b w:val="0"/>
          <w:bCs w:val="0"/>
          <w:szCs w:val="22"/>
        </w:rPr>
        <w:t>ment</w:t>
      </w:r>
      <w:r w:rsidRPr="00F3247F">
        <w:rPr>
          <w:b w:val="0"/>
          <w:bCs w:val="0"/>
          <w:szCs w:val="22"/>
        </w:rPr>
        <w:t xml:space="preserve"> of SEC paragraphs, which are not applicable for statutory accounting purposes.</w:t>
      </w:r>
    </w:p>
    <w:bookmarkEnd w:id="1"/>
    <w:p w14:paraId="2A2E73F1" w14:textId="77777777" w:rsidR="006B37DD" w:rsidRPr="00B532B7" w:rsidRDefault="006B37DD" w:rsidP="00B30CA0">
      <w:pPr>
        <w:rPr>
          <w:sz w:val="22"/>
          <w:szCs w:val="22"/>
        </w:rPr>
      </w:pPr>
    </w:p>
    <w:p w14:paraId="44BEB325" w14:textId="13344A5C" w:rsidR="00EC5218" w:rsidRDefault="002156FF" w:rsidP="002156FF">
      <w:pPr>
        <w:pStyle w:val="BodyText2"/>
        <w:rPr>
          <w:szCs w:val="22"/>
        </w:rPr>
      </w:pPr>
      <w:r w:rsidRPr="00B532B7">
        <w:rPr>
          <w:szCs w:val="22"/>
        </w:rPr>
        <w:t>Staff Review Completed by:</w:t>
      </w:r>
      <w:r w:rsidR="0092355C">
        <w:rPr>
          <w:szCs w:val="22"/>
        </w:rPr>
        <w:t xml:space="preserve"> </w:t>
      </w:r>
      <w:r w:rsidR="004D6DB6" w:rsidRPr="00A835C4">
        <w:rPr>
          <w:b w:val="0"/>
          <w:bCs w:val="0"/>
          <w:szCs w:val="22"/>
        </w:rPr>
        <w:t>William Oden</w:t>
      </w:r>
      <w:r w:rsidRPr="00A835C4">
        <w:rPr>
          <w:b w:val="0"/>
          <w:bCs w:val="0"/>
          <w:szCs w:val="22"/>
        </w:rPr>
        <w:t xml:space="preserve"> – February 202</w:t>
      </w:r>
      <w:r w:rsidR="004D6DB6" w:rsidRPr="00A835C4">
        <w:rPr>
          <w:b w:val="0"/>
          <w:bCs w:val="0"/>
          <w:szCs w:val="22"/>
        </w:rPr>
        <w:t>3</w:t>
      </w:r>
      <w:r w:rsidR="00EC5218" w:rsidRPr="004D6DB6">
        <w:rPr>
          <w:szCs w:val="22"/>
        </w:rPr>
        <w:t xml:space="preserve"> </w:t>
      </w:r>
    </w:p>
    <w:p w14:paraId="180B96ED" w14:textId="77777777" w:rsidR="00F23D83" w:rsidRDefault="00F23D83" w:rsidP="002156FF">
      <w:pPr>
        <w:pStyle w:val="BodyText2"/>
        <w:rPr>
          <w:szCs w:val="22"/>
        </w:rPr>
      </w:pPr>
    </w:p>
    <w:p w14:paraId="66C5591B" w14:textId="77777777" w:rsidR="00CB7C2A" w:rsidRDefault="00CB7C2A" w:rsidP="002156FF">
      <w:pPr>
        <w:pStyle w:val="BodyText2"/>
        <w:rPr>
          <w:szCs w:val="22"/>
        </w:rPr>
      </w:pPr>
    </w:p>
    <w:p w14:paraId="40755B5E" w14:textId="77777777" w:rsidR="00CB7C2A" w:rsidRDefault="00CB7C2A" w:rsidP="002156FF">
      <w:pPr>
        <w:pStyle w:val="BodyText2"/>
        <w:rPr>
          <w:szCs w:val="22"/>
        </w:rPr>
      </w:pPr>
    </w:p>
    <w:p w14:paraId="00D7C9D7" w14:textId="3BF8522D" w:rsidR="00F23D83" w:rsidRDefault="00F23D83" w:rsidP="002156FF">
      <w:pPr>
        <w:pStyle w:val="BodyText2"/>
        <w:rPr>
          <w:szCs w:val="22"/>
        </w:rPr>
      </w:pPr>
      <w:r>
        <w:rPr>
          <w:szCs w:val="22"/>
        </w:rPr>
        <w:lastRenderedPageBreak/>
        <w:t>Status:</w:t>
      </w:r>
    </w:p>
    <w:p w14:paraId="10E7D0DE" w14:textId="02444876" w:rsidR="000E6FB3" w:rsidRDefault="000E6FB3" w:rsidP="000E6FB3">
      <w:pPr>
        <w:pStyle w:val="BodyText2"/>
        <w:rPr>
          <w:b w:val="0"/>
          <w:bCs w:val="0"/>
          <w:szCs w:val="22"/>
        </w:rPr>
      </w:pPr>
      <w:r w:rsidRPr="009042D4">
        <w:rPr>
          <w:b w:val="0"/>
          <w:bCs w:val="0"/>
          <w:szCs w:val="22"/>
        </w:rPr>
        <w:t xml:space="preserve">On March 22, 2023, the Statutory Accounting Principles (E) Working Group moved this agenda item to the active listing, categorized as a SAP clarification, </w:t>
      </w:r>
      <w:r w:rsidR="001359C8">
        <w:rPr>
          <w:b w:val="0"/>
          <w:bCs w:val="0"/>
          <w:szCs w:val="22"/>
        </w:rPr>
        <w:t xml:space="preserve">and </w:t>
      </w:r>
      <w:r w:rsidRPr="002E57F0">
        <w:rPr>
          <w:b w:val="0"/>
          <w:bCs w:val="0"/>
          <w:szCs w:val="22"/>
        </w:rPr>
        <w:t>expose</w:t>
      </w:r>
      <w:r>
        <w:rPr>
          <w:b w:val="0"/>
          <w:bCs w:val="0"/>
          <w:szCs w:val="22"/>
        </w:rPr>
        <w:t>d</w:t>
      </w:r>
      <w:r w:rsidRPr="002E57F0">
        <w:rPr>
          <w:b w:val="0"/>
          <w:bCs w:val="0"/>
          <w:szCs w:val="22"/>
        </w:rPr>
        <w:t xml:space="preserve"> revisions to </w:t>
      </w:r>
      <w:r w:rsidRPr="000E6FB3">
        <w:rPr>
          <w:b w:val="0"/>
          <w:bCs w:val="0"/>
          <w:szCs w:val="22"/>
        </w:rPr>
        <w:t xml:space="preserve">Appendix D </w:t>
      </w:r>
      <w:r w:rsidR="00FE7B48">
        <w:rPr>
          <w:b w:val="0"/>
          <w:bCs w:val="0"/>
          <w:szCs w:val="22"/>
        </w:rPr>
        <w:t>to reject</w:t>
      </w:r>
      <w:r>
        <w:rPr>
          <w:b w:val="0"/>
          <w:bCs w:val="0"/>
          <w:szCs w:val="22"/>
        </w:rPr>
        <w:t xml:space="preserve"> </w:t>
      </w:r>
      <w:r w:rsidR="00FE7B48" w:rsidRPr="00F258D3">
        <w:rPr>
          <w:b w:val="0"/>
          <w:bCs w:val="0"/>
          <w:i/>
          <w:iCs/>
          <w:szCs w:val="22"/>
        </w:rPr>
        <w:t xml:space="preserve">ASU 2019-07—Codification Updates to SEC Sections: Amendments to SEC Paragraphs Pursuant to SEC Final Rule Releases No. 33-10532, Disclosure Update and Simplification, and Nos. 33-10231 and 33-10442, Investment Company Reporting Modernization, and Miscellaneous </w:t>
      </w:r>
      <w:r w:rsidR="00FE7B48" w:rsidRPr="00685E6D">
        <w:rPr>
          <w:b w:val="0"/>
          <w:bCs w:val="0"/>
          <w:i/>
          <w:iCs/>
          <w:szCs w:val="22"/>
        </w:rPr>
        <w:t>Updates</w:t>
      </w:r>
      <w:r w:rsidR="00FE7B48">
        <w:rPr>
          <w:b w:val="0"/>
          <w:bCs w:val="0"/>
          <w:i/>
          <w:iCs/>
          <w:szCs w:val="22"/>
        </w:rPr>
        <w:t xml:space="preserve"> </w:t>
      </w:r>
      <w:r w:rsidR="00346678" w:rsidRPr="00346678">
        <w:rPr>
          <w:b w:val="0"/>
          <w:bCs w:val="0"/>
          <w:szCs w:val="22"/>
        </w:rPr>
        <w:t>as not applicable to statutory accounting</w:t>
      </w:r>
      <w:r w:rsidRPr="009042D4">
        <w:rPr>
          <w:b w:val="0"/>
          <w:bCs w:val="0"/>
          <w:szCs w:val="22"/>
        </w:rPr>
        <w:t>.</w:t>
      </w:r>
    </w:p>
    <w:p w14:paraId="6842545C" w14:textId="77777777" w:rsidR="00F23D83" w:rsidRDefault="00F23D83" w:rsidP="002156FF">
      <w:pPr>
        <w:pStyle w:val="BodyText2"/>
        <w:rPr>
          <w:szCs w:val="22"/>
        </w:rPr>
      </w:pPr>
    </w:p>
    <w:p w14:paraId="47FA62D0" w14:textId="77777777" w:rsidR="0092355C" w:rsidRPr="004D6DB6" w:rsidRDefault="0092355C" w:rsidP="002156FF">
      <w:pPr>
        <w:pStyle w:val="BodyText2"/>
        <w:rPr>
          <w:szCs w:val="22"/>
        </w:rPr>
      </w:pPr>
    </w:p>
    <w:p w14:paraId="0FE979AF" w14:textId="604065F8" w:rsidR="00AA1DC0" w:rsidRPr="00DF407B" w:rsidRDefault="002A1316" w:rsidP="000579B6">
      <w:pPr>
        <w:rPr>
          <w:sz w:val="22"/>
          <w:szCs w:val="22"/>
        </w:rPr>
      </w:pPr>
      <w:r w:rsidRPr="006303F9">
        <w:rPr>
          <w:sz w:val="16"/>
          <w:szCs w:val="16"/>
        </w:rPr>
        <w:fldChar w:fldCharType="begin"/>
      </w:r>
      <w:r w:rsidRPr="006303F9">
        <w:rPr>
          <w:sz w:val="16"/>
          <w:szCs w:val="16"/>
        </w:rPr>
        <w:instrText xml:space="preserve"> FILENAME \p </w:instrText>
      </w:r>
      <w:r w:rsidRPr="006303F9">
        <w:rPr>
          <w:sz w:val="16"/>
          <w:szCs w:val="16"/>
        </w:rPr>
        <w:fldChar w:fldCharType="separate"/>
      </w:r>
      <w:r w:rsidR="00FE7B48">
        <w:rPr>
          <w:noProof/>
          <w:sz w:val="16"/>
          <w:szCs w:val="16"/>
        </w:rPr>
        <w:t>https://naiconline.sharepoint.com/teams/FRSStatutoryAccounting/National Meetings/A. National Meeting Materials/2023/3-22-23 - Spring/Exposures/23-08 - ASU 2019-07 - SEC Updates.docx</w:t>
      </w:r>
      <w:r w:rsidRPr="006303F9">
        <w:rPr>
          <w:sz w:val="16"/>
          <w:szCs w:val="16"/>
        </w:rPr>
        <w:fldChar w:fldCharType="end"/>
      </w:r>
    </w:p>
    <w:sectPr w:rsidR="00AA1DC0" w:rsidRPr="00DF407B" w:rsidSect="00DF407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F054" w14:textId="77777777" w:rsidR="008709EC" w:rsidRDefault="008709EC">
      <w:r>
        <w:separator/>
      </w:r>
    </w:p>
  </w:endnote>
  <w:endnote w:type="continuationSeparator" w:id="0">
    <w:p w14:paraId="04D72D29" w14:textId="77777777" w:rsidR="008709EC" w:rsidRDefault="008709EC">
      <w:r>
        <w:continuationSeparator/>
      </w:r>
    </w:p>
  </w:endnote>
  <w:endnote w:type="continuationNotice" w:id="1">
    <w:p w14:paraId="79DB536C" w14:textId="77777777" w:rsidR="008709EC" w:rsidRDefault="00870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38B" w14:textId="4B69D9F8" w:rsidR="004863CE" w:rsidRDefault="004863CE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</w:t>
    </w:r>
    <w:r w:rsidR="003C2AD1">
      <w:rPr>
        <w:sz w:val="20"/>
      </w:rPr>
      <w:t>3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0D23" w14:textId="15EC467B" w:rsidR="004863CE" w:rsidRDefault="004863CE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2D40" w14:textId="77777777" w:rsidR="008709EC" w:rsidRDefault="008709EC">
      <w:r>
        <w:separator/>
      </w:r>
    </w:p>
  </w:footnote>
  <w:footnote w:type="continuationSeparator" w:id="0">
    <w:p w14:paraId="64BE7440" w14:textId="77777777" w:rsidR="008709EC" w:rsidRDefault="008709EC">
      <w:r>
        <w:continuationSeparator/>
      </w:r>
    </w:p>
  </w:footnote>
  <w:footnote w:type="continuationNotice" w:id="1">
    <w:p w14:paraId="0CCAAFC0" w14:textId="77777777" w:rsidR="008709EC" w:rsidRDefault="00870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ED1A" w14:textId="2F0BA97A" w:rsidR="004863CE" w:rsidRPr="00F04F9A" w:rsidRDefault="004863CE">
    <w:pPr>
      <w:pStyle w:val="Header"/>
      <w:jc w:val="right"/>
      <w:rPr>
        <w:bCs/>
        <w:sz w:val="20"/>
      </w:rPr>
    </w:pPr>
    <w:r w:rsidRPr="0092355C">
      <w:rPr>
        <w:bCs/>
        <w:sz w:val="20"/>
      </w:rPr>
      <w:t>Ref #202</w:t>
    </w:r>
    <w:r w:rsidR="00AE24B8" w:rsidRPr="0092355C">
      <w:rPr>
        <w:bCs/>
        <w:sz w:val="20"/>
      </w:rPr>
      <w:t>3</w:t>
    </w:r>
    <w:r w:rsidRPr="0092355C">
      <w:rPr>
        <w:bCs/>
        <w:sz w:val="20"/>
      </w:rPr>
      <w:t>-</w:t>
    </w:r>
    <w:r w:rsidR="0092355C" w:rsidRPr="0092355C">
      <w:rPr>
        <w:bCs/>
        <w:sz w:val="20"/>
      </w:rPr>
      <w:t>08</w:t>
    </w:r>
  </w:p>
  <w:p w14:paraId="12DAC63B" w14:textId="77777777" w:rsidR="004863CE" w:rsidRDefault="004863C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815E" w14:textId="77777777" w:rsidR="004863CE" w:rsidRPr="00F04F9A" w:rsidRDefault="004863CE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4863CE" w:rsidRPr="00F04F9A" w:rsidRDefault="004863CE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4863CE" w:rsidRDefault="004863CE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2038583898">
    <w:abstractNumId w:val="11"/>
  </w:num>
  <w:num w:numId="2" w16cid:durableId="2036809838">
    <w:abstractNumId w:val="20"/>
  </w:num>
  <w:num w:numId="3" w16cid:durableId="271211255">
    <w:abstractNumId w:val="17"/>
  </w:num>
  <w:num w:numId="4" w16cid:durableId="2084913448">
    <w:abstractNumId w:val="13"/>
  </w:num>
  <w:num w:numId="5" w16cid:durableId="1250583958">
    <w:abstractNumId w:val="14"/>
  </w:num>
  <w:num w:numId="6" w16cid:durableId="857233520">
    <w:abstractNumId w:val="10"/>
  </w:num>
  <w:num w:numId="7" w16cid:durableId="128791804">
    <w:abstractNumId w:val="7"/>
  </w:num>
  <w:num w:numId="8" w16cid:durableId="771510731">
    <w:abstractNumId w:val="12"/>
  </w:num>
  <w:num w:numId="9" w16cid:durableId="1735884189">
    <w:abstractNumId w:val="16"/>
  </w:num>
  <w:num w:numId="10" w16cid:durableId="1280257532">
    <w:abstractNumId w:val="18"/>
  </w:num>
  <w:num w:numId="11" w16cid:durableId="101002005">
    <w:abstractNumId w:val="3"/>
  </w:num>
  <w:num w:numId="12" w16cid:durableId="1820220784">
    <w:abstractNumId w:val="15"/>
  </w:num>
  <w:num w:numId="13" w16cid:durableId="1037392217">
    <w:abstractNumId w:val="19"/>
  </w:num>
  <w:num w:numId="14" w16cid:durableId="1601910183">
    <w:abstractNumId w:val="0"/>
  </w:num>
  <w:num w:numId="15" w16cid:durableId="1718049660">
    <w:abstractNumId w:val="5"/>
  </w:num>
  <w:num w:numId="16" w16cid:durableId="1675759147">
    <w:abstractNumId w:val="21"/>
  </w:num>
  <w:num w:numId="17" w16cid:durableId="417335462">
    <w:abstractNumId w:val="23"/>
  </w:num>
  <w:num w:numId="18" w16cid:durableId="29034906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 w16cid:durableId="1980071313">
    <w:abstractNumId w:val="9"/>
  </w:num>
  <w:num w:numId="20" w16cid:durableId="1315448435">
    <w:abstractNumId w:val="4"/>
  </w:num>
  <w:num w:numId="21" w16cid:durableId="1204370396">
    <w:abstractNumId w:val="1"/>
  </w:num>
  <w:num w:numId="22" w16cid:durableId="104615838">
    <w:abstractNumId w:val="22"/>
  </w:num>
  <w:num w:numId="23" w16cid:durableId="1923563186">
    <w:abstractNumId w:val="1"/>
  </w:num>
  <w:num w:numId="24" w16cid:durableId="173540360">
    <w:abstractNumId w:val="6"/>
  </w:num>
  <w:num w:numId="25" w16cid:durableId="2126148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21FD"/>
    <w:rsid w:val="00034B2F"/>
    <w:rsid w:val="000579B6"/>
    <w:rsid w:val="00062300"/>
    <w:rsid w:val="00066B6C"/>
    <w:rsid w:val="000705D0"/>
    <w:rsid w:val="0009129B"/>
    <w:rsid w:val="00091380"/>
    <w:rsid w:val="000967FA"/>
    <w:rsid w:val="000D51AD"/>
    <w:rsid w:val="000D6AE8"/>
    <w:rsid w:val="000D6BAC"/>
    <w:rsid w:val="000E1131"/>
    <w:rsid w:val="000E16CA"/>
    <w:rsid w:val="000E6FB3"/>
    <w:rsid w:val="00133830"/>
    <w:rsid w:val="0013539B"/>
    <w:rsid w:val="001359C8"/>
    <w:rsid w:val="00135C94"/>
    <w:rsid w:val="0015143F"/>
    <w:rsid w:val="00165CF4"/>
    <w:rsid w:val="00170AA0"/>
    <w:rsid w:val="00184144"/>
    <w:rsid w:val="001855AF"/>
    <w:rsid w:val="00187E34"/>
    <w:rsid w:val="0019505A"/>
    <w:rsid w:val="001A0821"/>
    <w:rsid w:val="001B3138"/>
    <w:rsid w:val="001F3CF4"/>
    <w:rsid w:val="001F46EB"/>
    <w:rsid w:val="00203FF7"/>
    <w:rsid w:val="002046F5"/>
    <w:rsid w:val="00213813"/>
    <w:rsid w:val="002156FF"/>
    <w:rsid w:val="00215F2E"/>
    <w:rsid w:val="00261273"/>
    <w:rsid w:val="002624C3"/>
    <w:rsid w:val="00264D8B"/>
    <w:rsid w:val="002A1316"/>
    <w:rsid w:val="002A44FE"/>
    <w:rsid w:val="002D70E6"/>
    <w:rsid w:val="002F6FF9"/>
    <w:rsid w:val="00304CEC"/>
    <w:rsid w:val="00306C82"/>
    <w:rsid w:val="003148E8"/>
    <w:rsid w:val="00317B55"/>
    <w:rsid w:val="00325660"/>
    <w:rsid w:val="003325E9"/>
    <w:rsid w:val="00333FC0"/>
    <w:rsid w:val="003415C3"/>
    <w:rsid w:val="0034544B"/>
    <w:rsid w:val="00346678"/>
    <w:rsid w:val="0035609F"/>
    <w:rsid w:val="00357190"/>
    <w:rsid w:val="00371706"/>
    <w:rsid w:val="0038630E"/>
    <w:rsid w:val="00392DF5"/>
    <w:rsid w:val="0039600A"/>
    <w:rsid w:val="003A1D59"/>
    <w:rsid w:val="003A2CDC"/>
    <w:rsid w:val="003B12DE"/>
    <w:rsid w:val="003C2AD1"/>
    <w:rsid w:val="003C5AA1"/>
    <w:rsid w:val="003E110D"/>
    <w:rsid w:val="0040093D"/>
    <w:rsid w:val="0040337C"/>
    <w:rsid w:val="0041602C"/>
    <w:rsid w:val="00434970"/>
    <w:rsid w:val="00435DAC"/>
    <w:rsid w:val="0044022E"/>
    <w:rsid w:val="00440DC7"/>
    <w:rsid w:val="00443809"/>
    <w:rsid w:val="00446244"/>
    <w:rsid w:val="004516AB"/>
    <w:rsid w:val="00452842"/>
    <w:rsid w:val="004718D3"/>
    <w:rsid w:val="00471CBB"/>
    <w:rsid w:val="00476C23"/>
    <w:rsid w:val="004829CD"/>
    <w:rsid w:val="00485906"/>
    <w:rsid w:val="004863CE"/>
    <w:rsid w:val="0048680B"/>
    <w:rsid w:val="00490996"/>
    <w:rsid w:val="004953BB"/>
    <w:rsid w:val="0049733D"/>
    <w:rsid w:val="004A166E"/>
    <w:rsid w:val="004A3274"/>
    <w:rsid w:val="004B31AD"/>
    <w:rsid w:val="004B51B6"/>
    <w:rsid w:val="004C310C"/>
    <w:rsid w:val="004D4855"/>
    <w:rsid w:val="004D56F1"/>
    <w:rsid w:val="004D60F1"/>
    <w:rsid w:val="004D6DB6"/>
    <w:rsid w:val="004E2BB9"/>
    <w:rsid w:val="004E3B7D"/>
    <w:rsid w:val="004F5CB3"/>
    <w:rsid w:val="004F7E41"/>
    <w:rsid w:val="00503CD4"/>
    <w:rsid w:val="005421CF"/>
    <w:rsid w:val="0054315F"/>
    <w:rsid w:val="00562444"/>
    <w:rsid w:val="005719EB"/>
    <w:rsid w:val="00590C6A"/>
    <w:rsid w:val="005A259E"/>
    <w:rsid w:val="005B05FC"/>
    <w:rsid w:val="005B1DE0"/>
    <w:rsid w:val="005B593D"/>
    <w:rsid w:val="005E15E0"/>
    <w:rsid w:val="00615167"/>
    <w:rsid w:val="00624E04"/>
    <w:rsid w:val="00626152"/>
    <w:rsid w:val="00626EC0"/>
    <w:rsid w:val="00630368"/>
    <w:rsid w:val="006303F9"/>
    <w:rsid w:val="00634598"/>
    <w:rsid w:val="00637C40"/>
    <w:rsid w:val="006448BD"/>
    <w:rsid w:val="00654938"/>
    <w:rsid w:val="006567A9"/>
    <w:rsid w:val="00676A9F"/>
    <w:rsid w:val="00685E6D"/>
    <w:rsid w:val="00690138"/>
    <w:rsid w:val="0069033E"/>
    <w:rsid w:val="00693508"/>
    <w:rsid w:val="006A382E"/>
    <w:rsid w:val="006B312F"/>
    <w:rsid w:val="006B37DD"/>
    <w:rsid w:val="006B7219"/>
    <w:rsid w:val="006D36FB"/>
    <w:rsid w:val="006D3A59"/>
    <w:rsid w:val="006E6649"/>
    <w:rsid w:val="00706B68"/>
    <w:rsid w:val="00715743"/>
    <w:rsid w:val="0072525D"/>
    <w:rsid w:val="007306B9"/>
    <w:rsid w:val="00753FE0"/>
    <w:rsid w:val="00756AE3"/>
    <w:rsid w:val="007574AB"/>
    <w:rsid w:val="00761440"/>
    <w:rsid w:val="00774EEB"/>
    <w:rsid w:val="007767B8"/>
    <w:rsid w:val="007774AA"/>
    <w:rsid w:val="00787C29"/>
    <w:rsid w:val="00794B81"/>
    <w:rsid w:val="00795898"/>
    <w:rsid w:val="007A2FB9"/>
    <w:rsid w:val="007B4554"/>
    <w:rsid w:val="007C69D0"/>
    <w:rsid w:val="007D5EC2"/>
    <w:rsid w:val="007F1389"/>
    <w:rsid w:val="007F344C"/>
    <w:rsid w:val="008122B8"/>
    <w:rsid w:val="00830EAF"/>
    <w:rsid w:val="008446E7"/>
    <w:rsid w:val="008709EC"/>
    <w:rsid w:val="0087435F"/>
    <w:rsid w:val="008758B4"/>
    <w:rsid w:val="00881216"/>
    <w:rsid w:val="008869A6"/>
    <w:rsid w:val="008A3EB0"/>
    <w:rsid w:val="008C3A60"/>
    <w:rsid w:val="008C59AA"/>
    <w:rsid w:val="008E00DD"/>
    <w:rsid w:val="008F25A7"/>
    <w:rsid w:val="00913357"/>
    <w:rsid w:val="009150B7"/>
    <w:rsid w:val="0092196B"/>
    <w:rsid w:val="0092355C"/>
    <w:rsid w:val="009249B4"/>
    <w:rsid w:val="009302F8"/>
    <w:rsid w:val="00930C7C"/>
    <w:rsid w:val="00957780"/>
    <w:rsid w:val="009636DC"/>
    <w:rsid w:val="00972A11"/>
    <w:rsid w:val="00980638"/>
    <w:rsid w:val="00984FA6"/>
    <w:rsid w:val="0098632A"/>
    <w:rsid w:val="009959A0"/>
    <w:rsid w:val="009B20EB"/>
    <w:rsid w:val="009C64DC"/>
    <w:rsid w:val="009C702B"/>
    <w:rsid w:val="009E6335"/>
    <w:rsid w:val="00A05A0A"/>
    <w:rsid w:val="00A11581"/>
    <w:rsid w:val="00A202AF"/>
    <w:rsid w:val="00A21201"/>
    <w:rsid w:val="00A41042"/>
    <w:rsid w:val="00A60DD4"/>
    <w:rsid w:val="00A82C39"/>
    <w:rsid w:val="00A835C4"/>
    <w:rsid w:val="00A92C59"/>
    <w:rsid w:val="00AA1DC0"/>
    <w:rsid w:val="00AA6691"/>
    <w:rsid w:val="00AB2150"/>
    <w:rsid w:val="00AC14AF"/>
    <w:rsid w:val="00AE24B8"/>
    <w:rsid w:val="00AE51E3"/>
    <w:rsid w:val="00AE6149"/>
    <w:rsid w:val="00AE74CF"/>
    <w:rsid w:val="00AF4F8A"/>
    <w:rsid w:val="00B10C19"/>
    <w:rsid w:val="00B14450"/>
    <w:rsid w:val="00B224C6"/>
    <w:rsid w:val="00B30CA0"/>
    <w:rsid w:val="00B51276"/>
    <w:rsid w:val="00B532B7"/>
    <w:rsid w:val="00B575EF"/>
    <w:rsid w:val="00B641DB"/>
    <w:rsid w:val="00B85387"/>
    <w:rsid w:val="00BB5939"/>
    <w:rsid w:val="00BE51B2"/>
    <w:rsid w:val="00C04FA0"/>
    <w:rsid w:val="00C051DB"/>
    <w:rsid w:val="00C26B71"/>
    <w:rsid w:val="00C6544D"/>
    <w:rsid w:val="00C66C7A"/>
    <w:rsid w:val="00C863FC"/>
    <w:rsid w:val="00C9066D"/>
    <w:rsid w:val="00C94489"/>
    <w:rsid w:val="00CA39BF"/>
    <w:rsid w:val="00CB5BF5"/>
    <w:rsid w:val="00CB7C2A"/>
    <w:rsid w:val="00CB7CFA"/>
    <w:rsid w:val="00CC53AA"/>
    <w:rsid w:val="00CD6FB9"/>
    <w:rsid w:val="00CE3B76"/>
    <w:rsid w:val="00CF3750"/>
    <w:rsid w:val="00D21513"/>
    <w:rsid w:val="00D4565A"/>
    <w:rsid w:val="00D47195"/>
    <w:rsid w:val="00D506C4"/>
    <w:rsid w:val="00D679AA"/>
    <w:rsid w:val="00D8453D"/>
    <w:rsid w:val="00D91B93"/>
    <w:rsid w:val="00D924B0"/>
    <w:rsid w:val="00DA1C46"/>
    <w:rsid w:val="00DC0270"/>
    <w:rsid w:val="00DC071A"/>
    <w:rsid w:val="00DD5C4D"/>
    <w:rsid w:val="00DF407B"/>
    <w:rsid w:val="00E077F0"/>
    <w:rsid w:val="00E136A0"/>
    <w:rsid w:val="00E1380E"/>
    <w:rsid w:val="00E164B5"/>
    <w:rsid w:val="00E2462E"/>
    <w:rsid w:val="00E30ACC"/>
    <w:rsid w:val="00E611FD"/>
    <w:rsid w:val="00E676CB"/>
    <w:rsid w:val="00E72E8D"/>
    <w:rsid w:val="00E843F6"/>
    <w:rsid w:val="00E90A65"/>
    <w:rsid w:val="00EA2736"/>
    <w:rsid w:val="00EA3D48"/>
    <w:rsid w:val="00EC0FCD"/>
    <w:rsid w:val="00EC15C1"/>
    <w:rsid w:val="00EC5218"/>
    <w:rsid w:val="00EC61F1"/>
    <w:rsid w:val="00EF720B"/>
    <w:rsid w:val="00F004F2"/>
    <w:rsid w:val="00F04F9A"/>
    <w:rsid w:val="00F05F13"/>
    <w:rsid w:val="00F104C7"/>
    <w:rsid w:val="00F14BB2"/>
    <w:rsid w:val="00F179AD"/>
    <w:rsid w:val="00F23D83"/>
    <w:rsid w:val="00F258D3"/>
    <w:rsid w:val="00F3247F"/>
    <w:rsid w:val="00F36D97"/>
    <w:rsid w:val="00F45D51"/>
    <w:rsid w:val="00F500A1"/>
    <w:rsid w:val="00F723F1"/>
    <w:rsid w:val="00F858B9"/>
    <w:rsid w:val="00F90292"/>
    <w:rsid w:val="00FD21E2"/>
    <w:rsid w:val="00FD6B88"/>
    <w:rsid w:val="00FE7B48"/>
    <w:rsid w:val="00FE7FAA"/>
    <w:rsid w:val="00FF101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A474C"/>
  <w15:docId w15:val="{161079FC-70E5-4E56-8A58-8C759B92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5B1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D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44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4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4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450"/>
    <w:rPr>
      <w:b/>
      <w:bCs/>
    </w:rPr>
  </w:style>
  <w:style w:type="paragraph" w:styleId="Revision">
    <w:name w:val="Revision"/>
    <w:hidden/>
    <w:uiPriority w:val="99"/>
    <w:semiHidden/>
    <w:rsid w:val="00262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EDF019004E4AB00FDE98BFC1B847" ma:contentTypeVersion="15" ma:contentTypeDescription="Create a new document." ma:contentTypeScope="" ma:versionID="56a827bd2b5cb84d25b1a7bd685f03bd">
  <xsd:schema xmlns:xsd="http://www.w3.org/2001/XMLSchema" xmlns:xs="http://www.w3.org/2001/XMLSchema" xmlns:p="http://schemas.microsoft.com/office/2006/metadata/properties" xmlns:ns2="dbd46520-c392-41b5-9f68-fe7486eefad7" xmlns:ns3="826143e3-bbcb-45bb-8829-107013e701e5" xmlns:ns4="3c9e15a3-223f-4584-afb1-1dbe0b3878fa" targetNamespace="http://schemas.microsoft.com/office/2006/metadata/properties" ma:root="true" ma:fieldsID="d6dad19478cb1e330b4fa60b93b3bd8d" ns2:_="" ns3:_="" ns4:_="">
    <xsd:import namespace="dbd46520-c392-41b5-9f68-fe7486eefad7"/>
    <xsd:import namespace="826143e3-bbcb-45bb-8829-107013e701e5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6520-c392-41b5-9f68-fe7486e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7f632e-5ad0-4c8c-a771-480ef62b4bfd}" ma:internalName="TaxCatchAll" ma:showField="CatchAllData" ma:web="826143e3-bbcb-45bb-8829-107013e7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d46520-c392-41b5-9f68-fe7486eefad7">
      <Terms xmlns="http://schemas.microsoft.com/office/infopath/2007/PartnerControls"/>
    </lcf76f155ced4ddcb4097134ff3c332f>
    <TaxCatchAll xmlns="3c9e15a3-223f-4584-afb1-1dbe0b3878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5507-AD30-4CAE-B0D3-7592255D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46520-c392-41b5-9f68-fe7486eefad7"/>
    <ds:schemaRef ds:uri="826143e3-bbcb-45bb-8829-107013e701e5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3DBAA-868C-41C1-8170-884AB4315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764BD-B74B-4FFE-AC85-F9BE917CDA7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826143e3-bbcb-45bb-8829-107013e701e5"/>
    <ds:schemaRef ds:uri="3c9e15a3-223f-4584-afb1-1dbe0b3878fa"/>
    <ds:schemaRef ds:uri="http://schemas.microsoft.com/office/infopath/2007/PartnerControls"/>
    <ds:schemaRef ds:uri="http://schemas.openxmlformats.org/package/2006/metadata/core-properties"/>
    <ds:schemaRef ds:uri="dbd46520-c392-41b5-9f68-fe7486eefad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429ED3-FD5B-4983-A068-8714CAC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501</Words>
  <Characters>3340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Stultz, Jake</cp:lastModifiedBy>
  <cp:revision>49</cp:revision>
  <cp:lastPrinted>2011-03-01T22:07:00Z</cp:lastPrinted>
  <dcterms:created xsi:type="dcterms:W3CDTF">2023-02-09T16:35:00Z</dcterms:created>
  <dcterms:modified xsi:type="dcterms:W3CDTF">2023-03-27T18:35:00Z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0x010100DD0FEDF019004E4AB00FDE98BFC1B847</vt:lpwstr>
  </property>
  <property fmtid="{D5CDD505-2E9C-101B-9397-08002B2CF9AE}" pid="3" name="MediaServiceImageTags">
    <vt:lpwstr/>
  </property>
</Properties>
</file>