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970BBF" w:rsidRDefault="002A1316">
      <w:pPr>
        <w:pStyle w:val="Title"/>
        <w:rPr>
          <w:sz w:val="22"/>
          <w:szCs w:val="22"/>
        </w:rPr>
      </w:pPr>
      <w:r w:rsidRPr="00970BBF">
        <w:rPr>
          <w:sz w:val="22"/>
          <w:szCs w:val="22"/>
        </w:rPr>
        <w:t xml:space="preserve">Statutory Accounting Principles </w:t>
      </w:r>
      <w:r w:rsidR="00C6544D" w:rsidRPr="00970BBF">
        <w:rPr>
          <w:sz w:val="22"/>
          <w:szCs w:val="22"/>
        </w:rPr>
        <w:t xml:space="preserve">(E) </w:t>
      </w:r>
      <w:r w:rsidRPr="00970BBF">
        <w:rPr>
          <w:sz w:val="22"/>
          <w:szCs w:val="22"/>
        </w:rPr>
        <w:t>Working Group</w:t>
      </w:r>
    </w:p>
    <w:p w14:paraId="5E8586D5" w14:textId="77777777" w:rsidR="002A1316" w:rsidRPr="00970BBF" w:rsidRDefault="002A1316">
      <w:pPr>
        <w:jc w:val="center"/>
        <w:rPr>
          <w:b/>
          <w:sz w:val="22"/>
          <w:szCs w:val="22"/>
        </w:rPr>
      </w:pPr>
      <w:r w:rsidRPr="00970BBF">
        <w:rPr>
          <w:b/>
          <w:sz w:val="22"/>
          <w:szCs w:val="22"/>
        </w:rPr>
        <w:t>Maintenance Agenda Submission Form</w:t>
      </w:r>
    </w:p>
    <w:p w14:paraId="43927C70" w14:textId="77777777" w:rsidR="002A1316" w:rsidRPr="00970BBF" w:rsidRDefault="002A1316">
      <w:pPr>
        <w:jc w:val="center"/>
        <w:rPr>
          <w:b/>
          <w:sz w:val="22"/>
          <w:szCs w:val="22"/>
        </w:rPr>
      </w:pPr>
      <w:r w:rsidRPr="00970BBF">
        <w:rPr>
          <w:b/>
          <w:sz w:val="22"/>
          <w:szCs w:val="22"/>
        </w:rPr>
        <w:t>Form A</w:t>
      </w:r>
    </w:p>
    <w:p w14:paraId="65BCA41C" w14:textId="77777777" w:rsidR="002A1316" w:rsidRPr="00970BBF" w:rsidRDefault="002A1316">
      <w:pPr>
        <w:pStyle w:val="Heading2"/>
        <w:jc w:val="center"/>
        <w:rPr>
          <w:sz w:val="22"/>
          <w:szCs w:val="22"/>
        </w:rPr>
      </w:pPr>
    </w:p>
    <w:p w14:paraId="10F0B4B2" w14:textId="52596A3E" w:rsidR="002A1316" w:rsidRPr="00970BBF" w:rsidRDefault="002A1316" w:rsidP="00B30CA0">
      <w:pPr>
        <w:pStyle w:val="Heading2"/>
        <w:rPr>
          <w:sz w:val="22"/>
          <w:szCs w:val="22"/>
        </w:rPr>
      </w:pPr>
      <w:r w:rsidRPr="00970BBF">
        <w:rPr>
          <w:b/>
          <w:sz w:val="22"/>
          <w:szCs w:val="22"/>
        </w:rPr>
        <w:t>Issue</w:t>
      </w:r>
      <w:r w:rsidR="003C07DE" w:rsidRPr="00970BBF">
        <w:rPr>
          <w:b/>
          <w:sz w:val="22"/>
          <w:szCs w:val="22"/>
        </w:rPr>
        <w:t>: SSAP</w:t>
      </w:r>
      <w:r w:rsidR="00860685" w:rsidRPr="00C7588F">
        <w:rPr>
          <w:b/>
          <w:i/>
          <w:iCs/>
          <w:sz w:val="22"/>
          <w:szCs w:val="22"/>
        </w:rPr>
        <w:t xml:space="preserve"> No. 7—</w:t>
      </w:r>
      <w:r w:rsidR="0001788D" w:rsidRPr="00C7588F">
        <w:rPr>
          <w:b/>
          <w:i/>
          <w:iCs/>
          <w:sz w:val="22"/>
          <w:szCs w:val="22"/>
        </w:rPr>
        <w:t>Asset Valuation Reserve and Interest Maintenance Reserve</w:t>
      </w:r>
    </w:p>
    <w:p w14:paraId="7D50C110" w14:textId="77777777" w:rsidR="00B30CA0" w:rsidRPr="00970BBF" w:rsidRDefault="00B30CA0" w:rsidP="00B30CA0">
      <w:pPr>
        <w:rPr>
          <w:sz w:val="22"/>
          <w:szCs w:val="22"/>
        </w:rPr>
      </w:pPr>
    </w:p>
    <w:p w14:paraId="1E0B900E" w14:textId="77777777" w:rsidR="002A1316" w:rsidRPr="00970BBF" w:rsidRDefault="002A1316" w:rsidP="00B30CA0">
      <w:pPr>
        <w:jc w:val="both"/>
        <w:rPr>
          <w:b/>
          <w:sz w:val="22"/>
          <w:szCs w:val="22"/>
        </w:rPr>
      </w:pPr>
      <w:r w:rsidRPr="00970BBF">
        <w:rPr>
          <w:b/>
          <w:sz w:val="22"/>
          <w:szCs w:val="22"/>
        </w:rPr>
        <w:t>Check (applicable entity):</w:t>
      </w:r>
    </w:p>
    <w:p w14:paraId="3CA22BB3" w14:textId="77777777" w:rsidR="006B37DD" w:rsidRPr="00970BBF" w:rsidRDefault="006B37DD" w:rsidP="006B37DD">
      <w:pPr>
        <w:tabs>
          <w:tab w:val="center" w:pos="4455"/>
          <w:tab w:val="center" w:pos="5886"/>
          <w:tab w:val="center" w:pos="7326"/>
        </w:tabs>
        <w:jc w:val="both"/>
        <w:rPr>
          <w:sz w:val="22"/>
          <w:szCs w:val="22"/>
        </w:rPr>
      </w:pPr>
      <w:r w:rsidRPr="00970BBF">
        <w:rPr>
          <w:sz w:val="22"/>
          <w:szCs w:val="22"/>
        </w:rPr>
        <w:tab/>
        <w:t>P/C</w:t>
      </w:r>
      <w:r w:rsidRPr="00970BBF">
        <w:rPr>
          <w:sz w:val="22"/>
          <w:szCs w:val="22"/>
        </w:rPr>
        <w:tab/>
        <w:t>Life</w:t>
      </w:r>
      <w:r w:rsidRPr="00970BBF">
        <w:rPr>
          <w:sz w:val="22"/>
          <w:szCs w:val="22"/>
        </w:rPr>
        <w:tab/>
        <w:t>Health</w:t>
      </w:r>
    </w:p>
    <w:p w14:paraId="347337DD" w14:textId="6EF365D0" w:rsidR="002A1316" w:rsidRPr="00970BBF" w:rsidRDefault="002A1316" w:rsidP="00B30CA0">
      <w:pPr>
        <w:ind w:firstLine="720"/>
        <w:jc w:val="both"/>
        <w:rPr>
          <w:sz w:val="22"/>
          <w:szCs w:val="22"/>
        </w:rPr>
      </w:pPr>
      <w:r w:rsidRPr="00970BBF">
        <w:rPr>
          <w:sz w:val="22"/>
          <w:szCs w:val="22"/>
        </w:rPr>
        <w:t xml:space="preserve">Modification of </w:t>
      </w:r>
      <w:r w:rsidR="00DF407B" w:rsidRPr="00970BBF">
        <w:rPr>
          <w:sz w:val="22"/>
          <w:szCs w:val="22"/>
        </w:rPr>
        <w:t>E</w:t>
      </w:r>
      <w:r w:rsidRPr="00970BBF">
        <w:rPr>
          <w:sz w:val="22"/>
          <w:szCs w:val="22"/>
        </w:rPr>
        <w:t>xisting SSAP</w:t>
      </w:r>
      <w:r w:rsidRPr="00970BBF">
        <w:rPr>
          <w:sz w:val="22"/>
          <w:szCs w:val="22"/>
        </w:rPr>
        <w:tab/>
      </w:r>
      <w:r w:rsidRPr="00970BBF">
        <w:rPr>
          <w:sz w:val="22"/>
          <w:szCs w:val="22"/>
        </w:rPr>
        <w:tab/>
      </w:r>
      <w:r w:rsidR="008530DA" w:rsidRPr="00970BBF">
        <w:rPr>
          <w:sz w:val="22"/>
          <w:szCs w:val="22"/>
        </w:rPr>
        <w:fldChar w:fldCharType="begin">
          <w:ffData>
            <w:name w:val="Check1"/>
            <w:enabled/>
            <w:calcOnExit w:val="0"/>
            <w:checkBox>
              <w:sizeAuto/>
              <w:default w:val="0"/>
            </w:checkBox>
          </w:ffData>
        </w:fldChar>
      </w:r>
      <w:r w:rsidR="008530DA" w:rsidRPr="00970BBF">
        <w:rPr>
          <w:sz w:val="22"/>
          <w:szCs w:val="22"/>
        </w:rPr>
        <w:instrText xml:space="preserve"> </w:instrText>
      </w:r>
      <w:bookmarkStart w:id="0" w:name="Check1"/>
      <w:r w:rsidR="008530DA" w:rsidRPr="00970BBF">
        <w:rPr>
          <w:sz w:val="22"/>
          <w:szCs w:val="22"/>
        </w:rPr>
        <w:instrText xml:space="preserve">FORMCHECKBOX </w:instrText>
      </w:r>
      <w:r w:rsidR="008530DA" w:rsidRPr="00970BBF">
        <w:rPr>
          <w:sz w:val="22"/>
          <w:szCs w:val="22"/>
        </w:rPr>
      </w:r>
      <w:r w:rsidR="008530DA" w:rsidRPr="00970BBF">
        <w:rPr>
          <w:sz w:val="22"/>
          <w:szCs w:val="22"/>
        </w:rPr>
        <w:fldChar w:fldCharType="separate"/>
      </w:r>
      <w:r w:rsidR="008530DA" w:rsidRPr="00970BBF">
        <w:rPr>
          <w:sz w:val="22"/>
          <w:szCs w:val="22"/>
        </w:rPr>
        <w:fldChar w:fldCharType="end"/>
      </w:r>
      <w:bookmarkEnd w:id="0"/>
      <w:r w:rsidRPr="00970BBF">
        <w:rPr>
          <w:sz w:val="22"/>
          <w:szCs w:val="22"/>
        </w:rPr>
        <w:tab/>
      </w:r>
      <w:r w:rsidRPr="00970BBF">
        <w:rPr>
          <w:sz w:val="22"/>
          <w:szCs w:val="22"/>
        </w:rPr>
        <w:tab/>
      </w:r>
      <w:r w:rsidRPr="00970BBF">
        <w:rPr>
          <w:sz w:val="22"/>
          <w:szCs w:val="22"/>
        </w:rPr>
        <w:fldChar w:fldCharType="begin">
          <w:ffData>
            <w:name w:val=""/>
            <w:enabled/>
            <w:calcOnExit w:val="0"/>
            <w:checkBox>
              <w:sizeAuto/>
              <w:default w:val="1"/>
            </w:checkBox>
          </w:ffData>
        </w:fldChar>
      </w:r>
      <w:r w:rsidRPr="00970BBF">
        <w:rPr>
          <w:sz w:val="22"/>
          <w:szCs w:val="22"/>
        </w:rPr>
        <w:instrText xml:space="preserve"> FORMCHECKBOX </w:instrText>
      </w:r>
      <w:r w:rsidRPr="00970BBF">
        <w:rPr>
          <w:sz w:val="22"/>
          <w:szCs w:val="22"/>
        </w:rPr>
      </w:r>
      <w:r w:rsidRPr="00970BBF">
        <w:rPr>
          <w:sz w:val="22"/>
          <w:szCs w:val="22"/>
        </w:rPr>
        <w:fldChar w:fldCharType="separate"/>
      </w:r>
      <w:r w:rsidRPr="00970BBF">
        <w:rPr>
          <w:sz w:val="22"/>
          <w:szCs w:val="22"/>
        </w:rPr>
        <w:fldChar w:fldCharType="end"/>
      </w:r>
      <w:r w:rsidRPr="00970BBF">
        <w:rPr>
          <w:sz w:val="22"/>
          <w:szCs w:val="22"/>
        </w:rPr>
        <w:tab/>
      </w:r>
      <w:r w:rsidRPr="00970BBF">
        <w:rPr>
          <w:sz w:val="22"/>
          <w:szCs w:val="22"/>
        </w:rPr>
        <w:tab/>
      </w:r>
      <w:r w:rsidR="00C118ED" w:rsidRPr="00970BBF">
        <w:rPr>
          <w:sz w:val="22"/>
          <w:szCs w:val="22"/>
        </w:rPr>
        <w:fldChar w:fldCharType="begin">
          <w:ffData>
            <w:name w:val="Check1"/>
            <w:enabled/>
            <w:calcOnExit w:val="0"/>
            <w:checkBox>
              <w:sizeAuto/>
              <w:default w:val="0"/>
            </w:checkBox>
          </w:ffData>
        </w:fldChar>
      </w:r>
      <w:r w:rsidR="00C118ED" w:rsidRPr="00970BBF">
        <w:rPr>
          <w:sz w:val="22"/>
          <w:szCs w:val="22"/>
        </w:rPr>
        <w:instrText xml:space="preserve"> FORMCHECKBOX </w:instrText>
      </w:r>
      <w:r w:rsidR="00C118ED" w:rsidRPr="00970BBF">
        <w:rPr>
          <w:sz w:val="22"/>
          <w:szCs w:val="22"/>
        </w:rPr>
      </w:r>
      <w:r w:rsidR="00C118ED" w:rsidRPr="00970BBF">
        <w:rPr>
          <w:sz w:val="22"/>
          <w:szCs w:val="22"/>
        </w:rPr>
        <w:fldChar w:fldCharType="separate"/>
      </w:r>
      <w:r w:rsidR="00C118ED" w:rsidRPr="00970BBF">
        <w:rPr>
          <w:sz w:val="22"/>
          <w:szCs w:val="22"/>
        </w:rPr>
        <w:fldChar w:fldCharType="end"/>
      </w:r>
      <w:r w:rsidR="00C118ED" w:rsidRPr="00970BBF">
        <w:rPr>
          <w:sz w:val="22"/>
          <w:szCs w:val="22"/>
        </w:rPr>
        <w:tab/>
      </w:r>
    </w:p>
    <w:p w14:paraId="4332D7DA" w14:textId="02284300" w:rsidR="002A1316" w:rsidRPr="00970BBF" w:rsidRDefault="002A1316" w:rsidP="00B30CA0">
      <w:pPr>
        <w:ind w:firstLine="720"/>
        <w:jc w:val="both"/>
        <w:rPr>
          <w:sz w:val="22"/>
          <w:szCs w:val="22"/>
        </w:rPr>
      </w:pPr>
      <w:r w:rsidRPr="00970BBF">
        <w:rPr>
          <w:sz w:val="22"/>
          <w:szCs w:val="22"/>
        </w:rPr>
        <w:t>New Issue or SSAP</w:t>
      </w:r>
      <w:r w:rsidRPr="00970BBF">
        <w:rPr>
          <w:sz w:val="22"/>
          <w:szCs w:val="22"/>
        </w:rPr>
        <w:tab/>
      </w:r>
      <w:r w:rsidRPr="00970BBF">
        <w:rPr>
          <w:sz w:val="22"/>
          <w:szCs w:val="22"/>
        </w:rPr>
        <w:tab/>
      </w:r>
      <w:r w:rsidRPr="00970BBF">
        <w:rPr>
          <w:sz w:val="22"/>
          <w:szCs w:val="22"/>
        </w:rPr>
        <w:tab/>
      </w:r>
      <w:r w:rsidRPr="00970BBF">
        <w:rPr>
          <w:sz w:val="22"/>
          <w:szCs w:val="22"/>
        </w:rPr>
        <w:fldChar w:fldCharType="begin">
          <w:ffData>
            <w:name w:val=""/>
            <w:enabled/>
            <w:calcOnExit w:val="0"/>
            <w:checkBox>
              <w:sizeAuto/>
              <w:default w:val="0"/>
            </w:checkBox>
          </w:ffData>
        </w:fldChar>
      </w:r>
      <w:r w:rsidRPr="00970BBF">
        <w:rPr>
          <w:sz w:val="22"/>
          <w:szCs w:val="22"/>
        </w:rPr>
        <w:instrText xml:space="preserve"> FORMCHECKBOX </w:instrText>
      </w:r>
      <w:r w:rsidRPr="00970BBF">
        <w:rPr>
          <w:sz w:val="22"/>
          <w:szCs w:val="22"/>
        </w:rPr>
      </w:r>
      <w:r w:rsidRPr="00970BBF">
        <w:rPr>
          <w:sz w:val="22"/>
          <w:szCs w:val="22"/>
        </w:rPr>
        <w:fldChar w:fldCharType="separate"/>
      </w:r>
      <w:r w:rsidRPr="00970BBF">
        <w:rPr>
          <w:sz w:val="22"/>
          <w:szCs w:val="22"/>
        </w:rPr>
        <w:fldChar w:fldCharType="end"/>
      </w:r>
      <w:r w:rsidRPr="00970BBF">
        <w:rPr>
          <w:sz w:val="22"/>
          <w:szCs w:val="22"/>
        </w:rPr>
        <w:tab/>
      </w:r>
      <w:r w:rsidRPr="00970BBF">
        <w:rPr>
          <w:sz w:val="22"/>
          <w:szCs w:val="22"/>
        </w:rPr>
        <w:tab/>
      </w:r>
      <w:r w:rsidRPr="00970BBF">
        <w:rPr>
          <w:sz w:val="22"/>
          <w:szCs w:val="22"/>
        </w:rPr>
        <w:fldChar w:fldCharType="begin">
          <w:ffData>
            <w:name w:val=""/>
            <w:enabled/>
            <w:calcOnExit w:val="0"/>
            <w:checkBox>
              <w:sizeAuto/>
              <w:default w:val="0"/>
            </w:checkBox>
          </w:ffData>
        </w:fldChar>
      </w:r>
      <w:r w:rsidRPr="00970BBF">
        <w:rPr>
          <w:sz w:val="22"/>
          <w:szCs w:val="22"/>
        </w:rPr>
        <w:instrText xml:space="preserve"> FORMCHECKBOX </w:instrText>
      </w:r>
      <w:r w:rsidRPr="00970BBF">
        <w:rPr>
          <w:sz w:val="22"/>
          <w:szCs w:val="22"/>
        </w:rPr>
      </w:r>
      <w:r w:rsidRPr="00970BBF">
        <w:rPr>
          <w:sz w:val="22"/>
          <w:szCs w:val="22"/>
        </w:rPr>
        <w:fldChar w:fldCharType="separate"/>
      </w:r>
      <w:r w:rsidRPr="00970BBF">
        <w:rPr>
          <w:sz w:val="22"/>
          <w:szCs w:val="22"/>
        </w:rPr>
        <w:fldChar w:fldCharType="end"/>
      </w:r>
      <w:r w:rsidRPr="00970BBF">
        <w:rPr>
          <w:sz w:val="22"/>
          <w:szCs w:val="22"/>
        </w:rPr>
        <w:tab/>
      </w:r>
      <w:r w:rsidRPr="00970BBF">
        <w:rPr>
          <w:sz w:val="22"/>
          <w:szCs w:val="22"/>
        </w:rPr>
        <w:tab/>
      </w:r>
      <w:r w:rsidRPr="00970BBF">
        <w:rPr>
          <w:sz w:val="22"/>
          <w:szCs w:val="22"/>
        </w:rPr>
        <w:fldChar w:fldCharType="begin">
          <w:ffData>
            <w:name w:val=""/>
            <w:enabled/>
            <w:calcOnExit w:val="0"/>
            <w:checkBox>
              <w:sizeAuto/>
              <w:default w:val="0"/>
            </w:checkBox>
          </w:ffData>
        </w:fldChar>
      </w:r>
      <w:r w:rsidRPr="00970BBF">
        <w:rPr>
          <w:sz w:val="22"/>
          <w:szCs w:val="22"/>
        </w:rPr>
        <w:instrText xml:space="preserve"> FORMCHECKBOX </w:instrText>
      </w:r>
      <w:r w:rsidRPr="00970BBF">
        <w:rPr>
          <w:sz w:val="22"/>
          <w:szCs w:val="22"/>
        </w:rPr>
      </w:r>
      <w:r w:rsidRPr="00970BBF">
        <w:rPr>
          <w:sz w:val="22"/>
          <w:szCs w:val="22"/>
        </w:rPr>
        <w:fldChar w:fldCharType="separate"/>
      </w:r>
      <w:r w:rsidRPr="00970BBF">
        <w:rPr>
          <w:sz w:val="22"/>
          <w:szCs w:val="22"/>
        </w:rPr>
        <w:fldChar w:fldCharType="end"/>
      </w:r>
    </w:p>
    <w:p w14:paraId="108F9360" w14:textId="5D9EFA97" w:rsidR="0044022E" w:rsidRPr="00970BBF" w:rsidRDefault="0044022E" w:rsidP="0044022E">
      <w:pPr>
        <w:ind w:firstLine="720"/>
        <w:jc w:val="both"/>
        <w:rPr>
          <w:sz w:val="22"/>
          <w:szCs w:val="22"/>
        </w:rPr>
      </w:pPr>
      <w:r w:rsidRPr="00970BBF">
        <w:rPr>
          <w:sz w:val="22"/>
          <w:szCs w:val="22"/>
        </w:rPr>
        <w:t>Interpretation</w:t>
      </w:r>
      <w:r w:rsidRPr="00970BBF">
        <w:rPr>
          <w:sz w:val="22"/>
          <w:szCs w:val="22"/>
        </w:rPr>
        <w:tab/>
      </w:r>
      <w:r w:rsidRPr="00970BBF">
        <w:rPr>
          <w:sz w:val="22"/>
          <w:szCs w:val="22"/>
        </w:rPr>
        <w:tab/>
      </w:r>
      <w:r w:rsidRPr="00970BBF">
        <w:rPr>
          <w:sz w:val="22"/>
          <w:szCs w:val="22"/>
        </w:rPr>
        <w:tab/>
      </w:r>
      <w:r w:rsidRPr="00970BBF">
        <w:rPr>
          <w:sz w:val="22"/>
          <w:szCs w:val="22"/>
        </w:rPr>
        <w:tab/>
      </w:r>
      <w:r w:rsidRPr="00970BBF">
        <w:rPr>
          <w:sz w:val="22"/>
          <w:szCs w:val="22"/>
        </w:rPr>
        <w:fldChar w:fldCharType="begin">
          <w:ffData>
            <w:name w:val=""/>
            <w:enabled/>
            <w:calcOnExit w:val="0"/>
            <w:checkBox>
              <w:sizeAuto/>
              <w:default w:val="0"/>
            </w:checkBox>
          </w:ffData>
        </w:fldChar>
      </w:r>
      <w:r w:rsidRPr="00970BBF">
        <w:rPr>
          <w:sz w:val="22"/>
          <w:szCs w:val="22"/>
        </w:rPr>
        <w:instrText xml:space="preserve"> FORMCHECKBOX </w:instrText>
      </w:r>
      <w:r w:rsidRPr="00970BBF">
        <w:rPr>
          <w:sz w:val="22"/>
          <w:szCs w:val="22"/>
        </w:rPr>
      </w:r>
      <w:r w:rsidRPr="00970BBF">
        <w:rPr>
          <w:sz w:val="22"/>
          <w:szCs w:val="22"/>
        </w:rPr>
        <w:fldChar w:fldCharType="separate"/>
      </w:r>
      <w:r w:rsidRPr="00970BBF">
        <w:rPr>
          <w:sz w:val="22"/>
          <w:szCs w:val="22"/>
        </w:rPr>
        <w:fldChar w:fldCharType="end"/>
      </w:r>
      <w:r w:rsidRPr="00970BBF">
        <w:rPr>
          <w:sz w:val="22"/>
          <w:szCs w:val="22"/>
        </w:rPr>
        <w:tab/>
      </w:r>
      <w:r w:rsidRPr="00970BBF">
        <w:rPr>
          <w:sz w:val="22"/>
          <w:szCs w:val="22"/>
        </w:rPr>
        <w:tab/>
      </w:r>
      <w:r w:rsidRPr="00970BBF">
        <w:rPr>
          <w:sz w:val="22"/>
          <w:szCs w:val="22"/>
        </w:rPr>
        <w:fldChar w:fldCharType="begin">
          <w:ffData>
            <w:name w:val=""/>
            <w:enabled/>
            <w:calcOnExit w:val="0"/>
            <w:checkBox>
              <w:sizeAuto/>
              <w:default w:val="0"/>
            </w:checkBox>
          </w:ffData>
        </w:fldChar>
      </w:r>
      <w:r w:rsidRPr="00970BBF">
        <w:rPr>
          <w:sz w:val="22"/>
          <w:szCs w:val="22"/>
        </w:rPr>
        <w:instrText xml:space="preserve"> FORMCHECKBOX </w:instrText>
      </w:r>
      <w:r w:rsidRPr="00970BBF">
        <w:rPr>
          <w:sz w:val="22"/>
          <w:szCs w:val="22"/>
        </w:rPr>
      </w:r>
      <w:r w:rsidRPr="00970BBF">
        <w:rPr>
          <w:sz w:val="22"/>
          <w:szCs w:val="22"/>
        </w:rPr>
        <w:fldChar w:fldCharType="separate"/>
      </w:r>
      <w:r w:rsidRPr="00970BBF">
        <w:rPr>
          <w:sz w:val="22"/>
          <w:szCs w:val="22"/>
        </w:rPr>
        <w:fldChar w:fldCharType="end"/>
      </w:r>
      <w:r w:rsidRPr="00970BBF">
        <w:rPr>
          <w:sz w:val="22"/>
          <w:szCs w:val="22"/>
        </w:rPr>
        <w:tab/>
      </w:r>
      <w:r w:rsidRPr="00970BBF">
        <w:rPr>
          <w:sz w:val="22"/>
          <w:szCs w:val="22"/>
        </w:rPr>
        <w:tab/>
      </w:r>
      <w:r w:rsidRPr="00970BBF">
        <w:rPr>
          <w:sz w:val="22"/>
          <w:szCs w:val="22"/>
        </w:rPr>
        <w:fldChar w:fldCharType="begin">
          <w:ffData>
            <w:name w:val=""/>
            <w:enabled/>
            <w:calcOnExit w:val="0"/>
            <w:checkBox>
              <w:sizeAuto/>
              <w:default w:val="0"/>
            </w:checkBox>
          </w:ffData>
        </w:fldChar>
      </w:r>
      <w:r w:rsidRPr="00970BBF">
        <w:rPr>
          <w:sz w:val="22"/>
          <w:szCs w:val="22"/>
        </w:rPr>
        <w:instrText xml:space="preserve"> FORMCHECKBOX </w:instrText>
      </w:r>
      <w:r w:rsidRPr="00970BBF">
        <w:rPr>
          <w:sz w:val="22"/>
          <w:szCs w:val="22"/>
        </w:rPr>
      </w:r>
      <w:r w:rsidRPr="00970BBF">
        <w:rPr>
          <w:sz w:val="22"/>
          <w:szCs w:val="22"/>
        </w:rPr>
        <w:fldChar w:fldCharType="separate"/>
      </w:r>
      <w:r w:rsidRPr="00970BBF">
        <w:rPr>
          <w:sz w:val="22"/>
          <w:szCs w:val="22"/>
        </w:rPr>
        <w:fldChar w:fldCharType="end"/>
      </w:r>
    </w:p>
    <w:p w14:paraId="6F1580CB" w14:textId="77777777" w:rsidR="002A1316" w:rsidRPr="00970BBF" w:rsidRDefault="002A1316" w:rsidP="00B30CA0">
      <w:pPr>
        <w:jc w:val="both"/>
        <w:rPr>
          <w:sz w:val="22"/>
          <w:szCs w:val="22"/>
        </w:rPr>
      </w:pPr>
    </w:p>
    <w:p w14:paraId="4C6D8EE1" w14:textId="50D90F97" w:rsidR="00A818A1" w:rsidRPr="00970BBF" w:rsidRDefault="002A1316" w:rsidP="00A818A1">
      <w:pPr>
        <w:pStyle w:val="BodyTextIndent"/>
        <w:spacing w:after="0"/>
        <w:ind w:left="0"/>
        <w:jc w:val="both"/>
        <w:rPr>
          <w:sz w:val="22"/>
          <w:szCs w:val="22"/>
        </w:rPr>
      </w:pPr>
      <w:r w:rsidRPr="009535DE">
        <w:rPr>
          <w:b/>
          <w:bCs/>
          <w:sz w:val="22"/>
          <w:szCs w:val="22"/>
        </w:rPr>
        <w:t>Description of Issue:</w:t>
      </w:r>
      <w:r w:rsidR="00F7468A" w:rsidRPr="00970BBF">
        <w:rPr>
          <w:sz w:val="22"/>
          <w:szCs w:val="22"/>
        </w:rPr>
        <w:t xml:space="preserve"> </w:t>
      </w:r>
      <w:r w:rsidR="00A818A1" w:rsidRPr="00970BBF">
        <w:rPr>
          <w:sz w:val="22"/>
          <w:szCs w:val="22"/>
        </w:rPr>
        <w:t xml:space="preserve">This agenda item has been </w:t>
      </w:r>
      <w:r w:rsidR="0001788D" w:rsidRPr="00970BBF">
        <w:rPr>
          <w:sz w:val="22"/>
          <w:szCs w:val="22"/>
        </w:rPr>
        <w:t xml:space="preserve">developed </w:t>
      </w:r>
      <w:r w:rsidR="00E010F0" w:rsidRPr="00970BBF">
        <w:rPr>
          <w:sz w:val="22"/>
          <w:szCs w:val="22"/>
        </w:rPr>
        <w:t xml:space="preserve">as a broad concept agenda item with the </w:t>
      </w:r>
      <w:proofErr w:type="gramStart"/>
      <w:r w:rsidR="00E010F0" w:rsidRPr="00970BBF">
        <w:rPr>
          <w:sz w:val="22"/>
          <w:szCs w:val="22"/>
        </w:rPr>
        <w:t>ultimate goal</w:t>
      </w:r>
      <w:proofErr w:type="gramEnd"/>
      <w:r w:rsidR="00E010F0" w:rsidRPr="00970BBF">
        <w:rPr>
          <w:sz w:val="22"/>
          <w:szCs w:val="22"/>
        </w:rPr>
        <w:t xml:space="preserve"> </w:t>
      </w:r>
      <w:r w:rsidR="0001788D" w:rsidRPr="00970BBF">
        <w:rPr>
          <w:sz w:val="22"/>
          <w:szCs w:val="22"/>
        </w:rPr>
        <w:t>to incorporate accountin</w:t>
      </w:r>
      <w:r w:rsidR="00E80E7E" w:rsidRPr="00970BBF">
        <w:rPr>
          <w:sz w:val="22"/>
          <w:szCs w:val="22"/>
        </w:rPr>
        <w:t xml:space="preserve">g guidance for the asset valuation reserve (AVR) and the interest maintenance reserve (IMR) into </w:t>
      </w:r>
      <w:r w:rsidR="00E80E7E" w:rsidRPr="00970BBF">
        <w:rPr>
          <w:i/>
          <w:iCs/>
          <w:sz w:val="22"/>
          <w:szCs w:val="22"/>
        </w:rPr>
        <w:t>SSAP No. 7</w:t>
      </w:r>
      <w:r w:rsidR="00073C19" w:rsidRPr="00970BBF">
        <w:rPr>
          <w:i/>
          <w:iCs/>
          <w:sz w:val="22"/>
          <w:szCs w:val="22"/>
        </w:rPr>
        <w:t>—</w:t>
      </w:r>
      <w:r w:rsidR="005A359A" w:rsidRPr="00970BBF">
        <w:rPr>
          <w:i/>
          <w:iCs/>
          <w:sz w:val="22"/>
          <w:szCs w:val="22"/>
        </w:rPr>
        <w:t>Asset Valuation Reserve and Interest Maintenance Reserve</w:t>
      </w:r>
      <w:r w:rsidR="005A359A" w:rsidRPr="00970BBF">
        <w:rPr>
          <w:sz w:val="22"/>
          <w:szCs w:val="22"/>
        </w:rPr>
        <w:t xml:space="preserve">. Historically, this statement has included brief overview of the AVR and IMR </w:t>
      </w:r>
      <w:r w:rsidR="00E43DE3" w:rsidRPr="00970BBF">
        <w:rPr>
          <w:sz w:val="22"/>
          <w:szCs w:val="22"/>
        </w:rPr>
        <w:t xml:space="preserve">with the calculation and reporting guidance </w:t>
      </w:r>
      <w:r w:rsidR="00050373" w:rsidRPr="00970BBF">
        <w:rPr>
          <w:sz w:val="22"/>
          <w:szCs w:val="22"/>
        </w:rPr>
        <w:t xml:space="preserve">determined as directed by individual </w:t>
      </w:r>
      <w:r w:rsidR="00BD4316" w:rsidRPr="00970BBF">
        <w:rPr>
          <w:sz w:val="22"/>
          <w:szCs w:val="22"/>
        </w:rPr>
        <w:t>SSAPs or</w:t>
      </w:r>
      <w:r w:rsidR="00050373" w:rsidRPr="00970BBF">
        <w:rPr>
          <w:sz w:val="22"/>
          <w:szCs w:val="22"/>
        </w:rPr>
        <w:t xml:space="preserve"> in accordance with the Annual Statement </w:t>
      </w:r>
      <w:r w:rsidR="000C7D35" w:rsidRPr="00970BBF">
        <w:rPr>
          <w:sz w:val="22"/>
          <w:szCs w:val="22"/>
        </w:rPr>
        <w:t xml:space="preserve">(A/S) </w:t>
      </w:r>
      <w:r w:rsidR="00050373" w:rsidRPr="00970BBF">
        <w:rPr>
          <w:sz w:val="22"/>
          <w:szCs w:val="22"/>
        </w:rPr>
        <w:t xml:space="preserve">Instructions for Life, Accident and Health </w:t>
      </w:r>
      <w:r w:rsidR="00BD4316" w:rsidRPr="00970BBF">
        <w:rPr>
          <w:sz w:val="22"/>
          <w:szCs w:val="22"/>
        </w:rPr>
        <w:t xml:space="preserve">/ Fraternal Companies. </w:t>
      </w:r>
      <w:r w:rsidR="000C7D35" w:rsidRPr="00970BBF">
        <w:rPr>
          <w:sz w:val="22"/>
          <w:szCs w:val="22"/>
        </w:rPr>
        <w:t xml:space="preserve">As the </w:t>
      </w:r>
      <w:r w:rsidR="00D27F58" w:rsidRPr="00970BBF">
        <w:rPr>
          <w:sz w:val="22"/>
          <w:szCs w:val="22"/>
        </w:rPr>
        <w:t>SSAP</w:t>
      </w:r>
      <w:r w:rsidR="008D391A" w:rsidRPr="00970BBF">
        <w:rPr>
          <w:sz w:val="22"/>
          <w:szCs w:val="22"/>
        </w:rPr>
        <w:t>s</w:t>
      </w:r>
      <w:r w:rsidR="00D27F58" w:rsidRPr="00970BBF">
        <w:rPr>
          <w:sz w:val="22"/>
          <w:szCs w:val="22"/>
        </w:rPr>
        <w:t xml:space="preserve"> are highest in the </w:t>
      </w:r>
      <w:r w:rsidR="00396836" w:rsidRPr="00970BBF">
        <w:rPr>
          <w:sz w:val="22"/>
          <w:szCs w:val="22"/>
        </w:rPr>
        <w:t xml:space="preserve">statutory hierarchy as level 1, and the A/S instructions are level 3, </w:t>
      </w:r>
      <w:r w:rsidR="00631F59" w:rsidRPr="00970BBF">
        <w:rPr>
          <w:sz w:val="22"/>
          <w:szCs w:val="22"/>
        </w:rPr>
        <w:t xml:space="preserve">the governing accounting concepts should be captured in the SSAPs. </w:t>
      </w:r>
    </w:p>
    <w:p w14:paraId="608F14A0" w14:textId="77777777" w:rsidR="00671704" w:rsidRPr="00970BBF" w:rsidRDefault="00671704" w:rsidP="00A818A1">
      <w:pPr>
        <w:pStyle w:val="BodyTextIndent"/>
        <w:spacing w:after="0"/>
        <w:ind w:left="0"/>
        <w:jc w:val="both"/>
        <w:rPr>
          <w:sz w:val="22"/>
          <w:szCs w:val="22"/>
        </w:rPr>
      </w:pPr>
    </w:p>
    <w:p w14:paraId="5085C7CB" w14:textId="72B50E21" w:rsidR="00671704" w:rsidRPr="00970BBF" w:rsidRDefault="00671704" w:rsidP="00A818A1">
      <w:pPr>
        <w:pStyle w:val="BodyTextIndent"/>
        <w:spacing w:after="0"/>
        <w:ind w:left="0"/>
        <w:jc w:val="both"/>
        <w:rPr>
          <w:sz w:val="22"/>
          <w:szCs w:val="22"/>
        </w:rPr>
      </w:pPr>
      <w:r w:rsidRPr="00970BBF">
        <w:rPr>
          <w:sz w:val="22"/>
          <w:szCs w:val="22"/>
        </w:rPr>
        <w:t xml:space="preserve">It has also been noted that </w:t>
      </w:r>
      <w:r w:rsidR="003C14E1">
        <w:rPr>
          <w:sz w:val="22"/>
          <w:szCs w:val="22"/>
        </w:rPr>
        <w:t xml:space="preserve">there </w:t>
      </w:r>
      <w:r w:rsidR="0057575E" w:rsidRPr="00970BBF">
        <w:rPr>
          <w:sz w:val="22"/>
          <w:szCs w:val="22"/>
        </w:rPr>
        <w:t>are</w:t>
      </w:r>
      <w:r w:rsidRPr="00970BBF">
        <w:rPr>
          <w:sz w:val="22"/>
          <w:szCs w:val="22"/>
        </w:rPr>
        <w:t xml:space="preserve"> some disconnects between the SSAPs and the </w:t>
      </w:r>
      <w:r w:rsidR="005D59B5" w:rsidRPr="00970BBF">
        <w:rPr>
          <w:sz w:val="22"/>
          <w:szCs w:val="22"/>
        </w:rPr>
        <w:t xml:space="preserve">IMR/AVR guidance included in the Annual Statement Instructions. This is likely due to </w:t>
      </w:r>
      <w:r w:rsidR="009B39D9" w:rsidRPr="00970BBF">
        <w:rPr>
          <w:sz w:val="22"/>
          <w:szCs w:val="22"/>
        </w:rPr>
        <w:t xml:space="preserve">SSAP </w:t>
      </w:r>
      <w:r w:rsidR="005D59B5" w:rsidRPr="00970BBF">
        <w:rPr>
          <w:sz w:val="22"/>
          <w:szCs w:val="22"/>
        </w:rPr>
        <w:t xml:space="preserve">accounting revisions, such as with the measurement of preferred stock, not </w:t>
      </w:r>
      <w:r w:rsidR="00D92F0C" w:rsidRPr="00970BBF">
        <w:rPr>
          <w:sz w:val="22"/>
          <w:szCs w:val="22"/>
        </w:rPr>
        <w:t xml:space="preserve">being carried to the specific IMR/AVR guidance in the Annual Statement. This agenda </w:t>
      </w:r>
      <w:r w:rsidR="000C453A" w:rsidRPr="00970BBF">
        <w:rPr>
          <w:sz w:val="22"/>
          <w:szCs w:val="22"/>
        </w:rPr>
        <w:t xml:space="preserve">item, and the intent to ensure accounting concepts are in the SSAPs, intends to address those aspects and should help mitigate future </w:t>
      </w:r>
      <w:r w:rsidR="0051121F" w:rsidRPr="00970BBF">
        <w:rPr>
          <w:sz w:val="22"/>
          <w:szCs w:val="22"/>
        </w:rPr>
        <w:t xml:space="preserve">disconnects with guidance going forward. </w:t>
      </w:r>
    </w:p>
    <w:p w14:paraId="202830D7" w14:textId="77777777" w:rsidR="0051121F" w:rsidRPr="00970BBF" w:rsidRDefault="0051121F" w:rsidP="00A818A1">
      <w:pPr>
        <w:pStyle w:val="BodyTextIndent"/>
        <w:spacing w:after="0"/>
        <w:ind w:left="0"/>
        <w:jc w:val="both"/>
        <w:rPr>
          <w:sz w:val="22"/>
          <w:szCs w:val="22"/>
        </w:rPr>
      </w:pPr>
    </w:p>
    <w:p w14:paraId="631FF499" w14:textId="3A0F4B51" w:rsidR="0051121F" w:rsidRPr="00970BBF" w:rsidRDefault="0051121F" w:rsidP="00A818A1">
      <w:pPr>
        <w:pStyle w:val="BodyTextIndent"/>
        <w:spacing w:after="0"/>
        <w:ind w:left="0"/>
        <w:jc w:val="both"/>
        <w:rPr>
          <w:sz w:val="22"/>
          <w:szCs w:val="22"/>
        </w:rPr>
      </w:pPr>
      <w:r w:rsidRPr="00970BBF">
        <w:rPr>
          <w:sz w:val="22"/>
          <w:szCs w:val="22"/>
        </w:rPr>
        <w:t xml:space="preserve">Lastly, it has also been identified that there are limited financial reporting cross-checks to the reporting within the AVR. Although the instructions are specific as to how reporting lines should map to the AVR, instances have been noted in which a company has reported on one specific line for the investment schedule and then did not carry those amounts to the appropriate AVR reporting category. Although these may be inadvertent reporting errors, </w:t>
      </w:r>
      <w:r w:rsidR="00AE491D" w:rsidRPr="00970BBF">
        <w:rPr>
          <w:sz w:val="22"/>
          <w:szCs w:val="22"/>
        </w:rPr>
        <w:t xml:space="preserve">as the RBC for life companies pulls from the AVR reporting, it is imperative that the reporting per the investment schedules be reflected properly in the AVR. As such, this agenda item also proposes cross-checks to ensure </w:t>
      </w:r>
      <w:r w:rsidR="00801388" w:rsidRPr="00970BBF">
        <w:rPr>
          <w:sz w:val="22"/>
          <w:szCs w:val="22"/>
        </w:rPr>
        <w:t xml:space="preserve">consistent and accurate reporting. </w:t>
      </w:r>
    </w:p>
    <w:p w14:paraId="5B3C4876" w14:textId="77777777" w:rsidR="00A818A1" w:rsidRPr="00970BBF" w:rsidRDefault="00A818A1" w:rsidP="00A818A1">
      <w:pPr>
        <w:pStyle w:val="BodyTextIndent"/>
        <w:spacing w:after="0"/>
        <w:ind w:left="0"/>
        <w:jc w:val="both"/>
        <w:rPr>
          <w:sz w:val="22"/>
          <w:szCs w:val="22"/>
        </w:rPr>
      </w:pPr>
    </w:p>
    <w:p w14:paraId="50A56175" w14:textId="33C1C65E" w:rsidR="00BA40D6" w:rsidRPr="00970BBF" w:rsidRDefault="002A1316" w:rsidP="00937619">
      <w:pPr>
        <w:rPr>
          <w:b/>
          <w:sz w:val="22"/>
          <w:szCs w:val="22"/>
        </w:rPr>
      </w:pPr>
      <w:r w:rsidRPr="00970BBF">
        <w:rPr>
          <w:b/>
          <w:sz w:val="22"/>
          <w:szCs w:val="22"/>
        </w:rPr>
        <w:t>Existing Authoritative Literature:</w:t>
      </w:r>
      <w:r w:rsidR="00296E66" w:rsidRPr="00970BBF">
        <w:rPr>
          <w:b/>
          <w:sz w:val="22"/>
          <w:szCs w:val="22"/>
        </w:rPr>
        <w:t xml:space="preserve"> </w:t>
      </w:r>
    </w:p>
    <w:p w14:paraId="1C61EEF8" w14:textId="71A861FC" w:rsidR="001F0E42" w:rsidRPr="00970BBF" w:rsidRDefault="00224B9C" w:rsidP="0045639A">
      <w:pPr>
        <w:pStyle w:val="ListParagraph"/>
        <w:numPr>
          <w:ilvl w:val="0"/>
          <w:numId w:val="18"/>
        </w:numPr>
        <w:rPr>
          <w:b/>
          <w:sz w:val="22"/>
          <w:szCs w:val="22"/>
        </w:rPr>
      </w:pPr>
      <w:r w:rsidRPr="00C64BBA">
        <w:rPr>
          <w:b/>
          <w:i/>
          <w:iCs/>
          <w:sz w:val="22"/>
          <w:szCs w:val="22"/>
        </w:rPr>
        <w:t>SSAP No. 7—Asset Valuation Reserve and Interest Maintenance Reserve</w:t>
      </w:r>
      <w:r w:rsidRPr="00970BBF">
        <w:rPr>
          <w:b/>
          <w:sz w:val="22"/>
          <w:szCs w:val="22"/>
        </w:rPr>
        <w:t xml:space="preserve"> (included in entirety)</w:t>
      </w:r>
    </w:p>
    <w:p w14:paraId="1C4158A1" w14:textId="77777777" w:rsidR="00224B9C" w:rsidRPr="00970BBF" w:rsidRDefault="00224B9C" w:rsidP="001F0E42">
      <w:pPr>
        <w:pStyle w:val="Heading2"/>
        <w:rPr>
          <w:sz w:val="22"/>
          <w:szCs w:val="22"/>
        </w:rPr>
      </w:pPr>
      <w:bookmarkStart w:id="1" w:name="_Toc124419650"/>
    </w:p>
    <w:p w14:paraId="3C011F35" w14:textId="10E780B5" w:rsidR="001F0E42" w:rsidRPr="0045639A" w:rsidRDefault="001F0E42" w:rsidP="0045639A">
      <w:pPr>
        <w:pStyle w:val="Heading2"/>
        <w:ind w:left="720"/>
        <w:rPr>
          <w:rFonts w:ascii="Arial" w:hAnsi="Arial" w:cs="Arial"/>
          <w:sz w:val="20"/>
        </w:rPr>
      </w:pPr>
      <w:r w:rsidRPr="0045639A">
        <w:rPr>
          <w:rFonts w:ascii="Arial" w:hAnsi="Arial" w:cs="Arial"/>
          <w:sz w:val="20"/>
        </w:rPr>
        <w:t>SCOPE OF STATEMENT</w:t>
      </w:r>
      <w:bookmarkEnd w:id="1"/>
    </w:p>
    <w:p w14:paraId="12170208" w14:textId="030170C8" w:rsidR="001F0E42" w:rsidRPr="0045639A" w:rsidRDefault="001F0E42" w:rsidP="00C77E0A">
      <w:pPr>
        <w:pStyle w:val="ListContinue"/>
        <w:numPr>
          <w:ilvl w:val="0"/>
          <w:numId w:val="22"/>
        </w:numPr>
        <w:ind w:left="720" w:firstLine="0"/>
        <w:rPr>
          <w:rFonts w:ascii="Arial" w:hAnsi="Arial" w:cs="Arial"/>
          <w:i/>
          <w:sz w:val="20"/>
        </w:rPr>
      </w:pPr>
      <w:r w:rsidRPr="0045639A">
        <w:rPr>
          <w:rFonts w:ascii="Arial" w:hAnsi="Arial" w:cs="Arial"/>
          <w:sz w:val="20"/>
        </w:rPr>
        <w:t xml:space="preserve">This statement establishes statutory accounting principles for </w:t>
      </w:r>
      <w:r w:rsidRPr="0045639A">
        <w:rPr>
          <w:rFonts w:ascii="Arial" w:hAnsi="Arial" w:cs="Arial"/>
          <w:sz w:val="20"/>
          <w:shd w:val="clear" w:color="C0C0C0" w:fill="FFFFFF"/>
        </w:rPr>
        <w:t xml:space="preserve">an asset valuation reserve (AVR) and an interest maintenance reserve (IMR) for life and accident and health insurance companies, excluding separate accounts. Separate account AVR/IMR reporting is addressed in </w:t>
      </w:r>
      <w:r w:rsidRPr="0045639A">
        <w:rPr>
          <w:rFonts w:ascii="Arial" w:hAnsi="Arial" w:cs="Arial"/>
          <w:i/>
          <w:sz w:val="20"/>
          <w:shd w:val="clear" w:color="C0C0C0" w:fill="FFFFFF"/>
        </w:rPr>
        <w:t>SSAP No. 56—Separate Accounts.</w:t>
      </w:r>
    </w:p>
    <w:p w14:paraId="17B5B537" w14:textId="77777777" w:rsidR="001F0E42" w:rsidRPr="0045639A" w:rsidRDefault="001F0E42" w:rsidP="00C77E0A">
      <w:pPr>
        <w:pStyle w:val="Heading2"/>
        <w:ind w:left="720"/>
        <w:rPr>
          <w:rFonts w:ascii="Arial" w:hAnsi="Arial" w:cs="Arial"/>
          <w:sz w:val="20"/>
        </w:rPr>
      </w:pPr>
      <w:bookmarkStart w:id="2" w:name="_Toc124419651"/>
      <w:r w:rsidRPr="0045639A">
        <w:rPr>
          <w:rFonts w:ascii="Arial" w:hAnsi="Arial" w:cs="Arial"/>
          <w:sz w:val="20"/>
        </w:rPr>
        <w:t>SUMMARY CONCLUSION</w:t>
      </w:r>
      <w:bookmarkEnd w:id="2"/>
    </w:p>
    <w:p w14:paraId="30F5BD52" w14:textId="3E48069A" w:rsidR="001F0E42" w:rsidRPr="0045639A" w:rsidRDefault="001F0E42" w:rsidP="00C77E0A">
      <w:pPr>
        <w:pStyle w:val="ListContinue"/>
        <w:numPr>
          <w:ilvl w:val="0"/>
          <w:numId w:val="22"/>
        </w:numPr>
        <w:ind w:left="720" w:firstLine="0"/>
        <w:rPr>
          <w:rFonts w:ascii="Arial" w:hAnsi="Arial" w:cs="Arial"/>
          <w:b/>
          <w:sz w:val="20"/>
        </w:rPr>
      </w:pPr>
      <w:r w:rsidRPr="0045639A">
        <w:rPr>
          <w:rFonts w:ascii="Arial" w:hAnsi="Arial" w:cs="Arial"/>
          <w:sz w:val="20"/>
        </w:rPr>
        <w:t>Life and accident and health insurance companies shall recognize liabilities for an AVR and an IMR. The AVR is intended to establish a reserve to offset potential credit-related investment losses on all invested asset categories excluding cash, policy loans, premium notes, collateral notes and income receivable. The IMR defers recognition of the realized capital gains and losses resulting from changes in the general level of interest rates. These gains and losses shall be amortized into investment income over the expected remaining life of the investments sold. The IMR also applies to certain liability gains/losses related to changes in interest rates. These gains and losses shall be amortized into investment income over the expected remaining life of the liability released.</w:t>
      </w:r>
    </w:p>
    <w:p w14:paraId="5E6CD16C" w14:textId="3C114DAF" w:rsidR="001F0E42" w:rsidRPr="0045639A" w:rsidRDefault="001F0E42" w:rsidP="00C77E0A">
      <w:pPr>
        <w:pStyle w:val="ListContinue"/>
        <w:numPr>
          <w:ilvl w:val="0"/>
          <w:numId w:val="22"/>
        </w:numPr>
        <w:ind w:left="720" w:firstLine="0"/>
        <w:rPr>
          <w:rFonts w:ascii="Arial" w:hAnsi="Arial" w:cs="Arial"/>
          <w:sz w:val="20"/>
        </w:rPr>
      </w:pPr>
      <w:r w:rsidRPr="0045639A">
        <w:rPr>
          <w:rFonts w:ascii="Arial" w:hAnsi="Arial" w:cs="Arial"/>
          <w:sz w:val="20"/>
        </w:rPr>
        <w:t xml:space="preserve">The IMR and AVR shall be calculated and reported as determined per guidance in the SSAP for the specific type of investment (e.g., SSAP No. 43R for loan-backed and structured securities), or if not </w:t>
      </w:r>
      <w:r w:rsidRPr="0045639A">
        <w:rPr>
          <w:rFonts w:ascii="Arial" w:hAnsi="Arial" w:cs="Arial"/>
          <w:sz w:val="20"/>
        </w:rPr>
        <w:lastRenderedPageBreak/>
        <w:t xml:space="preserve">specifically stated in the respective SSAP, in accordance with the NAIC </w:t>
      </w:r>
      <w:r w:rsidRPr="0045639A">
        <w:rPr>
          <w:rFonts w:ascii="Arial" w:hAnsi="Arial" w:cs="Arial"/>
          <w:i/>
          <w:sz w:val="20"/>
        </w:rPr>
        <w:t xml:space="preserve">Annual Statement Instructions </w:t>
      </w:r>
      <w:r w:rsidRPr="0045639A">
        <w:rPr>
          <w:rFonts w:ascii="Arial" w:hAnsi="Arial" w:cs="Arial"/>
          <w:sz w:val="20"/>
        </w:rPr>
        <w:t>for Life and Accident and Health Insurance Companies.</w:t>
      </w:r>
    </w:p>
    <w:p w14:paraId="0FAB05E3" w14:textId="77777777" w:rsidR="001F0E42" w:rsidRPr="0045639A" w:rsidRDefault="001F0E42" w:rsidP="00C77E0A">
      <w:pPr>
        <w:pStyle w:val="Heading2"/>
        <w:ind w:left="720"/>
        <w:rPr>
          <w:rFonts w:ascii="Arial" w:hAnsi="Arial" w:cs="Arial"/>
          <w:sz w:val="20"/>
        </w:rPr>
      </w:pPr>
      <w:bookmarkStart w:id="3" w:name="_Toc124419652"/>
      <w:r w:rsidRPr="0045639A">
        <w:rPr>
          <w:rFonts w:ascii="Arial" w:hAnsi="Arial" w:cs="Arial"/>
          <w:sz w:val="20"/>
        </w:rPr>
        <w:t>Effective Date and Transition</w:t>
      </w:r>
      <w:bookmarkEnd w:id="3"/>
    </w:p>
    <w:p w14:paraId="2F0D8D4A" w14:textId="41C486A6" w:rsidR="001F0E42" w:rsidRDefault="001F0E42" w:rsidP="00C77E0A">
      <w:pPr>
        <w:pStyle w:val="ListContinue"/>
        <w:numPr>
          <w:ilvl w:val="0"/>
          <w:numId w:val="22"/>
        </w:numPr>
        <w:ind w:left="720" w:firstLine="0"/>
        <w:rPr>
          <w:rFonts w:ascii="Arial" w:hAnsi="Arial" w:cs="Arial"/>
          <w:sz w:val="20"/>
        </w:rPr>
      </w:pPr>
      <w:r w:rsidRPr="0045639A">
        <w:rPr>
          <w:rFonts w:ascii="Arial" w:hAnsi="Arial" w:cs="Arial"/>
          <w:sz w:val="20"/>
        </w:rPr>
        <w:t xml:space="preserve">This statement is effective for years beginning January 1, 2001. A change resulting from the adoption of this statement shall be accounted for as a change in accounting principle in accordance with </w:t>
      </w:r>
      <w:r w:rsidRPr="00043358">
        <w:rPr>
          <w:rFonts w:ascii="Arial" w:hAnsi="Arial" w:cs="Arial"/>
          <w:i/>
          <w:iCs/>
          <w:sz w:val="20"/>
        </w:rPr>
        <w:t>SSAP No. 3—Accounting Changes and Corrections of Errors</w:t>
      </w:r>
      <w:r w:rsidRPr="0045639A">
        <w:rPr>
          <w:rFonts w:ascii="Arial" w:hAnsi="Arial" w:cs="Arial"/>
          <w:sz w:val="20"/>
        </w:rPr>
        <w:t>.</w:t>
      </w:r>
    </w:p>
    <w:p w14:paraId="5706C1AE" w14:textId="77777777" w:rsidR="005433D0" w:rsidRDefault="005433D0" w:rsidP="005433D0">
      <w:pPr>
        <w:pStyle w:val="ListParagraph"/>
        <w:ind w:left="360"/>
        <w:rPr>
          <w:b/>
          <w:i/>
          <w:iCs/>
          <w:sz w:val="22"/>
          <w:szCs w:val="22"/>
        </w:rPr>
      </w:pPr>
    </w:p>
    <w:p w14:paraId="65F7EEDD" w14:textId="7E59D329" w:rsidR="00F91106" w:rsidRPr="005433D0" w:rsidRDefault="00F91106" w:rsidP="00F91106">
      <w:pPr>
        <w:pStyle w:val="ListParagraph"/>
        <w:numPr>
          <w:ilvl w:val="0"/>
          <w:numId w:val="18"/>
        </w:numPr>
        <w:rPr>
          <w:b/>
          <w:i/>
          <w:iCs/>
          <w:sz w:val="22"/>
          <w:szCs w:val="22"/>
        </w:rPr>
      </w:pPr>
      <w:r w:rsidRPr="00F91106">
        <w:rPr>
          <w:b/>
          <w:i/>
          <w:iCs/>
          <w:sz w:val="22"/>
          <w:szCs w:val="22"/>
        </w:rPr>
        <w:t>SSAP No. 56—Separate Accounts</w:t>
      </w:r>
      <w:r w:rsidR="00C64BBA">
        <w:rPr>
          <w:b/>
          <w:i/>
          <w:iCs/>
          <w:sz w:val="22"/>
          <w:szCs w:val="22"/>
        </w:rPr>
        <w:t xml:space="preserve"> </w:t>
      </w:r>
      <w:r w:rsidR="00C64BBA" w:rsidRPr="00C64BBA">
        <w:rPr>
          <w:b/>
          <w:sz w:val="22"/>
          <w:szCs w:val="22"/>
        </w:rPr>
        <w:t>(Excerpt for AVR and IMR included)</w:t>
      </w:r>
    </w:p>
    <w:p w14:paraId="5D73C04B" w14:textId="77777777" w:rsidR="005433D0" w:rsidRPr="00C64BBA" w:rsidRDefault="005433D0" w:rsidP="005433D0">
      <w:pPr>
        <w:pStyle w:val="ListParagraph"/>
        <w:ind w:left="360"/>
        <w:rPr>
          <w:b/>
          <w:i/>
          <w:iCs/>
          <w:sz w:val="22"/>
          <w:szCs w:val="22"/>
        </w:rPr>
      </w:pPr>
    </w:p>
    <w:p w14:paraId="7BC9AAFD" w14:textId="77777777" w:rsidR="001A579C" w:rsidRPr="005433D0" w:rsidRDefault="001A579C" w:rsidP="005433D0">
      <w:pPr>
        <w:pStyle w:val="Heading2"/>
        <w:ind w:left="720"/>
        <w:rPr>
          <w:rFonts w:ascii="Arial" w:hAnsi="Arial" w:cs="Arial"/>
          <w:sz w:val="20"/>
        </w:rPr>
      </w:pPr>
      <w:bookmarkStart w:id="4" w:name="_Toc398184389"/>
      <w:bookmarkStart w:id="5" w:name="_Toc124427297"/>
      <w:r w:rsidRPr="001A579C">
        <w:rPr>
          <w:rFonts w:ascii="Arial" w:hAnsi="Arial" w:cs="Arial"/>
          <w:sz w:val="20"/>
        </w:rPr>
        <w:t>Separate Account AVR and IMR Reporting</w:t>
      </w:r>
      <w:bookmarkEnd w:id="4"/>
      <w:bookmarkEnd w:id="5"/>
    </w:p>
    <w:p w14:paraId="0F1A97F4" w14:textId="77777777" w:rsidR="001A579C" w:rsidRPr="001A579C" w:rsidRDefault="001A579C" w:rsidP="001A579C"/>
    <w:p w14:paraId="02B195CA" w14:textId="35896537" w:rsidR="001A579C" w:rsidRPr="001A579C" w:rsidRDefault="00F00DFF" w:rsidP="001A579C">
      <w:pPr>
        <w:pStyle w:val="ListContinue"/>
        <w:numPr>
          <w:ilvl w:val="0"/>
          <w:numId w:val="21"/>
        </w:numPr>
        <w:rPr>
          <w:rFonts w:ascii="Arial" w:hAnsi="Arial" w:cs="Arial"/>
          <w:sz w:val="20"/>
        </w:rPr>
      </w:pPr>
      <w:r>
        <w:rPr>
          <w:rFonts w:ascii="Arial" w:hAnsi="Arial" w:cs="Arial"/>
          <w:sz w:val="20"/>
        </w:rPr>
        <w:tab/>
      </w:r>
      <w:r w:rsidR="001A579C" w:rsidRPr="001A579C">
        <w:rPr>
          <w:rFonts w:ascii="Arial" w:hAnsi="Arial" w:cs="Arial"/>
          <w:sz w:val="20"/>
        </w:rPr>
        <w:t>An AVR is generally required for separate accounts when the insurer, rather than the policyholder/contractholder, suffers the loss in the event of asset default or fair value loss. An AVR is required unless:</w:t>
      </w:r>
    </w:p>
    <w:p w14:paraId="71CC0CD1" w14:textId="77777777" w:rsidR="001A579C" w:rsidRPr="001A579C" w:rsidRDefault="001A579C" w:rsidP="001A579C">
      <w:pPr>
        <w:pStyle w:val="ListNumber2"/>
        <w:numPr>
          <w:ilvl w:val="0"/>
          <w:numId w:val="20"/>
        </w:numPr>
        <w:tabs>
          <w:tab w:val="clear" w:pos="0"/>
          <w:tab w:val="num" w:pos="720"/>
        </w:tabs>
        <w:spacing w:after="220"/>
        <w:ind w:left="2160"/>
        <w:jc w:val="both"/>
        <w:rPr>
          <w:rFonts w:ascii="Arial" w:hAnsi="Arial" w:cs="Arial"/>
        </w:rPr>
      </w:pPr>
      <w:r w:rsidRPr="001A579C">
        <w:rPr>
          <w:rFonts w:ascii="Arial" w:hAnsi="Arial" w:cs="Arial"/>
        </w:rPr>
        <w:t>The asset default or fair value risk is borne directly by the policyholders; or</w:t>
      </w:r>
    </w:p>
    <w:p w14:paraId="3C14B519" w14:textId="77777777" w:rsidR="001A579C" w:rsidRPr="001A579C" w:rsidRDefault="001A579C" w:rsidP="001A579C">
      <w:pPr>
        <w:pStyle w:val="ListNumber2"/>
        <w:numPr>
          <w:ilvl w:val="0"/>
          <w:numId w:val="20"/>
        </w:numPr>
        <w:tabs>
          <w:tab w:val="clear" w:pos="0"/>
          <w:tab w:val="num" w:pos="720"/>
        </w:tabs>
        <w:spacing w:after="220"/>
        <w:ind w:left="2160"/>
        <w:jc w:val="both"/>
        <w:rPr>
          <w:rFonts w:ascii="Arial" w:hAnsi="Arial" w:cs="Arial"/>
        </w:rPr>
      </w:pPr>
      <w:r w:rsidRPr="001A579C">
        <w:rPr>
          <w:rFonts w:ascii="Arial" w:hAnsi="Arial" w:cs="Arial"/>
        </w:rPr>
        <w:t>The regulatory authority for such separate accounts already explicitly provides for a reserve for asset default risk, where such reserves are essentially equivalent to the AVR.</w:t>
      </w:r>
    </w:p>
    <w:p w14:paraId="017464B7" w14:textId="77777777" w:rsidR="001A579C" w:rsidRPr="001A579C" w:rsidRDefault="001A579C" w:rsidP="001A579C">
      <w:pPr>
        <w:pStyle w:val="ListContinue"/>
        <w:numPr>
          <w:ilvl w:val="0"/>
          <w:numId w:val="21"/>
        </w:numPr>
        <w:ind w:left="720" w:firstLine="0"/>
        <w:rPr>
          <w:rFonts w:ascii="Arial" w:hAnsi="Arial" w:cs="Arial"/>
          <w:sz w:val="20"/>
        </w:rPr>
      </w:pPr>
      <w:r w:rsidRPr="001A579C">
        <w:rPr>
          <w:rFonts w:ascii="Arial" w:hAnsi="Arial" w:cs="Arial"/>
          <w:sz w:val="20"/>
        </w:rPr>
        <w:t>Assets supporting traditional variable annuities and variable life insurance generally do not require an AVR because the policyholders/contractholders bear the risk of change in the value of the assets. However, an AVR is required for that portion of the assets representing the insurer’s equity interest in the investments of the separate account (e.g., seed money).</w:t>
      </w:r>
    </w:p>
    <w:p w14:paraId="694871C8" w14:textId="77777777" w:rsidR="001A579C" w:rsidRPr="001A579C" w:rsidRDefault="001A579C" w:rsidP="001A579C">
      <w:pPr>
        <w:pStyle w:val="ListContinue"/>
        <w:numPr>
          <w:ilvl w:val="0"/>
          <w:numId w:val="21"/>
        </w:numPr>
        <w:ind w:left="720" w:firstLine="0"/>
        <w:rPr>
          <w:rFonts w:ascii="Arial" w:hAnsi="Arial" w:cs="Arial"/>
          <w:sz w:val="20"/>
        </w:rPr>
      </w:pPr>
      <w:r w:rsidRPr="001A579C">
        <w:rPr>
          <w:rFonts w:ascii="Arial" w:hAnsi="Arial" w:cs="Arial"/>
          <w:sz w:val="20"/>
        </w:rPr>
        <w:t xml:space="preserve">Assets supporting typical modified guaranteed contracts, market value adjusted contracts, and contracts with book value guarantees </w:t>
      </w:r>
      <w:proofErr w:type="gramStart"/>
      <w:r w:rsidRPr="001A579C">
        <w:rPr>
          <w:rFonts w:ascii="Arial" w:hAnsi="Arial" w:cs="Arial"/>
          <w:sz w:val="20"/>
        </w:rPr>
        <w:t>similar to</w:t>
      </w:r>
      <w:proofErr w:type="gramEnd"/>
      <w:r w:rsidRPr="001A579C">
        <w:rPr>
          <w:rFonts w:ascii="Arial" w:hAnsi="Arial" w:cs="Arial"/>
          <w:sz w:val="20"/>
        </w:rPr>
        <w:t xml:space="preserve"> contracts generally found in the general account do require an AVR because the insurer is responsible for credit related asset or fair value loss.</w:t>
      </w:r>
    </w:p>
    <w:p w14:paraId="1B41F36E" w14:textId="77777777" w:rsidR="001A579C" w:rsidRPr="001A579C" w:rsidRDefault="001A579C" w:rsidP="001A579C">
      <w:pPr>
        <w:pStyle w:val="ListContinue"/>
        <w:numPr>
          <w:ilvl w:val="0"/>
          <w:numId w:val="21"/>
        </w:numPr>
        <w:ind w:left="720" w:firstLine="0"/>
        <w:rPr>
          <w:rFonts w:ascii="Arial" w:hAnsi="Arial" w:cs="Arial"/>
          <w:sz w:val="20"/>
        </w:rPr>
      </w:pPr>
      <w:r w:rsidRPr="001A579C">
        <w:rPr>
          <w:rFonts w:ascii="Arial" w:hAnsi="Arial" w:cs="Arial"/>
          <w:sz w:val="20"/>
        </w:rPr>
        <w:t xml:space="preserve">Certain separate accounts are also required to maintain an Interest Maintenance Reserve (IMR). The IMR requirements for investments held in separate accounts are applied on an account by account basis. If an IMR is required for a separate account, </w:t>
      </w:r>
      <w:proofErr w:type="gramStart"/>
      <w:r w:rsidRPr="001A579C">
        <w:rPr>
          <w:rFonts w:ascii="Arial" w:hAnsi="Arial" w:cs="Arial"/>
          <w:sz w:val="20"/>
        </w:rPr>
        <w:t>all of</w:t>
      </w:r>
      <w:proofErr w:type="gramEnd"/>
      <w:r w:rsidRPr="001A579C">
        <w:rPr>
          <w:rFonts w:ascii="Arial" w:hAnsi="Arial" w:cs="Arial"/>
          <w:sz w:val="20"/>
        </w:rPr>
        <w:t xml:space="preserve"> the investments in that separate account are subject to the requirement. If an IMR is not required for a separate account, none of the investments in that separate account are subject to the requirement.</w:t>
      </w:r>
    </w:p>
    <w:p w14:paraId="4C2485DF" w14:textId="77777777" w:rsidR="001A579C" w:rsidRPr="001A579C" w:rsidRDefault="001A579C" w:rsidP="001A579C">
      <w:pPr>
        <w:pStyle w:val="ListContinue"/>
        <w:numPr>
          <w:ilvl w:val="0"/>
          <w:numId w:val="21"/>
        </w:numPr>
        <w:ind w:left="720" w:firstLine="0"/>
        <w:rPr>
          <w:rFonts w:ascii="Arial" w:hAnsi="Arial" w:cs="Arial"/>
          <w:sz w:val="20"/>
        </w:rPr>
      </w:pPr>
      <w:r w:rsidRPr="001A579C">
        <w:rPr>
          <w:rFonts w:ascii="Arial" w:hAnsi="Arial" w:cs="Arial"/>
          <w:sz w:val="20"/>
        </w:rPr>
        <w:t>An IMR is required for separate accounts with assets recorded at book value, but is not required for separate accounts with assets recorded at fair value. For example, separate accounts for traditional variable annuities or variable life insurance do not require an IMR because assets and liabilities are valued at fair value.</w:t>
      </w:r>
    </w:p>
    <w:p w14:paraId="30309DB8" w14:textId="77777777" w:rsidR="001A579C" w:rsidRPr="001A579C" w:rsidRDefault="001A579C" w:rsidP="001A579C">
      <w:pPr>
        <w:pStyle w:val="ListContinue"/>
        <w:numPr>
          <w:ilvl w:val="0"/>
          <w:numId w:val="21"/>
        </w:numPr>
        <w:ind w:left="720" w:firstLine="0"/>
        <w:rPr>
          <w:rFonts w:ascii="Arial" w:hAnsi="Arial" w:cs="Arial"/>
          <w:sz w:val="20"/>
        </w:rPr>
      </w:pPr>
      <w:r w:rsidRPr="001A579C">
        <w:rPr>
          <w:rFonts w:ascii="Arial" w:hAnsi="Arial" w:cs="Arial"/>
          <w:sz w:val="20"/>
        </w:rPr>
        <w:t>If an IMR is required for investments held by separate accounts, it is kept separate from the general account IMR and accounted for in the separate accounts statement.</w:t>
      </w:r>
    </w:p>
    <w:p w14:paraId="541F7049" w14:textId="77777777" w:rsidR="001A579C" w:rsidRDefault="001A579C" w:rsidP="001A579C">
      <w:pPr>
        <w:pStyle w:val="ListContinue"/>
        <w:numPr>
          <w:ilvl w:val="0"/>
          <w:numId w:val="21"/>
        </w:numPr>
        <w:ind w:left="720" w:firstLine="0"/>
        <w:rPr>
          <w:rFonts w:ascii="Arial" w:hAnsi="Arial" w:cs="Arial"/>
          <w:sz w:val="20"/>
        </w:rPr>
      </w:pPr>
      <w:r w:rsidRPr="001A579C">
        <w:rPr>
          <w:rFonts w:ascii="Arial" w:hAnsi="Arial" w:cs="Arial"/>
          <w:sz w:val="20"/>
        </w:rPr>
        <w:t xml:space="preserve">The AVR and IMR shall be calculated and reported in accordance with the NAIC </w:t>
      </w:r>
      <w:r w:rsidRPr="001A579C">
        <w:rPr>
          <w:rFonts w:ascii="Arial" w:hAnsi="Arial" w:cs="Arial"/>
          <w:i/>
          <w:sz w:val="20"/>
        </w:rPr>
        <w:t xml:space="preserve">Annual </w:t>
      </w:r>
      <w:r w:rsidRPr="001A579C">
        <w:rPr>
          <w:rFonts w:ascii="Arial" w:hAnsi="Arial" w:cs="Arial"/>
          <w:sz w:val="20"/>
        </w:rPr>
        <w:t>Statement</w:t>
      </w:r>
      <w:r w:rsidRPr="001A579C">
        <w:rPr>
          <w:rFonts w:ascii="Arial" w:hAnsi="Arial" w:cs="Arial"/>
          <w:i/>
          <w:sz w:val="20"/>
        </w:rPr>
        <w:t xml:space="preserve"> </w:t>
      </w:r>
      <w:r w:rsidRPr="001A579C">
        <w:rPr>
          <w:rFonts w:ascii="Arial" w:hAnsi="Arial" w:cs="Arial"/>
          <w:sz w:val="20"/>
        </w:rPr>
        <w:t>Instructions</w:t>
      </w:r>
      <w:r w:rsidRPr="001A579C">
        <w:rPr>
          <w:rFonts w:ascii="Arial" w:hAnsi="Arial" w:cs="Arial"/>
          <w:i/>
          <w:sz w:val="20"/>
        </w:rPr>
        <w:t xml:space="preserve"> for Life, Accident and Health Insurance Companies</w:t>
      </w:r>
      <w:r w:rsidRPr="001A579C">
        <w:rPr>
          <w:rFonts w:ascii="Arial" w:hAnsi="Arial" w:cs="Arial"/>
          <w:sz w:val="20"/>
        </w:rPr>
        <w:t>.</w:t>
      </w:r>
    </w:p>
    <w:p w14:paraId="74A2BADD" w14:textId="77777777" w:rsidR="00D369F5" w:rsidRDefault="00D369F5" w:rsidP="00D369F5">
      <w:pPr>
        <w:pStyle w:val="ListParagraph"/>
        <w:ind w:left="360"/>
        <w:rPr>
          <w:b/>
          <w:sz w:val="22"/>
          <w:szCs w:val="22"/>
        </w:rPr>
      </w:pPr>
    </w:p>
    <w:p w14:paraId="5E99F564" w14:textId="0FA629EA" w:rsidR="00043358" w:rsidRPr="00D5145D" w:rsidRDefault="00043358" w:rsidP="00043358">
      <w:pPr>
        <w:pStyle w:val="ListParagraph"/>
        <w:numPr>
          <w:ilvl w:val="0"/>
          <w:numId w:val="18"/>
        </w:numPr>
        <w:rPr>
          <w:b/>
          <w:sz w:val="22"/>
          <w:szCs w:val="22"/>
        </w:rPr>
      </w:pPr>
      <w:r w:rsidRPr="00D5145D">
        <w:rPr>
          <w:b/>
          <w:sz w:val="22"/>
          <w:szCs w:val="22"/>
        </w:rPr>
        <w:t>A/S Instructions – Life, Accident and Health / Fraternal Companies</w:t>
      </w:r>
    </w:p>
    <w:p w14:paraId="3358FAE4" w14:textId="6C8E8906" w:rsidR="00043358" w:rsidRDefault="00043358" w:rsidP="00043358">
      <w:pPr>
        <w:pStyle w:val="ListParagraph"/>
        <w:rPr>
          <w:bCs/>
          <w:i/>
          <w:iCs/>
          <w:sz w:val="22"/>
          <w:szCs w:val="22"/>
        </w:rPr>
      </w:pPr>
      <w:r w:rsidRPr="00D5145D">
        <w:rPr>
          <w:bCs/>
          <w:i/>
          <w:iCs/>
          <w:sz w:val="22"/>
          <w:szCs w:val="22"/>
        </w:rPr>
        <w:t xml:space="preserve">(Due to the size of the instructions, these have not been duplicated within this agenda item.) </w:t>
      </w:r>
    </w:p>
    <w:p w14:paraId="52A44FDA" w14:textId="77777777" w:rsidR="00BA7FB3" w:rsidRDefault="00BA7FB3" w:rsidP="00043358">
      <w:pPr>
        <w:pStyle w:val="ListParagraph"/>
        <w:rPr>
          <w:bCs/>
          <w:i/>
          <w:iCs/>
          <w:sz w:val="22"/>
          <w:szCs w:val="22"/>
        </w:rPr>
      </w:pPr>
    </w:p>
    <w:p w14:paraId="6523B8CA" w14:textId="77777777" w:rsidR="00C77E0A" w:rsidRDefault="00C77E0A">
      <w:pPr>
        <w:rPr>
          <w:b/>
          <w:sz w:val="22"/>
          <w:szCs w:val="22"/>
        </w:rPr>
      </w:pPr>
      <w:r>
        <w:rPr>
          <w:b/>
          <w:sz w:val="22"/>
          <w:szCs w:val="22"/>
        </w:rPr>
        <w:br w:type="page"/>
      </w:r>
    </w:p>
    <w:p w14:paraId="7F351209" w14:textId="1A9BC6BB" w:rsidR="00BA7FB3" w:rsidRPr="00D5145D" w:rsidRDefault="00BA7FB3" w:rsidP="00BA7FB3">
      <w:pPr>
        <w:pStyle w:val="ListParagraph"/>
        <w:numPr>
          <w:ilvl w:val="0"/>
          <w:numId w:val="18"/>
        </w:numPr>
        <w:rPr>
          <w:b/>
          <w:sz w:val="22"/>
          <w:szCs w:val="22"/>
        </w:rPr>
      </w:pPr>
      <w:r w:rsidRPr="00D5145D">
        <w:rPr>
          <w:b/>
          <w:sz w:val="22"/>
          <w:szCs w:val="22"/>
        </w:rPr>
        <w:lastRenderedPageBreak/>
        <w:t xml:space="preserve">A/S Instructions – </w:t>
      </w:r>
      <w:r w:rsidR="000A612E">
        <w:rPr>
          <w:b/>
          <w:sz w:val="22"/>
          <w:szCs w:val="22"/>
        </w:rPr>
        <w:t>Separate Account</w:t>
      </w:r>
    </w:p>
    <w:p w14:paraId="3201DB75" w14:textId="0B898F8C" w:rsidR="00BA7FB3" w:rsidRDefault="00D369F5" w:rsidP="00D369F5">
      <w:pPr>
        <w:pStyle w:val="ListParagraph"/>
        <w:ind w:left="360"/>
        <w:rPr>
          <w:bCs/>
          <w:i/>
          <w:iCs/>
          <w:sz w:val="22"/>
          <w:szCs w:val="22"/>
        </w:rPr>
      </w:pPr>
      <w:r>
        <w:rPr>
          <w:bCs/>
          <w:i/>
          <w:iCs/>
          <w:sz w:val="22"/>
          <w:szCs w:val="22"/>
        </w:rPr>
        <w:t>I</w:t>
      </w:r>
      <w:r w:rsidR="00FE140B">
        <w:rPr>
          <w:bCs/>
          <w:i/>
          <w:iCs/>
          <w:sz w:val="22"/>
          <w:szCs w:val="22"/>
        </w:rPr>
        <w:t>nstructions within the Separate Account section of the Life instructions also exist</w:t>
      </w:r>
      <w:r w:rsidR="00205882">
        <w:rPr>
          <w:bCs/>
          <w:i/>
          <w:iCs/>
          <w:sz w:val="22"/>
          <w:szCs w:val="22"/>
        </w:rPr>
        <w:t xml:space="preserve"> and are provided below: </w:t>
      </w:r>
    </w:p>
    <w:p w14:paraId="5DFB2AD4" w14:textId="663CDF52" w:rsidR="00BA7FB3" w:rsidRPr="00D5145D" w:rsidRDefault="00BA7FB3" w:rsidP="00043358">
      <w:pPr>
        <w:pStyle w:val="ListParagraph"/>
        <w:rPr>
          <w:bCs/>
          <w:i/>
          <w:iCs/>
          <w:sz w:val="22"/>
          <w:szCs w:val="22"/>
        </w:rPr>
      </w:pPr>
    </w:p>
    <w:p w14:paraId="1194C79C" w14:textId="77777777" w:rsidR="003D1402" w:rsidRPr="003D1402" w:rsidRDefault="003D1402" w:rsidP="00205882">
      <w:pPr>
        <w:ind w:left="720"/>
        <w:jc w:val="both"/>
        <w:rPr>
          <w:rFonts w:ascii="Arial" w:hAnsi="Arial" w:cs="Arial"/>
          <w:sz w:val="20"/>
          <w:szCs w:val="20"/>
        </w:rPr>
      </w:pPr>
      <w:r w:rsidRPr="003D1402">
        <w:rPr>
          <w:rFonts w:ascii="Arial" w:hAnsi="Arial" w:cs="Arial"/>
          <w:sz w:val="20"/>
          <w:szCs w:val="20"/>
        </w:rPr>
        <w:t xml:space="preserve">Interest Maintenance Reserve (IMR) requirements for investments reported in the Separate Accounts Statement are applied on an account-by-account basis. If an IMR is required for a separate account, </w:t>
      </w:r>
      <w:proofErr w:type="gramStart"/>
      <w:r w:rsidRPr="003D1402">
        <w:rPr>
          <w:rFonts w:ascii="Arial" w:hAnsi="Arial" w:cs="Arial"/>
          <w:sz w:val="20"/>
          <w:szCs w:val="20"/>
        </w:rPr>
        <w:t>all of</w:t>
      </w:r>
      <w:proofErr w:type="gramEnd"/>
      <w:r w:rsidRPr="003D1402">
        <w:rPr>
          <w:rFonts w:ascii="Arial" w:hAnsi="Arial" w:cs="Arial"/>
          <w:sz w:val="20"/>
          <w:szCs w:val="20"/>
        </w:rPr>
        <w:t xml:space="preserve"> the investments in that separate account are subject to the requirement. If an IMR is not required for a separate account, none of the investments in that separate account are subject to the requirement.</w:t>
      </w:r>
    </w:p>
    <w:p w14:paraId="13BA5ACE" w14:textId="77777777" w:rsidR="003D1402" w:rsidRPr="003D1402" w:rsidRDefault="003D1402" w:rsidP="00205882">
      <w:pPr>
        <w:ind w:left="720"/>
        <w:jc w:val="both"/>
        <w:rPr>
          <w:rFonts w:ascii="Arial" w:hAnsi="Arial" w:cs="Arial"/>
          <w:sz w:val="20"/>
          <w:szCs w:val="20"/>
        </w:rPr>
      </w:pPr>
    </w:p>
    <w:p w14:paraId="6F3A4DFA" w14:textId="77777777" w:rsidR="003D1402" w:rsidRPr="003D1402" w:rsidRDefault="003D1402" w:rsidP="00205882">
      <w:pPr>
        <w:ind w:left="720"/>
        <w:jc w:val="both"/>
        <w:rPr>
          <w:rFonts w:ascii="Arial" w:hAnsi="Arial" w:cs="Arial"/>
          <w:sz w:val="20"/>
          <w:szCs w:val="20"/>
        </w:rPr>
      </w:pPr>
      <w:r w:rsidRPr="003D1402">
        <w:rPr>
          <w:rFonts w:ascii="Arial" w:hAnsi="Arial" w:cs="Arial"/>
          <w:sz w:val="20"/>
          <w:szCs w:val="20"/>
        </w:rPr>
        <w:t xml:space="preserve">An IMR is required for separate accounts valued at book but is not required for separate accounts valued at market. For example, separate accounts for traditional variable annuities, or variable life insurance do not require an IMR because assets and liabilities are valued at market. </w:t>
      </w:r>
    </w:p>
    <w:p w14:paraId="2ACE520E" w14:textId="77777777" w:rsidR="003D1402" w:rsidRPr="003D1402" w:rsidRDefault="003D1402" w:rsidP="00205882">
      <w:pPr>
        <w:ind w:left="720"/>
        <w:jc w:val="both"/>
        <w:rPr>
          <w:rFonts w:ascii="Arial" w:hAnsi="Arial" w:cs="Arial"/>
          <w:sz w:val="20"/>
          <w:szCs w:val="20"/>
        </w:rPr>
      </w:pPr>
    </w:p>
    <w:p w14:paraId="482E9BA8" w14:textId="77777777" w:rsidR="003D1402" w:rsidRPr="003D1402" w:rsidRDefault="003D1402" w:rsidP="00205882">
      <w:pPr>
        <w:ind w:left="720"/>
        <w:jc w:val="both"/>
        <w:rPr>
          <w:rFonts w:ascii="Arial" w:hAnsi="Arial" w:cs="Arial"/>
          <w:sz w:val="20"/>
          <w:szCs w:val="20"/>
        </w:rPr>
      </w:pPr>
      <w:r w:rsidRPr="003D1402">
        <w:rPr>
          <w:rFonts w:ascii="Arial" w:hAnsi="Arial" w:cs="Arial"/>
          <w:sz w:val="20"/>
          <w:szCs w:val="20"/>
        </w:rPr>
        <w:t>If an IMR is required for investments in the Separate Accounts Statement, it is kept separate from the General Account IMR and accounted for in the Separate Accounts Statement.</w:t>
      </w:r>
    </w:p>
    <w:p w14:paraId="3F165B31" w14:textId="77777777" w:rsidR="003D1402" w:rsidRPr="003D1402" w:rsidRDefault="003D1402" w:rsidP="00205882">
      <w:pPr>
        <w:ind w:left="720"/>
        <w:jc w:val="both"/>
        <w:rPr>
          <w:rFonts w:ascii="Arial" w:hAnsi="Arial" w:cs="Arial"/>
          <w:sz w:val="20"/>
          <w:szCs w:val="20"/>
        </w:rPr>
      </w:pPr>
    </w:p>
    <w:p w14:paraId="57B53480" w14:textId="77777777" w:rsidR="003D1402" w:rsidRPr="003D1402" w:rsidRDefault="003D1402" w:rsidP="00205882">
      <w:pPr>
        <w:ind w:left="720"/>
        <w:jc w:val="both"/>
        <w:rPr>
          <w:rFonts w:ascii="Arial" w:hAnsi="Arial" w:cs="Arial"/>
          <w:sz w:val="20"/>
          <w:szCs w:val="20"/>
        </w:rPr>
      </w:pPr>
      <w:r w:rsidRPr="003D1402">
        <w:rPr>
          <w:rFonts w:ascii="Arial" w:hAnsi="Arial" w:cs="Arial"/>
          <w:sz w:val="20"/>
          <w:szCs w:val="20"/>
        </w:rPr>
        <w:t>The instructions for completion of the IMR for the Separate Accounts Statement are incorporated in the instructions for completion of the IMR of the General Account Statement. Refer to those instructions for guidance.</w:t>
      </w:r>
    </w:p>
    <w:p w14:paraId="0C68420F" w14:textId="77777777" w:rsidR="00BC3D55" w:rsidRDefault="00BC3D55" w:rsidP="00B30CA0">
      <w:pPr>
        <w:pStyle w:val="BodyText2"/>
        <w:rPr>
          <w:szCs w:val="22"/>
        </w:rPr>
      </w:pPr>
    </w:p>
    <w:p w14:paraId="59DFDF4B" w14:textId="050ADA60" w:rsidR="004623DC" w:rsidRPr="00D5145D" w:rsidRDefault="002A1316" w:rsidP="00B30CA0">
      <w:pPr>
        <w:pStyle w:val="BodyText2"/>
        <w:rPr>
          <w:szCs w:val="22"/>
        </w:rPr>
      </w:pPr>
      <w:r w:rsidRPr="00D5145D">
        <w:rPr>
          <w:szCs w:val="22"/>
        </w:rPr>
        <w:t xml:space="preserve">Activity to Date (issues previously addressed by </w:t>
      </w:r>
      <w:r w:rsidR="006B37DD" w:rsidRPr="00D5145D">
        <w:rPr>
          <w:szCs w:val="22"/>
        </w:rPr>
        <w:t xml:space="preserve">the </w:t>
      </w:r>
      <w:r w:rsidR="00004652" w:rsidRPr="00D5145D">
        <w:rPr>
          <w:szCs w:val="22"/>
        </w:rPr>
        <w:t>Working Group</w:t>
      </w:r>
      <w:r w:rsidRPr="00D5145D">
        <w:rPr>
          <w:szCs w:val="22"/>
        </w:rPr>
        <w:t xml:space="preserve">, Emerging Accounting Issues </w:t>
      </w:r>
      <w:r w:rsidR="00004652" w:rsidRPr="00D5145D">
        <w:rPr>
          <w:szCs w:val="22"/>
        </w:rPr>
        <w:t>(E) Working Group</w:t>
      </w:r>
      <w:r w:rsidRPr="00D5145D">
        <w:rPr>
          <w:szCs w:val="22"/>
        </w:rPr>
        <w:t>, SEC, FASB, other State Departments of Insurance or other NAIC groups):</w:t>
      </w:r>
      <w:r w:rsidR="004E2BB9" w:rsidRPr="00D5145D">
        <w:rPr>
          <w:szCs w:val="22"/>
        </w:rPr>
        <w:t xml:space="preserve"> </w:t>
      </w:r>
    </w:p>
    <w:p w14:paraId="058FDF78" w14:textId="77777777" w:rsidR="009D0C90" w:rsidRPr="00D5145D" w:rsidRDefault="009D0C90" w:rsidP="00B30CA0">
      <w:pPr>
        <w:pStyle w:val="BodyText2"/>
        <w:rPr>
          <w:szCs w:val="22"/>
        </w:rPr>
      </w:pPr>
    </w:p>
    <w:p w14:paraId="2FE961EC" w14:textId="642B1F00" w:rsidR="00711390" w:rsidRPr="00D5145D" w:rsidRDefault="00CA6E06" w:rsidP="00261C0A">
      <w:pPr>
        <w:pStyle w:val="BodyText2"/>
        <w:numPr>
          <w:ilvl w:val="0"/>
          <w:numId w:val="14"/>
        </w:numPr>
        <w:rPr>
          <w:b w:val="0"/>
          <w:bCs w:val="0"/>
          <w:szCs w:val="22"/>
        </w:rPr>
      </w:pPr>
      <w:r w:rsidRPr="00D5145D">
        <w:rPr>
          <w:b w:val="0"/>
          <w:bCs w:val="0"/>
          <w:szCs w:val="22"/>
        </w:rPr>
        <w:t>Agenda item 2022-19</w:t>
      </w:r>
      <w:r w:rsidR="00711390" w:rsidRPr="00D5145D">
        <w:rPr>
          <w:b w:val="0"/>
          <w:bCs w:val="0"/>
          <w:szCs w:val="22"/>
        </w:rPr>
        <w:t xml:space="preserve">: Negative IMR, </w:t>
      </w:r>
      <w:r w:rsidR="00470446" w:rsidRPr="00D5145D">
        <w:rPr>
          <w:b w:val="0"/>
          <w:bCs w:val="0"/>
          <w:szCs w:val="22"/>
        </w:rPr>
        <w:t>identified that the accounting guidance for IMR, including the provisions on negative IMR, are currently captured in the Annual Statement Instructions</w:t>
      </w:r>
      <w:r w:rsidR="009643E6" w:rsidRPr="00D5145D">
        <w:rPr>
          <w:b w:val="0"/>
          <w:bCs w:val="0"/>
          <w:szCs w:val="22"/>
        </w:rPr>
        <w:t xml:space="preserve">. </w:t>
      </w:r>
      <w:r w:rsidR="009643E6" w:rsidRPr="00D5145D">
        <w:rPr>
          <w:b w:val="0"/>
          <w:bCs w:val="0"/>
          <w:i/>
          <w:iCs/>
          <w:szCs w:val="22"/>
        </w:rPr>
        <w:t>SSAP No. 7—Asset Valuation Reserve and Interest Maintenance Reserve</w:t>
      </w:r>
      <w:r w:rsidR="009643E6" w:rsidRPr="00D5145D">
        <w:rPr>
          <w:b w:val="0"/>
          <w:bCs w:val="0"/>
          <w:szCs w:val="22"/>
        </w:rPr>
        <w:t>, points to the Annual Statement Instruction</w:t>
      </w:r>
      <w:r w:rsidR="00623E2A" w:rsidRPr="00D5145D">
        <w:rPr>
          <w:b w:val="0"/>
          <w:bCs w:val="0"/>
          <w:szCs w:val="22"/>
        </w:rPr>
        <w:t xml:space="preserve">s for the IMR and AVR calculation. </w:t>
      </w:r>
    </w:p>
    <w:p w14:paraId="405E6742" w14:textId="77777777" w:rsidR="004623DC" w:rsidRPr="00D5145D" w:rsidRDefault="004623DC" w:rsidP="00B30CA0">
      <w:pPr>
        <w:pStyle w:val="BodyText2"/>
        <w:rPr>
          <w:szCs w:val="22"/>
        </w:rPr>
      </w:pPr>
    </w:p>
    <w:p w14:paraId="1A7C9804" w14:textId="37F353B2" w:rsidR="002A1316" w:rsidRPr="00D5145D" w:rsidRDefault="002A1316" w:rsidP="00B30CA0">
      <w:pPr>
        <w:pStyle w:val="BodyText"/>
        <w:rPr>
          <w:b/>
          <w:sz w:val="22"/>
          <w:szCs w:val="22"/>
        </w:rPr>
      </w:pPr>
      <w:r w:rsidRPr="00D5145D">
        <w:rPr>
          <w:b/>
          <w:sz w:val="22"/>
          <w:szCs w:val="22"/>
        </w:rPr>
        <w:t xml:space="preserve">Information or </w:t>
      </w:r>
      <w:r w:rsidR="00DF407B" w:rsidRPr="00D5145D">
        <w:rPr>
          <w:b/>
          <w:sz w:val="22"/>
          <w:szCs w:val="22"/>
        </w:rPr>
        <w:t>i</w:t>
      </w:r>
      <w:r w:rsidRPr="00D5145D">
        <w:rPr>
          <w:b/>
          <w:sz w:val="22"/>
          <w:szCs w:val="22"/>
        </w:rPr>
        <w:t xml:space="preserve">ssues (included in </w:t>
      </w:r>
      <w:r w:rsidRPr="00D5145D">
        <w:rPr>
          <w:b/>
          <w:i/>
          <w:sz w:val="22"/>
          <w:szCs w:val="22"/>
        </w:rPr>
        <w:t>Description of Issue</w:t>
      </w:r>
      <w:r w:rsidRPr="00D5145D">
        <w:rPr>
          <w:b/>
          <w:sz w:val="22"/>
          <w:szCs w:val="22"/>
        </w:rPr>
        <w:t xml:space="preserve">) not previously contemplated by the </w:t>
      </w:r>
      <w:r w:rsidR="00004652" w:rsidRPr="00D5145D">
        <w:rPr>
          <w:b/>
          <w:sz w:val="22"/>
          <w:szCs w:val="22"/>
        </w:rPr>
        <w:t>Working Group</w:t>
      </w:r>
      <w:r w:rsidRPr="00D5145D">
        <w:rPr>
          <w:b/>
          <w:sz w:val="22"/>
          <w:szCs w:val="22"/>
        </w:rPr>
        <w:t>:</w:t>
      </w:r>
    </w:p>
    <w:p w14:paraId="38E08ED2" w14:textId="77777777" w:rsidR="002A1316" w:rsidRPr="00D5145D" w:rsidRDefault="00FE7FAA" w:rsidP="00B30CA0">
      <w:pPr>
        <w:pStyle w:val="BodyText"/>
        <w:rPr>
          <w:bCs/>
          <w:sz w:val="22"/>
          <w:szCs w:val="22"/>
        </w:rPr>
      </w:pPr>
      <w:r w:rsidRPr="00D5145D">
        <w:rPr>
          <w:bCs/>
          <w:sz w:val="22"/>
          <w:szCs w:val="22"/>
        </w:rPr>
        <w:t>None</w:t>
      </w:r>
    </w:p>
    <w:p w14:paraId="19D3DF10" w14:textId="77777777" w:rsidR="006B37DD" w:rsidRPr="00D5145D" w:rsidRDefault="006B37DD" w:rsidP="00B30CA0">
      <w:pPr>
        <w:pStyle w:val="BodyText2"/>
        <w:rPr>
          <w:b w:val="0"/>
          <w:bCs w:val="0"/>
          <w:szCs w:val="22"/>
        </w:rPr>
      </w:pPr>
    </w:p>
    <w:p w14:paraId="70213B4E" w14:textId="110D8FD0" w:rsidR="00490996" w:rsidRPr="00D5145D" w:rsidRDefault="00490996" w:rsidP="00490996">
      <w:pPr>
        <w:pStyle w:val="Default"/>
        <w:rPr>
          <w:bCs/>
          <w:color w:val="auto"/>
          <w:sz w:val="22"/>
          <w:szCs w:val="22"/>
        </w:rPr>
      </w:pPr>
      <w:r w:rsidRPr="00D5145D">
        <w:rPr>
          <w:b/>
          <w:color w:val="auto"/>
          <w:sz w:val="22"/>
          <w:szCs w:val="22"/>
        </w:rPr>
        <w:t>Convergence with International Financial Reporting Standards (IFRS):</w:t>
      </w:r>
      <w:r w:rsidR="002408D3" w:rsidRPr="00D5145D">
        <w:rPr>
          <w:b/>
          <w:color w:val="auto"/>
          <w:sz w:val="22"/>
          <w:szCs w:val="22"/>
        </w:rPr>
        <w:t xml:space="preserve"> </w:t>
      </w:r>
      <w:r w:rsidR="002408D3" w:rsidRPr="00D5145D">
        <w:rPr>
          <w:bCs/>
          <w:color w:val="auto"/>
          <w:sz w:val="22"/>
          <w:szCs w:val="22"/>
        </w:rPr>
        <w:t>NA</w:t>
      </w:r>
    </w:p>
    <w:p w14:paraId="45ED1F04" w14:textId="77777777" w:rsidR="006B37DD" w:rsidRPr="00D5145D" w:rsidRDefault="006B37DD" w:rsidP="00490996">
      <w:pPr>
        <w:pStyle w:val="BodyText2"/>
        <w:rPr>
          <w:b w:val="0"/>
          <w:bCs w:val="0"/>
          <w:szCs w:val="22"/>
        </w:rPr>
      </w:pPr>
    </w:p>
    <w:p w14:paraId="5557637B" w14:textId="77777777" w:rsidR="00237383" w:rsidRPr="00D5145D" w:rsidRDefault="002A1316" w:rsidP="004E2BB9">
      <w:pPr>
        <w:pStyle w:val="BodyText2"/>
        <w:rPr>
          <w:szCs w:val="22"/>
        </w:rPr>
      </w:pPr>
      <w:r w:rsidRPr="00D5145D">
        <w:rPr>
          <w:szCs w:val="22"/>
        </w:rPr>
        <w:t>Recommendation:</w:t>
      </w:r>
      <w:r w:rsidR="004128F1" w:rsidRPr="00D5145D">
        <w:rPr>
          <w:szCs w:val="22"/>
        </w:rPr>
        <w:t xml:space="preserve"> </w:t>
      </w:r>
    </w:p>
    <w:p w14:paraId="46E03143" w14:textId="4CAE2CA5" w:rsidR="00AF14C1" w:rsidRPr="00D5145D" w:rsidRDefault="0058721A" w:rsidP="0058721A">
      <w:pPr>
        <w:pStyle w:val="BodyText2"/>
        <w:rPr>
          <w:szCs w:val="22"/>
        </w:rPr>
      </w:pPr>
      <w:r w:rsidRPr="00D5145D">
        <w:rPr>
          <w:szCs w:val="22"/>
        </w:rPr>
        <w:t xml:space="preserve">NAIC staff recommend that the Working Group include this item on their maintenance agenda as a </w:t>
      </w:r>
      <w:r w:rsidR="005A01EB" w:rsidRPr="00D5145D">
        <w:rPr>
          <w:szCs w:val="22"/>
        </w:rPr>
        <w:t xml:space="preserve">new SAP concept </w:t>
      </w:r>
      <w:r w:rsidRPr="00D5145D">
        <w:rPr>
          <w:szCs w:val="22"/>
        </w:rPr>
        <w:t xml:space="preserve">and expose this agenda item </w:t>
      </w:r>
      <w:r w:rsidR="00AD2376" w:rsidRPr="00D5145D">
        <w:rPr>
          <w:szCs w:val="22"/>
        </w:rPr>
        <w:t xml:space="preserve">with </w:t>
      </w:r>
      <w:r w:rsidR="00AF14C1" w:rsidRPr="00D5145D">
        <w:rPr>
          <w:szCs w:val="22"/>
        </w:rPr>
        <w:t xml:space="preserve">the overall concept for a long-term project </w:t>
      </w:r>
      <w:r w:rsidR="00AD2376" w:rsidRPr="00D5145D">
        <w:rPr>
          <w:szCs w:val="22"/>
        </w:rPr>
        <w:t>to capture accounting guidance for AVR and IMR in SSAP No. 7.</w:t>
      </w:r>
      <w:r w:rsidR="005A01EB" w:rsidRPr="00D5145D">
        <w:rPr>
          <w:szCs w:val="22"/>
        </w:rPr>
        <w:t xml:space="preserve"> </w:t>
      </w:r>
      <w:r w:rsidR="00F61F65" w:rsidRPr="00D5145D">
        <w:rPr>
          <w:szCs w:val="22"/>
        </w:rPr>
        <w:t>Although it is anticipated that this project may take time, particularly with the assessment of admittance / nonadmittance for negative IMR as a long-term concept</w:t>
      </w:r>
      <w:r w:rsidR="00053C91" w:rsidRPr="00D5145D">
        <w:rPr>
          <w:szCs w:val="22"/>
        </w:rPr>
        <w:t xml:space="preserve">, it is noted that interim revisions </w:t>
      </w:r>
      <w:r w:rsidR="005337D3" w:rsidRPr="00D5145D">
        <w:rPr>
          <w:szCs w:val="22"/>
        </w:rPr>
        <w:t>(within specific agenda items) will</w:t>
      </w:r>
      <w:r w:rsidR="00053C91" w:rsidRPr="00D5145D">
        <w:rPr>
          <w:szCs w:val="22"/>
        </w:rPr>
        <w:t xml:space="preserve"> be proposed to ensure progress towards </w:t>
      </w:r>
      <w:r w:rsidR="004146C7" w:rsidRPr="00D5145D">
        <w:rPr>
          <w:szCs w:val="22"/>
        </w:rPr>
        <w:t xml:space="preserve">consistent application and address potential areas where credit losses may be reported as IMR. </w:t>
      </w:r>
    </w:p>
    <w:p w14:paraId="100013F1" w14:textId="77777777" w:rsidR="00AF14C1" w:rsidRPr="00D5145D" w:rsidRDefault="00AF14C1" w:rsidP="0058721A">
      <w:pPr>
        <w:pStyle w:val="BodyText2"/>
        <w:rPr>
          <w:szCs w:val="22"/>
        </w:rPr>
      </w:pPr>
    </w:p>
    <w:p w14:paraId="62DF16E2" w14:textId="77777777" w:rsidR="00D67D5E" w:rsidRDefault="00282F22" w:rsidP="0058721A">
      <w:pPr>
        <w:pStyle w:val="BodyText2"/>
        <w:rPr>
          <w:szCs w:val="22"/>
        </w:rPr>
      </w:pPr>
      <w:r w:rsidRPr="00D5145D">
        <w:rPr>
          <w:szCs w:val="22"/>
        </w:rPr>
        <w:t>Although revisions may be considered and adopte</w:t>
      </w:r>
      <w:r w:rsidR="00E3671B" w:rsidRPr="00D5145D">
        <w:rPr>
          <w:szCs w:val="22"/>
        </w:rPr>
        <w:t xml:space="preserve">d to allow focus on specific discussion aspects, </w:t>
      </w:r>
      <w:r w:rsidR="00BD3F83" w:rsidRPr="00D5145D">
        <w:rPr>
          <w:szCs w:val="22"/>
        </w:rPr>
        <w:t>ultimately, the movement of the accounting guidance to SSAP No. 7</w:t>
      </w:r>
      <w:r w:rsidR="00294FE6" w:rsidRPr="00D5145D">
        <w:rPr>
          <w:szCs w:val="22"/>
        </w:rPr>
        <w:t xml:space="preserve">, and any revisions from </w:t>
      </w:r>
      <w:r w:rsidR="00A533DF" w:rsidRPr="00D5145D">
        <w:rPr>
          <w:szCs w:val="22"/>
        </w:rPr>
        <w:t>the A/S instructions when incorporating SSAP guidance,</w:t>
      </w:r>
      <w:r w:rsidR="00BD3F83" w:rsidRPr="00D5145D">
        <w:rPr>
          <w:szCs w:val="22"/>
        </w:rPr>
        <w:t xml:space="preserve"> is proposed to be captured as</w:t>
      </w:r>
      <w:r w:rsidR="009A09CC" w:rsidRPr="00D5145D">
        <w:rPr>
          <w:szCs w:val="22"/>
        </w:rPr>
        <w:t xml:space="preserve"> a new SAP concept with a corresponding issue paper to detail the revisions. </w:t>
      </w:r>
    </w:p>
    <w:p w14:paraId="291B6BD4" w14:textId="77777777" w:rsidR="00D67D5E" w:rsidRDefault="00D67D5E" w:rsidP="0058721A">
      <w:pPr>
        <w:pStyle w:val="BodyText2"/>
        <w:rPr>
          <w:szCs w:val="22"/>
        </w:rPr>
      </w:pPr>
    </w:p>
    <w:p w14:paraId="72FA68A3" w14:textId="237DB87D" w:rsidR="00A533DF" w:rsidRPr="00D5145D" w:rsidRDefault="00A533DF" w:rsidP="0058721A">
      <w:pPr>
        <w:pStyle w:val="BodyText2"/>
        <w:rPr>
          <w:szCs w:val="22"/>
        </w:rPr>
      </w:pPr>
      <w:r w:rsidRPr="00D5145D">
        <w:rPr>
          <w:szCs w:val="22"/>
        </w:rPr>
        <w:t>Discussion topics expected to include</w:t>
      </w:r>
      <w:r w:rsidR="00292517" w:rsidRPr="00D5145D">
        <w:rPr>
          <w:szCs w:val="22"/>
        </w:rPr>
        <w:t xml:space="preserve"> as part of the broad project</w:t>
      </w:r>
      <w:r w:rsidR="00CE6FB3" w:rsidRPr="00D5145D">
        <w:rPr>
          <w:szCs w:val="22"/>
        </w:rPr>
        <w:t>, include but are not limited to</w:t>
      </w:r>
      <w:r w:rsidR="00292517" w:rsidRPr="00D5145D">
        <w:rPr>
          <w:szCs w:val="22"/>
        </w:rPr>
        <w:t xml:space="preserve">: </w:t>
      </w:r>
    </w:p>
    <w:p w14:paraId="11EFB75D" w14:textId="77777777" w:rsidR="00A533DF" w:rsidRPr="00D5145D" w:rsidRDefault="00A533DF" w:rsidP="0058721A">
      <w:pPr>
        <w:pStyle w:val="BodyText2"/>
        <w:rPr>
          <w:szCs w:val="22"/>
        </w:rPr>
      </w:pPr>
    </w:p>
    <w:p w14:paraId="6BFC9C53" w14:textId="43325D72" w:rsidR="00A533DF" w:rsidRPr="00D5145D" w:rsidRDefault="00782A29" w:rsidP="00A533DF">
      <w:pPr>
        <w:pStyle w:val="BodyText2"/>
        <w:numPr>
          <w:ilvl w:val="0"/>
          <w:numId w:val="14"/>
        </w:numPr>
        <w:rPr>
          <w:bCs w:val="0"/>
          <w:szCs w:val="22"/>
          <w:u w:val="single"/>
        </w:rPr>
      </w:pPr>
      <w:r w:rsidRPr="00D5145D">
        <w:rPr>
          <w:bCs w:val="0"/>
          <w:szCs w:val="22"/>
          <w:u w:val="single"/>
        </w:rPr>
        <w:t>A</w:t>
      </w:r>
      <w:r w:rsidR="00A533DF" w:rsidRPr="00D5145D">
        <w:rPr>
          <w:bCs w:val="0"/>
          <w:szCs w:val="22"/>
          <w:u w:val="single"/>
        </w:rPr>
        <w:t xml:space="preserve">bsolutes in </w:t>
      </w:r>
      <w:r w:rsidRPr="00D5145D">
        <w:rPr>
          <w:bCs w:val="0"/>
          <w:szCs w:val="22"/>
          <w:u w:val="single"/>
        </w:rPr>
        <w:t>A</w:t>
      </w:r>
      <w:r w:rsidR="00A533DF" w:rsidRPr="00D5145D">
        <w:rPr>
          <w:bCs w:val="0"/>
          <w:szCs w:val="22"/>
          <w:u w:val="single"/>
        </w:rPr>
        <w:t>llocati</w:t>
      </w:r>
      <w:r w:rsidRPr="00D5145D">
        <w:rPr>
          <w:bCs w:val="0"/>
          <w:szCs w:val="22"/>
          <w:u w:val="single"/>
        </w:rPr>
        <w:t>ng</w:t>
      </w:r>
      <w:r w:rsidR="00A533DF" w:rsidRPr="00D5145D">
        <w:rPr>
          <w:bCs w:val="0"/>
          <w:szCs w:val="22"/>
          <w:u w:val="single"/>
        </w:rPr>
        <w:t xml:space="preserve"> between IMR and AVR</w:t>
      </w:r>
    </w:p>
    <w:p w14:paraId="60CBADCB" w14:textId="625C0AA1" w:rsidR="00B638CB" w:rsidRPr="00D5145D" w:rsidRDefault="00893424" w:rsidP="00B638CB">
      <w:pPr>
        <w:pStyle w:val="BodyText2"/>
        <w:ind w:left="720"/>
        <w:rPr>
          <w:b w:val="0"/>
          <w:szCs w:val="22"/>
        </w:rPr>
      </w:pPr>
      <w:r w:rsidRPr="00D5145D">
        <w:rPr>
          <w:b w:val="0"/>
          <w:szCs w:val="22"/>
        </w:rPr>
        <w:t>W</w:t>
      </w:r>
      <w:r w:rsidR="00B638CB" w:rsidRPr="00D5145D">
        <w:rPr>
          <w:b w:val="0"/>
          <w:szCs w:val="22"/>
        </w:rPr>
        <w:t xml:space="preserve">ith the recent focus of IMR admittance, NAIC staff has been contacted with questions to verify the allocation </w:t>
      </w:r>
      <w:r w:rsidR="0064182B" w:rsidRPr="00D5145D">
        <w:rPr>
          <w:b w:val="0"/>
          <w:szCs w:val="22"/>
        </w:rPr>
        <w:t>to</w:t>
      </w:r>
      <w:r w:rsidR="00B638CB" w:rsidRPr="00D5145D">
        <w:rPr>
          <w:b w:val="0"/>
          <w:szCs w:val="22"/>
        </w:rPr>
        <w:t xml:space="preserve"> IMR</w:t>
      </w:r>
      <w:r w:rsidR="002E702D" w:rsidRPr="00D5145D">
        <w:rPr>
          <w:b w:val="0"/>
          <w:szCs w:val="22"/>
        </w:rPr>
        <w:t xml:space="preserve"> because a company was successful in selling a bond prior to the official NAIC designation downgrade (regional bank failures) </w:t>
      </w:r>
      <w:r w:rsidR="0064182B" w:rsidRPr="00D5145D">
        <w:rPr>
          <w:b w:val="0"/>
          <w:szCs w:val="22"/>
        </w:rPr>
        <w:t xml:space="preserve">and when a mortgage loan with an established valuation allowance (as </w:t>
      </w:r>
      <w:r w:rsidR="00B33F92" w:rsidRPr="00D5145D">
        <w:rPr>
          <w:b w:val="0"/>
          <w:szCs w:val="22"/>
        </w:rPr>
        <w:t xml:space="preserve">the reporting entity does not expect to </w:t>
      </w:r>
      <w:r w:rsidR="00A36090" w:rsidRPr="00D5145D">
        <w:rPr>
          <w:b w:val="0"/>
          <w:szCs w:val="22"/>
        </w:rPr>
        <w:t>collect all amounts due according to the terms of the agreement</w:t>
      </w:r>
      <w:r w:rsidR="0064182B" w:rsidRPr="00D5145D">
        <w:rPr>
          <w:b w:val="0"/>
          <w:szCs w:val="22"/>
        </w:rPr>
        <w:t xml:space="preserve">) is sold before it is formally 90-days past due. </w:t>
      </w:r>
      <w:r w:rsidR="004646D6" w:rsidRPr="00D5145D">
        <w:rPr>
          <w:b w:val="0"/>
          <w:szCs w:val="22"/>
        </w:rPr>
        <w:t xml:space="preserve">These instances clearly reflect credit declines, but with the existing IMR instructions, </w:t>
      </w:r>
      <w:r w:rsidR="00B33F92" w:rsidRPr="00D5145D">
        <w:rPr>
          <w:b w:val="0"/>
          <w:szCs w:val="22"/>
        </w:rPr>
        <w:t xml:space="preserve">there is guidance that </w:t>
      </w:r>
      <w:r w:rsidR="00C9002D" w:rsidRPr="00D5145D">
        <w:rPr>
          <w:b w:val="0"/>
          <w:szCs w:val="22"/>
        </w:rPr>
        <w:t>direct</w:t>
      </w:r>
      <w:r w:rsidR="00B33F92" w:rsidRPr="00D5145D">
        <w:rPr>
          <w:b w:val="0"/>
          <w:szCs w:val="22"/>
        </w:rPr>
        <w:t xml:space="preserve"> these allocations to IMR instead of AVR. </w:t>
      </w:r>
    </w:p>
    <w:p w14:paraId="2ABFE80F" w14:textId="77777777" w:rsidR="006828FD" w:rsidRPr="00D5145D" w:rsidRDefault="006828FD" w:rsidP="00B638CB">
      <w:pPr>
        <w:pStyle w:val="BodyText2"/>
        <w:ind w:left="720"/>
        <w:rPr>
          <w:b w:val="0"/>
          <w:szCs w:val="22"/>
        </w:rPr>
      </w:pPr>
    </w:p>
    <w:p w14:paraId="049B216C" w14:textId="12219F0A" w:rsidR="006828FD" w:rsidRPr="00D5145D" w:rsidRDefault="00893424" w:rsidP="006828FD">
      <w:pPr>
        <w:pStyle w:val="BodyText2"/>
        <w:numPr>
          <w:ilvl w:val="0"/>
          <w:numId w:val="14"/>
        </w:numPr>
        <w:rPr>
          <w:bCs w:val="0"/>
          <w:szCs w:val="22"/>
          <w:u w:val="single"/>
        </w:rPr>
      </w:pPr>
      <w:r w:rsidRPr="00D5145D">
        <w:rPr>
          <w:bCs w:val="0"/>
          <w:szCs w:val="22"/>
          <w:u w:val="single"/>
        </w:rPr>
        <w:t>Bond IMR / AVR Allocation</w:t>
      </w:r>
    </w:p>
    <w:p w14:paraId="3C26CFBD" w14:textId="6D47910E" w:rsidR="00893424" w:rsidRPr="00D5145D" w:rsidRDefault="00532E28" w:rsidP="00893424">
      <w:pPr>
        <w:pStyle w:val="BodyText2"/>
        <w:ind w:left="720"/>
        <w:rPr>
          <w:b w:val="0"/>
          <w:szCs w:val="22"/>
        </w:rPr>
      </w:pPr>
      <w:r w:rsidRPr="00D5145D">
        <w:rPr>
          <w:b w:val="0"/>
          <w:szCs w:val="22"/>
        </w:rPr>
        <w:t xml:space="preserve">The current guidance in </w:t>
      </w:r>
      <w:r w:rsidRPr="00BA15FE">
        <w:rPr>
          <w:b w:val="0"/>
          <w:i/>
          <w:iCs/>
          <w:szCs w:val="22"/>
        </w:rPr>
        <w:t>SSAP No. 26R</w:t>
      </w:r>
      <w:r w:rsidR="00BA15FE" w:rsidRPr="00BA15FE">
        <w:rPr>
          <w:b w:val="0"/>
          <w:i/>
          <w:iCs/>
          <w:szCs w:val="22"/>
        </w:rPr>
        <w:t>—Bonds</w:t>
      </w:r>
      <w:r w:rsidRPr="00D5145D">
        <w:rPr>
          <w:b w:val="0"/>
          <w:szCs w:val="22"/>
        </w:rPr>
        <w:t xml:space="preserve"> allocates all gains or losses to the IMR or the AVR</w:t>
      </w:r>
      <w:r w:rsidR="006D41DD" w:rsidRPr="00D5145D">
        <w:rPr>
          <w:b w:val="0"/>
          <w:szCs w:val="22"/>
        </w:rPr>
        <w:t xml:space="preserve"> based on whether there has been </w:t>
      </w:r>
      <w:r w:rsidR="00C9002D" w:rsidRPr="00D5145D">
        <w:rPr>
          <w:b w:val="0"/>
          <w:szCs w:val="22"/>
        </w:rPr>
        <w:t>more</w:t>
      </w:r>
      <w:r w:rsidR="006D41DD" w:rsidRPr="00D5145D">
        <w:rPr>
          <w:b w:val="0"/>
          <w:szCs w:val="22"/>
        </w:rPr>
        <w:t xml:space="preserve"> than </w:t>
      </w:r>
      <w:r w:rsidR="00D05A33" w:rsidRPr="00D5145D">
        <w:rPr>
          <w:b w:val="0"/>
          <w:szCs w:val="22"/>
        </w:rPr>
        <w:t>one</w:t>
      </w:r>
      <w:r w:rsidR="006D41DD" w:rsidRPr="00D5145D">
        <w:rPr>
          <w:b w:val="0"/>
          <w:szCs w:val="22"/>
        </w:rPr>
        <w:t xml:space="preserve"> NAIC designation change</w:t>
      </w:r>
      <w:r w:rsidRPr="00D5145D">
        <w:rPr>
          <w:b w:val="0"/>
          <w:szCs w:val="22"/>
        </w:rPr>
        <w:t xml:space="preserve">. This is different from </w:t>
      </w:r>
      <w:r w:rsidRPr="00C7588F">
        <w:rPr>
          <w:b w:val="0"/>
          <w:i/>
          <w:iCs/>
          <w:szCs w:val="22"/>
        </w:rPr>
        <w:t>SSAP No. 43R</w:t>
      </w:r>
      <w:r w:rsidR="007D042F" w:rsidRPr="00C7588F">
        <w:rPr>
          <w:b w:val="0"/>
          <w:i/>
          <w:iCs/>
          <w:szCs w:val="22"/>
        </w:rPr>
        <w:t>—Loan-Backed and Structured Securities</w:t>
      </w:r>
      <w:r w:rsidRPr="00D5145D">
        <w:rPr>
          <w:b w:val="0"/>
          <w:szCs w:val="22"/>
        </w:rPr>
        <w:t xml:space="preserve"> in which all </w:t>
      </w:r>
      <w:r w:rsidR="00624528" w:rsidRPr="00D5145D">
        <w:rPr>
          <w:b w:val="0"/>
          <w:szCs w:val="22"/>
        </w:rPr>
        <w:t>actions that result in realized gains / losses (</w:t>
      </w:r>
      <w:r w:rsidRPr="00D5145D">
        <w:rPr>
          <w:b w:val="0"/>
          <w:szCs w:val="22"/>
        </w:rPr>
        <w:t>sales / OTTI</w:t>
      </w:r>
      <w:r w:rsidR="00624528" w:rsidRPr="00D5145D">
        <w:rPr>
          <w:b w:val="0"/>
          <w:szCs w:val="22"/>
        </w:rPr>
        <w:t>)</w:t>
      </w:r>
      <w:r w:rsidRPr="00D5145D">
        <w:rPr>
          <w:b w:val="0"/>
          <w:szCs w:val="22"/>
        </w:rPr>
        <w:t xml:space="preserve"> are </w:t>
      </w:r>
      <w:r w:rsidR="00761255" w:rsidRPr="00D5145D">
        <w:rPr>
          <w:b w:val="0"/>
          <w:szCs w:val="22"/>
        </w:rPr>
        <w:t>reviewed and bifurcated</w:t>
      </w:r>
      <w:r w:rsidR="00E458B0">
        <w:rPr>
          <w:b w:val="0"/>
          <w:szCs w:val="22"/>
        </w:rPr>
        <w:t xml:space="preserve"> and/or</w:t>
      </w:r>
      <w:r w:rsidR="00761255" w:rsidRPr="00D5145D">
        <w:rPr>
          <w:b w:val="0"/>
          <w:szCs w:val="22"/>
        </w:rPr>
        <w:t xml:space="preserve"> </w:t>
      </w:r>
      <w:r w:rsidRPr="00D5145D">
        <w:rPr>
          <w:b w:val="0"/>
          <w:szCs w:val="22"/>
        </w:rPr>
        <w:t>divided between IMR and AVR</w:t>
      </w:r>
      <w:r w:rsidR="00761255" w:rsidRPr="00D5145D">
        <w:rPr>
          <w:b w:val="0"/>
          <w:szCs w:val="22"/>
        </w:rPr>
        <w:t>.</w:t>
      </w:r>
      <w:r w:rsidR="00C9002D" w:rsidRPr="00D5145D">
        <w:rPr>
          <w:b w:val="0"/>
          <w:szCs w:val="22"/>
        </w:rPr>
        <w:t xml:space="preserve"> </w:t>
      </w:r>
      <w:r w:rsidR="00624528" w:rsidRPr="00D5145D">
        <w:rPr>
          <w:b w:val="0"/>
          <w:szCs w:val="22"/>
        </w:rPr>
        <w:t xml:space="preserve">Furthermore, </w:t>
      </w:r>
      <w:r w:rsidR="00C313BD" w:rsidRPr="00D5145D">
        <w:rPr>
          <w:b w:val="0"/>
          <w:szCs w:val="22"/>
        </w:rPr>
        <w:t>with the guidance to expand to 20 NAIC designation</w:t>
      </w:r>
      <w:r w:rsidR="00E458B0">
        <w:rPr>
          <w:b w:val="0"/>
          <w:szCs w:val="22"/>
        </w:rPr>
        <w:t>s</w:t>
      </w:r>
      <w:r w:rsidR="00C313BD" w:rsidRPr="00D5145D">
        <w:rPr>
          <w:b w:val="0"/>
          <w:szCs w:val="22"/>
        </w:rPr>
        <w:t>, the current A/S instructions are not clear as to what constitutes a designation change. Under current interpretation, a security cou</w:t>
      </w:r>
      <w:r w:rsidR="00E14E2D" w:rsidRPr="00D5145D">
        <w:rPr>
          <w:b w:val="0"/>
          <w:szCs w:val="22"/>
        </w:rPr>
        <w:t xml:space="preserve">ld </w:t>
      </w:r>
      <w:r w:rsidR="00654185" w:rsidRPr="00D5145D">
        <w:rPr>
          <w:b w:val="0"/>
          <w:szCs w:val="22"/>
        </w:rPr>
        <w:t>move</w:t>
      </w:r>
      <w:r w:rsidR="00E14E2D" w:rsidRPr="00D5145D">
        <w:rPr>
          <w:b w:val="0"/>
          <w:szCs w:val="22"/>
        </w:rPr>
        <w:t xml:space="preserve"> through many levels </w:t>
      </w:r>
      <w:r w:rsidR="00484BD5" w:rsidRPr="00D5145D">
        <w:rPr>
          <w:b w:val="0"/>
          <w:szCs w:val="22"/>
        </w:rPr>
        <w:t xml:space="preserve">from changes in the designation modifiers, </w:t>
      </w:r>
      <w:r w:rsidR="00654185" w:rsidRPr="00D5145D">
        <w:rPr>
          <w:b w:val="0"/>
          <w:szCs w:val="22"/>
        </w:rPr>
        <w:t xml:space="preserve">which reflect credit changes, </w:t>
      </w:r>
      <w:r w:rsidR="00503CDA" w:rsidRPr="00D5145D">
        <w:rPr>
          <w:b w:val="0"/>
          <w:szCs w:val="22"/>
        </w:rPr>
        <w:t>but</w:t>
      </w:r>
      <w:r w:rsidR="00484BD5" w:rsidRPr="00D5145D">
        <w:rPr>
          <w:b w:val="0"/>
          <w:szCs w:val="22"/>
        </w:rPr>
        <w:t xml:space="preserve"> not be considered to have moved beyond more than 1 designation. </w:t>
      </w:r>
      <w:r w:rsidR="0041029C" w:rsidRPr="00D5145D">
        <w:rPr>
          <w:b w:val="0"/>
          <w:szCs w:val="22"/>
        </w:rPr>
        <w:t>The non-bifurcation approach that current</w:t>
      </w:r>
      <w:r w:rsidR="00E458B0">
        <w:rPr>
          <w:b w:val="0"/>
          <w:szCs w:val="22"/>
        </w:rPr>
        <w:t>ly</w:t>
      </w:r>
      <w:r w:rsidR="0041029C" w:rsidRPr="00D5145D">
        <w:rPr>
          <w:b w:val="0"/>
          <w:szCs w:val="22"/>
        </w:rPr>
        <w:t xml:space="preserve"> exists for bonds, as well as the </w:t>
      </w:r>
      <w:r w:rsidR="009D47A8" w:rsidRPr="00D5145D">
        <w:rPr>
          <w:b w:val="0"/>
          <w:szCs w:val="22"/>
        </w:rPr>
        <w:t>potential for m</w:t>
      </w:r>
      <w:r w:rsidR="00654185" w:rsidRPr="00D5145D">
        <w:rPr>
          <w:b w:val="0"/>
          <w:szCs w:val="22"/>
        </w:rPr>
        <w:t>any credit-quality changes</w:t>
      </w:r>
      <w:r w:rsidR="009D47A8" w:rsidRPr="00D5145D">
        <w:rPr>
          <w:b w:val="0"/>
          <w:szCs w:val="22"/>
        </w:rPr>
        <w:t xml:space="preserve"> within </w:t>
      </w:r>
      <w:r w:rsidR="008348E9" w:rsidRPr="00D5145D">
        <w:rPr>
          <w:b w:val="0"/>
          <w:szCs w:val="22"/>
        </w:rPr>
        <w:t>a</w:t>
      </w:r>
      <w:r w:rsidR="009D47A8" w:rsidRPr="00D5145D">
        <w:rPr>
          <w:b w:val="0"/>
          <w:szCs w:val="22"/>
        </w:rPr>
        <w:t xml:space="preserve"> designation level, may result with credit-related losses being captured in IMR. </w:t>
      </w:r>
      <w:r w:rsidR="008348E9" w:rsidRPr="00D5145D">
        <w:rPr>
          <w:b w:val="0"/>
          <w:szCs w:val="22"/>
        </w:rPr>
        <w:t xml:space="preserve">(The IMR/AVR instructions also continue to reference bond mutual funds, but that classification has been eliminated from statutory accounting.) </w:t>
      </w:r>
    </w:p>
    <w:p w14:paraId="05E80D4E" w14:textId="77777777" w:rsidR="00ED4D4F" w:rsidRPr="00D5145D" w:rsidRDefault="00ED4D4F" w:rsidP="00893424">
      <w:pPr>
        <w:pStyle w:val="BodyText2"/>
        <w:ind w:left="720"/>
        <w:rPr>
          <w:b w:val="0"/>
          <w:szCs w:val="22"/>
        </w:rPr>
      </w:pPr>
    </w:p>
    <w:p w14:paraId="543F5120" w14:textId="517F0FB0" w:rsidR="00ED4D4F" w:rsidRPr="00D5145D" w:rsidRDefault="00A127AF" w:rsidP="00ED4D4F">
      <w:pPr>
        <w:pStyle w:val="BodyText2"/>
        <w:numPr>
          <w:ilvl w:val="0"/>
          <w:numId w:val="14"/>
        </w:numPr>
        <w:rPr>
          <w:bCs w:val="0"/>
          <w:szCs w:val="22"/>
          <w:u w:val="single"/>
        </w:rPr>
      </w:pPr>
      <w:r w:rsidRPr="00D5145D">
        <w:rPr>
          <w:bCs w:val="0"/>
          <w:szCs w:val="22"/>
          <w:u w:val="single"/>
        </w:rPr>
        <w:t>Allocation of Perpetual Preferred Stock</w:t>
      </w:r>
    </w:p>
    <w:p w14:paraId="1C181158" w14:textId="56A20488" w:rsidR="00ED4D4F" w:rsidRPr="00D5145D" w:rsidRDefault="00A127AF" w:rsidP="00ED4D4F">
      <w:pPr>
        <w:pStyle w:val="BodyText2"/>
        <w:ind w:left="720"/>
        <w:rPr>
          <w:b w:val="0"/>
          <w:szCs w:val="22"/>
        </w:rPr>
      </w:pPr>
      <w:r w:rsidRPr="00D5145D">
        <w:rPr>
          <w:b w:val="0"/>
          <w:szCs w:val="22"/>
        </w:rPr>
        <w:t xml:space="preserve">The </w:t>
      </w:r>
      <w:r w:rsidR="002164C1" w:rsidRPr="00D5145D">
        <w:rPr>
          <w:b w:val="0"/>
          <w:szCs w:val="22"/>
        </w:rPr>
        <w:t xml:space="preserve">IMR/AVR </w:t>
      </w:r>
      <w:r w:rsidRPr="00D5145D">
        <w:rPr>
          <w:b w:val="0"/>
          <w:szCs w:val="22"/>
        </w:rPr>
        <w:t xml:space="preserve">guidance for perpetual preferred stock </w:t>
      </w:r>
      <w:r w:rsidR="002164C1" w:rsidRPr="00D5145D">
        <w:rPr>
          <w:b w:val="0"/>
          <w:szCs w:val="22"/>
        </w:rPr>
        <w:t xml:space="preserve">has not been reviewed since the adoption of guidance that prescribes fair value for perpetual preferred stock. </w:t>
      </w:r>
      <w:r w:rsidR="00257A99" w:rsidRPr="00D5145D">
        <w:rPr>
          <w:b w:val="0"/>
          <w:szCs w:val="22"/>
        </w:rPr>
        <w:t xml:space="preserve">The guidance </w:t>
      </w:r>
      <w:r w:rsidR="00A87022" w:rsidRPr="00D5145D">
        <w:rPr>
          <w:b w:val="0"/>
          <w:szCs w:val="22"/>
        </w:rPr>
        <w:t>is still allocated</w:t>
      </w:r>
      <w:r w:rsidR="00257A99" w:rsidRPr="00D5145D">
        <w:rPr>
          <w:b w:val="0"/>
          <w:szCs w:val="22"/>
        </w:rPr>
        <w:t xml:space="preserve"> </w:t>
      </w:r>
      <w:r w:rsidR="00B566F0" w:rsidRPr="00D5145D">
        <w:rPr>
          <w:b w:val="0"/>
          <w:szCs w:val="22"/>
        </w:rPr>
        <w:t>entirely based on the NAIC designation. For preferred stock, a designation of 4-6, at any time during the holding period</w:t>
      </w:r>
      <w:r w:rsidR="00A87022" w:rsidRPr="00D5145D">
        <w:rPr>
          <w:b w:val="0"/>
          <w:szCs w:val="22"/>
        </w:rPr>
        <w:t xml:space="preserve"> for both redeemable and perpetual</w:t>
      </w:r>
      <w:r w:rsidR="00B566F0" w:rsidRPr="00D5145D">
        <w:rPr>
          <w:b w:val="0"/>
          <w:szCs w:val="22"/>
        </w:rPr>
        <w:t xml:space="preserve">, results in an allocation to AVR. </w:t>
      </w:r>
    </w:p>
    <w:p w14:paraId="676EC784" w14:textId="77777777" w:rsidR="00886499" w:rsidRPr="00D5145D" w:rsidRDefault="00886499" w:rsidP="00ED4D4F">
      <w:pPr>
        <w:pStyle w:val="BodyText2"/>
        <w:ind w:left="720"/>
        <w:rPr>
          <w:b w:val="0"/>
          <w:szCs w:val="22"/>
        </w:rPr>
      </w:pPr>
    </w:p>
    <w:p w14:paraId="0030F87F" w14:textId="21588EE3" w:rsidR="0020428F" w:rsidRPr="00D5145D" w:rsidRDefault="00121458" w:rsidP="00886499">
      <w:pPr>
        <w:pStyle w:val="BodyText2"/>
        <w:numPr>
          <w:ilvl w:val="0"/>
          <w:numId w:val="14"/>
        </w:numPr>
        <w:rPr>
          <w:bCs w:val="0"/>
          <w:szCs w:val="22"/>
          <w:u w:val="single"/>
        </w:rPr>
      </w:pPr>
      <w:r w:rsidRPr="00D5145D">
        <w:rPr>
          <w:bCs w:val="0"/>
          <w:szCs w:val="22"/>
          <w:u w:val="single"/>
        </w:rPr>
        <w:t>Delineation of Non-Interest (Credit) / Interest and Realized / Unrealized</w:t>
      </w:r>
    </w:p>
    <w:p w14:paraId="53551279" w14:textId="6ECD49BD" w:rsidR="00121458" w:rsidRPr="00D5145D" w:rsidRDefault="003E2E5D" w:rsidP="00121458">
      <w:pPr>
        <w:pStyle w:val="BodyText2"/>
        <w:ind w:left="720"/>
        <w:rPr>
          <w:b w:val="0"/>
          <w:szCs w:val="22"/>
        </w:rPr>
      </w:pPr>
      <w:r w:rsidRPr="00D5145D">
        <w:rPr>
          <w:b w:val="0"/>
          <w:szCs w:val="22"/>
        </w:rPr>
        <w:t>The IMR/AVR guidance is predicated on a division between interest and non-interest changes</w:t>
      </w:r>
      <w:r w:rsidR="00D96A59" w:rsidRPr="00D5145D">
        <w:rPr>
          <w:b w:val="0"/>
          <w:szCs w:val="22"/>
        </w:rPr>
        <w:t xml:space="preserve">, as well as the reporting of unrealized and realized changes. For the long-term project, </w:t>
      </w:r>
      <w:r w:rsidR="008F0B06" w:rsidRPr="00D5145D">
        <w:rPr>
          <w:b w:val="0"/>
          <w:szCs w:val="22"/>
        </w:rPr>
        <w:t>it is proposed that principle-based concepts be established to assist with the allocation between IMR/AVR based on these fundamental concepts to ensure consistency and verification of allocation</w:t>
      </w:r>
      <w:r w:rsidR="00716222" w:rsidRPr="00D5145D">
        <w:rPr>
          <w:b w:val="0"/>
          <w:szCs w:val="22"/>
        </w:rPr>
        <w:t xml:space="preserve"> across reporting entities. </w:t>
      </w:r>
    </w:p>
    <w:p w14:paraId="21559CB6" w14:textId="77777777" w:rsidR="003E2E5D" w:rsidRPr="00D5145D" w:rsidRDefault="003E2E5D" w:rsidP="00121458">
      <w:pPr>
        <w:pStyle w:val="BodyText2"/>
        <w:ind w:left="720"/>
        <w:rPr>
          <w:b w:val="0"/>
          <w:szCs w:val="22"/>
        </w:rPr>
      </w:pPr>
    </w:p>
    <w:p w14:paraId="3B10FC60" w14:textId="016E5148" w:rsidR="00886499" w:rsidRPr="00D5145D" w:rsidRDefault="00886499" w:rsidP="00886499">
      <w:pPr>
        <w:pStyle w:val="BodyText2"/>
        <w:numPr>
          <w:ilvl w:val="0"/>
          <w:numId w:val="14"/>
        </w:numPr>
        <w:rPr>
          <w:bCs w:val="0"/>
          <w:szCs w:val="22"/>
          <w:u w:val="single"/>
        </w:rPr>
      </w:pPr>
      <w:r w:rsidRPr="00D5145D">
        <w:rPr>
          <w:bCs w:val="0"/>
          <w:szCs w:val="22"/>
          <w:u w:val="single"/>
        </w:rPr>
        <w:t>Derivative Guidance</w:t>
      </w:r>
    </w:p>
    <w:p w14:paraId="15AEB95B" w14:textId="0835AF02" w:rsidR="00886499" w:rsidRPr="00D5145D" w:rsidRDefault="00886499" w:rsidP="00886499">
      <w:pPr>
        <w:pStyle w:val="BodyText2"/>
        <w:ind w:left="720"/>
        <w:rPr>
          <w:b w:val="0"/>
          <w:szCs w:val="22"/>
        </w:rPr>
      </w:pPr>
      <w:r w:rsidRPr="00D5145D">
        <w:rPr>
          <w:b w:val="0"/>
          <w:szCs w:val="22"/>
        </w:rPr>
        <w:t xml:space="preserve">There is ambiguity </w:t>
      </w:r>
      <w:r w:rsidR="0037483C" w:rsidRPr="00D5145D">
        <w:rPr>
          <w:b w:val="0"/>
          <w:szCs w:val="22"/>
        </w:rPr>
        <w:t xml:space="preserve">on intended guidance detailed in the A/S instructions </w:t>
      </w:r>
      <w:r w:rsidR="00892B43" w:rsidRPr="00D5145D">
        <w:rPr>
          <w:b w:val="0"/>
          <w:szCs w:val="22"/>
        </w:rPr>
        <w:t xml:space="preserve">and the guidance in </w:t>
      </w:r>
      <w:r w:rsidR="00892B43" w:rsidRPr="00D5145D">
        <w:rPr>
          <w:b w:val="0"/>
          <w:i/>
          <w:iCs/>
          <w:szCs w:val="22"/>
        </w:rPr>
        <w:t>SSAP No. 86—Derivatives</w:t>
      </w:r>
      <w:r w:rsidR="00892B43" w:rsidRPr="00D5145D">
        <w:rPr>
          <w:b w:val="0"/>
          <w:szCs w:val="22"/>
        </w:rPr>
        <w:t xml:space="preserve"> for the allocation of derivatives held at fair value that are deemed to be hedging interest rate risk. (These derivatives do not qualify as effective derivatives under SSAP No. 86.) </w:t>
      </w:r>
    </w:p>
    <w:p w14:paraId="1E45D059" w14:textId="77777777" w:rsidR="00CE6FB3" w:rsidRPr="00D5145D" w:rsidRDefault="00CE6FB3" w:rsidP="00886499">
      <w:pPr>
        <w:pStyle w:val="BodyText2"/>
        <w:ind w:left="720"/>
        <w:rPr>
          <w:b w:val="0"/>
          <w:szCs w:val="22"/>
        </w:rPr>
      </w:pPr>
    </w:p>
    <w:p w14:paraId="1E606917" w14:textId="5E1A9E46" w:rsidR="00CE6FB3" w:rsidRPr="00D5145D" w:rsidRDefault="003137D2" w:rsidP="00CE6FB3">
      <w:pPr>
        <w:pStyle w:val="BodyText2"/>
        <w:numPr>
          <w:ilvl w:val="0"/>
          <w:numId w:val="14"/>
        </w:numPr>
        <w:rPr>
          <w:bCs w:val="0"/>
          <w:szCs w:val="22"/>
          <w:u w:val="single"/>
        </w:rPr>
      </w:pPr>
      <w:r w:rsidRPr="00D5145D">
        <w:rPr>
          <w:bCs w:val="0"/>
          <w:szCs w:val="22"/>
          <w:u w:val="single"/>
        </w:rPr>
        <w:t>Reinsurance Ceded</w:t>
      </w:r>
      <w:r w:rsidR="00C44D05" w:rsidRPr="00D5145D">
        <w:rPr>
          <w:bCs w:val="0"/>
          <w:szCs w:val="22"/>
          <w:u w:val="single"/>
        </w:rPr>
        <w:t xml:space="preserve"> / Assumed</w:t>
      </w:r>
    </w:p>
    <w:p w14:paraId="73AC5698" w14:textId="31A22C74" w:rsidR="00CE6FB3" w:rsidRPr="00D5145D" w:rsidRDefault="00064BC7" w:rsidP="00CE6FB3">
      <w:pPr>
        <w:pStyle w:val="BodyText2"/>
        <w:ind w:left="720"/>
        <w:rPr>
          <w:b w:val="0"/>
          <w:szCs w:val="22"/>
        </w:rPr>
      </w:pPr>
      <w:r w:rsidRPr="00D5145D">
        <w:rPr>
          <w:b w:val="0"/>
          <w:szCs w:val="22"/>
        </w:rPr>
        <w:t xml:space="preserve">Although the A/S instructions include guidance for </w:t>
      </w:r>
      <w:r w:rsidR="00D8700D" w:rsidRPr="00D5145D">
        <w:rPr>
          <w:b w:val="0"/>
          <w:szCs w:val="22"/>
        </w:rPr>
        <w:t xml:space="preserve">removal of IMR for reinsurance ceded, and the acquisition of IMR for reinsurance assumed, the impact of reinsurance – particularly with the dissolution of reinsurance </w:t>
      </w:r>
      <w:r w:rsidR="002744C4" w:rsidRPr="00D5145D">
        <w:rPr>
          <w:b w:val="0"/>
          <w:szCs w:val="22"/>
        </w:rPr>
        <w:t>agreements when IMR had initially been transferred –</w:t>
      </w:r>
      <w:r w:rsidR="00D8700D" w:rsidRPr="00D5145D">
        <w:rPr>
          <w:b w:val="0"/>
          <w:szCs w:val="22"/>
        </w:rPr>
        <w:t xml:space="preserve"> </w:t>
      </w:r>
      <w:r w:rsidR="002744C4" w:rsidRPr="00D5145D">
        <w:rPr>
          <w:b w:val="0"/>
          <w:szCs w:val="22"/>
        </w:rPr>
        <w:t xml:space="preserve">is a common question on determining IMR and AVR for reporting entities. </w:t>
      </w:r>
    </w:p>
    <w:p w14:paraId="0A01836B" w14:textId="77777777" w:rsidR="00696C35" w:rsidRPr="00D5145D" w:rsidRDefault="00696C35" w:rsidP="00CE6FB3">
      <w:pPr>
        <w:pStyle w:val="BodyText2"/>
        <w:ind w:left="720"/>
        <w:rPr>
          <w:b w:val="0"/>
          <w:szCs w:val="22"/>
        </w:rPr>
      </w:pPr>
    </w:p>
    <w:p w14:paraId="263ECDB4" w14:textId="54F6B4DB" w:rsidR="004E4B26" w:rsidRPr="00D5145D" w:rsidRDefault="004E4B26" w:rsidP="004E4B26">
      <w:pPr>
        <w:pStyle w:val="BodyText2"/>
        <w:numPr>
          <w:ilvl w:val="0"/>
          <w:numId w:val="14"/>
        </w:numPr>
        <w:rPr>
          <w:bCs w:val="0"/>
          <w:szCs w:val="22"/>
          <w:u w:val="single"/>
        </w:rPr>
      </w:pPr>
      <w:r w:rsidRPr="00D5145D">
        <w:rPr>
          <w:bCs w:val="0"/>
          <w:szCs w:val="22"/>
          <w:u w:val="single"/>
        </w:rPr>
        <w:t>AVR / IMR Cross Checks</w:t>
      </w:r>
    </w:p>
    <w:p w14:paraId="39D5A59D" w14:textId="69132D55" w:rsidR="00ED4D4F" w:rsidRPr="00D5145D" w:rsidRDefault="004E4B26" w:rsidP="00893424">
      <w:pPr>
        <w:pStyle w:val="BodyText2"/>
        <w:ind w:left="720"/>
        <w:rPr>
          <w:b w:val="0"/>
          <w:szCs w:val="22"/>
        </w:rPr>
      </w:pPr>
      <w:r w:rsidRPr="00D5145D">
        <w:rPr>
          <w:b w:val="0"/>
          <w:szCs w:val="22"/>
        </w:rPr>
        <w:t xml:space="preserve">The AVR </w:t>
      </w:r>
      <w:r w:rsidR="00D15189" w:rsidRPr="00D5145D">
        <w:rPr>
          <w:b w:val="0"/>
          <w:szCs w:val="22"/>
        </w:rPr>
        <w:t xml:space="preserve">is often used as the direct pull to the RBC instructions for life companies. It has been identified that there are no crosschecks </w:t>
      </w:r>
      <w:r w:rsidR="00F12A57" w:rsidRPr="00D5145D">
        <w:rPr>
          <w:b w:val="0"/>
          <w:szCs w:val="22"/>
        </w:rPr>
        <w:t xml:space="preserve">to ensure that items are being mapped to the AVR correctly from other schedules. For example, </w:t>
      </w:r>
      <w:r w:rsidR="00F537D0" w:rsidRPr="00D5145D">
        <w:rPr>
          <w:b w:val="0"/>
          <w:szCs w:val="22"/>
        </w:rPr>
        <w:t xml:space="preserve">residuals reported on Schedule BA should map to the residual reporting lines in the AVR. However, it was identified that there were variations between Schedule BA and the AVR for the residual lines. </w:t>
      </w:r>
      <w:r w:rsidR="00881A83" w:rsidRPr="00D5145D">
        <w:rPr>
          <w:b w:val="0"/>
          <w:szCs w:val="22"/>
        </w:rPr>
        <w:t xml:space="preserve">As the AVR reporting is pulled for RBC, it is important for the reporting in the AVR to correctly reflect what is in the schedules to ensure that the appropriate charges are applied. </w:t>
      </w:r>
      <w:r w:rsidR="00980AB6" w:rsidRPr="00D5145D">
        <w:rPr>
          <w:b w:val="0"/>
          <w:szCs w:val="22"/>
        </w:rPr>
        <w:t xml:space="preserve">Cross checks are expected to ensure the reporting flows through the schedules as intended. </w:t>
      </w:r>
    </w:p>
    <w:p w14:paraId="0B0E79A9" w14:textId="77777777" w:rsidR="00B0468C" w:rsidRPr="00D5145D" w:rsidRDefault="00B0468C" w:rsidP="00893424">
      <w:pPr>
        <w:pStyle w:val="BodyText2"/>
        <w:ind w:left="720"/>
        <w:rPr>
          <w:b w:val="0"/>
          <w:szCs w:val="22"/>
        </w:rPr>
      </w:pPr>
    </w:p>
    <w:p w14:paraId="7B3B5820" w14:textId="3D5EAD48" w:rsidR="00B0468C" w:rsidRPr="00D5145D" w:rsidRDefault="00B0468C" w:rsidP="00B0468C">
      <w:pPr>
        <w:pStyle w:val="BodyText2"/>
        <w:numPr>
          <w:ilvl w:val="0"/>
          <w:numId w:val="14"/>
        </w:numPr>
        <w:rPr>
          <w:bCs w:val="0"/>
          <w:szCs w:val="22"/>
          <w:u w:val="single"/>
        </w:rPr>
      </w:pPr>
      <w:r w:rsidRPr="00D5145D">
        <w:rPr>
          <w:bCs w:val="0"/>
          <w:szCs w:val="22"/>
          <w:u w:val="single"/>
        </w:rPr>
        <w:t>Overall IMR and AVR Reporting in the General and Separate Accounts</w:t>
      </w:r>
    </w:p>
    <w:p w14:paraId="424CC848" w14:textId="78440436" w:rsidR="00B0468C" w:rsidRPr="00D5145D" w:rsidRDefault="00B0468C" w:rsidP="00B0468C">
      <w:pPr>
        <w:pStyle w:val="BodyText2"/>
        <w:ind w:left="720"/>
        <w:rPr>
          <w:b w:val="0"/>
          <w:szCs w:val="22"/>
        </w:rPr>
      </w:pPr>
      <w:r w:rsidRPr="00D5145D">
        <w:rPr>
          <w:b w:val="0"/>
          <w:szCs w:val="22"/>
        </w:rPr>
        <w:t xml:space="preserve">The reporting of IMR and AVR, including how positive balances in one account impacts negative balances in another account, as well as the treatment of net negative IMR, are expected as a long-term </w:t>
      </w:r>
      <w:r w:rsidR="00CF732E" w:rsidRPr="00D5145D">
        <w:rPr>
          <w:b w:val="0"/>
          <w:szCs w:val="22"/>
        </w:rPr>
        <w:t>focus</w:t>
      </w:r>
      <w:r w:rsidRPr="00D5145D">
        <w:rPr>
          <w:b w:val="0"/>
          <w:szCs w:val="22"/>
        </w:rPr>
        <w:t xml:space="preserve">. </w:t>
      </w:r>
      <w:r w:rsidR="008D6264">
        <w:rPr>
          <w:b w:val="0"/>
          <w:szCs w:val="22"/>
        </w:rPr>
        <w:t>It is anticipated that the complete guidance for both general accounts and separate accounts</w:t>
      </w:r>
      <w:r w:rsidR="00FE5D9F">
        <w:rPr>
          <w:b w:val="0"/>
          <w:szCs w:val="22"/>
        </w:rPr>
        <w:t>, once established,</w:t>
      </w:r>
      <w:r w:rsidR="008D6264">
        <w:rPr>
          <w:b w:val="0"/>
          <w:szCs w:val="22"/>
        </w:rPr>
        <w:t xml:space="preserve"> will be captured in SSAP No. 7, with a reference from </w:t>
      </w:r>
      <w:r w:rsidR="008D6264" w:rsidRPr="008D6264">
        <w:rPr>
          <w:b w:val="0"/>
          <w:i/>
          <w:iCs/>
          <w:szCs w:val="22"/>
        </w:rPr>
        <w:t>SSAP No. 56—Separate Accounts</w:t>
      </w:r>
      <w:r w:rsidR="008D6264">
        <w:rPr>
          <w:b w:val="0"/>
          <w:szCs w:val="22"/>
        </w:rPr>
        <w:t xml:space="preserve"> to SSAP No. 7. </w:t>
      </w:r>
    </w:p>
    <w:p w14:paraId="6F8BB833" w14:textId="77777777" w:rsidR="00D67D5E" w:rsidRDefault="00D67D5E" w:rsidP="00C71C2C">
      <w:pPr>
        <w:pStyle w:val="BodyText2"/>
        <w:rPr>
          <w:szCs w:val="22"/>
        </w:rPr>
      </w:pPr>
    </w:p>
    <w:p w14:paraId="53229BB2" w14:textId="1C046462" w:rsidR="002A1316" w:rsidRDefault="002A1316" w:rsidP="00C71C2C">
      <w:pPr>
        <w:pStyle w:val="BodyText2"/>
        <w:rPr>
          <w:b w:val="0"/>
          <w:bCs w:val="0"/>
          <w:szCs w:val="22"/>
        </w:rPr>
      </w:pPr>
      <w:r w:rsidRPr="00D5145D">
        <w:rPr>
          <w:szCs w:val="22"/>
        </w:rPr>
        <w:t>Staff Review Completed by:</w:t>
      </w:r>
      <w:r w:rsidR="00CA4E49" w:rsidRPr="00D5145D">
        <w:rPr>
          <w:szCs w:val="22"/>
        </w:rPr>
        <w:t xml:space="preserve"> </w:t>
      </w:r>
      <w:r w:rsidR="00DC1DBB" w:rsidRPr="00D5145D">
        <w:rPr>
          <w:b w:val="0"/>
          <w:bCs w:val="0"/>
          <w:szCs w:val="22"/>
        </w:rPr>
        <w:t>Julie Gann</w:t>
      </w:r>
      <w:r w:rsidR="001B1F96" w:rsidRPr="00D5145D">
        <w:rPr>
          <w:b w:val="0"/>
          <w:bCs w:val="0"/>
          <w:szCs w:val="22"/>
        </w:rPr>
        <w:t xml:space="preserve"> - </w:t>
      </w:r>
      <w:r w:rsidR="00FE7FAA" w:rsidRPr="00D5145D">
        <w:rPr>
          <w:b w:val="0"/>
          <w:bCs w:val="0"/>
          <w:szCs w:val="22"/>
        </w:rPr>
        <w:t xml:space="preserve">NAIC </w:t>
      </w:r>
      <w:r w:rsidR="006B37DD" w:rsidRPr="00D5145D">
        <w:rPr>
          <w:b w:val="0"/>
          <w:bCs w:val="0"/>
          <w:szCs w:val="22"/>
        </w:rPr>
        <w:t>S</w:t>
      </w:r>
      <w:r w:rsidR="00FE7FAA" w:rsidRPr="00D5145D">
        <w:rPr>
          <w:b w:val="0"/>
          <w:bCs w:val="0"/>
          <w:szCs w:val="22"/>
        </w:rPr>
        <w:t>taff</w:t>
      </w:r>
      <w:r w:rsidR="001B1F96" w:rsidRPr="00D5145D">
        <w:rPr>
          <w:b w:val="0"/>
          <w:bCs w:val="0"/>
          <w:szCs w:val="22"/>
        </w:rPr>
        <w:t xml:space="preserve">, </w:t>
      </w:r>
      <w:r w:rsidR="00980AB6" w:rsidRPr="00D5145D">
        <w:rPr>
          <w:b w:val="0"/>
          <w:bCs w:val="0"/>
          <w:szCs w:val="22"/>
        </w:rPr>
        <w:t>July 2023</w:t>
      </w:r>
    </w:p>
    <w:p w14:paraId="5E94D772" w14:textId="77777777" w:rsidR="00D04B57" w:rsidRDefault="00D04B57" w:rsidP="00C71C2C">
      <w:pPr>
        <w:pStyle w:val="BodyText2"/>
        <w:rPr>
          <w:b w:val="0"/>
          <w:bCs w:val="0"/>
          <w:szCs w:val="22"/>
        </w:rPr>
      </w:pPr>
    </w:p>
    <w:p w14:paraId="7483F73B" w14:textId="137AE124" w:rsidR="00D04B57" w:rsidRPr="005A2114" w:rsidRDefault="00D04B57" w:rsidP="00C71C2C">
      <w:pPr>
        <w:pStyle w:val="BodyText2"/>
        <w:rPr>
          <w:szCs w:val="22"/>
        </w:rPr>
      </w:pPr>
      <w:r w:rsidRPr="005A2114">
        <w:rPr>
          <w:szCs w:val="22"/>
        </w:rPr>
        <w:t>Status:</w:t>
      </w:r>
    </w:p>
    <w:p w14:paraId="4B15A5B7" w14:textId="2B4816D2" w:rsidR="00D04B57" w:rsidRDefault="005A2114" w:rsidP="00C71C2C">
      <w:pPr>
        <w:pStyle w:val="BodyText2"/>
        <w:rPr>
          <w:b w:val="0"/>
          <w:szCs w:val="22"/>
        </w:rPr>
      </w:pPr>
      <w:r w:rsidRPr="005A2114">
        <w:rPr>
          <w:b w:val="0"/>
          <w:szCs w:val="22"/>
        </w:rPr>
        <w:t xml:space="preserve">On August 13, 2023, the Statutory Accounting Principles (E) Working Group </w:t>
      </w:r>
      <w:r w:rsidR="00A63E97">
        <w:rPr>
          <w:b w:val="0"/>
          <w:szCs w:val="22"/>
        </w:rPr>
        <w:t>moved</w:t>
      </w:r>
      <w:r w:rsidR="00D04B57" w:rsidRPr="00D04B57">
        <w:rPr>
          <w:b w:val="0"/>
          <w:szCs w:val="22"/>
        </w:rPr>
        <w:t xml:space="preserve"> this </w:t>
      </w:r>
      <w:r w:rsidR="00A63E97">
        <w:rPr>
          <w:b w:val="0"/>
          <w:szCs w:val="22"/>
        </w:rPr>
        <w:t xml:space="preserve">agenda </w:t>
      </w:r>
      <w:r w:rsidR="00D04B57" w:rsidRPr="00D04B57">
        <w:rPr>
          <w:b w:val="0"/>
          <w:szCs w:val="22"/>
        </w:rPr>
        <w:t xml:space="preserve">item </w:t>
      </w:r>
      <w:r w:rsidR="00A63E97">
        <w:rPr>
          <w:b w:val="0"/>
          <w:szCs w:val="22"/>
        </w:rPr>
        <w:t>to the</w:t>
      </w:r>
      <w:r w:rsidR="006C7513">
        <w:rPr>
          <w:b w:val="0"/>
          <w:szCs w:val="22"/>
        </w:rPr>
        <w:t xml:space="preserve"> active listing, categorized as a</w:t>
      </w:r>
      <w:r w:rsidR="00D04B57" w:rsidRPr="00D04B57">
        <w:rPr>
          <w:b w:val="0"/>
          <w:szCs w:val="22"/>
        </w:rPr>
        <w:t xml:space="preserve"> new SAP concept and expose</w:t>
      </w:r>
      <w:r w:rsidR="00283648">
        <w:rPr>
          <w:b w:val="0"/>
          <w:szCs w:val="22"/>
        </w:rPr>
        <w:t>d</w:t>
      </w:r>
      <w:r w:rsidR="00D04B57" w:rsidRPr="00D04B57">
        <w:rPr>
          <w:b w:val="0"/>
          <w:szCs w:val="22"/>
        </w:rPr>
        <w:t xml:space="preserve"> this agenda item with the overall concept for a long-term project to capture accounting guidance for AVR and IMR in SSAP No. 7.</w:t>
      </w:r>
      <w:r w:rsidR="000F792A">
        <w:rPr>
          <w:b w:val="0"/>
          <w:szCs w:val="22"/>
        </w:rPr>
        <w:t xml:space="preserve"> </w:t>
      </w:r>
      <w:r w:rsidR="000F792A" w:rsidRPr="000F792A">
        <w:rPr>
          <w:b w:val="0"/>
          <w:szCs w:val="22"/>
        </w:rPr>
        <w:t xml:space="preserve">Although revisions may be considered and adopted to allow focus on specific discussion aspects, ultimately, the movement of the accounting guidance to SSAP No. 7, and any revisions from the </w:t>
      </w:r>
      <w:r w:rsidR="00DE155C">
        <w:rPr>
          <w:b w:val="0"/>
          <w:szCs w:val="22"/>
        </w:rPr>
        <w:t>annual statement</w:t>
      </w:r>
      <w:r w:rsidR="000F792A" w:rsidRPr="000F792A">
        <w:rPr>
          <w:b w:val="0"/>
          <w:szCs w:val="22"/>
        </w:rPr>
        <w:t xml:space="preserve"> instructions when incorporating SAP guidance, is proposed to be captured as a new SAP concept with a corresponding issue paper to detail the revisions. The agenda item identifies discussion topics to be included in this project.</w:t>
      </w:r>
    </w:p>
    <w:p w14:paraId="64A556C6" w14:textId="77777777" w:rsidR="00F46670" w:rsidRDefault="00F46670" w:rsidP="00C71C2C">
      <w:pPr>
        <w:pStyle w:val="BodyText2"/>
        <w:rPr>
          <w:b w:val="0"/>
          <w:szCs w:val="22"/>
        </w:rPr>
      </w:pPr>
    </w:p>
    <w:p w14:paraId="0D6F02CA" w14:textId="3DC9DEF7" w:rsidR="00F46670" w:rsidRDefault="00F46670" w:rsidP="00C71C2C">
      <w:pPr>
        <w:pStyle w:val="BodyText2"/>
        <w:rPr>
          <w:b w:val="0"/>
          <w:szCs w:val="22"/>
        </w:rPr>
      </w:pPr>
      <w:r>
        <w:rPr>
          <w:b w:val="0"/>
          <w:szCs w:val="22"/>
        </w:rPr>
        <w:t xml:space="preserve">On December 1, 2023, </w:t>
      </w:r>
      <w:r w:rsidR="00477340" w:rsidRPr="00F46670">
        <w:rPr>
          <w:b w:val="0"/>
          <w:szCs w:val="22"/>
        </w:rPr>
        <w:t xml:space="preserve">the Statutory Accounting Principles (E) Working Group </w:t>
      </w:r>
      <w:r w:rsidRPr="00F46670">
        <w:rPr>
          <w:b w:val="0"/>
          <w:szCs w:val="22"/>
        </w:rPr>
        <w:t>established a long-term project to incorporate accounting guidance for AVR and IMR</w:t>
      </w:r>
      <w:r w:rsidR="00CD795C">
        <w:rPr>
          <w:b w:val="0"/>
          <w:szCs w:val="22"/>
        </w:rPr>
        <w:t>.</w:t>
      </w:r>
    </w:p>
    <w:p w14:paraId="69F8CC0B" w14:textId="77777777" w:rsidR="00477340" w:rsidRDefault="00477340" w:rsidP="00C71C2C">
      <w:pPr>
        <w:pStyle w:val="BodyText2"/>
        <w:rPr>
          <w:b w:val="0"/>
          <w:szCs w:val="22"/>
        </w:rPr>
      </w:pPr>
    </w:p>
    <w:p w14:paraId="2EA9621F" w14:textId="78E10BBE" w:rsidR="00477340" w:rsidRDefault="00477340" w:rsidP="00C71C2C">
      <w:pPr>
        <w:pStyle w:val="BodyText2"/>
        <w:rPr>
          <w:b w:val="0"/>
          <w:szCs w:val="22"/>
        </w:rPr>
      </w:pPr>
      <w:r>
        <w:rPr>
          <w:b w:val="0"/>
          <w:szCs w:val="22"/>
        </w:rPr>
        <w:t xml:space="preserve">On March 24, 2025, </w:t>
      </w:r>
      <w:r w:rsidRPr="00F46670">
        <w:rPr>
          <w:b w:val="0"/>
          <w:szCs w:val="22"/>
        </w:rPr>
        <w:t>the Statutory Accounting Principles (E) Working Group</w:t>
      </w:r>
      <w:r>
        <w:rPr>
          <w:b w:val="0"/>
          <w:szCs w:val="22"/>
        </w:rPr>
        <w:t xml:space="preserve"> </w:t>
      </w:r>
      <w:r w:rsidR="00C02B2A">
        <w:rPr>
          <w:b w:val="0"/>
          <w:szCs w:val="22"/>
        </w:rPr>
        <w:t>e</w:t>
      </w:r>
      <w:r w:rsidR="00C02B2A" w:rsidRPr="00C02B2A">
        <w:rPr>
          <w:b w:val="0"/>
          <w:szCs w:val="22"/>
        </w:rPr>
        <w:t xml:space="preserve">xposed a </w:t>
      </w:r>
      <w:r w:rsidR="0095008F">
        <w:rPr>
          <w:b w:val="0"/>
          <w:szCs w:val="22"/>
        </w:rPr>
        <w:t xml:space="preserve">hypothetical IMR </w:t>
      </w:r>
      <w:r w:rsidR="00C02B2A" w:rsidRPr="00C02B2A">
        <w:rPr>
          <w:b w:val="0"/>
          <w:szCs w:val="22"/>
        </w:rPr>
        <w:t xml:space="preserve">memorandum which details the discussions and </w:t>
      </w:r>
      <w:r w:rsidR="0095008F">
        <w:rPr>
          <w:b w:val="0"/>
          <w:szCs w:val="22"/>
        </w:rPr>
        <w:t xml:space="preserve">recommended </w:t>
      </w:r>
      <w:r w:rsidR="00C02B2A" w:rsidRPr="00C02B2A">
        <w:rPr>
          <w:b w:val="0"/>
          <w:szCs w:val="22"/>
        </w:rPr>
        <w:t>conclusion of the Interest Maintenance Reserve (IMR) ad hoc group to remove hypothetical IMR.</w:t>
      </w:r>
      <w:r w:rsidR="0095008F">
        <w:rPr>
          <w:b w:val="0"/>
          <w:szCs w:val="22"/>
        </w:rPr>
        <w:t xml:space="preserve"> This item was exposed at the full Working Group level to </w:t>
      </w:r>
      <w:r w:rsidR="003C14E1">
        <w:rPr>
          <w:b w:val="0"/>
          <w:szCs w:val="22"/>
        </w:rPr>
        <w:t>request</w:t>
      </w:r>
      <w:r w:rsidR="0095008F">
        <w:rPr>
          <w:b w:val="0"/>
          <w:szCs w:val="22"/>
        </w:rPr>
        <w:t xml:space="preserve"> feedback. It is anticipated that if supported, the concepts and conclusions within the memo will be included in the IMR issue paper and revised statutory accounting guidance. </w:t>
      </w:r>
    </w:p>
    <w:p w14:paraId="5FE43996" w14:textId="77777777" w:rsidR="0056041B" w:rsidRDefault="0056041B" w:rsidP="00C71C2C">
      <w:pPr>
        <w:pStyle w:val="BodyText2"/>
        <w:rPr>
          <w:b w:val="0"/>
          <w:szCs w:val="22"/>
        </w:rPr>
      </w:pPr>
    </w:p>
    <w:p w14:paraId="7CF74EF9" w14:textId="0B0BC10E" w:rsidR="0056041B" w:rsidRDefault="0056041B" w:rsidP="0056041B">
      <w:pPr>
        <w:pStyle w:val="BodyText2"/>
        <w:rPr>
          <w:b w:val="0"/>
          <w:bCs w:val="0"/>
          <w:szCs w:val="22"/>
        </w:rPr>
      </w:pPr>
      <w:r>
        <w:rPr>
          <w:b w:val="0"/>
          <w:bCs w:val="0"/>
          <w:szCs w:val="22"/>
        </w:rPr>
        <w:t xml:space="preserve">On August 11, 2025, the </w:t>
      </w:r>
      <w:r w:rsidRPr="00D41739">
        <w:rPr>
          <w:b w:val="0"/>
          <w:bCs w:val="0"/>
          <w:szCs w:val="22"/>
        </w:rPr>
        <w:t>Statutory Accounting Principles (E) Working Group</w:t>
      </w:r>
      <w:r>
        <w:rPr>
          <w:b w:val="0"/>
          <w:bCs w:val="0"/>
          <w:szCs w:val="22"/>
        </w:rPr>
        <w:t xml:space="preserve"> </w:t>
      </w:r>
      <w:r w:rsidR="00A05EDC">
        <w:rPr>
          <w:b w:val="0"/>
          <w:bCs w:val="0"/>
          <w:szCs w:val="22"/>
        </w:rPr>
        <w:t xml:space="preserve">agreed with the resulting conclusion of the hypothetical memo and directed NAIC staff to remove the concept of hypothetical IMR </w:t>
      </w:r>
      <w:r w:rsidR="00722F3A">
        <w:rPr>
          <w:b w:val="0"/>
          <w:bCs w:val="0"/>
          <w:szCs w:val="22"/>
        </w:rPr>
        <w:t>in the issue paper and proposed edits to</w:t>
      </w:r>
      <w:r>
        <w:rPr>
          <w:b w:val="0"/>
          <w:bCs w:val="0"/>
          <w:szCs w:val="22"/>
        </w:rPr>
        <w:t xml:space="preserve"> </w:t>
      </w:r>
      <w:r w:rsidRPr="00913943">
        <w:rPr>
          <w:b w:val="0"/>
          <w:bCs w:val="0"/>
          <w:i/>
          <w:iCs/>
          <w:szCs w:val="22"/>
        </w:rPr>
        <w:t>SSAP No. 7—Asset Valuation Reserve and Interest Maintenance Reserve</w:t>
      </w:r>
      <w:r w:rsidR="00722F3A">
        <w:rPr>
          <w:b w:val="0"/>
          <w:bCs w:val="0"/>
          <w:i/>
          <w:iCs/>
          <w:szCs w:val="22"/>
        </w:rPr>
        <w:t xml:space="preserve"> </w:t>
      </w:r>
      <w:r w:rsidR="00B86864" w:rsidRPr="00B86864">
        <w:rPr>
          <w:b w:val="0"/>
          <w:bCs w:val="0"/>
          <w:szCs w:val="22"/>
        </w:rPr>
        <w:t>being developed as part of the IMR</w:t>
      </w:r>
      <w:r w:rsidR="00722F3A" w:rsidRPr="00B86864">
        <w:rPr>
          <w:b w:val="0"/>
          <w:bCs w:val="0"/>
          <w:szCs w:val="22"/>
        </w:rPr>
        <w:t xml:space="preserve"> project. </w:t>
      </w:r>
      <w:r w:rsidRPr="00B86864">
        <w:rPr>
          <w:b w:val="0"/>
          <w:bCs w:val="0"/>
          <w:szCs w:val="22"/>
        </w:rPr>
        <w:t>It was noted that future revisions could be considered as part of the issu</w:t>
      </w:r>
      <w:r w:rsidRPr="00433032">
        <w:rPr>
          <w:b w:val="0"/>
          <w:bCs w:val="0"/>
          <w:szCs w:val="22"/>
        </w:rPr>
        <w:t xml:space="preserve">e paper and SSAP exposures, but </w:t>
      </w:r>
      <w:r w:rsidR="00722F3A">
        <w:rPr>
          <w:b w:val="0"/>
          <w:bCs w:val="0"/>
          <w:szCs w:val="22"/>
        </w:rPr>
        <w:t xml:space="preserve">the intent from the </w:t>
      </w:r>
      <w:r w:rsidR="00B86864">
        <w:rPr>
          <w:b w:val="0"/>
          <w:bCs w:val="0"/>
          <w:szCs w:val="22"/>
        </w:rPr>
        <w:t>discussion to remove the concept of hypothetical IMR.</w:t>
      </w:r>
    </w:p>
    <w:p w14:paraId="45E7E7F1" w14:textId="77777777" w:rsidR="00963524" w:rsidRDefault="00963524" w:rsidP="0056041B">
      <w:pPr>
        <w:pStyle w:val="BodyText2"/>
        <w:rPr>
          <w:b w:val="0"/>
          <w:bCs w:val="0"/>
          <w:szCs w:val="22"/>
        </w:rPr>
      </w:pPr>
    </w:p>
    <w:p w14:paraId="30463DFD" w14:textId="5989F72F" w:rsidR="00963524" w:rsidRDefault="00963524" w:rsidP="0056041B">
      <w:pPr>
        <w:pStyle w:val="BodyText2"/>
        <w:rPr>
          <w:b w:val="0"/>
          <w:bCs w:val="0"/>
          <w:szCs w:val="22"/>
        </w:rPr>
      </w:pPr>
      <w:r>
        <w:rPr>
          <w:b w:val="0"/>
          <w:bCs w:val="0"/>
          <w:szCs w:val="22"/>
        </w:rPr>
        <w:t xml:space="preserve">On April 22, 2026, the Statutory Accounting Principles (E) Working Group </w:t>
      </w:r>
      <w:r w:rsidR="008B6B31">
        <w:rPr>
          <w:b w:val="0"/>
          <w:bCs w:val="0"/>
          <w:szCs w:val="22"/>
        </w:rPr>
        <w:t>exposed by evote a revised SSAP No. 7 to capture accounting guidance within the SSAP instead of the annual statement instructions</w:t>
      </w:r>
      <w:r w:rsidR="00320A81">
        <w:rPr>
          <w:b w:val="0"/>
          <w:bCs w:val="0"/>
          <w:szCs w:val="22"/>
        </w:rPr>
        <w:t xml:space="preserve">, </w:t>
      </w:r>
      <w:r w:rsidR="00927B64">
        <w:rPr>
          <w:b w:val="0"/>
          <w:bCs w:val="0"/>
          <w:szCs w:val="22"/>
        </w:rPr>
        <w:t>pursuant to</w:t>
      </w:r>
      <w:r w:rsidR="00C510B8">
        <w:rPr>
          <w:b w:val="0"/>
          <w:bCs w:val="0"/>
          <w:szCs w:val="22"/>
        </w:rPr>
        <w:t xml:space="preserve"> the December 1, </w:t>
      </w:r>
      <w:r w:rsidR="00927B64">
        <w:rPr>
          <w:b w:val="0"/>
          <w:bCs w:val="0"/>
          <w:szCs w:val="22"/>
        </w:rPr>
        <w:t>2023,</w:t>
      </w:r>
      <w:r w:rsidR="00C510B8">
        <w:rPr>
          <w:b w:val="0"/>
          <w:bCs w:val="0"/>
          <w:szCs w:val="22"/>
        </w:rPr>
        <w:t xml:space="preserve"> </w:t>
      </w:r>
      <w:r w:rsidR="00320A81">
        <w:rPr>
          <w:b w:val="0"/>
          <w:bCs w:val="0"/>
          <w:szCs w:val="22"/>
        </w:rPr>
        <w:t xml:space="preserve">Working Group </w:t>
      </w:r>
      <w:r w:rsidR="00C510B8">
        <w:rPr>
          <w:b w:val="0"/>
          <w:bCs w:val="0"/>
          <w:szCs w:val="22"/>
        </w:rPr>
        <w:t>direction</w:t>
      </w:r>
      <w:r w:rsidR="008B6B31">
        <w:rPr>
          <w:b w:val="0"/>
          <w:bCs w:val="0"/>
          <w:szCs w:val="22"/>
        </w:rPr>
        <w:t>.</w:t>
      </w:r>
      <w:r w:rsidR="00F07A0F">
        <w:rPr>
          <w:b w:val="0"/>
          <w:bCs w:val="0"/>
          <w:szCs w:val="22"/>
        </w:rPr>
        <w:t xml:space="preserve"> </w:t>
      </w:r>
      <w:r w:rsidR="00D13DF2">
        <w:rPr>
          <w:b w:val="0"/>
          <w:bCs w:val="0"/>
          <w:szCs w:val="22"/>
        </w:rPr>
        <w:t>The draft SSAP reflect</w:t>
      </w:r>
      <w:r w:rsidR="00320A81">
        <w:rPr>
          <w:b w:val="0"/>
          <w:bCs w:val="0"/>
          <w:szCs w:val="22"/>
        </w:rPr>
        <w:t>s</w:t>
      </w:r>
      <w:r w:rsidR="00D13DF2">
        <w:rPr>
          <w:b w:val="0"/>
          <w:bCs w:val="0"/>
          <w:szCs w:val="22"/>
        </w:rPr>
        <w:t xml:space="preserve"> conclusion reached by the IMR Ad Hoc Group</w:t>
      </w:r>
      <w:r w:rsidR="00320A81">
        <w:rPr>
          <w:b w:val="0"/>
          <w:bCs w:val="0"/>
          <w:szCs w:val="22"/>
        </w:rPr>
        <w:t>, which include</w:t>
      </w:r>
      <w:r w:rsidR="00927B64">
        <w:rPr>
          <w:b w:val="0"/>
          <w:bCs w:val="0"/>
          <w:szCs w:val="22"/>
        </w:rPr>
        <w:t>s</w:t>
      </w:r>
      <w:r w:rsidR="00320A81">
        <w:rPr>
          <w:b w:val="0"/>
          <w:bCs w:val="0"/>
          <w:szCs w:val="22"/>
        </w:rPr>
        <w:t xml:space="preserve"> various </w:t>
      </w:r>
      <w:r w:rsidR="00F07A0F">
        <w:rPr>
          <w:b w:val="0"/>
          <w:bCs w:val="0"/>
          <w:szCs w:val="22"/>
        </w:rPr>
        <w:t>revisions to historical guidance</w:t>
      </w:r>
      <w:r w:rsidR="00BD645C">
        <w:rPr>
          <w:b w:val="0"/>
          <w:bCs w:val="0"/>
          <w:szCs w:val="22"/>
        </w:rPr>
        <w:t>.</w:t>
      </w:r>
      <w:r w:rsidR="00D13DF2">
        <w:rPr>
          <w:b w:val="0"/>
          <w:bCs w:val="0"/>
          <w:szCs w:val="22"/>
        </w:rPr>
        <w:t xml:space="preserve"> </w:t>
      </w:r>
      <w:r w:rsidR="00743B94">
        <w:rPr>
          <w:b w:val="0"/>
          <w:bCs w:val="0"/>
          <w:szCs w:val="22"/>
        </w:rPr>
        <w:t>In addition to the revised SSAP, the exposure included an issue paper that details the discussions and conclusions of the IMR Ad Hoc Group, proposed revisions to other SSAP</w:t>
      </w:r>
      <w:r w:rsidR="00BD645C">
        <w:rPr>
          <w:b w:val="0"/>
          <w:bCs w:val="0"/>
          <w:szCs w:val="22"/>
        </w:rPr>
        <w:t>s</w:t>
      </w:r>
      <w:r w:rsidR="00743B94">
        <w:rPr>
          <w:b w:val="0"/>
          <w:bCs w:val="0"/>
          <w:szCs w:val="22"/>
        </w:rPr>
        <w:t xml:space="preserve"> related to IMR, and proposed reporting changes. </w:t>
      </w:r>
      <w:r w:rsidR="00C510B8">
        <w:rPr>
          <w:b w:val="0"/>
          <w:bCs w:val="0"/>
          <w:szCs w:val="22"/>
        </w:rPr>
        <w:t>The comment deadline for the exposure i</w:t>
      </w:r>
      <w:r w:rsidR="00BD645C">
        <w:rPr>
          <w:b w:val="0"/>
          <w:bCs w:val="0"/>
          <w:szCs w:val="22"/>
        </w:rPr>
        <w:t>s</w:t>
      </w:r>
      <w:r w:rsidR="00C510B8">
        <w:rPr>
          <w:b w:val="0"/>
          <w:bCs w:val="0"/>
          <w:szCs w:val="22"/>
        </w:rPr>
        <w:t xml:space="preserve"> June 22, 2026. </w:t>
      </w:r>
    </w:p>
    <w:p w14:paraId="153E5AD7" w14:textId="77777777" w:rsidR="00E86EEE" w:rsidRDefault="00E86EEE" w:rsidP="0056041B">
      <w:pPr>
        <w:pStyle w:val="BodyText2"/>
        <w:rPr>
          <w:b w:val="0"/>
          <w:bCs w:val="0"/>
          <w:szCs w:val="22"/>
        </w:rPr>
      </w:pPr>
    </w:p>
    <w:p w14:paraId="03949998" w14:textId="081CAD1E" w:rsidR="00E86EEE" w:rsidRDefault="00E86EEE" w:rsidP="0056041B">
      <w:pPr>
        <w:pStyle w:val="BodyText2"/>
        <w:rPr>
          <w:b w:val="0"/>
          <w:bCs w:val="0"/>
          <w:szCs w:val="22"/>
        </w:rPr>
      </w:pPr>
      <w:r>
        <w:rPr>
          <w:b w:val="0"/>
          <w:bCs w:val="0"/>
          <w:szCs w:val="22"/>
        </w:rPr>
        <w:t xml:space="preserve">On August 12, 2026, the Statutory Accounting Principles (E) Working Group </w:t>
      </w:r>
      <w:r w:rsidR="007D3F10">
        <w:rPr>
          <w:b w:val="0"/>
          <w:bCs w:val="0"/>
          <w:szCs w:val="22"/>
        </w:rPr>
        <w:t xml:space="preserve">took the following actions: </w:t>
      </w:r>
    </w:p>
    <w:p w14:paraId="19260905" w14:textId="77777777" w:rsidR="007D3F10" w:rsidRDefault="007D3F10" w:rsidP="0056041B">
      <w:pPr>
        <w:pStyle w:val="BodyText2"/>
        <w:rPr>
          <w:b w:val="0"/>
          <w:bCs w:val="0"/>
          <w:szCs w:val="22"/>
        </w:rPr>
      </w:pPr>
    </w:p>
    <w:p w14:paraId="058FE957" w14:textId="137DAE83" w:rsidR="0056041B" w:rsidRPr="00B667DA" w:rsidRDefault="007D3F10" w:rsidP="00650A99">
      <w:pPr>
        <w:pStyle w:val="BodyText2"/>
        <w:numPr>
          <w:ilvl w:val="0"/>
          <w:numId w:val="23"/>
        </w:numPr>
        <w:rPr>
          <w:b w:val="0"/>
          <w:szCs w:val="22"/>
        </w:rPr>
      </w:pPr>
      <w:r w:rsidRPr="00173FB4">
        <w:rPr>
          <w:b w:val="0"/>
          <w:bCs w:val="0"/>
          <w:szCs w:val="22"/>
        </w:rPr>
        <w:t xml:space="preserve">Adopted an extension to </w:t>
      </w:r>
      <w:r w:rsidR="00134EC1" w:rsidRPr="00173FB4">
        <w:rPr>
          <w:b w:val="0"/>
          <w:bCs w:val="0"/>
          <w:szCs w:val="22"/>
        </w:rPr>
        <w:t xml:space="preserve">the effective date </w:t>
      </w:r>
      <w:r w:rsidR="00D8166B">
        <w:rPr>
          <w:b w:val="0"/>
          <w:bCs w:val="0"/>
          <w:szCs w:val="22"/>
        </w:rPr>
        <w:t>of</w:t>
      </w:r>
      <w:r w:rsidR="00134EC1" w:rsidRPr="00173FB4">
        <w:rPr>
          <w:b w:val="0"/>
          <w:bCs w:val="0"/>
          <w:szCs w:val="22"/>
        </w:rPr>
        <w:t xml:space="preserve"> </w:t>
      </w:r>
      <w:r w:rsidR="00134EC1" w:rsidRPr="00D8166B">
        <w:rPr>
          <w:b w:val="0"/>
          <w:bCs w:val="0"/>
          <w:i/>
          <w:iCs/>
          <w:szCs w:val="22"/>
        </w:rPr>
        <w:t>INT 23-01</w:t>
      </w:r>
      <w:r w:rsidR="000B4C30" w:rsidRPr="00D8166B">
        <w:rPr>
          <w:b w:val="0"/>
          <w:bCs w:val="0"/>
          <w:i/>
          <w:iCs/>
          <w:szCs w:val="22"/>
        </w:rPr>
        <w:t>: Net Negative (Disallowed) Interest Maintenance Reserve</w:t>
      </w:r>
      <w:r w:rsidR="009B191B" w:rsidRPr="00173FB4">
        <w:rPr>
          <w:b w:val="0"/>
          <w:bCs w:val="0"/>
          <w:szCs w:val="22"/>
        </w:rPr>
        <w:t xml:space="preserve"> through December 31, 2027. The INT </w:t>
      </w:r>
      <w:r w:rsidR="00BD3879">
        <w:rPr>
          <w:b w:val="0"/>
          <w:bCs w:val="0"/>
          <w:szCs w:val="22"/>
        </w:rPr>
        <w:t>is</w:t>
      </w:r>
      <w:r w:rsidR="00907C97">
        <w:rPr>
          <w:b w:val="0"/>
          <w:bCs w:val="0"/>
          <w:szCs w:val="22"/>
        </w:rPr>
        <w:t xml:space="preserve"> nullified</w:t>
      </w:r>
      <w:r w:rsidR="009B191B" w:rsidRPr="00173FB4">
        <w:rPr>
          <w:b w:val="0"/>
          <w:bCs w:val="0"/>
          <w:szCs w:val="22"/>
        </w:rPr>
        <w:t xml:space="preserve"> on Jan</w:t>
      </w:r>
      <w:r w:rsidR="00A1396C">
        <w:rPr>
          <w:b w:val="0"/>
          <w:bCs w:val="0"/>
          <w:szCs w:val="22"/>
        </w:rPr>
        <w:t>uary</w:t>
      </w:r>
      <w:r w:rsidR="009B191B" w:rsidRPr="00173FB4">
        <w:rPr>
          <w:b w:val="0"/>
          <w:bCs w:val="0"/>
          <w:szCs w:val="22"/>
        </w:rPr>
        <w:t xml:space="preserve"> 1, 2028. The proposed </w:t>
      </w:r>
      <w:r w:rsidR="00173FB4" w:rsidRPr="00913943">
        <w:rPr>
          <w:b w:val="0"/>
          <w:bCs w:val="0"/>
          <w:i/>
          <w:iCs/>
          <w:szCs w:val="22"/>
        </w:rPr>
        <w:t>SSAP No. 7—Asset Valuation Reserve and Interest Maintenance Reserve</w:t>
      </w:r>
      <w:r w:rsidR="00173FB4">
        <w:rPr>
          <w:b w:val="0"/>
          <w:bCs w:val="0"/>
          <w:i/>
          <w:iCs/>
          <w:szCs w:val="22"/>
        </w:rPr>
        <w:t xml:space="preserve"> </w:t>
      </w:r>
      <w:r w:rsidR="00173FB4" w:rsidRPr="00173FB4">
        <w:rPr>
          <w:b w:val="0"/>
          <w:bCs w:val="0"/>
          <w:szCs w:val="22"/>
        </w:rPr>
        <w:t>will reflect an effective date of January 1, 2028.</w:t>
      </w:r>
      <w:r w:rsidR="00173FB4">
        <w:rPr>
          <w:b w:val="0"/>
          <w:bCs w:val="0"/>
          <w:i/>
          <w:iCs/>
          <w:szCs w:val="22"/>
        </w:rPr>
        <w:t xml:space="preserve"> </w:t>
      </w:r>
    </w:p>
    <w:p w14:paraId="6BB88C1C" w14:textId="77777777" w:rsidR="00B667DA" w:rsidRPr="00173FB4" w:rsidRDefault="00B667DA" w:rsidP="00B667DA">
      <w:pPr>
        <w:pStyle w:val="BodyText2"/>
        <w:ind w:left="720"/>
        <w:rPr>
          <w:b w:val="0"/>
          <w:szCs w:val="22"/>
        </w:rPr>
      </w:pPr>
    </w:p>
    <w:p w14:paraId="344C95F4" w14:textId="783FB9BB" w:rsidR="00173FB4" w:rsidRDefault="00440B62" w:rsidP="00650A99">
      <w:pPr>
        <w:pStyle w:val="BodyText2"/>
        <w:numPr>
          <w:ilvl w:val="0"/>
          <w:numId w:val="23"/>
        </w:numPr>
        <w:rPr>
          <w:b w:val="0"/>
          <w:szCs w:val="22"/>
        </w:rPr>
      </w:pPr>
      <w:r>
        <w:rPr>
          <w:b w:val="0"/>
          <w:szCs w:val="22"/>
        </w:rPr>
        <w:t>Exposed a revised SSAP No. 7, issue paper</w:t>
      </w:r>
      <w:r w:rsidR="00687E8E">
        <w:rPr>
          <w:b w:val="0"/>
          <w:szCs w:val="22"/>
        </w:rPr>
        <w:t xml:space="preserve">, proposed revisions to other SSAPs and reporting changes with edits recommended by NAIC staff. </w:t>
      </w:r>
      <w:r w:rsidR="00993EE1">
        <w:rPr>
          <w:b w:val="0"/>
          <w:szCs w:val="22"/>
        </w:rPr>
        <w:t xml:space="preserve">With exposure, continued interim work with industry was supported. </w:t>
      </w:r>
    </w:p>
    <w:p w14:paraId="4D1ED9EA" w14:textId="77777777" w:rsidR="00203C04" w:rsidRDefault="00203C04" w:rsidP="00203C04">
      <w:pPr>
        <w:pStyle w:val="ListParagraph"/>
        <w:rPr>
          <w:b/>
          <w:szCs w:val="22"/>
        </w:rPr>
      </w:pPr>
    </w:p>
    <w:p w14:paraId="113F86B0" w14:textId="4DA1E23E" w:rsidR="00203C04" w:rsidRPr="00173FB4" w:rsidRDefault="00203C04" w:rsidP="00650A99">
      <w:pPr>
        <w:pStyle w:val="BodyText2"/>
        <w:numPr>
          <w:ilvl w:val="0"/>
          <w:numId w:val="23"/>
        </w:numPr>
        <w:rPr>
          <w:b w:val="0"/>
          <w:szCs w:val="22"/>
        </w:rPr>
      </w:pPr>
      <w:r>
        <w:rPr>
          <w:b w:val="0"/>
          <w:szCs w:val="22"/>
        </w:rPr>
        <w:t xml:space="preserve">Requested industry to develop a plan to ensure compliance and accuracy of reporting for subsequent consideration. </w:t>
      </w:r>
      <w:r w:rsidR="00A7288A">
        <w:rPr>
          <w:b w:val="0"/>
          <w:szCs w:val="22"/>
        </w:rPr>
        <w:t xml:space="preserve">This </w:t>
      </w:r>
      <w:r w:rsidR="009F2557">
        <w:rPr>
          <w:b w:val="0"/>
          <w:szCs w:val="22"/>
        </w:rPr>
        <w:t xml:space="preserve">industry </w:t>
      </w:r>
      <w:r w:rsidR="00A7288A">
        <w:rPr>
          <w:b w:val="0"/>
          <w:szCs w:val="22"/>
        </w:rPr>
        <w:t>request included the development of a disclosure</w:t>
      </w:r>
      <w:r w:rsidR="009F2557">
        <w:rPr>
          <w:b w:val="0"/>
          <w:szCs w:val="22"/>
        </w:rPr>
        <w:t xml:space="preserve"> or reporting component for inclusion in the statutory financial statements that would allow on-going </w:t>
      </w:r>
      <w:r w:rsidR="00E64D5E">
        <w:rPr>
          <w:b w:val="0"/>
          <w:szCs w:val="22"/>
        </w:rPr>
        <w:t>verification</w:t>
      </w:r>
      <w:r w:rsidR="009F2557">
        <w:rPr>
          <w:b w:val="0"/>
          <w:szCs w:val="22"/>
        </w:rPr>
        <w:t xml:space="preserve"> of </w:t>
      </w:r>
      <w:r w:rsidR="00E64D5E">
        <w:rPr>
          <w:b w:val="0"/>
          <w:szCs w:val="22"/>
        </w:rPr>
        <w:t xml:space="preserve">how admitted net negative IMR has been included in actuarial </w:t>
      </w:r>
      <w:r w:rsidR="00A1396C">
        <w:rPr>
          <w:b w:val="0"/>
          <w:szCs w:val="22"/>
        </w:rPr>
        <w:t>provisions and reconciliations</w:t>
      </w:r>
      <w:r w:rsidR="00907C97">
        <w:rPr>
          <w:b w:val="0"/>
          <w:szCs w:val="22"/>
        </w:rPr>
        <w:t xml:space="preserve">. </w:t>
      </w:r>
    </w:p>
    <w:p w14:paraId="5E6D9757" w14:textId="77777777" w:rsidR="00BF60CD" w:rsidRDefault="00BF60CD" w:rsidP="00C71C2C">
      <w:pPr>
        <w:pStyle w:val="BodyText2"/>
        <w:rPr>
          <w:b w:val="0"/>
          <w:szCs w:val="22"/>
        </w:rPr>
      </w:pPr>
    </w:p>
    <w:p w14:paraId="0386CD04" w14:textId="77777777" w:rsidR="00BF60CD" w:rsidRPr="00D5145D" w:rsidRDefault="00BF60CD" w:rsidP="00C71C2C">
      <w:pPr>
        <w:pStyle w:val="BodyText2"/>
        <w:rPr>
          <w:b w:val="0"/>
          <w:szCs w:val="22"/>
        </w:rPr>
      </w:pPr>
    </w:p>
    <w:p w14:paraId="71BBEFE0" w14:textId="77777777" w:rsidR="002A1316" w:rsidRDefault="002A1316" w:rsidP="00B30CA0">
      <w:pPr>
        <w:rPr>
          <w:sz w:val="22"/>
        </w:rPr>
      </w:pPr>
    </w:p>
    <w:p w14:paraId="68BD6302" w14:textId="1B73703C" w:rsidR="00340D1B" w:rsidRDefault="002A1316" w:rsidP="00EF4925">
      <w:pPr>
        <w:rPr>
          <w:sz w:val="16"/>
          <w:szCs w:val="16"/>
        </w:rPr>
      </w:pPr>
      <w:r w:rsidRPr="000579B6">
        <w:rPr>
          <w:sz w:val="16"/>
          <w:szCs w:val="16"/>
        </w:rPr>
        <w:fldChar w:fldCharType="begin"/>
      </w:r>
      <w:r w:rsidRPr="000579B6">
        <w:rPr>
          <w:sz w:val="16"/>
          <w:szCs w:val="16"/>
        </w:rPr>
        <w:instrText xml:space="preserve"> FILENAME \p </w:instrText>
      </w:r>
      <w:r w:rsidRPr="000579B6">
        <w:rPr>
          <w:sz w:val="16"/>
          <w:szCs w:val="16"/>
        </w:rPr>
        <w:fldChar w:fldCharType="separate"/>
      </w:r>
      <w:r w:rsidR="00A1396C">
        <w:rPr>
          <w:noProof/>
          <w:sz w:val="16"/>
          <w:szCs w:val="16"/>
        </w:rPr>
        <w:t>https://naiconline.sharepoint.com/teams/FRSStatutoryAccounting/Maintenance/Active Form A's/2023/23-14 - IMR AVR.docx</w:t>
      </w:r>
      <w:r w:rsidRPr="000579B6">
        <w:rPr>
          <w:sz w:val="16"/>
          <w:szCs w:val="16"/>
        </w:rPr>
        <w:fldChar w:fldCharType="end"/>
      </w:r>
    </w:p>
    <w:sectPr w:rsidR="00340D1B" w:rsidSect="00DF407B">
      <w:headerReference w:type="default"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5514" w14:textId="77777777" w:rsidR="001969DE" w:rsidRDefault="001969DE">
      <w:r>
        <w:separator/>
      </w:r>
    </w:p>
  </w:endnote>
  <w:endnote w:type="continuationSeparator" w:id="0">
    <w:p w14:paraId="57B9D808" w14:textId="77777777" w:rsidR="001969DE" w:rsidRDefault="001969DE">
      <w:r>
        <w:continuationSeparator/>
      </w:r>
    </w:p>
  </w:endnote>
  <w:endnote w:type="continuationNotice" w:id="1">
    <w:p w14:paraId="43E13460" w14:textId="77777777" w:rsidR="001969DE" w:rsidRDefault="0019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507FB633" w:rsidR="006D3A59" w:rsidRDefault="006D3A59" w:rsidP="00DF407B">
    <w:pPr>
      <w:pStyle w:val="Footer"/>
      <w:tabs>
        <w:tab w:val="clear" w:pos="4320"/>
        <w:tab w:val="center" w:pos="5040"/>
      </w:tabs>
      <w:rPr>
        <w:sz w:val="20"/>
      </w:rPr>
    </w:pPr>
    <w:r>
      <w:rPr>
        <w:sz w:val="20"/>
      </w:rPr>
      <w:t xml:space="preserve">© </w:t>
    </w:r>
    <w:r w:rsidR="005B478B">
      <w:rPr>
        <w:sz w:val="20"/>
      </w:rPr>
      <w:t>20</w:t>
    </w:r>
    <w:r w:rsidR="00CA4E49">
      <w:rPr>
        <w:sz w:val="20"/>
      </w:rPr>
      <w:t>2</w:t>
    </w:r>
    <w:r w:rsidR="00C02B2A">
      <w:rPr>
        <w:sz w:val="20"/>
      </w:rPr>
      <w:t>5</w:t>
    </w:r>
    <w:r>
      <w:rPr>
        <w:sz w:val="20"/>
      </w:rPr>
      <w:t xml:space="preserve"> National Association of Insurance Commissioners</w:t>
    </w:r>
    <w:r w:rsidR="00DF407B">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2</w:t>
    </w:r>
    <w:r>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EAB03" w14:textId="77777777" w:rsidR="001969DE" w:rsidRDefault="001969DE">
      <w:r>
        <w:separator/>
      </w:r>
    </w:p>
  </w:footnote>
  <w:footnote w:type="continuationSeparator" w:id="0">
    <w:p w14:paraId="6844FCC1" w14:textId="77777777" w:rsidR="001969DE" w:rsidRDefault="001969DE">
      <w:r>
        <w:continuationSeparator/>
      </w:r>
    </w:p>
  </w:footnote>
  <w:footnote w:type="continuationNotice" w:id="1">
    <w:p w14:paraId="021E9246" w14:textId="77777777" w:rsidR="001969DE" w:rsidRDefault="001969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893F" w14:textId="77777777" w:rsidR="00F72AD4" w:rsidRDefault="00F72AD4">
    <w:pPr>
      <w:pStyle w:val="Header"/>
      <w:jc w:val="right"/>
      <w:rPr>
        <w:bCs/>
        <w:sz w:val="20"/>
      </w:rPr>
    </w:pPr>
  </w:p>
  <w:p w14:paraId="14FEED1A" w14:textId="08FF1021" w:rsidR="006D3A59" w:rsidRPr="00F04F9A" w:rsidRDefault="006D3A59">
    <w:pPr>
      <w:pStyle w:val="Header"/>
      <w:jc w:val="right"/>
      <w:rPr>
        <w:bCs/>
        <w:sz w:val="20"/>
      </w:rPr>
    </w:pPr>
    <w:r w:rsidRPr="00F04F9A">
      <w:rPr>
        <w:bCs/>
        <w:sz w:val="20"/>
      </w:rPr>
      <w:t>Ref #20</w:t>
    </w:r>
    <w:r w:rsidR="008424D9">
      <w:rPr>
        <w:bCs/>
        <w:sz w:val="20"/>
      </w:rPr>
      <w:t>2</w:t>
    </w:r>
    <w:r w:rsidR="005C5145">
      <w:rPr>
        <w:bCs/>
        <w:sz w:val="20"/>
      </w:rPr>
      <w:t>3</w:t>
    </w:r>
    <w:r w:rsidRPr="00F04F9A">
      <w:rPr>
        <w:bCs/>
        <w:sz w:val="20"/>
      </w:rPr>
      <w:t>-</w:t>
    </w:r>
    <w:r w:rsidR="00464195">
      <w:rPr>
        <w:bCs/>
        <w:sz w:val="20"/>
      </w:rPr>
      <w:t>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Default="006D3A59" w:rsidP="00AE74C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0CF41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3" w15:restartNumberingAfterBreak="0">
    <w:nsid w:val="FFFFFFFE"/>
    <w:multiLevelType w:val="singleLevel"/>
    <w:tmpl w:val="1D8C0038"/>
    <w:lvl w:ilvl="0">
      <w:numFmt w:val="decimal"/>
      <w:pStyle w:val="ListBullet2"/>
      <w:lvlText w:val="*"/>
      <w:lvlJc w:val="left"/>
    </w:lvl>
  </w:abstractNum>
  <w:abstractNum w:abstractNumId="4" w15:restartNumberingAfterBreak="0">
    <w:nsid w:val="16711818"/>
    <w:multiLevelType w:val="hybridMultilevel"/>
    <w:tmpl w:val="2DD0D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86C47"/>
    <w:multiLevelType w:val="singleLevel"/>
    <w:tmpl w:val="D8827A28"/>
    <w:lvl w:ilvl="0">
      <w:start w:val="1"/>
      <w:numFmt w:val="lowerLetter"/>
      <w:lvlText w:val="%1."/>
      <w:lvlJc w:val="left"/>
      <w:pPr>
        <w:tabs>
          <w:tab w:val="num" w:pos="0"/>
        </w:tabs>
        <w:ind w:left="1440" w:hanging="720"/>
      </w:pPr>
    </w:lvl>
  </w:abstractNum>
  <w:abstractNum w:abstractNumId="6" w15:restartNumberingAfterBreak="0">
    <w:nsid w:val="2AE835DB"/>
    <w:multiLevelType w:val="hybridMultilevel"/>
    <w:tmpl w:val="FD8A5714"/>
    <w:lvl w:ilvl="0" w:tplc="8438C944">
      <w:start w:val="18"/>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C37638"/>
    <w:multiLevelType w:val="hybridMultilevel"/>
    <w:tmpl w:val="67D4C914"/>
    <w:lvl w:ilvl="0" w:tplc="3A9028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8855BD"/>
    <w:multiLevelType w:val="hybridMultilevel"/>
    <w:tmpl w:val="54A6F7E2"/>
    <w:lvl w:ilvl="0" w:tplc="D99E00CE">
      <w:start w:val="15"/>
      <w:numFmt w:val="decimal"/>
      <w:lvlText w:val="%1."/>
      <w:lvlJc w:val="left"/>
      <w:pPr>
        <w:ind w:left="2160" w:hanging="360"/>
      </w:pPr>
      <w:rPr>
        <w:rFonts w:ascii="Times New Roman" w:hAnsi="Times New Roman" w:cs="Times New Roman"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F632053"/>
    <w:multiLevelType w:val="hybridMultilevel"/>
    <w:tmpl w:val="DE84F6A6"/>
    <w:lvl w:ilvl="0" w:tplc="273EF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550DF1"/>
    <w:multiLevelType w:val="hybridMultilevel"/>
    <w:tmpl w:val="10724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DA0A32"/>
    <w:multiLevelType w:val="hybridMultilevel"/>
    <w:tmpl w:val="FFFFFFFF"/>
    <w:lvl w:ilvl="0" w:tplc="99A6FC0E">
      <w:start w:val="1"/>
      <w:numFmt w:val="bullet"/>
      <w:lvlText w:val=""/>
      <w:lvlJc w:val="left"/>
      <w:pPr>
        <w:ind w:left="720" w:hanging="360"/>
      </w:pPr>
      <w:rPr>
        <w:rFonts w:ascii="Symbol" w:hAnsi="Symbol" w:hint="default"/>
      </w:rPr>
    </w:lvl>
    <w:lvl w:ilvl="1" w:tplc="4A1A43FA">
      <w:start w:val="1"/>
      <w:numFmt w:val="bullet"/>
      <w:lvlText w:val="o"/>
      <w:lvlJc w:val="left"/>
      <w:pPr>
        <w:ind w:left="1440" w:hanging="360"/>
      </w:pPr>
      <w:rPr>
        <w:rFonts w:ascii="Courier New" w:hAnsi="Courier New" w:hint="default"/>
      </w:rPr>
    </w:lvl>
    <w:lvl w:ilvl="2" w:tplc="4CA4BC4C">
      <w:start w:val="1"/>
      <w:numFmt w:val="bullet"/>
      <w:lvlText w:val=""/>
      <w:lvlJc w:val="left"/>
      <w:pPr>
        <w:ind w:left="2160" w:hanging="360"/>
      </w:pPr>
      <w:rPr>
        <w:rFonts w:ascii="Wingdings" w:hAnsi="Wingdings" w:hint="default"/>
      </w:rPr>
    </w:lvl>
    <w:lvl w:ilvl="3" w:tplc="6A084CE8">
      <w:start w:val="1"/>
      <w:numFmt w:val="bullet"/>
      <w:lvlText w:val=""/>
      <w:lvlJc w:val="left"/>
      <w:pPr>
        <w:ind w:left="2880" w:hanging="360"/>
      </w:pPr>
      <w:rPr>
        <w:rFonts w:ascii="Symbol" w:hAnsi="Symbol" w:hint="default"/>
      </w:rPr>
    </w:lvl>
    <w:lvl w:ilvl="4" w:tplc="C4A0E0E6">
      <w:start w:val="1"/>
      <w:numFmt w:val="bullet"/>
      <w:lvlText w:val="o"/>
      <w:lvlJc w:val="left"/>
      <w:pPr>
        <w:ind w:left="3600" w:hanging="360"/>
      </w:pPr>
      <w:rPr>
        <w:rFonts w:ascii="Courier New" w:hAnsi="Courier New" w:hint="default"/>
      </w:rPr>
    </w:lvl>
    <w:lvl w:ilvl="5" w:tplc="95348BE2">
      <w:start w:val="1"/>
      <w:numFmt w:val="bullet"/>
      <w:lvlText w:val=""/>
      <w:lvlJc w:val="left"/>
      <w:pPr>
        <w:ind w:left="4320" w:hanging="360"/>
      </w:pPr>
      <w:rPr>
        <w:rFonts w:ascii="Wingdings" w:hAnsi="Wingdings" w:hint="default"/>
      </w:rPr>
    </w:lvl>
    <w:lvl w:ilvl="6" w:tplc="E696B912">
      <w:start w:val="1"/>
      <w:numFmt w:val="bullet"/>
      <w:lvlText w:val=""/>
      <w:lvlJc w:val="left"/>
      <w:pPr>
        <w:ind w:left="5040" w:hanging="360"/>
      </w:pPr>
      <w:rPr>
        <w:rFonts w:ascii="Symbol" w:hAnsi="Symbol" w:hint="default"/>
      </w:rPr>
    </w:lvl>
    <w:lvl w:ilvl="7" w:tplc="65562FBC">
      <w:start w:val="1"/>
      <w:numFmt w:val="bullet"/>
      <w:lvlText w:val="o"/>
      <w:lvlJc w:val="left"/>
      <w:pPr>
        <w:ind w:left="5760" w:hanging="360"/>
      </w:pPr>
      <w:rPr>
        <w:rFonts w:ascii="Courier New" w:hAnsi="Courier New" w:hint="default"/>
      </w:rPr>
    </w:lvl>
    <w:lvl w:ilvl="8" w:tplc="CB8A1CA8">
      <w:start w:val="1"/>
      <w:numFmt w:val="bullet"/>
      <w:lvlText w:val=""/>
      <w:lvlJc w:val="left"/>
      <w:pPr>
        <w:ind w:left="6480" w:hanging="360"/>
      </w:pPr>
      <w:rPr>
        <w:rFonts w:ascii="Wingdings" w:hAnsi="Wingdings" w:hint="default"/>
      </w:rPr>
    </w:lvl>
  </w:abstractNum>
  <w:abstractNum w:abstractNumId="12" w15:restartNumberingAfterBreak="0">
    <w:nsid w:val="50F05121"/>
    <w:multiLevelType w:val="hybridMultilevel"/>
    <w:tmpl w:val="B9929F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61AC2"/>
    <w:multiLevelType w:val="hybridMultilevel"/>
    <w:tmpl w:val="399EE1D8"/>
    <w:lvl w:ilvl="0" w:tplc="5D18E70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5F3B36E7"/>
    <w:multiLevelType w:val="hybridMultilevel"/>
    <w:tmpl w:val="15282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2E2E27"/>
    <w:multiLevelType w:val="hybridMultilevel"/>
    <w:tmpl w:val="97DC6420"/>
    <w:lvl w:ilvl="0" w:tplc="DF8A357A">
      <w:start w:val="1"/>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40D1BEE"/>
    <w:multiLevelType w:val="hybridMultilevel"/>
    <w:tmpl w:val="61CA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44CBB"/>
    <w:multiLevelType w:val="hybridMultilevel"/>
    <w:tmpl w:val="F048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64758C"/>
    <w:multiLevelType w:val="hybridMultilevel"/>
    <w:tmpl w:val="BB4844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5062C59"/>
    <w:multiLevelType w:val="hybridMultilevel"/>
    <w:tmpl w:val="DE84F6A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A100183"/>
    <w:multiLevelType w:val="hybridMultilevel"/>
    <w:tmpl w:val="FCC4B2A6"/>
    <w:lvl w:ilvl="0" w:tplc="3920EEC6">
      <w:start w:val="1"/>
      <w:numFmt w:val="decimal"/>
      <w:lvlText w:val="%1."/>
      <w:lvlJc w:val="left"/>
      <w:pPr>
        <w:ind w:left="1080" w:hanging="360"/>
      </w:pPr>
      <w:rPr>
        <w:rFonts w:hint="default"/>
        <w:b w:val="0"/>
        <w:bCs/>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A1B3ECF"/>
    <w:multiLevelType w:val="hybridMultilevel"/>
    <w:tmpl w:val="B12A3E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87692568">
    <w:abstractNumId w:val="11"/>
  </w:num>
  <w:num w:numId="2" w16cid:durableId="19017550">
    <w:abstractNumId w:val="15"/>
  </w:num>
  <w:num w:numId="3" w16cid:durableId="364260327">
    <w:abstractNumId w:val="1"/>
  </w:num>
  <w:num w:numId="4" w16cid:durableId="381363988">
    <w:abstractNumId w:val="2"/>
  </w:num>
  <w:num w:numId="5" w16cid:durableId="714891892">
    <w:abstractNumId w:val="3"/>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6" w16cid:durableId="686251520">
    <w:abstractNumId w:val="21"/>
  </w:num>
  <w:num w:numId="7" w16cid:durableId="197864344">
    <w:abstractNumId w:val="9"/>
  </w:num>
  <w:num w:numId="8" w16cid:durableId="355549082">
    <w:abstractNumId w:val="19"/>
  </w:num>
  <w:num w:numId="9" w16cid:durableId="1412777357">
    <w:abstractNumId w:val="17"/>
  </w:num>
  <w:num w:numId="10" w16cid:durableId="2137597126">
    <w:abstractNumId w:val="18"/>
  </w:num>
  <w:num w:numId="11" w16cid:durableId="433406096">
    <w:abstractNumId w:val="7"/>
  </w:num>
  <w:num w:numId="12" w16cid:durableId="1074552508">
    <w:abstractNumId w:val="13"/>
  </w:num>
  <w:num w:numId="13" w16cid:durableId="697316799">
    <w:abstractNumId w:val="4"/>
  </w:num>
  <w:num w:numId="14" w16cid:durableId="1178884407">
    <w:abstractNumId w:val="16"/>
  </w:num>
  <w:num w:numId="15" w16cid:durableId="759253091">
    <w:abstractNumId w:val="0"/>
  </w:num>
  <w:num w:numId="16" w16cid:durableId="1272276904">
    <w:abstractNumId w:val="14"/>
  </w:num>
  <w:num w:numId="17" w16cid:durableId="1958413341">
    <w:abstractNumId w:val="8"/>
  </w:num>
  <w:num w:numId="18" w16cid:durableId="1458836272">
    <w:abstractNumId w:val="10"/>
  </w:num>
  <w:num w:numId="19" w16cid:durableId="1960914111">
    <w:abstractNumId w:val="5"/>
  </w:num>
  <w:num w:numId="20" w16cid:durableId="449277076">
    <w:abstractNumId w:val="5"/>
    <w:lvlOverride w:ilvl="0">
      <w:startOverride w:val="1"/>
    </w:lvlOverride>
  </w:num>
  <w:num w:numId="21" w16cid:durableId="868224108">
    <w:abstractNumId w:val="6"/>
  </w:num>
  <w:num w:numId="22" w16cid:durableId="2052798366">
    <w:abstractNumId w:val="20"/>
  </w:num>
  <w:num w:numId="23" w16cid:durableId="178480874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107E"/>
    <w:rsid w:val="00001D36"/>
    <w:rsid w:val="00001D90"/>
    <w:rsid w:val="00002559"/>
    <w:rsid w:val="00004652"/>
    <w:rsid w:val="00006E6E"/>
    <w:rsid w:val="00007006"/>
    <w:rsid w:val="00007627"/>
    <w:rsid w:val="00010B3B"/>
    <w:rsid w:val="000130E2"/>
    <w:rsid w:val="000138D5"/>
    <w:rsid w:val="00013BBC"/>
    <w:rsid w:val="00015830"/>
    <w:rsid w:val="00016321"/>
    <w:rsid w:val="000170A4"/>
    <w:rsid w:val="0001788D"/>
    <w:rsid w:val="000179BF"/>
    <w:rsid w:val="00020E4B"/>
    <w:rsid w:val="00021028"/>
    <w:rsid w:val="000210E2"/>
    <w:rsid w:val="00023391"/>
    <w:rsid w:val="000238DA"/>
    <w:rsid w:val="00023E5B"/>
    <w:rsid w:val="00025317"/>
    <w:rsid w:val="00025817"/>
    <w:rsid w:val="000273D7"/>
    <w:rsid w:val="00027A72"/>
    <w:rsid w:val="000301A7"/>
    <w:rsid w:val="000309E6"/>
    <w:rsid w:val="0003404E"/>
    <w:rsid w:val="000340AB"/>
    <w:rsid w:val="00034B2F"/>
    <w:rsid w:val="0003553F"/>
    <w:rsid w:val="000360CE"/>
    <w:rsid w:val="0003610E"/>
    <w:rsid w:val="000361C6"/>
    <w:rsid w:val="00037EB2"/>
    <w:rsid w:val="00040C83"/>
    <w:rsid w:val="00043358"/>
    <w:rsid w:val="00043ADE"/>
    <w:rsid w:val="00043BC8"/>
    <w:rsid w:val="00045077"/>
    <w:rsid w:val="00046033"/>
    <w:rsid w:val="00047A25"/>
    <w:rsid w:val="00047EE2"/>
    <w:rsid w:val="00050373"/>
    <w:rsid w:val="00050942"/>
    <w:rsid w:val="00053670"/>
    <w:rsid w:val="00053C91"/>
    <w:rsid w:val="00053F7A"/>
    <w:rsid w:val="00054D98"/>
    <w:rsid w:val="00054FF9"/>
    <w:rsid w:val="00055811"/>
    <w:rsid w:val="00056814"/>
    <w:rsid w:val="000579B6"/>
    <w:rsid w:val="00057CF4"/>
    <w:rsid w:val="000604F6"/>
    <w:rsid w:val="000608A6"/>
    <w:rsid w:val="00060B48"/>
    <w:rsid w:val="00061004"/>
    <w:rsid w:val="00062300"/>
    <w:rsid w:val="00064BC7"/>
    <w:rsid w:val="00065350"/>
    <w:rsid w:val="00065373"/>
    <w:rsid w:val="00067232"/>
    <w:rsid w:val="000675CC"/>
    <w:rsid w:val="00067DE5"/>
    <w:rsid w:val="00070094"/>
    <w:rsid w:val="00071194"/>
    <w:rsid w:val="00071500"/>
    <w:rsid w:val="00071609"/>
    <w:rsid w:val="00071709"/>
    <w:rsid w:val="000720AF"/>
    <w:rsid w:val="000730D3"/>
    <w:rsid w:val="00073865"/>
    <w:rsid w:val="00073BD7"/>
    <w:rsid w:val="00073C19"/>
    <w:rsid w:val="00073E68"/>
    <w:rsid w:val="00073EEB"/>
    <w:rsid w:val="000763C3"/>
    <w:rsid w:val="00077B4F"/>
    <w:rsid w:val="0008475C"/>
    <w:rsid w:val="00085065"/>
    <w:rsid w:val="000851DB"/>
    <w:rsid w:val="000851ED"/>
    <w:rsid w:val="0008523F"/>
    <w:rsid w:val="000856B0"/>
    <w:rsid w:val="000856DF"/>
    <w:rsid w:val="00085F3C"/>
    <w:rsid w:val="000865F6"/>
    <w:rsid w:val="00087733"/>
    <w:rsid w:val="00090F49"/>
    <w:rsid w:val="00091380"/>
    <w:rsid w:val="00091D47"/>
    <w:rsid w:val="00092527"/>
    <w:rsid w:val="0009286F"/>
    <w:rsid w:val="00093997"/>
    <w:rsid w:val="00094644"/>
    <w:rsid w:val="00094931"/>
    <w:rsid w:val="0009627E"/>
    <w:rsid w:val="000967FA"/>
    <w:rsid w:val="00096B0D"/>
    <w:rsid w:val="00097320"/>
    <w:rsid w:val="00097D1E"/>
    <w:rsid w:val="000A198F"/>
    <w:rsid w:val="000A1F32"/>
    <w:rsid w:val="000A338D"/>
    <w:rsid w:val="000A3E6D"/>
    <w:rsid w:val="000A612E"/>
    <w:rsid w:val="000A711B"/>
    <w:rsid w:val="000A7381"/>
    <w:rsid w:val="000A745C"/>
    <w:rsid w:val="000B1BA0"/>
    <w:rsid w:val="000B4849"/>
    <w:rsid w:val="000B4C30"/>
    <w:rsid w:val="000B5B00"/>
    <w:rsid w:val="000B5FC9"/>
    <w:rsid w:val="000B631B"/>
    <w:rsid w:val="000B72D4"/>
    <w:rsid w:val="000C07C7"/>
    <w:rsid w:val="000C11B3"/>
    <w:rsid w:val="000C1AD7"/>
    <w:rsid w:val="000C21F0"/>
    <w:rsid w:val="000C2D7A"/>
    <w:rsid w:val="000C38E3"/>
    <w:rsid w:val="000C4240"/>
    <w:rsid w:val="000C453A"/>
    <w:rsid w:val="000C5EA8"/>
    <w:rsid w:val="000C61ED"/>
    <w:rsid w:val="000C6EE3"/>
    <w:rsid w:val="000C7D35"/>
    <w:rsid w:val="000D045D"/>
    <w:rsid w:val="000D0AE1"/>
    <w:rsid w:val="000D1226"/>
    <w:rsid w:val="000D2AD3"/>
    <w:rsid w:val="000D4576"/>
    <w:rsid w:val="000D6AE8"/>
    <w:rsid w:val="000D6CB3"/>
    <w:rsid w:val="000D74B1"/>
    <w:rsid w:val="000E09FA"/>
    <w:rsid w:val="000E1131"/>
    <w:rsid w:val="000E16CA"/>
    <w:rsid w:val="000E3325"/>
    <w:rsid w:val="000E4751"/>
    <w:rsid w:val="000E6BDE"/>
    <w:rsid w:val="000F118F"/>
    <w:rsid w:val="000F17DA"/>
    <w:rsid w:val="000F5114"/>
    <w:rsid w:val="000F6124"/>
    <w:rsid w:val="000F74B4"/>
    <w:rsid w:val="000F792A"/>
    <w:rsid w:val="000F79D9"/>
    <w:rsid w:val="000F7BCD"/>
    <w:rsid w:val="00100949"/>
    <w:rsid w:val="0010170F"/>
    <w:rsid w:val="00102900"/>
    <w:rsid w:val="00104063"/>
    <w:rsid w:val="00104188"/>
    <w:rsid w:val="001077A1"/>
    <w:rsid w:val="0011091C"/>
    <w:rsid w:val="00110932"/>
    <w:rsid w:val="00110952"/>
    <w:rsid w:val="00111698"/>
    <w:rsid w:val="001127D9"/>
    <w:rsid w:val="001127F5"/>
    <w:rsid w:val="00112A59"/>
    <w:rsid w:val="00113CC8"/>
    <w:rsid w:val="00115EF5"/>
    <w:rsid w:val="0011602D"/>
    <w:rsid w:val="00117566"/>
    <w:rsid w:val="00120AF2"/>
    <w:rsid w:val="00121458"/>
    <w:rsid w:val="0012174E"/>
    <w:rsid w:val="00124880"/>
    <w:rsid w:val="001248B2"/>
    <w:rsid w:val="00125301"/>
    <w:rsid w:val="001317A6"/>
    <w:rsid w:val="00131FC5"/>
    <w:rsid w:val="00133830"/>
    <w:rsid w:val="00134EC1"/>
    <w:rsid w:val="0013539B"/>
    <w:rsid w:val="00135EC4"/>
    <w:rsid w:val="001365A9"/>
    <w:rsid w:val="00137E60"/>
    <w:rsid w:val="00140E6B"/>
    <w:rsid w:val="00142381"/>
    <w:rsid w:val="001452F9"/>
    <w:rsid w:val="00145730"/>
    <w:rsid w:val="0014655D"/>
    <w:rsid w:val="00146BED"/>
    <w:rsid w:val="00151F90"/>
    <w:rsid w:val="00154012"/>
    <w:rsid w:val="0015429C"/>
    <w:rsid w:val="0015560C"/>
    <w:rsid w:val="0015579F"/>
    <w:rsid w:val="001579D2"/>
    <w:rsid w:val="00160306"/>
    <w:rsid w:val="00160362"/>
    <w:rsid w:val="00161964"/>
    <w:rsid w:val="0016377E"/>
    <w:rsid w:val="00164657"/>
    <w:rsid w:val="001653C5"/>
    <w:rsid w:val="00165EFA"/>
    <w:rsid w:val="00166423"/>
    <w:rsid w:val="00167224"/>
    <w:rsid w:val="00170450"/>
    <w:rsid w:val="00170A9B"/>
    <w:rsid w:val="00171928"/>
    <w:rsid w:val="00171ED1"/>
    <w:rsid w:val="00172377"/>
    <w:rsid w:val="0017261A"/>
    <w:rsid w:val="00172BE2"/>
    <w:rsid w:val="00173F9B"/>
    <w:rsid w:val="00173FB4"/>
    <w:rsid w:val="00174704"/>
    <w:rsid w:val="00175E8C"/>
    <w:rsid w:val="0017686F"/>
    <w:rsid w:val="0017719A"/>
    <w:rsid w:val="00181059"/>
    <w:rsid w:val="00181BAC"/>
    <w:rsid w:val="0018256B"/>
    <w:rsid w:val="00183813"/>
    <w:rsid w:val="00183E0E"/>
    <w:rsid w:val="00184144"/>
    <w:rsid w:val="0018548A"/>
    <w:rsid w:val="00185A85"/>
    <w:rsid w:val="00185E5E"/>
    <w:rsid w:val="00186635"/>
    <w:rsid w:val="0019095E"/>
    <w:rsid w:val="001928F2"/>
    <w:rsid w:val="00193099"/>
    <w:rsid w:val="0019505A"/>
    <w:rsid w:val="00195ED8"/>
    <w:rsid w:val="001969DE"/>
    <w:rsid w:val="001971F3"/>
    <w:rsid w:val="001972B7"/>
    <w:rsid w:val="001974C3"/>
    <w:rsid w:val="00197766"/>
    <w:rsid w:val="001A0335"/>
    <w:rsid w:val="001A14BC"/>
    <w:rsid w:val="001A181E"/>
    <w:rsid w:val="001A24FF"/>
    <w:rsid w:val="001A256D"/>
    <w:rsid w:val="001A27B3"/>
    <w:rsid w:val="001A365C"/>
    <w:rsid w:val="001A3E01"/>
    <w:rsid w:val="001A4DEC"/>
    <w:rsid w:val="001A579C"/>
    <w:rsid w:val="001A5863"/>
    <w:rsid w:val="001A78DE"/>
    <w:rsid w:val="001B1546"/>
    <w:rsid w:val="001B16DB"/>
    <w:rsid w:val="001B1F96"/>
    <w:rsid w:val="001B23C1"/>
    <w:rsid w:val="001B24C9"/>
    <w:rsid w:val="001B28A0"/>
    <w:rsid w:val="001B3138"/>
    <w:rsid w:val="001B3438"/>
    <w:rsid w:val="001B555F"/>
    <w:rsid w:val="001B5588"/>
    <w:rsid w:val="001B56BB"/>
    <w:rsid w:val="001B57A9"/>
    <w:rsid w:val="001B5EB5"/>
    <w:rsid w:val="001B7F04"/>
    <w:rsid w:val="001C0939"/>
    <w:rsid w:val="001C111B"/>
    <w:rsid w:val="001C122A"/>
    <w:rsid w:val="001C18AB"/>
    <w:rsid w:val="001C2D47"/>
    <w:rsid w:val="001C2E2A"/>
    <w:rsid w:val="001C36AB"/>
    <w:rsid w:val="001C3EB4"/>
    <w:rsid w:val="001C4CB0"/>
    <w:rsid w:val="001C58EC"/>
    <w:rsid w:val="001C654E"/>
    <w:rsid w:val="001C6BD4"/>
    <w:rsid w:val="001C70EA"/>
    <w:rsid w:val="001C72FA"/>
    <w:rsid w:val="001C7A03"/>
    <w:rsid w:val="001C7DA4"/>
    <w:rsid w:val="001D143D"/>
    <w:rsid w:val="001D345E"/>
    <w:rsid w:val="001D37C2"/>
    <w:rsid w:val="001D58BA"/>
    <w:rsid w:val="001D64DC"/>
    <w:rsid w:val="001E0ACD"/>
    <w:rsid w:val="001E18EF"/>
    <w:rsid w:val="001E403F"/>
    <w:rsid w:val="001E4A9B"/>
    <w:rsid w:val="001E4ECA"/>
    <w:rsid w:val="001E5002"/>
    <w:rsid w:val="001E54BA"/>
    <w:rsid w:val="001E7723"/>
    <w:rsid w:val="001F008E"/>
    <w:rsid w:val="001F0E42"/>
    <w:rsid w:val="001F3CF4"/>
    <w:rsid w:val="001F4498"/>
    <w:rsid w:val="001F46EB"/>
    <w:rsid w:val="001F4BF6"/>
    <w:rsid w:val="001F4C3C"/>
    <w:rsid w:val="001F62D5"/>
    <w:rsid w:val="00200007"/>
    <w:rsid w:val="00200367"/>
    <w:rsid w:val="002014DA"/>
    <w:rsid w:val="002028B1"/>
    <w:rsid w:val="002033E6"/>
    <w:rsid w:val="0020360B"/>
    <w:rsid w:val="00203C04"/>
    <w:rsid w:val="00203FF7"/>
    <w:rsid w:val="0020428F"/>
    <w:rsid w:val="002046F5"/>
    <w:rsid w:val="0020476B"/>
    <w:rsid w:val="00205882"/>
    <w:rsid w:val="00207C52"/>
    <w:rsid w:val="00207E1D"/>
    <w:rsid w:val="00213009"/>
    <w:rsid w:val="002141B3"/>
    <w:rsid w:val="00214E55"/>
    <w:rsid w:val="00214EC7"/>
    <w:rsid w:val="002156C3"/>
    <w:rsid w:val="00215B42"/>
    <w:rsid w:val="00215D99"/>
    <w:rsid w:val="002164C1"/>
    <w:rsid w:val="00216D66"/>
    <w:rsid w:val="00222368"/>
    <w:rsid w:val="002225B6"/>
    <w:rsid w:val="002230F8"/>
    <w:rsid w:val="00223B02"/>
    <w:rsid w:val="00224222"/>
    <w:rsid w:val="002249C7"/>
    <w:rsid w:val="00224A27"/>
    <w:rsid w:val="00224B9C"/>
    <w:rsid w:val="00225297"/>
    <w:rsid w:val="00225762"/>
    <w:rsid w:val="00225EC6"/>
    <w:rsid w:val="00226BEF"/>
    <w:rsid w:val="00226FBD"/>
    <w:rsid w:val="002276F4"/>
    <w:rsid w:val="00227D28"/>
    <w:rsid w:val="002312D4"/>
    <w:rsid w:val="00231B56"/>
    <w:rsid w:val="00231BED"/>
    <w:rsid w:val="00233D96"/>
    <w:rsid w:val="00234312"/>
    <w:rsid w:val="00234AB2"/>
    <w:rsid w:val="00234DE3"/>
    <w:rsid w:val="00235312"/>
    <w:rsid w:val="0023724F"/>
    <w:rsid w:val="00237383"/>
    <w:rsid w:val="002376FD"/>
    <w:rsid w:val="002408D3"/>
    <w:rsid w:val="00240C5C"/>
    <w:rsid w:val="00240D4E"/>
    <w:rsid w:val="002410C7"/>
    <w:rsid w:val="00241671"/>
    <w:rsid w:val="00241B60"/>
    <w:rsid w:val="00242209"/>
    <w:rsid w:val="00244916"/>
    <w:rsid w:val="002465DC"/>
    <w:rsid w:val="002477DE"/>
    <w:rsid w:val="00247D09"/>
    <w:rsid w:val="00252846"/>
    <w:rsid w:val="00253116"/>
    <w:rsid w:val="00253C3F"/>
    <w:rsid w:val="002557C2"/>
    <w:rsid w:val="00255882"/>
    <w:rsid w:val="0025590C"/>
    <w:rsid w:val="00256398"/>
    <w:rsid w:val="00256464"/>
    <w:rsid w:val="00256AF9"/>
    <w:rsid w:val="00256E80"/>
    <w:rsid w:val="00257A99"/>
    <w:rsid w:val="00260C0E"/>
    <w:rsid w:val="00261085"/>
    <w:rsid w:val="002611A7"/>
    <w:rsid w:val="00261273"/>
    <w:rsid w:val="00261A24"/>
    <w:rsid w:val="00261C0A"/>
    <w:rsid w:val="00261DC7"/>
    <w:rsid w:val="00262AC4"/>
    <w:rsid w:val="00264256"/>
    <w:rsid w:val="002642A9"/>
    <w:rsid w:val="00264551"/>
    <w:rsid w:val="00264BF2"/>
    <w:rsid w:val="00270CE4"/>
    <w:rsid w:val="00274005"/>
    <w:rsid w:val="002744C4"/>
    <w:rsid w:val="0027541F"/>
    <w:rsid w:val="00275BC0"/>
    <w:rsid w:val="002766DB"/>
    <w:rsid w:val="0028233C"/>
    <w:rsid w:val="00282F22"/>
    <w:rsid w:val="00283648"/>
    <w:rsid w:val="002848CD"/>
    <w:rsid w:val="0028663B"/>
    <w:rsid w:val="00286D1B"/>
    <w:rsid w:val="00287A96"/>
    <w:rsid w:val="002918F9"/>
    <w:rsid w:val="00291D71"/>
    <w:rsid w:val="00292517"/>
    <w:rsid w:val="00293119"/>
    <w:rsid w:val="00294082"/>
    <w:rsid w:val="0029443E"/>
    <w:rsid w:val="00294999"/>
    <w:rsid w:val="00294FE6"/>
    <w:rsid w:val="00295430"/>
    <w:rsid w:val="00296403"/>
    <w:rsid w:val="00296B86"/>
    <w:rsid w:val="00296E66"/>
    <w:rsid w:val="002A1316"/>
    <w:rsid w:val="002A2CC3"/>
    <w:rsid w:val="002A2F16"/>
    <w:rsid w:val="002A429D"/>
    <w:rsid w:val="002A44FE"/>
    <w:rsid w:val="002A4E9D"/>
    <w:rsid w:val="002A5A97"/>
    <w:rsid w:val="002A6BDC"/>
    <w:rsid w:val="002A6CB4"/>
    <w:rsid w:val="002B12A6"/>
    <w:rsid w:val="002B5AC1"/>
    <w:rsid w:val="002B792D"/>
    <w:rsid w:val="002C2216"/>
    <w:rsid w:val="002C2278"/>
    <w:rsid w:val="002C2B63"/>
    <w:rsid w:val="002C3A5D"/>
    <w:rsid w:val="002C5CBA"/>
    <w:rsid w:val="002C6171"/>
    <w:rsid w:val="002C666A"/>
    <w:rsid w:val="002C7C73"/>
    <w:rsid w:val="002D0028"/>
    <w:rsid w:val="002D0149"/>
    <w:rsid w:val="002D0A6C"/>
    <w:rsid w:val="002D162A"/>
    <w:rsid w:val="002D1DEE"/>
    <w:rsid w:val="002D2620"/>
    <w:rsid w:val="002D3298"/>
    <w:rsid w:val="002D3588"/>
    <w:rsid w:val="002D414D"/>
    <w:rsid w:val="002D59F5"/>
    <w:rsid w:val="002D5B28"/>
    <w:rsid w:val="002D5BF7"/>
    <w:rsid w:val="002D70E6"/>
    <w:rsid w:val="002D7357"/>
    <w:rsid w:val="002E07AA"/>
    <w:rsid w:val="002E10B8"/>
    <w:rsid w:val="002E1519"/>
    <w:rsid w:val="002E1631"/>
    <w:rsid w:val="002E17D0"/>
    <w:rsid w:val="002E199B"/>
    <w:rsid w:val="002E3197"/>
    <w:rsid w:val="002E3A7B"/>
    <w:rsid w:val="002E3FF0"/>
    <w:rsid w:val="002E535F"/>
    <w:rsid w:val="002E5DCE"/>
    <w:rsid w:val="002E702D"/>
    <w:rsid w:val="002E7901"/>
    <w:rsid w:val="002F055F"/>
    <w:rsid w:val="002F05F4"/>
    <w:rsid w:val="002F0D79"/>
    <w:rsid w:val="002F1EBF"/>
    <w:rsid w:val="002F2935"/>
    <w:rsid w:val="002F5D54"/>
    <w:rsid w:val="002F5EAD"/>
    <w:rsid w:val="002F6FF9"/>
    <w:rsid w:val="00300EA4"/>
    <w:rsid w:val="0030135B"/>
    <w:rsid w:val="00302A97"/>
    <w:rsid w:val="00304CEC"/>
    <w:rsid w:val="0030546C"/>
    <w:rsid w:val="0030560B"/>
    <w:rsid w:val="00305EFE"/>
    <w:rsid w:val="00312502"/>
    <w:rsid w:val="003137D2"/>
    <w:rsid w:val="003148E8"/>
    <w:rsid w:val="003157DB"/>
    <w:rsid w:val="00315880"/>
    <w:rsid w:val="00316044"/>
    <w:rsid w:val="003170AF"/>
    <w:rsid w:val="00317369"/>
    <w:rsid w:val="00317D79"/>
    <w:rsid w:val="00320A81"/>
    <w:rsid w:val="00320CFF"/>
    <w:rsid w:val="0032153F"/>
    <w:rsid w:val="00321DE0"/>
    <w:rsid w:val="003245DA"/>
    <w:rsid w:val="00324997"/>
    <w:rsid w:val="00325660"/>
    <w:rsid w:val="00326416"/>
    <w:rsid w:val="003266E0"/>
    <w:rsid w:val="00326D84"/>
    <w:rsid w:val="00327340"/>
    <w:rsid w:val="00327CB8"/>
    <w:rsid w:val="00330EF0"/>
    <w:rsid w:val="0033165C"/>
    <w:rsid w:val="003325E9"/>
    <w:rsid w:val="00333FC0"/>
    <w:rsid w:val="00334255"/>
    <w:rsid w:val="003360E6"/>
    <w:rsid w:val="0033620A"/>
    <w:rsid w:val="003371CB"/>
    <w:rsid w:val="00337372"/>
    <w:rsid w:val="00337CC1"/>
    <w:rsid w:val="0034083B"/>
    <w:rsid w:val="00340C82"/>
    <w:rsid w:val="00340D1B"/>
    <w:rsid w:val="003415C3"/>
    <w:rsid w:val="00341EAF"/>
    <w:rsid w:val="00342CB7"/>
    <w:rsid w:val="0034395E"/>
    <w:rsid w:val="00344C6C"/>
    <w:rsid w:val="0034544B"/>
    <w:rsid w:val="0034667C"/>
    <w:rsid w:val="00350E1D"/>
    <w:rsid w:val="00351688"/>
    <w:rsid w:val="00351B97"/>
    <w:rsid w:val="00352550"/>
    <w:rsid w:val="0035281A"/>
    <w:rsid w:val="00353B38"/>
    <w:rsid w:val="00355A60"/>
    <w:rsid w:val="0035609F"/>
    <w:rsid w:val="003570EA"/>
    <w:rsid w:val="00357190"/>
    <w:rsid w:val="00357FFA"/>
    <w:rsid w:val="00360049"/>
    <w:rsid w:val="00360172"/>
    <w:rsid w:val="0036046D"/>
    <w:rsid w:val="00363566"/>
    <w:rsid w:val="00364E3D"/>
    <w:rsid w:val="00365141"/>
    <w:rsid w:val="00365F34"/>
    <w:rsid w:val="003672EC"/>
    <w:rsid w:val="003675EC"/>
    <w:rsid w:val="00367BBB"/>
    <w:rsid w:val="00367F7A"/>
    <w:rsid w:val="00367F9C"/>
    <w:rsid w:val="00370E1C"/>
    <w:rsid w:val="0037204C"/>
    <w:rsid w:val="003725D2"/>
    <w:rsid w:val="003735D9"/>
    <w:rsid w:val="00373D0A"/>
    <w:rsid w:val="0037483C"/>
    <w:rsid w:val="0037579B"/>
    <w:rsid w:val="00375A23"/>
    <w:rsid w:val="00376450"/>
    <w:rsid w:val="00376842"/>
    <w:rsid w:val="00376C2F"/>
    <w:rsid w:val="00376FCE"/>
    <w:rsid w:val="00377A90"/>
    <w:rsid w:val="00377D50"/>
    <w:rsid w:val="00380CDF"/>
    <w:rsid w:val="00382453"/>
    <w:rsid w:val="00383D70"/>
    <w:rsid w:val="003849E8"/>
    <w:rsid w:val="00384A51"/>
    <w:rsid w:val="00385476"/>
    <w:rsid w:val="00386D4C"/>
    <w:rsid w:val="00390D99"/>
    <w:rsid w:val="00391518"/>
    <w:rsid w:val="00392764"/>
    <w:rsid w:val="00394216"/>
    <w:rsid w:val="003945AD"/>
    <w:rsid w:val="003947D5"/>
    <w:rsid w:val="0039600A"/>
    <w:rsid w:val="00396170"/>
    <w:rsid w:val="00396836"/>
    <w:rsid w:val="00396B13"/>
    <w:rsid w:val="003970A2"/>
    <w:rsid w:val="00397FB4"/>
    <w:rsid w:val="003A0B67"/>
    <w:rsid w:val="003A2496"/>
    <w:rsid w:val="003A274A"/>
    <w:rsid w:val="003A2D8D"/>
    <w:rsid w:val="003A3E88"/>
    <w:rsid w:val="003A6148"/>
    <w:rsid w:val="003A63F2"/>
    <w:rsid w:val="003A670B"/>
    <w:rsid w:val="003B0FD5"/>
    <w:rsid w:val="003B12DE"/>
    <w:rsid w:val="003B17C0"/>
    <w:rsid w:val="003B33EB"/>
    <w:rsid w:val="003B3F47"/>
    <w:rsid w:val="003B4A81"/>
    <w:rsid w:val="003B6907"/>
    <w:rsid w:val="003B7FF4"/>
    <w:rsid w:val="003C07B6"/>
    <w:rsid w:val="003C07DE"/>
    <w:rsid w:val="003C14D0"/>
    <w:rsid w:val="003C14E1"/>
    <w:rsid w:val="003C174C"/>
    <w:rsid w:val="003C337D"/>
    <w:rsid w:val="003C410E"/>
    <w:rsid w:val="003C57EA"/>
    <w:rsid w:val="003C73D7"/>
    <w:rsid w:val="003C7A17"/>
    <w:rsid w:val="003D05BE"/>
    <w:rsid w:val="003D1402"/>
    <w:rsid w:val="003D19A1"/>
    <w:rsid w:val="003D27DC"/>
    <w:rsid w:val="003D29CA"/>
    <w:rsid w:val="003D2F2D"/>
    <w:rsid w:val="003D4420"/>
    <w:rsid w:val="003D58F1"/>
    <w:rsid w:val="003D608C"/>
    <w:rsid w:val="003D6928"/>
    <w:rsid w:val="003D6E6E"/>
    <w:rsid w:val="003D6F9C"/>
    <w:rsid w:val="003D7C55"/>
    <w:rsid w:val="003D7DC1"/>
    <w:rsid w:val="003E026F"/>
    <w:rsid w:val="003E0392"/>
    <w:rsid w:val="003E0702"/>
    <w:rsid w:val="003E28CF"/>
    <w:rsid w:val="003E2E5D"/>
    <w:rsid w:val="003E4272"/>
    <w:rsid w:val="003E5116"/>
    <w:rsid w:val="003E52E5"/>
    <w:rsid w:val="003E53BD"/>
    <w:rsid w:val="003E57F2"/>
    <w:rsid w:val="003E5884"/>
    <w:rsid w:val="003E6DD2"/>
    <w:rsid w:val="003E7060"/>
    <w:rsid w:val="003F0893"/>
    <w:rsid w:val="003F08CA"/>
    <w:rsid w:val="003F0CB9"/>
    <w:rsid w:val="003F2B28"/>
    <w:rsid w:val="003F4038"/>
    <w:rsid w:val="003F41B9"/>
    <w:rsid w:val="003F4634"/>
    <w:rsid w:val="003F4831"/>
    <w:rsid w:val="003F4A75"/>
    <w:rsid w:val="003F572C"/>
    <w:rsid w:val="003F5A47"/>
    <w:rsid w:val="003F6829"/>
    <w:rsid w:val="003F74A8"/>
    <w:rsid w:val="003F7FB3"/>
    <w:rsid w:val="003F7FCB"/>
    <w:rsid w:val="0040031F"/>
    <w:rsid w:val="0040067F"/>
    <w:rsid w:val="0040093D"/>
    <w:rsid w:val="00401202"/>
    <w:rsid w:val="004018EA"/>
    <w:rsid w:val="004028C1"/>
    <w:rsid w:val="0040337C"/>
    <w:rsid w:val="00403632"/>
    <w:rsid w:val="00404002"/>
    <w:rsid w:val="0040516D"/>
    <w:rsid w:val="00406F8C"/>
    <w:rsid w:val="0041029C"/>
    <w:rsid w:val="004107EC"/>
    <w:rsid w:val="004108E7"/>
    <w:rsid w:val="00410F4D"/>
    <w:rsid w:val="00412614"/>
    <w:rsid w:val="004128F1"/>
    <w:rsid w:val="00413914"/>
    <w:rsid w:val="00414676"/>
    <w:rsid w:val="004146C7"/>
    <w:rsid w:val="00414BDC"/>
    <w:rsid w:val="00414EAE"/>
    <w:rsid w:val="00416BC2"/>
    <w:rsid w:val="004201DC"/>
    <w:rsid w:val="00421277"/>
    <w:rsid w:val="00421554"/>
    <w:rsid w:val="00421692"/>
    <w:rsid w:val="004228F5"/>
    <w:rsid w:val="00422CB8"/>
    <w:rsid w:val="00424570"/>
    <w:rsid w:val="00426456"/>
    <w:rsid w:val="00426919"/>
    <w:rsid w:val="00426F7F"/>
    <w:rsid w:val="004302C9"/>
    <w:rsid w:val="0043188F"/>
    <w:rsid w:val="004320C1"/>
    <w:rsid w:val="004326F0"/>
    <w:rsid w:val="00432A1F"/>
    <w:rsid w:val="00433E0D"/>
    <w:rsid w:val="00433E1D"/>
    <w:rsid w:val="00434207"/>
    <w:rsid w:val="00434711"/>
    <w:rsid w:val="00434970"/>
    <w:rsid w:val="00434F70"/>
    <w:rsid w:val="00434F98"/>
    <w:rsid w:val="00435281"/>
    <w:rsid w:val="00435DAC"/>
    <w:rsid w:val="00436721"/>
    <w:rsid w:val="00436AD8"/>
    <w:rsid w:val="0044022E"/>
    <w:rsid w:val="00440B62"/>
    <w:rsid w:val="00441F52"/>
    <w:rsid w:val="004431D9"/>
    <w:rsid w:val="00443381"/>
    <w:rsid w:val="0044533B"/>
    <w:rsid w:val="004455D8"/>
    <w:rsid w:val="00446244"/>
    <w:rsid w:val="004475A4"/>
    <w:rsid w:val="0044761E"/>
    <w:rsid w:val="004504C3"/>
    <w:rsid w:val="00450D0E"/>
    <w:rsid w:val="00450D5E"/>
    <w:rsid w:val="004516AB"/>
    <w:rsid w:val="00452103"/>
    <w:rsid w:val="00452842"/>
    <w:rsid w:val="004530A2"/>
    <w:rsid w:val="0045395B"/>
    <w:rsid w:val="00454273"/>
    <w:rsid w:val="004547BC"/>
    <w:rsid w:val="004548DD"/>
    <w:rsid w:val="0045497B"/>
    <w:rsid w:val="004555D2"/>
    <w:rsid w:val="0045639A"/>
    <w:rsid w:val="00456EC8"/>
    <w:rsid w:val="00457EC9"/>
    <w:rsid w:val="004600B3"/>
    <w:rsid w:val="004623DC"/>
    <w:rsid w:val="00462C30"/>
    <w:rsid w:val="00463E5B"/>
    <w:rsid w:val="00464195"/>
    <w:rsid w:val="004646D6"/>
    <w:rsid w:val="004654C3"/>
    <w:rsid w:val="00465572"/>
    <w:rsid w:val="00466170"/>
    <w:rsid w:val="004662AE"/>
    <w:rsid w:val="00466D26"/>
    <w:rsid w:val="0046757B"/>
    <w:rsid w:val="00470446"/>
    <w:rsid w:val="004726AA"/>
    <w:rsid w:val="0047523A"/>
    <w:rsid w:val="00475942"/>
    <w:rsid w:val="00477340"/>
    <w:rsid w:val="004774AD"/>
    <w:rsid w:val="00480491"/>
    <w:rsid w:val="0048080F"/>
    <w:rsid w:val="004812C5"/>
    <w:rsid w:val="004813F4"/>
    <w:rsid w:val="00481B00"/>
    <w:rsid w:val="00481C54"/>
    <w:rsid w:val="004829CD"/>
    <w:rsid w:val="004833B9"/>
    <w:rsid w:val="004836C4"/>
    <w:rsid w:val="00483AEC"/>
    <w:rsid w:val="0048488F"/>
    <w:rsid w:val="00484BD5"/>
    <w:rsid w:val="00484CB7"/>
    <w:rsid w:val="00485666"/>
    <w:rsid w:val="00485DFF"/>
    <w:rsid w:val="004860F9"/>
    <w:rsid w:val="00486129"/>
    <w:rsid w:val="004861C6"/>
    <w:rsid w:val="0048680B"/>
    <w:rsid w:val="00486D2D"/>
    <w:rsid w:val="004873FE"/>
    <w:rsid w:val="00487C04"/>
    <w:rsid w:val="00490434"/>
    <w:rsid w:val="00490996"/>
    <w:rsid w:val="00491EC3"/>
    <w:rsid w:val="004926D5"/>
    <w:rsid w:val="0049353F"/>
    <w:rsid w:val="004947FF"/>
    <w:rsid w:val="004953BB"/>
    <w:rsid w:val="00495439"/>
    <w:rsid w:val="00495D3E"/>
    <w:rsid w:val="0049733D"/>
    <w:rsid w:val="00497B6F"/>
    <w:rsid w:val="00497F4E"/>
    <w:rsid w:val="004A166E"/>
    <w:rsid w:val="004A23C7"/>
    <w:rsid w:val="004A47CB"/>
    <w:rsid w:val="004A4BBF"/>
    <w:rsid w:val="004A4F25"/>
    <w:rsid w:val="004A52CF"/>
    <w:rsid w:val="004A79D8"/>
    <w:rsid w:val="004B0875"/>
    <w:rsid w:val="004B1375"/>
    <w:rsid w:val="004B3F4D"/>
    <w:rsid w:val="004B4AD1"/>
    <w:rsid w:val="004B51B6"/>
    <w:rsid w:val="004B57D9"/>
    <w:rsid w:val="004B5C26"/>
    <w:rsid w:val="004B7385"/>
    <w:rsid w:val="004B7AC8"/>
    <w:rsid w:val="004B7C1B"/>
    <w:rsid w:val="004C1990"/>
    <w:rsid w:val="004C1F17"/>
    <w:rsid w:val="004C2367"/>
    <w:rsid w:val="004C2B99"/>
    <w:rsid w:val="004C49B1"/>
    <w:rsid w:val="004C69C3"/>
    <w:rsid w:val="004C6D63"/>
    <w:rsid w:val="004C7B2E"/>
    <w:rsid w:val="004D0463"/>
    <w:rsid w:val="004D125C"/>
    <w:rsid w:val="004D4855"/>
    <w:rsid w:val="004D696F"/>
    <w:rsid w:val="004D722F"/>
    <w:rsid w:val="004E08D5"/>
    <w:rsid w:val="004E0A4F"/>
    <w:rsid w:val="004E1EAF"/>
    <w:rsid w:val="004E2BB9"/>
    <w:rsid w:val="004E3B7D"/>
    <w:rsid w:val="004E4B26"/>
    <w:rsid w:val="004E4FFB"/>
    <w:rsid w:val="004E74E7"/>
    <w:rsid w:val="004F08F5"/>
    <w:rsid w:val="004F0EF3"/>
    <w:rsid w:val="004F1AB7"/>
    <w:rsid w:val="004F5274"/>
    <w:rsid w:val="004F6FC8"/>
    <w:rsid w:val="00501CAC"/>
    <w:rsid w:val="00501D63"/>
    <w:rsid w:val="00503CDA"/>
    <w:rsid w:val="00504D25"/>
    <w:rsid w:val="005064A5"/>
    <w:rsid w:val="00507048"/>
    <w:rsid w:val="00507684"/>
    <w:rsid w:val="005078AD"/>
    <w:rsid w:val="00510AFB"/>
    <w:rsid w:val="0051121F"/>
    <w:rsid w:val="00511A4C"/>
    <w:rsid w:val="005131DD"/>
    <w:rsid w:val="005141C7"/>
    <w:rsid w:val="00517F39"/>
    <w:rsid w:val="0052035A"/>
    <w:rsid w:val="00520EED"/>
    <w:rsid w:val="00520FE2"/>
    <w:rsid w:val="00522062"/>
    <w:rsid w:val="005220EC"/>
    <w:rsid w:val="0052307F"/>
    <w:rsid w:val="00523870"/>
    <w:rsid w:val="00525A97"/>
    <w:rsid w:val="00527CA1"/>
    <w:rsid w:val="00527DAD"/>
    <w:rsid w:val="0053011F"/>
    <w:rsid w:val="0053046B"/>
    <w:rsid w:val="00531194"/>
    <w:rsid w:val="0053202B"/>
    <w:rsid w:val="00532057"/>
    <w:rsid w:val="00532095"/>
    <w:rsid w:val="005320F6"/>
    <w:rsid w:val="00532E28"/>
    <w:rsid w:val="005337D3"/>
    <w:rsid w:val="005338B9"/>
    <w:rsid w:val="00535A9E"/>
    <w:rsid w:val="00540095"/>
    <w:rsid w:val="005408B8"/>
    <w:rsid w:val="00540DFB"/>
    <w:rsid w:val="0054164B"/>
    <w:rsid w:val="0054209F"/>
    <w:rsid w:val="005433D0"/>
    <w:rsid w:val="00543E8E"/>
    <w:rsid w:val="0054717F"/>
    <w:rsid w:val="00547E79"/>
    <w:rsid w:val="00551E8F"/>
    <w:rsid w:val="00552337"/>
    <w:rsid w:val="005523CB"/>
    <w:rsid w:val="00552C82"/>
    <w:rsid w:val="00552DF0"/>
    <w:rsid w:val="0055313D"/>
    <w:rsid w:val="00553720"/>
    <w:rsid w:val="00555983"/>
    <w:rsid w:val="005569F5"/>
    <w:rsid w:val="00556D61"/>
    <w:rsid w:val="0056041B"/>
    <w:rsid w:val="00560EA7"/>
    <w:rsid w:val="00560F52"/>
    <w:rsid w:val="0056125F"/>
    <w:rsid w:val="00562444"/>
    <w:rsid w:val="00562D61"/>
    <w:rsid w:val="005636B1"/>
    <w:rsid w:val="00564023"/>
    <w:rsid w:val="005654AA"/>
    <w:rsid w:val="005700E1"/>
    <w:rsid w:val="005702D0"/>
    <w:rsid w:val="005705DF"/>
    <w:rsid w:val="0057078A"/>
    <w:rsid w:val="00574355"/>
    <w:rsid w:val="00574D5A"/>
    <w:rsid w:val="0057575E"/>
    <w:rsid w:val="00577038"/>
    <w:rsid w:val="005822D6"/>
    <w:rsid w:val="00582366"/>
    <w:rsid w:val="00583161"/>
    <w:rsid w:val="00585849"/>
    <w:rsid w:val="0058721A"/>
    <w:rsid w:val="00587B3E"/>
    <w:rsid w:val="00587E39"/>
    <w:rsid w:val="00590AF2"/>
    <w:rsid w:val="00592CD1"/>
    <w:rsid w:val="00592D7D"/>
    <w:rsid w:val="005932AF"/>
    <w:rsid w:val="0059440E"/>
    <w:rsid w:val="005A01EB"/>
    <w:rsid w:val="005A0AE4"/>
    <w:rsid w:val="005A1CAA"/>
    <w:rsid w:val="005A2114"/>
    <w:rsid w:val="005A259E"/>
    <w:rsid w:val="005A2E55"/>
    <w:rsid w:val="005A3051"/>
    <w:rsid w:val="005A359A"/>
    <w:rsid w:val="005A4C31"/>
    <w:rsid w:val="005A6231"/>
    <w:rsid w:val="005A6325"/>
    <w:rsid w:val="005A7693"/>
    <w:rsid w:val="005A77E0"/>
    <w:rsid w:val="005B17F6"/>
    <w:rsid w:val="005B23C2"/>
    <w:rsid w:val="005B25A3"/>
    <w:rsid w:val="005B3975"/>
    <w:rsid w:val="005B3FDE"/>
    <w:rsid w:val="005B478B"/>
    <w:rsid w:val="005B6F6C"/>
    <w:rsid w:val="005C0F76"/>
    <w:rsid w:val="005C193C"/>
    <w:rsid w:val="005C22EC"/>
    <w:rsid w:val="005C3866"/>
    <w:rsid w:val="005C49BA"/>
    <w:rsid w:val="005C5145"/>
    <w:rsid w:val="005C5FF2"/>
    <w:rsid w:val="005C729E"/>
    <w:rsid w:val="005C7AFD"/>
    <w:rsid w:val="005D0451"/>
    <w:rsid w:val="005D3B90"/>
    <w:rsid w:val="005D3D8B"/>
    <w:rsid w:val="005D59B5"/>
    <w:rsid w:val="005D67D5"/>
    <w:rsid w:val="005D69F5"/>
    <w:rsid w:val="005D6FBB"/>
    <w:rsid w:val="005E14EF"/>
    <w:rsid w:val="005E153A"/>
    <w:rsid w:val="005E15E0"/>
    <w:rsid w:val="005E196C"/>
    <w:rsid w:val="005E196F"/>
    <w:rsid w:val="005E2B31"/>
    <w:rsid w:val="005E2F8D"/>
    <w:rsid w:val="005E3001"/>
    <w:rsid w:val="005E4225"/>
    <w:rsid w:val="005E4D29"/>
    <w:rsid w:val="005E4D4E"/>
    <w:rsid w:val="005E504B"/>
    <w:rsid w:val="005E5995"/>
    <w:rsid w:val="005E5C57"/>
    <w:rsid w:val="005E60BE"/>
    <w:rsid w:val="005E692A"/>
    <w:rsid w:val="005F017E"/>
    <w:rsid w:val="005F01CF"/>
    <w:rsid w:val="005F033F"/>
    <w:rsid w:val="005F17EB"/>
    <w:rsid w:val="005F2609"/>
    <w:rsid w:val="005F27C1"/>
    <w:rsid w:val="005F376A"/>
    <w:rsid w:val="005F3DA0"/>
    <w:rsid w:val="005F422E"/>
    <w:rsid w:val="005F6885"/>
    <w:rsid w:val="005F7BA2"/>
    <w:rsid w:val="005F7F96"/>
    <w:rsid w:val="00600564"/>
    <w:rsid w:val="00600F76"/>
    <w:rsid w:val="00601238"/>
    <w:rsid w:val="006014FD"/>
    <w:rsid w:val="006024CC"/>
    <w:rsid w:val="00605860"/>
    <w:rsid w:val="006069E1"/>
    <w:rsid w:val="00606F6E"/>
    <w:rsid w:val="00610914"/>
    <w:rsid w:val="00611D7D"/>
    <w:rsid w:val="006124C3"/>
    <w:rsid w:val="00612694"/>
    <w:rsid w:val="00612B11"/>
    <w:rsid w:val="006130B6"/>
    <w:rsid w:val="006143EE"/>
    <w:rsid w:val="00615345"/>
    <w:rsid w:val="00615514"/>
    <w:rsid w:val="006158F7"/>
    <w:rsid w:val="00615BA5"/>
    <w:rsid w:val="00615CD4"/>
    <w:rsid w:val="00617004"/>
    <w:rsid w:val="00617D5C"/>
    <w:rsid w:val="006224F6"/>
    <w:rsid w:val="006229E3"/>
    <w:rsid w:val="00623E2A"/>
    <w:rsid w:val="00624528"/>
    <w:rsid w:val="006249AB"/>
    <w:rsid w:val="00624C7E"/>
    <w:rsid w:val="00624E04"/>
    <w:rsid w:val="00624FC3"/>
    <w:rsid w:val="00625DFF"/>
    <w:rsid w:val="00626152"/>
    <w:rsid w:val="00626DB0"/>
    <w:rsid w:val="00626EC0"/>
    <w:rsid w:val="00630368"/>
    <w:rsid w:val="006306D5"/>
    <w:rsid w:val="0063120A"/>
    <w:rsid w:val="00631F59"/>
    <w:rsid w:val="006333AF"/>
    <w:rsid w:val="00633872"/>
    <w:rsid w:val="0063456C"/>
    <w:rsid w:val="00634598"/>
    <w:rsid w:val="00635DC4"/>
    <w:rsid w:val="006360DF"/>
    <w:rsid w:val="0063760B"/>
    <w:rsid w:val="00637C40"/>
    <w:rsid w:val="00640801"/>
    <w:rsid w:val="00640B70"/>
    <w:rsid w:val="0064182B"/>
    <w:rsid w:val="00642512"/>
    <w:rsid w:val="00643562"/>
    <w:rsid w:val="00645D0D"/>
    <w:rsid w:val="006463F5"/>
    <w:rsid w:val="00647BB4"/>
    <w:rsid w:val="00650594"/>
    <w:rsid w:val="006514EB"/>
    <w:rsid w:val="00651D38"/>
    <w:rsid w:val="00653E79"/>
    <w:rsid w:val="00653F63"/>
    <w:rsid w:val="00654185"/>
    <w:rsid w:val="006543A8"/>
    <w:rsid w:val="00654938"/>
    <w:rsid w:val="006611D9"/>
    <w:rsid w:val="0066247E"/>
    <w:rsid w:val="006641E5"/>
    <w:rsid w:val="0066429D"/>
    <w:rsid w:val="00664F6B"/>
    <w:rsid w:val="00665E45"/>
    <w:rsid w:val="00665E46"/>
    <w:rsid w:val="00666129"/>
    <w:rsid w:val="0066649A"/>
    <w:rsid w:val="00666825"/>
    <w:rsid w:val="00667110"/>
    <w:rsid w:val="006705B3"/>
    <w:rsid w:val="00671704"/>
    <w:rsid w:val="00671C73"/>
    <w:rsid w:val="00672E50"/>
    <w:rsid w:val="00673523"/>
    <w:rsid w:val="006740EB"/>
    <w:rsid w:val="006744B1"/>
    <w:rsid w:val="00675140"/>
    <w:rsid w:val="0067514B"/>
    <w:rsid w:val="00675F6F"/>
    <w:rsid w:val="00676116"/>
    <w:rsid w:val="00676A9F"/>
    <w:rsid w:val="00676E34"/>
    <w:rsid w:val="00677498"/>
    <w:rsid w:val="006775A0"/>
    <w:rsid w:val="006775DC"/>
    <w:rsid w:val="006800D0"/>
    <w:rsid w:val="00681DFC"/>
    <w:rsid w:val="006828FD"/>
    <w:rsid w:val="00683BD8"/>
    <w:rsid w:val="00683C56"/>
    <w:rsid w:val="00684437"/>
    <w:rsid w:val="00686433"/>
    <w:rsid w:val="00686E0C"/>
    <w:rsid w:val="00687E8E"/>
    <w:rsid w:val="00690138"/>
    <w:rsid w:val="006903CF"/>
    <w:rsid w:val="00690FEC"/>
    <w:rsid w:val="006924B7"/>
    <w:rsid w:val="0069258E"/>
    <w:rsid w:val="006926A3"/>
    <w:rsid w:val="006950F1"/>
    <w:rsid w:val="006957BA"/>
    <w:rsid w:val="00695B08"/>
    <w:rsid w:val="00695BDD"/>
    <w:rsid w:val="0069621E"/>
    <w:rsid w:val="00696C35"/>
    <w:rsid w:val="0069783B"/>
    <w:rsid w:val="006A0A01"/>
    <w:rsid w:val="006A0D36"/>
    <w:rsid w:val="006A11EF"/>
    <w:rsid w:val="006A1322"/>
    <w:rsid w:val="006A1CC1"/>
    <w:rsid w:val="006A28E1"/>
    <w:rsid w:val="006A3A65"/>
    <w:rsid w:val="006A47F5"/>
    <w:rsid w:val="006A4CC2"/>
    <w:rsid w:val="006A62CF"/>
    <w:rsid w:val="006B0EFF"/>
    <w:rsid w:val="006B2756"/>
    <w:rsid w:val="006B341C"/>
    <w:rsid w:val="006B363F"/>
    <w:rsid w:val="006B37DD"/>
    <w:rsid w:val="006B4174"/>
    <w:rsid w:val="006B6C8C"/>
    <w:rsid w:val="006B6D7F"/>
    <w:rsid w:val="006B76E4"/>
    <w:rsid w:val="006B7876"/>
    <w:rsid w:val="006C157C"/>
    <w:rsid w:val="006C5221"/>
    <w:rsid w:val="006C6B7A"/>
    <w:rsid w:val="006C7387"/>
    <w:rsid w:val="006C7513"/>
    <w:rsid w:val="006C7DA7"/>
    <w:rsid w:val="006D14CF"/>
    <w:rsid w:val="006D3A59"/>
    <w:rsid w:val="006D41DD"/>
    <w:rsid w:val="006D508E"/>
    <w:rsid w:val="006D5BF1"/>
    <w:rsid w:val="006D7A8E"/>
    <w:rsid w:val="006D7E68"/>
    <w:rsid w:val="006E0007"/>
    <w:rsid w:val="006E02D3"/>
    <w:rsid w:val="006E0B41"/>
    <w:rsid w:val="006E27AE"/>
    <w:rsid w:val="006E2E80"/>
    <w:rsid w:val="006E3CAA"/>
    <w:rsid w:val="006E75A7"/>
    <w:rsid w:val="006E786F"/>
    <w:rsid w:val="006E7F80"/>
    <w:rsid w:val="006F02BA"/>
    <w:rsid w:val="006F088C"/>
    <w:rsid w:val="006F124E"/>
    <w:rsid w:val="006F193A"/>
    <w:rsid w:val="006F280C"/>
    <w:rsid w:val="006F4E58"/>
    <w:rsid w:val="006F5CA0"/>
    <w:rsid w:val="006F656C"/>
    <w:rsid w:val="006F7985"/>
    <w:rsid w:val="006F7D5B"/>
    <w:rsid w:val="00700679"/>
    <w:rsid w:val="00702BF6"/>
    <w:rsid w:val="00703CCF"/>
    <w:rsid w:val="007042DD"/>
    <w:rsid w:val="00706B68"/>
    <w:rsid w:val="007072F8"/>
    <w:rsid w:val="0071027F"/>
    <w:rsid w:val="00711335"/>
    <w:rsid w:val="00711390"/>
    <w:rsid w:val="00712BFC"/>
    <w:rsid w:val="00713259"/>
    <w:rsid w:val="00714FDF"/>
    <w:rsid w:val="00715743"/>
    <w:rsid w:val="00716222"/>
    <w:rsid w:val="00722F3A"/>
    <w:rsid w:val="0072331C"/>
    <w:rsid w:val="007247FF"/>
    <w:rsid w:val="007250D9"/>
    <w:rsid w:val="0072525D"/>
    <w:rsid w:val="007257CB"/>
    <w:rsid w:val="00725B41"/>
    <w:rsid w:val="007260AB"/>
    <w:rsid w:val="00727D72"/>
    <w:rsid w:val="007306B9"/>
    <w:rsid w:val="00732DD8"/>
    <w:rsid w:val="0073318F"/>
    <w:rsid w:val="00734E48"/>
    <w:rsid w:val="007354A3"/>
    <w:rsid w:val="00735620"/>
    <w:rsid w:val="0073587D"/>
    <w:rsid w:val="00736729"/>
    <w:rsid w:val="007367DE"/>
    <w:rsid w:val="0073714B"/>
    <w:rsid w:val="00740788"/>
    <w:rsid w:val="00742608"/>
    <w:rsid w:val="007429E0"/>
    <w:rsid w:val="0074346D"/>
    <w:rsid w:val="00743B94"/>
    <w:rsid w:val="00746146"/>
    <w:rsid w:val="0074616C"/>
    <w:rsid w:val="00746C2F"/>
    <w:rsid w:val="007470B3"/>
    <w:rsid w:val="00747C3E"/>
    <w:rsid w:val="00750A93"/>
    <w:rsid w:val="00750C76"/>
    <w:rsid w:val="00751364"/>
    <w:rsid w:val="00751DD7"/>
    <w:rsid w:val="00753C4E"/>
    <w:rsid w:val="007540BC"/>
    <w:rsid w:val="00755974"/>
    <w:rsid w:val="00755ABB"/>
    <w:rsid w:val="00755B3F"/>
    <w:rsid w:val="0075697C"/>
    <w:rsid w:val="00756AE3"/>
    <w:rsid w:val="00756D58"/>
    <w:rsid w:val="00756F66"/>
    <w:rsid w:val="00756FA4"/>
    <w:rsid w:val="007574AB"/>
    <w:rsid w:val="0076099C"/>
    <w:rsid w:val="00761255"/>
    <w:rsid w:val="00761440"/>
    <w:rsid w:val="007636F5"/>
    <w:rsid w:val="00764374"/>
    <w:rsid w:val="007646F6"/>
    <w:rsid w:val="00766A99"/>
    <w:rsid w:val="00766B60"/>
    <w:rsid w:val="007704B7"/>
    <w:rsid w:val="00770F8A"/>
    <w:rsid w:val="0077134D"/>
    <w:rsid w:val="00771D95"/>
    <w:rsid w:val="0077209F"/>
    <w:rsid w:val="00773508"/>
    <w:rsid w:val="00773755"/>
    <w:rsid w:val="0077434D"/>
    <w:rsid w:val="00774EEB"/>
    <w:rsid w:val="00775992"/>
    <w:rsid w:val="007767B8"/>
    <w:rsid w:val="007774AA"/>
    <w:rsid w:val="007776E8"/>
    <w:rsid w:val="007805DF"/>
    <w:rsid w:val="00781AFE"/>
    <w:rsid w:val="00782A29"/>
    <w:rsid w:val="00783D3A"/>
    <w:rsid w:val="00783E3D"/>
    <w:rsid w:val="007848D1"/>
    <w:rsid w:val="00784B85"/>
    <w:rsid w:val="00784BE5"/>
    <w:rsid w:val="00785D0C"/>
    <w:rsid w:val="00785DAE"/>
    <w:rsid w:val="00792699"/>
    <w:rsid w:val="00793CF4"/>
    <w:rsid w:val="007940E3"/>
    <w:rsid w:val="007944F1"/>
    <w:rsid w:val="007948C8"/>
    <w:rsid w:val="00794B02"/>
    <w:rsid w:val="00794B81"/>
    <w:rsid w:val="007957F8"/>
    <w:rsid w:val="00795898"/>
    <w:rsid w:val="00796353"/>
    <w:rsid w:val="007A1BA8"/>
    <w:rsid w:val="007A336C"/>
    <w:rsid w:val="007A360B"/>
    <w:rsid w:val="007A3870"/>
    <w:rsid w:val="007A4030"/>
    <w:rsid w:val="007A4280"/>
    <w:rsid w:val="007A4636"/>
    <w:rsid w:val="007A48FF"/>
    <w:rsid w:val="007A5CBA"/>
    <w:rsid w:val="007A627D"/>
    <w:rsid w:val="007A6402"/>
    <w:rsid w:val="007A6F4C"/>
    <w:rsid w:val="007A7E1E"/>
    <w:rsid w:val="007A7FBD"/>
    <w:rsid w:val="007B08A0"/>
    <w:rsid w:val="007B245F"/>
    <w:rsid w:val="007B255E"/>
    <w:rsid w:val="007B2BCE"/>
    <w:rsid w:val="007B331B"/>
    <w:rsid w:val="007B4554"/>
    <w:rsid w:val="007B4B5F"/>
    <w:rsid w:val="007B508A"/>
    <w:rsid w:val="007B6716"/>
    <w:rsid w:val="007C1E90"/>
    <w:rsid w:val="007C2698"/>
    <w:rsid w:val="007C275C"/>
    <w:rsid w:val="007C304B"/>
    <w:rsid w:val="007C3BDB"/>
    <w:rsid w:val="007C5894"/>
    <w:rsid w:val="007C6DF7"/>
    <w:rsid w:val="007C6F6C"/>
    <w:rsid w:val="007C7365"/>
    <w:rsid w:val="007C77BF"/>
    <w:rsid w:val="007D0379"/>
    <w:rsid w:val="007D042F"/>
    <w:rsid w:val="007D0A7F"/>
    <w:rsid w:val="007D15C5"/>
    <w:rsid w:val="007D3122"/>
    <w:rsid w:val="007D3867"/>
    <w:rsid w:val="007D3DE1"/>
    <w:rsid w:val="007D3F10"/>
    <w:rsid w:val="007D4563"/>
    <w:rsid w:val="007D54B1"/>
    <w:rsid w:val="007D583E"/>
    <w:rsid w:val="007D5B9D"/>
    <w:rsid w:val="007D6CBE"/>
    <w:rsid w:val="007E0131"/>
    <w:rsid w:val="007E0631"/>
    <w:rsid w:val="007E0669"/>
    <w:rsid w:val="007E1DC8"/>
    <w:rsid w:val="007E47E9"/>
    <w:rsid w:val="007E4EA8"/>
    <w:rsid w:val="007E50A9"/>
    <w:rsid w:val="007E68DB"/>
    <w:rsid w:val="007F04C5"/>
    <w:rsid w:val="007F053B"/>
    <w:rsid w:val="007F0BCA"/>
    <w:rsid w:val="007F1389"/>
    <w:rsid w:val="007F2559"/>
    <w:rsid w:val="007F2D4D"/>
    <w:rsid w:val="007F344C"/>
    <w:rsid w:val="008003E2"/>
    <w:rsid w:val="0080099B"/>
    <w:rsid w:val="00801388"/>
    <w:rsid w:val="00802DAB"/>
    <w:rsid w:val="0080375E"/>
    <w:rsid w:val="0080591C"/>
    <w:rsid w:val="00806FC1"/>
    <w:rsid w:val="008073B7"/>
    <w:rsid w:val="00811EB7"/>
    <w:rsid w:val="00812028"/>
    <w:rsid w:val="00812A19"/>
    <w:rsid w:val="00815284"/>
    <w:rsid w:val="00815A37"/>
    <w:rsid w:val="00816F35"/>
    <w:rsid w:val="00821B11"/>
    <w:rsid w:val="008236BC"/>
    <w:rsid w:val="0082374D"/>
    <w:rsid w:val="00826345"/>
    <w:rsid w:val="00827FA5"/>
    <w:rsid w:val="00832B2C"/>
    <w:rsid w:val="0083381C"/>
    <w:rsid w:val="008348E9"/>
    <w:rsid w:val="00835055"/>
    <w:rsid w:val="008356DC"/>
    <w:rsid w:val="00835A2B"/>
    <w:rsid w:val="00836A5D"/>
    <w:rsid w:val="00836D80"/>
    <w:rsid w:val="008370D9"/>
    <w:rsid w:val="0084009E"/>
    <w:rsid w:val="008403CE"/>
    <w:rsid w:val="00840562"/>
    <w:rsid w:val="00841337"/>
    <w:rsid w:val="00841A6F"/>
    <w:rsid w:val="008424D9"/>
    <w:rsid w:val="0084259D"/>
    <w:rsid w:val="008426C3"/>
    <w:rsid w:val="0084330C"/>
    <w:rsid w:val="008435B1"/>
    <w:rsid w:val="00843822"/>
    <w:rsid w:val="00843A29"/>
    <w:rsid w:val="00843C17"/>
    <w:rsid w:val="00844474"/>
    <w:rsid w:val="008462CB"/>
    <w:rsid w:val="00846AC1"/>
    <w:rsid w:val="008511CE"/>
    <w:rsid w:val="00851C1F"/>
    <w:rsid w:val="00852D42"/>
    <w:rsid w:val="008530DA"/>
    <w:rsid w:val="00853A6E"/>
    <w:rsid w:val="008541AD"/>
    <w:rsid w:val="00854ACF"/>
    <w:rsid w:val="00855553"/>
    <w:rsid w:val="0085728C"/>
    <w:rsid w:val="00860685"/>
    <w:rsid w:val="00862915"/>
    <w:rsid w:val="00863561"/>
    <w:rsid w:val="008642AC"/>
    <w:rsid w:val="00864D9B"/>
    <w:rsid w:val="0086559C"/>
    <w:rsid w:val="00867601"/>
    <w:rsid w:val="00867DB1"/>
    <w:rsid w:val="008706E4"/>
    <w:rsid w:val="00870F11"/>
    <w:rsid w:val="00871328"/>
    <w:rsid w:val="008720D7"/>
    <w:rsid w:val="008724B2"/>
    <w:rsid w:val="008727CE"/>
    <w:rsid w:val="00874B55"/>
    <w:rsid w:val="00874D08"/>
    <w:rsid w:val="008758B4"/>
    <w:rsid w:val="00876671"/>
    <w:rsid w:val="008769D5"/>
    <w:rsid w:val="008772F1"/>
    <w:rsid w:val="00880244"/>
    <w:rsid w:val="008803A0"/>
    <w:rsid w:val="00881374"/>
    <w:rsid w:val="00881A83"/>
    <w:rsid w:val="00883BED"/>
    <w:rsid w:val="00884420"/>
    <w:rsid w:val="00884937"/>
    <w:rsid w:val="00885FA5"/>
    <w:rsid w:val="00886499"/>
    <w:rsid w:val="008869A6"/>
    <w:rsid w:val="00886C92"/>
    <w:rsid w:val="0088704E"/>
    <w:rsid w:val="0088714C"/>
    <w:rsid w:val="008875C5"/>
    <w:rsid w:val="00890669"/>
    <w:rsid w:val="0089117F"/>
    <w:rsid w:val="00892B43"/>
    <w:rsid w:val="00893310"/>
    <w:rsid w:val="00893424"/>
    <w:rsid w:val="00893899"/>
    <w:rsid w:val="008950CB"/>
    <w:rsid w:val="0089556B"/>
    <w:rsid w:val="00895863"/>
    <w:rsid w:val="00896B2A"/>
    <w:rsid w:val="00896E22"/>
    <w:rsid w:val="00896E95"/>
    <w:rsid w:val="008972B7"/>
    <w:rsid w:val="008A0179"/>
    <w:rsid w:val="008A0C03"/>
    <w:rsid w:val="008A44B9"/>
    <w:rsid w:val="008A4A43"/>
    <w:rsid w:val="008A516F"/>
    <w:rsid w:val="008A5E85"/>
    <w:rsid w:val="008A71B5"/>
    <w:rsid w:val="008B00A5"/>
    <w:rsid w:val="008B0D6C"/>
    <w:rsid w:val="008B10D5"/>
    <w:rsid w:val="008B1772"/>
    <w:rsid w:val="008B25F8"/>
    <w:rsid w:val="008B268E"/>
    <w:rsid w:val="008B317D"/>
    <w:rsid w:val="008B3604"/>
    <w:rsid w:val="008B3F3B"/>
    <w:rsid w:val="008B42A2"/>
    <w:rsid w:val="008B6B31"/>
    <w:rsid w:val="008C1F5F"/>
    <w:rsid w:val="008C26E4"/>
    <w:rsid w:val="008C3A60"/>
    <w:rsid w:val="008C471E"/>
    <w:rsid w:val="008C4CAB"/>
    <w:rsid w:val="008C59AA"/>
    <w:rsid w:val="008C718A"/>
    <w:rsid w:val="008D0DB1"/>
    <w:rsid w:val="008D14F5"/>
    <w:rsid w:val="008D236E"/>
    <w:rsid w:val="008D24E4"/>
    <w:rsid w:val="008D272C"/>
    <w:rsid w:val="008D2CF6"/>
    <w:rsid w:val="008D3694"/>
    <w:rsid w:val="008D385C"/>
    <w:rsid w:val="008D391A"/>
    <w:rsid w:val="008D5077"/>
    <w:rsid w:val="008D5578"/>
    <w:rsid w:val="008D55D5"/>
    <w:rsid w:val="008D5CDD"/>
    <w:rsid w:val="008D6264"/>
    <w:rsid w:val="008D6923"/>
    <w:rsid w:val="008D6BF6"/>
    <w:rsid w:val="008D7A3C"/>
    <w:rsid w:val="008E05C1"/>
    <w:rsid w:val="008E1747"/>
    <w:rsid w:val="008E3CAD"/>
    <w:rsid w:val="008F0B06"/>
    <w:rsid w:val="008F0BEB"/>
    <w:rsid w:val="008F2190"/>
    <w:rsid w:val="008F2E7F"/>
    <w:rsid w:val="008F357E"/>
    <w:rsid w:val="008F639B"/>
    <w:rsid w:val="0090228C"/>
    <w:rsid w:val="00902494"/>
    <w:rsid w:val="009029A1"/>
    <w:rsid w:val="009034C1"/>
    <w:rsid w:val="00903AD5"/>
    <w:rsid w:val="0090784B"/>
    <w:rsid w:val="00907C97"/>
    <w:rsid w:val="00907FCA"/>
    <w:rsid w:val="009106D7"/>
    <w:rsid w:val="0091120D"/>
    <w:rsid w:val="0091183B"/>
    <w:rsid w:val="00911869"/>
    <w:rsid w:val="00915AE8"/>
    <w:rsid w:val="00915B53"/>
    <w:rsid w:val="009173DE"/>
    <w:rsid w:val="00917C0D"/>
    <w:rsid w:val="009201D8"/>
    <w:rsid w:val="0092196B"/>
    <w:rsid w:val="00921FC1"/>
    <w:rsid w:val="00922951"/>
    <w:rsid w:val="0092447B"/>
    <w:rsid w:val="009245FA"/>
    <w:rsid w:val="009249B4"/>
    <w:rsid w:val="00924FC3"/>
    <w:rsid w:val="00925CB7"/>
    <w:rsid w:val="00927AB5"/>
    <w:rsid w:val="00927B64"/>
    <w:rsid w:val="00927EFD"/>
    <w:rsid w:val="00930E48"/>
    <w:rsid w:val="00931150"/>
    <w:rsid w:val="009319C5"/>
    <w:rsid w:val="00931CF3"/>
    <w:rsid w:val="00932E4E"/>
    <w:rsid w:val="0093422C"/>
    <w:rsid w:val="009373FF"/>
    <w:rsid w:val="00937619"/>
    <w:rsid w:val="009400BB"/>
    <w:rsid w:val="009402A5"/>
    <w:rsid w:val="00940970"/>
    <w:rsid w:val="00940993"/>
    <w:rsid w:val="009409DA"/>
    <w:rsid w:val="00940BF7"/>
    <w:rsid w:val="00942F1B"/>
    <w:rsid w:val="009430E3"/>
    <w:rsid w:val="0094520E"/>
    <w:rsid w:val="009462E3"/>
    <w:rsid w:val="00946733"/>
    <w:rsid w:val="0094681B"/>
    <w:rsid w:val="00947048"/>
    <w:rsid w:val="00947A49"/>
    <w:rsid w:val="0095008F"/>
    <w:rsid w:val="009505EC"/>
    <w:rsid w:val="00951324"/>
    <w:rsid w:val="00951959"/>
    <w:rsid w:val="00951EA4"/>
    <w:rsid w:val="00952A97"/>
    <w:rsid w:val="009534DB"/>
    <w:rsid w:val="009535DE"/>
    <w:rsid w:val="00953B80"/>
    <w:rsid w:val="009542AD"/>
    <w:rsid w:val="00955090"/>
    <w:rsid w:val="00955E89"/>
    <w:rsid w:val="00957780"/>
    <w:rsid w:val="00957BE9"/>
    <w:rsid w:val="0096003A"/>
    <w:rsid w:val="009604FB"/>
    <w:rsid w:val="00960852"/>
    <w:rsid w:val="009624DD"/>
    <w:rsid w:val="009628D2"/>
    <w:rsid w:val="009632B9"/>
    <w:rsid w:val="00963524"/>
    <w:rsid w:val="0096428F"/>
    <w:rsid w:val="009643E6"/>
    <w:rsid w:val="00970BBF"/>
    <w:rsid w:val="009718F5"/>
    <w:rsid w:val="00972A11"/>
    <w:rsid w:val="00973B33"/>
    <w:rsid w:val="00974DB6"/>
    <w:rsid w:val="009767F7"/>
    <w:rsid w:val="00976B70"/>
    <w:rsid w:val="00977124"/>
    <w:rsid w:val="00977371"/>
    <w:rsid w:val="009774F6"/>
    <w:rsid w:val="00980638"/>
    <w:rsid w:val="00980AB6"/>
    <w:rsid w:val="00981108"/>
    <w:rsid w:val="00981578"/>
    <w:rsid w:val="0098238E"/>
    <w:rsid w:val="009829E9"/>
    <w:rsid w:val="00983C33"/>
    <w:rsid w:val="00984ABE"/>
    <w:rsid w:val="00984FA6"/>
    <w:rsid w:val="009856E8"/>
    <w:rsid w:val="009857ED"/>
    <w:rsid w:val="0098632A"/>
    <w:rsid w:val="009905FD"/>
    <w:rsid w:val="009905FE"/>
    <w:rsid w:val="009912BD"/>
    <w:rsid w:val="009913E2"/>
    <w:rsid w:val="00991D68"/>
    <w:rsid w:val="00992327"/>
    <w:rsid w:val="00992C6C"/>
    <w:rsid w:val="009935B0"/>
    <w:rsid w:val="00993EE1"/>
    <w:rsid w:val="00994505"/>
    <w:rsid w:val="00994724"/>
    <w:rsid w:val="00994E61"/>
    <w:rsid w:val="0099530A"/>
    <w:rsid w:val="0099551F"/>
    <w:rsid w:val="009958F7"/>
    <w:rsid w:val="009960D6"/>
    <w:rsid w:val="00997D39"/>
    <w:rsid w:val="009A09CC"/>
    <w:rsid w:val="009A1AA8"/>
    <w:rsid w:val="009A5409"/>
    <w:rsid w:val="009A5D4F"/>
    <w:rsid w:val="009A6727"/>
    <w:rsid w:val="009A6BEA"/>
    <w:rsid w:val="009B0306"/>
    <w:rsid w:val="009B191B"/>
    <w:rsid w:val="009B20EB"/>
    <w:rsid w:val="009B3903"/>
    <w:rsid w:val="009B39D9"/>
    <w:rsid w:val="009B4F08"/>
    <w:rsid w:val="009B5063"/>
    <w:rsid w:val="009C07FA"/>
    <w:rsid w:val="009C112E"/>
    <w:rsid w:val="009C16A0"/>
    <w:rsid w:val="009C1F16"/>
    <w:rsid w:val="009C23A2"/>
    <w:rsid w:val="009C50B8"/>
    <w:rsid w:val="009C5C6D"/>
    <w:rsid w:val="009C655A"/>
    <w:rsid w:val="009C702B"/>
    <w:rsid w:val="009C7E94"/>
    <w:rsid w:val="009D0C90"/>
    <w:rsid w:val="009D0DC7"/>
    <w:rsid w:val="009D0E0E"/>
    <w:rsid w:val="009D1435"/>
    <w:rsid w:val="009D1F72"/>
    <w:rsid w:val="009D23D4"/>
    <w:rsid w:val="009D3006"/>
    <w:rsid w:val="009D3F2E"/>
    <w:rsid w:val="009D4150"/>
    <w:rsid w:val="009D449A"/>
    <w:rsid w:val="009D4679"/>
    <w:rsid w:val="009D47A8"/>
    <w:rsid w:val="009D531A"/>
    <w:rsid w:val="009D600D"/>
    <w:rsid w:val="009D62F0"/>
    <w:rsid w:val="009D7CED"/>
    <w:rsid w:val="009E06CC"/>
    <w:rsid w:val="009E079F"/>
    <w:rsid w:val="009E0FE6"/>
    <w:rsid w:val="009E1470"/>
    <w:rsid w:val="009E3B83"/>
    <w:rsid w:val="009E4493"/>
    <w:rsid w:val="009E4FF1"/>
    <w:rsid w:val="009E78EC"/>
    <w:rsid w:val="009F2557"/>
    <w:rsid w:val="009F3531"/>
    <w:rsid w:val="009F417D"/>
    <w:rsid w:val="009F5833"/>
    <w:rsid w:val="009F5C8C"/>
    <w:rsid w:val="009F5F0A"/>
    <w:rsid w:val="009F61EB"/>
    <w:rsid w:val="009F664B"/>
    <w:rsid w:val="009F6705"/>
    <w:rsid w:val="00A014C7"/>
    <w:rsid w:val="00A01800"/>
    <w:rsid w:val="00A01F35"/>
    <w:rsid w:val="00A02AB1"/>
    <w:rsid w:val="00A03E31"/>
    <w:rsid w:val="00A04C3E"/>
    <w:rsid w:val="00A0563E"/>
    <w:rsid w:val="00A05DF1"/>
    <w:rsid w:val="00A05EDC"/>
    <w:rsid w:val="00A06100"/>
    <w:rsid w:val="00A063F5"/>
    <w:rsid w:val="00A111C2"/>
    <w:rsid w:val="00A11226"/>
    <w:rsid w:val="00A11581"/>
    <w:rsid w:val="00A1180F"/>
    <w:rsid w:val="00A127AF"/>
    <w:rsid w:val="00A1396C"/>
    <w:rsid w:val="00A145CF"/>
    <w:rsid w:val="00A15D42"/>
    <w:rsid w:val="00A202AF"/>
    <w:rsid w:val="00A20771"/>
    <w:rsid w:val="00A209A5"/>
    <w:rsid w:val="00A21560"/>
    <w:rsid w:val="00A2177E"/>
    <w:rsid w:val="00A21C84"/>
    <w:rsid w:val="00A21D7C"/>
    <w:rsid w:val="00A2264E"/>
    <w:rsid w:val="00A2485D"/>
    <w:rsid w:val="00A26908"/>
    <w:rsid w:val="00A313D8"/>
    <w:rsid w:val="00A320DC"/>
    <w:rsid w:val="00A32296"/>
    <w:rsid w:val="00A32433"/>
    <w:rsid w:val="00A330B4"/>
    <w:rsid w:val="00A3456C"/>
    <w:rsid w:val="00A34ED4"/>
    <w:rsid w:val="00A358C9"/>
    <w:rsid w:val="00A36090"/>
    <w:rsid w:val="00A370D9"/>
    <w:rsid w:val="00A3787A"/>
    <w:rsid w:val="00A37CE1"/>
    <w:rsid w:val="00A37FFB"/>
    <w:rsid w:val="00A40E7A"/>
    <w:rsid w:val="00A436C1"/>
    <w:rsid w:val="00A45893"/>
    <w:rsid w:val="00A45921"/>
    <w:rsid w:val="00A532E4"/>
    <w:rsid w:val="00A533DF"/>
    <w:rsid w:val="00A541A3"/>
    <w:rsid w:val="00A549AA"/>
    <w:rsid w:val="00A5641E"/>
    <w:rsid w:val="00A62941"/>
    <w:rsid w:val="00A63E97"/>
    <w:rsid w:val="00A63EB3"/>
    <w:rsid w:val="00A64505"/>
    <w:rsid w:val="00A666EC"/>
    <w:rsid w:val="00A676CB"/>
    <w:rsid w:val="00A6774C"/>
    <w:rsid w:val="00A6777B"/>
    <w:rsid w:val="00A67E67"/>
    <w:rsid w:val="00A70E0E"/>
    <w:rsid w:val="00A7178F"/>
    <w:rsid w:val="00A721AD"/>
    <w:rsid w:val="00A7288A"/>
    <w:rsid w:val="00A752CB"/>
    <w:rsid w:val="00A77915"/>
    <w:rsid w:val="00A77FB8"/>
    <w:rsid w:val="00A816B9"/>
    <w:rsid w:val="00A818A1"/>
    <w:rsid w:val="00A8194F"/>
    <w:rsid w:val="00A8236B"/>
    <w:rsid w:val="00A8257F"/>
    <w:rsid w:val="00A82615"/>
    <w:rsid w:val="00A82676"/>
    <w:rsid w:val="00A82C39"/>
    <w:rsid w:val="00A83B2E"/>
    <w:rsid w:val="00A83D24"/>
    <w:rsid w:val="00A85083"/>
    <w:rsid w:val="00A85E56"/>
    <w:rsid w:val="00A8625B"/>
    <w:rsid w:val="00A87022"/>
    <w:rsid w:val="00A872DB"/>
    <w:rsid w:val="00A90BD1"/>
    <w:rsid w:val="00A914A2"/>
    <w:rsid w:val="00A92C59"/>
    <w:rsid w:val="00A93E69"/>
    <w:rsid w:val="00A947B1"/>
    <w:rsid w:val="00A9489C"/>
    <w:rsid w:val="00A94A31"/>
    <w:rsid w:val="00A94F3D"/>
    <w:rsid w:val="00A9546C"/>
    <w:rsid w:val="00A968DD"/>
    <w:rsid w:val="00A9777B"/>
    <w:rsid w:val="00A97E6A"/>
    <w:rsid w:val="00AA1DC0"/>
    <w:rsid w:val="00AA1F0F"/>
    <w:rsid w:val="00AA20A6"/>
    <w:rsid w:val="00AA314F"/>
    <w:rsid w:val="00AA4328"/>
    <w:rsid w:val="00AA4AC0"/>
    <w:rsid w:val="00AA4C48"/>
    <w:rsid w:val="00AA6691"/>
    <w:rsid w:val="00AA7E88"/>
    <w:rsid w:val="00AB024B"/>
    <w:rsid w:val="00AB067E"/>
    <w:rsid w:val="00AB2770"/>
    <w:rsid w:val="00AB2C33"/>
    <w:rsid w:val="00AB33D2"/>
    <w:rsid w:val="00AB35C0"/>
    <w:rsid w:val="00AB3DA6"/>
    <w:rsid w:val="00AB4073"/>
    <w:rsid w:val="00AB485B"/>
    <w:rsid w:val="00AB4F87"/>
    <w:rsid w:val="00AB6304"/>
    <w:rsid w:val="00AB6EF7"/>
    <w:rsid w:val="00AB6F7F"/>
    <w:rsid w:val="00AC052F"/>
    <w:rsid w:val="00AC05E3"/>
    <w:rsid w:val="00AC0993"/>
    <w:rsid w:val="00AC14AF"/>
    <w:rsid w:val="00AC15FC"/>
    <w:rsid w:val="00AC28E2"/>
    <w:rsid w:val="00AC2AA4"/>
    <w:rsid w:val="00AC3CB4"/>
    <w:rsid w:val="00AC4241"/>
    <w:rsid w:val="00AC6007"/>
    <w:rsid w:val="00AC6B73"/>
    <w:rsid w:val="00AC7DCC"/>
    <w:rsid w:val="00AD0AD5"/>
    <w:rsid w:val="00AD2376"/>
    <w:rsid w:val="00AD334A"/>
    <w:rsid w:val="00AD45B0"/>
    <w:rsid w:val="00AD5AA8"/>
    <w:rsid w:val="00AD6318"/>
    <w:rsid w:val="00AD6CC6"/>
    <w:rsid w:val="00AE01FD"/>
    <w:rsid w:val="00AE27CE"/>
    <w:rsid w:val="00AE30EB"/>
    <w:rsid w:val="00AE34CE"/>
    <w:rsid w:val="00AE3D2A"/>
    <w:rsid w:val="00AE491D"/>
    <w:rsid w:val="00AE6149"/>
    <w:rsid w:val="00AE6930"/>
    <w:rsid w:val="00AE73A6"/>
    <w:rsid w:val="00AE74CF"/>
    <w:rsid w:val="00AF020E"/>
    <w:rsid w:val="00AF0514"/>
    <w:rsid w:val="00AF07B0"/>
    <w:rsid w:val="00AF0D44"/>
    <w:rsid w:val="00AF0DA9"/>
    <w:rsid w:val="00AF1172"/>
    <w:rsid w:val="00AF14C1"/>
    <w:rsid w:val="00AF17F1"/>
    <w:rsid w:val="00AF1B49"/>
    <w:rsid w:val="00AF1EFD"/>
    <w:rsid w:val="00AF397A"/>
    <w:rsid w:val="00AF3DB4"/>
    <w:rsid w:val="00AF480B"/>
    <w:rsid w:val="00AF4E99"/>
    <w:rsid w:val="00B000E3"/>
    <w:rsid w:val="00B01F58"/>
    <w:rsid w:val="00B02ACB"/>
    <w:rsid w:val="00B033B4"/>
    <w:rsid w:val="00B04148"/>
    <w:rsid w:val="00B0468C"/>
    <w:rsid w:val="00B046C2"/>
    <w:rsid w:val="00B04AB1"/>
    <w:rsid w:val="00B06409"/>
    <w:rsid w:val="00B06CD4"/>
    <w:rsid w:val="00B10C19"/>
    <w:rsid w:val="00B11B6F"/>
    <w:rsid w:val="00B11C2C"/>
    <w:rsid w:val="00B11DE8"/>
    <w:rsid w:val="00B1396A"/>
    <w:rsid w:val="00B1422E"/>
    <w:rsid w:val="00B14460"/>
    <w:rsid w:val="00B149D0"/>
    <w:rsid w:val="00B14B67"/>
    <w:rsid w:val="00B14E33"/>
    <w:rsid w:val="00B1560D"/>
    <w:rsid w:val="00B164E9"/>
    <w:rsid w:val="00B16DC5"/>
    <w:rsid w:val="00B170E9"/>
    <w:rsid w:val="00B20D7E"/>
    <w:rsid w:val="00B22DE0"/>
    <w:rsid w:val="00B22E16"/>
    <w:rsid w:val="00B23C54"/>
    <w:rsid w:val="00B24058"/>
    <w:rsid w:val="00B25018"/>
    <w:rsid w:val="00B252EB"/>
    <w:rsid w:val="00B2584E"/>
    <w:rsid w:val="00B25868"/>
    <w:rsid w:val="00B25E9F"/>
    <w:rsid w:val="00B26A7C"/>
    <w:rsid w:val="00B30B66"/>
    <w:rsid w:val="00B30CA0"/>
    <w:rsid w:val="00B31403"/>
    <w:rsid w:val="00B32FAE"/>
    <w:rsid w:val="00B3337E"/>
    <w:rsid w:val="00B33674"/>
    <w:rsid w:val="00B33F92"/>
    <w:rsid w:val="00B3538F"/>
    <w:rsid w:val="00B360AF"/>
    <w:rsid w:val="00B361B8"/>
    <w:rsid w:val="00B362EC"/>
    <w:rsid w:val="00B40C2B"/>
    <w:rsid w:val="00B437A5"/>
    <w:rsid w:val="00B437F3"/>
    <w:rsid w:val="00B43971"/>
    <w:rsid w:val="00B43C6D"/>
    <w:rsid w:val="00B4432B"/>
    <w:rsid w:val="00B44ED0"/>
    <w:rsid w:val="00B4666D"/>
    <w:rsid w:val="00B46EBD"/>
    <w:rsid w:val="00B472B5"/>
    <w:rsid w:val="00B47585"/>
    <w:rsid w:val="00B4760E"/>
    <w:rsid w:val="00B476ED"/>
    <w:rsid w:val="00B51A76"/>
    <w:rsid w:val="00B51ECA"/>
    <w:rsid w:val="00B51FB4"/>
    <w:rsid w:val="00B5304C"/>
    <w:rsid w:val="00B55784"/>
    <w:rsid w:val="00B564C0"/>
    <w:rsid w:val="00B566F0"/>
    <w:rsid w:val="00B5744A"/>
    <w:rsid w:val="00B57F88"/>
    <w:rsid w:val="00B60F20"/>
    <w:rsid w:val="00B62A82"/>
    <w:rsid w:val="00B63489"/>
    <w:rsid w:val="00B638CB"/>
    <w:rsid w:val="00B654C4"/>
    <w:rsid w:val="00B65766"/>
    <w:rsid w:val="00B65D2A"/>
    <w:rsid w:val="00B667DA"/>
    <w:rsid w:val="00B67298"/>
    <w:rsid w:val="00B6752F"/>
    <w:rsid w:val="00B70D5A"/>
    <w:rsid w:val="00B71444"/>
    <w:rsid w:val="00B74763"/>
    <w:rsid w:val="00B80398"/>
    <w:rsid w:val="00B8166D"/>
    <w:rsid w:val="00B82997"/>
    <w:rsid w:val="00B82C9C"/>
    <w:rsid w:val="00B83D79"/>
    <w:rsid w:val="00B8480F"/>
    <w:rsid w:val="00B84DC1"/>
    <w:rsid w:val="00B86864"/>
    <w:rsid w:val="00B86868"/>
    <w:rsid w:val="00B902CA"/>
    <w:rsid w:val="00B9071C"/>
    <w:rsid w:val="00B90D62"/>
    <w:rsid w:val="00B90E5E"/>
    <w:rsid w:val="00B90F08"/>
    <w:rsid w:val="00B911E2"/>
    <w:rsid w:val="00B913ED"/>
    <w:rsid w:val="00B92198"/>
    <w:rsid w:val="00B92336"/>
    <w:rsid w:val="00B93047"/>
    <w:rsid w:val="00B93D09"/>
    <w:rsid w:val="00B9545A"/>
    <w:rsid w:val="00B9563C"/>
    <w:rsid w:val="00B957B3"/>
    <w:rsid w:val="00B976F7"/>
    <w:rsid w:val="00B97C7C"/>
    <w:rsid w:val="00BA15FE"/>
    <w:rsid w:val="00BA18E8"/>
    <w:rsid w:val="00BA3233"/>
    <w:rsid w:val="00BA40D6"/>
    <w:rsid w:val="00BA4C76"/>
    <w:rsid w:val="00BA57BE"/>
    <w:rsid w:val="00BA5ED9"/>
    <w:rsid w:val="00BA5FB9"/>
    <w:rsid w:val="00BA6B79"/>
    <w:rsid w:val="00BA6BC1"/>
    <w:rsid w:val="00BA6D8A"/>
    <w:rsid w:val="00BA7476"/>
    <w:rsid w:val="00BA7FB3"/>
    <w:rsid w:val="00BB14A2"/>
    <w:rsid w:val="00BB14DF"/>
    <w:rsid w:val="00BB1B2F"/>
    <w:rsid w:val="00BB35EF"/>
    <w:rsid w:val="00BB4445"/>
    <w:rsid w:val="00BB44BD"/>
    <w:rsid w:val="00BB476F"/>
    <w:rsid w:val="00BB4D5B"/>
    <w:rsid w:val="00BB5939"/>
    <w:rsid w:val="00BB6030"/>
    <w:rsid w:val="00BC0EA8"/>
    <w:rsid w:val="00BC161B"/>
    <w:rsid w:val="00BC1A66"/>
    <w:rsid w:val="00BC2230"/>
    <w:rsid w:val="00BC299A"/>
    <w:rsid w:val="00BC3625"/>
    <w:rsid w:val="00BC3D55"/>
    <w:rsid w:val="00BC4B54"/>
    <w:rsid w:val="00BC4F09"/>
    <w:rsid w:val="00BC5354"/>
    <w:rsid w:val="00BC6142"/>
    <w:rsid w:val="00BC63BB"/>
    <w:rsid w:val="00BD0C92"/>
    <w:rsid w:val="00BD19A5"/>
    <w:rsid w:val="00BD2D6A"/>
    <w:rsid w:val="00BD3879"/>
    <w:rsid w:val="00BD3E44"/>
    <w:rsid w:val="00BD3F83"/>
    <w:rsid w:val="00BD41A7"/>
    <w:rsid w:val="00BD4316"/>
    <w:rsid w:val="00BD645C"/>
    <w:rsid w:val="00BE13E0"/>
    <w:rsid w:val="00BE1CD3"/>
    <w:rsid w:val="00BE2541"/>
    <w:rsid w:val="00BE2758"/>
    <w:rsid w:val="00BE41BB"/>
    <w:rsid w:val="00BE51D5"/>
    <w:rsid w:val="00BE5786"/>
    <w:rsid w:val="00BE6A11"/>
    <w:rsid w:val="00BE794A"/>
    <w:rsid w:val="00BF0936"/>
    <w:rsid w:val="00BF0A89"/>
    <w:rsid w:val="00BF138D"/>
    <w:rsid w:val="00BF181C"/>
    <w:rsid w:val="00BF1A55"/>
    <w:rsid w:val="00BF3B51"/>
    <w:rsid w:val="00BF3BF5"/>
    <w:rsid w:val="00BF4EBD"/>
    <w:rsid w:val="00BF54AE"/>
    <w:rsid w:val="00BF5C4F"/>
    <w:rsid w:val="00BF60CD"/>
    <w:rsid w:val="00BF724E"/>
    <w:rsid w:val="00BF7273"/>
    <w:rsid w:val="00BF73EE"/>
    <w:rsid w:val="00BF7CDE"/>
    <w:rsid w:val="00C000EC"/>
    <w:rsid w:val="00C005E9"/>
    <w:rsid w:val="00C00918"/>
    <w:rsid w:val="00C02345"/>
    <w:rsid w:val="00C02B2A"/>
    <w:rsid w:val="00C03376"/>
    <w:rsid w:val="00C048E4"/>
    <w:rsid w:val="00C04FA0"/>
    <w:rsid w:val="00C051DB"/>
    <w:rsid w:val="00C05C54"/>
    <w:rsid w:val="00C077E7"/>
    <w:rsid w:val="00C07CB0"/>
    <w:rsid w:val="00C10E60"/>
    <w:rsid w:val="00C114BE"/>
    <w:rsid w:val="00C118ED"/>
    <w:rsid w:val="00C12465"/>
    <w:rsid w:val="00C12F14"/>
    <w:rsid w:val="00C13884"/>
    <w:rsid w:val="00C13A29"/>
    <w:rsid w:val="00C14708"/>
    <w:rsid w:val="00C14BC1"/>
    <w:rsid w:val="00C14C3F"/>
    <w:rsid w:val="00C167B8"/>
    <w:rsid w:val="00C2056D"/>
    <w:rsid w:val="00C20B47"/>
    <w:rsid w:val="00C218A5"/>
    <w:rsid w:val="00C22169"/>
    <w:rsid w:val="00C22209"/>
    <w:rsid w:val="00C236C0"/>
    <w:rsid w:val="00C24DDA"/>
    <w:rsid w:val="00C26106"/>
    <w:rsid w:val="00C26B71"/>
    <w:rsid w:val="00C27794"/>
    <w:rsid w:val="00C309EF"/>
    <w:rsid w:val="00C313BD"/>
    <w:rsid w:val="00C31420"/>
    <w:rsid w:val="00C3226C"/>
    <w:rsid w:val="00C33C58"/>
    <w:rsid w:val="00C36075"/>
    <w:rsid w:val="00C3623A"/>
    <w:rsid w:val="00C41909"/>
    <w:rsid w:val="00C41B1A"/>
    <w:rsid w:val="00C426FD"/>
    <w:rsid w:val="00C43446"/>
    <w:rsid w:val="00C43628"/>
    <w:rsid w:val="00C437CC"/>
    <w:rsid w:val="00C44D05"/>
    <w:rsid w:val="00C4510F"/>
    <w:rsid w:val="00C463BD"/>
    <w:rsid w:val="00C47406"/>
    <w:rsid w:val="00C510B8"/>
    <w:rsid w:val="00C51487"/>
    <w:rsid w:val="00C53443"/>
    <w:rsid w:val="00C5382D"/>
    <w:rsid w:val="00C5431B"/>
    <w:rsid w:val="00C54362"/>
    <w:rsid w:val="00C5437C"/>
    <w:rsid w:val="00C54519"/>
    <w:rsid w:val="00C57131"/>
    <w:rsid w:val="00C572A2"/>
    <w:rsid w:val="00C573D8"/>
    <w:rsid w:val="00C6124F"/>
    <w:rsid w:val="00C624BA"/>
    <w:rsid w:val="00C634DE"/>
    <w:rsid w:val="00C63770"/>
    <w:rsid w:val="00C63A17"/>
    <w:rsid w:val="00C64BBA"/>
    <w:rsid w:val="00C6544D"/>
    <w:rsid w:val="00C6564B"/>
    <w:rsid w:val="00C66143"/>
    <w:rsid w:val="00C66177"/>
    <w:rsid w:val="00C66D18"/>
    <w:rsid w:val="00C71424"/>
    <w:rsid w:val="00C71C2C"/>
    <w:rsid w:val="00C757D3"/>
    <w:rsid w:val="00C7588F"/>
    <w:rsid w:val="00C761EF"/>
    <w:rsid w:val="00C76D1C"/>
    <w:rsid w:val="00C77C33"/>
    <w:rsid w:val="00C77E0A"/>
    <w:rsid w:val="00C8063E"/>
    <w:rsid w:val="00C80E34"/>
    <w:rsid w:val="00C85210"/>
    <w:rsid w:val="00C85D4B"/>
    <w:rsid w:val="00C85FE2"/>
    <w:rsid w:val="00C86D6C"/>
    <w:rsid w:val="00C87DFC"/>
    <w:rsid w:val="00C9002D"/>
    <w:rsid w:val="00C9066D"/>
    <w:rsid w:val="00C90BD5"/>
    <w:rsid w:val="00C92A90"/>
    <w:rsid w:val="00C93480"/>
    <w:rsid w:val="00C9527B"/>
    <w:rsid w:val="00C95811"/>
    <w:rsid w:val="00C9654C"/>
    <w:rsid w:val="00CA0132"/>
    <w:rsid w:val="00CA08C4"/>
    <w:rsid w:val="00CA115B"/>
    <w:rsid w:val="00CA2101"/>
    <w:rsid w:val="00CA39BF"/>
    <w:rsid w:val="00CA4E49"/>
    <w:rsid w:val="00CA6632"/>
    <w:rsid w:val="00CA6E06"/>
    <w:rsid w:val="00CA7310"/>
    <w:rsid w:val="00CA7C1D"/>
    <w:rsid w:val="00CB1277"/>
    <w:rsid w:val="00CB12D9"/>
    <w:rsid w:val="00CB13E1"/>
    <w:rsid w:val="00CB248F"/>
    <w:rsid w:val="00CB2654"/>
    <w:rsid w:val="00CB290D"/>
    <w:rsid w:val="00CB31E1"/>
    <w:rsid w:val="00CB394F"/>
    <w:rsid w:val="00CB3E9B"/>
    <w:rsid w:val="00CB503B"/>
    <w:rsid w:val="00CB56FB"/>
    <w:rsid w:val="00CB5A4B"/>
    <w:rsid w:val="00CB5AC8"/>
    <w:rsid w:val="00CB6AC2"/>
    <w:rsid w:val="00CB6E04"/>
    <w:rsid w:val="00CB7CFA"/>
    <w:rsid w:val="00CC1887"/>
    <w:rsid w:val="00CC23D1"/>
    <w:rsid w:val="00CC2CD1"/>
    <w:rsid w:val="00CC35E1"/>
    <w:rsid w:val="00CC51ED"/>
    <w:rsid w:val="00CC53AA"/>
    <w:rsid w:val="00CC5B83"/>
    <w:rsid w:val="00CC5CE3"/>
    <w:rsid w:val="00CC6D21"/>
    <w:rsid w:val="00CC7F14"/>
    <w:rsid w:val="00CD2CE4"/>
    <w:rsid w:val="00CD4AD9"/>
    <w:rsid w:val="00CD5A72"/>
    <w:rsid w:val="00CD7087"/>
    <w:rsid w:val="00CD795C"/>
    <w:rsid w:val="00CE0B00"/>
    <w:rsid w:val="00CE0B23"/>
    <w:rsid w:val="00CE29C9"/>
    <w:rsid w:val="00CE2C52"/>
    <w:rsid w:val="00CE2CF9"/>
    <w:rsid w:val="00CE3974"/>
    <w:rsid w:val="00CE3B76"/>
    <w:rsid w:val="00CE5D4C"/>
    <w:rsid w:val="00CE62C5"/>
    <w:rsid w:val="00CE6FB3"/>
    <w:rsid w:val="00CE7513"/>
    <w:rsid w:val="00CF06A7"/>
    <w:rsid w:val="00CF1777"/>
    <w:rsid w:val="00CF291A"/>
    <w:rsid w:val="00CF298C"/>
    <w:rsid w:val="00CF2BCF"/>
    <w:rsid w:val="00CF3629"/>
    <w:rsid w:val="00CF3750"/>
    <w:rsid w:val="00CF3837"/>
    <w:rsid w:val="00CF3C10"/>
    <w:rsid w:val="00CF6365"/>
    <w:rsid w:val="00CF64F9"/>
    <w:rsid w:val="00CF732E"/>
    <w:rsid w:val="00CF73D1"/>
    <w:rsid w:val="00D0059E"/>
    <w:rsid w:val="00D00FF1"/>
    <w:rsid w:val="00D023D9"/>
    <w:rsid w:val="00D036C2"/>
    <w:rsid w:val="00D03992"/>
    <w:rsid w:val="00D03EC6"/>
    <w:rsid w:val="00D04B57"/>
    <w:rsid w:val="00D051A0"/>
    <w:rsid w:val="00D05306"/>
    <w:rsid w:val="00D05744"/>
    <w:rsid w:val="00D05A33"/>
    <w:rsid w:val="00D05B9D"/>
    <w:rsid w:val="00D06250"/>
    <w:rsid w:val="00D0793D"/>
    <w:rsid w:val="00D079E7"/>
    <w:rsid w:val="00D10E21"/>
    <w:rsid w:val="00D12B2A"/>
    <w:rsid w:val="00D139CC"/>
    <w:rsid w:val="00D13DF2"/>
    <w:rsid w:val="00D13E79"/>
    <w:rsid w:val="00D140D3"/>
    <w:rsid w:val="00D15189"/>
    <w:rsid w:val="00D152C8"/>
    <w:rsid w:val="00D166E8"/>
    <w:rsid w:val="00D16FFE"/>
    <w:rsid w:val="00D17E22"/>
    <w:rsid w:val="00D20AD2"/>
    <w:rsid w:val="00D21513"/>
    <w:rsid w:val="00D2237D"/>
    <w:rsid w:val="00D23BEE"/>
    <w:rsid w:val="00D2500E"/>
    <w:rsid w:val="00D27F58"/>
    <w:rsid w:val="00D31858"/>
    <w:rsid w:val="00D318A5"/>
    <w:rsid w:val="00D31A22"/>
    <w:rsid w:val="00D3333F"/>
    <w:rsid w:val="00D3354C"/>
    <w:rsid w:val="00D34D6A"/>
    <w:rsid w:val="00D34F58"/>
    <w:rsid w:val="00D34FC4"/>
    <w:rsid w:val="00D36060"/>
    <w:rsid w:val="00D360D8"/>
    <w:rsid w:val="00D369F5"/>
    <w:rsid w:val="00D36F21"/>
    <w:rsid w:val="00D378FB"/>
    <w:rsid w:val="00D37F01"/>
    <w:rsid w:val="00D430A2"/>
    <w:rsid w:val="00D43BB1"/>
    <w:rsid w:val="00D43C47"/>
    <w:rsid w:val="00D4433E"/>
    <w:rsid w:val="00D47F0E"/>
    <w:rsid w:val="00D506C4"/>
    <w:rsid w:val="00D5090D"/>
    <w:rsid w:val="00D5145D"/>
    <w:rsid w:val="00D51795"/>
    <w:rsid w:val="00D51F35"/>
    <w:rsid w:val="00D52C59"/>
    <w:rsid w:val="00D52F09"/>
    <w:rsid w:val="00D5415A"/>
    <w:rsid w:val="00D54CDE"/>
    <w:rsid w:val="00D55D98"/>
    <w:rsid w:val="00D55EFE"/>
    <w:rsid w:val="00D562F8"/>
    <w:rsid w:val="00D56A84"/>
    <w:rsid w:val="00D57545"/>
    <w:rsid w:val="00D617D4"/>
    <w:rsid w:val="00D6192A"/>
    <w:rsid w:val="00D62BDD"/>
    <w:rsid w:val="00D63A0A"/>
    <w:rsid w:val="00D67D44"/>
    <w:rsid w:val="00D67D5E"/>
    <w:rsid w:val="00D70222"/>
    <w:rsid w:val="00D70B60"/>
    <w:rsid w:val="00D714B6"/>
    <w:rsid w:val="00D720CB"/>
    <w:rsid w:val="00D72695"/>
    <w:rsid w:val="00D72C39"/>
    <w:rsid w:val="00D733A2"/>
    <w:rsid w:val="00D73A66"/>
    <w:rsid w:val="00D779AA"/>
    <w:rsid w:val="00D80D65"/>
    <w:rsid w:val="00D80D74"/>
    <w:rsid w:val="00D80DEB"/>
    <w:rsid w:val="00D81054"/>
    <w:rsid w:val="00D8166B"/>
    <w:rsid w:val="00D833B7"/>
    <w:rsid w:val="00D83EA4"/>
    <w:rsid w:val="00D867A0"/>
    <w:rsid w:val="00D8700D"/>
    <w:rsid w:val="00D90546"/>
    <w:rsid w:val="00D9168B"/>
    <w:rsid w:val="00D91948"/>
    <w:rsid w:val="00D924B0"/>
    <w:rsid w:val="00D924D4"/>
    <w:rsid w:val="00D92F0C"/>
    <w:rsid w:val="00D9349B"/>
    <w:rsid w:val="00D93EF4"/>
    <w:rsid w:val="00D9483B"/>
    <w:rsid w:val="00D96A59"/>
    <w:rsid w:val="00D9762D"/>
    <w:rsid w:val="00DA0E3E"/>
    <w:rsid w:val="00DA1602"/>
    <w:rsid w:val="00DA1C46"/>
    <w:rsid w:val="00DA28FE"/>
    <w:rsid w:val="00DA40B1"/>
    <w:rsid w:val="00DA734B"/>
    <w:rsid w:val="00DA7C22"/>
    <w:rsid w:val="00DB06A7"/>
    <w:rsid w:val="00DB130C"/>
    <w:rsid w:val="00DB3066"/>
    <w:rsid w:val="00DB306A"/>
    <w:rsid w:val="00DB3EEE"/>
    <w:rsid w:val="00DB53CB"/>
    <w:rsid w:val="00DB6E3C"/>
    <w:rsid w:val="00DC071A"/>
    <w:rsid w:val="00DC1DBB"/>
    <w:rsid w:val="00DC2041"/>
    <w:rsid w:val="00DC26E2"/>
    <w:rsid w:val="00DC2C44"/>
    <w:rsid w:val="00DC2D14"/>
    <w:rsid w:val="00DC32DF"/>
    <w:rsid w:val="00DC3FBB"/>
    <w:rsid w:val="00DC4699"/>
    <w:rsid w:val="00DC5476"/>
    <w:rsid w:val="00DC6C1F"/>
    <w:rsid w:val="00DD176A"/>
    <w:rsid w:val="00DD5350"/>
    <w:rsid w:val="00DD5C67"/>
    <w:rsid w:val="00DD6AF6"/>
    <w:rsid w:val="00DD7038"/>
    <w:rsid w:val="00DE01AB"/>
    <w:rsid w:val="00DE01B6"/>
    <w:rsid w:val="00DE047F"/>
    <w:rsid w:val="00DE0BFD"/>
    <w:rsid w:val="00DE0F8F"/>
    <w:rsid w:val="00DE155C"/>
    <w:rsid w:val="00DE1FCD"/>
    <w:rsid w:val="00DE2B0B"/>
    <w:rsid w:val="00DE3563"/>
    <w:rsid w:val="00DE4BEA"/>
    <w:rsid w:val="00DE506F"/>
    <w:rsid w:val="00DE5CF7"/>
    <w:rsid w:val="00DE7226"/>
    <w:rsid w:val="00DE7AB4"/>
    <w:rsid w:val="00DF2331"/>
    <w:rsid w:val="00DF2782"/>
    <w:rsid w:val="00DF2A91"/>
    <w:rsid w:val="00DF2BBE"/>
    <w:rsid w:val="00DF2C33"/>
    <w:rsid w:val="00DF31CA"/>
    <w:rsid w:val="00DF3565"/>
    <w:rsid w:val="00DF407B"/>
    <w:rsid w:val="00DF620C"/>
    <w:rsid w:val="00DF7F12"/>
    <w:rsid w:val="00E01062"/>
    <w:rsid w:val="00E010F0"/>
    <w:rsid w:val="00E01EB9"/>
    <w:rsid w:val="00E02D39"/>
    <w:rsid w:val="00E05911"/>
    <w:rsid w:val="00E077F0"/>
    <w:rsid w:val="00E07AA3"/>
    <w:rsid w:val="00E1180E"/>
    <w:rsid w:val="00E12AB3"/>
    <w:rsid w:val="00E1311E"/>
    <w:rsid w:val="00E136A0"/>
    <w:rsid w:val="00E14E2D"/>
    <w:rsid w:val="00E1522A"/>
    <w:rsid w:val="00E166CC"/>
    <w:rsid w:val="00E16F0C"/>
    <w:rsid w:val="00E17A88"/>
    <w:rsid w:val="00E17C03"/>
    <w:rsid w:val="00E2026E"/>
    <w:rsid w:val="00E2304B"/>
    <w:rsid w:val="00E23DF5"/>
    <w:rsid w:val="00E24010"/>
    <w:rsid w:val="00E2462E"/>
    <w:rsid w:val="00E2688F"/>
    <w:rsid w:val="00E26ADB"/>
    <w:rsid w:val="00E27DE9"/>
    <w:rsid w:val="00E30ACC"/>
    <w:rsid w:val="00E31CF5"/>
    <w:rsid w:val="00E35449"/>
    <w:rsid w:val="00E355A8"/>
    <w:rsid w:val="00E357A1"/>
    <w:rsid w:val="00E36570"/>
    <w:rsid w:val="00E3671B"/>
    <w:rsid w:val="00E37FC2"/>
    <w:rsid w:val="00E407EB"/>
    <w:rsid w:val="00E40BBC"/>
    <w:rsid w:val="00E4121B"/>
    <w:rsid w:val="00E43DE3"/>
    <w:rsid w:val="00E453A1"/>
    <w:rsid w:val="00E45689"/>
    <w:rsid w:val="00E458B0"/>
    <w:rsid w:val="00E5134C"/>
    <w:rsid w:val="00E51ECD"/>
    <w:rsid w:val="00E51FEF"/>
    <w:rsid w:val="00E53E5E"/>
    <w:rsid w:val="00E53FD0"/>
    <w:rsid w:val="00E549F6"/>
    <w:rsid w:val="00E54B54"/>
    <w:rsid w:val="00E54D05"/>
    <w:rsid w:val="00E567BC"/>
    <w:rsid w:val="00E56BF7"/>
    <w:rsid w:val="00E56CA8"/>
    <w:rsid w:val="00E57922"/>
    <w:rsid w:val="00E57B54"/>
    <w:rsid w:val="00E6144C"/>
    <w:rsid w:val="00E61724"/>
    <w:rsid w:val="00E63FD9"/>
    <w:rsid w:val="00E64438"/>
    <w:rsid w:val="00E64857"/>
    <w:rsid w:val="00E64D5E"/>
    <w:rsid w:val="00E6560A"/>
    <w:rsid w:val="00E6662D"/>
    <w:rsid w:val="00E67BE6"/>
    <w:rsid w:val="00E67D87"/>
    <w:rsid w:val="00E7029D"/>
    <w:rsid w:val="00E720D5"/>
    <w:rsid w:val="00E720DA"/>
    <w:rsid w:val="00E744E0"/>
    <w:rsid w:val="00E74F8F"/>
    <w:rsid w:val="00E75C6A"/>
    <w:rsid w:val="00E76F26"/>
    <w:rsid w:val="00E77DDE"/>
    <w:rsid w:val="00E80E7E"/>
    <w:rsid w:val="00E8199F"/>
    <w:rsid w:val="00E82CD7"/>
    <w:rsid w:val="00E836CB"/>
    <w:rsid w:val="00E86035"/>
    <w:rsid w:val="00E86AA2"/>
    <w:rsid w:val="00E86EEE"/>
    <w:rsid w:val="00E87019"/>
    <w:rsid w:val="00E87941"/>
    <w:rsid w:val="00E87F0C"/>
    <w:rsid w:val="00E901BE"/>
    <w:rsid w:val="00E90A65"/>
    <w:rsid w:val="00E91028"/>
    <w:rsid w:val="00E916D6"/>
    <w:rsid w:val="00E91A1D"/>
    <w:rsid w:val="00E9295D"/>
    <w:rsid w:val="00E95325"/>
    <w:rsid w:val="00E97EAC"/>
    <w:rsid w:val="00EA12CC"/>
    <w:rsid w:val="00EA2736"/>
    <w:rsid w:val="00EA3DB8"/>
    <w:rsid w:val="00EA4F52"/>
    <w:rsid w:val="00EA5668"/>
    <w:rsid w:val="00EA6C28"/>
    <w:rsid w:val="00EA7019"/>
    <w:rsid w:val="00EA74C7"/>
    <w:rsid w:val="00EB0668"/>
    <w:rsid w:val="00EB2878"/>
    <w:rsid w:val="00EB2E95"/>
    <w:rsid w:val="00EB2EF5"/>
    <w:rsid w:val="00EB3593"/>
    <w:rsid w:val="00EB3C3D"/>
    <w:rsid w:val="00EB485B"/>
    <w:rsid w:val="00EB53C7"/>
    <w:rsid w:val="00EB7148"/>
    <w:rsid w:val="00EC13CB"/>
    <w:rsid w:val="00EC15C1"/>
    <w:rsid w:val="00EC1A5B"/>
    <w:rsid w:val="00EC2482"/>
    <w:rsid w:val="00EC4638"/>
    <w:rsid w:val="00EC5295"/>
    <w:rsid w:val="00EC6182"/>
    <w:rsid w:val="00EC61F1"/>
    <w:rsid w:val="00EC6940"/>
    <w:rsid w:val="00EC7441"/>
    <w:rsid w:val="00ED0D78"/>
    <w:rsid w:val="00ED10E5"/>
    <w:rsid w:val="00ED1B02"/>
    <w:rsid w:val="00ED4D4F"/>
    <w:rsid w:val="00ED518A"/>
    <w:rsid w:val="00ED63B2"/>
    <w:rsid w:val="00ED6A5E"/>
    <w:rsid w:val="00ED74F9"/>
    <w:rsid w:val="00EE03F8"/>
    <w:rsid w:val="00EE1324"/>
    <w:rsid w:val="00EE365F"/>
    <w:rsid w:val="00EE410E"/>
    <w:rsid w:val="00EE47DB"/>
    <w:rsid w:val="00EE4CC2"/>
    <w:rsid w:val="00EE5479"/>
    <w:rsid w:val="00EE5A07"/>
    <w:rsid w:val="00EF2FDB"/>
    <w:rsid w:val="00EF32D3"/>
    <w:rsid w:val="00EF373C"/>
    <w:rsid w:val="00EF417A"/>
    <w:rsid w:val="00EF4925"/>
    <w:rsid w:val="00EF4958"/>
    <w:rsid w:val="00EF4B8B"/>
    <w:rsid w:val="00EF5178"/>
    <w:rsid w:val="00EF5DE9"/>
    <w:rsid w:val="00EF720B"/>
    <w:rsid w:val="00EF7299"/>
    <w:rsid w:val="00EF732C"/>
    <w:rsid w:val="00F002BC"/>
    <w:rsid w:val="00F00DFF"/>
    <w:rsid w:val="00F02353"/>
    <w:rsid w:val="00F03DC4"/>
    <w:rsid w:val="00F04F9A"/>
    <w:rsid w:val="00F05F13"/>
    <w:rsid w:val="00F06BCB"/>
    <w:rsid w:val="00F0781F"/>
    <w:rsid w:val="00F07836"/>
    <w:rsid w:val="00F07A0F"/>
    <w:rsid w:val="00F10B23"/>
    <w:rsid w:val="00F11AF1"/>
    <w:rsid w:val="00F127DB"/>
    <w:rsid w:val="00F12A57"/>
    <w:rsid w:val="00F13099"/>
    <w:rsid w:val="00F13601"/>
    <w:rsid w:val="00F1459F"/>
    <w:rsid w:val="00F15897"/>
    <w:rsid w:val="00F16EDB"/>
    <w:rsid w:val="00F174CB"/>
    <w:rsid w:val="00F179AD"/>
    <w:rsid w:val="00F21062"/>
    <w:rsid w:val="00F2182F"/>
    <w:rsid w:val="00F22962"/>
    <w:rsid w:val="00F22B6F"/>
    <w:rsid w:val="00F234B6"/>
    <w:rsid w:val="00F237B3"/>
    <w:rsid w:val="00F23DC6"/>
    <w:rsid w:val="00F24024"/>
    <w:rsid w:val="00F250C1"/>
    <w:rsid w:val="00F25DA2"/>
    <w:rsid w:val="00F27BF5"/>
    <w:rsid w:val="00F31367"/>
    <w:rsid w:val="00F319D3"/>
    <w:rsid w:val="00F32DFE"/>
    <w:rsid w:val="00F33DC0"/>
    <w:rsid w:val="00F33DD9"/>
    <w:rsid w:val="00F33FE8"/>
    <w:rsid w:val="00F34A6D"/>
    <w:rsid w:val="00F35CD3"/>
    <w:rsid w:val="00F35DC4"/>
    <w:rsid w:val="00F360E8"/>
    <w:rsid w:val="00F36D97"/>
    <w:rsid w:val="00F373F1"/>
    <w:rsid w:val="00F400A2"/>
    <w:rsid w:val="00F404EB"/>
    <w:rsid w:val="00F406D7"/>
    <w:rsid w:val="00F408E7"/>
    <w:rsid w:val="00F415DB"/>
    <w:rsid w:val="00F4231F"/>
    <w:rsid w:val="00F43271"/>
    <w:rsid w:val="00F43516"/>
    <w:rsid w:val="00F4522C"/>
    <w:rsid w:val="00F45A88"/>
    <w:rsid w:val="00F45D51"/>
    <w:rsid w:val="00F46670"/>
    <w:rsid w:val="00F47552"/>
    <w:rsid w:val="00F50384"/>
    <w:rsid w:val="00F50E87"/>
    <w:rsid w:val="00F51343"/>
    <w:rsid w:val="00F516B7"/>
    <w:rsid w:val="00F5198C"/>
    <w:rsid w:val="00F52664"/>
    <w:rsid w:val="00F531EE"/>
    <w:rsid w:val="00F537D0"/>
    <w:rsid w:val="00F54842"/>
    <w:rsid w:val="00F54884"/>
    <w:rsid w:val="00F55072"/>
    <w:rsid w:val="00F55C3F"/>
    <w:rsid w:val="00F55F5E"/>
    <w:rsid w:val="00F5674A"/>
    <w:rsid w:val="00F60437"/>
    <w:rsid w:val="00F6183B"/>
    <w:rsid w:val="00F61F65"/>
    <w:rsid w:val="00F63553"/>
    <w:rsid w:val="00F63E60"/>
    <w:rsid w:val="00F64F27"/>
    <w:rsid w:val="00F65191"/>
    <w:rsid w:val="00F65AC4"/>
    <w:rsid w:val="00F66268"/>
    <w:rsid w:val="00F6630A"/>
    <w:rsid w:val="00F67487"/>
    <w:rsid w:val="00F706F3"/>
    <w:rsid w:val="00F723F1"/>
    <w:rsid w:val="00F72502"/>
    <w:rsid w:val="00F72AD4"/>
    <w:rsid w:val="00F7468A"/>
    <w:rsid w:val="00F7595C"/>
    <w:rsid w:val="00F75E0D"/>
    <w:rsid w:val="00F767A3"/>
    <w:rsid w:val="00F77215"/>
    <w:rsid w:val="00F77253"/>
    <w:rsid w:val="00F773E6"/>
    <w:rsid w:val="00F77990"/>
    <w:rsid w:val="00F77C81"/>
    <w:rsid w:val="00F80016"/>
    <w:rsid w:val="00F80733"/>
    <w:rsid w:val="00F814E0"/>
    <w:rsid w:val="00F816D0"/>
    <w:rsid w:val="00F8196C"/>
    <w:rsid w:val="00F819C9"/>
    <w:rsid w:val="00F81E13"/>
    <w:rsid w:val="00F8228D"/>
    <w:rsid w:val="00F82DB4"/>
    <w:rsid w:val="00F832A8"/>
    <w:rsid w:val="00F854C3"/>
    <w:rsid w:val="00F858B9"/>
    <w:rsid w:val="00F8746A"/>
    <w:rsid w:val="00F878B4"/>
    <w:rsid w:val="00F91106"/>
    <w:rsid w:val="00F93088"/>
    <w:rsid w:val="00F95A33"/>
    <w:rsid w:val="00F96507"/>
    <w:rsid w:val="00F96F0B"/>
    <w:rsid w:val="00F97748"/>
    <w:rsid w:val="00FA1412"/>
    <w:rsid w:val="00FA2EEF"/>
    <w:rsid w:val="00FA4F2C"/>
    <w:rsid w:val="00FA5A50"/>
    <w:rsid w:val="00FA6401"/>
    <w:rsid w:val="00FA7CA8"/>
    <w:rsid w:val="00FB0E37"/>
    <w:rsid w:val="00FB112E"/>
    <w:rsid w:val="00FB18FF"/>
    <w:rsid w:val="00FB3826"/>
    <w:rsid w:val="00FB3D97"/>
    <w:rsid w:val="00FB4077"/>
    <w:rsid w:val="00FB40AD"/>
    <w:rsid w:val="00FB445C"/>
    <w:rsid w:val="00FB4894"/>
    <w:rsid w:val="00FB77BF"/>
    <w:rsid w:val="00FB78A7"/>
    <w:rsid w:val="00FC178B"/>
    <w:rsid w:val="00FC2B27"/>
    <w:rsid w:val="00FC2DCE"/>
    <w:rsid w:val="00FC3E39"/>
    <w:rsid w:val="00FC41D2"/>
    <w:rsid w:val="00FC572E"/>
    <w:rsid w:val="00FC5928"/>
    <w:rsid w:val="00FC613B"/>
    <w:rsid w:val="00FC69F6"/>
    <w:rsid w:val="00FC7140"/>
    <w:rsid w:val="00FD01B4"/>
    <w:rsid w:val="00FD1187"/>
    <w:rsid w:val="00FD1A9C"/>
    <w:rsid w:val="00FD22C0"/>
    <w:rsid w:val="00FD2B4F"/>
    <w:rsid w:val="00FD2FEE"/>
    <w:rsid w:val="00FD39D8"/>
    <w:rsid w:val="00FD3FB8"/>
    <w:rsid w:val="00FD4038"/>
    <w:rsid w:val="00FD44E3"/>
    <w:rsid w:val="00FD4AF9"/>
    <w:rsid w:val="00FD6BAE"/>
    <w:rsid w:val="00FD6FBB"/>
    <w:rsid w:val="00FD74BC"/>
    <w:rsid w:val="00FD768C"/>
    <w:rsid w:val="00FD7F59"/>
    <w:rsid w:val="00FE00E6"/>
    <w:rsid w:val="00FE08FC"/>
    <w:rsid w:val="00FE140B"/>
    <w:rsid w:val="00FE205F"/>
    <w:rsid w:val="00FE3FFD"/>
    <w:rsid w:val="00FE4E79"/>
    <w:rsid w:val="00FE5D9F"/>
    <w:rsid w:val="00FE6335"/>
    <w:rsid w:val="00FE6510"/>
    <w:rsid w:val="00FE72BC"/>
    <w:rsid w:val="00FE7FAA"/>
    <w:rsid w:val="00FF0118"/>
    <w:rsid w:val="00FF1017"/>
    <w:rsid w:val="00FF2813"/>
    <w:rsid w:val="00FF3073"/>
    <w:rsid w:val="00FF31D1"/>
    <w:rsid w:val="00FF3F8D"/>
    <w:rsid w:val="00FF3F9C"/>
    <w:rsid w:val="00FF5DA5"/>
    <w:rsid w:val="00FF616D"/>
    <w:rsid w:val="00FF68C7"/>
    <w:rsid w:val="0529B767"/>
    <w:rsid w:val="05C9406B"/>
    <w:rsid w:val="0932AF2B"/>
    <w:rsid w:val="0A19A47C"/>
    <w:rsid w:val="0A4B019E"/>
    <w:rsid w:val="0BCB0175"/>
    <w:rsid w:val="0E9C0825"/>
    <w:rsid w:val="0FCB51AD"/>
    <w:rsid w:val="18B6D9C5"/>
    <w:rsid w:val="19407382"/>
    <w:rsid w:val="1A2F30CE"/>
    <w:rsid w:val="1A7B52A5"/>
    <w:rsid w:val="1B840600"/>
    <w:rsid w:val="1C4879C9"/>
    <w:rsid w:val="1CA1C694"/>
    <w:rsid w:val="1DDF8BC2"/>
    <w:rsid w:val="23FA8C93"/>
    <w:rsid w:val="246B174D"/>
    <w:rsid w:val="27C9FD9D"/>
    <w:rsid w:val="28071A66"/>
    <w:rsid w:val="2A3C740A"/>
    <w:rsid w:val="2AD783F1"/>
    <w:rsid w:val="2B076696"/>
    <w:rsid w:val="31BD8FF5"/>
    <w:rsid w:val="33023BC9"/>
    <w:rsid w:val="35332A2C"/>
    <w:rsid w:val="3AADCE80"/>
    <w:rsid w:val="3AD761D2"/>
    <w:rsid w:val="3E773797"/>
    <w:rsid w:val="430857F9"/>
    <w:rsid w:val="44531D9B"/>
    <w:rsid w:val="469FA348"/>
    <w:rsid w:val="49C6E80B"/>
    <w:rsid w:val="4CE6D4CE"/>
    <w:rsid w:val="53D38091"/>
    <w:rsid w:val="54433106"/>
    <w:rsid w:val="576FB5C2"/>
    <w:rsid w:val="58231302"/>
    <w:rsid w:val="5946F487"/>
    <w:rsid w:val="5A0474CF"/>
    <w:rsid w:val="62A8084E"/>
    <w:rsid w:val="6C98D187"/>
    <w:rsid w:val="6DD2426D"/>
    <w:rsid w:val="718DD100"/>
    <w:rsid w:val="7684B8B4"/>
    <w:rsid w:val="7F7E67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92184E17-FC69-440A-9EBF-CB5C6CF9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F7D5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2"/>
      </w:numPr>
    </w:pPr>
    <w:rPr>
      <w:sz w:val="20"/>
      <w:szCs w:val="20"/>
    </w:rPr>
  </w:style>
  <w:style w:type="character" w:styleId="Strong">
    <w:name w:val="Strong"/>
    <w:qFormat/>
    <w:rsid w:val="008758B4"/>
    <w:rPr>
      <w:b/>
      <w:bCs/>
    </w:rPr>
  </w:style>
  <w:style w:type="paragraph" w:styleId="FootnoteText">
    <w:name w:val="footnote text"/>
    <w:basedOn w:val="Normal"/>
    <w:semiHidden/>
    <w:rsid w:val="00184144"/>
    <w:pPr>
      <w:spacing w:after="220"/>
    </w:pPr>
    <w:rPr>
      <w:sz w:val="20"/>
      <w:szCs w:val="20"/>
    </w:rPr>
  </w:style>
  <w:style w:type="character" w:styleId="FootnoteReference">
    <w:name w:val="footnote reference"/>
    <w:semiHidden/>
    <w:rsid w:val="00184144"/>
    <w:rPr>
      <w:vertAlign w:val="superscript"/>
    </w:rPr>
  </w:style>
  <w:style w:type="paragraph" w:styleId="ListNumber3">
    <w:name w:val="List Number 3"/>
    <w:basedOn w:val="Normal"/>
    <w:rsid w:val="0034544B"/>
    <w:pPr>
      <w:numPr>
        <w:numId w:val="3"/>
      </w:numPr>
    </w:pPr>
  </w:style>
  <w:style w:type="paragraph" w:styleId="ListBullet2">
    <w:name w:val="List Bullet 2"/>
    <w:basedOn w:val="Normal"/>
    <w:autoRedefine/>
    <w:rsid w:val="0034544B"/>
    <w:pPr>
      <w:numPr>
        <w:numId w:val="5"/>
      </w:numPr>
      <w:spacing w:after="220"/>
      <w:jc w:val="both"/>
    </w:pPr>
    <w:rPr>
      <w:i/>
      <w:color w:val="000000"/>
      <w:sz w:val="22"/>
      <w:szCs w:val="20"/>
    </w:rPr>
  </w:style>
  <w:style w:type="paragraph" w:styleId="ListNumber">
    <w:name w:val="List Number"/>
    <w:basedOn w:val="Normal"/>
    <w:rsid w:val="00452842"/>
    <w:pPr>
      <w:numPr>
        <w:numId w:val="4"/>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paragraph" w:styleId="Revision">
    <w:name w:val="Revision"/>
    <w:hidden/>
    <w:uiPriority w:val="99"/>
    <w:semiHidden/>
    <w:rsid w:val="003371CB"/>
    <w:rPr>
      <w:sz w:val="24"/>
      <w:szCs w:val="24"/>
    </w:rPr>
  </w:style>
  <w:style w:type="character" w:styleId="CommentReference">
    <w:name w:val="annotation reference"/>
    <w:basedOn w:val="DefaultParagraphFont"/>
    <w:semiHidden/>
    <w:unhideWhenUsed/>
    <w:rsid w:val="00B80398"/>
    <w:rPr>
      <w:sz w:val="16"/>
      <w:szCs w:val="16"/>
    </w:rPr>
  </w:style>
  <w:style w:type="paragraph" w:styleId="CommentText">
    <w:name w:val="annotation text"/>
    <w:basedOn w:val="Normal"/>
    <w:link w:val="CommentTextChar"/>
    <w:unhideWhenUsed/>
    <w:rsid w:val="00B80398"/>
    <w:rPr>
      <w:sz w:val="20"/>
      <w:szCs w:val="20"/>
    </w:rPr>
  </w:style>
  <w:style w:type="character" w:customStyle="1" w:styleId="CommentTextChar">
    <w:name w:val="Comment Text Char"/>
    <w:basedOn w:val="DefaultParagraphFont"/>
    <w:link w:val="CommentText"/>
    <w:rsid w:val="00B80398"/>
  </w:style>
  <w:style w:type="paragraph" w:styleId="CommentSubject">
    <w:name w:val="annotation subject"/>
    <w:basedOn w:val="CommentText"/>
    <w:next w:val="CommentText"/>
    <w:link w:val="CommentSubjectChar"/>
    <w:semiHidden/>
    <w:unhideWhenUsed/>
    <w:rsid w:val="00B80398"/>
    <w:rPr>
      <w:b/>
      <w:bCs/>
    </w:rPr>
  </w:style>
  <w:style w:type="character" w:customStyle="1" w:styleId="CommentSubjectChar">
    <w:name w:val="Comment Subject Char"/>
    <w:basedOn w:val="CommentTextChar"/>
    <w:link w:val="CommentSubject"/>
    <w:semiHidden/>
    <w:rsid w:val="00B80398"/>
    <w:rPr>
      <w:b/>
      <w:bCs/>
    </w:rPr>
  </w:style>
  <w:style w:type="paragraph" w:styleId="ListParagraph">
    <w:name w:val="List Paragraph"/>
    <w:basedOn w:val="Normal"/>
    <w:uiPriority w:val="34"/>
    <w:qFormat/>
    <w:rsid w:val="004836C4"/>
    <w:pPr>
      <w:ind w:left="720"/>
      <w:contextualSpacing/>
    </w:pPr>
  </w:style>
  <w:style w:type="table" w:styleId="TableGrid">
    <w:name w:val="Table Grid"/>
    <w:basedOn w:val="TableNormal"/>
    <w:rsid w:val="00756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6F7D5B"/>
    <w:rPr>
      <w:rFonts w:asciiTheme="majorHAnsi" w:eastAsiaTheme="majorEastAsia" w:hAnsiTheme="majorHAnsi" w:cstheme="majorBidi"/>
      <w:i/>
      <w:iCs/>
      <w:color w:val="365F91" w:themeColor="accent1" w:themeShade="BF"/>
      <w:sz w:val="24"/>
      <w:szCs w:val="24"/>
    </w:rPr>
  </w:style>
  <w:style w:type="paragraph" w:styleId="BodyTextIndent">
    <w:name w:val="Body Text Indent"/>
    <w:basedOn w:val="Normal"/>
    <w:link w:val="BodyTextIndentChar"/>
    <w:semiHidden/>
    <w:unhideWhenUsed/>
    <w:rsid w:val="00A818A1"/>
    <w:pPr>
      <w:spacing w:after="120"/>
      <w:ind w:left="360"/>
    </w:pPr>
  </w:style>
  <w:style w:type="character" w:customStyle="1" w:styleId="BodyTextIndentChar">
    <w:name w:val="Body Text Indent Char"/>
    <w:basedOn w:val="DefaultParagraphFont"/>
    <w:link w:val="BodyTextIndent"/>
    <w:semiHidden/>
    <w:rsid w:val="00A818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635795">
      <w:bodyDiv w:val="1"/>
      <w:marLeft w:val="0"/>
      <w:marRight w:val="0"/>
      <w:marTop w:val="0"/>
      <w:marBottom w:val="0"/>
      <w:divBdr>
        <w:top w:val="none" w:sz="0" w:space="0" w:color="auto"/>
        <w:left w:val="none" w:sz="0" w:space="0" w:color="auto"/>
        <w:bottom w:val="none" w:sz="0" w:space="0" w:color="auto"/>
        <w:right w:val="none" w:sz="0" w:space="0" w:color="auto"/>
      </w:divBdr>
    </w:div>
    <w:div w:id="171726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Pinegar, Jim</DisplayName>
        <AccountId>46</AccountId>
        <AccountType/>
      </UserInfo>
    </SharedWithUsers>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Complete</Progress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1C8ED3-5114-45D3-9ADA-C909EC53B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customXml/itemProps3.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826143e3-bbcb-45bb-8829-107013e701e5"/>
    <ds:schemaRef ds:uri="3c9e15a3-223f-4584-afb1-1dbe0b3878fa"/>
    <ds:schemaRef ds:uri="dbd46520-c392-41b5-9f68-fe7486eefad7"/>
  </ds:schemaRefs>
</ds:datastoreItem>
</file>

<file path=customXml/itemProps4.xml><?xml version="1.0" encoding="utf-8"?>
<ds:datastoreItem xmlns:ds="http://schemas.openxmlformats.org/officeDocument/2006/customXml" ds:itemID="{402116DE-A9E3-4368-85A4-B7B44E8B48D7}">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255</TotalTime>
  <Pages>5</Pages>
  <Words>2813</Words>
  <Characters>15293</Characters>
  <Application>Microsoft Office Word</Application>
  <DocSecurity>0</DocSecurity>
  <Lines>252</Lines>
  <Paragraphs>77</Paragraphs>
  <ScaleCrop>false</ScaleCrop>
  <Company>NAIC</Company>
  <LinksUpToDate>false</LinksUpToDate>
  <CharactersWithSpaces>18075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Marcotte, Robin</cp:lastModifiedBy>
  <cp:revision>200</cp:revision>
  <cp:lastPrinted>2011-03-02T00:07:00Z</cp:lastPrinted>
  <dcterms:created xsi:type="dcterms:W3CDTF">2023-05-02T18:57:00Z</dcterms:created>
  <dcterms:modified xsi:type="dcterms:W3CDTF">2026-08-17T17:06:00Z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ProgressStatus">
    <vt:lpwstr>Complete</vt:lpwstr>
  </property>
  <property fmtid="{D5CDD505-2E9C-101B-9397-08002B2CF9AE}" pid="5" name="Test">
    <vt:filetime>2023-08-13T05:00:00Z</vt:filetime>
  </property>
  <property fmtid="{D5CDD505-2E9C-101B-9397-08002B2CF9AE}" pid="6" name="docLang">
    <vt:lpwstr>en</vt:lpwstr>
  </property>
</Properties>
</file>