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52DAA" w14:textId="77777777" w:rsidR="002A1316" w:rsidRPr="00016321" w:rsidRDefault="002A1316">
      <w:pPr>
        <w:pStyle w:val="Title"/>
        <w:rPr>
          <w:sz w:val="22"/>
          <w:szCs w:val="22"/>
        </w:rPr>
      </w:pPr>
      <w:r w:rsidRPr="00016321">
        <w:rPr>
          <w:sz w:val="22"/>
          <w:szCs w:val="22"/>
        </w:rPr>
        <w:t xml:space="preserve">Statutory Accounting Principles </w:t>
      </w:r>
      <w:r w:rsidR="00C6544D" w:rsidRPr="00016321">
        <w:rPr>
          <w:sz w:val="22"/>
          <w:szCs w:val="22"/>
        </w:rPr>
        <w:t xml:space="preserve">(E) </w:t>
      </w:r>
      <w:r w:rsidRPr="00016321">
        <w:rPr>
          <w:sz w:val="22"/>
          <w:szCs w:val="22"/>
        </w:rPr>
        <w:t>Working Group</w:t>
      </w:r>
    </w:p>
    <w:p w14:paraId="5E8586D5" w14:textId="77777777" w:rsidR="002A1316" w:rsidRPr="00016321" w:rsidRDefault="002A1316">
      <w:pPr>
        <w:jc w:val="center"/>
        <w:rPr>
          <w:b/>
          <w:sz w:val="22"/>
          <w:szCs w:val="22"/>
        </w:rPr>
      </w:pPr>
      <w:r w:rsidRPr="00016321">
        <w:rPr>
          <w:b/>
          <w:sz w:val="22"/>
          <w:szCs w:val="22"/>
        </w:rPr>
        <w:t>Maintenance Agenda Submission Form</w:t>
      </w:r>
    </w:p>
    <w:p w14:paraId="43927C70" w14:textId="77777777" w:rsidR="002A1316" w:rsidRPr="00016321" w:rsidRDefault="002A1316">
      <w:pPr>
        <w:jc w:val="center"/>
        <w:rPr>
          <w:b/>
          <w:sz w:val="22"/>
          <w:szCs w:val="22"/>
        </w:rPr>
      </w:pPr>
      <w:r w:rsidRPr="00016321">
        <w:rPr>
          <w:b/>
          <w:sz w:val="22"/>
          <w:szCs w:val="22"/>
        </w:rPr>
        <w:t>Form A</w:t>
      </w:r>
    </w:p>
    <w:p w14:paraId="65BCA41C" w14:textId="77777777" w:rsidR="002A1316" w:rsidRPr="00016321" w:rsidRDefault="002A1316">
      <w:pPr>
        <w:pStyle w:val="Heading2"/>
        <w:jc w:val="center"/>
        <w:rPr>
          <w:sz w:val="22"/>
          <w:szCs w:val="22"/>
        </w:rPr>
      </w:pPr>
    </w:p>
    <w:p w14:paraId="10F0B4B2" w14:textId="1928EEC5" w:rsidR="002A1316" w:rsidRPr="004767EE" w:rsidRDefault="002A1316" w:rsidP="00B30CA0">
      <w:pPr>
        <w:pStyle w:val="Heading2"/>
        <w:rPr>
          <w:b/>
          <w:sz w:val="22"/>
          <w:szCs w:val="22"/>
          <w:highlight w:val="yellow"/>
        </w:rPr>
      </w:pPr>
      <w:r w:rsidRPr="00322AD5">
        <w:rPr>
          <w:b/>
          <w:sz w:val="22"/>
          <w:szCs w:val="22"/>
        </w:rPr>
        <w:t>Issue:</w:t>
      </w:r>
      <w:r w:rsidR="00EC61F1" w:rsidRPr="00322AD5">
        <w:rPr>
          <w:b/>
          <w:sz w:val="22"/>
          <w:szCs w:val="22"/>
        </w:rPr>
        <w:t xml:space="preserve"> </w:t>
      </w:r>
      <w:bookmarkStart w:id="0" w:name="_Hlk131082324"/>
      <w:r w:rsidR="00A62889" w:rsidRPr="004767EE">
        <w:rPr>
          <w:b/>
          <w:sz w:val="22"/>
          <w:szCs w:val="22"/>
        </w:rPr>
        <w:t xml:space="preserve">ASU </w:t>
      </w:r>
      <w:r w:rsidR="00AB4042">
        <w:rPr>
          <w:b/>
          <w:sz w:val="22"/>
          <w:szCs w:val="22"/>
        </w:rPr>
        <w:t>2018-09</w:t>
      </w:r>
      <w:r w:rsidR="00A62889" w:rsidRPr="004767EE">
        <w:rPr>
          <w:b/>
          <w:sz w:val="22"/>
          <w:szCs w:val="22"/>
        </w:rPr>
        <w:t xml:space="preserve">, </w:t>
      </w:r>
      <w:bookmarkStart w:id="1" w:name="_Hlk131685876"/>
      <w:r w:rsidR="00322AD5" w:rsidRPr="004767EE">
        <w:rPr>
          <w:b/>
          <w:sz w:val="22"/>
          <w:szCs w:val="22"/>
        </w:rPr>
        <w:t>Codification Improvements</w:t>
      </w:r>
      <w:bookmarkEnd w:id="0"/>
      <w:bookmarkEnd w:id="1"/>
    </w:p>
    <w:p w14:paraId="7D50C110" w14:textId="77777777" w:rsidR="00B30CA0" w:rsidRPr="00955198" w:rsidRDefault="00B30CA0" w:rsidP="00B30CA0">
      <w:pPr>
        <w:rPr>
          <w:sz w:val="22"/>
          <w:szCs w:val="22"/>
          <w:highlight w:val="yellow"/>
        </w:rPr>
      </w:pPr>
    </w:p>
    <w:p w14:paraId="1E0B900E" w14:textId="77777777" w:rsidR="002A1316" w:rsidRPr="00322AD5" w:rsidRDefault="002A1316" w:rsidP="00B30CA0">
      <w:pPr>
        <w:jc w:val="both"/>
        <w:rPr>
          <w:b/>
          <w:sz w:val="22"/>
          <w:szCs w:val="22"/>
        </w:rPr>
      </w:pPr>
      <w:r w:rsidRPr="00322AD5">
        <w:rPr>
          <w:b/>
          <w:sz w:val="22"/>
          <w:szCs w:val="22"/>
        </w:rPr>
        <w:t>Check (applicable entity):</w:t>
      </w:r>
    </w:p>
    <w:p w14:paraId="3CA22BB3" w14:textId="77777777" w:rsidR="006B37DD" w:rsidRPr="00322AD5" w:rsidRDefault="006B37DD" w:rsidP="006B37DD">
      <w:pPr>
        <w:tabs>
          <w:tab w:val="center" w:pos="4455"/>
          <w:tab w:val="center" w:pos="5886"/>
          <w:tab w:val="center" w:pos="7326"/>
        </w:tabs>
        <w:jc w:val="both"/>
        <w:rPr>
          <w:sz w:val="22"/>
          <w:szCs w:val="22"/>
        </w:rPr>
      </w:pPr>
      <w:r w:rsidRPr="00322AD5">
        <w:rPr>
          <w:sz w:val="22"/>
          <w:szCs w:val="22"/>
        </w:rPr>
        <w:tab/>
        <w:t>P/C</w:t>
      </w:r>
      <w:r w:rsidRPr="00322AD5">
        <w:rPr>
          <w:sz w:val="22"/>
          <w:szCs w:val="22"/>
        </w:rPr>
        <w:tab/>
        <w:t>Life</w:t>
      </w:r>
      <w:r w:rsidRPr="00322AD5">
        <w:rPr>
          <w:sz w:val="22"/>
          <w:szCs w:val="22"/>
        </w:rPr>
        <w:tab/>
        <w:t>Health</w:t>
      </w:r>
    </w:p>
    <w:p w14:paraId="347337DD" w14:textId="77777777" w:rsidR="002A1316" w:rsidRPr="00322AD5" w:rsidRDefault="002A1316" w:rsidP="00B30CA0">
      <w:pPr>
        <w:ind w:firstLine="720"/>
        <w:jc w:val="both"/>
        <w:rPr>
          <w:sz w:val="22"/>
          <w:szCs w:val="22"/>
        </w:rPr>
      </w:pPr>
      <w:r w:rsidRPr="00322AD5">
        <w:rPr>
          <w:sz w:val="22"/>
          <w:szCs w:val="22"/>
        </w:rPr>
        <w:t>Modification of existing SSAP</w:t>
      </w:r>
      <w:r w:rsidRPr="00322AD5">
        <w:rPr>
          <w:sz w:val="22"/>
          <w:szCs w:val="22"/>
        </w:rPr>
        <w:tab/>
      </w:r>
      <w:r w:rsidRPr="00322AD5">
        <w:rPr>
          <w:sz w:val="22"/>
          <w:szCs w:val="22"/>
        </w:rPr>
        <w:tab/>
      </w:r>
      <w:r w:rsidRPr="00322AD5">
        <w:rPr>
          <w:sz w:val="22"/>
          <w:szCs w:val="22"/>
        </w:rPr>
        <w:fldChar w:fldCharType="begin">
          <w:ffData>
            <w:name w:val="Check1"/>
            <w:enabled/>
            <w:calcOnExit w:val="0"/>
            <w:checkBox>
              <w:sizeAuto/>
              <w:default w:val="1"/>
            </w:checkBox>
          </w:ffData>
        </w:fldChar>
      </w:r>
      <w:bookmarkStart w:id="2" w:name="Check1"/>
      <w:r w:rsidRPr="00322AD5">
        <w:rPr>
          <w:sz w:val="22"/>
          <w:szCs w:val="22"/>
        </w:rPr>
        <w:instrText xml:space="preserve"> FORMCHECKBOX </w:instrText>
      </w:r>
      <w:r w:rsidR="00C96290">
        <w:rPr>
          <w:sz w:val="22"/>
          <w:szCs w:val="22"/>
        </w:rPr>
      </w:r>
      <w:r w:rsidR="00C96290">
        <w:rPr>
          <w:sz w:val="22"/>
          <w:szCs w:val="22"/>
        </w:rPr>
        <w:fldChar w:fldCharType="separate"/>
      </w:r>
      <w:r w:rsidRPr="00322AD5">
        <w:rPr>
          <w:sz w:val="22"/>
          <w:szCs w:val="22"/>
        </w:rPr>
        <w:fldChar w:fldCharType="end"/>
      </w:r>
      <w:bookmarkEnd w:id="2"/>
      <w:r w:rsidRPr="00322AD5">
        <w:rPr>
          <w:sz w:val="22"/>
          <w:szCs w:val="22"/>
        </w:rPr>
        <w:tab/>
      </w:r>
      <w:r w:rsidRPr="00322AD5">
        <w:rPr>
          <w:sz w:val="22"/>
          <w:szCs w:val="22"/>
        </w:rPr>
        <w:tab/>
      </w:r>
      <w:r w:rsidRPr="00322AD5">
        <w:rPr>
          <w:sz w:val="22"/>
          <w:szCs w:val="22"/>
        </w:rPr>
        <w:fldChar w:fldCharType="begin">
          <w:ffData>
            <w:name w:val=""/>
            <w:enabled/>
            <w:calcOnExit w:val="0"/>
            <w:checkBox>
              <w:sizeAuto/>
              <w:default w:val="1"/>
            </w:checkBox>
          </w:ffData>
        </w:fldChar>
      </w:r>
      <w:r w:rsidRPr="00322AD5">
        <w:rPr>
          <w:sz w:val="22"/>
          <w:szCs w:val="22"/>
        </w:rPr>
        <w:instrText xml:space="preserve"> FORMCHECKBOX </w:instrText>
      </w:r>
      <w:r w:rsidR="00C96290">
        <w:rPr>
          <w:sz w:val="22"/>
          <w:szCs w:val="22"/>
        </w:rPr>
      </w:r>
      <w:r w:rsidR="00C96290">
        <w:rPr>
          <w:sz w:val="22"/>
          <w:szCs w:val="22"/>
        </w:rPr>
        <w:fldChar w:fldCharType="separate"/>
      </w:r>
      <w:r w:rsidRPr="00322AD5">
        <w:rPr>
          <w:sz w:val="22"/>
          <w:szCs w:val="22"/>
        </w:rPr>
        <w:fldChar w:fldCharType="end"/>
      </w:r>
      <w:r w:rsidRPr="00322AD5">
        <w:rPr>
          <w:sz w:val="22"/>
          <w:szCs w:val="22"/>
        </w:rPr>
        <w:tab/>
      </w:r>
      <w:r w:rsidRPr="00322AD5">
        <w:rPr>
          <w:sz w:val="22"/>
          <w:szCs w:val="22"/>
        </w:rPr>
        <w:tab/>
      </w:r>
      <w:r w:rsidRPr="00322AD5">
        <w:rPr>
          <w:sz w:val="22"/>
          <w:szCs w:val="22"/>
        </w:rPr>
        <w:fldChar w:fldCharType="begin">
          <w:ffData>
            <w:name w:val=""/>
            <w:enabled/>
            <w:calcOnExit w:val="0"/>
            <w:checkBox>
              <w:sizeAuto/>
              <w:default w:val="1"/>
            </w:checkBox>
          </w:ffData>
        </w:fldChar>
      </w:r>
      <w:r w:rsidRPr="00322AD5">
        <w:rPr>
          <w:sz w:val="22"/>
          <w:szCs w:val="22"/>
        </w:rPr>
        <w:instrText xml:space="preserve"> FORMCHECKBOX </w:instrText>
      </w:r>
      <w:r w:rsidR="00C96290">
        <w:rPr>
          <w:sz w:val="22"/>
          <w:szCs w:val="22"/>
        </w:rPr>
      </w:r>
      <w:r w:rsidR="00C96290">
        <w:rPr>
          <w:sz w:val="22"/>
          <w:szCs w:val="22"/>
        </w:rPr>
        <w:fldChar w:fldCharType="separate"/>
      </w:r>
      <w:r w:rsidRPr="00322AD5">
        <w:rPr>
          <w:sz w:val="22"/>
          <w:szCs w:val="22"/>
        </w:rPr>
        <w:fldChar w:fldCharType="end"/>
      </w:r>
    </w:p>
    <w:p w14:paraId="4332D7DA" w14:textId="77777777" w:rsidR="002A1316" w:rsidRPr="00322AD5" w:rsidRDefault="002A1316" w:rsidP="00B30CA0">
      <w:pPr>
        <w:ind w:firstLine="720"/>
        <w:jc w:val="both"/>
        <w:rPr>
          <w:sz w:val="22"/>
          <w:szCs w:val="22"/>
        </w:rPr>
      </w:pPr>
      <w:r w:rsidRPr="00322AD5">
        <w:rPr>
          <w:sz w:val="22"/>
          <w:szCs w:val="22"/>
        </w:rPr>
        <w:t xml:space="preserve">New Issue or SSAP   </w:t>
      </w:r>
      <w:r w:rsidRPr="00322AD5">
        <w:rPr>
          <w:sz w:val="22"/>
          <w:szCs w:val="22"/>
        </w:rPr>
        <w:tab/>
      </w:r>
      <w:r w:rsidRPr="00322AD5">
        <w:rPr>
          <w:sz w:val="22"/>
          <w:szCs w:val="22"/>
        </w:rPr>
        <w:tab/>
        <w:t xml:space="preserve">       </w:t>
      </w:r>
      <w:r w:rsidRPr="00322AD5">
        <w:rPr>
          <w:sz w:val="22"/>
          <w:szCs w:val="22"/>
        </w:rPr>
        <w:tab/>
      </w:r>
      <w:r w:rsidRPr="00322AD5">
        <w:rPr>
          <w:sz w:val="22"/>
          <w:szCs w:val="22"/>
        </w:rPr>
        <w:fldChar w:fldCharType="begin">
          <w:ffData>
            <w:name w:val=""/>
            <w:enabled/>
            <w:calcOnExit w:val="0"/>
            <w:checkBox>
              <w:sizeAuto/>
              <w:default w:val="0"/>
            </w:checkBox>
          </w:ffData>
        </w:fldChar>
      </w:r>
      <w:r w:rsidRPr="00322AD5">
        <w:rPr>
          <w:sz w:val="22"/>
          <w:szCs w:val="22"/>
        </w:rPr>
        <w:instrText xml:space="preserve"> FORMCHECKBOX </w:instrText>
      </w:r>
      <w:r w:rsidR="00C96290">
        <w:rPr>
          <w:sz w:val="22"/>
          <w:szCs w:val="22"/>
        </w:rPr>
      </w:r>
      <w:r w:rsidR="00C96290">
        <w:rPr>
          <w:sz w:val="22"/>
          <w:szCs w:val="22"/>
        </w:rPr>
        <w:fldChar w:fldCharType="separate"/>
      </w:r>
      <w:r w:rsidRPr="00322AD5">
        <w:rPr>
          <w:sz w:val="22"/>
          <w:szCs w:val="22"/>
        </w:rPr>
        <w:fldChar w:fldCharType="end"/>
      </w:r>
      <w:r w:rsidRPr="00322AD5">
        <w:rPr>
          <w:sz w:val="22"/>
          <w:szCs w:val="22"/>
        </w:rPr>
        <w:tab/>
      </w:r>
      <w:r w:rsidRPr="00322AD5">
        <w:rPr>
          <w:sz w:val="22"/>
          <w:szCs w:val="22"/>
        </w:rPr>
        <w:tab/>
      </w:r>
      <w:r w:rsidRPr="00322AD5">
        <w:rPr>
          <w:sz w:val="22"/>
          <w:szCs w:val="22"/>
        </w:rPr>
        <w:fldChar w:fldCharType="begin">
          <w:ffData>
            <w:name w:val=""/>
            <w:enabled/>
            <w:calcOnExit w:val="0"/>
            <w:checkBox>
              <w:sizeAuto/>
              <w:default w:val="0"/>
            </w:checkBox>
          </w:ffData>
        </w:fldChar>
      </w:r>
      <w:r w:rsidRPr="00322AD5">
        <w:rPr>
          <w:sz w:val="22"/>
          <w:szCs w:val="22"/>
        </w:rPr>
        <w:instrText xml:space="preserve"> FORMCHECKBOX </w:instrText>
      </w:r>
      <w:r w:rsidR="00C96290">
        <w:rPr>
          <w:sz w:val="22"/>
          <w:szCs w:val="22"/>
        </w:rPr>
      </w:r>
      <w:r w:rsidR="00C96290">
        <w:rPr>
          <w:sz w:val="22"/>
          <w:szCs w:val="22"/>
        </w:rPr>
        <w:fldChar w:fldCharType="separate"/>
      </w:r>
      <w:r w:rsidRPr="00322AD5">
        <w:rPr>
          <w:sz w:val="22"/>
          <w:szCs w:val="22"/>
        </w:rPr>
        <w:fldChar w:fldCharType="end"/>
      </w:r>
      <w:r w:rsidRPr="00322AD5">
        <w:rPr>
          <w:sz w:val="22"/>
          <w:szCs w:val="22"/>
        </w:rPr>
        <w:tab/>
      </w:r>
      <w:r w:rsidRPr="00322AD5">
        <w:rPr>
          <w:sz w:val="22"/>
          <w:szCs w:val="22"/>
        </w:rPr>
        <w:tab/>
      </w:r>
      <w:r w:rsidRPr="00322AD5">
        <w:rPr>
          <w:sz w:val="22"/>
          <w:szCs w:val="22"/>
        </w:rPr>
        <w:fldChar w:fldCharType="begin">
          <w:ffData>
            <w:name w:val=""/>
            <w:enabled/>
            <w:calcOnExit w:val="0"/>
            <w:checkBox>
              <w:sizeAuto/>
              <w:default w:val="0"/>
            </w:checkBox>
          </w:ffData>
        </w:fldChar>
      </w:r>
      <w:r w:rsidRPr="00322AD5">
        <w:rPr>
          <w:sz w:val="22"/>
          <w:szCs w:val="22"/>
        </w:rPr>
        <w:instrText xml:space="preserve"> FORMCHECKBOX </w:instrText>
      </w:r>
      <w:r w:rsidR="00C96290">
        <w:rPr>
          <w:sz w:val="22"/>
          <w:szCs w:val="22"/>
        </w:rPr>
      </w:r>
      <w:r w:rsidR="00C96290">
        <w:rPr>
          <w:sz w:val="22"/>
          <w:szCs w:val="22"/>
        </w:rPr>
        <w:fldChar w:fldCharType="separate"/>
      </w:r>
      <w:r w:rsidRPr="00322AD5">
        <w:rPr>
          <w:sz w:val="22"/>
          <w:szCs w:val="22"/>
        </w:rPr>
        <w:fldChar w:fldCharType="end"/>
      </w:r>
    </w:p>
    <w:p w14:paraId="108F9360" w14:textId="77777777" w:rsidR="0044022E" w:rsidRPr="00322AD5" w:rsidRDefault="0044022E" w:rsidP="0044022E">
      <w:pPr>
        <w:ind w:firstLine="720"/>
        <w:jc w:val="both"/>
        <w:rPr>
          <w:sz w:val="22"/>
          <w:szCs w:val="22"/>
        </w:rPr>
      </w:pPr>
      <w:r w:rsidRPr="00322AD5">
        <w:rPr>
          <w:sz w:val="22"/>
          <w:szCs w:val="22"/>
        </w:rPr>
        <w:t xml:space="preserve">Interpretation </w:t>
      </w:r>
      <w:r w:rsidRPr="00322AD5">
        <w:rPr>
          <w:sz w:val="22"/>
          <w:szCs w:val="22"/>
        </w:rPr>
        <w:tab/>
      </w:r>
      <w:r w:rsidRPr="00322AD5">
        <w:rPr>
          <w:sz w:val="22"/>
          <w:szCs w:val="22"/>
        </w:rPr>
        <w:tab/>
      </w:r>
      <w:r w:rsidRPr="00322AD5">
        <w:rPr>
          <w:sz w:val="22"/>
          <w:szCs w:val="22"/>
        </w:rPr>
        <w:tab/>
      </w:r>
      <w:r w:rsidRPr="00322AD5">
        <w:rPr>
          <w:sz w:val="22"/>
          <w:szCs w:val="22"/>
        </w:rPr>
        <w:tab/>
      </w:r>
      <w:r w:rsidRPr="00322AD5">
        <w:rPr>
          <w:sz w:val="22"/>
          <w:szCs w:val="22"/>
        </w:rPr>
        <w:fldChar w:fldCharType="begin">
          <w:ffData>
            <w:name w:val=""/>
            <w:enabled/>
            <w:calcOnExit w:val="0"/>
            <w:checkBox>
              <w:sizeAuto/>
              <w:default w:val="0"/>
            </w:checkBox>
          </w:ffData>
        </w:fldChar>
      </w:r>
      <w:r w:rsidRPr="00322AD5">
        <w:rPr>
          <w:sz w:val="22"/>
          <w:szCs w:val="22"/>
        </w:rPr>
        <w:instrText xml:space="preserve"> FORMCHECKBOX </w:instrText>
      </w:r>
      <w:r w:rsidR="00C96290">
        <w:rPr>
          <w:sz w:val="22"/>
          <w:szCs w:val="22"/>
        </w:rPr>
      </w:r>
      <w:r w:rsidR="00C96290">
        <w:rPr>
          <w:sz w:val="22"/>
          <w:szCs w:val="22"/>
        </w:rPr>
        <w:fldChar w:fldCharType="separate"/>
      </w:r>
      <w:r w:rsidRPr="00322AD5">
        <w:rPr>
          <w:sz w:val="22"/>
          <w:szCs w:val="22"/>
        </w:rPr>
        <w:fldChar w:fldCharType="end"/>
      </w:r>
      <w:r w:rsidRPr="00322AD5">
        <w:rPr>
          <w:sz w:val="22"/>
          <w:szCs w:val="22"/>
        </w:rPr>
        <w:tab/>
      </w:r>
      <w:r w:rsidRPr="00322AD5">
        <w:rPr>
          <w:sz w:val="22"/>
          <w:szCs w:val="22"/>
        </w:rPr>
        <w:tab/>
      </w:r>
      <w:r w:rsidRPr="00322AD5">
        <w:rPr>
          <w:sz w:val="22"/>
          <w:szCs w:val="22"/>
        </w:rPr>
        <w:fldChar w:fldCharType="begin">
          <w:ffData>
            <w:name w:val=""/>
            <w:enabled/>
            <w:calcOnExit w:val="0"/>
            <w:checkBox>
              <w:sizeAuto/>
              <w:default w:val="0"/>
            </w:checkBox>
          </w:ffData>
        </w:fldChar>
      </w:r>
      <w:r w:rsidRPr="00322AD5">
        <w:rPr>
          <w:sz w:val="22"/>
          <w:szCs w:val="22"/>
        </w:rPr>
        <w:instrText xml:space="preserve"> FORMCHECKBOX </w:instrText>
      </w:r>
      <w:r w:rsidR="00C96290">
        <w:rPr>
          <w:sz w:val="22"/>
          <w:szCs w:val="22"/>
        </w:rPr>
      </w:r>
      <w:r w:rsidR="00C96290">
        <w:rPr>
          <w:sz w:val="22"/>
          <w:szCs w:val="22"/>
        </w:rPr>
        <w:fldChar w:fldCharType="separate"/>
      </w:r>
      <w:r w:rsidRPr="00322AD5">
        <w:rPr>
          <w:sz w:val="22"/>
          <w:szCs w:val="22"/>
        </w:rPr>
        <w:fldChar w:fldCharType="end"/>
      </w:r>
      <w:r w:rsidRPr="00322AD5">
        <w:rPr>
          <w:sz w:val="22"/>
          <w:szCs w:val="22"/>
        </w:rPr>
        <w:tab/>
      </w:r>
      <w:r w:rsidRPr="00322AD5">
        <w:rPr>
          <w:sz w:val="22"/>
          <w:szCs w:val="22"/>
        </w:rPr>
        <w:tab/>
      </w:r>
      <w:r w:rsidRPr="00322AD5">
        <w:rPr>
          <w:sz w:val="22"/>
          <w:szCs w:val="22"/>
        </w:rPr>
        <w:fldChar w:fldCharType="begin">
          <w:ffData>
            <w:name w:val=""/>
            <w:enabled/>
            <w:calcOnExit w:val="0"/>
            <w:checkBox>
              <w:sizeAuto/>
              <w:default w:val="0"/>
            </w:checkBox>
          </w:ffData>
        </w:fldChar>
      </w:r>
      <w:r w:rsidRPr="00322AD5">
        <w:rPr>
          <w:sz w:val="22"/>
          <w:szCs w:val="22"/>
        </w:rPr>
        <w:instrText xml:space="preserve"> FORMCHECKBOX </w:instrText>
      </w:r>
      <w:r w:rsidR="00C96290">
        <w:rPr>
          <w:sz w:val="22"/>
          <w:szCs w:val="22"/>
        </w:rPr>
      </w:r>
      <w:r w:rsidR="00C96290">
        <w:rPr>
          <w:sz w:val="22"/>
          <w:szCs w:val="22"/>
        </w:rPr>
        <w:fldChar w:fldCharType="separate"/>
      </w:r>
      <w:r w:rsidRPr="00322AD5">
        <w:rPr>
          <w:sz w:val="22"/>
          <w:szCs w:val="22"/>
        </w:rPr>
        <w:fldChar w:fldCharType="end"/>
      </w:r>
    </w:p>
    <w:p w14:paraId="6F1580CB" w14:textId="77777777" w:rsidR="002A1316" w:rsidRPr="003E11D7" w:rsidRDefault="002A1316" w:rsidP="00B30CA0">
      <w:pPr>
        <w:jc w:val="both"/>
        <w:rPr>
          <w:sz w:val="22"/>
          <w:szCs w:val="22"/>
        </w:rPr>
      </w:pPr>
    </w:p>
    <w:p w14:paraId="08D2572F" w14:textId="5B2BCB3B" w:rsidR="00351DAD" w:rsidRPr="00AB4042" w:rsidRDefault="002A1316" w:rsidP="00F6642A">
      <w:pPr>
        <w:pStyle w:val="BodyText2"/>
        <w:rPr>
          <w:b w:val="0"/>
          <w:szCs w:val="22"/>
          <w:highlight w:val="yellow"/>
        </w:rPr>
      </w:pPr>
      <w:r w:rsidRPr="00C3376B">
        <w:rPr>
          <w:bCs w:val="0"/>
          <w:szCs w:val="22"/>
        </w:rPr>
        <w:t>Description of Issue:</w:t>
      </w:r>
      <w:r w:rsidR="005F35EF" w:rsidRPr="00C3376B">
        <w:rPr>
          <w:bCs w:val="0"/>
          <w:szCs w:val="22"/>
        </w:rPr>
        <w:t xml:space="preserve"> </w:t>
      </w:r>
      <w:r w:rsidR="00351DAD" w:rsidRPr="00C3376B">
        <w:rPr>
          <w:b w:val="0"/>
          <w:szCs w:val="22"/>
        </w:rPr>
        <w:t xml:space="preserve">In </w:t>
      </w:r>
      <w:r w:rsidR="00226956" w:rsidRPr="00C3376B">
        <w:rPr>
          <w:b w:val="0"/>
          <w:szCs w:val="22"/>
        </w:rPr>
        <w:t>July</w:t>
      </w:r>
      <w:r w:rsidR="00B45186" w:rsidRPr="00C3376B">
        <w:rPr>
          <w:b w:val="0"/>
          <w:szCs w:val="22"/>
        </w:rPr>
        <w:t xml:space="preserve"> </w:t>
      </w:r>
      <w:r w:rsidR="00226956" w:rsidRPr="00C3376B">
        <w:rPr>
          <w:b w:val="0"/>
          <w:szCs w:val="22"/>
        </w:rPr>
        <w:t>2018</w:t>
      </w:r>
      <w:r w:rsidR="00351DAD" w:rsidRPr="00C3376B">
        <w:rPr>
          <w:b w:val="0"/>
          <w:szCs w:val="22"/>
        </w:rPr>
        <w:t xml:space="preserve">, FASB issued </w:t>
      </w:r>
      <w:r w:rsidR="000A3CA8" w:rsidRPr="00C3376B">
        <w:rPr>
          <w:b w:val="0"/>
          <w:i/>
          <w:iCs/>
          <w:szCs w:val="22"/>
        </w:rPr>
        <w:t xml:space="preserve">ASU </w:t>
      </w:r>
      <w:r w:rsidR="006A1469" w:rsidRPr="00C3376B">
        <w:rPr>
          <w:b w:val="0"/>
          <w:i/>
          <w:iCs/>
          <w:szCs w:val="22"/>
        </w:rPr>
        <w:t>2</w:t>
      </w:r>
      <w:r w:rsidR="00226956" w:rsidRPr="00C3376B">
        <w:rPr>
          <w:b w:val="0"/>
          <w:i/>
          <w:iCs/>
          <w:szCs w:val="22"/>
        </w:rPr>
        <w:t>018</w:t>
      </w:r>
      <w:r w:rsidR="006A1469" w:rsidRPr="00C3376B">
        <w:rPr>
          <w:b w:val="0"/>
          <w:i/>
          <w:iCs/>
          <w:szCs w:val="22"/>
        </w:rPr>
        <w:t>-</w:t>
      </w:r>
      <w:r w:rsidR="00226956" w:rsidRPr="00C3376B">
        <w:rPr>
          <w:b w:val="0"/>
          <w:i/>
          <w:iCs/>
          <w:szCs w:val="22"/>
        </w:rPr>
        <w:t>09</w:t>
      </w:r>
      <w:r w:rsidR="00990858">
        <w:rPr>
          <w:b w:val="0"/>
          <w:i/>
          <w:iCs/>
          <w:szCs w:val="22"/>
        </w:rPr>
        <w:t>,</w:t>
      </w:r>
      <w:r w:rsidR="00EA7282" w:rsidRPr="00C3376B">
        <w:rPr>
          <w:b w:val="0"/>
          <w:i/>
          <w:iCs/>
          <w:szCs w:val="22"/>
        </w:rPr>
        <w:t xml:space="preserve"> </w:t>
      </w:r>
      <w:r w:rsidR="006A1469" w:rsidRPr="00C3376B">
        <w:rPr>
          <w:b w:val="0"/>
          <w:i/>
          <w:iCs/>
          <w:szCs w:val="22"/>
        </w:rPr>
        <w:t>Codification Improvements</w:t>
      </w:r>
      <w:r w:rsidR="00351DAD" w:rsidRPr="00C3376B">
        <w:rPr>
          <w:b w:val="0"/>
          <w:i/>
          <w:iCs/>
          <w:szCs w:val="22"/>
        </w:rPr>
        <w:t xml:space="preserve">, </w:t>
      </w:r>
      <w:r w:rsidR="00F6642A" w:rsidRPr="00C3376B">
        <w:rPr>
          <w:b w:val="0"/>
          <w:szCs w:val="22"/>
        </w:rPr>
        <w:t>as part of a standing project on its agenda to address suggestions received from stakeholders on FASB Codifications and to make other incremental improvements to</w:t>
      </w:r>
      <w:r w:rsidR="00990858">
        <w:rPr>
          <w:b w:val="0"/>
          <w:szCs w:val="22"/>
        </w:rPr>
        <w:t xml:space="preserve"> U.S.</w:t>
      </w:r>
      <w:r w:rsidR="00F6642A" w:rsidRPr="00C3376B">
        <w:rPr>
          <w:b w:val="0"/>
          <w:szCs w:val="22"/>
        </w:rPr>
        <w:t xml:space="preserve"> GAAP. This perpetual project </w:t>
      </w:r>
      <w:r w:rsidR="00F6642A" w:rsidRPr="008F0E4F">
        <w:rPr>
          <w:b w:val="0"/>
          <w:szCs w:val="22"/>
        </w:rPr>
        <w:t>facilitates FASB Codification updates for technical corrections, clarifications, and other minor improvements</w:t>
      </w:r>
      <w:r w:rsidR="003B4254" w:rsidRPr="008F0E4F">
        <w:rPr>
          <w:b w:val="0"/>
          <w:szCs w:val="22"/>
        </w:rPr>
        <w:t xml:space="preserve">. </w:t>
      </w:r>
      <w:r w:rsidR="00F91F93" w:rsidRPr="008F0E4F">
        <w:rPr>
          <w:b w:val="0"/>
          <w:szCs w:val="22"/>
        </w:rPr>
        <w:t xml:space="preserve">The </w:t>
      </w:r>
      <w:r w:rsidR="00B007D7" w:rsidRPr="008F0E4F">
        <w:rPr>
          <w:b w:val="0"/>
          <w:szCs w:val="22"/>
        </w:rPr>
        <w:t xml:space="preserve">changes </w:t>
      </w:r>
      <w:r w:rsidR="00623184" w:rsidRPr="008F0E4F">
        <w:rPr>
          <w:b w:val="0"/>
          <w:szCs w:val="22"/>
        </w:rPr>
        <w:t xml:space="preserve">made by </w:t>
      </w:r>
      <w:r w:rsidR="000954DC" w:rsidRPr="008F0E4F">
        <w:rPr>
          <w:b w:val="0"/>
          <w:szCs w:val="22"/>
        </w:rPr>
        <w:t xml:space="preserve">ASU 2018-09 </w:t>
      </w:r>
      <w:r w:rsidR="00140276">
        <w:rPr>
          <w:b w:val="0"/>
          <w:szCs w:val="22"/>
        </w:rPr>
        <w:t>included</w:t>
      </w:r>
      <w:r w:rsidR="000954DC" w:rsidRPr="008F0E4F">
        <w:rPr>
          <w:b w:val="0"/>
          <w:szCs w:val="22"/>
        </w:rPr>
        <w:t xml:space="preserve"> minor clarifications</w:t>
      </w:r>
      <w:r w:rsidR="005916FA" w:rsidRPr="008F0E4F">
        <w:rPr>
          <w:b w:val="0"/>
          <w:szCs w:val="22"/>
        </w:rPr>
        <w:t xml:space="preserve">, </w:t>
      </w:r>
      <w:r w:rsidR="00C23E0B">
        <w:rPr>
          <w:b w:val="0"/>
          <w:szCs w:val="22"/>
        </w:rPr>
        <w:t>corrections</w:t>
      </w:r>
      <w:r w:rsidR="008D1964" w:rsidRPr="008F0E4F">
        <w:rPr>
          <w:b w:val="0"/>
          <w:szCs w:val="22"/>
        </w:rPr>
        <w:t xml:space="preserve">, </w:t>
      </w:r>
      <w:r w:rsidR="002E33A6" w:rsidRPr="008F0E4F">
        <w:rPr>
          <w:b w:val="0"/>
          <w:szCs w:val="22"/>
        </w:rPr>
        <w:t xml:space="preserve">addition of codification references, </w:t>
      </w:r>
      <w:r w:rsidR="00E00986" w:rsidRPr="008F0E4F">
        <w:rPr>
          <w:b w:val="0"/>
          <w:szCs w:val="22"/>
        </w:rPr>
        <w:t xml:space="preserve">guidance relocations, </w:t>
      </w:r>
      <w:r w:rsidR="008F0E4F" w:rsidRPr="008F0E4F">
        <w:rPr>
          <w:b w:val="0"/>
          <w:szCs w:val="22"/>
        </w:rPr>
        <w:t xml:space="preserve">and removal of </w:t>
      </w:r>
      <w:r w:rsidR="00C23E0B" w:rsidRPr="008F0E4F">
        <w:rPr>
          <w:b w:val="0"/>
          <w:szCs w:val="22"/>
        </w:rPr>
        <w:t>redundant</w:t>
      </w:r>
      <w:r w:rsidR="00C23E0B">
        <w:rPr>
          <w:b w:val="0"/>
          <w:szCs w:val="22"/>
        </w:rPr>
        <w:t xml:space="preserve">, </w:t>
      </w:r>
      <w:r w:rsidR="008F0E4F" w:rsidRPr="008F0E4F">
        <w:rPr>
          <w:b w:val="0"/>
          <w:szCs w:val="22"/>
        </w:rPr>
        <w:t>outdated</w:t>
      </w:r>
      <w:r w:rsidR="00C23E0B">
        <w:rPr>
          <w:b w:val="0"/>
          <w:szCs w:val="22"/>
        </w:rPr>
        <w:t>,</w:t>
      </w:r>
      <w:r w:rsidR="008F0E4F" w:rsidRPr="008F0E4F">
        <w:rPr>
          <w:b w:val="0"/>
          <w:szCs w:val="22"/>
        </w:rPr>
        <w:t xml:space="preserve"> or superseded guidance</w:t>
      </w:r>
      <w:r w:rsidR="005F1118" w:rsidRPr="008F0E4F">
        <w:rPr>
          <w:b w:val="0"/>
          <w:szCs w:val="22"/>
        </w:rPr>
        <w:t>.</w:t>
      </w:r>
    </w:p>
    <w:p w14:paraId="3E9D49E6" w14:textId="77777777" w:rsidR="000949E7" w:rsidRPr="00AB4042" w:rsidRDefault="000949E7" w:rsidP="006A1469">
      <w:pPr>
        <w:pStyle w:val="BodyText2"/>
        <w:rPr>
          <w:b w:val="0"/>
          <w:szCs w:val="22"/>
          <w:highlight w:val="yellow"/>
        </w:rPr>
      </w:pPr>
    </w:p>
    <w:p w14:paraId="6C6B67AF" w14:textId="301DB6E8" w:rsidR="002A1316" w:rsidRPr="00AF6EA9" w:rsidRDefault="002A1316" w:rsidP="00B30CA0">
      <w:pPr>
        <w:pStyle w:val="BodyText2"/>
        <w:rPr>
          <w:bCs w:val="0"/>
          <w:szCs w:val="22"/>
        </w:rPr>
      </w:pPr>
      <w:r w:rsidRPr="00AF6EA9">
        <w:rPr>
          <w:bCs w:val="0"/>
          <w:szCs w:val="22"/>
        </w:rPr>
        <w:t>Existing Authoritative Literature:</w:t>
      </w:r>
    </w:p>
    <w:p w14:paraId="685707B8" w14:textId="37005DE6" w:rsidR="00107A2C" w:rsidRPr="00676427" w:rsidRDefault="00107A2C" w:rsidP="00107A2C">
      <w:pPr>
        <w:pStyle w:val="BodyText2"/>
        <w:rPr>
          <w:b w:val="0"/>
          <w:szCs w:val="22"/>
        </w:rPr>
      </w:pPr>
      <w:r>
        <w:rPr>
          <w:b w:val="0"/>
          <w:szCs w:val="22"/>
        </w:rPr>
        <w:t xml:space="preserve">The table starting on page </w:t>
      </w:r>
      <w:r w:rsidR="00990858">
        <w:rPr>
          <w:b w:val="0"/>
          <w:szCs w:val="22"/>
        </w:rPr>
        <w:t>two</w:t>
      </w:r>
      <w:r>
        <w:rPr>
          <w:b w:val="0"/>
          <w:szCs w:val="22"/>
        </w:rPr>
        <w:t xml:space="preserve"> summarizes the updates in this ASU, as well as defines the recommended actions for statutory accounting.</w:t>
      </w:r>
    </w:p>
    <w:p w14:paraId="53434A43" w14:textId="77777777" w:rsidR="00814BEF" w:rsidRPr="00AB4042" w:rsidRDefault="00814BEF" w:rsidP="00B30CA0">
      <w:pPr>
        <w:pStyle w:val="BodyText2"/>
        <w:rPr>
          <w:b w:val="0"/>
          <w:bCs w:val="0"/>
          <w:szCs w:val="22"/>
          <w:highlight w:val="yellow"/>
        </w:rPr>
      </w:pPr>
    </w:p>
    <w:p w14:paraId="13E2BF6B" w14:textId="77777777" w:rsidR="00A23C5E" w:rsidRPr="006549D4" w:rsidRDefault="002A1316" w:rsidP="002C5F30">
      <w:pPr>
        <w:pStyle w:val="BodyText"/>
        <w:rPr>
          <w:sz w:val="22"/>
          <w:szCs w:val="22"/>
        </w:rPr>
      </w:pPr>
      <w:r w:rsidRPr="006549D4">
        <w:rPr>
          <w:b/>
          <w:bCs/>
          <w:sz w:val="22"/>
          <w:szCs w:val="22"/>
        </w:rPr>
        <w:t xml:space="preserve">Activity to Date (issues previously addressed by </w:t>
      </w:r>
      <w:r w:rsidR="006B37DD" w:rsidRPr="006549D4">
        <w:rPr>
          <w:b/>
          <w:bCs/>
          <w:sz w:val="22"/>
          <w:szCs w:val="22"/>
        </w:rPr>
        <w:t xml:space="preserve">the </w:t>
      </w:r>
      <w:r w:rsidR="00004652" w:rsidRPr="006549D4">
        <w:rPr>
          <w:b/>
          <w:bCs/>
          <w:sz w:val="22"/>
          <w:szCs w:val="22"/>
        </w:rPr>
        <w:t>Working Group</w:t>
      </w:r>
      <w:r w:rsidRPr="006549D4">
        <w:rPr>
          <w:b/>
          <w:bCs/>
          <w:sz w:val="22"/>
          <w:szCs w:val="22"/>
        </w:rPr>
        <w:t xml:space="preserve">, Emerging Accounting Issues </w:t>
      </w:r>
      <w:r w:rsidR="00004652" w:rsidRPr="006549D4">
        <w:rPr>
          <w:b/>
          <w:bCs/>
          <w:sz w:val="22"/>
          <w:szCs w:val="22"/>
        </w:rPr>
        <w:t>(E) Working Group</w:t>
      </w:r>
      <w:r w:rsidRPr="006549D4">
        <w:rPr>
          <w:b/>
          <w:bCs/>
          <w:sz w:val="22"/>
          <w:szCs w:val="22"/>
        </w:rPr>
        <w:t>, SEC, FASB, other State Departments of Insurance or other NAIC groups</w:t>
      </w:r>
      <w:r w:rsidRPr="006549D4">
        <w:rPr>
          <w:sz w:val="22"/>
          <w:szCs w:val="22"/>
        </w:rPr>
        <w:t>):</w:t>
      </w:r>
    </w:p>
    <w:p w14:paraId="64CB0C00" w14:textId="0B4B3D97" w:rsidR="002C5F30" w:rsidRPr="006549D4" w:rsidRDefault="001E01E1" w:rsidP="002C5F30">
      <w:pPr>
        <w:pStyle w:val="BodyText"/>
        <w:rPr>
          <w:bCs/>
          <w:sz w:val="22"/>
          <w:szCs w:val="22"/>
        </w:rPr>
      </w:pPr>
      <w:r w:rsidRPr="006549D4">
        <w:rPr>
          <w:bCs/>
          <w:sz w:val="22"/>
          <w:szCs w:val="22"/>
        </w:rPr>
        <w:t>None.</w:t>
      </w:r>
    </w:p>
    <w:p w14:paraId="7044CD15" w14:textId="77777777" w:rsidR="00A202AF" w:rsidRPr="006549D4" w:rsidRDefault="00A202AF" w:rsidP="00706B68">
      <w:pPr>
        <w:pStyle w:val="BodyText2"/>
        <w:rPr>
          <w:rFonts w:eastAsia="MS Mincho"/>
          <w:b w:val="0"/>
          <w:szCs w:val="22"/>
          <w:lang w:eastAsia="ja-JP"/>
        </w:rPr>
      </w:pPr>
    </w:p>
    <w:p w14:paraId="1A7C9804" w14:textId="77777777" w:rsidR="002A1316" w:rsidRPr="006549D4" w:rsidRDefault="002A1316" w:rsidP="00B30CA0">
      <w:pPr>
        <w:pStyle w:val="BodyText"/>
        <w:rPr>
          <w:b/>
          <w:sz w:val="22"/>
          <w:szCs w:val="22"/>
        </w:rPr>
      </w:pPr>
      <w:r w:rsidRPr="006549D4">
        <w:rPr>
          <w:b/>
          <w:sz w:val="22"/>
          <w:szCs w:val="22"/>
        </w:rPr>
        <w:t xml:space="preserve">Information or issues (included in </w:t>
      </w:r>
      <w:r w:rsidRPr="006549D4">
        <w:rPr>
          <w:b/>
          <w:i/>
          <w:sz w:val="22"/>
          <w:szCs w:val="22"/>
        </w:rPr>
        <w:t>Description of Issue</w:t>
      </w:r>
      <w:r w:rsidRPr="006549D4">
        <w:rPr>
          <w:b/>
          <w:sz w:val="22"/>
          <w:szCs w:val="22"/>
        </w:rPr>
        <w:t xml:space="preserve">) not previously contemplated by the </w:t>
      </w:r>
      <w:r w:rsidR="00004652" w:rsidRPr="006549D4">
        <w:rPr>
          <w:b/>
          <w:sz w:val="22"/>
          <w:szCs w:val="22"/>
        </w:rPr>
        <w:t>Working Group</w:t>
      </w:r>
      <w:r w:rsidRPr="006549D4">
        <w:rPr>
          <w:b/>
          <w:sz w:val="22"/>
          <w:szCs w:val="22"/>
        </w:rPr>
        <w:t>:</w:t>
      </w:r>
    </w:p>
    <w:p w14:paraId="19D3DF10" w14:textId="20DF915B" w:rsidR="006B37DD" w:rsidRPr="006549D4" w:rsidRDefault="00351DAD" w:rsidP="00B30CA0">
      <w:pPr>
        <w:pStyle w:val="BodyText2"/>
        <w:rPr>
          <w:b w:val="0"/>
          <w:szCs w:val="22"/>
        </w:rPr>
      </w:pPr>
      <w:r w:rsidRPr="006549D4">
        <w:rPr>
          <w:b w:val="0"/>
          <w:szCs w:val="22"/>
        </w:rPr>
        <w:t>None</w:t>
      </w:r>
      <w:r w:rsidR="007B7741" w:rsidRPr="006549D4">
        <w:rPr>
          <w:b w:val="0"/>
          <w:szCs w:val="22"/>
        </w:rPr>
        <w:t>.</w:t>
      </w:r>
    </w:p>
    <w:p w14:paraId="372E0AF5" w14:textId="77777777" w:rsidR="00015AEA" w:rsidRPr="006549D4" w:rsidRDefault="00015AEA" w:rsidP="00B30CA0">
      <w:pPr>
        <w:pStyle w:val="BodyText2"/>
        <w:rPr>
          <w:b w:val="0"/>
          <w:bCs w:val="0"/>
          <w:szCs w:val="22"/>
        </w:rPr>
      </w:pPr>
    </w:p>
    <w:p w14:paraId="074E048D" w14:textId="04035EAB" w:rsidR="00015AEA" w:rsidRPr="006549D4" w:rsidRDefault="00490996" w:rsidP="00490996">
      <w:pPr>
        <w:pStyle w:val="Default"/>
        <w:rPr>
          <w:b/>
          <w:sz w:val="22"/>
          <w:szCs w:val="22"/>
        </w:rPr>
      </w:pPr>
      <w:r w:rsidRPr="006549D4">
        <w:rPr>
          <w:b/>
          <w:sz w:val="22"/>
          <w:szCs w:val="22"/>
        </w:rPr>
        <w:t>Convergence with International Financial Reporting Standards (IFRS):</w:t>
      </w:r>
    </w:p>
    <w:p w14:paraId="70213B4E" w14:textId="3ADF3ACD" w:rsidR="00490996" w:rsidRPr="006549D4" w:rsidRDefault="001F5FA2" w:rsidP="00490996">
      <w:pPr>
        <w:pStyle w:val="Default"/>
        <w:rPr>
          <w:bCs/>
          <w:sz w:val="22"/>
          <w:szCs w:val="22"/>
        </w:rPr>
      </w:pPr>
      <w:r w:rsidRPr="006549D4">
        <w:rPr>
          <w:bCs/>
          <w:sz w:val="22"/>
          <w:szCs w:val="22"/>
        </w:rPr>
        <w:t>None</w:t>
      </w:r>
      <w:r w:rsidR="007B7741" w:rsidRPr="006549D4">
        <w:rPr>
          <w:bCs/>
          <w:sz w:val="22"/>
          <w:szCs w:val="22"/>
        </w:rPr>
        <w:t>.</w:t>
      </w:r>
    </w:p>
    <w:p w14:paraId="260FCDDE" w14:textId="77777777" w:rsidR="00443ECF" w:rsidRPr="006549D4" w:rsidRDefault="00443ECF" w:rsidP="00490996">
      <w:pPr>
        <w:pStyle w:val="Default"/>
        <w:rPr>
          <w:b/>
          <w:sz w:val="22"/>
          <w:szCs w:val="22"/>
        </w:rPr>
      </w:pPr>
    </w:p>
    <w:p w14:paraId="34CBA3B6" w14:textId="77777777" w:rsidR="002A1316" w:rsidRPr="00333A2E" w:rsidRDefault="002A1316" w:rsidP="00B30CA0">
      <w:pPr>
        <w:pStyle w:val="BodyText2"/>
        <w:rPr>
          <w:szCs w:val="22"/>
        </w:rPr>
      </w:pPr>
      <w:r w:rsidRPr="00333A2E">
        <w:rPr>
          <w:szCs w:val="22"/>
        </w:rPr>
        <w:t>Staff Recommendation:</w:t>
      </w:r>
    </w:p>
    <w:p w14:paraId="190E8E5D" w14:textId="2BAC6D70" w:rsidR="00402FE9" w:rsidRPr="00AB4042" w:rsidRDefault="001819E3" w:rsidP="00443ECF">
      <w:pPr>
        <w:pStyle w:val="BodyText2"/>
        <w:rPr>
          <w:b w:val="0"/>
          <w:bCs w:val="0"/>
          <w:szCs w:val="22"/>
          <w:highlight w:val="yellow"/>
        </w:rPr>
      </w:pPr>
      <w:r>
        <w:rPr>
          <w:iCs/>
          <w:kern w:val="32"/>
          <w:szCs w:val="22"/>
        </w:rPr>
        <w:t>NAIC s</w:t>
      </w:r>
      <w:r w:rsidRPr="00111F26">
        <w:rPr>
          <w:iCs/>
          <w:kern w:val="32"/>
          <w:szCs w:val="22"/>
        </w:rPr>
        <w:t xml:space="preserve">taff </w:t>
      </w:r>
      <w:r w:rsidR="00333A2E" w:rsidRPr="00111F26">
        <w:rPr>
          <w:iCs/>
          <w:kern w:val="32"/>
          <w:szCs w:val="22"/>
        </w:rPr>
        <w:t xml:space="preserve">recommends that the Working Group move this item to the active listing, categorized as a SAP clarification, </w:t>
      </w:r>
      <w:r w:rsidR="00333A2E" w:rsidRPr="00140276">
        <w:rPr>
          <w:iCs/>
          <w:kern w:val="32"/>
          <w:szCs w:val="22"/>
        </w:rPr>
        <w:t xml:space="preserve">and expose revisions to </w:t>
      </w:r>
      <w:r w:rsidR="00140276" w:rsidRPr="00140276">
        <w:rPr>
          <w:iCs/>
          <w:kern w:val="32"/>
          <w:szCs w:val="22"/>
        </w:rPr>
        <w:t>reject</w:t>
      </w:r>
      <w:r w:rsidR="00333A2E" w:rsidRPr="00140276">
        <w:rPr>
          <w:iCs/>
          <w:kern w:val="32"/>
          <w:szCs w:val="22"/>
        </w:rPr>
        <w:t xml:space="preserve"> </w:t>
      </w:r>
      <w:r w:rsidR="00333A2E" w:rsidRPr="00140276">
        <w:rPr>
          <w:i/>
          <w:kern w:val="32"/>
          <w:szCs w:val="22"/>
        </w:rPr>
        <w:t>ASU 2018-09 Codification Improvements</w:t>
      </w:r>
      <w:r w:rsidR="00333A2E" w:rsidRPr="00140276">
        <w:rPr>
          <w:i/>
          <w:iCs/>
          <w:kern w:val="32"/>
          <w:szCs w:val="22"/>
        </w:rPr>
        <w:t xml:space="preserve"> </w:t>
      </w:r>
      <w:r w:rsidR="00333A2E" w:rsidRPr="00140276">
        <w:rPr>
          <w:iCs/>
          <w:kern w:val="32"/>
          <w:szCs w:val="22"/>
        </w:rPr>
        <w:t>for statutory accounting</w:t>
      </w:r>
      <w:r w:rsidR="00140276" w:rsidRPr="00140276">
        <w:rPr>
          <w:iCs/>
          <w:kern w:val="32"/>
          <w:szCs w:val="22"/>
        </w:rPr>
        <w:t xml:space="preserve"> on </w:t>
      </w:r>
      <w:r w:rsidR="00086C52" w:rsidRPr="00086C52">
        <w:rPr>
          <w:i/>
          <w:iCs/>
          <w:kern w:val="32"/>
          <w:szCs w:val="22"/>
        </w:rPr>
        <w:t>Appendix D—Nonapplicable GAAP Pronouncements</w:t>
      </w:r>
      <w:r w:rsidR="00140276">
        <w:rPr>
          <w:iCs/>
          <w:kern w:val="32"/>
          <w:szCs w:val="22"/>
        </w:rPr>
        <w:t xml:space="preserve"> as not applicable to statutory accounting</w:t>
      </w:r>
      <w:r w:rsidR="003B4254">
        <w:rPr>
          <w:iCs/>
          <w:kern w:val="32"/>
          <w:szCs w:val="22"/>
        </w:rPr>
        <w:t xml:space="preserve">. </w:t>
      </w:r>
      <w:r w:rsidR="004F3916">
        <w:rPr>
          <w:iCs/>
          <w:kern w:val="32"/>
          <w:szCs w:val="22"/>
        </w:rPr>
        <w:t xml:space="preserve">This guidance </w:t>
      </w:r>
      <w:r w:rsidR="007E7ADE">
        <w:rPr>
          <w:iCs/>
          <w:kern w:val="32"/>
          <w:szCs w:val="22"/>
        </w:rPr>
        <w:t xml:space="preserve">is not applicable as the changes </w:t>
      </w:r>
      <w:r w:rsidR="007E0BED">
        <w:rPr>
          <w:iCs/>
          <w:kern w:val="32"/>
          <w:szCs w:val="22"/>
        </w:rPr>
        <w:t xml:space="preserve">made by ASU 2018-09, as detailed in the table starting on page </w:t>
      </w:r>
      <w:r w:rsidR="00CF6A4A">
        <w:rPr>
          <w:iCs/>
          <w:kern w:val="32"/>
          <w:szCs w:val="22"/>
        </w:rPr>
        <w:t>two</w:t>
      </w:r>
      <w:r w:rsidR="007E0BED">
        <w:rPr>
          <w:iCs/>
          <w:kern w:val="32"/>
          <w:szCs w:val="22"/>
        </w:rPr>
        <w:t>,</w:t>
      </w:r>
      <w:r w:rsidR="007E7ADE">
        <w:rPr>
          <w:iCs/>
          <w:kern w:val="32"/>
          <w:szCs w:val="22"/>
        </w:rPr>
        <w:t xml:space="preserve"> </w:t>
      </w:r>
      <w:r w:rsidR="00B228DF">
        <w:rPr>
          <w:iCs/>
          <w:kern w:val="32"/>
          <w:szCs w:val="22"/>
        </w:rPr>
        <w:t xml:space="preserve">are to guidance which </w:t>
      </w:r>
      <w:r w:rsidR="007E0BED">
        <w:rPr>
          <w:iCs/>
          <w:kern w:val="32"/>
          <w:szCs w:val="22"/>
        </w:rPr>
        <w:t>has</w:t>
      </w:r>
      <w:r w:rsidR="00B228DF">
        <w:rPr>
          <w:iCs/>
          <w:kern w:val="32"/>
          <w:szCs w:val="22"/>
        </w:rPr>
        <w:t xml:space="preserve"> </w:t>
      </w:r>
      <w:r w:rsidR="007E0BED">
        <w:rPr>
          <w:iCs/>
          <w:kern w:val="32"/>
          <w:szCs w:val="22"/>
        </w:rPr>
        <w:t xml:space="preserve">been </w:t>
      </w:r>
      <w:r w:rsidR="00B228DF">
        <w:rPr>
          <w:iCs/>
          <w:kern w:val="32"/>
          <w:szCs w:val="22"/>
        </w:rPr>
        <w:t>rejected</w:t>
      </w:r>
      <w:r w:rsidR="007E0BED">
        <w:rPr>
          <w:iCs/>
          <w:kern w:val="32"/>
          <w:szCs w:val="22"/>
        </w:rPr>
        <w:t xml:space="preserve"> for,</w:t>
      </w:r>
      <w:r w:rsidR="00B228DF">
        <w:rPr>
          <w:iCs/>
          <w:kern w:val="32"/>
          <w:szCs w:val="22"/>
        </w:rPr>
        <w:t xml:space="preserve"> or is not contained within</w:t>
      </w:r>
      <w:r w:rsidR="007E0BED">
        <w:rPr>
          <w:iCs/>
          <w:kern w:val="32"/>
          <w:szCs w:val="22"/>
        </w:rPr>
        <w:t>,</w:t>
      </w:r>
      <w:r w:rsidR="00B228DF">
        <w:rPr>
          <w:iCs/>
          <w:kern w:val="32"/>
          <w:szCs w:val="22"/>
        </w:rPr>
        <w:t xml:space="preserve"> </w:t>
      </w:r>
      <w:r w:rsidR="0051494F">
        <w:rPr>
          <w:iCs/>
          <w:kern w:val="32"/>
          <w:szCs w:val="22"/>
        </w:rPr>
        <w:t>statutory accounting.</w:t>
      </w:r>
    </w:p>
    <w:p w14:paraId="77DE2F47" w14:textId="77777777" w:rsidR="004B2C29" w:rsidRPr="004B2C29" w:rsidRDefault="004B2C29" w:rsidP="004B2C29">
      <w:pPr>
        <w:pStyle w:val="BodyText2"/>
        <w:rPr>
          <w:b w:val="0"/>
          <w:bCs w:val="0"/>
          <w:szCs w:val="22"/>
        </w:rPr>
      </w:pPr>
    </w:p>
    <w:p w14:paraId="3C0BC26C" w14:textId="1C6F27BF" w:rsidR="002A1316" w:rsidRPr="00833FD3" w:rsidRDefault="002A1316" w:rsidP="00B30CA0">
      <w:pPr>
        <w:pStyle w:val="BodyText2"/>
        <w:rPr>
          <w:szCs w:val="22"/>
        </w:rPr>
      </w:pPr>
      <w:r w:rsidRPr="00833FD3">
        <w:rPr>
          <w:szCs w:val="22"/>
        </w:rPr>
        <w:t>Staff Review Completed by:</w:t>
      </w:r>
    </w:p>
    <w:p w14:paraId="3CBDA9E4" w14:textId="71418D3F" w:rsidR="006A0E69" w:rsidRDefault="00FE7FAA">
      <w:pPr>
        <w:rPr>
          <w:bCs/>
          <w:sz w:val="22"/>
          <w:szCs w:val="22"/>
        </w:rPr>
      </w:pPr>
      <w:r w:rsidRPr="00833FD3">
        <w:rPr>
          <w:bCs/>
          <w:sz w:val="22"/>
          <w:szCs w:val="22"/>
        </w:rPr>
        <w:t xml:space="preserve">NAIC </w:t>
      </w:r>
      <w:r w:rsidR="006B37DD" w:rsidRPr="00833FD3">
        <w:rPr>
          <w:bCs/>
          <w:sz w:val="22"/>
          <w:szCs w:val="22"/>
        </w:rPr>
        <w:t>S</w:t>
      </w:r>
      <w:r w:rsidRPr="00833FD3">
        <w:rPr>
          <w:bCs/>
          <w:sz w:val="22"/>
          <w:szCs w:val="22"/>
        </w:rPr>
        <w:t>taff</w:t>
      </w:r>
      <w:r w:rsidR="001653AE" w:rsidRPr="00833FD3">
        <w:rPr>
          <w:bCs/>
          <w:sz w:val="22"/>
          <w:szCs w:val="22"/>
        </w:rPr>
        <w:t xml:space="preserve"> – </w:t>
      </w:r>
      <w:r w:rsidR="00015AEA" w:rsidRPr="00833FD3">
        <w:rPr>
          <w:bCs/>
          <w:sz w:val="22"/>
          <w:szCs w:val="22"/>
        </w:rPr>
        <w:t>William Oden</w:t>
      </w:r>
      <w:r w:rsidR="007203D1" w:rsidRPr="00833FD3">
        <w:rPr>
          <w:bCs/>
          <w:sz w:val="22"/>
          <w:szCs w:val="22"/>
        </w:rPr>
        <w:t xml:space="preserve">, </w:t>
      </w:r>
      <w:r w:rsidR="003C67A3">
        <w:rPr>
          <w:bCs/>
          <w:sz w:val="22"/>
          <w:szCs w:val="22"/>
        </w:rPr>
        <w:t>July</w:t>
      </w:r>
      <w:r w:rsidR="007203D1" w:rsidRPr="00833FD3">
        <w:rPr>
          <w:bCs/>
          <w:sz w:val="22"/>
          <w:szCs w:val="22"/>
        </w:rPr>
        <w:t xml:space="preserve"> 2023</w:t>
      </w:r>
    </w:p>
    <w:p w14:paraId="14D8AB11" w14:textId="1C83BD0D" w:rsidR="001A56AE" w:rsidRDefault="001A56AE">
      <w:pPr>
        <w:rPr>
          <w:bCs/>
          <w:sz w:val="22"/>
          <w:szCs w:val="22"/>
        </w:rPr>
      </w:pPr>
    </w:p>
    <w:p w14:paraId="4484AEE4" w14:textId="1AC75DFF" w:rsidR="001A56AE" w:rsidRPr="00563707" w:rsidRDefault="001A56AE">
      <w:pPr>
        <w:rPr>
          <w:b/>
          <w:sz w:val="22"/>
          <w:szCs w:val="22"/>
        </w:rPr>
      </w:pPr>
      <w:r w:rsidRPr="00563707">
        <w:rPr>
          <w:b/>
          <w:sz w:val="22"/>
          <w:szCs w:val="22"/>
        </w:rPr>
        <w:t>Status:</w:t>
      </w:r>
    </w:p>
    <w:p w14:paraId="248B9090" w14:textId="2FFAD6FE" w:rsidR="001A56AE" w:rsidRPr="00833FD3" w:rsidRDefault="001A56AE" w:rsidP="00B013BD">
      <w:pPr>
        <w:jc w:val="both"/>
        <w:rPr>
          <w:bCs/>
          <w:sz w:val="22"/>
          <w:szCs w:val="22"/>
        </w:rPr>
      </w:pPr>
      <w:r w:rsidRPr="001A56AE">
        <w:rPr>
          <w:bCs/>
          <w:sz w:val="22"/>
          <w:szCs w:val="22"/>
        </w:rPr>
        <w:t xml:space="preserve">On August 13, 2023, the Statutory Accounting Principles (E) Working Group moved this agenda item to the active listing, categorized as a </w:t>
      </w:r>
      <w:r w:rsidRPr="00086C52">
        <w:rPr>
          <w:bCs/>
          <w:sz w:val="22"/>
          <w:szCs w:val="22"/>
        </w:rPr>
        <w:t xml:space="preserve">SAP </w:t>
      </w:r>
      <w:r w:rsidR="00836826" w:rsidRPr="00086C52">
        <w:rPr>
          <w:bCs/>
          <w:sz w:val="22"/>
          <w:szCs w:val="22"/>
        </w:rPr>
        <w:t>clarification</w:t>
      </w:r>
      <w:r w:rsidRPr="00086C52">
        <w:rPr>
          <w:bCs/>
          <w:sz w:val="22"/>
          <w:szCs w:val="22"/>
        </w:rPr>
        <w:t xml:space="preserve"> </w:t>
      </w:r>
      <w:r w:rsidR="00836826" w:rsidRPr="00086C52">
        <w:rPr>
          <w:bCs/>
          <w:sz w:val="22"/>
          <w:szCs w:val="22"/>
        </w:rPr>
        <w:t xml:space="preserve">and exposed revisions to </w:t>
      </w:r>
      <w:r w:rsidR="00086C52" w:rsidRPr="00086C52">
        <w:rPr>
          <w:i/>
          <w:sz w:val="22"/>
          <w:szCs w:val="22"/>
        </w:rPr>
        <w:t>Appendix D—Nonapplicable GAAP Pronouncements</w:t>
      </w:r>
      <w:r w:rsidR="00836826" w:rsidRPr="00086C52">
        <w:rPr>
          <w:bCs/>
          <w:sz w:val="22"/>
          <w:szCs w:val="22"/>
        </w:rPr>
        <w:t xml:space="preserve"> to reject</w:t>
      </w:r>
      <w:r w:rsidR="00976A4D" w:rsidRPr="00086C52">
        <w:rPr>
          <w:bCs/>
          <w:sz w:val="22"/>
          <w:szCs w:val="22"/>
        </w:rPr>
        <w:t xml:space="preserve"> </w:t>
      </w:r>
      <w:r w:rsidR="00976A4D" w:rsidRPr="00086C52">
        <w:rPr>
          <w:bCs/>
          <w:i/>
          <w:iCs/>
          <w:sz w:val="22"/>
          <w:szCs w:val="22"/>
        </w:rPr>
        <w:t>ASU 2018-09 Codification Improvements</w:t>
      </w:r>
      <w:r w:rsidR="00274AE1" w:rsidRPr="00086C52">
        <w:rPr>
          <w:bCs/>
          <w:sz w:val="22"/>
          <w:szCs w:val="22"/>
        </w:rPr>
        <w:t xml:space="preserve"> as not applicable</w:t>
      </w:r>
      <w:r w:rsidR="00274AE1">
        <w:rPr>
          <w:bCs/>
          <w:sz w:val="22"/>
          <w:szCs w:val="22"/>
        </w:rPr>
        <w:t xml:space="preserve"> for statutory accounting.</w:t>
      </w:r>
    </w:p>
    <w:p w14:paraId="41904D2B" w14:textId="77777777" w:rsidR="006A0E69" w:rsidRDefault="006A0E69">
      <w:pPr>
        <w:rPr>
          <w:bCs/>
          <w:sz w:val="22"/>
          <w:szCs w:val="22"/>
          <w:highlight w:val="yellow"/>
        </w:rPr>
      </w:pPr>
    </w:p>
    <w:bookmarkStart w:id="3" w:name="_Hlk45702860"/>
    <w:p w14:paraId="3B18CD8E" w14:textId="1980EB0F" w:rsidR="006A0E69" w:rsidRPr="000846B1" w:rsidRDefault="006A0E69" w:rsidP="006A0E69">
      <w:pPr>
        <w:rPr>
          <w:sz w:val="16"/>
          <w:szCs w:val="16"/>
        </w:rPr>
        <w:sectPr w:rsidR="006A0E69" w:rsidRPr="000846B1" w:rsidSect="006A0E69">
          <w:headerReference w:type="default" r:id="rId11"/>
          <w:footerReference w:type="default" r:id="rId12"/>
          <w:headerReference w:type="first" r:id="rId13"/>
          <w:footerReference w:type="first" r:id="rId14"/>
          <w:pgSz w:w="12240" w:h="15840" w:code="1"/>
          <w:pgMar w:top="1080" w:right="1080" w:bottom="1080" w:left="1080" w:header="720" w:footer="720" w:gutter="0"/>
          <w:cols w:space="720"/>
          <w:titlePg/>
          <w:docGrid w:linePitch="360"/>
        </w:sectPr>
      </w:pPr>
      <w:r w:rsidRPr="000846B1">
        <w:rPr>
          <w:sz w:val="16"/>
          <w:szCs w:val="16"/>
        </w:rPr>
        <w:fldChar w:fldCharType="begin"/>
      </w:r>
      <w:r w:rsidRPr="000846B1">
        <w:rPr>
          <w:sz w:val="16"/>
          <w:szCs w:val="16"/>
        </w:rPr>
        <w:instrText xml:space="preserve"> FILENAME \p </w:instrText>
      </w:r>
      <w:r w:rsidRPr="000846B1">
        <w:rPr>
          <w:sz w:val="16"/>
          <w:szCs w:val="16"/>
        </w:rPr>
        <w:fldChar w:fldCharType="separate"/>
      </w:r>
      <w:r w:rsidR="00086C52">
        <w:rPr>
          <w:noProof/>
          <w:sz w:val="16"/>
          <w:szCs w:val="16"/>
        </w:rPr>
        <w:t>https://naiconline.sharepoint.com/teams/FRSStatutoryAccounting/National Meetings/A. National Meeting Materials/2023/8-13-23 Summer National Meeting/Exposures/23-19 - ASU 2018-09 - Codification Improvements.docx</w:t>
      </w:r>
      <w:r w:rsidRPr="000846B1">
        <w:rPr>
          <w:sz w:val="16"/>
          <w:szCs w:val="16"/>
        </w:rPr>
        <w:fldChar w:fldCharType="end"/>
      </w:r>
    </w:p>
    <w:p w14:paraId="57ED340D" w14:textId="77777777" w:rsidR="006A0E69" w:rsidRPr="007B2137" w:rsidRDefault="006A0E69" w:rsidP="006A0E69">
      <w:pPr>
        <w:rPr>
          <w:sz w:val="16"/>
          <w:szCs w:val="16"/>
        </w:rPr>
      </w:pPr>
    </w:p>
    <w:bookmarkEnd w:id="3"/>
    <w:p w14:paraId="3C3A0648" w14:textId="4192A55D" w:rsidR="005225C8" w:rsidRPr="007B2137" w:rsidRDefault="005225C8">
      <w:pPr>
        <w:rPr>
          <w:bCs/>
          <w:sz w:val="22"/>
          <w:szCs w:val="22"/>
          <w:highlight w:val="yellow"/>
        </w:rPr>
      </w:pPr>
    </w:p>
    <w:p w14:paraId="4E5FE63A" w14:textId="77777777" w:rsidR="005225C8" w:rsidRPr="007B2137" w:rsidRDefault="005225C8" w:rsidP="005225C8">
      <w:pPr>
        <w:widowControl w:val="0"/>
        <w:autoSpaceDE w:val="0"/>
        <w:autoSpaceDN w:val="0"/>
        <w:adjustRightInd w:val="0"/>
        <w:spacing w:line="239" w:lineRule="auto"/>
        <w:ind w:left="120" w:right="68"/>
      </w:pPr>
      <w:r w:rsidRPr="007B2137">
        <w:rPr>
          <w:rFonts w:eastAsiaTheme="minorEastAsia"/>
          <w:b/>
          <w:bCs/>
          <w:color w:val="000000"/>
        </w:rPr>
        <w:t>The last column lists the status of the GAAP source literature for statutory accounting and the recommended action.</w:t>
      </w:r>
    </w:p>
    <w:p w14:paraId="50101709" w14:textId="77777777" w:rsidR="005225C8" w:rsidRPr="007B2137" w:rsidRDefault="005225C8" w:rsidP="005225C8"/>
    <w:p w14:paraId="1450978D" w14:textId="77777777" w:rsidR="005225C8" w:rsidRPr="007B2137" w:rsidRDefault="005225C8" w:rsidP="005225C8"/>
    <w:tbl>
      <w:tblPr>
        <w:tblStyle w:val="TableGrid"/>
        <w:tblW w:w="13590" w:type="dxa"/>
        <w:tblInd w:w="-185" w:type="dxa"/>
        <w:tblLook w:val="04A0" w:firstRow="1" w:lastRow="0" w:firstColumn="1" w:lastColumn="0" w:noHBand="0" w:noVBand="1"/>
      </w:tblPr>
      <w:tblGrid>
        <w:gridCol w:w="2520"/>
        <w:gridCol w:w="1913"/>
        <w:gridCol w:w="4027"/>
        <w:gridCol w:w="1440"/>
        <w:gridCol w:w="3690"/>
      </w:tblGrid>
      <w:tr w:rsidR="005225C8" w:rsidRPr="007B2137" w14:paraId="57368CA5" w14:textId="77777777" w:rsidTr="00156A39">
        <w:trPr>
          <w:tblHeader/>
        </w:trPr>
        <w:tc>
          <w:tcPr>
            <w:tcW w:w="2520" w:type="dxa"/>
          </w:tcPr>
          <w:p w14:paraId="72D2C98C" w14:textId="77777777" w:rsidR="005225C8" w:rsidRPr="007B2137" w:rsidRDefault="005225C8" w:rsidP="00156A39">
            <w:pPr>
              <w:jc w:val="center"/>
              <w:rPr>
                <w:rFonts w:ascii="Times New Roman" w:hAnsi="Times New Roman" w:cs="Times New Roman"/>
                <w:b/>
                <w:bCs/>
                <w:u w:val="single"/>
              </w:rPr>
            </w:pPr>
            <w:r w:rsidRPr="007B2137">
              <w:rPr>
                <w:rFonts w:ascii="Times New Roman" w:hAnsi="Times New Roman" w:cs="Times New Roman"/>
                <w:b/>
                <w:bCs/>
                <w:u w:val="single"/>
              </w:rPr>
              <w:t>Topic</w:t>
            </w:r>
          </w:p>
        </w:tc>
        <w:tc>
          <w:tcPr>
            <w:tcW w:w="1913" w:type="dxa"/>
          </w:tcPr>
          <w:p w14:paraId="1B8AEB16" w14:textId="5AA80D2A" w:rsidR="005225C8" w:rsidRPr="007B2137" w:rsidRDefault="00E31DB4" w:rsidP="00156A39">
            <w:pPr>
              <w:jc w:val="center"/>
              <w:rPr>
                <w:rFonts w:ascii="Times New Roman" w:hAnsi="Times New Roman" w:cs="Times New Roman"/>
                <w:b/>
                <w:bCs/>
                <w:u w:val="single"/>
              </w:rPr>
            </w:pPr>
            <w:r>
              <w:rPr>
                <w:rFonts w:ascii="Times New Roman" w:hAnsi="Times New Roman" w:cs="Times New Roman"/>
                <w:b/>
                <w:bCs/>
                <w:u w:val="single"/>
              </w:rPr>
              <w:t>Codification</w:t>
            </w:r>
          </w:p>
        </w:tc>
        <w:tc>
          <w:tcPr>
            <w:tcW w:w="4027" w:type="dxa"/>
          </w:tcPr>
          <w:p w14:paraId="3B695BC5" w14:textId="77777777" w:rsidR="005225C8" w:rsidRPr="007B2137" w:rsidRDefault="005225C8" w:rsidP="00156A39">
            <w:pPr>
              <w:jc w:val="center"/>
              <w:rPr>
                <w:rFonts w:ascii="Times New Roman" w:hAnsi="Times New Roman" w:cs="Times New Roman"/>
                <w:b/>
                <w:bCs/>
                <w:u w:val="single"/>
              </w:rPr>
            </w:pPr>
            <w:r w:rsidRPr="007B2137">
              <w:rPr>
                <w:rFonts w:ascii="Times New Roman" w:hAnsi="Times New Roman" w:cs="Times New Roman"/>
                <w:b/>
                <w:bCs/>
                <w:u w:val="single"/>
              </w:rPr>
              <w:t>Abbreviated Summary of Change</w:t>
            </w:r>
          </w:p>
        </w:tc>
        <w:tc>
          <w:tcPr>
            <w:tcW w:w="1440" w:type="dxa"/>
          </w:tcPr>
          <w:p w14:paraId="53F277EC" w14:textId="77777777" w:rsidR="005225C8" w:rsidRPr="007B2137" w:rsidRDefault="005225C8" w:rsidP="00156A39">
            <w:pPr>
              <w:jc w:val="center"/>
              <w:rPr>
                <w:rFonts w:ascii="Times New Roman" w:hAnsi="Times New Roman" w:cs="Times New Roman"/>
                <w:b/>
                <w:bCs/>
                <w:u w:val="single"/>
              </w:rPr>
            </w:pPr>
            <w:r w:rsidRPr="007B2137">
              <w:rPr>
                <w:rFonts w:ascii="Times New Roman" w:hAnsi="Times New Roman" w:cs="Times New Roman"/>
                <w:b/>
                <w:bCs/>
                <w:u w:val="single"/>
              </w:rPr>
              <w:t>Related Paragraphs</w:t>
            </w:r>
          </w:p>
        </w:tc>
        <w:tc>
          <w:tcPr>
            <w:tcW w:w="3690" w:type="dxa"/>
          </w:tcPr>
          <w:p w14:paraId="17EF6D08" w14:textId="77777777" w:rsidR="005225C8" w:rsidRPr="007B2137" w:rsidRDefault="005225C8" w:rsidP="00156A39">
            <w:pPr>
              <w:jc w:val="center"/>
              <w:rPr>
                <w:rFonts w:ascii="Times New Roman" w:hAnsi="Times New Roman" w:cs="Times New Roman"/>
                <w:b/>
                <w:bCs/>
                <w:u w:val="single"/>
              </w:rPr>
            </w:pPr>
            <w:r w:rsidRPr="007B2137">
              <w:rPr>
                <w:rFonts w:ascii="Times New Roman" w:hAnsi="Times New Roman" w:cs="Times New Roman"/>
                <w:b/>
                <w:bCs/>
                <w:u w:val="single"/>
              </w:rPr>
              <w:t>SAP Status/Recommendation</w:t>
            </w:r>
          </w:p>
        </w:tc>
      </w:tr>
      <w:tr w:rsidR="005225C8" w:rsidRPr="007B2137" w14:paraId="19A0A71F" w14:textId="77777777" w:rsidTr="00156A39">
        <w:tc>
          <w:tcPr>
            <w:tcW w:w="2520" w:type="dxa"/>
          </w:tcPr>
          <w:p w14:paraId="1B8E6DD6" w14:textId="4A1D68AA" w:rsidR="005225C8" w:rsidRPr="001149F2" w:rsidRDefault="00A325AF" w:rsidP="00156A39">
            <w:pPr>
              <w:rPr>
                <w:rFonts w:ascii="Times New Roman" w:hAnsi="Times New Roman" w:cs="Times New Roman"/>
              </w:rPr>
            </w:pPr>
            <w:r w:rsidRPr="001149F2">
              <w:rPr>
                <w:rFonts w:ascii="Times New Roman" w:hAnsi="Times New Roman" w:cs="Times New Roman"/>
              </w:rPr>
              <w:t>Reporting Comprehensive Income</w:t>
            </w:r>
            <w:r w:rsidR="00647E3E" w:rsidRPr="001149F2">
              <w:rPr>
                <w:rFonts w:ascii="Times New Roman" w:hAnsi="Times New Roman" w:cs="Times New Roman"/>
              </w:rPr>
              <w:t>—Overall</w:t>
            </w:r>
          </w:p>
        </w:tc>
        <w:tc>
          <w:tcPr>
            <w:tcW w:w="1913" w:type="dxa"/>
          </w:tcPr>
          <w:p w14:paraId="42187346" w14:textId="3FB81BEC" w:rsidR="005225C8" w:rsidRPr="001149F2" w:rsidRDefault="00A325AF" w:rsidP="00156A39">
            <w:pPr>
              <w:jc w:val="center"/>
              <w:rPr>
                <w:rFonts w:ascii="Times New Roman" w:hAnsi="Times New Roman" w:cs="Times New Roman"/>
              </w:rPr>
            </w:pPr>
            <w:r w:rsidRPr="001149F2">
              <w:rPr>
                <w:rFonts w:ascii="Times New Roman" w:hAnsi="Times New Roman" w:cs="Times New Roman"/>
              </w:rPr>
              <w:t>220</w:t>
            </w:r>
            <w:r w:rsidR="00647E3E" w:rsidRPr="001149F2">
              <w:rPr>
                <w:rFonts w:ascii="Times New Roman" w:hAnsi="Times New Roman" w:cs="Times New Roman"/>
              </w:rPr>
              <w:t>-10</w:t>
            </w:r>
          </w:p>
        </w:tc>
        <w:tc>
          <w:tcPr>
            <w:tcW w:w="4027" w:type="dxa"/>
          </w:tcPr>
          <w:p w14:paraId="3F0B17AD" w14:textId="6723094F" w:rsidR="005225C8" w:rsidRPr="001149F2" w:rsidRDefault="00E93A45" w:rsidP="00E93A45">
            <w:pPr>
              <w:rPr>
                <w:rFonts w:ascii="Times New Roman" w:hAnsi="Times New Roman" w:cs="Times New Roman"/>
              </w:rPr>
            </w:pPr>
            <w:r w:rsidRPr="001149F2">
              <w:rPr>
                <w:rFonts w:ascii="Times New Roman" w:hAnsi="Times New Roman" w:cs="Times New Roman"/>
              </w:rPr>
              <w:t>This amendment clarifies the guidance in paragraph 220-10-45-10B by removing the generic phrase taxes not payable in cash, adds guidance that is specific to certain quasi reorganizations, and adds references to applicable guidance for each example that does not qualify as an item of comprehensive income.</w:t>
            </w:r>
          </w:p>
        </w:tc>
        <w:tc>
          <w:tcPr>
            <w:tcW w:w="1440" w:type="dxa"/>
          </w:tcPr>
          <w:p w14:paraId="27981A1F" w14:textId="1F2BD012" w:rsidR="005225C8" w:rsidRPr="001149F2" w:rsidRDefault="00E944CF" w:rsidP="00156A39">
            <w:pPr>
              <w:jc w:val="center"/>
              <w:rPr>
                <w:rFonts w:ascii="Times New Roman" w:hAnsi="Times New Roman" w:cs="Times New Roman"/>
              </w:rPr>
            </w:pPr>
            <w:r w:rsidRPr="001149F2">
              <w:rPr>
                <w:rFonts w:ascii="Times New Roman" w:hAnsi="Times New Roman" w:cs="Times New Roman"/>
              </w:rPr>
              <w:t>45-</w:t>
            </w:r>
            <w:r w:rsidR="00940177" w:rsidRPr="001149F2">
              <w:rPr>
                <w:rFonts w:ascii="Times New Roman" w:hAnsi="Times New Roman" w:cs="Times New Roman"/>
              </w:rPr>
              <w:t>10B</w:t>
            </w:r>
          </w:p>
        </w:tc>
        <w:tc>
          <w:tcPr>
            <w:tcW w:w="3690" w:type="dxa"/>
          </w:tcPr>
          <w:p w14:paraId="2D6BBF8F" w14:textId="77777777" w:rsidR="005225C8" w:rsidRPr="001149F2" w:rsidRDefault="005225C8" w:rsidP="00156A39">
            <w:pPr>
              <w:rPr>
                <w:rFonts w:ascii="Times New Roman" w:hAnsi="Times New Roman" w:cs="Times New Roman"/>
                <w:b/>
                <w:bCs/>
              </w:rPr>
            </w:pPr>
            <w:r w:rsidRPr="001149F2">
              <w:rPr>
                <w:rFonts w:ascii="Times New Roman" w:hAnsi="Times New Roman" w:cs="Times New Roman"/>
                <w:b/>
                <w:bCs/>
              </w:rPr>
              <w:t>This update is not applicable – no action required.</w:t>
            </w:r>
          </w:p>
        </w:tc>
      </w:tr>
      <w:tr w:rsidR="005225C8" w:rsidRPr="007B2137" w14:paraId="3F5EDD17" w14:textId="77777777" w:rsidTr="00156A39">
        <w:tc>
          <w:tcPr>
            <w:tcW w:w="2520" w:type="dxa"/>
          </w:tcPr>
          <w:p w14:paraId="4337FF64" w14:textId="26E1B286" w:rsidR="005225C8" w:rsidRPr="001149F2" w:rsidRDefault="00770D6F" w:rsidP="00156A39">
            <w:pPr>
              <w:rPr>
                <w:rFonts w:ascii="Times New Roman" w:hAnsi="Times New Roman" w:cs="Times New Roman"/>
              </w:rPr>
            </w:pPr>
            <w:r w:rsidRPr="001149F2">
              <w:rPr>
                <w:rFonts w:ascii="Times New Roman" w:hAnsi="Times New Roman" w:cs="Times New Roman"/>
              </w:rPr>
              <w:t>Earnings Per Share</w:t>
            </w:r>
            <w:r w:rsidR="00647E3E" w:rsidRPr="001149F2">
              <w:rPr>
                <w:rFonts w:ascii="Times New Roman" w:hAnsi="Times New Roman" w:cs="Times New Roman"/>
              </w:rPr>
              <w:t>—Overall</w:t>
            </w:r>
          </w:p>
        </w:tc>
        <w:tc>
          <w:tcPr>
            <w:tcW w:w="1913" w:type="dxa"/>
          </w:tcPr>
          <w:p w14:paraId="1AADCA89" w14:textId="3771E55F" w:rsidR="005225C8" w:rsidRPr="001149F2" w:rsidRDefault="00647E3E" w:rsidP="00156A39">
            <w:pPr>
              <w:jc w:val="center"/>
              <w:rPr>
                <w:rFonts w:ascii="Times New Roman" w:hAnsi="Times New Roman" w:cs="Times New Roman"/>
              </w:rPr>
            </w:pPr>
            <w:r w:rsidRPr="001149F2">
              <w:rPr>
                <w:rFonts w:ascii="Times New Roman" w:hAnsi="Times New Roman" w:cs="Times New Roman"/>
              </w:rPr>
              <w:t>260-10</w:t>
            </w:r>
          </w:p>
        </w:tc>
        <w:tc>
          <w:tcPr>
            <w:tcW w:w="4027" w:type="dxa"/>
          </w:tcPr>
          <w:p w14:paraId="4F3B41C6" w14:textId="24BBFFB3" w:rsidR="005225C8" w:rsidRPr="001149F2" w:rsidRDefault="00257949" w:rsidP="00E944CF">
            <w:pPr>
              <w:rPr>
                <w:rFonts w:ascii="Times New Roman" w:hAnsi="Times New Roman" w:cs="Times New Roman"/>
                <w:highlight w:val="yellow"/>
              </w:rPr>
            </w:pPr>
            <w:r w:rsidRPr="001149F2">
              <w:rPr>
                <w:rFonts w:ascii="Times New Roman" w:hAnsi="Times New Roman" w:cs="Times New Roman"/>
              </w:rPr>
              <w:t xml:space="preserve">Correct reference to Earnings per Share example to specifically </w:t>
            </w:r>
            <w:r w:rsidR="00715D00" w:rsidRPr="001149F2">
              <w:rPr>
                <w:rFonts w:ascii="Times New Roman" w:hAnsi="Times New Roman" w:cs="Times New Roman"/>
              </w:rPr>
              <w:t>note that Example 6 illustrates the two-class method.</w:t>
            </w:r>
            <w:r w:rsidR="009F5864" w:rsidRPr="001149F2">
              <w:rPr>
                <w:rFonts w:ascii="Times New Roman" w:hAnsi="Times New Roman" w:cs="Times New Roman"/>
              </w:rPr>
              <w:t xml:space="preserve"> Additional wording clarifications are made within Example 6 as well.</w:t>
            </w:r>
          </w:p>
        </w:tc>
        <w:tc>
          <w:tcPr>
            <w:tcW w:w="1440" w:type="dxa"/>
          </w:tcPr>
          <w:p w14:paraId="694EEDA4" w14:textId="77777777" w:rsidR="005225C8" w:rsidRPr="001149F2" w:rsidRDefault="00E944CF" w:rsidP="00156A39">
            <w:pPr>
              <w:jc w:val="center"/>
              <w:rPr>
                <w:rFonts w:ascii="Times New Roman" w:hAnsi="Times New Roman" w:cs="Times New Roman"/>
              </w:rPr>
            </w:pPr>
            <w:r w:rsidRPr="001149F2">
              <w:rPr>
                <w:rFonts w:ascii="Times New Roman" w:hAnsi="Times New Roman" w:cs="Times New Roman"/>
              </w:rPr>
              <w:t>45-60B</w:t>
            </w:r>
          </w:p>
          <w:p w14:paraId="2F5734C1" w14:textId="3CA8575B" w:rsidR="009F5864" w:rsidRPr="001149F2" w:rsidRDefault="009F5864" w:rsidP="00156A39">
            <w:pPr>
              <w:jc w:val="center"/>
              <w:rPr>
                <w:rFonts w:ascii="Times New Roman" w:hAnsi="Times New Roman" w:cs="Times New Roman"/>
                <w:highlight w:val="yellow"/>
              </w:rPr>
            </w:pPr>
            <w:r w:rsidRPr="001149F2">
              <w:rPr>
                <w:rFonts w:ascii="Times New Roman" w:hAnsi="Times New Roman" w:cs="Times New Roman"/>
              </w:rPr>
              <w:t>55-62</w:t>
            </w:r>
          </w:p>
        </w:tc>
        <w:tc>
          <w:tcPr>
            <w:tcW w:w="3690" w:type="dxa"/>
          </w:tcPr>
          <w:p w14:paraId="51F5021C" w14:textId="77777777" w:rsidR="005225C8" w:rsidRPr="001149F2" w:rsidRDefault="005225C8" w:rsidP="00156A39">
            <w:pPr>
              <w:rPr>
                <w:rFonts w:ascii="Times New Roman" w:hAnsi="Times New Roman" w:cs="Times New Roman"/>
                <w:highlight w:val="yellow"/>
              </w:rPr>
            </w:pPr>
            <w:r w:rsidRPr="001149F2">
              <w:rPr>
                <w:rFonts w:ascii="Times New Roman" w:hAnsi="Times New Roman" w:cs="Times New Roman"/>
                <w:b/>
                <w:bCs/>
              </w:rPr>
              <w:t>This update is not applicable – no action required.</w:t>
            </w:r>
          </w:p>
        </w:tc>
      </w:tr>
      <w:tr w:rsidR="005225C8" w:rsidRPr="007B2137" w14:paraId="081F3A78" w14:textId="77777777" w:rsidTr="00156A39">
        <w:tc>
          <w:tcPr>
            <w:tcW w:w="2520" w:type="dxa"/>
          </w:tcPr>
          <w:p w14:paraId="788C874F" w14:textId="77777777" w:rsidR="0094468B" w:rsidRPr="001149F2" w:rsidRDefault="0094468B" w:rsidP="0094468B">
            <w:pPr>
              <w:rPr>
                <w:rFonts w:ascii="Times New Roman" w:hAnsi="Times New Roman" w:cs="Times New Roman"/>
              </w:rPr>
            </w:pPr>
            <w:r w:rsidRPr="001149F2">
              <w:rPr>
                <w:rFonts w:ascii="Times New Roman" w:hAnsi="Times New Roman" w:cs="Times New Roman"/>
              </w:rPr>
              <w:t>Investments—Debt and</w:t>
            </w:r>
          </w:p>
          <w:p w14:paraId="3554A1EF" w14:textId="422FC92D" w:rsidR="005225C8" w:rsidRPr="001149F2" w:rsidRDefault="0094468B" w:rsidP="0094468B">
            <w:pPr>
              <w:rPr>
                <w:rFonts w:ascii="Times New Roman" w:hAnsi="Times New Roman" w:cs="Times New Roman"/>
              </w:rPr>
            </w:pPr>
            <w:r w:rsidRPr="001149F2">
              <w:rPr>
                <w:rFonts w:ascii="Times New Roman" w:hAnsi="Times New Roman" w:cs="Times New Roman"/>
              </w:rPr>
              <w:t>Equity Securities—Overall</w:t>
            </w:r>
          </w:p>
        </w:tc>
        <w:tc>
          <w:tcPr>
            <w:tcW w:w="1913" w:type="dxa"/>
          </w:tcPr>
          <w:p w14:paraId="0AD51ADB" w14:textId="1D2A1E48" w:rsidR="005225C8" w:rsidRPr="001149F2" w:rsidRDefault="0094468B" w:rsidP="00156A39">
            <w:pPr>
              <w:jc w:val="center"/>
              <w:rPr>
                <w:rFonts w:ascii="Times New Roman" w:hAnsi="Times New Roman" w:cs="Times New Roman"/>
              </w:rPr>
            </w:pPr>
            <w:r w:rsidRPr="001149F2">
              <w:rPr>
                <w:rFonts w:ascii="Times New Roman" w:hAnsi="Times New Roman" w:cs="Times New Roman"/>
              </w:rPr>
              <w:t>320</w:t>
            </w:r>
            <w:r w:rsidR="005225C8" w:rsidRPr="001149F2">
              <w:rPr>
                <w:rFonts w:ascii="Times New Roman" w:hAnsi="Times New Roman" w:cs="Times New Roman"/>
              </w:rPr>
              <w:t>-10</w:t>
            </w:r>
          </w:p>
        </w:tc>
        <w:tc>
          <w:tcPr>
            <w:tcW w:w="4027" w:type="dxa"/>
          </w:tcPr>
          <w:p w14:paraId="2C73EC8C" w14:textId="7AAAEEDD" w:rsidR="005225C8" w:rsidRPr="001149F2" w:rsidRDefault="005228E9" w:rsidP="005228E9">
            <w:pPr>
              <w:rPr>
                <w:rFonts w:ascii="Times New Roman" w:hAnsi="Times New Roman" w:cs="Times New Roman"/>
                <w:highlight w:val="yellow"/>
              </w:rPr>
            </w:pPr>
            <w:r w:rsidRPr="001149F2">
              <w:rPr>
                <w:rFonts w:ascii="Times New Roman" w:hAnsi="Times New Roman" w:cs="Times New Roman"/>
              </w:rPr>
              <w:t>These amendments simplify the Codification by removing redundant disclosure requirements in paragraphs 320-10-50-1A and 320-10-50-13. These amendments supersede paragraph 320-10-50-13 and add clarification to the disclosure requirements in paragraph 320-10-50-1A for summarized financial information.</w:t>
            </w:r>
          </w:p>
        </w:tc>
        <w:tc>
          <w:tcPr>
            <w:tcW w:w="1440" w:type="dxa"/>
          </w:tcPr>
          <w:p w14:paraId="45CD850F" w14:textId="77777777" w:rsidR="005225C8" w:rsidRPr="001149F2" w:rsidRDefault="000C16E8" w:rsidP="00156A39">
            <w:pPr>
              <w:jc w:val="center"/>
              <w:rPr>
                <w:rFonts w:ascii="Times New Roman" w:hAnsi="Times New Roman" w:cs="Times New Roman"/>
              </w:rPr>
            </w:pPr>
            <w:r w:rsidRPr="001149F2">
              <w:rPr>
                <w:rFonts w:ascii="Times New Roman" w:hAnsi="Times New Roman" w:cs="Times New Roman"/>
              </w:rPr>
              <w:t>50-1A</w:t>
            </w:r>
          </w:p>
          <w:p w14:paraId="7646780B" w14:textId="0A90C2EB" w:rsidR="000C16E8" w:rsidRPr="001149F2" w:rsidRDefault="000C16E8" w:rsidP="00156A39">
            <w:pPr>
              <w:jc w:val="center"/>
              <w:rPr>
                <w:rFonts w:ascii="Times New Roman" w:hAnsi="Times New Roman" w:cs="Times New Roman"/>
                <w:highlight w:val="yellow"/>
              </w:rPr>
            </w:pPr>
            <w:r w:rsidRPr="001149F2">
              <w:rPr>
                <w:rFonts w:ascii="Times New Roman" w:hAnsi="Times New Roman" w:cs="Times New Roman"/>
              </w:rPr>
              <w:t>50-13</w:t>
            </w:r>
          </w:p>
        </w:tc>
        <w:tc>
          <w:tcPr>
            <w:tcW w:w="3690" w:type="dxa"/>
          </w:tcPr>
          <w:p w14:paraId="0CAAE324" w14:textId="261C1AC5" w:rsidR="00AD30E5" w:rsidRPr="001149F2" w:rsidRDefault="0098539D" w:rsidP="00156A39">
            <w:pPr>
              <w:rPr>
                <w:rFonts w:ascii="Times New Roman" w:hAnsi="Times New Roman" w:cs="Times New Roman"/>
              </w:rPr>
            </w:pPr>
            <w:r w:rsidRPr="001149F2">
              <w:rPr>
                <w:rFonts w:ascii="Times New Roman" w:hAnsi="Times New Roman" w:cs="Times New Roman"/>
              </w:rPr>
              <w:t xml:space="preserve">Summarized financial </w:t>
            </w:r>
            <w:r w:rsidR="00AD30E5" w:rsidRPr="001149F2">
              <w:rPr>
                <w:rFonts w:ascii="Times New Roman" w:hAnsi="Times New Roman" w:cs="Times New Roman"/>
              </w:rPr>
              <w:t>information</w:t>
            </w:r>
            <w:r w:rsidRPr="001149F2">
              <w:rPr>
                <w:rFonts w:ascii="Times New Roman" w:hAnsi="Times New Roman" w:cs="Times New Roman"/>
              </w:rPr>
              <w:t xml:space="preserve"> </w:t>
            </w:r>
            <w:r w:rsidR="00AD30E5" w:rsidRPr="001149F2">
              <w:rPr>
                <w:rFonts w:ascii="Times New Roman" w:hAnsi="Times New Roman" w:cs="Times New Roman"/>
              </w:rPr>
              <w:t>in relation to debt and equity securities are not addressed within statutory accounting.</w:t>
            </w:r>
          </w:p>
          <w:p w14:paraId="1A94BA6A" w14:textId="77777777" w:rsidR="00AD30E5" w:rsidRPr="001149F2" w:rsidRDefault="00AD30E5" w:rsidP="00156A39">
            <w:pPr>
              <w:rPr>
                <w:rFonts w:ascii="Times New Roman" w:hAnsi="Times New Roman" w:cs="Times New Roman"/>
              </w:rPr>
            </w:pPr>
          </w:p>
          <w:p w14:paraId="08783F40" w14:textId="12D899E6" w:rsidR="005225C8" w:rsidRPr="001149F2" w:rsidRDefault="005225C8" w:rsidP="00156A39">
            <w:pPr>
              <w:rPr>
                <w:rFonts w:ascii="Times New Roman" w:hAnsi="Times New Roman" w:cs="Times New Roman"/>
                <w:highlight w:val="yellow"/>
              </w:rPr>
            </w:pPr>
            <w:r w:rsidRPr="001149F2">
              <w:rPr>
                <w:rFonts w:ascii="Times New Roman" w:hAnsi="Times New Roman" w:cs="Times New Roman"/>
                <w:b/>
                <w:bCs/>
              </w:rPr>
              <w:t>This update is not applicable – no action required.</w:t>
            </w:r>
          </w:p>
        </w:tc>
      </w:tr>
      <w:tr w:rsidR="005225C8" w:rsidRPr="007B2137" w14:paraId="62B78565" w14:textId="77777777" w:rsidTr="00156A39">
        <w:tc>
          <w:tcPr>
            <w:tcW w:w="2520" w:type="dxa"/>
          </w:tcPr>
          <w:p w14:paraId="1C3EC8FC" w14:textId="77777777" w:rsidR="008E4A48" w:rsidRPr="001149F2" w:rsidRDefault="008E4A48" w:rsidP="008E4A48">
            <w:pPr>
              <w:autoSpaceDE w:val="0"/>
              <w:autoSpaceDN w:val="0"/>
              <w:adjustRightInd w:val="0"/>
              <w:rPr>
                <w:rFonts w:ascii="Times New Roman" w:hAnsi="Times New Roman" w:cs="Times New Roman"/>
              </w:rPr>
            </w:pPr>
            <w:r w:rsidRPr="001149F2">
              <w:rPr>
                <w:rFonts w:ascii="Times New Roman" w:hAnsi="Times New Roman" w:cs="Times New Roman"/>
              </w:rPr>
              <w:t>Debt—Modifications</w:t>
            </w:r>
          </w:p>
          <w:p w14:paraId="3112B442" w14:textId="2FB137C0" w:rsidR="005225C8" w:rsidRPr="001149F2" w:rsidRDefault="008E4A48" w:rsidP="008E4A48">
            <w:pPr>
              <w:rPr>
                <w:rFonts w:ascii="Times New Roman" w:hAnsi="Times New Roman" w:cs="Times New Roman"/>
                <w:highlight w:val="yellow"/>
              </w:rPr>
            </w:pPr>
            <w:r w:rsidRPr="001149F2">
              <w:rPr>
                <w:rFonts w:ascii="Times New Roman" w:hAnsi="Times New Roman" w:cs="Times New Roman"/>
              </w:rPr>
              <w:t>and Extinguishments</w:t>
            </w:r>
          </w:p>
        </w:tc>
        <w:tc>
          <w:tcPr>
            <w:tcW w:w="1913" w:type="dxa"/>
          </w:tcPr>
          <w:p w14:paraId="2A22505F" w14:textId="44CA2B9E" w:rsidR="005225C8" w:rsidRPr="001149F2" w:rsidRDefault="008E4A48" w:rsidP="00156A39">
            <w:pPr>
              <w:jc w:val="center"/>
              <w:rPr>
                <w:rFonts w:ascii="Times New Roman" w:hAnsi="Times New Roman" w:cs="Times New Roman"/>
                <w:highlight w:val="yellow"/>
              </w:rPr>
            </w:pPr>
            <w:r w:rsidRPr="001149F2">
              <w:rPr>
                <w:rFonts w:ascii="Times New Roman" w:hAnsi="Times New Roman" w:cs="Times New Roman"/>
              </w:rPr>
              <w:t>470-50</w:t>
            </w:r>
          </w:p>
        </w:tc>
        <w:tc>
          <w:tcPr>
            <w:tcW w:w="4027" w:type="dxa"/>
          </w:tcPr>
          <w:p w14:paraId="74E2603C" w14:textId="3FFA5332" w:rsidR="005225C8" w:rsidRPr="001149F2" w:rsidRDefault="00921315" w:rsidP="00C705A3">
            <w:pPr>
              <w:rPr>
                <w:rFonts w:ascii="Times New Roman" w:hAnsi="Times New Roman" w:cs="Times New Roman"/>
                <w:highlight w:val="yellow"/>
              </w:rPr>
            </w:pPr>
            <w:r w:rsidRPr="001149F2">
              <w:rPr>
                <w:rFonts w:ascii="Times New Roman" w:hAnsi="Times New Roman" w:cs="Times New Roman"/>
              </w:rPr>
              <w:t>The amendment</w:t>
            </w:r>
            <w:r w:rsidR="000A5CA1" w:rsidRPr="001149F2">
              <w:rPr>
                <w:rFonts w:ascii="Times New Roman" w:hAnsi="Times New Roman" w:cs="Times New Roman"/>
              </w:rPr>
              <w:t xml:space="preserve"> add</w:t>
            </w:r>
            <w:r w:rsidR="00BF2F48" w:rsidRPr="001149F2">
              <w:rPr>
                <w:rFonts w:ascii="Times New Roman" w:hAnsi="Times New Roman" w:cs="Times New Roman"/>
              </w:rPr>
              <w:t>s</w:t>
            </w:r>
            <w:r w:rsidR="000A5CA1" w:rsidRPr="001149F2">
              <w:rPr>
                <w:rFonts w:ascii="Times New Roman" w:hAnsi="Times New Roman" w:cs="Times New Roman"/>
              </w:rPr>
              <w:t xml:space="preserve"> guidance to clarify that when the fair value option has been elected on debt that is extinguished, the net carrying amount </w:t>
            </w:r>
            <w:r w:rsidR="000A5CA1" w:rsidRPr="001149F2">
              <w:rPr>
                <w:rFonts w:ascii="Times New Roman" w:hAnsi="Times New Roman" w:cs="Times New Roman"/>
              </w:rPr>
              <w:lastRenderedPageBreak/>
              <w:t>of the extinguished debt equals its fair value at the reacquisition date</w:t>
            </w:r>
            <w:r w:rsidR="003B4254" w:rsidRPr="001149F2">
              <w:rPr>
                <w:rFonts w:ascii="Times New Roman" w:hAnsi="Times New Roman" w:cs="Times New Roman"/>
              </w:rPr>
              <w:t xml:space="preserve">. </w:t>
            </w:r>
            <w:r w:rsidRPr="001149F2">
              <w:rPr>
                <w:rFonts w:ascii="Times New Roman" w:hAnsi="Times New Roman" w:cs="Times New Roman"/>
              </w:rPr>
              <w:t xml:space="preserve">Additionally, </w:t>
            </w:r>
            <w:r w:rsidR="00C705A3" w:rsidRPr="001149F2">
              <w:rPr>
                <w:rFonts w:ascii="Times New Roman" w:hAnsi="Times New Roman" w:cs="Times New Roman"/>
              </w:rPr>
              <w:t>th</w:t>
            </w:r>
            <w:r w:rsidR="000A5CA1" w:rsidRPr="001149F2">
              <w:rPr>
                <w:rFonts w:ascii="Times New Roman" w:hAnsi="Times New Roman" w:cs="Times New Roman"/>
              </w:rPr>
              <w:t>e cumulative amounts of gains or losses in other comprehensive</w:t>
            </w:r>
            <w:r w:rsidR="00C705A3" w:rsidRPr="001149F2">
              <w:rPr>
                <w:rFonts w:ascii="Times New Roman" w:hAnsi="Times New Roman" w:cs="Times New Roman"/>
              </w:rPr>
              <w:t xml:space="preserve"> </w:t>
            </w:r>
            <w:r w:rsidR="000A5CA1" w:rsidRPr="001149F2">
              <w:rPr>
                <w:rFonts w:ascii="Times New Roman" w:hAnsi="Times New Roman" w:cs="Times New Roman"/>
              </w:rPr>
              <w:t>income that resulted from changes in instrument-specific credit risk must</w:t>
            </w:r>
            <w:r w:rsidR="00C705A3" w:rsidRPr="001149F2">
              <w:rPr>
                <w:rFonts w:ascii="Times New Roman" w:hAnsi="Times New Roman" w:cs="Times New Roman"/>
              </w:rPr>
              <w:t xml:space="preserve"> </w:t>
            </w:r>
            <w:r w:rsidR="000A5CA1" w:rsidRPr="001149F2">
              <w:rPr>
                <w:rFonts w:ascii="Times New Roman" w:hAnsi="Times New Roman" w:cs="Times New Roman"/>
              </w:rPr>
              <w:t>be included in the measurement of gain or loss presented in net income</w:t>
            </w:r>
            <w:r w:rsidR="00C705A3" w:rsidRPr="001149F2">
              <w:rPr>
                <w:rFonts w:ascii="Times New Roman" w:hAnsi="Times New Roman" w:cs="Times New Roman"/>
              </w:rPr>
              <w:t xml:space="preserve"> </w:t>
            </w:r>
            <w:r w:rsidR="000A5CA1" w:rsidRPr="001149F2">
              <w:rPr>
                <w:rFonts w:ascii="Times New Roman" w:hAnsi="Times New Roman" w:cs="Times New Roman"/>
              </w:rPr>
              <w:t>for the extinguished debt.</w:t>
            </w:r>
          </w:p>
        </w:tc>
        <w:tc>
          <w:tcPr>
            <w:tcW w:w="1440" w:type="dxa"/>
          </w:tcPr>
          <w:p w14:paraId="2B92C430" w14:textId="5F2E6298" w:rsidR="00D566BE" w:rsidRPr="001149F2" w:rsidRDefault="00D566BE" w:rsidP="00D566BE">
            <w:pPr>
              <w:jc w:val="center"/>
              <w:rPr>
                <w:rFonts w:ascii="Times New Roman" w:hAnsi="Times New Roman" w:cs="Times New Roman"/>
                <w:highlight w:val="yellow"/>
              </w:rPr>
            </w:pPr>
            <w:r w:rsidRPr="001149F2">
              <w:rPr>
                <w:rFonts w:ascii="Times New Roman" w:hAnsi="Times New Roman" w:cs="Times New Roman"/>
              </w:rPr>
              <w:lastRenderedPageBreak/>
              <w:t>40-2A</w:t>
            </w:r>
          </w:p>
        </w:tc>
        <w:tc>
          <w:tcPr>
            <w:tcW w:w="3690" w:type="dxa"/>
          </w:tcPr>
          <w:p w14:paraId="5CB34295" w14:textId="6EBD763F" w:rsidR="005225C8" w:rsidRPr="00196790" w:rsidRDefault="00243BE3" w:rsidP="00243BE3">
            <w:pPr>
              <w:rPr>
                <w:rFonts w:ascii="Times New Roman" w:hAnsi="Times New Roman" w:cs="Times New Roman"/>
              </w:rPr>
            </w:pPr>
            <w:r w:rsidRPr="006876DE">
              <w:rPr>
                <w:rFonts w:ascii="Times New Roman" w:hAnsi="Times New Roman" w:cs="Times New Roman"/>
                <w:i/>
                <w:iCs/>
              </w:rPr>
              <w:t xml:space="preserve">FAS 159, The Fair Value Option for Financial Assets and Financial Liabilities—Including an Amendment of FASB Statement No. </w:t>
            </w:r>
            <w:r w:rsidRPr="006876DE">
              <w:rPr>
                <w:rFonts w:ascii="Times New Roman" w:hAnsi="Times New Roman" w:cs="Times New Roman"/>
                <w:i/>
                <w:iCs/>
              </w:rPr>
              <w:lastRenderedPageBreak/>
              <w:t>115</w:t>
            </w:r>
            <w:r w:rsidRPr="00196790">
              <w:rPr>
                <w:rFonts w:ascii="Times New Roman" w:hAnsi="Times New Roman" w:cs="Times New Roman"/>
              </w:rPr>
              <w:t xml:space="preserve"> was rejected for statutory accounting purposes</w:t>
            </w:r>
            <w:r w:rsidR="003B4254" w:rsidRPr="00196790">
              <w:rPr>
                <w:rFonts w:ascii="Times New Roman" w:hAnsi="Times New Roman" w:cs="Times New Roman"/>
              </w:rPr>
              <w:t xml:space="preserve">. </w:t>
            </w:r>
            <w:r w:rsidRPr="00196790">
              <w:rPr>
                <w:rFonts w:ascii="Times New Roman" w:hAnsi="Times New Roman" w:cs="Times New Roman"/>
              </w:rPr>
              <w:t>As such no changes are recommended.</w:t>
            </w:r>
          </w:p>
          <w:p w14:paraId="640E3262" w14:textId="77777777" w:rsidR="005225C8" w:rsidRPr="00196790" w:rsidRDefault="005225C8" w:rsidP="00156A39">
            <w:pPr>
              <w:rPr>
                <w:rFonts w:ascii="Times New Roman" w:hAnsi="Times New Roman" w:cs="Times New Roman"/>
              </w:rPr>
            </w:pPr>
          </w:p>
          <w:p w14:paraId="0FAFB4CB" w14:textId="77777777" w:rsidR="005225C8" w:rsidRPr="00196790" w:rsidRDefault="005225C8" w:rsidP="00156A39">
            <w:pPr>
              <w:rPr>
                <w:rFonts w:ascii="Times New Roman" w:hAnsi="Times New Roman" w:cs="Times New Roman"/>
                <w:highlight w:val="yellow"/>
              </w:rPr>
            </w:pPr>
            <w:r w:rsidRPr="00196790">
              <w:rPr>
                <w:rFonts w:ascii="Times New Roman" w:hAnsi="Times New Roman" w:cs="Times New Roman"/>
                <w:b/>
                <w:bCs/>
              </w:rPr>
              <w:t>This update is not applicable – no action required.</w:t>
            </w:r>
          </w:p>
        </w:tc>
      </w:tr>
      <w:tr w:rsidR="005225C8" w:rsidRPr="007B2137" w14:paraId="26BF492B" w14:textId="77777777" w:rsidTr="00156A39">
        <w:tc>
          <w:tcPr>
            <w:tcW w:w="2520" w:type="dxa"/>
          </w:tcPr>
          <w:p w14:paraId="35854FA1" w14:textId="31B6D04E" w:rsidR="005225C8" w:rsidRPr="001149F2" w:rsidRDefault="00D41754" w:rsidP="00D41754">
            <w:pPr>
              <w:rPr>
                <w:rFonts w:ascii="Times New Roman" w:hAnsi="Times New Roman" w:cs="Times New Roman"/>
                <w:highlight w:val="yellow"/>
              </w:rPr>
            </w:pPr>
            <w:r w:rsidRPr="001149F2">
              <w:rPr>
                <w:rFonts w:ascii="Times New Roman" w:hAnsi="Times New Roman" w:cs="Times New Roman"/>
              </w:rPr>
              <w:lastRenderedPageBreak/>
              <w:t>Distinguishing Liabilities from Equity—Overall</w:t>
            </w:r>
          </w:p>
        </w:tc>
        <w:tc>
          <w:tcPr>
            <w:tcW w:w="1913" w:type="dxa"/>
          </w:tcPr>
          <w:p w14:paraId="55E76998" w14:textId="42924DC2" w:rsidR="005225C8" w:rsidRPr="001149F2" w:rsidRDefault="00642094" w:rsidP="00156A39">
            <w:pPr>
              <w:jc w:val="center"/>
              <w:rPr>
                <w:rFonts w:ascii="Times New Roman" w:hAnsi="Times New Roman" w:cs="Times New Roman"/>
                <w:highlight w:val="yellow"/>
              </w:rPr>
            </w:pPr>
            <w:r w:rsidRPr="001149F2">
              <w:rPr>
                <w:rFonts w:ascii="Times New Roman" w:hAnsi="Times New Roman" w:cs="Times New Roman"/>
              </w:rPr>
              <w:t>480-10</w:t>
            </w:r>
          </w:p>
        </w:tc>
        <w:tc>
          <w:tcPr>
            <w:tcW w:w="4027" w:type="dxa"/>
          </w:tcPr>
          <w:p w14:paraId="29CAC4EF" w14:textId="5A9968DB" w:rsidR="005225C8" w:rsidRPr="001149F2" w:rsidRDefault="00D43ECF" w:rsidP="00156A39">
            <w:pPr>
              <w:rPr>
                <w:rFonts w:ascii="Times New Roman" w:hAnsi="Times New Roman" w:cs="Times New Roman"/>
              </w:rPr>
            </w:pPr>
            <w:r w:rsidRPr="001149F2">
              <w:rPr>
                <w:rFonts w:ascii="Times New Roman" w:hAnsi="Times New Roman" w:cs="Times New Roman"/>
              </w:rPr>
              <w:t xml:space="preserve">Eliminates </w:t>
            </w:r>
            <w:r w:rsidR="00763B6E" w:rsidRPr="001149F2">
              <w:rPr>
                <w:rFonts w:ascii="Times New Roman" w:hAnsi="Times New Roman" w:cs="Times New Roman"/>
              </w:rPr>
              <w:t xml:space="preserve">guidance </w:t>
            </w:r>
            <w:r w:rsidRPr="001149F2">
              <w:rPr>
                <w:rFonts w:ascii="Times New Roman" w:hAnsi="Times New Roman" w:cs="Times New Roman"/>
              </w:rPr>
              <w:t>conflict</w:t>
            </w:r>
            <w:r w:rsidR="00763B6E" w:rsidRPr="001149F2">
              <w:rPr>
                <w:rFonts w:ascii="Times New Roman" w:hAnsi="Times New Roman" w:cs="Times New Roman"/>
              </w:rPr>
              <w:t xml:space="preserve"> </w:t>
            </w:r>
            <w:r w:rsidRPr="001149F2">
              <w:rPr>
                <w:rFonts w:ascii="Times New Roman" w:hAnsi="Times New Roman" w:cs="Times New Roman"/>
              </w:rPr>
              <w:t xml:space="preserve">between </w:t>
            </w:r>
            <w:r w:rsidR="00B4309F" w:rsidRPr="001149F2">
              <w:rPr>
                <w:rFonts w:ascii="Times New Roman" w:hAnsi="Times New Roman" w:cs="Times New Roman"/>
              </w:rPr>
              <w:t xml:space="preserve">codification paragraph 25-15 and paragraphs </w:t>
            </w:r>
            <w:r w:rsidR="00763B6E" w:rsidRPr="001149F2">
              <w:rPr>
                <w:rFonts w:ascii="Times New Roman" w:hAnsi="Times New Roman" w:cs="Times New Roman"/>
              </w:rPr>
              <w:t>55-55 and 55-59.</w:t>
            </w:r>
          </w:p>
        </w:tc>
        <w:tc>
          <w:tcPr>
            <w:tcW w:w="1440" w:type="dxa"/>
          </w:tcPr>
          <w:p w14:paraId="66EFE5CC" w14:textId="77777777" w:rsidR="005225C8" w:rsidRPr="001149F2" w:rsidRDefault="00D43ECF" w:rsidP="00156A39">
            <w:pPr>
              <w:jc w:val="center"/>
              <w:rPr>
                <w:rFonts w:ascii="Times New Roman" w:hAnsi="Times New Roman" w:cs="Times New Roman"/>
              </w:rPr>
            </w:pPr>
            <w:r w:rsidRPr="001149F2">
              <w:rPr>
                <w:rFonts w:ascii="Times New Roman" w:hAnsi="Times New Roman" w:cs="Times New Roman"/>
              </w:rPr>
              <w:t>55-55</w:t>
            </w:r>
          </w:p>
          <w:p w14:paraId="62F1E10F" w14:textId="755419E9" w:rsidR="00D43ECF" w:rsidRPr="001149F2" w:rsidRDefault="00D43ECF" w:rsidP="00156A39">
            <w:pPr>
              <w:jc w:val="center"/>
              <w:rPr>
                <w:rFonts w:ascii="Times New Roman" w:hAnsi="Times New Roman" w:cs="Times New Roman"/>
              </w:rPr>
            </w:pPr>
            <w:r w:rsidRPr="001149F2">
              <w:rPr>
                <w:rFonts w:ascii="Times New Roman" w:hAnsi="Times New Roman" w:cs="Times New Roman"/>
              </w:rPr>
              <w:t>55-59</w:t>
            </w:r>
          </w:p>
        </w:tc>
        <w:tc>
          <w:tcPr>
            <w:tcW w:w="3690" w:type="dxa"/>
          </w:tcPr>
          <w:p w14:paraId="7453ED4A" w14:textId="49F39CFE" w:rsidR="005225C8" w:rsidRPr="00196790" w:rsidRDefault="00196790" w:rsidP="00156A39">
            <w:pPr>
              <w:rPr>
                <w:rFonts w:ascii="Times New Roman" w:hAnsi="Times New Roman" w:cs="Times New Roman"/>
              </w:rPr>
            </w:pPr>
            <w:r w:rsidRPr="006876DE">
              <w:rPr>
                <w:rFonts w:ascii="Times New Roman" w:hAnsi="Times New Roman" w:cs="Times New Roman"/>
                <w:i/>
                <w:iCs/>
              </w:rPr>
              <w:t>SSAP No. 104R</w:t>
            </w:r>
            <w:r w:rsidR="006876DE" w:rsidRPr="006876DE">
              <w:rPr>
                <w:rFonts w:ascii="Times New Roman" w:hAnsi="Times New Roman" w:cs="Times New Roman"/>
                <w:i/>
                <w:iCs/>
              </w:rPr>
              <w:t>–Share-Based Payment</w:t>
            </w:r>
            <w:r w:rsidR="006876DE" w:rsidRPr="006876DE">
              <w:rPr>
                <w:i/>
                <w:iCs/>
              </w:rPr>
              <w:t>s</w:t>
            </w:r>
            <w:r w:rsidRPr="00196790">
              <w:rPr>
                <w:rFonts w:ascii="Times New Roman" w:hAnsi="Times New Roman" w:cs="Times New Roman"/>
              </w:rPr>
              <w:t xml:space="preserve"> does not contain the amended language. As such no changes are recommended.</w:t>
            </w:r>
          </w:p>
          <w:p w14:paraId="52C31EDA" w14:textId="77777777" w:rsidR="005225C8" w:rsidRPr="00196790" w:rsidRDefault="005225C8" w:rsidP="00156A39">
            <w:pPr>
              <w:rPr>
                <w:rFonts w:ascii="Times New Roman" w:hAnsi="Times New Roman" w:cs="Times New Roman"/>
              </w:rPr>
            </w:pPr>
          </w:p>
          <w:p w14:paraId="22836B7C" w14:textId="77777777" w:rsidR="005225C8" w:rsidRPr="00196790" w:rsidRDefault="005225C8" w:rsidP="00156A39">
            <w:pPr>
              <w:rPr>
                <w:rFonts w:ascii="Times New Roman" w:hAnsi="Times New Roman" w:cs="Times New Roman"/>
              </w:rPr>
            </w:pPr>
            <w:r w:rsidRPr="00196790">
              <w:rPr>
                <w:rFonts w:ascii="Times New Roman" w:hAnsi="Times New Roman" w:cs="Times New Roman"/>
                <w:b/>
                <w:bCs/>
              </w:rPr>
              <w:t>This update is not applicable – no action required.</w:t>
            </w:r>
          </w:p>
        </w:tc>
      </w:tr>
      <w:tr w:rsidR="005225C8" w:rsidRPr="007B2137" w14:paraId="48267ABD" w14:textId="77777777" w:rsidTr="00156A39">
        <w:tc>
          <w:tcPr>
            <w:tcW w:w="2520" w:type="dxa"/>
          </w:tcPr>
          <w:p w14:paraId="1366B74A" w14:textId="7BFAEE09" w:rsidR="005225C8" w:rsidRPr="001149F2" w:rsidRDefault="00E54D34" w:rsidP="00E54D34">
            <w:pPr>
              <w:rPr>
                <w:rFonts w:ascii="Times New Roman" w:hAnsi="Times New Roman" w:cs="Times New Roman"/>
                <w:highlight w:val="yellow"/>
              </w:rPr>
            </w:pPr>
            <w:r w:rsidRPr="001149F2">
              <w:rPr>
                <w:rFonts w:ascii="Times New Roman" w:hAnsi="Times New Roman" w:cs="Times New Roman"/>
              </w:rPr>
              <w:t>Compensation—Stock Compensation—Income Taxes</w:t>
            </w:r>
          </w:p>
        </w:tc>
        <w:tc>
          <w:tcPr>
            <w:tcW w:w="1913" w:type="dxa"/>
          </w:tcPr>
          <w:p w14:paraId="66923BFE" w14:textId="47C96DF2" w:rsidR="005225C8" w:rsidRPr="001149F2" w:rsidRDefault="00E54D34" w:rsidP="00156A39">
            <w:pPr>
              <w:jc w:val="center"/>
              <w:rPr>
                <w:rFonts w:ascii="Times New Roman" w:hAnsi="Times New Roman" w:cs="Times New Roman"/>
              </w:rPr>
            </w:pPr>
            <w:r w:rsidRPr="001149F2">
              <w:rPr>
                <w:rFonts w:ascii="Times New Roman" w:hAnsi="Times New Roman" w:cs="Times New Roman"/>
              </w:rPr>
              <w:t>718-740</w:t>
            </w:r>
          </w:p>
        </w:tc>
        <w:tc>
          <w:tcPr>
            <w:tcW w:w="4027" w:type="dxa"/>
          </w:tcPr>
          <w:p w14:paraId="13145C43" w14:textId="6E43B3F8" w:rsidR="005225C8" w:rsidRPr="001149F2" w:rsidRDefault="0078416F" w:rsidP="005F4082">
            <w:pPr>
              <w:rPr>
                <w:rFonts w:ascii="Times New Roman" w:hAnsi="Times New Roman" w:cs="Times New Roman"/>
              </w:rPr>
            </w:pPr>
            <w:r w:rsidRPr="001149F2">
              <w:rPr>
                <w:rFonts w:ascii="Times New Roman" w:hAnsi="Times New Roman" w:cs="Times New Roman"/>
              </w:rPr>
              <w:t xml:space="preserve">The amendment </w:t>
            </w:r>
            <w:r w:rsidR="005F0FA4" w:rsidRPr="001149F2">
              <w:rPr>
                <w:rFonts w:ascii="Times New Roman" w:hAnsi="Times New Roman" w:cs="Times New Roman"/>
              </w:rPr>
              <w:t>clarifies</w:t>
            </w:r>
            <w:r w:rsidRPr="001149F2">
              <w:rPr>
                <w:rFonts w:ascii="Times New Roman" w:hAnsi="Times New Roman" w:cs="Times New Roman"/>
              </w:rPr>
              <w:t xml:space="preserve"> that an entity should recognize excess tax benefits</w:t>
            </w:r>
            <w:r w:rsidR="005F4082">
              <w:rPr>
                <w:rFonts w:ascii="Times New Roman" w:hAnsi="Times New Roman" w:cs="Times New Roman"/>
              </w:rPr>
              <w:t xml:space="preserve"> </w:t>
            </w:r>
            <w:r w:rsidRPr="001149F2">
              <w:rPr>
                <w:rFonts w:ascii="Times New Roman" w:hAnsi="Times New Roman" w:cs="Times New Roman"/>
              </w:rPr>
              <w:t>(or tax deficiencies) in the period when the amount of the tax deduction is</w:t>
            </w:r>
            <w:r w:rsidR="005F4082">
              <w:rPr>
                <w:rFonts w:ascii="Times New Roman" w:hAnsi="Times New Roman" w:cs="Times New Roman"/>
              </w:rPr>
              <w:t xml:space="preserve"> </w:t>
            </w:r>
            <w:r w:rsidRPr="001149F2">
              <w:rPr>
                <w:rFonts w:ascii="Times New Roman" w:hAnsi="Times New Roman" w:cs="Times New Roman"/>
              </w:rPr>
              <w:t>determined, which typically is when an award is exercised, in the case of share</w:t>
            </w:r>
            <w:r w:rsidR="005F4082">
              <w:rPr>
                <w:rFonts w:ascii="Times New Roman" w:hAnsi="Times New Roman" w:cs="Times New Roman"/>
              </w:rPr>
              <w:t xml:space="preserve"> </w:t>
            </w:r>
            <w:r w:rsidRPr="001149F2">
              <w:rPr>
                <w:rFonts w:ascii="Times New Roman" w:hAnsi="Times New Roman" w:cs="Times New Roman"/>
              </w:rPr>
              <w:t>options, or vests, in the case of nonvested stock awards.</w:t>
            </w:r>
          </w:p>
        </w:tc>
        <w:tc>
          <w:tcPr>
            <w:tcW w:w="1440" w:type="dxa"/>
          </w:tcPr>
          <w:p w14:paraId="0F2439C7" w14:textId="059E690A" w:rsidR="005225C8" w:rsidRPr="001149F2" w:rsidRDefault="0078416F" w:rsidP="00156A39">
            <w:pPr>
              <w:jc w:val="center"/>
              <w:rPr>
                <w:rFonts w:ascii="Times New Roman" w:hAnsi="Times New Roman" w:cs="Times New Roman"/>
              </w:rPr>
            </w:pPr>
            <w:r w:rsidRPr="001149F2">
              <w:rPr>
                <w:rFonts w:ascii="Times New Roman" w:hAnsi="Times New Roman" w:cs="Times New Roman"/>
              </w:rPr>
              <w:t>35-2</w:t>
            </w:r>
          </w:p>
        </w:tc>
        <w:tc>
          <w:tcPr>
            <w:tcW w:w="3690" w:type="dxa"/>
          </w:tcPr>
          <w:p w14:paraId="7BC94D0C" w14:textId="23F121AA" w:rsidR="005225C8" w:rsidRPr="00196790" w:rsidRDefault="002A4041" w:rsidP="00156A39">
            <w:pPr>
              <w:rPr>
                <w:rFonts w:ascii="Times New Roman" w:hAnsi="Times New Roman" w:cs="Times New Roman"/>
                <w:color w:val="FF0000"/>
                <w:highlight w:val="yellow"/>
              </w:rPr>
            </w:pPr>
            <w:r>
              <w:rPr>
                <w:rFonts w:ascii="Times New Roman" w:hAnsi="Times New Roman" w:cs="Times New Roman"/>
              </w:rPr>
              <w:t>The relevant language was also included in ASU 2018-07 and was</w:t>
            </w:r>
            <w:r w:rsidR="00D301FC">
              <w:rPr>
                <w:rFonts w:ascii="Times New Roman" w:hAnsi="Times New Roman" w:cs="Times New Roman"/>
              </w:rPr>
              <w:t xml:space="preserve"> previously adopted </w:t>
            </w:r>
            <w:r>
              <w:rPr>
                <w:rFonts w:ascii="Times New Roman" w:hAnsi="Times New Roman" w:cs="Times New Roman"/>
              </w:rPr>
              <w:t>with Agenda Item 2018-35</w:t>
            </w:r>
            <w:r w:rsidR="003B4254">
              <w:rPr>
                <w:rFonts w:ascii="Times New Roman" w:hAnsi="Times New Roman" w:cs="Times New Roman"/>
              </w:rPr>
              <w:t xml:space="preserve">. </w:t>
            </w:r>
            <w:r>
              <w:rPr>
                <w:rFonts w:ascii="Times New Roman" w:hAnsi="Times New Roman" w:cs="Times New Roman"/>
              </w:rPr>
              <w:t xml:space="preserve">As such, </w:t>
            </w:r>
            <w:r w:rsidR="003D7CE2">
              <w:rPr>
                <w:rFonts w:ascii="Times New Roman" w:hAnsi="Times New Roman" w:cs="Times New Roman"/>
              </w:rPr>
              <w:t>no changes to the relevant SSAPs are required,</w:t>
            </w:r>
            <w:r w:rsidRPr="00196790">
              <w:rPr>
                <w:rFonts w:ascii="Times New Roman" w:hAnsi="Times New Roman" w:cs="Times New Roman"/>
                <w:color w:val="FF0000"/>
                <w:highlight w:val="yellow"/>
              </w:rPr>
              <w:t xml:space="preserve"> </w:t>
            </w:r>
          </w:p>
          <w:p w14:paraId="749DC9AE" w14:textId="77777777" w:rsidR="005225C8" w:rsidRPr="00395173" w:rsidRDefault="005225C8" w:rsidP="00156A39">
            <w:pPr>
              <w:rPr>
                <w:rFonts w:ascii="Times New Roman" w:hAnsi="Times New Roman" w:cs="Times New Roman"/>
                <w:b/>
                <w:bCs/>
              </w:rPr>
            </w:pPr>
          </w:p>
          <w:p w14:paraId="644F1005" w14:textId="77777777" w:rsidR="005225C8" w:rsidRPr="00196790" w:rsidRDefault="005225C8" w:rsidP="00156A39">
            <w:pPr>
              <w:rPr>
                <w:rFonts w:ascii="Times New Roman" w:hAnsi="Times New Roman" w:cs="Times New Roman"/>
                <w:highlight w:val="yellow"/>
              </w:rPr>
            </w:pPr>
            <w:r w:rsidRPr="00395173">
              <w:rPr>
                <w:rFonts w:ascii="Times New Roman" w:hAnsi="Times New Roman" w:cs="Times New Roman"/>
                <w:b/>
                <w:bCs/>
              </w:rPr>
              <w:t>This update is not applicable – no action required.</w:t>
            </w:r>
          </w:p>
        </w:tc>
      </w:tr>
      <w:tr w:rsidR="005225C8" w:rsidRPr="007B2137" w14:paraId="7D7DA0FB" w14:textId="77777777" w:rsidTr="00156A39">
        <w:tc>
          <w:tcPr>
            <w:tcW w:w="2520" w:type="dxa"/>
          </w:tcPr>
          <w:p w14:paraId="32042D27" w14:textId="77777777" w:rsidR="00664FA8" w:rsidRPr="001149F2" w:rsidRDefault="00664FA8" w:rsidP="00664FA8">
            <w:pPr>
              <w:rPr>
                <w:rFonts w:ascii="Times New Roman" w:hAnsi="Times New Roman" w:cs="Times New Roman"/>
              </w:rPr>
            </w:pPr>
            <w:r w:rsidRPr="001149F2">
              <w:rPr>
                <w:rFonts w:ascii="Times New Roman" w:hAnsi="Times New Roman" w:cs="Times New Roman"/>
              </w:rPr>
              <w:t>Other Expenses—</w:t>
            </w:r>
          </w:p>
          <w:p w14:paraId="5B94016E" w14:textId="303D0471" w:rsidR="005225C8" w:rsidRPr="001149F2" w:rsidRDefault="00664FA8" w:rsidP="00664FA8">
            <w:pPr>
              <w:rPr>
                <w:rFonts w:ascii="Times New Roman" w:hAnsi="Times New Roman" w:cs="Times New Roman"/>
              </w:rPr>
            </w:pPr>
            <w:r w:rsidRPr="001149F2">
              <w:rPr>
                <w:rFonts w:ascii="Times New Roman" w:hAnsi="Times New Roman" w:cs="Times New Roman"/>
              </w:rPr>
              <w:t>Advertising Costs</w:t>
            </w:r>
          </w:p>
          <w:p w14:paraId="63D15FDD" w14:textId="464DE25D" w:rsidR="00791FCE" w:rsidRPr="001149F2" w:rsidRDefault="00D51BD4" w:rsidP="00664FA8">
            <w:pPr>
              <w:rPr>
                <w:rFonts w:ascii="Times New Roman" w:hAnsi="Times New Roman" w:cs="Times New Roman"/>
              </w:rPr>
            </w:pPr>
            <w:r w:rsidRPr="001149F2">
              <w:rPr>
                <w:rFonts w:ascii="Times New Roman" w:hAnsi="Times New Roman" w:cs="Times New Roman"/>
              </w:rPr>
              <w:t xml:space="preserve"> &amp;</w:t>
            </w:r>
          </w:p>
          <w:p w14:paraId="3BFB61C8" w14:textId="77777777" w:rsidR="009F394D" w:rsidRPr="001149F2" w:rsidRDefault="009F394D" w:rsidP="009F394D">
            <w:pPr>
              <w:autoSpaceDE w:val="0"/>
              <w:autoSpaceDN w:val="0"/>
              <w:adjustRightInd w:val="0"/>
              <w:rPr>
                <w:rFonts w:ascii="Times New Roman" w:hAnsi="Times New Roman" w:cs="Times New Roman"/>
              </w:rPr>
            </w:pPr>
            <w:r w:rsidRPr="001149F2">
              <w:rPr>
                <w:rFonts w:ascii="Times New Roman" w:hAnsi="Times New Roman" w:cs="Times New Roman"/>
              </w:rPr>
              <w:t>Financial</w:t>
            </w:r>
          </w:p>
          <w:p w14:paraId="073F8638" w14:textId="35E3054E" w:rsidR="009F394D" w:rsidRPr="001149F2" w:rsidRDefault="009F394D" w:rsidP="009F394D">
            <w:pPr>
              <w:rPr>
                <w:rFonts w:ascii="Times New Roman" w:hAnsi="Times New Roman" w:cs="Times New Roman"/>
                <w:highlight w:val="yellow"/>
              </w:rPr>
            </w:pPr>
            <w:r w:rsidRPr="001149F2">
              <w:rPr>
                <w:rFonts w:ascii="Times New Roman" w:hAnsi="Times New Roman" w:cs="Times New Roman"/>
              </w:rPr>
              <w:t>Services—Insurance—Acquisition Costs</w:t>
            </w:r>
          </w:p>
        </w:tc>
        <w:tc>
          <w:tcPr>
            <w:tcW w:w="1913" w:type="dxa"/>
          </w:tcPr>
          <w:p w14:paraId="11D0382C" w14:textId="77777777" w:rsidR="005225C8" w:rsidRPr="001149F2" w:rsidRDefault="009F394D" w:rsidP="00156A39">
            <w:pPr>
              <w:jc w:val="center"/>
              <w:rPr>
                <w:rFonts w:ascii="Times New Roman" w:hAnsi="Times New Roman" w:cs="Times New Roman"/>
              </w:rPr>
            </w:pPr>
            <w:r w:rsidRPr="001149F2">
              <w:rPr>
                <w:rFonts w:ascii="Times New Roman" w:hAnsi="Times New Roman" w:cs="Times New Roman"/>
              </w:rPr>
              <w:t>720-35</w:t>
            </w:r>
          </w:p>
          <w:p w14:paraId="6B68B899" w14:textId="77777777" w:rsidR="003F1AB0" w:rsidRPr="001149F2" w:rsidRDefault="003F1AB0" w:rsidP="003F1AB0">
            <w:pPr>
              <w:rPr>
                <w:rFonts w:ascii="Times New Roman" w:hAnsi="Times New Roman" w:cs="Times New Roman"/>
              </w:rPr>
            </w:pPr>
          </w:p>
          <w:p w14:paraId="4FB162D9" w14:textId="77777777" w:rsidR="007E3B06" w:rsidRPr="001149F2" w:rsidRDefault="007E3B06" w:rsidP="00156A39">
            <w:pPr>
              <w:jc w:val="center"/>
              <w:rPr>
                <w:rFonts w:ascii="Times New Roman" w:hAnsi="Times New Roman" w:cs="Times New Roman"/>
              </w:rPr>
            </w:pPr>
          </w:p>
          <w:p w14:paraId="2B0CD8DA" w14:textId="05FCD62E" w:rsidR="009F394D" w:rsidRPr="001149F2" w:rsidRDefault="009F394D" w:rsidP="00156A39">
            <w:pPr>
              <w:jc w:val="center"/>
              <w:rPr>
                <w:rFonts w:ascii="Times New Roman" w:hAnsi="Times New Roman" w:cs="Times New Roman"/>
                <w:highlight w:val="yellow"/>
              </w:rPr>
            </w:pPr>
            <w:r w:rsidRPr="001149F2">
              <w:rPr>
                <w:rFonts w:ascii="Times New Roman" w:hAnsi="Times New Roman" w:cs="Times New Roman"/>
              </w:rPr>
              <w:t>944-30</w:t>
            </w:r>
          </w:p>
        </w:tc>
        <w:tc>
          <w:tcPr>
            <w:tcW w:w="4027" w:type="dxa"/>
          </w:tcPr>
          <w:p w14:paraId="4D684014" w14:textId="27529E40" w:rsidR="005225C8" w:rsidRPr="001149F2" w:rsidRDefault="009416D6" w:rsidP="009416D6">
            <w:pPr>
              <w:rPr>
                <w:rFonts w:ascii="Times New Roman" w:hAnsi="Times New Roman" w:cs="Times New Roman"/>
              </w:rPr>
            </w:pPr>
            <w:r w:rsidRPr="001149F2">
              <w:rPr>
                <w:rFonts w:ascii="Times New Roman" w:hAnsi="Times New Roman" w:cs="Times New Roman"/>
              </w:rPr>
              <w:t>The objective of this amendment</w:t>
            </w:r>
            <w:r w:rsidR="00C42006" w:rsidRPr="001149F2">
              <w:rPr>
                <w:rFonts w:ascii="Times New Roman" w:hAnsi="Times New Roman" w:cs="Times New Roman"/>
              </w:rPr>
              <w:t xml:space="preserve"> </w:t>
            </w:r>
            <w:r w:rsidRPr="001149F2">
              <w:rPr>
                <w:rFonts w:ascii="Times New Roman" w:hAnsi="Times New Roman" w:cs="Times New Roman"/>
              </w:rPr>
              <w:t xml:space="preserve">is to align the scope of the guidance in </w:t>
            </w:r>
            <w:r w:rsidR="00C42006" w:rsidRPr="001149F2">
              <w:rPr>
                <w:rFonts w:ascii="Times New Roman" w:hAnsi="Times New Roman" w:cs="Times New Roman"/>
              </w:rPr>
              <w:t xml:space="preserve">720-35 </w:t>
            </w:r>
            <w:r w:rsidRPr="001149F2">
              <w:rPr>
                <w:rFonts w:ascii="Times New Roman" w:hAnsi="Times New Roman" w:cs="Times New Roman"/>
              </w:rPr>
              <w:t xml:space="preserve">with the source guidance in SOP 93-7 by removing the references in the guidance and heading to </w:t>
            </w:r>
            <w:r w:rsidR="00C42006" w:rsidRPr="001149F2">
              <w:rPr>
                <w:rFonts w:ascii="Times New Roman" w:hAnsi="Times New Roman" w:cs="Times New Roman"/>
              </w:rPr>
              <w:t>‘</w:t>
            </w:r>
            <w:r w:rsidRPr="001149F2">
              <w:rPr>
                <w:rFonts w:ascii="Times New Roman" w:hAnsi="Times New Roman" w:cs="Times New Roman"/>
              </w:rPr>
              <w:t>direct response</w:t>
            </w:r>
            <w:r w:rsidR="00C42006" w:rsidRPr="001149F2">
              <w:rPr>
                <w:rFonts w:ascii="Times New Roman" w:hAnsi="Times New Roman" w:cs="Times New Roman"/>
              </w:rPr>
              <w:t xml:space="preserve"> </w:t>
            </w:r>
            <w:r w:rsidRPr="001149F2">
              <w:rPr>
                <w:rFonts w:ascii="Times New Roman" w:hAnsi="Times New Roman" w:cs="Times New Roman"/>
              </w:rPr>
              <w:t>advertising</w:t>
            </w:r>
            <w:r w:rsidR="00C42006" w:rsidRPr="001149F2">
              <w:rPr>
                <w:rFonts w:ascii="Times New Roman" w:hAnsi="Times New Roman" w:cs="Times New Roman"/>
              </w:rPr>
              <w:t>’</w:t>
            </w:r>
            <w:r w:rsidRPr="001149F2">
              <w:rPr>
                <w:rFonts w:ascii="Times New Roman" w:hAnsi="Times New Roman" w:cs="Times New Roman"/>
              </w:rPr>
              <w:t>.</w:t>
            </w:r>
          </w:p>
          <w:p w14:paraId="4D440342" w14:textId="77777777" w:rsidR="009416D6" w:rsidRPr="001149F2" w:rsidRDefault="009416D6" w:rsidP="009416D6">
            <w:pPr>
              <w:rPr>
                <w:rFonts w:ascii="Times New Roman" w:hAnsi="Times New Roman" w:cs="Times New Roman"/>
                <w:highlight w:val="yellow"/>
              </w:rPr>
            </w:pPr>
          </w:p>
          <w:p w14:paraId="26E7FA1D" w14:textId="63EAC9D0" w:rsidR="00A92876" w:rsidRPr="001149F2" w:rsidRDefault="00A92876" w:rsidP="00C42006">
            <w:pPr>
              <w:rPr>
                <w:rFonts w:ascii="Times New Roman" w:hAnsi="Times New Roman" w:cs="Times New Roman"/>
                <w:highlight w:val="yellow"/>
              </w:rPr>
            </w:pPr>
            <w:r w:rsidRPr="001149F2">
              <w:rPr>
                <w:rFonts w:ascii="Times New Roman" w:hAnsi="Times New Roman" w:cs="Times New Roman"/>
              </w:rPr>
              <w:lastRenderedPageBreak/>
              <w:t>The amendment also relocates and minorly amends the guidance in paragraph 720-35-15-5</w:t>
            </w:r>
            <w:r w:rsidR="00C42006" w:rsidRPr="001149F2">
              <w:rPr>
                <w:rFonts w:ascii="Times New Roman" w:hAnsi="Times New Roman" w:cs="Times New Roman"/>
              </w:rPr>
              <w:t xml:space="preserve"> </w:t>
            </w:r>
            <w:r w:rsidRPr="001149F2">
              <w:rPr>
                <w:rFonts w:ascii="Times New Roman" w:hAnsi="Times New Roman" w:cs="Times New Roman"/>
              </w:rPr>
              <w:t>about direct-response advertising costs to paragraph 944-30-25-1DD. Direct response advertising costs can only be capitalized for insurance contracts within the scope of Topic 944 in certain circumstances.</w:t>
            </w:r>
          </w:p>
        </w:tc>
        <w:tc>
          <w:tcPr>
            <w:tcW w:w="1440" w:type="dxa"/>
          </w:tcPr>
          <w:p w14:paraId="1739D8BA" w14:textId="77777777" w:rsidR="005225C8" w:rsidRPr="001149F2" w:rsidRDefault="00C42006" w:rsidP="00156A39">
            <w:pPr>
              <w:jc w:val="center"/>
              <w:rPr>
                <w:rFonts w:ascii="Times New Roman" w:hAnsi="Times New Roman" w:cs="Times New Roman"/>
              </w:rPr>
            </w:pPr>
            <w:r w:rsidRPr="001149F2">
              <w:rPr>
                <w:rFonts w:ascii="Times New Roman" w:hAnsi="Times New Roman" w:cs="Times New Roman"/>
              </w:rPr>
              <w:lastRenderedPageBreak/>
              <w:t>15-2</w:t>
            </w:r>
          </w:p>
          <w:p w14:paraId="44633A77" w14:textId="77777777" w:rsidR="00C42006" w:rsidRPr="001149F2" w:rsidRDefault="00C42006" w:rsidP="00156A39">
            <w:pPr>
              <w:jc w:val="center"/>
              <w:rPr>
                <w:rFonts w:ascii="Times New Roman" w:hAnsi="Times New Roman" w:cs="Times New Roman"/>
              </w:rPr>
            </w:pPr>
            <w:r w:rsidRPr="001149F2">
              <w:rPr>
                <w:rFonts w:ascii="Times New Roman" w:hAnsi="Times New Roman" w:cs="Times New Roman"/>
              </w:rPr>
              <w:t>15-3</w:t>
            </w:r>
          </w:p>
          <w:p w14:paraId="0E969DC8" w14:textId="77777777" w:rsidR="007E3B06" w:rsidRPr="001149F2" w:rsidRDefault="007E3B06" w:rsidP="00156A39">
            <w:pPr>
              <w:jc w:val="center"/>
              <w:rPr>
                <w:rFonts w:ascii="Times New Roman" w:hAnsi="Times New Roman" w:cs="Times New Roman"/>
              </w:rPr>
            </w:pPr>
          </w:p>
          <w:p w14:paraId="44594001" w14:textId="77777777" w:rsidR="007E3B06" w:rsidRPr="001149F2" w:rsidRDefault="007E3B06" w:rsidP="00156A39">
            <w:pPr>
              <w:jc w:val="center"/>
              <w:rPr>
                <w:rFonts w:ascii="Times New Roman" w:hAnsi="Times New Roman" w:cs="Times New Roman"/>
              </w:rPr>
            </w:pPr>
            <w:r w:rsidRPr="001149F2">
              <w:rPr>
                <w:rFonts w:ascii="Times New Roman" w:hAnsi="Times New Roman" w:cs="Times New Roman"/>
              </w:rPr>
              <w:t>25-1A</w:t>
            </w:r>
          </w:p>
          <w:p w14:paraId="292F92F0" w14:textId="77777777" w:rsidR="003F1AB0" w:rsidRPr="001149F2" w:rsidRDefault="003F1AB0" w:rsidP="00156A39">
            <w:pPr>
              <w:jc w:val="center"/>
              <w:rPr>
                <w:rFonts w:ascii="Times New Roman" w:hAnsi="Times New Roman" w:cs="Times New Roman"/>
              </w:rPr>
            </w:pPr>
            <w:r w:rsidRPr="001149F2">
              <w:rPr>
                <w:rFonts w:ascii="Times New Roman" w:hAnsi="Times New Roman" w:cs="Times New Roman"/>
              </w:rPr>
              <w:t>25-1</w:t>
            </w:r>
            <w:r w:rsidR="007E3B06" w:rsidRPr="001149F2">
              <w:rPr>
                <w:rFonts w:ascii="Times New Roman" w:hAnsi="Times New Roman" w:cs="Times New Roman"/>
              </w:rPr>
              <w:t>A</w:t>
            </w:r>
          </w:p>
          <w:p w14:paraId="2C72F8FD" w14:textId="539AA1F9" w:rsidR="007E3B06" w:rsidRPr="001149F2" w:rsidRDefault="007E3B06" w:rsidP="00156A39">
            <w:pPr>
              <w:jc w:val="center"/>
              <w:rPr>
                <w:rFonts w:ascii="Times New Roman" w:hAnsi="Times New Roman" w:cs="Times New Roman"/>
              </w:rPr>
            </w:pPr>
            <w:r w:rsidRPr="001149F2">
              <w:rPr>
                <w:rFonts w:ascii="Times New Roman" w:hAnsi="Times New Roman" w:cs="Times New Roman"/>
              </w:rPr>
              <w:t>25-1DD</w:t>
            </w:r>
          </w:p>
        </w:tc>
        <w:tc>
          <w:tcPr>
            <w:tcW w:w="3690" w:type="dxa"/>
          </w:tcPr>
          <w:p w14:paraId="20085DF1" w14:textId="147FEB4A" w:rsidR="00791FCE" w:rsidRPr="001149F2" w:rsidRDefault="00791FCE" w:rsidP="00791FCE">
            <w:pPr>
              <w:rPr>
                <w:rFonts w:ascii="Times New Roman" w:hAnsi="Times New Roman" w:cs="Times New Roman"/>
              </w:rPr>
            </w:pPr>
            <w:r w:rsidRPr="001149F2">
              <w:rPr>
                <w:rFonts w:ascii="Times New Roman" w:hAnsi="Times New Roman" w:cs="Times New Roman"/>
              </w:rPr>
              <w:t>D</w:t>
            </w:r>
            <w:r w:rsidR="00A836BE" w:rsidRPr="001149F2">
              <w:rPr>
                <w:rFonts w:ascii="Times New Roman" w:hAnsi="Times New Roman" w:cs="Times New Roman"/>
              </w:rPr>
              <w:t>irect-response advertising and related advertising specific guidance</w:t>
            </w:r>
            <w:r w:rsidRPr="001149F2">
              <w:rPr>
                <w:rFonts w:ascii="Times New Roman" w:hAnsi="Times New Roman" w:cs="Times New Roman"/>
              </w:rPr>
              <w:t xml:space="preserve"> are not addressed within statutory accounting.</w:t>
            </w:r>
          </w:p>
          <w:p w14:paraId="7C089A66" w14:textId="77777777" w:rsidR="00791FCE" w:rsidRPr="001149F2" w:rsidRDefault="00791FCE" w:rsidP="00791FCE">
            <w:pPr>
              <w:rPr>
                <w:rFonts w:ascii="Times New Roman" w:hAnsi="Times New Roman" w:cs="Times New Roman"/>
              </w:rPr>
            </w:pPr>
          </w:p>
          <w:p w14:paraId="35A7B2A8" w14:textId="71182F91" w:rsidR="005225C8" w:rsidRPr="001149F2" w:rsidRDefault="00791FCE" w:rsidP="00791FCE">
            <w:pPr>
              <w:rPr>
                <w:rFonts w:ascii="Times New Roman" w:hAnsi="Times New Roman" w:cs="Times New Roman"/>
                <w:highlight w:val="yellow"/>
              </w:rPr>
            </w:pPr>
            <w:r w:rsidRPr="001149F2">
              <w:rPr>
                <w:rFonts w:ascii="Times New Roman" w:hAnsi="Times New Roman" w:cs="Times New Roman"/>
                <w:b/>
                <w:bCs/>
              </w:rPr>
              <w:t>This update is not applicable – no action required.</w:t>
            </w:r>
          </w:p>
        </w:tc>
      </w:tr>
      <w:tr w:rsidR="005225C8" w:rsidRPr="007B2137" w14:paraId="20A815EF" w14:textId="77777777" w:rsidTr="00156A39">
        <w:tc>
          <w:tcPr>
            <w:tcW w:w="2520" w:type="dxa"/>
          </w:tcPr>
          <w:p w14:paraId="5795C819" w14:textId="4CBCF88D" w:rsidR="005225C8" w:rsidRPr="001149F2" w:rsidRDefault="00D51BD4" w:rsidP="00156A39">
            <w:pPr>
              <w:rPr>
                <w:rFonts w:ascii="Times New Roman" w:hAnsi="Times New Roman" w:cs="Times New Roman"/>
              </w:rPr>
            </w:pPr>
            <w:r w:rsidRPr="001149F2">
              <w:rPr>
                <w:rFonts w:ascii="Times New Roman" w:hAnsi="Times New Roman" w:cs="Times New Roman"/>
              </w:rPr>
              <w:t>Income Taxes</w:t>
            </w:r>
          </w:p>
        </w:tc>
        <w:tc>
          <w:tcPr>
            <w:tcW w:w="1913" w:type="dxa"/>
          </w:tcPr>
          <w:p w14:paraId="282A5E4B" w14:textId="0DB49E66" w:rsidR="005225C8" w:rsidRPr="001149F2" w:rsidRDefault="00A4696F" w:rsidP="00156A39">
            <w:pPr>
              <w:jc w:val="center"/>
              <w:rPr>
                <w:rFonts w:ascii="Times New Roman" w:hAnsi="Times New Roman" w:cs="Times New Roman"/>
              </w:rPr>
            </w:pPr>
            <w:r w:rsidRPr="001149F2">
              <w:rPr>
                <w:rFonts w:ascii="Times New Roman" w:hAnsi="Times New Roman" w:cs="Times New Roman"/>
              </w:rPr>
              <w:t>740-10</w:t>
            </w:r>
          </w:p>
        </w:tc>
        <w:tc>
          <w:tcPr>
            <w:tcW w:w="4027" w:type="dxa"/>
          </w:tcPr>
          <w:p w14:paraId="7C703CB5" w14:textId="5BCB3F53" w:rsidR="005225C8" w:rsidRPr="001149F2" w:rsidRDefault="006E3434" w:rsidP="00156A39">
            <w:pPr>
              <w:rPr>
                <w:rFonts w:ascii="Times New Roman" w:hAnsi="Times New Roman" w:cs="Times New Roman"/>
                <w:highlight w:val="yellow"/>
              </w:rPr>
            </w:pPr>
            <w:r w:rsidRPr="001149F2">
              <w:rPr>
                <w:rFonts w:ascii="Times New Roman" w:hAnsi="Times New Roman" w:cs="Times New Roman"/>
              </w:rPr>
              <w:t>This amendment</w:t>
            </w:r>
            <w:r w:rsidR="002F54AF" w:rsidRPr="001149F2">
              <w:rPr>
                <w:rFonts w:ascii="Times New Roman" w:hAnsi="Times New Roman" w:cs="Times New Roman"/>
              </w:rPr>
              <w:t xml:space="preserve"> makes corrections to Income Tax guidance on intra-entity </w:t>
            </w:r>
            <w:r w:rsidRPr="001149F2">
              <w:rPr>
                <w:rFonts w:ascii="Times New Roman" w:hAnsi="Times New Roman" w:cs="Times New Roman"/>
              </w:rPr>
              <w:t>transfers</w:t>
            </w:r>
            <w:r w:rsidR="00A748F8" w:rsidRPr="001149F2">
              <w:rPr>
                <w:rFonts w:ascii="Times New Roman" w:hAnsi="Times New Roman" w:cs="Times New Roman"/>
              </w:rPr>
              <w:t xml:space="preserve"> of inventory as the guidance in paragraph 25-55 contradicts</w:t>
            </w:r>
            <w:r w:rsidRPr="001149F2">
              <w:rPr>
                <w:rFonts w:ascii="Times New Roman" w:hAnsi="Times New Roman" w:cs="Times New Roman"/>
              </w:rPr>
              <w:t xml:space="preserve"> paragraph 25-3(e)</w:t>
            </w:r>
            <w:r w:rsidR="00A56EC9" w:rsidRPr="001149F2">
              <w:rPr>
                <w:rFonts w:ascii="Times New Roman" w:hAnsi="Times New Roman" w:cs="Times New Roman"/>
              </w:rPr>
              <w:t xml:space="preserve">. </w:t>
            </w:r>
            <w:r w:rsidR="0021400E" w:rsidRPr="001149F2">
              <w:rPr>
                <w:rFonts w:ascii="Times New Roman" w:hAnsi="Times New Roman" w:cs="Times New Roman"/>
              </w:rPr>
              <w:t>Additionally,</w:t>
            </w:r>
            <w:r w:rsidR="007C4F25" w:rsidRPr="001149F2">
              <w:rPr>
                <w:rFonts w:ascii="Times New Roman" w:hAnsi="Times New Roman" w:cs="Times New Roman"/>
              </w:rPr>
              <w:t xml:space="preserve"> a reference to</w:t>
            </w:r>
            <w:r w:rsidR="0021400E" w:rsidRPr="001149F2">
              <w:rPr>
                <w:rFonts w:ascii="Times New Roman" w:hAnsi="Times New Roman" w:cs="Times New Roman"/>
              </w:rPr>
              <w:t xml:space="preserve"> intra-entity transfers was removed</w:t>
            </w:r>
            <w:r w:rsidR="007C4F25" w:rsidRPr="001149F2">
              <w:rPr>
                <w:rFonts w:ascii="Times New Roman" w:hAnsi="Times New Roman" w:cs="Times New Roman"/>
              </w:rPr>
              <w:t xml:space="preserve"> from </w:t>
            </w:r>
            <w:r w:rsidR="00801862" w:rsidRPr="001149F2">
              <w:rPr>
                <w:rFonts w:ascii="Times New Roman" w:hAnsi="Times New Roman" w:cs="Times New Roman"/>
              </w:rPr>
              <w:t>example 26</w:t>
            </w:r>
            <w:r w:rsidR="0021400E" w:rsidRPr="001149F2">
              <w:rPr>
                <w:rFonts w:ascii="Times New Roman" w:hAnsi="Times New Roman" w:cs="Times New Roman"/>
              </w:rPr>
              <w:t xml:space="preserve"> as </w:t>
            </w:r>
            <w:r w:rsidR="004C1347" w:rsidRPr="001149F2">
              <w:rPr>
                <w:rFonts w:ascii="Times New Roman" w:hAnsi="Times New Roman" w:cs="Times New Roman"/>
              </w:rPr>
              <w:t>it describes a null set of transactions.</w:t>
            </w:r>
          </w:p>
        </w:tc>
        <w:tc>
          <w:tcPr>
            <w:tcW w:w="1440" w:type="dxa"/>
          </w:tcPr>
          <w:p w14:paraId="1990398B" w14:textId="77777777" w:rsidR="002F54AF" w:rsidRPr="001149F2" w:rsidRDefault="00F30675" w:rsidP="00156A39">
            <w:pPr>
              <w:jc w:val="center"/>
              <w:rPr>
                <w:rFonts w:ascii="Times New Roman" w:hAnsi="Times New Roman" w:cs="Times New Roman"/>
              </w:rPr>
            </w:pPr>
            <w:r w:rsidRPr="001149F2">
              <w:rPr>
                <w:rFonts w:ascii="Times New Roman" w:hAnsi="Times New Roman" w:cs="Times New Roman"/>
              </w:rPr>
              <w:t>25-53</w:t>
            </w:r>
          </w:p>
          <w:p w14:paraId="4F4333D9" w14:textId="77777777" w:rsidR="002F54AF" w:rsidRPr="001149F2" w:rsidRDefault="002F54AF" w:rsidP="00156A39">
            <w:pPr>
              <w:jc w:val="center"/>
              <w:rPr>
                <w:rFonts w:ascii="Times New Roman" w:hAnsi="Times New Roman" w:cs="Times New Roman"/>
              </w:rPr>
            </w:pPr>
            <w:r w:rsidRPr="001149F2">
              <w:rPr>
                <w:rFonts w:ascii="Times New Roman" w:hAnsi="Times New Roman" w:cs="Times New Roman"/>
              </w:rPr>
              <w:t>25-54</w:t>
            </w:r>
          </w:p>
          <w:p w14:paraId="723C26EE" w14:textId="13C62073" w:rsidR="005225C8" w:rsidRPr="001149F2" w:rsidRDefault="002F54AF" w:rsidP="00156A39">
            <w:pPr>
              <w:jc w:val="center"/>
              <w:rPr>
                <w:rFonts w:ascii="Times New Roman" w:hAnsi="Times New Roman" w:cs="Times New Roman"/>
              </w:rPr>
            </w:pPr>
            <w:r w:rsidRPr="001149F2">
              <w:rPr>
                <w:rFonts w:ascii="Times New Roman" w:hAnsi="Times New Roman" w:cs="Times New Roman"/>
              </w:rPr>
              <w:t>25-</w:t>
            </w:r>
            <w:r w:rsidR="00F30675" w:rsidRPr="001149F2">
              <w:rPr>
                <w:rFonts w:ascii="Times New Roman" w:hAnsi="Times New Roman" w:cs="Times New Roman"/>
              </w:rPr>
              <w:t>55</w:t>
            </w:r>
          </w:p>
          <w:p w14:paraId="19946436" w14:textId="77777777" w:rsidR="00F30675" w:rsidRPr="001149F2" w:rsidRDefault="00F30675" w:rsidP="00156A39">
            <w:pPr>
              <w:jc w:val="center"/>
              <w:rPr>
                <w:rFonts w:ascii="Times New Roman" w:hAnsi="Times New Roman" w:cs="Times New Roman"/>
              </w:rPr>
            </w:pPr>
            <w:r w:rsidRPr="001149F2">
              <w:rPr>
                <w:rFonts w:ascii="Times New Roman" w:hAnsi="Times New Roman" w:cs="Times New Roman"/>
              </w:rPr>
              <w:t>55-168</w:t>
            </w:r>
          </w:p>
          <w:p w14:paraId="4964A32D" w14:textId="77777777" w:rsidR="00F30675" w:rsidRPr="001149F2" w:rsidRDefault="00F30675" w:rsidP="00156A39">
            <w:pPr>
              <w:jc w:val="center"/>
              <w:rPr>
                <w:rFonts w:ascii="Times New Roman" w:hAnsi="Times New Roman" w:cs="Times New Roman"/>
              </w:rPr>
            </w:pPr>
            <w:r w:rsidRPr="001149F2">
              <w:rPr>
                <w:rFonts w:ascii="Times New Roman" w:hAnsi="Times New Roman" w:cs="Times New Roman"/>
              </w:rPr>
              <w:t>55-203</w:t>
            </w:r>
          </w:p>
          <w:p w14:paraId="78D5E74F" w14:textId="293FF949" w:rsidR="002F54AF" w:rsidRPr="001149F2" w:rsidRDefault="002F54AF" w:rsidP="00156A39">
            <w:pPr>
              <w:jc w:val="center"/>
              <w:rPr>
                <w:rFonts w:ascii="Times New Roman" w:hAnsi="Times New Roman" w:cs="Times New Roman"/>
                <w:highlight w:val="yellow"/>
              </w:rPr>
            </w:pPr>
            <w:r w:rsidRPr="001149F2">
              <w:rPr>
                <w:rFonts w:ascii="Times New Roman" w:hAnsi="Times New Roman" w:cs="Times New Roman"/>
              </w:rPr>
              <w:t>65-7</w:t>
            </w:r>
          </w:p>
        </w:tc>
        <w:tc>
          <w:tcPr>
            <w:tcW w:w="3690" w:type="dxa"/>
          </w:tcPr>
          <w:p w14:paraId="4117AFC5" w14:textId="0E574F56" w:rsidR="005225C8" w:rsidRPr="001149F2" w:rsidRDefault="001717B8" w:rsidP="00156A39">
            <w:pPr>
              <w:rPr>
                <w:rFonts w:ascii="Times New Roman" w:hAnsi="Times New Roman" w:cs="Times New Roman"/>
              </w:rPr>
            </w:pPr>
            <w:r w:rsidRPr="001149F2">
              <w:rPr>
                <w:rFonts w:ascii="Times New Roman" w:hAnsi="Times New Roman" w:cs="Times New Roman"/>
              </w:rPr>
              <w:t xml:space="preserve">The </w:t>
            </w:r>
            <w:r w:rsidR="00CB28A3" w:rsidRPr="001149F2">
              <w:rPr>
                <w:rFonts w:ascii="Times New Roman" w:hAnsi="Times New Roman" w:cs="Times New Roman"/>
              </w:rPr>
              <w:t>ramification</w:t>
            </w:r>
            <w:r w:rsidR="00445CD3" w:rsidRPr="001149F2">
              <w:rPr>
                <w:rFonts w:ascii="Times New Roman" w:hAnsi="Times New Roman" w:cs="Times New Roman"/>
              </w:rPr>
              <w:t xml:space="preserve"> </w:t>
            </w:r>
            <w:r w:rsidRPr="001149F2">
              <w:rPr>
                <w:rFonts w:ascii="Times New Roman" w:hAnsi="Times New Roman" w:cs="Times New Roman"/>
              </w:rPr>
              <w:t xml:space="preserve">of intra-entity </w:t>
            </w:r>
            <w:r w:rsidR="00445CD3" w:rsidRPr="001149F2">
              <w:rPr>
                <w:rFonts w:ascii="Times New Roman" w:hAnsi="Times New Roman" w:cs="Times New Roman"/>
              </w:rPr>
              <w:t>transfers</w:t>
            </w:r>
            <w:r w:rsidRPr="001149F2">
              <w:rPr>
                <w:rFonts w:ascii="Times New Roman" w:hAnsi="Times New Roman" w:cs="Times New Roman"/>
              </w:rPr>
              <w:t xml:space="preserve"> of inventory </w:t>
            </w:r>
            <w:r w:rsidR="00445CD3" w:rsidRPr="001149F2">
              <w:rPr>
                <w:rFonts w:ascii="Times New Roman" w:hAnsi="Times New Roman" w:cs="Times New Roman"/>
              </w:rPr>
              <w:t xml:space="preserve">on income tax </w:t>
            </w:r>
            <w:r w:rsidR="00C2771D" w:rsidRPr="001149F2">
              <w:rPr>
                <w:rFonts w:ascii="Times New Roman" w:hAnsi="Times New Roman" w:cs="Times New Roman"/>
              </w:rPr>
              <w:t>is</w:t>
            </w:r>
            <w:r w:rsidRPr="001149F2">
              <w:rPr>
                <w:rFonts w:ascii="Times New Roman" w:hAnsi="Times New Roman" w:cs="Times New Roman"/>
              </w:rPr>
              <w:t xml:space="preserve"> not addressed in statutory accounting.</w:t>
            </w:r>
          </w:p>
          <w:p w14:paraId="44BEEBF6" w14:textId="77777777" w:rsidR="005225C8" w:rsidRPr="001149F2" w:rsidRDefault="005225C8" w:rsidP="00156A39">
            <w:pPr>
              <w:rPr>
                <w:rFonts w:ascii="Times New Roman" w:hAnsi="Times New Roman" w:cs="Times New Roman"/>
              </w:rPr>
            </w:pPr>
          </w:p>
          <w:p w14:paraId="6B6F1C93" w14:textId="77777777" w:rsidR="005225C8" w:rsidRPr="001149F2" w:rsidRDefault="005225C8" w:rsidP="00156A39">
            <w:pPr>
              <w:rPr>
                <w:rFonts w:ascii="Times New Roman" w:hAnsi="Times New Roman" w:cs="Times New Roman"/>
                <w:highlight w:val="yellow"/>
              </w:rPr>
            </w:pPr>
            <w:r w:rsidRPr="001149F2">
              <w:rPr>
                <w:rFonts w:ascii="Times New Roman" w:hAnsi="Times New Roman" w:cs="Times New Roman"/>
                <w:b/>
                <w:bCs/>
              </w:rPr>
              <w:t>This update is not applicable – no action required.</w:t>
            </w:r>
          </w:p>
        </w:tc>
      </w:tr>
      <w:tr w:rsidR="005225C8" w:rsidRPr="007B2137" w14:paraId="6A3B4879" w14:textId="77777777" w:rsidTr="00156A39">
        <w:tc>
          <w:tcPr>
            <w:tcW w:w="2520" w:type="dxa"/>
          </w:tcPr>
          <w:p w14:paraId="379BA1FF" w14:textId="77777777" w:rsidR="00033507" w:rsidRPr="001149F2" w:rsidRDefault="00033507" w:rsidP="00033507">
            <w:pPr>
              <w:rPr>
                <w:rFonts w:ascii="Times New Roman" w:hAnsi="Times New Roman" w:cs="Times New Roman"/>
              </w:rPr>
            </w:pPr>
            <w:r w:rsidRPr="001149F2">
              <w:rPr>
                <w:rFonts w:ascii="Times New Roman" w:hAnsi="Times New Roman" w:cs="Times New Roman"/>
              </w:rPr>
              <w:t>Business</w:t>
            </w:r>
          </w:p>
          <w:p w14:paraId="6B5E4644" w14:textId="68A28528" w:rsidR="005225C8" w:rsidRPr="001149F2" w:rsidRDefault="00033507" w:rsidP="00033507">
            <w:pPr>
              <w:rPr>
                <w:rFonts w:ascii="Times New Roman" w:hAnsi="Times New Roman" w:cs="Times New Roman"/>
                <w:highlight w:val="yellow"/>
              </w:rPr>
            </w:pPr>
            <w:r w:rsidRPr="001149F2">
              <w:rPr>
                <w:rFonts w:ascii="Times New Roman" w:hAnsi="Times New Roman" w:cs="Times New Roman"/>
              </w:rPr>
              <w:t>Combinations—Income Taxes</w:t>
            </w:r>
          </w:p>
        </w:tc>
        <w:tc>
          <w:tcPr>
            <w:tcW w:w="1913" w:type="dxa"/>
          </w:tcPr>
          <w:p w14:paraId="02C2AF60" w14:textId="2FBC50C3" w:rsidR="005225C8" w:rsidRPr="001149F2" w:rsidRDefault="00033507" w:rsidP="00156A39">
            <w:pPr>
              <w:jc w:val="center"/>
              <w:rPr>
                <w:rFonts w:ascii="Times New Roman" w:hAnsi="Times New Roman" w:cs="Times New Roman"/>
              </w:rPr>
            </w:pPr>
            <w:r w:rsidRPr="001149F2">
              <w:rPr>
                <w:rFonts w:ascii="Times New Roman" w:hAnsi="Times New Roman" w:cs="Times New Roman"/>
              </w:rPr>
              <w:t>805-740</w:t>
            </w:r>
          </w:p>
        </w:tc>
        <w:tc>
          <w:tcPr>
            <w:tcW w:w="4027" w:type="dxa"/>
          </w:tcPr>
          <w:p w14:paraId="01CEB711" w14:textId="07CA5374" w:rsidR="005225C8" w:rsidRPr="001149F2" w:rsidRDefault="00FC246C" w:rsidP="003304FE">
            <w:pPr>
              <w:rPr>
                <w:rFonts w:ascii="Times New Roman" w:hAnsi="Times New Roman" w:cs="Times New Roman"/>
              </w:rPr>
            </w:pPr>
            <w:r w:rsidRPr="001149F2">
              <w:rPr>
                <w:rFonts w:ascii="Times New Roman" w:hAnsi="Times New Roman" w:cs="Times New Roman"/>
              </w:rPr>
              <w:t xml:space="preserve">The </w:t>
            </w:r>
            <w:r w:rsidR="002255D0" w:rsidRPr="001149F2">
              <w:rPr>
                <w:rFonts w:ascii="Times New Roman" w:hAnsi="Times New Roman" w:cs="Times New Roman"/>
              </w:rPr>
              <w:t>a</w:t>
            </w:r>
            <w:r w:rsidRPr="001149F2">
              <w:rPr>
                <w:rFonts w:ascii="Times New Roman" w:hAnsi="Times New Roman" w:cs="Times New Roman"/>
              </w:rPr>
              <w:t xml:space="preserve">mendment updates paragraph 25-13 </w:t>
            </w:r>
            <w:r w:rsidR="003304FE" w:rsidRPr="001149F2">
              <w:rPr>
                <w:rFonts w:ascii="Times New Roman" w:hAnsi="Times New Roman" w:cs="Times New Roman"/>
              </w:rPr>
              <w:t>that provides three methods for allocating the consolidated tax provision to an acquired entity after acquisition</w:t>
            </w:r>
            <w:r w:rsidR="007022BA" w:rsidRPr="001149F2">
              <w:rPr>
                <w:rFonts w:ascii="Times New Roman" w:hAnsi="Times New Roman" w:cs="Times New Roman"/>
              </w:rPr>
              <w:t xml:space="preserve"> as it is no longer consistent with </w:t>
            </w:r>
            <w:r w:rsidR="00174B14" w:rsidRPr="001149F2">
              <w:rPr>
                <w:rFonts w:ascii="Times New Roman" w:hAnsi="Times New Roman" w:cs="Times New Roman"/>
              </w:rPr>
              <w:t>the rest of Topic 740</w:t>
            </w:r>
            <w:r w:rsidR="00B50FE4" w:rsidRPr="001149F2">
              <w:rPr>
                <w:rFonts w:ascii="Times New Roman" w:hAnsi="Times New Roman" w:cs="Times New Roman"/>
              </w:rPr>
              <w:t xml:space="preserve"> after the issuance of EITF Issue No. 86-9.</w:t>
            </w:r>
          </w:p>
        </w:tc>
        <w:tc>
          <w:tcPr>
            <w:tcW w:w="1440" w:type="dxa"/>
          </w:tcPr>
          <w:p w14:paraId="7251BBB3" w14:textId="42B92857" w:rsidR="005225C8" w:rsidRPr="001149F2" w:rsidRDefault="00B50FE4" w:rsidP="00156A39">
            <w:pPr>
              <w:jc w:val="center"/>
              <w:rPr>
                <w:rFonts w:ascii="Times New Roman" w:hAnsi="Times New Roman" w:cs="Times New Roman"/>
              </w:rPr>
            </w:pPr>
            <w:r w:rsidRPr="001149F2">
              <w:rPr>
                <w:rFonts w:ascii="Times New Roman" w:hAnsi="Times New Roman" w:cs="Times New Roman"/>
              </w:rPr>
              <w:t>25-13</w:t>
            </w:r>
          </w:p>
        </w:tc>
        <w:tc>
          <w:tcPr>
            <w:tcW w:w="3690" w:type="dxa"/>
          </w:tcPr>
          <w:p w14:paraId="449ABF87" w14:textId="0353FD05" w:rsidR="005225C8" w:rsidRPr="001149F2" w:rsidRDefault="00C2771D" w:rsidP="00156A39">
            <w:pPr>
              <w:rPr>
                <w:rFonts w:ascii="Times New Roman" w:hAnsi="Times New Roman" w:cs="Times New Roman"/>
              </w:rPr>
            </w:pPr>
            <w:r w:rsidRPr="00C2771D">
              <w:rPr>
                <w:rFonts w:ascii="Times New Roman" w:hAnsi="Times New Roman" w:cs="Times New Roman"/>
              </w:rPr>
              <w:t>The update</w:t>
            </w:r>
            <w:r w:rsidR="005225C8" w:rsidRPr="00C2771D">
              <w:rPr>
                <w:rFonts w:ascii="Times New Roman" w:hAnsi="Times New Roman" w:cs="Times New Roman"/>
              </w:rPr>
              <w:t xml:space="preserve"> is not applicable </w:t>
            </w:r>
            <w:r w:rsidR="00126E8D" w:rsidRPr="00C2771D">
              <w:rPr>
                <w:rFonts w:ascii="Times New Roman" w:hAnsi="Times New Roman" w:cs="Times New Roman"/>
              </w:rPr>
              <w:t xml:space="preserve">as GAAP guidance for business </w:t>
            </w:r>
            <w:r w:rsidR="00124A93" w:rsidRPr="00C2771D">
              <w:rPr>
                <w:rFonts w:ascii="Times New Roman" w:hAnsi="Times New Roman" w:cs="Times New Roman"/>
              </w:rPr>
              <w:t>combinations</w:t>
            </w:r>
            <w:r w:rsidR="00126E8D" w:rsidRPr="00C2771D">
              <w:rPr>
                <w:rFonts w:ascii="Times New Roman" w:hAnsi="Times New Roman" w:cs="Times New Roman"/>
              </w:rPr>
              <w:t xml:space="preserve"> has </w:t>
            </w:r>
            <w:r w:rsidR="00CB28A3" w:rsidRPr="00C2771D">
              <w:rPr>
                <w:rFonts w:ascii="Times New Roman" w:hAnsi="Times New Roman" w:cs="Times New Roman"/>
              </w:rPr>
              <w:t xml:space="preserve">not yet been addressed for </w:t>
            </w:r>
            <w:r w:rsidR="00124A93" w:rsidRPr="00C2771D">
              <w:rPr>
                <w:rFonts w:ascii="Times New Roman" w:hAnsi="Times New Roman" w:cs="Times New Roman"/>
              </w:rPr>
              <w:t>statutory</w:t>
            </w:r>
            <w:r w:rsidR="00124A93" w:rsidRPr="001149F2">
              <w:rPr>
                <w:rFonts w:ascii="Times New Roman" w:hAnsi="Times New Roman" w:cs="Times New Roman"/>
              </w:rPr>
              <w:t xml:space="preserve"> accounting at this time</w:t>
            </w:r>
            <w:r w:rsidR="00CB28A3" w:rsidRPr="001149F2">
              <w:rPr>
                <w:rFonts w:ascii="Times New Roman" w:hAnsi="Times New Roman" w:cs="Times New Roman"/>
              </w:rPr>
              <w:t xml:space="preserve">, </w:t>
            </w:r>
            <w:proofErr w:type="gramStart"/>
            <w:r w:rsidR="00CB28A3" w:rsidRPr="001149F2">
              <w:rPr>
                <w:rFonts w:ascii="Times New Roman" w:hAnsi="Times New Roman" w:cs="Times New Roman"/>
              </w:rPr>
              <w:t>as</w:t>
            </w:r>
            <w:proofErr w:type="gramEnd"/>
            <w:r w:rsidR="00CB28A3" w:rsidRPr="001149F2">
              <w:rPr>
                <w:rFonts w:ascii="Times New Roman" w:hAnsi="Times New Roman" w:cs="Times New Roman"/>
              </w:rPr>
              <w:t xml:space="preserve"> such no changes are recommended.</w:t>
            </w:r>
          </w:p>
          <w:p w14:paraId="7FB279D4" w14:textId="77777777" w:rsidR="005225C8" w:rsidRPr="001149F2" w:rsidRDefault="005225C8" w:rsidP="00156A39">
            <w:pPr>
              <w:rPr>
                <w:rFonts w:ascii="Times New Roman" w:hAnsi="Times New Roman" w:cs="Times New Roman"/>
              </w:rPr>
            </w:pPr>
          </w:p>
          <w:p w14:paraId="7CF8A768" w14:textId="77777777" w:rsidR="005225C8" w:rsidRPr="001149F2" w:rsidRDefault="005225C8" w:rsidP="00156A39">
            <w:pPr>
              <w:rPr>
                <w:rFonts w:ascii="Times New Roman" w:hAnsi="Times New Roman" w:cs="Times New Roman"/>
              </w:rPr>
            </w:pPr>
            <w:r w:rsidRPr="001149F2">
              <w:rPr>
                <w:rFonts w:ascii="Times New Roman" w:hAnsi="Times New Roman" w:cs="Times New Roman"/>
                <w:b/>
                <w:bCs/>
              </w:rPr>
              <w:t>This update is not applicable – no action required.</w:t>
            </w:r>
          </w:p>
        </w:tc>
      </w:tr>
      <w:tr w:rsidR="005225C8" w:rsidRPr="007B2137" w14:paraId="3E8610CC" w14:textId="77777777" w:rsidTr="00156A39">
        <w:tc>
          <w:tcPr>
            <w:tcW w:w="2520" w:type="dxa"/>
          </w:tcPr>
          <w:p w14:paraId="1AF955BA" w14:textId="77777777" w:rsidR="00B76B4A" w:rsidRPr="001149F2" w:rsidRDefault="00B76B4A" w:rsidP="00B76B4A">
            <w:pPr>
              <w:rPr>
                <w:rFonts w:ascii="Times New Roman" w:hAnsi="Times New Roman" w:cs="Times New Roman"/>
              </w:rPr>
            </w:pPr>
            <w:r w:rsidRPr="001149F2">
              <w:rPr>
                <w:rFonts w:ascii="Times New Roman" w:hAnsi="Times New Roman" w:cs="Times New Roman"/>
              </w:rPr>
              <w:t>Derivatives and</w:t>
            </w:r>
          </w:p>
          <w:p w14:paraId="7F58485C" w14:textId="6A5A77F1" w:rsidR="005225C8" w:rsidRPr="001149F2" w:rsidRDefault="00B76B4A" w:rsidP="00B76B4A">
            <w:pPr>
              <w:rPr>
                <w:rFonts w:ascii="Times New Roman" w:hAnsi="Times New Roman" w:cs="Times New Roman"/>
                <w:highlight w:val="yellow"/>
              </w:rPr>
            </w:pPr>
            <w:r w:rsidRPr="001149F2">
              <w:rPr>
                <w:rFonts w:ascii="Times New Roman" w:hAnsi="Times New Roman" w:cs="Times New Roman"/>
              </w:rPr>
              <w:t>Hedging—Overall</w:t>
            </w:r>
          </w:p>
        </w:tc>
        <w:tc>
          <w:tcPr>
            <w:tcW w:w="1913" w:type="dxa"/>
          </w:tcPr>
          <w:p w14:paraId="78DCDBAB" w14:textId="31715EBE" w:rsidR="005225C8" w:rsidRPr="001149F2" w:rsidRDefault="00B76B4A" w:rsidP="00156A39">
            <w:pPr>
              <w:jc w:val="center"/>
              <w:rPr>
                <w:rFonts w:ascii="Times New Roman" w:hAnsi="Times New Roman" w:cs="Times New Roman"/>
                <w:highlight w:val="yellow"/>
              </w:rPr>
            </w:pPr>
            <w:r w:rsidRPr="001149F2">
              <w:rPr>
                <w:rFonts w:ascii="Times New Roman" w:hAnsi="Times New Roman" w:cs="Times New Roman"/>
              </w:rPr>
              <w:t>815-10</w:t>
            </w:r>
          </w:p>
        </w:tc>
        <w:tc>
          <w:tcPr>
            <w:tcW w:w="4027" w:type="dxa"/>
          </w:tcPr>
          <w:p w14:paraId="4BE41ED7" w14:textId="59842334" w:rsidR="005225C8" w:rsidRPr="001149F2" w:rsidRDefault="00F24524" w:rsidP="00A177A4">
            <w:pPr>
              <w:rPr>
                <w:rFonts w:ascii="Times New Roman" w:hAnsi="Times New Roman" w:cs="Times New Roman"/>
                <w:highlight w:val="yellow"/>
              </w:rPr>
            </w:pPr>
            <w:r w:rsidRPr="001149F2">
              <w:rPr>
                <w:rFonts w:ascii="Times New Roman" w:hAnsi="Times New Roman" w:cs="Times New Roman"/>
              </w:rPr>
              <w:t>The amendment supersedes paragraph 45-4 and amend</w:t>
            </w:r>
            <w:r w:rsidR="003640C4" w:rsidRPr="001149F2">
              <w:rPr>
                <w:rFonts w:ascii="Times New Roman" w:hAnsi="Times New Roman" w:cs="Times New Roman"/>
              </w:rPr>
              <w:t>s</w:t>
            </w:r>
            <w:r w:rsidRPr="001149F2">
              <w:rPr>
                <w:rFonts w:ascii="Times New Roman" w:hAnsi="Times New Roman" w:cs="Times New Roman"/>
              </w:rPr>
              <w:t xml:space="preserve"> paragraph 45-5, with</w:t>
            </w:r>
            <w:r w:rsidR="00A177A4" w:rsidRPr="001149F2">
              <w:rPr>
                <w:rFonts w:ascii="Times New Roman" w:hAnsi="Times New Roman" w:cs="Times New Roman"/>
              </w:rPr>
              <w:t xml:space="preserve"> </w:t>
            </w:r>
            <w:r w:rsidRPr="001149F2">
              <w:rPr>
                <w:rFonts w:ascii="Times New Roman" w:hAnsi="Times New Roman" w:cs="Times New Roman"/>
              </w:rPr>
              <w:t>a link to transition paragraph 105-10-65-5</w:t>
            </w:r>
            <w:r w:rsidR="00DC12E0" w:rsidRPr="001149F2">
              <w:rPr>
                <w:rFonts w:ascii="Times New Roman" w:hAnsi="Times New Roman" w:cs="Times New Roman"/>
              </w:rPr>
              <w:t xml:space="preserve">. This change was made as the guidance in paragraph 45-4 is potentially misleading because it can </w:t>
            </w:r>
            <w:r w:rsidR="00DC12E0" w:rsidRPr="001149F2">
              <w:rPr>
                <w:rFonts w:ascii="Times New Roman" w:hAnsi="Times New Roman" w:cs="Times New Roman"/>
              </w:rPr>
              <w:lastRenderedPageBreak/>
              <w:t>be interpreted as conflicting with the guidance in paragraph 45-5 and because it can be interpreted to mean that derivatives may only be offset when all four of the conditions in paragraph 210-20-45-1 are met.</w:t>
            </w:r>
          </w:p>
        </w:tc>
        <w:tc>
          <w:tcPr>
            <w:tcW w:w="1440" w:type="dxa"/>
          </w:tcPr>
          <w:p w14:paraId="4955723A" w14:textId="77777777" w:rsidR="005225C8" w:rsidRPr="001149F2" w:rsidRDefault="00A177A4" w:rsidP="00156A39">
            <w:pPr>
              <w:jc w:val="center"/>
              <w:rPr>
                <w:rFonts w:ascii="Times New Roman" w:hAnsi="Times New Roman" w:cs="Times New Roman"/>
              </w:rPr>
            </w:pPr>
            <w:r w:rsidRPr="001149F2">
              <w:rPr>
                <w:rFonts w:ascii="Times New Roman" w:hAnsi="Times New Roman" w:cs="Times New Roman"/>
              </w:rPr>
              <w:lastRenderedPageBreak/>
              <w:t>45-4</w:t>
            </w:r>
          </w:p>
          <w:p w14:paraId="097FF15B" w14:textId="3A444E8C" w:rsidR="00A177A4" w:rsidRPr="001149F2" w:rsidRDefault="00A177A4" w:rsidP="00156A39">
            <w:pPr>
              <w:jc w:val="center"/>
              <w:rPr>
                <w:rFonts w:ascii="Times New Roman" w:hAnsi="Times New Roman" w:cs="Times New Roman"/>
                <w:highlight w:val="yellow"/>
              </w:rPr>
            </w:pPr>
            <w:r w:rsidRPr="001149F2">
              <w:rPr>
                <w:rFonts w:ascii="Times New Roman" w:hAnsi="Times New Roman" w:cs="Times New Roman"/>
              </w:rPr>
              <w:t>45-5</w:t>
            </w:r>
          </w:p>
        </w:tc>
        <w:tc>
          <w:tcPr>
            <w:tcW w:w="3690" w:type="dxa"/>
          </w:tcPr>
          <w:p w14:paraId="0C5ADBF8" w14:textId="0B3A8DE9" w:rsidR="005225C8" w:rsidRPr="001149F2" w:rsidRDefault="005225C8" w:rsidP="00156A39">
            <w:pPr>
              <w:rPr>
                <w:rFonts w:ascii="Times New Roman" w:hAnsi="Times New Roman" w:cs="Times New Roman"/>
              </w:rPr>
            </w:pPr>
            <w:r w:rsidRPr="00C2771D">
              <w:rPr>
                <w:rFonts w:ascii="Times New Roman" w:hAnsi="Times New Roman" w:cs="Times New Roman"/>
                <w:i/>
                <w:iCs/>
              </w:rPr>
              <w:t xml:space="preserve">SSAP No. </w:t>
            </w:r>
            <w:r w:rsidR="002A7B04" w:rsidRPr="00C2771D">
              <w:rPr>
                <w:rFonts w:ascii="Times New Roman" w:hAnsi="Times New Roman" w:cs="Times New Roman"/>
                <w:i/>
                <w:iCs/>
              </w:rPr>
              <w:t>86</w:t>
            </w:r>
            <w:r w:rsidR="005D33AB" w:rsidRPr="00C2771D">
              <w:rPr>
                <w:rFonts w:ascii="Times New Roman" w:hAnsi="Times New Roman" w:cs="Times New Roman"/>
                <w:i/>
                <w:iCs/>
              </w:rPr>
              <w:t>–</w:t>
            </w:r>
            <w:r w:rsidR="002A7B04" w:rsidRPr="00C2771D">
              <w:rPr>
                <w:rFonts w:ascii="Times New Roman" w:hAnsi="Times New Roman" w:cs="Times New Roman"/>
                <w:i/>
                <w:iCs/>
              </w:rPr>
              <w:t>Derivatives</w:t>
            </w:r>
            <w:r w:rsidR="004D03A2" w:rsidRPr="001149F2">
              <w:rPr>
                <w:rFonts w:ascii="Times New Roman" w:hAnsi="Times New Roman" w:cs="Times New Roman"/>
              </w:rPr>
              <w:t xml:space="preserve"> does not include </w:t>
            </w:r>
            <w:r w:rsidR="004B0BCC" w:rsidRPr="001149F2">
              <w:rPr>
                <w:rFonts w:ascii="Times New Roman" w:hAnsi="Times New Roman" w:cs="Times New Roman"/>
              </w:rPr>
              <w:t xml:space="preserve">the </w:t>
            </w:r>
            <w:r w:rsidR="00CB260D" w:rsidRPr="001149F2">
              <w:rPr>
                <w:rFonts w:ascii="Times New Roman" w:hAnsi="Times New Roman" w:cs="Times New Roman"/>
              </w:rPr>
              <w:t>superseded guidance</w:t>
            </w:r>
            <w:r w:rsidR="0089108F" w:rsidRPr="001149F2">
              <w:rPr>
                <w:rFonts w:ascii="Times New Roman" w:hAnsi="Times New Roman" w:cs="Times New Roman"/>
              </w:rPr>
              <w:t xml:space="preserve">. </w:t>
            </w:r>
            <w:r w:rsidRPr="001149F2">
              <w:rPr>
                <w:rFonts w:ascii="Times New Roman" w:hAnsi="Times New Roman" w:cs="Times New Roman"/>
              </w:rPr>
              <w:t>As such, no changes are recommended.</w:t>
            </w:r>
          </w:p>
          <w:p w14:paraId="14B57D82" w14:textId="77777777" w:rsidR="005225C8" w:rsidRPr="001149F2" w:rsidRDefault="005225C8" w:rsidP="00156A39">
            <w:pPr>
              <w:rPr>
                <w:rFonts w:ascii="Times New Roman" w:hAnsi="Times New Roman" w:cs="Times New Roman"/>
              </w:rPr>
            </w:pPr>
          </w:p>
          <w:p w14:paraId="119C917D" w14:textId="77777777" w:rsidR="005225C8" w:rsidRPr="001149F2" w:rsidRDefault="005225C8" w:rsidP="00156A39">
            <w:pPr>
              <w:rPr>
                <w:rFonts w:ascii="Times New Roman" w:hAnsi="Times New Roman" w:cs="Times New Roman"/>
                <w:highlight w:val="yellow"/>
              </w:rPr>
            </w:pPr>
            <w:r w:rsidRPr="001149F2">
              <w:rPr>
                <w:rFonts w:ascii="Times New Roman" w:hAnsi="Times New Roman" w:cs="Times New Roman"/>
                <w:b/>
                <w:bCs/>
              </w:rPr>
              <w:lastRenderedPageBreak/>
              <w:t>This update is not applicable – no action required.</w:t>
            </w:r>
          </w:p>
        </w:tc>
      </w:tr>
      <w:tr w:rsidR="005225C8" w:rsidRPr="007B2137" w14:paraId="0492747C" w14:textId="77777777" w:rsidTr="00156A39">
        <w:tc>
          <w:tcPr>
            <w:tcW w:w="2520" w:type="dxa"/>
          </w:tcPr>
          <w:p w14:paraId="383F3847" w14:textId="51A5D2E4" w:rsidR="005225C8" w:rsidRPr="001149F2" w:rsidRDefault="00B320B3" w:rsidP="00B658AB">
            <w:pPr>
              <w:rPr>
                <w:rFonts w:ascii="Times New Roman" w:hAnsi="Times New Roman" w:cs="Times New Roman"/>
                <w:highlight w:val="yellow"/>
              </w:rPr>
            </w:pPr>
            <w:r w:rsidRPr="001149F2">
              <w:rPr>
                <w:rFonts w:ascii="Times New Roman" w:hAnsi="Times New Roman" w:cs="Times New Roman"/>
              </w:rPr>
              <w:lastRenderedPageBreak/>
              <w:t>Derivatives and</w:t>
            </w:r>
            <w:r w:rsidR="00B658AB" w:rsidRPr="001149F2">
              <w:rPr>
                <w:rFonts w:ascii="Times New Roman" w:hAnsi="Times New Roman" w:cs="Times New Roman"/>
              </w:rPr>
              <w:t xml:space="preserve"> </w:t>
            </w:r>
            <w:r w:rsidRPr="001149F2">
              <w:rPr>
                <w:rFonts w:ascii="Times New Roman" w:hAnsi="Times New Roman" w:cs="Times New Roman"/>
              </w:rPr>
              <w:t>Hedging—Embedded Derivatives</w:t>
            </w:r>
          </w:p>
        </w:tc>
        <w:tc>
          <w:tcPr>
            <w:tcW w:w="1913" w:type="dxa"/>
          </w:tcPr>
          <w:p w14:paraId="6C5ED149" w14:textId="022DAD65" w:rsidR="005225C8" w:rsidRPr="001149F2" w:rsidRDefault="00B320B3" w:rsidP="00156A39">
            <w:pPr>
              <w:jc w:val="center"/>
              <w:rPr>
                <w:rFonts w:ascii="Times New Roman" w:hAnsi="Times New Roman" w:cs="Times New Roman"/>
              </w:rPr>
            </w:pPr>
            <w:r w:rsidRPr="001149F2">
              <w:rPr>
                <w:rFonts w:ascii="Times New Roman" w:hAnsi="Times New Roman" w:cs="Times New Roman"/>
              </w:rPr>
              <w:t>815-15</w:t>
            </w:r>
          </w:p>
        </w:tc>
        <w:tc>
          <w:tcPr>
            <w:tcW w:w="4027" w:type="dxa"/>
          </w:tcPr>
          <w:p w14:paraId="0C8FC107" w14:textId="495CF81B" w:rsidR="005225C8" w:rsidRPr="001149F2" w:rsidRDefault="00A10AF5" w:rsidP="00156A39">
            <w:pPr>
              <w:rPr>
                <w:rFonts w:ascii="Times New Roman" w:hAnsi="Times New Roman" w:cs="Times New Roman"/>
              </w:rPr>
            </w:pPr>
            <w:r w:rsidRPr="001149F2">
              <w:rPr>
                <w:rFonts w:ascii="Times New Roman" w:hAnsi="Times New Roman" w:cs="Times New Roman"/>
              </w:rPr>
              <w:t>The amendment clarifies a generic subtopic reference by replacing it with the actual FASB codification.</w:t>
            </w:r>
          </w:p>
        </w:tc>
        <w:tc>
          <w:tcPr>
            <w:tcW w:w="1440" w:type="dxa"/>
          </w:tcPr>
          <w:p w14:paraId="01ECE56A" w14:textId="04E9D73C" w:rsidR="005225C8" w:rsidRPr="001149F2" w:rsidRDefault="00A10AF5" w:rsidP="00156A39">
            <w:pPr>
              <w:jc w:val="center"/>
              <w:rPr>
                <w:rFonts w:ascii="Times New Roman" w:hAnsi="Times New Roman" w:cs="Times New Roman"/>
              </w:rPr>
            </w:pPr>
            <w:r w:rsidRPr="001149F2">
              <w:rPr>
                <w:rFonts w:ascii="Times New Roman" w:hAnsi="Times New Roman" w:cs="Times New Roman"/>
              </w:rPr>
              <w:t>25-1</w:t>
            </w:r>
          </w:p>
        </w:tc>
        <w:tc>
          <w:tcPr>
            <w:tcW w:w="3690" w:type="dxa"/>
          </w:tcPr>
          <w:p w14:paraId="44FBA269" w14:textId="77777777" w:rsidR="005225C8" w:rsidRPr="001149F2" w:rsidRDefault="005225C8" w:rsidP="00156A39">
            <w:pPr>
              <w:rPr>
                <w:rFonts w:ascii="Times New Roman" w:hAnsi="Times New Roman" w:cs="Times New Roman"/>
              </w:rPr>
            </w:pPr>
            <w:r w:rsidRPr="001149F2">
              <w:rPr>
                <w:rFonts w:ascii="Times New Roman" w:hAnsi="Times New Roman" w:cs="Times New Roman"/>
                <w:b/>
                <w:bCs/>
              </w:rPr>
              <w:t>This update is not applicable – no action required.</w:t>
            </w:r>
          </w:p>
        </w:tc>
      </w:tr>
      <w:tr w:rsidR="005225C8" w:rsidRPr="007B2137" w14:paraId="6968CF20" w14:textId="77777777" w:rsidTr="00156A39">
        <w:tc>
          <w:tcPr>
            <w:tcW w:w="2520" w:type="dxa"/>
          </w:tcPr>
          <w:p w14:paraId="018B6077" w14:textId="69A5C774" w:rsidR="005225C8" w:rsidRPr="001149F2" w:rsidRDefault="00B658AB" w:rsidP="00B658AB">
            <w:pPr>
              <w:rPr>
                <w:rFonts w:ascii="Times New Roman" w:hAnsi="Times New Roman" w:cs="Times New Roman"/>
                <w:highlight w:val="yellow"/>
              </w:rPr>
            </w:pPr>
            <w:r w:rsidRPr="001149F2">
              <w:rPr>
                <w:rFonts w:ascii="Times New Roman" w:hAnsi="Times New Roman" w:cs="Times New Roman"/>
              </w:rPr>
              <w:t>Fair Value Measurement—Overall</w:t>
            </w:r>
          </w:p>
        </w:tc>
        <w:tc>
          <w:tcPr>
            <w:tcW w:w="1913" w:type="dxa"/>
          </w:tcPr>
          <w:p w14:paraId="5B00572C" w14:textId="4CC096AD" w:rsidR="005225C8" w:rsidRPr="001149F2" w:rsidRDefault="00B658AB" w:rsidP="00156A39">
            <w:pPr>
              <w:jc w:val="center"/>
              <w:rPr>
                <w:rFonts w:ascii="Times New Roman" w:hAnsi="Times New Roman" w:cs="Times New Roman"/>
              </w:rPr>
            </w:pPr>
            <w:r w:rsidRPr="001149F2">
              <w:rPr>
                <w:rFonts w:ascii="Times New Roman" w:hAnsi="Times New Roman" w:cs="Times New Roman"/>
              </w:rPr>
              <w:t>820-10</w:t>
            </w:r>
          </w:p>
        </w:tc>
        <w:tc>
          <w:tcPr>
            <w:tcW w:w="4027" w:type="dxa"/>
          </w:tcPr>
          <w:p w14:paraId="371D17B1" w14:textId="7FECEAB6" w:rsidR="005225C8" w:rsidRPr="001149F2" w:rsidRDefault="00E46B82" w:rsidP="00904A5A">
            <w:pPr>
              <w:rPr>
                <w:rFonts w:ascii="Times New Roman" w:hAnsi="Times New Roman" w:cs="Times New Roman"/>
              </w:rPr>
            </w:pPr>
            <w:r w:rsidRPr="001149F2">
              <w:rPr>
                <w:rFonts w:ascii="Times New Roman" w:hAnsi="Times New Roman" w:cs="Times New Roman"/>
              </w:rPr>
              <w:t>The amendment clarifies</w:t>
            </w:r>
            <w:r w:rsidR="005225C8" w:rsidRPr="001149F2">
              <w:rPr>
                <w:rFonts w:ascii="Times New Roman" w:hAnsi="Times New Roman" w:cs="Times New Roman"/>
              </w:rPr>
              <w:t xml:space="preserve"> </w:t>
            </w:r>
            <w:r w:rsidR="000D01FB" w:rsidRPr="001149F2">
              <w:rPr>
                <w:rFonts w:ascii="Times New Roman" w:hAnsi="Times New Roman" w:cs="Times New Roman"/>
              </w:rPr>
              <w:t xml:space="preserve">items (a) and (b) </w:t>
            </w:r>
            <w:r w:rsidR="00904A5A" w:rsidRPr="001149F2">
              <w:rPr>
                <w:rFonts w:ascii="Times New Roman" w:hAnsi="Times New Roman" w:cs="Times New Roman"/>
              </w:rPr>
              <w:t>with FASB codification 820-10-35-16D were</w:t>
            </w:r>
            <w:r w:rsidR="000D01FB" w:rsidRPr="001149F2">
              <w:rPr>
                <w:rFonts w:ascii="Times New Roman" w:hAnsi="Times New Roman" w:cs="Times New Roman"/>
              </w:rPr>
              <w:t xml:space="preserve"> not intended to substantively change how GAAP is applied. However, it is possible that </w:t>
            </w:r>
            <w:r w:rsidR="00904A5A" w:rsidRPr="001149F2">
              <w:rPr>
                <w:rFonts w:ascii="Times New Roman" w:hAnsi="Times New Roman" w:cs="Times New Roman"/>
              </w:rPr>
              <w:t xml:space="preserve">they </w:t>
            </w:r>
            <w:r w:rsidR="000D01FB" w:rsidRPr="001149F2">
              <w:rPr>
                <w:rFonts w:ascii="Times New Roman" w:hAnsi="Times New Roman" w:cs="Times New Roman"/>
              </w:rPr>
              <w:t>may result in a change to existing practice for some entities; therefore, transition guidance has been provided.</w:t>
            </w:r>
          </w:p>
        </w:tc>
        <w:tc>
          <w:tcPr>
            <w:tcW w:w="1440" w:type="dxa"/>
          </w:tcPr>
          <w:p w14:paraId="7222A509" w14:textId="1E06F0A9" w:rsidR="005225C8" w:rsidRPr="001149F2" w:rsidRDefault="00904A5A" w:rsidP="00156A39">
            <w:pPr>
              <w:jc w:val="center"/>
              <w:rPr>
                <w:rFonts w:ascii="Times New Roman" w:hAnsi="Times New Roman" w:cs="Times New Roman"/>
              </w:rPr>
            </w:pPr>
            <w:r w:rsidRPr="001149F2">
              <w:rPr>
                <w:rFonts w:ascii="Times New Roman" w:hAnsi="Times New Roman" w:cs="Times New Roman"/>
              </w:rPr>
              <w:t>35-16D</w:t>
            </w:r>
          </w:p>
        </w:tc>
        <w:tc>
          <w:tcPr>
            <w:tcW w:w="3690" w:type="dxa"/>
          </w:tcPr>
          <w:p w14:paraId="07F01F88" w14:textId="5DE43841" w:rsidR="0053478E" w:rsidRPr="001149F2" w:rsidRDefault="00CB28A3" w:rsidP="0053478E">
            <w:pPr>
              <w:rPr>
                <w:rFonts w:ascii="Times New Roman" w:hAnsi="Times New Roman" w:cs="Times New Roman"/>
              </w:rPr>
            </w:pPr>
            <w:r w:rsidRPr="001149F2">
              <w:rPr>
                <w:rFonts w:ascii="Times New Roman" w:hAnsi="Times New Roman" w:cs="Times New Roman"/>
              </w:rPr>
              <w:t xml:space="preserve">As </w:t>
            </w:r>
            <w:r w:rsidR="00583B7A" w:rsidRPr="001149F2">
              <w:rPr>
                <w:rFonts w:ascii="Times New Roman" w:hAnsi="Times New Roman" w:cs="Times New Roman"/>
              </w:rPr>
              <w:t xml:space="preserve">the original </w:t>
            </w:r>
            <w:r w:rsidR="0053478E" w:rsidRPr="001149F2">
              <w:rPr>
                <w:rFonts w:ascii="Times New Roman" w:hAnsi="Times New Roman" w:cs="Times New Roman"/>
              </w:rPr>
              <w:t>guidance</w:t>
            </w:r>
            <w:r w:rsidR="00583B7A" w:rsidRPr="001149F2">
              <w:rPr>
                <w:rFonts w:ascii="Times New Roman" w:hAnsi="Times New Roman" w:cs="Times New Roman"/>
              </w:rPr>
              <w:t xml:space="preserve"> </w:t>
            </w:r>
            <w:r w:rsidR="007C3FC7" w:rsidRPr="001149F2">
              <w:rPr>
                <w:rFonts w:ascii="Times New Roman" w:hAnsi="Times New Roman" w:cs="Times New Roman"/>
              </w:rPr>
              <w:t xml:space="preserve">being clarified originates from </w:t>
            </w:r>
            <w:r w:rsidR="007C3FC7" w:rsidRPr="004049C0">
              <w:rPr>
                <w:rFonts w:ascii="Times New Roman" w:hAnsi="Times New Roman" w:cs="Times New Roman"/>
                <w:i/>
                <w:iCs/>
              </w:rPr>
              <w:t>ASU 2011-04</w:t>
            </w:r>
            <w:r w:rsidR="004049C0" w:rsidRPr="004049C0">
              <w:rPr>
                <w:rFonts w:ascii="Times New Roman" w:hAnsi="Times New Roman" w:cs="Times New Roman"/>
                <w:i/>
                <w:iCs/>
              </w:rPr>
              <w:t>–Fair Value Measurement</w:t>
            </w:r>
            <w:r w:rsidR="00434346">
              <w:rPr>
                <w:rFonts w:ascii="Times New Roman" w:hAnsi="Times New Roman" w:cs="Times New Roman"/>
              </w:rPr>
              <w:t xml:space="preserve">, which </w:t>
            </w:r>
            <w:r w:rsidR="00434346" w:rsidRPr="001149F2">
              <w:rPr>
                <w:rFonts w:ascii="Times New Roman" w:hAnsi="Times New Roman" w:cs="Times New Roman"/>
              </w:rPr>
              <w:t>has not yet been addressed for statutory accounting</w:t>
            </w:r>
            <w:r w:rsidRPr="001149F2">
              <w:rPr>
                <w:rFonts w:ascii="Times New Roman" w:hAnsi="Times New Roman" w:cs="Times New Roman"/>
              </w:rPr>
              <w:t>,</w:t>
            </w:r>
            <w:r w:rsidR="0053478E" w:rsidRPr="001149F2">
              <w:rPr>
                <w:rFonts w:ascii="Times New Roman" w:hAnsi="Times New Roman" w:cs="Times New Roman"/>
              </w:rPr>
              <w:t xml:space="preserve"> no changes are recommended.</w:t>
            </w:r>
          </w:p>
          <w:p w14:paraId="21F6514A" w14:textId="77777777" w:rsidR="0053478E" w:rsidRPr="001149F2" w:rsidRDefault="0053478E" w:rsidP="0053478E">
            <w:pPr>
              <w:rPr>
                <w:rFonts w:ascii="Times New Roman" w:hAnsi="Times New Roman" w:cs="Times New Roman"/>
              </w:rPr>
            </w:pPr>
          </w:p>
          <w:p w14:paraId="54CD775B" w14:textId="01995629" w:rsidR="005225C8" w:rsidRPr="001149F2" w:rsidRDefault="0053478E" w:rsidP="0053478E">
            <w:pPr>
              <w:rPr>
                <w:rFonts w:ascii="Times New Roman" w:hAnsi="Times New Roman" w:cs="Times New Roman"/>
                <w:highlight w:val="yellow"/>
              </w:rPr>
            </w:pPr>
            <w:r w:rsidRPr="001149F2">
              <w:rPr>
                <w:rFonts w:ascii="Times New Roman" w:hAnsi="Times New Roman" w:cs="Times New Roman"/>
                <w:b/>
                <w:bCs/>
              </w:rPr>
              <w:t>This update is not applicable – no action required.</w:t>
            </w:r>
          </w:p>
        </w:tc>
      </w:tr>
      <w:tr w:rsidR="005225C8" w:rsidRPr="007B2137" w14:paraId="25EB0462" w14:textId="77777777" w:rsidTr="00156A39">
        <w:tc>
          <w:tcPr>
            <w:tcW w:w="2520" w:type="dxa"/>
          </w:tcPr>
          <w:p w14:paraId="74DEDC22" w14:textId="00E26554" w:rsidR="005225C8" w:rsidRPr="001149F2" w:rsidRDefault="002C6392" w:rsidP="00156A39">
            <w:pPr>
              <w:rPr>
                <w:rFonts w:ascii="Times New Roman" w:hAnsi="Times New Roman" w:cs="Times New Roman"/>
                <w:highlight w:val="yellow"/>
              </w:rPr>
            </w:pPr>
            <w:r w:rsidRPr="001149F2">
              <w:rPr>
                <w:rFonts w:ascii="Times New Roman" w:hAnsi="Times New Roman" w:cs="Times New Roman"/>
              </w:rPr>
              <w:t>Fair Value Measurement—Overall</w:t>
            </w:r>
          </w:p>
        </w:tc>
        <w:tc>
          <w:tcPr>
            <w:tcW w:w="1913" w:type="dxa"/>
          </w:tcPr>
          <w:p w14:paraId="24AFF891" w14:textId="20678695" w:rsidR="005225C8" w:rsidRPr="001149F2" w:rsidRDefault="002C6392" w:rsidP="00156A39">
            <w:pPr>
              <w:jc w:val="center"/>
              <w:rPr>
                <w:rFonts w:ascii="Times New Roman" w:hAnsi="Times New Roman" w:cs="Times New Roman"/>
                <w:highlight w:val="yellow"/>
              </w:rPr>
            </w:pPr>
            <w:r w:rsidRPr="001149F2">
              <w:rPr>
                <w:rFonts w:ascii="Times New Roman" w:hAnsi="Times New Roman" w:cs="Times New Roman"/>
              </w:rPr>
              <w:t>820-10</w:t>
            </w:r>
          </w:p>
        </w:tc>
        <w:tc>
          <w:tcPr>
            <w:tcW w:w="4027" w:type="dxa"/>
          </w:tcPr>
          <w:p w14:paraId="0DDFA207" w14:textId="7DF9BF98" w:rsidR="005225C8" w:rsidRPr="001149F2" w:rsidRDefault="009F12B6" w:rsidP="007B408D">
            <w:pPr>
              <w:rPr>
                <w:rFonts w:ascii="Times New Roman" w:hAnsi="Times New Roman" w:cs="Times New Roman"/>
              </w:rPr>
            </w:pPr>
            <w:r w:rsidRPr="001149F2">
              <w:rPr>
                <w:rFonts w:ascii="Times New Roman" w:hAnsi="Times New Roman" w:cs="Times New Roman"/>
              </w:rPr>
              <w:t>When initially drafted ASU 2011-04</w:t>
            </w:r>
            <w:r w:rsidR="00307900" w:rsidRPr="001149F2">
              <w:rPr>
                <w:rFonts w:ascii="Times New Roman" w:hAnsi="Times New Roman" w:cs="Times New Roman"/>
              </w:rPr>
              <w:t xml:space="preserve"> was intended to exclude</w:t>
            </w:r>
            <w:r w:rsidR="007B408D" w:rsidRPr="001149F2">
              <w:rPr>
                <w:rFonts w:ascii="Times New Roman" w:hAnsi="Times New Roman" w:cs="Times New Roman"/>
              </w:rPr>
              <w:t xml:space="preserve"> </w:t>
            </w:r>
            <w:r w:rsidR="00307900" w:rsidRPr="001149F2">
              <w:rPr>
                <w:rFonts w:ascii="Times New Roman" w:hAnsi="Times New Roman" w:cs="Times New Roman"/>
              </w:rPr>
              <w:t>nonfinancial derivatives from the portfolio exception. The amendments revise paragraphs 820-10-35-18D through 35-18F and 820-10-35-</w:t>
            </w:r>
            <w:r w:rsidR="007B408D" w:rsidRPr="001149F2">
              <w:rPr>
                <w:rFonts w:ascii="Times New Roman" w:hAnsi="Times New Roman" w:cs="Times New Roman"/>
              </w:rPr>
              <w:t xml:space="preserve"> </w:t>
            </w:r>
            <w:r w:rsidR="00307900" w:rsidRPr="001149F2">
              <w:rPr>
                <w:rFonts w:ascii="Times New Roman" w:hAnsi="Times New Roman" w:cs="Times New Roman"/>
              </w:rPr>
              <w:t>18H through 35-18L to include not only financial assets and financial liabilities, but also portfolios of financial instruments and nonfinancial instruments accounted for as derivatives in accordance with Topic 815.</w:t>
            </w:r>
          </w:p>
        </w:tc>
        <w:tc>
          <w:tcPr>
            <w:tcW w:w="1440" w:type="dxa"/>
          </w:tcPr>
          <w:p w14:paraId="5757A7BB" w14:textId="70BCD68F" w:rsidR="00A64375" w:rsidRPr="001149F2" w:rsidRDefault="00A64375" w:rsidP="00A64375">
            <w:pPr>
              <w:jc w:val="center"/>
              <w:rPr>
                <w:rFonts w:ascii="Times New Roman" w:hAnsi="Times New Roman" w:cs="Times New Roman"/>
              </w:rPr>
            </w:pPr>
            <w:r w:rsidRPr="001149F2">
              <w:rPr>
                <w:rFonts w:ascii="Times New Roman" w:hAnsi="Times New Roman" w:cs="Times New Roman"/>
              </w:rPr>
              <w:t>35-18D thru 18L</w:t>
            </w:r>
          </w:p>
        </w:tc>
        <w:tc>
          <w:tcPr>
            <w:tcW w:w="3690" w:type="dxa"/>
          </w:tcPr>
          <w:p w14:paraId="22A75E1A" w14:textId="77777777" w:rsidR="00434346" w:rsidRPr="001149F2" w:rsidRDefault="00434346" w:rsidP="00434346">
            <w:pPr>
              <w:rPr>
                <w:rFonts w:ascii="Times New Roman" w:hAnsi="Times New Roman" w:cs="Times New Roman"/>
              </w:rPr>
            </w:pPr>
            <w:r w:rsidRPr="001149F2">
              <w:rPr>
                <w:rFonts w:ascii="Times New Roman" w:hAnsi="Times New Roman" w:cs="Times New Roman"/>
              </w:rPr>
              <w:t>As the original guidance being clarified originates from ASU 2011-04</w:t>
            </w:r>
            <w:r>
              <w:rPr>
                <w:rFonts w:ascii="Times New Roman" w:hAnsi="Times New Roman" w:cs="Times New Roman"/>
              </w:rPr>
              <w:t xml:space="preserve">, which </w:t>
            </w:r>
            <w:r w:rsidRPr="001149F2">
              <w:rPr>
                <w:rFonts w:ascii="Times New Roman" w:hAnsi="Times New Roman" w:cs="Times New Roman"/>
              </w:rPr>
              <w:t>has not yet been addressed for statutory accounting, no changes are recommended.</w:t>
            </w:r>
          </w:p>
          <w:p w14:paraId="4C32F8AF" w14:textId="77777777" w:rsidR="007C3FC7" w:rsidRPr="001149F2" w:rsidRDefault="007C3FC7" w:rsidP="007C3FC7">
            <w:pPr>
              <w:rPr>
                <w:rFonts w:ascii="Times New Roman" w:hAnsi="Times New Roman" w:cs="Times New Roman"/>
              </w:rPr>
            </w:pPr>
          </w:p>
          <w:p w14:paraId="04E37ACF" w14:textId="5A7B3CB8" w:rsidR="005225C8" w:rsidRPr="001149F2" w:rsidRDefault="007C3FC7" w:rsidP="007C3FC7">
            <w:pPr>
              <w:rPr>
                <w:rFonts w:ascii="Times New Roman" w:hAnsi="Times New Roman" w:cs="Times New Roman"/>
                <w:highlight w:val="yellow"/>
              </w:rPr>
            </w:pPr>
            <w:r w:rsidRPr="001149F2">
              <w:rPr>
                <w:rFonts w:ascii="Times New Roman" w:hAnsi="Times New Roman" w:cs="Times New Roman"/>
                <w:b/>
                <w:bCs/>
              </w:rPr>
              <w:t>This update is not applicable – no action required.</w:t>
            </w:r>
          </w:p>
        </w:tc>
      </w:tr>
      <w:tr w:rsidR="005225C8" w:rsidRPr="007B2137" w14:paraId="7A00F76D" w14:textId="77777777" w:rsidTr="00156A39">
        <w:tc>
          <w:tcPr>
            <w:tcW w:w="2520" w:type="dxa"/>
          </w:tcPr>
          <w:p w14:paraId="4413EB62" w14:textId="2F5350FD" w:rsidR="005225C8" w:rsidRPr="001149F2" w:rsidRDefault="003B1F0E" w:rsidP="00156A39">
            <w:pPr>
              <w:rPr>
                <w:rFonts w:ascii="Times New Roman" w:hAnsi="Times New Roman" w:cs="Times New Roman"/>
                <w:highlight w:val="yellow"/>
              </w:rPr>
            </w:pPr>
            <w:r w:rsidRPr="001149F2">
              <w:rPr>
                <w:rFonts w:ascii="Times New Roman" w:hAnsi="Times New Roman" w:cs="Times New Roman"/>
              </w:rPr>
              <w:t>Fair Value Measurement—Overall</w:t>
            </w:r>
          </w:p>
        </w:tc>
        <w:tc>
          <w:tcPr>
            <w:tcW w:w="1913" w:type="dxa"/>
          </w:tcPr>
          <w:p w14:paraId="07A847F3" w14:textId="74E89F21" w:rsidR="005225C8" w:rsidRPr="001149F2" w:rsidRDefault="007871AA" w:rsidP="00156A39">
            <w:pPr>
              <w:jc w:val="center"/>
              <w:rPr>
                <w:rFonts w:ascii="Times New Roman" w:hAnsi="Times New Roman" w:cs="Times New Roman"/>
                <w:highlight w:val="yellow"/>
              </w:rPr>
            </w:pPr>
            <w:r w:rsidRPr="001149F2">
              <w:rPr>
                <w:rFonts w:ascii="Times New Roman" w:hAnsi="Times New Roman" w:cs="Times New Roman"/>
              </w:rPr>
              <w:t>820-10</w:t>
            </w:r>
          </w:p>
        </w:tc>
        <w:tc>
          <w:tcPr>
            <w:tcW w:w="4027" w:type="dxa"/>
          </w:tcPr>
          <w:p w14:paraId="5DDCF5F0" w14:textId="6375059D" w:rsidR="005225C8" w:rsidRPr="001149F2" w:rsidRDefault="00CB5F49" w:rsidP="005B339D">
            <w:pPr>
              <w:rPr>
                <w:rFonts w:ascii="Times New Roman" w:hAnsi="Times New Roman" w:cs="Times New Roman"/>
                <w:highlight w:val="yellow"/>
              </w:rPr>
            </w:pPr>
            <w:r w:rsidRPr="001149F2">
              <w:rPr>
                <w:rFonts w:ascii="Times New Roman" w:hAnsi="Times New Roman" w:cs="Times New Roman"/>
              </w:rPr>
              <w:t xml:space="preserve">This amendment replaces an indefinite deferral in transition paragraph 820- </w:t>
            </w:r>
            <w:r w:rsidRPr="001149F2">
              <w:rPr>
                <w:rFonts w:ascii="Times New Roman" w:hAnsi="Times New Roman" w:cs="Times New Roman"/>
              </w:rPr>
              <w:lastRenderedPageBreak/>
              <w:t xml:space="preserve">10-65-9 from </w:t>
            </w:r>
            <w:r w:rsidR="00135AE6" w:rsidRPr="00135AE6">
              <w:rPr>
                <w:rFonts w:ascii="Times New Roman" w:hAnsi="Times New Roman" w:cs="Times New Roman"/>
                <w:i/>
                <w:iCs/>
              </w:rPr>
              <w:t xml:space="preserve">ASU </w:t>
            </w:r>
            <w:r w:rsidRPr="00135AE6">
              <w:rPr>
                <w:rFonts w:ascii="Times New Roman" w:hAnsi="Times New Roman" w:cs="Times New Roman"/>
                <w:i/>
                <w:iCs/>
              </w:rPr>
              <w:t xml:space="preserve">2013-09, </w:t>
            </w:r>
            <w:r w:rsidRPr="001149F2">
              <w:rPr>
                <w:rFonts w:ascii="Times New Roman" w:hAnsi="Times New Roman" w:cs="Times New Roman"/>
                <w:i/>
                <w:iCs/>
              </w:rPr>
              <w:t xml:space="preserve">Fair Value </w:t>
            </w:r>
            <w:r w:rsidR="00333980" w:rsidRPr="001149F2">
              <w:rPr>
                <w:rFonts w:ascii="Times New Roman" w:hAnsi="Times New Roman" w:cs="Times New Roman"/>
                <w:i/>
                <w:iCs/>
              </w:rPr>
              <w:t>Measurement,</w:t>
            </w:r>
            <w:r w:rsidRPr="001149F2">
              <w:rPr>
                <w:rFonts w:ascii="Times New Roman" w:hAnsi="Times New Roman" w:cs="Times New Roman"/>
              </w:rPr>
              <w:t xml:space="preserve"> with a disclosure exemption in</w:t>
            </w:r>
            <w:r w:rsidR="005B339D" w:rsidRPr="001149F2">
              <w:rPr>
                <w:rFonts w:ascii="Times New Roman" w:hAnsi="Times New Roman" w:cs="Times New Roman"/>
              </w:rPr>
              <w:t xml:space="preserve"> </w:t>
            </w:r>
            <w:r w:rsidRPr="001149F2">
              <w:rPr>
                <w:rFonts w:ascii="Times New Roman" w:hAnsi="Times New Roman" w:cs="Times New Roman"/>
              </w:rPr>
              <w:t>paragraph 820-10-50-2(bbb)</w:t>
            </w:r>
            <w:r w:rsidR="00A56EC9" w:rsidRPr="001149F2">
              <w:rPr>
                <w:rFonts w:ascii="Times New Roman" w:hAnsi="Times New Roman" w:cs="Times New Roman"/>
              </w:rPr>
              <w:t>.</w:t>
            </w:r>
            <w:r w:rsidR="00A56EC9" w:rsidRPr="001149F2">
              <w:t xml:space="preserve"> </w:t>
            </w:r>
            <w:r w:rsidR="002F27DB" w:rsidRPr="001149F2">
              <w:rPr>
                <w:rFonts w:ascii="Times New Roman" w:hAnsi="Times New Roman" w:cs="Times New Roman"/>
              </w:rPr>
              <w:t>Amendment also eliminates transition guidance in paragraph 65-9.</w:t>
            </w:r>
          </w:p>
        </w:tc>
        <w:tc>
          <w:tcPr>
            <w:tcW w:w="1440" w:type="dxa"/>
          </w:tcPr>
          <w:p w14:paraId="04CA0052" w14:textId="77777777" w:rsidR="005225C8" w:rsidRPr="001149F2" w:rsidRDefault="007871AA" w:rsidP="00156A39">
            <w:pPr>
              <w:jc w:val="center"/>
              <w:rPr>
                <w:rFonts w:ascii="Times New Roman" w:hAnsi="Times New Roman" w:cs="Times New Roman"/>
              </w:rPr>
            </w:pPr>
            <w:r w:rsidRPr="001149F2">
              <w:rPr>
                <w:rFonts w:ascii="Times New Roman" w:hAnsi="Times New Roman" w:cs="Times New Roman"/>
              </w:rPr>
              <w:lastRenderedPageBreak/>
              <w:t>50-2</w:t>
            </w:r>
          </w:p>
          <w:p w14:paraId="00D3EF07" w14:textId="271545F1" w:rsidR="002F27DB" w:rsidRPr="001149F2" w:rsidRDefault="002F27DB" w:rsidP="00156A39">
            <w:pPr>
              <w:jc w:val="center"/>
              <w:rPr>
                <w:rFonts w:ascii="Times New Roman" w:hAnsi="Times New Roman" w:cs="Times New Roman"/>
                <w:highlight w:val="yellow"/>
              </w:rPr>
            </w:pPr>
            <w:r w:rsidRPr="001149F2">
              <w:rPr>
                <w:rFonts w:ascii="Times New Roman" w:hAnsi="Times New Roman" w:cs="Times New Roman"/>
              </w:rPr>
              <w:t>65-9</w:t>
            </w:r>
          </w:p>
        </w:tc>
        <w:tc>
          <w:tcPr>
            <w:tcW w:w="3690" w:type="dxa"/>
          </w:tcPr>
          <w:p w14:paraId="3AC62348" w14:textId="6CB78F6C" w:rsidR="00434346" w:rsidRPr="001149F2" w:rsidRDefault="00434346" w:rsidP="00434346">
            <w:pPr>
              <w:rPr>
                <w:rFonts w:ascii="Times New Roman" w:hAnsi="Times New Roman" w:cs="Times New Roman"/>
              </w:rPr>
            </w:pPr>
            <w:r w:rsidRPr="001149F2">
              <w:rPr>
                <w:rFonts w:ascii="Times New Roman" w:hAnsi="Times New Roman" w:cs="Times New Roman"/>
              </w:rPr>
              <w:t xml:space="preserve">As the original guidance being clarified originates from </w:t>
            </w:r>
            <w:r w:rsidRPr="00333980">
              <w:rPr>
                <w:rFonts w:ascii="Times New Roman" w:hAnsi="Times New Roman" w:cs="Times New Roman"/>
              </w:rPr>
              <w:t xml:space="preserve">ASU </w:t>
            </w:r>
            <w:r w:rsidRPr="00333980">
              <w:rPr>
                <w:rFonts w:ascii="Times New Roman" w:hAnsi="Times New Roman" w:cs="Times New Roman"/>
              </w:rPr>
              <w:lastRenderedPageBreak/>
              <w:t>2013-09,</w:t>
            </w:r>
            <w:r>
              <w:rPr>
                <w:rFonts w:ascii="Times New Roman" w:hAnsi="Times New Roman" w:cs="Times New Roman"/>
              </w:rPr>
              <w:t xml:space="preserve"> which </w:t>
            </w:r>
            <w:r w:rsidRPr="001149F2">
              <w:rPr>
                <w:rFonts w:ascii="Times New Roman" w:hAnsi="Times New Roman" w:cs="Times New Roman"/>
              </w:rPr>
              <w:t>has not yet been addressed for statutory accounting, no changes are recommended.</w:t>
            </w:r>
          </w:p>
          <w:p w14:paraId="4D9152FB" w14:textId="77777777" w:rsidR="00C954F3" w:rsidRPr="001149F2" w:rsidRDefault="00C954F3" w:rsidP="00C954F3">
            <w:pPr>
              <w:rPr>
                <w:rFonts w:ascii="Times New Roman" w:hAnsi="Times New Roman" w:cs="Times New Roman"/>
              </w:rPr>
            </w:pPr>
          </w:p>
          <w:p w14:paraId="428817AC" w14:textId="5B2938DB" w:rsidR="005225C8" w:rsidRPr="001149F2" w:rsidRDefault="00C954F3" w:rsidP="00C954F3">
            <w:pPr>
              <w:rPr>
                <w:rFonts w:ascii="Times New Roman" w:hAnsi="Times New Roman" w:cs="Times New Roman"/>
                <w:highlight w:val="yellow"/>
              </w:rPr>
            </w:pPr>
            <w:r w:rsidRPr="00DD55EF">
              <w:rPr>
                <w:rFonts w:ascii="Times New Roman" w:hAnsi="Times New Roman" w:cs="Times New Roman"/>
                <w:b/>
                <w:bCs/>
              </w:rPr>
              <w:t>This update is not applicable – no action required.</w:t>
            </w:r>
          </w:p>
        </w:tc>
      </w:tr>
      <w:tr w:rsidR="005225C8" w:rsidRPr="007B2137" w14:paraId="6EF07684" w14:textId="77777777" w:rsidTr="00156A39">
        <w:tc>
          <w:tcPr>
            <w:tcW w:w="2520" w:type="dxa"/>
          </w:tcPr>
          <w:p w14:paraId="1220F78D" w14:textId="75B4B0AE" w:rsidR="005225C8" w:rsidRPr="001149F2" w:rsidRDefault="005E4C5C" w:rsidP="00156A39">
            <w:pPr>
              <w:rPr>
                <w:rFonts w:ascii="Times New Roman" w:hAnsi="Times New Roman" w:cs="Times New Roman"/>
                <w:highlight w:val="yellow"/>
              </w:rPr>
            </w:pPr>
            <w:r w:rsidRPr="001149F2">
              <w:rPr>
                <w:rFonts w:ascii="Times New Roman" w:hAnsi="Times New Roman" w:cs="Times New Roman"/>
              </w:rPr>
              <w:lastRenderedPageBreak/>
              <w:t>Fair Value Measurement—Overall</w:t>
            </w:r>
          </w:p>
        </w:tc>
        <w:tc>
          <w:tcPr>
            <w:tcW w:w="1913" w:type="dxa"/>
          </w:tcPr>
          <w:p w14:paraId="15C5A5E1" w14:textId="70FA70A0" w:rsidR="005225C8" w:rsidRPr="001149F2" w:rsidRDefault="005E4C5C" w:rsidP="00156A39">
            <w:pPr>
              <w:jc w:val="center"/>
              <w:rPr>
                <w:rFonts w:ascii="Times New Roman" w:hAnsi="Times New Roman" w:cs="Times New Roman"/>
              </w:rPr>
            </w:pPr>
            <w:r w:rsidRPr="001149F2">
              <w:rPr>
                <w:rFonts w:ascii="Times New Roman" w:hAnsi="Times New Roman" w:cs="Times New Roman"/>
              </w:rPr>
              <w:t>820-10</w:t>
            </w:r>
          </w:p>
        </w:tc>
        <w:tc>
          <w:tcPr>
            <w:tcW w:w="4027" w:type="dxa"/>
          </w:tcPr>
          <w:p w14:paraId="5A79716B" w14:textId="5B58D7F8" w:rsidR="005225C8" w:rsidRPr="001149F2" w:rsidRDefault="00121325" w:rsidP="00121325">
            <w:pPr>
              <w:rPr>
                <w:rFonts w:ascii="Times New Roman" w:hAnsi="Times New Roman" w:cs="Times New Roman"/>
              </w:rPr>
            </w:pPr>
            <w:r w:rsidRPr="001149F2">
              <w:rPr>
                <w:rFonts w:ascii="Times New Roman" w:hAnsi="Times New Roman" w:cs="Times New Roman"/>
              </w:rPr>
              <w:t>Th</w:t>
            </w:r>
            <w:r w:rsidR="007B408D" w:rsidRPr="001149F2">
              <w:rPr>
                <w:rFonts w:ascii="Times New Roman" w:hAnsi="Times New Roman" w:cs="Times New Roman"/>
              </w:rPr>
              <w:t>is</w:t>
            </w:r>
            <w:r w:rsidRPr="001149F2">
              <w:rPr>
                <w:rFonts w:ascii="Times New Roman" w:hAnsi="Times New Roman" w:cs="Times New Roman"/>
              </w:rPr>
              <w:t xml:space="preserve"> amendment changes the term </w:t>
            </w:r>
            <w:r w:rsidR="00D12C9C" w:rsidRPr="001149F2">
              <w:rPr>
                <w:rFonts w:ascii="Times New Roman" w:hAnsi="Times New Roman" w:cs="Times New Roman"/>
              </w:rPr>
              <w:t>‘</w:t>
            </w:r>
            <w:r w:rsidRPr="001149F2">
              <w:rPr>
                <w:rFonts w:ascii="Times New Roman" w:hAnsi="Times New Roman" w:cs="Times New Roman"/>
              </w:rPr>
              <w:t>build-up methodology</w:t>
            </w:r>
            <w:r w:rsidR="00D12C9C" w:rsidRPr="001149F2">
              <w:rPr>
                <w:rFonts w:ascii="Times New Roman" w:hAnsi="Times New Roman" w:cs="Times New Roman"/>
              </w:rPr>
              <w:t>’ to build-up approach’</w:t>
            </w:r>
            <w:r w:rsidRPr="001149F2">
              <w:rPr>
                <w:rFonts w:ascii="Times New Roman" w:hAnsi="Times New Roman" w:cs="Times New Roman"/>
              </w:rPr>
              <w:t xml:space="preserve"> for clarity</w:t>
            </w:r>
            <w:r w:rsidR="00D12C9C" w:rsidRPr="001149F2">
              <w:rPr>
                <w:rFonts w:ascii="Times New Roman" w:hAnsi="Times New Roman" w:cs="Times New Roman"/>
              </w:rPr>
              <w:t>. As indicated in the guidance, a build-up methodology is a subset of a valuation technique, whereas</w:t>
            </w:r>
            <w:r w:rsidRPr="001149F2">
              <w:rPr>
                <w:rFonts w:ascii="Times New Roman" w:hAnsi="Times New Roman" w:cs="Times New Roman"/>
              </w:rPr>
              <w:t xml:space="preserve"> the build-up approach is a method of applying the discount rate adjustment technique. </w:t>
            </w:r>
          </w:p>
        </w:tc>
        <w:tc>
          <w:tcPr>
            <w:tcW w:w="1440" w:type="dxa"/>
          </w:tcPr>
          <w:p w14:paraId="2BF881DA" w14:textId="77777777" w:rsidR="005225C8" w:rsidRPr="001149F2" w:rsidRDefault="00763967" w:rsidP="00156A39">
            <w:pPr>
              <w:jc w:val="center"/>
              <w:rPr>
                <w:rFonts w:ascii="Times New Roman" w:hAnsi="Times New Roman" w:cs="Times New Roman"/>
              </w:rPr>
            </w:pPr>
            <w:r w:rsidRPr="001149F2">
              <w:rPr>
                <w:rFonts w:ascii="Times New Roman" w:hAnsi="Times New Roman" w:cs="Times New Roman"/>
              </w:rPr>
              <w:t>55-11</w:t>
            </w:r>
          </w:p>
          <w:p w14:paraId="19FBD349" w14:textId="77777777" w:rsidR="00763967" w:rsidRPr="001149F2" w:rsidRDefault="00763967" w:rsidP="00156A39">
            <w:pPr>
              <w:jc w:val="center"/>
              <w:rPr>
                <w:rFonts w:ascii="Times New Roman" w:hAnsi="Times New Roman" w:cs="Times New Roman"/>
              </w:rPr>
            </w:pPr>
            <w:r w:rsidRPr="001149F2">
              <w:rPr>
                <w:rFonts w:ascii="Times New Roman" w:hAnsi="Times New Roman" w:cs="Times New Roman"/>
              </w:rPr>
              <w:t>55-33</w:t>
            </w:r>
          </w:p>
          <w:p w14:paraId="0000F70F" w14:textId="0C8308F8" w:rsidR="00763967" w:rsidRPr="001149F2" w:rsidRDefault="00763967" w:rsidP="00156A39">
            <w:pPr>
              <w:jc w:val="center"/>
              <w:rPr>
                <w:rFonts w:ascii="Times New Roman" w:hAnsi="Times New Roman" w:cs="Times New Roman"/>
              </w:rPr>
            </w:pPr>
          </w:p>
        </w:tc>
        <w:tc>
          <w:tcPr>
            <w:tcW w:w="3690" w:type="dxa"/>
          </w:tcPr>
          <w:p w14:paraId="40129E1E" w14:textId="01ECCC45" w:rsidR="005225C8" w:rsidRPr="001149F2" w:rsidRDefault="00AF0086" w:rsidP="00156A39">
            <w:pPr>
              <w:rPr>
                <w:rFonts w:ascii="Times New Roman" w:hAnsi="Times New Roman" w:cs="Times New Roman"/>
              </w:rPr>
            </w:pPr>
            <w:r w:rsidRPr="001149F2">
              <w:rPr>
                <w:rFonts w:ascii="Times New Roman" w:hAnsi="Times New Roman" w:cs="Times New Roman"/>
              </w:rPr>
              <w:t xml:space="preserve">Neither the build-up approach nor build-up method are </w:t>
            </w:r>
            <w:r w:rsidR="004E4490" w:rsidRPr="001149F2">
              <w:rPr>
                <w:rFonts w:ascii="Times New Roman" w:hAnsi="Times New Roman" w:cs="Times New Roman"/>
              </w:rPr>
              <w:t xml:space="preserve">contained </w:t>
            </w:r>
            <w:r w:rsidR="006400BF">
              <w:rPr>
                <w:rFonts w:ascii="Times New Roman" w:hAnsi="Times New Roman" w:cs="Times New Roman"/>
              </w:rPr>
              <w:t>addressed by</w:t>
            </w:r>
            <w:r w:rsidR="004E4490" w:rsidRPr="001149F2">
              <w:rPr>
                <w:rFonts w:ascii="Times New Roman" w:hAnsi="Times New Roman" w:cs="Times New Roman"/>
              </w:rPr>
              <w:t xml:space="preserve"> statutory accounting. No changes are recommended.</w:t>
            </w:r>
          </w:p>
          <w:p w14:paraId="2548AA10" w14:textId="77777777" w:rsidR="005225C8" w:rsidRPr="001149F2" w:rsidRDefault="005225C8" w:rsidP="00156A39">
            <w:pPr>
              <w:rPr>
                <w:rFonts w:ascii="Times New Roman" w:hAnsi="Times New Roman" w:cs="Times New Roman"/>
              </w:rPr>
            </w:pPr>
          </w:p>
          <w:p w14:paraId="6FB0DBE3" w14:textId="77777777" w:rsidR="005225C8" w:rsidRPr="001149F2" w:rsidRDefault="005225C8" w:rsidP="00156A39">
            <w:pPr>
              <w:rPr>
                <w:rFonts w:ascii="Times New Roman" w:hAnsi="Times New Roman" w:cs="Times New Roman"/>
              </w:rPr>
            </w:pPr>
            <w:r w:rsidRPr="001149F2">
              <w:rPr>
                <w:rFonts w:ascii="Times New Roman" w:hAnsi="Times New Roman" w:cs="Times New Roman"/>
                <w:b/>
                <w:bCs/>
              </w:rPr>
              <w:t>This update is not applicable – no action required.</w:t>
            </w:r>
          </w:p>
        </w:tc>
      </w:tr>
      <w:tr w:rsidR="00D24BDE" w:rsidRPr="007B2137" w14:paraId="7E093FC0" w14:textId="77777777" w:rsidTr="00156A39">
        <w:tc>
          <w:tcPr>
            <w:tcW w:w="2520" w:type="dxa"/>
          </w:tcPr>
          <w:p w14:paraId="19FFAB41" w14:textId="5117D96D" w:rsidR="00D24BDE" w:rsidRPr="001149F2" w:rsidRDefault="00D24BDE" w:rsidP="00D24BDE">
            <w:pPr>
              <w:rPr>
                <w:rFonts w:ascii="Times New Roman" w:hAnsi="Times New Roman" w:cs="Times New Roman"/>
                <w:highlight w:val="yellow"/>
              </w:rPr>
            </w:pPr>
            <w:r w:rsidRPr="001149F2">
              <w:rPr>
                <w:rFonts w:ascii="Times New Roman" w:hAnsi="Times New Roman" w:cs="Times New Roman"/>
              </w:rPr>
              <w:t>Fair Value Measurement—Overall</w:t>
            </w:r>
          </w:p>
        </w:tc>
        <w:tc>
          <w:tcPr>
            <w:tcW w:w="1913" w:type="dxa"/>
          </w:tcPr>
          <w:p w14:paraId="0059957D" w14:textId="7AB3AAEC" w:rsidR="00D24BDE" w:rsidRPr="001149F2" w:rsidRDefault="00D24BDE" w:rsidP="00D24BDE">
            <w:pPr>
              <w:jc w:val="center"/>
              <w:rPr>
                <w:rFonts w:ascii="Times New Roman" w:hAnsi="Times New Roman" w:cs="Times New Roman"/>
                <w:highlight w:val="yellow"/>
              </w:rPr>
            </w:pPr>
            <w:r w:rsidRPr="001149F2">
              <w:rPr>
                <w:rFonts w:ascii="Times New Roman" w:hAnsi="Times New Roman" w:cs="Times New Roman"/>
              </w:rPr>
              <w:t>820-10</w:t>
            </w:r>
          </w:p>
        </w:tc>
        <w:tc>
          <w:tcPr>
            <w:tcW w:w="4027" w:type="dxa"/>
          </w:tcPr>
          <w:p w14:paraId="17531A48" w14:textId="5C610C4B" w:rsidR="00591CAA" w:rsidRPr="001149F2" w:rsidRDefault="00891CB1" w:rsidP="00591CAA">
            <w:pPr>
              <w:rPr>
                <w:rFonts w:ascii="Times New Roman" w:hAnsi="Times New Roman" w:cs="Times New Roman"/>
              </w:rPr>
            </w:pPr>
            <w:r w:rsidRPr="001149F2">
              <w:rPr>
                <w:rFonts w:ascii="Times New Roman" w:hAnsi="Times New Roman" w:cs="Times New Roman"/>
              </w:rPr>
              <w:t xml:space="preserve">Due to an oversight, when </w:t>
            </w:r>
            <w:r w:rsidR="00135AE6" w:rsidRPr="00135AE6">
              <w:rPr>
                <w:rFonts w:ascii="Times New Roman" w:hAnsi="Times New Roman" w:cs="Times New Roman"/>
                <w:i/>
                <w:iCs/>
              </w:rPr>
              <w:t>ASU 2016-01</w:t>
            </w:r>
            <w:r w:rsidR="00135AE6" w:rsidRPr="00DE6A8D">
              <w:rPr>
                <w:rFonts w:ascii="Times New Roman" w:hAnsi="Times New Roman" w:cs="Times New Roman"/>
                <w:i/>
                <w:iCs/>
              </w:rPr>
              <w:t>–</w:t>
            </w:r>
            <w:r w:rsidR="00135AE6">
              <w:rPr>
                <w:rFonts w:ascii="Times New Roman" w:hAnsi="Times New Roman" w:cs="Times New Roman"/>
                <w:i/>
                <w:iCs/>
              </w:rPr>
              <w:t>Financial Instruments</w:t>
            </w:r>
            <w:r w:rsidRPr="001149F2">
              <w:rPr>
                <w:rFonts w:ascii="Times New Roman" w:hAnsi="Times New Roman" w:cs="Times New Roman"/>
              </w:rPr>
              <w:t xml:space="preserve"> amended Topic 825</w:t>
            </w:r>
            <w:r w:rsidR="009A4C12" w:rsidRPr="001149F2">
              <w:rPr>
                <w:rFonts w:ascii="Times New Roman" w:hAnsi="Times New Roman" w:cs="Times New Roman"/>
              </w:rPr>
              <w:t>, a corresponding amendment was not made to Topic 820 superseding the requirement to disclose information on the methods and assumptions used to measure fair value for those financial</w:t>
            </w:r>
            <w:r w:rsidR="00591CAA" w:rsidRPr="001149F2">
              <w:rPr>
                <w:rFonts w:ascii="Times New Roman" w:hAnsi="Times New Roman" w:cs="Times New Roman"/>
              </w:rPr>
              <w:t xml:space="preserve"> </w:t>
            </w:r>
            <w:r w:rsidR="009A4C12" w:rsidRPr="001149F2">
              <w:rPr>
                <w:rFonts w:ascii="Times New Roman" w:hAnsi="Times New Roman" w:cs="Times New Roman"/>
              </w:rPr>
              <w:t>Instruments.</w:t>
            </w:r>
          </w:p>
          <w:p w14:paraId="00BB1F5F" w14:textId="77777777" w:rsidR="00591CAA" w:rsidRPr="001149F2" w:rsidRDefault="00591CAA" w:rsidP="00591CAA">
            <w:pPr>
              <w:rPr>
                <w:rFonts w:ascii="Times New Roman" w:hAnsi="Times New Roman" w:cs="Times New Roman"/>
              </w:rPr>
            </w:pPr>
          </w:p>
          <w:p w14:paraId="07C88AB8" w14:textId="24CFE5E7" w:rsidR="00D24BDE" w:rsidRPr="001149F2" w:rsidRDefault="003F43D8" w:rsidP="00591CAA">
            <w:pPr>
              <w:rPr>
                <w:rFonts w:ascii="Times New Roman" w:hAnsi="Times New Roman" w:cs="Times New Roman"/>
                <w:highlight w:val="yellow"/>
              </w:rPr>
            </w:pPr>
            <w:r w:rsidRPr="001149F2">
              <w:rPr>
                <w:rFonts w:ascii="Times New Roman" w:hAnsi="Times New Roman" w:cs="Times New Roman"/>
              </w:rPr>
              <w:t>Th</w:t>
            </w:r>
            <w:r w:rsidR="0043450C" w:rsidRPr="001149F2">
              <w:rPr>
                <w:rFonts w:ascii="Times New Roman" w:hAnsi="Times New Roman" w:cs="Times New Roman"/>
              </w:rPr>
              <w:t>is</w:t>
            </w:r>
            <w:r w:rsidRPr="001149F2">
              <w:rPr>
                <w:rFonts w:ascii="Times New Roman" w:hAnsi="Times New Roman" w:cs="Times New Roman"/>
              </w:rPr>
              <w:t xml:space="preserve"> amendment conforms the requirements in Topic 820 with the amendments made to Topic 825 so that the disclosure information is not required, which is consistent with the Board’s intent in the amendments in Update 2016-01.</w:t>
            </w:r>
          </w:p>
        </w:tc>
        <w:tc>
          <w:tcPr>
            <w:tcW w:w="1440" w:type="dxa"/>
          </w:tcPr>
          <w:p w14:paraId="06BF254B" w14:textId="77777777" w:rsidR="00D24BDE" w:rsidRPr="001149F2" w:rsidRDefault="00591CAA" w:rsidP="00D24BDE">
            <w:pPr>
              <w:jc w:val="center"/>
              <w:rPr>
                <w:rFonts w:ascii="Times New Roman" w:hAnsi="Times New Roman" w:cs="Times New Roman"/>
              </w:rPr>
            </w:pPr>
            <w:r w:rsidRPr="001149F2">
              <w:rPr>
                <w:rFonts w:ascii="Times New Roman" w:hAnsi="Times New Roman" w:cs="Times New Roman"/>
              </w:rPr>
              <w:t>50-2E</w:t>
            </w:r>
          </w:p>
          <w:p w14:paraId="337E7210" w14:textId="3D57ACC4" w:rsidR="00591CAA" w:rsidRPr="001149F2" w:rsidRDefault="00591CAA" w:rsidP="00D24BDE">
            <w:pPr>
              <w:jc w:val="center"/>
              <w:rPr>
                <w:rFonts w:ascii="Times New Roman" w:hAnsi="Times New Roman" w:cs="Times New Roman"/>
              </w:rPr>
            </w:pPr>
            <w:r w:rsidRPr="001149F2">
              <w:rPr>
                <w:rFonts w:ascii="Times New Roman" w:hAnsi="Times New Roman" w:cs="Times New Roman"/>
              </w:rPr>
              <w:t>65-4</w:t>
            </w:r>
          </w:p>
        </w:tc>
        <w:tc>
          <w:tcPr>
            <w:tcW w:w="3690" w:type="dxa"/>
          </w:tcPr>
          <w:p w14:paraId="14EAA107" w14:textId="447E1C65" w:rsidR="00D24BDE" w:rsidRPr="000E23A6" w:rsidRDefault="006400BF" w:rsidP="00D24BDE">
            <w:pPr>
              <w:rPr>
                <w:rFonts w:ascii="Times New Roman" w:hAnsi="Times New Roman" w:cs="Times New Roman"/>
              </w:rPr>
            </w:pPr>
            <w:r w:rsidRPr="000E23A6">
              <w:rPr>
                <w:rFonts w:ascii="Times New Roman" w:hAnsi="Times New Roman" w:cs="Times New Roman"/>
              </w:rPr>
              <w:t>The</w:t>
            </w:r>
            <w:r w:rsidR="00D26009" w:rsidRPr="000E23A6">
              <w:rPr>
                <w:rFonts w:ascii="Times New Roman" w:hAnsi="Times New Roman" w:cs="Times New Roman"/>
              </w:rPr>
              <w:t xml:space="preserve"> amendment corrects changes made by </w:t>
            </w:r>
            <w:r w:rsidR="00B21CE7" w:rsidRPr="00135AE6">
              <w:rPr>
                <w:rFonts w:ascii="Times New Roman" w:hAnsi="Times New Roman" w:cs="Times New Roman"/>
                <w:i/>
                <w:iCs/>
              </w:rPr>
              <w:t>ASU 2016-01</w:t>
            </w:r>
            <w:r w:rsidR="00135AE6" w:rsidRPr="00DE6A8D">
              <w:rPr>
                <w:rFonts w:ascii="Times New Roman" w:hAnsi="Times New Roman" w:cs="Times New Roman"/>
                <w:i/>
                <w:iCs/>
              </w:rPr>
              <w:t>–</w:t>
            </w:r>
            <w:r w:rsidR="00135AE6">
              <w:rPr>
                <w:rFonts w:ascii="Times New Roman" w:hAnsi="Times New Roman" w:cs="Times New Roman"/>
                <w:i/>
                <w:iCs/>
              </w:rPr>
              <w:t>Financial Instruments</w:t>
            </w:r>
            <w:r w:rsidR="00B21CE7" w:rsidRPr="000E23A6">
              <w:rPr>
                <w:rFonts w:ascii="Times New Roman" w:hAnsi="Times New Roman" w:cs="Times New Roman"/>
              </w:rPr>
              <w:t>, which was rejected for statutory accounting</w:t>
            </w:r>
            <w:r w:rsidR="00D24BDE" w:rsidRPr="000E23A6">
              <w:rPr>
                <w:rFonts w:ascii="Times New Roman" w:hAnsi="Times New Roman" w:cs="Times New Roman"/>
              </w:rPr>
              <w:t>.</w:t>
            </w:r>
          </w:p>
          <w:p w14:paraId="0830503E" w14:textId="77777777" w:rsidR="00D24BDE" w:rsidRPr="000E23A6" w:rsidRDefault="00D24BDE" w:rsidP="00D24BDE">
            <w:pPr>
              <w:rPr>
                <w:rFonts w:ascii="Times New Roman" w:hAnsi="Times New Roman" w:cs="Times New Roman"/>
                <w:b/>
                <w:bCs/>
              </w:rPr>
            </w:pPr>
          </w:p>
          <w:p w14:paraId="40830951" w14:textId="77777777" w:rsidR="00D24BDE" w:rsidRPr="000E23A6" w:rsidRDefault="00D24BDE" w:rsidP="00D24BDE">
            <w:pPr>
              <w:rPr>
                <w:rFonts w:ascii="Times New Roman" w:hAnsi="Times New Roman" w:cs="Times New Roman"/>
              </w:rPr>
            </w:pPr>
            <w:r w:rsidRPr="000E23A6">
              <w:rPr>
                <w:rFonts w:ascii="Times New Roman" w:hAnsi="Times New Roman" w:cs="Times New Roman"/>
                <w:b/>
                <w:bCs/>
              </w:rPr>
              <w:t>This update is not applicable – no action required.</w:t>
            </w:r>
          </w:p>
        </w:tc>
      </w:tr>
      <w:tr w:rsidR="00CE5BA2" w:rsidRPr="007B2137" w14:paraId="18031216" w14:textId="77777777" w:rsidTr="00156A39">
        <w:tc>
          <w:tcPr>
            <w:tcW w:w="2520" w:type="dxa"/>
          </w:tcPr>
          <w:p w14:paraId="43DFB0AC" w14:textId="346AEE89" w:rsidR="00CE5BA2" w:rsidRPr="001149F2" w:rsidRDefault="00CE5BA2" w:rsidP="00CE5BA2">
            <w:pPr>
              <w:rPr>
                <w:rFonts w:ascii="Times New Roman" w:hAnsi="Times New Roman" w:cs="Times New Roman"/>
                <w:highlight w:val="yellow"/>
              </w:rPr>
            </w:pPr>
            <w:r w:rsidRPr="001149F2">
              <w:rPr>
                <w:rFonts w:ascii="Times New Roman" w:hAnsi="Times New Roman" w:cs="Times New Roman"/>
              </w:rPr>
              <w:t>Fair Value Measurement—Overall</w:t>
            </w:r>
          </w:p>
        </w:tc>
        <w:tc>
          <w:tcPr>
            <w:tcW w:w="1913" w:type="dxa"/>
          </w:tcPr>
          <w:p w14:paraId="7092B2EE" w14:textId="14C89F32" w:rsidR="00CE5BA2" w:rsidRPr="001149F2" w:rsidRDefault="00CE5BA2" w:rsidP="00CE5BA2">
            <w:pPr>
              <w:jc w:val="center"/>
              <w:rPr>
                <w:rFonts w:ascii="Times New Roman" w:hAnsi="Times New Roman" w:cs="Times New Roman"/>
                <w:highlight w:val="yellow"/>
              </w:rPr>
            </w:pPr>
            <w:r w:rsidRPr="001149F2">
              <w:rPr>
                <w:rFonts w:ascii="Times New Roman" w:hAnsi="Times New Roman" w:cs="Times New Roman"/>
              </w:rPr>
              <w:t>820-10</w:t>
            </w:r>
          </w:p>
        </w:tc>
        <w:tc>
          <w:tcPr>
            <w:tcW w:w="4027" w:type="dxa"/>
          </w:tcPr>
          <w:p w14:paraId="46E7412F" w14:textId="0AEA5D3B" w:rsidR="00CE5BA2" w:rsidRPr="001149F2" w:rsidRDefault="0071589E" w:rsidP="00CE5BA2">
            <w:pPr>
              <w:rPr>
                <w:rFonts w:ascii="Times New Roman" w:hAnsi="Times New Roman" w:cs="Times New Roman"/>
              </w:rPr>
            </w:pPr>
            <w:r w:rsidRPr="001149F2">
              <w:rPr>
                <w:rFonts w:ascii="Times New Roman" w:hAnsi="Times New Roman" w:cs="Times New Roman"/>
              </w:rPr>
              <w:t>Th</w:t>
            </w:r>
            <w:r w:rsidR="0043450C" w:rsidRPr="001149F2">
              <w:rPr>
                <w:rFonts w:ascii="Times New Roman" w:hAnsi="Times New Roman" w:cs="Times New Roman"/>
              </w:rPr>
              <w:t>is</w:t>
            </w:r>
            <w:r w:rsidRPr="001149F2">
              <w:rPr>
                <w:rFonts w:ascii="Times New Roman" w:hAnsi="Times New Roman" w:cs="Times New Roman"/>
              </w:rPr>
              <w:t xml:space="preserve"> amendment corrects the </w:t>
            </w:r>
            <w:r w:rsidR="00BA7CC6" w:rsidRPr="001149F2">
              <w:rPr>
                <w:rFonts w:ascii="Times New Roman" w:hAnsi="Times New Roman" w:cs="Times New Roman"/>
              </w:rPr>
              <w:t xml:space="preserve">dates used in Examples 9 to </w:t>
            </w:r>
            <w:r w:rsidR="00642AED" w:rsidRPr="001149F2">
              <w:rPr>
                <w:rFonts w:ascii="Times New Roman" w:hAnsi="Times New Roman" w:cs="Times New Roman"/>
              </w:rPr>
              <w:t xml:space="preserve">properly </w:t>
            </w:r>
            <w:r w:rsidR="00BA7CC6" w:rsidRPr="001149F2">
              <w:rPr>
                <w:rFonts w:ascii="Times New Roman" w:hAnsi="Times New Roman" w:cs="Times New Roman"/>
              </w:rPr>
              <w:lastRenderedPageBreak/>
              <w:t xml:space="preserve">conform to </w:t>
            </w:r>
            <w:r w:rsidR="00642AED" w:rsidRPr="001149F2">
              <w:rPr>
                <w:rFonts w:ascii="Times New Roman" w:hAnsi="Times New Roman" w:cs="Times New Roman"/>
              </w:rPr>
              <w:t>the guidance provided in 820-10-50-2.</w:t>
            </w:r>
          </w:p>
        </w:tc>
        <w:tc>
          <w:tcPr>
            <w:tcW w:w="1440" w:type="dxa"/>
          </w:tcPr>
          <w:p w14:paraId="30BC7121" w14:textId="17525811" w:rsidR="00CE5BA2" w:rsidRPr="001149F2" w:rsidRDefault="00642AED" w:rsidP="00CE5BA2">
            <w:pPr>
              <w:jc w:val="center"/>
              <w:rPr>
                <w:rFonts w:ascii="Times New Roman" w:hAnsi="Times New Roman" w:cs="Times New Roman"/>
              </w:rPr>
            </w:pPr>
            <w:r w:rsidRPr="001149F2">
              <w:rPr>
                <w:rFonts w:ascii="Times New Roman" w:hAnsi="Times New Roman" w:cs="Times New Roman"/>
              </w:rPr>
              <w:lastRenderedPageBreak/>
              <w:t>55-100</w:t>
            </w:r>
          </w:p>
        </w:tc>
        <w:tc>
          <w:tcPr>
            <w:tcW w:w="3690" w:type="dxa"/>
          </w:tcPr>
          <w:p w14:paraId="484CDCA6" w14:textId="52369406" w:rsidR="00CE5BA2" w:rsidRPr="000E23A6" w:rsidRDefault="000E23A6" w:rsidP="00CE5BA2">
            <w:pPr>
              <w:rPr>
                <w:rFonts w:ascii="Times New Roman" w:hAnsi="Times New Roman" w:cs="Times New Roman"/>
              </w:rPr>
            </w:pPr>
            <w:r w:rsidRPr="000E23A6">
              <w:rPr>
                <w:rFonts w:ascii="Times New Roman" w:hAnsi="Times New Roman" w:cs="Times New Roman"/>
              </w:rPr>
              <w:t>The amended e</w:t>
            </w:r>
            <w:r w:rsidR="002B43B7" w:rsidRPr="000E23A6">
              <w:rPr>
                <w:rFonts w:ascii="Times New Roman" w:hAnsi="Times New Roman" w:cs="Times New Roman"/>
              </w:rPr>
              <w:t xml:space="preserve">xample is not included in statutory accounting </w:t>
            </w:r>
            <w:r w:rsidR="002B43B7" w:rsidRPr="000E23A6">
              <w:rPr>
                <w:rFonts w:ascii="Times New Roman" w:hAnsi="Times New Roman" w:cs="Times New Roman"/>
              </w:rPr>
              <w:lastRenderedPageBreak/>
              <w:t>guidance.</w:t>
            </w:r>
            <w:r w:rsidR="00C40835" w:rsidRPr="000E23A6">
              <w:rPr>
                <w:rFonts w:ascii="Times New Roman" w:hAnsi="Times New Roman" w:cs="Times New Roman"/>
              </w:rPr>
              <w:t xml:space="preserve"> No changes are recommended.</w:t>
            </w:r>
          </w:p>
          <w:p w14:paraId="47B9A817" w14:textId="77777777" w:rsidR="00CE5BA2" w:rsidRPr="000E23A6" w:rsidRDefault="00CE5BA2" w:rsidP="00CE5BA2">
            <w:pPr>
              <w:rPr>
                <w:rFonts w:ascii="Times New Roman" w:hAnsi="Times New Roman" w:cs="Times New Roman"/>
              </w:rPr>
            </w:pPr>
          </w:p>
          <w:p w14:paraId="387267C0" w14:textId="77777777" w:rsidR="00CE5BA2" w:rsidRPr="000E23A6" w:rsidRDefault="00CE5BA2" w:rsidP="00CE5BA2">
            <w:pPr>
              <w:rPr>
                <w:rFonts w:ascii="Times New Roman" w:hAnsi="Times New Roman" w:cs="Times New Roman"/>
              </w:rPr>
            </w:pPr>
            <w:r w:rsidRPr="000E23A6">
              <w:rPr>
                <w:rFonts w:ascii="Times New Roman" w:hAnsi="Times New Roman" w:cs="Times New Roman"/>
                <w:b/>
                <w:bCs/>
              </w:rPr>
              <w:t>This update is not applicable – no action required.</w:t>
            </w:r>
          </w:p>
        </w:tc>
      </w:tr>
      <w:tr w:rsidR="005225C8" w:rsidRPr="007B2137" w14:paraId="3C7D07F3" w14:textId="77777777" w:rsidTr="00156A39">
        <w:tc>
          <w:tcPr>
            <w:tcW w:w="2520" w:type="dxa"/>
          </w:tcPr>
          <w:p w14:paraId="392ED589" w14:textId="77777777" w:rsidR="00C200AA" w:rsidRPr="001149F2" w:rsidRDefault="00C200AA" w:rsidP="00C200AA">
            <w:pPr>
              <w:rPr>
                <w:rFonts w:ascii="Times New Roman" w:hAnsi="Times New Roman" w:cs="Times New Roman"/>
              </w:rPr>
            </w:pPr>
            <w:r w:rsidRPr="001149F2">
              <w:rPr>
                <w:rFonts w:ascii="Times New Roman" w:hAnsi="Times New Roman" w:cs="Times New Roman"/>
              </w:rPr>
              <w:lastRenderedPageBreak/>
              <w:t>Financial Services—Depository and Lending—Balance</w:t>
            </w:r>
          </w:p>
          <w:p w14:paraId="48D98798" w14:textId="54C2CE4C" w:rsidR="00430675" w:rsidRPr="001149F2" w:rsidRDefault="00C200AA" w:rsidP="00C200AA">
            <w:pPr>
              <w:rPr>
                <w:rFonts w:ascii="Times New Roman" w:hAnsi="Times New Roman" w:cs="Times New Roman"/>
                <w:highlight w:val="yellow"/>
              </w:rPr>
            </w:pPr>
            <w:r w:rsidRPr="001149F2">
              <w:rPr>
                <w:rFonts w:ascii="Times New Roman" w:hAnsi="Times New Roman" w:cs="Times New Roman"/>
              </w:rPr>
              <w:t>Sheet</w:t>
            </w:r>
          </w:p>
        </w:tc>
        <w:tc>
          <w:tcPr>
            <w:tcW w:w="1913" w:type="dxa"/>
          </w:tcPr>
          <w:p w14:paraId="5C33B57F" w14:textId="0C5C75B8" w:rsidR="00C200AA" w:rsidRPr="001149F2" w:rsidRDefault="00C200AA" w:rsidP="00156A39">
            <w:pPr>
              <w:jc w:val="center"/>
              <w:rPr>
                <w:rFonts w:ascii="Times New Roman" w:hAnsi="Times New Roman" w:cs="Times New Roman"/>
                <w:highlight w:val="yellow"/>
              </w:rPr>
            </w:pPr>
            <w:r w:rsidRPr="001149F2">
              <w:rPr>
                <w:rFonts w:ascii="Times New Roman" w:hAnsi="Times New Roman" w:cs="Times New Roman"/>
              </w:rPr>
              <w:t>942-210</w:t>
            </w:r>
          </w:p>
        </w:tc>
        <w:tc>
          <w:tcPr>
            <w:tcW w:w="4027" w:type="dxa"/>
          </w:tcPr>
          <w:p w14:paraId="46C6BCD3" w14:textId="31DE7FDC" w:rsidR="005225C8" w:rsidRPr="001149F2" w:rsidRDefault="004854F3" w:rsidP="00A504B9">
            <w:pPr>
              <w:rPr>
                <w:rFonts w:ascii="Times New Roman" w:hAnsi="Times New Roman" w:cs="Times New Roman"/>
                <w:highlight w:val="yellow"/>
              </w:rPr>
            </w:pPr>
            <w:r w:rsidRPr="001149F2">
              <w:rPr>
                <w:rFonts w:ascii="Times New Roman" w:hAnsi="Times New Roman" w:cs="Times New Roman"/>
              </w:rPr>
              <w:t>Th</w:t>
            </w:r>
            <w:r w:rsidR="0043450C" w:rsidRPr="001149F2">
              <w:rPr>
                <w:rFonts w:ascii="Times New Roman" w:hAnsi="Times New Roman" w:cs="Times New Roman"/>
              </w:rPr>
              <w:t>is</w:t>
            </w:r>
            <w:r w:rsidRPr="001149F2">
              <w:rPr>
                <w:rFonts w:ascii="Times New Roman" w:hAnsi="Times New Roman" w:cs="Times New Roman"/>
              </w:rPr>
              <w:t xml:space="preserve"> amendment</w:t>
            </w:r>
            <w:r w:rsidR="000A6013" w:rsidRPr="001149F2">
              <w:rPr>
                <w:rFonts w:ascii="Times New Roman" w:hAnsi="Times New Roman" w:cs="Times New Roman"/>
              </w:rPr>
              <w:t xml:space="preserve"> simplifies the Codification by removing the paraphrased guidance from paragraph 942-210-45-3 so that the industry Topic guidance refers to the full guidance</w:t>
            </w:r>
            <w:r w:rsidRPr="001149F2">
              <w:rPr>
                <w:rFonts w:ascii="Times New Roman" w:hAnsi="Times New Roman" w:cs="Times New Roman"/>
              </w:rPr>
              <w:t xml:space="preserve"> </w:t>
            </w:r>
            <w:r w:rsidR="000A6013" w:rsidRPr="001149F2">
              <w:rPr>
                <w:rFonts w:ascii="Times New Roman" w:hAnsi="Times New Roman" w:cs="Times New Roman"/>
              </w:rPr>
              <w:t>in Section 210-20-45.</w:t>
            </w:r>
          </w:p>
        </w:tc>
        <w:tc>
          <w:tcPr>
            <w:tcW w:w="1440" w:type="dxa"/>
          </w:tcPr>
          <w:p w14:paraId="5146D5E0" w14:textId="763E540E" w:rsidR="005225C8" w:rsidRPr="001149F2" w:rsidRDefault="00B058D0" w:rsidP="00156A39">
            <w:pPr>
              <w:jc w:val="center"/>
              <w:rPr>
                <w:rFonts w:ascii="Times New Roman" w:hAnsi="Times New Roman" w:cs="Times New Roman"/>
                <w:highlight w:val="yellow"/>
              </w:rPr>
            </w:pPr>
            <w:r w:rsidRPr="001149F2">
              <w:rPr>
                <w:rFonts w:ascii="Times New Roman" w:hAnsi="Times New Roman" w:cs="Times New Roman"/>
              </w:rPr>
              <w:t>45-</w:t>
            </w:r>
            <w:r w:rsidR="0063508F" w:rsidRPr="001149F2">
              <w:rPr>
                <w:rFonts w:ascii="Times New Roman" w:hAnsi="Times New Roman" w:cs="Times New Roman"/>
              </w:rPr>
              <w:t>3</w:t>
            </w:r>
          </w:p>
        </w:tc>
        <w:tc>
          <w:tcPr>
            <w:tcW w:w="3690" w:type="dxa"/>
          </w:tcPr>
          <w:p w14:paraId="2587C972" w14:textId="1BE324DE" w:rsidR="005225C8" w:rsidRPr="000E23A6" w:rsidRDefault="00744D08" w:rsidP="00156A39">
            <w:pPr>
              <w:rPr>
                <w:rFonts w:ascii="Times New Roman" w:hAnsi="Times New Roman" w:cs="Times New Roman"/>
              </w:rPr>
            </w:pPr>
            <w:r w:rsidRPr="000E23A6">
              <w:rPr>
                <w:rFonts w:ascii="Times New Roman" w:hAnsi="Times New Roman" w:cs="Times New Roman"/>
              </w:rPr>
              <w:t xml:space="preserve">Financial Services guidance </w:t>
            </w:r>
            <w:r w:rsidR="00205115" w:rsidRPr="000E23A6">
              <w:rPr>
                <w:rFonts w:ascii="Times New Roman" w:hAnsi="Times New Roman" w:cs="Times New Roman"/>
              </w:rPr>
              <w:t xml:space="preserve">is not applicable for </w:t>
            </w:r>
            <w:r w:rsidR="005F7913" w:rsidRPr="000E23A6">
              <w:rPr>
                <w:rFonts w:ascii="Times New Roman" w:hAnsi="Times New Roman" w:cs="Times New Roman"/>
              </w:rPr>
              <w:t>statutory accounting.</w:t>
            </w:r>
          </w:p>
          <w:p w14:paraId="6547D06F" w14:textId="77777777" w:rsidR="005225C8" w:rsidRPr="000E23A6" w:rsidRDefault="005225C8" w:rsidP="00156A39">
            <w:pPr>
              <w:rPr>
                <w:rFonts w:ascii="Times New Roman" w:hAnsi="Times New Roman" w:cs="Times New Roman"/>
              </w:rPr>
            </w:pPr>
          </w:p>
          <w:p w14:paraId="14AC992D" w14:textId="5A5FF151" w:rsidR="005225C8" w:rsidRPr="000E23A6" w:rsidRDefault="005225C8" w:rsidP="00156A39">
            <w:pPr>
              <w:rPr>
                <w:rFonts w:ascii="Times New Roman" w:hAnsi="Times New Roman" w:cs="Times New Roman"/>
              </w:rPr>
            </w:pPr>
            <w:r w:rsidRPr="000E23A6">
              <w:rPr>
                <w:rFonts w:ascii="Times New Roman" w:hAnsi="Times New Roman" w:cs="Times New Roman"/>
                <w:b/>
                <w:bCs/>
              </w:rPr>
              <w:t>This update is not applicable – no action required.</w:t>
            </w:r>
          </w:p>
        </w:tc>
      </w:tr>
      <w:tr w:rsidR="005225C8" w:rsidRPr="007B2137" w14:paraId="7FB7FB8F" w14:textId="77777777" w:rsidTr="00156A39">
        <w:tc>
          <w:tcPr>
            <w:tcW w:w="2520" w:type="dxa"/>
          </w:tcPr>
          <w:p w14:paraId="2115A87D" w14:textId="77777777" w:rsidR="005F7913" w:rsidRPr="001149F2" w:rsidRDefault="005F7913" w:rsidP="005F7913">
            <w:pPr>
              <w:rPr>
                <w:rFonts w:ascii="Times New Roman" w:hAnsi="Times New Roman" w:cs="Times New Roman"/>
              </w:rPr>
            </w:pPr>
            <w:r w:rsidRPr="001149F2">
              <w:rPr>
                <w:rFonts w:ascii="Times New Roman" w:hAnsi="Times New Roman" w:cs="Times New Roman"/>
              </w:rPr>
              <w:t>Financial Services—</w:t>
            </w:r>
          </w:p>
          <w:p w14:paraId="23A6BC63" w14:textId="56ED8964" w:rsidR="005225C8" w:rsidRPr="001149F2" w:rsidRDefault="005F7913" w:rsidP="005F7913">
            <w:pPr>
              <w:rPr>
                <w:rFonts w:ascii="Times New Roman" w:hAnsi="Times New Roman" w:cs="Times New Roman"/>
                <w:highlight w:val="yellow"/>
              </w:rPr>
            </w:pPr>
            <w:r w:rsidRPr="001149F2">
              <w:rPr>
                <w:rFonts w:ascii="Times New Roman" w:hAnsi="Times New Roman" w:cs="Times New Roman"/>
              </w:rPr>
              <w:t>Depository and Lending—Equity</w:t>
            </w:r>
          </w:p>
        </w:tc>
        <w:tc>
          <w:tcPr>
            <w:tcW w:w="1913" w:type="dxa"/>
          </w:tcPr>
          <w:p w14:paraId="4E95E3E7" w14:textId="154D077D" w:rsidR="005225C8" w:rsidRPr="001149F2" w:rsidRDefault="005F7913" w:rsidP="00156A39">
            <w:pPr>
              <w:jc w:val="center"/>
              <w:rPr>
                <w:rFonts w:ascii="Times New Roman" w:hAnsi="Times New Roman" w:cs="Times New Roman"/>
                <w:highlight w:val="yellow"/>
              </w:rPr>
            </w:pPr>
            <w:r w:rsidRPr="001149F2">
              <w:rPr>
                <w:rFonts w:ascii="Times New Roman" w:hAnsi="Times New Roman" w:cs="Times New Roman"/>
              </w:rPr>
              <w:t>942-505</w:t>
            </w:r>
          </w:p>
        </w:tc>
        <w:tc>
          <w:tcPr>
            <w:tcW w:w="4027" w:type="dxa"/>
          </w:tcPr>
          <w:p w14:paraId="6754E8C3" w14:textId="05277CC3" w:rsidR="005225C8" w:rsidRPr="001149F2" w:rsidRDefault="00E770A2" w:rsidP="00457E3F">
            <w:pPr>
              <w:rPr>
                <w:rFonts w:ascii="Times New Roman" w:hAnsi="Times New Roman" w:cs="Times New Roman"/>
                <w:highlight w:val="yellow"/>
              </w:rPr>
            </w:pPr>
            <w:r w:rsidRPr="001149F2">
              <w:rPr>
                <w:rFonts w:ascii="Times New Roman" w:hAnsi="Times New Roman" w:cs="Times New Roman"/>
              </w:rPr>
              <w:t>This amendment clarifies the requirements for disclosing information on regulatory capital for depository institutions.</w:t>
            </w:r>
            <w:r w:rsidR="00457E3F" w:rsidRPr="001149F2">
              <w:rPr>
                <w:rFonts w:ascii="Times New Roman" w:hAnsi="Times New Roman" w:cs="Times New Roman"/>
              </w:rPr>
              <w:t xml:space="preserve"> The amendment is necessary because of recent changes in the measures of regulatory capital in Basel III, with which depository institutions must comply (for example, the newly defined measure of Common Equity Tier 1).</w:t>
            </w:r>
          </w:p>
        </w:tc>
        <w:tc>
          <w:tcPr>
            <w:tcW w:w="1440" w:type="dxa"/>
          </w:tcPr>
          <w:p w14:paraId="3F72647F" w14:textId="144C0411" w:rsidR="005225C8" w:rsidRPr="001149F2" w:rsidRDefault="00E770A2" w:rsidP="00156A39">
            <w:pPr>
              <w:jc w:val="center"/>
              <w:rPr>
                <w:rFonts w:ascii="Times New Roman" w:hAnsi="Times New Roman" w:cs="Times New Roman"/>
                <w:highlight w:val="yellow"/>
              </w:rPr>
            </w:pPr>
            <w:r w:rsidRPr="001149F2">
              <w:rPr>
                <w:rFonts w:ascii="Times New Roman" w:hAnsi="Times New Roman" w:cs="Times New Roman"/>
              </w:rPr>
              <w:t>50-1</w:t>
            </w:r>
          </w:p>
        </w:tc>
        <w:tc>
          <w:tcPr>
            <w:tcW w:w="3690" w:type="dxa"/>
          </w:tcPr>
          <w:p w14:paraId="666BF8AC" w14:textId="1B51602B" w:rsidR="00E30C13" w:rsidRPr="000E23A6" w:rsidRDefault="00E30C13" w:rsidP="00E30C13">
            <w:pPr>
              <w:rPr>
                <w:rFonts w:ascii="Times New Roman" w:hAnsi="Times New Roman" w:cs="Times New Roman"/>
              </w:rPr>
            </w:pPr>
            <w:r w:rsidRPr="000E23A6">
              <w:rPr>
                <w:rFonts w:ascii="Times New Roman" w:hAnsi="Times New Roman" w:cs="Times New Roman"/>
              </w:rPr>
              <w:t>Financial Services guidance is not applicable for statutory accounting.</w:t>
            </w:r>
          </w:p>
          <w:p w14:paraId="572FD5C5" w14:textId="77777777" w:rsidR="00E30C13" w:rsidRPr="000E23A6" w:rsidRDefault="00E30C13" w:rsidP="00E30C13">
            <w:pPr>
              <w:rPr>
                <w:rFonts w:ascii="Times New Roman" w:hAnsi="Times New Roman" w:cs="Times New Roman"/>
              </w:rPr>
            </w:pPr>
          </w:p>
          <w:p w14:paraId="0F6A652C" w14:textId="6D98B032" w:rsidR="005225C8" w:rsidRPr="000E23A6" w:rsidRDefault="00E30C13" w:rsidP="00156A39">
            <w:pPr>
              <w:rPr>
                <w:rFonts w:ascii="Times New Roman" w:hAnsi="Times New Roman" w:cs="Times New Roman"/>
              </w:rPr>
            </w:pPr>
            <w:r w:rsidRPr="000E23A6">
              <w:rPr>
                <w:rFonts w:ascii="Times New Roman" w:hAnsi="Times New Roman" w:cs="Times New Roman"/>
                <w:b/>
                <w:bCs/>
              </w:rPr>
              <w:t>This update is not applicable – no action required.</w:t>
            </w:r>
          </w:p>
        </w:tc>
      </w:tr>
      <w:tr w:rsidR="005225C8" w:rsidRPr="007B2137" w14:paraId="6BDA841B" w14:textId="77777777" w:rsidTr="00156A39">
        <w:tc>
          <w:tcPr>
            <w:tcW w:w="2520" w:type="dxa"/>
          </w:tcPr>
          <w:p w14:paraId="503A8E17" w14:textId="3DD3D84E" w:rsidR="005225C8" w:rsidRPr="001149F2" w:rsidRDefault="0043450C" w:rsidP="0043450C">
            <w:pPr>
              <w:rPr>
                <w:rFonts w:ascii="Times New Roman" w:hAnsi="Times New Roman" w:cs="Times New Roman"/>
              </w:rPr>
            </w:pPr>
            <w:r w:rsidRPr="001149F2">
              <w:rPr>
                <w:rFonts w:ascii="Times New Roman" w:hAnsi="Times New Roman" w:cs="Times New Roman"/>
              </w:rPr>
              <w:t>Financial Services— Insurance—Acquisition Costs</w:t>
            </w:r>
          </w:p>
        </w:tc>
        <w:tc>
          <w:tcPr>
            <w:tcW w:w="1913" w:type="dxa"/>
          </w:tcPr>
          <w:p w14:paraId="7169ECFB" w14:textId="14A9F411" w:rsidR="005225C8" w:rsidRPr="001149F2" w:rsidRDefault="0043450C" w:rsidP="00156A39">
            <w:pPr>
              <w:jc w:val="center"/>
              <w:rPr>
                <w:rFonts w:ascii="Times New Roman" w:hAnsi="Times New Roman" w:cs="Times New Roman"/>
              </w:rPr>
            </w:pPr>
            <w:r w:rsidRPr="001149F2">
              <w:rPr>
                <w:rFonts w:ascii="Times New Roman" w:hAnsi="Times New Roman" w:cs="Times New Roman"/>
              </w:rPr>
              <w:t>944-30</w:t>
            </w:r>
          </w:p>
        </w:tc>
        <w:tc>
          <w:tcPr>
            <w:tcW w:w="4027" w:type="dxa"/>
          </w:tcPr>
          <w:p w14:paraId="07B55737" w14:textId="714F39CF" w:rsidR="005225C8" w:rsidRPr="001149F2" w:rsidRDefault="003359B1" w:rsidP="003359B1">
            <w:pPr>
              <w:rPr>
                <w:rFonts w:ascii="Times New Roman" w:hAnsi="Times New Roman" w:cs="Times New Roman"/>
                <w:i/>
                <w:iCs/>
              </w:rPr>
            </w:pPr>
            <w:r w:rsidRPr="001149F2">
              <w:rPr>
                <w:rFonts w:ascii="Times New Roman" w:hAnsi="Times New Roman" w:cs="Times New Roman"/>
              </w:rPr>
              <w:t xml:space="preserve">This amendment restores guidance about an accounting policy election to paragraph 944-30-25-1A that was originally included in the transition guidance in ASU 2010-26. This </w:t>
            </w:r>
            <w:r w:rsidR="00997FA5" w:rsidRPr="001149F2">
              <w:rPr>
                <w:rFonts w:ascii="Times New Roman" w:hAnsi="Times New Roman" w:cs="Times New Roman"/>
              </w:rPr>
              <w:t xml:space="preserve">election was automatically removed with the transition </w:t>
            </w:r>
            <w:r w:rsidR="00C85353" w:rsidRPr="001149F2">
              <w:rPr>
                <w:rFonts w:ascii="Times New Roman" w:hAnsi="Times New Roman" w:cs="Times New Roman"/>
              </w:rPr>
              <w:t xml:space="preserve">guidance </w:t>
            </w:r>
            <w:r w:rsidR="00C85353" w:rsidRPr="001149F2">
              <w:t>as</w:t>
            </w:r>
            <w:r w:rsidR="002F6064">
              <w:rPr>
                <w:rFonts w:ascii="Times New Roman" w:hAnsi="Times New Roman" w:cs="Times New Roman"/>
              </w:rPr>
              <w:t xml:space="preserve"> the </w:t>
            </w:r>
            <w:r w:rsidR="00997FA5" w:rsidRPr="00CD2D24">
              <w:rPr>
                <w:rFonts w:ascii="Times New Roman" w:hAnsi="Times New Roman" w:cs="Times New Roman"/>
              </w:rPr>
              <w:t xml:space="preserve">effective date had been </w:t>
            </w:r>
            <w:r w:rsidR="002F6064" w:rsidRPr="00CD2D24">
              <w:rPr>
                <w:rFonts w:ascii="Times New Roman" w:hAnsi="Times New Roman" w:cs="Times New Roman"/>
              </w:rPr>
              <w:t>met for all entities</w:t>
            </w:r>
            <w:r w:rsidR="0066409B" w:rsidRPr="00CD2D24">
              <w:rPr>
                <w:rFonts w:ascii="Times New Roman" w:hAnsi="Times New Roman" w:cs="Times New Roman"/>
              </w:rPr>
              <w:t xml:space="preserve">, however it was noted that this election should be maintained in the </w:t>
            </w:r>
            <w:r w:rsidR="0066409B" w:rsidRPr="00CD2D24">
              <w:rPr>
                <w:rFonts w:ascii="Times New Roman" w:hAnsi="Times New Roman" w:cs="Times New Roman"/>
              </w:rPr>
              <w:lastRenderedPageBreak/>
              <w:t>guidance</w:t>
            </w:r>
            <w:r w:rsidR="0066409B" w:rsidRPr="001149F2">
              <w:rPr>
                <w:rFonts w:ascii="Times New Roman" w:hAnsi="Times New Roman" w:cs="Times New Roman"/>
              </w:rPr>
              <w:t xml:space="preserve"> for historical purposes to ensure the appropriateness of the election was not called into question at a future date.</w:t>
            </w:r>
          </w:p>
        </w:tc>
        <w:tc>
          <w:tcPr>
            <w:tcW w:w="1440" w:type="dxa"/>
          </w:tcPr>
          <w:p w14:paraId="52DFA089" w14:textId="4705BAC5" w:rsidR="005225C8" w:rsidRPr="001149F2" w:rsidRDefault="0066409B" w:rsidP="00156A39">
            <w:pPr>
              <w:jc w:val="center"/>
              <w:rPr>
                <w:rFonts w:ascii="Times New Roman" w:hAnsi="Times New Roman" w:cs="Times New Roman"/>
              </w:rPr>
            </w:pPr>
            <w:r w:rsidRPr="001149F2">
              <w:rPr>
                <w:rFonts w:ascii="Times New Roman" w:hAnsi="Times New Roman" w:cs="Times New Roman"/>
              </w:rPr>
              <w:lastRenderedPageBreak/>
              <w:t>25-1A</w:t>
            </w:r>
          </w:p>
        </w:tc>
        <w:tc>
          <w:tcPr>
            <w:tcW w:w="3690" w:type="dxa"/>
          </w:tcPr>
          <w:p w14:paraId="70E079B1" w14:textId="17CFD5FF" w:rsidR="001E0795" w:rsidRPr="000E23A6" w:rsidRDefault="001E0795" w:rsidP="001E0795">
            <w:pPr>
              <w:rPr>
                <w:rFonts w:ascii="Times New Roman" w:hAnsi="Times New Roman" w:cs="Times New Roman"/>
              </w:rPr>
            </w:pPr>
            <w:r w:rsidRPr="000E23A6">
              <w:rPr>
                <w:rFonts w:ascii="Times New Roman" w:hAnsi="Times New Roman" w:cs="Times New Roman"/>
              </w:rPr>
              <w:t>Financial Services guidance is not applicable for statutory accounting.</w:t>
            </w:r>
          </w:p>
          <w:p w14:paraId="6EA963AC" w14:textId="77777777" w:rsidR="001E0795" w:rsidRPr="000E23A6" w:rsidRDefault="001E0795" w:rsidP="001E0795">
            <w:pPr>
              <w:rPr>
                <w:rFonts w:ascii="Times New Roman" w:hAnsi="Times New Roman" w:cs="Times New Roman"/>
              </w:rPr>
            </w:pPr>
          </w:p>
          <w:p w14:paraId="4E99583A" w14:textId="7361BEBC" w:rsidR="005225C8" w:rsidRPr="000E23A6" w:rsidRDefault="001E0795" w:rsidP="001E0795">
            <w:pPr>
              <w:rPr>
                <w:rFonts w:ascii="Times New Roman" w:hAnsi="Times New Roman" w:cs="Times New Roman"/>
              </w:rPr>
            </w:pPr>
            <w:r w:rsidRPr="000E23A6">
              <w:rPr>
                <w:rFonts w:ascii="Times New Roman" w:hAnsi="Times New Roman" w:cs="Times New Roman"/>
                <w:b/>
                <w:bCs/>
              </w:rPr>
              <w:t>This update is not applicable – no action required.</w:t>
            </w:r>
          </w:p>
        </w:tc>
      </w:tr>
      <w:tr w:rsidR="005225C8" w:rsidRPr="007B2137" w14:paraId="64263CC5" w14:textId="77777777" w:rsidTr="00156A39">
        <w:tc>
          <w:tcPr>
            <w:tcW w:w="2520" w:type="dxa"/>
          </w:tcPr>
          <w:p w14:paraId="69DAB427" w14:textId="77777777" w:rsidR="00035C40" w:rsidRPr="001149F2" w:rsidRDefault="00035C40" w:rsidP="00035C40">
            <w:r w:rsidRPr="001149F2">
              <w:t>Financial Services—</w:t>
            </w:r>
          </w:p>
          <w:p w14:paraId="390AF43F" w14:textId="28BAAF93" w:rsidR="00235AF2" w:rsidRPr="001149F2" w:rsidRDefault="00035C40" w:rsidP="00035C40">
            <w:pPr>
              <w:rPr>
                <w:rFonts w:ascii="Times New Roman" w:hAnsi="Times New Roman" w:cs="Times New Roman"/>
              </w:rPr>
            </w:pPr>
            <w:r w:rsidRPr="001149F2">
              <w:rPr>
                <w:rFonts w:ascii="Times New Roman" w:hAnsi="Times New Roman" w:cs="Times New Roman"/>
              </w:rPr>
              <w:t>Insurance—Receivables</w:t>
            </w:r>
            <w:r w:rsidR="00235AF2" w:rsidRPr="001149F2">
              <w:rPr>
                <w:rFonts w:ascii="Times New Roman" w:hAnsi="Times New Roman" w:cs="Times New Roman"/>
              </w:rPr>
              <w:t xml:space="preserve"> &amp; Property, Plant, and Equipment</w:t>
            </w:r>
          </w:p>
        </w:tc>
        <w:tc>
          <w:tcPr>
            <w:tcW w:w="1913" w:type="dxa"/>
          </w:tcPr>
          <w:p w14:paraId="0144D357" w14:textId="4572CC51" w:rsidR="00235AF2" w:rsidRPr="001149F2" w:rsidRDefault="00235AF2" w:rsidP="00156A39">
            <w:pPr>
              <w:jc w:val="center"/>
              <w:rPr>
                <w:rFonts w:ascii="Times New Roman" w:hAnsi="Times New Roman" w:cs="Times New Roman"/>
              </w:rPr>
            </w:pPr>
            <w:r w:rsidRPr="001149F2">
              <w:rPr>
                <w:rFonts w:ascii="Times New Roman" w:hAnsi="Times New Roman" w:cs="Times New Roman"/>
              </w:rPr>
              <w:t>944-310</w:t>
            </w:r>
          </w:p>
          <w:p w14:paraId="00A192CF" w14:textId="77777777" w:rsidR="00235AF2" w:rsidRPr="001149F2" w:rsidRDefault="00235AF2" w:rsidP="00156A39">
            <w:pPr>
              <w:jc w:val="center"/>
              <w:rPr>
                <w:rFonts w:ascii="Times New Roman" w:hAnsi="Times New Roman" w:cs="Times New Roman"/>
              </w:rPr>
            </w:pPr>
          </w:p>
          <w:p w14:paraId="7448F936" w14:textId="486C5FBC" w:rsidR="005225C8" w:rsidRPr="001149F2" w:rsidRDefault="00035C40" w:rsidP="00156A39">
            <w:pPr>
              <w:jc w:val="center"/>
              <w:rPr>
                <w:rFonts w:ascii="Times New Roman" w:hAnsi="Times New Roman" w:cs="Times New Roman"/>
              </w:rPr>
            </w:pPr>
            <w:r w:rsidRPr="001149F2">
              <w:rPr>
                <w:rFonts w:ascii="Times New Roman" w:hAnsi="Times New Roman" w:cs="Times New Roman"/>
              </w:rPr>
              <w:t>944-360</w:t>
            </w:r>
          </w:p>
        </w:tc>
        <w:tc>
          <w:tcPr>
            <w:tcW w:w="4027" w:type="dxa"/>
          </w:tcPr>
          <w:p w14:paraId="2E8D9523" w14:textId="6A254D11" w:rsidR="005225C8" w:rsidRPr="001149F2" w:rsidRDefault="00AC7034" w:rsidP="00156A39">
            <w:pPr>
              <w:rPr>
                <w:rFonts w:ascii="Times New Roman" w:hAnsi="Times New Roman" w:cs="Times New Roman"/>
              </w:rPr>
            </w:pPr>
            <w:r w:rsidRPr="001149F2">
              <w:rPr>
                <w:rFonts w:ascii="Times New Roman" w:hAnsi="Times New Roman" w:cs="Times New Roman"/>
              </w:rPr>
              <w:t xml:space="preserve">This amendment includes a correct to these paragraphs as the original </w:t>
            </w:r>
            <w:r w:rsidR="00FB38DF" w:rsidRPr="001149F2">
              <w:rPr>
                <w:rFonts w:ascii="Times New Roman" w:hAnsi="Times New Roman" w:cs="Times New Roman"/>
              </w:rPr>
              <w:t xml:space="preserve">references should have been </w:t>
            </w:r>
            <w:r w:rsidR="00AD017B" w:rsidRPr="001149F2">
              <w:rPr>
                <w:rFonts w:ascii="Times New Roman" w:hAnsi="Times New Roman" w:cs="Times New Roman"/>
              </w:rPr>
              <w:t>superseded</w:t>
            </w:r>
            <w:r w:rsidR="00FB38DF" w:rsidRPr="001149F2">
              <w:rPr>
                <w:rFonts w:ascii="Times New Roman" w:hAnsi="Times New Roman" w:cs="Times New Roman"/>
              </w:rPr>
              <w:t xml:space="preserve"> </w:t>
            </w:r>
            <w:r w:rsidR="00AD017B" w:rsidRPr="001149F2">
              <w:rPr>
                <w:rFonts w:ascii="Times New Roman" w:hAnsi="Times New Roman" w:cs="Times New Roman"/>
              </w:rPr>
              <w:t>with the adoption of ASU 2016-01</w:t>
            </w:r>
            <w:r w:rsidR="00FB38DF" w:rsidRPr="001149F2">
              <w:rPr>
                <w:rFonts w:ascii="Times New Roman" w:hAnsi="Times New Roman" w:cs="Times New Roman"/>
              </w:rPr>
              <w:t>and replaced with references to transition guidance</w:t>
            </w:r>
            <w:r w:rsidR="005225C8" w:rsidRPr="001149F2">
              <w:rPr>
                <w:rFonts w:ascii="Times New Roman" w:hAnsi="Times New Roman" w:cs="Times New Roman"/>
              </w:rPr>
              <w:t>.</w:t>
            </w:r>
          </w:p>
        </w:tc>
        <w:tc>
          <w:tcPr>
            <w:tcW w:w="1440" w:type="dxa"/>
          </w:tcPr>
          <w:p w14:paraId="5A2246EE" w14:textId="77777777" w:rsidR="005225C8" w:rsidRPr="001149F2" w:rsidRDefault="00AD017B" w:rsidP="00156A39">
            <w:pPr>
              <w:jc w:val="center"/>
              <w:rPr>
                <w:rFonts w:ascii="Times New Roman" w:hAnsi="Times New Roman" w:cs="Times New Roman"/>
              </w:rPr>
            </w:pPr>
            <w:r w:rsidRPr="001149F2">
              <w:rPr>
                <w:rFonts w:ascii="Times New Roman" w:hAnsi="Times New Roman" w:cs="Times New Roman"/>
              </w:rPr>
              <w:t>45-1</w:t>
            </w:r>
          </w:p>
          <w:p w14:paraId="6EC95B06" w14:textId="77777777" w:rsidR="00AD017B" w:rsidRPr="001149F2" w:rsidRDefault="00AD017B" w:rsidP="00156A39">
            <w:pPr>
              <w:jc w:val="center"/>
              <w:rPr>
                <w:rFonts w:ascii="Times New Roman" w:hAnsi="Times New Roman" w:cs="Times New Roman"/>
              </w:rPr>
            </w:pPr>
            <w:r w:rsidRPr="001149F2">
              <w:rPr>
                <w:rFonts w:ascii="Times New Roman" w:hAnsi="Times New Roman" w:cs="Times New Roman"/>
              </w:rPr>
              <w:t>45-2</w:t>
            </w:r>
          </w:p>
          <w:p w14:paraId="273B4154" w14:textId="77777777" w:rsidR="00AD017B" w:rsidRPr="001149F2" w:rsidRDefault="00430D28" w:rsidP="00156A39">
            <w:pPr>
              <w:jc w:val="center"/>
              <w:rPr>
                <w:rFonts w:ascii="Times New Roman" w:hAnsi="Times New Roman" w:cs="Times New Roman"/>
              </w:rPr>
            </w:pPr>
            <w:r w:rsidRPr="001149F2">
              <w:rPr>
                <w:rFonts w:ascii="Times New Roman" w:hAnsi="Times New Roman" w:cs="Times New Roman"/>
              </w:rPr>
              <w:t>50-1</w:t>
            </w:r>
          </w:p>
          <w:p w14:paraId="40ACE515" w14:textId="77777777" w:rsidR="00430D28" w:rsidRPr="001149F2" w:rsidRDefault="00430D28" w:rsidP="00156A39">
            <w:pPr>
              <w:jc w:val="center"/>
              <w:rPr>
                <w:rFonts w:ascii="Times New Roman" w:hAnsi="Times New Roman" w:cs="Times New Roman"/>
              </w:rPr>
            </w:pPr>
          </w:p>
          <w:p w14:paraId="73193FC8" w14:textId="77777777" w:rsidR="00430D28" w:rsidRPr="001149F2" w:rsidRDefault="00430D28" w:rsidP="00156A39">
            <w:pPr>
              <w:jc w:val="center"/>
              <w:rPr>
                <w:rFonts w:ascii="Times New Roman" w:hAnsi="Times New Roman" w:cs="Times New Roman"/>
              </w:rPr>
            </w:pPr>
            <w:r w:rsidRPr="001149F2">
              <w:rPr>
                <w:rFonts w:ascii="Times New Roman" w:hAnsi="Times New Roman" w:cs="Times New Roman"/>
              </w:rPr>
              <w:t>45-3</w:t>
            </w:r>
          </w:p>
          <w:p w14:paraId="6880DC5A" w14:textId="77777777" w:rsidR="00430D28" w:rsidRPr="001149F2" w:rsidRDefault="00430D28" w:rsidP="00156A39">
            <w:pPr>
              <w:jc w:val="center"/>
              <w:rPr>
                <w:rFonts w:ascii="Times New Roman" w:hAnsi="Times New Roman" w:cs="Times New Roman"/>
              </w:rPr>
            </w:pPr>
            <w:r w:rsidRPr="001149F2">
              <w:rPr>
                <w:rFonts w:ascii="Times New Roman" w:hAnsi="Times New Roman" w:cs="Times New Roman"/>
              </w:rPr>
              <w:t>45-4</w:t>
            </w:r>
          </w:p>
          <w:p w14:paraId="089F37C2" w14:textId="1A792BDB" w:rsidR="00430D28" w:rsidRPr="001149F2" w:rsidRDefault="00430D28" w:rsidP="00156A39">
            <w:pPr>
              <w:jc w:val="center"/>
              <w:rPr>
                <w:rFonts w:ascii="Times New Roman" w:hAnsi="Times New Roman" w:cs="Times New Roman"/>
              </w:rPr>
            </w:pPr>
            <w:r w:rsidRPr="001149F2">
              <w:rPr>
                <w:rFonts w:ascii="Times New Roman" w:hAnsi="Times New Roman" w:cs="Times New Roman"/>
              </w:rPr>
              <w:t>50-1</w:t>
            </w:r>
          </w:p>
        </w:tc>
        <w:tc>
          <w:tcPr>
            <w:tcW w:w="3690" w:type="dxa"/>
          </w:tcPr>
          <w:p w14:paraId="3E628A8D" w14:textId="0F750865" w:rsidR="00974228" w:rsidRPr="000E23A6" w:rsidRDefault="00974228" w:rsidP="00974228">
            <w:pPr>
              <w:rPr>
                <w:rFonts w:ascii="Times New Roman" w:hAnsi="Times New Roman" w:cs="Times New Roman"/>
              </w:rPr>
            </w:pPr>
            <w:r w:rsidRPr="000E23A6">
              <w:rPr>
                <w:rFonts w:ascii="Times New Roman" w:hAnsi="Times New Roman" w:cs="Times New Roman"/>
              </w:rPr>
              <w:t>Financial Services guidance is not applicable for statutory accounting.</w:t>
            </w:r>
          </w:p>
          <w:p w14:paraId="656A168A" w14:textId="77777777" w:rsidR="00974228" w:rsidRPr="000E23A6" w:rsidRDefault="00974228" w:rsidP="00974228">
            <w:pPr>
              <w:rPr>
                <w:rFonts w:ascii="Times New Roman" w:hAnsi="Times New Roman" w:cs="Times New Roman"/>
              </w:rPr>
            </w:pPr>
          </w:p>
          <w:p w14:paraId="2F22C682" w14:textId="31EFABBD" w:rsidR="005225C8" w:rsidRPr="000E23A6" w:rsidRDefault="00974228" w:rsidP="00974228">
            <w:pPr>
              <w:rPr>
                <w:rFonts w:ascii="Times New Roman" w:hAnsi="Times New Roman" w:cs="Times New Roman"/>
              </w:rPr>
            </w:pPr>
            <w:r w:rsidRPr="000E23A6">
              <w:rPr>
                <w:rFonts w:ascii="Times New Roman" w:hAnsi="Times New Roman" w:cs="Times New Roman"/>
                <w:b/>
                <w:bCs/>
              </w:rPr>
              <w:t>This update is not applicable – no action required.</w:t>
            </w:r>
          </w:p>
        </w:tc>
      </w:tr>
      <w:tr w:rsidR="005225C8" w:rsidRPr="007B2137" w14:paraId="141EE31A" w14:textId="77777777" w:rsidTr="00156A39">
        <w:tc>
          <w:tcPr>
            <w:tcW w:w="2520" w:type="dxa"/>
          </w:tcPr>
          <w:p w14:paraId="31BDF2F6" w14:textId="77777777" w:rsidR="00A019C7" w:rsidRPr="001149F2" w:rsidRDefault="00A019C7" w:rsidP="00A019C7">
            <w:r w:rsidRPr="001149F2">
              <w:t>Financial Services—</w:t>
            </w:r>
          </w:p>
          <w:p w14:paraId="29F63FB6" w14:textId="6627E92C" w:rsidR="005225C8" w:rsidRPr="001149F2" w:rsidRDefault="00A019C7" w:rsidP="00A019C7">
            <w:pPr>
              <w:rPr>
                <w:rFonts w:ascii="Times New Roman" w:hAnsi="Times New Roman" w:cs="Times New Roman"/>
              </w:rPr>
            </w:pPr>
            <w:r w:rsidRPr="001149F2">
              <w:rPr>
                <w:rFonts w:ascii="Times New Roman" w:hAnsi="Times New Roman" w:cs="Times New Roman"/>
              </w:rPr>
              <w:t>Insurance—Property, Plant, and Equipment</w:t>
            </w:r>
          </w:p>
        </w:tc>
        <w:tc>
          <w:tcPr>
            <w:tcW w:w="1913" w:type="dxa"/>
          </w:tcPr>
          <w:p w14:paraId="66F70367" w14:textId="67DAC11B" w:rsidR="005225C8" w:rsidRPr="001149F2" w:rsidRDefault="00A019C7" w:rsidP="00156A39">
            <w:pPr>
              <w:jc w:val="center"/>
              <w:rPr>
                <w:rFonts w:ascii="Times New Roman" w:hAnsi="Times New Roman" w:cs="Times New Roman"/>
              </w:rPr>
            </w:pPr>
            <w:r w:rsidRPr="001149F2">
              <w:rPr>
                <w:rFonts w:ascii="Times New Roman" w:hAnsi="Times New Roman" w:cs="Times New Roman"/>
              </w:rPr>
              <w:t>944-360</w:t>
            </w:r>
          </w:p>
        </w:tc>
        <w:tc>
          <w:tcPr>
            <w:tcW w:w="4027" w:type="dxa"/>
          </w:tcPr>
          <w:p w14:paraId="2D4A81E7" w14:textId="4C6648B6" w:rsidR="005225C8" w:rsidRPr="001149F2" w:rsidRDefault="009C0B85" w:rsidP="009C0B85">
            <w:pPr>
              <w:rPr>
                <w:rFonts w:ascii="Times New Roman" w:hAnsi="Times New Roman" w:cs="Times New Roman"/>
              </w:rPr>
            </w:pPr>
            <w:r w:rsidRPr="001149F2">
              <w:rPr>
                <w:rFonts w:ascii="Times New Roman" w:hAnsi="Times New Roman" w:cs="Times New Roman"/>
              </w:rPr>
              <w:t>This amendment adds references to the applicable guidance for determining the subsequent measurement of real estate acquired by insurance companies in settling certain claims.</w:t>
            </w:r>
          </w:p>
        </w:tc>
        <w:tc>
          <w:tcPr>
            <w:tcW w:w="1440" w:type="dxa"/>
          </w:tcPr>
          <w:p w14:paraId="1E663B95" w14:textId="15AE1265" w:rsidR="005225C8" w:rsidRPr="001149F2" w:rsidRDefault="009C0B85" w:rsidP="00156A39">
            <w:pPr>
              <w:jc w:val="center"/>
              <w:rPr>
                <w:rFonts w:ascii="Times New Roman" w:hAnsi="Times New Roman" w:cs="Times New Roman"/>
              </w:rPr>
            </w:pPr>
            <w:r w:rsidRPr="001149F2">
              <w:rPr>
                <w:rFonts w:ascii="Times New Roman" w:hAnsi="Times New Roman" w:cs="Times New Roman"/>
              </w:rPr>
              <w:t>35-1</w:t>
            </w:r>
          </w:p>
        </w:tc>
        <w:tc>
          <w:tcPr>
            <w:tcW w:w="3690" w:type="dxa"/>
          </w:tcPr>
          <w:p w14:paraId="72E61017" w14:textId="7C9C339D" w:rsidR="009C0B85" w:rsidRPr="000E23A6" w:rsidRDefault="009C0B85" w:rsidP="009C0B85">
            <w:pPr>
              <w:rPr>
                <w:rFonts w:ascii="Times New Roman" w:hAnsi="Times New Roman" w:cs="Times New Roman"/>
              </w:rPr>
            </w:pPr>
            <w:r w:rsidRPr="000E23A6">
              <w:rPr>
                <w:rFonts w:ascii="Times New Roman" w:hAnsi="Times New Roman" w:cs="Times New Roman"/>
              </w:rPr>
              <w:t>Financial Services guidance is not applicable for statutory accounting.</w:t>
            </w:r>
          </w:p>
          <w:p w14:paraId="7F043E82" w14:textId="77777777" w:rsidR="009C0B85" w:rsidRPr="000E23A6" w:rsidRDefault="009C0B85" w:rsidP="009C0B85">
            <w:pPr>
              <w:rPr>
                <w:rFonts w:ascii="Times New Roman" w:hAnsi="Times New Roman" w:cs="Times New Roman"/>
              </w:rPr>
            </w:pPr>
          </w:p>
          <w:p w14:paraId="00212F44" w14:textId="60DF00AE" w:rsidR="005225C8" w:rsidRPr="000E23A6" w:rsidRDefault="009C0B85" w:rsidP="009C0B85">
            <w:pPr>
              <w:rPr>
                <w:rFonts w:ascii="Times New Roman" w:hAnsi="Times New Roman" w:cs="Times New Roman"/>
              </w:rPr>
            </w:pPr>
            <w:r w:rsidRPr="000E23A6">
              <w:rPr>
                <w:rFonts w:ascii="Times New Roman" w:hAnsi="Times New Roman" w:cs="Times New Roman"/>
                <w:b/>
                <w:bCs/>
              </w:rPr>
              <w:t>This update is not applicable – no action required.</w:t>
            </w:r>
          </w:p>
        </w:tc>
      </w:tr>
      <w:tr w:rsidR="005225C8" w:rsidRPr="007B2137" w14:paraId="26FB5EC6" w14:textId="77777777" w:rsidTr="00156A39">
        <w:tc>
          <w:tcPr>
            <w:tcW w:w="2520" w:type="dxa"/>
          </w:tcPr>
          <w:p w14:paraId="7FFB140A" w14:textId="0BE4F0AC" w:rsidR="005225C8" w:rsidRPr="001149F2" w:rsidRDefault="00BA3C14" w:rsidP="00BA3C14">
            <w:pPr>
              <w:rPr>
                <w:rFonts w:ascii="Times New Roman" w:hAnsi="Times New Roman" w:cs="Times New Roman"/>
                <w:highlight w:val="yellow"/>
              </w:rPr>
            </w:pPr>
            <w:r w:rsidRPr="001149F2">
              <w:rPr>
                <w:rFonts w:ascii="Times New Roman" w:hAnsi="Times New Roman" w:cs="Times New Roman"/>
              </w:rPr>
              <w:t>Not-for-Profit Entities—Other Expenses</w:t>
            </w:r>
          </w:p>
        </w:tc>
        <w:tc>
          <w:tcPr>
            <w:tcW w:w="1913" w:type="dxa"/>
          </w:tcPr>
          <w:p w14:paraId="5E3CC9A9" w14:textId="75556350" w:rsidR="005225C8" w:rsidRPr="001149F2" w:rsidRDefault="00BA3C14" w:rsidP="00156A39">
            <w:pPr>
              <w:jc w:val="center"/>
              <w:rPr>
                <w:rFonts w:ascii="Times New Roman" w:hAnsi="Times New Roman" w:cs="Times New Roman"/>
                <w:highlight w:val="yellow"/>
              </w:rPr>
            </w:pPr>
            <w:r w:rsidRPr="001149F2">
              <w:rPr>
                <w:rFonts w:ascii="Times New Roman" w:hAnsi="Times New Roman" w:cs="Times New Roman"/>
              </w:rPr>
              <w:t>958-720</w:t>
            </w:r>
          </w:p>
        </w:tc>
        <w:tc>
          <w:tcPr>
            <w:tcW w:w="4027" w:type="dxa"/>
          </w:tcPr>
          <w:p w14:paraId="5D113860" w14:textId="3509728E" w:rsidR="005225C8" w:rsidRPr="001149F2" w:rsidRDefault="003726F5" w:rsidP="003726F5">
            <w:pPr>
              <w:rPr>
                <w:rFonts w:ascii="Times New Roman" w:hAnsi="Times New Roman" w:cs="Times New Roman"/>
                <w:highlight w:val="yellow"/>
              </w:rPr>
            </w:pPr>
            <w:r w:rsidRPr="001149F2">
              <w:rPr>
                <w:rFonts w:ascii="Times New Roman" w:hAnsi="Times New Roman" w:cs="Times New Roman"/>
              </w:rPr>
              <w:t>This amendment improves the description of the items in paragraph 958-720-45-15 that would be considered gains and losses for a not-for-profit entity. This amendment also changes the term for-profit entity to the term business entity in Subtopic 958-720.</w:t>
            </w:r>
          </w:p>
        </w:tc>
        <w:tc>
          <w:tcPr>
            <w:tcW w:w="1440" w:type="dxa"/>
          </w:tcPr>
          <w:p w14:paraId="78ACAEDC" w14:textId="5BC72D9E" w:rsidR="005225C8" w:rsidRPr="001149F2" w:rsidRDefault="001149F2" w:rsidP="00156A39">
            <w:pPr>
              <w:jc w:val="center"/>
              <w:rPr>
                <w:rFonts w:ascii="Times New Roman" w:hAnsi="Times New Roman" w:cs="Times New Roman"/>
                <w:highlight w:val="yellow"/>
              </w:rPr>
            </w:pPr>
            <w:r w:rsidRPr="001149F2">
              <w:rPr>
                <w:rFonts w:ascii="Times New Roman" w:hAnsi="Times New Roman" w:cs="Times New Roman"/>
              </w:rPr>
              <w:t>45-15</w:t>
            </w:r>
          </w:p>
        </w:tc>
        <w:tc>
          <w:tcPr>
            <w:tcW w:w="3690" w:type="dxa"/>
          </w:tcPr>
          <w:p w14:paraId="42DB512D" w14:textId="4DACE363" w:rsidR="009C0B85" w:rsidRPr="000E23A6" w:rsidRDefault="009C0B85" w:rsidP="009C0B85">
            <w:pPr>
              <w:rPr>
                <w:rFonts w:ascii="Times New Roman" w:hAnsi="Times New Roman" w:cs="Times New Roman"/>
              </w:rPr>
            </w:pPr>
            <w:r w:rsidRPr="000E23A6">
              <w:rPr>
                <w:rFonts w:ascii="Times New Roman" w:hAnsi="Times New Roman" w:cs="Times New Roman"/>
              </w:rPr>
              <w:t>Not-for-profit guidance is not applicable for statutory accounting.</w:t>
            </w:r>
          </w:p>
          <w:p w14:paraId="72C609D4" w14:textId="77777777" w:rsidR="009C0B85" w:rsidRPr="000E23A6" w:rsidRDefault="009C0B85" w:rsidP="009C0B85">
            <w:pPr>
              <w:rPr>
                <w:rFonts w:ascii="Times New Roman" w:hAnsi="Times New Roman" w:cs="Times New Roman"/>
              </w:rPr>
            </w:pPr>
          </w:p>
          <w:p w14:paraId="2B9C51D0" w14:textId="32740C18" w:rsidR="005225C8" w:rsidRPr="000E23A6" w:rsidRDefault="009C0B85" w:rsidP="009C0B85">
            <w:pPr>
              <w:rPr>
                <w:rFonts w:ascii="Times New Roman" w:hAnsi="Times New Roman" w:cs="Times New Roman"/>
                <w:highlight w:val="yellow"/>
              </w:rPr>
            </w:pPr>
            <w:r w:rsidRPr="000E23A6">
              <w:rPr>
                <w:rFonts w:ascii="Times New Roman" w:hAnsi="Times New Roman" w:cs="Times New Roman"/>
                <w:b/>
                <w:bCs/>
              </w:rPr>
              <w:t>This update is not applicable – no action required.</w:t>
            </w:r>
          </w:p>
        </w:tc>
      </w:tr>
      <w:tr w:rsidR="005225C8" w:rsidRPr="007B2137" w14:paraId="539B3BD6" w14:textId="77777777" w:rsidTr="00156A39">
        <w:tc>
          <w:tcPr>
            <w:tcW w:w="2520" w:type="dxa"/>
          </w:tcPr>
          <w:p w14:paraId="146F8CFA" w14:textId="40023222" w:rsidR="005225C8" w:rsidRPr="00D940F1" w:rsidRDefault="000D2B52" w:rsidP="000D2B52">
            <w:pPr>
              <w:rPr>
                <w:rFonts w:ascii="Times New Roman" w:hAnsi="Times New Roman" w:cs="Times New Roman"/>
                <w:highlight w:val="yellow"/>
              </w:rPr>
            </w:pPr>
            <w:r w:rsidRPr="00D940F1">
              <w:rPr>
                <w:rFonts w:ascii="Times New Roman" w:hAnsi="Times New Roman" w:cs="Times New Roman"/>
              </w:rPr>
              <w:t>Plan Accounting—Defined Contribution Pension Plans—Presentation of Financial Statements &amp; Property, Plant, and Equipment</w:t>
            </w:r>
          </w:p>
        </w:tc>
        <w:tc>
          <w:tcPr>
            <w:tcW w:w="1913" w:type="dxa"/>
          </w:tcPr>
          <w:p w14:paraId="08420322" w14:textId="77777777" w:rsidR="005225C8" w:rsidRPr="00D940F1" w:rsidRDefault="000D2B52" w:rsidP="00156A39">
            <w:pPr>
              <w:jc w:val="center"/>
              <w:rPr>
                <w:rFonts w:ascii="Times New Roman" w:hAnsi="Times New Roman" w:cs="Times New Roman"/>
              </w:rPr>
            </w:pPr>
            <w:r w:rsidRPr="00D940F1">
              <w:rPr>
                <w:rFonts w:ascii="Times New Roman" w:hAnsi="Times New Roman" w:cs="Times New Roman"/>
              </w:rPr>
              <w:t>962-205</w:t>
            </w:r>
          </w:p>
          <w:p w14:paraId="63C8F6F3" w14:textId="77777777" w:rsidR="000D2B52" w:rsidRPr="00D940F1" w:rsidRDefault="000D2B52" w:rsidP="00156A39">
            <w:pPr>
              <w:jc w:val="center"/>
              <w:rPr>
                <w:rFonts w:ascii="Times New Roman" w:hAnsi="Times New Roman" w:cs="Times New Roman"/>
              </w:rPr>
            </w:pPr>
          </w:p>
          <w:p w14:paraId="16800B65" w14:textId="7985888C" w:rsidR="008C3749" w:rsidRPr="00D940F1" w:rsidRDefault="008C3749" w:rsidP="00156A39">
            <w:pPr>
              <w:jc w:val="center"/>
              <w:rPr>
                <w:rFonts w:ascii="Times New Roman" w:hAnsi="Times New Roman" w:cs="Times New Roman"/>
                <w:highlight w:val="yellow"/>
              </w:rPr>
            </w:pPr>
            <w:r w:rsidRPr="00D940F1">
              <w:rPr>
                <w:rFonts w:ascii="Times New Roman" w:hAnsi="Times New Roman" w:cs="Times New Roman"/>
              </w:rPr>
              <w:t>962-360</w:t>
            </w:r>
          </w:p>
        </w:tc>
        <w:tc>
          <w:tcPr>
            <w:tcW w:w="4027" w:type="dxa"/>
          </w:tcPr>
          <w:p w14:paraId="4941DA7D" w14:textId="127D5694" w:rsidR="005225C8" w:rsidRPr="00D940F1" w:rsidRDefault="003F3588" w:rsidP="00F539C6">
            <w:pPr>
              <w:rPr>
                <w:rFonts w:ascii="Times New Roman" w:hAnsi="Times New Roman" w:cs="Times New Roman"/>
              </w:rPr>
            </w:pPr>
            <w:r w:rsidRPr="00D940F1">
              <w:rPr>
                <w:rFonts w:ascii="Times New Roman" w:hAnsi="Times New Roman" w:cs="Times New Roman"/>
              </w:rPr>
              <w:t>To make the Topic structure consistent with related Topics and</w:t>
            </w:r>
            <w:r w:rsidR="00F539C6" w:rsidRPr="00D940F1">
              <w:rPr>
                <w:rFonts w:ascii="Times New Roman" w:hAnsi="Times New Roman" w:cs="Times New Roman"/>
              </w:rPr>
              <w:t xml:space="preserve"> </w:t>
            </w:r>
            <w:r w:rsidRPr="00D940F1">
              <w:rPr>
                <w:rFonts w:ascii="Times New Roman" w:hAnsi="Times New Roman" w:cs="Times New Roman"/>
              </w:rPr>
              <w:t>the guidance easier to find, this amendment moves the property, plant, and equipment guidance</w:t>
            </w:r>
            <w:r w:rsidR="00540AEC" w:rsidRPr="00D940F1">
              <w:rPr>
                <w:rFonts w:ascii="Times New Roman" w:hAnsi="Times New Roman" w:cs="Times New Roman"/>
              </w:rPr>
              <w:t xml:space="preserve"> in </w:t>
            </w:r>
            <w:r w:rsidR="00A2321B" w:rsidRPr="00D940F1">
              <w:rPr>
                <w:rFonts w:ascii="Times New Roman" w:hAnsi="Times New Roman" w:cs="Times New Roman"/>
              </w:rPr>
              <w:t>962-205</w:t>
            </w:r>
            <w:r w:rsidRPr="00D940F1">
              <w:rPr>
                <w:rFonts w:ascii="Times New Roman" w:hAnsi="Times New Roman" w:cs="Times New Roman"/>
              </w:rPr>
              <w:t xml:space="preserve"> to Subtopic 962-360.</w:t>
            </w:r>
          </w:p>
        </w:tc>
        <w:tc>
          <w:tcPr>
            <w:tcW w:w="1440" w:type="dxa"/>
          </w:tcPr>
          <w:p w14:paraId="184FABBF" w14:textId="77777777" w:rsidR="005225C8" w:rsidRPr="00D940F1" w:rsidRDefault="00397C0C" w:rsidP="00156A39">
            <w:pPr>
              <w:jc w:val="center"/>
              <w:rPr>
                <w:rFonts w:ascii="Times New Roman" w:hAnsi="Times New Roman" w:cs="Times New Roman"/>
              </w:rPr>
            </w:pPr>
            <w:r w:rsidRPr="00D940F1">
              <w:rPr>
                <w:rFonts w:ascii="Times New Roman" w:hAnsi="Times New Roman" w:cs="Times New Roman"/>
              </w:rPr>
              <w:t>45-5</w:t>
            </w:r>
          </w:p>
          <w:p w14:paraId="1C5C0C97" w14:textId="77777777" w:rsidR="00397C0C" w:rsidRPr="00D940F1" w:rsidRDefault="00397C0C" w:rsidP="00156A39">
            <w:pPr>
              <w:jc w:val="center"/>
              <w:rPr>
                <w:rFonts w:ascii="Times New Roman" w:hAnsi="Times New Roman" w:cs="Times New Roman"/>
              </w:rPr>
            </w:pPr>
          </w:p>
          <w:p w14:paraId="7E67BB1B" w14:textId="01CB699E" w:rsidR="00397C0C" w:rsidRPr="00D940F1" w:rsidRDefault="00397C0C" w:rsidP="00156A39">
            <w:pPr>
              <w:jc w:val="center"/>
              <w:rPr>
                <w:rFonts w:ascii="Times New Roman" w:hAnsi="Times New Roman" w:cs="Times New Roman"/>
              </w:rPr>
            </w:pPr>
            <w:r w:rsidRPr="00D940F1">
              <w:rPr>
                <w:rFonts w:ascii="Times New Roman" w:hAnsi="Times New Roman" w:cs="Times New Roman"/>
              </w:rPr>
              <w:t>35-1</w:t>
            </w:r>
          </w:p>
        </w:tc>
        <w:tc>
          <w:tcPr>
            <w:tcW w:w="3690" w:type="dxa"/>
          </w:tcPr>
          <w:p w14:paraId="6C8208DF" w14:textId="579E6D0C" w:rsidR="005225C8" w:rsidRPr="000E23A6" w:rsidRDefault="00F6485F" w:rsidP="00F6485F">
            <w:pPr>
              <w:rPr>
                <w:rFonts w:ascii="Times New Roman" w:hAnsi="Times New Roman" w:cs="Times New Roman"/>
              </w:rPr>
            </w:pPr>
            <w:r w:rsidRPr="000E23A6">
              <w:rPr>
                <w:rFonts w:ascii="Times New Roman" w:hAnsi="Times New Roman" w:cs="Times New Roman"/>
                <w:b/>
                <w:bCs/>
              </w:rPr>
              <w:t>This update is not applicable – no action required.</w:t>
            </w:r>
          </w:p>
        </w:tc>
      </w:tr>
      <w:tr w:rsidR="005225C8" w:rsidRPr="007B2137" w14:paraId="302D87E8" w14:textId="77777777" w:rsidTr="00156A39">
        <w:tc>
          <w:tcPr>
            <w:tcW w:w="2520" w:type="dxa"/>
          </w:tcPr>
          <w:p w14:paraId="05535F15" w14:textId="78997604" w:rsidR="005225C8" w:rsidRPr="00D940F1" w:rsidRDefault="00C76627" w:rsidP="00C76627">
            <w:pPr>
              <w:rPr>
                <w:rFonts w:ascii="Times New Roman" w:hAnsi="Times New Roman" w:cs="Times New Roman"/>
                <w:highlight w:val="yellow"/>
              </w:rPr>
            </w:pPr>
            <w:r w:rsidRPr="00D940F1">
              <w:rPr>
                <w:rFonts w:ascii="Times New Roman" w:hAnsi="Times New Roman" w:cs="Times New Roman"/>
              </w:rPr>
              <w:lastRenderedPageBreak/>
              <w:t>Plan Accounting—Defined Contribution Pension Plans—Investments—Other</w:t>
            </w:r>
          </w:p>
        </w:tc>
        <w:tc>
          <w:tcPr>
            <w:tcW w:w="1913" w:type="dxa"/>
          </w:tcPr>
          <w:p w14:paraId="6A73500A" w14:textId="795C6AA6" w:rsidR="005225C8" w:rsidRPr="00D940F1" w:rsidRDefault="00C76627" w:rsidP="00156A39">
            <w:pPr>
              <w:jc w:val="center"/>
              <w:rPr>
                <w:rFonts w:ascii="Times New Roman" w:hAnsi="Times New Roman" w:cs="Times New Roman"/>
                <w:highlight w:val="yellow"/>
              </w:rPr>
            </w:pPr>
            <w:r w:rsidRPr="00D940F1">
              <w:rPr>
                <w:rFonts w:ascii="Times New Roman" w:hAnsi="Times New Roman" w:cs="Times New Roman"/>
              </w:rPr>
              <w:t>962</w:t>
            </w:r>
            <w:r w:rsidR="00CE1B05" w:rsidRPr="00D940F1">
              <w:rPr>
                <w:rFonts w:ascii="Times New Roman" w:hAnsi="Times New Roman" w:cs="Times New Roman"/>
              </w:rPr>
              <w:t>-325</w:t>
            </w:r>
          </w:p>
        </w:tc>
        <w:tc>
          <w:tcPr>
            <w:tcW w:w="4027" w:type="dxa"/>
          </w:tcPr>
          <w:p w14:paraId="64D27E4D" w14:textId="294D3404" w:rsidR="005225C8" w:rsidRPr="00D940F1" w:rsidRDefault="005757A2" w:rsidP="005757A2">
            <w:pPr>
              <w:rPr>
                <w:rFonts w:ascii="Times New Roman" w:hAnsi="Times New Roman" w:cs="Times New Roman"/>
                <w:highlight w:val="yellow"/>
              </w:rPr>
            </w:pPr>
            <w:r w:rsidRPr="00D940F1">
              <w:rPr>
                <w:rFonts w:ascii="Times New Roman" w:hAnsi="Times New Roman" w:cs="Times New Roman"/>
              </w:rPr>
              <w:t>This amendment removes the stable value common collective trust fund from the illustrative example in paragraph 962-325-55-17 to avoid the interpretation that such an investment would not have a readily determinable fair value and should always use the net asset value per share practical expedient.</w:t>
            </w:r>
          </w:p>
        </w:tc>
        <w:tc>
          <w:tcPr>
            <w:tcW w:w="1440" w:type="dxa"/>
          </w:tcPr>
          <w:p w14:paraId="7A4434AC" w14:textId="10BD2F8E" w:rsidR="005225C8" w:rsidRPr="00D940F1" w:rsidRDefault="00437A00" w:rsidP="00156A39">
            <w:pPr>
              <w:jc w:val="center"/>
              <w:rPr>
                <w:rFonts w:ascii="Times New Roman" w:hAnsi="Times New Roman" w:cs="Times New Roman"/>
                <w:highlight w:val="yellow"/>
              </w:rPr>
            </w:pPr>
            <w:r w:rsidRPr="0030229D">
              <w:rPr>
                <w:rFonts w:ascii="Times New Roman" w:hAnsi="Times New Roman" w:cs="Times New Roman"/>
              </w:rPr>
              <w:t>55-17</w:t>
            </w:r>
          </w:p>
        </w:tc>
        <w:tc>
          <w:tcPr>
            <w:tcW w:w="3690" w:type="dxa"/>
          </w:tcPr>
          <w:p w14:paraId="25A5AF7C" w14:textId="2BED65A7" w:rsidR="005225C8" w:rsidRPr="000E23A6" w:rsidRDefault="000E23A6" w:rsidP="00156A39">
            <w:pPr>
              <w:rPr>
                <w:rFonts w:ascii="Times New Roman" w:hAnsi="Times New Roman" w:cs="Times New Roman"/>
              </w:rPr>
            </w:pPr>
            <w:r w:rsidRPr="000E23A6">
              <w:rPr>
                <w:rFonts w:ascii="Times New Roman" w:hAnsi="Times New Roman" w:cs="Times New Roman"/>
              </w:rPr>
              <w:t>The amended example</w:t>
            </w:r>
            <w:r w:rsidR="00EF1F8C" w:rsidRPr="000E23A6">
              <w:rPr>
                <w:rFonts w:ascii="Times New Roman" w:hAnsi="Times New Roman" w:cs="Times New Roman"/>
              </w:rPr>
              <w:t xml:space="preserve"> is not included in </w:t>
            </w:r>
            <w:r w:rsidR="00EF1F8C" w:rsidRPr="000E23A6">
              <w:rPr>
                <w:rFonts w:ascii="Times New Roman" w:hAnsi="Times New Roman" w:cs="Times New Roman"/>
                <w:i/>
                <w:iCs/>
              </w:rPr>
              <w:t xml:space="preserve">SSAP No. </w:t>
            </w:r>
            <w:r w:rsidR="000E1B15" w:rsidRPr="000E23A6">
              <w:rPr>
                <w:rFonts w:ascii="Times New Roman" w:hAnsi="Times New Roman" w:cs="Times New Roman"/>
                <w:i/>
                <w:iCs/>
              </w:rPr>
              <w:t>102</w:t>
            </w:r>
            <w:r w:rsidRPr="000E23A6">
              <w:rPr>
                <w:rFonts w:ascii="Times New Roman" w:hAnsi="Times New Roman" w:cs="Times New Roman"/>
                <w:i/>
                <w:iCs/>
              </w:rPr>
              <w:t>–Pensions</w:t>
            </w:r>
            <w:r w:rsidR="005225C8" w:rsidRPr="000E23A6">
              <w:rPr>
                <w:rFonts w:ascii="Times New Roman" w:hAnsi="Times New Roman" w:cs="Times New Roman"/>
              </w:rPr>
              <w:t>.</w:t>
            </w:r>
          </w:p>
          <w:p w14:paraId="6049EB68" w14:textId="77777777" w:rsidR="005225C8" w:rsidRPr="000E23A6" w:rsidRDefault="005225C8" w:rsidP="00156A39">
            <w:pPr>
              <w:rPr>
                <w:rFonts w:ascii="Times New Roman" w:hAnsi="Times New Roman" w:cs="Times New Roman"/>
                <w:b/>
                <w:bCs/>
              </w:rPr>
            </w:pPr>
          </w:p>
          <w:p w14:paraId="0ED8D9F0" w14:textId="77777777" w:rsidR="005225C8" w:rsidRPr="000E23A6" w:rsidRDefault="005225C8" w:rsidP="00156A39">
            <w:pPr>
              <w:rPr>
                <w:rFonts w:ascii="Times New Roman" w:hAnsi="Times New Roman" w:cs="Times New Roman"/>
                <w:highlight w:val="yellow"/>
              </w:rPr>
            </w:pPr>
            <w:r w:rsidRPr="000E23A6">
              <w:rPr>
                <w:rFonts w:ascii="Times New Roman" w:hAnsi="Times New Roman" w:cs="Times New Roman"/>
                <w:b/>
                <w:bCs/>
              </w:rPr>
              <w:t>This update is not applicable – no action required.</w:t>
            </w:r>
          </w:p>
        </w:tc>
      </w:tr>
    </w:tbl>
    <w:p w14:paraId="556BD7C7" w14:textId="77777777" w:rsidR="00AA1DC0" w:rsidRPr="007B2137" w:rsidRDefault="00AA1DC0" w:rsidP="000579B6">
      <w:pPr>
        <w:rPr>
          <w:sz w:val="16"/>
          <w:szCs w:val="16"/>
        </w:rPr>
      </w:pPr>
    </w:p>
    <w:sectPr w:rsidR="00AA1DC0" w:rsidRPr="007B2137" w:rsidSect="005225C8">
      <w:pgSz w:w="15840" w:h="12240" w:orient="landscape"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DDB7E" w14:textId="77777777" w:rsidR="00F8295A" w:rsidRDefault="00F8295A">
      <w:r>
        <w:separator/>
      </w:r>
    </w:p>
  </w:endnote>
  <w:endnote w:type="continuationSeparator" w:id="0">
    <w:p w14:paraId="3D4B5DFF" w14:textId="77777777" w:rsidR="00F8295A" w:rsidRDefault="00F8295A">
      <w:r>
        <w:continuationSeparator/>
      </w:r>
    </w:p>
  </w:endnote>
  <w:endnote w:type="continuationNotice" w:id="1">
    <w:p w14:paraId="38AFE5AE" w14:textId="77777777" w:rsidR="00F8295A" w:rsidRDefault="00F829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938B" w14:textId="09CBCC2D" w:rsidR="00817FE3" w:rsidRDefault="00817FE3">
    <w:pPr>
      <w:pStyle w:val="Footer"/>
      <w:rPr>
        <w:sz w:val="20"/>
      </w:rPr>
    </w:pPr>
    <w:r>
      <w:rPr>
        <w:sz w:val="20"/>
      </w:rPr>
      <w:t>© 202</w:t>
    </w:r>
    <w:r w:rsidR="002B15C6">
      <w:rPr>
        <w:sz w:val="20"/>
      </w:rPr>
      <w:t>3</w:t>
    </w:r>
    <w:r>
      <w:rPr>
        <w:sz w:val="20"/>
      </w:rPr>
      <w:t xml:space="preserve"> National Association of Insurance Commissioners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w:t>
    </w:r>
    <w:r>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0D23" w14:textId="64B32E7F" w:rsidR="00817FE3" w:rsidRDefault="00817FE3" w:rsidP="006B37DD">
    <w:pPr>
      <w:pStyle w:val="Footer"/>
      <w:tabs>
        <w:tab w:val="clear" w:pos="4320"/>
        <w:tab w:val="center" w:pos="5040"/>
      </w:tabs>
      <w:rPr>
        <w:sz w:val="20"/>
      </w:rPr>
    </w:pPr>
    <w:r>
      <w:rPr>
        <w:sz w:val="20"/>
      </w:rPr>
      <w:t>© 202</w:t>
    </w:r>
    <w:r w:rsidR="002B15C6">
      <w:rPr>
        <w:sz w:val="20"/>
      </w:rPr>
      <w:t>3</w:t>
    </w:r>
    <w:r>
      <w:rPr>
        <w:sz w:val="20"/>
      </w:rPr>
      <w:t xml:space="preserve"> National Association of Insurance Commissioners</w: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5534C" w14:textId="77777777" w:rsidR="00F8295A" w:rsidRDefault="00F8295A">
      <w:r>
        <w:separator/>
      </w:r>
    </w:p>
  </w:footnote>
  <w:footnote w:type="continuationSeparator" w:id="0">
    <w:p w14:paraId="5F0F50E5" w14:textId="77777777" w:rsidR="00F8295A" w:rsidRDefault="00F8295A">
      <w:r>
        <w:continuationSeparator/>
      </w:r>
    </w:p>
  </w:footnote>
  <w:footnote w:type="continuationNotice" w:id="1">
    <w:p w14:paraId="1E0723CD" w14:textId="77777777" w:rsidR="00F8295A" w:rsidRDefault="00F829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951DC" w14:textId="304AC03E" w:rsidR="002A6B05" w:rsidRPr="00284073" w:rsidRDefault="002A6B05">
    <w:pPr>
      <w:pStyle w:val="Header"/>
      <w:jc w:val="right"/>
      <w:rPr>
        <w:b/>
        <w:sz w:val="20"/>
      </w:rPr>
    </w:pPr>
    <w:r w:rsidRPr="00284073">
      <w:rPr>
        <w:b/>
        <w:sz w:val="20"/>
      </w:rPr>
      <w:t xml:space="preserve">Attachment </w:t>
    </w:r>
    <w:r w:rsidR="00284073" w:rsidRPr="00284073">
      <w:rPr>
        <w:b/>
        <w:sz w:val="20"/>
      </w:rPr>
      <w:t>F</w:t>
    </w:r>
  </w:p>
  <w:p w14:paraId="14FEED1A" w14:textId="7453E230" w:rsidR="00817FE3" w:rsidRPr="00F04F9A" w:rsidRDefault="00817FE3">
    <w:pPr>
      <w:pStyle w:val="Header"/>
      <w:jc w:val="right"/>
      <w:rPr>
        <w:bCs/>
        <w:sz w:val="20"/>
      </w:rPr>
    </w:pPr>
    <w:r w:rsidRPr="00F04F9A">
      <w:rPr>
        <w:bCs/>
        <w:sz w:val="20"/>
      </w:rPr>
      <w:t xml:space="preserve">Ref </w:t>
    </w:r>
    <w:r w:rsidRPr="002A6B05">
      <w:rPr>
        <w:bCs/>
        <w:sz w:val="20"/>
      </w:rPr>
      <w:t>#20</w:t>
    </w:r>
    <w:r w:rsidR="008B4FC3" w:rsidRPr="002A6B05">
      <w:rPr>
        <w:bCs/>
        <w:sz w:val="20"/>
      </w:rPr>
      <w:t>23-</w:t>
    </w:r>
    <w:r w:rsidR="002A6B05" w:rsidRPr="002A6B05">
      <w:rPr>
        <w:bCs/>
        <w:sz w:val="20"/>
      </w:rPr>
      <w:t>19</w:t>
    </w:r>
  </w:p>
  <w:p w14:paraId="12DAC63B" w14:textId="77777777" w:rsidR="00817FE3" w:rsidRDefault="00817FE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31E92" w14:textId="77435612" w:rsidR="00781F91" w:rsidRPr="002A6B05" w:rsidRDefault="00781F91" w:rsidP="00781F91">
    <w:pPr>
      <w:pStyle w:val="Header"/>
      <w:jc w:val="right"/>
      <w:rPr>
        <w:b/>
        <w:sz w:val="20"/>
      </w:rPr>
    </w:pPr>
  </w:p>
  <w:p w14:paraId="7E519226" w14:textId="1CB2C152" w:rsidR="00817FE3" w:rsidRPr="00781F91" w:rsidRDefault="00817FE3" w:rsidP="00781F91">
    <w:pPr>
      <w:pStyle w:val="Header"/>
      <w:jc w:val="right"/>
      <w:rPr>
        <w:bCs/>
        <w:sz w:val="20"/>
      </w:rPr>
    </w:pPr>
    <w:r w:rsidRPr="00F04F9A">
      <w:rPr>
        <w:bCs/>
        <w:sz w:val="20"/>
      </w:rPr>
      <w:t>Ref #</w:t>
    </w:r>
    <w:r w:rsidRPr="00781F91">
      <w:rPr>
        <w:bCs/>
        <w:sz w:val="20"/>
      </w:rPr>
      <w:t>202</w:t>
    </w:r>
    <w:r w:rsidR="00171212" w:rsidRPr="00781F91">
      <w:rPr>
        <w:bCs/>
        <w:sz w:val="20"/>
      </w:rPr>
      <w:t>3</w:t>
    </w:r>
    <w:r w:rsidR="00850FEE">
      <w:rPr>
        <w:bCs/>
        <w:sz w:val="20"/>
      </w:rPr>
      <w:t>-19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99D0659"/>
    <w:multiLevelType w:val="hybridMultilevel"/>
    <w:tmpl w:val="250A3EF6"/>
    <w:lvl w:ilvl="0" w:tplc="40FA343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0B20087B"/>
    <w:multiLevelType w:val="multilevel"/>
    <w:tmpl w:val="41A26494"/>
    <w:lvl w:ilvl="0">
      <w:start w:val="48"/>
      <w:numFmt w:val="decimal"/>
      <w:lvlText w:val="%1."/>
      <w:lvlJc w:val="left"/>
      <w:pPr>
        <w:ind w:left="0" w:firstLine="0"/>
      </w:pPr>
      <w:rPr>
        <w:rFonts w:hint="default"/>
      </w:rPr>
    </w:lvl>
    <w:lvl w:ilvl="1">
      <w:start w:val="1"/>
      <w:numFmt w:val="lowerRoman"/>
      <w:lvlText w:val="%2."/>
      <w:lvlJc w:val="right"/>
      <w:pPr>
        <w:tabs>
          <w:tab w:val="num" w:pos="1980"/>
        </w:tabs>
        <w:ind w:left="1980" w:hanging="180"/>
      </w:pPr>
      <w:rPr>
        <w:rFonts w:hint="default"/>
      </w:rPr>
    </w:lvl>
    <w:lvl w:ilvl="2">
      <w:start w:val="1"/>
      <w:numFmt w:val="lowerRoman"/>
      <w:lvlText w:val="%3."/>
      <w:lvlJc w:val="right"/>
      <w:pPr>
        <w:tabs>
          <w:tab w:val="num" w:pos="2880"/>
        </w:tabs>
        <w:ind w:left="2880" w:hanging="720"/>
      </w:pPr>
      <w:rPr>
        <w:rFonts w:hint="default"/>
      </w:rPr>
    </w:lvl>
    <w:lvl w:ilvl="3">
      <w:start w:val="1"/>
      <w:numFmt w:val="lowerLetter"/>
      <w:lvlText w:val="%4."/>
      <w:lvlJc w:val="left"/>
      <w:pPr>
        <w:tabs>
          <w:tab w:val="num" w:pos="2520"/>
        </w:tabs>
        <w:ind w:left="3960" w:hanging="72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5" w15:restartNumberingAfterBreak="0">
    <w:nsid w:val="0BE749D2"/>
    <w:multiLevelType w:val="multilevel"/>
    <w:tmpl w:val="574091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C0373CC"/>
    <w:multiLevelType w:val="singleLevel"/>
    <w:tmpl w:val="A5C8618C"/>
    <w:lvl w:ilvl="0">
      <w:start w:val="18"/>
      <w:numFmt w:val="decimal"/>
      <w:lvlText w:val="%1."/>
      <w:lvlJc w:val="left"/>
      <w:pPr>
        <w:tabs>
          <w:tab w:val="num" w:pos="540"/>
        </w:tabs>
        <w:ind w:left="540" w:hanging="540"/>
      </w:pPr>
      <w:rPr>
        <w:rFonts w:hint="default"/>
        <w:b w:val="0"/>
      </w:rPr>
    </w:lvl>
  </w:abstractNum>
  <w:abstractNum w:abstractNumId="7" w15:restartNumberingAfterBreak="0">
    <w:nsid w:val="1001296A"/>
    <w:multiLevelType w:val="singleLevel"/>
    <w:tmpl w:val="D06EB10A"/>
    <w:lvl w:ilvl="0">
      <w:start w:val="1"/>
      <w:numFmt w:val="lowerLetter"/>
      <w:lvlText w:val="%1."/>
      <w:legacy w:legacy="1" w:legacySpace="0" w:legacyIndent="720"/>
      <w:lvlJc w:val="left"/>
      <w:pPr>
        <w:ind w:left="1440" w:hanging="720"/>
      </w:pPr>
    </w:lvl>
  </w:abstractNum>
  <w:abstractNum w:abstractNumId="8" w15:restartNumberingAfterBreak="0">
    <w:nsid w:val="10552D02"/>
    <w:multiLevelType w:val="hybridMultilevel"/>
    <w:tmpl w:val="3FB8EC46"/>
    <w:lvl w:ilvl="0" w:tplc="9B1C1FF2">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19F86C47"/>
    <w:multiLevelType w:val="singleLevel"/>
    <w:tmpl w:val="085CFC2C"/>
    <w:lvl w:ilvl="0">
      <w:start w:val="1"/>
      <w:numFmt w:val="lowerLetter"/>
      <w:lvlText w:val="%1."/>
      <w:lvlJc w:val="left"/>
      <w:pPr>
        <w:tabs>
          <w:tab w:val="num" w:pos="0"/>
        </w:tabs>
        <w:ind w:left="1440" w:hanging="720"/>
      </w:pPr>
      <w:rPr>
        <w:rFonts w:hint="default"/>
      </w:rPr>
    </w:lvl>
  </w:abstractNum>
  <w:abstractNum w:abstractNumId="10" w15:restartNumberingAfterBreak="0">
    <w:nsid w:val="1C204085"/>
    <w:multiLevelType w:val="multilevel"/>
    <w:tmpl w:val="22E88EA6"/>
    <w:lvl w:ilvl="0">
      <w:start w:val="1"/>
      <w:numFmt w:val="decimal"/>
      <w:lvlText w:val="%1."/>
      <w:lvlJc w:val="left"/>
      <w:pPr>
        <w:tabs>
          <w:tab w:val="num" w:pos="360"/>
        </w:tabs>
        <w:ind w:left="0" w:firstLine="0"/>
      </w:pPr>
      <w:rPr>
        <w:rFonts w:ascii="Times New Roman" w:hAnsi="Times New Roman" w:hint="default"/>
        <w:b w:val="0"/>
        <w:i w:val="0"/>
      </w:rPr>
    </w:lvl>
    <w:lvl w:ilvl="1">
      <w:start w:val="2"/>
      <w:numFmt w:val="lowerLetter"/>
      <w:lvlText w:val="%2."/>
      <w:lvlJc w:val="left"/>
      <w:pPr>
        <w:tabs>
          <w:tab w:val="num" w:pos="1440"/>
        </w:tabs>
        <w:ind w:left="1440" w:hanging="720"/>
      </w:pPr>
      <w:rPr>
        <w:rFonts w:ascii="Times New Roman" w:hAnsi="Times New Roman" w:hint="default"/>
      </w:rPr>
    </w:lvl>
    <w:lvl w:ilvl="2">
      <w:start w:val="1"/>
      <w:numFmt w:val="lowerRoman"/>
      <w:lvlRestart w:val="0"/>
      <w:lvlText w:val="%3."/>
      <w:lvlJc w:val="left"/>
      <w:pPr>
        <w:tabs>
          <w:tab w:val="num" w:pos="2160"/>
        </w:tabs>
        <w:ind w:left="2160" w:hanging="720"/>
      </w:pPr>
      <w:rPr>
        <w:rFonts w:ascii="Times New Roman" w:hAnsi="Times New Roman" w:hint="default"/>
      </w:rPr>
    </w:lvl>
    <w:lvl w:ilvl="3">
      <w:start w:val="1"/>
      <w:numFmt w:val="decimal"/>
      <w:lvlText w:val="(%4)"/>
      <w:lvlJc w:val="left"/>
      <w:pPr>
        <w:tabs>
          <w:tab w:val="num" w:pos="2880"/>
        </w:tabs>
        <w:ind w:left="2880" w:hanging="720"/>
      </w:pPr>
      <w:rPr>
        <w:rFonts w:ascii="Times New Roman" w:hAnsi="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CCE3CEB"/>
    <w:multiLevelType w:val="hybridMultilevel"/>
    <w:tmpl w:val="05726922"/>
    <w:lvl w:ilvl="0" w:tplc="7E2CE2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7C7B54"/>
    <w:multiLevelType w:val="hybridMultilevel"/>
    <w:tmpl w:val="1310CA3A"/>
    <w:lvl w:ilvl="0" w:tplc="05969F50">
      <w:start w:val="1"/>
      <w:numFmt w:val="decimal"/>
      <w:lvlText w:val="%1."/>
      <w:lvlJc w:val="left"/>
      <w:pPr>
        <w:tabs>
          <w:tab w:val="num" w:pos="780"/>
        </w:tabs>
        <w:ind w:left="780" w:hanging="360"/>
      </w:pPr>
    </w:lvl>
    <w:lvl w:ilvl="1" w:tplc="4DA072CE" w:tentative="1">
      <w:start w:val="1"/>
      <w:numFmt w:val="lowerLetter"/>
      <w:lvlText w:val="%2."/>
      <w:lvlJc w:val="left"/>
      <w:pPr>
        <w:tabs>
          <w:tab w:val="num" w:pos="1500"/>
        </w:tabs>
        <w:ind w:left="1500" w:hanging="360"/>
      </w:pPr>
    </w:lvl>
    <w:lvl w:ilvl="2" w:tplc="D7882B06" w:tentative="1">
      <w:start w:val="1"/>
      <w:numFmt w:val="lowerRoman"/>
      <w:lvlText w:val="%3."/>
      <w:lvlJc w:val="right"/>
      <w:pPr>
        <w:tabs>
          <w:tab w:val="num" w:pos="2220"/>
        </w:tabs>
        <w:ind w:left="2220" w:hanging="180"/>
      </w:pPr>
    </w:lvl>
    <w:lvl w:ilvl="3" w:tplc="EA72BE90" w:tentative="1">
      <w:start w:val="1"/>
      <w:numFmt w:val="decimal"/>
      <w:lvlText w:val="%4."/>
      <w:lvlJc w:val="left"/>
      <w:pPr>
        <w:tabs>
          <w:tab w:val="num" w:pos="2940"/>
        </w:tabs>
        <w:ind w:left="2940" w:hanging="360"/>
      </w:pPr>
    </w:lvl>
    <w:lvl w:ilvl="4" w:tplc="2F3C9004" w:tentative="1">
      <w:start w:val="1"/>
      <w:numFmt w:val="lowerLetter"/>
      <w:lvlText w:val="%5."/>
      <w:lvlJc w:val="left"/>
      <w:pPr>
        <w:tabs>
          <w:tab w:val="num" w:pos="3660"/>
        </w:tabs>
        <w:ind w:left="3660" w:hanging="360"/>
      </w:pPr>
    </w:lvl>
    <w:lvl w:ilvl="5" w:tplc="7116F3DC" w:tentative="1">
      <w:start w:val="1"/>
      <w:numFmt w:val="lowerRoman"/>
      <w:lvlText w:val="%6."/>
      <w:lvlJc w:val="right"/>
      <w:pPr>
        <w:tabs>
          <w:tab w:val="num" w:pos="4380"/>
        </w:tabs>
        <w:ind w:left="4380" w:hanging="180"/>
      </w:pPr>
    </w:lvl>
    <w:lvl w:ilvl="6" w:tplc="CA16657C" w:tentative="1">
      <w:start w:val="1"/>
      <w:numFmt w:val="decimal"/>
      <w:lvlText w:val="%7."/>
      <w:lvlJc w:val="left"/>
      <w:pPr>
        <w:tabs>
          <w:tab w:val="num" w:pos="5100"/>
        </w:tabs>
        <w:ind w:left="5100" w:hanging="360"/>
      </w:pPr>
    </w:lvl>
    <w:lvl w:ilvl="7" w:tplc="CDE0A744" w:tentative="1">
      <w:start w:val="1"/>
      <w:numFmt w:val="lowerLetter"/>
      <w:lvlText w:val="%8."/>
      <w:lvlJc w:val="left"/>
      <w:pPr>
        <w:tabs>
          <w:tab w:val="num" w:pos="5820"/>
        </w:tabs>
        <w:ind w:left="5820" w:hanging="360"/>
      </w:pPr>
    </w:lvl>
    <w:lvl w:ilvl="8" w:tplc="4E4C1C54" w:tentative="1">
      <w:start w:val="1"/>
      <w:numFmt w:val="lowerRoman"/>
      <w:lvlText w:val="%9."/>
      <w:lvlJc w:val="right"/>
      <w:pPr>
        <w:tabs>
          <w:tab w:val="num" w:pos="6540"/>
        </w:tabs>
        <w:ind w:left="6540" w:hanging="180"/>
      </w:pPr>
    </w:lvl>
  </w:abstractNum>
  <w:abstractNum w:abstractNumId="13" w15:restartNumberingAfterBreak="0">
    <w:nsid w:val="23FB17CA"/>
    <w:multiLevelType w:val="multilevel"/>
    <w:tmpl w:val="0B808E80"/>
    <w:lvl w:ilvl="0">
      <w:start w:val="14"/>
      <w:numFmt w:val="decimal"/>
      <w:lvlText w:val="%1."/>
      <w:lvlJc w:val="left"/>
      <w:pPr>
        <w:ind w:left="0" w:firstLine="0"/>
      </w:pPr>
      <w:rPr>
        <w:rFonts w:hint="default"/>
      </w:rPr>
    </w:lvl>
    <w:lvl w:ilvl="1">
      <w:start w:val="1"/>
      <w:numFmt w:val="lowerRoman"/>
      <w:lvlText w:val="%2."/>
      <w:lvlJc w:val="right"/>
      <w:pPr>
        <w:tabs>
          <w:tab w:val="num" w:pos="1980"/>
        </w:tabs>
        <w:ind w:left="1980" w:hanging="180"/>
      </w:pPr>
      <w:rPr>
        <w:rFonts w:hint="default"/>
      </w:rPr>
    </w:lvl>
    <w:lvl w:ilvl="2">
      <w:start w:val="1"/>
      <w:numFmt w:val="lowerRoman"/>
      <w:lvlText w:val="%3."/>
      <w:lvlJc w:val="right"/>
      <w:pPr>
        <w:tabs>
          <w:tab w:val="num" w:pos="2880"/>
        </w:tabs>
        <w:ind w:left="2880" w:hanging="720"/>
      </w:pPr>
      <w:rPr>
        <w:rFonts w:hint="default"/>
      </w:rPr>
    </w:lvl>
    <w:lvl w:ilvl="3">
      <w:start w:val="1"/>
      <w:numFmt w:val="lowerLetter"/>
      <w:lvlText w:val="%4."/>
      <w:lvlJc w:val="left"/>
      <w:pPr>
        <w:tabs>
          <w:tab w:val="num" w:pos="2520"/>
        </w:tabs>
        <w:ind w:left="3960" w:hanging="72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4" w15:restartNumberingAfterBreak="0">
    <w:nsid w:val="2562614D"/>
    <w:multiLevelType w:val="multilevel"/>
    <w:tmpl w:val="80D0373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668150B"/>
    <w:multiLevelType w:val="hybridMultilevel"/>
    <w:tmpl w:val="0ACE04A2"/>
    <w:lvl w:ilvl="0" w:tplc="D054DC2A">
      <w:start w:val="1"/>
      <w:numFmt w:val="lowerLetter"/>
      <w:lvlText w:val="%1."/>
      <w:lvlJc w:val="left"/>
      <w:pPr>
        <w:tabs>
          <w:tab w:val="num" w:pos="1440"/>
        </w:tabs>
        <w:ind w:left="1440" w:hanging="360"/>
      </w:pPr>
    </w:lvl>
    <w:lvl w:ilvl="1" w:tplc="C186EDA4" w:tentative="1">
      <w:start w:val="1"/>
      <w:numFmt w:val="lowerLetter"/>
      <w:lvlText w:val="%2."/>
      <w:lvlJc w:val="left"/>
      <w:pPr>
        <w:tabs>
          <w:tab w:val="num" w:pos="1440"/>
        </w:tabs>
        <w:ind w:left="1440" w:hanging="360"/>
      </w:pPr>
    </w:lvl>
    <w:lvl w:ilvl="2" w:tplc="3F12F82E" w:tentative="1">
      <w:start w:val="1"/>
      <w:numFmt w:val="lowerRoman"/>
      <w:lvlText w:val="%3."/>
      <w:lvlJc w:val="right"/>
      <w:pPr>
        <w:tabs>
          <w:tab w:val="num" w:pos="2160"/>
        </w:tabs>
        <w:ind w:left="2160" w:hanging="180"/>
      </w:pPr>
    </w:lvl>
    <w:lvl w:ilvl="3" w:tplc="C1E63D52" w:tentative="1">
      <w:start w:val="1"/>
      <w:numFmt w:val="decimal"/>
      <w:lvlText w:val="%4."/>
      <w:lvlJc w:val="left"/>
      <w:pPr>
        <w:tabs>
          <w:tab w:val="num" w:pos="2880"/>
        </w:tabs>
        <w:ind w:left="2880" w:hanging="360"/>
      </w:pPr>
    </w:lvl>
    <w:lvl w:ilvl="4" w:tplc="F9CCCBDC" w:tentative="1">
      <w:start w:val="1"/>
      <w:numFmt w:val="lowerLetter"/>
      <w:lvlText w:val="%5."/>
      <w:lvlJc w:val="left"/>
      <w:pPr>
        <w:tabs>
          <w:tab w:val="num" w:pos="3600"/>
        </w:tabs>
        <w:ind w:left="3600" w:hanging="360"/>
      </w:pPr>
    </w:lvl>
    <w:lvl w:ilvl="5" w:tplc="430CA49A" w:tentative="1">
      <w:start w:val="1"/>
      <w:numFmt w:val="lowerRoman"/>
      <w:lvlText w:val="%6."/>
      <w:lvlJc w:val="right"/>
      <w:pPr>
        <w:tabs>
          <w:tab w:val="num" w:pos="4320"/>
        </w:tabs>
        <w:ind w:left="4320" w:hanging="180"/>
      </w:pPr>
    </w:lvl>
    <w:lvl w:ilvl="6" w:tplc="16AC0192" w:tentative="1">
      <w:start w:val="1"/>
      <w:numFmt w:val="decimal"/>
      <w:lvlText w:val="%7."/>
      <w:lvlJc w:val="left"/>
      <w:pPr>
        <w:tabs>
          <w:tab w:val="num" w:pos="5040"/>
        </w:tabs>
        <w:ind w:left="5040" w:hanging="360"/>
      </w:pPr>
    </w:lvl>
    <w:lvl w:ilvl="7" w:tplc="BC60374C" w:tentative="1">
      <w:start w:val="1"/>
      <w:numFmt w:val="lowerLetter"/>
      <w:lvlText w:val="%8."/>
      <w:lvlJc w:val="left"/>
      <w:pPr>
        <w:tabs>
          <w:tab w:val="num" w:pos="5760"/>
        </w:tabs>
        <w:ind w:left="5760" w:hanging="360"/>
      </w:pPr>
    </w:lvl>
    <w:lvl w:ilvl="8" w:tplc="B7DE3D06" w:tentative="1">
      <w:start w:val="1"/>
      <w:numFmt w:val="lowerRoman"/>
      <w:lvlText w:val="%9."/>
      <w:lvlJc w:val="right"/>
      <w:pPr>
        <w:tabs>
          <w:tab w:val="num" w:pos="6480"/>
        </w:tabs>
        <w:ind w:left="6480" w:hanging="180"/>
      </w:pPr>
    </w:lvl>
  </w:abstractNum>
  <w:abstractNum w:abstractNumId="16" w15:restartNumberingAfterBreak="0">
    <w:nsid w:val="332A1AB6"/>
    <w:multiLevelType w:val="multilevel"/>
    <w:tmpl w:val="8FBE06BC"/>
    <w:lvl w:ilvl="0">
      <w:start w:val="1"/>
      <w:numFmt w:val="decimal"/>
      <w:lvlText w:val="%1."/>
      <w:lvlJc w:val="left"/>
      <w:pPr>
        <w:tabs>
          <w:tab w:val="num" w:pos="360"/>
        </w:tabs>
        <w:ind w:left="0" w:firstLine="0"/>
      </w:pPr>
      <w:rPr>
        <w:rFonts w:ascii="Times New Roman" w:hAnsi="Times New Roman" w:hint="default"/>
        <w:b w:val="0"/>
        <w:i w:val="0"/>
      </w:rPr>
    </w:lvl>
    <w:lvl w:ilvl="1">
      <w:start w:val="1"/>
      <w:numFmt w:val="lowerLetter"/>
      <w:lvlText w:val="%2."/>
      <w:lvlJc w:val="left"/>
      <w:pPr>
        <w:tabs>
          <w:tab w:val="num" w:pos="1440"/>
        </w:tabs>
        <w:ind w:left="1440" w:hanging="720"/>
      </w:pPr>
      <w:rPr>
        <w:rFonts w:ascii="Times New Roman" w:hAnsi="Times New Roman" w:hint="default"/>
      </w:rPr>
    </w:lvl>
    <w:lvl w:ilvl="2">
      <w:start w:val="1"/>
      <w:numFmt w:val="lowerRoman"/>
      <w:lvlRestart w:val="0"/>
      <w:lvlText w:val="%3."/>
      <w:lvlJc w:val="left"/>
      <w:pPr>
        <w:tabs>
          <w:tab w:val="num" w:pos="2160"/>
        </w:tabs>
        <w:ind w:left="2160" w:hanging="720"/>
      </w:pPr>
      <w:rPr>
        <w:rFonts w:ascii="Times New Roman" w:hAnsi="Times New Roman" w:hint="default"/>
      </w:rPr>
    </w:lvl>
    <w:lvl w:ilvl="3">
      <w:start w:val="1"/>
      <w:numFmt w:val="decimal"/>
      <w:lvlText w:val="(%4)"/>
      <w:lvlJc w:val="left"/>
      <w:pPr>
        <w:tabs>
          <w:tab w:val="num" w:pos="2880"/>
        </w:tabs>
        <w:ind w:left="2880" w:hanging="720"/>
      </w:pPr>
      <w:rPr>
        <w:rFonts w:ascii="Times New Roman" w:hAnsi="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353462B"/>
    <w:multiLevelType w:val="hybridMultilevel"/>
    <w:tmpl w:val="234090F6"/>
    <w:lvl w:ilvl="0" w:tplc="D8827A28">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F93467"/>
    <w:multiLevelType w:val="hybridMultilevel"/>
    <w:tmpl w:val="265AA1EA"/>
    <w:lvl w:ilvl="0" w:tplc="0409000F">
      <w:start w:val="1"/>
      <w:numFmt w:val="bullet"/>
      <w:lvlText w:val=""/>
      <w:lvlJc w:val="left"/>
      <w:pPr>
        <w:tabs>
          <w:tab w:val="num" w:pos="720"/>
        </w:tabs>
        <w:ind w:left="720" w:hanging="360"/>
      </w:pPr>
      <w:rPr>
        <w:rFonts w:ascii="Wingdings" w:hAnsi="Wingding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6F78E6"/>
    <w:multiLevelType w:val="hybridMultilevel"/>
    <w:tmpl w:val="8DCC3DEE"/>
    <w:lvl w:ilvl="0" w:tplc="04090019">
      <w:start w:val="1"/>
      <w:numFmt w:val="decimal"/>
      <w:lvlText w:val="%1."/>
      <w:lvlJc w:val="left"/>
      <w:pPr>
        <w:tabs>
          <w:tab w:val="num" w:pos="1080"/>
        </w:tabs>
        <w:ind w:left="1080" w:hanging="720"/>
      </w:pPr>
      <w:rPr>
        <w:rFonts w:hint="default"/>
        <w:b/>
        <w:i w:val="0"/>
      </w:rPr>
    </w:lvl>
    <w:lvl w:ilvl="1" w:tplc="04090019">
      <w:start w:val="1"/>
      <w:numFmt w:val="bullet"/>
      <w:lvlText w:val=""/>
      <w:lvlJc w:val="left"/>
      <w:pPr>
        <w:tabs>
          <w:tab w:val="num" w:pos="1440"/>
        </w:tabs>
        <w:ind w:left="1440" w:hanging="360"/>
      </w:pPr>
      <w:rPr>
        <w:rFonts w:ascii="Symbol" w:hAnsi="Symbol" w:hint="default"/>
        <w:sz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814D5B"/>
    <w:multiLevelType w:val="hybridMultilevel"/>
    <w:tmpl w:val="CB2E224E"/>
    <w:lvl w:ilvl="0" w:tplc="04090005">
      <w:start w:val="1"/>
      <w:numFmt w:val="bullet"/>
      <w:lvlText w:val=""/>
      <w:lvlJc w:val="left"/>
      <w:pPr>
        <w:tabs>
          <w:tab w:val="num" w:pos="720"/>
        </w:tabs>
        <w:ind w:left="720" w:hanging="360"/>
      </w:pPr>
      <w:rPr>
        <w:rFonts w:ascii="Symbol" w:hAnsi="Symbol" w:hint="default"/>
      </w:rPr>
    </w:lvl>
    <w:lvl w:ilvl="1" w:tplc="0409000F"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0C3583"/>
    <w:multiLevelType w:val="hybridMultilevel"/>
    <w:tmpl w:val="5E6CEDAC"/>
    <w:lvl w:ilvl="0" w:tplc="B4B0530A">
      <w:start w:val="1"/>
      <w:numFmt w:val="lowerRoman"/>
      <w:lvlText w:val="%1."/>
      <w:lvlJc w:val="right"/>
      <w:pPr>
        <w:tabs>
          <w:tab w:val="num" w:pos="2160"/>
        </w:tabs>
        <w:ind w:left="2160" w:hanging="720"/>
      </w:pPr>
      <w:rPr>
        <w:rFonts w:hint="default"/>
      </w:rPr>
    </w:lvl>
    <w:lvl w:ilvl="1" w:tplc="4AE6A9B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FD5897"/>
    <w:multiLevelType w:val="multilevel"/>
    <w:tmpl w:val="8FBE06BC"/>
    <w:lvl w:ilvl="0">
      <w:start w:val="1"/>
      <w:numFmt w:val="decimal"/>
      <w:lvlText w:val="%1."/>
      <w:lvlJc w:val="left"/>
      <w:pPr>
        <w:tabs>
          <w:tab w:val="num" w:pos="360"/>
        </w:tabs>
        <w:ind w:left="0" w:firstLine="0"/>
      </w:pPr>
      <w:rPr>
        <w:rFonts w:ascii="Times New Roman" w:hAnsi="Times New Roman" w:hint="default"/>
        <w:b w:val="0"/>
        <w:i w:val="0"/>
      </w:rPr>
    </w:lvl>
    <w:lvl w:ilvl="1">
      <w:start w:val="1"/>
      <w:numFmt w:val="lowerLetter"/>
      <w:lvlText w:val="%2."/>
      <w:lvlJc w:val="left"/>
      <w:pPr>
        <w:tabs>
          <w:tab w:val="num" w:pos="1440"/>
        </w:tabs>
        <w:ind w:left="1440" w:hanging="720"/>
      </w:pPr>
      <w:rPr>
        <w:rFonts w:ascii="Times New Roman" w:hAnsi="Times New Roman" w:hint="default"/>
      </w:rPr>
    </w:lvl>
    <w:lvl w:ilvl="2">
      <w:start w:val="1"/>
      <w:numFmt w:val="lowerRoman"/>
      <w:lvlRestart w:val="0"/>
      <w:lvlText w:val="%3."/>
      <w:lvlJc w:val="left"/>
      <w:pPr>
        <w:tabs>
          <w:tab w:val="num" w:pos="2160"/>
        </w:tabs>
        <w:ind w:left="2160" w:hanging="720"/>
      </w:pPr>
      <w:rPr>
        <w:rFonts w:ascii="Times New Roman" w:hAnsi="Times New Roman" w:hint="default"/>
      </w:rPr>
    </w:lvl>
    <w:lvl w:ilvl="3">
      <w:start w:val="1"/>
      <w:numFmt w:val="decimal"/>
      <w:lvlText w:val="(%4)"/>
      <w:lvlJc w:val="left"/>
      <w:pPr>
        <w:tabs>
          <w:tab w:val="num" w:pos="2880"/>
        </w:tabs>
        <w:ind w:left="2880" w:hanging="720"/>
      </w:pPr>
      <w:rPr>
        <w:rFonts w:ascii="Times New Roman" w:hAnsi="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91868BE"/>
    <w:multiLevelType w:val="hybridMultilevel"/>
    <w:tmpl w:val="17B25BA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4C6052D7"/>
    <w:multiLevelType w:val="multilevel"/>
    <w:tmpl w:val="6728D944"/>
    <w:lvl w:ilvl="0">
      <w:start w:val="1"/>
      <w:numFmt w:val="decimal"/>
      <w:lvlText w:val="%1."/>
      <w:lvlJc w:val="left"/>
      <w:pPr>
        <w:tabs>
          <w:tab w:val="num" w:pos="360"/>
        </w:tabs>
        <w:ind w:left="0" w:firstLine="0"/>
      </w:pPr>
      <w:rPr>
        <w:rFonts w:ascii="Times New Roman" w:hAnsi="Times New Roman" w:hint="default"/>
        <w:b w:val="0"/>
        <w:i w:val="0"/>
      </w:rPr>
    </w:lvl>
    <w:lvl w:ilvl="1">
      <w:start w:val="1"/>
      <w:numFmt w:val="lowerLetter"/>
      <w:lvlText w:val="%2."/>
      <w:lvlJc w:val="left"/>
      <w:pPr>
        <w:ind w:left="1080" w:hanging="360"/>
      </w:pPr>
    </w:lvl>
    <w:lvl w:ilvl="2">
      <w:start w:val="1"/>
      <w:numFmt w:val="lowerRoman"/>
      <w:lvlRestart w:val="0"/>
      <w:lvlText w:val="%3."/>
      <w:lvlJc w:val="left"/>
      <w:pPr>
        <w:tabs>
          <w:tab w:val="num" w:pos="2160"/>
        </w:tabs>
        <w:ind w:left="2160" w:hanging="720"/>
      </w:pPr>
      <w:rPr>
        <w:rFonts w:ascii="Times New Roman" w:hAnsi="Times New Roman" w:hint="default"/>
      </w:rPr>
    </w:lvl>
    <w:lvl w:ilvl="3">
      <w:start w:val="1"/>
      <w:numFmt w:val="decimal"/>
      <w:lvlText w:val="(%4)"/>
      <w:lvlJc w:val="left"/>
      <w:pPr>
        <w:tabs>
          <w:tab w:val="num" w:pos="2880"/>
        </w:tabs>
        <w:ind w:left="2880" w:hanging="720"/>
      </w:pPr>
      <w:rPr>
        <w:rFonts w:ascii="Times New Roman" w:hAnsi="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CCC61C5"/>
    <w:multiLevelType w:val="hybridMultilevel"/>
    <w:tmpl w:val="09DA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95D47"/>
    <w:multiLevelType w:val="hybridMultilevel"/>
    <w:tmpl w:val="763AF51A"/>
    <w:lvl w:ilvl="0" w:tplc="F17CDFA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53872898"/>
    <w:multiLevelType w:val="hybridMultilevel"/>
    <w:tmpl w:val="C6D8FFB8"/>
    <w:lvl w:ilvl="0" w:tplc="9B1C1F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D1E01F3"/>
    <w:multiLevelType w:val="hybridMultilevel"/>
    <w:tmpl w:val="BB56852A"/>
    <w:lvl w:ilvl="0" w:tplc="13A2AA52">
      <w:start w:val="1"/>
      <w:numFmt w:val="bullet"/>
      <w:lvlText w:val=""/>
      <w:lvlJc w:val="left"/>
      <w:pPr>
        <w:tabs>
          <w:tab w:val="num" w:pos="360"/>
        </w:tabs>
        <w:ind w:left="360" w:hanging="360"/>
      </w:pPr>
      <w:rPr>
        <w:rFonts w:ascii="Symbol" w:hAnsi="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7B7086"/>
    <w:multiLevelType w:val="singleLevel"/>
    <w:tmpl w:val="D06EB10A"/>
    <w:lvl w:ilvl="0">
      <w:start w:val="1"/>
      <w:numFmt w:val="lowerLetter"/>
      <w:lvlText w:val="%1."/>
      <w:legacy w:legacy="1" w:legacySpace="0" w:legacyIndent="720"/>
      <w:lvlJc w:val="left"/>
      <w:pPr>
        <w:ind w:left="1440" w:hanging="720"/>
      </w:pPr>
    </w:lvl>
  </w:abstractNum>
  <w:abstractNum w:abstractNumId="30" w15:restartNumberingAfterBreak="0">
    <w:nsid w:val="60E74C9F"/>
    <w:multiLevelType w:val="hybridMultilevel"/>
    <w:tmpl w:val="D7D0E978"/>
    <w:lvl w:ilvl="0" w:tplc="7F16EE4C">
      <w:start w:val="1"/>
      <w:numFmt w:val="lowerLetter"/>
      <w:lvlText w:val="%1."/>
      <w:lvlJc w:val="left"/>
      <w:pPr>
        <w:tabs>
          <w:tab w:val="num" w:pos="1440"/>
        </w:tabs>
        <w:ind w:left="1440" w:hanging="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1E904F5"/>
    <w:multiLevelType w:val="hybridMultilevel"/>
    <w:tmpl w:val="C546AF6A"/>
    <w:lvl w:ilvl="0" w:tplc="32FA1AA2">
      <w:start w:val="1"/>
      <w:numFmt w:val="lowerRoman"/>
      <w:lvlText w:val="%1."/>
      <w:lvlJc w:val="left"/>
      <w:pPr>
        <w:tabs>
          <w:tab w:val="num" w:pos="3600"/>
        </w:tabs>
        <w:ind w:left="3600" w:hanging="720"/>
      </w:pPr>
      <w:rPr>
        <w:rFonts w:hint="default"/>
      </w:rPr>
    </w:lvl>
    <w:lvl w:ilvl="1" w:tplc="01B02238" w:tentative="1">
      <w:start w:val="1"/>
      <w:numFmt w:val="lowerLetter"/>
      <w:lvlText w:val="%2."/>
      <w:lvlJc w:val="left"/>
      <w:pPr>
        <w:tabs>
          <w:tab w:val="num" w:pos="1440"/>
        </w:tabs>
        <w:ind w:left="1440" w:hanging="360"/>
      </w:pPr>
    </w:lvl>
    <w:lvl w:ilvl="2" w:tplc="106E87A0" w:tentative="1">
      <w:start w:val="1"/>
      <w:numFmt w:val="lowerRoman"/>
      <w:lvlText w:val="%3."/>
      <w:lvlJc w:val="right"/>
      <w:pPr>
        <w:tabs>
          <w:tab w:val="num" w:pos="2160"/>
        </w:tabs>
        <w:ind w:left="2160" w:hanging="180"/>
      </w:pPr>
    </w:lvl>
    <w:lvl w:ilvl="3" w:tplc="AFA03814" w:tentative="1">
      <w:start w:val="1"/>
      <w:numFmt w:val="decimal"/>
      <w:lvlText w:val="%4."/>
      <w:lvlJc w:val="left"/>
      <w:pPr>
        <w:tabs>
          <w:tab w:val="num" w:pos="2880"/>
        </w:tabs>
        <w:ind w:left="2880" w:hanging="360"/>
      </w:pPr>
    </w:lvl>
    <w:lvl w:ilvl="4" w:tplc="C2801E52" w:tentative="1">
      <w:start w:val="1"/>
      <w:numFmt w:val="lowerLetter"/>
      <w:lvlText w:val="%5."/>
      <w:lvlJc w:val="left"/>
      <w:pPr>
        <w:tabs>
          <w:tab w:val="num" w:pos="3600"/>
        </w:tabs>
        <w:ind w:left="3600" w:hanging="360"/>
      </w:pPr>
    </w:lvl>
    <w:lvl w:ilvl="5" w:tplc="ADA2D500" w:tentative="1">
      <w:start w:val="1"/>
      <w:numFmt w:val="lowerRoman"/>
      <w:lvlText w:val="%6."/>
      <w:lvlJc w:val="right"/>
      <w:pPr>
        <w:tabs>
          <w:tab w:val="num" w:pos="4320"/>
        </w:tabs>
        <w:ind w:left="4320" w:hanging="180"/>
      </w:pPr>
    </w:lvl>
    <w:lvl w:ilvl="6" w:tplc="DF3228D2" w:tentative="1">
      <w:start w:val="1"/>
      <w:numFmt w:val="decimal"/>
      <w:lvlText w:val="%7."/>
      <w:lvlJc w:val="left"/>
      <w:pPr>
        <w:tabs>
          <w:tab w:val="num" w:pos="5040"/>
        </w:tabs>
        <w:ind w:left="5040" w:hanging="360"/>
      </w:pPr>
    </w:lvl>
    <w:lvl w:ilvl="7" w:tplc="4F365426" w:tentative="1">
      <w:start w:val="1"/>
      <w:numFmt w:val="lowerLetter"/>
      <w:lvlText w:val="%8."/>
      <w:lvlJc w:val="left"/>
      <w:pPr>
        <w:tabs>
          <w:tab w:val="num" w:pos="5760"/>
        </w:tabs>
        <w:ind w:left="5760" w:hanging="360"/>
      </w:pPr>
    </w:lvl>
    <w:lvl w:ilvl="8" w:tplc="A55A1A0E" w:tentative="1">
      <w:start w:val="1"/>
      <w:numFmt w:val="lowerRoman"/>
      <w:lvlText w:val="%9."/>
      <w:lvlJc w:val="right"/>
      <w:pPr>
        <w:tabs>
          <w:tab w:val="num" w:pos="6480"/>
        </w:tabs>
        <w:ind w:left="6480" w:hanging="180"/>
      </w:pPr>
    </w:lvl>
  </w:abstractNum>
  <w:abstractNum w:abstractNumId="32" w15:restartNumberingAfterBreak="0">
    <w:nsid w:val="63255417"/>
    <w:multiLevelType w:val="multilevel"/>
    <w:tmpl w:val="6ACC9F64"/>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3"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322514"/>
    <w:multiLevelType w:val="multilevel"/>
    <w:tmpl w:val="8FBE06BC"/>
    <w:lvl w:ilvl="0">
      <w:start w:val="1"/>
      <w:numFmt w:val="decimal"/>
      <w:lvlText w:val="%1."/>
      <w:lvlJc w:val="left"/>
      <w:pPr>
        <w:tabs>
          <w:tab w:val="num" w:pos="360"/>
        </w:tabs>
        <w:ind w:left="0" w:firstLine="0"/>
      </w:pPr>
      <w:rPr>
        <w:rFonts w:ascii="Times New Roman" w:hAnsi="Times New Roman" w:hint="default"/>
        <w:b w:val="0"/>
        <w:i w:val="0"/>
      </w:rPr>
    </w:lvl>
    <w:lvl w:ilvl="1">
      <w:start w:val="1"/>
      <w:numFmt w:val="lowerLetter"/>
      <w:lvlText w:val="%2."/>
      <w:lvlJc w:val="left"/>
      <w:pPr>
        <w:tabs>
          <w:tab w:val="num" w:pos="1440"/>
        </w:tabs>
        <w:ind w:left="1440" w:hanging="720"/>
      </w:pPr>
      <w:rPr>
        <w:rFonts w:ascii="Times New Roman" w:hAnsi="Times New Roman" w:hint="default"/>
      </w:rPr>
    </w:lvl>
    <w:lvl w:ilvl="2">
      <w:start w:val="1"/>
      <w:numFmt w:val="lowerRoman"/>
      <w:lvlRestart w:val="0"/>
      <w:lvlText w:val="%3."/>
      <w:lvlJc w:val="left"/>
      <w:pPr>
        <w:tabs>
          <w:tab w:val="num" w:pos="2160"/>
        </w:tabs>
        <w:ind w:left="2160" w:hanging="720"/>
      </w:pPr>
      <w:rPr>
        <w:rFonts w:ascii="Times New Roman" w:hAnsi="Times New Roman" w:hint="default"/>
      </w:rPr>
    </w:lvl>
    <w:lvl w:ilvl="3">
      <w:start w:val="1"/>
      <w:numFmt w:val="decimal"/>
      <w:lvlText w:val="(%4)"/>
      <w:lvlJc w:val="left"/>
      <w:pPr>
        <w:tabs>
          <w:tab w:val="num" w:pos="2880"/>
        </w:tabs>
        <w:ind w:left="2880" w:hanging="720"/>
      </w:pPr>
      <w:rPr>
        <w:rFonts w:ascii="Times New Roman" w:hAnsi="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6313015"/>
    <w:multiLevelType w:val="multilevel"/>
    <w:tmpl w:val="5D68F60C"/>
    <w:lvl w:ilvl="0">
      <w:start w:val="6"/>
      <w:numFmt w:val="decimal"/>
      <w:lvlText w:val="%1."/>
      <w:lvlJc w:val="left"/>
      <w:pPr>
        <w:ind w:left="0" w:firstLine="0"/>
      </w:pPr>
      <w:rPr>
        <w:rFonts w:hint="default"/>
      </w:rPr>
    </w:lvl>
    <w:lvl w:ilvl="1">
      <w:start w:val="1"/>
      <w:numFmt w:val="lowerRoman"/>
      <w:lvlText w:val="%2."/>
      <w:lvlJc w:val="right"/>
      <w:pPr>
        <w:tabs>
          <w:tab w:val="num" w:pos="1980"/>
        </w:tabs>
        <w:ind w:left="1980" w:hanging="180"/>
      </w:pPr>
      <w:rPr>
        <w:rFonts w:hint="default"/>
      </w:rPr>
    </w:lvl>
    <w:lvl w:ilvl="2">
      <w:start w:val="1"/>
      <w:numFmt w:val="lowerRoman"/>
      <w:lvlText w:val="%3."/>
      <w:lvlJc w:val="right"/>
      <w:pPr>
        <w:tabs>
          <w:tab w:val="num" w:pos="2880"/>
        </w:tabs>
        <w:ind w:left="2880" w:hanging="720"/>
      </w:pPr>
      <w:rPr>
        <w:rFonts w:hint="default"/>
      </w:rPr>
    </w:lvl>
    <w:lvl w:ilvl="3">
      <w:start w:val="1"/>
      <w:numFmt w:val="lowerLetter"/>
      <w:lvlText w:val="%4."/>
      <w:lvlJc w:val="left"/>
      <w:pPr>
        <w:tabs>
          <w:tab w:val="num" w:pos="2520"/>
        </w:tabs>
        <w:ind w:left="3960" w:hanging="72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6" w15:restartNumberingAfterBreak="0">
    <w:nsid w:val="6B282BDF"/>
    <w:multiLevelType w:val="hybridMultilevel"/>
    <w:tmpl w:val="F24CDF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DA47044"/>
    <w:multiLevelType w:val="multilevel"/>
    <w:tmpl w:val="BA2C9A86"/>
    <w:lvl w:ilvl="0">
      <w:start w:val="1"/>
      <w:numFmt w:val="decimal"/>
      <w:lvlText w:val="%1."/>
      <w:lvlJc w:val="left"/>
      <w:pPr>
        <w:tabs>
          <w:tab w:val="num" w:pos="1350"/>
        </w:tabs>
        <w:ind w:left="990" w:firstLine="0"/>
      </w:pPr>
      <w:rPr>
        <w:rFonts w:hint="default"/>
        <w:i w:val="0"/>
      </w:rPr>
    </w:lvl>
    <w:lvl w:ilvl="1">
      <w:start w:val="1"/>
      <w:numFmt w:val="lowerLetter"/>
      <w:lvlText w:val="%2."/>
      <w:lvlJc w:val="left"/>
      <w:pPr>
        <w:tabs>
          <w:tab w:val="num" w:pos="2160"/>
        </w:tabs>
        <w:ind w:left="2160" w:hanging="720"/>
      </w:pPr>
      <w:rPr>
        <w:rFonts w:hint="default"/>
        <w:i w:val="0"/>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3600"/>
        </w:tabs>
        <w:ind w:left="3600" w:hanging="72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8" w15:restartNumberingAfterBreak="0">
    <w:nsid w:val="6EEA5914"/>
    <w:multiLevelType w:val="hybridMultilevel"/>
    <w:tmpl w:val="5D86694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F8343E1"/>
    <w:multiLevelType w:val="hybridMultilevel"/>
    <w:tmpl w:val="BAC46EBE"/>
    <w:lvl w:ilvl="0" w:tplc="D8827A28">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0ED1642"/>
    <w:multiLevelType w:val="multilevel"/>
    <w:tmpl w:val="6728D944"/>
    <w:lvl w:ilvl="0">
      <w:start w:val="1"/>
      <w:numFmt w:val="decimal"/>
      <w:lvlText w:val="%1."/>
      <w:lvlJc w:val="left"/>
      <w:pPr>
        <w:tabs>
          <w:tab w:val="num" w:pos="360"/>
        </w:tabs>
        <w:ind w:left="0" w:firstLine="0"/>
      </w:pPr>
      <w:rPr>
        <w:rFonts w:ascii="Times New Roman" w:hAnsi="Times New Roman" w:hint="default"/>
        <w:b w:val="0"/>
        <w:i w:val="0"/>
      </w:rPr>
    </w:lvl>
    <w:lvl w:ilvl="1">
      <w:start w:val="1"/>
      <w:numFmt w:val="lowerLetter"/>
      <w:lvlText w:val="%2."/>
      <w:lvlJc w:val="left"/>
      <w:pPr>
        <w:ind w:left="1080" w:hanging="360"/>
      </w:pPr>
    </w:lvl>
    <w:lvl w:ilvl="2">
      <w:start w:val="1"/>
      <w:numFmt w:val="lowerRoman"/>
      <w:lvlRestart w:val="0"/>
      <w:lvlText w:val="%3."/>
      <w:lvlJc w:val="left"/>
      <w:pPr>
        <w:tabs>
          <w:tab w:val="num" w:pos="2160"/>
        </w:tabs>
        <w:ind w:left="2160" w:hanging="720"/>
      </w:pPr>
      <w:rPr>
        <w:rFonts w:ascii="Times New Roman" w:hAnsi="Times New Roman" w:hint="default"/>
      </w:rPr>
    </w:lvl>
    <w:lvl w:ilvl="3">
      <w:start w:val="1"/>
      <w:numFmt w:val="decimal"/>
      <w:lvlText w:val="(%4)"/>
      <w:lvlJc w:val="left"/>
      <w:pPr>
        <w:tabs>
          <w:tab w:val="num" w:pos="2880"/>
        </w:tabs>
        <w:ind w:left="2880" w:hanging="720"/>
      </w:pPr>
      <w:rPr>
        <w:rFonts w:ascii="Times New Roman" w:hAnsi="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32221F7"/>
    <w:multiLevelType w:val="hybridMultilevel"/>
    <w:tmpl w:val="8EF61D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32C3769"/>
    <w:multiLevelType w:val="singleLevel"/>
    <w:tmpl w:val="D06EB10A"/>
    <w:lvl w:ilvl="0">
      <w:start w:val="1"/>
      <w:numFmt w:val="lowerLetter"/>
      <w:lvlText w:val="%1."/>
      <w:legacy w:legacy="1" w:legacySpace="0" w:legacyIndent="720"/>
      <w:lvlJc w:val="left"/>
      <w:pPr>
        <w:ind w:left="1440" w:hanging="720"/>
      </w:pPr>
    </w:lvl>
  </w:abstractNum>
  <w:abstractNum w:abstractNumId="43" w15:restartNumberingAfterBreak="0">
    <w:nsid w:val="792A0440"/>
    <w:multiLevelType w:val="hybridMultilevel"/>
    <w:tmpl w:val="6E6CB70A"/>
    <w:lvl w:ilvl="0" w:tplc="A1526292">
      <w:start w:val="69"/>
      <w:numFmt w:val="decimal"/>
      <w:lvlText w:val="%1."/>
      <w:lvlJc w:val="left"/>
      <w:pPr>
        <w:tabs>
          <w:tab w:val="num" w:pos="540"/>
        </w:tabs>
        <w:ind w:left="540" w:hanging="54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2231DD"/>
    <w:multiLevelType w:val="multilevel"/>
    <w:tmpl w:val="F6A49684"/>
    <w:lvl w:ilvl="0">
      <w:start w:val="4"/>
      <w:numFmt w:val="decimal"/>
      <w:lvlText w:val="%1."/>
      <w:lvlJc w:val="left"/>
      <w:pPr>
        <w:ind w:left="0" w:firstLine="0"/>
      </w:pPr>
      <w:rPr>
        <w:rFonts w:hint="default"/>
      </w:rPr>
    </w:lvl>
    <w:lvl w:ilvl="1">
      <w:start w:val="1"/>
      <w:numFmt w:val="lowerRoman"/>
      <w:lvlText w:val="%2."/>
      <w:lvlJc w:val="right"/>
      <w:pPr>
        <w:tabs>
          <w:tab w:val="num" w:pos="1980"/>
        </w:tabs>
        <w:ind w:left="1980" w:hanging="180"/>
      </w:pPr>
      <w:rPr>
        <w:rFonts w:hint="default"/>
      </w:rPr>
    </w:lvl>
    <w:lvl w:ilvl="2">
      <w:start w:val="1"/>
      <w:numFmt w:val="lowerRoman"/>
      <w:lvlText w:val="%3."/>
      <w:lvlJc w:val="right"/>
      <w:pPr>
        <w:tabs>
          <w:tab w:val="num" w:pos="2880"/>
        </w:tabs>
        <w:ind w:left="2880" w:hanging="720"/>
      </w:pPr>
      <w:rPr>
        <w:rFonts w:hint="default"/>
      </w:rPr>
    </w:lvl>
    <w:lvl w:ilvl="3">
      <w:start w:val="1"/>
      <w:numFmt w:val="lowerLetter"/>
      <w:lvlText w:val="%4."/>
      <w:lvlJc w:val="left"/>
      <w:pPr>
        <w:tabs>
          <w:tab w:val="num" w:pos="2520"/>
        </w:tabs>
        <w:ind w:left="3960" w:hanging="72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5" w15:restartNumberingAfterBreak="0">
    <w:nsid w:val="7AB53699"/>
    <w:multiLevelType w:val="multilevel"/>
    <w:tmpl w:val="6728D944"/>
    <w:lvl w:ilvl="0">
      <w:start w:val="1"/>
      <w:numFmt w:val="decimal"/>
      <w:lvlText w:val="%1."/>
      <w:lvlJc w:val="left"/>
      <w:pPr>
        <w:tabs>
          <w:tab w:val="num" w:pos="360"/>
        </w:tabs>
        <w:ind w:left="0" w:firstLine="0"/>
      </w:pPr>
      <w:rPr>
        <w:rFonts w:ascii="Times New Roman" w:hAnsi="Times New Roman" w:hint="default"/>
        <w:b w:val="0"/>
        <w:i w:val="0"/>
      </w:rPr>
    </w:lvl>
    <w:lvl w:ilvl="1">
      <w:start w:val="1"/>
      <w:numFmt w:val="lowerLetter"/>
      <w:lvlText w:val="%2."/>
      <w:lvlJc w:val="left"/>
      <w:pPr>
        <w:ind w:left="1080" w:hanging="360"/>
      </w:pPr>
    </w:lvl>
    <w:lvl w:ilvl="2">
      <w:start w:val="1"/>
      <w:numFmt w:val="lowerRoman"/>
      <w:lvlRestart w:val="0"/>
      <w:lvlText w:val="%3."/>
      <w:lvlJc w:val="left"/>
      <w:pPr>
        <w:tabs>
          <w:tab w:val="num" w:pos="2160"/>
        </w:tabs>
        <w:ind w:left="2160" w:hanging="720"/>
      </w:pPr>
      <w:rPr>
        <w:rFonts w:ascii="Times New Roman" w:hAnsi="Times New Roman" w:hint="default"/>
      </w:rPr>
    </w:lvl>
    <w:lvl w:ilvl="3">
      <w:start w:val="1"/>
      <w:numFmt w:val="decimal"/>
      <w:lvlText w:val="(%4)"/>
      <w:lvlJc w:val="left"/>
      <w:pPr>
        <w:tabs>
          <w:tab w:val="num" w:pos="2880"/>
        </w:tabs>
        <w:ind w:left="2880" w:hanging="720"/>
      </w:pPr>
      <w:rPr>
        <w:rFonts w:ascii="Times New Roman" w:hAnsi="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B2C2C1B"/>
    <w:multiLevelType w:val="multilevel"/>
    <w:tmpl w:val="994A57C2"/>
    <w:lvl w:ilvl="0">
      <w:start w:val="1"/>
      <w:numFmt w:val="lowerLetter"/>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num w:numId="1" w16cid:durableId="1278952667">
    <w:abstractNumId w:val="19"/>
  </w:num>
  <w:num w:numId="2" w16cid:durableId="558589487">
    <w:abstractNumId w:val="33"/>
  </w:num>
  <w:num w:numId="3" w16cid:durableId="1688483052">
    <w:abstractNumId w:val="30"/>
  </w:num>
  <w:num w:numId="4" w16cid:durableId="1447579618">
    <w:abstractNumId w:val="21"/>
  </w:num>
  <w:num w:numId="5" w16cid:durableId="293368281">
    <w:abstractNumId w:val="23"/>
  </w:num>
  <w:num w:numId="6" w16cid:durableId="1265502163">
    <w:abstractNumId w:val="18"/>
  </w:num>
  <w:num w:numId="7" w16cid:durableId="1552764176">
    <w:abstractNumId w:val="12"/>
  </w:num>
  <w:num w:numId="8" w16cid:durableId="117188251">
    <w:abstractNumId w:val="20"/>
  </w:num>
  <w:num w:numId="9" w16cid:durableId="38822611">
    <w:abstractNumId w:val="29"/>
  </w:num>
  <w:num w:numId="10" w16cid:durableId="718479324">
    <w:abstractNumId w:val="31"/>
  </w:num>
  <w:num w:numId="11" w16cid:durableId="2103522535">
    <w:abstractNumId w:val="3"/>
  </w:num>
  <w:num w:numId="12" w16cid:durableId="1749497614">
    <w:abstractNumId w:val="26"/>
  </w:num>
  <w:num w:numId="13" w16cid:durableId="582372659">
    <w:abstractNumId w:val="32"/>
  </w:num>
  <w:num w:numId="14" w16cid:durableId="1708094231">
    <w:abstractNumId w:val="0"/>
  </w:num>
  <w:num w:numId="15" w16cid:durableId="1358851499">
    <w:abstractNumId w:val="7"/>
  </w:num>
  <w:num w:numId="16" w16cid:durableId="990712372">
    <w:abstractNumId w:val="42"/>
  </w:num>
  <w:num w:numId="17" w16cid:durableId="1575239858">
    <w:abstractNumId w:val="46"/>
  </w:num>
  <w:num w:numId="18" w16cid:durableId="781732477">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19" w16cid:durableId="693266390">
    <w:abstractNumId w:val="15"/>
  </w:num>
  <w:num w:numId="20" w16cid:durableId="1041707438">
    <w:abstractNumId w:val="5"/>
  </w:num>
  <w:num w:numId="21" w16cid:durableId="1166360887">
    <w:abstractNumId w:val="1"/>
  </w:num>
  <w:num w:numId="22" w16cid:durableId="265427043">
    <w:abstractNumId w:val="44"/>
  </w:num>
  <w:num w:numId="23" w16cid:durableId="1197817153">
    <w:abstractNumId w:val="1"/>
  </w:num>
  <w:num w:numId="24" w16cid:durableId="1374578665">
    <w:abstractNumId w:val="11"/>
  </w:num>
  <w:num w:numId="25" w16cid:durableId="830873529">
    <w:abstractNumId w:val="14"/>
  </w:num>
  <w:num w:numId="26" w16cid:durableId="1214973697">
    <w:abstractNumId w:val="9"/>
    <w:lvlOverride w:ilvl="0">
      <w:startOverride w:val="1"/>
    </w:lvlOverride>
  </w:num>
  <w:num w:numId="27" w16cid:durableId="1202936624">
    <w:abstractNumId w:val="9"/>
  </w:num>
  <w:num w:numId="28" w16cid:durableId="1974558763">
    <w:abstractNumId w:val="35"/>
  </w:num>
  <w:num w:numId="29" w16cid:durableId="1422944084">
    <w:abstractNumId w:val="6"/>
  </w:num>
  <w:num w:numId="30" w16cid:durableId="959531203">
    <w:abstractNumId w:val="36"/>
  </w:num>
  <w:num w:numId="31" w16cid:durableId="52588438">
    <w:abstractNumId w:val="43"/>
  </w:num>
  <w:num w:numId="32" w16cid:durableId="1646273751">
    <w:abstractNumId w:val="4"/>
  </w:num>
  <w:num w:numId="33" w16cid:durableId="425616947">
    <w:abstractNumId w:val="25"/>
  </w:num>
  <w:num w:numId="34" w16cid:durableId="1333069864">
    <w:abstractNumId w:val="13"/>
  </w:num>
  <w:num w:numId="35" w16cid:durableId="1617105389">
    <w:abstractNumId w:val="38"/>
  </w:num>
  <w:num w:numId="36" w16cid:durableId="50008059">
    <w:abstractNumId w:val="27"/>
  </w:num>
  <w:num w:numId="37" w16cid:durableId="1578246273">
    <w:abstractNumId w:val="8"/>
  </w:num>
  <w:num w:numId="38" w16cid:durableId="1271282954">
    <w:abstractNumId w:val="39"/>
  </w:num>
  <w:num w:numId="39" w16cid:durableId="1754858263">
    <w:abstractNumId w:val="34"/>
  </w:num>
  <w:num w:numId="40" w16cid:durableId="629434221">
    <w:abstractNumId w:val="37"/>
  </w:num>
  <w:num w:numId="41" w16cid:durableId="1786148098">
    <w:abstractNumId w:val="16"/>
  </w:num>
  <w:num w:numId="42" w16cid:durableId="1512840808">
    <w:abstractNumId w:val="45"/>
  </w:num>
  <w:num w:numId="43" w16cid:durableId="1415860130">
    <w:abstractNumId w:val="17"/>
  </w:num>
  <w:num w:numId="44" w16cid:durableId="1436946167">
    <w:abstractNumId w:val="24"/>
  </w:num>
  <w:num w:numId="45" w16cid:durableId="385644172">
    <w:abstractNumId w:val="40"/>
  </w:num>
  <w:num w:numId="46" w16cid:durableId="850142299">
    <w:abstractNumId w:val="22"/>
  </w:num>
  <w:num w:numId="47" w16cid:durableId="773746747">
    <w:abstractNumId w:val="28"/>
  </w:num>
  <w:num w:numId="48" w16cid:durableId="483550096">
    <w:abstractNumId w:val="10"/>
  </w:num>
  <w:num w:numId="49" w16cid:durableId="60700936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0925"/>
    <w:rsid w:val="00000C62"/>
    <w:rsid w:val="0000106A"/>
    <w:rsid w:val="00004652"/>
    <w:rsid w:val="00007FAB"/>
    <w:rsid w:val="00015AEA"/>
    <w:rsid w:val="00016321"/>
    <w:rsid w:val="00023329"/>
    <w:rsid w:val="0002510F"/>
    <w:rsid w:val="00025C21"/>
    <w:rsid w:val="000308A3"/>
    <w:rsid w:val="00032949"/>
    <w:rsid w:val="00032CF6"/>
    <w:rsid w:val="00033507"/>
    <w:rsid w:val="00034B2F"/>
    <w:rsid w:val="00035C40"/>
    <w:rsid w:val="00041F40"/>
    <w:rsid w:val="0004258A"/>
    <w:rsid w:val="00050868"/>
    <w:rsid w:val="00052158"/>
    <w:rsid w:val="0005502C"/>
    <w:rsid w:val="000579B6"/>
    <w:rsid w:val="00061DA3"/>
    <w:rsid w:val="00062300"/>
    <w:rsid w:val="000673AF"/>
    <w:rsid w:val="000719A4"/>
    <w:rsid w:val="000732B5"/>
    <w:rsid w:val="00075013"/>
    <w:rsid w:val="000760F9"/>
    <w:rsid w:val="00076F40"/>
    <w:rsid w:val="00076F61"/>
    <w:rsid w:val="00082951"/>
    <w:rsid w:val="000846B1"/>
    <w:rsid w:val="00084993"/>
    <w:rsid w:val="00086C52"/>
    <w:rsid w:val="00091380"/>
    <w:rsid w:val="00093137"/>
    <w:rsid w:val="000949CB"/>
    <w:rsid w:val="000949E7"/>
    <w:rsid w:val="000954DC"/>
    <w:rsid w:val="00095A99"/>
    <w:rsid w:val="000967FA"/>
    <w:rsid w:val="000A3CA8"/>
    <w:rsid w:val="000A5CA1"/>
    <w:rsid w:val="000A6013"/>
    <w:rsid w:val="000A72A2"/>
    <w:rsid w:val="000C16E8"/>
    <w:rsid w:val="000C5290"/>
    <w:rsid w:val="000C58E8"/>
    <w:rsid w:val="000C640D"/>
    <w:rsid w:val="000D01FB"/>
    <w:rsid w:val="000D0FF8"/>
    <w:rsid w:val="000D2B52"/>
    <w:rsid w:val="000D4343"/>
    <w:rsid w:val="000D6AE8"/>
    <w:rsid w:val="000E1131"/>
    <w:rsid w:val="000E16CA"/>
    <w:rsid w:val="000E1B15"/>
    <w:rsid w:val="000E23A6"/>
    <w:rsid w:val="000F1ACA"/>
    <w:rsid w:val="00107A2C"/>
    <w:rsid w:val="00111F26"/>
    <w:rsid w:val="001136D9"/>
    <w:rsid w:val="001149F2"/>
    <w:rsid w:val="00121325"/>
    <w:rsid w:val="001218F4"/>
    <w:rsid w:val="00124A93"/>
    <w:rsid w:val="00126E8D"/>
    <w:rsid w:val="00133830"/>
    <w:rsid w:val="00134059"/>
    <w:rsid w:val="0013539B"/>
    <w:rsid w:val="00135AE6"/>
    <w:rsid w:val="00136CE8"/>
    <w:rsid w:val="001370D5"/>
    <w:rsid w:val="00140276"/>
    <w:rsid w:val="00147B7A"/>
    <w:rsid w:val="00152636"/>
    <w:rsid w:val="0015541D"/>
    <w:rsid w:val="00156614"/>
    <w:rsid w:val="00161780"/>
    <w:rsid w:val="00162694"/>
    <w:rsid w:val="001653AE"/>
    <w:rsid w:val="00166854"/>
    <w:rsid w:val="00171212"/>
    <w:rsid w:val="001717B8"/>
    <w:rsid w:val="00174B14"/>
    <w:rsid w:val="00180CC7"/>
    <w:rsid w:val="001819E3"/>
    <w:rsid w:val="00184144"/>
    <w:rsid w:val="001852BB"/>
    <w:rsid w:val="00190A36"/>
    <w:rsid w:val="00192524"/>
    <w:rsid w:val="0019505A"/>
    <w:rsid w:val="00196486"/>
    <w:rsid w:val="00196790"/>
    <w:rsid w:val="001A1A85"/>
    <w:rsid w:val="001A56AE"/>
    <w:rsid w:val="001A640D"/>
    <w:rsid w:val="001A6AF8"/>
    <w:rsid w:val="001B2597"/>
    <w:rsid w:val="001B3138"/>
    <w:rsid w:val="001C316C"/>
    <w:rsid w:val="001C32EF"/>
    <w:rsid w:val="001C3DBF"/>
    <w:rsid w:val="001D0EFD"/>
    <w:rsid w:val="001D33C8"/>
    <w:rsid w:val="001E01E1"/>
    <w:rsid w:val="001E0795"/>
    <w:rsid w:val="001E1EE3"/>
    <w:rsid w:val="001E62A5"/>
    <w:rsid w:val="001F1EEC"/>
    <w:rsid w:val="001F2089"/>
    <w:rsid w:val="001F3CF4"/>
    <w:rsid w:val="001F46EB"/>
    <w:rsid w:val="001F5FA2"/>
    <w:rsid w:val="001F70AF"/>
    <w:rsid w:val="00200640"/>
    <w:rsid w:val="0020227E"/>
    <w:rsid w:val="00203FF7"/>
    <w:rsid w:val="002046F5"/>
    <w:rsid w:val="00205115"/>
    <w:rsid w:val="002130E6"/>
    <w:rsid w:val="0021400E"/>
    <w:rsid w:val="002255D0"/>
    <w:rsid w:val="00226551"/>
    <w:rsid w:val="00226956"/>
    <w:rsid w:val="00226ECD"/>
    <w:rsid w:val="00227E96"/>
    <w:rsid w:val="00231CC4"/>
    <w:rsid w:val="00235AF2"/>
    <w:rsid w:val="00235B51"/>
    <w:rsid w:val="00242183"/>
    <w:rsid w:val="00243A4A"/>
    <w:rsid w:val="00243BE3"/>
    <w:rsid w:val="0025634D"/>
    <w:rsid w:val="00256D57"/>
    <w:rsid w:val="00257949"/>
    <w:rsid w:val="00261273"/>
    <w:rsid w:val="00261D14"/>
    <w:rsid w:val="00274AE1"/>
    <w:rsid w:val="002810A4"/>
    <w:rsid w:val="00284073"/>
    <w:rsid w:val="002869E4"/>
    <w:rsid w:val="00292EC3"/>
    <w:rsid w:val="002952EA"/>
    <w:rsid w:val="002A1316"/>
    <w:rsid w:val="002A3D33"/>
    <w:rsid w:val="002A4041"/>
    <w:rsid w:val="002A44FE"/>
    <w:rsid w:val="002A475C"/>
    <w:rsid w:val="002A6B05"/>
    <w:rsid w:val="002A7B04"/>
    <w:rsid w:val="002B0431"/>
    <w:rsid w:val="002B157B"/>
    <w:rsid w:val="002B15C6"/>
    <w:rsid w:val="002B182B"/>
    <w:rsid w:val="002B3BD4"/>
    <w:rsid w:val="002B43B7"/>
    <w:rsid w:val="002B516B"/>
    <w:rsid w:val="002C3CF8"/>
    <w:rsid w:val="002C47AB"/>
    <w:rsid w:val="002C5F30"/>
    <w:rsid w:val="002C6392"/>
    <w:rsid w:val="002D393E"/>
    <w:rsid w:val="002D3B2E"/>
    <w:rsid w:val="002D67DF"/>
    <w:rsid w:val="002D70E6"/>
    <w:rsid w:val="002E0FBF"/>
    <w:rsid w:val="002E221F"/>
    <w:rsid w:val="002E2D48"/>
    <w:rsid w:val="002E33A6"/>
    <w:rsid w:val="002F27DB"/>
    <w:rsid w:val="002F54AF"/>
    <w:rsid w:val="002F5DAE"/>
    <w:rsid w:val="002F6064"/>
    <w:rsid w:val="002F6FF9"/>
    <w:rsid w:val="003001AD"/>
    <w:rsid w:val="0030229D"/>
    <w:rsid w:val="00304CEC"/>
    <w:rsid w:val="003051B0"/>
    <w:rsid w:val="00307900"/>
    <w:rsid w:val="00307E82"/>
    <w:rsid w:val="00312AAB"/>
    <w:rsid w:val="003148E8"/>
    <w:rsid w:val="00317B34"/>
    <w:rsid w:val="00320B1E"/>
    <w:rsid w:val="00322AD5"/>
    <w:rsid w:val="003239B8"/>
    <w:rsid w:val="0032473D"/>
    <w:rsid w:val="00325660"/>
    <w:rsid w:val="003304FE"/>
    <w:rsid w:val="003325E9"/>
    <w:rsid w:val="00333980"/>
    <w:rsid w:val="00333A2E"/>
    <w:rsid w:val="00333FC0"/>
    <w:rsid w:val="003345E9"/>
    <w:rsid w:val="003359B1"/>
    <w:rsid w:val="003400D7"/>
    <w:rsid w:val="00340E87"/>
    <w:rsid w:val="003415C3"/>
    <w:rsid w:val="00342FB3"/>
    <w:rsid w:val="003445B9"/>
    <w:rsid w:val="0034544B"/>
    <w:rsid w:val="003467A7"/>
    <w:rsid w:val="00346FAD"/>
    <w:rsid w:val="00347F06"/>
    <w:rsid w:val="003513F6"/>
    <w:rsid w:val="00351DAD"/>
    <w:rsid w:val="00354975"/>
    <w:rsid w:val="0035609F"/>
    <w:rsid w:val="00357190"/>
    <w:rsid w:val="00361B4D"/>
    <w:rsid w:val="003640C4"/>
    <w:rsid w:val="00366446"/>
    <w:rsid w:val="00367FCE"/>
    <w:rsid w:val="003711B3"/>
    <w:rsid w:val="00371F08"/>
    <w:rsid w:val="003726F5"/>
    <w:rsid w:val="00373A86"/>
    <w:rsid w:val="00376D1A"/>
    <w:rsid w:val="003827D4"/>
    <w:rsid w:val="0038283E"/>
    <w:rsid w:val="003829E8"/>
    <w:rsid w:val="00383404"/>
    <w:rsid w:val="00393D06"/>
    <w:rsid w:val="00395173"/>
    <w:rsid w:val="00395E6B"/>
    <w:rsid w:val="0039600A"/>
    <w:rsid w:val="00397C0C"/>
    <w:rsid w:val="003A1CEF"/>
    <w:rsid w:val="003B0A34"/>
    <w:rsid w:val="003B12DE"/>
    <w:rsid w:val="003B1499"/>
    <w:rsid w:val="003B1F0E"/>
    <w:rsid w:val="003B4254"/>
    <w:rsid w:val="003C2C9C"/>
    <w:rsid w:val="003C54B7"/>
    <w:rsid w:val="003C67A3"/>
    <w:rsid w:val="003D4310"/>
    <w:rsid w:val="003D5C5E"/>
    <w:rsid w:val="003D7CE2"/>
    <w:rsid w:val="003E061B"/>
    <w:rsid w:val="003E11D7"/>
    <w:rsid w:val="003E3DF8"/>
    <w:rsid w:val="003E4FDC"/>
    <w:rsid w:val="003E5B4B"/>
    <w:rsid w:val="003F1AB0"/>
    <w:rsid w:val="003F3588"/>
    <w:rsid w:val="003F43D8"/>
    <w:rsid w:val="0040093D"/>
    <w:rsid w:val="00402FE9"/>
    <w:rsid w:val="00403E6A"/>
    <w:rsid w:val="004049C0"/>
    <w:rsid w:val="004231E3"/>
    <w:rsid w:val="00430675"/>
    <w:rsid w:val="00430D28"/>
    <w:rsid w:val="00431007"/>
    <w:rsid w:val="0043416F"/>
    <w:rsid w:val="00434346"/>
    <w:rsid w:val="0043450C"/>
    <w:rsid w:val="00434970"/>
    <w:rsid w:val="00435DAC"/>
    <w:rsid w:val="004370F8"/>
    <w:rsid w:val="00437A00"/>
    <w:rsid w:val="00437B59"/>
    <w:rsid w:val="0044022E"/>
    <w:rsid w:val="004416FF"/>
    <w:rsid w:val="00443086"/>
    <w:rsid w:val="00443ECF"/>
    <w:rsid w:val="00445CD3"/>
    <w:rsid w:val="00446244"/>
    <w:rsid w:val="004516AB"/>
    <w:rsid w:val="00452842"/>
    <w:rsid w:val="00457E3F"/>
    <w:rsid w:val="00460465"/>
    <w:rsid w:val="00461EAD"/>
    <w:rsid w:val="004767EE"/>
    <w:rsid w:val="00481935"/>
    <w:rsid w:val="004829CD"/>
    <w:rsid w:val="004854F3"/>
    <w:rsid w:val="0048680B"/>
    <w:rsid w:val="0049050A"/>
    <w:rsid w:val="00490996"/>
    <w:rsid w:val="00493EF9"/>
    <w:rsid w:val="004953BB"/>
    <w:rsid w:val="004958D2"/>
    <w:rsid w:val="0049733D"/>
    <w:rsid w:val="004A166E"/>
    <w:rsid w:val="004A5DC6"/>
    <w:rsid w:val="004B0BCC"/>
    <w:rsid w:val="004B2C29"/>
    <w:rsid w:val="004B38B2"/>
    <w:rsid w:val="004B51B6"/>
    <w:rsid w:val="004C1347"/>
    <w:rsid w:val="004C53B5"/>
    <w:rsid w:val="004C58A5"/>
    <w:rsid w:val="004C7C7C"/>
    <w:rsid w:val="004D03A2"/>
    <w:rsid w:val="004D4855"/>
    <w:rsid w:val="004D5033"/>
    <w:rsid w:val="004E2BB9"/>
    <w:rsid w:val="004E3B7D"/>
    <w:rsid w:val="004E4490"/>
    <w:rsid w:val="004E6A79"/>
    <w:rsid w:val="004E6C4C"/>
    <w:rsid w:val="004F3916"/>
    <w:rsid w:val="004F7FA6"/>
    <w:rsid w:val="00503B6F"/>
    <w:rsid w:val="0051494F"/>
    <w:rsid w:val="00517358"/>
    <w:rsid w:val="005225C8"/>
    <w:rsid w:val="005228E9"/>
    <w:rsid w:val="00526CA7"/>
    <w:rsid w:val="00526D38"/>
    <w:rsid w:val="005275BA"/>
    <w:rsid w:val="00527F3A"/>
    <w:rsid w:val="0053432E"/>
    <w:rsid w:val="00534337"/>
    <w:rsid w:val="0053478E"/>
    <w:rsid w:val="00536E2E"/>
    <w:rsid w:val="00540AEC"/>
    <w:rsid w:val="00540E14"/>
    <w:rsid w:val="005417A2"/>
    <w:rsid w:val="00544238"/>
    <w:rsid w:val="00545F19"/>
    <w:rsid w:val="0054658C"/>
    <w:rsid w:val="00553108"/>
    <w:rsid w:val="0055420E"/>
    <w:rsid w:val="00562444"/>
    <w:rsid w:val="00563707"/>
    <w:rsid w:val="005701BA"/>
    <w:rsid w:val="00574312"/>
    <w:rsid w:val="005757A2"/>
    <w:rsid w:val="00583B7A"/>
    <w:rsid w:val="0059102C"/>
    <w:rsid w:val="005916FA"/>
    <w:rsid w:val="00591CAA"/>
    <w:rsid w:val="00596D36"/>
    <w:rsid w:val="005A259E"/>
    <w:rsid w:val="005A3129"/>
    <w:rsid w:val="005A3CA5"/>
    <w:rsid w:val="005B0413"/>
    <w:rsid w:val="005B1816"/>
    <w:rsid w:val="005B339D"/>
    <w:rsid w:val="005C067D"/>
    <w:rsid w:val="005C07DF"/>
    <w:rsid w:val="005C13EE"/>
    <w:rsid w:val="005C1905"/>
    <w:rsid w:val="005C41C6"/>
    <w:rsid w:val="005D0D82"/>
    <w:rsid w:val="005D33AB"/>
    <w:rsid w:val="005D53CC"/>
    <w:rsid w:val="005E15E0"/>
    <w:rsid w:val="005E3432"/>
    <w:rsid w:val="005E4C5C"/>
    <w:rsid w:val="005F0FA4"/>
    <w:rsid w:val="005F1118"/>
    <w:rsid w:val="005F35EF"/>
    <w:rsid w:val="005F4082"/>
    <w:rsid w:val="005F7913"/>
    <w:rsid w:val="00600023"/>
    <w:rsid w:val="00600DB4"/>
    <w:rsid w:val="006031DF"/>
    <w:rsid w:val="006048EE"/>
    <w:rsid w:val="00604931"/>
    <w:rsid w:val="00605234"/>
    <w:rsid w:val="006056D4"/>
    <w:rsid w:val="00605AB4"/>
    <w:rsid w:val="00606397"/>
    <w:rsid w:val="0061752E"/>
    <w:rsid w:val="006215B3"/>
    <w:rsid w:val="00623184"/>
    <w:rsid w:val="00624E04"/>
    <w:rsid w:val="00626152"/>
    <w:rsid w:val="00626EC0"/>
    <w:rsid w:val="00630368"/>
    <w:rsid w:val="006335C4"/>
    <w:rsid w:val="00634598"/>
    <w:rsid w:val="0063508F"/>
    <w:rsid w:val="00635E21"/>
    <w:rsid w:val="00636F6B"/>
    <w:rsid w:val="00637C40"/>
    <w:rsid w:val="006400BF"/>
    <w:rsid w:val="00642032"/>
    <w:rsid w:val="00642094"/>
    <w:rsid w:val="00642AED"/>
    <w:rsid w:val="00647E3E"/>
    <w:rsid w:val="006515DA"/>
    <w:rsid w:val="00652ED8"/>
    <w:rsid w:val="00654938"/>
    <w:rsid w:val="006549D4"/>
    <w:rsid w:val="00656394"/>
    <w:rsid w:val="0066409B"/>
    <w:rsid w:val="00664FA8"/>
    <w:rsid w:val="00672AB3"/>
    <w:rsid w:val="006738B2"/>
    <w:rsid w:val="00675D00"/>
    <w:rsid w:val="00676A9F"/>
    <w:rsid w:val="006876DE"/>
    <w:rsid w:val="00690138"/>
    <w:rsid w:val="006921FD"/>
    <w:rsid w:val="00696988"/>
    <w:rsid w:val="006A0E69"/>
    <w:rsid w:val="006A1469"/>
    <w:rsid w:val="006A581E"/>
    <w:rsid w:val="006A6633"/>
    <w:rsid w:val="006B16DC"/>
    <w:rsid w:val="006B37DD"/>
    <w:rsid w:val="006B59E3"/>
    <w:rsid w:val="006C101C"/>
    <w:rsid w:val="006C391D"/>
    <w:rsid w:val="006C4B85"/>
    <w:rsid w:val="006C5054"/>
    <w:rsid w:val="006C5994"/>
    <w:rsid w:val="006D1491"/>
    <w:rsid w:val="006D1BFD"/>
    <w:rsid w:val="006D2358"/>
    <w:rsid w:val="006D3A59"/>
    <w:rsid w:val="006E3434"/>
    <w:rsid w:val="006F0BE0"/>
    <w:rsid w:val="006F2277"/>
    <w:rsid w:val="006F3BCC"/>
    <w:rsid w:val="006F7511"/>
    <w:rsid w:val="006F793C"/>
    <w:rsid w:val="007022BA"/>
    <w:rsid w:val="00706B68"/>
    <w:rsid w:val="00706BA4"/>
    <w:rsid w:val="0070749E"/>
    <w:rsid w:val="00710236"/>
    <w:rsid w:val="0071235C"/>
    <w:rsid w:val="00712BC9"/>
    <w:rsid w:val="00714775"/>
    <w:rsid w:val="00715743"/>
    <w:rsid w:val="0071589E"/>
    <w:rsid w:val="00715D00"/>
    <w:rsid w:val="007203D1"/>
    <w:rsid w:val="00720A2E"/>
    <w:rsid w:val="00720F52"/>
    <w:rsid w:val="007236C9"/>
    <w:rsid w:val="007249F5"/>
    <w:rsid w:val="0072525D"/>
    <w:rsid w:val="007261EB"/>
    <w:rsid w:val="007306B9"/>
    <w:rsid w:val="0073083D"/>
    <w:rsid w:val="00740B4E"/>
    <w:rsid w:val="00744D08"/>
    <w:rsid w:val="00756AE3"/>
    <w:rsid w:val="007574AB"/>
    <w:rsid w:val="007601CC"/>
    <w:rsid w:val="00761440"/>
    <w:rsid w:val="00761CDF"/>
    <w:rsid w:val="00763967"/>
    <w:rsid w:val="00763B6E"/>
    <w:rsid w:val="00763DC2"/>
    <w:rsid w:val="00770D6F"/>
    <w:rsid w:val="00771A8B"/>
    <w:rsid w:val="0077304E"/>
    <w:rsid w:val="00774EEB"/>
    <w:rsid w:val="00775654"/>
    <w:rsid w:val="007767B8"/>
    <w:rsid w:val="007774AA"/>
    <w:rsid w:val="00780DD8"/>
    <w:rsid w:val="00781F91"/>
    <w:rsid w:val="007823B8"/>
    <w:rsid w:val="0078416F"/>
    <w:rsid w:val="00785D0D"/>
    <w:rsid w:val="007871AA"/>
    <w:rsid w:val="00787AF6"/>
    <w:rsid w:val="00791FCE"/>
    <w:rsid w:val="00794B81"/>
    <w:rsid w:val="00795898"/>
    <w:rsid w:val="00797A46"/>
    <w:rsid w:val="00797B47"/>
    <w:rsid w:val="007A3EA1"/>
    <w:rsid w:val="007B2137"/>
    <w:rsid w:val="007B408D"/>
    <w:rsid w:val="007B4554"/>
    <w:rsid w:val="007B4AD3"/>
    <w:rsid w:val="007B704E"/>
    <w:rsid w:val="007B7741"/>
    <w:rsid w:val="007C13F0"/>
    <w:rsid w:val="007C3FC7"/>
    <w:rsid w:val="007C4F25"/>
    <w:rsid w:val="007D1EF6"/>
    <w:rsid w:val="007D4039"/>
    <w:rsid w:val="007D4825"/>
    <w:rsid w:val="007D5CB9"/>
    <w:rsid w:val="007E0BED"/>
    <w:rsid w:val="007E159F"/>
    <w:rsid w:val="007E32C7"/>
    <w:rsid w:val="007E3B06"/>
    <w:rsid w:val="007E5603"/>
    <w:rsid w:val="007E7ADE"/>
    <w:rsid w:val="007F06FB"/>
    <w:rsid w:val="007F1389"/>
    <w:rsid w:val="007F344C"/>
    <w:rsid w:val="007F5BF1"/>
    <w:rsid w:val="007F61A1"/>
    <w:rsid w:val="00800666"/>
    <w:rsid w:val="00801862"/>
    <w:rsid w:val="00801F06"/>
    <w:rsid w:val="00803F6F"/>
    <w:rsid w:val="00807A3C"/>
    <w:rsid w:val="00812F4B"/>
    <w:rsid w:val="00814BEF"/>
    <w:rsid w:val="008161D4"/>
    <w:rsid w:val="00817FE3"/>
    <w:rsid w:val="0082225C"/>
    <w:rsid w:val="0083339F"/>
    <w:rsid w:val="00833FD3"/>
    <w:rsid w:val="00836826"/>
    <w:rsid w:val="00837BF0"/>
    <w:rsid w:val="00841124"/>
    <w:rsid w:val="00850B04"/>
    <w:rsid w:val="00850FEE"/>
    <w:rsid w:val="008522EF"/>
    <w:rsid w:val="0085367E"/>
    <w:rsid w:val="00855F91"/>
    <w:rsid w:val="00861BF8"/>
    <w:rsid w:val="00862A03"/>
    <w:rsid w:val="00870CCE"/>
    <w:rsid w:val="008758B4"/>
    <w:rsid w:val="008850E8"/>
    <w:rsid w:val="008869A6"/>
    <w:rsid w:val="00890B32"/>
    <w:rsid w:val="0089108F"/>
    <w:rsid w:val="00891CB1"/>
    <w:rsid w:val="00892A30"/>
    <w:rsid w:val="008A2079"/>
    <w:rsid w:val="008A2278"/>
    <w:rsid w:val="008A31FE"/>
    <w:rsid w:val="008A4E64"/>
    <w:rsid w:val="008A5EB5"/>
    <w:rsid w:val="008A643D"/>
    <w:rsid w:val="008B4FC3"/>
    <w:rsid w:val="008C0236"/>
    <w:rsid w:val="008C3749"/>
    <w:rsid w:val="008C3A60"/>
    <w:rsid w:val="008C59AA"/>
    <w:rsid w:val="008D1964"/>
    <w:rsid w:val="008D234D"/>
    <w:rsid w:val="008D3C39"/>
    <w:rsid w:val="008D3E83"/>
    <w:rsid w:val="008E4A48"/>
    <w:rsid w:val="008E5943"/>
    <w:rsid w:val="008E5B7A"/>
    <w:rsid w:val="008E5F6C"/>
    <w:rsid w:val="008E6D2E"/>
    <w:rsid w:val="008E7569"/>
    <w:rsid w:val="008E75DE"/>
    <w:rsid w:val="008F0E4F"/>
    <w:rsid w:val="00901844"/>
    <w:rsid w:val="00904A5A"/>
    <w:rsid w:val="00914BE4"/>
    <w:rsid w:val="009160DD"/>
    <w:rsid w:val="009210F0"/>
    <w:rsid w:val="00921315"/>
    <w:rsid w:val="0092196B"/>
    <w:rsid w:val="00921C64"/>
    <w:rsid w:val="009249B4"/>
    <w:rsid w:val="00931A6A"/>
    <w:rsid w:val="00932523"/>
    <w:rsid w:val="0093773A"/>
    <w:rsid w:val="00940177"/>
    <w:rsid w:val="009413FE"/>
    <w:rsid w:val="009416D6"/>
    <w:rsid w:val="0094468B"/>
    <w:rsid w:val="009459FB"/>
    <w:rsid w:val="00946BBF"/>
    <w:rsid w:val="00947DEB"/>
    <w:rsid w:val="00955198"/>
    <w:rsid w:val="00956B55"/>
    <w:rsid w:val="00957780"/>
    <w:rsid w:val="009665C1"/>
    <w:rsid w:val="00972A11"/>
    <w:rsid w:val="00974228"/>
    <w:rsid w:val="00976632"/>
    <w:rsid w:val="00976A4D"/>
    <w:rsid w:val="00977506"/>
    <w:rsid w:val="00980638"/>
    <w:rsid w:val="00984FA6"/>
    <w:rsid w:val="0098539D"/>
    <w:rsid w:val="0098632A"/>
    <w:rsid w:val="00990858"/>
    <w:rsid w:val="009908E9"/>
    <w:rsid w:val="009928A1"/>
    <w:rsid w:val="009973E1"/>
    <w:rsid w:val="009974E5"/>
    <w:rsid w:val="00997FA5"/>
    <w:rsid w:val="009A4C12"/>
    <w:rsid w:val="009A71C9"/>
    <w:rsid w:val="009B14CE"/>
    <w:rsid w:val="009B1C3D"/>
    <w:rsid w:val="009B20EB"/>
    <w:rsid w:val="009B47C7"/>
    <w:rsid w:val="009B60AD"/>
    <w:rsid w:val="009B78A0"/>
    <w:rsid w:val="009C0B85"/>
    <w:rsid w:val="009C4B08"/>
    <w:rsid w:val="009C4D94"/>
    <w:rsid w:val="009C68A8"/>
    <w:rsid w:val="009C702B"/>
    <w:rsid w:val="009C7536"/>
    <w:rsid w:val="009C76D0"/>
    <w:rsid w:val="009D442D"/>
    <w:rsid w:val="009D6EBD"/>
    <w:rsid w:val="009E280B"/>
    <w:rsid w:val="009E4789"/>
    <w:rsid w:val="009F0360"/>
    <w:rsid w:val="009F12B6"/>
    <w:rsid w:val="009F394D"/>
    <w:rsid w:val="009F43C5"/>
    <w:rsid w:val="009F5864"/>
    <w:rsid w:val="00A00568"/>
    <w:rsid w:val="00A019C7"/>
    <w:rsid w:val="00A029D2"/>
    <w:rsid w:val="00A03835"/>
    <w:rsid w:val="00A10AF5"/>
    <w:rsid w:val="00A11581"/>
    <w:rsid w:val="00A16E31"/>
    <w:rsid w:val="00A177A4"/>
    <w:rsid w:val="00A20081"/>
    <w:rsid w:val="00A202AF"/>
    <w:rsid w:val="00A2321B"/>
    <w:rsid w:val="00A23C5E"/>
    <w:rsid w:val="00A30B45"/>
    <w:rsid w:val="00A325AF"/>
    <w:rsid w:val="00A32D57"/>
    <w:rsid w:val="00A34727"/>
    <w:rsid w:val="00A36AB6"/>
    <w:rsid w:val="00A4696F"/>
    <w:rsid w:val="00A473D1"/>
    <w:rsid w:val="00A504B9"/>
    <w:rsid w:val="00A5052A"/>
    <w:rsid w:val="00A56EC9"/>
    <w:rsid w:val="00A60F7C"/>
    <w:rsid w:val="00A62889"/>
    <w:rsid w:val="00A64178"/>
    <w:rsid w:val="00A64375"/>
    <w:rsid w:val="00A64820"/>
    <w:rsid w:val="00A664BB"/>
    <w:rsid w:val="00A70AF4"/>
    <w:rsid w:val="00A72C9F"/>
    <w:rsid w:val="00A748F8"/>
    <w:rsid w:val="00A76546"/>
    <w:rsid w:val="00A77586"/>
    <w:rsid w:val="00A82C39"/>
    <w:rsid w:val="00A836BE"/>
    <w:rsid w:val="00A92876"/>
    <w:rsid w:val="00A92C59"/>
    <w:rsid w:val="00A97C48"/>
    <w:rsid w:val="00AA0145"/>
    <w:rsid w:val="00AA1DC0"/>
    <w:rsid w:val="00AA2EB8"/>
    <w:rsid w:val="00AA3E25"/>
    <w:rsid w:val="00AA5DF2"/>
    <w:rsid w:val="00AA6691"/>
    <w:rsid w:val="00AB1225"/>
    <w:rsid w:val="00AB2015"/>
    <w:rsid w:val="00AB4042"/>
    <w:rsid w:val="00AC14AF"/>
    <w:rsid w:val="00AC7034"/>
    <w:rsid w:val="00AD017B"/>
    <w:rsid w:val="00AD30E5"/>
    <w:rsid w:val="00AD3A8E"/>
    <w:rsid w:val="00AE2380"/>
    <w:rsid w:val="00AE5A87"/>
    <w:rsid w:val="00AE6149"/>
    <w:rsid w:val="00AE6425"/>
    <w:rsid w:val="00AE72F6"/>
    <w:rsid w:val="00AE74CF"/>
    <w:rsid w:val="00AF0086"/>
    <w:rsid w:val="00AF0AFB"/>
    <w:rsid w:val="00AF6EA9"/>
    <w:rsid w:val="00B007D7"/>
    <w:rsid w:val="00B013BD"/>
    <w:rsid w:val="00B058D0"/>
    <w:rsid w:val="00B07261"/>
    <w:rsid w:val="00B10C19"/>
    <w:rsid w:val="00B175E3"/>
    <w:rsid w:val="00B21CE7"/>
    <w:rsid w:val="00B228DF"/>
    <w:rsid w:val="00B23363"/>
    <w:rsid w:val="00B25F7C"/>
    <w:rsid w:val="00B263DF"/>
    <w:rsid w:val="00B30CA0"/>
    <w:rsid w:val="00B320B3"/>
    <w:rsid w:val="00B3425D"/>
    <w:rsid w:val="00B3709F"/>
    <w:rsid w:val="00B42129"/>
    <w:rsid w:val="00B4309F"/>
    <w:rsid w:val="00B43248"/>
    <w:rsid w:val="00B45186"/>
    <w:rsid w:val="00B473C3"/>
    <w:rsid w:val="00B50FE4"/>
    <w:rsid w:val="00B569AB"/>
    <w:rsid w:val="00B61DF7"/>
    <w:rsid w:val="00B63069"/>
    <w:rsid w:val="00B658AB"/>
    <w:rsid w:val="00B76B4A"/>
    <w:rsid w:val="00B81C9F"/>
    <w:rsid w:val="00B82F83"/>
    <w:rsid w:val="00B84E77"/>
    <w:rsid w:val="00B85EF5"/>
    <w:rsid w:val="00B922B7"/>
    <w:rsid w:val="00B92927"/>
    <w:rsid w:val="00B94F2B"/>
    <w:rsid w:val="00B95D6F"/>
    <w:rsid w:val="00BA389C"/>
    <w:rsid w:val="00BA3C14"/>
    <w:rsid w:val="00BA465E"/>
    <w:rsid w:val="00BA6704"/>
    <w:rsid w:val="00BA7CC6"/>
    <w:rsid w:val="00BB2A57"/>
    <w:rsid w:val="00BB5939"/>
    <w:rsid w:val="00BB6095"/>
    <w:rsid w:val="00BC769A"/>
    <w:rsid w:val="00BD0987"/>
    <w:rsid w:val="00BD7E9A"/>
    <w:rsid w:val="00BE1904"/>
    <w:rsid w:val="00BE4157"/>
    <w:rsid w:val="00BF0833"/>
    <w:rsid w:val="00BF2F48"/>
    <w:rsid w:val="00BF4347"/>
    <w:rsid w:val="00C000CC"/>
    <w:rsid w:val="00C04AB3"/>
    <w:rsid w:val="00C04FA0"/>
    <w:rsid w:val="00C051DB"/>
    <w:rsid w:val="00C06B18"/>
    <w:rsid w:val="00C077FB"/>
    <w:rsid w:val="00C07969"/>
    <w:rsid w:val="00C13A1C"/>
    <w:rsid w:val="00C14E9C"/>
    <w:rsid w:val="00C200AA"/>
    <w:rsid w:val="00C23E0B"/>
    <w:rsid w:val="00C265A0"/>
    <w:rsid w:val="00C26B71"/>
    <w:rsid w:val="00C2771D"/>
    <w:rsid w:val="00C3376B"/>
    <w:rsid w:val="00C37D71"/>
    <w:rsid w:val="00C40835"/>
    <w:rsid w:val="00C42006"/>
    <w:rsid w:val="00C50509"/>
    <w:rsid w:val="00C51DAB"/>
    <w:rsid w:val="00C6544D"/>
    <w:rsid w:val="00C705A3"/>
    <w:rsid w:val="00C7411E"/>
    <w:rsid w:val="00C76627"/>
    <w:rsid w:val="00C76D6A"/>
    <w:rsid w:val="00C771DA"/>
    <w:rsid w:val="00C85353"/>
    <w:rsid w:val="00C9066D"/>
    <w:rsid w:val="00C954F3"/>
    <w:rsid w:val="00C96290"/>
    <w:rsid w:val="00C968C5"/>
    <w:rsid w:val="00C972A0"/>
    <w:rsid w:val="00CA0B18"/>
    <w:rsid w:val="00CA39BF"/>
    <w:rsid w:val="00CA72F7"/>
    <w:rsid w:val="00CA7A08"/>
    <w:rsid w:val="00CB260D"/>
    <w:rsid w:val="00CB28A3"/>
    <w:rsid w:val="00CB45A8"/>
    <w:rsid w:val="00CB5F49"/>
    <w:rsid w:val="00CB7CFA"/>
    <w:rsid w:val="00CC53AA"/>
    <w:rsid w:val="00CD0A07"/>
    <w:rsid w:val="00CD2D24"/>
    <w:rsid w:val="00CD5585"/>
    <w:rsid w:val="00CE1B05"/>
    <w:rsid w:val="00CE2BFA"/>
    <w:rsid w:val="00CE2C41"/>
    <w:rsid w:val="00CE3B76"/>
    <w:rsid w:val="00CE5BA2"/>
    <w:rsid w:val="00CF3750"/>
    <w:rsid w:val="00CF4D0F"/>
    <w:rsid w:val="00CF6A4A"/>
    <w:rsid w:val="00CF6ADD"/>
    <w:rsid w:val="00D02A60"/>
    <w:rsid w:val="00D1023E"/>
    <w:rsid w:val="00D12C9C"/>
    <w:rsid w:val="00D21513"/>
    <w:rsid w:val="00D22DA4"/>
    <w:rsid w:val="00D24BDE"/>
    <w:rsid w:val="00D26009"/>
    <w:rsid w:val="00D301FC"/>
    <w:rsid w:val="00D352B3"/>
    <w:rsid w:val="00D41754"/>
    <w:rsid w:val="00D426A9"/>
    <w:rsid w:val="00D43ECF"/>
    <w:rsid w:val="00D44AA3"/>
    <w:rsid w:val="00D506C4"/>
    <w:rsid w:val="00D51BD4"/>
    <w:rsid w:val="00D566BE"/>
    <w:rsid w:val="00D61D97"/>
    <w:rsid w:val="00D62252"/>
    <w:rsid w:val="00D65869"/>
    <w:rsid w:val="00D67F6B"/>
    <w:rsid w:val="00D7457B"/>
    <w:rsid w:val="00D76E8E"/>
    <w:rsid w:val="00D806F9"/>
    <w:rsid w:val="00D826B2"/>
    <w:rsid w:val="00D924B0"/>
    <w:rsid w:val="00D940F1"/>
    <w:rsid w:val="00DA15A2"/>
    <w:rsid w:val="00DA1C46"/>
    <w:rsid w:val="00DA344E"/>
    <w:rsid w:val="00DA3BF0"/>
    <w:rsid w:val="00DA4296"/>
    <w:rsid w:val="00DA5A67"/>
    <w:rsid w:val="00DB41B5"/>
    <w:rsid w:val="00DB715E"/>
    <w:rsid w:val="00DC071A"/>
    <w:rsid w:val="00DC12E0"/>
    <w:rsid w:val="00DC5BF0"/>
    <w:rsid w:val="00DC671D"/>
    <w:rsid w:val="00DD37D2"/>
    <w:rsid w:val="00DD3902"/>
    <w:rsid w:val="00DD55EF"/>
    <w:rsid w:val="00DD7900"/>
    <w:rsid w:val="00DE2365"/>
    <w:rsid w:val="00DE45C8"/>
    <w:rsid w:val="00DE6A8D"/>
    <w:rsid w:val="00DE719B"/>
    <w:rsid w:val="00DE7558"/>
    <w:rsid w:val="00DF2AC9"/>
    <w:rsid w:val="00DF6063"/>
    <w:rsid w:val="00E00986"/>
    <w:rsid w:val="00E05C01"/>
    <w:rsid w:val="00E05E68"/>
    <w:rsid w:val="00E06688"/>
    <w:rsid w:val="00E077F0"/>
    <w:rsid w:val="00E136A0"/>
    <w:rsid w:val="00E2462E"/>
    <w:rsid w:val="00E2707F"/>
    <w:rsid w:val="00E30ACC"/>
    <w:rsid w:val="00E30C13"/>
    <w:rsid w:val="00E31DB4"/>
    <w:rsid w:val="00E324FB"/>
    <w:rsid w:val="00E3375B"/>
    <w:rsid w:val="00E46B82"/>
    <w:rsid w:val="00E51829"/>
    <w:rsid w:val="00E54D34"/>
    <w:rsid w:val="00E567F5"/>
    <w:rsid w:val="00E56E95"/>
    <w:rsid w:val="00E607BC"/>
    <w:rsid w:val="00E61A3D"/>
    <w:rsid w:val="00E63316"/>
    <w:rsid w:val="00E71F2D"/>
    <w:rsid w:val="00E74995"/>
    <w:rsid w:val="00E75BFB"/>
    <w:rsid w:val="00E770A2"/>
    <w:rsid w:val="00E81D58"/>
    <w:rsid w:val="00E8592E"/>
    <w:rsid w:val="00E86469"/>
    <w:rsid w:val="00E86C9E"/>
    <w:rsid w:val="00E90A65"/>
    <w:rsid w:val="00E93A45"/>
    <w:rsid w:val="00E944CF"/>
    <w:rsid w:val="00EA10F4"/>
    <w:rsid w:val="00EA2736"/>
    <w:rsid w:val="00EA54EC"/>
    <w:rsid w:val="00EA7253"/>
    <w:rsid w:val="00EA7282"/>
    <w:rsid w:val="00EA7AFC"/>
    <w:rsid w:val="00EB1BC2"/>
    <w:rsid w:val="00EB5135"/>
    <w:rsid w:val="00EB66E3"/>
    <w:rsid w:val="00EC0DAB"/>
    <w:rsid w:val="00EC0F5D"/>
    <w:rsid w:val="00EC15C1"/>
    <w:rsid w:val="00EC22EF"/>
    <w:rsid w:val="00EC2CD0"/>
    <w:rsid w:val="00EC61F1"/>
    <w:rsid w:val="00ED0590"/>
    <w:rsid w:val="00ED4309"/>
    <w:rsid w:val="00ED519E"/>
    <w:rsid w:val="00ED5324"/>
    <w:rsid w:val="00ED59A8"/>
    <w:rsid w:val="00EE2B7C"/>
    <w:rsid w:val="00EE4BD1"/>
    <w:rsid w:val="00EF1F8C"/>
    <w:rsid w:val="00EF388E"/>
    <w:rsid w:val="00EF4E62"/>
    <w:rsid w:val="00EF720B"/>
    <w:rsid w:val="00F04F9A"/>
    <w:rsid w:val="00F05F13"/>
    <w:rsid w:val="00F15192"/>
    <w:rsid w:val="00F179AD"/>
    <w:rsid w:val="00F23285"/>
    <w:rsid w:val="00F24517"/>
    <w:rsid w:val="00F24524"/>
    <w:rsid w:val="00F27FAE"/>
    <w:rsid w:val="00F30675"/>
    <w:rsid w:val="00F33107"/>
    <w:rsid w:val="00F36BD8"/>
    <w:rsid w:val="00F36D97"/>
    <w:rsid w:val="00F43CB0"/>
    <w:rsid w:val="00F452B4"/>
    <w:rsid w:val="00F45D51"/>
    <w:rsid w:val="00F46036"/>
    <w:rsid w:val="00F46B6B"/>
    <w:rsid w:val="00F512DC"/>
    <w:rsid w:val="00F539C6"/>
    <w:rsid w:val="00F63317"/>
    <w:rsid w:val="00F6485F"/>
    <w:rsid w:val="00F6642A"/>
    <w:rsid w:val="00F67D90"/>
    <w:rsid w:val="00F723F1"/>
    <w:rsid w:val="00F813EE"/>
    <w:rsid w:val="00F8295A"/>
    <w:rsid w:val="00F8432E"/>
    <w:rsid w:val="00F858B9"/>
    <w:rsid w:val="00F86BA0"/>
    <w:rsid w:val="00F91F93"/>
    <w:rsid w:val="00FB38DF"/>
    <w:rsid w:val="00FB3C5E"/>
    <w:rsid w:val="00FB5DA5"/>
    <w:rsid w:val="00FC0FB0"/>
    <w:rsid w:val="00FC246C"/>
    <w:rsid w:val="00FC4897"/>
    <w:rsid w:val="00FD4B11"/>
    <w:rsid w:val="00FD7BC8"/>
    <w:rsid w:val="00FE6E32"/>
    <w:rsid w:val="00FE7FAA"/>
    <w:rsid w:val="00FF1017"/>
    <w:rsid w:val="00FF5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00DA60B3-7503-4A2F-B49B-56428724C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qFormat/>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2"/>
      </w:numPr>
    </w:pPr>
    <w:rPr>
      <w:sz w:val="20"/>
      <w:szCs w:val="20"/>
    </w:rPr>
  </w:style>
  <w:style w:type="character" w:styleId="Strong">
    <w:name w:val="Strong"/>
    <w:qFormat/>
    <w:rsid w:val="008758B4"/>
    <w:rPr>
      <w:b/>
      <w:bCs/>
    </w:rPr>
  </w:style>
  <w:style w:type="paragraph" w:styleId="FootnoteText">
    <w:name w:val="footnote text"/>
    <w:basedOn w:val="Normal"/>
    <w:link w:val="FootnoteTextChar"/>
    <w:rsid w:val="00184144"/>
    <w:pPr>
      <w:spacing w:after="220"/>
    </w:pPr>
    <w:rPr>
      <w:sz w:val="20"/>
      <w:szCs w:val="20"/>
    </w:rPr>
  </w:style>
  <w:style w:type="character" w:styleId="FootnoteReference">
    <w:name w:val="footnote reference"/>
    <w:rsid w:val="00184144"/>
    <w:rPr>
      <w:vertAlign w:val="superscript"/>
    </w:rPr>
  </w:style>
  <w:style w:type="paragraph" w:styleId="ListNumber3">
    <w:name w:val="List Number 3"/>
    <w:basedOn w:val="Normal"/>
    <w:rsid w:val="0034544B"/>
    <w:pPr>
      <w:numPr>
        <w:numId w:val="14"/>
      </w:numPr>
    </w:pPr>
  </w:style>
  <w:style w:type="paragraph" w:styleId="ListBullet2">
    <w:name w:val="List Bullet 2"/>
    <w:basedOn w:val="Normal"/>
    <w:autoRedefine/>
    <w:rsid w:val="0034544B"/>
    <w:pPr>
      <w:numPr>
        <w:numId w:val="18"/>
      </w:numPr>
      <w:spacing w:after="220"/>
      <w:jc w:val="both"/>
    </w:pPr>
    <w:rPr>
      <w:i/>
      <w:color w:val="000000"/>
      <w:sz w:val="22"/>
      <w:szCs w:val="20"/>
    </w:rPr>
  </w:style>
  <w:style w:type="paragraph" w:styleId="ListNumber">
    <w:name w:val="List Number"/>
    <w:basedOn w:val="Normal"/>
    <w:rsid w:val="00452842"/>
    <w:pPr>
      <w:numPr>
        <w:numId w:val="21"/>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BalloonText">
    <w:name w:val="Balloon Text"/>
    <w:basedOn w:val="Normal"/>
    <w:link w:val="BalloonTextChar"/>
    <w:semiHidden/>
    <w:unhideWhenUsed/>
    <w:rsid w:val="00901844"/>
    <w:rPr>
      <w:rFonts w:ascii="Segoe UI" w:hAnsi="Segoe UI" w:cs="Segoe UI"/>
      <w:sz w:val="18"/>
      <w:szCs w:val="18"/>
    </w:rPr>
  </w:style>
  <w:style w:type="character" w:customStyle="1" w:styleId="BalloonTextChar">
    <w:name w:val="Balloon Text Char"/>
    <w:basedOn w:val="DefaultParagraphFont"/>
    <w:link w:val="BalloonText"/>
    <w:semiHidden/>
    <w:rsid w:val="00901844"/>
    <w:rPr>
      <w:rFonts w:ascii="Segoe UI" w:hAnsi="Segoe UI" w:cs="Segoe UI"/>
      <w:sz w:val="18"/>
      <w:szCs w:val="18"/>
    </w:rPr>
  </w:style>
  <w:style w:type="character" w:customStyle="1" w:styleId="FootnoteTextChar">
    <w:name w:val="Footnote Text Char"/>
    <w:basedOn w:val="DefaultParagraphFont"/>
    <w:link w:val="FootnoteText"/>
    <w:rsid w:val="00CB45A8"/>
  </w:style>
  <w:style w:type="paragraph" w:styleId="Revision">
    <w:name w:val="Revision"/>
    <w:hidden/>
    <w:uiPriority w:val="99"/>
    <w:semiHidden/>
    <w:rsid w:val="00023329"/>
    <w:rPr>
      <w:sz w:val="24"/>
      <w:szCs w:val="24"/>
    </w:rPr>
  </w:style>
  <w:style w:type="character" w:styleId="CommentReference">
    <w:name w:val="annotation reference"/>
    <w:basedOn w:val="DefaultParagraphFont"/>
    <w:semiHidden/>
    <w:unhideWhenUsed/>
    <w:rsid w:val="00771A8B"/>
    <w:rPr>
      <w:sz w:val="16"/>
      <w:szCs w:val="16"/>
    </w:rPr>
  </w:style>
  <w:style w:type="paragraph" w:styleId="CommentText">
    <w:name w:val="annotation text"/>
    <w:basedOn w:val="Normal"/>
    <w:link w:val="CommentTextChar"/>
    <w:unhideWhenUsed/>
    <w:rsid w:val="00771A8B"/>
    <w:rPr>
      <w:sz w:val="20"/>
      <w:szCs w:val="20"/>
    </w:rPr>
  </w:style>
  <w:style w:type="character" w:customStyle="1" w:styleId="CommentTextChar">
    <w:name w:val="Comment Text Char"/>
    <w:basedOn w:val="DefaultParagraphFont"/>
    <w:link w:val="CommentText"/>
    <w:rsid w:val="00771A8B"/>
  </w:style>
  <w:style w:type="paragraph" w:styleId="CommentSubject">
    <w:name w:val="annotation subject"/>
    <w:basedOn w:val="CommentText"/>
    <w:next w:val="CommentText"/>
    <w:link w:val="CommentSubjectChar"/>
    <w:semiHidden/>
    <w:unhideWhenUsed/>
    <w:rsid w:val="00771A8B"/>
    <w:rPr>
      <w:b/>
      <w:bCs/>
    </w:rPr>
  </w:style>
  <w:style w:type="character" w:customStyle="1" w:styleId="CommentSubjectChar">
    <w:name w:val="Comment Subject Char"/>
    <w:basedOn w:val="CommentTextChar"/>
    <w:link w:val="CommentSubject"/>
    <w:semiHidden/>
    <w:rsid w:val="00771A8B"/>
    <w:rPr>
      <w:b/>
      <w:bCs/>
    </w:rPr>
  </w:style>
  <w:style w:type="paragraph" w:styleId="ListParagraph">
    <w:name w:val="List Paragraph"/>
    <w:basedOn w:val="Normal"/>
    <w:uiPriority w:val="34"/>
    <w:qFormat/>
    <w:rsid w:val="00361B4D"/>
    <w:pPr>
      <w:ind w:left="720"/>
      <w:contextualSpacing/>
    </w:pPr>
  </w:style>
  <w:style w:type="table" w:styleId="TableGrid">
    <w:name w:val="Table Grid"/>
    <w:basedOn w:val="TableNormal"/>
    <w:uiPriority w:val="39"/>
    <w:rsid w:val="005225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391965">
      <w:bodyDiv w:val="1"/>
      <w:marLeft w:val="0"/>
      <w:marRight w:val="0"/>
      <w:marTop w:val="0"/>
      <w:marBottom w:val="0"/>
      <w:divBdr>
        <w:top w:val="none" w:sz="0" w:space="0" w:color="auto"/>
        <w:left w:val="none" w:sz="0" w:space="0" w:color="auto"/>
        <w:bottom w:val="none" w:sz="0" w:space="0" w:color="auto"/>
        <w:right w:val="none" w:sz="0" w:space="0" w:color="auto"/>
      </w:divBdr>
    </w:div>
    <w:div w:id="202089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d46520-c392-41b5-9f68-fe7486eefad7">
      <Terms xmlns="http://schemas.microsoft.com/office/infopath/2007/PartnerControls"/>
    </lcf76f155ced4ddcb4097134ff3c332f>
    <TaxCatchAll xmlns="3c9e15a3-223f-4584-afb1-1dbe0b3878fa" xsi:nil="true"/>
    <ProgressStatus xmlns="dbd46520-c392-41b5-9f68-fe7486eefad7">Complete</ProgressStatu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8" ma:contentTypeDescription="Create a new document." ma:contentTypeScope="" ma:versionID="fc01d89a52dc94c4ab20f4b15a60a1f2">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3655adfa25ae50042a27f4aacbe6aa1d"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scription="Green = Complete&#10;Yellow = In-Progress&#10;Red = Not Started" ma:format="Dropdown" ma:internalName="ProgressStatus">
      <xsd:simpleType>
        <xsd:restriction base="dms:Choice">
          <xsd:enumeration value="Complete"/>
          <xsd:enumeration value="Ready for Review"/>
          <xsd:enumeration value="In-Progress"/>
          <xsd:enumeration value="Not Started"/>
        </xsd:restriction>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809BC9-4822-4B33-9BF6-DA1F2471D72A}">
  <ds:schemaRefs>
    <ds:schemaRef ds:uri="http://purl.org/dc/terms/"/>
    <ds:schemaRef ds:uri="http://schemas.openxmlformats.org/package/2006/metadata/core-properties"/>
    <ds:schemaRef ds:uri="3c9e15a3-223f-4584-afb1-1dbe0b3878fa"/>
    <ds:schemaRef ds:uri="http://www.w3.org/XML/1998/namespace"/>
    <ds:schemaRef ds:uri="http://schemas.microsoft.com/office/2006/documentManagement/types"/>
    <ds:schemaRef ds:uri="http://schemas.microsoft.com/office/infopath/2007/PartnerControls"/>
    <ds:schemaRef ds:uri="826143e3-bbcb-45bb-8829-107013e701e5"/>
    <ds:schemaRef ds:uri="http://purl.org/dc/dcmitype/"/>
    <ds:schemaRef ds:uri="dbd46520-c392-41b5-9f68-fe7486eefad7"/>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560E49C4-B8CB-4065-BF44-620D2914F5BE}">
  <ds:schemaRefs>
    <ds:schemaRef ds:uri="http://schemas.openxmlformats.org/officeDocument/2006/bibliography"/>
  </ds:schemaRefs>
</ds:datastoreItem>
</file>

<file path=customXml/itemProps3.xml><?xml version="1.0" encoding="utf-8"?>
<ds:datastoreItem xmlns:ds="http://schemas.openxmlformats.org/officeDocument/2006/customXml" ds:itemID="{9BA2130E-88EB-4733-81C0-8B79DE748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CDB0F9-A858-4571-9E99-EB66A22DE3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1797</TotalTime>
  <Pages>9</Pages>
  <Words>2197</Words>
  <Characters>13376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15542</CharactersWithSpaces>
  <SharedDoc>false</SharedDoc>
  <HLinks>
    <vt:vector size="66" baseType="variant">
      <vt:variant>
        <vt:i4>196682</vt:i4>
      </vt:variant>
      <vt:variant>
        <vt:i4>57</vt:i4>
      </vt:variant>
      <vt:variant>
        <vt:i4>0</vt:i4>
      </vt:variant>
      <vt:variant>
        <vt:i4>5</vt:i4>
      </vt:variant>
      <vt:variant>
        <vt:lpwstr>http://asc.fasb.org/glossarysection%26ioid=6743629%26id=SL2300956-113898</vt:lpwstr>
      </vt:variant>
      <vt:variant>
        <vt:lpwstr/>
      </vt:variant>
      <vt:variant>
        <vt:i4>1114196</vt:i4>
      </vt:variant>
      <vt:variant>
        <vt:i4>54</vt:i4>
      </vt:variant>
      <vt:variant>
        <vt:i4>0</vt:i4>
      </vt:variant>
      <vt:variant>
        <vt:i4>5</vt:i4>
      </vt:variant>
      <vt:variant>
        <vt:lpwstr>http://asc.fasb.org/glossarysection%26trid=2228950%26id=SL2301124-113895</vt:lpwstr>
      </vt:variant>
      <vt:variant>
        <vt:lpwstr/>
      </vt:variant>
      <vt:variant>
        <vt:i4>786501</vt:i4>
      </vt:variant>
      <vt:variant>
        <vt:i4>51</vt:i4>
      </vt:variant>
      <vt:variant>
        <vt:i4>0</vt:i4>
      </vt:variant>
      <vt:variant>
        <vt:i4>5</vt:i4>
      </vt:variant>
      <vt:variant>
        <vt:lpwstr>http://asc.fasb.org/glossarysection%26ioid=6415241%26id=SL2301033-113899</vt:lpwstr>
      </vt:variant>
      <vt:variant>
        <vt:lpwstr/>
      </vt:variant>
      <vt:variant>
        <vt:i4>458822</vt:i4>
      </vt:variant>
      <vt:variant>
        <vt:i4>48</vt:i4>
      </vt:variant>
      <vt:variant>
        <vt:i4>0</vt:i4>
      </vt:variant>
      <vt:variant>
        <vt:i4>5</vt:i4>
      </vt:variant>
      <vt:variant>
        <vt:lpwstr>http://asc.fasb.org/glossarysection%26ioid=7485812%26id=SL2297005-113906</vt:lpwstr>
      </vt:variant>
      <vt:variant>
        <vt:lpwstr/>
      </vt:variant>
      <vt:variant>
        <vt:i4>1900639</vt:i4>
      </vt:variant>
      <vt:variant>
        <vt:i4>45</vt:i4>
      </vt:variant>
      <vt:variant>
        <vt:i4>0</vt:i4>
      </vt:variant>
      <vt:variant>
        <vt:i4>5</vt:i4>
      </vt:variant>
      <vt:variant>
        <vt:lpwstr>http://asc.fasb.org/glossarysection%26trid=2229012%26id=SL2276460-113911</vt:lpwstr>
      </vt:variant>
      <vt:variant>
        <vt:lpwstr/>
      </vt:variant>
      <vt:variant>
        <vt:i4>852039</vt:i4>
      </vt:variant>
      <vt:variant>
        <vt:i4>42</vt:i4>
      </vt:variant>
      <vt:variant>
        <vt:i4>0</vt:i4>
      </vt:variant>
      <vt:variant>
        <vt:i4>5</vt:i4>
      </vt:variant>
      <vt:variant>
        <vt:lpwstr>http://asc.fasb.org/glossarysection%26ioid=6415241%26id=SL2301021-113899</vt:lpwstr>
      </vt:variant>
      <vt:variant>
        <vt:lpwstr/>
      </vt:variant>
      <vt:variant>
        <vt:i4>917569</vt:i4>
      </vt:variant>
      <vt:variant>
        <vt:i4>39</vt:i4>
      </vt:variant>
      <vt:variant>
        <vt:i4>0</vt:i4>
      </vt:variant>
      <vt:variant>
        <vt:i4>5</vt:i4>
      </vt:variant>
      <vt:variant>
        <vt:lpwstr>http://asc.fasb.org/glossarysection%26ioid=6415241%26id=SL2301017-113899</vt:lpwstr>
      </vt:variant>
      <vt:variant>
        <vt:lpwstr/>
      </vt:variant>
      <vt:variant>
        <vt:i4>458817</vt:i4>
      </vt:variant>
      <vt:variant>
        <vt:i4>36</vt:i4>
      </vt:variant>
      <vt:variant>
        <vt:i4>0</vt:i4>
      </vt:variant>
      <vt:variant>
        <vt:i4>5</vt:i4>
      </vt:variant>
      <vt:variant>
        <vt:lpwstr>http://asc.fasb.org/glossarysection%26ioid=6889852%26id=SL2301365-113897</vt:lpwstr>
      </vt:variant>
      <vt:variant>
        <vt:lpwstr/>
      </vt:variant>
      <vt:variant>
        <vt:i4>196679</vt:i4>
      </vt:variant>
      <vt:variant>
        <vt:i4>33</vt:i4>
      </vt:variant>
      <vt:variant>
        <vt:i4>0</vt:i4>
      </vt:variant>
      <vt:variant>
        <vt:i4>5</vt:i4>
      </vt:variant>
      <vt:variant>
        <vt:lpwstr>http://asc.fasb.org/glossarysection%26ioid=6415400%26id=SL2300834-113901</vt:lpwstr>
      </vt:variant>
      <vt:variant>
        <vt:lpwstr/>
      </vt:variant>
      <vt:variant>
        <vt:i4>67</vt:i4>
      </vt:variant>
      <vt:variant>
        <vt:i4>30</vt:i4>
      </vt:variant>
      <vt:variant>
        <vt:i4>0</vt:i4>
      </vt:variant>
      <vt:variant>
        <vt:i4>5</vt:i4>
      </vt:variant>
      <vt:variant>
        <vt:lpwstr>http://asc.fasb.org/glossarysection%26ioid=7485812%26id=SL2296969-113906</vt:lpwstr>
      </vt:variant>
      <vt:variant>
        <vt:lpwstr/>
      </vt:variant>
      <vt:variant>
        <vt:i4>1376339</vt:i4>
      </vt:variant>
      <vt:variant>
        <vt:i4>27</vt:i4>
      </vt:variant>
      <vt:variant>
        <vt:i4>0</vt:i4>
      </vt:variant>
      <vt:variant>
        <vt:i4>5</vt:i4>
      </vt:variant>
      <vt:variant>
        <vt:lpwstr>http://asc.fasb.org/glossarysection%26trid=2229119%26id=SL2258986-113943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Robin Marcotte</cp:lastModifiedBy>
  <cp:revision>608</cp:revision>
  <cp:lastPrinted>2011-03-01T22:07:00Z</cp:lastPrinted>
  <dcterms:created xsi:type="dcterms:W3CDTF">2023-02-09T19:21:00Z</dcterms:created>
  <dcterms:modified xsi:type="dcterms:W3CDTF">2023-08-16T19:04:00Z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ies>
</file>