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52DAA" w14:textId="55270AC9" w:rsidR="002A1316" w:rsidRPr="00016321" w:rsidRDefault="002A1316">
      <w:pPr>
        <w:pStyle w:val="Title"/>
        <w:rPr>
          <w:sz w:val="22"/>
          <w:szCs w:val="22"/>
        </w:rPr>
      </w:pPr>
      <w:r w:rsidRPr="00016321">
        <w:rPr>
          <w:sz w:val="22"/>
          <w:szCs w:val="22"/>
        </w:rPr>
        <w:t xml:space="preserve">Statutory Accounting Principles </w:t>
      </w:r>
      <w:r w:rsidR="00C6544D" w:rsidRPr="00016321">
        <w:rPr>
          <w:sz w:val="22"/>
          <w:szCs w:val="22"/>
        </w:rPr>
        <w:t xml:space="preserve">(E) </w:t>
      </w:r>
      <w:r w:rsidRPr="00016321">
        <w:rPr>
          <w:sz w:val="22"/>
          <w:szCs w:val="22"/>
        </w:rPr>
        <w:t>Working Group</w:t>
      </w:r>
    </w:p>
    <w:p w14:paraId="5E8586D5" w14:textId="77777777" w:rsidR="002A1316" w:rsidRPr="00016321" w:rsidRDefault="002A1316">
      <w:pPr>
        <w:jc w:val="center"/>
        <w:rPr>
          <w:b/>
          <w:sz w:val="22"/>
          <w:szCs w:val="22"/>
        </w:rPr>
      </w:pPr>
      <w:r w:rsidRPr="00016321">
        <w:rPr>
          <w:b/>
          <w:sz w:val="22"/>
          <w:szCs w:val="22"/>
        </w:rPr>
        <w:t>Maintenance Agenda Submission Form</w:t>
      </w:r>
    </w:p>
    <w:p w14:paraId="43927C70" w14:textId="77777777" w:rsidR="002A1316" w:rsidRPr="00016321" w:rsidRDefault="002A1316">
      <w:pPr>
        <w:jc w:val="center"/>
        <w:rPr>
          <w:b/>
          <w:sz w:val="22"/>
          <w:szCs w:val="22"/>
        </w:rPr>
      </w:pPr>
      <w:r w:rsidRPr="00016321">
        <w:rPr>
          <w:b/>
          <w:sz w:val="22"/>
          <w:szCs w:val="22"/>
        </w:rPr>
        <w:t>Form A</w:t>
      </w:r>
    </w:p>
    <w:p w14:paraId="65BCA41C" w14:textId="77777777" w:rsidR="002A1316" w:rsidRPr="00016321" w:rsidRDefault="002A1316">
      <w:pPr>
        <w:pStyle w:val="Heading2"/>
        <w:jc w:val="center"/>
        <w:rPr>
          <w:sz w:val="22"/>
          <w:szCs w:val="22"/>
        </w:rPr>
      </w:pPr>
    </w:p>
    <w:p w14:paraId="10F0B4B2" w14:textId="53B060B0" w:rsidR="002A1316" w:rsidRPr="00016321" w:rsidRDefault="002A1316" w:rsidP="00B30CA0">
      <w:pPr>
        <w:pStyle w:val="Heading2"/>
        <w:rPr>
          <w:sz w:val="22"/>
          <w:szCs w:val="22"/>
        </w:rPr>
      </w:pPr>
      <w:r w:rsidRPr="00016321">
        <w:rPr>
          <w:b/>
          <w:sz w:val="22"/>
          <w:szCs w:val="22"/>
        </w:rPr>
        <w:t>Issue:</w:t>
      </w:r>
      <w:r w:rsidR="00EC61F1" w:rsidRPr="00016321">
        <w:rPr>
          <w:b/>
          <w:sz w:val="22"/>
          <w:szCs w:val="22"/>
        </w:rPr>
        <w:t xml:space="preserve"> </w:t>
      </w:r>
      <w:r w:rsidR="006B29EC" w:rsidRPr="00EF7A08">
        <w:rPr>
          <w:b/>
          <w:sz w:val="22"/>
          <w:szCs w:val="22"/>
        </w:rPr>
        <w:t xml:space="preserve">Admissibility Requirements </w:t>
      </w:r>
      <w:r w:rsidR="0058641A" w:rsidRPr="00EF7A08">
        <w:rPr>
          <w:b/>
          <w:sz w:val="22"/>
          <w:szCs w:val="22"/>
        </w:rPr>
        <w:t>of Investments in Downstream Holding Companies</w:t>
      </w:r>
      <w:r w:rsidR="005F6587">
        <w:rPr>
          <w:b/>
          <w:sz w:val="22"/>
          <w:szCs w:val="22"/>
        </w:rPr>
        <w:t xml:space="preserve"> </w:t>
      </w:r>
    </w:p>
    <w:p w14:paraId="7D50C110" w14:textId="77777777" w:rsidR="00B30CA0" w:rsidRPr="00016321" w:rsidRDefault="00B30CA0" w:rsidP="00B30CA0">
      <w:pPr>
        <w:rPr>
          <w:sz w:val="22"/>
          <w:szCs w:val="22"/>
        </w:rPr>
      </w:pPr>
    </w:p>
    <w:p w14:paraId="1E0B900E" w14:textId="77777777" w:rsidR="002A1316" w:rsidRPr="00016321" w:rsidRDefault="002A1316" w:rsidP="00B30CA0">
      <w:pPr>
        <w:jc w:val="both"/>
        <w:rPr>
          <w:b/>
          <w:sz w:val="22"/>
          <w:szCs w:val="22"/>
        </w:rPr>
      </w:pPr>
      <w:r w:rsidRPr="00016321">
        <w:rPr>
          <w:b/>
          <w:sz w:val="22"/>
          <w:szCs w:val="22"/>
        </w:rPr>
        <w:t>Check (applicable entity):</w:t>
      </w:r>
    </w:p>
    <w:p w14:paraId="3CA22BB3" w14:textId="77777777" w:rsidR="006B37DD" w:rsidRPr="00016321" w:rsidRDefault="006B37DD" w:rsidP="006B37DD">
      <w:pPr>
        <w:tabs>
          <w:tab w:val="center" w:pos="4455"/>
          <w:tab w:val="center" w:pos="5886"/>
          <w:tab w:val="center" w:pos="7326"/>
        </w:tabs>
        <w:jc w:val="both"/>
        <w:rPr>
          <w:sz w:val="22"/>
          <w:szCs w:val="22"/>
        </w:rPr>
      </w:pPr>
      <w:r w:rsidRPr="00016321">
        <w:rPr>
          <w:sz w:val="22"/>
          <w:szCs w:val="22"/>
        </w:rPr>
        <w:tab/>
        <w:t>P/C</w:t>
      </w:r>
      <w:r w:rsidRPr="00016321">
        <w:rPr>
          <w:sz w:val="22"/>
          <w:szCs w:val="22"/>
        </w:rPr>
        <w:tab/>
        <w:t>Life</w:t>
      </w:r>
      <w:r w:rsidRPr="00016321">
        <w:rPr>
          <w:sz w:val="22"/>
          <w:szCs w:val="22"/>
        </w:rPr>
        <w:tab/>
        <w:t>Health</w:t>
      </w:r>
    </w:p>
    <w:p w14:paraId="347337DD" w14:textId="68EE60B9" w:rsidR="002A1316" w:rsidRPr="00016321" w:rsidRDefault="002A1316" w:rsidP="00B30CA0">
      <w:pPr>
        <w:ind w:firstLine="720"/>
        <w:jc w:val="both"/>
        <w:rPr>
          <w:sz w:val="22"/>
          <w:szCs w:val="22"/>
        </w:rPr>
      </w:pPr>
      <w:r w:rsidRPr="00016321">
        <w:rPr>
          <w:sz w:val="22"/>
          <w:szCs w:val="22"/>
        </w:rPr>
        <w:t xml:space="preserve">Modification of </w:t>
      </w:r>
      <w:r w:rsidR="00DF407B">
        <w:rPr>
          <w:sz w:val="22"/>
          <w:szCs w:val="22"/>
        </w:rPr>
        <w:t>E</w:t>
      </w:r>
      <w:r w:rsidRPr="00016321">
        <w:rPr>
          <w:sz w:val="22"/>
          <w:szCs w:val="22"/>
        </w:rPr>
        <w:t>xisting SSAP</w:t>
      </w:r>
      <w:r w:rsidRPr="00016321">
        <w:rPr>
          <w:sz w:val="22"/>
          <w:szCs w:val="22"/>
        </w:rPr>
        <w:tab/>
      </w:r>
      <w:r w:rsidRPr="00016321">
        <w:rPr>
          <w:sz w:val="22"/>
          <w:szCs w:val="22"/>
        </w:rPr>
        <w:tab/>
      </w:r>
      <w:r w:rsidRPr="00016321">
        <w:rPr>
          <w:sz w:val="22"/>
          <w:szCs w:val="22"/>
        </w:rPr>
        <w:fldChar w:fldCharType="begin">
          <w:ffData>
            <w:name w:val="Check1"/>
            <w:enabled/>
            <w:calcOnExit w:val="0"/>
            <w:checkBox>
              <w:sizeAuto/>
              <w:default w:val="1"/>
            </w:checkBox>
          </w:ffData>
        </w:fldChar>
      </w:r>
      <w:bookmarkStart w:id="0" w:name="Check1"/>
      <w:r w:rsidRPr="00016321">
        <w:rPr>
          <w:sz w:val="22"/>
          <w:szCs w:val="22"/>
        </w:rPr>
        <w:instrText xml:space="preserve"> FORMCHECKBOX </w:instrText>
      </w:r>
      <w:r w:rsidR="00234FE8">
        <w:rPr>
          <w:sz w:val="22"/>
          <w:szCs w:val="22"/>
        </w:rPr>
      </w:r>
      <w:r w:rsidR="00234FE8">
        <w:rPr>
          <w:sz w:val="22"/>
          <w:szCs w:val="22"/>
        </w:rPr>
        <w:fldChar w:fldCharType="separate"/>
      </w:r>
      <w:r w:rsidRPr="00016321">
        <w:rPr>
          <w:sz w:val="22"/>
          <w:szCs w:val="22"/>
        </w:rPr>
        <w:fldChar w:fldCharType="end"/>
      </w:r>
      <w:bookmarkEnd w:id="0"/>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234FE8">
        <w:rPr>
          <w:sz w:val="22"/>
          <w:szCs w:val="22"/>
        </w:rPr>
      </w:r>
      <w:r w:rsidR="00234FE8">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1"/>
            </w:checkBox>
          </w:ffData>
        </w:fldChar>
      </w:r>
      <w:r w:rsidRPr="00016321">
        <w:rPr>
          <w:sz w:val="22"/>
          <w:szCs w:val="22"/>
        </w:rPr>
        <w:instrText xml:space="preserve"> FORMCHECKBOX </w:instrText>
      </w:r>
      <w:r w:rsidR="00234FE8">
        <w:rPr>
          <w:sz w:val="22"/>
          <w:szCs w:val="22"/>
        </w:rPr>
      </w:r>
      <w:r w:rsidR="00234FE8">
        <w:rPr>
          <w:sz w:val="22"/>
          <w:szCs w:val="22"/>
        </w:rPr>
        <w:fldChar w:fldCharType="separate"/>
      </w:r>
      <w:r w:rsidRPr="00016321">
        <w:rPr>
          <w:sz w:val="22"/>
          <w:szCs w:val="22"/>
        </w:rPr>
        <w:fldChar w:fldCharType="end"/>
      </w:r>
    </w:p>
    <w:p w14:paraId="4332D7DA" w14:textId="02284300" w:rsidR="002A1316" w:rsidRPr="00016321" w:rsidRDefault="002A1316" w:rsidP="00B30CA0">
      <w:pPr>
        <w:ind w:firstLine="720"/>
        <w:jc w:val="both"/>
        <w:rPr>
          <w:sz w:val="22"/>
          <w:szCs w:val="22"/>
        </w:rPr>
      </w:pPr>
      <w:r w:rsidRPr="00016321">
        <w:rPr>
          <w:sz w:val="22"/>
          <w:szCs w:val="22"/>
        </w:rPr>
        <w:t>New Issue or SSAP</w:t>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34FE8">
        <w:rPr>
          <w:sz w:val="22"/>
          <w:szCs w:val="22"/>
        </w:rPr>
      </w:r>
      <w:r w:rsidR="00234FE8">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34FE8">
        <w:rPr>
          <w:sz w:val="22"/>
          <w:szCs w:val="22"/>
        </w:rPr>
      </w:r>
      <w:r w:rsidR="00234FE8">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34FE8">
        <w:rPr>
          <w:sz w:val="22"/>
          <w:szCs w:val="22"/>
        </w:rPr>
      </w:r>
      <w:r w:rsidR="00234FE8">
        <w:rPr>
          <w:sz w:val="22"/>
          <w:szCs w:val="22"/>
        </w:rPr>
        <w:fldChar w:fldCharType="separate"/>
      </w:r>
      <w:r w:rsidRPr="00016321">
        <w:rPr>
          <w:sz w:val="22"/>
          <w:szCs w:val="22"/>
        </w:rPr>
        <w:fldChar w:fldCharType="end"/>
      </w:r>
    </w:p>
    <w:p w14:paraId="108F9360" w14:textId="5D9EFA97" w:rsidR="0044022E" w:rsidRPr="00016321" w:rsidRDefault="0044022E" w:rsidP="0044022E">
      <w:pPr>
        <w:ind w:firstLine="720"/>
        <w:jc w:val="both"/>
        <w:rPr>
          <w:sz w:val="22"/>
          <w:szCs w:val="22"/>
        </w:rPr>
      </w:pPr>
      <w:r w:rsidRPr="00016321">
        <w:rPr>
          <w:sz w:val="22"/>
          <w:szCs w:val="22"/>
        </w:rPr>
        <w:t>Interpretation</w:t>
      </w:r>
      <w:r w:rsidRPr="00016321">
        <w:rPr>
          <w:sz w:val="22"/>
          <w:szCs w:val="22"/>
        </w:rPr>
        <w:tab/>
      </w:r>
      <w:r w:rsidRPr="00016321">
        <w:rPr>
          <w:sz w:val="22"/>
          <w:szCs w:val="22"/>
        </w:rPr>
        <w:tab/>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34FE8">
        <w:rPr>
          <w:sz w:val="22"/>
          <w:szCs w:val="22"/>
        </w:rPr>
      </w:r>
      <w:r w:rsidR="00234FE8">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34FE8">
        <w:rPr>
          <w:sz w:val="22"/>
          <w:szCs w:val="22"/>
        </w:rPr>
      </w:r>
      <w:r w:rsidR="00234FE8">
        <w:rPr>
          <w:sz w:val="22"/>
          <w:szCs w:val="22"/>
        </w:rPr>
        <w:fldChar w:fldCharType="separate"/>
      </w:r>
      <w:r w:rsidRPr="00016321">
        <w:rPr>
          <w:sz w:val="22"/>
          <w:szCs w:val="22"/>
        </w:rPr>
        <w:fldChar w:fldCharType="end"/>
      </w:r>
      <w:r w:rsidRPr="00016321">
        <w:rPr>
          <w:sz w:val="22"/>
          <w:szCs w:val="22"/>
        </w:rPr>
        <w:tab/>
      </w:r>
      <w:r w:rsidRPr="00016321">
        <w:rPr>
          <w:sz w:val="22"/>
          <w:szCs w:val="22"/>
        </w:rPr>
        <w:tab/>
      </w:r>
      <w:r w:rsidRPr="00016321">
        <w:rPr>
          <w:sz w:val="22"/>
          <w:szCs w:val="22"/>
        </w:rPr>
        <w:fldChar w:fldCharType="begin">
          <w:ffData>
            <w:name w:val=""/>
            <w:enabled/>
            <w:calcOnExit w:val="0"/>
            <w:checkBox>
              <w:sizeAuto/>
              <w:default w:val="0"/>
            </w:checkBox>
          </w:ffData>
        </w:fldChar>
      </w:r>
      <w:r w:rsidRPr="00016321">
        <w:rPr>
          <w:sz w:val="22"/>
          <w:szCs w:val="22"/>
        </w:rPr>
        <w:instrText xml:space="preserve"> FORMCHECKBOX </w:instrText>
      </w:r>
      <w:r w:rsidR="00234FE8">
        <w:rPr>
          <w:sz w:val="22"/>
          <w:szCs w:val="22"/>
        </w:rPr>
      </w:r>
      <w:r w:rsidR="00234FE8">
        <w:rPr>
          <w:sz w:val="22"/>
          <w:szCs w:val="22"/>
        </w:rPr>
        <w:fldChar w:fldCharType="separate"/>
      </w:r>
      <w:r w:rsidRPr="00016321">
        <w:rPr>
          <w:sz w:val="22"/>
          <w:szCs w:val="22"/>
        </w:rPr>
        <w:fldChar w:fldCharType="end"/>
      </w:r>
    </w:p>
    <w:p w14:paraId="6F1580CB" w14:textId="77777777" w:rsidR="002A1316" w:rsidRPr="00016321" w:rsidRDefault="002A1316" w:rsidP="00B30CA0">
      <w:pPr>
        <w:jc w:val="both"/>
        <w:rPr>
          <w:sz w:val="22"/>
          <w:szCs w:val="22"/>
        </w:rPr>
      </w:pPr>
    </w:p>
    <w:p w14:paraId="6020A9DE" w14:textId="721BC636" w:rsidR="003F6803" w:rsidRDefault="002A1316" w:rsidP="004D199D">
      <w:pPr>
        <w:pStyle w:val="BodyText2"/>
        <w:rPr>
          <w:b w:val="0"/>
          <w:bCs w:val="0"/>
          <w:szCs w:val="22"/>
        </w:rPr>
      </w:pPr>
      <w:r w:rsidRPr="00016321">
        <w:rPr>
          <w:bCs w:val="0"/>
          <w:szCs w:val="22"/>
        </w:rPr>
        <w:t>Description of Issue:</w:t>
      </w:r>
      <w:r w:rsidR="006D3743">
        <w:rPr>
          <w:bCs w:val="0"/>
          <w:szCs w:val="22"/>
        </w:rPr>
        <w:t xml:space="preserve"> </w:t>
      </w:r>
      <w:r w:rsidR="00131380" w:rsidRPr="0050009A">
        <w:rPr>
          <w:b w:val="0"/>
          <w:szCs w:val="22"/>
        </w:rPr>
        <w:t>This agenda item is the result of regulator comments received on the existing</w:t>
      </w:r>
      <w:r w:rsidR="00131380" w:rsidRPr="0050009A">
        <w:rPr>
          <w:bCs w:val="0"/>
          <w:szCs w:val="22"/>
        </w:rPr>
        <w:t xml:space="preserve"> </w:t>
      </w:r>
      <w:r w:rsidR="00131380" w:rsidRPr="0050009A">
        <w:rPr>
          <w:b w:val="0"/>
          <w:szCs w:val="22"/>
        </w:rPr>
        <w:t xml:space="preserve">guidance in </w:t>
      </w:r>
      <w:r w:rsidR="00131380" w:rsidRPr="003450E3">
        <w:rPr>
          <w:b w:val="0"/>
          <w:i/>
          <w:szCs w:val="22"/>
        </w:rPr>
        <w:t xml:space="preserve">SSAP No. </w:t>
      </w:r>
      <w:r w:rsidR="003450E3" w:rsidRPr="003450E3">
        <w:rPr>
          <w:b w:val="0"/>
          <w:bCs w:val="0"/>
          <w:i/>
          <w:iCs/>
          <w:szCs w:val="22"/>
        </w:rPr>
        <w:t>97—Investments in Subsidiary, Controlled and Affiliated Entities</w:t>
      </w:r>
      <w:r w:rsidR="00131380" w:rsidRPr="0050009A">
        <w:rPr>
          <w:b w:val="0"/>
          <w:szCs w:val="22"/>
        </w:rPr>
        <w:t>, p</w:t>
      </w:r>
      <w:r w:rsidR="00131380" w:rsidRPr="0050009A">
        <w:rPr>
          <w:b w:val="0"/>
          <w:bCs w:val="0"/>
          <w:szCs w:val="22"/>
        </w:rPr>
        <w:t>aragraph 24</w:t>
      </w:r>
      <w:r w:rsidR="00C41D7B">
        <w:rPr>
          <w:b w:val="0"/>
          <w:bCs w:val="0"/>
          <w:szCs w:val="22"/>
        </w:rPr>
        <w:t>,</w:t>
      </w:r>
      <w:r w:rsidR="00131380">
        <w:rPr>
          <w:b w:val="0"/>
          <w:bCs w:val="0"/>
          <w:szCs w:val="22"/>
        </w:rPr>
        <w:t xml:space="preserve"> and</w:t>
      </w:r>
      <w:r w:rsidR="003E27E5">
        <w:rPr>
          <w:b w:val="0"/>
          <w:bCs w:val="0"/>
          <w:szCs w:val="22"/>
        </w:rPr>
        <w:t xml:space="preserve"> is</w:t>
      </w:r>
      <w:r w:rsidR="0022730B">
        <w:rPr>
          <w:b w:val="0"/>
          <w:bCs w:val="0"/>
          <w:szCs w:val="22"/>
        </w:rPr>
        <w:t xml:space="preserve"> </w:t>
      </w:r>
      <w:r w:rsidR="00631D02">
        <w:rPr>
          <w:b w:val="0"/>
          <w:bCs w:val="0"/>
          <w:szCs w:val="22"/>
        </w:rPr>
        <w:t>intended</w:t>
      </w:r>
      <w:r w:rsidR="003E27E5" w:rsidDel="00631D02">
        <w:rPr>
          <w:b w:val="0"/>
          <w:bCs w:val="0"/>
          <w:szCs w:val="22"/>
        </w:rPr>
        <w:t xml:space="preserve"> to </w:t>
      </w:r>
      <w:r w:rsidR="00E96FDF">
        <w:rPr>
          <w:b w:val="0"/>
          <w:bCs w:val="0"/>
          <w:szCs w:val="22"/>
        </w:rPr>
        <w:t>update</w:t>
      </w:r>
      <w:r w:rsidR="003E27E5">
        <w:rPr>
          <w:b w:val="0"/>
          <w:bCs w:val="0"/>
          <w:szCs w:val="22"/>
        </w:rPr>
        <w:t xml:space="preserve"> </w:t>
      </w:r>
      <w:r w:rsidR="00631D02">
        <w:rPr>
          <w:b w:val="0"/>
          <w:bCs w:val="0"/>
          <w:szCs w:val="22"/>
        </w:rPr>
        <w:t xml:space="preserve">the </w:t>
      </w:r>
      <w:r w:rsidR="003E27E5">
        <w:rPr>
          <w:b w:val="0"/>
          <w:bCs w:val="0"/>
          <w:szCs w:val="22"/>
        </w:rPr>
        <w:t xml:space="preserve">language </w:t>
      </w:r>
      <w:r w:rsidR="003F6803">
        <w:rPr>
          <w:b w:val="0"/>
          <w:bCs w:val="0"/>
          <w:szCs w:val="22"/>
        </w:rPr>
        <w:t xml:space="preserve">in paragraph 24 on audits and admissibility </w:t>
      </w:r>
      <w:r w:rsidR="00F52D31">
        <w:rPr>
          <w:b w:val="0"/>
          <w:bCs w:val="0"/>
          <w:szCs w:val="22"/>
        </w:rPr>
        <w:t>to</w:t>
      </w:r>
      <w:r w:rsidR="003E27E5">
        <w:rPr>
          <w:b w:val="0"/>
          <w:bCs w:val="0"/>
          <w:szCs w:val="22"/>
        </w:rPr>
        <w:t xml:space="preserve"> </w:t>
      </w:r>
      <w:r w:rsidR="005A6EBE">
        <w:rPr>
          <w:b w:val="0"/>
          <w:bCs w:val="0"/>
          <w:szCs w:val="22"/>
        </w:rPr>
        <w:t xml:space="preserve">better </w:t>
      </w:r>
      <w:r w:rsidR="003E27E5">
        <w:rPr>
          <w:b w:val="0"/>
          <w:bCs w:val="0"/>
          <w:szCs w:val="22"/>
        </w:rPr>
        <w:t xml:space="preserve">align with </w:t>
      </w:r>
      <w:r w:rsidR="00D62C57">
        <w:rPr>
          <w:b w:val="0"/>
          <w:bCs w:val="0"/>
          <w:szCs w:val="22"/>
        </w:rPr>
        <w:t>guidance</w:t>
      </w:r>
      <w:r w:rsidR="005C063D">
        <w:rPr>
          <w:b w:val="0"/>
          <w:bCs w:val="0"/>
          <w:szCs w:val="22"/>
        </w:rPr>
        <w:t xml:space="preserve"> in paragraph</w:t>
      </w:r>
      <w:r w:rsidR="007A78AF">
        <w:rPr>
          <w:b w:val="0"/>
          <w:bCs w:val="0"/>
          <w:szCs w:val="22"/>
        </w:rPr>
        <w:t xml:space="preserve">s </w:t>
      </w:r>
      <w:r w:rsidR="00736456">
        <w:rPr>
          <w:b w:val="0"/>
          <w:bCs w:val="0"/>
          <w:szCs w:val="22"/>
        </w:rPr>
        <w:t xml:space="preserve">26 and </w:t>
      </w:r>
      <w:r w:rsidR="005C063D">
        <w:rPr>
          <w:b w:val="0"/>
          <w:bCs w:val="0"/>
          <w:szCs w:val="22"/>
        </w:rPr>
        <w:t>27 on the look</w:t>
      </w:r>
      <w:r w:rsidR="009B7B6B">
        <w:rPr>
          <w:b w:val="0"/>
          <w:bCs w:val="0"/>
          <w:szCs w:val="22"/>
        </w:rPr>
        <w:t>-through methodology</w:t>
      </w:r>
      <w:r w:rsidR="003E27E5">
        <w:rPr>
          <w:b w:val="0"/>
          <w:bCs w:val="0"/>
          <w:szCs w:val="22"/>
        </w:rPr>
        <w:t>.</w:t>
      </w:r>
      <w:r w:rsidR="00021FC3">
        <w:rPr>
          <w:b w:val="0"/>
          <w:bCs w:val="0"/>
          <w:szCs w:val="22"/>
        </w:rPr>
        <w:t xml:space="preserve"> </w:t>
      </w:r>
      <w:r w:rsidR="00746880" w:rsidRPr="00F51743">
        <w:rPr>
          <w:b w:val="0"/>
          <w:bCs w:val="0"/>
          <w:szCs w:val="22"/>
        </w:rPr>
        <w:t xml:space="preserve">The current </w:t>
      </w:r>
      <w:r w:rsidR="000C306F">
        <w:rPr>
          <w:b w:val="0"/>
          <w:bCs w:val="0"/>
          <w:szCs w:val="22"/>
        </w:rPr>
        <w:t xml:space="preserve">SSAP </w:t>
      </w:r>
      <w:r w:rsidR="005A6EBE">
        <w:rPr>
          <w:b w:val="0"/>
          <w:bCs w:val="0"/>
          <w:szCs w:val="22"/>
        </w:rPr>
        <w:t>No. 97, paragraph 24</w:t>
      </w:r>
      <w:r w:rsidR="00746880" w:rsidRPr="00F51743">
        <w:rPr>
          <w:b w:val="0"/>
          <w:bCs w:val="0"/>
          <w:szCs w:val="22"/>
        </w:rPr>
        <w:t xml:space="preserve"> guidance </w:t>
      </w:r>
      <w:r w:rsidR="0050009A" w:rsidRPr="00F51743">
        <w:rPr>
          <w:b w:val="0"/>
          <w:bCs w:val="0"/>
          <w:szCs w:val="22"/>
        </w:rPr>
        <w:t>states “i</w:t>
      </w:r>
      <w:r w:rsidR="00076625" w:rsidRPr="00F51743">
        <w:rPr>
          <w:b w:val="0"/>
          <w:bCs w:val="0"/>
          <w:szCs w:val="22"/>
        </w:rPr>
        <w:t xml:space="preserve">f the downstream noninsurance holding company does not meet the requirements of paragraph 26, </w:t>
      </w:r>
      <w:r w:rsidR="00076625" w:rsidRPr="00F51743">
        <w:rPr>
          <w:szCs w:val="22"/>
        </w:rPr>
        <w:t>audited GAAP financial statements, as described in paragraph 23, are required for the downstream noninsurance holding company and its SCA and non-SCA investments</w:t>
      </w:r>
      <w:r w:rsidR="00076625" w:rsidRPr="00F51743">
        <w:rPr>
          <w:b w:val="0"/>
          <w:bCs w:val="0"/>
          <w:szCs w:val="22"/>
        </w:rPr>
        <w:t xml:space="preserve"> in order for the investment in the downstream noninsurance holding company to be classified as an admitted asset.</w:t>
      </w:r>
      <w:r w:rsidR="00F51743">
        <w:rPr>
          <w:b w:val="0"/>
          <w:bCs w:val="0"/>
          <w:szCs w:val="22"/>
        </w:rPr>
        <w:t xml:space="preserve">” </w:t>
      </w:r>
    </w:p>
    <w:p w14:paraId="524FBD08" w14:textId="77777777" w:rsidR="003F6803" w:rsidRDefault="003F6803" w:rsidP="004D199D">
      <w:pPr>
        <w:pStyle w:val="BodyText2"/>
        <w:rPr>
          <w:b w:val="0"/>
          <w:bCs w:val="0"/>
          <w:szCs w:val="22"/>
        </w:rPr>
      </w:pPr>
    </w:p>
    <w:p w14:paraId="1E86739C" w14:textId="632E3E36" w:rsidR="0065250E" w:rsidRDefault="0065250E" w:rsidP="004D199D">
      <w:pPr>
        <w:pStyle w:val="BodyText2"/>
        <w:rPr>
          <w:b w:val="0"/>
          <w:bCs w:val="0"/>
          <w:szCs w:val="22"/>
        </w:rPr>
      </w:pPr>
      <w:r>
        <w:rPr>
          <w:b w:val="0"/>
          <w:bCs w:val="0"/>
          <w:szCs w:val="22"/>
        </w:rPr>
        <w:t xml:space="preserve">The </w:t>
      </w:r>
      <w:r w:rsidR="00F65620">
        <w:rPr>
          <w:b w:val="0"/>
          <w:bCs w:val="0"/>
          <w:szCs w:val="22"/>
        </w:rPr>
        <w:t>issue</w:t>
      </w:r>
      <w:r>
        <w:rPr>
          <w:b w:val="0"/>
          <w:bCs w:val="0"/>
          <w:szCs w:val="22"/>
        </w:rPr>
        <w:t xml:space="preserve"> with the existing </w:t>
      </w:r>
      <w:r w:rsidR="00B45C13">
        <w:rPr>
          <w:b w:val="0"/>
          <w:bCs w:val="0"/>
          <w:szCs w:val="22"/>
        </w:rPr>
        <w:t xml:space="preserve">paragraph 24 </w:t>
      </w:r>
      <w:r>
        <w:rPr>
          <w:b w:val="0"/>
          <w:bCs w:val="0"/>
          <w:szCs w:val="22"/>
        </w:rPr>
        <w:t xml:space="preserve">guidance is that </w:t>
      </w:r>
      <w:r w:rsidR="003F6803">
        <w:rPr>
          <w:b w:val="0"/>
          <w:bCs w:val="0"/>
          <w:szCs w:val="22"/>
        </w:rPr>
        <w:t xml:space="preserve">as it </w:t>
      </w:r>
      <w:r w:rsidR="009B7B6B">
        <w:rPr>
          <w:b w:val="0"/>
          <w:bCs w:val="0"/>
          <w:szCs w:val="22"/>
        </w:rPr>
        <w:t>summarizes</w:t>
      </w:r>
      <w:r w:rsidR="003F6803">
        <w:rPr>
          <w:b w:val="0"/>
          <w:bCs w:val="0"/>
          <w:szCs w:val="22"/>
        </w:rPr>
        <w:t xml:space="preserve"> other guidance it could be perceived as </w:t>
      </w:r>
      <w:r>
        <w:rPr>
          <w:b w:val="0"/>
          <w:bCs w:val="0"/>
          <w:szCs w:val="22"/>
        </w:rPr>
        <w:t>contradict</w:t>
      </w:r>
      <w:r w:rsidR="003F6803">
        <w:rPr>
          <w:b w:val="0"/>
          <w:bCs w:val="0"/>
          <w:szCs w:val="22"/>
        </w:rPr>
        <w:t>ing</w:t>
      </w:r>
      <w:r>
        <w:rPr>
          <w:b w:val="0"/>
          <w:bCs w:val="0"/>
          <w:szCs w:val="22"/>
        </w:rPr>
        <w:t xml:space="preserve"> guidance provided in paragraph 27 </w:t>
      </w:r>
      <w:r w:rsidR="00F52D31">
        <w:rPr>
          <w:b w:val="0"/>
          <w:bCs w:val="0"/>
          <w:szCs w:val="22"/>
        </w:rPr>
        <w:t>related to</w:t>
      </w:r>
      <w:r>
        <w:rPr>
          <w:b w:val="0"/>
          <w:bCs w:val="0"/>
          <w:szCs w:val="22"/>
        </w:rPr>
        <w:t xml:space="preserve"> the “</w:t>
      </w:r>
      <w:r w:rsidR="00287912">
        <w:rPr>
          <w:b w:val="0"/>
          <w:bCs w:val="0"/>
          <w:szCs w:val="22"/>
        </w:rPr>
        <w:t xml:space="preserve">look through” process. This process allows </w:t>
      </w:r>
      <w:r w:rsidR="005A6835">
        <w:rPr>
          <w:b w:val="0"/>
          <w:bCs w:val="0"/>
          <w:szCs w:val="22"/>
        </w:rPr>
        <w:t xml:space="preserve">admitting audited investments in entities owned by an </w:t>
      </w:r>
      <w:r w:rsidR="005A6835" w:rsidRPr="00086A81">
        <w:rPr>
          <w:szCs w:val="22"/>
        </w:rPr>
        <w:t xml:space="preserve">unaudited downstream </w:t>
      </w:r>
      <w:r w:rsidR="00F65620" w:rsidRPr="00086A81">
        <w:rPr>
          <w:szCs w:val="22"/>
        </w:rPr>
        <w:t>noninsurance</w:t>
      </w:r>
      <w:r w:rsidR="005A6835" w:rsidRPr="00086A81">
        <w:rPr>
          <w:szCs w:val="22"/>
        </w:rPr>
        <w:t xml:space="preserve"> holding company</w:t>
      </w:r>
      <w:r w:rsidR="005A6835">
        <w:rPr>
          <w:b w:val="0"/>
          <w:bCs w:val="0"/>
          <w:szCs w:val="22"/>
        </w:rPr>
        <w:t xml:space="preserve"> SCA entity</w:t>
      </w:r>
      <w:r w:rsidR="00086A81">
        <w:rPr>
          <w:b w:val="0"/>
          <w:bCs w:val="0"/>
          <w:szCs w:val="22"/>
        </w:rPr>
        <w:t>.</w:t>
      </w:r>
    </w:p>
    <w:p w14:paraId="040C7183" w14:textId="77777777" w:rsidR="00435DAC" w:rsidRPr="00016321" w:rsidRDefault="00435DAC" w:rsidP="00A92C59">
      <w:pPr>
        <w:pStyle w:val="BodyText2"/>
        <w:rPr>
          <w:b w:val="0"/>
          <w:szCs w:val="22"/>
        </w:rPr>
      </w:pPr>
    </w:p>
    <w:p w14:paraId="6C6B67AF" w14:textId="77777777" w:rsidR="002A1316" w:rsidRPr="00016321" w:rsidRDefault="002A1316" w:rsidP="00B30CA0">
      <w:pPr>
        <w:pStyle w:val="BodyText2"/>
        <w:rPr>
          <w:bCs w:val="0"/>
          <w:szCs w:val="22"/>
        </w:rPr>
      </w:pPr>
      <w:r w:rsidRPr="00016321">
        <w:rPr>
          <w:bCs w:val="0"/>
          <w:szCs w:val="22"/>
        </w:rPr>
        <w:t>Existing Authoritative Literature:</w:t>
      </w:r>
    </w:p>
    <w:p w14:paraId="6F758E25" w14:textId="77777777" w:rsidR="004E2BB9" w:rsidRDefault="004E2BB9" w:rsidP="00B30CA0">
      <w:pPr>
        <w:pStyle w:val="BodyText2"/>
        <w:rPr>
          <w:b w:val="0"/>
          <w:bCs w:val="0"/>
          <w:szCs w:val="22"/>
        </w:rPr>
      </w:pPr>
    </w:p>
    <w:p w14:paraId="7D7DF680" w14:textId="296FAB3D" w:rsidR="008102B1" w:rsidRPr="003450E3" w:rsidRDefault="008102B1" w:rsidP="00D07DAC">
      <w:pPr>
        <w:pStyle w:val="BodyText2"/>
        <w:rPr>
          <w:i/>
          <w:sz w:val="20"/>
        </w:rPr>
      </w:pPr>
      <w:r w:rsidRPr="003450E3">
        <w:rPr>
          <w:i/>
          <w:szCs w:val="22"/>
        </w:rPr>
        <w:t xml:space="preserve">SSAP No. </w:t>
      </w:r>
      <w:r w:rsidR="00900BEC" w:rsidRPr="003450E3">
        <w:rPr>
          <w:i/>
          <w:szCs w:val="22"/>
        </w:rPr>
        <w:t>97</w:t>
      </w:r>
      <w:r w:rsidRPr="003450E3">
        <w:rPr>
          <w:i/>
          <w:szCs w:val="22"/>
        </w:rPr>
        <w:t>—</w:t>
      </w:r>
      <w:r w:rsidR="00765FAE" w:rsidRPr="003450E3">
        <w:rPr>
          <w:i/>
          <w:szCs w:val="22"/>
        </w:rPr>
        <w:t>Investments in Subsidiary, Controlled and Affiliated Entities</w:t>
      </w:r>
      <w:r w:rsidR="00736456" w:rsidRPr="00DE54DB">
        <w:rPr>
          <w:szCs w:val="22"/>
        </w:rPr>
        <w:t xml:space="preserve"> (bolding added for emphasis)</w:t>
      </w:r>
    </w:p>
    <w:p w14:paraId="0FAD57D8" w14:textId="77777777" w:rsidR="00C30043" w:rsidRPr="002B0E80" w:rsidRDefault="00C30043" w:rsidP="00C30043">
      <w:pPr>
        <w:pStyle w:val="BodyText2"/>
        <w:ind w:left="360"/>
        <w:rPr>
          <w:rFonts w:ascii="Arial" w:hAnsi="Arial" w:cs="Arial"/>
          <w:sz w:val="20"/>
        </w:rPr>
      </w:pPr>
    </w:p>
    <w:p w14:paraId="29AFA856" w14:textId="5DB4D951" w:rsidR="008666D0" w:rsidRPr="008338B8" w:rsidRDefault="00C30043" w:rsidP="0030402E">
      <w:pPr>
        <w:pStyle w:val="BodyText2"/>
        <w:rPr>
          <w:rFonts w:ascii="Arial" w:hAnsi="Arial" w:cs="Arial"/>
          <w:color w:val="242424"/>
          <w:sz w:val="20"/>
          <w:bdr w:val="none" w:sz="0" w:space="0" w:color="auto" w:frame="1"/>
        </w:rPr>
      </w:pPr>
      <w:r w:rsidRPr="008338B8">
        <w:rPr>
          <w:rFonts w:ascii="Arial" w:hAnsi="Arial" w:cs="Arial"/>
          <w:color w:val="242424"/>
          <w:sz w:val="20"/>
          <w:bdr w:val="none" w:sz="0" w:space="0" w:color="auto" w:frame="1"/>
        </w:rPr>
        <w:t>Admissibility Requirements of Investments in Downstream Holding Companies</w:t>
      </w:r>
    </w:p>
    <w:p w14:paraId="73488F79" w14:textId="77777777" w:rsidR="00C30043" w:rsidRPr="008338B8" w:rsidRDefault="00C30043" w:rsidP="0030402E">
      <w:pPr>
        <w:pStyle w:val="BodyText2"/>
        <w:rPr>
          <w:rFonts w:ascii="Arial" w:hAnsi="Arial" w:cs="Arial"/>
          <w:b w:val="0"/>
          <w:bCs w:val="0"/>
          <w:sz w:val="20"/>
        </w:rPr>
      </w:pPr>
    </w:p>
    <w:p w14:paraId="4D2AE765" w14:textId="4DF0CB2F" w:rsidR="008102B1" w:rsidRPr="008338B8" w:rsidRDefault="008666D0" w:rsidP="008338B8">
      <w:pPr>
        <w:pStyle w:val="BodyText2"/>
        <w:numPr>
          <w:ilvl w:val="0"/>
          <w:numId w:val="28"/>
        </w:numPr>
        <w:ind w:left="720" w:firstLine="0"/>
        <w:rPr>
          <w:rFonts w:ascii="Arial" w:hAnsi="Arial" w:cs="Arial"/>
          <w:b w:val="0"/>
          <w:bCs w:val="0"/>
          <w:sz w:val="20"/>
        </w:rPr>
      </w:pPr>
      <w:r w:rsidRPr="008338B8">
        <w:rPr>
          <w:rFonts w:ascii="Arial" w:hAnsi="Arial" w:cs="Arial"/>
          <w:b w:val="0"/>
          <w:bCs w:val="0"/>
          <w:sz w:val="20"/>
        </w:rPr>
        <w:t>To meet the admissibility requirements of this statement, unless the limited exception to the audited financial statements requirement discussed in paragraphs 26 and 27 applies, an annual audit of the financial statements of SCA entities, including the downstream holding company valued under paragraphs 8.b.i through 8.b.iv. must be obtained. The requirement for audited financial statements may be met by utilizing any one of the following methods:</w:t>
      </w:r>
    </w:p>
    <w:p w14:paraId="71E2C8F6" w14:textId="77777777" w:rsidR="00316ABB" w:rsidRPr="008338B8" w:rsidRDefault="00316ABB" w:rsidP="008278C7">
      <w:pPr>
        <w:pStyle w:val="BodyText2"/>
        <w:ind w:left="360"/>
        <w:rPr>
          <w:rFonts w:ascii="Arial" w:hAnsi="Arial" w:cs="Arial"/>
          <w:b w:val="0"/>
          <w:bCs w:val="0"/>
          <w:sz w:val="20"/>
        </w:rPr>
      </w:pPr>
    </w:p>
    <w:p w14:paraId="2ADDE150" w14:textId="77777777" w:rsidR="004F2A87" w:rsidRPr="008338B8" w:rsidRDefault="004F2A87" w:rsidP="003A3FA2">
      <w:pPr>
        <w:pStyle w:val="BodyText2"/>
        <w:numPr>
          <w:ilvl w:val="0"/>
          <w:numId w:val="27"/>
        </w:numPr>
        <w:ind w:left="2160" w:hanging="720"/>
        <w:rPr>
          <w:rFonts w:ascii="Arial" w:hAnsi="Arial" w:cs="Arial"/>
          <w:b w:val="0"/>
          <w:bCs w:val="0"/>
          <w:sz w:val="20"/>
        </w:rPr>
      </w:pPr>
      <w:r w:rsidRPr="008338B8">
        <w:rPr>
          <w:rFonts w:ascii="Arial" w:hAnsi="Arial" w:cs="Arial"/>
          <w:b w:val="0"/>
          <w:bCs w:val="0"/>
          <w:sz w:val="20"/>
        </w:rPr>
        <w:t xml:space="preserve">Audited US GAAP financial statements of the downstream SCA holding company. (Consolidated or combined financial statements are allowed encompassing one or more downstream holding companies, including such holding companies that directly own U.S. insurance entities, provided that the statutory financial statements of such U.S. insurance entities are audited. Annual consolidated or combined audits are allowed for insurance entities if completed in accordance with the Model Regulation Requiring Annual Audited Reports as adopted by the SCA’s domiciliary state.) The audited financial statements of the downstream holding company shall include as other financial information, consolidating or combining balance sheet schedule(s) showing the equity of all relevant SCA entities and non-SCA SSAP No. 48 entities, and any required intercompany eliminations. The consolidating or combining balance sheet schedule shall separately present those entities owned directly by the downstream holding company. The consolidating or combining balance sheet shall then be adjusted for GAAP to SAP differences for paragraph 8.b.i., 8.b.ii. and 8.b.iv. entities owned directly or indirectly by the downstream holding company. The adjusted amount would then be the reported value of the investment in the downstream holding company at the higher-level reporting entity; or  </w:t>
      </w:r>
    </w:p>
    <w:p w14:paraId="788B3F40" w14:textId="77777777" w:rsidR="004F2A87" w:rsidRPr="008338B8" w:rsidRDefault="004F2A87" w:rsidP="004F2A87">
      <w:pPr>
        <w:pStyle w:val="BodyText2"/>
        <w:ind w:left="1080"/>
        <w:rPr>
          <w:rFonts w:ascii="Arial" w:hAnsi="Arial" w:cs="Arial"/>
          <w:b w:val="0"/>
          <w:bCs w:val="0"/>
          <w:sz w:val="20"/>
        </w:rPr>
      </w:pPr>
    </w:p>
    <w:p w14:paraId="17E55C4C" w14:textId="1D198EE2" w:rsidR="001E52E8" w:rsidRPr="008338B8" w:rsidRDefault="00316ABB" w:rsidP="003A3FA2">
      <w:pPr>
        <w:pStyle w:val="BodyText2"/>
        <w:numPr>
          <w:ilvl w:val="0"/>
          <w:numId w:val="27"/>
        </w:numPr>
        <w:ind w:left="2160" w:hanging="720"/>
        <w:rPr>
          <w:rFonts w:ascii="Arial" w:hAnsi="Arial" w:cs="Arial"/>
          <w:b w:val="0"/>
          <w:bCs w:val="0"/>
          <w:sz w:val="20"/>
        </w:rPr>
      </w:pPr>
      <w:r w:rsidRPr="008338B8">
        <w:rPr>
          <w:rFonts w:ascii="Arial" w:hAnsi="Arial" w:cs="Arial"/>
          <w:b w:val="0"/>
          <w:bCs w:val="0"/>
          <w:sz w:val="20"/>
        </w:rPr>
        <w:t xml:space="preserve">Audited foreign GAAP-basis financial statements of the downstream SCA holding company. (Consolidated or combined financial statements are allowed encompassing one or more downstream holding companies, including such holding companies that directly own U.S. insurance entities, provided that the statutory financial statements of such U.S. insurance entities are audited. Annual consolidated or combined audits are allowed for insurance entities if completed in accordance with the Model Regulation Requiring Annual Audited Reports as adopted by the SCA’s domiciliary state.) The audited foreign GAAP basis financial statements shall include an audited footnote disclosure within the financial statements that reconciles each consolidated entity’s net income and equity on a foreign basis of accounting to a U.S. GAAP basis. The audited financial statements of the downstream holding company shall include as other financial information, consolidating or combining balance sheet schedule(s) showing the equity of all relevant SCA entities non-SCA SSAP No. 48 entities, and any required intercompany eliminations. The consolidating or combining balance sheet schedule shall separately present those entities owned directly by the downstream holding company. The consolidating or combining balance sheet shall then be adjusted for GAAP to SAP differences of the insurance entities and paragraph 8.b.ii. and paragraph 8.b.iv. entities owned directly or indirectly by the downstream holding company. The adjusted amount would then be the reported value of the investment in the downstream holding company at the higher-level reporting entity; or  </w:t>
      </w:r>
    </w:p>
    <w:p w14:paraId="449199C4" w14:textId="77777777" w:rsidR="001E52E8" w:rsidRPr="008338B8" w:rsidRDefault="001E52E8" w:rsidP="001E52E8">
      <w:pPr>
        <w:pStyle w:val="BodyText2"/>
        <w:ind w:left="1080"/>
        <w:rPr>
          <w:rFonts w:ascii="Arial" w:hAnsi="Arial" w:cs="Arial"/>
          <w:b w:val="0"/>
          <w:bCs w:val="0"/>
          <w:sz w:val="20"/>
        </w:rPr>
      </w:pPr>
    </w:p>
    <w:p w14:paraId="7391461C" w14:textId="738AA4F8" w:rsidR="00316ABB" w:rsidRPr="008338B8" w:rsidRDefault="00316ABB" w:rsidP="003A3FA2">
      <w:pPr>
        <w:pStyle w:val="BodyText2"/>
        <w:numPr>
          <w:ilvl w:val="0"/>
          <w:numId w:val="27"/>
        </w:numPr>
        <w:ind w:left="2160" w:hanging="720"/>
        <w:rPr>
          <w:rFonts w:ascii="Arial" w:hAnsi="Arial" w:cs="Arial"/>
          <w:b w:val="0"/>
          <w:bCs w:val="0"/>
          <w:sz w:val="20"/>
        </w:rPr>
      </w:pPr>
      <w:r w:rsidRPr="008338B8">
        <w:rPr>
          <w:rFonts w:ascii="Arial" w:hAnsi="Arial" w:cs="Arial"/>
          <w:b w:val="0"/>
          <w:bCs w:val="0"/>
          <w:sz w:val="20"/>
        </w:rPr>
        <w:t xml:space="preserve">Individual audits of the downstream holding company and the downstream holding company’s investments in individual SCA entities. </w:t>
      </w:r>
    </w:p>
    <w:p w14:paraId="2FB30DBD" w14:textId="77777777" w:rsidR="008278C7" w:rsidRPr="008338B8" w:rsidRDefault="008278C7" w:rsidP="00B30CA0">
      <w:pPr>
        <w:pStyle w:val="BodyText2"/>
        <w:rPr>
          <w:rFonts w:ascii="Arial" w:hAnsi="Arial" w:cs="Arial"/>
          <w:b w:val="0"/>
          <w:bCs w:val="0"/>
          <w:sz w:val="20"/>
        </w:rPr>
      </w:pPr>
    </w:p>
    <w:p w14:paraId="79DD8020" w14:textId="7F8C0514" w:rsidR="000B4117" w:rsidRPr="00DE54DB" w:rsidRDefault="000B4117" w:rsidP="008338B8">
      <w:pPr>
        <w:pStyle w:val="ListParagraph"/>
        <w:numPr>
          <w:ilvl w:val="0"/>
          <w:numId w:val="28"/>
        </w:numPr>
        <w:ind w:left="720" w:firstLine="0"/>
        <w:jc w:val="both"/>
        <w:rPr>
          <w:rFonts w:ascii="Arial" w:hAnsi="Arial" w:cs="Arial"/>
          <w:b/>
          <w:sz w:val="20"/>
          <w:szCs w:val="20"/>
        </w:rPr>
      </w:pPr>
      <w:r w:rsidRPr="00DE54DB">
        <w:rPr>
          <w:rFonts w:ascii="Arial" w:hAnsi="Arial" w:cs="Arial"/>
          <w:b/>
          <w:sz w:val="20"/>
          <w:szCs w:val="20"/>
        </w:rPr>
        <w:t>If the downstream noninsurance holding company does not meet the requirements of paragraph 26, audited GAAP financial statements, as described in paragraph 23, are required for the downstream noninsurance holding company and its SCA and non-SCA investments in order for the investment in the downstream noninsurance holding company to be classified as an admitted asset.</w:t>
      </w:r>
    </w:p>
    <w:p w14:paraId="2D53643E" w14:textId="77777777" w:rsidR="004816DF" w:rsidRPr="008338B8" w:rsidRDefault="004816DF" w:rsidP="008338B8">
      <w:pPr>
        <w:pStyle w:val="ListParagraph"/>
        <w:jc w:val="both"/>
        <w:rPr>
          <w:rFonts w:ascii="Arial" w:hAnsi="Arial" w:cs="Arial"/>
          <w:sz w:val="20"/>
          <w:szCs w:val="20"/>
        </w:rPr>
      </w:pPr>
    </w:p>
    <w:p w14:paraId="67388D27" w14:textId="5FF5CD23" w:rsidR="00CC5F43" w:rsidRPr="0018101F" w:rsidRDefault="0018101F" w:rsidP="0018101F">
      <w:pPr>
        <w:pStyle w:val="ListParagraph"/>
        <w:numPr>
          <w:ilvl w:val="0"/>
          <w:numId w:val="28"/>
        </w:numPr>
        <w:ind w:left="720" w:firstLine="0"/>
        <w:jc w:val="both"/>
        <w:rPr>
          <w:rFonts w:ascii="Arial" w:hAnsi="Arial" w:cs="Arial"/>
          <w:sz w:val="20"/>
          <w:szCs w:val="20"/>
        </w:rPr>
      </w:pPr>
      <w:r w:rsidRPr="0018101F">
        <w:rPr>
          <w:rFonts w:ascii="Arial" w:hAnsi="Arial" w:cs="Arial"/>
          <w:sz w:val="20"/>
          <w:szCs w:val="20"/>
        </w:rPr>
        <w:t>A purchased downstream holding company is valued in accordance with the provisions of paragraphs 22-25 and the provisions of SSAP No. 68.</w:t>
      </w:r>
    </w:p>
    <w:p w14:paraId="4A41883C" w14:textId="77777777" w:rsidR="000B4117" w:rsidRPr="008338B8" w:rsidRDefault="000B4117" w:rsidP="00B30CA0">
      <w:pPr>
        <w:pStyle w:val="BodyText2"/>
        <w:rPr>
          <w:rFonts w:ascii="Arial" w:hAnsi="Arial" w:cs="Arial"/>
          <w:b w:val="0"/>
          <w:bCs w:val="0"/>
          <w:sz w:val="20"/>
        </w:rPr>
      </w:pPr>
    </w:p>
    <w:p w14:paraId="4DA5869A" w14:textId="77777777" w:rsidR="000054FE" w:rsidRPr="008338B8" w:rsidRDefault="000054FE" w:rsidP="000054FE">
      <w:pPr>
        <w:rPr>
          <w:rFonts w:ascii="Arial" w:hAnsi="Arial" w:cs="Arial"/>
          <w:sz w:val="20"/>
          <w:szCs w:val="20"/>
        </w:rPr>
      </w:pPr>
      <w:r w:rsidRPr="008338B8">
        <w:rPr>
          <w:rFonts w:ascii="Arial" w:hAnsi="Arial" w:cs="Arial"/>
          <w:b/>
          <w:bCs/>
          <w:sz w:val="20"/>
          <w:szCs w:val="20"/>
        </w:rPr>
        <w:t xml:space="preserve">Limited Exceptions to the Audit Requirements for Downstream Noninsurance Holding Companies </w:t>
      </w:r>
      <w:r w:rsidRPr="008338B8">
        <w:rPr>
          <w:rFonts w:ascii="Arial" w:hAnsi="Arial" w:cs="Arial"/>
          <w:sz w:val="20"/>
          <w:szCs w:val="20"/>
        </w:rPr>
        <w:t xml:space="preserve"> </w:t>
      </w:r>
    </w:p>
    <w:p w14:paraId="03662897" w14:textId="77777777" w:rsidR="009E5D8C" w:rsidRPr="008338B8" w:rsidRDefault="009E5D8C" w:rsidP="000054FE">
      <w:pPr>
        <w:rPr>
          <w:rFonts w:ascii="Arial" w:hAnsi="Arial" w:cs="Arial"/>
          <w:sz w:val="20"/>
          <w:szCs w:val="20"/>
        </w:rPr>
      </w:pPr>
    </w:p>
    <w:p w14:paraId="622999E9" w14:textId="34C2A5E7" w:rsidR="000054FE" w:rsidRPr="008338B8" w:rsidRDefault="000054FE" w:rsidP="000054FE">
      <w:pPr>
        <w:ind w:left="720"/>
        <w:jc w:val="both"/>
        <w:rPr>
          <w:rFonts w:ascii="Arial" w:hAnsi="Arial" w:cs="Arial"/>
          <w:sz w:val="20"/>
          <w:szCs w:val="20"/>
        </w:rPr>
      </w:pPr>
      <w:r w:rsidRPr="008338B8">
        <w:rPr>
          <w:rFonts w:ascii="Arial" w:hAnsi="Arial" w:cs="Arial"/>
          <w:sz w:val="20"/>
          <w:szCs w:val="20"/>
        </w:rPr>
        <w:t xml:space="preserve">26. </w:t>
      </w:r>
      <w:r w:rsidRPr="008338B8">
        <w:rPr>
          <w:rFonts w:ascii="Arial" w:hAnsi="Arial" w:cs="Arial"/>
          <w:sz w:val="20"/>
          <w:szCs w:val="20"/>
        </w:rPr>
        <w:tab/>
        <w:t xml:space="preserve">This statement requires that investments in SCA entities be recorded using one of the valuation methods described in paragraph 8 in order to be admitted assets. Each of the paragraph 8.b. valuation methods require the financial statements of SCA entities, including downstream noninsurance holding companies, to be audited in order for the investments in SCA entities to be admitted assets. Likewise, SSAP No. 48 requires the financial statements of joint ventures, partnerships, and/or limited liability companies in which the downstream noninsurance holding company has a minor ownership interest or otherwise lacks control, i.e., ownership interest is less than 10% to be audited (U.S. GAAP) in order to be admitted assets. </w:t>
      </w:r>
      <w:r w:rsidRPr="008338B8">
        <w:rPr>
          <w:rFonts w:ascii="Arial" w:hAnsi="Arial" w:cs="Arial"/>
          <w:b/>
          <w:bCs/>
          <w:sz w:val="20"/>
          <w:szCs w:val="20"/>
        </w:rPr>
        <w:t>There is a limited exception to the requirement to have audited financial statements of a downstream noninsurance holding company, provided that the entities owned by the downstream noninsurance holding company (paragraph 8.b.iii. entity) have audited financial statements as described in paragraphs 26 and 27.</w:t>
      </w:r>
      <w:r w:rsidRPr="008338B8">
        <w:rPr>
          <w:rFonts w:ascii="Arial" w:hAnsi="Arial" w:cs="Arial"/>
          <w:sz w:val="20"/>
          <w:szCs w:val="20"/>
        </w:rPr>
        <w:t xml:space="preserve"> </w:t>
      </w:r>
    </w:p>
    <w:p w14:paraId="4FC124D0" w14:textId="77777777" w:rsidR="000054FE" w:rsidRPr="008338B8" w:rsidRDefault="000054FE" w:rsidP="000054FE">
      <w:pPr>
        <w:ind w:left="720"/>
        <w:jc w:val="both"/>
        <w:rPr>
          <w:rFonts w:ascii="Arial" w:hAnsi="Arial" w:cs="Arial"/>
          <w:sz w:val="20"/>
          <w:szCs w:val="20"/>
        </w:rPr>
      </w:pPr>
    </w:p>
    <w:p w14:paraId="710262EC" w14:textId="77777777" w:rsidR="000054FE" w:rsidRPr="008338B8" w:rsidRDefault="000054FE" w:rsidP="000054FE">
      <w:pPr>
        <w:ind w:left="720"/>
        <w:jc w:val="both"/>
        <w:rPr>
          <w:rFonts w:ascii="Arial" w:hAnsi="Arial" w:cs="Arial"/>
          <w:sz w:val="20"/>
          <w:szCs w:val="20"/>
        </w:rPr>
      </w:pPr>
      <w:r w:rsidRPr="008338B8">
        <w:rPr>
          <w:rFonts w:ascii="Arial" w:hAnsi="Arial" w:cs="Arial"/>
          <w:sz w:val="20"/>
          <w:szCs w:val="20"/>
        </w:rPr>
        <w:t xml:space="preserve">27. </w:t>
      </w:r>
      <w:r w:rsidRPr="008338B8">
        <w:rPr>
          <w:rFonts w:ascii="Arial" w:hAnsi="Arial" w:cs="Arial"/>
          <w:sz w:val="20"/>
          <w:szCs w:val="20"/>
        </w:rPr>
        <w:tab/>
        <w:t xml:space="preserve">The process of admitting audited investments in entities owned by an unaudited downstream noninsurance holding company SCA entity will be known as a “look through.” In order to admit the investments in audited SCAs or the audited non-SCA SSAP No. 48 entities owned by an unaudited downstream noninsurance holding company, a reporting entity may apply the look through approach, provided all of the following conditions are met: </w:t>
      </w:r>
    </w:p>
    <w:p w14:paraId="018D0091" w14:textId="77777777" w:rsidR="00DD0974" w:rsidRPr="008338B8" w:rsidRDefault="00DD0974" w:rsidP="000054FE">
      <w:pPr>
        <w:ind w:left="720"/>
        <w:jc w:val="both"/>
        <w:rPr>
          <w:rFonts w:ascii="Arial" w:hAnsi="Arial" w:cs="Arial"/>
          <w:sz w:val="20"/>
          <w:szCs w:val="20"/>
        </w:rPr>
      </w:pPr>
    </w:p>
    <w:p w14:paraId="0399EB6D" w14:textId="4AC60C5D" w:rsidR="000054FE" w:rsidRPr="008338B8" w:rsidRDefault="000054FE" w:rsidP="000054FE">
      <w:pPr>
        <w:ind w:left="720" w:firstLine="720"/>
        <w:jc w:val="both"/>
        <w:rPr>
          <w:rFonts w:ascii="Arial" w:hAnsi="Arial" w:cs="Arial"/>
          <w:sz w:val="20"/>
          <w:szCs w:val="20"/>
        </w:rPr>
      </w:pPr>
      <w:r w:rsidRPr="008338B8">
        <w:rPr>
          <w:rFonts w:ascii="Arial" w:hAnsi="Arial" w:cs="Arial"/>
          <w:sz w:val="20"/>
          <w:szCs w:val="20"/>
        </w:rPr>
        <w:t xml:space="preserve">a. </w:t>
      </w:r>
      <w:r w:rsidR="0092759F" w:rsidRPr="008338B8">
        <w:rPr>
          <w:rFonts w:ascii="Arial" w:hAnsi="Arial" w:cs="Arial"/>
          <w:sz w:val="20"/>
          <w:szCs w:val="20"/>
        </w:rPr>
        <w:tab/>
      </w:r>
      <w:r w:rsidRPr="008338B8">
        <w:rPr>
          <w:rFonts w:ascii="Arial" w:hAnsi="Arial" w:cs="Arial"/>
          <w:sz w:val="20"/>
          <w:szCs w:val="20"/>
        </w:rPr>
        <w:t xml:space="preserve">The downstream noninsurance holding company is an 8.b.iii entity, and  </w:t>
      </w:r>
    </w:p>
    <w:p w14:paraId="4071EED9" w14:textId="77777777" w:rsidR="000054FE" w:rsidRPr="008338B8" w:rsidRDefault="000054FE" w:rsidP="000054FE">
      <w:pPr>
        <w:jc w:val="both"/>
        <w:rPr>
          <w:rFonts w:ascii="Arial" w:hAnsi="Arial" w:cs="Arial"/>
          <w:sz w:val="20"/>
          <w:szCs w:val="20"/>
        </w:rPr>
      </w:pPr>
    </w:p>
    <w:p w14:paraId="42E97975" w14:textId="2AD53B0E" w:rsidR="000054FE" w:rsidRPr="008338B8" w:rsidRDefault="000054FE" w:rsidP="0092759F">
      <w:pPr>
        <w:ind w:left="2160" w:hanging="720"/>
        <w:jc w:val="both"/>
        <w:rPr>
          <w:rFonts w:ascii="Arial" w:hAnsi="Arial" w:cs="Arial"/>
          <w:sz w:val="20"/>
          <w:szCs w:val="20"/>
        </w:rPr>
      </w:pPr>
      <w:r w:rsidRPr="008338B8">
        <w:rPr>
          <w:rFonts w:ascii="Arial" w:hAnsi="Arial" w:cs="Arial"/>
          <w:sz w:val="20"/>
          <w:szCs w:val="20"/>
        </w:rPr>
        <w:t xml:space="preserve">b. </w:t>
      </w:r>
      <w:r w:rsidR="0092759F" w:rsidRPr="008338B8">
        <w:rPr>
          <w:rFonts w:ascii="Arial" w:hAnsi="Arial" w:cs="Arial"/>
          <w:sz w:val="20"/>
          <w:szCs w:val="20"/>
        </w:rPr>
        <w:tab/>
      </w:r>
      <w:r w:rsidRPr="008338B8">
        <w:rPr>
          <w:rFonts w:ascii="Arial" w:hAnsi="Arial" w:cs="Arial"/>
          <w:sz w:val="20"/>
          <w:szCs w:val="20"/>
        </w:rPr>
        <w:t xml:space="preserve">The downstream noninsurance holding company does not own any other assets which are material to the downstream holding company other than the audited SCA entities and/or audited non-SCA SSAP No. 48 entities, and  </w:t>
      </w:r>
    </w:p>
    <w:p w14:paraId="1D2F27D1" w14:textId="77777777" w:rsidR="000054FE" w:rsidRPr="008338B8" w:rsidRDefault="000054FE" w:rsidP="000054FE">
      <w:pPr>
        <w:jc w:val="both"/>
        <w:rPr>
          <w:rFonts w:ascii="Arial" w:hAnsi="Arial" w:cs="Arial"/>
          <w:sz w:val="20"/>
          <w:szCs w:val="20"/>
        </w:rPr>
      </w:pPr>
    </w:p>
    <w:p w14:paraId="1FD689AF" w14:textId="5F2794F0" w:rsidR="0092759F" w:rsidRPr="008338B8" w:rsidRDefault="000054FE" w:rsidP="00D6469D">
      <w:pPr>
        <w:pStyle w:val="ListParagraph"/>
        <w:numPr>
          <w:ilvl w:val="0"/>
          <w:numId w:val="27"/>
        </w:numPr>
        <w:ind w:left="2160" w:hanging="720"/>
        <w:jc w:val="both"/>
        <w:rPr>
          <w:rFonts w:ascii="Arial" w:hAnsi="Arial" w:cs="Arial"/>
          <w:sz w:val="20"/>
          <w:szCs w:val="20"/>
        </w:rPr>
      </w:pPr>
      <w:r w:rsidRPr="008338B8">
        <w:rPr>
          <w:rFonts w:ascii="Arial" w:hAnsi="Arial" w:cs="Arial"/>
          <w:sz w:val="20"/>
          <w:szCs w:val="20"/>
        </w:rPr>
        <w:t xml:space="preserve">The downstream noninsurance holding company is not subject to liabilities, commitments, contingencies, guarantees or obligations which are material to the downstream noninsurance holding company. </w:t>
      </w:r>
    </w:p>
    <w:p w14:paraId="7326C354" w14:textId="77777777" w:rsidR="0092759F" w:rsidRPr="008338B8" w:rsidRDefault="0092759F" w:rsidP="0092759F">
      <w:pPr>
        <w:pStyle w:val="ListParagraph"/>
        <w:ind w:left="1800"/>
        <w:jc w:val="both"/>
        <w:rPr>
          <w:rFonts w:ascii="Arial" w:hAnsi="Arial" w:cs="Arial"/>
          <w:sz w:val="20"/>
          <w:szCs w:val="20"/>
        </w:rPr>
      </w:pPr>
    </w:p>
    <w:p w14:paraId="11E55493" w14:textId="738C946B" w:rsidR="000054FE" w:rsidRPr="008338B8" w:rsidRDefault="000054FE" w:rsidP="0092759F">
      <w:pPr>
        <w:ind w:left="720"/>
        <w:jc w:val="both"/>
        <w:rPr>
          <w:rFonts w:ascii="Arial" w:hAnsi="Arial" w:cs="Arial"/>
          <w:sz w:val="20"/>
          <w:szCs w:val="20"/>
        </w:rPr>
      </w:pPr>
      <w:r w:rsidRPr="008338B8">
        <w:rPr>
          <w:rFonts w:ascii="Arial" w:hAnsi="Arial" w:cs="Arial"/>
          <w:sz w:val="20"/>
          <w:szCs w:val="20"/>
        </w:rPr>
        <w:t xml:space="preserve">If an investment in a downstream noninsurance holding company meets the requirements set forth above, the reporting entity can admit the individual audited SCA entities and/or audited non-SCA SSAP No. 48 entities; however, unaudited immaterial assets of the downstream noninsurance holding company are to be carried at the lesser of the paragraph 8 valuation or nonadmitted (e.g. some equity method investments are required to be carried at a negative value due to either statutory adjustments or to parental obligations to keep funding the subsidiary). If a holding company structure has more than one downstream non-insurance holding company, each downstream non-insurance holding company may be looked through, provided each downstream non-insurance holding company meets all of the conditions in paragraph 27.  </w:t>
      </w:r>
    </w:p>
    <w:p w14:paraId="096A1CD9" w14:textId="77777777" w:rsidR="000054FE" w:rsidRDefault="000054FE" w:rsidP="00B30CA0">
      <w:pPr>
        <w:pStyle w:val="BodyText2"/>
        <w:rPr>
          <w:b w:val="0"/>
          <w:bCs w:val="0"/>
          <w:szCs w:val="22"/>
        </w:rPr>
      </w:pPr>
    </w:p>
    <w:p w14:paraId="0BDB1F1A" w14:textId="77777777" w:rsidR="002A1316" w:rsidRPr="00016321" w:rsidRDefault="002A1316" w:rsidP="00B30CA0">
      <w:pPr>
        <w:pStyle w:val="BodyText2"/>
        <w:rPr>
          <w:szCs w:val="22"/>
        </w:rPr>
      </w:pPr>
      <w:r w:rsidRPr="00016321">
        <w:rPr>
          <w:szCs w:val="22"/>
        </w:rPr>
        <w:t xml:space="preserve">Activity to Date (issues previously addressed by </w:t>
      </w:r>
      <w:r w:rsidR="006B37DD" w:rsidRPr="00016321">
        <w:rPr>
          <w:szCs w:val="22"/>
        </w:rPr>
        <w:t xml:space="preserve">the </w:t>
      </w:r>
      <w:r w:rsidR="00004652">
        <w:rPr>
          <w:szCs w:val="22"/>
        </w:rPr>
        <w:t>Working Group</w:t>
      </w:r>
      <w:r w:rsidRPr="00016321">
        <w:rPr>
          <w:szCs w:val="22"/>
        </w:rPr>
        <w:t xml:space="preserve">, Emerging Accounting Issues </w:t>
      </w:r>
      <w:r w:rsidR="00004652">
        <w:rPr>
          <w:szCs w:val="22"/>
        </w:rPr>
        <w:t>(E) Working Group</w:t>
      </w:r>
      <w:r w:rsidRPr="00016321">
        <w:rPr>
          <w:szCs w:val="22"/>
        </w:rPr>
        <w:t>, SEC, FASB, other State Departments of Insurance or other NAIC groups):</w:t>
      </w:r>
      <w:r w:rsidR="004E2BB9" w:rsidRPr="00016321">
        <w:rPr>
          <w:szCs w:val="22"/>
        </w:rPr>
        <w:t xml:space="preserve"> </w:t>
      </w:r>
      <w:r w:rsidR="004E2BB9" w:rsidRPr="00016321">
        <w:rPr>
          <w:b w:val="0"/>
          <w:szCs w:val="22"/>
        </w:rPr>
        <w:t>None</w:t>
      </w:r>
    </w:p>
    <w:p w14:paraId="7044CD15" w14:textId="77777777" w:rsidR="00A202AF" w:rsidRPr="00016321" w:rsidRDefault="00A202AF" w:rsidP="00706B68">
      <w:pPr>
        <w:pStyle w:val="BodyText2"/>
        <w:rPr>
          <w:rFonts w:eastAsia="MS Mincho"/>
          <w:b w:val="0"/>
          <w:szCs w:val="22"/>
          <w:lang w:eastAsia="ja-JP"/>
        </w:rPr>
      </w:pPr>
    </w:p>
    <w:p w14:paraId="1A7C9804" w14:textId="37F353B2" w:rsidR="002A1316" w:rsidRPr="00016321" w:rsidRDefault="002A1316" w:rsidP="00B30CA0">
      <w:pPr>
        <w:pStyle w:val="BodyText"/>
        <w:rPr>
          <w:b/>
          <w:sz w:val="22"/>
          <w:szCs w:val="22"/>
        </w:rPr>
      </w:pPr>
      <w:r w:rsidRPr="00016321">
        <w:rPr>
          <w:b/>
          <w:sz w:val="22"/>
          <w:szCs w:val="22"/>
        </w:rPr>
        <w:t xml:space="preserve">Information or </w:t>
      </w:r>
      <w:r w:rsidR="00DF407B">
        <w:rPr>
          <w:b/>
          <w:sz w:val="22"/>
          <w:szCs w:val="22"/>
        </w:rPr>
        <w:t>i</w:t>
      </w:r>
      <w:r w:rsidRPr="00016321">
        <w:rPr>
          <w:b/>
          <w:sz w:val="22"/>
          <w:szCs w:val="22"/>
        </w:rPr>
        <w:t xml:space="preserve">ssues (included in </w:t>
      </w:r>
      <w:r w:rsidRPr="00016321">
        <w:rPr>
          <w:b/>
          <w:i/>
          <w:sz w:val="22"/>
          <w:szCs w:val="22"/>
        </w:rPr>
        <w:t>Description of Issue</w:t>
      </w:r>
      <w:r w:rsidRPr="00016321">
        <w:rPr>
          <w:b/>
          <w:sz w:val="22"/>
          <w:szCs w:val="22"/>
        </w:rPr>
        <w:t xml:space="preserve">) not previously contemplated by the </w:t>
      </w:r>
      <w:r w:rsidR="00004652">
        <w:rPr>
          <w:b/>
          <w:sz w:val="22"/>
          <w:szCs w:val="22"/>
        </w:rPr>
        <w:t>Working Group</w:t>
      </w:r>
      <w:r w:rsidRPr="00016321">
        <w:rPr>
          <w:b/>
          <w:sz w:val="22"/>
          <w:szCs w:val="22"/>
        </w:rPr>
        <w:t>:</w:t>
      </w:r>
    </w:p>
    <w:p w14:paraId="38E08ED2" w14:textId="77777777" w:rsidR="002A1316" w:rsidRPr="00016321" w:rsidRDefault="00FE7FAA" w:rsidP="00B30CA0">
      <w:pPr>
        <w:pStyle w:val="BodyText"/>
        <w:rPr>
          <w:bCs/>
          <w:sz w:val="22"/>
          <w:szCs w:val="22"/>
        </w:rPr>
      </w:pPr>
      <w:r w:rsidRPr="00016321">
        <w:rPr>
          <w:bCs/>
          <w:sz w:val="22"/>
          <w:szCs w:val="22"/>
        </w:rPr>
        <w:t>None</w:t>
      </w:r>
    </w:p>
    <w:p w14:paraId="19D3DF10" w14:textId="77777777" w:rsidR="006B37DD" w:rsidRPr="00016321" w:rsidRDefault="006B37DD" w:rsidP="00B30CA0">
      <w:pPr>
        <w:pStyle w:val="BodyText2"/>
        <w:rPr>
          <w:b w:val="0"/>
          <w:bCs w:val="0"/>
          <w:szCs w:val="22"/>
        </w:rPr>
      </w:pPr>
    </w:p>
    <w:p w14:paraId="70213B4E" w14:textId="4F214FF9" w:rsidR="00490996" w:rsidRPr="00016321" w:rsidRDefault="00490996" w:rsidP="00490996">
      <w:pPr>
        <w:pStyle w:val="Default"/>
        <w:rPr>
          <w:b/>
          <w:sz w:val="22"/>
          <w:szCs w:val="22"/>
        </w:rPr>
      </w:pPr>
      <w:r w:rsidRPr="00016321">
        <w:rPr>
          <w:b/>
          <w:sz w:val="22"/>
          <w:szCs w:val="22"/>
        </w:rPr>
        <w:t>Convergence with International Financial Reporting Standards (IFRS):</w:t>
      </w:r>
      <w:r w:rsidR="00873E96">
        <w:rPr>
          <w:b/>
          <w:sz w:val="22"/>
          <w:szCs w:val="22"/>
        </w:rPr>
        <w:t xml:space="preserve"> </w:t>
      </w:r>
      <w:r w:rsidR="00873E96" w:rsidRPr="00237383">
        <w:rPr>
          <w:bCs/>
          <w:sz w:val="22"/>
          <w:szCs w:val="22"/>
        </w:rPr>
        <w:t>N</w:t>
      </w:r>
      <w:r w:rsidR="00873E96">
        <w:rPr>
          <w:bCs/>
          <w:sz w:val="22"/>
          <w:szCs w:val="22"/>
        </w:rPr>
        <w:t>/</w:t>
      </w:r>
      <w:r w:rsidR="00873E96" w:rsidRPr="00237383">
        <w:rPr>
          <w:bCs/>
          <w:sz w:val="22"/>
          <w:szCs w:val="22"/>
        </w:rPr>
        <w:t>A</w:t>
      </w:r>
    </w:p>
    <w:p w14:paraId="45ED1F04" w14:textId="77777777" w:rsidR="006B37DD" w:rsidRPr="00016321" w:rsidRDefault="006B37DD" w:rsidP="00490996">
      <w:pPr>
        <w:pStyle w:val="BodyText2"/>
        <w:rPr>
          <w:b w:val="0"/>
          <w:bCs w:val="0"/>
          <w:szCs w:val="22"/>
        </w:rPr>
      </w:pPr>
    </w:p>
    <w:p w14:paraId="541A77E0" w14:textId="1ED6E6FF" w:rsidR="000E16CA" w:rsidRPr="00016321" w:rsidRDefault="002A1316" w:rsidP="004E2BB9">
      <w:pPr>
        <w:pStyle w:val="BodyText2"/>
        <w:rPr>
          <w:rFonts w:ascii="Arial" w:hAnsi="Arial" w:cs="Arial"/>
          <w:b w:val="0"/>
          <w:szCs w:val="22"/>
        </w:rPr>
      </w:pPr>
      <w:r w:rsidRPr="00016321">
        <w:rPr>
          <w:szCs w:val="22"/>
        </w:rPr>
        <w:t>Staff Recommendatio</w:t>
      </w:r>
      <w:r w:rsidRPr="00943569">
        <w:rPr>
          <w:szCs w:val="22"/>
        </w:rPr>
        <w:t>n:</w:t>
      </w:r>
      <w:r w:rsidR="004128F1" w:rsidRPr="00943569">
        <w:rPr>
          <w:szCs w:val="22"/>
        </w:rPr>
        <w:t xml:space="preserve"> NAIC s</w:t>
      </w:r>
      <w:r w:rsidR="00761440" w:rsidRPr="00943569">
        <w:rPr>
          <w:szCs w:val="22"/>
        </w:rPr>
        <w:t>taff recommends</w:t>
      </w:r>
      <w:r w:rsidR="00D924B0" w:rsidRPr="00943569">
        <w:rPr>
          <w:szCs w:val="22"/>
        </w:rPr>
        <w:t xml:space="preserve"> that the Working Group move this item to the active listing</w:t>
      </w:r>
      <w:r w:rsidR="00761440" w:rsidRPr="00943569">
        <w:rPr>
          <w:szCs w:val="22"/>
        </w:rPr>
        <w:t xml:space="preserve">, categorized as </w:t>
      </w:r>
      <w:r w:rsidR="00806FC1" w:rsidRPr="00943569">
        <w:rPr>
          <w:szCs w:val="22"/>
        </w:rPr>
        <w:t>a</w:t>
      </w:r>
      <w:r w:rsidR="00E01062" w:rsidRPr="00943569">
        <w:rPr>
          <w:szCs w:val="22"/>
        </w:rPr>
        <w:t xml:space="preserve"> SAP</w:t>
      </w:r>
      <w:r w:rsidR="00806FC1" w:rsidRPr="00943569">
        <w:rPr>
          <w:szCs w:val="22"/>
        </w:rPr>
        <w:t xml:space="preserve"> </w:t>
      </w:r>
      <w:r w:rsidR="00E01062" w:rsidRPr="00943569">
        <w:rPr>
          <w:szCs w:val="22"/>
        </w:rPr>
        <w:t>clarification</w:t>
      </w:r>
      <w:r w:rsidR="007646F6" w:rsidRPr="00943569">
        <w:rPr>
          <w:szCs w:val="22"/>
        </w:rPr>
        <w:t>,</w:t>
      </w:r>
      <w:r w:rsidR="00E01062" w:rsidRPr="00943569">
        <w:rPr>
          <w:szCs w:val="22"/>
        </w:rPr>
        <w:t xml:space="preserve"> </w:t>
      </w:r>
      <w:r w:rsidR="00D924B0" w:rsidRPr="00943569">
        <w:rPr>
          <w:szCs w:val="22"/>
        </w:rPr>
        <w:t xml:space="preserve">and expose revisions to </w:t>
      </w:r>
      <w:r w:rsidR="00FD68AB" w:rsidRPr="00C00A97">
        <w:rPr>
          <w:i/>
          <w:iCs/>
          <w:szCs w:val="22"/>
        </w:rPr>
        <w:t>SSAP No. 97</w:t>
      </w:r>
      <w:r w:rsidR="00326AC1" w:rsidRPr="00C00A97">
        <w:rPr>
          <w:i/>
          <w:iCs/>
          <w:szCs w:val="22"/>
        </w:rPr>
        <w:t>—</w:t>
      </w:r>
      <w:r w:rsidR="00FD68AB" w:rsidRPr="00C00A97">
        <w:rPr>
          <w:i/>
          <w:iCs/>
          <w:szCs w:val="22"/>
        </w:rPr>
        <w:t xml:space="preserve">Subsidiary, Controlled and Affiliated </w:t>
      </w:r>
      <w:r w:rsidR="00F105EA" w:rsidRPr="00C00A97">
        <w:rPr>
          <w:i/>
          <w:iCs/>
          <w:szCs w:val="22"/>
        </w:rPr>
        <w:t>Entities</w:t>
      </w:r>
      <w:r w:rsidR="00F105EA" w:rsidRPr="00943569">
        <w:rPr>
          <w:szCs w:val="22"/>
        </w:rPr>
        <w:t xml:space="preserve"> to revise </w:t>
      </w:r>
      <w:r w:rsidR="00F12B04" w:rsidRPr="00943569">
        <w:rPr>
          <w:szCs w:val="22"/>
        </w:rPr>
        <w:t>paragraph 24 language</w:t>
      </w:r>
      <w:r w:rsidR="00943569" w:rsidRPr="00943569">
        <w:rPr>
          <w:szCs w:val="22"/>
        </w:rPr>
        <w:t xml:space="preserve"> to better align it with the existing guidance provided in paragraph</w:t>
      </w:r>
      <w:r w:rsidR="00736456">
        <w:rPr>
          <w:szCs w:val="22"/>
        </w:rPr>
        <w:t>s 26 and</w:t>
      </w:r>
      <w:r w:rsidR="00943569" w:rsidRPr="00943569">
        <w:rPr>
          <w:szCs w:val="22"/>
        </w:rPr>
        <w:t xml:space="preserve"> 27.</w:t>
      </w:r>
      <w:r w:rsidR="00F12B04" w:rsidRPr="00943569">
        <w:rPr>
          <w:szCs w:val="22"/>
        </w:rPr>
        <w:t xml:space="preserve"> </w:t>
      </w:r>
    </w:p>
    <w:p w14:paraId="1675B0C9" w14:textId="77777777" w:rsidR="00984FA6" w:rsidRDefault="00984FA6" w:rsidP="00B30CA0">
      <w:pPr>
        <w:pStyle w:val="BodyText2"/>
        <w:rPr>
          <w:b w:val="0"/>
          <w:bCs w:val="0"/>
          <w:szCs w:val="22"/>
        </w:rPr>
      </w:pPr>
    </w:p>
    <w:p w14:paraId="496842F2" w14:textId="6D09831A" w:rsidR="000E69A5" w:rsidRPr="00D660E0" w:rsidRDefault="000E69A5" w:rsidP="00B30CA0">
      <w:pPr>
        <w:pStyle w:val="BodyText2"/>
        <w:rPr>
          <w:szCs w:val="22"/>
        </w:rPr>
      </w:pPr>
      <w:r w:rsidRPr="00C30043">
        <w:rPr>
          <w:szCs w:val="22"/>
        </w:rPr>
        <w:t xml:space="preserve">Proposed edits to SSAP </w:t>
      </w:r>
      <w:r w:rsidR="00C30043" w:rsidRPr="00C30043">
        <w:rPr>
          <w:szCs w:val="22"/>
        </w:rPr>
        <w:t>No. 97:</w:t>
      </w:r>
    </w:p>
    <w:p w14:paraId="5AE8586A" w14:textId="77777777" w:rsidR="00C30043" w:rsidRPr="00C30043" w:rsidRDefault="00C30043" w:rsidP="00C30043">
      <w:pPr>
        <w:shd w:val="clear" w:color="auto" w:fill="FFFFFF"/>
        <w:ind w:left="1440" w:hanging="720"/>
        <w:jc w:val="both"/>
        <w:rPr>
          <w:rFonts w:ascii="Arial" w:hAnsi="Arial" w:cs="Arial"/>
          <w:color w:val="242424"/>
          <w:sz w:val="20"/>
          <w:szCs w:val="20"/>
        </w:rPr>
      </w:pPr>
    </w:p>
    <w:p w14:paraId="468FFC3F" w14:textId="77777777" w:rsidR="00C30043" w:rsidRPr="00C30043" w:rsidRDefault="00C30043" w:rsidP="00C30043">
      <w:pPr>
        <w:numPr>
          <w:ilvl w:val="0"/>
          <w:numId w:val="30"/>
        </w:numPr>
        <w:shd w:val="clear" w:color="auto" w:fill="FFFFFF"/>
        <w:jc w:val="both"/>
        <w:rPr>
          <w:rFonts w:ascii="Arial" w:hAnsi="Arial" w:cs="Arial"/>
          <w:color w:val="242424"/>
          <w:sz w:val="20"/>
          <w:szCs w:val="20"/>
        </w:rPr>
      </w:pPr>
      <w:r w:rsidRPr="00C30043">
        <w:rPr>
          <w:rFonts w:ascii="Arial" w:hAnsi="Arial" w:cs="Arial"/>
          <w:color w:val="242424"/>
          <w:sz w:val="20"/>
          <w:szCs w:val="20"/>
        </w:rPr>
        <w:t>If the downstream noninsurance holding company does not meet the requirements of paragraph 26, audited GAAP financial statements, as described in paragraph 23, are required</w:t>
      </w:r>
      <w:r w:rsidRPr="00C30043">
        <w:rPr>
          <w:rFonts w:ascii="Arial" w:hAnsi="Arial" w:cs="Arial"/>
          <w:strike/>
          <w:color w:val="FF0000"/>
          <w:sz w:val="20"/>
          <w:szCs w:val="20"/>
          <w:bdr w:val="none" w:sz="0" w:space="0" w:color="auto" w:frame="1"/>
        </w:rPr>
        <w:t>. for the downstream noninsurance holding company and its SCA and non-SCA investments</w:t>
      </w:r>
      <w:r w:rsidRPr="00C30043">
        <w:rPr>
          <w:rFonts w:ascii="Arial" w:hAnsi="Arial" w:cs="Arial"/>
          <w:color w:val="FF0000"/>
          <w:sz w:val="20"/>
          <w:szCs w:val="20"/>
          <w:bdr w:val="none" w:sz="0" w:space="0" w:color="auto" w:frame="1"/>
        </w:rPr>
        <w:t> </w:t>
      </w:r>
      <w:r w:rsidRPr="00C30043">
        <w:rPr>
          <w:rFonts w:ascii="Arial" w:hAnsi="Arial" w:cs="Arial"/>
          <w:color w:val="242424"/>
          <w:sz w:val="20"/>
          <w:szCs w:val="20"/>
        </w:rPr>
        <w:t>in order for the investment in the downstream noninsurance holding company </w:t>
      </w:r>
      <w:r w:rsidRPr="00C30043">
        <w:rPr>
          <w:rFonts w:ascii="Arial" w:hAnsi="Arial" w:cs="Arial"/>
          <w:color w:val="FF0000"/>
          <w:sz w:val="20"/>
          <w:szCs w:val="20"/>
          <w:u w:val="single"/>
          <w:bdr w:val="none" w:sz="0" w:space="0" w:color="auto" w:frame="1"/>
        </w:rPr>
        <w:t>or individual SCAs</w:t>
      </w:r>
      <w:r w:rsidRPr="00C30043">
        <w:rPr>
          <w:rFonts w:ascii="Arial" w:hAnsi="Arial" w:cs="Arial"/>
          <w:color w:val="FF0000"/>
          <w:sz w:val="20"/>
          <w:szCs w:val="20"/>
          <w:bdr w:val="none" w:sz="0" w:space="0" w:color="auto" w:frame="1"/>
        </w:rPr>
        <w:t> </w:t>
      </w:r>
      <w:r w:rsidRPr="00C30043">
        <w:rPr>
          <w:rFonts w:ascii="Arial" w:hAnsi="Arial" w:cs="Arial"/>
          <w:color w:val="242424"/>
          <w:sz w:val="20"/>
          <w:szCs w:val="20"/>
        </w:rPr>
        <w:t>to be classified as an admitted asset.</w:t>
      </w:r>
    </w:p>
    <w:p w14:paraId="25A5B8FC" w14:textId="77777777" w:rsidR="00C30043" w:rsidRDefault="00C30043" w:rsidP="00B30CA0">
      <w:pPr>
        <w:pStyle w:val="BodyText2"/>
        <w:rPr>
          <w:b w:val="0"/>
          <w:bCs w:val="0"/>
          <w:szCs w:val="22"/>
        </w:rPr>
      </w:pPr>
    </w:p>
    <w:p w14:paraId="53229BB2" w14:textId="24C862CC" w:rsidR="002A1316" w:rsidRPr="00016321" w:rsidRDefault="002A1316" w:rsidP="00C71C2C">
      <w:pPr>
        <w:pStyle w:val="BodyText2"/>
        <w:rPr>
          <w:b w:val="0"/>
          <w:szCs w:val="22"/>
        </w:rPr>
      </w:pPr>
      <w:r w:rsidRPr="00016321">
        <w:rPr>
          <w:szCs w:val="22"/>
        </w:rPr>
        <w:t>Staff Review Completed by:</w:t>
      </w:r>
      <w:r w:rsidR="00CA4E49">
        <w:rPr>
          <w:szCs w:val="22"/>
        </w:rPr>
        <w:t xml:space="preserve"> </w:t>
      </w:r>
      <w:r w:rsidR="00CA62AE">
        <w:rPr>
          <w:b w:val="0"/>
          <w:bCs w:val="0"/>
          <w:szCs w:val="22"/>
        </w:rPr>
        <w:t>Jason Farr</w:t>
      </w:r>
      <w:r w:rsidR="00C71C2C" w:rsidRPr="00C71C2C">
        <w:rPr>
          <w:b w:val="0"/>
          <w:bCs w:val="0"/>
          <w:szCs w:val="22"/>
        </w:rPr>
        <w:t xml:space="preserve">– </w:t>
      </w:r>
      <w:r w:rsidR="00FE7FAA" w:rsidRPr="00C71C2C">
        <w:rPr>
          <w:b w:val="0"/>
          <w:bCs w:val="0"/>
          <w:szCs w:val="22"/>
        </w:rPr>
        <w:t xml:space="preserve">NAIC </w:t>
      </w:r>
      <w:r w:rsidR="006B37DD" w:rsidRPr="00C71C2C">
        <w:rPr>
          <w:b w:val="0"/>
          <w:bCs w:val="0"/>
          <w:szCs w:val="22"/>
        </w:rPr>
        <w:t>S</w:t>
      </w:r>
      <w:r w:rsidR="00FE7FAA" w:rsidRPr="00C71C2C">
        <w:rPr>
          <w:b w:val="0"/>
          <w:bCs w:val="0"/>
          <w:szCs w:val="22"/>
        </w:rPr>
        <w:t>taff</w:t>
      </w:r>
      <w:r w:rsidR="002B1679">
        <w:rPr>
          <w:b w:val="0"/>
          <w:bCs w:val="0"/>
          <w:szCs w:val="22"/>
        </w:rPr>
        <w:t>, November 2023</w:t>
      </w:r>
    </w:p>
    <w:p w14:paraId="51EE5A03" w14:textId="77777777" w:rsidR="006B37DD" w:rsidRDefault="006B37DD" w:rsidP="00B30CA0">
      <w:pPr>
        <w:rPr>
          <w:sz w:val="22"/>
        </w:rPr>
      </w:pPr>
    </w:p>
    <w:p w14:paraId="0C3EBCC8" w14:textId="77777777" w:rsidR="00391A15" w:rsidRPr="003B7E8A" w:rsidRDefault="00391A15" w:rsidP="00391A15">
      <w:pPr>
        <w:pStyle w:val="BodyText2"/>
        <w:rPr>
          <w:szCs w:val="22"/>
        </w:rPr>
      </w:pPr>
      <w:r w:rsidRPr="003B7E8A">
        <w:rPr>
          <w:szCs w:val="22"/>
        </w:rPr>
        <w:t>Status:</w:t>
      </w:r>
    </w:p>
    <w:p w14:paraId="5DDCEDDE" w14:textId="0E9A9726" w:rsidR="00391A15" w:rsidRPr="00016321" w:rsidRDefault="00391A15" w:rsidP="00391A15">
      <w:pPr>
        <w:pStyle w:val="BodyText2"/>
        <w:rPr>
          <w:b w:val="0"/>
          <w:szCs w:val="22"/>
        </w:rPr>
      </w:pPr>
      <w:r w:rsidRPr="003B7E8A">
        <w:rPr>
          <w:b w:val="0"/>
          <w:szCs w:val="22"/>
        </w:rPr>
        <w:t xml:space="preserve">On </w:t>
      </w:r>
      <w:r w:rsidR="005E521D">
        <w:rPr>
          <w:b w:val="0"/>
          <w:szCs w:val="22"/>
        </w:rPr>
        <w:t>December 1</w:t>
      </w:r>
      <w:r w:rsidRPr="003B7E8A">
        <w:rPr>
          <w:b w:val="0"/>
          <w:szCs w:val="22"/>
        </w:rPr>
        <w:t xml:space="preserve">, 2023, the Statutory Accounting Principles (E) Working Group moved this agenda item to the active listing, categorized as a SAP </w:t>
      </w:r>
      <w:r w:rsidR="00A305A3">
        <w:rPr>
          <w:b w:val="0"/>
          <w:szCs w:val="22"/>
        </w:rPr>
        <w:t>clarification</w:t>
      </w:r>
      <w:r>
        <w:rPr>
          <w:b w:val="0"/>
          <w:szCs w:val="22"/>
        </w:rPr>
        <w:t>,</w:t>
      </w:r>
      <w:r w:rsidRPr="003B7E8A">
        <w:rPr>
          <w:b w:val="0"/>
          <w:szCs w:val="22"/>
        </w:rPr>
        <w:t xml:space="preserve"> and expose</w:t>
      </w:r>
      <w:r>
        <w:rPr>
          <w:b w:val="0"/>
          <w:szCs w:val="22"/>
        </w:rPr>
        <w:t>d</w:t>
      </w:r>
      <w:r w:rsidR="008A0198">
        <w:rPr>
          <w:b w:val="0"/>
          <w:szCs w:val="22"/>
        </w:rPr>
        <w:t xml:space="preserve"> consistency</w:t>
      </w:r>
      <w:r w:rsidR="005E521D" w:rsidRPr="005E521D">
        <w:t xml:space="preserve"> </w:t>
      </w:r>
      <w:r w:rsidR="005E521D" w:rsidRPr="005E521D">
        <w:rPr>
          <w:b w:val="0"/>
          <w:szCs w:val="22"/>
        </w:rPr>
        <w:t xml:space="preserve">revisions to </w:t>
      </w:r>
      <w:r w:rsidR="005E521D" w:rsidRPr="00407CE8">
        <w:rPr>
          <w:b w:val="0"/>
          <w:i/>
          <w:iCs/>
          <w:szCs w:val="22"/>
        </w:rPr>
        <w:t>SSAP No. 97—Subsidiary, Controlled and Affiliated Entities</w:t>
      </w:r>
      <w:r w:rsidR="005E521D" w:rsidRPr="005E521D">
        <w:rPr>
          <w:b w:val="0"/>
          <w:szCs w:val="22"/>
        </w:rPr>
        <w:t xml:space="preserve"> to revise paragraph 24 language to better align it with the existing guidance provided in paragraphs 26 and 27</w:t>
      </w:r>
      <w:r w:rsidRPr="00FE1AF1">
        <w:rPr>
          <w:b w:val="0"/>
          <w:szCs w:val="22"/>
        </w:rPr>
        <w:t>.</w:t>
      </w:r>
    </w:p>
    <w:p w14:paraId="5201058C" w14:textId="77777777" w:rsidR="00391A15" w:rsidRDefault="00391A15" w:rsidP="00B30CA0">
      <w:pPr>
        <w:rPr>
          <w:sz w:val="22"/>
        </w:rPr>
      </w:pPr>
    </w:p>
    <w:p w14:paraId="0FE979AF" w14:textId="773F4AC0" w:rsidR="00AA1DC0" w:rsidRPr="00D653C2" w:rsidRDefault="00D653C2" w:rsidP="000579B6">
      <w:pPr>
        <w:rPr>
          <w:sz w:val="16"/>
          <w:szCs w:val="16"/>
        </w:rPr>
      </w:pPr>
      <w:r w:rsidRPr="000579B6">
        <w:rPr>
          <w:sz w:val="16"/>
          <w:szCs w:val="16"/>
        </w:rPr>
        <w:fldChar w:fldCharType="begin"/>
      </w:r>
      <w:r w:rsidRPr="000579B6">
        <w:rPr>
          <w:sz w:val="16"/>
          <w:szCs w:val="16"/>
        </w:rPr>
        <w:instrText xml:space="preserve"> FILENAME \p </w:instrText>
      </w:r>
      <w:r w:rsidRPr="000579B6">
        <w:rPr>
          <w:sz w:val="16"/>
          <w:szCs w:val="16"/>
        </w:rPr>
        <w:fldChar w:fldCharType="separate"/>
      </w:r>
      <w:r w:rsidR="00E5709C">
        <w:rPr>
          <w:noProof/>
          <w:sz w:val="16"/>
          <w:szCs w:val="16"/>
        </w:rPr>
        <w:t>https://naiconline.sharepoint.com/teams/FRSStatutoryAccounting/National Meetings/A. National Meeting Materials/2023/12-1-23 Fall National Meeting/Exposures/23-30 - SSAP 97 Admissibility Requirements .docx</w:t>
      </w:r>
      <w:r w:rsidRPr="000579B6">
        <w:rPr>
          <w:sz w:val="16"/>
          <w:szCs w:val="16"/>
        </w:rPr>
        <w:fldChar w:fldCharType="end"/>
      </w:r>
    </w:p>
    <w:sectPr w:rsidR="00AA1DC0" w:rsidRPr="00D653C2" w:rsidSect="00DF407B">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9D6DF" w14:textId="77777777" w:rsidR="00BB3289" w:rsidRDefault="00BB3289">
      <w:r>
        <w:separator/>
      </w:r>
    </w:p>
  </w:endnote>
  <w:endnote w:type="continuationSeparator" w:id="0">
    <w:p w14:paraId="32A7091F" w14:textId="77777777" w:rsidR="00BB3289" w:rsidRDefault="00BB3289">
      <w:r>
        <w:continuationSeparator/>
      </w:r>
    </w:p>
  </w:endnote>
  <w:endnote w:type="continuationNotice" w:id="1">
    <w:p w14:paraId="531D18A4" w14:textId="77777777" w:rsidR="00BB3289" w:rsidRDefault="00BB3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3938B" w14:textId="07589F96" w:rsidR="006D3A59" w:rsidRDefault="006D3A59" w:rsidP="00DF407B">
    <w:pPr>
      <w:pStyle w:val="Footer"/>
      <w:tabs>
        <w:tab w:val="clear" w:pos="4320"/>
        <w:tab w:val="center" w:pos="5040"/>
      </w:tabs>
      <w:rPr>
        <w:sz w:val="20"/>
      </w:rPr>
    </w:pPr>
    <w:r>
      <w:rPr>
        <w:sz w:val="20"/>
      </w:rPr>
      <w:t xml:space="preserve">© </w:t>
    </w:r>
    <w:r w:rsidR="005B478B">
      <w:rPr>
        <w:sz w:val="20"/>
      </w:rPr>
      <w:t>20</w:t>
    </w:r>
    <w:r w:rsidR="00CA4E49">
      <w:rPr>
        <w:sz w:val="20"/>
      </w:rPr>
      <w:t>2</w:t>
    </w:r>
    <w:r w:rsidR="00830174">
      <w:rPr>
        <w:sz w:val="20"/>
      </w:rPr>
      <w:t>3</w:t>
    </w:r>
    <w:r>
      <w:rPr>
        <w:sz w:val="20"/>
      </w:rPr>
      <w:t xml:space="preserve"> National Association of Insurance Commissioners</w:t>
    </w:r>
    <w:r w:rsidR="00DF407B">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2</w:t>
    </w:r>
    <w:r>
      <w:rPr>
        <w:rStyle w:val="PageNumbe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5270AE" w14:textId="77777777" w:rsidR="00BB3289" w:rsidRDefault="00BB3289">
      <w:r>
        <w:separator/>
      </w:r>
    </w:p>
  </w:footnote>
  <w:footnote w:type="continuationSeparator" w:id="0">
    <w:p w14:paraId="3F740EBF" w14:textId="77777777" w:rsidR="00BB3289" w:rsidRDefault="00BB3289">
      <w:r>
        <w:continuationSeparator/>
      </w:r>
    </w:p>
  </w:footnote>
  <w:footnote w:type="continuationNotice" w:id="1">
    <w:p w14:paraId="10DCB4EA" w14:textId="77777777" w:rsidR="00BB3289" w:rsidRDefault="00BB32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00AE6" w14:textId="2CAE0EA1" w:rsidR="006D3A59" w:rsidRPr="00F04F9A" w:rsidRDefault="006D3A59">
    <w:pPr>
      <w:pStyle w:val="Header"/>
      <w:jc w:val="right"/>
      <w:rPr>
        <w:b/>
        <w:sz w:val="20"/>
      </w:rPr>
    </w:pPr>
  </w:p>
  <w:p w14:paraId="14FEED1A" w14:textId="08B0E127" w:rsidR="006D3A59" w:rsidRPr="00F04F9A" w:rsidRDefault="006D3A59">
    <w:pPr>
      <w:pStyle w:val="Header"/>
      <w:jc w:val="right"/>
      <w:rPr>
        <w:bCs/>
        <w:sz w:val="20"/>
      </w:rPr>
    </w:pPr>
    <w:r w:rsidRPr="00F04F9A">
      <w:rPr>
        <w:bCs/>
        <w:sz w:val="20"/>
      </w:rPr>
      <w:t>Ref #20</w:t>
    </w:r>
    <w:r w:rsidR="008424D9">
      <w:rPr>
        <w:bCs/>
        <w:sz w:val="20"/>
      </w:rPr>
      <w:t>2</w:t>
    </w:r>
    <w:r w:rsidR="008F4535">
      <w:rPr>
        <w:bCs/>
        <w:sz w:val="20"/>
      </w:rPr>
      <w:t>3</w:t>
    </w:r>
    <w:r w:rsidRPr="00F04F9A">
      <w:rPr>
        <w:bCs/>
        <w:sz w:val="20"/>
      </w:rPr>
      <w:t>-</w:t>
    </w:r>
    <w:r w:rsidR="00754C45">
      <w:rPr>
        <w:bCs/>
        <w:sz w:val="20"/>
      </w:rPr>
      <w:t>30</w:t>
    </w:r>
  </w:p>
  <w:p w14:paraId="12DAC63B" w14:textId="77777777" w:rsidR="006D3A59" w:rsidRDefault="006D3A5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Default="006D3A59" w:rsidP="00AE74C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1"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2" w15:restartNumberingAfterBreak="0">
    <w:nsid w:val="FFFFFFFE"/>
    <w:multiLevelType w:val="singleLevel"/>
    <w:tmpl w:val="1D8C0038"/>
    <w:lvl w:ilvl="0">
      <w:numFmt w:val="decimal"/>
      <w:pStyle w:val="ListBullet2"/>
      <w:lvlText w:val="*"/>
      <w:lvlJc w:val="left"/>
    </w:lvl>
  </w:abstractNum>
  <w:abstractNum w:abstractNumId="3" w15:restartNumberingAfterBreak="0">
    <w:nsid w:val="099D0659"/>
    <w:multiLevelType w:val="hybridMultilevel"/>
    <w:tmpl w:val="250A3EF6"/>
    <w:lvl w:ilvl="0" w:tplc="40FA3434">
      <w:start w:val="1"/>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0BE749D2"/>
    <w:multiLevelType w:val="multilevel"/>
    <w:tmpl w:val="5740919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001296A"/>
    <w:multiLevelType w:val="singleLevel"/>
    <w:tmpl w:val="D06EB10A"/>
    <w:lvl w:ilvl="0">
      <w:start w:val="1"/>
      <w:numFmt w:val="lowerLetter"/>
      <w:lvlText w:val="%1."/>
      <w:legacy w:legacy="1" w:legacySpace="0" w:legacyIndent="720"/>
      <w:lvlJc w:val="left"/>
      <w:pPr>
        <w:ind w:left="1440" w:hanging="720"/>
      </w:pPr>
    </w:lvl>
  </w:abstractNum>
  <w:abstractNum w:abstractNumId="6" w15:restartNumberingAfterBreak="0">
    <w:nsid w:val="1C8D7656"/>
    <w:multiLevelType w:val="hybridMultilevel"/>
    <w:tmpl w:val="226E3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CE3CEB"/>
    <w:multiLevelType w:val="hybridMultilevel"/>
    <w:tmpl w:val="05726922"/>
    <w:lvl w:ilvl="0" w:tplc="7E2CE2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7C7B54"/>
    <w:multiLevelType w:val="hybridMultilevel"/>
    <w:tmpl w:val="1310CA3A"/>
    <w:lvl w:ilvl="0" w:tplc="05969F50">
      <w:start w:val="1"/>
      <w:numFmt w:val="decimal"/>
      <w:lvlText w:val="%1."/>
      <w:lvlJc w:val="left"/>
      <w:pPr>
        <w:tabs>
          <w:tab w:val="num" w:pos="780"/>
        </w:tabs>
        <w:ind w:left="780" w:hanging="360"/>
      </w:pPr>
    </w:lvl>
    <w:lvl w:ilvl="1" w:tplc="4DA072CE" w:tentative="1">
      <w:start w:val="1"/>
      <w:numFmt w:val="lowerLetter"/>
      <w:lvlText w:val="%2."/>
      <w:lvlJc w:val="left"/>
      <w:pPr>
        <w:tabs>
          <w:tab w:val="num" w:pos="1500"/>
        </w:tabs>
        <w:ind w:left="1500" w:hanging="360"/>
      </w:pPr>
    </w:lvl>
    <w:lvl w:ilvl="2" w:tplc="D7882B06" w:tentative="1">
      <w:start w:val="1"/>
      <w:numFmt w:val="lowerRoman"/>
      <w:lvlText w:val="%3."/>
      <w:lvlJc w:val="right"/>
      <w:pPr>
        <w:tabs>
          <w:tab w:val="num" w:pos="2220"/>
        </w:tabs>
        <w:ind w:left="2220" w:hanging="180"/>
      </w:pPr>
    </w:lvl>
    <w:lvl w:ilvl="3" w:tplc="EA72BE90" w:tentative="1">
      <w:start w:val="1"/>
      <w:numFmt w:val="decimal"/>
      <w:lvlText w:val="%4."/>
      <w:lvlJc w:val="left"/>
      <w:pPr>
        <w:tabs>
          <w:tab w:val="num" w:pos="2940"/>
        </w:tabs>
        <w:ind w:left="2940" w:hanging="360"/>
      </w:pPr>
    </w:lvl>
    <w:lvl w:ilvl="4" w:tplc="2F3C9004" w:tentative="1">
      <w:start w:val="1"/>
      <w:numFmt w:val="lowerLetter"/>
      <w:lvlText w:val="%5."/>
      <w:lvlJc w:val="left"/>
      <w:pPr>
        <w:tabs>
          <w:tab w:val="num" w:pos="3660"/>
        </w:tabs>
        <w:ind w:left="3660" w:hanging="360"/>
      </w:pPr>
    </w:lvl>
    <w:lvl w:ilvl="5" w:tplc="7116F3DC" w:tentative="1">
      <w:start w:val="1"/>
      <w:numFmt w:val="lowerRoman"/>
      <w:lvlText w:val="%6."/>
      <w:lvlJc w:val="right"/>
      <w:pPr>
        <w:tabs>
          <w:tab w:val="num" w:pos="4380"/>
        </w:tabs>
        <w:ind w:left="4380" w:hanging="180"/>
      </w:pPr>
    </w:lvl>
    <w:lvl w:ilvl="6" w:tplc="CA16657C" w:tentative="1">
      <w:start w:val="1"/>
      <w:numFmt w:val="decimal"/>
      <w:lvlText w:val="%7."/>
      <w:lvlJc w:val="left"/>
      <w:pPr>
        <w:tabs>
          <w:tab w:val="num" w:pos="5100"/>
        </w:tabs>
        <w:ind w:left="5100" w:hanging="360"/>
      </w:pPr>
    </w:lvl>
    <w:lvl w:ilvl="7" w:tplc="CDE0A744" w:tentative="1">
      <w:start w:val="1"/>
      <w:numFmt w:val="lowerLetter"/>
      <w:lvlText w:val="%8."/>
      <w:lvlJc w:val="left"/>
      <w:pPr>
        <w:tabs>
          <w:tab w:val="num" w:pos="5820"/>
        </w:tabs>
        <w:ind w:left="5820" w:hanging="360"/>
      </w:pPr>
    </w:lvl>
    <w:lvl w:ilvl="8" w:tplc="4E4C1C54" w:tentative="1">
      <w:start w:val="1"/>
      <w:numFmt w:val="lowerRoman"/>
      <w:lvlText w:val="%9."/>
      <w:lvlJc w:val="right"/>
      <w:pPr>
        <w:tabs>
          <w:tab w:val="num" w:pos="6540"/>
        </w:tabs>
        <w:ind w:left="6540" w:hanging="180"/>
      </w:pPr>
    </w:lvl>
  </w:abstractNum>
  <w:abstractNum w:abstractNumId="9" w15:restartNumberingAfterBreak="0">
    <w:nsid w:val="2562614D"/>
    <w:multiLevelType w:val="multilevel"/>
    <w:tmpl w:val="80D0373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668150B"/>
    <w:multiLevelType w:val="hybridMultilevel"/>
    <w:tmpl w:val="0ACE04A2"/>
    <w:lvl w:ilvl="0" w:tplc="D054DC2A">
      <w:start w:val="1"/>
      <w:numFmt w:val="lowerLetter"/>
      <w:lvlText w:val="%1."/>
      <w:lvlJc w:val="left"/>
      <w:pPr>
        <w:tabs>
          <w:tab w:val="num" w:pos="1440"/>
        </w:tabs>
        <w:ind w:left="1440" w:hanging="360"/>
      </w:pPr>
    </w:lvl>
    <w:lvl w:ilvl="1" w:tplc="C186EDA4" w:tentative="1">
      <w:start w:val="1"/>
      <w:numFmt w:val="lowerLetter"/>
      <w:lvlText w:val="%2."/>
      <w:lvlJc w:val="left"/>
      <w:pPr>
        <w:tabs>
          <w:tab w:val="num" w:pos="1440"/>
        </w:tabs>
        <w:ind w:left="1440" w:hanging="360"/>
      </w:pPr>
    </w:lvl>
    <w:lvl w:ilvl="2" w:tplc="3F12F82E" w:tentative="1">
      <w:start w:val="1"/>
      <w:numFmt w:val="lowerRoman"/>
      <w:lvlText w:val="%3."/>
      <w:lvlJc w:val="right"/>
      <w:pPr>
        <w:tabs>
          <w:tab w:val="num" w:pos="2160"/>
        </w:tabs>
        <w:ind w:left="2160" w:hanging="180"/>
      </w:pPr>
    </w:lvl>
    <w:lvl w:ilvl="3" w:tplc="C1E63D52" w:tentative="1">
      <w:start w:val="1"/>
      <w:numFmt w:val="decimal"/>
      <w:lvlText w:val="%4."/>
      <w:lvlJc w:val="left"/>
      <w:pPr>
        <w:tabs>
          <w:tab w:val="num" w:pos="2880"/>
        </w:tabs>
        <w:ind w:left="2880" w:hanging="360"/>
      </w:pPr>
    </w:lvl>
    <w:lvl w:ilvl="4" w:tplc="F9CCCBDC" w:tentative="1">
      <w:start w:val="1"/>
      <w:numFmt w:val="lowerLetter"/>
      <w:lvlText w:val="%5."/>
      <w:lvlJc w:val="left"/>
      <w:pPr>
        <w:tabs>
          <w:tab w:val="num" w:pos="3600"/>
        </w:tabs>
        <w:ind w:left="3600" w:hanging="360"/>
      </w:pPr>
    </w:lvl>
    <w:lvl w:ilvl="5" w:tplc="430CA49A" w:tentative="1">
      <w:start w:val="1"/>
      <w:numFmt w:val="lowerRoman"/>
      <w:lvlText w:val="%6."/>
      <w:lvlJc w:val="right"/>
      <w:pPr>
        <w:tabs>
          <w:tab w:val="num" w:pos="4320"/>
        </w:tabs>
        <w:ind w:left="4320" w:hanging="180"/>
      </w:pPr>
    </w:lvl>
    <w:lvl w:ilvl="6" w:tplc="16AC0192" w:tentative="1">
      <w:start w:val="1"/>
      <w:numFmt w:val="decimal"/>
      <w:lvlText w:val="%7."/>
      <w:lvlJc w:val="left"/>
      <w:pPr>
        <w:tabs>
          <w:tab w:val="num" w:pos="5040"/>
        </w:tabs>
        <w:ind w:left="5040" w:hanging="360"/>
      </w:pPr>
    </w:lvl>
    <w:lvl w:ilvl="7" w:tplc="BC60374C" w:tentative="1">
      <w:start w:val="1"/>
      <w:numFmt w:val="lowerLetter"/>
      <w:lvlText w:val="%8."/>
      <w:lvlJc w:val="left"/>
      <w:pPr>
        <w:tabs>
          <w:tab w:val="num" w:pos="5760"/>
        </w:tabs>
        <w:ind w:left="5760" w:hanging="360"/>
      </w:pPr>
    </w:lvl>
    <w:lvl w:ilvl="8" w:tplc="B7DE3D06" w:tentative="1">
      <w:start w:val="1"/>
      <w:numFmt w:val="lowerRoman"/>
      <w:lvlText w:val="%9."/>
      <w:lvlJc w:val="right"/>
      <w:pPr>
        <w:tabs>
          <w:tab w:val="num" w:pos="6480"/>
        </w:tabs>
        <w:ind w:left="6480" w:hanging="180"/>
      </w:pPr>
    </w:lvl>
  </w:abstractNum>
  <w:abstractNum w:abstractNumId="11" w15:restartNumberingAfterBreak="0">
    <w:nsid w:val="30AA2D15"/>
    <w:multiLevelType w:val="hybridMultilevel"/>
    <w:tmpl w:val="A15CB05A"/>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6F93467"/>
    <w:multiLevelType w:val="hybridMultilevel"/>
    <w:tmpl w:val="265AA1EA"/>
    <w:lvl w:ilvl="0" w:tplc="0409000F">
      <w:start w:val="1"/>
      <w:numFmt w:val="bullet"/>
      <w:lvlText w:val=""/>
      <w:lvlJc w:val="left"/>
      <w:pPr>
        <w:tabs>
          <w:tab w:val="num" w:pos="720"/>
        </w:tabs>
        <w:ind w:left="720" w:hanging="360"/>
      </w:pPr>
      <w:rPr>
        <w:rFonts w:ascii="Wingdings" w:hAnsi="Wingdings" w:hint="default"/>
      </w:rPr>
    </w:lvl>
    <w:lvl w:ilvl="1" w:tplc="04090019">
      <w:start w:val="1"/>
      <w:numFmt w:val="decimal"/>
      <w:lvlText w:val="%2."/>
      <w:lvlJc w:val="left"/>
      <w:pPr>
        <w:tabs>
          <w:tab w:val="num" w:pos="1440"/>
        </w:tabs>
        <w:ind w:left="1440" w:hanging="36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F78E6"/>
    <w:multiLevelType w:val="hybridMultilevel"/>
    <w:tmpl w:val="8DCC3DEE"/>
    <w:lvl w:ilvl="0" w:tplc="04090019">
      <w:start w:val="1"/>
      <w:numFmt w:val="decimal"/>
      <w:lvlText w:val="%1."/>
      <w:lvlJc w:val="left"/>
      <w:pPr>
        <w:tabs>
          <w:tab w:val="num" w:pos="1080"/>
        </w:tabs>
        <w:ind w:left="1080" w:hanging="720"/>
      </w:pPr>
      <w:rPr>
        <w:rFonts w:hint="default"/>
        <w:b/>
        <w:i w:val="0"/>
      </w:rPr>
    </w:lvl>
    <w:lvl w:ilvl="1" w:tplc="04090019">
      <w:start w:val="1"/>
      <w:numFmt w:val="bullet"/>
      <w:lvlText w:val=""/>
      <w:lvlJc w:val="left"/>
      <w:pPr>
        <w:tabs>
          <w:tab w:val="num" w:pos="1440"/>
        </w:tabs>
        <w:ind w:left="1440" w:hanging="360"/>
      </w:pPr>
      <w:rPr>
        <w:rFonts w:ascii="Symbol" w:hAnsi="Symbol" w:hint="default"/>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814D5B"/>
    <w:multiLevelType w:val="hybridMultilevel"/>
    <w:tmpl w:val="CB2E224E"/>
    <w:lvl w:ilvl="0" w:tplc="04090005">
      <w:start w:val="1"/>
      <w:numFmt w:val="bullet"/>
      <w:lvlText w:val=""/>
      <w:lvlJc w:val="left"/>
      <w:pPr>
        <w:tabs>
          <w:tab w:val="num" w:pos="720"/>
        </w:tabs>
        <w:ind w:left="720" w:hanging="360"/>
      </w:pPr>
      <w:rPr>
        <w:rFonts w:ascii="Symbol" w:hAnsi="Symbol"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0C3583"/>
    <w:multiLevelType w:val="hybridMultilevel"/>
    <w:tmpl w:val="5E6CEDAC"/>
    <w:lvl w:ilvl="0" w:tplc="B4B0530A">
      <w:start w:val="1"/>
      <w:numFmt w:val="lowerRoman"/>
      <w:lvlText w:val="%1."/>
      <w:lvlJc w:val="right"/>
      <w:pPr>
        <w:tabs>
          <w:tab w:val="num" w:pos="2160"/>
        </w:tabs>
        <w:ind w:left="2160" w:hanging="720"/>
      </w:pPr>
      <w:rPr>
        <w:rFonts w:hint="default"/>
      </w:rPr>
    </w:lvl>
    <w:lvl w:ilvl="1" w:tplc="4AE6A9B8"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1868BE"/>
    <w:multiLevelType w:val="hybridMultilevel"/>
    <w:tmpl w:val="17B25BA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A5739EF"/>
    <w:multiLevelType w:val="hybridMultilevel"/>
    <w:tmpl w:val="EB4E9FE4"/>
    <w:lvl w:ilvl="0" w:tplc="A75E7164">
      <w:start w:val="2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BA003A4"/>
    <w:multiLevelType w:val="multilevel"/>
    <w:tmpl w:val="A3464AB0"/>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E195D47"/>
    <w:multiLevelType w:val="hybridMultilevel"/>
    <w:tmpl w:val="763AF51A"/>
    <w:lvl w:ilvl="0" w:tplc="F17CDFA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D7B7086"/>
    <w:multiLevelType w:val="singleLevel"/>
    <w:tmpl w:val="D06EB10A"/>
    <w:lvl w:ilvl="0">
      <w:start w:val="1"/>
      <w:numFmt w:val="lowerLetter"/>
      <w:lvlText w:val="%1."/>
      <w:legacy w:legacy="1" w:legacySpace="0" w:legacyIndent="720"/>
      <w:lvlJc w:val="left"/>
      <w:pPr>
        <w:ind w:left="1440" w:hanging="720"/>
      </w:pPr>
    </w:lvl>
  </w:abstractNum>
  <w:abstractNum w:abstractNumId="21" w15:restartNumberingAfterBreak="0">
    <w:nsid w:val="60E74C9F"/>
    <w:multiLevelType w:val="hybridMultilevel"/>
    <w:tmpl w:val="D7D0E978"/>
    <w:lvl w:ilvl="0" w:tplc="7F16EE4C">
      <w:start w:val="1"/>
      <w:numFmt w:val="lowerLetter"/>
      <w:lvlText w:val="%1."/>
      <w:lvlJc w:val="left"/>
      <w:pPr>
        <w:tabs>
          <w:tab w:val="num" w:pos="1440"/>
        </w:tabs>
        <w:ind w:left="144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1E904F5"/>
    <w:multiLevelType w:val="hybridMultilevel"/>
    <w:tmpl w:val="C546AF6A"/>
    <w:lvl w:ilvl="0" w:tplc="32FA1AA2">
      <w:start w:val="1"/>
      <w:numFmt w:val="lowerRoman"/>
      <w:lvlText w:val="%1."/>
      <w:lvlJc w:val="left"/>
      <w:pPr>
        <w:tabs>
          <w:tab w:val="num" w:pos="3600"/>
        </w:tabs>
        <w:ind w:left="3600" w:hanging="720"/>
      </w:pPr>
      <w:rPr>
        <w:rFonts w:hint="default"/>
      </w:rPr>
    </w:lvl>
    <w:lvl w:ilvl="1" w:tplc="01B02238" w:tentative="1">
      <w:start w:val="1"/>
      <w:numFmt w:val="lowerLetter"/>
      <w:lvlText w:val="%2."/>
      <w:lvlJc w:val="left"/>
      <w:pPr>
        <w:tabs>
          <w:tab w:val="num" w:pos="1440"/>
        </w:tabs>
        <w:ind w:left="1440" w:hanging="360"/>
      </w:pPr>
    </w:lvl>
    <w:lvl w:ilvl="2" w:tplc="106E87A0" w:tentative="1">
      <w:start w:val="1"/>
      <w:numFmt w:val="lowerRoman"/>
      <w:lvlText w:val="%3."/>
      <w:lvlJc w:val="right"/>
      <w:pPr>
        <w:tabs>
          <w:tab w:val="num" w:pos="2160"/>
        </w:tabs>
        <w:ind w:left="2160" w:hanging="180"/>
      </w:pPr>
    </w:lvl>
    <w:lvl w:ilvl="3" w:tplc="AFA03814" w:tentative="1">
      <w:start w:val="1"/>
      <w:numFmt w:val="decimal"/>
      <w:lvlText w:val="%4."/>
      <w:lvlJc w:val="left"/>
      <w:pPr>
        <w:tabs>
          <w:tab w:val="num" w:pos="2880"/>
        </w:tabs>
        <w:ind w:left="2880" w:hanging="360"/>
      </w:pPr>
    </w:lvl>
    <w:lvl w:ilvl="4" w:tplc="C2801E52" w:tentative="1">
      <w:start w:val="1"/>
      <w:numFmt w:val="lowerLetter"/>
      <w:lvlText w:val="%5."/>
      <w:lvlJc w:val="left"/>
      <w:pPr>
        <w:tabs>
          <w:tab w:val="num" w:pos="3600"/>
        </w:tabs>
        <w:ind w:left="3600" w:hanging="360"/>
      </w:pPr>
    </w:lvl>
    <w:lvl w:ilvl="5" w:tplc="ADA2D500" w:tentative="1">
      <w:start w:val="1"/>
      <w:numFmt w:val="lowerRoman"/>
      <w:lvlText w:val="%6."/>
      <w:lvlJc w:val="right"/>
      <w:pPr>
        <w:tabs>
          <w:tab w:val="num" w:pos="4320"/>
        </w:tabs>
        <w:ind w:left="4320" w:hanging="180"/>
      </w:pPr>
    </w:lvl>
    <w:lvl w:ilvl="6" w:tplc="DF3228D2" w:tentative="1">
      <w:start w:val="1"/>
      <w:numFmt w:val="decimal"/>
      <w:lvlText w:val="%7."/>
      <w:lvlJc w:val="left"/>
      <w:pPr>
        <w:tabs>
          <w:tab w:val="num" w:pos="5040"/>
        </w:tabs>
        <w:ind w:left="5040" w:hanging="360"/>
      </w:pPr>
    </w:lvl>
    <w:lvl w:ilvl="7" w:tplc="4F365426" w:tentative="1">
      <w:start w:val="1"/>
      <w:numFmt w:val="lowerLetter"/>
      <w:lvlText w:val="%8."/>
      <w:lvlJc w:val="left"/>
      <w:pPr>
        <w:tabs>
          <w:tab w:val="num" w:pos="5760"/>
        </w:tabs>
        <w:ind w:left="5760" w:hanging="360"/>
      </w:pPr>
    </w:lvl>
    <w:lvl w:ilvl="8" w:tplc="A55A1A0E" w:tentative="1">
      <w:start w:val="1"/>
      <w:numFmt w:val="lowerRoman"/>
      <w:lvlText w:val="%9."/>
      <w:lvlJc w:val="right"/>
      <w:pPr>
        <w:tabs>
          <w:tab w:val="num" w:pos="6480"/>
        </w:tabs>
        <w:ind w:left="6480" w:hanging="180"/>
      </w:pPr>
    </w:lvl>
  </w:abstractNum>
  <w:abstractNum w:abstractNumId="23" w15:restartNumberingAfterBreak="0">
    <w:nsid w:val="63255417"/>
    <w:multiLevelType w:val="multilevel"/>
    <w:tmpl w:val="6ACC9F64"/>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4" w15:restartNumberingAfterBreak="0">
    <w:nsid w:val="632E2E27"/>
    <w:multiLevelType w:val="hybridMultilevel"/>
    <w:tmpl w:val="97DC6420"/>
    <w:lvl w:ilvl="0" w:tplc="DF8A357A">
      <w:start w:val="1"/>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D4C5C6E"/>
    <w:multiLevelType w:val="multilevel"/>
    <w:tmpl w:val="33140022"/>
    <w:lvl w:ilvl="0">
      <w:start w:val="23"/>
      <w:numFmt w:val="decimal"/>
      <w:lvlText w:val="%1."/>
      <w:lvlJc w:val="left"/>
      <w:pPr>
        <w:tabs>
          <w:tab w:val="num" w:pos="720"/>
        </w:tabs>
        <w:ind w:left="720" w:hanging="360"/>
      </w:pPr>
    </w:lvl>
    <w:lvl w:ilvl="1">
      <w:start w:val="1"/>
      <w:numFmt w:val="lowerLetter"/>
      <w:lvlText w:val="%2."/>
      <w:lvlJc w:val="left"/>
      <w:pPr>
        <w:ind w:left="1900" w:hanging="8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2C3769"/>
    <w:multiLevelType w:val="singleLevel"/>
    <w:tmpl w:val="D06EB10A"/>
    <w:lvl w:ilvl="0">
      <w:start w:val="1"/>
      <w:numFmt w:val="lowerLetter"/>
      <w:lvlText w:val="%1."/>
      <w:legacy w:legacy="1" w:legacySpace="0" w:legacyIndent="720"/>
      <w:lvlJc w:val="left"/>
      <w:pPr>
        <w:ind w:left="1440" w:hanging="720"/>
      </w:pPr>
    </w:lvl>
  </w:abstractNum>
  <w:abstractNum w:abstractNumId="27" w15:restartNumberingAfterBreak="0">
    <w:nsid w:val="7A2231DD"/>
    <w:multiLevelType w:val="multilevel"/>
    <w:tmpl w:val="E3246638"/>
    <w:lvl w:ilvl="0">
      <w:start w:val="1"/>
      <w:numFmt w:val="decimal"/>
      <w:lvlText w:val="%1."/>
      <w:legacy w:legacy="1" w:legacySpace="0" w:legacyIndent="720"/>
      <w:lvlJc w:val="left"/>
    </w:lvl>
    <w:lvl w:ilvl="1">
      <w:start w:val="1"/>
      <w:numFmt w:val="lowerRoman"/>
      <w:lvlText w:val="%2."/>
      <w:lvlJc w:val="right"/>
      <w:pPr>
        <w:tabs>
          <w:tab w:val="num" w:pos="1980"/>
        </w:tabs>
        <w:ind w:left="1980" w:hanging="180"/>
      </w:pPr>
    </w:lvl>
    <w:lvl w:ilvl="2">
      <w:start w:val="1"/>
      <w:numFmt w:val="lowerRoman"/>
      <w:lvlText w:val="%3."/>
      <w:lvlJc w:val="right"/>
      <w:pPr>
        <w:tabs>
          <w:tab w:val="num" w:pos="2880"/>
        </w:tabs>
        <w:ind w:left="2880" w:hanging="720"/>
      </w:pPr>
      <w:rPr>
        <w:rFonts w:hint="default"/>
      </w:rPr>
    </w:lvl>
    <w:lvl w:ilvl="3">
      <w:start w:val="1"/>
      <w:numFmt w:val="lowerLetter"/>
      <w:lvlText w:val="%4."/>
      <w:lvlJc w:val="left"/>
      <w:pPr>
        <w:tabs>
          <w:tab w:val="num" w:pos="2520"/>
        </w:tabs>
        <w:ind w:left="3960" w:hanging="720"/>
      </w:pPr>
    </w:lvl>
    <w:lvl w:ilvl="4">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8" w15:restartNumberingAfterBreak="0">
    <w:nsid w:val="7B2C2C1B"/>
    <w:multiLevelType w:val="multilevel"/>
    <w:tmpl w:val="994A57C2"/>
    <w:lvl w:ilvl="0">
      <w:start w:val="1"/>
      <w:numFmt w:val="lowerLetter"/>
      <w:lvlText w:val="%1."/>
      <w:legacy w:legacy="1" w:legacySpace="0" w:legacyIndent="720"/>
      <w:lvlJc w:val="left"/>
      <w:pPr>
        <w:ind w:left="720" w:hanging="720"/>
      </w:pPr>
    </w:lvl>
    <w:lvl w:ilvl="1">
      <w:start w:val="1"/>
      <w:numFmt w:val="lowerRoman"/>
      <w:lvlText w:val="%2."/>
      <w:legacy w:legacy="1" w:legacySpace="0" w:legacyIndent="720"/>
      <w:lvlJc w:val="left"/>
      <w:pPr>
        <w:ind w:left="1440" w:hanging="720"/>
      </w:pPr>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num w:numId="1" w16cid:durableId="949124495">
    <w:abstractNumId w:val="13"/>
  </w:num>
  <w:num w:numId="2" w16cid:durableId="124473872">
    <w:abstractNumId w:val="24"/>
  </w:num>
  <w:num w:numId="3" w16cid:durableId="1736200778">
    <w:abstractNumId w:val="21"/>
  </w:num>
  <w:num w:numId="4" w16cid:durableId="1753817529">
    <w:abstractNumId w:val="15"/>
  </w:num>
  <w:num w:numId="5" w16cid:durableId="1117600130">
    <w:abstractNumId w:val="16"/>
  </w:num>
  <w:num w:numId="6" w16cid:durableId="696123471">
    <w:abstractNumId w:val="12"/>
  </w:num>
  <w:num w:numId="7" w16cid:durableId="2084600477">
    <w:abstractNumId w:val="8"/>
  </w:num>
  <w:num w:numId="8" w16cid:durableId="1195928133">
    <w:abstractNumId w:val="14"/>
  </w:num>
  <w:num w:numId="9" w16cid:durableId="1426073380">
    <w:abstractNumId w:val="20"/>
  </w:num>
  <w:num w:numId="10" w16cid:durableId="1901748065">
    <w:abstractNumId w:val="22"/>
  </w:num>
  <w:num w:numId="11" w16cid:durableId="1629050746">
    <w:abstractNumId w:val="3"/>
  </w:num>
  <w:num w:numId="12" w16cid:durableId="1453746734">
    <w:abstractNumId w:val="19"/>
  </w:num>
  <w:num w:numId="13" w16cid:durableId="1894609188">
    <w:abstractNumId w:val="23"/>
  </w:num>
  <w:num w:numId="14" w16cid:durableId="1117023081">
    <w:abstractNumId w:val="0"/>
  </w:num>
  <w:num w:numId="15" w16cid:durableId="289482149">
    <w:abstractNumId w:val="5"/>
  </w:num>
  <w:num w:numId="16" w16cid:durableId="900989026">
    <w:abstractNumId w:val="26"/>
  </w:num>
  <w:num w:numId="17" w16cid:durableId="1801680105">
    <w:abstractNumId w:val="28"/>
  </w:num>
  <w:num w:numId="18" w16cid:durableId="2071998960">
    <w:abstractNumId w:val="2"/>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19" w16cid:durableId="81491737">
    <w:abstractNumId w:val="10"/>
  </w:num>
  <w:num w:numId="20" w16cid:durableId="1211115873">
    <w:abstractNumId w:val="4"/>
  </w:num>
  <w:num w:numId="21" w16cid:durableId="1381897201">
    <w:abstractNumId w:val="1"/>
  </w:num>
  <w:num w:numId="22" w16cid:durableId="1266115158">
    <w:abstractNumId w:val="27"/>
  </w:num>
  <w:num w:numId="23" w16cid:durableId="34931900">
    <w:abstractNumId w:val="1"/>
  </w:num>
  <w:num w:numId="24" w16cid:durableId="353313877">
    <w:abstractNumId w:val="7"/>
  </w:num>
  <w:num w:numId="25" w16cid:durableId="366297002">
    <w:abstractNumId w:val="9"/>
  </w:num>
  <w:num w:numId="26" w16cid:durableId="1155102134">
    <w:abstractNumId w:val="6"/>
  </w:num>
  <w:num w:numId="27" w16cid:durableId="1042636867">
    <w:abstractNumId w:val="11"/>
  </w:num>
  <w:num w:numId="28" w16cid:durableId="2101173155">
    <w:abstractNumId w:val="17"/>
  </w:num>
  <w:num w:numId="29" w16cid:durableId="53549255">
    <w:abstractNumId w:val="25"/>
  </w:num>
  <w:num w:numId="30" w16cid:durableId="17245258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4652"/>
    <w:rsid w:val="0000537D"/>
    <w:rsid w:val="000054FE"/>
    <w:rsid w:val="00016321"/>
    <w:rsid w:val="00021FC3"/>
    <w:rsid w:val="00034B2F"/>
    <w:rsid w:val="00036A44"/>
    <w:rsid w:val="00047ED3"/>
    <w:rsid w:val="000579B6"/>
    <w:rsid w:val="00062300"/>
    <w:rsid w:val="00076625"/>
    <w:rsid w:val="00086A81"/>
    <w:rsid w:val="00091380"/>
    <w:rsid w:val="000967FA"/>
    <w:rsid w:val="000A01B6"/>
    <w:rsid w:val="000B4117"/>
    <w:rsid w:val="000C306F"/>
    <w:rsid w:val="000D6AE8"/>
    <w:rsid w:val="000D6B7D"/>
    <w:rsid w:val="000E1131"/>
    <w:rsid w:val="000E16CA"/>
    <w:rsid w:val="000E69A5"/>
    <w:rsid w:val="00113C05"/>
    <w:rsid w:val="00126028"/>
    <w:rsid w:val="00131380"/>
    <w:rsid w:val="00133830"/>
    <w:rsid w:val="00134622"/>
    <w:rsid w:val="0013539B"/>
    <w:rsid w:val="001546B3"/>
    <w:rsid w:val="00154933"/>
    <w:rsid w:val="001760A7"/>
    <w:rsid w:val="0018101F"/>
    <w:rsid w:val="00182670"/>
    <w:rsid w:val="00184144"/>
    <w:rsid w:val="0019505A"/>
    <w:rsid w:val="00197337"/>
    <w:rsid w:val="001B3138"/>
    <w:rsid w:val="001B5F49"/>
    <w:rsid w:val="001C7BAB"/>
    <w:rsid w:val="001E52E8"/>
    <w:rsid w:val="001F3CF4"/>
    <w:rsid w:val="001F46EB"/>
    <w:rsid w:val="00203FF7"/>
    <w:rsid w:val="002046F5"/>
    <w:rsid w:val="00210F56"/>
    <w:rsid w:val="0022730B"/>
    <w:rsid w:val="00234FE8"/>
    <w:rsid w:val="00255568"/>
    <w:rsid w:val="00261273"/>
    <w:rsid w:val="00272113"/>
    <w:rsid w:val="00287912"/>
    <w:rsid w:val="002A0BD3"/>
    <w:rsid w:val="002A1316"/>
    <w:rsid w:val="002A41EB"/>
    <w:rsid w:val="002A44FE"/>
    <w:rsid w:val="002B0E80"/>
    <w:rsid w:val="002B1679"/>
    <w:rsid w:val="002B2B95"/>
    <w:rsid w:val="002B3893"/>
    <w:rsid w:val="002D70E6"/>
    <w:rsid w:val="002F399A"/>
    <w:rsid w:val="002F6FF9"/>
    <w:rsid w:val="0030402E"/>
    <w:rsid w:val="00304CEC"/>
    <w:rsid w:val="003148E8"/>
    <w:rsid w:val="00316ABB"/>
    <w:rsid w:val="00325660"/>
    <w:rsid w:val="00326AC1"/>
    <w:rsid w:val="003325E9"/>
    <w:rsid w:val="00333FC0"/>
    <w:rsid w:val="003415C3"/>
    <w:rsid w:val="003450E3"/>
    <w:rsid w:val="0034544B"/>
    <w:rsid w:val="0035609F"/>
    <w:rsid w:val="00357190"/>
    <w:rsid w:val="00375AA6"/>
    <w:rsid w:val="00391A15"/>
    <w:rsid w:val="0039600A"/>
    <w:rsid w:val="003A2D8D"/>
    <w:rsid w:val="003A3FA2"/>
    <w:rsid w:val="003B0F34"/>
    <w:rsid w:val="003B12DE"/>
    <w:rsid w:val="003B2CEE"/>
    <w:rsid w:val="003E27E5"/>
    <w:rsid w:val="003F6803"/>
    <w:rsid w:val="0040093D"/>
    <w:rsid w:val="0040337C"/>
    <w:rsid w:val="00407546"/>
    <w:rsid w:val="00407CE8"/>
    <w:rsid w:val="004128F1"/>
    <w:rsid w:val="00434970"/>
    <w:rsid w:val="00435DAC"/>
    <w:rsid w:val="0044022E"/>
    <w:rsid w:val="004445C7"/>
    <w:rsid w:val="00446244"/>
    <w:rsid w:val="00450C01"/>
    <w:rsid w:val="004516AB"/>
    <w:rsid w:val="00452842"/>
    <w:rsid w:val="00476FC3"/>
    <w:rsid w:val="004816DF"/>
    <w:rsid w:val="004829CD"/>
    <w:rsid w:val="0048680B"/>
    <w:rsid w:val="00490996"/>
    <w:rsid w:val="004953BB"/>
    <w:rsid w:val="0049733D"/>
    <w:rsid w:val="004A166E"/>
    <w:rsid w:val="004B37C1"/>
    <w:rsid w:val="004B51B6"/>
    <w:rsid w:val="004C1FC0"/>
    <w:rsid w:val="004D199D"/>
    <w:rsid w:val="004D4855"/>
    <w:rsid w:val="004E2BB9"/>
    <w:rsid w:val="004E3B7D"/>
    <w:rsid w:val="004F2A87"/>
    <w:rsid w:val="0050009A"/>
    <w:rsid w:val="00512C44"/>
    <w:rsid w:val="00562444"/>
    <w:rsid w:val="0057078A"/>
    <w:rsid w:val="0058641A"/>
    <w:rsid w:val="005A259E"/>
    <w:rsid w:val="005A6835"/>
    <w:rsid w:val="005A6EBE"/>
    <w:rsid w:val="005A7415"/>
    <w:rsid w:val="005B478B"/>
    <w:rsid w:val="005C063D"/>
    <w:rsid w:val="005E15E0"/>
    <w:rsid w:val="005E521D"/>
    <w:rsid w:val="005E6373"/>
    <w:rsid w:val="005F6587"/>
    <w:rsid w:val="00603417"/>
    <w:rsid w:val="00622ED5"/>
    <w:rsid w:val="00624E04"/>
    <w:rsid w:val="00626152"/>
    <w:rsid w:val="00626EC0"/>
    <w:rsid w:val="00630368"/>
    <w:rsid w:val="00631D02"/>
    <w:rsid w:val="00634598"/>
    <w:rsid w:val="00637C40"/>
    <w:rsid w:val="0065250E"/>
    <w:rsid w:val="00654938"/>
    <w:rsid w:val="00676A9F"/>
    <w:rsid w:val="0068122D"/>
    <w:rsid w:val="00690138"/>
    <w:rsid w:val="006B08A3"/>
    <w:rsid w:val="006B29EC"/>
    <w:rsid w:val="006B37DD"/>
    <w:rsid w:val="006B7B53"/>
    <w:rsid w:val="006D3743"/>
    <w:rsid w:val="006D3A59"/>
    <w:rsid w:val="00706B68"/>
    <w:rsid w:val="00715743"/>
    <w:rsid w:val="007232A3"/>
    <w:rsid w:val="0072525D"/>
    <w:rsid w:val="00725FDA"/>
    <w:rsid w:val="007306B9"/>
    <w:rsid w:val="00736456"/>
    <w:rsid w:val="00746880"/>
    <w:rsid w:val="00754C45"/>
    <w:rsid w:val="00756AE3"/>
    <w:rsid w:val="007574AB"/>
    <w:rsid w:val="00761440"/>
    <w:rsid w:val="00761611"/>
    <w:rsid w:val="007646F6"/>
    <w:rsid w:val="00765FAE"/>
    <w:rsid w:val="00774EEB"/>
    <w:rsid w:val="007767B8"/>
    <w:rsid w:val="007774AA"/>
    <w:rsid w:val="00794B81"/>
    <w:rsid w:val="00795898"/>
    <w:rsid w:val="007A78AF"/>
    <w:rsid w:val="007B4554"/>
    <w:rsid w:val="007F0788"/>
    <w:rsid w:val="007F1389"/>
    <w:rsid w:val="007F344C"/>
    <w:rsid w:val="00801FF1"/>
    <w:rsid w:val="00806FC1"/>
    <w:rsid w:val="008102B1"/>
    <w:rsid w:val="00810ADE"/>
    <w:rsid w:val="00811EC6"/>
    <w:rsid w:val="008278C7"/>
    <w:rsid w:val="00830174"/>
    <w:rsid w:val="008314AC"/>
    <w:rsid w:val="008338B8"/>
    <w:rsid w:val="00834D29"/>
    <w:rsid w:val="008424D9"/>
    <w:rsid w:val="0086446A"/>
    <w:rsid w:val="008666D0"/>
    <w:rsid w:val="00873E96"/>
    <w:rsid w:val="008757F9"/>
    <w:rsid w:val="008758B4"/>
    <w:rsid w:val="008869A6"/>
    <w:rsid w:val="008A0198"/>
    <w:rsid w:val="008C3A60"/>
    <w:rsid w:val="008C59AA"/>
    <w:rsid w:val="008F4535"/>
    <w:rsid w:val="00900BEC"/>
    <w:rsid w:val="00910054"/>
    <w:rsid w:val="0092196B"/>
    <w:rsid w:val="00923C52"/>
    <w:rsid w:val="009249B4"/>
    <w:rsid w:val="0092759F"/>
    <w:rsid w:val="00932893"/>
    <w:rsid w:val="009406D9"/>
    <w:rsid w:val="00943569"/>
    <w:rsid w:val="0094773E"/>
    <w:rsid w:val="00957780"/>
    <w:rsid w:val="00972A11"/>
    <w:rsid w:val="00980638"/>
    <w:rsid w:val="00984FA6"/>
    <w:rsid w:val="0098632A"/>
    <w:rsid w:val="00994144"/>
    <w:rsid w:val="009B20EB"/>
    <w:rsid w:val="009B7B6B"/>
    <w:rsid w:val="009C702B"/>
    <w:rsid w:val="009E5D8C"/>
    <w:rsid w:val="00A07509"/>
    <w:rsid w:val="00A11581"/>
    <w:rsid w:val="00A11B7D"/>
    <w:rsid w:val="00A202AF"/>
    <w:rsid w:val="00A305A3"/>
    <w:rsid w:val="00A35E70"/>
    <w:rsid w:val="00A541A3"/>
    <w:rsid w:val="00A61634"/>
    <w:rsid w:val="00A82C39"/>
    <w:rsid w:val="00A92C59"/>
    <w:rsid w:val="00A956BA"/>
    <w:rsid w:val="00AA1DC0"/>
    <w:rsid w:val="00AA2950"/>
    <w:rsid w:val="00AA6691"/>
    <w:rsid w:val="00AC14AF"/>
    <w:rsid w:val="00AC6B73"/>
    <w:rsid w:val="00AD163F"/>
    <w:rsid w:val="00AD7131"/>
    <w:rsid w:val="00AE072B"/>
    <w:rsid w:val="00AE4263"/>
    <w:rsid w:val="00AE6149"/>
    <w:rsid w:val="00AE7033"/>
    <w:rsid w:val="00AE74CF"/>
    <w:rsid w:val="00AF4BFA"/>
    <w:rsid w:val="00B06CC3"/>
    <w:rsid w:val="00B10C19"/>
    <w:rsid w:val="00B30CA0"/>
    <w:rsid w:val="00B45C13"/>
    <w:rsid w:val="00B57252"/>
    <w:rsid w:val="00B603E4"/>
    <w:rsid w:val="00BA2919"/>
    <w:rsid w:val="00BB3289"/>
    <w:rsid w:val="00BB5939"/>
    <w:rsid w:val="00BD0E42"/>
    <w:rsid w:val="00BE5D8A"/>
    <w:rsid w:val="00C00A97"/>
    <w:rsid w:val="00C04FA0"/>
    <w:rsid w:val="00C051DB"/>
    <w:rsid w:val="00C21229"/>
    <w:rsid w:val="00C215E4"/>
    <w:rsid w:val="00C26B71"/>
    <w:rsid w:val="00C30043"/>
    <w:rsid w:val="00C41D7B"/>
    <w:rsid w:val="00C5035D"/>
    <w:rsid w:val="00C6544D"/>
    <w:rsid w:val="00C71C2C"/>
    <w:rsid w:val="00C9066D"/>
    <w:rsid w:val="00CA3713"/>
    <w:rsid w:val="00CA39BF"/>
    <w:rsid w:val="00CA4E49"/>
    <w:rsid w:val="00CA62AE"/>
    <w:rsid w:val="00CA795B"/>
    <w:rsid w:val="00CB7CFA"/>
    <w:rsid w:val="00CC3754"/>
    <w:rsid w:val="00CC53AA"/>
    <w:rsid w:val="00CC5F43"/>
    <w:rsid w:val="00CE3B76"/>
    <w:rsid w:val="00CE5766"/>
    <w:rsid w:val="00CF026A"/>
    <w:rsid w:val="00CF3750"/>
    <w:rsid w:val="00D019C9"/>
    <w:rsid w:val="00D07DAC"/>
    <w:rsid w:val="00D21513"/>
    <w:rsid w:val="00D453F1"/>
    <w:rsid w:val="00D506C4"/>
    <w:rsid w:val="00D62C57"/>
    <w:rsid w:val="00D6469D"/>
    <w:rsid w:val="00D653C2"/>
    <w:rsid w:val="00D660E0"/>
    <w:rsid w:val="00D924B0"/>
    <w:rsid w:val="00DA1C46"/>
    <w:rsid w:val="00DB78D0"/>
    <w:rsid w:val="00DC071A"/>
    <w:rsid w:val="00DC26A5"/>
    <w:rsid w:val="00DD0974"/>
    <w:rsid w:val="00DE54DB"/>
    <w:rsid w:val="00DF407B"/>
    <w:rsid w:val="00DF5D76"/>
    <w:rsid w:val="00E01062"/>
    <w:rsid w:val="00E077F0"/>
    <w:rsid w:val="00E136A0"/>
    <w:rsid w:val="00E2462E"/>
    <w:rsid w:val="00E30ACC"/>
    <w:rsid w:val="00E5709C"/>
    <w:rsid w:val="00E90A65"/>
    <w:rsid w:val="00E96FDF"/>
    <w:rsid w:val="00EA2736"/>
    <w:rsid w:val="00EA393C"/>
    <w:rsid w:val="00EC15C1"/>
    <w:rsid w:val="00EC61F1"/>
    <w:rsid w:val="00EF720B"/>
    <w:rsid w:val="00EF7A08"/>
    <w:rsid w:val="00F04F9A"/>
    <w:rsid w:val="00F05F13"/>
    <w:rsid w:val="00F105EA"/>
    <w:rsid w:val="00F12B04"/>
    <w:rsid w:val="00F179AD"/>
    <w:rsid w:val="00F277B4"/>
    <w:rsid w:val="00F34066"/>
    <w:rsid w:val="00F36D97"/>
    <w:rsid w:val="00F45D51"/>
    <w:rsid w:val="00F51743"/>
    <w:rsid w:val="00F52D31"/>
    <w:rsid w:val="00F65620"/>
    <w:rsid w:val="00F723F1"/>
    <w:rsid w:val="00F858B9"/>
    <w:rsid w:val="00FB2449"/>
    <w:rsid w:val="00FC35C7"/>
    <w:rsid w:val="00FD68AB"/>
    <w:rsid w:val="00FE7FAA"/>
    <w:rsid w:val="00FF10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EB9247D9-8563-4B34-8548-EDDE2720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2"/>
      </w:numPr>
    </w:pPr>
    <w:rPr>
      <w:sz w:val="20"/>
      <w:szCs w:val="20"/>
    </w:rPr>
  </w:style>
  <w:style w:type="character" w:styleId="Strong">
    <w:name w:val="Strong"/>
    <w:qFormat/>
    <w:rsid w:val="008758B4"/>
    <w:rPr>
      <w:b/>
      <w:bCs/>
    </w:rPr>
  </w:style>
  <w:style w:type="paragraph" w:styleId="FootnoteText">
    <w:name w:val="footnote text"/>
    <w:basedOn w:val="Normal"/>
    <w:semiHidden/>
    <w:rsid w:val="00184144"/>
    <w:pPr>
      <w:spacing w:after="220"/>
    </w:pPr>
    <w:rPr>
      <w:sz w:val="20"/>
      <w:szCs w:val="20"/>
    </w:rPr>
  </w:style>
  <w:style w:type="character" w:styleId="FootnoteReference">
    <w:name w:val="footnote reference"/>
    <w:semiHidden/>
    <w:rsid w:val="00184144"/>
    <w:rPr>
      <w:vertAlign w:val="superscript"/>
    </w:rPr>
  </w:style>
  <w:style w:type="paragraph" w:styleId="ListNumber3">
    <w:name w:val="List Number 3"/>
    <w:basedOn w:val="Normal"/>
    <w:rsid w:val="0034544B"/>
    <w:pPr>
      <w:numPr>
        <w:numId w:val="14"/>
      </w:numPr>
    </w:pPr>
  </w:style>
  <w:style w:type="paragraph" w:styleId="ListBullet2">
    <w:name w:val="List Bullet 2"/>
    <w:basedOn w:val="Normal"/>
    <w:autoRedefine/>
    <w:rsid w:val="0034544B"/>
    <w:pPr>
      <w:numPr>
        <w:numId w:val="18"/>
      </w:numPr>
      <w:spacing w:after="220"/>
      <w:jc w:val="both"/>
    </w:pPr>
    <w:rPr>
      <w:i/>
      <w:color w:val="000000"/>
      <w:sz w:val="22"/>
      <w:szCs w:val="20"/>
    </w:rPr>
  </w:style>
  <w:style w:type="paragraph" w:styleId="ListNumber">
    <w:name w:val="List Number"/>
    <w:basedOn w:val="Normal"/>
    <w:rsid w:val="00452842"/>
    <w:pPr>
      <w:numPr>
        <w:numId w:val="21"/>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ListParagraph">
    <w:name w:val="List Paragraph"/>
    <w:basedOn w:val="Normal"/>
    <w:uiPriority w:val="34"/>
    <w:qFormat/>
    <w:rsid w:val="00C30043"/>
    <w:pPr>
      <w:ind w:left="720"/>
      <w:contextualSpacing/>
    </w:pPr>
  </w:style>
  <w:style w:type="paragraph" w:styleId="Revision">
    <w:name w:val="Revision"/>
    <w:hidden/>
    <w:uiPriority w:val="99"/>
    <w:semiHidden/>
    <w:rsid w:val="00326AC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604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8" ma:contentTypeDescription="Create a new document." ma:contentTypeScope="" ma:versionID="4c4d052bb73902e964aa582eee4e682d">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aa3b68c573947eabdaa67b3179145dfd"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Ready for Review"/>
              <xsd:enumeration value="In-Progress"/>
              <xsd:enumeration value="Not Start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d46520-c392-41b5-9f68-fe7486eefad7">
      <Terms xmlns="http://schemas.microsoft.com/office/infopath/2007/PartnerControls"/>
    </lcf76f155ced4ddcb4097134ff3c332f>
    <TaxCatchAll xmlns="3c9e15a3-223f-4584-afb1-1dbe0b3878fa" xsi:nil="true"/>
    <ProgressStatus xmlns="dbd46520-c392-41b5-9f68-fe7486eefad7">Complete</ProgressStatu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29FB25-3B15-4100-B2BC-6133218AC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customXml/itemProps3.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dbd46520-c392-41b5-9f68-fe7486eefad7"/>
    <ds:schemaRef ds:uri="3c9e15a3-223f-4584-afb1-1dbe0b3878fa"/>
  </ds:schemaRefs>
</ds:datastoreItem>
</file>

<file path=customXml/itemProps4.xml><?xml version="1.0" encoding="utf-8"?>
<ds:datastoreItem xmlns:ds="http://schemas.openxmlformats.org/officeDocument/2006/customXml" ds:itemID="{402116DE-A9E3-4368-85A4-B7B44E8B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1</Pages>
  <Words>1582</Words>
  <Characters>9023</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Oden, Wil</cp:lastModifiedBy>
  <cp:revision>136</cp:revision>
  <cp:lastPrinted>2011-03-01T22:07:00Z</cp:lastPrinted>
  <dcterms:created xsi:type="dcterms:W3CDTF">2023-10-31T16:42:00Z</dcterms:created>
  <dcterms:modified xsi:type="dcterms:W3CDTF">2023-12-06T22:05:00Z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ies>
</file>