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52DAA" w14:textId="77777777" w:rsidR="002A1316" w:rsidRPr="00D77C54" w:rsidRDefault="002A1316">
      <w:pPr>
        <w:pStyle w:val="Title"/>
        <w:rPr>
          <w:rFonts w:asciiTheme="minorHAnsi" w:hAnsiTheme="minorHAnsi" w:cstheme="minorHAnsi"/>
          <w:sz w:val="22"/>
          <w:szCs w:val="22"/>
        </w:rPr>
      </w:pPr>
      <w:r w:rsidRPr="00D77C54">
        <w:rPr>
          <w:rFonts w:asciiTheme="minorHAnsi" w:hAnsiTheme="minorHAnsi" w:cstheme="minorHAnsi"/>
          <w:sz w:val="22"/>
          <w:szCs w:val="22"/>
        </w:rPr>
        <w:t xml:space="preserve">Statutory Accounting Principles </w:t>
      </w:r>
      <w:r w:rsidR="00C6544D" w:rsidRPr="00D77C54">
        <w:rPr>
          <w:rFonts w:asciiTheme="minorHAnsi" w:hAnsiTheme="minorHAnsi" w:cstheme="minorHAnsi"/>
          <w:sz w:val="22"/>
          <w:szCs w:val="22"/>
        </w:rPr>
        <w:t xml:space="preserve">(E) </w:t>
      </w:r>
      <w:r w:rsidRPr="00D77C54">
        <w:rPr>
          <w:rFonts w:asciiTheme="minorHAnsi" w:hAnsiTheme="minorHAnsi" w:cstheme="minorHAnsi"/>
          <w:sz w:val="22"/>
          <w:szCs w:val="22"/>
        </w:rPr>
        <w:t>Working Group</w:t>
      </w:r>
    </w:p>
    <w:p w14:paraId="5E8586D5" w14:textId="77777777" w:rsidR="002A1316" w:rsidRPr="00D77C54" w:rsidRDefault="002A1316">
      <w:pPr>
        <w:jc w:val="center"/>
        <w:rPr>
          <w:rFonts w:asciiTheme="minorHAnsi" w:hAnsiTheme="minorHAnsi" w:cstheme="minorHAnsi"/>
          <w:b/>
          <w:sz w:val="22"/>
          <w:szCs w:val="22"/>
        </w:rPr>
      </w:pPr>
      <w:r w:rsidRPr="00D77C54">
        <w:rPr>
          <w:rFonts w:asciiTheme="minorHAnsi" w:hAnsiTheme="minorHAnsi" w:cstheme="minorHAnsi"/>
          <w:b/>
          <w:sz w:val="22"/>
          <w:szCs w:val="22"/>
        </w:rPr>
        <w:t>Maintenance Agenda Submission Form</w:t>
      </w:r>
    </w:p>
    <w:p w14:paraId="43927C70" w14:textId="77777777" w:rsidR="002A1316" w:rsidRPr="00D77C54" w:rsidRDefault="002A1316">
      <w:pPr>
        <w:jc w:val="center"/>
        <w:rPr>
          <w:rFonts w:asciiTheme="minorHAnsi" w:hAnsiTheme="minorHAnsi" w:cstheme="minorHAnsi"/>
          <w:b/>
          <w:sz w:val="22"/>
          <w:szCs w:val="22"/>
        </w:rPr>
      </w:pPr>
      <w:r w:rsidRPr="00D77C54">
        <w:rPr>
          <w:rFonts w:asciiTheme="minorHAnsi" w:hAnsiTheme="minorHAnsi" w:cstheme="minorHAnsi"/>
          <w:b/>
          <w:sz w:val="22"/>
          <w:szCs w:val="22"/>
        </w:rPr>
        <w:t>Form A</w:t>
      </w:r>
    </w:p>
    <w:p w14:paraId="65BCA41C" w14:textId="77777777" w:rsidR="002A1316" w:rsidRPr="00D77C54" w:rsidRDefault="002A1316">
      <w:pPr>
        <w:pStyle w:val="Heading2"/>
        <w:jc w:val="center"/>
        <w:rPr>
          <w:rFonts w:asciiTheme="minorHAnsi" w:hAnsiTheme="minorHAnsi" w:cstheme="minorHAnsi"/>
          <w:sz w:val="22"/>
          <w:szCs w:val="22"/>
        </w:rPr>
      </w:pPr>
    </w:p>
    <w:p w14:paraId="10F0B4B2" w14:textId="56525856" w:rsidR="002A1316" w:rsidRPr="00D77C54" w:rsidRDefault="002A1316" w:rsidP="00B30CA0">
      <w:pPr>
        <w:pStyle w:val="Heading2"/>
        <w:rPr>
          <w:rFonts w:asciiTheme="minorHAnsi" w:hAnsiTheme="minorHAnsi" w:cstheme="minorHAnsi"/>
          <w:sz w:val="22"/>
          <w:szCs w:val="22"/>
        </w:rPr>
      </w:pPr>
      <w:r w:rsidRPr="00D77C54">
        <w:rPr>
          <w:rFonts w:asciiTheme="minorHAnsi" w:hAnsiTheme="minorHAnsi" w:cstheme="minorHAnsi"/>
          <w:b/>
          <w:sz w:val="22"/>
          <w:szCs w:val="22"/>
        </w:rPr>
        <w:t>Issue:</w:t>
      </w:r>
      <w:r w:rsidR="00EC61F1" w:rsidRPr="00D77C54">
        <w:rPr>
          <w:rFonts w:asciiTheme="minorHAnsi" w:hAnsiTheme="minorHAnsi" w:cstheme="minorHAnsi"/>
          <w:b/>
          <w:sz w:val="22"/>
          <w:szCs w:val="22"/>
        </w:rPr>
        <w:t xml:space="preserve"> </w:t>
      </w:r>
      <w:r w:rsidR="00785FAD" w:rsidRPr="00D77C54">
        <w:rPr>
          <w:rFonts w:asciiTheme="minorHAnsi" w:hAnsiTheme="minorHAnsi" w:cstheme="minorHAnsi"/>
          <w:b/>
          <w:sz w:val="22"/>
          <w:szCs w:val="22"/>
        </w:rPr>
        <w:t>Sale</w:t>
      </w:r>
      <w:r w:rsidR="00686960" w:rsidRPr="00D77C54">
        <w:rPr>
          <w:rFonts w:asciiTheme="minorHAnsi" w:hAnsiTheme="minorHAnsi" w:cstheme="minorHAnsi"/>
          <w:b/>
          <w:sz w:val="22"/>
          <w:szCs w:val="22"/>
        </w:rPr>
        <w:t>-</w:t>
      </w:r>
      <w:r w:rsidR="00785FAD" w:rsidRPr="00D77C54">
        <w:rPr>
          <w:rFonts w:asciiTheme="minorHAnsi" w:hAnsiTheme="minorHAnsi" w:cstheme="minorHAnsi"/>
          <w:b/>
          <w:sz w:val="22"/>
          <w:szCs w:val="22"/>
        </w:rPr>
        <w:t>Leaseback Clarification</w:t>
      </w:r>
    </w:p>
    <w:p w14:paraId="7D50C110" w14:textId="77777777" w:rsidR="00B30CA0" w:rsidRPr="00D77C54" w:rsidRDefault="00B30CA0" w:rsidP="00B30CA0">
      <w:pPr>
        <w:rPr>
          <w:rFonts w:asciiTheme="minorHAnsi" w:hAnsiTheme="minorHAnsi" w:cstheme="minorHAnsi"/>
          <w:sz w:val="22"/>
          <w:szCs w:val="22"/>
        </w:rPr>
      </w:pPr>
    </w:p>
    <w:p w14:paraId="1E0B900E" w14:textId="77777777" w:rsidR="002A1316" w:rsidRPr="00D77C54" w:rsidRDefault="002A1316" w:rsidP="00B30CA0">
      <w:pPr>
        <w:jc w:val="both"/>
        <w:rPr>
          <w:rFonts w:asciiTheme="minorHAnsi" w:hAnsiTheme="minorHAnsi" w:cstheme="minorHAnsi"/>
          <w:b/>
          <w:sz w:val="22"/>
          <w:szCs w:val="22"/>
        </w:rPr>
      </w:pPr>
      <w:r w:rsidRPr="00D77C54">
        <w:rPr>
          <w:rFonts w:asciiTheme="minorHAnsi" w:hAnsiTheme="minorHAnsi" w:cstheme="minorHAnsi"/>
          <w:b/>
          <w:sz w:val="22"/>
          <w:szCs w:val="22"/>
        </w:rPr>
        <w:t>Check (applicable entity):</w:t>
      </w:r>
    </w:p>
    <w:p w14:paraId="3CA22BB3" w14:textId="77777777" w:rsidR="006B37DD" w:rsidRPr="00D77C54" w:rsidRDefault="006B37DD" w:rsidP="006B37DD">
      <w:pPr>
        <w:tabs>
          <w:tab w:val="center" w:pos="4455"/>
          <w:tab w:val="center" w:pos="5886"/>
          <w:tab w:val="center" w:pos="7326"/>
        </w:tabs>
        <w:jc w:val="both"/>
        <w:rPr>
          <w:rFonts w:asciiTheme="minorHAnsi" w:hAnsiTheme="minorHAnsi" w:cstheme="minorHAnsi"/>
          <w:sz w:val="22"/>
          <w:szCs w:val="22"/>
        </w:rPr>
      </w:pPr>
      <w:r w:rsidRPr="00D77C54">
        <w:rPr>
          <w:rFonts w:asciiTheme="minorHAnsi" w:hAnsiTheme="minorHAnsi" w:cstheme="minorHAnsi"/>
          <w:sz w:val="22"/>
          <w:szCs w:val="22"/>
        </w:rPr>
        <w:tab/>
        <w:t>P/C</w:t>
      </w:r>
      <w:r w:rsidRPr="00D77C54">
        <w:rPr>
          <w:rFonts w:asciiTheme="minorHAnsi" w:hAnsiTheme="minorHAnsi" w:cstheme="minorHAnsi"/>
          <w:sz w:val="22"/>
          <w:szCs w:val="22"/>
        </w:rPr>
        <w:tab/>
        <w:t>Life</w:t>
      </w:r>
      <w:r w:rsidRPr="00D77C54">
        <w:rPr>
          <w:rFonts w:asciiTheme="minorHAnsi" w:hAnsiTheme="minorHAnsi" w:cstheme="minorHAnsi"/>
          <w:sz w:val="22"/>
          <w:szCs w:val="22"/>
        </w:rPr>
        <w:tab/>
        <w:t>Health</w:t>
      </w:r>
    </w:p>
    <w:p w14:paraId="347337DD" w14:textId="68EE60B9" w:rsidR="002A1316" w:rsidRPr="00D77C54" w:rsidRDefault="002A1316" w:rsidP="00B30CA0">
      <w:pPr>
        <w:ind w:firstLine="720"/>
        <w:jc w:val="both"/>
        <w:rPr>
          <w:rFonts w:asciiTheme="minorHAnsi" w:hAnsiTheme="minorHAnsi" w:cstheme="minorHAnsi"/>
          <w:sz w:val="22"/>
          <w:szCs w:val="22"/>
        </w:rPr>
      </w:pPr>
      <w:r w:rsidRPr="00D77C54">
        <w:rPr>
          <w:rFonts w:asciiTheme="minorHAnsi" w:hAnsiTheme="minorHAnsi" w:cstheme="minorHAnsi"/>
          <w:sz w:val="22"/>
          <w:szCs w:val="22"/>
        </w:rPr>
        <w:t xml:space="preserve">Modification of </w:t>
      </w:r>
      <w:r w:rsidR="00DF407B" w:rsidRPr="00D77C54">
        <w:rPr>
          <w:rFonts w:asciiTheme="minorHAnsi" w:hAnsiTheme="minorHAnsi" w:cstheme="minorHAnsi"/>
          <w:sz w:val="22"/>
          <w:szCs w:val="22"/>
        </w:rPr>
        <w:t>E</w:t>
      </w:r>
      <w:r w:rsidRPr="00D77C54">
        <w:rPr>
          <w:rFonts w:asciiTheme="minorHAnsi" w:hAnsiTheme="minorHAnsi" w:cstheme="minorHAnsi"/>
          <w:sz w:val="22"/>
          <w:szCs w:val="22"/>
        </w:rPr>
        <w:t>xisting SSAP</w:t>
      </w:r>
      <w:r w:rsidRPr="00D77C54">
        <w:rPr>
          <w:rFonts w:asciiTheme="minorHAnsi" w:hAnsiTheme="minorHAnsi" w:cstheme="minorHAnsi"/>
          <w:sz w:val="22"/>
          <w:szCs w:val="22"/>
        </w:rPr>
        <w:tab/>
      </w:r>
      <w:r w:rsidRPr="00D77C54">
        <w:rPr>
          <w:rFonts w:asciiTheme="minorHAnsi" w:hAnsiTheme="minorHAnsi" w:cstheme="minorHAnsi"/>
          <w:sz w:val="22"/>
          <w:szCs w:val="22"/>
        </w:rPr>
        <w:tab/>
      </w:r>
      <w:r w:rsidRPr="00D77C54">
        <w:rPr>
          <w:rFonts w:asciiTheme="minorHAnsi" w:hAnsiTheme="minorHAnsi" w:cstheme="minorHAnsi"/>
          <w:sz w:val="22"/>
          <w:szCs w:val="22"/>
        </w:rPr>
        <w:fldChar w:fldCharType="begin">
          <w:ffData>
            <w:name w:val="Check1"/>
            <w:enabled/>
            <w:calcOnExit w:val="0"/>
            <w:checkBox>
              <w:sizeAuto/>
              <w:default w:val="1"/>
            </w:checkBox>
          </w:ffData>
        </w:fldChar>
      </w:r>
      <w:bookmarkStart w:id="0" w:name="Check1"/>
      <w:r w:rsidRPr="00D77C54">
        <w:rPr>
          <w:rFonts w:asciiTheme="minorHAnsi" w:hAnsiTheme="minorHAnsi" w:cstheme="minorHAnsi"/>
          <w:sz w:val="22"/>
          <w:szCs w:val="22"/>
        </w:rPr>
        <w:instrText xml:space="preserve"> FORMCHECKBOX </w:instrText>
      </w:r>
      <w:r w:rsidRPr="00D77C54">
        <w:rPr>
          <w:rFonts w:asciiTheme="minorHAnsi" w:hAnsiTheme="minorHAnsi" w:cstheme="minorHAnsi"/>
          <w:sz w:val="22"/>
          <w:szCs w:val="22"/>
        </w:rPr>
      </w:r>
      <w:r w:rsidRPr="00D77C54">
        <w:rPr>
          <w:rFonts w:asciiTheme="minorHAnsi" w:hAnsiTheme="minorHAnsi" w:cstheme="minorHAnsi"/>
          <w:sz w:val="22"/>
          <w:szCs w:val="22"/>
        </w:rPr>
        <w:fldChar w:fldCharType="separate"/>
      </w:r>
      <w:r w:rsidRPr="00D77C54">
        <w:rPr>
          <w:rFonts w:asciiTheme="minorHAnsi" w:hAnsiTheme="minorHAnsi" w:cstheme="minorHAnsi"/>
          <w:sz w:val="22"/>
          <w:szCs w:val="22"/>
        </w:rPr>
        <w:fldChar w:fldCharType="end"/>
      </w:r>
      <w:bookmarkEnd w:id="0"/>
      <w:r w:rsidRPr="00D77C54">
        <w:rPr>
          <w:rFonts w:asciiTheme="minorHAnsi" w:hAnsiTheme="minorHAnsi" w:cstheme="minorHAnsi"/>
          <w:sz w:val="22"/>
          <w:szCs w:val="22"/>
        </w:rPr>
        <w:tab/>
      </w:r>
      <w:r w:rsidRPr="00D77C54">
        <w:rPr>
          <w:rFonts w:asciiTheme="minorHAnsi" w:hAnsiTheme="minorHAnsi" w:cstheme="minorHAnsi"/>
          <w:sz w:val="22"/>
          <w:szCs w:val="22"/>
        </w:rPr>
        <w:tab/>
      </w:r>
      <w:r w:rsidRPr="00D77C54">
        <w:rPr>
          <w:rFonts w:asciiTheme="minorHAnsi" w:hAnsiTheme="minorHAnsi" w:cstheme="minorHAnsi"/>
          <w:sz w:val="22"/>
          <w:szCs w:val="22"/>
        </w:rPr>
        <w:fldChar w:fldCharType="begin">
          <w:ffData>
            <w:name w:val=""/>
            <w:enabled/>
            <w:calcOnExit w:val="0"/>
            <w:checkBox>
              <w:sizeAuto/>
              <w:default w:val="1"/>
            </w:checkBox>
          </w:ffData>
        </w:fldChar>
      </w:r>
      <w:r w:rsidRPr="00D77C54">
        <w:rPr>
          <w:rFonts w:asciiTheme="minorHAnsi" w:hAnsiTheme="minorHAnsi" w:cstheme="minorHAnsi"/>
          <w:sz w:val="22"/>
          <w:szCs w:val="22"/>
        </w:rPr>
        <w:instrText xml:space="preserve"> FORMCHECKBOX </w:instrText>
      </w:r>
      <w:r w:rsidRPr="00D77C54">
        <w:rPr>
          <w:rFonts w:asciiTheme="minorHAnsi" w:hAnsiTheme="minorHAnsi" w:cstheme="minorHAnsi"/>
          <w:sz w:val="22"/>
          <w:szCs w:val="22"/>
        </w:rPr>
      </w:r>
      <w:r w:rsidRPr="00D77C54">
        <w:rPr>
          <w:rFonts w:asciiTheme="minorHAnsi" w:hAnsiTheme="minorHAnsi" w:cstheme="minorHAnsi"/>
          <w:sz w:val="22"/>
          <w:szCs w:val="22"/>
        </w:rPr>
        <w:fldChar w:fldCharType="separate"/>
      </w:r>
      <w:r w:rsidRPr="00D77C54">
        <w:rPr>
          <w:rFonts w:asciiTheme="minorHAnsi" w:hAnsiTheme="minorHAnsi" w:cstheme="minorHAnsi"/>
          <w:sz w:val="22"/>
          <w:szCs w:val="22"/>
        </w:rPr>
        <w:fldChar w:fldCharType="end"/>
      </w:r>
      <w:r w:rsidRPr="00D77C54">
        <w:rPr>
          <w:rFonts w:asciiTheme="minorHAnsi" w:hAnsiTheme="minorHAnsi" w:cstheme="minorHAnsi"/>
          <w:sz w:val="22"/>
          <w:szCs w:val="22"/>
        </w:rPr>
        <w:tab/>
      </w:r>
      <w:r w:rsidRPr="00D77C54">
        <w:rPr>
          <w:rFonts w:asciiTheme="minorHAnsi" w:hAnsiTheme="minorHAnsi" w:cstheme="minorHAnsi"/>
          <w:sz w:val="22"/>
          <w:szCs w:val="22"/>
        </w:rPr>
        <w:tab/>
      </w:r>
      <w:r w:rsidRPr="00D77C54">
        <w:rPr>
          <w:rFonts w:asciiTheme="minorHAnsi" w:hAnsiTheme="minorHAnsi" w:cstheme="minorHAnsi"/>
          <w:sz w:val="22"/>
          <w:szCs w:val="22"/>
        </w:rPr>
        <w:fldChar w:fldCharType="begin">
          <w:ffData>
            <w:name w:val=""/>
            <w:enabled/>
            <w:calcOnExit w:val="0"/>
            <w:checkBox>
              <w:sizeAuto/>
              <w:default w:val="1"/>
            </w:checkBox>
          </w:ffData>
        </w:fldChar>
      </w:r>
      <w:r w:rsidRPr="00D77C54">
        <w:rPr>
          <w:rFonts w:asciiTheme="minorHAnsi" w:hAnsiTheme="minorHAnsi" w:cstheme="minorHAnsi"/>
          <w:sz w:val="22"/>
          <w:szCs w:val="22"/>
        </w:rPr>
        <w:instrText xml:space="preserve"> FORMCHECKBOX </w:instrText>
      </w:r>
      <w:r w:rsidRPr="00D77C54">
        <w:rPr>
          <w:rFonts w:asciiTheme="minorHAnsi" w:hAnsiTheme="minorHAnsi" w:cstheme="minorHAnsi"/>
          <w:sz w:val="22"/>
          <w:szCs w:val="22"/>
        </w:rPr>
      </w:r>
      <w:r w:rsidRPr="00D77C54">
        <w:rPr>
          <w:rFonts w:asciiTheme="minorHAnsi" w:hAnsiTheme="minorHAnsi" w:cstheme="minorHAnsi"/>
          <w:sz w:val="22"/>
          <w:szCs w:val="22"/>
        </w:rPr>
        <w:fldChar w:fldCharType="separate"/>
      </w:r>
      <w:r w:rsidRPr="00D77C54">
        <w:rPr>
          <w:rFonts w:asciiTheme="minorHAnsi" w:hAnsiTheme="minorHAnsi" w:cstheme="minorHAnsi"/>
          <w:sz w:val="22"/>
          <w:szCs w:val="22"/>
        </w:rPr>
        <w:fldChar w:fldCharType="end"/>
      </w:r>
    </w:p>
    <w:p w14:paraId="4332D7DA" w14:textId="02284300" w:rsidR="002A1316" w:rsidRPr="00D77C54" w:rsidRDefault="002A1316" w:rsidP="00B30CA0">
      <w:pPr>
        <w:ind w:firstLine="720"/>
        <w:jc w:val="both"/>
        <w:rPr>
          <w:rFonts w:asciiTheme="minorHAnsi" w:hAnsiTheme="minorHAnsi" w:cstheme="minorHAnsi"/>
          <w:sz w:val="22"/>
          <w:szCs w:val="22"/>
        </w:rPr>
      </w:pPr>
      <w:r w:rsidRPr="00D77C54">
        <w:rPr>
          <w:rFonts w:asciiTheme="minorHAnsi" w:hAnsiTheme="minorHAnsi" w:cstheme="minorHAnsi"/>
          <w:sz w:val="22"/>
          <w:szCs w:val="22"/>
        </w:rPr>
        <w:t>New Issue or SSAP</w:t>
      </w:r>
      <w:r w:rsidRPr="00D77C54">
        <w:rPr>
          <w:rFonts w:asciiTheme="minorHAnsi" w:hAnsiTheme="minorHAnsi" w:cstheme="minorHAnsi"/>
          <w:sz w:val="22"/>
          <w:szCs w:val="22"/>
        </w:rPr>
        <w:tab/>
      </w:r>
      <w:r w:rsidRPr="00D77C54">
        <w:rPr>
          <w:rFonts w:asciiTheme="minorHAnsi" w:hAnsiTheme="minorHAnsi" w:cstheme="minorHAnsi"/>
          <w:sz w:val="22"/>
          <w:szCs w:val="22"/>
        </w:rPr>
        <w:tab/>
      </w:r>
      <w:r w:rsidRPr="00D77C54">
        <w:rPr>
          <w:rFonts w:asciiTheme="minorHAnsi" w:hAnsiTheme="minorHAnsi" w:cstheme="minorHAnsi"/>
          <w:sz w:val="22"/>
          <w:szCs w:val="22"/>
        </w:rPr>
        <w:tab/>
      </w:r>
      <w:r w:rsidRPr="00D77C54">
        <w:rPr>
          <w:rFonts w:asciiTheme="minorHAnsi" w:hAnsiTheme="minorHAnsi" w:cstheme="minorHAnsi"/>
          <w:sz w:val="22"/>
          <w:szCs w:val="22"/>
        </w:rPr>
        <w:fldChar w:fldCharType="begin">
          <w:ffData>
            <w:name w:val=""/>
            <w:enabled/>
            <w:calcOnExit w:val="0"/>
            <w:checkBox>
              <w:sizeAuto/>
              <w:default w:val="0"/>
            </w:checkBox>
          </w:ffData>
        </w:fldChar>
      </w:r>
      <w:r w:rsidRPr="00D77C54">
        <w:rPr>
          <w:rFonts w:asciiTheme="minorHAnsi" w:hAnsiTheme="minorHAnsi" w:cstheme="minorHAnsi"/>
          <w:sz w:val="22"/>
          <w:szCs w:val="22"/>
        </w:rPr>
        <w:instrText xml:space="preserve"> FORMCHECKBOX </w:instrText>
      </w:r>
      <w:r w:rsidRPr="00D77C54">
        <w:rPr>
          <w:rFonts w:asciiTheme="minorHAnsi" w:hAnsiTheme="minorHAnsi" w:cstheme="minorHAnsi"/>
          <w:sz w:val="22"/>
          <w:szCs w:val="22"/>
        </w:rPr>
      </w:r>
      <w:r w:rsidRPr="00D77C54">
        <w:rPr>
          <w:rFonts w:asciiTheme="minorHAnsi" w:hAnsiTheme="minorHAnsi" w:cstheme="minorHAnsi"/>
          <w:sz w:val="22"/>
          <w:szCs w:val="22"/>
        </w:rPr>
        <w:fldChar w:fldCharType="separate"/>
      </w:r>
      <w:r w:rsidRPr="00D77C54">
        <w:rPr>
          <w:rFonts w:asciiTheme="minorHAnsi" w:hAnsiTheme="minorHAnsi" w:cstheme="minorHAnsi"/>
          <w:sz w:val="22"/>
          <w:szCs w:val="22"/>
        </w:rPr>
        <w:fldChar w:fldCharType="end"/>
      </w:r>
      <w:r w:rsidRPr="00D77C54">
        <w:rPr>
          <w:rFonts w:asciiTheme="minorHAnsi" w:hAnsiTheme="minorHAnsi" w:cstheme="minorHAnsi"/>
          <w:sz w:val="22"/>
          <w:szCs w:val="22"/>
        </w:rPr>
        <w:tab/>
      </w:r>
      <w:r w:rsidRPr="00D77C54">
        <w:rPr>
          <w:rFonts w:asciiTheme="minorHAnsi" w:hAnsiTheme="minorHAnsi" w:cstheme="minorHAnsi"/>
          <w:sz w:val="22"/>
          <w:szCs w:val="22"/>
        </w:rPr>
        <w:tab/>
      </w:r>
      <w:r w:rsidRPr="00D77C54">
        <w:rPr>
          <w:rFonts w:asciiTheme="minorHAnsi" w:hAnsiTheme="minorHAnsi" w:cstheme="minorHAnsi"/>
          <w:sz w:val="22"/>
          <w:szCs w:val="22"/>
        </w:rPr>
        <w:fldChar w:fldCharType="begin">
          <w:ffData>
            <w:name w:val=""/>
            <w:enabled/>
            <w:calcOnExit w:val="0"/>
            <w:checkBox>
              <w:sizeAuto/>
              <w:default w:val="0"/>
            </w:checkBox>
          </w:ffData>
        </w:fldChar>
      </w:r>
      <w:r w:rsidRPr="00D77C54">
        <w:rPr>
          <w:rFonts w:asciiTheme="minorHAnsi" w:hAnsiTheme="minorHAnsi" w:cstheme="minorHAnsi"/>
          <w:sz w:val="22"/>
          <w:szCs w:val="22"/>
        </w:rPr>
        <w:instrText xml:space="preserve"> FORMCHECKBOX </w:instrText>
      </w:r>
      <w:r w:rsidRPr="00D77C54">
        <w:rPr>
          <w:rFonts w:asciiTheme="minorHAnsi" w:hAnsiTheme="minorHAnsi" w:cstheme="minorHAnsi"/>
          <w:sz w:val="22"/>
          <w:szCs w:val="22"/>
        </w:rPr>
      </w:r>
      <w:r w:rsidRPr="00D77C54">
        <w:rPr>
          <w:rFonts w:asciiTheme="minorHAnsi" w:hAnsiTheme="minorHAnsi" w:cstheme="minorHAnsi"/>
          <w:sz w:val="22"/>
          <w:szCs w:val="22"/>
        </w:rPr>
        <w:fldChar w:fldCharType="separate"/>
      </w:r>
      <w:r w:rsidRPr="00D77C54">
        <w:rPr>
          <w:rFonts w:asciiTheme="minorHAnsi" w:hAnsiTheme="minorHAnsi" w:cstheme="minorHAnsi"/>
          <w:sz w:val="22"/>
          <w:szCs w:val="22"/>
        </w:rPr>
        <w:fldChar w:fldCharType="end"/>
      </w:r>
      <w:r w:rsidRPr="00D77C54">
        <w:rPr>
          <w:rFonts w:asciiTheme="minorHAnsi" w:hAnsiTheme="minorHAnsi" w:cstheme="minorHAnsi"/>
          <w:sz w:val="22"/>
          <w:szCs w:val="22"/>
        </w:rPr>
        <w:tab/>
      </w:r>
      <w:r w:rsidRPr="00D77C54">
        <w:rPr>
          <w:rFonts w:asciiTheme="minorHAnsi" w:hAnsiTheme="minorHAnsi" w:cstheme="minorHAnsi"/>
          <w:sz w:val="22"/>
          <w:szCs w:val="22"/>
        </w:rPr>
        <w:tab/>
      </w:r>
      <w:r w:rsidRPr="00D77C54">
        <w:rPr>
          <w:rFonts w:asciiTheme="minorHAnsi" w:hAnsiTheme="minorHAnsi" w:cstheme="minorHAnsi"/>
          <w:sz w:val="22"/>
          <w:szCs w:val="22"/>
        </w:rPr>
        <w:fldChar w:fldCharType="begin">
          <w:ffData>
            <w:name w:val=""/>
            <w:enabled/>
            <w:calcOnExit w:val="0"/>
            <w:checkBox>
              <w:sizeAuto/>
              <w:default w:val="0"/>
            </w:checkBox>
          </w:ffData>
        </w:fldChar>
      </w:r>
      <w:r w:rsidRPr="00D77C54">
        <w:rPr>
          <w:rFonts w:asciiTheme="minorHAnsi" w:hAnsiTheme="minorHAnsi" w:cstheme="minorHAnsi"/>
          <w:sz w:val="22"/>
          <w:szCs w:val="22"/>
        </w:rPr>
        <w:instrText xml:space="preserve"> FORMCHECKBOX </w:instrText>
      </w:r>
      <w:r w:rsidRPr="00D77C54">
        <w:rPr>
          <w:rFonts w:asciiTheme="minorHAnsi" w:hAnsiTheme="minorHAnsi" w:cstheme="minorHAnsi"/>
          <w:sz w:val="22"/>
          <w:szCs w:val="22"/>
        </w:rPr>
      </w:r>
      <w:r w:rsidRPr="00D77C54">
        <w:rPr>
          <w:rFonts w:asciiTheme="minorHAnsi" w:hAnsiTheme="minorHAnsi" w:cstheme="minorHAnsi"/>
          <w:sz w:val="22"/>
          <w:szCs w:val="22"/>
        </w:rPr>
        <w:fldChar w:fldCharType="separate"/>
      </w:r>
      <w:r w:rsidRPr="00D77C54">
        <w:rPr>
          <w:rFonts w:asciiTheme="minorHAnsi" w:hAnsiTheme="minorHAnsi" w:cstheme="minorHAnsi"/>
          <w:sz w:val="22"/>
          <w:szCs w:val="22"/>
        </w:rPr>
        <w:fldChar w:fldCharType="end"/>
      </w:r>
    </w:p>
    <w:p w14:paraId="108F9360" w14:textId="5D9EFA97" w:rsidR="0044022E" w:rsidRPr="00D77C54" w:rsidRDefault="0044022E" w:rsidP="0044022E">
      <w:pPr>
        <w:ind w:firstLine="720"/>
        <w:jc w:val="both"/>
        <w:rPr>
          <w:rFonts w:asciiTheme="minorHAnsi" w:hAnsiTheme="minorHAnsi" w:cstheme="minorHAnsi"/>
          <w:sz w:val="22"/>
          <w:szCs w:val="22"/>
        </w:rPr>
      </w:pPr>
      <w:r w:rsidRPr="00D77C54">
        <w:rPr>
          <w:rFonts w:asciiTheme="minorHAnsi" w:hAnsiTheme="minorHAnsi" w:cstheme="minorHAnsi"/>
          <w:sz w:val="22"/>
          <w:szCs w:val="22"/>
        </w:rPr>
        <w:t>Interpretation</w:t>
      </w:r>
      <w:r w:rsidRPr="00D77C54">
        <w:rPr>
          <w:rFonts w:asciiTheme="minorHAnsi" w:hAnsiTheme="minorHAnsi" w:cstheme="minorHAnsi"/>
          <w:sz w:val="22"/>
          <w:szCs w:val="22"/>
        </w:rPr>
        <w:tab/>
      </w:r>
      <w:r w:rsidRPr="00D77C54">
        <w:rPr>
          <w:rFonts w:asciiTheme="minorHAnsi" w:hAnsiTheme="minorHAnsi" w:cstheme="minorHAnsi"/>
          <w:sz w:val="22"/>
          <w:szCs w:val="22"/>
        </w:rPr>
        <w:tab/>
      </w:r>
      <w:r w:rsidRPr="00D77C54">
        <w:rPr>
          <w:rFonts w:asciiTheme="minorHAnsi" w:hAnsiTheme="minorHAnsi" w:cstheme="minorHAnsi"/>
          <w:sz w:val="22"/>
          <w:szCs w:val="22"/>
        </w:rPr>
        <w:tab/>
      </w:r>
      <w:r w:rsidRPr="00D77C54">
        <w:rPr>
          <w:rFonts w:asciiTheme="minorHAnsi" w:hAnsiTheme="minorHAnsi" w:cstheme="minorHAnsi"/>
          <w:sz w:val="22"/>
          <w:szCs w:val="22"/>
        </w:rPr>
        <w:tab/>
      </w:r>
      <w:r w:rsidRPr="00D77C54">
        <w:rPr>
          <w:rFonts w:asciiTheme="minorHAnsi" w:hAnsiTheme="minorHAnsi" w:cstheme="minorHAnsi"/>
          <w:sz w:val="22"/>
          <w:szCs w:val="22"/>
        </w:rPr>
        <w:fldChar w:fldCharType="begin">
          <w:ffData>
            <w:name w:val=""/>
            <w:enabled/>
            <w:calcOnExit w:val="0"/>
            <w:checkBox>
              <w:sizeAuto/>
              <w:default w:val="0"/>
            </w:checkBox>
          </w:ffData>
        </w:fldChar>
      </w:r>
      <w:r w:rsidRPr="00D77C54">
        <w:rPr>
          <w:rFonts w:asciiTheme="minorHAnsi" w:hAnsiTheme="minorHAnsi" w:cstheme="minorHAnsi"/>
          <w:sz w:val="22"/>
          <w:szCs w:val="22"/>
        </w:rPr>
        <w:instrText xml:space="preserve"> FORMCHECKBOX </w:instrText>
      </w:r>
      <w:r w:rsidRPr="00D77C54">
        <w:rPr>
          <w:rFonts w:asciiTheme="minorHAnsi" w:hAnsiTheme="minorHAnsi" w:cstheme="minorHAnsi"/>
          <w:sz w:val="22"/>
          <w:szCs w:val="22"/>
        </w:rPr>
      </w:r>
      <w:r w:rsidRPr="00D77C54">
        <w:rPr>
          <w:rFonts w:asciiTheme="minorHAnsi" w:hAnsiTheme="minorHAnsi" w:cstheme="minorHAnsi"/>
          <w:sz w:val="22"/>
          <w:szCs w:val="22"/>
        </w:rPr>
        <w:fldChar w:fldCharType="separate"/>
      </w:r>
      <w:r w:rsidRPr="00D77C54">
        <w:rPr>
          <w:rFonts w:asciiTheme="minorHAnsi" w:hAnsiTheme="minorHAnsi" w:cstheme="minorHAnsi"/>
          <w:sz w:val="22"/>
          <w:szCs w:val="22"/>
        </w:rPr>
        <w:fldChar w:fldCharType="end"/>
      </w:r>
      <w:r w:rsidRPr="00D77C54">
        <w:rPr>
          <w:rFonts w:asciiTheme="minorHAnsi" w:hAnsiTheme="minorHAnsi" w:cstheme="minorHAnsi"/>
          <w:sz w:val="22"/>
          <w:szCs w:val="22"/>
        </w:rPr>
        <w:tab/>
      </w:r>
      <w:r w:rsidRPr="00D77C54">
        <w:rPr>
          <w:rFonts w:asciiTheme="minorHAnsi" w:hAnsiTheme="minorHAnsi" w:cstheme="minorHAnsi"/>
          <w:sz w:val="22"/>
          <w:szCs w:val="22"/>
        </w:rPr>
        <w:tab/>
      </w:r>
      <w:r w:rsidRPr="00D77C54">
        <w:rPr>
          <w:rFonts w:asciiTheme="minorHAnsi" w:hAnsiTheme="minorHAnsi" w:cstheme="minorHAnsi"/>
          <w:sz w:val="22"/>
          <w:szCs w:val="22"/>
        </w:rPr>
        <w:fldChar w:fldCharType="begin">
          <w:ffData>
            <w:name w:val=""/>
            <w:enabled/>
            <w:calcOnExit w:val="0"/>
            <w:checkBox>
              <w:sizeAuto/>
              <w:default w:val="0"/>
            </w:checkBox>
          </w:ffData>
        </w:fldChar>
      </w:r>
      <w:r w:rsidRPr="00D77C54">
        <w:rPr>
          <w:rFonts w:asciiTheme="minorHAnsi" w:hAnsiTheme="minorHAnsi" w:cstheme="minorHAnsi"/>
          <w:sz w:val="22"/>
          <w:szCs w:val="22"/>
        </w:rPr>
        <w:instrText xml:space="preserve"> FORMCHECKBOX </w:instrText>
      </w:r>
      <w:r w:rsidRPr="00D77C54">
        <w:rPr>
          <w:rFonts w:asciiTheme="minorHAnsi" w:hAnsiTheme="minorHAnsi" w:cstheme="minorHAnsi"/>
          <w:sz w:val="22"/>
          <w:szCs w:val="22"/>
        </w:rPr>
      </w:r>
      <w:r w:rsidRPr="00D77C54">
        <w:rPr>
          <w:rFonts w:asciiTheme="minorHAnsi" w:hAnsiTheme="minorHAnsi" w:cstheme="minorHAnsi"/>
          <w:sz w:val="22"/>
          <w:szCs w:val="22"/>
        </w:rPr>
        <w:fldChar w:fldCharType="separate"/>
      </w:r>
      <w:r w:rsidRPr="00D77C54">
        <w:rPr>
          <w:rFonts w:asciiTheme="minorHAnsi" w:hAnsiTheme="minorHAnsi" w:cstheme="minorHAnsi"/>
          <w:sz w:val="22"/>
          <w:szCs w:val="22"/>
        </w:rPr>
        <w:fldChar w:fldCharType="end"/>
      </w:r>
      <w:r w:rsidRPr="00D77C54">
        <w:rPr>
          <w:rFonts w:asciiTheme="minorHAnsi" w:hAnsiTheme="minorHAnsi" w:cstheme="minorHAnsi"/>
          <w:sz w:val="22"/>
          <w:szCs w:val="22"/>
        </w:rPr>
        <w:tab/>
      </w:r>
      <w:r w:rsidRPr="00D77C54">
        <w:rPr>
          <w:rFonts w:asciiTheme="minorHAnsi" w:hAnsiTheme="minorHAnsi" w:cstheme="minorHAnsi"/>
          <w:sz w:val="22"/>
          <w:szCs w:val="22"/>
        </w:rPr>
        <w:tab/>
      </w:r>
      <w:r w:rsidRPr="00D77C54">
        <w:rPr>
          <w:rFonts w:asciiTheme="minorHAnsi" w:hAnsiTheme="minorHAnsi" w:cstheme="minorHAnsi"/>
          <w:sz w:val="22"/>
          <w:szCs w:val="22"/>
        </w:rPr>
        <w:fldChar w:fldCharType="begin">
          <w:ffData>
            <w:name w:val=""/>
            <w:enabled/>
            <w:calcOnExit w:val="0"/>
            <w:checkBox>
              <w:sizeAuto/>
              <w:default w:val="0"/>
            </w:checkBox>
          </w:ffData>
        </w:fldChar>
      </w:r>
      <w:r w:rsidRPr="00D77C54">
        <w:rPr>
          <w:rFonts w:asciiTheme="minorHAnsi" w:hAnsiTheme="minorHAnsi" w:cstheme="minorHAnsi"/>
          <w:sz w:val="22"/>
          <w:szCs w:val="22"/>
        </w:rPr>
        <w:instrText xml:space="preserve"> FORMCHECKBOX </w:instrText>
      </w:r>
      <w:r w:rsidRPr="00D77C54">
        <w:rPr>
          <w:rFonts w:asciiTheme="minorHAnsi" w:hAnsiTheme="minorHAnsi" w:cstheme="minorHAnsi"/>
          <w:sz w:val="22"/>
          <w:szCs w:val="22"/>
        </w:rPr>
      </w:r>
      <w:r w:rsidRPr="00D77C54">
        <w:rPr>
          <w:rFonts w:asciiTheme="minorHAnsi" w:hAnsiTheme="minorHAnsi" w:cstheme="minorHAnsi"/>
          <w:sz w:val="22"/>
          <w:szCs w:val="22"/>
        </w:rPr>
        <w:fldChar w:fldCharType="separate"/>
      </w:r>
      <w:r w:rsidRPr="00D77C54">
        <w:rPr>
          <w:rFonts w:asciiTheme="minorHAnsi" w:hAnsiTheme="minorHAnsi" w:cstheme="minorHAnsi"/>
          <w:sz w:val="22"/>
          <w:szCs w:val="22"/>
        </w:rPr>
        <w:fldChar w:fldCharType="end"/>
      </w:r>
    </w:p>
    <w:p w14:paraId="6F1580CB" w14:textId="77777777" w:rsidR="002A1316" w:rsidRPr="00D77C54" w:rsidRDefault="002A1316" w:rsidP="00B30CA0">
      <w:pPr>
        <w:jc w:val="both"/>
        <w:rPr>
          <w:rFonts w:asciiTheme="minorHAnsi" w:hAnsiTheme="minorHAnsi" w:cstheme="minorHAnsi"/>
          <w:sz w:val="22"/>
          <w:szCs w:val="22"/>
        </w:rPr>
      </w:pPr>
    </w:p>
    <w:p w14:paraId="2CC84791" w14:textId="1EBA5DC8" w:rsidR="008949BA" w:rsidRPr="00D77C54" w:rsidRDefault="002A1316" w:rsidP="008949BA">
      <w:pPr>
        <w:contextualSpacing/>
        <w:jc w:val="both"/>
        <w:rPr>
          <w:rFonts w:asciiTheme="minorHAnsi" w:hAnsiTheme="minorHAnsi" w:cstheme="minorHAnsi"/>
          <w:sz w:val="22"/>
          <w:szCs w:val="22"/>
        </w:rPr>
      </w:pPr>
      <w:r w:rsidRPr="00D77C54">
        <w:rPr>
          <w:rFonts w:asciiTheme="minorHAnsi" w:hAnsiTheme="minorHAnsi" w:cstheme="minorHAnsi"/>
          <w:b/>
          <w:bCs/>
          <w:sz w:val="22"/>
          <w:szCs w:val="22"/>
        </w:rPr>
        <w:t>Description of Issue:</w:t>
      </w:r>
      <w:r w:rsidR="000021EC" w:rsidRPr="00D77C54">
        <w:rPr>
          <w:rFonts w:asciiTheme="minorHAnsi" w:hAnsiTheme="minorHAnsi" w:cstheme="minorHAnsi"/>
          <w:sz w:val="22"/>
          <w:szCs w:val="22"/>
        </w:rPr>
        <w:t xml:space="preserve"> NAIC staff received a question related to</w:t>
      </w:r>
      <w:r w:rsidR="008C3768" w:rsidRPr="00D77C54">
        <w:rPr>
          <w:rFonts w:asciiTheme="minorHAnsi" w:hAnsiTheme="minorHAnsi" w:cstheme="minorHAnsi"/>
          <w:sz w:val="22"/>
          <w:szCs w:val="22"/>
        </w:rPr>
        <w:t xml:space="preserve"> a potential sale</w:t>
      </w:r>
      <w:r w:rsidR="00686960" w:rsidRPr="00D77C54">
        <w:rPr>
          <w:rFonts w:asciiTheme="minorHAnsi" w:hAnsiTheme="minorHAnsi" w:cstheme="minorHAnsi"/>
          <w:sz w:val="22"/>
          <w:szCs w:val="22"/>
        </w:rPr>
        <w:t>-</w:t>
      </w:r>
      <w:r w:rsidR="008C3768" w:rsidRPr="00D77C54">
        <w:rPr>
          <w:rFonts w:asciiTheme="minorHAnsi" w:hAnsiTheme="minorHAnsi" w:cstheme="minorHAnsi"/>
          <w:sz w:val="22"/>
          <w:szCs w:val="22"/>
        </w:rPr>
        <w:t xml:space="preserve">leaseback transaction that included a significant restriction to the cash received as part of the sale of the assets, and </w:t>
      </w:r>
      <w:r w:rsidR="00DF04CE" w:rsidRPr="00D77C54">
        <w:rPr>
          <w:rFonts w:asciiTheme="minorHAnsi" w:hAnsiTheme="minorHAnsi" w:cstheme="minorHAnsi"/>
          <w:sz w:val="22"/>
          <w:szCs w:val="22"/>
        </w:rPr>
        <w:t>if such a transaction would meet the definition of a sale</w:t>
      </w:r>
      <w:r w:rsidR="00686960" w:rsidRPr="00D77C54">
        <w:rPr>
          <w:rFonts w:asciiTheme="minorHAnsi" w:hAnsiTheme="minorHAnsi" w:cstheme="minorHAnsi"/>
          <w:sz w:val="22"/>
          <w:szCs w:val="22"/>
        </w:rPr>
        <w:t>-</w:t>
      </w:r>
      <w:r w:rsidR="00DF04CE" w:rsidRPr="00D77C54">
        <w:rPr>
          <w:rFonts w:asciiTheme="minorHAnsi" w:hAnsiTheme="minorHAnsi" w:cstheme="minorHAnsi"/>
          <w:sz w:val="22"/>
          <w:szCs w:val="22"/>
        </w:rPr>
        <w:t xml:space="preserve">leaseback in accordance with </w:t>
      </w:r>
      <w:r w:rsidR="00DF04CE" w:rsidRPr="00D77C54">
        <w:rPr>
          <w:rFonts w:asciiTheme="minorHAnsi" w:hAnsiTheme="minorHAnsi" w:cstheme="minorHAnsi"/>
          <w:i/>
          <w:iCs/>
          <w:sz w:val="22"/>
          <w:szCs w:val="22"/>
        </w:rPr>
        <w:t>SSAP No. 22—Leases</w:t>
      </w:r>
      <w:r w:rsidR="00DF04CE" w:rsidRPr="00D77C54">
        <w:rPr>
          <w:rFonts w:asciiTheme="minorHAnsi" w:hAnsiTheme="minorHAnsi" w:cstheme="minorHAnsi"/>
          <w:sz w:val="22"/>
          <w:szCs w:val="22"/>
        </w:rPr>
        <w:t>.</w:t>
      </w:r>
      <w:r w:rsidR="00547A54" w:rsidRPr="00D77C54">
        <w:rPr>
          <w:rFonts w:asciiTheme="minorHAnsi" w:hAnsiTheme="minorHAnsi" w:cstheme="minorHAnsi"/>
          <w:sz w:val="22"/>
          <w:szCs w:val="22"/>
        </w:rPr>
        <w:t xml:space="preserve"> </w:t>
      </w:r>
      <w:r w:rsidR="008949BA" w:rsidRPr="00D77C54">
        <w:rPr>
          <w:rFonts w:asciiTheme="minorHAnsi" w:hAnsiTheme="minorHAnsi" w:cstheme="minorHAnsi"/>
          <w:sz w:val="22"/>
          <w:szCs w:val="22"/>
        </w:rPr>
        <w:t xml:space="preserve">In the transaction, the company was able to sell the nonadmitted asset to an unaffiliated party, but as a part of the transaction, the cash the seller received was to be held in such a manner that the selling insurance company would not be able access the cash until the leaseback was fully paid off years in the future. This agenda item intends to provide </w:t>
      </w:r>
      <w:r w:rsidR="008949BA" w:rsidRPr="00D77C54" w:rsidDel="00FD1ADF">
        <w:rPr>
          <w:rFonts w:asciiTheme="minorHAnsi" w:hAnsiTheme="minorHAnsi" w:cstheme="minorHAnsi"/>
          <w:sz w:val="22"/>
          <w:szCs w:val="22"/>
        </w:rPr>
        <w:t xml:space="preserve">guidance </w:t>
      </w:r>
      <w:r w:rsidR="008949BA" w:rsidRPr="00D77C54">
        <w:rPr>
          <w:rFonts w:asciiTheme="minorHAnsi" w:hAnsiTheme="minorHAnsi" w:cstheme="minorHAnsi"/>
          <w:sz w:val="22"/>
          <w:szCs w:val="22"/>
        </w:rPr>
        <w:t>that sale</w:t>
      </w:r>
      <w:r w:rsidR="00686960" w:rsidRPr="00D77C54">
        <w:rPr>
          <w:rFonts w:asciiTheme="minorHAnsi" w:hAnsiTheme="minorHAnsi" w:cstheme="minorHAnsi"/>
          <w:sz w:val="22"/>
          <w:szCs w:val="22"/>
        </w:rPr>
        <w:t>-</w:t>
      </w:r>
      <w:r w:rsidR="008949BA" w:rsidRPr="00D77C54">
        <w:rPr>
          <w:rFonts w:asciiTheme="minorHAnsi" w:hAnsiTheme="minorHAnsi" w:cstheme="minorHAnsi"/>
          <w:sz w:val="22"/>
          <w:szCs w:val="22"/>
        </w:rPr>
        <w:t xml:space="preserve">leaseback accounting would not be applicable in situations in which the selling insurer is restricted from readily accessing the sales proceeds. In such instances the financing method would be required. </w:t>
      </w:r>
    </w:p>
    <w:p w14:paraId="040C7183" w14:textId="1570325B" w:rsidR="00435DAC" w:rsidRPr="00D77C54" w:rsidRDefault="00435DAC" w:rsidP="00A92C59">
      <w:pPr>
        <w:pStyle w:val="BodyText2"/>
        <w:rPr>
          <w:rFonts w:asciiTheme="minorHAnsi" w:hAnsiTheme="minorHAnsi" w:cstheme="minorHAnsi"/>
          <w:b w:val="0"/>
          <w:szCs w:val="22"/>
        </w:rPr>
      </w:pPr>
    </w:p>
    <w:p w14:paraId="6C6B67AF" w14:textId="77777777" w:rsidR="002A1316" w:rsidRPr="00D77C54" w:rsidRDefault="002A1316" w:rsidP="00B30CA0">
      <w:pPr>
        <w:pStyle w:val="BodyText2"/>
        <w:rPr>
          <w:rFonts w:asciiTheme="minorHAnsi" w:hAnsiTheme="minorHAnsi" w:cstheme="minorHAnsi"/>
          <w:b w:val="0"/>
          <w:szCs w:val="22"/>
        </w:rPr>
      </w:pPr>
      <w:r w:rsidRPr="00D77C54">
        <w:rPr>
          <w:rFonts w:asciiTheme="minorHAnsi" w:hAnsiTheme="minorHAnsi" w:cstheme="minorHAnsi"/>
          <w:bCs w:val="0"/>
          <w:szCs w:val="22"/>
        </w:rPr>
        <w:t>Existing Authoritative Literature:</w:t>
      </w:r>
    </w:p>
    <w:p w14:paraId="6F758E25" w14:textId="77777777" w:rsidR="004E2BB9" w:rsidRPr="00D77C54" w:rsidRDefault="004E2BB9" w:rsidP="00B30CA0">
      <w:pPr>
        <w:pStyle w:val="BodyText2"/>
        <w:rPr>
          <w:rFonts w:asciiTheme="minorHAnsi" w:hAnsiTheme="minorHAnsi" w:cstheme="minorHAnsi"/>
          <w:b w:val="0"/>
          <w:szCs w:val="22"/>
        </w:rPr>
      </w:pPr>
    </w:p>
    <w:p w14:paraId="0BE2D7F8" w14:textId="3A0364D6" w:rsidR="005E6916" w:rsidRPr="00D77C54" w:rsidRDefault="0024539E" w:rsidP="00B30CA0">
      <w:pPr>
        <w:pStyle w:val="BodyText2"/>
        <w:rPr>
          <w:rFonts w:asciiTheme="minorHAnsi" w:hAnsiTheme="minorHAnsi" w:cstheme="minorHAnsi"/>
          <w:bCs w:val="0"/>
          <w:szCs w:val="22"/>
        </w:rPr>
      </w:pPr>
      <w:r w:rsidRPr="00D77C54">
        <w:rPr>
          <w:rFonts w:asciiTheme="minorHAnsi" w:hAnsiTheme="minorHAnsi" w:cstheme="minorHAnsi"/>
          <w:bCs w:val="0"/>
          <w:szCs w:val="22"/>
        </w:rPr>
        <w:t>SSAP No. 22</w:t>
      </w:r>
      <w:r w:rsidR="00CC4C6E" w:rsidRPr="00D77C54">
        <w:rPr>
          <w:rFonts w:asciiTheme="minorHAnsi" w:hAnsiTheme="minorHAnsi" w:cstheme="minorHAnsi"/>
          <w:bCs w:val="0"/>
          <w:szCs w:val="22"/>
        </w:rPr>
        <w:t>:</w:t>
      </w:r>
    </w:p>
    <w:p w14:paraId="1A8D4280" w14:textId="77777777" w:rsidR="00AF3A07" w:rsidRPr="00B4323C" w:rsidRDefault="00AF3A07" w:rsidP="00B30CA0">
      <w:pPr>
        <w:pStyle w:val="BodyText2"/>
        <w:rPr>
          <w:rFonts w:asciiTheme="minorHAnsi" w:hAnsiTheme="minorHAnsi" w:cstheme="minorHAnsi"/>
          <w:bCs w:val="0"/>
          <w:szCs w:val="22"/>
        </w:rPr>
      </w:pPr>
    </w:p>
    <w:p w14:paraId="21F61B33" w14:textId="77777777" w:rsidR="00AF3A07" w:rsidRPr="00B4323C" w:rsidRDefault="00AF3A07" w:rsidP="00AF3A07">
      <w:pPr>
        <w:spacing w:after="220"/>
        <w:jc w:val="both"/>
        <w:outlineLvl w:val="2"/>
        <w:rPr>
          <w:b/>
          <w:sz w:val="22"/>
          <w:szCs w:val="22"/>
        </w:rPr>
      </w:pPr>
      <w:bookmarkStart w:id="1" w:name="_Toc471386385"/>
      <w:bookmarkStart w:id="2" w:name="_Toc155863129"/>
      <w:r w:rsidRPr="00B4323C">
        <w:rPr>
          <w:b/>
          <w:sz w:val="22"/>
          <w:szCs w:val="22"/>
        </w:rPr>
        <w:t>Sale-Leaseback Transactions</w:t>
      </w:r>
      <w:bookmarkEnd w:id="1"/>
      <w:bookmarkEnd w:id="2"/>
    </w:p>
    <w:p w14:paraId="797E2D12" w14:textId="77777777" w:rsidR="00AF3A07" w:rsidRPr="00B4323C" w:rsidRDefault="00AF3A07" w:rsidP="00AF3A07">
      <w:pPr>
        <w:numPr>
          <w:ilvl w:val="0"/>
          <w:numId w:val="26"/>
        </w:numPr>
        <w:spacing w:after="220"/>
        <w:ind w:left="0" w:firstLine="0"/>
        <w:jc w:val="both"/>
        <w:rPr>
          <w:sz w:val="22"/>
          <w:szCs w:val="22"/>
        </w:rPr>
      </w:pPr>
      <w:r w:rsidRPr="00B4323C">
        <w:rPr>
          <w:sz w:val="22"/>
          <w:szCs w:val="22"/>
        </w:rPr>
        <w:t xml:space="preserve">Sale-leaseback transactions involve the sale of property, plant or equipment by the owner and a lease of the property, plant or equipment back to the seller. Sale-leaseback accounting is a method of accounting in which the seller-lessee records the sale and removes all property, plant or equipment and related liabilities from its balance sheet. The definition of property, plant and equipment eligible for sale-leaseback treatment is in paragraph 3. As noted in paragraph 3, non-depreciable assets, including investments and premium receivables, do not meet the definition of property, plant or equipment, are not allowed to be included in lease transactions, and therefore, are not allowed to be included in sale-leaseback transactions. Assets that do not meet the definition of property, plant and equipment in paragraph 3 may only be used in sale-leaseback transactions as permitted practices with regulatory approval. </w:t>
      </w:r>
    </w:p>
    <w:p w14:paraId="7893F88E" w14:textId="77777777" w:rsidR="00AF3A07" w:rsidRPr="00B4323C" w:rsidRDefault="00AF3A07" w:rsidP="00AF3A07">
      <w:pPr>
        <w:numPr>
          <w:ilvl w:val="0"/>
          <w:numId w:val="26"/>
        </w:numPr>
        <w:spacing w:after="220"/>
        <w:ind w:left="0" w:firstLine="0"/>
        <w:jc w:val="both"/>
        <w:rPr>
          <w:i/>
          <w:color w:val="FF0000"/>
          <w:sz w:val="22"/>
          <w:szCs w:val="22"/>
        </w:rPr>
      </w:pPr>
      <w:r w:rsidRPr="00B4323C">
        <w:rPr>
          <w:sz w:val="22"/>
          <w:szCs w:val="22"/>
        </w:rPr>
        <w:t xml:space="preserve">A sale of property, plant or equipment that is accompanied by a leaseback of all or any part of the property, plant or equipment for all or part of its </w:t>
      </w:r>
      <w:r w:rsidRPr="00B4323C">
        <w:rPr>
          <w:i/>
          <w:iCs/>
          <w:sz w:val="22"/>
          <w:szCs w:val="22"/>
        </w:rPr>
        <w:t>remaining</w:t>
      </w:r>
      <w:r w:rsidRPr="00B4323C">
        <w:rPr>
          <w:sz w:val="22"/>
          <w:szCs w:val="22"/>
        </w:rPr>
        <w:t xml:space="preserve"> economic life shall be accounted for by the buyer-lessor and seller-lessee as a purchase and operating lease and a sale and an operating lease, respectively, unless the sale-leaseback includes sale of nonadmitted assets to a related party. If the transaction involves a sale of nonadmitted assets to a related party, the transaction shall be accounted for by the deposit method detailed in paragraph 37.</w:t>
      </w:r>
    </w:p>
    <w:p w14:paraId="5FB36AE0" w14:textId="77777777" w:rsidR="00AF3A07" w:rsidRPr="00B4323C" w:rsidRDefault="00AF3A07" w:rsidP="00AF3A07">
      <w:pPr>
        <w:numPr>
          <w:ilvl w:val="0"/>
          <w:numId w:val="26"/>
        </w:numPr>
        <w:spacing w:after="220"/>
        <w:ind w:left="0" w:firstLine="0"/>
        <w:jc w:val="both"/>
        <w:rPr>
          <w:sz w:val="22"/>
          <w:szCs w:val="22"/>
        </w:rPr>
      </w:pPr>
      <w:r w:rsidRPr="00B4323C">
        <w:rPr>
          <w:sz w:val="22"/>
          <w:szCs w:val="22"/>
        </w:rPr>
        <w:t xml:space="preserve">Sale-leaseback accounting shall be used by a seller-lessee only if a sale-leaseback transaction includes </w:t>
      </w:r>
      <w:proofErr w:type="gramStart"/>
      <w:r w:rsidRPr="00B4323C">
        <w:rPr>
          <w:sz w:val="22"/>
          <w:szCs w:val="22"/>
        </w:rPr>
        <w:t>all of</w:t>
      </w:r>
      <w:proofErr w:type="gramEnd"/>
      <w:r w:rsidRPr="00B4323C">
        <w:rPr>
          <w:sz w:val="22"/>
          <w:szCs w:val="22"/>
        </w:rPr>
        <w:t xml:space="preserve"> the following:</w:t>
      </w:r>
    </w:p>
    <w:p w14:paraId="011806FE" w14:textId="77777777" w:rsidR="00AF3A07" w:rsidRPr="00B4323C" w:rsidRDefault="00AF3A07" w:rsidP="00AF3A07">
      <w:pPr>
        <w:spacing w:after="220"/>
        <w:ind w:left="1440" w:hanging="720"/>
        <w:jc w:val="both"/>
        <w:rPr>
          <w:sz w:val="22"/>
          <w:szCs w:val="22"/>
        </w:rPr>
      </w:pPr>
      <w:r w:rsidRPr="00B4323C">
        <w:rPr>
          <w:sz w:val="22"/>
          <w:szCs w:val="22"/>
        </w:rPr>
        <w:t>a.</w:t>
      </w:r>
      <w:r w:rsidRPr="00B4323C">
        <w:rPr>
          <w:sz w:val="22"/>
          <w:szCs w:val="22"/>
        </w:rPr>
        <w:tab/>
        <w:t xml:space="preserve">A normal leaseback is a lessee-lessor relationship that involves active use of the property by the seller-lessee in consideration for payment of rent, including contingent rentals that are based on future operations of the seller-lessee. The phrase active use of the property by the seller-lessee refers to use of the property during the lease term in the seller-lessee’s trade or business, </w:t>
      </w:r>
      <w:proofErr w:type="gramStart"/>
      <w:r w:rsidRPr="00B4323C">
        <w:rPr>
          <w:sz w:val="22"/>
          <w:szCs w:val="22"/>
        </w:rPr>
        <w:t>provided that</w:t>
      </w:r>
      <w:proofErr w:type="gramEnd"/>
      <w:r w:rsidRPr="00B4323C">
        <w:rPr>
          <w:sz w:val="22"/>
          <w:szCs w:val="22"/>
        </w:rPr>
        <w:t xml:space="preserve"> subleasing of the leased property is minor.</w:t>
      </w:r>
    </w:p>
    <w:p w14:paraId="11D0FC2B" w14:textId="77777777" w:rsidR="00AF3A07" w:rsidRPr="00B4323C" w:rsidRDefault="00AF3A07" w:rsidP="00AF3A07">
      <w:pPr>
        <w:spacing w:after="220"/>
        <w:ind w:left="1440" w:hanging="720"/>
        <w:jc w:val="both"/>
        <w:rPr>
          <w:sz w:val="22"/>
          <w:szCs w:val="22"/>
        </w:rPr>
      </w:pPr>
      <w:r w:rsidRPr="00B4323C">
        <w:rPr>
          <w:sz w:val="22"/>
          <w:szCs w:val="22"/>
        </w:rPr>
        <w:lastRenderedPageBreak/>
        <w:t>b.</w:t>
      </w:r>
      <w:r w:rsidRPr="00B4323C">
        <w:rPr>
          <w:sz w:val="22"/>
          <w:szCs w:val="22"/>
        </w:rPr>
        <w:tab/>
        <w:t>Admitted assets, if the buyer-lessor is a related party, or either admitted or nonadmitted assets if the buyer-lessor is not a related party. For purposes of this paragraph, related parties include those identified in SSAP No. 25 and entities created for the purpose of buying and leasing nonadmitted assets for the reporting entity and/or its affiliates.</w:t>
      </w:r>
    </w:p>
    <w:p w14:paraId="1966B273" w14:textId="77777777" w:rsidR="00AF3A07" w:rsidRPr="00B4323C" w:rsidRDefault="00AF3A07" w:rsidP="00AF3A07">
      <w:pPr>
        <w:numPr>
          <w:ilvl w:val="0"/>
          <w:numId w:val="26"/>
        </w:numPr>
        <w:spacing w:after="220"/>
        <w:ind w:left="0" w:firstLine="0"/>
        <w:jc w:val="both"/>
        <w:rPr>
          <w:sz w:val="22"/>
          <w:szCs w:val="22"/>
        </w:rPr>
      </w:pPr>
      <w:r w:rsidRPr="00B4323C">
        <w:rPr>
          <w:sz w:val="22"/>
          <w:szCs w:val="22"/>
        </w:rPr>
        <w:t xml:space="preserve">Under sale-leaseback accounting, any profit on the sale shall be deferred and amortized in proportion to the related gross rental charged to expense over the lease term, </w:t>
      </w:r>
      <w:proofErr w:type="gramStart"/>
      <w:r w:rsidRPr="00B4323C">
        <w:rPr>
          <w:sz w:val="22"/>
          <w:szCs w:val="22"/>
        </w:rPr>
        <w:t>with the exception of</w:t>
      </w:r>
      <w:proofErr w:type="gramEnd"/>
      <w:r w:rsidRPr="00B4323C">
        <w:rPr>
          <w:sz w:val="22"/>
          <w:szCs w:val="22"/>
        </w:rPr>
        <w:t xml:space="preserve"> a sale of real estate settled entirely in cash.</w:t>
      </w:r>
    </w:p>
    <w:p w14:paraId="20E5D6F2" w14:textId="2D8B2C61" w:rsidR="0024539E" w:rsidRPr="00B4323C" w:rsidRDefault="00AF3A07" w:rsidP="00B30CA0">
      <w:pPr>
        <w:numPr>
          <w:ilvl w:val="0"/>
          <w:numId w:val="26"/>
        </w:numPr>
        <w:spacing w:after="220"/>
        <w:ind w:left="0" w:firstLine="0"/>
        <w:jc w:val="both"/>
        <w:rPr>
          <w:sz w:val="22"/>
          <w:szCs w:val="22"/>
        </w:rPr>
      </w:pPr>
      <w:r w:rsidRPr="00B4323C">
        <w:rPr>
          <w:sz w:val="22"/>
          <w:szCs w:val="22"/>
        </w:rPr>
        <w:t>A sale of real estate, settled entirely in cash, that is accompanied by a leaseback of all or any part of the property, plant or equipment for all or part of its remaining economic life shall be accounted for by the buyer-lessor and seller-lessee as a purchase and operating lease and a sale and an operating lease, respectively. The sale and gain shall be recognized directly to special surplus funds and subsequently amortized to unassigned funds (surplus) over the lease term.</w:t>
      </w:r>
    </w:p>
    <w:p w14:paraId="06325252" w14:textId="77777777" w:rsidR="00580536" w:rsidRPr="00B4323C" w:rsidRDefault="00580536" w:rsidP="00580536">
      <w:pPr>
        <w:pStyle w:val="BodyText2"/>
        <w:rPr>
          <w:szCs w:val="22"/>
        </w:rPr>
      </w:pPr>
      <w:r w:rsidRPr="00B4323C">
        <w:rPr>
          <w:szCs w:val="22"/>
        </w:rPr>
        <w:t>Deposit Method and Financing Method</w:t>
      </w:r>
    </w:p>
    <w:p w14:paraId="53B50421" w14:textId="77777777" w:rsidR="00580536" w:rsidRPr="00B4323C" w:rsidRDefault="00580536" w:rsidP="00580536">
      <w:pPr>
        <w:pStyle w:val="BodyText2"/>
        <w:rPr>
          <w:b w:val="0"/>
          <w:szCs w:val="22"/>
        </w:rPr>
      </w:pPr>
    </w:p>
    <w:p w14:paraId="538CD799" w14:textId="77777777" w:rsidR="00580536" w:rsidRPr="00B4323C" w:rsidRDefault="00580536" w:rsidP="00580536">
      <w:pPr>
        <w:pStyle w:val="BodyText2"/>
        <w:rPr>
          <w:b w:val="0"/>
          <w:szCs w:val="22"/>
        </w:rPr>
      </w:pPr>
      <w:r w:rsidRPr="00B4323C">
        <w:rPr>
          <w:b w:val="0"/>
          <w:szCs w:val="22"/>
        </w:rPr>
        <w:t>36.</w:t>
      </w:r>
      <w:r w:rsidRPr="00B4323C">
        <w:rPr>
          <w:b w:val="0"/>
          <w:szCs w:val="22"/>
        </w:rPr>
        <w:tab/>
        <w:t>The deposit method is used when the transaction involves a sale-leaseback of nonadmitted assets to a related party. To the extent that leases between related parties are, in substance, arms-length transactions the guidance in this statement shall be applied. The determination of whether related party leases qualify as arms-length transactions is addressed in SSAP No. 25.</w:t>
      </w:r>
    </w:p>
    <w:p w14:paraId="700FC035" w14:textId="77777777" w:rsidR="00580536" w:rsidRPr="00B4323C" w:rsidRDefault="00580536" w:rsidP="00580536">
      <w:pPr>
        <w:pStyle w:val="BodyText2"/>
        <w:rPr>
          <w:b w:val="0"/>
          <w:szCs w:val="22"/>
        </w:rPr>
      </w:pPr>
    </w:p>
    <w:p w14:paraId="5D37F12E" w14:textId="77777777" w:rsidR="00580536" w:rsidRPr="00B4323C" w:rsidRDefault="00580536" w:rsidP="00580536">
      <w:pPr>
        <w:pStyle w:val="BodyText2"/>
        <w:rPr>
          <w:b w:val="0"/>
          <w:szCs w:val="22"/>
        </w:rPr>
      </w:pPr>
      <w:r w:rsidRPr="00B4323C">
        <w:rPr>
          <w:b w:val="0"/>
          <w:szCs w:val="22"/>
        </w:rPr>
        <w:t>37.</w:t>
      </w:r>
      <w:r w:rsidRPr="00B4323C">
        <w:rPr>
          <w:b w:val="0"/>
          <w:szCs w:val="22"/>
        </w:rPr>
        <w:tab/>
        <w:t xml:space="preserve">If a sale-leaseback transaction is accounted for by the deposit method, lease payments decrease and collections on the buyer-lessor's note, if any, increase the seller-lessee's deposit account. The sale-leaseback assets identified in paragraph 31 and any related debt continue to be included in the seller-lessee's balance sheet, and the seller-lessee continues to depreciate the sale-leaseback assets. A seller-lessee that is accounting for any transaction by the deposit method shall recognize a loss if at any time the net carrying amount of the sale-leaseback assets exceeds the sum of the balance in the deposit account, the fair value of the unrecorded note receivable and any debt assumed by the buyer. </w:t>
      </w:r>
    </w:p>
    <w:p w14:paraId="699DD2D5" w14:textId="77777777" w:rsidR="00580536" w:rsidRPr="00B4323C" w:rsidRDefault="00580536" w:rsidP="00580536">
      <w:pPr>
        <w:pStyle w:val="BodyText2"/>
        <w:rPr>
          <w:b w:val="0"/>
          <w:szCs w:val="22"/>
        </w:rPr>
      </w:pPr>
    </w:p>
    <w:p w14:paraId="462C616E" w14:textId="77777777" w:rsidR="00580536" w:rsidRPr="00B4323C" w:rsidRDefault="00580536" w:rsidP="00580536">
      <w:pPr>
        <w:pStyle w:val="BodyText2"/>
        <w:rPr>
          <w:b w:val="0"/>
          <w:szCs w:val="22"/>
        </w:rPr>
      </w:pPr>
      <w:r w:rsidRPr="00B4323C">
        <w:rPr>
          <w:b w:val="0"/>
          <w:szCs w:val="22"/>
        </w:rPr>
        <w:t>38.</w:t>
      </w:r>
      <w:r w:rsidRPr="00B4323C">
        <w:rPr>
          <w:b w:val="0"/>
          <w:szCs w:val="22"/>
        </w:rPr>
        <w:tab/>
        <w:t>If a sale-leaseback transaction is accounted for by the deposit method and then subsequently qualifies for sales recognition under paragraph 33, the transaction is accounted for using sale-leaseback accounting, and the gain or loss is recognized in accordance with the provisions of paragraph 34 of this statement. In addition, the leaseback is classified and accounted for in accordance with this statement as if the sale had been recognized at the inception of the lease. The change in the related lease accounts that would have been recorded from the inception of the lease had the transaction initially qualified for sale-leaseback accounting is included in computing the gain or loss recognized in accordance with paragraph 34 of this statement.</w:t>
      </w:r>
    </w:p>
    <w:p w14:paraId="43C90C9F" w14:textId="77777777" w:rsidR="00580536" w:rsidRPr="00B4323C" w:rsidRDefault="00580536" w:rsidP="00580536">
      <w:pPr>
        <w:pStyle w:val="BodyText2"/>
        <w:rPr>
          <w:b w:val="0"/>
          <w:szCs w:val="22"/>
        </w:rPr>
      </w:pPr>
    </w:p>
    <w:p w14:paraId="2FA28C22" w14:textId="4FB50397" w:rsidR="00580536" w:rsidRPr="00B4323C" w:rsidRDefault="00580536" w:rsidP="00580536">
      <w:pPr>
        <w:pStyle w:val="BodyText2"/>
        <w:rPr>
          <w:b w:val="0"/>
          <w:szCs w:val="22"/>
        </w:rPr>
      </w:pPr>
      <w:r w:rsidRPr="00B4323C">
        <w:rPr>
          <w:b w:val="0"/>
          <w:szCs w:val="22"/>
        </w:rPr>
        <w:t>39.</w:t>
      </w:r>
      <w:r w:rsidRPr="00B4323C">
        <w:rPr>
          <w:b w:val="0"/>
          <w:szCs w:val="22"/>
        </w:rPr>
        <w:tab/>
        <w:t>A sale-leaseback transaction that does not qualify for sale-leaseback accounting nor the deposit method shall be accounted for by the financing method. Under this method the seller-lessee shall not derecognize the transferred asset and shall account for any amounts received as a financial liability and the buyer-lessor shall not recognize the transferred asset and shall account for the amounts paid as a receivable.</w:t>
      </w:r>
    </w:p>
    <w:p w14:paraId="02D59664" w14:textId="77777777" w:rsidR="00580536" w:rsidRPr="00B4323C" w:rsidRDefault="00580536" w:rsidP="00580536">
      <w:pPr>
        <w:pStyle w:val="BodyText2"/>
        <w:rPr>
          <w:b w:val="0"/>
          <w:szCs w:val="22"/>
        </w:rPr>
      </w:pPr>
    </w:p>
    <w:p w14:paraId="09E6BFA8" w14:textId="77777777" w:rsidR="00580536" w:rsidRPr="00B4323C" w:rsidRDefault="00580536" w:rsidP="00580536">
      <w:pPr>
        <w:pStyle w:val="BodyText2"/>
        <w:rPr>
          <w:b w:val="0"/>
          <w:szCs w:val="22"/>
        </w:rPr>
      </w:pPr>
      <w:r w:rsidRPr="00B4323C">
        <w:rPr>
          <w:b w:val="0"/>
          <w:szCs w:val="22"/>
        </w:rPr>
        <w:t>40.</w:t>
      </w:r>
      <w:r w:rsidRPr="00B4323C">
        <w:rPr>
          <w:b w:val="0"/>
          <w:szCs w:val="22"/>
        </w:rPr>
        <w:tab/>
        <w:t>If a sale-leaseback transaction is reported as under the financing method, lease payments, exclusive of an interest portion, decrease and collections on the buyer-lessor's note increase the seller-lessee's liability account with a portion of the lease payments being recognized under the interest method. The seller-lessee reports the sales proceeds as a liability, continues to report the sale-leaseback assets identified in paragraph 31 as an asset and continues to depreciate the sale-leaseback assets.</w:t>
      </w:r>
    </w:p>
    <w:p w14:paraId="62493928" w14:textId="77777777" w:rsidR="00580536" w:rsidRPr="00B4323C" w:rsidRDefault="00580536" w:rsidP="00580536">
      <w:pPr>
        <w:pStyle w:val="BodyText2"/>
        <w:rPr>
          <w:b w:val="0"/>
          <w:szCs w:val="22"/>
        </w:rPr>
      </w:pPr>
    </w:p>
    <w:p w14:paraId="731014CD" w14:textId="7453588F" w:rsidR="0024539E" w:rsidRPr="00B4323C" w:rsidRDefault="00580536" w:rsidP="00580536">
      <w:pPr>
        <w:pStyle w:val="BodyText2"/>
        <w:rPr>
          <w:b w:val="0"/>
          <w:szCs w:val="22"/>
        </w:rPr>
      </w:pPr>
      <w:r w:rsidRPr="00B4323C">
        <w:rPr>
          <w:b w:val="0"/>
          <w:szCs w:val="22"/>
        </w:rPr>
        <w:t>41.</w:t>
      </w:r>
      <w:r w:rsidRPr="00B4323C">
        <w:rPr>
          <w:b w:val="0"/>
          <w:szCs w:val="22"/>
        </w:rPr>
        <w:tab/>
        <w:t xml:space="preserve">If a sale-leaseback transaction accounted for under the financing method subsequently qualifies under paragraph 33, the transaction is then recorded using sale-leaseback accounting, and the cumulative change in the related balance sheet accounts is included in the computation of the gain recognized in accordance with the </w:t>
      </w:r>
      <w:r w:rsidRPr="00B4323C">
        <w:rPr>
          <w:b w:val="0"/>
          <w:szCs w:val="22"/>
        </w:rPr>
        <w:lastRenderedPageBreak/>
        <w:t>provisions of paragraph 34 of this statement. In addition, the leaseback is classified and accounted for as an operating lease as if the sale had been recognized at the inception of the lease. The change in the related lease accounts from the inception of the lease to the date the sale is recognized is included in the gain recognized in accordance with paragraph 34 of this statement.</w:t>
      </w:r>
    </w:p>
    <w:p w14:paraId="1C9B6B6B" w14:textId="77777777" w:rsidR="005E6916" w:rsidRPr="00D77C54" w:rsidRDefault="005E6916" w:rsidP="00B30CA0">
      <w:pPr>
        <w:pStyle w:val="BodyText2"/>
        <w:rPr>
          <w:rFonts w:asciiTheme="minorHAnsi" w:hAnsiTheme="minorHAnsi" w:cstheme="minorHAnsi"/>
          <w:b w:val="0"/>
          <w:szCs w:val="22"/>
        </w:rPr>
      </w:pPr>
    </w:p>
    <w:p w14:paraId="0BDB1F1A" w14:textId="0135645F" w:rsidR="002A1316" w:rsidRPr="00D77C54" w:rsidRDefault="002A1316" w:rsidP="00B30CA0">
      <w:pPr>
        <w:pStyle w:val="BodyText2"/>
        <w:rPr>
          <w:rFonts w:asciiTheme="minorHAnsi" w:hAnsiTheme="minorHAnsi" w:cstheme="minorHAnsi"/>
          <w:szCs w:val="22"/>
        </w:rPr>
      </w:pPr>
      <w:r w:rsidRPr="00D77C54">
        <w:rPr>
          <w:rFonts w:asciiTheme="minorHAnsi" w:hAnsiTheme="minorHAnsi" w:cstheme="minorHAnsi"/>
          <w:szCs w:val="22"/>
        </w:rPr>
        <w:t xml:space="preserve">Activity to Date (issues previously addressed by </w:t>
      </w:r>
      <w:r w:rsidR="006B37DD" w:rsidRPr="00D77C54">
        <w:rPr>
          <w:rFonts w:asciiTheme="minorHAnsi" w:hAnsiTheme="minorHAnsi" w:cstheme="minorHAnsi"/>
          <w:szCs w:val="22"/>
        </w:rPr>
        <w:t xml:space="preserve">the </w:t>
      </w:r>
      <w:r w:rsidR="00004652" w:rsidRPr="00D77C54">
        <w:rPr>
          <w:rFonts w:asciiTheme="minorHAnsi" w:hAnsiTheme="minorHAnsi" w:cstheme="minorHAnsi"/>
          <w:szCs w:val="22"/>
        </w:rPr>
        <w:t>Working Group</w:t>
      </w:r>
      <w:r w:rsidRPr="00D77C54">
        <w:rPr>
          <w:rFonts w:asciiTheme="minorHAnsi" w:hAnsiTheme="minorHAnsi" w:cstheme="minorHAnsi"/>
          <w:szCs w:val="22"/>
        </w:rPr>
        <w:t xml:space="preserve">, Emerging Accounting Issues </w:t>
      </w:r>
      <w:r w:rsidR="00004652" w:rsidRPr="00D77C54">
        <w:rPr>
          <w:rFonts w:asciiTheme="minorHAnsi" w:hAnsiTheme="minorHAnsi" w:cstheme="minorHAnsi"/>
          <w:szCs w:val="22"/>
        </w:rPr>
        <w:t>(E) Working Group</w:t>
      </w:r>
      <w:r w:rsidRPr="00D77C54">
        <w:rPr>
          <w:rFonts w:asciiTheme="minorHAnsi" w:hAnsiTheme="minorHAnsi" w:cstheme="minorHAnsi"/>
          <w:szCs w:val="22"/>
        </w:rPr>
        <w:t>, SEC, FASB, other State Departments of Insurance or other NAIC groups):</w:t>
      </w:r>
      <w:r w:rsidR="004E2BB9" w:rsidRPr="00D77C54">
        <w:rPr>
          <w:rFonts w:asciiTheme="minorHAnsi" w:hAnsiTheme="minorHAnsi" w:cstheme="minorHAnsi"/>
          <w:szCs w:val="22"/>
        </w:rPr>
        <w:t xml:space="preserve"> </w:t>
      </w:r>
      <w:r w:rsidR="004E2BB9" w:rsidRPr="00D77C54">
        <w:rPr>
          <w:rFonts w:asciiTheme="minorHAnsi" w:hAnsiTheme="minorHAnsi" w:cstheme="minorHAnsi"/>
          <w:b w:val="0"/>
          <w:szCs w:val="22"/>
        </w:rPr>
        <w:t>None</w:t>
      </w:r>
    </w:p>
    <w:p w14:paraId="7044CD15" w14:textId="77777777" w:rsidR="00A202AF" w:rsidRPr="00D77C54" w:rsidRDefault="00A202AF" w:rsidP="00706B68">
      <w:pPr>
        <w:pStyle w:val="BodyText2"/>
        <w:rPr>
          <w:rFonts w:asciiTheme="minorHAnsi" w:eastAsia="MS Mincho" w:hAnsiTheme="minorHAnsi" w:cstheme="minorHAnsi"/>
          <w:b w:val="0"/>
          <w:szCs w:val="22"/>
          <w:lang w:eastAsia="ja-JP"/>
        </w:rPr>
      </w:pPr>
    </w:p>
    <w:p w14:paraId="1A7C9804" w14:textId="37F353B2" w:rsidR="002A1316" w:rsidRPr="00D77C54" w:rsidRDefault="002A1316" w:rsidP="00B30CA0">
      <w:pPr>
        <w:pStyle w:val="BodyText"/>
        <w:rPr>
          <w:rFonts w:asciiTheme="minorHAnsi" w:hAnsiTheme="minorHAnsi" w:cstheme="minorHAnsi"/>
          <w:b/>
          <w:sz w:val="22"/>
          <w:szCs w:val="22"/>
        </w:rPr>
      </w:pPr>
      <w:r w:rsidRPr="00D77C54">
        <w:rPr>
          <w:rFonts w:asciiTheme="minorHAnsi" w:hAnsiTheme="minorHAnsi" w:cstheme="minorHAnsi"/>
          <w:b/>
          <w:sz w:val="22"/>
          <w:szCs w:val="22"/>
        </w:rPr>
        <w:t xml:space="preserve">Information or </w:t>
      </w:r>
      <w:r w:rsidR="00DF407B" w:rsidRPr="00D77C54">
        <w:rPr>
          <w:rFonts w:asciiTheme="minorHAnsi" w:hAnsiTheme="minorHAnsi" w:cstheme="minorHAnsi"/>
          <w:b/>
          <w:sz w:val="22"/>
          <w:szCs w:val="22"/>
        </w:rPr>
        <w:t>i</w:t>
      </w:r>
      <w:r w:rsidRPr="00D77C54">
        <w:rPr>
          <w:rFonts w:asciiTheme="minorHAnsi" w:hAnsiTheme="minorHAnsi" w:cstheme="minorHAnsi"/>
          <w:b/>
          <w:sz w:val="22"/>
          <w:szCs w:val="22"/>
        </w:rPr>
        <w:t xml:space="preserve">ssues (included in </w:t>
      </w:r>
      <w:r w:rsidRPr="00D77C54">
        <w:rPr>
          <w:rFonts w:asciiTheme="minorHAnsi" w:hAnsiTheme="minorHAnsi" w:cstheme="minorHAnsi"/>
          <w:b/>
          <w:i/>
          <w:sz w:val="22"/>
          <w:szCs w:val="22"/>
        </w:rPr>
        <w:t>Description of Issue</w:t>
      </w:r>
      <w:r w:rsidRPr="00D77C54">
        <w:rPr>
          <w:rFonts w:asciiTheme="minorHAnsi" w:hAnsiTheme="minorHAnsi" w:cstheme="minorHAnsi"/>
          <w:b/>
          <w:sz w:val="22"/>
          <w:szCs w:val="22"/>
        </w:rPr>
        <w:t xml:space="preserve">) not previously contemplated by the </w:t>
      </w:r>
      <w:r w:rsidR="00004652" w:rsidRPr="00D77C54">
        <w:rPr>
          <w:rFonts w:asciiTheme="minorHAnsi" w:hAnsiTheme="minorHAnsi" w:cstheme="minorHAnsi"/>
          <w:b/>
          <w:sz w:val="22"/>
          <w:szCs w:val="22"/>
        </w:rPr>
        <w:t>Working Group</w:t>
      </w:r>
      <w:r w:rsidRPr="00D77C54">
        <w:rPr>
          <w:rFonts w:asciiTheme="minorHAnsi" w:hAnsiTheme="minorHAnsi" w:cstheme="minorHAnsi"/>
          <w:b/>
          <w:sz w:val="22"/>
          <w:szCs w:val="22"/>
        </w:rPr>
        <w:t>:</w:t>
      </w:r>
    </w:p>
    <w:p w14:paraId="38E08ED2" w14:textId="77777777" w:rsidR="002A1316" w:rsidRPr="00D77C54" w:rsidRDefault="00FE7FAA" w:rsidP="00B30CA0">
      <w:pPr>
        <w:pStyle w:val="BodyText"/>
        <w:rPr>
          <w:rFonts w:asciiTheme="minorHAnsi" w:hAnsiTheme="minorHAnsi" w:cstheme="minorHAnsi"/>
          <w:bCs/>
          <w:sz w:val="22"/>
          <w:szCs w:val="22"/>
        </w:rPr>
      </w:pPr>
      <w:r w:rsidRPr="00D77C54">
        <w:rPr>
          <w:rFonts w:asciiTheme="minorHAnsi" w:hAnsiTheme="minorHAnsi" w:cstheme="minorHAnsi"/>
          <w:bCs/>
          <w:sz w:val="22"/>
          <w:szCs w:val="22"/>
        </w:rPr>
        <w:t>None</w:t>
      </w:r>
    </w:p>
    <w:p w14:paraId="19D3DF10" w14:textId="77777777" w:rsidR="006B37DD" w:rsidRPr="00D77C54" w:rsidRDefault="006B37DD" w:rsidP="00B30CA0">
      <w:pPr>
        <w:pStyle w:val="BodyText2"/>
        <w:rPr>
          <w:rFonts w:asciiTheme="minorHAnsi" w:hAnsiTheme="minorHAnsi" w:cstheme="minorHAnsi"/>
          <w:b w:val="0"/>
          <w:bCs w:val="0"/>
          <w:szCs w:val="22"/>
        </w:rPr>
      </w:pPr>
    </w:p>
    <w:p w14:paraId="70213B4E" w14:textId="3D31BCB0" w:rsidR="00490996" w:rsidRPr="00D77C54" w:rsidRDefault="00490996" w:rsidP="00A76F57">
      <w:pPr>
        <w:pStyle w:val="Default"/>
        <w:jc w:val="both"/>
        <w:rPr>
          <w:rFonts w:asciiTheme="minorHAnsi" w:hAnsiTheme="minorHAnsi" w:cstheme="minorHAnsi"/>
          <w:bCs/>
          <w:sz w:val="22"/>
          <w:szCs w:val="22"/>
        </w:rPr>
      </w:pPr>
      <w:r w:rsidRPr="00D77C54">
        <w:rPr>
          <w:rFonts w:asciiTheme="minorHAnsi" w:hAnsiTheme="minorHAnsi" w:cstheme="minorHAnsi"/>
          <w:b/>
          <w:sz w:val="22"/>
          <w:szCs w:val="22"/>
        </w:rPr>
        <w:t>Convergence with International Financial Reporting Standards (IFRS):</w:t>
      </w:r>
      <w:r w:rsidR="005E6916" w:rsidRPr="00D77C54">
        <w:rPr>
          <w:rFonts w:asciiTheme="minorHAnsi" w:hAnsiTheme="minorHAnsi" w:cstheme="minorHAnsi"/>
          <w:b/>
          <w:sz w:val="22"/>
          <w:szCs w:val="22"/>
        </w:rPr>
        <w:t xml:space="preserve"> </w:t>
      </w:r>
      <w:r w:rsidR="009657BD" w:rsidRPr="00D77C54">
        <w:rPr>
          <w:rFonts w:asciiTheme="minorHAnsi" w:hAnsiTheme="minorHAnsi" w:cstheme="minorHAnsi"/>
          <w:bCs/>
          <w:sz w:val="22"/>
          <w:szCs w:val="22"/>
        </w:rPr>
        <w:t xml:space="preserve">The larger agenda item 2016-02 </w:t>
      </w:r>
      <w:r w:rsidR="00FA03C5" w:rsidRPr="00D77C54">
        <w:rPr>
          <w:rFonts w:asciiTheme="minorHAnsi" w:hAnsiTheme="minorHAnsi" w:cstheme="minorHAnsi"/>
          <w:bCs/>
          <w:sz w:val="22"/>
          <w:szCs w:val="22"/>
        </w:rPr>
        <w:t xml:space="preserve">worked on the FASB project that brought U.S. GAAP accounting to be more </w:t>
      </w:r>
      <w:proofErr w:type="gramStart"/>
      <w:r w:rsidR="00FA03C5" w:rsidRPr="00D77C54">
        <w:rPr>
          <w:rFonts w:asciiTheme="minorHAnsi" w:hAnsiTheme="minorHAnsi" w:cstheme="minorHAnsi"/>
          <w:bCs/>
          <w:sz w:val="22"/>
          <w:szCs w:val="22"/>
        </w:rPr>
        <w:t>similar to</w:t>
      </w:r>
      <w:proofErr w:type="gramEnd"/>
      <w:r w:rsidR="00FA03C5" w:rsidRPr="00D77C54">
        <w:rPr>
          <w:rFonts w:asciiTheme="minorHAnsi" w:hAnsiTheme="minorHAnsi" w:cstheme="minorHAnsi"/>
          <w:bCs/>
          <w:sz w:val="22"/>
          <w:szCs w:val="22"/>
        </w:rPr>
        <w:t xml:space="preserve"> the methodology used under IFRS, but this treatment was </w:t>
      </w:r>
      <w:r w:rsidR="00A84CAA" w:rsidRPr="00D77C54">
        <w:rPr>
          <w:rFonts w:asciiTheme="minorHAnsi" w:hAnsiTheme="minorHAnsi" w:cstheme="minorHAnsi"/>
          <w:bCs/>
          <w:sz w:val="22"/>
          <w:szCs w:val="22"/>
        </w:rPr>
        <w:t>rejected for statutory accounting and the operating lease treatment was</w:t>
      </w:r>
      <w:r w:rsidR="00D26719" w:rsidRPr="00D77C54">
        <w:rPr>
          <w:rFonts w:asciiTheme="minorHAnsi" w:hAnsiTheme="minorHAnsi" w:cstheme="minorHAnsi"/>
          <w:bCs/>
          <w:sz w:val="22"/>
          <w:szCs w:val="22"/>
        </w:rPr>
        <w:t xml:space="preserve"> </w:t>
      </w:r>
      <w:r w:rsidR="00A76F57" w:rsidRPr="00D77C54">
        <w:rPr>
          <w:rFonts w:asciiTheme="minorHAnsi" w:hAnsiTheme="minorHAnsi" w:cstheme="minorHAnsi"/>
          <w:bCs/>
          <w:sz w:val="22"/>
          <w:szCs w:val="22"/>
        </w:rPr>
        <w:t>retained.</w:t>
      </w:r>
    </w:p>
    <w:p w14:paraId="45ED1F04" w14:textId="77777777" w:rsidR="006B37DD" w:rsidRPr="00D77C54" w:rsidRDefault="006B37DD" w:rsidP="00490996">
      <w:pPr>
        <w:pStyle w:val="BodyText2"/>
        <w:rPr>
          <w:rFonts w:asciiTheme="minorHAnsi" w:hAnsiTheme="minorHAnsi" w:cstheme="minorHAnsi"/>
          <w:b w:val="0"/>
          <w:bCs w:val="0"/>
          <w:szCs w:val="22"/>
        </w:rPr>
      </w:pPr>
    </w:p>
    <w:p w14:paraId="4B13D45C" w14:textId="77777777" w:rsidR="008E3469" w:rsidRPr="00D77C54" w:rsidRDefault="007C7D98" w:rsidP="007C7D98">
      <w:pPr>
        <w:pStyle w:val="BodyText2"/>
        <w:rPr>
          <w:rFonts w:asciiTheme="minorHAnsi" w:hAnsiTheme="minorHAnsi" w:cstheme="minorHAnsi"/>
          <w:szCs w:val="22"/>
        </w:rPr>
      </w:pPr>
      <w:r w:rsidRPr="00D77C54">
        <w:rPr>
          <w:rFonts w:asciiTheme="minorHAnsi" w:hAnsiTheme="minorHAnsi" w:cstheme="minorHAnsi"/>
          <w:szCs w:val="22"/>
        </w:rPr>
        <w:t>Staff Review Completed by:</w:t>
      </w:r>
    </w:p>
    <w:p w14:paraId="52A7DA1C" w14:textId="5D6C5E1D" w:rsidR="007C7D98" w:rsidRPr="00D77C54" w:rsidRDefault="007C7D98" w:rsidP="007C7D98">
      <w:pPr>
        <w:pStyle w:val="BodyText2"/>
        <w:rPr>
          <w:rFonts w:asciiTheme="minorHAnsi" w:hAnsiTheme="minorHAnsi" w:cstheme="minorHAnsi"/>
          <w:b w:val="0"/>
          <w:szCs w:val="22"/>
        </w:rPr>
      </w:pPr>
      <w:r w:rsidRPr="00D77C54">
        <w:rPr>
          <w:rFonts w:asciiTheme="minorHAnsi" w:hAnsiTheme="minorHAnsi" w:cstheme="minorHAnsi"/>
          <w:b w:val="0"/>
          <w:bCs w:val="0"/>
          <w:szCs w:val="22"/>
        </w:rPr>
        <w:t>Jake Stultz</w:t>
      </w:r>
      <w:r w:rsidR="00B53AAA" w:rsidRPr="00D77C54">
        <w:rPr>
          <w:rFonts w:asciiTheme="minorHAnsi" w:hAnsiTheme="minorHAnsi" w:cstheme="minorHAnsi"/>
          <w:b w:val="0"/>
          <w:bCs w:val="0"/>
          <w:szCs w:val="22"/>
        </w:rPr>
        <w:t xml:space="preserve">, </w:t>
      </w:r>
      <w:r w:rsidRPr="00D77C54">
        <w:rPr>
          <w:rFonts w:asciiTheme="minorHAnsi" w:hAnsiTheme="minorHAnsi" w:cstheme="minorHAnsi"/>
          <w:b w:val="0"/>
          <w:bCs w:val="0"/>
          <w:szCs w:val="22"/>
        </w:rPr>
        <w:t>NAIC Staff</w:t>
      </w:r>
      <w:r w:rsidR="00B53AAA" w:rsidRPr="00D77C54">
        <w:rPr>
          <w:rFonts w:asciiTheme="minorHAnsi" w:hAnsiTheme="minorHAnsi" w:cstheme="minorHAnsi"/>
          <w:b w:val="0"/>
          <w:bCs w:val="0"/>
          <w:szCs w:val="22"/>
        </w:rPr>
        <w:t xml:space="preserve"> – February 2025</w:t>
      </w:r>
    </w:p>
    <w:p w14:paraId="05EC3B33" w14:textId="77777777" w:rsidR="007C7D98" w:rsidRPr="00D77C54" w:rsidRDefault="007C7D98" w:rsidP="00490996">
      <w:pPr>
        <w:pStyle w:val="BodyText2"/>
        <w:rPr>
          <w:rFonts w:asciiTheme="minorHAnsi" w:hAnsiTheme="minorHAnsi" w:cstheme="minorHAnsi"/>
          <w:b w:val="0"/>
          <w:bCs w:val="0"/>
          <w:szCs w:val="22"/>
        </w:rPr>
      </w:pPr>
    </w:p>
    <w:p w14:paraId="1675B0C9" w14:textId="2983622B" w:rsidR="00984FA6" w:rsidRPr="00B4323C" w:rsidRDefault="002A1316" w:rsidP="00B30CA0">
      <w:pPr>
        <w:pStyle w:val="BodyText2"/>
        <w:rPr>
          <w:rFonts w:asciiTheme="minorHAnsi" w:hAnsiTheme="minorHAnsi" w:cstheme="minorHAnsi"/>
          <w:szCs w:val="22"/>
        </w:rPr>
      </w:pPr>
      <w:r w:rsidRPr="00D77C54">
        <w:rPr>
          <w:rFonts w:asciiTheme="minorHAnsi" w:hAnsiTheme="minorHAnsi" w:cstheme="minorHAnsi"/>
          <w:szCs w:val="22"/>
        </w:rPr>
        <w:t>Staff Recommendation:</w:t>
      </w:r>
      <w:r w:rsidR="004128F1" w:rsidRPr="00D77C54">
        <w:rPr>
          <w:rFonts w:asciiTheme="minorHAnsi" w:hAnsiTheme="minorHAnsi" w:cstheme="minorHAnsi"/>
          <w:szCs w:val="22"/>
        </w:rPr>
        <w:t xml:space="preserve"> NAIC s</w:t>
      </w:r>
      <w:r w:rsidR="00761440" w:rsidRPr="00D77C54">
        <w:rPr>
          <w:rFonts w:asciiTheme="minorHAnsi" w:hAnsiTheme="minorHAnsi" w:cstheme="minorHAnsi"/>
          <w:szCs w:val="22"/>
        </w:rPr>
        <w:t>taff recommends</w:t>
      </w:r>
      <w:r w:rsidR="00D924B0" w:rsidRPr="00D77C54">
        <w:rPr>
          <w:rFonts w:asciiTheme="minorHAnsi" w:hAnsiTheme="minorHAnsi" w:cstheme="minorHAnsi"/>
          <w:szCs w:val="22"/>
        </w:rPr>
        <w:t xml:space="preserve"> that the Working Group move this item to the active listing</w:t>
      </w:r>
      <w:r w:rsidR="00761440" w:rsidRPr="00D77C54">
        <w:rPr>
          <w:rFonts w:asciiTheme="minorHAnsi" w:hAnsiTheme="minorHAnsi" w:cstheme="minorHAnsi"/>
          <w:szCs w:val="22"/>
        </w:rPr>
        <w:t xml:space="preserve">, categorized as </w:t>
      </w:r>
      <w:r w:rsidR="00806FC1" w:rsidRPr="00D77C54">
        <w:rPr>
          <w:rFonts w:asciiTheme="minorHAnsi" w:hAnsiTheme="minorHAnsi" w:cstheme="minorHAnsi"/>
          <w:szCs w:val="22"/>
        </w:rPr>
        <w:t>a</w:t>
      </w:r>
      <w:r w:rsidR="00E01062" w:rsidRPr="00D77C54">
        <w:rPr>
          <w:rFonts w:asciiTheme="minorHAnsi" w:hAnsiTheme="minorHAnsi" w:cstheme="minorHAnsi"/>
          <w:szCs w:val="22"/>
        </w:rPr>
        <w:t xml:space="preserve"> SAP</w:t>
      </w:r>
      <w:r w:rsidR="00806FC1" w:rsidRPr="00D77C54">
        <w:rPr>
          <w:rFonts w:asciiTheme="minorHAnsi" w:hAnsiTheme="minorHAnsi" w:cstheme="minorHAnsi"/>
          <w:szCs w:val="22"/>
        </w:rPr>
        <w:t xml:space="preserve"> </w:t>
      </w:r>
      <w:r w:rsidR="00E01062" w:rsidRPr="00D77C54">
        <w:rPr>
          <w:rFonts w:asciiTheme="minorHAnsi" w:hAnsiTheme="minorHAnsi" w:cstheme="minorHAnsi"/>
          <w:szCs w:val="22"/>
        </w:rPr>
        <w:t>clarification</w:t>
      </w:r>
      <w:r w:rsidR="007646F6" w:rsidRPr="00D77C54">
        <w:rPr>
          <w:rFonts w:asciiTheme="minorHAnsi" w:hAnsiTheme="minorHAnsi" w:cstheme="minorHAnsi"/>
          <w:szCs w:val="22"/>
        </w:rPr>
        <w:t>,</w:t>
      </w:r>
      <w:r w:rsidR="00E01062" w:rsidRPr="00D77C54">
        <w:rPr>
          <w:rFonts w:asciiTheme="minorHAnsi" w:hAnsiTheme="minorHAnsi" w:cstheme="minorHAnsi"/>
          <w:szCs w:val="22"/>
        </w:rPr>
        <w:t xml:space="preserve"> </w:t>
      </w:r>
      <w:r w:rsidR="00D924B0" w:rsidRPr="00D77C54">
        <w:rPr>
          <w:rFonts w:asciiTheme="minorHAnsi" w:hAnsiTheme="minorHAnsi" w:cstheme="minorHAnsi"/>
          <w:szCs w:val="22"/>
        </w:rPr>
        <w:t xml:space="preserve">and expose revisions to </w:t>
      </w:r>
      <w:r w:rsidR="00DA457A" w:rsidRPr="00D77C54">
        <w:rPr>
          <w:rFonts w:asciiTheme="minorHAnsi" w:hAnsiTheme="minorHAnsi" w:cstheme="minorHAnsi"/>
          <w:i/>
          <w:iCs/>
          <w:szCs w:val="22"/>
        </w:rPr>
        <w:t>SSAP No. 22—Leases</w:t>
      </w:r>
      <w:r w:rsidR="00DA457A" w:rsidRPr="00D77C54">
        <w:rPr>
          <w:rFonts w:asciiTheme="minorHAnsi" w:hAnsiTheme="minorHAnsi" w:cstheme="minorHAnsi"/>
          <w:szCs w:val="22"/>
        </w:rPr>
        <w:t>, as illustrated below, to clarify that sale</w:t>
      </w:r>
      <w:r w:rsidR="00686960" w:rsidRPr="00D77C54">
        <w:rPr>
          <w:rFonts w:asciiTheme="minorHAnsi" w:hAnsiTheme="minorHAnsi" w:cstheme="minorHAnsi"/>
          <w:szCs w:val="22"/>
        </w:rPr>
        <w:t>-</w:t>
      </w:r>
      <w:r w:rsidR="00DA457A" w:rsidRPr="00D77C54">
        <w:rPr>
          <w:rFonts w:asciiTheme="minorHAnsi" w:hAnsiTheme="minorHAnsi" w:cstheme="minorHAnsi"/>
          <w:szCs w:val="22"/>
        </w:rPr>
        <w:t xml:space="preserve">leasebacks </w:t>
      </w:r>
      <w:r w:rsidR="00DA457A" w:rsidRPr="00B4323C">
        <w:rPr>
          <w:rFonts w:asciiTheme="minorHAnsi" w:hAnsiTheme="minorHAnsi" w:cstheme="minorHAnsi"/>
          <w:szCs w:val="22"/>
        </w:rPr>
        <w:t>with restrictions on</w:t>
      </w:r>
      <w:r w:rsidR="009657BD" w:rsidRPr="00B4323C">
        <w:rPr>
          <w:rFonts w:asciiTheme="minorHAnsi" w:hAnsiTheme="minorHAnsi" w:cstheme="minorHAnsi"/>
          <w:szCs w:val="22"/>
        </w:rPr>
        <w:t xml:space="preserve"> access to the cash do not qualify for sale</w:t>
      </w:r>
      <w:r w:rsidR="00686960" w:rsidRPr="00B4323C">
        <w:rPr>
          <w:rFonts w:asciiTheme="minorHAnsi" w:hAnsiTheme="minorHAnsi" w:cstheme="minorHAnsi"/>
          <w:szCs w:val="22"/>
        </w:rPr>
        <w:t>-</w:t>
      </w:r>
      <w:r w:rsidR="009657BD" w:rsidRPr="00B4323C">
        <w:rPr>
          <w:rFonts w:asciiTheme="minorHAnsi" w:hAnsiTheme="minorHAnsi" w:cstheme="minorHAnsi"/>
          <w:szCs w:val="22"/>
        </w:rPr>
        <w:t>leaseback accounting and must be accounted for</w:t>
      </w:r>
      <w:r w:rsidR="0032548F" w:rsidRPr="00B4323C">
        <w:rPr>
          <w:rFonts w:asciiTheme="minorHAnsi" w:hAnsiTheme="minorHAnsi" w:cstheme="minorHAnsi"/>
          <w:szCs w:val="22"/>
        </w:rPr>
        <w:t xml:space="preserve"> by the seller</w:t>
      </w:r>
      <w:r w:rsidR="009657BD" w:rsidRPr="00B4323C">
        <w:rPr>
          <w:rFonts w:asciiTheme="minorHAnsi" w:hAnsiTheme="minorHAnsi" w:cstheme="minorHAnsi"/>
          <w:szCs w:val="22"/>
        </w:rPr>
        <w:t xml:space="preserve"> using the financing method.</w:t>
      </w:r>
    </w:p>
    <w:p w14:paraId="0238CA40" w14:textId="77777777" w:rsidR="00DF0938" w:rsidRPr="00B4323C" w:rsidRDefault="00DF0938" w:rsidP="00B30CA0">
      <w:pPr>
        <w:pStyle w:val="BodyText2"/>
        <w:rPr>
          <w:rFonts w:asciiTheme="minorHAnsi" w:hAnsiTheme="minorHAnsi" w:cstheme="minorHAnsi"/>
          <w:szCs w:val="22"/>
        </w:rPr>
      </w:pPr>
    </w:p>
    <w:p w14:paraId="1E152A0F" w14:textId="77777777" w:rsidR="00DF0938" w:rsidRPr="00B4323C" w:rsidRDefault="00DF0938" w:rsidP="00DF0938">
      <w:pPr>
        <w:numPr>
          <w:ilvl w:val="0"/>
          <w:numId w:val="28"/>
        </w:numPr>
        <w:spacing w:after="220"/>
        <w:ind w:left="0" w:firstLine="0"/>
        <w:jc w:val="both"/>
        <w:rPr>
          <w:rFonts w:asciiTheme="minorHAnsi" w:hAnsiTheme="minorHAnsi" w:cstheme="minorHAnsi"/>
          <w:sz w:val="22"/>
          <w:szCs w:val="22"/>
        </w:rPr>
      </w:pPr>
      <w:r w:rsidRPr="00B4323C">
        <w:rPr>
          <w:rFonts w:asciiTheme="minorHAnsi" w:hAnsiTheme="minorHAnsi" w:cstheme="minorHAnsi"/>
          <w:sz w:val="22"/>
          <w:szCs w:val="22"/>
        </w:rPr>
        <w:t xml:space="preserve">Sale-leaseback accounting shall be used by a seller-lessee only if a sale-leaseback transaction includes </w:t>
      </w:r>
      <w:proofErr w:type="gramStart"/>
      <w:r w:rsidRPr="00B4323C">
        <w:rPr>
          <w:rFonts w:asciiTheme="minorHAnsi" w:hAnsiTheme="minorHAnsi" w:cstheme="minorHAnsi"/>
          <w:sz w:val="22"/>
          <w:szCs w:val="22"/>
        </w:rPr>
        <w:t>all of</w:t>
      </w:r>
      <w:proofErr w:type="gramEnd"/>
      <w:r w:rsidRPr="00B4323C">
        <w:rPr>
          <w:rFonts w:asciiTheme="minorHAnsi" w:hAnsiTheme="minorHAnsi" w:cstheme="minorHAnsi"/>
          <w:sz w:val="22"/>
          <w:szCs w:val="22"/>
        </w:rPr>
        <w:t xml:space="preserve"> the following:</w:t>
      </w:r>
    </w:p>
    <w:p w14:paraId="2CFB44E3" w14:textId="77777777" w:rsidR="00DF0938" w:rsidRPr="00B4323C" w:rsidRDefault="00DF0938" w:rsidP="00DF0938">
      <w:pPr>
        <w:spacing w:after="220"/>
        <w:ind w:left="1440" w:hanging="720"/>
        <w:jc w:val="both"/>
        <w:rPr>
          <w:rFonts w:asciiTheme="minorHAnsi" w:hAnsiTheme="minorHAnsi" w:cstheme="minorHAnsi"/>
          <w:sz w:val="22"/>
          <w:szCs w:val="22"/>
        </w:rPr>
      </w:pPr>
      <w:r w:rsidRPr="00B4323C">
        <w:rPr>
          <w:rFonts w:asciiTheme="minorHAnsi" w:hAnsiTheme="minorHAnsi" w:cstheme="minorHAnsi"/>
          <w:sz w:val="22"/>
          <w:szCs w:val="22"/>
        </w:rPr>
        <w:t>a.</w:t>
      </w:r>
      <w:r w:rsidRPr="00B4323C">
        <w:rPr>
          <w:rFonts w:asciiTheme="minorHAnsi" w:hAnsiTheme="minorHAnsi" w:cstheme="minorHAnsi"/>
          <w:sz w:val="22"/>
          <w:szCs w:val="22"/>
        </w:rPr>
        <w:tab/>
        <w:t xml:space="preserve">A normal leaseback is a lessee-lessor relationship that involves active use of the property by the seller-lessee in consideration for payment of rent, including contingent rentals that are based on future operations of the seller-lessee. The phrase active use of the property by the seller-lessee refers to use of the property during the lease term in the seller-lessee’s trade or business, </w:t>
      </w:r>
      <w:proofErr w:type="gramStart"/>
      <w:r w:rsidRPr="00B4323C">
        <w:rPr>
          <w:rFonts w:asciiTheme="minorHAnsi" w:hAnsiTheme="minorHAnsi" w:cstheme="minorHAnsi"/>
          <w:sz w:val="22"/>
          <w:szCs w:val="22"/>
        </w:rPr>
        <w:t>provided that</w:t>
      </w:r>
      <w:proofErr w:type="gramEnd"/>
      <w:r w:rsidRPr="00B4323C">
        <w:rPr>
          <w:rFonts w:asciiTheme="minorHAnsi" w:hAnsiTheme="minorHAnsi" w:cstheme="minorHAnsi"/>
          <w:sz w:val="22"/>
          <w:szCs w:val="22"/>
        </w:rPr>
        <w:t xml:space="preserve"> subleasing of the leased property is minor.</w:t>
      </w:r>
    </w:p>
    <w:p w14:paraId="3E8E7E39" w14:textId="77777777" w:rsidR="00DF0938" w:rsidRPr="00B4323C" w:rsidRDefault="00DF0938" w:rsidP="00DF0938">
      <w:pPr>
        <w:spacing w:after="220"/>
        <w:ind w:left="1440" w:hanging="720"/>
        <w:jc w:val="both"/>
        <w:rPr>
          <w:rFonts w:asciiTheme="minorHAnsi" w:hAnsiTheme="minorHAnsi" w:cstheme="minorHAnsi"/>
          <w:sz w:val="22"/>
          <w:szCs w:val="22"/>
        </w:rPr>
      </w:pPr>
      <w:r w:rsidRPr="00B4323C">
        <w:rPr>
          <w:rFonts w:asciiTheme="minorHAnsi" w:hAnsiTheme="minorHAnsi" w:cstheme="minorHAnsi"/>
          <w:sz w:val="22"/>
          <w:szCs w:val="22"/>
        </w:rPr>
        <w:t>b.</w:t>
      </w:r>
      <w:r w:rsidRPr="00B4323C">
        <w:rPr>
          <w:rFonts w:asciiTheme="minorHAnsi" w:hAnsiTheme="minorHAnsi" w:cstheme="minorHAnsi"/>
          <w:sz w:val="22"/>
          <w:szCs w:val="22"/>
        </w:rPr>
        <w:tab/>
        <w:t>Admitted assets, if the buyer-lessor is a related party, or either admitted or nonadmitted assets if the buyer-lessor is not a related party. For purposes of this paragraph, related parties include those identified in SSAP No. 25 and entities created for the purpose of buying and leasing nonadmitted assets for the reporting entity and/or its affiliates.</w:t>
      </w:r>
    </w:p>
    <w:p w14:paraId="446B9737" w14:textId="1A48D634" w:rsidR="00DF0938" w:rsidRPr="00B4323C" w:rsidRDefault="00DF0938" w:rsidP="00DF0938">
      <w:pPr>
        <w:spacing w:after="220"/>
        <w:ind w:left="1440" w:hanging="720"/>
        <w:jc w:val="both"/>
        <w:rPr>
          <w:rFonts w:asciiTheme="minorHAnsi" w:hAnsiTheme="minorHAnsi" w:cstheme="minorHAnsi"/>
          <w:sz w:val="22"/>
          <w:szCs w:val="22"/>
        </w:rPr>
      </w:pPr>
      <w:ins w:id="3" w:author="Stultz, Jake" w:date="2025-02-26T12:17:00Z" w16du:dateUtc="2025-02-26T18:17:00Z">
        <w:r w:rsidRPr="00B4323C">
          <w:rPr>
            <w:rFonts w:asciiTheme="minorHAnsi" w:hAnsiTheme="minorHAnsi" w:cstheme="minorHAnsi"/>
            <w:sz w:val="22"/>
            <w:szCs w:val="22"/>
          </w:rPr>
          <w:t>c.</w:t>
        </w:r>
        <w:r w:rsidRPr="00B4323C">
          <w:rPr>
            <w:rFonts w:asciiTheme="minorHAnsi" w:hAnsiTheme="minorHAnsi" w:cstheme="minorHAnsi"/>
            <w:sz w:val="22"/>
            <w:szCs w:val="22"/>
          </w:rPr>
          <w:tab/>
          <w:t>A sale where the cash received by the seller has access restrictions does not meet the definition of a sale for sale</w:t>
        </w:r>
      </w:ins>
      <w:ins w:id="4" w:author="Jacks, Wendy" w:date="2025-08-15T07:21:00Z" w16du:dateUtc="2025-08-15T12:21:00Z">
        <w:r w:rsidR="00686960" w:rsidRPr="00B4323C">
          <w:rPr>
            <w:rFonts w:asciiTheme="minorHAnsi" w:hAnsiTheme="minorHAnsi" w:cstheme="minorHAnsi"/>
            <w:sz w:val="22"/>
            <w:szCs w:val="22"/>
          </w:rPr>
          <w:t>-</w:t>
        </w:r>
      </w:ins>
      <w:ins w:id="5" w:author="Stultz, Jake" w:date="2025-02-26T12:17:00Z" w16du:dateUtc="2025-02-26T18:17:00Z">
        <w:r w:rsidRPr="00B4323C">
          <w:rPr>
            <w:rFonts w:asciiTheme="minorHAnsi" w:hAnsiTheme="minorHAnsi" w:cstheme="minorHAnsi"/>
            <w:sz w:val="22"/>
            <w:szCs w:val="22"/>
          </w:rPr>
          <w:t>leaseback accounting and shall be recorded as a financing arrangement as described in paragraph 39.</w:t>
        </w:r>
      </w:ins>
    </w:p>
    <w:p w14:paraId="244C4C3B" w14:textId="77777777" w:rsidR="00DF0938" w:rsidRPr="00B4323C" w:rsidRDefault="00DF0938" w:rsidP="00B30CA0">
      <w:pPr>
        <w:pStyle w:val="BodyText2"/>
        <w:rPr>
          <w:rFonts w:asciiTheme="minorHAnsi" w:hAnsiTheme="minorHAnsi" w:cstheme="minorHAnsi"/>
          <w:b w:val="0"/>
          <w:bCs w:val="0"/>
          <w:szCs w:val="22"/>
        </w:rPr>
      </w:pPr>
    </w:p>
    <w:p w14:paraId="4424B343" w14:textId="779A227A" w:rsidR="007C7D98" w:rsidRPr="00B4323C" w:rsidRDefault="007C7D98" w:rsidP="007C7D98">
      <w:pPr>
        <w:pStyle w:val="BodyText2"/>
        <w:rPr>
          <w:rFonts w:asciiTheme="minorHAnsi" w:hAnsiTheme="minorHAnsi" w:cstheme="minorHAnsi"/>
          <w:b w:val="0"/>
          <w:szCs w:val="22"/>
        </w:rPr>
      </w:pPr>
      <w:r w:rsidRPr="00B4323C">
        <w:rPr>
          <w:rFonts w:asciiTheme="minorHAnsi" w:hAnsiTheme="minorHAnsi" w:cstheme="minorHAnsi"/>
          <w:b w:val="0"/>
          <w:szCs w:val="22"/>
        </w:rPr>
        <w:t>39.</w:t>
      </w:r>
      <w:r w:rsidRPr="00B4323C">
        <w:rPr>
          <w:rFonts w:asciiTheme="minorHAnsi" w:hAnsiTheme="minorHAnsi" w:cstheme="minorHAnsi"/>
          <w:b w:val="0"/>
          <w:szCs w:val="22"/>
        </w:rPr>
        <w:tab/>
        <w:t>A sale-leaseback transaction that does not qualify for sale-leaseback accounting nor the deposit method shall be accounted for by the financing method. Under this method the seller-lessee shall not derecognize the transferred asset and shall account for any amounts received as a financial liability and the buyer-lessor shall not recognize the transferred asset and shall account for the amounts paid as a receivable.</w:t>
      </w:r>
      <w:ins w:id="6" w:author="Stultz, Jake" w:date="2025-02-24T13:18:00Z" w16du:dateUtc="2025-02-24T19:18:00Z">
        <w:r w:rsidRPr="00B4323C">
          <w:rPr>
            <w:rFonts w:asciiTheme="minorHAnsi" w:hAnsiTheme="minorHAnsi" w:cstheme="minorHAnsi"/>
            <w:b w:val="0"/>
            <w:szCs w:val="22"/>
          </w:rPr>
          <w:t xml:space="preserve"> A sale-leaseback transaction where the cash received as part of the sale is subject to access rest</w:t>
        </w:r>
      </w:ins>
      <w:ins w:id="7" w:author="Stultz, Jake" w:date="2025-02-24T13:19:00Z" w16du:dateUtc="2025-02-24T19:19:00Z">
        <w:r w:rsidRPr="00B4323C">
          <w:rPr>
            <w:rFonts w:asciiTheme="minorHAnsi" w:hAnsiTheme="minorHAnsi" w:cstheme="minorHAnsi"/>
            <w:b w:val="0"/>
            <w:szCs w:val="22"/>
          </w:rPr>
          <w:t>rictions would not qualify for sale-leaseback accounting and shall be accounted for by the financing method</w:t>
        </w:r>
      </w:ins>
      <w:ins w:id="8" w:author="Stultz, Jake" w:date="2025-02-24T13:37:00Z" w16du:dateUtc="2025-02-24T19:37:00Z">
        <w:r w:rsidRPr="00B4323C">
          <w:rPr>
            <w:rFonts w:asciiTheme="minorHAnsi" w:hAnsiTheme="minorHAnsi" w:cstheme="minorHAnsi"/>
            <w:b w:val="0"/>
            <w:szCs w:val="22"/>
          </w:rPr>
          <w:t>.</w:t>
        </w:r>
      </w:ins>
    </w:p>
    <w:p w14:paraId="51EE5A03" w14:textId="77777777" w:rsidR="006B37DD" w:rsidRPr="00B4323C" w:rsidRDefault="006B37DD" w:rsidP="00B30CA0">
      <w:pPr>
        <w:rPr>
          <w:rFonts w:asciiTheme="minorHAnsi" w:hAnsiTheme="minorHAnsi" w:cstheme="minorHAnsi"/>
          <w:b/>
          <w:sz w:val="22"/>
          <w:szCs w:val="22"/>
        </w:rPr>
      </w:pPr>
    </w:p>
    <w:p w14:paraId="58663600" w14:textId="6DB044E7" w:rsidR="00484643" w:rsidRPr="00B4323C" w:rsidRDefault="00512A65" w:rsidP="00E0725F">
      <w:pPr>
        <w:keepNext/>
        <w:rPr>
          <w:rFonts w:asciiTheme="minorHAnsi" w:hAnsiTheme="minorHAnsi" w:cstheme="minorHAnsi"/>
          <w:bCs/>
          <w:sz w:val="22"/>
          <w:szCs w:val="22"/>
        </w:rPr>
      </w:pPr>
      <w:r w:rsidRPr="00B4323C">
        <w:rPr>
          <w:rFonts w:asciiTheme="minorHAnsi" w:hAnsiTheme="minorHAnsi" w:cstheme="minorHAnsi"/>
          <w:b/>
          <w:sz w:val="22"/>
          <w:szCs w:val="22"/>
        </w:rPr>
        <w:lastRenderedPageBreak/>
        <w:t>Status:</w:t>
      </w:r>
    </w:p>
    <w:p w14:paraId="05CDD617" w14:textId="116870F6" w:rsidR="00512A65" w:rsidRPr="00B4323C" w:rsidRDefault="007C260F" w:rsidP="00E0725F">
      <w:pPr>
        <w:keepNext/>
        <w:jc w:val="both"/>
        <w:rPr>
          <w:rFonts w:asciiTheme="minorHAnsi" w:hAnsiTheme="minorHAnsi" w:cstheme="minorHAnsi"/>
          <w:bCs/>
          <w:sz w:val="22"/>
          <w:szCs w:val="22"/>
        </w:rPr>
      </w:pPr>
      <w:r w:rsidRPr="00B4323C">
        <w:rPr>
          <w:rFonts w:asciiTheme="minorHAnsi" w:hAnsiTheme="minorHAnsi" w:cstheme="minorHAnsi"/>
          <w:bCs/>
          <w:sz w:val="22"/>
          <w:szCs w:val="22"/>
        </w:rPr>
        <w:t xml:space="preserve">On March </w:t>
      </w:r>
      <w:r w:rsidR="006D07A2" w:rsidRPr="00B4323C">
        <w:rPr>
          <w:rFonts w:asciiTheme="minorHAnsi" w:hAnsiTheme="minorHAnsi" w:cstheme="minorHAnsi"/>
          <w:bCs/>
          <w:sz w:val="22"/>
          <w:szCs w:val="22"/>
        </w:rPr>
        <w:t xml:space="preserve">24, 2025, </w:t>
      </w:r>
      <w:r w:rsidR="00417E75" w:rsidRPr="00B4323C">
        <w:rPr>
          <w:rFonts w:asciiTheme="minorHAnsi" w:hAnsiTheme="minorHAnsi" w:cstheme="minorHAnsi"/>
          <w:bCs/>
          <w:sz w:val="22"/>
          <w:szCs w:val="22"/>
        </w:rPr>
        <w:t xml:space="preserve">the Statutory Accounting Principles (E) Working Group exposed </w:t>
      </w:r>
      <w:r w:rsidR="006D07A2" w:rsidRPr="00B4323C">
        <w:rPr>
          <w:rFonts w:asciiTheme="minorHAnsi" w:hAnsiTheme="minorHAnsi" w:cstheme="minorHAnsi"/>
          <w:bCs/>
          <w:sz w:val="22"/>
          <w:szCs w:val="22"/>
        </w:rPr>
        <w:t xml:space="preserve">revisions to </w:t>
      </w:r>
      <w:r w:rsidR="006D07A2" w:rsidRPr="00B4323C">
        <w:rPr>
          <w:rFonts w:asciiTheme="minorHAnsi" w:hAnsiTheme="minorHAnsi" w:cstheme="minorHAnsi"/>
          <w:bCs/>
          <w:i/>
          <w:iCs/>
          <w:sz w:val="22"/>
          <w:szCs w:val="22"/>
        </w:rPr>
        <w:t>SSAP No. 22—Leases</w:t>
      </w:r>
      <w:r w:rsidR="006D07A2" w:rsidRPr="00B4323C">
        <w:rPr>
          <w:rFonts w:asciiTheme="minorHAnsi" w:hAnsiTheme="minorHAnsi" w:cstheme="minorHAnsi"/>
          <w:bCs/>
          <w:sz w:val="22"/>
          <w:szCs w:val="22"/>
        </w:rPr>
        <w:t xml:space="preserve"> to clarify that sale</w:t>
      </w:r>
      <w:r w:rsidR="00686960" w:rsidRPr="00B4323C">
        <w:rPr>
          <w:rFonts w:asciiTheme="minorHAnsi" w:hAnsiTheme="minorHAnsi" w:cstheme="minorHAnsi"/>
          <w:bCs/>
          <w:sz w:val="22"/>
          <w:szCs w:val="22"/>
        </w:rPr>
        <w:t>-</w:t>
      </w:r>
      <w:r w:rsidR="006D07A2" w:rsidRPr="00B4323C">
        <w:rPr>
          <w:rFonts w:asciiTheme="minorHAnsi" w:hAnsiTheme="minorHAnsi" w:cstheme="minorHAnsi"/>
          <w:bCs/>
          <w:sz w:val="22"/>
          <w:szCs w:val="22"/>
        </w:rPr>
        <w:t xml:space="preserve">leasebacks with restrictions on access to the cash </w:t>
      </w:r>
      <w:r w:rsidR="000641E6" w:rsidRPr="00B4323C">
        <w:rPr>
          <w:rFonts w:asciiTheme="minorHAnsi" w:hAnsiTheme="minorHAnsi" w:cstheme="minorHAnsi"/>
          <w:bCs/>
          <w:sz w:val="22"/>
          <w:szCs w:val="22"/>
        </w:rPr>
        <w:t xml:space="preserve">from the sales transaction </w:t>
      </w:r>
      <w:r w:rsidR="006D07A2" w:rsidRPr="00B4323C">
        <w:rPr>
          <w:rFonts w:asciiTheme="minorHAnsi" w:hAnsiTheme="minorHAnsi" w:cstheme="minorHAnsi"/>
          <w:bCs/>
          <w:sz w:val="22"/>
          <w:szCs w:val="22"/>
        </w:rPr>
        <w:t>do not qualify for sale</w:t>
      </w:r>
      <w:r w:rsidR="00686960" w:rsidRPr="00B4323C">
        <w:rPr>
          <w:rFonts w:asciiTheme="minorHAnsi" w:hAnsiTheme="minorHAnsi" w:cstheme="minorHAnsi"/>
          <w:bCs/>
          <w:sz w:val="22"/>
          <w:szCs w:val="22"/>
        </w:rPr>
        <w:t>-</w:t>
      </w:r>
      <w:r w:rsidR="006D07A2" w:rsidRPr="00B4323C">
        <w:rPr>
          <w:rFonts w:asciiTheme="minorHAnsi" w:hAnsiTheme="minorHAnsi" w:cstheme="minorHAnsi"/>
          <w:bCs/>
          <w:sz w:val="22"/>
          <w:szCs w:val="22"/>
        </w:rPr>
        <w:t>leaseback accounting and must be accounted for by the seller using the financing method.</w:t>
      </w:r>
    </w:p>
    <w:p w14:paraId="6ADDA9EE" w14:textId="77777777" w:rsidR="0048685A" w:rsidRPr="00B4323C" w:rsidRDefault="0048685A" w:rsidP="0048685A">
      <w:pPr>
        <w:jc w:val="both"/>
        <w:rPr>
          <w:rFonts w:asciiTheme="minorHAnsi" w:hAnsiTheme="minorHAnsi" w:cstheme="minorHAnsi"/>
          <w:bCs/>
          <w:sz w:val="22"/>
          <w:szCs w:val="22"/>
        </w:rPr>
      </w:pPr>
    </w:p>
    <w:p w14:paraId="7943B1B1" w14:textId="1D18AE94" w:rsidR="00F41226" w:rsidRPr="00B4323C" w:rsidRDefault="00F41226" w:rsidP="005B2A2E">
      <w:pPr>
        <w:jc w:val="both"/>
        <w:rPr>
          <w:rFonts w:asciiTheme="minorHAnsi" w:hAnsiTheme="minorHAnsi" w:cstheme="minorHAnsi"/>
          <w:bCs/>
          <w:sz w:val="22"/>
          <w:szCs w:val="22"/>
        </w:rPr>
      </w:pPr>
      <w:r w:rsidRPr="00B4323C">
        <w:rPr>
          <w:rFonts w:asciiTheme="minorHAnsi" w:hAnsiTheme="minorHAnsi" w:cstheme="minorHAnsi"/>
          <w:bCs/>
          <w:sz w:val="22"/>
          <w:szCs w:val="22"/>
        </w:rPr>
        <w:t xml:space="preserve">On August 11, 2025, the Statutory Accounting Principles (E) Working Group exposed revisions to </w:t>
      </w:r>
      <w:r w:rsidRPr="00B4323C">
        <w:rPr>
          <w:rFonts w:asciiTheme="minorHAnsi" w:hAnsiTheme="minorHAnsi" w:cstheme="minorHAnsi"/>
          <w:bCs/>
          <w:i/>
          <w:iCs/>
          <w:sz w:val="22"/>
          <w:szCs w:val="22"/>
        </w:rPr>
        <w:t xml:space="preserve">SSAP No. 22—Leases, </w:t>
      </w:r>
      <w:r w:rsidRPr="00B4323C">
        <w:rPr>
          <w:rFonts w:asciiTheme="minorHAnsi" w:hAnsiTheme="minorHAnsi" w:cstheme="minorHAnsi"/>
          <w:bCs/>
          <w:sz w:val="22"/>
          <w:szCs w:val="22"/>
        </w:rPr>
        <w:t xml:space="preserve">as illustrated above under the Summer 2025 Updated Staff Recommendation, to further clarify that sale-leasebacks with restrictions on access to the cash received from the sale do not qualify for sale-leaseback accounting and must be accounted for by the seller using the financing method. With this exposure, comments are specifically requested on transition guidance for companies that currently have arrangements that will no longer qualify for sale-leaseback treatment. </w:t>
      </w:r>
    </w:p>
    <w:p w14:paraId="400005D3" w14:textId="77777777" w:rsidR="006B37DD" w:rsidRPr="00B4323C" w:rsidRDefault="006B37DD" w:rsidP="00B30CA0">
      <w:pPr>
        <w:rPr>
          <w:rFonts w:asciiTheme="minorHAnsi" w:hAnsiTheme="minorHAnsi" w:cstheme="minorHAnsi"/>
          <w:sz w:val="22"/>
          <w:szCs w:val="22"/>
        </w:rPr>
      </w:pPr>
    </w:p>
    <w:p w14:paraId="63393E71" w14:textId="04056593" w:rsidR="006E5078" w:rsidRPr="00B818D7" w:rsidRDefault="007D4425" w:rsidP="00B30CA0">
      <w:pPr>
        <w:rPr>
          <w:rFonts w:asciiTheme="minorHAnsi" w:hAnsiTheme="minorHAnsi" w:cstheme="minorHAnsi"/>
          <w:b/>
          <w:bCs/>
          <w:sz w:val="22"/>
          <w:szCs w:val="22"/>
        </w:rPr>
      </w:pPr>
      <w:r w:rsidRPr="00B818D7">
        <w:rPr>
          <w:rFonts w:asciiTheme="minorHAnsi" w:hAnsiTheme="minorHAnsi" w:cstheme="minorHAnsi"/>
          <w:b/>
          <w:bCs/>
          <w:sz w:val="22"/>
          <w:szCs w:val="22"/>
        </w:rPr>
        <w:t>Summer 2025 Updated Staff Recommendation:</w:t>
      </w:r>
    </w:p>
    <w:p w14:paraId="66FE8557" w14:textId="2BE7EAE2" w:rsidR="00455BCB" w:rsidRPr="00B818D7" w:rsidRDefault="007D4425" w:rsidP="00455BCB">
      <w:pPr>
        <w:jc w:val="both"/>
        <w:rPr>
          <w:rFonts w:asciiTheme="minorHAnsi" w:hAnsiTheme="minorHAnsi" w:cstheme="minorHAnsi"/>
          <w:sz w:val="22"/>
          <w:szCs w:val="22"/>
        </w:rPr>
      </w:pPr>
      <w:r w:rsidRPr="00B818D7">
        <w:rPr>
          <w:rFonts w:asciiTheme="minorHAnsi" w:hAnsiTheme="minorHAnsi" w:cstheme="minorHAnsi"/>
          <w:sz w:val="22"/>
          <w:szCs w:val="22"/>
        </w:rPr>
        <w:t xml:space="preserve">As a result of the comments received and internal NAIC staff </w:t>
      </w:r>
      <w:r w:rsidR="00FF35A1" w:rsidRPr="00B818D7">
        <w:rPr>
          <w:rFonts w:asciiTheme="minorHAnsi" w:hAnsiTheme="minorHAnsi" w:cstheme="minorHAnsi"/>
          <w:sz w:val="22"/>
          <w:szCs w:val="22"/>
        </w:rPr>
        <w:t>discussions, NAIC</w:t>
      </w:r>
      <w:r w:rsidR="00455BCB" w:rsidRPr="00B818D7">
        <w:rPr>
          <w:rFonts w:asciiTheme="minorHAnsi" w:hAnsiTheme="minorHAnsi" w:cstheme="minorHAnsi"/>
          <w:sz w:val="22"/>
          <w:szCs w:val="22"/>
        </w:rPr>
        <w:t xml:space="preserve"> staff recommends that the Working Group expose expanded revisions to </w:t>
      </w:r>
      <w:r w:rsidR="00455BCB" w:rsidRPr="00B818D7">
        <w:rPr>
          <w:rFonts w:asciiTheme="minorHAnsi" w:hAnsiTheme="minorHAnsi" w:cstheme="minorHAnsi"/>
          <w:i/>
          <w:iCs/>
          <w:sz w:val="22"/>
          <w:szCs w:val="22"/>
        </w:rPr>
        <w:t>SSAP No. 22—Leases</w:t>
      </w:r>
      <w:r w:rsidR="00455BCB" w:rsidRPr="00B818D7">
        <w:rPr>
          <w:rFonts w:asciiTheme="minorHAnsi" w:hAnsiTheme="minorHAnsi" w:cstheme="minorHAnsi"/>
          <w:sz w:val="22"/>
          <w:szCs w:val="22"/>
        </w:rPr>
        <w:t>, as illustrated below, which clarify that sale</w:t>
      </w:r>
      <w:r w:rsidR="00686960" w:rsidRPr="00B818D7">
        <w:rPr>
          <w:rFonts w:asciiTheme="minorHAnsi" w:hAnsiTheme="minorHAnsi" w:cstheme="minorHAnsi"/>
          <w:sz w:val="22"/>
          <w:szCs w:val="22"/>
        </w:rPr>
        <w:t>-</w:t>
      </w:r>
      <w:r w:rsidR="00455BCB" w:rsidRPr="00B818D7">
        <w:rPr>
          <w:rFonts w:asciiTheme="minorHAnsi" w:hAnsiTheme="minorHAnsi" w:cstheme="minorHAnsi"/>
          <w:sz w:val="22"/>
          <w:szCs w:val="22"/>
        </w:rPr>
        <w:t>leasebacks with restrictions on access to the cash do not qualify for sale</w:t>
      </w:r>
      <w:r w:rsidR="00686960" w:rsidRPr="00B818D7">
        <w:rPr>
          <w:rFonts w:asciiTheme="minorHAnsi" w:hAnsiTheme="minorHAnsi" w:cstheme="minorHAnsi"/>
          <w:sz w:val="22"/>
          <w:szCs w:val="22"/>
        </w:rPr>
        <w:t>-</w:t>
      </w:r>
      <w:r w:rsidR="00455BCB" w:rsidRPr="00B818D7">
        <w:rPr>
          <w:rFonts w:asciiTheme="minorHAnsi" w:hAnsiTheme="minorHAnsi" w:cstheme="minorHAnsi"/>
          <w:sz w:val="22"/>
          <w:szCs w:val="22"/>
        </w:rPr>
        <w:t>leaseback accounting and must be accounted for by the seller using the financing method. These have been modified from the prior exposed version to be clearer. NAIC staff does not recommend exposing the footnote proposed by the joint trades.</w:t>
      </w:r>
    </w:p>
    <w:p w14:paraId="79CB85D5" w14:textId="77777777" w:rsidR="00F17FF8" w:rsidRPr="00B818D7" w:rsidRDefault="00F17FF8" w:rsidP="00B30CA0">
      <w:pPr>
        <w:rPr>
          <w:rFonts w:asciiTheme="minorHAnsi" w:hAnsiTheme="minorHAnsi" w:cstheme="minorHAnsi"/>
          <w:sz w:val="22"/>
          <w:szCs w:val="22"/>
        </w:rPr>
      </w:pPr>
    </w:p>
    <w:p w14:paraId="14EEB1F4" w14:textId="77777777" w:rsidR="00F17FF8" w:rsidRPr="00B818D7" w:rsidRDefault="00F17FF8" w:rsidP="00BC4DB4">
      <w:pPr>
        <w:numPr>
          <w:ilvl w:val="0"/>
          <w:numId w:val="28"/>
        </w:numPr>
        <w:spacing w:after="220"/>
        <w:ind w:left="0" w:firstLine="0"/>
        <w:jc w:val="both"/>
        <w:rPr>
          <w:rFonts w:asciiTheme="minorHAnsi" w:hAnsiTheme="minorHAnsi" w:cstheme="minorHAnsi"/>
          <w:sz w:val="22"/>
          <w:szCs w:val="22"/>
        </w:rPr>
      </w:pPr>
      <w:r w:rsidRPr="00B818D7">
        <w:rPr>
          <w:rFonts w:asciiTheme="minorHAnsi" w:hAnsiTheme="minorHAnsi" w:cstheme="minorHAnsi"/>
          <w:sz w:val="22"/>
          <w:szCs w:val="22"/>
        </w:rPr>
        <w:t xml:space="preserve">Sale-leaseback accounting shall be used by a seller-lessee only if a sale-leaseback transaction includes </w:t>
      </w:r>
      <w:proofErr w:type="gramStart"/>
      <w:r w:rsidRPr="00B818D7">
        <w:rPr>
          <w:rFonts w:asciiTheme="minorHAnsi" w:hAnsiTheme="minorHAnsi" w:cstheme="minorHAnsi"/>
          <w:sz w:val="22"/>
          <w:szCs w:val="22"/>
        </w:rPr>
        <w:t>all of</w:t>
      </w:r>
      <w:proofErr w:type="gramEnd"/>
      <w:r w:rsidRPr="00B818D7">
        <w:rPr>
          <w:rFonts w:asciiTheme="minorHAnsi" w:hAnsiTheme="minorHAnsi" w:cstheme="minorHAnsi"/>
          <w:sz w:val="22"/>
          <w:szCs w:val="22"/>
        </w:rPr>
        <w:t xml:space="preserve"> the following:</w:t>
      </w:r>
    </w:p>
    <w:p w14:paraId="242D8F05" w14:textId="77777777" w:rsidR="00F17FF8" w:rsidRPr="00B818D7" w:rsidRDefault="00F17FF8" w:rsidP="00BC4DB4">
      <w:pPr>
        <w:spacing w:after="220"/>
        <w:ind w:left="1440" w:hanging="720"/>
        <w:jc w:val="both"/>
        <w:rPr>
          <w:rFonts w:asciiTheme="minorHAnsi" w:hAnsiTheme="minorHAnsi" w:cstheme="minorHAnsi"/>
          <w:sz w:val="22"/>
          <w:szCs w:val="22"/>
        </w:rPr>
      </w:pPr>
      <w:r w:rsidRPr="00B818D7">
        <w:rPr>
          <w:rFonts w:asciiTheme="minorHAnsi" w:hAnsiTheme="minorHAnsi" w:cstheme="minorHAnsi"/>
          <w:sz w:val="22"/>
          <w:szCs w:val="22"/>
        </w:rPr>
        <w:t>a.</w:t>
      </w:r>
      <w:r w:rsidRPr="00B818D7">
        <w:rPr>
          <w:rFonts w:asciiTheme="minorHAnsi" w:hAnsiTheme="minorHAnsi" w:cstheme="minorHAnsi"/>
          <w:sz w:val="22"/>
          <w:szCs w:val="22"/>
        </w:rPr>
        <w:tab/>
        <w:t xml:space="preserve">A normal leaseback is a lessee-lessor relationship that involves active use of the property by the seller-lessee in consideration for payment of rent, including contingent rentals that are based on future operations of the seller-lessee. The phrase active use of the property by the seller-lessee refers to use of the property during the lease term in the seller-lessee’s trade or business, </w:t>
      </w:r>
      <w:proofErr w:type="gramStart"/>
      <w:r w:rsidRPr="00B818D7">
        <w:rPr>
          <w:rFonts w:asciiTheme="minorHAnsi" w:hAnsiTheme="minorHAnsi" w:cstheme="minorHAnsi"/>
          <w:sz w:val="22"/>
          <w:szCs w:val="22"/>
        </w:rPr>
        <w:t>provided that</w:t>
      </w:r>
      <w:proofErr w:type="gramEnd"/>
      <w:r w:rsidRPr="00B818D7">
        <w:rPr>
          <w:rFonts w:asciiTheme="minorHAnsi" w:hAnsiTheme="minorHAnsi" w:cstheme="minorHAnsi"/>
          <w:sz w:val="22"/>
          <w:szCs w:val="22"/>
        </w:rPr>
        <w:t xml:space="preserve"> subleasing of the leased property is minor.</w:t>
      </w:r>
    </w:p>
    <w:p w14:paraId="02D48132" w14:textId="77777777" w:rsidR="00F17FF8" w:rsidRPr="00B818D7" w:rsidRDefault="00F17FF8" w:rsidP="00BC4DB4">
      <w:pPr>
        <w:spacing w:after="220"/>
        <w:ind w:left="1440" w:hanging="720"/>
        <w:jc w:val="both"/>
        <w:rPr>
          <w:rFonts w:asciiTheme="minorHAnsi" w:hAnsiTheme="minorHAnsi" w:cstheme="minorHAnsi"/>
          <w:sz w:val="22"/>
          <w:szCs w:val="22"/>
        </w:rPr>
      </w:pPr>
      <w:r w:rsidRPr="00B818D7">
        <w:rPr>
          <w:rFonts w:asciiTheme="minorHAnsi" w:hAnsiTheme="minorHAnsi" w:cstheme="minorHAnsi"/>
          <w:sz w:val="22"/>
          <w:szCs w:val="22"/>
        </w:rPr>
        <w:t>b.</w:t>
      </w:r>
      <w:r w:rsidRPr="00B818D7">
        <w:rPr>
          <w:rFonts w:asciiTheme="minorHAnsi" w:hAnsiTheme="minorHAnsi" w:cstheme="minorHAnsi"/>
          <w:sz w:val="22"/>
          <w:szCs w:val="22"/>
        </w:rPr>
        <w:tab/>
        <w:t>Admitted assets, if the buyer-lessor is a related party, or either admitted or nonadmitted assets if the buyer-lessor is not a related party. For purposes of this paragraph, related parties include those identified in SSAP No. 25 and entities created for the purpose of buying and leasing nonadmitted assets for the reporting entity and/or its affiliates.</w:t>
      </w:r>
    </w:p>
    <w:p w14:paraId="2D6D0E7E" w14:textId="5919BA82" w:rsidR="00F17FF8" w:rsidRPr="00B818D7" w:rsidDel="001E3199" w:rsidRDefault="00F17FF8" w:rsidP="00BC4DB4">
      <w:pPr>
        <w:spacing w:after="220"/>
        <w:ind w:left="1440" w:hanging="720"/>
        <w:jc w:val="both"/>
        <w:rPr>
          <w:del w:id="9" w:author="Stultz, Jake" w:date="2025-07-28T08:59:00Z" w16du:dateUtc="2025-07-28T13:59:00Z"/>
          <w:rFonts w:asciiTheme="minorHAnsi" w:hAnsiTheme="minorHAnsi" w:cstheme="minorHAnsi"/>
          <w:sz w:val="22"/>
          <w:szCs w:val="22"/>
        </w:rPr>
      </w:pPr>
      <w:ins w:id="10" w:author="Stultz, Jake" w:date="2025-02-26T12:17:00Z" w16du:dateUtc="2025-02-26T18:17:00Z">
        <w:r w:rsidRPr="00B818D7">
          <w:rPr>
            <w:rFonts w:asciiTheme="minorHAnsi" w:hAnsiTheme="minorHAnsi" w:cstheme="minorHAnsi"/>
            <w:sz w:val="22"/>
            <w:szCs w:val="22"/>
          </w:rPr>
          <w:t>c.</w:t>
        </w:r>
        <w:r w:rsidRPr="00B818D7">
          <w:rPr>
            <w:rFonts w:asciiTheme="minorHAnsi" w:hAnsiTheme="minorHAnsi" w:cstheme="minorHAnsi"/>
            <w:sz w:val="22"/>
            <w:szCs w:val="22"/>
          </w:rPr>
          <w:tab/>
        </w:r>
      </w:ins>
      <w:ins w:id="11" w:author="Stultz, Jake" w:date="2025-07-28T08:59:00Z" w16du:dateUtc="2025-07-28T13:59:00Z">
        <w:r w:rsidR="001E3199" w:rsidRPr="00B818D7">
          <w:rPr>
            <w:rFonts w:asciiTheme="minorHAnsi" w:hAnsiTheme="minorHAnsi" w:cstheme="minorHAnsi"/>
            <w:sz w:val="22"/>
            <w:szCs w:val="22"/>
            <w:highlight w:val="lightGray"/>
          </w:rPr>
          <w:t xml:space="preserve">When cash or assets received by the seller have restrictions as to the use of the cash or sale of the assets, the cash and assets received are not considered available to meet policyholder obligations and are nonadmitted in accordance with </w:t>
        </w:r>
        <w:r w:rsidR="001E3199" w:rsidRPr="00B818D7">
          <w:rPr>
            <w:rFonts w:asciiTheme="minorHAnsi" w:hAnsiTheme="minorHAnsi" w:cstheme="minorHAnsi"/>
            <w:i/>
            <w:sz w:val="22"/>
            <w:szCs w:val="22"/>
            <w:highlight w:val="lightGray"/>
          </w:rPr>
          <w:t>SSAP No. 4—Assets and Nonadmitted Assets</w:t>
        </w:r>
        <w:r w:rsidR="001E3199" w:rsidRPr="00B818D7">
          <w:rPr>
            <w:rFonts w:asciiTheme="minorHAnsi" w:hAnsiTheme="minorHAnsi" w:cstheme="minorHAnsi"/>
            <w:sz w:val="22"/>
            <w:szCs w:val="22"/>
            <w:highlight w:val="lightGray"/>
          </w:rPr>
          <w:t xml:space="preserve">. Such transactions </w:t>
        </w:r>
        <w:r w:rsidR="001E3199" w:rsidRPr="00B818D7">
          <w:rPr>
            <w:rFonts w:asciiTheme="minorHAnsi" w:hAnsiTheme="minorHAnsi" w:cstheme="minorHAnsi"/>
            <w:dstrike/>
            <w:sz w:val="22"/>
            <w:szCs w:val="22"/>
            <w:highlight w:val="lightGray"/>
          </w:rPr>
          <w:t>A sale where the cash received by the seller has access restrictions does</w:t>
        </w:r>
        <w:r w:rsidR="001E3199" w:rsidRPr="00B818D7">
          <w:rPr>
            <w:rFonts w:asciiTheme="minorHAnsi" w:hAnsiTheme="minorHAnsi" w:cstheme="minorHAnsi"/>
            <w:sz w:val="22"/>
            <w:szCs w:val="22"/>
          </w:rPr>
          <w:t xml:space="preserve"> </w:t>
        </w:r>
        <w:r w:rsidR="001E3199" w:rsidRPr="00B818D7">
          <w:rPr>
            <w:rFonts w:asciiTheme="minorHAnsi" w:hAnsiTheme="minorHAnsi" w:cstheme="minorHAnsi"/>
            <w:sz w:val="22"/>
            <w:szCs w:val="22"/>
            <w:highlight w:val="lightGray"/>
          </w:rPr>
          <w:t>do</w:t>
        </w:r>
        <w:r w:rsidR="001E3199" w:rsidRPr="00B818D7">
          <w:rPr>
            <w:rFonts w:asciiTheme="minorHAnsi" w:hAnsiTheme="minorHAnsi" w:cstheme="minorHAnsi"/>
            <w:sz w:val="22"/>
            <w:szCs w:val="22"/>
          </w:rPr>
          <w:t xml:space="preserve"> not meet the definition of a sale for sale</w:t>
        </w:r>
      </w:ins>
      <w:ins w:id="12" w:author="Jacks, Wendy" w:date="2025-08-15T07:22:00Z" w16du:dateUtc="2025-08-15T12:22:00Z">
        <w:r w:rsidR="00686960" w:rsidRPr="00B818D7">
          <w:rPr>
            <w:rFonts w:asciiTheme="minorHAnsi" w:hAnsiTheme="minorHAnsi" w:cstheme="minorHAnsi"/>
            <w:sz w:val="22"/>
            <w:szCs w:val="22"/>
          </w:rPr>
          <w:t>-</w:t>
        </w:r>
      </w:ins>
      <w:ins w:id="13" w:author="Stultz, Jake" w:date="2025-07-28T08:59:00Z" w16du:dateUtc="2025-07-28T13:59:00Z">
        <w:r w:rsidR="001E3199" w:rsidRPr="00B818D7">
          <w:rPr>
            <w:rFonts w:asciiTheme="minorHAnsi" w:hAnsiTheme="minorHAnsi" w:cstheme="minorHAnsi"/>
            <w:sz w:val="22"/>
            <w:szCs w:val="22"/>
          </w:rPr>
          <w:t>leaseback accounting and shall be recorded as a financing arrangement as described in paragraph 39.</w:t>
        </w:r>
      </w:ins>
    </w:p>
    <w:p w14:paraId="4BD1BB83" w14:textId="77777777" w:rsidR="00F17FF8" w:rsidRPr="00B818D7" w:rsidRDefault="00F17FF8" w:rsidP="00BC4DB4">
      <w:pPr>
        <w:pStyle w:val="BodyText2"/>
        <w:rPr>
          <w:rFonts w:asciiTheme="minorHAnsi" w:hAnsiTheme="minorHAnsi" w:cstheme="minorHAnsi"/>
          <w:b w:val="0"/>
          <w:bCs w:val="0"/>
          <w:szCs w:val="22"/>
        </w:rPr>
      </w:pPr>
    </w:p>
    <w:p w14:paraId="481362DC" w14:textId="3C6C4EF0" w:rsidR="00F17FF8" w:rsidRPr="00B818D7" w:rsidRDefault="00F17FF8" w:rsidP="00267EF3">
      <w:pPr>
        <w:jc w:val="both"/>
        <w:rPr>
          <w:ins w:id="14" w:author="Stultz, Jake" w:date="2025-07-28T08:59:00Z" w16du:dateUtc="2025-07-28T13:59:00Z"/>
          <w:rFonts w:asciiTheme="minorHAnsi" w:hAnsiTheme="minorHAnsi" w:cstheme="minorHAnsi"/>
          <w:sz w:val="22"/>
          <w:szCs w:val="22"/>
        </w:rPr>
      </w:pPr>
      <w:r w:rsidRPr="00B818D7">
        <w:rPr>
          <w:rFonts w:asciiTheme="minorHAnsi" w:hAnsiTheme="minorHAnsi" w:cstheme="minorHAnsi"/>
          <w:sz w:val="22"/>
          <w:szCs w:val="22"/>
        </w:rPr>
        <w:t>39.</w:t>
      </w:r>
      <w:r w:rsidRPr="00B818D7">
        <w:rPr>
          <w:rFonts w:asciiTheme="minorHAnsi" w:hAnsiTheme="minorHAnsi" w:cstheme="minorHAnsi"/>
          <w:sz w:val="22"/>
          <w:szCs w:val="22"/>
        </w:rPr>
        <w:tab/>
        <w:t>A sale-leaseback transaction that does not qualify for sale-leaseback accounting nor the deposit method shall be accounted for by the financing method. Under this method the seller-lessee shall not derecognize the transferred asset and shall account for any amounts received as a financial liability and the buyer-lessor shall not recognize the transferred asset and shall account for the amounts paid as a receivable.</w:t>
      </w:r>
      <w:r w:rsidR="0003699E" w:rsidRPr="00B818D7">
        <w:rPr>
          <w:rFonts w:asciiTheme="minorHAnsi" w:hAnsiTheme="minorHAnsi" w:cstheme="minorHAnsi"/>
          <w:b/>
          <w:sz w:val="22"/>
          <w:szCs w:val="22"/>
        </w:rPr>
        <w:t xml:space="preserve"> </w:t>
      </w:r>
      <w:ins w:id="15" w:author="Stultz, Jake" w:date="2025-07-28T08:59:00Z" w16du:dateUtc="2025-07-28T13:59:00Z">
        <w:r w:rsidR="00267EF3" w:rsidRPr="00B818D7">
          <w:rPr>
            <w:rFonts w:asciiTheme="minorHAnsi" w:hAnsiTheme="minorHAnsi" w:cstheme="minorHAnsi"/>
            <w:sz w:val="22"/>
            <w:szCs w:val="22"/>
          </w:rPr>
          <w:t xml:space="preserve">A </w:t>
        </w:r>
        <w:r w:rsidR="00267EF3" w:rsidRPr="00B818D7">
          <w:rPr>
            <w:rFonts w:asciiTheme="minorHAnsi" w:hAnsiTheme="minorHAnsi" w:cstheme="minorHAnsi"/>
            <w:dstrike/>
            <w:sz w:val="22"/>
            <w:szCs w:val="22"/>
            <w:highlight w:val="lightGray"/>
          </w:rPr>
          <w:t>sale-leaseback</w:t>
        </w:r>
        <w:r w:rsidR="00267EF3" w:rsidRPr="00B818D7">
          <w:rPr>
            <w:rFonts w:asciiTheme="minorHAnsi" w:hAnsiTheme="minorHAnsi" w:cstheme="minorHAnsi"/>
            <w:sz w:val="22"/>
            <w:szCs w:val="22"/>
          </w:rPr>
          <w:t xml:space="preserve"> transaction where the cash or assets received as part of the sale are subject to restrictions </w:t>
        </w:r>
        <w:r w:rsidR="00267EF3" w:rsidRPr="00B818D7">
          <w:rPr>
            <w:rFonts w:asciiTheme="minorHAnsi" w:hAnsiTheme="minorHAnsi" w:cstheme="minorHAnsi"/>
            <w:sz w:val="22"/>
            <w:szCs w:val="22"/>
            <w:highlight w:val="lightGray"/>
          </w:rPr>
          <w:t>as described in paragraph 34.c.</w:t>
        </w:r>
        <w:r w:rsidR="00267EF3" w:rsidRPr="00B818D7">
          <w:rPr>
            <w:rFonts w:asciiTheme="minorHAnsi" w:hAnsiTheme="minorHAnsi" w:cstheme="minorHAnsi"/>
            <w:sz w:val="22"/>
            <w:szCs w:val="22"/>
          </w:rPr>
          <w:t xml:space="preserve"> would not qualify for sale-leaseback accounting and shall be accounted for using the financing method.</w:t>
        </w:r>
      </w:ins>
    </w:p>
    <w:p w14:paraId="3ECD565A" w14:textId="77777777" w:rsidR="00267EF3" w:rsidRDefault="00267EF3" w:rsidP="00267EF3">
      <w:pPr>
        <w:jc w:val="both"/>
        <w:rPr>
          <w:rFonts w:asciiTheme="minorHAnsi" w:hAnsiTheme="minorHAnsi" w:cstheme="minorHAnsi"/>
          <w:b/>
          <w:sz w:val="20"/>
        </w:rPr>
      </w:pPr>
    </w:p>
    <w:p w14:paraId="6094AE64" w14:textId="77777777" w:rsidR="00B4323C" w:rsidRDefault="00B4323C" w:rsidP="00267EF3">
      <w:pPr>
        <w:jc w:val="both"/>
        <w:rPr>
          <w:rFonts w:asciiTheme="minorHAnsi" w:hAnsiTheme="minorHAnsi" w:cstheme="minorHAnsi"/>
          <w:b/>
          <w:sz w:val="20"/>
        </w:rPr>
      </w:pPr>
    </w:p>
    <w:p w14:paraId="03EC9F5A" w14:textId="77777777" w:rsidR="00B4323C" w:rsidRPr="00D77C54" w:rsidRDefault="00B4323C" w:rsidP="00267EF3">
      <w:pPr>
        <w:jc w:val="both"/>
        <w:rPr>
          <w:rFonts w:asciiTheme="minorHAnsi" w:hAnsiTheme="minorHAnsi" w:cstheme="minorHAnsi"/>
          <w:b/>
          <w:sz w:val="20"/>
        </w:rPr>
      </w:pPr>
    </w:p>
    <w:p w14:paraId="64E1B98A" w14:textId="3BA9335E" w:rsidR="00CF380A" w:rsidRPr="00D77C54" w:rsidRDefault="00CF380A" w:rsidP="00CF380A">
      <w:pPr>
        <w:rPr>
          <w:rFonts w:asciiTheme="minorHAnsi" w:hAnsiTheme="minorHAnsi" w:cstheme="minorHAnsi"/>
          <w:b/>
          <w:bCs/>
          <w:sz w:val="22"/>
          <w:szCs w:val="22"/>
        </w:rPr>
      </w:pPr>
      <w:r w:rsidRPr="00D77C54">
        <w:rPr>
          <w:rFonts w:asciiTheme="minorHAnsi" w:hAnsiTheme="minorHAnsi" w:cstheme="minorHAnsi"/>
          <w:b/>
          <w:bCs/>
          <w:sz w:val="22"/>
          <w:szCs w:val="22"/>
        </w:rPr>
        <w:t>Fall 2025 Updated Staff Recommendation</w:t>
      </w:r>
      <w:r w:rsidR="00B4323C">
        <w:rPr>
          <w:rFonts w:asciiTheme="minorHAnsi" w:hAnsiTheme="minorHAnsi" w:cstheme="minorHAnsi"/>
          <w:b/>
          <w:bCs/>
          <w:sz w:val="22"/>
          <w:szCs w:val="22"/>
        </w:rPr>
        <w:t>:</w:t>
      </w:r>
    </w:p>
    <w:p w14:paraId="641DF8E9" w14:textId="77777777" w:rsidR="00AA75E6" w:rsidRPr="00D77C54" w:rsidRDefault="00AA75E6" w:rsidP="00AA75E6">
      <w:pPr>
        <w:jc w:val="both"/>
        <w:rPr>
          <w:rFonts w:asciiTheme="minorHAnsi" w:hAnsiTheme="minorHAnsi" w:cstheme="minorHAnsi"/>
          <w:sz w:val="22"/>
          <w:szCs w:val="22"/>
        </w:rPr>
      </w:pPr>
      <w:r w:rsidRPr="00D77C54">
        <w:rPr>
          <w:rFonts w:asciiTheme="minorHAnsi" w:hAnsiTheme="minorHAnsi" w:cstheme="minorHAnsi"/>
          <w:sz w:val="22"/>
          <w:szCs w:val="22"/>
        </w:rPr>
        <w:t xml:space="preserve">NAIC staff recommends that the Working Group expose this agenda item, which incorporates </w:t>
      </w:r>
      <w:proofErr w:type="gramStart"/>
      <w:r w:rsidRPr="00D77C54">
        <w:rPr>
          <w:rFonts w:asciiTheme="minorHAnsi" w:hAnsiTheme="minorHAnsi" w:cstheme="minorHAnsi"/>
          <w:sz w:val="22"/>
          <w:szCs w:val="22"/>
        </w:rPr>
        <w:t>some of</w:t>
      </w:r>
      <w:proofErr w:type="gramEnd"/>
      <w:r w:rsidRPr="00D77C54">
        <w:rPr>
          <w:rFonts w:asciiTheme="minorHAnsi" w:hAnsiTheme="minorHAnsi" w:cstheme="minorHAnsi"/>
          <w:sz w:val="22"/>
          <w:szCs w:val="22"/>
        </w:rPr>
        <w:t xml:space="preserve"> the suggested revisions that were provided by NAMIC and APCIA, with additional NAIC staff revisions, as illustrated below. We believe that these revisions provide further clarity to the issue. NAIC staff recommend an effective date of December 31, 2026, for these revisions.</w:t>
      </w:r>
    </w:p>
    <w:p w14:paraId="6CE2E6BF" w14:textId="77777777" w:rsidR="00AA75E6" w:rsidRPr="00D77C54" w:rsidRDefault="00AA75E6" w:rsidP="00AA75E6">
      <w:pPr>
        <w:jc w:val="both"/>
        <w:rPr>
          <w:rFonts w:asciiTheme="minorHAnsi" w:hAnsiTheme="minorHAnsi" w:cstheme="minorHAnsi"/>
          <w:sz w:val="22"/>
          <w:szCs w:val="22"/>
        </w:rPr>
      </w:pPr>
    </w:p>
    <w:p w14:paraId="57BB2100" w14:textId="77777777" w:rsidR="00AA75E6" w:rsidRPr="00D77C54" w:rsidRDefault="00AA75E6" w:rsidP="00AA75E6">
      <w:pPr>
        <w:jc w:val="both"/>
        <w:rPr>
          <w:rFonts w:asciiTheme="minorHAnsi" w:hAnsiTheme="minorHAnsi" w:cstheme="minorHAnsi"/>
          <w:sz w:val="22"/>
          <w:szCs w:val="22"/>
        </w:rPr>
      </w:pPr>
      <w:r w:rsidRPr="00D77C54">
        <w:rPr>
          <w:rFonts w:asciiTheme="minorHAnsi" w:hAnsiTheme="minorHAnsi" w:cstheme="minorHAnsi"/>
          <w:sz w:val="22"/>
          <w:szCs w:val="22"/>
        </w:rPr>
        <w:t xml:space="preserve">NAIC staff notes that there has been an increase of situations that have been identified for transactions that involve “sales-leasebacks” that are coupled with restrictions on the cash received and/or “collateral” requirements to secure the transaction. Comments have been received commingling references to operating lease accounting (which does not require an obligation to be reported for the lease commitment) and the admittance of collateral pledged under SSAP No. 4 and INT 01-31 (which addresses the admittance of assets pledged as collateral, referencing examples including investment, derivative, debt and policyholder transactions where the obligation is recorded). Fundamentally, a lease arrangement that incorporates restricted cash or has collateral requirements, is a financing arrangement, which is more in line with a debt agreement accounted for as a secured borrowing, and requires comparable reporting. Under a lease financing arrangement, the accounting includes the following: </w:t>
      </w:r>
    </w:p>
    <w:p w14:paraId="40EDE154" w14:textId="77777777" w:rsidR="00AA75E6" w:rsidRPr="00D77C54" w:rsidRDefault="00AA75E6" w:rsidP="00AA75E6">
      <w:pPr>
        <w:jc w:val="both"/>
        <w:rPr>
          <w:rFonts w:asciiTheme="minorHAnsi" w:hAnsiTheme="minorHAnsi" w:cstheme="minorHAnsi"/>
          <w:sz w:val="22"/>
          <w:szCs w:val="22"/>
        </w:rPr>
      </w:pPr>
    </w:p>
    <w:p w14:paraId="00EA35AD" w14:textId="77777777" w:rsidR="00AA75E6" w:rsidRPr="00D77C54" w:rsidRDefault="00AA75E6" w:rsidP="00AA75E6">
      <w:pPr>
        <w:ind w:left="720" w:hanging="360"/>
        <w:jc w:val="both"/>
        <w:rPr>
          <w:rFonts w:asciiTheme="minorHAnsi" w:hAnsiTheme="minorHAnsi" w:cstheme="minorHAnsi"/>
          <w:sz w:val="22"/>
          <w:szCs w:val="22"/>
        </w:rPr>
      </w:pPr>
      <w:r w:rsidRPr="00D77C54">
        <w:rPr>
          <w:rFonts w:asciiTheme="minorHAnsi" w:hAnsiTheme="minorHAnsi" w:cstheme="minorHAnsi"/>
          <w:sz w:val="22"/>
          <w:szCs w:val="22"/>
        </w:rPr>
        <w:t>•</w:t>
      </w:r>
      <w:r w:rsidRPr="00D77C54">
        <w:rPr>
          <w:rFonts w:asciiTheme="minorHAnsi" w:hAnsiTheme="minorHAnsi" w:cstheme="minorHAnsi"/>
          <w:sz w:val="22"/>
          <w:szCs w:val="22"/>
        </w:rPr>
        <w:tab/>
        <w:t xml:space="preserve">The “sold” asset under the sales-leaseback is not removed from the financial statements. (If this </w:t>
      </w:r>
      <w:proofErr w:type="gramStart"/>
      <w:r w:rsidRPr="00D77C54">
        <w:rPr>
          <w:rFonts w:asciiTheme="minorHAnsi" w:hAnsiTheme="minorHAnsi" w:cstheme="minorHAnsi"/>
          <w:sz w:val="22"/>
          <w:szCs w:val="22"/>
        </w:rPr>
        <w:t>was</w:t>
      </w:r>
      <w:proofErr w:type="gramEnd"/>
      <w:r w:rsidRPr="00D77C54">
        <w:rPr>
          <w:rFonts w:asciiTheme="minorHAnsi" w:hAnsiTheme="minorHAnsi" w:cstheme="minorHAnsi"/>
          <w:sz w:val="22"/>
          <w:szCs w:val="22"/>
        </w:rPr>
        <w:t xml:space="preserve"> a nonadmitted asset, it would continue to be nonadmitted and impact surplus.) </w:t>
      </w:r>
    </w:p>
    <w:p w14:paraId="3419DF60" w14:textId="77777777" w:rsidR="00AA75E6" w:rsidRPr="00D77C54" w:rsidRDefault="00AA75E6" w:rsidP="00AA75E6">
      <w:pPr>
        <w:ind w:left="720" w:hanging="360"/>
        <w:jc w:val="both"/>
        <w:rPr>
          <w:rFonts w:asciiTheme="minorHAnsi" w:hAnsiTheme="minorHAnsi" w:cstheme="minorHAnsi"/>
          <w:sz w:val="22"/>
          <w:szCs w:val="22"/>
        </w:rPr>
      </w:pPr>
      <w:r w:rsidRPr="00D77C54">
        <w:rPr>
          <w:rFonts w:asciiTheme="minorHAnsi" w:hAnsiTheme="minorHAnsi" w:cstheme="minorHAnsi"/>
          <w:sz w:val="22"/>
          <w:szCs w:val="22"/>
        </w:rPr>
        <w:t>•</w:t>
      </w:r>
      <w:r w:rsidRPr="00D77C54">
        <w:rPr>
          <w:rFonts w:asciiTheme="minorHAnsi" w:hAnsiTheme="minorHAnsi" w:cstheme="minorHAnsi"/>
          <w:sz w:val="22"/>
          <w:szCs w:val="22"/>
        </w:rPr>
        <w:tab/>
        <w:t>The cash received from the “sale” is recognized as an asset.</w:t>
      </w:r>
    </w:p>
    <w:p w14:paraId="5F9B4230" w14:textId="77777777" w:rsidR="00AA75E6" w:rsidRPr="00D77C54" w:rsidRDefault="00AA75E6" w:rsidP="00AA75E6">
      <w:pPr>
        <w:ind w:left="720" w:hanging="360"/>
        <w:jc w:val="both"/>
        <w:rPr>
          <w:rFonts w:asciiTheme="minorHAnsi" w:hAnsiTheme="minorHAnsi" w:cstheme="minorHAnsi"/>
          <w:sz w:val="22"/>
          <w:szCs w:val="22"/>
        </w:rPr>
      </w:pPr>
      <w:r w:rsidRPr="00D77C54">
        <w:rPr>
          <w:rFonts w:asciiTheme="minorHAnsi" w:hAnsiTheme="minorHAnsi" w:cstheme="minorHAnsi"/>
          <w:sz w:val="22"/>
          <w:szCs w:val="22"/>
        </w:rPr>
        <w:t>•</w:t>
      </w:r>
      <w:r w:rsidRPr="00D77C54">
        <w:rPr>
          <w:rFonts w:asciiTheme="minorHAnsi" w:hAnsiTheme="minorHAnsi" w:cstheme="minorHAnsi"/>
          <w:sz w:val="22"/>
          <w:szCs w:val="22"/>
        </w:rPr>
        <w:tab/>
        <w:t xml:space="preserve">A liability to return the cash received is recognized as an obligation. </w:t>
      </w:r>
    </w:p>
    <w:p w14:paraId="62470862" w14:textId="77777777" w:rsidR="00AA75E6" w:rsidRPr="00D77C54" w:rsidRDefault="00AA75E6" w:rsidP="00AA75E6">
      <w:pPr>
        <w:ind w:left="720" w:hanging="360"/>
        <w:jc w:val="both"/>
        <w:rPr>
          <w:rFonts w:asciiTheme="minorHAnsi" w:hAnsiTheme="minorHAnsi" w:cstheme="minorHAnsi"/>
          <w:sz w:val="22"/>
          <w:szCs w:val="22"/>
        </w:rPr>
      </w:pPr>
      <w:r w:rsidRPr="00D77C54">
        <w:rPr>
          <w:rFonts w:asciiTheme="minorHAnsi" w:hAnsiTheme="minorHAnsi" w:cstheme="minorHAnsi"/>
          <w:sz w:val="22"/>
          <w:szCs w:val="22"/>
        </w:rPr>
        <w:t>•</w:t>
      </w:r>
      <w:r w:rsidRPr="00D77C54">
        <w:rPr>
          <w:rFonts w:asciiTheme="minorHAnsi" w:hAnsiTheme="minorHAnsi" w:cstheme="minorHAnsi"/>
          <w:sz w:val="22"/>
          <w:szCs w:val="22"/>
        </w:rPr>
        <w:tab/>
        <w:t xml:space="preserve">Overtime, the “sold” asset retained on the books would continue to be depreciated, reducing the impact of nonadmitted. </w:t>
      </w:r>
    </w:p>
    <w:p w14:paraId="5A199122" w14:textId="77777777" w:rsidR="00AA75E6" w:rsidRPr="00D77C54" w:rsidRDefault="00AA75E6" w:rsidP="00AA75E6">
      <w:pPr>
        <w:ind w:left="720" w:hanging="360"/>
        <w:jc w:val="both"/>
        <w:rPr>
          <w:rFonts w:asciiTheme="minorHAnsi" w:hAnsiTheme="minorHAnsi" w:cstheme="minorHAnsi"/>
          <w:sz w:val="22"/>
          <w:szCs w:val="22"/>
        </w:rPr>
      </w:pPr>
      <w:r w:rsidRPr="00D77C54">
        <w:rPr>
          <w:rFonts w:asciiTheme="minorHAnsi" w:hAnsiTheme="minorHAnsi" w:cstheme="minorHAnsi"/>
          <w:sz w:val="22"/>
          <w:szCs w:val="22"/>
        </w:rPr>
        <w:t>•</w:t>
      </w:r>
      <w:r w:rsidRPr="00D77C54">
        <w:rPr>
          <w:rFonts w:asciiTheme="minorHAnsi" w:hAnsiTheme="minorHAnsi" w:cstheme="minorHAnsi"/>
          <w:sz w:val="22"/>
          <w:szCs w:val="22"/>
        </w:rPr>
        <w:tab/>
        <w:t xml:space="preserve">Amounts paid towards the “lease” would decrease the cash balance and the liability to return the cash received. </w:t>
      </w:r>
    </w:p>
    <w:p w14:paraId="21E1B705" w14:textId="77777777" w:rsidR="00AA75E6" w:rsidRPr="00D77C54" w:rsidRDefault="00AA75E6" w:rsidP="00AA75E6">
      <w:pPr>
        <w:jc w:val="both"/>
        <w:rPr>
          <w:rFonts w:asciiTheme="minorHAnsi" w:hAnsiTheme="minorHAnsi" w:cstheme="minorHAnsi"/>
          <w:sz w:val="22"/>
          <w:szCs w:val="22"/>
        </w:rPr>
      </w:pPr>
    </w:p>
    <w:p w14:paraId="6AE13B6D" w14:textId="77777777" w:rsidR="00AA75E6" w:rsidRPr="00B818D7" w:rsidRDefault="00AA75E6" w:rsidP="00AA75E6">
      <w:pPr>
        <w:jc w:val="both"/>
        <w:rPr>
          <w:rFonts w:asciiTheme="minorHAnsi" w:hAnsiTheme="minorHAnsi" w:cstheme="minorHAnsi"/>
          <w:sz w:val="22"/>
          <w:szCs w:val="22"/>
        </w:rPr>
      </w:pPr>
      <w:r w:rsidRPr="00D77C54">
        <w:rPr>
          <w:rFonts w:asciiTheme="minorHAnsi" w:hAnsiTheme="minorHAnsi" w:cstheme="minorHAnsi"/>
          <w:sz w:val="22"/>
          <w:szCs w:val="22"/>
        </w:rPr>
        <w:t>These discussions have raised questions around the intent of the admissibility guidance for assets pledged as collateral. The examples discussed in INT 01-31 are examples where the collateral secures a liability that has been recognized on the balance sheet. It is questionable whether admissibility is intended to be extended to assets pledged as collateral for off-balance sheet obligations, as is the case for an operating lease. If an insolvency were to occur during the term of the encumbrance, those assets would not be available to pay policyholders. Admitting such assets is counter to the principles underlying statutory accounting as described in the Statement of Concepts which states, “assets which are unavailable due to encumbrances or other third-party interests should not be recognized on the balance sheet.” Whereas admittance of collateral assets securing a recognized liability appropriately reflects the net assets available to pay policyholders, admittance of collateral encumbered by an off-balance sheet obligation does not. It is the view of NAIC Staff that such arrangements were not intended to be admissible under SSAP No. 4 and INT 01-31. While this agenda item addresses the issue as it relates to sale-leaseback transactions, the Working Group may want to consider clarifications to INT 01-31 to address other types of off-balance sheet obligations.</w:t>
      </w:r>
    </w:p>
    <w:p w14:paraId="2BEBF6D6" w14:textId="77777777" w:rsidR="00647DF2" w:rsidRPr="00B818D7" w:rsidRDefault="00647DF2" w:rsidP="00AA75E6">
      <w:pPr>
        <w:jc w:val="both"/>
        <w:rPr>
          <w:rFonts w:asciiTheme="minorHAnsi" w:hAnsiTheme="minorHAnsi" w:cstheme="minorHAnsi"/>
          <w:sz w:val="22"/>
          <w:szCs w:val="22"/>
        </w:rPr>
      </w:pPr>
    </w:p>
    <w:p w14:paraId="7DC404D7" w14:textId="77777777" w:rsidR="00647DF2" w:rsidRPr="00B818D7" w:rsidRDefault="00647DF2" w:rsidP="00647DF2">
      <w:pPr>
        <w:jc w:val="both"/>
        <w:rPr>
          <w:rFonts w:asciiTheme="minorHAnsi" w:hAnsiTheme="minorHAnsi" w:cstheme="minorHAnsi"/>
          <w:sz w:val="22"/>
          <w:szCs w:val="22"/>
        </w:rPr>
      </w:pPr>
      <w:r w:rsidRPr="00B818D7">
        <w:rPr>
          <w:rFonts w:asciiTheme="minorHAnsi" w:hAnsiTheme="minorHAnsi" w:cstheme="minorHAnsi"/>
          <w:sz w:val="22"/>
          <w:szCs w:val="22"/>
        </w:rPr>
        <w:t>Gray highlights below denote new language added or removed from the prior exposed language.</w:t>
      </w:r>
    </w:p>
    <w:p w14:paraId="126F3A18" w14:textId="77777777" w:rsidR="00AA75E6" w:rsidRPr="00B818D7" w:rsidRDefault="00AA75E6" w:rsidP="00AA75E6">
      <w:pPr>
        <w:jc w:val="both"/>
        <w:rPr>
          <w:rFonts w:asciiTheme="minorHAnsi" w:hAnsiTheme="minorHAnsi" w:cstheme="minorHAnsi"/>
          <w:sz w:val="22"/>
          <w:szCs w:val="22"/>
        </w:rPr>
      </w:pPr>
    </w:p>
    <w:p w14:paraId="220AAC20" w14:textId="579E0D7E" w:rsidR="00CF380A" w:rsidRPr="00B818D7" w:rsidRDefault="00647DF2" w:rsidP="00AA75E6">
      <w:pPr>
        <w:jc w:val="both"/>
        <w:rPr>
          <w:rFonts w:asciiTheme="minorHAnsi" w:hAnsiTheme="minorHAnsi" w:cstheme="minorHAnsi"/>
          <w:sz w:val="22"/>
          <w:szCs w:val="22"/>
        </w:rPr>
      </w:pPr>
      <w:r w:rsidRPr="00B818D7">
        <w:rPr>
          <w:rFonts w:asciiTheme="minorHAnsi" w:hAnsiTheme="minorHAnsi" w:cstheme="minorHAnsi"/>
          <w:sz w:val="22"/>
          <w:szCs w:val="22"/>
        </w:rPr>
        <w:t>33.</w:t>
      </w:r>
      <w:r w:rsidRPr="00B818D7">
        <w:rPr>
          <w:rFonts w:asciiTheme="minorHAnsi" w:hAnsiTheme="minorHAnsi" w:cstheme="minorHAnsi"/>
          <w:sz w:val="22"/>
          <w:szCs w:val="22"/>
        </w:rPr>
        <w:tab/>
      </w:r>
      <w:r w:rsidR="00CF380A" w:rsidRPr="00B818D7">
        <w:rPr>
          <w:rFonts w:asciiTheme="minorHAnsi" w:hAnsiTheme="minorHAnsi" w:cstheme="minorHAnsi"/>
          <w:sz w:val="22"/>
          <w:szCs w:val="22"/>
        </w:rPr>
        <w:t xml:space="preserve">Sale-leaseback accounting shall be used by a seller-lessee only if a sale-leaseback transaction includes </w:t>
      </w:r>
      <w:proofErr w:type="gramStart"/>
      <w:r w:rsidR="00CF380A" w:rsidRPr="00B818D7">
        <w:rPr>
          <w:rFonts w:asciiTheme="minorHAnsi" w:hAnsiTheme="minorHAnsi" w:cstheme="minorHAnsi"/>
          <w:sz w:val="22"/>
          <w:szCs w:val="22"/>
        </w:rPr>
        <w:t>all of</w:t>
      </w:r>
      <w:proofErr w:type="gramEnd"/>
      <w:r w:rsidR="00CF380A" w:rsidRPr="00B818D7">
        <w:rPr>
          <w:rFonts w:asciiTheme="minorHAnsi" w:hAnsiTheme="minorHAnsi" w:cstheme="minorHAnsi"/>
          <w:sz w:val="22"/>
          <w:szCs w:val="22"/>
        </w:rPr>
        <w:t xml:space="preserve"> the following:</w:t>
      </w:r>
    </w:p>
    <w:p w14:paraId="59CAF4F2" w14:textId="77777777" w:rsidR="00647DF2" w:rsidRPr="00B818D7" w:rsidRDefault="00647DF2" w:rsidP="00AA75E6">
      <w:pPr>
        <w:jc w:val="both"/>
        <w:rPr>
          <w:rFonts w:asciiTheme="minorHAnsi" w:hAnsiTheme="minorHAnsi" w:cstheme="minorHAnsi"/>
          <w:sz w:val="22"/>
          <w:szCs w:val="22"/>
        </w:rPr>
      </w:pPr>
    </w:p>
    <w:p w14:paraId="0E7A1122" w14:textId="77777777" w:rsidR="00CF380A" w:rsidRPr="00B818D7" w:rsidRDefault="00CF380A" w:rsidP="00CF380A">
      <w:pPr>
        <w:spacing w:after="220"/>
        <w:ind w:left="1440" w:hanging="720"/>
        <w:jc w:val="both"/>
        <w:rPr>
          <w:rFonts w:asciiTheme="minorHAnsi" w:hAnsiTheme="minorHAnsi" w:cstheme="minorHAnsi"/>
          <w:sz w:val="22"/>
          <w:szCs w:val="22"/>
        </w:rPr>
      </w:pPr>
      <w:r w:rsidRPr="00B818D7">
        <w:rPr>
          <w:rFonts w:asciiTheme="minorHAnsi" w:hAnsiTheme="minorHAnsi" w:cstheme="minorHAnsi"/>
          <w:sz w:val="22"/>
          <w:szCs w:val="22"/>
        </w:rPr>
        <w:t>a.</w:t>
      </w:r>
      <w:r w:rsidRPr="00B818D7">
        <w:rPr>
          <w:rFonts w:asciiTheme="minorHAnsi" w:hAnsiTheme="minorHAnsi" w:cstheme="minorHAnsi"/>
          <w:sz w:val="22"/>
          <w:szCs w:val="22"/>
        </w:rPr>
        <w:tab/>
        <w:t xml:space="preserve">A normal leaseback is a lessee-lessor relationship that involves active use of the property by the seller-lessee in consideration for payment of rent, including contingent rentals that are based on future operations of the seller-lessee. The phrase active use of the property by the seller-lessee </w:t>
      </w:r>
      <w:r w:rsidRPr="00B818D7">
        <w:rPr>
          <w:rFonts w:asciiTheme="minorHAnsi" w:hAnsiTheme="minorHAnsi" w:cstheme="minorHAnsi"/>
          <w:sz w:val="22"/>
          <w:szCs w:val="22"/>
        </w:rPr>
        <w:lastRenderedPageBreak/>
        <w:t xml:space="preserve">refers to use of the property during the lease term in the seller-lessee’s trade or business, </w:t>
      </w:r>
      <w:proofErr w:type="gramStart"/>
      <w:r w:rsidRPr="00B818D7">
        <w:rPr>
          <w:rFonts w:asciiTheme="minorHAnsi" w:hAnsiTheme="minorHAnsi" w:cstheme="minorHAnsi"/>
          <w:sz w:val="22"/>
          <w:szCs w:val="22"/>
        </w:rPr>
        <w:t>provided that</w:t>
      </w:r>
      <w:proofErr w:type="gramEnd"/>
      <w:r w:rsidRPr="00B818D7">
        <w:rPr>
          <w:rFonts w:asciiTheme="minorHAnsi" w:hAnsiTheme="minorHAnsi" w:cstheme="minorHAnsi"/>
          <w:sz w:val="22"/>
          <w:szCs w:val="22"/>
        </w:rPr>
        <w:t xml:space="preserve"> subleasing of the leased property is minor.</w:t>
      </w:r>
    </w:p>
    <w:p w14:paraId="7BF00018" w14:textId="77777777" w:rsidR="00CF380A" w:rsidRPr="00B818D7" w:rsidRDefault="00CF380A" w:rsidP="00CF380A">
      <w:pPr>
        <w:spacing w:after="220"/>
        <w:ind w:left="1440" w:hanging="720"/>
        <w:jc w:val="both"/>
        <w:rPr>
          <w:rFonts w:asciiTheme="minorHAnsi" w:hAnsiTheme="minorHAnsi" w:cstheme="minorHAnsi"/>
          <w:sz w:val="22"/>
          <w:szCs w:val="22"/>
        </w:rPr>
      </w:pPr>
      <w:r w:rsidRPr="00B818D7">
        <w:rPr>
          <w:rFonts w:asciiTheme="minorHAnsi" w:hAnsiTheme="minorHAnsi" w:cstheme="minorHAnsi"/>
          <w:sz w:val="22"/>
          <w:szCs w:val="22"/>
        </w:rPr>
        <w:t>b.</w:t>
      </w:r>
      <w:r w:rsidRPr="00B818D7">
        <w:rPr>
          <w:rFonts w:asciiTheme="minorHAnsi" w:hAnsiTheme="minorHAnsi" w:cstheme="minorHAnsi"/>
          <w:sz w:val="22"/>
          <w:szCs w:val="22"/>
        </w:rPr>
        <w:tab/>
        <w:t>Admitted assets, if the buyer-lessor is a related party, or either admitted or nonadmitted assets if the buyer-lessor is not a related party. For purposes of this paragraph, related parties include those identified in SSAP No. 25 and entities created for the purpose of buying and leasing nonadmitted assets for the reporting entity and/or its affiliates.</w:t>
      </w:r>
    </w:p>
    <w:p w14:paraId="41408225" w14:textId="34C75F9B" w:rsidR="00CF380A" w:rsidRPr="00B818D7" w:rsidDel="001E3199" w:rsidRDefault="00CF380A" w:rsidP="00CF380A">
      <w:pPr>
        <w:spacing w:after="220"/>
        <w:ind w:left="1440" w:hanging="720"/>
        <w:jc w:val="both"/>
        <w:rPr>
          <w:del w:id="16" w:author="Stultz, Jake" w:date="2025-07-28T08:59:00Z" w16du:dateUtc="2025-07-28T13:59:00Z"/>
          <w:rFonts w:asciiTheme="minorHAnsi" w:hAnsiTheme="minorHAnsi" w:cstheme="minorHAnsi"/>
          <w:sz w:val="22"/>
          <w:szCs w:val="22"/>
        </w:rPr>
      </w:pPr>
      <w:ins w:id="17" w:author="Stultz, Jake" w:date="2025-02-26T12:17:00Z" w16du:dateUtc="2025-02-26T18:17:00Z">
        <w:r w:rsidRPr="00B818D7">
          <w:rPr>
            <w:rFonts w:asciiTheme="minorHAnsi" w:hAnsiTheme="minorHAnsi" w:cstheme="minorHAnsi"/>
            <w:sz w:val="22"/>
            <w:szCs w:val="22"/>
          </w:rPr>
          <w:t>c.</w:t>
        </w:r>
        <w:r w:rsidRPr="00B818D7">
          <w:rPr>
            <w:rFonts w:asciiTheme="minorHAnsi" w:hAnsiTheme="minorHAnsi" w:cstheme="minorHAnsi"/>
            <w:sz w:val="22"/>
            <w:szCs w:val="22"/>
          </w:rPr>
          <w:tab/>
        </w:r>
      </w:ins>
      <w:ins w:id="18" w:author="Stultz, Jake" w:date="2025-07-28T08:59:00Z" w16du:dateUtc="2025-07-28T13:59:00Z">
        <w:r w:rsidRPr="00B818D7">
          <w:rPr>
            <w:rFonts w:asciiTheme="minorHAnsi" w:hAnsiTheme="minorHAnsi" w:cstheme="minorHAnsi"/>
            <w:sz w:val="22"/>
            <w:szCs w:val="22"/>
          </w:rPr>
          <w:t>When cash or assets received by the seller</w:t>
        </w:r>
      </w:ins>
      <w:ins w:id="19" w:author="Stultz, Jake 1" w:date="2025-11-20T08:10:00Z" w16du:dateUtc="2025-11-20T14:10:00Z">
        <w:r w:rsidR="00C83319" w:rsidRPr="00B818D7">
          <w:rPr>
            <w:rFonts w:asciiTheme="minorHAnsi" w:hAnsiTheme="minorHAnsi" w:cstheme="minorHAnsi"/>
            <w:sz w:val="22"/>
            <w:szCs w:val="22"/>
          </w:rPr>
          <w:t xml:space="preserve"> </w:t>
        </w:r>
        <w:r w:rsidR="00C83319" w:rsidRPr="00B818D7">
          <w:rPr>
            <w:rFonts w:asciiTheme="minorHAnsi" w:hAnsiTheme="minorHAnsi" w:cstheme="minorHAnsi"/>
            <w:sz w:val="22"/>
            <w:szCs w:val="22"/>
            <w:highlight w:val="lightGray"/>
          </w:rPr>
          <w:t>are effectively restricted (in whole or in part) from being accessed or used to satisfy policyholder obligations</w:t>
        </w:r>
      </w:ins>
      <w:ins w:id="20" w:author="Stultz, Jake 1" w:date="2025-11-20T08:12:00Z" w16du:dateUtc="2025-11-20T14:12:00Z">
        <w:r w:rsidR="000C700D" w:rsidRPr="00B818D7">
          <w:rPr>
            <w:rFonts w:asciiTheme="minorHAnsi" w:hAnsiTheme="minorHAnsi" w:cstheme="minorHAnsi"/>
            <w:sz w:val="22"/>
            <w:szCs w:val="22"/>
            <w:highlight w:val="lightGray"/>
          </w:rPr>
          <w:t xml:space="preserve"> until the repayment of the lease and/or such</w:t>
        </w:r>
      </w:ins>
      <w:ins w:id="21" w:author="Stultz, Jake 1" w:date="2025-11-20T08:13:00Z" w16du:dateUtc="2025-11-20T14:13:00Z">
        <w:r w:rsidR="00CE2F5D" w:rsidRPr="00B818D7">
          <w:rPr>
            <w:rFonts w:asciiTheme="minorHAnsi" w:hAnsiTheme="minorHAnsi" w:cstheme="minorHAnsi"/>
            <w:sz w:val="22"/>
            <w:szCs w:val="22"/>
            <w:highlight w:val="lightGray"/>
          </w:rPr>
          <w:t xml:space="preserve"> cash or assets (or other assets pledged to the lender under the terms of the agreement) would be forfeited to the lessor/lender (in whole or in part) if the seller terminates the contact</w:t>
        </w:r>
        <w:r w:rsidR="007D569C" w:rsidRPr="00B818D7">
          <w:rPr>
            <w:rFonts w:asciiTheme="minorHAnsi" w:hAnsiTheme="minorHAnsi" w:cstheme="minorHAnsi"/>
            <w:sz w:val="22"/>
            <w:szCs w:val="22"/>
            <w:highlight w:val="lightGray"/>
          </w:rPr>
          <w:t>, then</w:t>
        </w:r>
      </w:ins>
      <w:ins w:id="22" w:author="Stultz, Jake" w:date="2025-07-28T08:59:00Z" w16du:dateUtc="2025-07-28T13:59:00Z">
        <w:r w:rsidRPr="00B818D7">
          <w:rPr>
            <w:rFonts w:asciiTheme="minorHAnsi" w:hAnsiTheme="minorHAnsi" w:cstheme="minorHAnsi"/>
            <w:sz w:val="22"/>
            <w:szCs w:val="22"/>
          </w:rPr>
          <w:t xml:space="preserve"> </w:t>
        </w:r>
        <w:del w:id="23" w:author="Stultz, Jake 1" w:date="2025-11-20T08:13:00Z" w16du:dateUtc="2025-11-20T14:13:00Z">
          <w:r w:rsidRPr="00B818D7" w:rsidDel="007D569C">
            <w:rPr>
              <w:rFonts w:asciiTheme="minorHAnsi" w:hAnsiTheme="minorHAnsi" w:cstheme="minorHAnsi"/>
              <w:sz w:val="22"/>
              <w:szCs w:val="22"/>
              <w:highlight w:val="lightGray"/>
            </w:rPr>
            <w:delText xml:space="preserve">have restrictions as to the use of the cash or sale of the assets, the cash and assets received are not considered available to meet policyholder obligations and are nonadmitted in accordance with </w:delText>
          </w:r>
          <w:r w:rsidRPr="00B818D7" w:rsidDel="007D569C">
            <w:rPr>
              <w:rFonts w:asciiTheme="minorHAnsi" w:hAnsiTheme="minorHAnsi" w:cstheme="minorHAnsi"/>
              <w:i/>
              <w:sz w:val="22"/>
              <w:szCs w:val="22"/>
              <w:highlight w:val="lightGray"/>
            </w:rPr>
            <w:delText>SSAP No. 4—Assets and Nonadmitted Assets</w:delText>
          </w:r>
          <w:r w:rsidRPr="00B818D7" w:rsidDel="007D569C">
            <w:rPr>
              <w:rFonts w:asciiTheme="minorHAnsi" w:hAnsiTheme="minorHAnsi" w:cstheme="minorHAnsi"/>
              <w:sz w:val="22"/>
              <w:szCs w:val="22"/>
              <w:highlight w:val="lightGray"/>
            </w:rPr>
            <w:delText>. S</w:delText>
          </w:r>
        </w:del>
      </w:ins>
      <w:ins w:id="24" w:author="Stultz, Jake 1" w:date="2025-11-20T08:14:00Z" w16du:dateUtc="2025-11-20T14:14:00Z">
        <w:r w:rsidR="007D569C" w:rsidRPr="00B818D7">
          <w:rPr>
            <w:rFonts w:asciiTheme="minorHAnsi" w:hAnsiTheme="minorHAnsi" w:cstheme="minorHAnsi"/>
            <w:sz w:val="22"/>
            <w:szCs w:val="22"/>
          </w:rPr>
          <w:t>s</w:t>
        </w:r>
      </w:ins>
      <w:ins w:id="25" w:author="Stultz, Jake" w:date="2025-07-28T08:59:00Z" w16du:dateUtc="2025-07-28T13:59:00Z">
        <w:r w:rsidRPr="00B818D7">
          <w:rPr>
            <w:rFonts w:asciiTheme="minorHAnsi" w:hAnsiTheme="minorHAnsi" w:cstheme="minorHAnsi"/>
            <w:sz w:val="22"/>
            <w:szCs w:val="22"/>
          </w:rPr>
          <w:t xml:space="preserve">uch transactions </w:t>
        </w:r>
        <w:r w:rsidRPr="00B818D7">
          <w:rPr>
            <w:rFonts w:asciiTheme="minorHAnsi" w:hAnsiTheme="minorHAnsi" w:cstheme="minorHAnsi"/>
            <w:dstrike/>
            <w:sz w:val="22"/>
            <w:szCs w:val="22"/>
          </w:rPr>
          <w:t>A sale where the cash received by the seller has access restrictions does</w:t>
        </w:r>
        <w:r w:rsidRPr="00B818D7">
          <w:rPr>
            <w:rFonts w:asciiTheme="minorHAnsi" w:hAnsiTheme="minorHAnsi" w:cstheme="minorHAnsi"/>
            <w:sz w:val="22"/>
            <w:szCs w:val="22"/>
          </w:rPr>
          <w:t xml:space="preserve"> do not meet the definition of a sale for sale</w:t>
        </w:r>
      </w:ins>
      <w:ins w:id="26" w:author="Jacks, Wendy" w:date="2025-08-15T07:22:00Z" w16du:dateUtc="2025-08-15T12:22:00Z">
        <w:r w:rsidRPr="00B818D7">
          <w:rPr>
            <w:rFonts w:asciiTheme="minorHAnsi" w:hAnsiTheme="minorHAnsi" w:cstheme="minorHAnsi"/>
            <w:sz w:val="22"/>
            <w:szCs w:val="22"/>
          </w:rPr>
          <w:t>-</w:t>
        </w:r>
      </w:ins>
      <w:ins w:id="27" w:author="Stultz, Jake" w:date="2025-07-28T08:59:00Z" w16du:dateUtc="2025-07-28T13:59:00Z">
        <w:r w:rsidRPr="00B818D7">
          <w:rPr>
            <w:rFonts w:asciiTheme="minorHAnsi" w:hAnsiTheme="minorHAnsi" w:cstheme="minorHAnsi"/>
            <w:sz w:val="22"/>
            <w:szCs w:val="22"/>
          </w:rPr>
          <w:t>leaseback accounting and shall be recorded as a financing arrangement as described in paragraph 39.</w:t>
        </w:r>
      </w:ins>
    </w:p>
    <w:p w14:paraId="02EBFB49" w14:textId="77777777" w:rsidR="00CF380A" w:rsidRPr="00B818D7" w:rsidRDefault="00CF380A" w:rsidP="00CF380A">
      <w:pPr>
        <w:jc w:val="both"/>
        <w:rPr>
          <w:ins w:id="28" w:author="Stultz, Jake" w:date="2025-07-28T08:59:00Z" w16du:dateUtc="2025-07-28T13:59:00Z"/>
          <w:rFonts w:asciiTheme="minorHAnsi" w:hAnsiTheme="minorHAnsi" w:cstheme="minorHAnsi"/>
          <w:sz w:val="22"/>
          <w:szCs w:val="22"/>
        </w:rPr>
      </w:pPr>
      <w:r w:rsidRPr="00B818D7">
        <w:rPr>
          <w:rFonts w:asciiTheme="minorHAnsi" w:hAnsiTheme="minorHAnsi" w:cstheme="minorHAnsi"/>
          <w:sz w:val="22"/>
          <w:szCs w:val="22"/>
        </w:rPr>
        <w:t>39.</w:t>
      </w:r>
      <w:r w:rsidRPr="00B818D7">
        <w:rPr>
          <w:rFonts w:asciiTheme="minorHAnsi" w:hAnsiTheme="minorHAnsi" w:cstheme="minorHAnsi"/>
          <w:sz w:val="22"/>
          <w:szCs w:val="22"/>
        </w:rPr>
        <w:tab/>
        <w:t>A sale-leaseback transaction that does not qualify for sale-leaseback accounting nor the deposit method shall be accounted for by the financing method. Under this method the seller-lessee shall not derecognize the transferred asset and shall account for any amounts received as a financial liability and the buyer-lessor shall not recognize the transferred asset and shall account for the amounts paid as a receivable.</w:t>
      </w:r>
      <w:r w:rsidRPr="00B818D7">
        <w:rPr>
          <w:rFonts w:asciiTheme="minorHAnsi" w:hAnsiTheme="minorHAnsi" w:cstheme="minorHAnsi"/>
          <w:b/>
          <w:sz w:val="22"/>
          <w:szCs w:val="22"/>
        </w:rPr>
        <w:t xml:space="preserve"> </w:t>
      </w:r>
      <w:ins w:id="29" w:author="Stultz, Jake" w:date="2025-07-28T08:59:00Z" w16du:dateUtc="2025-07-28T13:59:00Z">
        <w:r w:rsidRPr="00B818D7">
          <w:rPr>
            <w:rFonts w:asciiTheme="minorHAnsi" w:hAnsiTheme="minorHAnsi" w:cstheme="minorHAnsi"/>
            <w:sz w:val="22"/>
            <w:szCs w:val="22"/>
          </w:rPr>
          <w:t xml:space="preserve">A </w:t>
        </w:r>
        <w:r w:rsidRPr="00B818D7">
          <w:rPr>
            <w:rFonts w:asciiTheme="minorHAnsi" w:hAnsiTheme="minorHAnsi" w:cstheme="minorHAnsi"/>
            <w:dstrike/>
            <w:sz w:val="22"/>
            <w:szCs w:val="22"/>
          </w:rPr>
          <w:t>sale-leaseback</w:t>
        </w:r>
        <w:r w:rsidRPr="00B818D7">
          <w:rPr>
            <w:rFonts w:asciiTheme="minorHAnsi" w:hAnsiTheme="minorHAnsi" w:cstheme="minorHAnsi"/>
            <w:sz w:val="22"/>
            <w:szCs w:val="22"/>
          </w:rPr>
          <w:t xml:space="preserve"> transaction where the cash or assets received as part of the sale are subject to restrictions as described in paragraph 34.c. would not qualify for sale-leaseback accounting and shall be accounted for using the financing method.</w:t>
        </w:r>
      </w:ins>
    </w:p>
    <w:p w14:paraId="33864949" w14:textId="77777777" w:rsidR="005B2A2E" w:rsidRPr="00B818D7" w:rsidRDefault="005B2A2E" w:rsidP="000579B6">
      <w:pPr>
        <w:rPr>
          <w:rFonts w:asciiTheme="minorHAnsi" w:hAnsiTheme="minorHAnsi" w:cstheme="minorHAnsi"/>
          <w:sz w:val="22"/>
          <w:szCs w:val="22"/>
        </w:rPr>
      </w:pPr>
    </w:p>
    <w:p w14:paraId="7B191FF3" w14:textId="77777777" w:rsidR="00AB78C4" w:rsidRPr="00B818D7" w:rsidRDefault="00AB78C4" w:rsidP="00AB78C4">
      <w:pPr>
        <w:rPr>
          <w:rFonts w:asciiTheme="minorHAnsi" w:hAnsiTheme="minorHAnsi" w:cstheme="minorHAnsi"/>
          <w:b/>
          <w:sz w:val="22"/>
          <w:szCs w:val="22"/>
        </w:rPr>
      </w:pPr>
      <w:r w:rsidRPr="00B818D7">
        <w:rPr>
          <w:rFonts w:asciiTheme="minorHAnsi" w:hAnsiTheme="minorHAnsi" w:cstheme="minorHAnsi"/>
          <w:b/>
          <w:sz w:val="22"/>
          <w:szCs w:val="22"/>
        </w:rPr>
        <w:t>Effective Date and Transition</w:t>
      </w:r>
    </w:p>
    <w:p w14:paraId="0DEBA59E" w14:textId="77777777" w:rsidR="00AB78C4" w:rsidRPr="00B818D7" w:rsidRDefault="00AB78C4" w:rsidP="00AB78C4">
      <w:pPr>
        <w:rPr>
          <w:rFonts w:asciiTheme="minorHAnsi" w:hAnsiTheme="minorHAnsi" w:cstheme="minorHAnsi"/>
          <w:b/>
          <w:sz w:val="22"/>
          <w:szCs w:val="22"/>
        </w:rPr>
      </w:pPr>
    </w:p>
    <w:p w14:paraId="243D4716" w14:textId="372FCED6" w:rsidR="00AB78C4" w:rsidRPr="00B818D7" w:rsidRDefault="00AB78C4" w:rsidP="00AB78C4">
      <w:pPr>
        <w:jc w:val="both"/>
        <w:rPr>
          <w:rFonts w:asciiTheme="minorHAnsi" w:hAnsiTheme="minorHAnsi" w:cstheme="minorHAnsi"/>
          <w:sz w:val="22"/>
          <w:szCs w:val="22"/>
        </w:rPr>
      </w:pPr>
      <w:r w:rsidRPr="00B818D7">
        <w:rPr>
          <w:rFonts w:asciiTheme="minorHAnsi" w:hAnsiTheme="minorHAnsi" w:cstheme="minorHAnsi"/>
          <w:sz w:val="22"/>
          <w:szCs w:val="22"/>
        </w:rPr>
        <w:t>54.</w:t>
      </w:r>
      <w:r w:rsidRPr="00B818D7">
        <w:rPr>
          <w:rFonts w:asciiTheme="minorHAnsi" w:hAnsiTheme="minorHAnsi" w:cstheme="minorHAnsi"/>
          <w:sz w:val="22"/>
          <w:szCs w:val="22"/>
        </w:rPr>
        <w:tab/>
        <w:t xml:space="preserve">This statement is effective for years beginning January 1, 2001. The conceptual revisions documented in </w:t>
      </w:r>
      <w:r w:rsidRPr="00B818D7">
        <w:rPr>
          <w:rFonts w:asciiTheme="minorHAnsi" w:hAnsiTheme="minorHAnsi" w:cstheme="minorHAnsi"/>
          <w:i/>
          <w:sz w:val="22"/>
          <w:szCs w:val="22"/>
        </w:rPr>
        <w:t>Issue Paper No. 161—Leases</w:t>
      </w:r>
      <w:r w:rsidRPr="00B818D7">
        <w:rPr>
          <w:rFonts w:asciiTheme="minorHAnsi" w:hAnsiTheme="minorHAnsi" w:cstheme="minorHAnsi"/>
          <w:sz w:val="22"/>
          <w:szCs w:val="22"/>
        </w:rPr>
        <w:t xml:space="preserve"> are effective for all new leases </w:t>
      </w:r>
      <w:proofErr w:type="gramStart"/>
      <w:r w:rsidRPr="00B818D7">
        <w:rPr>
          <w:rFonts w:asciiTheme="minorHAnsi" w:hAnsiTheme="minorHAnsi" w:cstheme="minorHAnsi"/>
          <w:sz w:val="22"/>
          <w:szCs w:val="22"/>
        </w:rPr>
        <w:t>entered into</w:t>
      </w:r>
      <w:proofErr w:type="gramEnd"/>
      <w:r w:rsidRPr="00B818D7">
        <w:rPr>
          <w:rFonts w:asciiTheme="minorHAnsi" w:hAnsiTheme="minorHAnsi" w:cstheme="minorHAnsi"/>
          <w:sz w:val="22"/>
          <w:szCs w:val="22"/>
        </w:rPr>
        <w:t xml:space="preserve">, and for existing leases reassessed due to a change in terms and conditions under paragraph 11, on or after January 1, 2020. Earlier adoption is permitted. The guidance in paragraph 34 regarding commercial airplanes was originally contained within </w:t>
      </w:r>
      <w:r w:rsidRPr="00B818D7">
        <w:rPr>
          <w:rFonts w:asciiTheme="minorHAnsi" w:hAnsiTheme="minorHAnsi" w:cstheme="minorHAnsi"/>
          <w:i/>
          <w:sz w:val="22"/>
          <w:szCs w:val="22"/>
        </w:rPr>
        <w:t>INT 00-02: Accounting for Leveraged Leases Involving Commercial Airplanes Under SSAP No. 22—Leases</w:t>
      </w:r>
      <w:r w:rsidRPr="00B818D7">
        <w:rPr>
          <w:rFonts w:asciiTheme="minorHAnsi" w:hAnsiTheme="minorHAnsi" w:cstheme="minorHAnsi"/>
          <w:sz w:val="22"/>
          <w:szCs w:val="22"/>
        </w:rPr>
        <w:t xml:space="preserve"> and was effective March 13, 2000. The guidance in paragraph 5 was originally contained within </w:t>
      </w:r>
      <w:r w:rsidRPr="00B818D7">
        <w:rPr>
          <w:rFonts w:asciiTheme="minorHAnsi" w:hAnsiTheme="minorHAnsi" w:cstheme="minorHAnsi"/>
          <w:i/>
          <w:sz w:val="22"/>
          <w:szCs w:val="22"/>
        </w:rPr>
        <w:t>INT 04-20: EITF 01-8: Determining Whether an Arrangement Contains a Lease</w:t>
      </w:r>
      <w:r w:rsidRPr="00B818D7">
        <w:rPr>
          <w:rFonts w:asciiTheme="minorHAnsi" w:hAnsiTheme="minorHAnsi" w:cstheme="minorHAnsi"/>
          <w:sz w:val="22"/>
          <w:szCs w:val="22"/>
        </w:rPr>
        <w:t xml:space="preserve"> and was effective March 13, 2005. Guidance in paragraph 27 related to maintenance costs incurred by lessee was previously included within </w:t>
      </w:r>
      <w:r w:rsidRPr="00B818D7">
        <w:rPr>
          <w:rFonts w:asciiTheme="minorHAnsi" w:hAnsiTheme="minorHAnsi" w:cstheme="minorHAnsi"/>
          <w:i/>
          <w:sz w:val="22"/>
          <w:szCs w:val="22"/>
        </w:rPr>
        <w:t>INT 09-05: EITF 08-3: Accounting by Lessees for Maintenance Deposits</w:t>
      </w:r>
      <w:r w:rsidRPr="00B818D7">
        <w:rPr>
          <w:rFonts w:asciiTheme="minorHAnsi" w:hAnsiTheme="minorHAnsi" w:cstheme="minorHAnsi"/>
          <w:sz w:val="22"/>
          <w:szCs w:val="22"/>
        </w:rPr>
        <w:t xml:space="preserve"> and was effective for periods beginning September 21, 2009. The guidance in paragraphs 17 and 18 was originally contained within </w:t>
      </w:r>
      <w:r w:rsidRPr="00B818D7">
        <w:rPr>
          <w:rFonts w:asciiTheme="minorHAnsi" w:hAnsiTheme="minorHAnsi" w:cstheme="minorHAnsi"/>
          <w:i/>
          <w:sz w:val="22"/>
          <w:szCs w:val="22"/>
        </w:rPr>
        <w:t>INT 00-27: EITF 98-9: Accounting for Contingent Rent</w:t>
      </w:r>
      <w:r w:rsidRPr="00B818D7">
        <w:rPr>
          <w:rFonts w:asciiTheme="minorHAnsi" w:hAnsiTheme="minorHAnsi" w:cstheme="minorHAnsi"/>
          <w:sz w:val="22"/>
          <w:szCs w:val="22"/>
        </w:rPr>
        <w:t xml:space="preserve"> and was effective September 11, 2000. </w:t>
      </w:r>
      <w:ins w:id="30" w:author="Stultz, Jake" w:date="2025-11-10T14:15:00Z" w16du:dateUtc="2025-11-10T20:15:00Z">
        <w:r w:rsidRPr="00B818D7">
          <w:rPr>
            <w:rFonts w:asciiTheme="minorHAnsi" w:hAnsiTheme="minorHAnsi" w:cstheme="minorHAnsi"/>
            <w:sz w:val="22"/>
            <w:szCs w:val="22"/>
            <w:highlight w:val="lightGray"/>
          </w:rPr>
          <w:t xml:space="preserve">The guidance in paragraphs 33 and 39, clarifying the statutory accounting treatment for sale-leaseback transactions that do not qualify for sale-leaseback accounting and therefore must apply the financing method, applies to contracts in effect on or after </w:t>
        </w:r>
      </w:ins>
      <w:ins w:id="31" w:author="Stultz, Jake 1" w:date="2025-12-11T08:46:00Z" w16du:dateUtc="2025-12-11T14:46:00Z">
        <w:r w:rsidR="00C46F8C">
          <w:rPr>
            <w:rFonts w:asciiTheme="minorHAnsi" w:hAnsiTheme="minorHAnsi" w:cstheme="minorHAnsi"/>
            <w:sz w:val="22"/>
            <w:szCs w:val="22"/>
            <w:highlight w:val="lightGray"/>
          </w:rPr>
          <w:t xml:space="preserve">the </w:t>
        </w:r>
      </w:ins>
      <w:ins w:id="32" w:author="Marcotte, Robin" w:date="2025-12-11T11:47:00Z" w16du:dateUtc="2025-12-11T17:47:00Z">
        <w:r w:rsidR="00763F1E">
          <w:rPr>
            <w:rFonts w:asciiTheme="minorHAnsi" w:hAnsiTheme="minorHAnsi" w:cstheme="minorHAnsi"/>
            <w:sz w:val="22"/>
            <w:szCs w:val="22"/>
            <w:highlight w:val="lightGray"/>
          </w:rPr>
          <w:t>TBD</w:t>
        </w:r>
      </w:ins>
      <w:r w:rsidR="009F5C51">
        <w:rPr>
          <w:rFonts w:asciiTheme="minorHAnsi" w:hAnsiTheme="minorHAnsi" w:cstheme="minorHAnsi"/>
          <w:sz w:val="22"/>
          <w:szCs w:val="22"/>
          <w:highlight w:val="lightGray"/>
        </w:rPr>
        <w:t xml:space="preserve"> </w:t>
      </w:r>
      <w:ins w:id="33" w:author="Stultz, Jake 1" w:date="2025-12-11T08:46:00Z" w16du:dateUtc="2025-12-11T14:46:00Z">
        <w:r w:rsidR="00A66E66">
          <w:rPr>
            <w:rFonts w:asciiTheme="minorHAnsi" w:hAnsiTheme="minorHAnsi" w:cstheme="minorHAnsi"/>
            <w:sz w:val="22"/>
            <w:szCs w:val="22"/>
            <w:highlight w:val="lightGray"/>
          </w:rPr>
          <w:t>adoption</w:t>
        </w:r>
      </w:ins>
      <w:ins w:id="34" w:author="Stultz, Jake" w:date="2025-11-10T14:15:00Z" w16du:dateUtc="2025-11-10T20:15:00Z">
        <w:r w:rsidRPr="00B818D7">
          <w:rPr>
            <w:rFonts w:asciiTheme="minorHAnsi" w:hAnsiTheme="minorHAnsi" w:cstheme="minorHAnsi"/>
            <w:sz w:val="22"/>
            <w:szCs w:val="22"/>
            <w:highlight w:val="lightGray"/>
          </w:rPr>
          <w:t>.</w:t>
        </w:r>
      </w:ins>
    </w:p>
    <w:p w14:paraId="176AE67E" w14:textId="77777777" w:rsidR="00AB78C4" w:rsidRPr="00B818D7" w:rsidRDefault="00AB78C4" w:rsidP="000579B6">
      <w:pPr>
        <w:rPr>
          <w:rFonts w:asciiTheme="minorHAnsi" w:hAnsiTheme="minorHAnsi" w:cstheme="minorHAnsi"/>
          <w:sz w:val="22"/>
          <w:szCs w:val="22"/>
        </w:rPr>
      </w:pPr>
    </w:p>
    <w:p w14:paraId="7BC2BA12" w14:textId="0C6E2B81" w:rsidR="005B2A2E" w:rsidRPr="00B818D7" w:rsidRDefault="00B818D7" w:rsidP="007E75E5">
      <w:pPr>
        <w:jc w:val="both"/>
        <w:rPr>
          <w:rFonts w:asciiTheme="minorHAnsi" w:hAnsiTheme="minorHAnsi" w:cstheme="minorHAnsi"/>
          <w:sz w:val="22"/>
          <w:szCs w:val="22"/>
        </w:rPr>
      </w:pPr>
      <w:r w:rsidRPr="00B818D7">
        <w:rPr>
          <w:rFonts w:asciiTheme="minorHAnsi" w:hAnsiTheme="minorHAnsi" w:cstheme="minorHAnsi"/>
          <w:sz w:val="22"/>
          <w:szCs w:val="22"/>
        </w:rPr>
        <w:t xml:space="preserve">On </w:t>
      </w:r>
      <w:r>
        <w:rPr>
          <w:rFonts w:asciiTheme="minorHAnsi" w:hAnsiTheme="minorHAnsi" w:cstheme="minorHAnsi"/>
          <w:sz w:val="22"/>
          <w:szCs w:val="22"/>
        </w:rPr>
        <w:t>December 9</w:t>
      </w:r>
      <w:r w:rsidRPr="00B818D7">
        <w:rPr>
          <w:rFonts w:asciiTheme="minorHAnsi" w:hAnsiTheme="minorHAnsi" w:cstheme="minorHAnsi"/>
          <w:sz w:val="22"/>
          <w:szCs w:val="22"/>
        </w:rPr>
        <w:t xml:space="preserve">, 2025, the Statutory Accounting Principles (E) Working Group exposed </w:t>
      </w:r>
      <w:r>
        <w:rPr>
          <w:rFonts w:asciiTheme="minorHAnsi" w:hAnsiTheme="minorHAnsi" w:cstheme="minorHAnsi"/>
          <w:sz w:val="22"/>
          <w:szCs w:val="22"/>
        </w:rPr>
        <w:t xml:space="preserve">further </w:t>
      </w:r>
      <w:r w:rsidRPr="00B818D7">
        <w:rPr>
          <w:rFonts w:asciiTheme="minorHAnsi" w:hAnsiTheme="minorHAnsi" w:cstheme="minorHAnsi"/>
          <w:sz w:val="22"/>
          <w:szCs w:val="22"/>
        </w:rPr>
        <w:t>revisions to SSAP No. 22, as illustrated above</w:t>
      </w:r>
      <w:r w:rsidR="007E75E5">
        <w:rPr>
          <w:rFonts w:asciiTheme="minorHAnsi" w:hAnsiTheme="minorHAnsi" w:cstheme="minorHAnsi"/>
          <w:sz w:val="22"/>
          <w:szCs w:val="22"/>
        </w:rPr>
        <w:t>,</w:t>
      </w:r>
      <w:r w:rsidRPr="00B818D7">
        <w:rPr>
          <w:rFonts w:asciiTheme="minorHAnsi" w:hAnsiTheme="minorHAnsi" w:cstheme="minorHAnsi"/>
          <w:sz w:val="22"/>
          <w:szCs w:val="22"/>
        </w:rPr>
        <w:t xml:space="preserve"> under the </w:t>
      </w:r>
      <w:r>
        <w:rPr>
          <w:rFonts w:asciiTheme="minorHAnsi" w:hAnsiTheme="minorHAnsi" w:cstheme="minorHAnsi"/>
          <w:sz w:val="22"/>
          <w:szCs w:val="22"/>
        </w:rPr>
        <w:t>Fall</w:t>
      </w:r>
      <w:r w:rsidRPr="00B818D7">
        <w:rPr>
          <w:rFonts w:asciiTheme="minorHAnsi" w:hAnsiTheme="minorHAnsi" w:cstheme="minorHAnsi"/>
          <w:sz w:val="22"/>
          <w:szCs w:val="22"/>
        </w:rPr>
        <w:t xml:space="preserve"> 2025 Updated Staff Recommendation</w:t>
      </w:r>
      <w:r>
        <w:rPr>
          <w:rFonts w:asciiTheme="minorHAnsi" w:hAnsiTheme="minorHAnsi" w:cstheme="minorHAnsi"/>
          <w:sz w:val="22"/>
          <w:szCs w:val="22"/>
        </w:rPr>
        <w:t>.</w:t>
      </w:r>
      <w:r w:rsidR="007E75E5">
        <w:rPr>
          <w:rFonts w:asciiTheme="minorHAnsi" w:hAnsiTheme="minorHAnsi" w:cstheme="minorHAnsi"/>
          <w:sz w:val="22"/>
          <w:szCs w:val="22"/>
        </w:rPr>
        <w:t xml:space="preserve"> </w:t>
      </w:r>
      <w:r w:rsidR="008134B6">
        <w:rPr>
          <w:rFonts w:asciiTheme="minorHAnsi" w:hAnsiTheme="minorHAnsi" w:cstheme="minorHAnsi"/>
          <w:sz w:val="22"/>
          <w:szCs w:val="22"/>
        </w:rPr>
        <w:t xml:space="preserve">The </w:t>
      </w:r>
      <w:r w:rsidR="008850C2">
        <w:rPr>
          <w:rFonts w:asciiTheme="minorHAnsi" w:hAnsiTheme="minorHAnsi" w:cstheme="minorHAnsi"/>
          <w:sz w:val="22"/>
          <w:szCs w:val="22"/>
        </w:rPr>
        <w:t xml:space="preserve">exposed </w:t>
      </w:r>
      <w:r w:rsidR="00E24B54">
        <w:rPr>
          <w:rFonts w:asciiTheme="minorHAnsi" w:hAnsiTheme="minorHAnsi" w:cstheme="minorHAnsi"/>
          <w:sz w:val="22"/>
          <w:szCs w:val="22"/>
        </w:rPr>
        <w:t>revisions</w:t>
      </w:r>
      <w:r>
        <w:rPr>
          <w:rFonts w:asciiTheme="minorHAnsi" w:hAnsiTheme="minorHAnsi" w:cstheme="minorHAnsi"/>
          <w:sz w:val="22"/>
          <w:szCs w:val="22"/>
        </w:rPr>
        <w:t xml:space="preserve"> </w:t>
      </w:r>
      <w:r w:rsidR="004914BA">
        <w:rPr>
          <w:rFonts w:asciiTheme="minorHAnsi" w:hAnsiTheme="minorHAnsi" w:cstheme="minorHAnsi"/>
          <w:sz w:val="22"/>
          <w:szCs w:val="22"/>
        </w:rPr>
        <w:t>incorporate</w:t>
      </w:r>
      <w:r w:rsidR="008850C2">
        <w:rPr>
          <w:rFonts w:asciiTheme="minorHAnsi" w:hAnsiTheme="minorHAnsi" w:cstheme="minorHAnsi"/>
          <w:sz w:val="22"/>
          <w:szCs w:val="22"/>
        </w:rPr>
        <w:t xml:space="preserve"> </w:t>
      </w:r>
      <w:r w:rsidR="004914BA">
        <w:rPr>
          <w:rFonts w:asciiTheme="minorHAnsi" w:hAnsiTheme="minorHAnsi" w:cstheme="minorHAnsi"/>
          <w:sz w:val="22"/>
          <w:szCs w:val="22"/>
        </w:rPr>
        <w:t xml:space="preserve">certain </w:t>
      </w:r>
      <w:r w:rsidR="008850C2">
        <w:rPr>
          <w:rFonts w:asciiTheme="minorHAnsi" w:hAnsiTheme="minorHAnsi" w:cstheme="minorHAnsi"/>
          <w:sz w:val="22"/>
          <w:szCs w:val="22"/>
        </w:rPr>
        <w:t>aspects</w:t>
      </w:r>
      <w:r w:rsidR="004914BA">
        <w:rPr>
          <w:rFonts w:asciiTheme="minorHAnsi" w:hAnsiTheme="minorHAnsi" w:cstheme="minorHAnsi"/>
          <w:sz w:val="22"/>
          <w:szCs w:val="22"/>
        </w:rPr>
        <w:t xml:space="preserve"> of the</w:t>
      </w:r>
      <w:r>
        <w:rPr>
          <w:rFonts w:asciiTheme="minorHAnsi" w:hAnsiTheme="minorHAnsi" w:cstheme="minorHAnsi"/>
          <w:sz w:val="22"/>
          <w:szCs w:val="22"/>
        </w:rPr>
        <w:t xml:space="preserve"> </w:t>
      </w:r>
      <w:r w:rsidR="004914BA">
        <w:rPr>
          <w:rFonts w:asciiTheme="minorHAnsi" w:hAnsiTheme="minorHAnsi" w:cstheme="minorHAnsi"/>
          <w:sz w:val="22"/>
          <w:szCs w:val="22"/>
        </w:rPr>
        <w:t>changes recommended by</w:t>
      </w:r>
      <w:r w:rsidR="008134B6">
        <w:rPr>
          <w:rFonts w:asciiTheme="minorHAnsi" w:hAnsiTheme="minorHAnsi" w:cstheme="minorHAnsi"/>
          <w:sz w:val="22"/>
          <w:szCs w:val="22"/>
        </w:rPr>
        <w:t xml:space="preserve"> the NAMIC</w:t>
      </w:r>
      <w:r w:rsidR="007E75E5">
        <w:rPr>
          <w:rFonts w:asciiTheme="minorHAnsi" w:hAnsiTheme="minorHAnsi" w:cstheme="minorHAnsi"/>
          <w:sz w:val="22"/>
          <w:szCs w:val="22"/>
        </w:rPr>
        <w:t>/</w:t>
      </w:r>
      <w:r w:rsidR="008134B6">
        <w:rPr>
          <w:rFonts w:asciiTheme="minorHAnsi" w:hAnsiTheme="minorHAnsi" w:cstheme="minorHAnsi"/>
          <w:sz w:val="22"/>
          <w:szCs w:val="22"/>
        </w:rPr>
        <w:t xml:space="preserve">APCIA comment letter and include </w:t>
      </w:r>
      <w:r w:rsidR="00E24B54">
        <w:rPr>
          <w:rFonts w:asciiTheme="minorHAnsi" w:hAnsiTheme="minorHAnsi" w:cstheme="minorHAnsi"/>
          <w:sz w:val="22"/>
          <w:szCs w:val="22"/>
        </w:rPr>
        <w:t xml:space="preserve">additional </w:t>
      </w:r>
      <w:r w:rsidR="00DD58EB">
        <w:rPr>
          <w:rFonts w:asciiTheme="minorHAnsi" w:hAnsiTheme="minorHAnsi" w:cstheme="minorHAnsi"/>
          <w:sz w:val="22"/>
          <w:szCs w:val="22"/>
        </w:rPr>
        <w:t xml:space="preserve">NAIC staff </w:t>
      </w:r>
      <w:r w:rsidR="00E24B54">
        <w:rPr>
          <w:rFonts w:asciiTheme="minorHAnsi" w:hAnsiTheme="minorHAnsi" w:cstheme="minorHAnsi"/>
          <w:sz w:val="22"/>
          <w:szCs w:val="22"/>
        </w:rPr>
        <w:t>changes</w:t>
      </w:r>
      <w:r w:rsidR="008850C2">
        <w:rPr>
          <w:rFonts w:asciiTheme="minorHAnsi" w:hAnsiTheme="minorHAnsi" w:cstheme="minorHAnsi"/>
          <w:sz w:val="22"/>
          <w:szCs w:val="22"/>
        </w:rPr>
        <w:t xml:space="preserve"> to further clarify the intent and scope of the proposed guidance</w:t>
      </w:r>
      <w:r w:rsidR="007E75E5">
        <w:rPr>
          <w:rFonts w:asciiTheme="minorHAnsi" w:hAnsiTheme="minorHAnsi" w:cstheme="minorHAnsi"/>
          <w:sz w:val="22"/>
          <w:szCs w:val="22"/>
        </w:rPr>
        <w:t xml:space="preserve"> and the </w:t>
      </w:r>
      <w:r w:rsidR="00BF13B4">
        <w:rPr>
          <w:rFonts w:asciiTheme="minorHAnsi" w:hAnsiTheme="minorHAnsi" w:cstheme="minorHAnsi"/>
          <w:sz w:val="22"/>
          <w:szCs w:val="22"/>
        </w:rPr>
        <w:t>effective date</w:t>
      </w:r>
      <w:r w:rsidR="008850C2">
        <w:rPr>
          <w:rFonts w:asciiTheme="minorHAnsi" w:hAnsiTheme="minorHAnsi" w:cstheme="minorHAnsi"/>
          <w:sz w:val="22"/>
          <w:szCs w:val="22"/>
        </w:rPr>
        <w:t>.</w:t>
      </w:r>
    </w:p>
    <w:p w14:paraId="0FE979AF" w14:textId="5130CFFF" w:rsidR="00AA1DC0" w:rsidRPr="00D77C54" w:rsidRDefault="002A1316" w:rsidP="00223500">
      <w:pPr>
        <w:jc w:val="both"/>
        <w:rPr>
          <w:rFonts w:asciiTheme="minorHAnsi" w:hAnsiTheme="minorHAnsi" w:cstheme="minorHAnsi"/>
          <w:sz w:val="18"/>
          <w:szCs w:val="18"/>
        </w:rPr>
      </w:pPr>
      <w:r w:rsidRPr="00D77C54">
        <w:rPr>
          <w:rFonts w:asciiTheme="minorHAnsi" w:hAnsiTheme="minorHAnsi" w:cstheme="minorHAnsi"/>
          <w:sz w:val="18"/>
          <w:szCs w:val="18"/>
        </w:rPr>
        <w:fldChar w:fldCharType="begin"/>
      </w:r>
      <w:r w:rsidRPr="00D77C54">
        <w:rPr>
          <w:rFonts w:asciiTheme="minorHAnsi" w:hAnsiTheme="minorHAnsi" w:cstheme="minorHAnsi"/>
          <w:sz w:val="18"/>
          <w:szCs w:val="18"/>
        </w:rPr>
        <w:instrText xml:space="preserve"> FILENAME \p </w:instrText>
      </w:r>
      <w:r w:rsidRPr="00D77C54">
        <w:rPr>
          <w:rFonts w:asciiTheme="minorHAnsi" w:hAnsiTheme="minorHAnsi" w:cstheme="minorHAnsi"/>
          <w:sz w:val="18"/>
          <w:szCs w:val="18"/>
        </w:rPr>
        <w:fldChar w:fldCharType="separate"/>
      </w:r>
      <w:r w:rsidR="00B4323C">
        <w:rPr>
          <w:rFonts w:asciiTheme="minorHAnsi" w:hAnsiTheme="minorHAnsi" w:cstheme="minorHAnsi"/>
          <w:noProof/>
          <w:sz w:val="18"/>
          <w:szCs w:val="18"/>
        </w:rPr>
        <w:t>https://naiconline.sharepoint.com/teams/FRSStatutoryAccounting/National Meetings/A. National Meeting Materials/2025/12-9-25 Fall National Meeting/Exposures/25-01 - Lease Clarification.docx</w:t>
      </w:r>
      <w:r w:rsidRPr="00D77C54">
        <w:rPr>
          <w:rFonts w:asciiTheme="minorHAnsi" w:hAnsiTheme="minorHAnsi" w:cstheme="minorHAnsi"/>
          <w:sz w:val="18"/>
          <w:szCs w:val="18"/>
        </w:rPr>
        <w:fldChar w:fldCharType="end"/>
      </w:r>
    </w:p>
    <w:sectPr w:rsidR="00AA1DC0" w:rsidRPr="00D77C54" w:rsidSect="000B372C">
      <w:headerReference w:type="default" r:id="rId11"/>
      <w:footerReference w:type="default" r:id="rId12"/>
      <w:headerReference w:type="first" r:id="rId13"/>
      <w:footerReference w:type="first" r:id="rId1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A1D40" w14:textId="77777777" w:rsidR="00AD53BF" w:rsidRDefault="00AD53BF">
      <w:r>
        <w:separator/>
      </w:r>
    </w:p>
  </w:endnote>
  <w:endnote w:type="continuationSeparator" w:id="0">
    <w:p w14:paraId="3E1BAD40" w14:textId="77777777" w:rsidR="00AD53BF" w:rsidRDefault="00AD53BF">
      <w:r>
        <w:continuationSeparator/>
      </w:r>
    </w:p>
  </w:endnote>
  <w:endnote w:type="continuationNotice" w:id="1">
    <w:p w14:paraId="0B9F4F79" w14:textId="77777777" w:rsidR="00AD53BF" w:rsidRDefault="00AD53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3938B" w14:textId="0B257F76" w:rsidR="006D3A59" w:rsidRPr="002C206C" w:rsidRDefault="006D3A59" w:rsidP="00DF407B">
    <w:pPr>
      <w:pStyle w:val="Footer"/>
      <w:tabs>
        <w:tab w:val="clear" w:pos="4320"/>
        <w:tab w:val="center" w:pos="5040"/>
      </w:tabs>
      <w:rPr>
        <w:rFonts w:ascii="Calibri" w:hAnsi="Calibri" w:cs="Calibri"/>
        <w:sz w:val="20"/>
      </w:rPr>
    </w:pPr>
    <w:r w:rsidRPr="002C206C">
      <w:rPr>
        <w:rFonts w:ascii="Calibri" w:hAnsi="Calibri" w:cs="Calibri"/>
        <w:sz w:val="20"/>
      </w:rPr>
      <w:t xml:space="preserve">© </w:t>
    </w:r>
    <w:r w:rsidR="005B478B" w:rsidRPr="002C206C">
      <w:rPr>
        <w:rFonts w:ascii="Calibri" w:hAnsi="Calibri" w:cs="Calibri"/>
        <w:sz w:val="20"/>
      </w:rPr>
      <w:t>20</w:t>
    </w:r>
    <w:r w:rsidR="00CA4E49" w:rsidRPr="002C206C">
      <w:rPr>
        <w:rFonts w:ascii="Calibri" w:hAnsi="Calibri" w:cs="Calibri"/>
        <w:sz w:val="20"/>
      </w:rPr>
      <w:t>2</w:t>
    </w:r>
    <w:r w:rsidR="00A2017E" w:rsidRPr="002C206C">
      <w:rPr>
        <w:rFonts w:ascii="Calibri" w:hAnsi="Calibri" w:cs="Calibri"/>
        <w:sz w:val="20"/>
      </w:rPr>
      <w:t>5</w:t>
    </w:r>
    <w:r w:rsidRPr="002C206C">
      <w:rPr>
        <w:rFonts w:ascii="Calibri" w:hAnsi="Calibri" w:cs="Calibri"/>
        <w:sz w:val="20"/>
      </w:rPr>
      <w:t xml:space="preserve"> National Association of Insurance Commissioners</w:t>
    </w:r>
    <w:r w:rsidR="00DF407B" w:rsidRPr="002C206C">
      <w:rPr>
        <w:rFonts w:ascii="Calibri" w:hAnsi="Calibri" w:cs="Calibri"/>
        <w:sz w:val="20"/>
      </w:rPr>
      <w:tab/>
    </w:r>
    <w:r w:rsidRPr="002C206C">
      <w:rPr>
        <w:rStyle w:val="PageNumber"/>
        <w:rFonts w:ascii="Calibri" w:hAnsi="Calibri" w:cs="Calibri"/>
        <w:sz w:val="20"/>
      </w:rPr>
      <w:fldChar w:fldCharType="begin"/>
    </w:r>
    <w:r w:rsidRPr="002C206C">
      <w:rPr>
        <w:rStyle w:val="PageNumber"/>
        <w:rFonts w:ascii="Calibri" w:hAnsi="Calibri" w:cs="Calibri"/>
        <w:sz w:val="20"/>
      </w:rPr>
      <w:instrText xml:space="preserve"> PAGE </w:instrText>
    </w:r>
    <w:r w:rsidRPr="002C206C">
      <w:rPr>
        <w:rStyle w:val="PageNumber"/>
        <w:rFonts w:ascii="Calibri" w:hAnsi="Calibri" w:cs="Calibri"/>
        <w:sz w:val="20"/>
      </w:rPr>
      <w:fldChar w:fldCharType="separate"/>
    </w:r>
    <w:r w:rsidR="00626EC0" w:rsidRPr="002C206C">
      <w:rPr>
        <w:rStyle w:val="PageNumber"/>
        <w:rFonts w:ascii="Calibri" w:hAnsi="Calibri" w:cs="Calibri"/>
        <w:noProof/>
        <w:sz w:val="20"/>
      </w:rPr>
      <w:t>2</w:t>
    </w:r>
    <w:r w:rsidRPr="002C206C">
      <w:rPr>
        <w:rStyle w:val="PageNumber"/>
        <w:rFonts w:ascii="Calibri" w:hAnsi="Calibri" w:cs="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70D23" w14:textId="15EC467B" w:rsidR="006D3A59" w:rsidRDefault="006D3A59" w:rsidP="006B37DD">
    <w:pPr>
      <w:pStyle w:val="Footer"/>
      <w:tabs>
        <w:tab w:val="clear" w:pos="4320"/>
        <w:tab w:val="center" w:pos="5040"/>
      </w:tabs>
      <w:rPr>
        <w:sz w:val="20"/>
      </w:rPr>
    </w:pPr>
    <w:r>
      <w:rPr>
        <w:sz w:val="20"/>
      </w:rPr>
      <w:t>© 201</w:t>
    </w:r>
    <w:r w:rsidR="002D70E6">
      <w:rPr>
        <w:sz w:val="20"/>
      </w:rPr>
      <w:t>9</w:t>
    </w:r>
    <w:r>
      <w:rPr>
        <w:sz w:val="20"/>
      </w:rPr>
      <w:t xml:space="preserve"> National Association of Insurance Commissioners</w:t>
    </w:r>
    <w:r w:rsidR="006B37DD">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626EC0">
      <w:rPr>
        <w:rStyle w:val="PageNumber"/>
        <w:noProof/>
        <w:sz w:val="20"/>
      </w:rPr>
      <w:t>1</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5861B" w14:textId="77777777" w:rsidR="00AD53BF" w:rsidRDefault="00AD53BF">
      <w:r>
        <w:separator/>
      </w:r>
    </w:p>
  </w:footnote>
  <w:footnote w:type="continuationSeparator" w:id="0">
    <w:p w14:paraId="01720164" w14:textId="77777777" w:rsidR="00AD53BF" w:rsidRDefault="00AD53BF">
      <w:r>
        <w:continuationSeparator/>
      </w:r>
    </w:p>
  </w:footnote>
  <w:footnote w:type="continuationNotice" w:id="1">
    <w:p w14:paraId="1CC1A905" w14:textId="77777777" w:rsidR="00AD53BF" w:rsidRDefault="00AD53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00AE6" w14:textId="24D5191E" w:rsidR="006D3A59" w:rsidRPr="002C206C" w:rsidRDefault="006D3A59">
    <w:pPr>
      <w:pStyle w:val="Header"/>
      <w:jc w:val="right"/>
      <w:rPr>
        <w:rFonts w:asciiTheme="minorHAnsi" w:hAnsiTheme="minorHAnsi" w:cstheme="minorHAnsi"/>
        <w:b/>
        <w:sz w:val="20"/>
      </w:rPr>
    </w:pPr>
  </w:p>
  <w:p w14:paraId="14FEED1A" w14:textId="327A38F2" w:rsidR="006D3A59" w:rsidRPr="002C206C" w:rsidRDefault="006D3A59">
    <w:pPr>
      <w:pStyle w:val="Header"/>
      <w:jc w:val="right"/>
      <w:rPr>
        <w:rFonts w:asciiTheme="minorHAnsi" w:hAnsiTheme="minorHAnsi" w:cstheme="minorHAnsi"/>
        <w:bCs/>
        <w:sz w:val="20"/>
      </w:rPr>
    </w:pPr>
    <w:r w:rsidRPr="002C206C">
      <w:rPr>
        <w:rFonts w:asciiTheme="minorHAnsi" w:hAnsiTheme="minorHAnsi" w:cstheme="minorHAnsi"/>
        <w:bCs/>
        <w:sz w:val="20"/>
      </w:rPr>
      <w:t>Ref #20</w:t>
    </w:r>
    <w:r w:rsidR="008424D9" w:rsidRPr="002C206C">
      <w:rPr>
        <w:rFonts w:asciiTheme="minorHAnsi" w:hAnsiTheme="minorHAnsi" w:cstheme="minorHAnsi"/>
        <w:bCs/>
        <w:sz w:val="20"/>
      </w:rPr>
      <w:t>2</w:t>
    </w:r>
    <w:r w:rsidR="00A2017E" w:rsidRPr="002C206C">
      <w:rPr>
        <w:rFonts w:asciiTheme="minorHAnsi" w:hAnsiTheme="minorHAnsi" w:cstheme="minorHAnsi"/>
        <w:bCs/>
        <w:sz w:val="20"/>
      </w:rPr>
      <w:t>5</w:t>
    </w:r>
    <w:r w:rsidRPr="002C206C">
      <w:rPr>
        <w:rFonts w:asciiTheme="minorHAnsi" w:hAnsiTheme="minorHAnsi" w:cstheme="minorHAnsi"/>
        <w:bCs/>
        <w:sz w:val="20"/>
      </w:rPr>
      <w:t>-</w:t>
    </w:r>
    <w:r w:rsidR="00215222" w:rsidRPr="002C206C">
      <w:rPr>
        <w:rFonts w:asciiTheme="minorHAnsi" w:hAnsiTheme="minorHAnsi" w:cstheme="minorHAnsi"/>
        <w:bCs/>
        <w:sz w:val="20"/>
      </w:rPr>
      <w:t>01</w:t>
    </w:r>
  </w:p>
  <w:p w14:paraId="12DAC63B" w14:textId="77777777" w:rsidR="006D3A59" w:rsidRDefault="006D3A59">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9815E" w14:textId="77777777" w:rsidR="006D3A59" w:rsidRPr="00F04F9A" w:rsidRDefault="006D3A59" w:rsidP="00AE74CF">
    <w:pPr>
      <w:pStyle w:val="Header"/>
      <w:jc w:val="right"/>
      <w:rPr>
        <w:b/>
        <w:sz w:val="20"/>
      </w:rPr>
    </w:pPr>
    <w:r w:rsidRPr="00F04F9A">
      <w:rPr>
        <w:b/>
        <w:sz w:val="20"/>
      </w:rPr>
      <w:t>Attachment __</w:t>
    </w:r>
  </w:p>
  <w:p w14:paraId="6B24D022" w14:textId="403538C5" w:rsidR="006D3A59" w:rsidRPr="00F04F9A" w:rsidRDefault="006D3A59" w:rsidP="00AE74CF">
    <w:pPr>
      <w:pStyle w:val="Header"/>
      <w:jc w:val="right"/>
      <w:rPr>
        <w:bCs/>
        <w:sz w:val="20"/>
      </w:rPr>
    </w:pPr>
    <w:r w:rsidRPr="00F04F9A">
      <w:rPr>
        <w:bCs/>
        <w:sz w:val="20"/>
      </w:rPr>
      <w:t>Ref #201</w:t>
    </w:r>
    <w:r w:rsidR="002D70E6">
      <w:rPr>
        <w:bCs/>
        <w:sz w:val="20"/>
      </w:rPr>
      <w:t>9</w:t>
    </w:r>
    <w:r w:rsidRPr="00F04F9A">
      <w:rPr>
        <w:bCs/>
        <w:sz w:val="20"/>
      </w:rPr>
      <w:t>-</w:t>
    </w:r>
  </w:p>
  <w:p w14:paraId="7E519226" w14:textId="77777777" w:rsidR="006D3A59" w:rsidRDefault="006D3A59" w:rsidP="00AE74C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D4D0B7F4"/>
    <w:lvl w:ilvl="0">
      <w:start w:val="1"/>
      <w:numFmt w:val="decimal"/>
      <w:pStyle w:val="ListNumber3"/>
      <w:lvlText w:val="%1."/>
      <w:lvlJc w:val="left"/>
      <w:pPr>
        <w:tabs>
          <w:tab w:val="num" w:pos="4500"/>
        </w:tabs>
        <w:ind w:left="4500" w:hanging="360"/>
      </w:pPr>
    </w:lvl>
  </w:abstractNum>
  <w:abstractNum w:abstractNumId="1" w15:restartNumberingAfterBreak="0">
    <w:nsid w:val="FFFFFF88"/>
    <w:multiLevelType w:val="singleLevel"/>
    <w:tmpl w:val="257A1570"/>
    <w:lvl w:ilvl="0">
      <w:start w:val="1"/>
      <w:numFmt w:val="decimal"/>
      <w:pStyle w:val="ListNumber"/>
      <w:lvlText w:val="%1."/>
      <w:lvlJc w:val="left"/>
      <w:pPr>
        <w:tabs>
          <w:tab w:val="num" w:pos="360"/>
        </w:tabs>
        <w:ind w:left="360" w:hanging="360"/>
      </w:pPr>
    </w:lvl>
  </w:abstractNum>
  <w:abstractNum w:abstractNumId="2" w15:restartNumberingAfterBreak="0">
    <w:nsid w:val="FFFFFFFE"/>
    <w:multiLevelType w:val="singleLevel"/>
    <w:tmpl w:val="1D8C0038"/>
    <w:lvl w:ilvl="0">
      <w:numFmt w:val="decimal"/>
      <w:pStyle w:val="ListBullet2"/>
      <w:lvlText w:val="*"/>
      <w:lvlJc w:val="left"/>
    </w:lvl>
  </w:abstractNum>
  <w:abstractNum w:abstractNumId="3" w15:restartNumberingAfterBreak="0">
    <w:nsid w:val="07CC3F91"/>
    <w:multiLevelType w:val="hybridMultilevel"/>
    <w:tmpl w:val="C8D63F00"/>
    <w:lvl w:ilvl="0" w:tplc="4AD669DC">
      <w:start w:val="33"/>
      <w:numFmt w:val="decimal"/>
      <w:lvlText w:val="%1."/>
      <w:lvlJc w:val="left"/>
      <w:pPr>
        <w:ind w:left="3060" w:hanging="360"/>
      </w:pPr>
      <w:rPr>
        <w:rFonts w:hint="default"/>
        <w:i w:val="0"/>
        <w:iCs/>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D0659"/>
    <w:multiLevelType w:val="hybridMultilevel"/>
    <w:tmpl w:val="250A3EF6"/>
    <w:lvl w:ilvl="0" w:tplc="40FA3434">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5" w15:restartNumberingAfterBreak="0">
    <w:nsid w:val="0BE749D2"/>
    <w:multiLevelType w:val="multilevel"/>
    <w:tmpl w:val="5740919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E25629B"/>
    <w:multiLevelType w:val="hybridMultilevel"/>
    <w:tmpl w:val="2F2E5570"/>
    <w:lvl w:ilvl="0" w:tplc="901C14A2">
      <w:start w:val="35"/>
      <w:numFmt w:val="decimal"/>
      <w:lvlText w:val="%1."/>
      <w:lvlJc w:val="left"/>
      <w:pPr>
        <w:ind w:left="720" w:hanging="360"/>
      </w:pPr>
      <w:rPr>
        <w:rFonts w:hint="default"/>
        <w:i w:val="0"/>
        <w:iCs/>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01296A"/>
    <w:multiLevelType w:val="singleLevel"/>
    <w:tmpl w:val="D06EB10A"/>
    <w:lvl w:ilvl="0">
      <w:start w:val="1"/>
      <w:numFmt w:val="lowerLetter"/>
      <w:lvlText w:val="%1."/>
      <w:legacy w:legacy="1" w:legacySpace="0" w:legacyIndent="720"/>
      <w:lvlJc w:val="left"/>
      <w:pPr>
        <w:ind w:left="1440" w:hanging="720"/>
      </w:pPr>
    </w:lvl>
  </w:abstractNum>
  <w:abstractNum w:abstractNumId="8" w15:restartNumberingAfterBreak="0">
    <w:nsid w:val="1CCE3CEB"/>
    <w:multiLevelType w:val="hybridMultilevel"/>
    <w:tmpl w:val="05726922"/>
    <w:lvl w:ilvl="0" w:tplc="7E2CE26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07C7B54"/>
    <w:multiLevelType w:val="hybridMultilevel"/>
    <w:tmpl w:val="1310CA3A"/>
    <w:lvl w:ilvl="0" w:tplc="05969F50">
      <w:start w:val="1"/>
      <w:numFmt w:val="decimal"/>
      <w:lvlText w:val="%1."/>
      <w:lvlJc w:val="left"/>
      <w:pPr>
        <w:tabs>
          <w:tab w:val="num" w:pos="780"/>
        </w:tabs>
        <w:ind w:left="780" w:hanging="360"/>
      </w:pPr>
    </w:lvl>
    <w:lvl w:ilvl="1" w:tplc="4DA072CE" w:tentative="1">
      <w:start w:val="1"/>
      <w:numFmt w:val="lowerLetter"/>
      <w:lvlText w:val="%2."/>
      <w:lvlJc w:val="left"/>
      <w:pPr>
        <w:tabs>
          <w:tab w:val="num" w:pos="1500"/>
        </w:tabs>
        <w:ind w:left="1500" w:hanging="360"/>
      </w:pPr>
    </w:lvl>
    <w:lvl w:ilvl="2" w:tplc="D7882B06" w:tentative="1">
      <w:start w:val="1"/>
      <w:numFmt w:val="lowerRoman"/>
      <w:lvlText w:val="%3."/>
      <w:lvlJc w:val="right"/>
      <w:pPr>
        <w:tabs>
          <w:tab w:val="num" w:pos="2220"/>
        </w:tabs>
        <w:ind w:left="2220" w:hanging="180"/>
      </w:pPr>
    </w:lvl>
    <w:lvl w:ilvl="3" w:tplc="EA72BE90" w:tentative="1">
      <w:start w:val="1"/>
      <w:numFmt w:val="decimal"/>
      <w:lvlText w:val="%4."/>
      <w:lvlJc w:val="left"/>
      <w:pPr>
        <w:tabs>
          <w:tab w:val="num" w:pos="2940"/>
        </w:tabs>
        <w:ind w:left="2940" w:hanging="360"/>
      </w:pPr>
    </w:lvl>
    <w:lvl w:ilvl="4" w:tplc="2F3C9004" w:tentative="1">
      <w:start w:val="1"/>
      <w:numFmt w:val="lowerLetter"/>
      <w:lvlText w:val="%5."/>
      <w:lvlJc w:val="left"/>
      <w:pPr>
        <w:tabs>
          <w:tab w:val="num" w:pos="3660"/>
        </w:tabs>
        <w:ind w:left="3660" w:hanging="360"/>
      </w:pPr>
    </w:lvl>
    <w:lvl w:ilvl="5" w:tplc="7116F3DC" w:tentative="1">
      <w:start w:val="1"/>
      <w:numFmt w:val="lowerRoman"/>
      <w:lvlText w:val="%6."/>
      <w:lvlJc w:val="right"/>
      <w:pPr>
        <w:tabs>
          <w:tab w:val="num" w:pos="4380"/>
        </w:tabs>
        <w:ind w:left="4380" w:hanging="180"/>
      </w:pPr>
    </w:lvl>
    <w:lvl w:ilvl="6" w:tplc="CA16657C" w:tentative="1">
      <w:start w:val="1"/>
      <w:numFmt w:val="decimal"/>
      <w:lvlText w:val="%7."/>
      <w:lvlJc w:val="left"/>
      <w:pPr>
        <w:tabs>
          <w:tab w:val="num" w:pos="5100"/>
        </w:tabs>
        <w:ind w:left="5100" w:hanging="360"/>
      </w:pPr>
    </w:lvl>
    <w:lvl w:ilvl="7" w:tplc="CDE0A744" w:tentative="1">
      <w:start w:val="1"/>
      <w:numFmt w:val="lowerLetter"/>
      <w:lvlText w:val="%8."/>
      <w:lvlJc w:val="left"/>
      <w:pPr>
        <w:tabs>
          <w:tab w:val="num" w:pos="5820"/>
        </w:tabs>
        <w:ind w:left="5820" w:hanging="360"/>
      </w:pPr>
    </w:lvl>
    <w:lvl w:ilvl="8" w:tplc="4E4C1C54" w:tentative="1">
      <w:start w:val="1"/>
      <w:numFmt w:val="lowerRoman"/>
      <w:lvlText w:val="%9."/>
      <w:lvlJc w:val="right"/>
      <w:pPr>
        <w:tabs>
          <w:tab w:val="num" w:pos="6540"/>
        </w:tabs>
        <w:ind w:left="6540" w:hanging="180"/>
      </w:pPr>
    </w:lvl>
  </w:abstractNum>
  <w:abstractNum w:abstractNumId="10" w15:restartNumberingAfterBreak="0">
    <w:nsid w:val="2562614D"/>
    <w:multiLevelType w:val="multilevel"/>
    <w:tmpl w:val="80D0373C"/>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668150B"/>
    <w:multiLevelType w:val="hybridMultilevel"/>
    <w:tmpl w:val="0ACE04A2"/>
    <w:lvl w:ilvl="0" w:tplc="D054DC2A">
      <w:start w:val="1"/>
      <w:numFmt w:val="lowerLetter"/>
      <w:lvlText w:val="%1."/>
      <w:lvlJc w:val="left"/>
      <w:pPr>
        <w:tabs>
          <w:tab w:val="num" w:pos="1440"/>
        </w:tabs>
        <w:ind w:left="1440" w:hanging="360"/>
      </w:pPr>
    </w:lvl>
    <w:lvl w:ilvl="1" w:tplc="C186EDA4" w:tentative="1">
      <w:start w:val="1"/>
      <w:numFmt w:val="lowerLetter"/>
      <w:lvlText w:val="%2."/>
      <w:lvlJc w:val="left"/>
      <w:pPr>
        <w:tabs>
          <w:tab w:val="num" w:pos="1440"/>
        </w:tabs>
        <w:ind w:left="1440" w:hanging="360"/>
      </w:pPr>
    </w:lvl>
    <w:lvl w:ilvl="2" w:tplc="3F12F82E" w:tentative="1">
      <w:start w:val="1"/>
      <w:numFmt w:val="lowerRoman"/>
      <w:lvlText w:val="%3."/>
      <w:lvlJc w:val="right"/>
      <w:pPr>
        <w:tabs>
          <w:tab w:val="num" w:pos="2160"/>
        </w:tabs>
        <w:ind w:left="2160" w:hanging="180"/>
      </w:pPr>
    </w:lvl>
    <w:lvl w:ilvl="3" w:tplc="C1E63D52" w:tentative="1">
      <w:start w:val="1"/>
      <w:numFmt w:val="decimal"/>
      <w:lvlText w:val="%4."/>
      <w:lvlJc w:val="left"/>
      <w:pPr>
        <w:tabs>
          <w:tab w:val="num" w:pos="2880"/>
        </w:tabs>
        <w:ind w:left="2880" w:hanging="360"/>
      </w:pPr>
    </w:lvl>
    <w:lvl w:ilvl="4" w:tplc="F9CCCBDC" w:tentative="1">
      <w:start w:val="1"/>
      <w:numFmt w:val="lowerLetter"/>
      <w:lvlText w:val="%5."/>
      <w:lvlJc w:val="left"/>
      <w:pPr>
        <w:tabs>
          <w:tab w:val="num" w:pos="3600"/>
        </w:tabs>
        <w:ind w:left="3600" w:hanging="360"/>
      </w:pPr>
    </w:lvl>
    <w:lvl w:ilvl="5" w:tplc="430CA49A" w:tentative="1">
      <w:start w:val="1"/>
      <w:numFmt w:val="lowerRoman"/>
      <w:lvlText w:val="%6."/>
      <w:lvlJc w:val="right"/>
      <w:pPr>
        <w:tabs>
          <w:tab w:val="num" w:pos="4320"/>
        </w:tabs>
        <w:ind w:left="4320" w:hanging="180"/>
      </w:pPr>
    </w:lvl>
    <w:lvl w:ilvl="6" w:tplc="16AC0192" w:tentative="1">
      <w:start w:val="1"/>
      <w:numFmt w:val="decimal"/>
      <w:lvlText w:val="%7."/>
      <w:lvlJc w:val="left"/>
      <w:pPr>
        <w:tabs>
          <w:tab w:val="num" w:pos="5040"/>
        </w:tabs>
        <w:ind w:left="5040" w:hanging="360"/>
      </w:pPr>
    </w:lvl>
    <w:lvl w:ilvl="7" w:tplc="BC60374C" w:tentative="1">
      <w:start w:val="1"/>
      <w:numFmt w:val="lowerLetter"/>
      <w:lvlText w:val="%8."/>
      <w:lvlJc w:val="left"/>
      <w:pPr>
        <w:tabs>
          <w:tab w:val="num" w:pos="5760"/>
        </w:tabs>
        <w:ind w:left="5760" w:hanging="360"/>
      </w:pPr>
    </w:lvl>
    <w:lvl w:ilvl="8" w:tplc="B7DE3D06" w:tentative="1">
      <w:start w:val="1"/>
      <w:numFmt w:val="lowerRoman"/>
      <w:lvlText w:val="%9."/>
      <w:lvlJc w:val="right"/>
      <w:pPr>
        <w:tabs>
          <w:tab w:val="num" w:pos="6480"/>
        </w:tabs>
        <w:ind w:left="6480" w:hanging="180"/>
      </w:pPr>
    </w:lvl>
  </w:abstractNum>
  <w:abstractNum w:abstractNumId="12" w15:restartNumberingAfterBreak="0">
    <w:nsid w:val="36F93467"/>
    <w:multiLevelType w:val="hybridMultilevel"/>
    <w:tmpl w:val="265AA1EA"/>
    <w:lvl w:ilvl="0" w:tplc="0409000F">
      <w:start w:val="1"/>
      <w:numFmt w:val="bullet"/>
      <w:lvlText w:val=""/>
      <w:lvlJc w:val="left"/>
      <w:pPr>
        <w:tabs>
          <w:tab w:val="num" w:pos="720"/>
        </w:tabs>
        <w:ind w:left="720" w:hanging="360"/>
      </w:pPr>
      <w:rPr>
        <w:rFonts w:ascii="Wingdings" w:hAnsi="Wingdings" w:hint="default"/>
      </w:rPr>
    </w:lvl>
    <w:lvl w:ilvl="1" w:tplc="04090019">
      <w:start w:val="1"/>
      <w:numFmt w:val="decimal"/>
      <w:lvlText w:val="%2."/>
      <w:lvlJc w:val="left"/>
      <w:pPr>
        <w:tabs>
          <w:tab w:val="num" w:pos="1440"/>
        </w:tabs>
        <w:ind w:left="1440" w:hanging="360"/>
      </w:pPr>
      <w:rPr>
        <w:rFonts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344215"/>
    <w:multiLevelType w:val="hybridMultilevel"/>
    <w:tmpl w:val="E176083A"/>
    <w:lvl w:ilvl="0" w:tplc="D4181C54">
      <w:start w:val="33"/>
      <w:numFmt w:val="decimal"/>
      <w:lvlText w:val="%1."/>
      <w:lvlJc w:val="left"/>
      <w:pPr>
        <w:ind w:left="3060" w:hanging="360"/>
      </w:pPr>
      <w:rPr>
        <w:rFonts w:hint="default"/>
        <w:i w:val="0"/>
        <w:iCs/>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6F78E6"/>
    <w:multiLevelType w:val="hybridMultilevel"/>
    <w:tmpl w:val="8DCC3DEE"/>
    <w:lvl w:ilvl="0" w:tplc="04090019">
      <w:start w:val="1"/>
      <w:numFmt w:val="decimal"/>
      <w:lvlText w:val="%1."/>
      <w:lvlJc w:val="left"/>
      <w:pPr>
        <w:tabs>
          <w:tab w:val="num" w:pos="1080"/>
        </w:tabs>
        <w:ind w:left="1080" w:hanging="720"/>
      </w:pPr>
      <w:rPr>
        <w:rFonts w:hint="default"/>
        <w:b/>
        <w:i w:val="0"/>
      </w:rPr>
    </w:lvl>
    <w:lvl w:ilvl="1" w:tplc="04090019">
      <w:start w:val="1"/>
      <w:numFmt w:val="bullet"/>
      <w:lvlText w:val=""/>
      <w:lvlJc w:val="left"/>
      <w:pPr>
        <w:tabs>
          <w:tab w:val="num" w:pos="1440"/>
        </w:tabs>
        <w:ind w:left="1440" w:hanging="360"/>
      </w:pPr>
      <w:rPr>
        <w:rFonts w:ascii="Symbol" w:hAnsi="Symbol" w:hint="default"/>
        <w:sz w:val="2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0814D5B"/>
    <w:multiLevelType w:val="hybridMultilevel"/>
    <w:tmpl w:val="CB2E224E"/>
    <w:lvl w:ilvl="0" w:tplc="04090005">
      <w:start w:val="1"/>
      <w:numFmt w:val="bullet"/>
      <w:lvlText w:val=""/>
      <w:lvlJc w:val="left"/>
      <w:pPr>
        <w:tabs>
          <w:tab w:val="num" w:pos="720"/>
        </w:tabs>
        <w:ind w:left="720" w:hanging="360"/>
      </w:pPr>
      <w:rPr>
        <w:rFonts w:ascii="Symbol" w:hAnsi="Symbol" w:hint="default"/>
      </w:rPr>
    </w:lvl>
    <w:lvl w:ilvl="1" w:tplc="0409000F"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0C3583"/>
    <w:multiLevelType w:val="hybridMultilevel"/>
    <w:tmpl w:val="5E6CEDAC"/>
    <w:lvl w:ilvl="0" w:tplc="B4B0530A">
      <w:start w:val="1"/>
      <w:numFmt w:val="lowerRoman"/>
      <w:lvlText w:val="%1."/>
      <w:lvlJc w:val="right"/>
      <w:pPr>
        <w:tabs>
          <w:tab w:val="num" w:pos="2160"/>
        </w:tabs>
        <w:ind w:left="2160" w:hanging="720"/>
      </w:pPr>
      <w:rPr>
        <w:rFonts w:hint="default"/>
      </w:rPr>
    </w:lvl>
    <w:lvl w:ilvl="1" w:tplc="4AE6A9B8"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91868BE"/>
    <w:multiLevelType w:val="hybridMultilevel"/>
    <w:tmpl w:val="17B25BA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4E195D47"/>
    <w:multiLevelType w:val="hybridMultilevel"/>
    <w:tmpl w:val="763AF51A"/>
    <w:lvl w:ilvl="0" w:tplc="F17CDFA8">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565966F5"/>
    <w:multiLevelType w:val="hybridMultilevel"/>
    <w:tmpl w:val="48265E02"/>
    <w:lvl w:ilvl="0" w:tplc="D9AAD0BA">
      <w:start w:val="31"/>
      <w:numFmt w:val="decimal"/>
      <w:lvlText w:val="%1."/>
      <w:lvlJc w:val="left"/>
      <w:pPr>
        <w:ind w:left="720" w:hanging="360"/>
      </w:pPr>
      <w:rPr>
        <w:rFonts w:hint="default"/>
        <w:i w:val="0"/>
        <w:iCs/>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7B7086"/>
    <w:multiLevelType w:val="singleLevel"/>
    <w:tmpl w:val="D06EB10A"/>
    <w:lvl w:ilvl="0">
      <w:start w:val="1"/>
      <w:numFmt w:val="lowerLetter"/>
      <w:lvlText w:val="%1."/>
      <w:legacy w:legacy="1" w:legacySpace="0" w:legacyIndent="720"/>
      <w:lvlJc w:val="left"/>
      <w:pPr>
        <w:ind w:left="1440" w:hanging="720"/>
      </w:pPr>
    </w:lvl>
  </w:abstractNum>
  <w:abstractNum w:abstractNumId="21" w15:restartNumberingAfterBreak="0">
    <w:nsid w:val="60E74C9F"/>
    <w:multiLevelType w:val="hybridMultilevel"/>
    <w:tmpl w:val="D7D0E978"/>
    <w:lvl w:ilvl="0" w:tplc="7F16EE4C">
      <w:start w:val="1"/>
      <w:numFmt w:val="lowerLetter"/>
      <w:lvlText w:val="%1."/>
      <w:lvlJc w:val="left"/>
      <w:pPr>
        <w:tabs>
          <w:tab w:val="num" w:pos="1440"/>
        </w:tabs>
        <w:ind w:left="1440" w:hanging="72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1E904F5"/>
    <w:multiLevelType w:val="hybridMultilevel"/>
    <w:tmpl w:val="C546AF6A"/>
    <w:lvl w:ilvl="0" w:tplc="32FA1AA2">
      <w:start w:val="1"/>
      <w:numFmt w:val="lowerRoman"/>
      <w:lvlText w:val="%1."/>
      <w:lvlJc w:val="left"/>
      <w:pPr>
        <w:tabs>
          <w:tab w:val="num" w:pos="3600"/>
        </w:tabs>
        <w:ind w:left="3600" w:hanging="720"/>
      </w:pPr>
      <w:rPr>
        <w:rFonts w:hint="default"/>
      </w:rPr>
    </w:lvl>
    <w:lvl w:ilvl="1" w:tplc="01B02238" w:tentative="1">
      <w:start w:val="1"/>
      <w:numFmt w:val="lowerLetter"/>
      <w:lvlText w:val="%2."/>
      <w:lvlJc w:val="left"/>
      <w:pPr>
        <w:tabs>
          <w:tab w:val="num" w:pos="1440"/>
        </w:tabs>
        <w:ind w:left="1440" w:hanging="360"/>
      </w:pPr>
    </w:lvl>
    <w:lvl w:ilvl="2" w:tplc="106E87A0" w:tentative="1">
      <w:start w:val="1"/>
      <w:numFmt w:val="lowerRoman"/>
      <w:lvlText w:val="%3."/>
      <w:lvlJc w:val="right"/>
      <w:pPr>
        <w:tabs>
          <w:tab w:val="num" w:pos="2160"/>
        </w:tabs>
        <w:ind w:left="2160" w:hanging="180"/>
      </w:pPr>
    </w:lvl>
    <w:lvl w:ilvl="3" w:tplc="AFA03814" w:tentative="1">
      <w:start w:val="1"/>
      <w:numFmt w:val="decimal"/>
      <w:lvlText w:val="%4."/>
      <w:lvlJc w:val="left"/>
      <w:pPr>
        <w:tabs>
          <w:tab w:val="num" w:pos="2880"/>
        </w:tabs>
        <w:ind w:left="2880" w:hanging="360"/>
      </w:pPr>
    </w:lvl>
    <w:lvl w:ilvl="4" w:tplc="C2801E52" w:tentative="1">
      <w:start w:val="1"/>
      <w:numFmt w:val="lowerLetter"/>
      <w:lvlText w:val="%5."/>
      <w:lvlJc w:val="left"/>
      <w:pPr>
        <w:tabs>
          <w:tab w:val="num" w:pos="3600"/>
        </w:tabs>
        <w:ind w:left="3600" w:hanging="360"/>
      </w:pPr>
    </w:lvl>
    <w:lvl w:ilvl="5" w:tplc="ADA2D500" w:tentative="1">
      <w:start w:val="1"/>
      <w:numFmt w:val="lowerRoman"/>
      <w:lvlText w:val="%6."/>
      <w:lvlJc w:val="right"/>
      <w:pPr>
        <w:tabs>
          <w:tab w:val="num" w:pos="4320"/>
        </w:tabs>
        <w:ind w:left="4320" w:hanging="180"/>
      </w:pPr>
    </w:lvl>
    <w:lvl w:ilvl="6" w:tplc="DF3228D2" w:tentative="1">
      <w:start w:val="1"/>
      <w:numFmt w:val="decimal"/>
      <w:lvlText w:val="%7."/>
      <w:lvlJc w:val="left"/>
      <w:pPr>
        <w:tabs>
          <w:tab w:val="num" w:pos="5040"/>
        </w:tabs>
        <w:ind w:left="5040" w:hanging="360"/>
      </w:pPr>
    </w:lvl>
    <w:lvl w:ilvl="7" w:tplc="4F365426" w:tentative="1">
      <w:start w:val="1"/>
      <w:numFmt w:val="lowerLetter"/>
      <w:lvlText w:val="%8."/>
      <w:lvlJc w:val="left"/>
      <w:pPr>
        <w:tabs>
          <w:tab w:val="num" w:pos="5760"/>
        </w:tabs>
        <w:ind w:left="5760" w:hanging="360"/>
      </w:pPr>
    </w:lvl>
    <w:lvl w:ilvl="8" w:tplc="A55A1A0E" w:tentative="1">
      <w:start w:val="1"/>
      <w:numFmt w:val="lowerRoman"/>
      <w:lvlText w:val="%9."/>
      <w:lvlJc w:val="right"/>
      <w:pPr>
        <w:tabs>
          <w:tab w:val="num" w:pos="6480"/>
        </w:tabs>
        <w:ind w:left="6480" w:hanging="180"/>
      </w:pPr>
    </w:lvl>
  </w:abstractNum>
  <w:abstractNum w:abstractNumId="23" w15:restartNumberingAfterBreak="0">
    <w:nsid w:val="63255417"/>
    <w:multiLevelType w:val="multilevel"/>
    <w:tmpl w:val="6ACC9F64"/>
    <w:lvl w:ilvl="0">
      <w:start w:val="1"/>
      <w:numFmt w:val="decimal"/>
      <w:lvlText w:val="%1."/>
      <w:lvlJc w:val="left"/>
      <w:pPr>
        <w:tabs>
          <w:tab w:val="num" w:pos="1800"/>
        </w:tabs>
        <w:ind w:left="1800" w:hanging="360"/>
      </w:p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4" w15:restartNumberingAfterBreak="0">
    <w:nsid w:val="632E2E27"/>
    <w:multiLevelType w:val="hybridMultilevel"/>
    <w:tmpl w:val="97DC6420"/>
    <w:lvl w:ilvl="0" w:tplc="DF8A357A">
      <w:start w:val="1"/>
      <w:numFmt w:val="lowerLetter"/>
      <w:lvlText w:val="%1."/>
      <w:lvlJc w:val="left"/>
      <w:pPr>
        <w:tabs>
          <w:tab w:val="num" w:pos="0"/>
        </w:tabs>
        <w:ind w:left="1440" w:hanging="720"/>
      </w:pPr>
      <w:rPr>
        <w:rFonts w:hint="default"/>
      </w:rPr>
    </w:lvl>
    <w:lvl w:ilvl="1" w:tplc="04090019">
      <w:start w:val="1"/>
      <w:numFmt w:val="lowerRoman"/>
      <w:lvlText w:val="%2."/>
      <w:lvlJc w:val="right"/>
      <w:pPr>
        <w:tabs>
          <w:tab w:val="num" w:pos="1260"/>
        </w:tabs>
        <w:ind w:left="1260" w:hanging="180"/>
      </w:pPr>
    </w:lvl>
    <w:lvl w:ilvl="2" w:tplc="0409001B">
      <w:start w:val="1"/>
      <w:numFmt w:val="lowerRoman"/>
      <w:lvlText w:val="%3."/>
      <w:lvlJc w:val="right"/>
      <w:pPr>
        <w:tabs>
          <w:tab w:val="num" w:pos="2160"/>
        </w:tabs>
        <w:ind w:left="2160" w:hanging="720"/>
      </w:pPr>
      <w:rPr>
        <w:rFonts w:hint="default"/>
      </w:rPr>
    </w:lvl>
    <w:lvl w:ilvl="3" w:tplc="0409000F">
      <w:start w:val="1"/>
      <w:numFmt w:val="lowerLetter"/>
      <w:pStyle w:val="ListNumber2"/>
      <w:lvlText w:val="%4."/>
      <w:lvlJc w:val="left"/>
      <w:pPr>
        <w:tabs>
          <w:tab w:val="num" w:pos="1800"/>
        </w:tabs>
        <w:ind w:left="3240" w:hanging="72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32C3769"/>
    <w:multiLevelType w:val="singleLevel"/>
    <w:tmpl w:val="D06EB10A"/>
    <w:lvl w:ilvl="0">
      <w:start w:val="1"/>
      <w:numFmt w:val="lowerLetter"/>
      <w:lvlText w:val="%1."/>
      <w:legacy w:legacy="1" w:legacySpace="0" w:legacyIndent="720"/>
      <w:lvlJc w:val="left"/>
      <w:pPr>
        <w:ind w:left="1440" w:hanging="720"/>
      </w:pPr>
    </w:lvl>
  </w:abstractNum>
  <w:abstractNum w:abstractNumId="26" w15:restartNumberingAfterBreak="0">
    <w:nsid w:val="7A2231DD"/>
    <w:multiLevelType w:val="multilevel"/>
    <w:tmpl w:val="E3246638"/>
    <w:lvl w:ilvl="0">
      <w:start w:val="1"/>
      <w:numFmt w:val="decimal"/>
      <w:lvlText w:val="%1."/>
      <w:legacy w:legacy="1" w:legacySpace="0" w:legacyIndent="720"/>
      <w:lvlJc w:val="left"/>
    </w:lvl>
    <w:lvl w:ilvl="1">
      <w:start w:val="1"/>
      <w:numFmt w:val="lowerRoman"/>
      <w:lvlText w:val="%2."/>
      <w:lvlJc w:val="right"/>
      <w:pPr>
        <w:tabs>
          <w:tab w:val="num" w:pos="1980"/>
        </w:tabs>
        <w:ind w:left="1980" w:hanging="180"/>
      </w:pPr>
    </w:lvl>
    <w:lvl w:ilvl="2">
      <w:start w:val="1"/>
      <w:numFmt w:val="lowerRoman"/>
      <w:lvlText w:val="%3."/>
      <w:lvlJc w:val="right"/>
      <w:pPr>
        <w:tabs>
          <w:tab w:val="num" w:pos="2880"/>
        </w:tabs>
        <w:ind w:left="2880" w:hanging="720"/>
      </w:pPr>
      <w:rPr>
        <w:rFonts w:hint="default"/>
      </w:rPr>
    </w:lvl>
    <w:lvl w:ilvl="3">
      <w:start w:val="1"/>
      <w:numFmt w:val="lowerLetter"/>
      <w:lvlText w:val="%4."/>
      <w:lvlJc w:val="left"/>
      <w:pPr>
        <w:tabs>
          <w:tab w:val="num" w:pos="2520"/>
        </w:tabs>
        <w:ind w:left="3960" w:hanging="720"/>
      </w:pPr>
    </w:lvl>
    <w:lvl w:ilvl="4">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7" w15:restartNumberingAfterBreak="0">
    <w:nsid w:val="7B2C2C1B"/>
    <w:multiLevelType w:val="multilevel"/>
    <w:tmpl w:val="994A57C2"/>
    <w:lvl w:ilvl="0">
      <w:start w:val="1"/>
      <w:numFmt w:val="lowerLetter"/>
      <w:lvlText w:val="%1."/>
      <w:legacy w:legacy="1" w:legacySpace="0" w:legacyIndent="720"/>
      <w:lvlJc w:val="left"/>
      <w:pPr>
        <w:ind w:left="720" w:hanging="720"/>
      </w:pPr>
    </w:lvl>
    <w:lvl w:ilvl="1">
      <w:start w:val="1"/>
      <w:numFmt w:val="lowerRoman"/>
      <w:lvlText w:val="%2."/>
      <w:legacy w:legacy="1" w:legacySpace="0" w:legacyIndent="720"/>
      <w:lvlJc w:val="left"/>
      <w:pPr>
        <w:ind w:left="1440" w:hanging="720"/>
      </w:pPr>
      <w:rPr>
        <w:rFonts w:ascii="Tms Rmn" w:hAnsi="Tms Rmn" w:hint="default"/>
      </w:rPr>
    </w:lvl>
    <w:lvl w:ilvl="2">
      <w:numFmt w:val="none"/>
      <w:lvlText w:val=""/>
      <w:legacy w:legacy="1" w:legacySpace="0" w:legacyIndent="0"/>
      <w:lvlJc w:val="left"/>
      <w:rPr>
        <w:rFonts w:ascii="Tms Rmn" w:hAnsi="Tms Rmn" w:hint="default"/>
      </w:rPr>
    </w:lvl>
    <w:lvl w:ilvl="3">
      <w:numFmt w:val="none"/>
      <w:lvlText w:val=""/>
      <w:legacy w:legacy="1" w:legacySpace="0" w:legacyIndent="0"/>
      <w:lvlJc w:val="left"/>
      <w:rPr>
        <w:rFonts w:ascii="Tms Rmn" w:hAnsi="Tms Rmn" w:hint="default"/>
      </w:rPr>
    </w:lvl>
    <w:lvl w:ilvl="4">
      <w:numFmt w:val="none"/>
      <w:lvlText w:val=""/>
      <w:legacy w:legacy="1" w:legacySpace="0" w:legacyIndent="0"/>
      <w:lvlJc w:val="left"/>
      <w:rPr>
        <w:rFonts w:ascii="Tms Rmn" w:hAnsi="Tms Rmn" w:hint="default"/>
      </w:rPr>
    </w:lvl>
    <w:lvl w:ilvl="5">
      <w:numFmt w:val="none"/>
      <w:lvlText w:val=""/>
      <w:legacy w:legacy="1" w:legacySpace="0" w:legacyIndent="0"/>
      <w:lvlJc w:val="left"/>
      <w:rPr>
        <w:rFonts w:ascii="Tms Rmn" w:hAnsi="Tms Rmn" w:hint="default"/>
      </w:rPr>
    </w:lvl>
    <w:lvl w:ilvl="6">
      <w:numFmt w:val="none"/>
      <w:lvlText w:val=""/>
      <w:legacy w:legacy="1" w:legacySpace="0" w:legacyIndent="0"/>
      <w:lvlJc w:val="left"/>
      <w:rPr>
        <w:rFonts w:ascii="Tms Rmn" w:hAnsi="Tms Rmn" w:hint="default"/>
      </w:rPr>
    </w:lvl>
    <w:lvl w:ilvl="7">
      <w:numFmt w:val="none"/>
      <w:lvlText w:val=""/>
      <w:legacy w:legacy="1" w:legacySpace="0" w:legacyIndent="0"/>
      <w:lvlJc w:val="left"/>
      <w:rPr>
        <w:rFonts w:ascii="Tms Rmn" w:hAnsi="Tms Rmn" w:hint="default"/>
      </w:rPr>
    </w:lvl>
    <w:lvl w:ilvl="8">
      <w:numFmt w:val="none"/>
      <w:lvlText w:val=""/>
      <w:legacy w:legacy="1" w:legacySpace="0" w:legacyIndent="0"/>
      <w:lvlJc w:val="left"/>
      <w:rPr>
        <w:rFonts w:ascii="Tms Rmn" w:hAnsi="Tms Rmn" w:hint="default"/>
      </w:rPr>
    </w:lvl>
  </w:abstractNum>
  <w:num w:numId="1" w16cid:durableId="949124495">
    <w:abstractNumId w:val="14"/>
  </w:num>
  <w:num w:numId="2" w16cid:durableId="124473872">
    <w:abstractNumId w:val="24"/>
  </w:num>
  <w:num w:numId="3" w16cid:durableId="1736200778">
    <w:abstractNumId w:val="21"/>
  </w:num>
  <w:num w:numId="4" w16cid:durableId="1753817529">
    <w:abstractNumId w:val="16"/>
  </w:num>
  <w:num w:numId="5" w16cid:durableId="1117600130">
    <w:abstractNumId w:val="17"/>
  </w:num>
  <w:num w:numId="6" w16cid:durableId="696123471">
    <w:abstractNumId w:val="12"/>
  </w:num>
  <w:num w:numId="7" w16cid:durableId="2084600477">
    <w:abstractNumId w:val="9"/>
  </w:num>
  <w:num w:numId="8" w16cid:durableId="1195928133">
    <w:abstractNumId w:val="15"/>
  </w:num>
  <w:num w:numId="9" w16cid:durableId="1426073380">
    <w:abstractNumId w:val="20"/>
  </w:num>
  <w:num w:numId="10" w16cid:durableId="1901748065">
    <w:abstractNumId w:val="22"/>
  </w:num>
  <w:num w:numId="11" w16cid:durableId="1629050746">
    <w:abstractNumId w:val="4"/>
  </w:num>
  <w:num w:numId="12" w16cid:durableId="1453746734">
    <w:abstractNumId w:val="18"/>
  </w:num>
  <w:num w:numId="13" w16cid:durableId="1894609188">
    <w:abstractNumId w:val="23"/>
  </w:num>
  <w:num w:numId="14" w16cid:durableId="1117023081">
    <w:abstractNumId w:val="0"/>
  </w:num>
  <w:num w:numId="15" w16cid:durableId="289482149">
    <w:abstractNumId w:val="7"/>
  </w:num>
  <w:num w:numId="16" w16cid:durableId="900989026">
    <w:abstractNumId w:val="25"/>
  </w:num>
  <w:num w:numId="17" w16cid:durableId="1801680105">
    <w:abstractNumId w:val="27"/>
  </w:num>
  <w:num w:numId="18" w16cid:durableId="2071998960">
    <w:abstractNumId w:val="2"/>
    <w:lvlOverride w:ilvl="0">
      <w:lvl w:ilvl="0">
        <w:start w:val="1"/>
        <w:numFmt w:val="bullet"/>
        <w:pStyle w:val="ListBullet2"/>
        <w:lvlText w:val=""/>
        <w:legacy w:legacy="1" w:legacySpace="0" w:legacyIndent="720"/>
        <w:lvlJc w:val="left"/>
        <w:pPr>
          <w:ind w:left="1440" w:hanging="720"/>
        </w:pPr>
        <w:rPr>
          <w:rFonts w:ascii="Symbol" w:hAnsi="Symbol" w:hint="default"/>
        </w:rPr>
      </w:lvl>
    </w:lvlOverride>
  </w:num>
  <w:num w:numId="19" w16cid:durableId="81491737">
    <w:abstractNumId w:val="11"/>
  </w:num>
  <w:num w:numId="20" w16cid:durableId="1211115873">
    <w:abstractNumId w:val="5"/>
  </w:num>
  <w:num w:numId="21" w16cid:durableId="1381897201">
    <w:abstractNumId w:val="1"/>
  </w:num>
  <w:num w:numId="22" w16cid:durableId="1266115158">
    <w:abstractNumId w:val="26"/>
  </w:num>
  <w:num w:numId="23" w16cid:durableId="34931900">
    <w:abstractNumId w:val="1"/>
  </w:num>
  <w:num w:numId="24" w16cid:durableId="353313877">
    <w:abstractNumId w:val="8"/>
  </w:num>
  <w:num w:numId="25" w16cid:durableId="366297002">
    <w:abstractNumId w:val="10"/>
  </w:num>
  <w:num w:numId="26" w16cid:durableId="1744060358">
    <w:abstractNumId w:val="19"/>
  </w:num>
  <w:num w:numId="27" w16cid:durableId="1832024108">
    <w:abstractNumId w:val="6"/>
  </w:num>
  <w:num w:numId="28" w16cid:durableId="1683319364">
    <w:abstractNumId w:val="3"/>
  </w:num>
  <w:num w:numId="29" w16cid:durableId="628439752">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ultz, Jake">
    <w15:presenceInfo w15:providerId="AD" w15:userId="S::jstultz@naic.org::cdc45a42-0d16-4b8d-9572-7f7eb7d913df"/>
  </w15:person>
  <w15:person w15:author="Jacks, Wendy">
    <w15:presenceInfo w15:providerId="AD" w15:userId="S::wjacks@naic.org::1fe21bd6-7762-4eec-9e6a-6df38c77a805"/>
  </w15:person>
  <w15:person w15:author="Stultz, Jake 1">
    <w15:presenceInfo w15:providerId="None" w15:userId="Stultz, Jake 1"/>
  </w15:person>
  <w15:person w15:author="Marcotte, Robin">
    <w15:presenceInfo w15:providerId="AD" w15:userId="S::rmarcotte@naic.org::a1b2a964-3ea4-4632-b2ed-def413f86b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9B4"/>
    <w:rsid w:val="00001313"/>
    <w:rsid w:val="000021EC"/>
    <w:rsid w:val="00002ACC"/>
    <w:rsid w:val="00004652"/>
    <w:rsid w:val="00006841"/>
    <w:rsid w:val="00016321"/>
    <w:rsid w:val="00031A2E"/>
    <w:rsid w:val="00034B2F"/>
    <w:rsid w:val="0003699E"/>
    <w:rsid w:val="0003709A"/>
    <w:rsid w:val="00053FAC"/>
    <w:rsid w:val="000579B6"/>
    <w:rsid w:val="00062300"/>
    <w:rsid w:val="000641E6"/>
    <w:rsid w:val="00091380"/>
    <w:rsid w:val="000967FA"/>
    <w:rsid w:val="000B372C"/>
    <w:rsid w:val="000C2614"/>
    <w:rsid w:val="000C62C3"/>
    <w:rsid w:val="000C700D"/>
    <w:rsid w:val="000D5386"/>
    <w:rsid w:val="000D6AE8"/>
    <w:rsid w:val="000E1131"/>
    <w:rsid w:val="000E16CA"/>
    <w:rsid w:val="000E3325"/>
    <w:rsid w:val="000E658F"/>
    <w:rsid w:val="000F62E0"/>
    <w:rsid w:val="001073F3"/>
    <w:rsid w:val="0012230C"/>
    <w:rsid w:val="00133830"/>
    <w:rsid w:val="0013539B"/>
    <w:rsid w:val="001677C7"/>
    <w:rsid w:val="001760A7"/>
    <w:rsid w:val="0018399F"/>
    <w:rsid w:val="00184144"/>
    <w:rsid w:val="00184D10"/>
    <w:rsid w:val="0019505A"/>
    <w:rsid w:val="00196B7F"/>
    <w:rsid w:val="001B3138"/>
    <w:rsid w:val="001C35D7"/>
    <w:rsid w:val="001E3199"/>
    <w:rsid w:val="001F3CF4"/>
    <w:rsid w:val="001F46EB"/>
    <w:rsid w:val="002015FA"/>
    <w:rsid w:val="00203FF7"/>
    <w:rsid w:val="002046F5"/>
    <w:rsid w:val="00215222"/>
    <w:rsid w:val="00223500"/>
    <w:rsid w:val="0023143D"/>
    <w:rsid w:val="0024539E"/>
    <w:rsid w:val="00261273"/>
    <w:rsid w:val="00261D8E"/>
    <w:rsid w:val="00264151"/>
    <w:rsid w:val="00267EF3"/>
    <w:rsid w:val="002757D9"/>
    <w:rsid w:val="002815AD"/>
    <w:rsid w:val="002A1316"/>
    <w:rsid w:val="002A44FE"/>
    <w:rsid w:val="002A5A05"/>
    <w:rsid w:val="002B2756"/>
    <w:rsid w:val="002C206C"/>
    <w:rsid w:val="002D70E6"/>
    <w:rsid w:val="002F20AE"/>
    <w:rsid w:val="002F6FF9"/>
    <w:rsid w:val="003021BB"/>
    <w:rsid w:val="00304CEC"/>
    <w:rsid w:val="003148E8"/>
    <w:rsid w:val="003149AA"/>
    <w:rsid w:val="0032548F"/>
    <w:rsid w:val="00325660"/>
    <w:rsid w:val="003325E9"/>
    <w:rsid w:val="00333FC0"/>
    <w:rsid w:val="00335804"/>
    <w:rsid w:val="00335B42"/>
    <w:rsid w:val="003415C3"/>
    <w:rsid w:val="0034544B"/>
    <w:rsid w:val="0035609F"/>
    <w:rsid w:val="00357190"/>
    <w:rsid w:val="00360B48"/>
    <w:rsid w:val="0039600A"/>
    <w:rsid w:val="003A0172"/>
    <w:rsid w:val="003A2D8D"/>
    <w:rsid w:val="003B12DE"/>
    <w:rsid w:val="003B2CEE"/>
    <w:rsid w:val="003C19D8"/>
    <w:rsid w:val="003D2D19"/>
    <w:rsid w:val="003D62C4"/>
    <w:rsid w:val="003E5822"/>
    <w:rsid w:val="0040093D"/>
    <w:rsid w:val="0040337C"/>
    <w:rsid w:val="00405053"/>
    <w:rsid w:val="00405144"/>
    <w:rsid w:val="004128F1"/>
    <w:rsid w:val="00415910"/>
    <w:rsid w:val="00417E75"/>
    <w:rsid w:val="00422CB8"/>
    <w:rsid w:val="0043386F"/>
    <w:rsid w:val="00434970"/>
    <w:rsid w:val="00435DAC"/>
    <w:rsid w:val="0044022E"/>
    <w:rsid w:val="00446244"/>
    <w:rsid w:val="00450C68"/>
    <w:rsid w:val="004516AB"/>
    <w:rsid w:val="0045228C"/>
    <w:rsid w:val="00452842"/>
    <w:rsid w:val="00455BCB"/>
    <w:rsid w:val="004829CD"/>
    <w:rsid w:val="00484643"/>
    <w:rsid w:val="0048680B"/>
    <w:rsid w:val="0048685A"/>
    <w:rsid w:val="00490996"/>
    <w:rsid w:val="004914BA"/>
    <w:rsid w:val="004953BB"/>
    <w:rsid w:val="0049733D"/>
    <w:rsid w:val="004A166E"/>
    <w:rsid w:val="004B51B6"/>
    <w:rsid w:val="004C5832"/>
    <w:rsid w:val="004D4855"/>
    <w:rsid w:val="004E2BB9"/>
    <w:rsid w:val="004E3B7D"/>
    <w:rsid w:val="00500A32"/>
    <w:rsid w:val="00511DA9"/>
    <w:rsid w:val="00512A65"/>
    <w:rsid w:val="00513239"/>
    <w:rsid w:val="0052307F"/>
    <w:rsid w:val="00524C78"/>
    <w:rsid w:val="00537FDC"/>
    <w:rsid w:val="0054301B"/>
    <w:rsid w:val="00547A54"/>
    <w:rsid w:val="0055420B"/>
    <w:rsid w:val="00556878"/>
    <w:rsid w:val="00557977"/>
    <w:rsid w:val="00562444"/>
    <w:rsid w:val="00564C02"/>
    <w:rsid w:val="0057078A"/>
    <w:rsid w:val="00570A9A"/>
    <w:rsid w:val="00580536"/>
    <w:rsid w:val="005A259E"/>
    <w:rsid w:val="005B2A2E"/>
    <w:rsid w:val="005B478B"/>
    <w:rsid w:val="005C0A4B"/>
    <w:rsid w:val="005C35CE"/>
    <w:rsid w:val="005D195C"/>
    <w:rsid w:val="005D26D6"/>
    <w:rsid w:val="005E0AB2"/>
    <w:rsid w:val="005E15E0"/>
    <w:rsid w:val="005E6916"/>
    <w:rsid w:val="00624E04"/>
    <w:rsid w:val="00626152"/>
    <w:rsid w:val="00626EC0"/>
    <w:rsid w:val="00630368"/>
    <w:rsid w:val="00634598"/>
    <w:rsid w:val="00637C40"/>
    <w:rsid w:val="00647DF2"/>
    <w:rsid w:val="0065035C"/>
    <w:rsid w:val="00654938"/>
    <w:rsid w:val="00676A9F"/>
    <w:rsid w:val="00686960"/>
    <w:rsid w:val="00690138"/>
    <w:rsid w:val="006A4DF3"/>
    <w:rsid w:val="006B16B1"/>
    <w:rsid w:val="006B2697"/>
    <w:rsid w:val="006B37DD"/>
    <w:rsid w:val="006C5B27"/>
    <w:rsid w:val="006D07A2"/>
    <w:rsid w:val="006D3A59"/>
    <w:rsid w:val="006D61FE"/>
    <w:rsid w:val="006E5078"/>
    <w:rsid w:val="006E70EF"/>
    <w:rsid w:val="006E7D16"/>
    <w:rsid w:val="006F394F"/>
    <w:rsid w:val="00706B68"/>
    <w:rsid w:val="007115A0"/>
    <w:rsid w:val="00715743"/>
    <w:rsid w:val="0072525D"/>
    <w:rsid w:val="007306B9"/>
    <w:rsid w:val="00741E96"/>
    <w:rsid w:val="0074712D"/>
    <w:rsid w:val="00756AE3"/>
    <w:rsid w:val="007574AB"/>
    <w:rsid w:val="00761440"/>
    <w:rsid w:val="00763F1E"/>
    <w:rsid w:val="007646F6"/>
    <w:rsid w:val="00774EEB"/>
    <w:rsid w:val="007767B8"/>
    <w:rsid w:val="007774AA"/>
    <w:rsid w:val="00785FAD"/>
    <w:rsid w:val="00787104"/>
    <w:rsid w:val="00794B81"/>
    <w:rsid w:val="00795898"/>
    <w:rsid w:val="007A22E9"/>
    <w:rsid w:val="007A25D4"/>
    <w:rsid w:val="007A77D6"/>
    <w:rsid w:val="007B4554"/>
    <w:rsid w:val="007B7403"/>
    <w:rsid w:val="007C260F"/>
    <w:rsid w:val="007C7D98"/>
    <w:rsid w:val="007D4425"/>
    <w:rsid w:val="007D569C"/>
    <w:rsid w:val="007E75E5"/>
    <w:rsid w:val="007F1389"/>
    <w:rsid w:val="007F344C"/>
    <w:rsid w:val="00806FC1"/>
    <w:rsid w:val="008134B6"/>
    <w:rsid w:val="00830174"/>
    <w:rsid w:val="00837754"/>
    <w:rsid w:val="008424D9"/>
    <w:rsid w:val="008461B5"/>
    <w:rsid w:val="00856202"/>
    <w:rsid w:val="00860E5D"/>
    <w:rsid w:val="008758B4"/>
    <w:rsid w:val="00875C9E"/>
    <w:rsid w:val="008850C2"/>
    <w:rsid w:val="008869A6"/>
    <w:rsid w:val="00891A30"/>
    <w:rsid w:val="008949BA"/>
    <w:rsid w:val="008C3768"/>
    <w:rsid w:val="008C3A60"/>
    <w:rsid w:val="008C59AA"/>
    <w:rsid w:val="008E3469"/>
    <w:rsid w:val="008F4535"/>
    <w:rsid w:val="008F777F"/>
    <w:rsid w:val="00911926"/>
    <w:rsid w:val="00912704"/>
    <w:rsid w:val="0092196B"/>
    <w:rsid w:val="009249B4"/>
    <w:rsid w:val="00932785"/>
    <w:rsid w:val="0094015A"/>
    <w:rsid w:val="00957780"/>
    <w:rsid w:val="009657BD"/>
    <w:rsid w:val="00972A11"/>
    <w:rsid w:val="00976172"/>
    <w:rsid w:val="00980638"/>
    <w:rsid w:val="00984BB6"/>
    <w:rsid w:val="00984FA6"/>
    <w:rsid w:val="0098632A"/>
    <w:rsid w:val="009974D7"/>
    <w:rsid w:val="009B20EB"/>
    <w:rsid w:val="009B284F"/>
    <w:rsid w:val="009B3201"/>
    <w:rsid w:val="009C1D6C"/>
    <w:rsid w:val="009C5DE0"/>
    <w:rsid w:val="009C6EA8"/>
    <w:rsid w:val="009C702B"/>
    <w:rsid w:val="009F5C51"/>
    <w:rsid w:val="00A11581"/>
    <w:rsid w:val="00A14405"/>
    <w:rsid w:val="00A2017E"/>
    <w:rsid w:val="00A202AF"/>
    <w:rsid w:val="00A25352"/>
    <w:rsid w:val="00A423ED"/>
    <w:rsid w:val="00A504C0"/>
    <w:rsid w:val="00A515D7"/>
    <w:rsid w:val="00A541A3"/>
    <w:rsid w:val="00A66E66"/>
    <w:rsid w:val="00A73891"/>
    <w:rsid w:val="00A76F57"/>
    <w:rsid w:val="00A82C39"/>
    <w:rsid w:val="00A84CAA"/>
    <w:rsid w:val="00A92C59"/>
    <w:rsid w:val="00A93F32"/>
    <w:rsid w:val="00AA1DC0"/>
    <w:rsid w:val="00AA6691"/>
    <w:rsid w:val="00AA75E6"/>
    <w:rsid w:val="00AB21FC"/>
    <w:rsid w:val="00AB78C4"/>
    <w:rsid w:val="00AB7FF3"/>
    <w:rsid w:val="00AC14AF"/>
    <w:rsid w:val="00AC6B73"/>
    <w:rsid w:val="00AD53BF"/>
    <w:rsid w:val="00AE6149"/>
    <w:rsid w:val="00AE74CF"/>
    <w:rsid w:val="00AF3A07"/>
    <w:rsid w:val="00B07EC2"/>
    <w:rsid w:val="00B10C19"/>
    <w:rsid w:val="00B26291"/>
    <w:rsid w:val="00B30CA0"/>
    <w:rsid w:val="00B326E0"/>
    <w:rsid w:val="00B4323C"/>
    <w:rsid w:val="00B45309"/>
    <w:rsid w:val="00B5298B"/>
    <w:rsid w:val="00B53AAA"/>
    <w:rsid w:val="00B556C4"/>
    <w:rsid w:val="00B66DE6"/>
    <w:rsid w:val="00B6797B"/>
    <w:rsid w:val="00B818D7"/>
    <w:rsid w:val="00BB5939"/>
    <w:rsid w:val="00BC4DB4"/>
    <w:rsid w:val="00BF13B4"/>
    <w:rsid w:val="00C04FA0"/>
    <w:rsid w:val="00C051DB"/>
    <w:rsid w:val="00C140B2"/>
    <w:rsid w:val="00C15505"/>
    <w:rsid w:val="00C24F5D"/>
    <w:rsid w:val="00C26B71"/>
    <w:rsid w:val="00C46F8C"/>
    <w:rsid w:val="00C53231"/>
    <w:rsid w:val="00C6544D"/>
    <w:rsid w:val="00C71C2C"/>
    <w:rsid w:val="00C83319"/>
    <w:rsid w:val="00C858C2"/>
    <w:rsid w:val="00C87A00"/>
    <w:rsid w:val="00C9066D"/>
    <w:rsid w:val="00C96603"/>
    <w:rsid w:val="00CA39BF"/>
    <w:rsid w:val="00CA4E49"/>
    <w:rsid w:val="00CB7CFA"/>
    <w:rsid w:val="00CC4C6E"/>
    <w:rsid w:val="00CC53AA"/>
    <w:rsid w:val="00CD2A47"/>
    <w:rsid w:val="00CE2F5D"/>
    <w:rsid w:val="00CE3B76"/>
    <w:rsid w:val="00CE6A23"/>
    <w:rsid w:val="00CF1A89"/>
    <w:rsid w:val="00CF3750"/>
    <w:rsid w:val="00CF380A"/>
    <w:rsid w:val="00CF63C0"/>
    <w:rsid w:val="00D104CC"/>
    <w:rsid w:val="00D21513"/>
    <w:rsid w:val="00D26719"/>
    <w:rsid w:val="00D506C4"/>
    <w:rsid w:val="00D6623D"/>
    <w:rsid w:val="00D74081"/>
    <w:rsid w:val="00D766B3"/>
    <w:rsid w:val="00D77C54"/>
    <w:rsid w:val="00D815D2"/>
    <w:rsid w:val="00D820F1"/>
    <w:rsid w:val="00D82255"/>
    <w:rsid w:val="00D85148"/>
    <w:rsid w:val="00D924B0"/>
    <w:rsid w:val="00D95772"/>
    <w:rsid w:val="00DA1C46"/>
    <w:rsid w:val="00DA457A"/>
    <w:rsid w:val="00DA5275"/>
    <w:rsid w:val="00DB596A"/>
    <w:rsid w:val="00DC071A"/>
    <w:rsid w:val="00DC3CFA"/>
    <w:rsid w:val="00DD0D80"/>
    <w:rsid w:val="00DD58EB"/>
    <w:rsid w:val="00DE2160"/>
    <w:rsid w:val="00DE6645"/>
    <w:rsid w:val="00DF04CE"/>
    <w:rsid w:val="00DF0938"/>
    <w:rsid w:val="00DF407B"/>
    <w:rsid w:val="00E01062"/>
    <w:rsid w:val="00E0725F"/>
    <w:rsid w:val="00E077F0"/>
    <w:rsid w:val="00E136A0"/>
    <w:rsid w:val="00E13A6A"/>
    <w:rsid w:val="00E2462E"/>
    <w:rsid w:val="00E24B54"/>
    <w:rsid w:val="00E303DC"/>
    <w:rsid w:val="00E30ACC"/>
    <w:rsid w:val="00E32831"/>
    <w:rsid w:val="00E46E08"/>
    <w:rsid w:val="00E86E16"/>
    <w:rsid w:val="00E90A65"/>
    <w:rsid w:val="00E92DE9"/>
    <w:rsid w:val="00EA2736"/>
    <w:rsid w:val="00EC15C1"/>
    <w:rsid w:val="00EC61F1"/>
    <w:rsid w:val="00EF720B"/>
    <w:rsid w:val="00F03BA4"/>
    <w:rsid w:val="00F04F9A"/>
    <w:rsid w:val="00F05F13"/>
    <w:rsid w:val="00F179AD"/>
    <w:rsid w:val="00F17FF8"/>
    <w:rsid w:val="00F30699"/>
    <w:rsid w:val="00F35423"/>
    <w:rsid w:val="00F36D97"/>
    <w:rsid w:val="00F41226"/>
    <w:rsid w:val="00F458AE"/>
    <w:rsid w:val="00F45D51"/>
    <w:rsid w:val="00F721C3"/>
    <w:rsid w:val="00F723F1"/>
    <w:rsid w:val="00F73CB4"/>
    <w:rsid w:val="00F81922"/>
    <w:rsid w:val="00F83F97"/>
    <w:rsid w:val="00F858B9"/>
    <w:rsid w:val="00F90489"/>
    <w:rsid w:val="00F936DB"/>
    <w:rsid w:val="00FA03C5"/>
    <w:rsid w:val="00FC0C1C"/>
    <w:rsid w:val="00FC5A2B"/>
    <w:rsid w:val="00FD73B2"/>
    <w:rsid w:val="00FE7FAA"/>
    <w:rsid w:val="00FF1017"/>
    <w:rsid w:val="00FF35A1"/>
    <w:rsid w:val="00FF4B84"/>
    <w:rsid w:val="00FF6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EA474C"/>
  <w15:docId w15:val="{221A1F5C-2B59-4BE2-8755-54BE12310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7FF8"/>
    <w:rPr>
      <w:sz w:val="24"/>
      <w:szCs w:val="24"/>
    </w:rPr>
  </w:style>
  <w:style w:type="paragraph" w:styleId="Heading2">
    <w:name w:val="heading 2"/>
    <w:basedOn w:val="Normal"/>
    <w:next w:val="Normal"/>
    <w:qFormat/>
    <w:pPr>
      <w:keepNext/>
      <w:jc w:val="both"/>
      <w:outlineLvl w:val="1"/>
    </w:pPr>
    <w:rPr>
      <w:szCs w:val="20"/>
    </w:rPr>
  </w:style>
  <w:style w:type="paragraph" w:styleId="Heading3">
    <w:name w:val="heading 3"/>
    <w:basedOn w:val="Normal"/>
    <w:next w:val="Normal"/>
    <w:qFormat/>
    <w:rsid w:val="0034544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Cs w:val="20"/>
    </w:rPr>
  </w:style>
  <w:style w:type="paragraph" w:styleId="BodyText2">
    <w:name w:val="Body Text 2"/>
    <w:basedOn w:val="Normal"/>
    <w:link w:val="BodyText2Char"/>
    <w:pPr>
      <w:jc w:val="both"/>
    </w:pPr>
    <w:rPr>
      <w:b/>
      <w:bCs/>
      <w:sz w:val="22"/>
      <w:szCs w:val="20"/>
    </w:rPr>
  </w:style>
  <w:style w:type="paragraph" w:styleId="Title">
    <w:name w:val="Title"/>
    <w:basedOn w:val="Normal"/>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3">
    <w:name w:val="Body Text 3"/>
    <w:basedOn w:val="Normal"/>
    <w:pPr>
      <w:jc w:val="both"/>
    </w:pPr>
    <w:rPr>
      <w:sz w:val="22"/>
    </w:rPr>
  </w:style>
  <w:style w:type="character" w:styleId="PageNumber">
    <w:name w:val="page number"/>
    <w:basedOn w:val="DefaultParagraphFont"/>
  </w:style>
  <w:style w:type="paragraph" w:styleId="ListContinue">
    <w:name w:val="List Continue"/>
    <w:basedOn w:val="Normal"/>
    <w:rsid w:val="00E2462E"/>
    <w:pPr>
      <w:spacing w:after="220"/>
      <w:jc w:val="both"/>
    </w:pPr>
    <w:rPr>
      <w:sz w:val="22"/>
      <w:szCs w:val="20"/>
    </w:rPr>
  </w:style>
  <w:style w:type="character" w:styleId="Hyperlink">
    <w:name w:val="Hyperlink"/>
    <w:rsid w:val="00980638"/>
    <w:rPr>
      <w:color w:val="0000FF"/>
      <w:u w:val="single"/>
    </w:rPr>
  </w:style>
  <w:style w:type="paragraph" w:styleId="Subtitle">
    <w:name w:val="Subtitle"/>
    <w:basedOn w:val="Normal"/>
    <w:link w:val="SubtitleChar"/>
    <w:qFormat/>
    <w:rsid w:val="00980638"/>
    <w:pPr>
      <w:jc w:val="center"/>
    </w:pPr>
    <w:rPr>
      <w:rFonts w:ascii="Arial" w:hAnsi="Arial"/>
      <w:b/>
      <w:snapToGrid w:val="0"/>
      <w:color w:val="000000"/>
      <w:sz w:val="20"/>
      <w:szCs w:val="20"/>
    </w:rPr>
  </w:style>
  <w:style w:type="character" w:customStyle="1" w:styleId="SubtitleChar">
    <w:name w:val="Subtitle Char"/>
    <w:link w:val="Subtitle"/>
    <w:rsid w:val="00980638"/>
    <w:rPr>
      <w:rFonts w:ascii="Arial" w:hAnsi="Arial"/>
      <w:b/>
      <w:snapToGrid w:val="0"/>
      <w:color w:val="000000"/>
    </w:rPr>
  </w:style>
  <w:style w:type="paragraph" w:customStyle="1" w:styleId="Indent5">
    <w:name w:val="Indent .5&quot;"/>
    <w:basedOn w:val="Normal"/>
    <w:rsid w:val="00980638"/>
    <w:pPr>
      <w:keepNext/>
      <w:spacing w:after="220"/>
      <w:ind w:left="720"/>
      <w:jc w:val="both"/>
      <w:outlineLvl w:val="0"/>
    </w:pPr>
    <w:rPr>
      <w:sz w:val="22"/>
      <w:szCs w:val="20"/>
    </w:rPr>
  </w:style>
  <w:style w:type="paragraph" w:customStyle="1" w:styleId="Subtitle1">
    <w:name w:val="Subtitle1"/>
    <w:basedOn w:val="Heading2"/>
    <w:rsid w:val="00980638"/>
    <w:pPr>
      <w:spacing w:after="220"/>
    </w:pPr>
    <w:rPr>
      <w:b/>
      <w:sz w:val="22"/>
    </w:rPr>
  </w:style>
  <w:style w:type="paragraph" w:customStyle="1" w:styleId="TitleCenter">
    <w:name w:val="TitleCenter"/>
    <w:basedOn w:val="Normal"/>
    <w:rsid w:val="00980638"/>
    <w:pPr>
      <w:spacing w:after="220"/>
      <w:jc w:val="center"/>
    </w:pPr>
    <w:rPr>
      <w:b/>
      <w:sz w:val="22"/>
      <w:szCs w:val="20"/>
    </w:rPr>
  </w:style>
  <w:style w:type="paragraph" w:customStyle="1" w:styleId="Indent5a">
    <w:name w:val="Indent .5a"/>
    <w:basedOn w:val="Indent5"/>
    <w:rsid w:val="00980638"/>
    <w:pPr>
      <w:spacing w:after="0"/>
    </w:pPr>
  </w:style>
  <w:style w:type="paragraph" w:customStyle="1" w:styleId="Line">
    <w:name w:val="Line"/>
    <w:basedOn w:val="Normal"/>
    <w:autoRedefine/>
    <w:rsid w:val="00980638"/>
    <w:pPr>
      <w:tabs>
        <w:tab w:val="left" w:leader="underscore" w:pos="9360"/>
      </w:tabs>
      <w:spacing w:after="220"/>
    </w:pPr>
    <w:rPr>
      <w:sz w:val="22"/>
      <w:szCs w:val="20"/>
    </w:rPr>
  </w:style>
  <w:style w:type="paragraph" w:customStyle="1" w:styleId="Line-a">
    <w:name w:val="Line-a"/>
    <w:basedOn w:val="Line"/>
    <w:rsid w:val="00980638"/>
    <w:pPr>
      <w:spacing w:after="0"/>
    </w:pPr>
  </w:style>
  <w:style w:type="paragraph" w:customStyle="1" w:styleId="Line15a">
    <w:name w:val="Line 1.5&quot;a"/>
    <w:basedOn w:val="Normal"/>
    <w:rsid w:val="00980638"/>
    <w:pPr>
      <w:tabs>
        <w:tab w:val="left" w:leader="underscore" w:pos="2160"/>
      </w:tabs>
    </w:pPr>
    <w:rPr>
      <w:sz w:val="22"/>
      <w:szCs w:val="20"/>
    </w:rPr>
  </w:style>
  <w:style w:type="paragraph" w:customStyle="1" w:styleId="Indent0">
    <w:name w:val="Indent 0"/>
    <w:basedOn w:val="Normal"/>
    <w:rsid w:val="00980638"/>
    <w:pPr>
      <w:keepNext/>
      <w:spacing w:after="220"/>
      <w:jc w:val="both"/>
      <w:outlineLvl w:val="0"/>
    </w:pPr>
    <w:rPr>
      <w:sz w:val="22"/>
      <w:szCs w:val="20"/>
    </w:rPr>
  </w:style>
  <w:style w:type="paragraph" w:customStyle="1" w:styleId="Line2a">
    <w:name w:val="Line 2&quot;a"/>
    <w:basedOn w:val="Line15a"/>
    <w:rsid w:val="00980638"/>
    <w:pPr>
      <w:tabs>
        <w:tab w:val="clear" w:pos="2160"/>
        <w:tab w:val="left" w:leader="underscore" w:pos="2880"/>
      </w:tabs>
      <w:jc w:val="both"/>
    </w:pPr>
  </w:style>
  <w:style w:type="paragraph" w:styleId="ListNumber2">
    <w:name w:val="List Number 2"/>
    <w:basedOn w:val="Normal"/>
    <w:rsid w:val="00984FA6"/>
    <w:pPr>
      <w:numPr>
        <w:ilvl w:val="3"/>
        <w:numId w:val="2"/>
      </w:numPr>
    </w:pPr>
    <w:rPr>
      <w:sz w:val="20"/>
      <w:szCs w:val="20"/>
    </w:rPr>
  </w:style>
  <w:style w:type="character" w:styleId="Strong">
    <w:name w:val="Strong"/>
    <w:qFormat/>
    <w:rsid w:val="008758B4"/>
    <w:rPr>
      <w:b/>
      <w:bCs/>
    </w:rPr>
  </w:style>
  <w:style w:type="paragraph" w:styleId="FootnoteText">
    <w:name w:val="footnote text"/>
    <w:basedOn w:val="Normal"/>
    <w:semiHidden/>
    <w:rsid w:val="00184144"/>
    <w:pPr>
      <w:spacing w:after="220"/>
    </w:pPr>
    <w:rPr>
      <w:sz w:val="20"/>
      <w:szCs w:val="20"/>
    </w:rPr>
  </w:style>
  <w:style w:type="character" w:styleId="FootnoteReference">
    <w:name w:val="footnote reference"/>
    <w:semiHidden/>
    <w:rsid w:val="00184144"/>
    <w:rPr>
      <w:vertAlign w:val="superscript"/>
    </w:rPr>
  </w:style>
  <w:style w:type="paragraph" w:styleId="ListNumber3">
    <w:name w:val="List Number 3"/>
    <w:basedOn w:val="Normal"/>
    <w:rsid w:val="0034544B"/>
    <w:pPr>
      <w:numPr>
        <w:numId w:val="14"/>
      </w:numPr>
    </w:pPr>
  </w:style>
  <w:style w:type="paragraph" w:styleId="ListBullet2">
    <w:name w:val="List Bullet 2"/>
    <w:basedOn w:val="Normal"/>
    <w:autoRedefine/>
    <w:rsid w:val="0034544B"/>
    <w:pPr>
      <w:numPr>
        <w:numId w:val="18"/>
      </w:numPr>
      <w:spacing w:after="220"/>
      <w:jc w:val="both"/>
    </w:pPr>
    <w:rPr>
      <w:i/>
      <w:color w:val="000000"/>
      <w:sz w:val="22"/>
      <w:szCs w:val="20"/>
    </w:rPr>
  </w:style>
  <w:style w:type="paragraph" w:styleId="ListNumber">
    <w:name w:val="List Number"/>
    <w:basedOn w:val="Normal"/>
    <w:rsid w:val="00452842"/>
    <w:pPr>
      <w:numPr>
        <w:numId w:val="21"/>
      </w:numPr>
    </w:pPr>
  </w:style>
  <w:style w:type="paragraph" w:customStyle="1" w:styleId="Default">
    <w:name w:val="Default"/>
    <w:rsid w:val="004E2BB9"/>
    <w:pPr>
      <w:autoSpaceDE w:val="0"/>
      <w:autoSpaceDN w:val="0"/>
      <w:adjustRightInd w:val="0"/>
    </w:pPr>
    <w:rPr>
      <w:color w:val="000000"/>
      <w:sz w:val="24"/>
      <w:szCs w:val="24"/>
    </w:rPr>
  </w:style>
  <w:style w:type="character" w:customStyle="1" w:styleId="BodyText2Char">
    <w:name w:val="Body Text 2 Char"/>
    <w:link w:val="BodyText2"/>
    <w:rsid w:val="00490996"/>
    <w:rPr>
      <w:b/>
      <w:bCs/>
      <w:sz w:val="22"/>
    </w:rPr>
  </w:style>
  <w:style w:type="paragraph" w:styleId="Revision">
    <w:name w:val="Revision"/>
    <w:hidden/>
    <w:uiPriority w:val="99"/>
    <w:semiHidden/>
    <w:rsid w:val="000C2614"/>
    <w:rPr>
      <w:sz w:val="24"/>
      <w:szCs w:val="24"/>
    </w:rPr>
  </w:style>
  <w:style w:type="character" w:styleId="CommentReference">
    <w:name w:val="annotation reference"/>
    <w:basedOn w:val="DefaultParagraphFont"/>
    <w:semiHidden/>
    <w:unhideWhenUsed/>
    <w:rsid w:val="00031A2E"/>
    <w:rPr>
      <w:sz w:val="16"/>
      <w:szCs w:val="16"/>
    </w:rPr>
  </w:style>
  <w:style w:type="paragraph" w:styleId="CommentText">
    <w:name w:val="annotation text"/>
    <w:basedOn w:val="Normal"/>
    <w:link w:val="CommentTextChar"/>
    <w:unhideWhenUsed/>
    <w:rsid w:val="00031A2E"/>
    <w:rPr>
      <w:sz w:val="20"/>
      <w:szCs w:val="20"/>
    </w:rPr>
  </w:style>
  <w:style w:type="character" w:customStyle="1" w:styleId="CommentTextChar">
    <w:name w:val="Comment Text Char"/>
    <w:basedOn w:val="DefaultParagraphFont"/>
    <w:link w:val="CommentText"/>
    <w:rsid w:val="00031A2E"/>
  </w:style>
  <w:style w:type="paragraph" w:styleId="CommentSubject">
    <w:name w:val="annotation subject"/>
    <w:basedOn w:val="CommentText"/>
    <w:next w:val="CommentText"/>
    <w:link w:val="CommentSubjectChar"/>
    <w:semiHidden/>
    <w:unhideWhenUsed/>
    <w:rsid w:val="00031A2E"/>
    <w:rPr>
      <w:b/>
      <w:bCs/>
    </w:rPr>
  </w:style>
  <w:style w:type="character" w:customStyle="1" w:styleId="CommentSubjectChar">
    <w:name w:val="Comment Subject Char"/>
    <w:basedOn w:val="CommentTextChar"/>
    <w:link w:val="CommentSubject"/>
    <w:semiHidden/>
    <w:rsid w:val="00031A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dbd46520-c392-41b5-9f68-fe7486eefad7">
      <Terms xmlns="http://schemas.microsoft.com/office/infopath/2007/PartnerControls"/>
    </lcf76f155ced4ddcb4097134ff3c332f>
    <ProgressStatus xmlns="dbd46520-c392-41b5-9f68-fe7486eefad7">Ready for Review</ProgressStatu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0FEDF019004E4AB00FDE98BFC1B847" ma:contentTypeVersion="19" ma:contentTypeDescription="Create a new document." ma:contentTypeScope="" ma:versionID="7fa5538e17377bc7e8e3cb95a9a425df">
  <xsd:schema xmlns:xsd="http://www.w3.org/2001/XMLSchema" xmlns:xs="http://www.w3.org/2001/XMLSchema" xmlns:p="http://schemas.microsoft.com/office/2006/metadata/properties" xmlns:ns2="dbd46520-c392-41b5-9f68-fe7486eefad7" xmlns:ns3="826143e3-bbcb-45bb-8829-107013e701e5" xmlns:ns4="3c9e15a3-223f-4584-afb1-1dbe0b3878fa" targetNamespace="http://schemas.microsoft.com/office/2006/metadata/properties" ma:root="true" ma:fieldsID="6c14228483d172f371dbff59e3c486a6" ns2:_="" ns3:_="" ns4:_="">
    <xsd:import namespace="dbd46520-c392-41b5-9f68-fe7486eefad7"/>
    <xsd:import namespace="826143e3-bbcb-45bb-8829-107013e701e5"/>
    <xsd:import namespace="3c9e15a3-223f-4584-afb1-1dbe0b3878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LengthInSeconds" minOccurs="0"/>
                <xsd:element ref="ns2:Progress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46520-c392-41b5-9f68-fe7486eefa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ProgressStatus" ma:index="25" nillable="true" ma:displayName="Progress Status" ma:default="Not Started" ma:description="Green = Complete&#10;Yellow = In-Progress&#10;Red = Not Started" ma:format="Dropdown" ma:internalName="ProgressStatus">
      <xsd:simpleType>
        <xsd:union memberTypes="dms:Text">
          <xsd:simpleType>
            <xsd:restriction base="dms:Choice">
              <xsd:enumeration value="Complete"/>
              <xsd:enumeration value="Pending 2nd Review"/>
              <xsd:enumeration value="Ready for Review"/>
              <xsd:enumeration value="In-Progress"/>
              <xsd:enumeration value="Not Started"/>
            </xsd:restriction>
          </xsd:simpleType>
        </xsd:un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6143e3-bbcb-45bb-8829-107013e701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57f632e-5ad0-4c8c-a771-480ef62b4bfd}" ma:internalName="TaxCatchAll" ma:showField="CatchAllData" ma:web="826143e3-bbcb-45bb-8829-107013e701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116DE-A9E3-4368-85A4-B7B44E8B48D7}">
  <ds:schemaRefs>
    <ds:schemaRef ds:uri="http://schemas.microsoft.com/sharepoint/v3/contenttype/forms"/>
  </ds:schemaRefs>
</ds:datastoreItem>
</file>

<file path=customXml/itemProps2.xml><?xml version="1.0" encoding="utf-8"?>
<ds:datastoreItem xmlns:ds="http://schemas.openxmlformats.org/officeDocument/2006/customXml" ds:itemID="{F4F32BA0-0A36-412D-9D37-8A12DC956502}">
  <ds:schemaRefs>
    <ds:schemaRef ds:uri="http://schemas.microsoft.com/office/2006/metadata/properties"/>
    <ds:schemaRef ds:uri="http://schemas.microsoft.com/office/infopath/2007/PartnerControls"/>
    <ds:schemaRef ds:uri="3c9e15a3-223f-4584-afb1-1dbe0b3878fa"/>
    <ds:schemaRef ds:uri="dbd46520-c392-41b5-9f68-fe7486eefad7"/>
  </ds:schemaRefs>
</ds:datastoreItem>
</file>

<file path=customXml/itemProps3.xml><?xml version="1.0" encoding="utf-8"?>
<ds:datastoreItem xmlns:ds="http://schemas.openxmlformats.org/officeDocument/2006/customXml" ds:itemID="{0B35BD64-C39B-4CE0-852F-F29AE7223E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46520-c392-41b5-9f68-fe7486eefad7"/>
    <ds:schemaRef ds:uri="826143e3-bbcb-45bb-8829-107013e701e5"/>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0C1648-9339-4652-A793-1DC3C2B43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6</Pages>
  <Words>3406</Words>
  <Characters>19180</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Statutory Accounting Principles Working Group</vt:lpstr>
    </vt:vector>
  </TitlesOfParts>
  <Company>NAIC</Company>
  <LinksUpToDate>false</LinksUpToDate>
  <CharactersWithSpaces>22541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Statutory Accounting Principles Working Group</dc:title>
  <dc:subject/>
  <dc:creator>Lhunsuck</dc:creator>
  <cp:keywords/>
  <dc:description/>
  <cp:lastModifiedBy>Marcotte, Robin</cp:lastModifiedBy>
  <cp:revision>145</cp:revision>
  <cp:lastPrinted>2011-03-02T00:07:00Z</cp:lastPrinted>
  <dcterms:created xsi:type="dcterms:W3CDTF">2019-08-13T17:50:00Z</dcterms:created>
  <dcterms:modified xsi:type="dcterms:W3CDTF">2025-12-11T17:49:00Z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0x010100DD0FEDF019004E4AB00FDE98BFC1B847</vt:lpwstr>
  </property>
  <property fmtid="{D5CDD505-2E9C-101B-9397-08002B2CF9AE}" pid="3" name="MediaServiceImageTags">
    <vt:lpwstr/>
  </property>
  <property fmtid="{D5CDD505-2E9C-101B-9397-08002B2CF9AE}" pid="4" name="ProgressStatus">
    <vt:lpwstr>Ready for Review</vt:lpwstr>
  </property>
  <property fmtid="{D5CDD505-2E9C-101B-9397-08002B2CF9AE}" pid="5" name="Test">
    <vt:filetime>2025-03-24T05:00:00Z</vt:filetime>
  </property>
  <property fmtid="{D5CDD505-2E9C-101B-9397-08002B2CF9AE}" pid="6" name="docLang">
    <vt:lpwstr>en</vt:lpwstr>
  </property>
</Properties>
</file>