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152DAA" w14:textId="0F6D42A8" w:rsidR="002A1316" w:rsidRPr="00016321" w:rsidRDefault="002A1316">
      <w:pPr>
        <w:pStyle w:val="Title"/>
        <w:rPr>
          <w:sz w:val="22"/>
          <w:szCs w:val="22"/>
        </w:rPr>
      </w:pPr>
      <w:r w:rsidRPr="00016321">
        <w:rPr>
          <w:sz w:val="22"/>
          <w:szCs w:val="22"/>
        </w:rPr>
        <w:t xml:space="preserve">Statutory Accounting Principles </w:t>
      </w:r>
      <w:r w:rsidR="00C6544D" w:rsidRPr="00016321">
        <w:rPr>
          <w:sz w:val="22"/>
          <w:szCs w:val="22"/>
        </w:rPr>
        <w:t xml:space="preserve">(E) </w:t>
      </w:r>
      <w:r w:rsidRPr="00016321">
        <w:rPr>
          <w:sz w:val="22"/>
          <w:szCs w:val="22"/>
        </w:rPr>
        <w:t>Working Group</w:t>
      </w:r>
    </w:p>
    <w:p w14:paraId="5E8586D5" w14:textId="77777777" w:rsidR="002A1316" w:rsidRPr="00016321" w:rsidRDefault="002A1316">
      <w:pPr>
        <w:jc w:val="center"/>
        <w:rPr>
          <w:b/>
          <w:sz w:val="22"/>
          <w:szCs w:val="22"/>
        </w:rPr>
      </w:pPr>
      <w:r w:rsidRPr="00016321">
        <w:rPr>
          <w:b/>
          <w:sz w:val="22"/>
          <w:szCs w:val="22"/>
        </w:rPr>
        <w:t>Maintenance Agenda Submission Form</w:t>
      </w:r>
    </w:p>
    <w:p w14:paraId="43927C70" w14:textId="77777777" w:rsidR="002A1316" w:rsidRPr="00016321" w:rsidRDefault="002A1316">
      <w:pPr>
        <w:jc w:val="center"/>
        <w:rPr>
          <w:b/>
          <w:sz w:val="22"/>
          <w:szCs w:val="22"/>
        </w:rPr>
      </w:pPr>
      <w:r w:rsidRPr="00016321">
        <w:rPr>
          <w:b/>
          <w:sz w:val="22"/>
          <w:szCs w:val="22"/>
        </w:rPr>
        <w:t>Form A</w:t>
      </w:r>
    </w:p>
    <w:p w14:paraId="65BCA41C" w14:textId="77777777" w:rsidR="002A1316" w:rsidRPr="00016321" w:rsidRDefault="002A1316">
      <w:pPr>
        <w:pStyle w:val="Heading2"/>
        <w:jc w:val="center"/>
        <w:rPr>
          <w:sz w:val="22"/>
          <w:szCs w:val="22"/>
        </w:rPr>
      </w:pPr>
    </w:p>
    <w:p w14:paraId="7D50C110" w14:textId="6A162E4F" w:rsidR="00B30CA0" w:rsidRDefault="002A1316" w:rsidP="00014B94">
      <w:pPr>
        <w:pStyle w:val="Heading2"/>
        <w:rPr>
          <w:bCs/>
          <w:i/>
          <w:iCs/>
          <w:sz w:val="22"/>
          <w:szCs w:val="22"/>
        </w:rPr>
      </w:pPr>
      <w:r w:rsidRPr="00016321">
        <w:rPr>
          <w:b/>
          <w:sz w:val="22"/>
          <w:szCs w:val="22"/>
        </w:rPr>
        <w:t>Issue</w:t>
      </w:r>
      <w:r w:rsidRPr="00476C23">
        <w:rPr>
          <w:b/>
          <w:sz w:val="22"/>
          <w:szCs w:val="22"/>
        </w:rPr>
        <w:t>:</w:t>
      </w:r>
      <w:r w:rsidR="00EC61F1" w:rsidRPr="00476C23">
        <w:rPr>
          <w:b/>
          <w:sz w:val="22"/>
          <w:szCs w:val="22"/>
        </w:rPr>
        <w:t xml:space="preserve"> </w:t>
      </w:r>
      <w:r w:rsidR="0009334D">
        <w:rPr>
          <w:bCs/>
          <w:i/>
          <w:iCs/>
          <w:sz w:val="22"/>
          <w:szCs w:val="22"/>
        </w:rPr>
        <w:t xml:space="preserve">ASU </w:t>
      </w:r>
      <w:r w:rsidR="00014B94">
        <w:rPr>
          <w:bCs/>
          <w:i/>
          <w:iCs/>
          <w:sz w:val="22"/>
          <w:szCs w:val="22"/>
        </w:rPr>
        <w:t>2023-07</w:t>
      </w:r>
      <w:r w:rsidR="0009334D">
        <w:rPr>
          <w:bCs/>
          <w:i/>
          <w:iCs/>
          <w:sz w:val="22"/>
          <w:szCs w:val="22"/>
        </w:rPr>
        <w:t xml:space="preserve">, </w:t>
      </w:r>
      <w:r w:rsidR="00014B94">
        <w:rPr>
          <w:bCs/>
          <w:i/>
          <w:iCs/>
          <w:sz w:val="22"/>
          <w:szCs w:val="22"/>
        </w:rPr>
        <w:t>Improvements to Reportable Segment Disclosures</w:t>
      </w:r>
    </w:p>
    <w:p w14:paraId="2B38A4BF" w14:textId="77777777" w:rsidR="0009334D" w:rsidRPr="0009334D" w:rsidRDefault="0009334D" w:rsidP="0009334D"/>
    <w:p w14:paraId="1E0B900E" w14:textId="77777777" w:rsidR="002A1316" w:rsidRPr="00016321" w:rsidRDefault="002A1316" w:rsidP="00B30CA0">
      <w:pPr>
        <w:jc w:val="both"/>
        <w:rPr>
          <w:b/>
          <w:sz w:val="22"/>
          <w:szCs w:val="22"/>
        </w:rPr>
      </w:pPr>
      <w:r w:rsidRPr="00016321">
        <w:rPr>
          <w:b/>
          <w:sz w:val="22"/>
          <w:szCs w:val="22"/>
        </w:rPr>
        <w:t>Check (applicable entity):</w:t>
      </w:r>
    </w:p>
    <w:p w14:paraId="3CA22BB3" w14:textId="77777777" w:rsidR="006B37DD" w:rsidRPr="00016321" w:rsidRDefault="006B37DD" w:rsidP="006B37DD">
      <w:pPr>
        <w:tabs>
          <w:tab w:val="center" w:pos="4455"/>
          <w:tab w:val="center" w:pos="5886"/>
          <w:tab w:val="center" w:pos="7326"/>
        </w:tabs>
        <w:jc w:val="both"/>
        <w:rPr>
          <w:sz w:val="22"/>
          <w:szCs w:val="22"/>
        </w:rPr>
      </w:pPr>
      <w:r w:rsidRPr="00016321">
        <w:rPr>
          <w:sz w:val="22"/>
          <w:szCs w:val="22"/>
        </w:rPr>
        <w:tab/>
        <w:t>P/C</w:t>
      </w:r>
      <w:r w:rsidRPr="00016321">
        <w:rPr>
          <w:sz w:val="22"/>
          <w:szCs w:val="22"/>
        </w:rPr>
        <w:tab/>
        <w:t>Life</w:t>
      </w:r>
      <w:r w:rsidRPr="00016321">
        <w:rPr>
          <w:sz w:val="22"/>
          <w:szCs w:val="22"/>
        </w:rPr>
        <w:tab/>
        <w:t>Health</w:t>
      </w:r>
    </w:p>
    <w:p w14:paraId="347337DD" w14:textId="68EE60B9" w:rsidR="002A1316" w:rsidRPr="00016321" w:rsidRDefault="002A1316" w:rsidP="00B30CA0">
      <w:pPr>
        <w:ind w:firstLine="720"/>
        <w:jc w:val="both"/>
        <w:rPr>
          <w:sz w:val="22"/>
          <w:szCs w:val="22"/>
        </w:rPr>
      </w:pPr>
      <w:r w:rsidRPr="00016321">
        <w:rPr>
          <w:sz w:val="22"/>
          <w:szCs w:val="22"/>
        </w:rPr>
        <w:t xml:space="preserve">Modification of </w:t>
      </w:r>
      <w:r w:rsidR="00DF407B">
        <w:rPr>
          <w:sz w:val="22"/>
          <w:szCs w:val="22"/>
        </w:rPr>
        <w:t>E</w:t>
      </w:r>
      <w:r w:rsidRPr="00016321">
        <w:rPr>
          <w:sz w:val="22"/>
          <w:szCs w:val="22"/>
        </w:rPr>
        <w:t>xisting SSAP</w:t>
      </w:r>
      <w:r w:rsidRPr="00016321">
        <w:rPr>
          <w:sz w:val="22"/>
          <w:szCs w:val="22"/>
        </w:rPr>
        <w:tab/>
      </w:r>
      <w:r w:rsidRPr="00016321">
        <w:rPr>
          <w:sz w:val="22"/>
          <w:szCs w:val="22"/>
        </w:rPr>
        <w:tab/>
      </w:r>
      <w:r w:rsidRPr="00016321">
        <w:rPr>
          <w:sz w:val="22"/>
          <w:szCs w:val="22"/>
        </w:rPr>
        <w:fldChar w:fldCharType="begin">
          <w:ffData>
            <w:name w:val="Check1"/>
            <w:enabled/>
            <w:calcOnExit w:val="0"/>
            <w:checkBox>
              <w:sizeAuto/>
              <w:default w:val="1"/>
            </w:checkBox>
          </w:ffData>
        </w:fldChar>
      </w:r>
      <w:bookmarkStart w:id="0" w:name="Check1"/>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bookmarkEnd w:id="0"/>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1"/>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1"/>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p>
    <w:p w14:paraId="4332D7DA" w14:textId="02284300" w:rsidR="002A1316" w:rsidRPr="00016321" w:rsidRDefault="002A1316" w:rsidP="00B30CA0">
      <w:pPr>
        <w:ind w:firstLine="720"/>
        <w:jc w:val="both"/>
        <w:rPr>
          <w:sz w:val="22"/>
          <w:szCs w:val="22"/>
        </w:rPr>
      </w:pPr>
      <w:r w:rsidRPr="00016321">
        <w:rPr>
          <w:sz w:val="22"/>
          <w:szCs w:val="22"/>
        </w:rPr>
        <w:t>New Issue or SSAP</w:t>
      </w:r>
      <w:r w:rsidRPr="00016321">
        <w:rPr>
          <w:sz w:val="22"/>
          <w:szCs w:val="22"/>
        </w:rPr>
        <w:tab/>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p>
    <w:p w14:paraId="108F9360" w14:textId="5D9EFA97" w:rsidR="0044022E" w:rsidRPr="00016321" w:rsidRDefault="0044022E" w:rsidP="0044022E">
      <w:pPr>
        <w:ind w:firstLine="720"/>
        <w:jc w:val="both"/>
        <w:rPr>
          <w:sz w:val="22"/>
          <w:szCs w:val="22"/>
        </w:rPr>
      </w:pPr>
      <w:r w:rsidRPr="00016321">
        <w:rPr>
          <w:sz w:val="22"/>
          <w:szCs w:val="22"/>
        </w:rPr>
        <w:t>Interpretation</w:t>
      </w:r>
      <w:r w:rsidRPr="00016321">
        <w:rPr>
          <w:sz w:val="22"/>
          <w:szCs w:val="22"/>
        </w:rPr>
        <w:tab/>
      </w:r>
      <w:r w:rsidRPr="00016321">
        <w:rPr>
          <w:sz w:val="22"/>
          <w:szCs w:val="22"/>
        </w:rPr>
        <w:tab/>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r w:rsidRPr="00016321">
        <w:rPr>
          <w:sz w:val="22"/>
          <w:szCs w:val="22"/>
        </w:rPr>
        <w:tab/>
      </w:r>
      <w:r w:rsidRPr="00016321">
        <w:rPr>
          <w:sz w:val="22"/>
          <w:szCs w:val="22"/>
        </w:rPr>
        <w:tab/>
      </w:r>
      <w:r w:rsidRPr="00016321">
        <w:rPr>
          <w:sz w:val="22"/>
          <w:szCs w:val="22"/>
        </w:rPr>
        <w:fldChar w:fldCharType="begin">
          <w:ffData>
            <w:name w:val=""/>
            <w:enabled/>
            <w:calcOnExit w:val="0"/>
            <w:checkBox>
              <w:sizeAuto/>
              <w:default w:val="0"/>
            </w:checkBox>
          </w:ffData>
        </w:fldChar>
      </w:r>
      <w:r w:rsidRPr="00016321">
        <w:rPr>
          <w:sz w:val="22"/>
          <w:szCs w:val="22"/>
        </w:rPr>
        <w:instrText xml:space="preserve"> FORMCHECKBOX </w:instrText>
      </w:r>
      <w:r w:rsidRPr="00016321">
        <w:rPr>
          <w:sz w:val="22"/>
          <w:szCs w:val="22"/>
        </w:rPr>
      </w:r>
      <w:r w:rsidRPr="00016321">
        <w:rPr>
          <w:sz w:val="22"/>
          <w:szCs w:val="22"/>
        </w:rPr>
        <w:fldChar w:fldCharType="separate"/>
      </w:r>
      <w:r w:rsidRPr="00016321">
        <w:rPr>
          <w:sz w:val="22"/>
          <w:szCs w:val="22"/>
        </w:rPr>
        <w:fldChar w:fldCharType="end"/>
      </w:r>
    </w:p>
    <w:p w14:paraId="6F1580CB" w14:textId="77777777" w:rsidR="002A1316" w:rsidRPr="00016321" w:rsidRDefault="002A1316" w:rsidP="00B30CA0">
      <w:pPr>
        <w:jc w:val="both"/>
        <w:rPr>
          <w:sz w:val="22"/>
          <w:szCs w:val="22"/>
        </w:rPr>
      </w:pPr>
    </w:p>
    <w:p w14:paraId="26FAF16C" w14:textId="655F859D" w:rsidR="002A1316" w:rsidRPr="00D70D92" w:rsidRDefault="002A1316" w:rsidP="00B30CA0">
      <w:pPr>
        <w:pStyle w:val="BodyText2"/>
        <w:rPr>
          <w:bCs w:val="0"/>
          <w:szCs w:val="22"/>
        </w:rPr>
      </w:pPr>
      <w:r w:rsidRPr="00D70D92">
        <w:rPr>
          <w:bCs w:val="0"/>
          <w:szCs w:val="22"/>
        </w:rPr>
        <w:t>Description of Issue:</w:t>
      </w:r>
    </w:p>
    <w:p w14:paraId="0EA1DA9C" w14:textId="2131CB28" w:rsidR="0009334D" w:rsidRDefault="004B27B9" w:rsidP="0038113F">
      <w:pPr>
        <w:pStyle w:val="Heading2"/>
        <w:rPr>
          <w:highlight w:val="yellow"/>
        </w:rPr>
      </w:pPr>
      <w:r w:rsidRPr="00D70D92">
        <w:rPr>
          <w:sz w:val="22"/>
          <w:szCs w:val="22"/>
        </w:rPr>
        <w:t xml:space="preserve">In </w:t>
      </w:r>
      <w:r w:rsidR="0009334D">
        <w:rPr>
          <w:sz w:val="22"/>
          <w:szCs w:val="22"/>
        </w:rPr>
        <w:t>November</w:t>
      </w:r>
      <w:r w:rsidRPr="00D70D92">
        <w:rPr>
          <w:sz w:val="22"/>
          <w:szCs w:val="22"/>
        </w:rPr>
        <w:t xml:space="preserve"> </w:t>
      </w:r>
      <w:r w:rsidR="0009334D">
        <w:rPr>
          <w:sz w:val="22"/>
          <w:szCs w:val="22"/>
        </w:rPr>
        <w:t>202</w:t>
      </w:r>
      <w:r w:rsidR="00014B94">
        <w:rPr>
          <w:sz w:val="22"/>
          <w:szCs w:val="22"/>
        </w:rPr>
        <w:t>3</w:t>
      </w:r>
      <w:r w:rsidR="003E0727">
        <w:rPr>
          <w:sz w:val="22"/>
          <w:szCs w:val="22"/>
        </w:rPr>
        <w:t>,</w:t>
      </w:r>
      <w:r w:rsidRPr="00D70D92">
        <w:rPr>
          <w:sz w:val="22"/>
          <w:szCs w:val="22"/>
        </w:rPr>
        <w:t xml:space="preserve"> </w:t>
      </w:r>
      <w:r w:rsidR="00863CF8">
        <w:rPr>
          <w:sz w:val="22"/>
          <w:szCs w:val="22"/>
        </w:rPr>
        <w:t>the Financial Accounting Standards Board (</w:t>
      </w:r>
      <w:r w:rsidR="00B575EF" w:rsidRPr="00D70D92">
        <w:rPr>
          <w:sz w:val="22"/>
          <w:szCs w:val="22"/>
        </w:rPr>
        <w:t>FASB</w:t>
      </w:r>
      <w:r w:rsidR="00863CF8">
        <w:rPr>
          <w:sz w:val="22"/>
          <w:szCs w:val="22"/>
        </w:rPr>
        <w:t>)</w:t>
      </w:r>
      <w:r w:rsidR="00B575EF" w:rsidRPr="00D70D92">
        <w:rPr>
          <w:sz w:val="22"/>
          <w:szCs w:val="22"/>
        </w:rPr>
        <w:t xml:space="preserve"> issued </w:t>
      </w:r>
      <w:r w:rsidR="00AB442B">
        <w:rPr>
          <w:sz w:val="22"/>
          <w:szCs w:val="22"/>
        </w:rPr>
        <w:t>Accounting Standards Update (</w:t>
      </w:r>
      <w:r w:rsidR="00B575EF" w:rsidRPr="00D70D92">
        <w:rPr>
          <w:i/>
          <w:iCs/>
          <w:sz w:val="22"/>
          <w:szCs w:val="22"/>
        </w:rPr>
        <w:t>ASU</w:t>
      </w:r>
      <w:r w:rsidR="00AB442B">
        <w:rPr>
          <w:i/>
          <w:iCs/>
          <w:sz w:val="22"/>
          <w:szCs w:val="22"/>
        </w:rPr>
        <w:t>)</w:t>
      </w:r>
      <w:r w:rsidR="00B575EF" w:rsidRPr="00D70D92">
        <w:rPr>
          <w:i/>
          <w:iCs/>
          <w:sz w:val="22"/>
          <w:szCs w:val="22"/>
        </w:rPr>
        <w:t xml:space="preserve"> </w:t>
      </w:r>
      <w:r w:rsidR="0009334D">
        <w:rPr>
          <w:i/>
          <w:iCs/>
          <w:sz w:val="22"/>
          <w:szCs w:val="22"/>
        </w:rPr>
        <w:t>202</w:t>
      </w:r>
      <w:r w:rsidR="00014B94">
        <w:rPr>
          <w:i/>
          <w:iCs/>
          <w:sz w:val="22"/>
          <w:szCs w:val="22"/>
        </w:rPr>
        <w:t>3</w:t>
      </w:r>
      <w:r w:rsidR="0009334D">
        <w:rPr>
          <w:i/>
          <w:iCs/>
          <w:sz w:val="22"/>
          <w:szCs w:val="22"/>
        </w:rPr>
        <w:t>-0</w:t>
      </w:r>
      <w:r w:rsidR="00014B94">
        <w:rPr>
          <w:i/>
          <w:iCs/>
          <w:sz w:val="22"/>
          <w:szCs w:val="22"/>
        </w:rPr>
        <w:t>7</w:t>
      </w:r>
      <w:r w:rsidR="00B575EF" w:rsidRPr="00D70D92">
        <w:rPr>
          <w:i/>
          <w:iCs/>
          <w:sz w:val="22"/>
          <w:szCs w:val="22"/>
        </w:rPr>
        <w:t xml:space="preserve">, </w:t>
      </w:r>
      <w:r w:rsidR="008D19B4" w:rsidRPr="008D19B4">
        <w:rPr>
          <w:i/>
          <w:iCs/>
          <w:sz w:val="22"/>
          <w:szCs w:val="22"/>
        </w:rPr>
        <w:t>Segment Reporting (Topic 280)</w:t>
      </w:r>
      <w:r w:rsidR="0009334D">
        <w:rPr>
          <w:i/>
          <w:iCs/>
          <w:sz w:val="22"/>
          <w:szCs w:val="22"/>
        </w:rPr>
        <w:t xml:space="preserve">, </w:t>
      </w:r>
      <w:r w:rsidR="008D19B4" w:rsidRPr="008D19B4">
        <w:rPr>
          <w:i/>
          <w:iCs/>
          <w:sz w:val="22"/>
          <w:szCs w:val="22"/>
        </w:rPr>
        <w:t>Improvements to Reportable Segment Disclosures</w:t>
      </w:r>
      <w:r w:rsidR="00B575EF" w:rsidRPr="00D70D92">
        <w:rPr>
          <w:sz w:val="22"/>
          <w:szCs w:val="22"/>
        </w:rPr>
        <w:t xml:space="preserve">, </w:t>
      </w:r>
      <w:r w:rsidR="0009334D">
        <w:rPr>
          <w:sz w:val="22"/>
          <w:szCs w:val="22"/>
        </w:rPr>
        <w:t>to</w:t>
      </w:r>
      <w:r w:rsidR="008D19B4" w:rsidRPr="008D19B4">
        <w:rPr>
          <w:sz w:val="22"/>
          <w:szCs w:val="22"/>
        </w:rPr>
        <w:t xml:space="preserve"> improve the disclosures about</w:t>
      </w:r>
      <w:r w:rsidR="008D19B4">
        <w:rPr>
          <w:sz w:val="22"/>
          <w:szCs w:val="22"/>
        </w:rPr>
        <w:t xml:space="preserve"> </w:t>
      </w:r>
      <w:r w:rsidR="008D19B4" w:rsidRPr="008D19B4">
        <w:rPr>
          <w:sz w:val="22"/>
          <w:szCs w:val="22"/>
        </w:rPr>
        <w:t>a public entity’s reportable segments and address requests from investors for</w:t>
      </w:r>
      <w:r w:rsidR="008D19B4">
        <w:rPr>
          <w:sz w:val="22"/>
          <w:szCs w:val="22"/>
        </w:rPr>
        <w:t xml:space="preserve"> </w:t>
      </w:r>
      <w:r w:rsidR="008D19B4" w:rsidRPr="008D19B4">
        <w:rPr>
          <w:sz w:val="22"/>
          <w:szCs w:val="22"/>
        </w:rPr>
        <w:t>additional, more detailed information about a reportable segment’s expenses</w:t>
      </w:r>
      <w:r w:rsidR="008D19B4">
        <w:rPr>
          <w:sz w:val="22"/>
          <w:szCs w:val="22"/>
        </w:rPr>
        <w:t>.</w:t>
      </w:r>
      <w:r w:rsidR="0074442A">
        <w:rPr>
          <w:sz w:val="22"/>
          <w:szCs w:val="22"/>
        </w:rPr>
        <w:t xml:space="preserve"> </w:t>
      </w:r>
      <w:r w:rsidR="007C732D">
        <w:rPr>
          <w:sz w:val="22"/>
          <w:szCs w:val="22"/>
        </w:rPr>
        <w:t xml:space="preserve">The ASU, among other more minor changes, </w:t>
      </w:r>
      <w:r w:rsidR="00785B65">
        <w:rPr>
          <w:sz w:val="22"/>
          <w:szCs w:val="22"/>
        </w:rPr>
        <w:t xml:space="preserve">requires public companies to disclose significant </w:t>
      </w:r>
      <w:r w:rsidR="00785B65" w:rsidRPr="00785B65">
        <w:rPr>
          <w:sz w:val="22"/>
          <w:szCs w:val="22"/>
        </w:rPr>
        <w:t>segment expenses that are regularly provided to the chief</w:t>
      </w:r>
      <w:r w:rsidR="00785B65">
        <w:rPr>
          <w:sz w:val="22"/>
          <w:szCs w:val="22"/>
        </w:rPr>
        <w:t xml:space="preserve"> </w:t>
      </w:r>
      <w:r w:rsidR="00785B65" w:rsidRPr="00785B65">
        <w:rPr>
          <w:sz w:val="22"/>
          <w:szCs w:val="22"/>
        </w:rPr>
        <w:t xml:space="preserve">operating decision maker (CODM) and </w:t>
      </w:r>
      <w:r w:rsidR="00785B65">
        <w:rPr>
          <w:sz w:val="22"/>
          <w:szCs w:val="22"/>
        </w:rPr>
        <w:t xml:space="preserve">are </w:t>
      </w:r>
      <w:r w:rsidR="00785B65" w:rsidRPr="00785B65">
        <w:rPr>
          <w:sz w:val="22"/>
          <w:szCs w:val="22"/>
        </w:rPr>
        <w:t>included within each reported</w:t>
      </w:r>
      <w:r w:rsidR="00785B65">
        <w:rPr>
          <w:sz w:val="22"/>
          <w:szCs w:val="22"/>
        </w:rPr>
        <w:t xml:space="preserve"> </w:t>
      </w:r>
      <w:r w:rsidR="00785B65" w:rsidRPr="00785B65">
        <w:rPr>
          <w:sz w:val="22"/>
          <w:szCs w:val="22"/>
        </w:rPr>
        <w:t>measure of segment profit or loss (collectively referred to as the</w:t>
      </w:r>
      <w:r w:rsidR="00785B65">
        <w:rPr>
          <w:sz w:val="22"/>
          <w:szCs w:val="22"/>
        </w:rPr>
        <w:t xml:space="preserve"> </w:t>
      </w:r>
      <w:r w:rsidR="00785B65" w:rsidRPr="00785B65">
        <w:rPr>
          <w:sz w:val="22"/>
          <w:szCs w:val="22"/>
        </w:rPr>
        <w:t>“significant expense principle”)</w:t>
      </w:r>
      <w:r w:rsidR="0038113F">
        <w:rPr>
          <w:sz w:val="22"/>
          <w:szCs w:val="22"/>
        </w:rPr>
        <w:t xml:space="preserve">, and to disclose </w:t>
      </w:r>
      <w:r w:rsidR="00821808">
        <w:rPr>
          <w:sz w:val="22"/>
          <w:szCs w:val="22"/>
        </w:rPr>
        <w:t>an</w:t>
      </w:r>
      <w:r w:rsidR="0038113F">
        <w:rPr>
          <w:sz w:val="22"/>
          <w:szCs w:val="22"/>
        </w:rPr>
        <w:t xml:space="preserve"> </w:t>
      </w:r>
      <w:r w:rsidR="0038113F" w:rsidRPr="0038113F">
        <w:rPr>
          <w:sz w:val="22"/>
          <w:szCs w:val="22"/>
        </w:rPr>
        <w:t xml:space="preserve">amount for </w:t>
      </w:r>
      <w:r w:rsidR="0038113F">
        <w:rPr>
          <w:sz w:val="22"/>
          <w:szCs w:val="22"/>
        </w:rPr>
        <w:t>“</w:t>
      </w:r>
      <w:r w:rsidR="0038113F" w:rsidRPr="0038113F">
        <w:rPr>
          <w:sz w:val="22"/>
          <w:szCs w:val="22"/>
        </w:rPr>
        <w:t>other segment</w:t>
      </w:r>
      <w:r w:rsidR="0038113F">
        <w:rPr>
          <w:sz w:val="22"/>
          <w:szCs w:val="22"/>
        </w:rPr>
        <w:t>”</w:t>
      </w:r>
      <w:r w:rsidR="0038113F" w:rsidRPr="0038113F">
        <w:rPr>
          <w:sz w:val="22"/>
          <w:szCs w:val="22"/>
        </w:rPr>
        <w:t xml:space="preserve"> items by reportable segment and a</w:t>
      </w:r>
      <w:r w:rsidR="0038113F">
        <w:rPr>
          <w:sz w:val="22"/>
          <w:szCs w:val="22"/>
        </w:rPr>
        <w:t xml:space="preserve"> </w:t>
      </w:r>
      <w:r w:rsidR="0038113F" w:rsidRPr="0038113F">
        <w:rPr>
          <w:sz w:val="22"/>
          <w:szCs w:val="22"/>
        </w:rPr>
        <w:t>description of its composition</w:t>
      </w:r>
      <w:r w:rsidR="0038113F">
        <w:rPr>
          <w:sz w:val="22"/>
          <w:szCs w:val="22"/>
        </w:rPr>
        <w:t>.</w:t>
      </w:r>
    </w:p>
    <w:p w14:paraId="713D87B8" w14:textId="77777777" w:rsidR="0009334D" w:rsidRPr="0009334D" w:rsidRDefault="0009334D" w:rsidP="0009334D">
      <w:pPr>
        <w:rPr>
          <w:highlight w:val="yellow"/>
        </w:rPr>
      </w:pPr>
    </w:p>
    <w:p w14:paraId="6C6B67AF" w14:textId="77777777" w:rsidR="002A1316" w:rsidRPr="00D70D92" w:rsidRDefault="002A1316" w:rsidP="00B30CA0">
      <w:pPr>
        <w:pStyle w:val="BodyText2"/>
        <w:rPr>
          <w:bCs w:val="0"/>
          <w:szCs w:val="22"/>
        </w:rPr>
      </w:pPr>
      <w:r w:rsidRPr="00D70D92">
        <w:rPr>
          <w:bCs w:val="0"/>
          <w:szCs w:val="22"/>
        </w:rPr>
        <w:t>Existing Authoritative Literature:</w:t>
      </w:r>
    </w:p>
    <w:p w14:paraId="7F1BE1DC" w14:textId="2243E267" w:rsidR="00F253E0" w:rsidRDefault="00F35C52" w:rsidP="00B30CA0">
      <w:pPr>
        <w:pStyle w:val="BodyText2"/>
        <w:rPr>
          <w:b w:val="0"/>
          <w:bCs w:val="0"/>
          <w:szCs w:val="22"/>
        </w:rPr>
      </w:pPr>
      <w:r w:rsidRPr="00F35C52">
        <w:rPr>
          <w:b w:val="0"/>
          <w:bCs w:val="0"/>
          <w:szCs w:val="22"/>
        </w:rPr>
        <w:t>Historically, guidance applicable only to public entities from ASUs has typically been rejected as statutory accounting does have separate guidance for public vs. private reporting entities. All ASUs are reviewed for statutory accounting purposes to determine if the guidance should be considered for statutory accounting.</w:t>
      </w:r>
    </w:p>
    <w:p w14:paraId="71BBDFCA" w14:textId="77777777" w:rsidR="00F35C52" w:rsidRPr="00D62FB7" w:rsidRDefault="00F35C52" w:rsidP="00B30CA0">
      <w:pPr>
        <w:pStyle w:val="BodyText2"/>
        <w:rPr>
          <w:b w:val="0"/>
          <w:bCs w:val="0"/>
          <w:szCs w:val="22"/>
          <w:highlight w:val="yellow"/>
        </w:rPr>
      </w:pPr>
    </w:p>
    <w:p w14:paraId="1EF1EE0A" w14:textId="5F56849D" w:rsidR="00F253E0" w:rsidRPr="00315395" w:rsidRDefault="00315395" w:rsidP="00B30CA0">
      <w:pPr>
        <w:pStyle w:val="BodyText2"/>
        <w:rPr>
          <w:b w:val="0"/>
          <w:bCs w:val="0"/>
          <w:szCs w:val="22"/>
        </w:rPr>
      </w:pPr>
      <w:r w:rsidRPr="00315395">
        <w:rPr>
          <w:b w:val="0"/>
          <w:bCs w:val="0"/>
          <w:szCs w:val="22"/>
        </w:rPr>
        <w:t>Additionally, s</w:t>
      </w:r>
      <w:r w:rsidR="00F253E0" w:rsidRPr="00315395">
        <w:rPr>
          <w:b w:val="0"/>
          <w:bCs w:val="0"/>
          <w:szCs w:val="22"/>
        </w:rPr>
        <w:t xml:space="preserve">tatutory accounting </w:t>
      </w:r>
      <w:r w:rsidR="00D62FB7" w:rsidRPr="00315395">
        <w:rPr>
          <w:b w:val="0"/>
          <w:bCs w:val="0"/>
          <w:szCs w:val="22"/>
        </w:rPr>
        <w:t xml:space="preserve">has its own specified expense categories which </w:t>
      </w:r>
      <w:r w:rsidR="00E46174" w:rsidRPr="00315395">
        <w:rPr>
          <w:b w:val="0"/>
          <w:bCs w:val="0"/>
          <w:szCs w:val="22"/>
        </w:rPr>
        <w:t>differ</w:t>
      </w:r>
      <w:r w:rsidR="00D62FB7" w:rsidRPr="00315395">
        <w:rPr>
          <w:b w:val="0"/>
          <w:bCs w:val="0"/>
          <w:szCs w:val="22"/>
        </w:rPr>
        <w:t xml:space="preserve"> from the segment reporting categories utilized by U.S. GAAP. </w:t>
      </w:r>
    </w:p>
    <w:p w14:paraId="373F064A" w14:textId="77777777" w:rsidR="00D62FB7" w:rsidRPr="00F253E0" w:rsidRDefault="00D62FB7" w:rsidP="00B30CA0">
      <w:pPr>
        <w:pStyle w:val="BodyText2"/>
        <w:rPr>
          <w:b w:val="0"/>
          <w:bCs w:val="0"/>
          <w:szCs w:val="22"/>
          <w:highlight w:val="yellow"/>
        </w:rPr>
      </w:pPr>
    </w:p>
    <w:p w14:paraId="4D873E6A" w14:textId="4ABB67F8" w:rsidR="003C5AA1" w:rsidRDefault="002A1316" w:rsidP="002B5672">
      <w:pPr>
        <w:pStyle w:val="BodyText2"/>
        <w:rPr>
          <w:b w:val="0"/>
          <w:bCs w:val="0"/>
          <w:szCs w:val="22"/>
        </w:rPr>
      </w:pPr>
      <w:r w:rsidRPr="00D679AA">
        <w:rPr>
          <w:szCs w:val="22"/>
        </w:rPr>
        <w:t xml:space="preserve">Activity to Date (issues previously addressed by </w:t>
      </w:r>
      <w:r w:rsidR="006B37DD" w:rsidRPr="00D679AA">
        <w:rPr>
          <w:szCs w:val="22"/>
        </w:rPr>
        <w:t xml:space="preserve">the </w:t>
      </w:r>
      <w:r w:rsidR="00004652" w:rsidRPr="00D679AA">
        <w:rPr>
          <w:szCs w:val="22"/>
        </w:rPr>
        <w:t>Working Group</w:t>
      </w:r>
      <w:r w:rsidRPr="00D679AA">
        <w:rPr>
          <w:szCs w:val="22"/>
        </w:rPr>
        <w:t xml:space="preserve">, Emerging Accounting Issues </w:t>
      </w:r>
      <w:r w:rsidR="00004652" w:rsidRPr="00D679AA">
        <w:rPr>
          <w:szCs w:val="22"/>
        </w:rPr>
        <w:t>(E) Working Group</w:t>
      </w:r>
      <w:r w:rsidRPr="00D679AA">
        <w:rPr>
          <w:szCs w:val="22"/>
        </w:rPr>
        <w:t>, SEC, FASB, other State Departments of Insurance or other NAIC groups):</w:t>
      </w:r>
      <w:r w:rsidR="002B5672">
        <w:rPr>
          <w:szCs w:val="22"/>
        </w:rPr>
        <w:t xml:space="preserve"> </w:t>
      </w:r>
    </w:p>
    <w:p w14:paraId="49502041" w14:textId="05250AF8" w:rsidR="007C732D" w:rsidRPr="002B5672" w:rsidRDefault="00594349" w:rsidP="002B5672">
      <w:pPr>
        <w:pStyle w:val="BodyText2"/>
        <w:rPr>
          <w:b w:val="0"/>
          <w:bCs w:val="0"/>
          <w:szCs w:val="22"/>
        </w:rPr>
      </w:pPr>
      <w:r>
        <w:rPr>
          <w:b w:val="0"/>
          <w:bCs w:val="0"/>
          <w:szCs w:val="22"/>
        </w:rPr>
        <w:t xml:space="preserve">Prior to </w:t>
      </w:r>
      <w:r w:rsidR="00625009">
        <w:rPr>
          <w:b w:val="0"/>
          <w:bCs w:val="0"/>
          <w:szCs w:val="22"/>
        </w:rPr>
        <w:t>FASB c</w:t>
      </w:r>
      <w:r>
        <w:rPr>
          <w:b w:val="0"/>
          <w:bCs w:val="0"/>
          <w:szCs w:val="22"/>
        </w:rPr>
        <w:t xml:space="preserve">odification, </w:t>
      </w:r>
      <w:r w:rsidR="00625009">
        <w:rPr>
          <w:b w:val="0"/>
          <w:bCs w:val="0"/>
          <w:szCs w:val="22"/>
        </w:rPr>
        <w:t>s</w:t>
      </w:r>
      <w:r w:rsidR="000A121A">
        <w:rPr>
          <w:b w:val="0"/>
          <w:bCs w:val="0"/>
          <w:szCs w:val="22"/>
        </w:rPr>
        <w:t xml:space="preserve">egment </w:t>
      </w:r>
      <w:r w:rsidR="005B749F">
        <w:rPr>
          <w:b w:val="0"/>
          <w:bCs w:val="0"/>
          <w:szCs w:val="22"/>
        </w:rPr>
        <w:t>r</w:t>
      </w:r>
      <w:r w:rsidR="000A121A">
        <w:rPr>
          <w:b w:val="0"/>
          <w:bCs w:val="0"/>
          <w:szCs w:val="22"/>
        </w:rPr>
        <w:t xml:space="preserve">eporting requirements were </w:t>
      </w:r>
      <w:r w:rsidR="001A5E38">
        <w:rPr>
          <w:b w:val="0"/>
          <w:bCs w:val="0"/>
          <w:szCs w:val="22"/>
        </w:rPr>
        <w:t>in</w:t>
      </w:r>
      <w:r w:rsidR="00413A36">
        <w:rPr>
          <w:b w:val="0"/>
          <w:bCs w:val="0"/>
          <w:szCs w:val="22"/>
        </w:rPr>
        <w:t xml:space="preserve"> U.S. GAAP </w:t>
      </w:r>
      <w:r w:rsidRPr="000A121A">
        <w:rPr>
          <w:b w:val="0"/>
          <w:bCs w:val="0"/>
          <w:i/>
          <w:iCs/>
          <w:szCs w:val="22"/>
        </w:rPr>
        <w:t>FAS 131</w:t>
      </w:r>
      <w:r w:rsidR="000A121A" w:rsidRPr="000A121A">
        <w:rPr>
          <w:b w:val="0"/>
          <w:bCs w:val="0"/>
          <w:i/>
          <w:iCs/>
          <w:szCs w:val="22"/>
        </w:rPr>
        <w:t>: Disclosures about Segments of an Enterprise and Related Information</w:t>
      </w:r>
      <w:r w:rsidR="001A5E38">
        <w:rPr>
          <w:b w:val="0"/>
          <w:bCs w:val="0"/>
          <w:i/>
          <w:iCs/>
          <w:szCs w:val="22"/>
        </w:rPr>
        <w:t>,</w:t>
      </w:r>
      <w:r w:rsidR="00DD3A7B">
        <w:rPr>
          <w:b w:val="0"/>
          <w:bCs w:val="0"/>
          <w:szCs w:val="22"/>
        </w:rPr>
        <w:t xml:space="preserve"> which </w:t>
      </w:r>
      <w:r w:rsidR="00747888">
        <w:rPr>
          <w:b w:val="0"/>
          <w:bCs w:val="0"/>
          <w:szCs w:val="22"/>
        </w:rPr>
        <w:t xml:space="preserve">upon establishment of the Account Standards Codification (ASC) </w:t>
      </w:r>
      <w:r w:rsidR="00DD3A7B">
        <w:rPr>
          <w:b w:val="0"/>
          <w:bCs w:val="0"/>
          <w:szCs w:val="22"/>
        </w:rPr>
        <w:t xml:space="preserve">was carried over to create Topic 280, </w:t>
      </w:r>
      <w:r w:rsidR="00733C45" w:rsidRPr="00733C45">
        <w:rPr>
          <w:b w:val="0"/>
          <w:bCs w:val="0"/>
          <w:szCs w:val="22"/>
        </w:rPr>
        <w:t>Segment Reporting</w:t>
      </w:r>
      <w:r w:rsidR="000A121A">
        <w:rPr>
          <w:b w:val="0"/>
          <w:bCs w:val="0"/>
          <w:szCs w:val="22"/>
        </w:rPr>
        <w:t xml:space="preserve">. </w:t>
      </w:r>
      <w:r w:rsidR="008437EB">
        <w:rPr>
          <w:b w:val="0"/>
          <w:bCs w:val="0"/>
          <w:szCs w:val="22"/>
        </w:rPr>
        <w:t xml:space="preserve">In </w:t>
      </w:r>
      <w:r w:rsidR="00DD3A7B">
        <w:rPr>
          <w:b w:val="0"/>
          <w:bCs w:val="0"/>
          <w:szCs w:val="22"/>
        </w:rPr>
        <w:t xml:space="preserve">June </w:t>
      </w:r>
      <w:r w:rsidR="00B267AA">
        <w:rPr>
          <w:b w:val="0"/>
          <w:bCs w:val="0"/>
          <w:szCs w:val="22"/>
        </w:rPr>
        <w:t xml:space="preserve">2007, agenda item 2007-02 rejected FAS 131 </w:t>
      </w:r>
      <w:r w:rsidR="00203131">
        <w:rPr>
          <w:b w:val="0"/>
          <w:bCs w:val="0"/>
          <w:szCs w:val="22"/>
        </w:rPr>
        <w:t xml:space="preserve">in Appendix D as not applicable </w:t>
      </w:r>
      <w:r w:rsidR="00B267AA">
        <w:rPr>
          <w:b w:val="0"/>
          <w:bCs w:val="0"/>
          <w:szCs w:val="22"/>
        </w:rPr>
        <w:t>for statutory accounting purposes.</w:t>
      </w:r>
    </w:p>
    <w:p w14:paraId="7044CD15" w14:textId="77777777" w:rsidR="00A202AF" w:rsidRPr="005B05FC" w:rsidRDefault="00A202AF" w:rsidP="00706B68">
      <w:pPr>
        <w:pStyle w:val="BodyText2"/>
        <w:rPr>
          <w:rFonts w:eastAsia="MS Mincho"/>
          <w:b w:val="0"/>
          <w:szCs w:val="22"/>
          <w:highlight w:val="yellow"/>
          <w:lang w:eastAsia="ja-JP"/>
        </w:rPr>
      </w:pPr>
    </w:p>
    <w:p w14:paraId="1A7C9804" w14:textId="37F353B2" w:rsidR="002A1316" w:rsidRPr="00787C29" w:rsidRDefault="002A1316" w:rsidP="00B30CA0">
      <w:pPr>
        <w:pStyle w:val="BodyText"/>
        <w:rPr>
          <w:b/>
          <w:sz w:val="22"/>
          <w:szCs w:val="22"/>
        </w:rPr>
      </w:pPr>
      <w:r w:rsidRPr="00787C29">
        <w:rPr>
          <w:b/>
          <w:sz w:val="22"/>
          <w:szCs w:val="22"/>
        </w:rPr>
        <w:t xml:space="preserve">Information or </w:t>
      </w:r>
      <w:r w:rsidR="00DF407B" w:rsidRPr="00787C29">
        <w:rPr>
          <w:b/>
          <w:sz w:val="22"/>
          <w:szCs w:val="22"/>
        </w:rPr>
        <w:t>i</w:t>
      </w:r>
      <w:r w:rsidRPr="00787C29">
        <w:rPr>
          <w:b/>
          <w:sz w:val="22"/>
          <w:szCs w:val="22"/>
        </w:rPr>
        <w:t xml:space="preserve">ssues (included in </w:t>
      </w:r>
      <w:r w:rsidRPr="00787C29">
        <w:rPr>
          <w:b/>
          <w:i/>
          <w:sz w:val="22"/>
          <w:szCs w:val="22"/>
        </w:rPr>
        <w:t>Description of Issue</w:t>
      </w:r>
      <w:r w:rsidRPr="00787C29">
        <w:rPr>
          <w:b/>
          <w:sz w:val="22"/>
          <w:szCs w:val="22"/>
        </w:rPr>
        <w:t xml:space="preserve">) not previously contemplated by the </w:t>
      </w:r>
      <w:r w:rsidR="00004652" w:rsidRPr="00787C29">
        <w:rPr>
          <w:b/>
          <w:sz w:val="22"/>
          <w:szCs w:val="22"/>
        </w:rPr>
        <w:t>Working Group</w:t>
      </w:r>
      <w:r w:rsidRPr="00787C29">
        <w:rPr>
          <w:b/>
          <w:sz w:val="22"/>
          <w:szCs w:val="22"/>
        </w:rPr>
        <w:t>:</w:t>
      </w:r>
    </w:p>
    <w:p w14:paraId="38E08ED2" w14:textId="77777777" w:rsidR="002A1316" w:rsidRPr="00787C29" w:rsidRDefault="00FE7FAA" w:rsidP="00B30CA0">
      <w:pPr>
        <w:pStyle w:val="BodyText"/>
        <w:rPr>
          <w:bCs/>
          <w:sz w:val="22"/>
          <w:szCs w:val="22"/>
        </w:rPr>
      </w:pPr>
      <w:r w:rsidRPr="00787C29">
        <w:rPr>
          <w:bCs/>
          <w:sz w:val="22"/>
          <w:szCs w:val="22"/>
        </w:rPr>
        <w:t>None</w:t>
      </w:r>
    </w:p>
    <w:p w14:paraId="42D8D9A1" w14:textId="77777777" w:rsidR="00787C29" w:rsidRPr="00787C29" w:rsidRDefault="00787C29" w:rsidP="00490996">
      <w:pPr>
        <w:pStyle w:val="Default"/>
        <w:rPr>
          <w:b/>
          <w:sz w:val="22"/>
          <w:szCs w:val="22"/>
        </w:rPr>
      </w:pPr>
    </w:p>
    <w:p w14:paraId="1F1F1EA7" w14:textId="69AEA8C6" w:rsidR="002156FF" w:rsidRPr="00787C29" w:rsidRDefault="00490996" w:rsidP="00F80B24">
      <w:pPr>
        <w:pStyle w:val="Default"/>
        <w:rPr>
          <w:b/>
          <w:sz w:val="22"/>
          <w:szCs w:val="22"/>
        </w:rPr>
      </w:pPr>
      <w:r w:rsidRPr="00787C29">
        <w:rPr>
          <w:b/>
          <w:sz w:val="22"/>
          <w:szCs w:val="22"/>
        </w:rPr>
        <w:t>Convergence with International Financial Reporting Standards (IFRS):</w:t>
      </w:r>
      <w:r w:rsidR="002B5672">
        <w:rPr>
          <w:b/>
          <w:sz w:val="22"/>
          <w:szCs w:val="22"/>
        </w:rPr>
        <w:t xml:space="preserve"> </w:t>
      </w:r>
      <w:r w:rsidR="00787C29" w:rsidRPr="00787C29">
        <w:rPr>
          <w:color w:val="auto"/>
          <w:sz w:val="22"/>
          <w:szCs w:val="22"/>
        </w:rPr>
        <w:t>None</w:t>
      </w:r>
    </w:p>
    <w:p w14:paraId="6E612040" w14:textId="77777777" w:rsidR="002156FF" w:rsidRPr="005B05FC" w:rsidRDefault="002156FF" w:rsidP="00490996">
      <w:pPr>
        <w:pStyle w:val="BodyText2"/>
        <w:rPr>
          <w:b w:val="0"/>
          <w:bCs w:val="0"/>
          <w:szCs w:val="22"/>
          <w:highlight w:val="yellow"/>
        </w:rPr>
      </w:pPr>
    </w:p>
    <w:p w14:paraId="04378B19" w14:textId="77777777" w:rsidR="004718D3" w:rsidRDefault="002A1316" w:rsidP="002156FF">
      <w:pPr>
        <w:pStyle w:val="BodyText2"/>
        <w:rPr>
          <w:szCs w:val="22"/>
        </w:rPr>
      </w:pPr>
      <w:r w:rsidRPr="00787C29">
        <w:rPr>
          <w:szCs w:val="22"/>
        </w:rPr>
        <w:t>Staff Recommendation:</w:t>
      </w:r>
      <w:bookmarkStart w:id="1" w:name="_Hlk33432049"/>
    </w:p>
    <w:p w14:paraId="4A57F060" w14:textId="72068DB4" w:rsidR="002156FF" w:rsidRPr="00176015" w:rsidRDefault="002156FF" w:rsidP="002156FF">
      <w:pPr>
        <w:pStyle w:val="BodyText2"/>
        <w:rPr>
          <w:b w:val="0"/>
          <w:szCs w:val="22"/>
        </w:rPr>
      </w:pPr>
      <w:r w:rsidRPr="00787C29">
        <w:rPr>
          <w:szCs w:val="22"/>
        </w:rPr>
        <w:t xml:space="preserve">NAIC staff recommends that the Working Group move this item to the active listing, categorized as </w:t>
      </w:r>
      <w:r w:rsidR="00CE1706">
        <w:rPr>
          <w:szCs w:val="22"/>
        </w:rPr>
        <w:t>a SAP clarification</w:t>
      </w:r>
      <w:r w:rsidRPr="00787C29">
        <w:rPr>
          <w:szCs w:val="22"/>
        </w:rPr>
        <w:t xml:space="preserve">, and expose revisions to </w:t>
      </w:r>
      <w:r w:rsidRPr="00787C29">
        <w:rPr>
          <w:i/>
          <w:szCs w:val="22"/>
        </w:rPr>
        <w:t>Appendix D—Nonapplicable GAAP Pronouncements</w:t>
      </w:r>
      <w:r w:rsidRPr="00787C29">
        <w:rPr>
          <w:szCs w:val="22"/>
        </w:rPr>
        <w:t xml:space="preserve"> to reject </w:t>
      </w:r>
      <w:r w:rsidR="00C03781" w:rsidRPr="00C03781">
        <w:rPr>
          <w:i/>
          <w:iCs/>
          <w:szCs w:val="22"/>
        </w:rPr>
        <w:t>ASU 2023-07, Segment Reporting (Topic 280), Improvements to Reportable Segment Disclosures</w:t>
      </w:r>
      <w:r w:rsidR="00216C58">
        <w:rPr>
          <w:i/>
          <w:iCs/>
          <w:szCs w:val="22"/>
        </w:rPr>
        <w:t xml:space="preserve"> </w:t>
      </w:r>
      <w:r w:rsidRPr="00787C29">
        <w:rPr>
          <w:szCs w:val="22"/>
        </w:rPr>
        <w:t>as not applicable to statutory accounting.</w:t>
      </w:r>
      <w:r w:rsidR="00201DDC">
        <w:rPr>
          <w:szCs w:val="22"/>
        </w:rPr>
        <w:t xml:space="preserve"> </w:t>
      </w:r>
      <w:r w:rsidR="00720EA3" w:rsidRPr="00286564">
        <w:rPr>
          <w:b w:val="0"/>
          <w:bCs w:val="0"/>
          <w:szCs w:val="22"/>
        </w:rPr>
        <w:t xml:space="preserve">This item is </w:t>
      </w:r>
      <w:r w:rsidR="00C03781">
        <w:rPr>
          <w:b w:val="0"/>
          <w:bCs w:val="0"/>
          <w:szCs w:val="22"/>
        </w:rPr>
        <w:t>considered</w:t>
      </w:r>
      <w:r w:rsidR="00720EA3" w:rsidRPr="00286564">
        <w:rPr>
          <w:b w:val="0"/>
          <w:bCs w:val="0"/>
          <w:szCs w:val="22"/>
        </w:rPr>
        <w:t xml:space="preserve"> not applicable as </w:t>
      </w:r>
      <w:r w:rsidR="00720EA3">
        <w:rPr>
          <w:b w:val="0"/>
          <w:bCs w:val="0"/>
          <w:szCs w:val="22"/>
        </w:rPr>
        <w:t>the ASU</w:t>
      </w:r>
      <w:r w:rsidR="00720EA3" w:rsidRPr="00286564">
        <w:rPr>
          <w:b w:val="0"/>
          <w:bCs w:val="0"/>
          <w:szCs w:val="22"/>
        </w:rPr>
        <w:t xml:space="preserve"> </w:t>
      </w:r>
      <w:r w:rsidR="00C03781">
        <w:rPr>
          <w:b w:val="0"/>
          <w:bCs w:val="0"/>
          <w:szCs w:val="22"/>
        </w:rPr>
        <w:t>amend</w:t>
      </w:r>
      <w:r w:rsidR="004F1BD0">
        <w:rPr>
          <w:b w:val="0"/>
          <w:bCs w:val="0"/>
          <w:szCs w:val="22"/>
        </w:rPr>
        <w:t>s</w:t>
      </w:r>
      <w:r w:rsidR="00C03781">
        <w:rPr>
          <w:b w:val="0"/>
          <w:bCs w:val="0"/>
          <w:szCs w:val="22"/>
        </w:rPr>
        <w:t xml:space="preserve"> U.S. GAAP guidance on</w:t>
      </w:r>
      <w:r w:rsidR="00720EA3" w:rsidRPr="00286564">
        <w:rPr>
          <w:b w:val="0"/>
          <w:bCs w:val="0"/>
          <w:szCs w:val="22"/>
        </w:rPr>
        <w:t xml:space="preserve"> </w:t>
      </w:r>
      <w:r w:rsidR="00204AED">
        <w:rPr>
          <w:b w:val="0"/>
          <w:bCs w:val="0"/>
          <w:szCs w:val="22"/>
        </w:rPr>
        <w:t>segment reporting disclosures</w:t>
      </w:r>
      <w:r w:rsidR="00216C58">
        <w:rPr>
          <w:b w:val="0"/>
          <w:bCs w:val="0"/>
          <w:szCs w:val="22"/>
        </w:rPr>
        <w:t xml:space="preserve"> for public entities</w:t>
      </w:r>
      <w:r w:rsidR="00720EA3" w:rsidRPr="00286564">
        <w:rPr>
          <w:b w:val="0"/>
          <w:bCs w:val="0"/>
          <w:szCs w:val="22"/>
        </w:rPr>
        <w:t xml:space="preserve">, which </w:t>
      </w:r>
      <w:r w:rsidR="00216C58">
        <w:rPr>
          <w:b w:val="0"/>
          <w:bCs w:val="0"/>
          <w:szCs w:val="22"/>
        </w:rPr>
        <w:t>is</w:t>
      </w:r>
      <w:r w:rsidR="00720EA3" w:rsidRPr="00286564">
        <w:rPr>
          <w:b w:val="0"/>
          <w:bCs w:val="0"/>
          <w:szCs w:val="22"/>
        </w:rPr>
        <w:t xml:space="preserve"> not </w:t>
      </w:r>
      <w:r w:rsidR="00216C58">
        <w:rPr>
          <w:b w:val="0"/>
          <w:bCs w:val="0"/>
          <w:szCs w:val="22"/>
        </w:rPr>
        <w:t xml:space="preserve">an </w:t>
      </w:r>
      <w:r w:rsidR="00720EA3" w:rsidRPr="00286564">
        <w:rPr>
          <w:b w:val="0"/>
          <w:bCs w:val="0"/>
          <w:szCs w:val="22"/>
        </w:rPr>
        <w:t>applicable</w:t>
      </w:r>
      <w:r w:rsidR="00216C58">
        <w:rPr>
          <w:b w:val="0"/>
          <w:bCs w:val="0"/>
          <w:szCs w:val="22"/>
        </w:rPr>
        <w:t xml:space="preserve"> concept</w:t>
      </w:r>
      <w:r w:rsidR="00720EA3" w:rsidRPr="00286564">
        <w:rPr>
          <w:b w:val="0"/>
          <w:bCs w:val="0"/>
          <w:szCs w:val="22"/>
        </w:rPr>
        <w:t xml:space="preserve"> for statutory accounting purposes.</w:t>
      </w:r>
      <w:r w:rsidR="00131515">
        <w:rPr>
          <w:b w:val="0"/>
          <w:bCs w:val="0"/>
          <w:szCs w:val="22"/>
        </w:rPr>
        <w:t xml:space="preserve"> </w:t>
      </w:r>
      <w:r w:rsidR="00F20ED9">
        <w:rPr>
          <w:b w:val="0"/>
          <w:bCs w:val="0"/>
          <w:szCs w:val="22"/>
        </w:rPr>
        <w:t>Topic 280 was established from</w:t>
      </w:r>
      <w:r w:rsidR="00204AED" w:rsidRPr="00204AED">
        <w:rPr>
          <w:b w:val="0"/>
          <w:bCs w:val="0"/>
          <w:szCs w:val="22"/>
        </w:rPr>
        <w:t xml:space="preserve"> FAS </w:t>
      </w:r>
      <w:r w:rsidR="00970729" w:rsidRPr="00204AED">
        <w:rPr>
          <w:b w:val="0"/>
          <w:bCs w:val="0"/>
          <w:szCs w:val="22"/>
        </w:rPr>
        <w:t>131,</w:t>
      </w:r>
      <w:r w:rsidR="00204AED" w:rsidRPr="00204AED">
        <w:rPr>
          <w:b w:val="0"/>
          <w:bCs w:val="0"/>
          <w:szCs w:val="22"/>
        </w:rPr>
        <w:t xml:space="preserve"> </w:t>
      </w:r>
      <w:r w:rsidR="00F20ED9">
        <w:rPr>
          <w:b w:val="0"/>
          <w:bCs w:val="0"/>
          <w:szCs w:val="22"/>
        </w:rPr>
        <w:t xml:space="preserve">which </w:t>
      </w:r>
      <w:r w:rsidR="00970729">
        <w:rPr>
          <w:b w:val="0"/>
          <w:bCs w:val="0"/>
          <w:szCs w:val="22"/>
        </w:rPr>
        <w:t>has previously been</w:t>
      </w:r>
      <w:r w:rsidR="00204AED" w:rsidRPr="00204AED">
        <w:rPr>
          <w:b w:val="0"/>
          <w:bCs w:val="0"/>
          <w:szCs w:val="22"/>
        </w:rPr>
        <w:t xml:space="preserve"> determined to </w:t>
      </w:r>
      <w:r w:rsidR="00F20ED9">
        <w:rPr>
          <w:b w:val="0"/>
          <w:bCs w:val="0"/>
          <w:szCs w:val="22"/>
        </w:rPr>
        <w:t xml:space="preserve">be not </w:t>
      </w:r>
      <w:r w:rsidR="00204AED" w:rsidRPr="00204AED">
        <w:rPr>
          <w:b w:val="0"/>
          <w:bCs w:val="0"/>
          <w:szCs w:val="22"/>
        </w:rPr>
        <w:t>applicable to statutory accounting principles</w:t>
      </w:r>
      <w:r w:rsidR="00970729">
        <w:rPr>
          <w:b w:val="0"/>
          <w:bCs w:val="0"/>
          <w:szCs w:val="22"/>
        </w:rPr>
        <w:t xml:space="preserve"> by the Working Group</w:t>
      </w:r>
      <w:r w:rsidR="00204AED" w:rsidRPr="00204AED">
        <w:rPr>
          <w:b w:val="0"/>
          <w:bCs w:val="0"/>
          <w:szCs w:val="22"/>
        </w:rPr>
        <w:t xml:space="preserve">. In addition, the annual statement reporting process requires reporting by line of business, </w:t>
      </w:r>
      <w:proofErr w:type="gramStart"/>
      <w:r w:rsidR="00204AED" w:rsidRPr="00204AED">
        <w:rPr>
          <w:b w:val="0"/>
          <w:bCs w:val="0"/>
          <w:szCs w:val="22"/>
        </w:rPr>
        <w:t>jurisdiction</w:t>
      </w:r>
      <w:proofErr w:type="gramEnd"/>
      <w:r w:rsidR="00204AED" w:rsidRPr="00204AED">
        <w:rPr>
          <w:b w:val="0"/>
          <w:bCs w:val="0"/>
          <w:szCs w:val="22"/>
        </w:rPr>
        <w:t xml:space="preserve"> and </w:t>
      </w:r>
      <w:r w:rsidR="001A5E38">
        <w:rPr>
          <w:b w:val="0"/>
          <w:bCs w:val="0"/>
          <w:szCs w:val="22"/>
        </w:rPr>
        <w:t xml:space="preserve">instead of U.S. GAAP </w:t>
      </w:r>
      <w:r w:rsidR="00204AED" w:rsidRPr="00204AED">
        <w:rPr>
          <w:b w:val="0"/>
          <w:bCs w:val="0"/>
          <w:szCs w:val="22"/>
        </w:rPr>
        <w:t>“segment” type information.</w:t>
      </w:r>
    </w:p>
    <w:bookmarkEnd w:id="1"/>
    <w:p w14:paraId="2A2E73F1" w14:textId="77777777" w:rsidR="006B37DD" w:rsidRPr="004D6DB6" w:rsidRDefault="006B37DD" w:rsidP="00B30CA0">
      <w:pPr>
        <w:rPr>
          <w:sz w:val="22"/>
          <w:szCs w:val="22"/>
        </w:rPr>
      </w:pPr>
    </w:p>
    <w:p w14:paraId="44BEB325" w14:textId="30997959" w:rsidR="00EC5218" w:rsidRDefault="002156FF" w:rsidP="002156FF">
      <w:pPr>
        <w:pStyle w:val="BodyText2"/>
        <w:rPr>
          <w:b w:val="0"/>
          <w:bCs w:val="0"/>
          <w:szCs w:val="22"/>
        </w:rPr>
      </w:pPr>
      <w:r w:rsidRPr="004D6DB6">
        <w:rPr>
          <w:szCs w:val="22"/>
        </w:rPr>
        <w:lastRenderedPageBreak/>
        <w:t>Staff Review Completed by:</w:t>
      </w:r>
      <w:r w:rsidR="006F43F5">
        <w:rPr>
          <w:szCs w:val="22"/>
        </w:rPr>
        <w:t xml:space="preserve"> </w:t>
      </w:r>
      <w:r w:rsidR="004D6DB6" w:rsidRPr="005201E1">
        <w:rPr>
          <w:b w:val="0"/>
          <w:bCs w:val="0"/>
          <w:szCs w:val="22"/>
        </w:rPr>
        <w:t>William Oden</w:t>
      </w:r>
      <w:r w:rsidRPr="005201E1">
        <w:rPr>
          <w:b w:val="0"/>
          <w:bCs w:val="0"/>
          <w:szCs w:val="22"/>
        </w:rPr>
        <w:t xml:space="preserve"> – </w:t>
      </w:r>
      <w:r w:rsidR="00747888">
        <w:rPr>
          <w:b w:val="0"/>
          <w:bCs w:val="0"/>
          <w:szCs w:val="22"/>
        </w:rPr>
        <w:t>February</w:t>
      </w:r>
      <w:r w:rsidRPr="005201E1">
        <w:rPr>
          <w:b w:val="0"/>
          <w:bCs w:val="0"/>
          <w:szCs w:val="22"/>
        </w:rPr>
        <w:t xml:space="preserve"> 202</w:t>
      </w:r>
      <w:r w:rsidR="00216C58">
        <w:rPr>
          <w:b w:val="0"/>
          <w:bCs w:val="0"/>
          <w:szCs w:val="22"/>
        </w:rPr>
        <w:t>5</w:t>
      </w:r>
    </w:p>
    <w:p w14:paraId="4C16FB36" w14:textId="77777777" w:rsidR="002C5B12" w:rsidRDefault="002C5B12" w:rsidP="002156FF">
      <w:pPr>
        <w:pStyle w:val="BodyText2"/>
        <w:rPr>
          <w:b w:val="0"/>
          <w:bCs w:val="0"/>
          <w:szCs w:val="22"/>
        </w:rPr>
      </w:pPr>
    </w:p>
    <w:p w14:paraId="1AB3D9D6" w14:textId="77777777" w:rsidR="002C5B12" w:rsidRPr="002C5B12" w:rsidRDefault="002C5B12" w:rsidP="002C5B12">
      <w:pPr>
        <w:pStyle w:val="BodyText2"/>
        <w:rPr>
          <w:szCs w:val="22"/>
        </w:rPr>
      </w:pPr>
      <w:r w:rsidRPr="002C5B12">
        <w:rPr>
          <w:szCs w:val="22"/>
        </w:rPr>
        <w:t>Status:</w:t>
      </w:r>
    </w:p>
    <w:p w14:paraId="088C3229" w14:textId="348728D3" w:rsidR="002C5B12" w:rsidRDefault="002C5B12" w:rsidP="002C5B12">
      <w:pPr>
        <w:pStyle w:val="BodyText2"/>
        <w:rPr>
          <w:b w:val="0"/>
          <w:bCs w:val="0"/>
          <w:szCs w:val="22"/>
        </w:rPr>
      </w:pPr>
      <w:r w:rsidRPr="002C5B12">
        <w:rPr>
          <w:b w:val="0"/>
          <w:bCs w:val="0"/>
          <w:szCs w:val="22"/>
        </w:rPr>
        <w:t>On March 24, 2025, the Statutory Accounting Principles (E) Working Group exposed</w:t>
      </w:r>
      <w:r w:rsidRPr="002C5B12">
        <w:t xml:space="preserve"> </w:t>
      </w:r>
      <w:r w:rsidRPr="002C5B12">
        <w:rPr>
          <w:b w:val="0"/>
          <w:bCs w:val="0"/>
          <w:szCs w:val="22"/>
        </w:rPr>
        <w:t xml:space="preserve">revisions to </w:t>
      </w:r>
      <w:r w:rsidRPr="002C5B12">
        <w:rPr>
          <w:b w:val="0"/>
          <w:bCs w:val="0"/>
          <w:i/>
          <w:iCs/>
          <w:szCs w:val="22"/>
        </w:rPr>
        <w:t>Appendix D—Nonapplicable GAAP Pronouncements</w:t>
      </w:r>
      <w:r w:rsidRPr="002C5B12">
        <w:rPr>
          <w:b w:val="0"/>
          <w:bCs w:val="0"/>
          <w:szCs w:val="22"/>
        </w:rPr>
        <w:t xml:space="preserve"> to reject </w:t>
      </w:r>
      <w:r w:rsidRPr="002C5B12">
        <w:rPr>
          <w:b w:val="0"/>
          <w:bCs w:val="0"/>
          <w:i/>
          <w:iCs/>
          <w:szCs w:val="22"/>
        </w:rPr>
        <w:t>ASU 2023-07, Segment Reporting (Topic 280), Improvements to Reportable Segment Disclosures</w:t>
      </w:r>
      <w:r w:rsidRPr="002C5B12">
        <w:rPr>
          <w:b w:val="0"/>
          <w:bCs w:val="0"/>
          <w:szCs w:val="22"/>
        </w:rPr>
        <w:t xml:space="preserve"> as not applicable to statutory accounting.</w:t>
      </w:r>
    </w:p>
    <w:p w14:paraId="7031837F" w14:textId="77777777" w:rsidR="001246CA" w:rsidRDefault="001246CA" w:rsidP="002156FF">
      <w:pPr>
        <w:pStyle w:val="BodyText2"/>
        <w:rPr>
          <w:b w:val="0"/>
          <w:bCs w:val="0"/>
          <w:szCs w:val="22"/>
        </w:rPr>
      </w:pPr>
    </w:p>
    <w:p w14:paraId="2F88D026" w14:textId="09793413" w:rsidR="00384C1B" w:rsidRPr="00E12730" w:rsidRDefault="00E12730" w:rsidP="00817D0C">
      <w:pPr>
        <w:jc w:val="both"/>
        <w:rPr>
          <w:noProof/>
          <w:sz w:val="16"/>
          <w:szCs w:val="16"/>
        </w:rPr>
      </w:pPr>
      <w:r w:rsidRPr="00E12730">
        <w:rPr>
          <w:noProof/>
          <w:sz w:val="16"/>
          <w:szCs w:val="16"/>
        </w:rPr>
        <w:fldChar w:fldCharType="begin"/>
      </w:r>
      <w:r w:rsidRPr="00E12730">
        <w:rPr>
          <w:noProof/>
          <w:sz w:val="16"/>
          <w:szCs w:val="16"/>
        </w:rPr>
        <w:instrText xml:space="preserve"> FILENAME  \p  \* MERGEFORMAT </w:instrText>
      </w:r>
      <w:r w:rsidRPr="00E12730">
        <w:rPr>
          <w:noProof/>
          <w:sz w:val="16"/>
          <w:szCs w:val="16"/>
        </w:rPr>
        <w:fldChar w:fldCharType="separate"/>
      </w:r>
      <w:r w:rsidR="00DD08E0">
        <w:rPr>
          <w:noProof/>
          <w:sz w:val="16"/>
          <w:szCs w:val="16"/>
        </w:rPr>
        <w:t>https://naiconline.sharepoint.com/teams/FRSStatutoryAccounting/National Meetings/A. National Meeting Materials/2025/03-24-25 Spring National Meeting/Exposures/25-10 - ASU 2023-07, Improvements to Reportable Segment Disclosures.docx</w:t>
      </w:r>
      <w:r w:rsidRPr="00E12730">
        <w:rPr>
          <w:noProof/>
          <w:sz w:val="16"/>
          <w:szCs w:val="16"/>
        </w:rPr>
        <w:fldChar w:fldCharType="end"/>
      </w:r>
    </w:p>
    <w:sectPr w:rsidR="00384C1B" w:rsidRPr="00E12730" w:rsidSect="0099662A">
      <w:headerReference w:type="default" r:id="rId11"/>
      <w:footerReference w:type="default" r:id="rId12"/>
      <w:headerReference w:type="first" r:id="rId13"/>
      <w:footerReference w:type="first" r:id="rId14"/>
      <w:pgSz w:w="12240" w:h="15840" w:code="1"/>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13CD4A" w14:textId="77777777" w:rsidR="00EE1569" w:rsidRDefault="00EE1569">
      <w:r>
        <w:separator/>
      </w:r>
    </w:p>
  </w:endnote>
  <w:endnote w:type="continuationSeparator" w:id="0">
    <w:p w14:paraId="70DE2A30" w14:textId="77777777" w:rsidR="00EE1569" w:rsidRDefault="00EE1569">
      <w:r>
        <w:continuationSeparator/>
      </w:r>
    </w:p>
  </w:endnote>
  <w:endnote w:type="continuationNotice" w:id="1">
    <w:p w14:paraId="65F39D35" w14:textId="77777777" w:rsidR="00EE1569" w:rsidRDefault="00EE156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ms Rmn">
    <w:panose1 w:val="02020603040505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3938B" w14:textId="245150F9" w:rsidR="004863CE" w:rsidRDefault="004863CE" w:rsidP="00DF407B">
    <w:pPr>
      <w:pStyle w:val="Footer"/>
      <w:tabs>
        <w:tab w:val="clear" w:pos="4320"/>
        <w:tab w:val="center" w:pos="5040"/>
      </w:tabs>
      <w:rPr>
        <w:sz w:val="20"/>
      </w:rPr>
    </w:pPr>
    <w:r>
      <w:rPr>
        <w:sz w:val="20"/>
      </w:rPr>
      <w:t>© 202</w:t>
    </w:r>
    <w:r w:rsidR="0009334D">
      <w:rPr>
        <w:sz w:val="20"/>
      </w:rPr>
      <w:t>5</w:t>
    </w:r>
    <w:r>
      <w:rPr>
        <w:sz w:val="20"/>
      </w:rPr>
      <w:t xml:space="preserve"> National Association of Insurance Commissioners</w:t>
    </w:r>
    <w:r>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2</w:t>
    </w:r>
    <w:r>
      <w:rPr>
        <w:rStyle w:val="PageNumber"/>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70D23" w14:textId="15EC467B" w:rsidR="004863CE" w:rsidRDefault="004863CE" w:rsidP="006B37DD">
    <w:pPr>
      <w:pStyle w:val="Footer"/>
      <w:tabs>
        <w:tab w:val="clear" w:pos="4320"/>
        <w:tab w:val="center" w:pos="5040"/>
      </w:tabs>
      <w:rPr>
        <w:sz w:val="20"/>
      </w:rPr>
    </w:pPr>
    <w:r>
      <w:rPr>
        <w:sz w:val="20"/>
      </w:rPr>
      <w:t>© 2019 National Association of Insurance Commissioners</w:t>
    </w:r>
    <w:r>
      <w:rPr>
        <w:sz w:val="20"/>
      </w:rPr>
      <w:tab/>
    </w: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w:t>
    </w:r>
    <w:r>
      <w:rPr>
        <w:rStyle w:val="PageNumber"/>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AC05B4" w14:textId="77777777" w:rsidR="00EE1569" w:rsidRDefault="00EE1569">
      <w:r>
        <w:separator/>
      </w:r>
    </w:p>
  </w:footnote>
  <w:footnote w:type="continuationSeparator" w:id="0">
    <w:p w14:paraId="77E07F51" w14:textId="77777777" w:rsidR="00EE1569" w:rsidRDefault="00EE1569">
      <w:r>
        <w:continuationSeparator/>
      </w:r>
    </w:p>
  </w:footnote>
  <w:footnote w:type="continuationNotice" w:id="1">
    <w:p w14:paraId="4C6E2103" w14:textId="77777777" w:rsidR="00EE1569" w:rsidRDefault="00EE156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1D6A2F" w14:textId="7BF86BCE" w:rsidR="001062E4" w:rsidRPr="00DB74BB" w:rsidRDefault="001062E4">
    <w:pPr>
      <w:pStyle w:val="Header"/>
      <w:jc w:val="right"/>
      <w:rPr>
        <w:b/>
        <w:sz w:val="20"/>
      </w:rPr>
    </w:pPr>
  </w:p>
  <w:p w14:paraId="14FEED1A" w14:textId="28885A04" w:rsidR="004863CE" w:rsidRPr="00F04F9A" w:rsidRDefault="004863CE">
    <w:pPr>
      <w:pStyle w:val="Header"/>
      <w:jc w:val="right"/>
      <w:rPr>
        <w:bCs/>
        <w:sz w:val="20"/>
      </w:rPr>
    </w:pPr>
    <w:r w:rsidRPr="006F43F5">
      <w:rPr>
        <w:bCs/>
        <w:sz w:val="20"/>
      </w:rPr>
      <w:t>Ref #202</w:t>
    </w:r>
    <w:r w:rsidR="0009334D">
      <w:rPr>
        <w:bCs/>
        <w:sz w:val="20"/>
      </w:rPr>
      <w:t>5</w:t>
    </w:r>
    <w:r w:rsidRPr="006F43F5">
      <w:rPr>
        <w:bCs/>
        <w:sz w:val="20"/>
      </w:rPr>
      <w:t>-</w:t>
    </w:r>
    <w:r w:rsidR="00B40518">
      <w:rPr>
        <w:bCs/>
        <w:sz w:val="20"/>
      </w:rPr>
      <w:t>10</w:t>
    </w:r>
  </w:p>
  <w:p w14:paraId="12DAC63B" w14:textId="77777777" w:rsidR="004863CE" w:rsidRDefault="004863CE">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9815E" w14:textId="77777777" w:rsidR="004863CE" w:rsidRPr="00F04F9A" w:rsidRDefault="004863CE" w:rsidP="00AE74CF">
    <w:pPr>
      <w:pStyle w:val="Header"/>
      <w:jc w:val="right"/>
      <w:rPr>
        <w:b/>
        <w:sz w:val="20"/>
      </w:rPr>
    </w:pPr>
    <w:r w:rsidRPr="00F04F9A">
      <w:rPr>
        <w:b/>
        <w:sz w:val="20"/>
      </w:rPr>
      <w:t>Attachment __</w:t>
    </w:r>
  </w:p>
  <w:p w14:paraId="6B24D022" w14:textId="403538C5" w:rsidR="004863CE" w:rsidRPr="00F04F9A" w:rsidRDefault="004863CE" w:rsidP="00AE74CF">
    <w:pPr>
      <w:pStyle w:val="Header"/>
      <w:jc w:val="right"/>
      <w:rPr>
        <w:bCs/>
        <w:sz w:val="20"/>
      </w:rPr>
    </w:pPr>
    <w:r w:rsidRPr="00F04F9A">
      <w:rPr>
        <w:bCs/>
        <w:sz w:val="20"/>
      </w:rPr>
      <w:t>Ref #201</w:t>
    </w:r>
    <w:r>
      <w:rPr>
        <w:bCs/>
        <w:sz w:val="20"/>
      </w:rPr>
      <w:t>9</w:t>
    </w:r>
    <w:r w:rsidRPr="00F04F9A">
      <w:rPr>
        <w:bCs/>
        <w:sz w:val="20"/>
      </w:rPr>
      <w:t>-</w:t>
    </w:r>
  </w:p>
  <w:p w14:paraId="7E519226" w14:textId="77777777" w:rsidR="004863CE" w:rsidRDefault="004863CE" w:rsidP="00AE74CF">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E"/>
    <w:multiLevelType w:val="singleLevel"/>
    <w:tmpl w:val="D4D0B7F4"/>
    <w:lvl w:ilvl="0">
      <w:start w:val="1"/>
      <w:numFmt w:val="decimal"/>
      <w:pStyle w:val="ListNumber3"/>
      <w:lvlText w:val="%1."/>
      <w:lvlJc w:val="left"/>
      <w:pPr>
        <w:tabs>
          <w:tab w:val="num" w:pos="1080"/>
        </w:tabs>
        <w:ind w:left="1080" w:hanging="360"/>
      </w:pPr>
    </w:lvl>
  </w:abstractNum>
  <w:abstractNum w:abstractNumId="1" w15:restartNumberingAfterBreak="0">
    <w:nsid w:val="FFFFFF88"/>
    <w:multiLevelType w:val="singleLevel"/>
    <w:tmpl w:val="257A1570"/>
    <w:lvl w:ilvl="0">
      <w:start w:val="1"/>
      <w:numFmt w:val="decimal"/>
      <w:pStyle w:val="ListNumber"/>
      <w:lvlText w:val="%1."/>
      <w:lvlJc w:val="left"/>
      <w:pPr>
        <w:tabs>
          <w:tab w:val="num" w:pos="360"/>
        </w:tabs>
        <w:ind w:left="360" w:hanging="360"/>
      </w:pPr>
    </w:lvl>
  </w:abstractNum>
  <w:abstractNum w:abstractNumId="2" w15:restartNumberingAfterBreak="0">
    <w:nsid w:val="FFFFFFFE"/>
    <w:multiLevelType w:val="singleLevel"/>
    <w:tmpl w:val="1D8C0038"/>
    <w:lvl w:ilvl="0">
      <w:numFmt w:val="decimal"/>
      <w:pStyle w:val="ListBullet2"/>
      <w:lvlText w:val="*"/>
      <w:lvlJc w:val="left"/>
    </w:lvl>
  </w:abstractNum>
  <w:abstractNum w:abstractNumId="3" w15:restartNumberingAfterBreak="0">
    <w:nsid w:val="099D0659"/>
    <w:multiLevelType w:val="hybridMultilevel"/>
    <w:tmpl w:val="250A3EF6"/>
    <w:lvl w:ilvl="0" w:tplc="40FA3434">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4" w15:restartNumberingAfterBreak="0">
    <w:nsid w:val="0BE749D2"/>
    <w:multiLevelType w:val="multilevel"/>
    <w:tmpl w:val="5740919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1001296A"/>
    <w:multiLevelType w:val="singleLevel"/>
    <w:tmpl w:val="D06EB10A"/>
    <w:lvl w:ilvl="0">
      <w:start w:val="1"/>
      <w:numFmt w:val="lowerLetter"/>
      <w:lvlText w:val="%1."/>
      <w:legacy w:legacy="1" w:legacySpace="0" w:legacyIndent="720"/>
      <w:lvlJc w:val="left"/>
      <w:pPr>
        <w:ind w:left="1440" w:hanging="720"/>
      </w:pPr>
    </w:lvl>
  </w:abstractNum>
  <w:abstractNum w:abstractNumId="6" w15:restartNumberingAfterBreak="0">
    <w:nsid w:val="1CCE3CEB"/>
    <w:multiLevelType w:val="hybridMultilevel"/>
    <w:tmpl w:val="05726922"/>
    <w:lvl w:ilvl="0" w:tplc="7E2CE26E">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07C7B54"/>
    <w:multiLevelType w:val="hybridMultilevel"/>
    <w:tmpl w:val="1310CA3A"/>
    <w:lvl w:ilvl="0" w:tplc="05969F50">
      <w:start w:val="1"/>
      <w:numFmt w:val="decimal"/>
      <w:lvlText w:val="%1."/>
      <w:lvlJc w:val="left"/>
      <w:pPr>
        <w:tabs>
          <w:tab w:val="num" w:pos="780"/>
        </w:tabs>
        <w:ind w:left="780" w:hanging="360"/>
      </w:pPr>
    </w:lvl>
    <w:lvl w:ilvl="1" w:tplc="4DA072CE" w:tentative="1">
      <w:start w:val="1"/>
      <w:numFmt w:val="lowerLetter"/>
      <w:lvlText w:val="%2."/>
      <w:lvlJc w:val="left"/>
      <w:pPr>
        <w:tabs>
          <w:tab w:val="num" w:pos="1500"/>
        </w:tabs>
        <w:ind w:left="1500" w:hanging="360"/>
      </w:pPr>
    </w:lvl>
    <w:lvl w:ilvl="2" w:tplc="D7882B06" w:tentative="1">
      <w:start w:val="1"/>
      <w:numFmt w:val="lowerRoman"/>
      <w:lvlText w:val="%3."/>
      <w:lvlJc w:val="right"/>
      <w:pPr>
        <w:tabs>
          <w:tab w:val="num" w:pos="2220"/>
        </w:tabs>
        <w:ind w:left="2220" w:hanging="180"/>
      </w:pPr>
    </w:lvl>
    <w:lvl w:ilvl="3" w:tplc="EA72BE90" w:tentative="1">
      <w:start w:val="1"/>
      <w:numFmt w:val="decimal"/>
      <w:lvlText w:val="%4."/>
      <w:lvlJc w:val="left"/>
      <w:pPr>
        <w:tabs>
          <w:tab w:val="num" w:pos="2940"/>
        </w:tabs>
        <w:ind w:left="2940" w:hanging="360"/>
      </w:pPr>
    </w:lvl>
    <w:lvl w:ilvl="4" w:tplc="2F3C9004" w:tentative="1">
      <w:start w:val="1"/>
      <w:numFmt w:val="lowerLetter"/>
      <w:lvlText w:val="%5."/>
      <w:lvlJc w:val="left"/>
      <w:pPr>
        <w:tabs>
          <w:tab w:val="num" w:pos="3660"/>
        </w:tabs>
        <w:ind w:left="3660" w:hanging="360"/>
      </w:pPr>
    </w:lvl>
    <w:lvl w:ilvl="5" w:tplc="7116F3DC" w:tentative="1">
      <w:start w:val="1"/>
      <w:numFmt w:val="lowerRoman"/>
      <w:lvlText w:val="%6."/>
      <w:lvlJc w:val="right"/>
      <w:pPr>
        <w:tabs>
          <w:tab w:val="num" w:pos="4380"/>
        </w:tabs>
        <w:ind w:left="4380" w:hanging="180"/>
      </w:pPr>
    </w:lvl>
    <w:lvl w:ilvl="6" w:tplc="CA16657C" w:tentative="1">
      <w:start w:val="1"/>
      <w:numFmt w:val="decimal"/>
      <w:lvlText w:val="%7."/>
      <w:lvlJc w:val="left"/>
      <w:pPr>
        <w:tabs>
          <w:tab w:val="num" w:pos="5100"/>
        </w:tabs>
        <w:ind w:left="5100" w:hanging="360"/>
      </w:pPr>
    </w:lvl>
    <w:lvl w:ilvl="7" w:tplc="CDE0A744" w:tentative="1">
      <w:start w:val="1"/>
      <w:numFmt w:val="lowerLetter"/>
      <w:lvlText w:val="%8."/>
      <w:lvlJc w:val="left"/>
      <w:pPr>
        <w:tabs>
          <w:tab w:val="num" w:pos="5820"/>
        </w:tabs>
        <w:ind w:left="5820" w:hanging="360"/>
      </w:pPr>
    </w:lvl>
    <w:lvl w:ilvl="8" w:tplc="4E4C1C54" w:tentative="1">
      <w:start w:val="1"/>
      <w:numFmt w:val="lowerRoman"/>
      <w:lvlText w:val="%9."/>
      <w:lvlJc w:val="right"/>
      <w:pPr>
        <w:tabs>
          <w:tab w:val="num" w:pos="6540"/>
        </w:tabs>
        <w:ind w:left="6540" w:hanging="180"/>
      </w:pPr>
    </w:lvl>
  </w:abstractNum>
  <w:abstractNum w:abstractNumId="8" w15:restartNumberingAfterBreak="0">
    <w:nsid w:val="2562614D"/>
    <w:multiLevelType w:val="multilevel"/>
    <w:tmpl w:val="80D0373C"/>
    <w:lvl w:ilvl="0">
      <w:start w:val="1"/>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2668150B"/>
    <w:multiLevelType w:val="hybridMultilevel"/>
    <w:tmpl w:val="0ACE04A2"/>
    <w:lvl w:ilvl="0" w:tplc="D054DC2A">
      <w:start w:val="1"/>
      <w:numFmt w:val="lowerLetter"/>
      <w:lvlText w:val="%1."/>
      <w:lvlJc w:val="left"/>
      <w:pPr>
        <w:tabs>
          <w:tab w:val="num" w:pos="1440"/>
        </w:tabs>
        <w:ind w:left="1440" w:hanging="360"/>
      </w:pPr>
    </w:lvl>
    <w:lvl w:ilvl="1" w:tplc="C186EDA4" w:tentative="1">
      <w:start w:val="1"/>
      <w:numFmt w:val="lowerLetter"/>
      <w:lvlText w:val="%2."/>
      <w:lvlJc w:val="left"/>
      <w:pPr>
        <w:tabs>
          <w:tab w:val="num" w:pos="1440"/>
        </w:tabs>
        <w:ind w:left="1440" w:hanging="360"/>
      </w:pPr>
    </w:lvl>
    <w:lvl w:ilvl="2" w:tplc="3F12F82E" w:tentative="1">
      <w:start w:val="1"/>
      <w:numFmt w:val="lowerRoman"/>
      <w:lvlText w:val="%3."/>
      <w:lvlJc w:val="right"/>
      <w:pPr>
        <w:tabs>
          <w:tab w:val="num" w:pos="2160"/>
        </w:tabs>
        <w:ind w:left="2160" w:hanging="180"/>
      </w:pPr>
    </w:lvl>
    <w:lvl w:ilvl="3" w:tplc="C1E63D52" w:tentative="1">
      <w:start w:val="1"/>
      <w:numFmt w:val="decimal"/>
      <w:lvlText w:val="%4."/>
      <w:lvlJc w:val="left"/>
      <w:pPr>
        <w:tabs>
          <w:tab w:val="num" w:pos="2880"/>
        </w:tabs>
        <w:ind w:left="2880" w:hanging="360"/>
      </w:pPr>
    </w:lvl>
    <w:lvl w:ilvl="4" w:tplc="F9CCCBDC" w:tentative="1">
      <w:start w:val="1"/>
      <w:numFmt w:val="lowerLetter"/>
      <w:lvlText w:val="%5."/>
      <w:lvlJc w:val="left"/>
      <w:pPr>
        <w:tabs>
          <w:tab w:val="num" w:pos="3600"/>
        </w:tabs>
        <w:ind w:left="3600" w:hanging="360"/>
      </w:pPr>
    </w:lvl>
    <w:lvl w:ilvl="5" w:tplc="430CA49A" w:tentative="1">
      <w:start w:val="1"/>
      <w:numFmt w:val="lowerRoman"/>
      <w:lvlText w:val="%6."/>
      <w:lvlJc w:val="right"/>
      <w:pPr>
        <w:tabs>
          <w:tab w:val="num" w:pos="4320"/>
        </w:tabs>
        <w:ind w:left="4320" w:hanging="180"/>
      </w:pPr>
    </w:lvl>
    <w:lvl w:ilvl="6" w:tplc="16AC0192" w:tentative="1">
      <w:start w:val="1"/>
      <w:numFmt w:val="decimal"/>
      <w:lvlText w:val="%7."/>
      <w:lvlJc w:val="left"/>
      <w:pPr>
        <w:tabs>
          <w:tab w:val="num" w:pos="5040"/>
        </w:tabs>
        <w:ind w:left="5040" w:hanging="360"/>
      </w:pPr>
    </w:lvl>
    <w:lvl w:ilvl="7" w:tplc="BC60374C" w:tentative="1">
      <w:start w:val="1"/>
      <w:numFmt w:val="lowerLetter"/>
      <w:lvlText w:val="%8."/>
      <w:lvlJc w:val="left"/>
      <w:pPr>
        <w:tabs>
          <w:tab w:val="num" w:pos="5760"/>
        </w:tabs>
        <w:ind w:left="5760" w:hanging="360"/>
      </w:pPr>
    </w:lvl>
    <w:lvl w:ilvl="8" w:tplc="B7DE3D06" w:tentative="1">
      <w:start w:val="1"/>
      <w:numFmt w:val="lowerRoman"/>
      <w:lvlText w:val="%9."/>
      <w:lvlJc w:val="right"/>
      <w:pPr>
        <w:tabs>
          <w:tab w:val="num" w:pos="6480"/>
        </w:tabs>
        <w:ind w:left="6480" w:hanging="180"/>
      </w:pPr>
    </w:lvl>
  </w:abstractNum>
  <w:abstractNum w:abstractNumId="10" w15:restartNumberingAfterBreak="0">
    <w:nsid w:val="36F93467"/>
    <w:multiLevelType w:val="hybridMultilevel"/>
    <w:tmpl w:val="265AA1EA"/>
    <w:lvl w:ilvl="0" w:tplc="0409000F">
      <w:start w:val="1"/>
      <w:numFmt w:val="bullet"/>
      <w:lvlText w:val=""/>
      <w:lvlJc w:val="left"/>
      <w:pPr>
        <w:tabs>
          <w:tab w:val="num" w:pos="720"/>
        </w:tabs>
        <w:ind w:left="720" w:hanging="360"/>
      </w:pPr>
      <w:rPr>
        <w:rFonts w:ascii="Wingdings" w:hAnsi="Wingdings" w:hint="default"/>
      </w:rPr>
    </w:lvl>
    <w:lvl w:ilvl="1" w:tplc="04090019">
      <w:start w:val="1"/>
      <w:numFmt w:val="decimal"/>
      <w:lvlText w:val="%2."/>
      <w:lvlJc w:val="left"/>
      <w:pPr>
        <w:tabs>
          <w:tab w:val="num" w:pos="1440"/>
        </w:tabs>
        <w:ind w:left="1440" w:hanging="360"/>
      </w:pPr>
      <w:rPr>
        <w:rFonts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D6F78E6"/>
    <w:multiLevelType w:val="hybridMultilevel"/>
    <w:tmpl w:val="8DCC3DEE"/>
    <w:lvl w:ilvl="0" w:tplc="04090019">
      <w:start w:val="1"/>
      <w:numFmt w:val="decimal"/>
      <w:lvlText w:val="%1."/>
      <w:lvlJc w:val="left"/>
      <w:pPr>
        <w:tabs>
          <w:tab w:val="num" w:pos="1080"/>
        </w:tabs>
        <w:ind w:left="1080" w:hanging="720"/>
      </w:pPr>
      <w:rPr>
        <w:rFonts w:hint="default"/>
        <w:b/>
        <w:i w:val="0"/>
      </w:rPr>
    </w:lvl>
    <w:lvl w:ilvl="1" w:tplc="04090019">
      <w:start w:val="1"/>
      <w:numFmt w:val="bullet"/>
      <w:lvlText w:val=""/>
      <w:lvlJc w:val="left"/>
      <w:pPr>
        <w:tabs>
          <w:tab w:val="num" w:pos="1440"/>
        </w:tabs>
        <w:ind w:left="1440" w:hanging="360"/>
      </w:pPr>
      <w:rPr>
        <w:rFonts w:ascii="Symbol" w:hAnsi="Symbol" w:hint="default"/>
        <w:sz w:val="20"/>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0814D5B"/>
    <w:multiLevelType w:val="hybridMultilevel"/>
    <w:tmpl w:val="CB2E224E"/>
    <w:lvl w:ilvl="0" w:tplc="04090005">
      <w:start w:val="1"/>
      <w:numFmt w:val="bullet"/>
      <w:lvlText w:val=""/>
      <w:lvlJc w:val="left"/>
      <w:pPr>
        <w:tabs>
          <w:tab w:val="num" w:pos="720"/>
        </w:tabs>
        <w:ind w:left="720" w:hanging="360"/>
      </w:pPr>
      <w:rPr>
        <w:rFonts w:ascii="Symbol" w:hAnsi="Symbol" w:hint="default"/>
      </w:rPr>
    </w:lvl>
    <w:lvl w:ilvl="1" w:tplc="0409000F"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40C3583"/>
    <w:multiLevelType w:val="hybridMultilevel"/>
    <w:tmpl w:val="5E6CEDAC"/>
    <w:lvl w:ilvl="0" w:tplc="B4B0530A">
      <w:start w:val="1"/>
      <w:numFmt w:val="lowerRoman"/>
      <w:lvlText w:val="%1."/>
      <w:lvlJc w:val="right"/>
      <w:pPr>
        <w:tabs>
          <w:tab w:val="num" w:pos="2160"/>
        </w:tabs>
        <w:ind w:left="2160" w:hanging="720"/>
      </w:pPr>
      <w:rPr>
        <w:rFonts w:hint="default"/>
      </w:rPr>
    </w:lvl>
    <w:lvl w:ilvl="1" w:tplc="4AE6A9B8"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91868BE"/>
    <w:multiLevelType w:val="hybridMultilevel"/>
    <w:tmpl w:val="17B25BAE"/>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5" w15:restartNumberingAfterBreak="0">
    <w:nsid w:val="4E195D47"/>
    <w:multiLevelType w:val="hybridMultilevel"/>
    <w:tmpl w:val="763AF51A"/>
    <w:lvl w:ilvl="0" w:tplc="F17CDFA8">
      <w:start w:val="1"/>
      <w:numFmt w:val="low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6" w15:restartNumberingAfterBreak="0">
    <w:nsid w:val="5D7B7086"/>
    <w:multiLevelType w:val="singleLevel"/>
    <w:tmpl w:val="D06EB10A"/>
    <w:lvl w:ilvl="0">
      <w:start w:val="1"/>
      <w:numFmt w:val="lowerLetter"/>
      <w:lvlText w:val="%1."/>
      <w:legacy w:legacy="1" w:legacySpace="0" w:legacyIndent="720"/>
      <w:lvlJc w:val="left"/>
      <w:pPr>
        <w:ind w:left="1440" w:hanging="720"/>
      </w:pPr>
    </w:lvl>
  </w:abstractNum>
  <w:abstractNum w:abstractNumId="17" w15:restartNumberingAfterBreak="0">
    <w:nsid w:val="60E74C9F"/>
    <w:multiLevelType w:val="hybridMultilevel"/>
    <w:tmpl w:val="D7D0E978"/>
    <w:lvl w:ilvl="0" w:tplc="7F16EE4C">
      <w:start w:val="1"/>
      <w:numFmt w:val="lowerLetter"/>
      <w:lvlText w:val="%1."/>
      <w:lvlJc w:val="left"/>
      <w:pPr>
        <w:tabs>
          <w:tab w:val="num" w:pos="1440"/>
        </w:tabs>
        <w:ind w:left="1440" w:hanging="720"/>
      </w:pPr>
      <w:rPr>
        <w:rFonts w:hint="default"/>
        <w:b w:val="0"/>
        <w:i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61E904F5"/>
    <w:multiLevelType w:val="hybridMultilevel"/>
    <w:tmpl w:val="C546AF6A"/>
    <w:lvl w:ilvl="0" w:tplc="32FA1AA2">
      <w:start w:val="1"/>
      <w:numFmt w:val="lowerRoman"/>
      <w:lvlText w:val="%1."/>
      <w:lvlJc w:val="left"/>
      <w:pPr>
        <w:tabs>
          <w:tab w:val="num" w:pos="3600"/>
        </w:tabs>
        <w:ind w:left="3600" w:hanging="720"/>
      </w:pPr>
      <w:rPr>
        <w:rFonts w:hint="default"/>
      </w:rPr>
    </w:lvl>
    <w:lvl w:ilvl="1" w:tplc="01B02238" w:tentative="1">
      <w:start w:val="1"/>
      <w:numFmt w:val="lowerLetter"/>
      <w:lvlText w:val="%2."/>
      <w:lvlJc w:val="left"/>
      <w:pPr>
        <w:tabs>
          <w:tab w:val="num" w:pos="1440"/>
        </w:tabs>
        <w:ind w:left="1440" w:hanging="360"/>
      </w:pPr>
    </w:lvl>
    <w:lvl w:ilvl="2" w:tplc="106E87A0" w:tentative="1">
      <w:start w:val="1"/>
      <w:numFmt w:val="lowerRoman"/>
      <w:lvlText w:val="%3."/>
      <w:lvlJc w:val="right"/>
      <w:pPr>
        <w:tabs>
          <w:tab w:val="num" w:pos="2160"/>
        </w:tabs>
        <w:ind w:left="2160" w:hanging="180"/>
      </w:pPr>
    </w:lvl>
    <w:lvl w:ilvl="3" w:tplc="AFA03814" w:tentative="1">
      <w:start w:val="1"/>
      <w:numFmt w:val="decimal"/>
      <w:lvlText w:val="%4."/>
      <w:lvlJc w:val="left"/>
      <w:pPr>
        <w:tabs>
          <w:tab w:val="num" w:pos="2880"/>
        </w:tabs>
        <w:ind w:left="2880" w:hanging="360"/>
      </w:pPr>
    </w:lvl>
    <w:lvl w:ilvl="4" w:tplc="C2801E52" w:tentative="1">
      <w:start w:val="1"/>
      <w:numFmt w:val="lowerLetter"/>
      <w:lvlText w:val="%5."/>
      <w:lvlJc w:val="left"/>
      <w:pPr>
        <w:tabs>
          <w:tab w:val="num" w:pos="3600"/>
        </w:tabs>
        <w:ind w:left="3600" w:hanging="360"/>
      </w:pPr>
    </w:lvl>
    <w:lvl w:ilvl="5" w:tplc="ADA2D500" w:tentative="1">
      <w:start w:val="1"/>
      <w:numFmt w:val="lowerRoman"/>
      <w:lvlText w:val="%6."/>
      <w:lvlJc w:val="right"/>
      <w:pPr>
        <w:tabs>
          <w:tab w:val="num" w:pos="4320"/>
        </w:tabs>
        <w:ind w:left="4320" w:hanging="180"/>
      </w:pPr>
    </w:lvl>
    <w:lvl w:ilvl="6" w:tplc="DF3228D2" w:tentative="1">
      <w:start w:val="1"/>
      <w:numFmt w:val="decimal"/>
      <w:lvlText w:val="%7."/>
      <w:lvlJc w:val="left"/>
      <w:pPr>
        <w:tabs>
          <w:tab w:val="num" w:pos="5040"/>
        </w:tabs>
        <w:ind w:left="5040" w:hanging="360"/>
      </w:pPr>
    </w:lvl>
    <w:lvl w:ilvl="7" w:tplc="4F365426" w:tentative="1">
      <w:start w:val="1"/>
      <w:numFmt w:val="lowerLetter"/>
      <w:lvlText w:val="%8."/>
      <w:lvlJc w:val="left"/>
      <w:pPr>
        <w:tabs>
          <w:tab w:val="num" w:pos="5760"/>
        </w:tabs>
        <w:ind w:left="5760" w:hanging="360"/>
      </w:pPr>
    </w:lvl>
    <w:lvl w:ilvl="8" w:tplc="A55A1A0E" w:tentative="1">
      <w:start w:val="1"/>
      <w:numFmt w:val="lowerRoman"/>
      <w:lvlText w:val="%9."/>
      <w:lvlJc w:val="right"/>
      <w:pPr>
        <w:tabs>
          <w:tab w:val="num" w:pos="6480"/>
        </w:tabs>
        <w:ind w:left="6480" w:hanging="180"/>
      </w:pPr>
    </w:lvl>
  </w:abstractNum>
  <w:abstractNum w:abstractNumId="19" w15:restartNumberingAfterBreak="0">
    <w:nsid w:val="63255417"/>
    <w:multiLevelType w:val="multilevel"/>
    <w:tmpl w:val="6ACC9F64"/>
    <w:lvl w:ilvl="0">
      <w:start w:val="1"/>
      <w:numFmt w:val="decimal"/>
      <w:lvlText w:val="%1."/>
      <w:lvlJc w:val="left"/>
      <w:pPr>
        <w:tabs>
          <w:tab w:val="num" w:pos="1800"/>
        </w:tabs>
        <w:ind w:left="1800" w:hanging="360"/>
      </w:pPr>
    </w:lvl>
    <w:lvl w:ilvl="1">
      <w:start w:val="1"/>
      <w:numFmt w:val="lowerLetter"/>
      <w:lvlText w:val="%2."/>
      <w:lvlJc w:val="left"/>
      <w:pPr>
        <w:tabs>
          <w:tab w:val="num" w:pos="2520"/>
        </w:tabs>
        <w:ind w:left="2520" w:hanging="360"/>
      </w:pPr>
    </w:lvl>
    <w:lvl w:ilvl="2">
      <w:start w:val="1"/>
      <w:numFmt w:val="lowerRoman"/>
      <w:lvlText w:val="%3."/>
      <w:lvlJc w:val="right"/>
      <w:pPr>
        <w:tabs>
          <w:tab w:val="num" w:pos="3240"/>
        </w:tabs>
        <w:ind w:left="3240" w:hanging="180"/>
      </w:pPr>
    </w:lvl>
    <w:lvl w:ilvl="3">
      <w:start w:val="1"/>
      <w:numFmt w:val="decimal"/>
      <w:lvlText w:val="%4."/>
      <w:lvlJc w:val="left"/>
      <w:pPr>
        <w:tabs>
          <w:tab w:val="num" w:pos="3960"/>
        </w:tabs>
        <w:ind w:left="3960" w:hanging="360"/>
      </w:pPr>
    </w:lvl>
    <w:lvl w:ilvl="4">
      <w:start w:val="1"/>
      <w:numFmt w:val="lowerLetter"/>
      <w:lvlText w:val="%5."/>
      <w:lvlJc w:val="left"/>
      <w:pPr>
        <w:tabs>
          <w:tab w:val="num" w:pos="4680"/>
        </w:tabs>
        <w:ind w:left="4680" w:hanging="360"/>
      </w:pPr>
    </w:lvl>
    <w:lvl w:ilvl="5">
      <w:start w:val="1"/>
      <w:numFmt w:val="lowerRoman"/>
      <w:lvlText w:val="%6."/>
      <w:lvlJc w:val="right"/>
      <w:pPr>
        <w:tabs>
          <w:tab w:val="num" w:pos="5400"/>
        </w:tabs>
        <w:ind w:left="5400" w:hanging="180"/>
      </w:pPr>
    </w:lvl>
    <w:lvl w:ilvl="6">
      <w:start w:val="1"/>
      <w:numFmt w:val="decimal"/>
      <w:lvlText w:val="%7."/>
      <w:lvlJc w:val="left"/>
      <w:pPr>
        <w:tabs>
          <w:tab w:val="num" w:pos="6120"/>
        </w:tabs>
        <w:ind w:left="6120" w:hanging="360"/>
      </w:pPr>
    </w:lvl>
    <w:lvl w:ilvl="7">
      <w:start w:val="1"/>
      <w:numFmt w:val="lowerLetter"/>
      <w:lvlText w:val="%8."/>
      <w:lvlJc w:val="left"/>
      <w:pPr>
        <w:tabs>
          <w:tab w:val="num" w:pos="6840"/>
        </w:tabs>
        <w:ind w:left="6840" w:hanging="360"/>
      </w:pPr>
    </w:lvl>
    <w:lvl w:ilvl="8">
      <w:start w:val="1"/>
      <w:numFmt w:val="lowerRoman"/>
      <w:lvlText w:val="%9."/>
      <w:lvlJc w:val="right"/>
      <w:pPr>
        <w:tabs>
          <w:tab w:val="num" w:pos="7560"/>
        </w:tabs>
        <w:ind w:left="7560" w:hanging="180"/>
      </w:pPr>
    </w:lvl>
  </w:abstractNum>
  <w:abstractNum w:abstractNumId="20" w15:restartNumberingAfterBreak="0">
    <w:nsid w:val="632E2E27"/>
    <w:multiLevelType w:val="hybridMultilevel"/>
    <w:tmpl w:val="97DC6420"/>
    <w:lvl w:ilvl="0" w:tplc="DF8A357A">
      <w:start w:val="1"/>
      <w:numFmt w:val="lowerLetter"/>
      <w:lvlText w:val="%1."/>
      <w:lvlJc w:val="left"/>
      <w:pPr>
        <w:tabs>
          <w:tab w:val="num" w:pos="0"/>
        </w:tabs>
        <w:ind w:left="1440" w:hanging="720"/>
      </w:pPr>
      <w:rPr>
        <w:rFonts w:hint="default"/>
      </w:rPr>
    </w:lvl>
    <w:lvl w:ilvl="1" w:tplc="04090019">
      <w:start w:val="1"/>
      <w:numFmt w:val="lowerRoman"/>
      <w:lvlText w:val="%2."/>
      <w:lvlJc w:val="right"/>
      <w:pPr>
        <w:tabs>
          <w:tab w:val="num" w:pos="1260"/>
        </w:tabs>
        <w:ind w:left="1260" w:hanging="180"/>
      </w:pPr>
    </w:lvl>
    <w:lvl w:ilvl="2" w:tplc="0409001B">
      <w:start w:val="1"/>
      <w:numFmt w:val="lowerRoman"/>
      <w:lvlText w:val="%3."/>
      <w:lvlJc w:val="right"/>
      <w:pPr>
        <w:tabs>
          <w:tab w:val="num" w:pos="2160"/>
        </w:tabs>
        <w:ind w:left="2160" w:hanging="720"/>
      </w:pPr>
      <w:rPr>
        <w:rFonts w:hint="default"/>
      </w:rPr>
    </w:lvl>
    <w:lvl w:ilvl="3" w:tplc="0409000F">
      <w:start w:val="1"/>
      <w:numFmt w:val="lowerLetter"/>
      <w:pStyle w:val="ListNumber2"/>
      <w:lvlText w:val="%4."/>
      <w:lvlJc w:val="left"/>
      <w:pPr>
        <w:tabs>
          <w:tab w:val="num" w:pos="1800"/>
        </w:tabs>
        <w:ind w:left="3240" w:hanging="72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732C3769"/>
    <w:multiLevelType w:val="singleLevel"/>
    <w:tmpl w:val="D06EB10A"/>
    <w:lvl w:ilvl="0">
      <w:start w:val="1"/>
      <w:numFmt w:val="lowerLetter"/>
      <w:lvlText w:val="%1."/>
      <w:legacy w:legacy="1" w:legacySpace="0" w:legacyIndent="720"/>
      <w:lvlJc w:val="left"/>
      <w:pPr>
        <w:ind w:left="1440" w:hanging="720"/>
      </w:pPr>
    </w:lvl>
  </w:abstractNum>
  <w:abstractNum w:abstractNumId="22" w15:restartNumberingAfterBreak="0">
    <w:nsid w:val="7A2231DD"/>
    <w:multiLevelType w:val="multilevel"/>
    <w:tmpl w:val="E3246638"/>
    <w:lvl w:ilvl="0">
      <w:start w:val="1"/>
      <w:numFmt w:val="decimal"/>
      <w:lvlText w:val="%1."/>
      <w:legacy w:legacy="1" w:legacySpace="0" w:legacyIndent="720"/>
      <w:lvlJc w:val="left"/>
    </w:lvl>
    <w:lvl w:ilvl="1">
      <w:start w:val="1"/>
      <w:numFmt w:val="lowerRoman"/>
      <w:lvlText w:val="%2."/>
      <w:lvlJc w:val="right"/>
      <w:pPr>
        <w:tabs>
          <w:tab w:val="num" w:pos="1980"/>
        </w:tabs>
        <w:ind w:left="1980" w:hanging="180"/>
      </w:pPr>
    </w:lvl>
    <w:lvl w:ilvl="2">
      <w:start w:val="1"/>
      <w:numFmt w:val="lowerRoman"/>
      <w:lvlText w:val="%3."/>
      <w:lvlJc w:val="right"/>
      <w:pPr>
        <w:tabs>
          <w:tab w:val="num" w:pos="2880"/>
        </w:tabs>
        <w:ind w:left="2880" w:hanging="720"/>
      </w:pPr>
      <w:rPr>
        <w:rFonts w:hint="default"/>
      </w:rPr>
    </w:lvl>
    <w:lvl w:ilvl="3">
      <w:start w:val="1"/>
      <w:numFmt w:val="lowerLetter"/>
      <w:lvlText w:val="%4."/>
      <w:lvlJc w:val="left"/>
      <w:pPr>
        <w:tabs>
          <w:tab w:val="num" w:pos="2520"/>
        </w:tabs>
        <w:ind w:left="3960" w:hanging="720"/>
      </w:pPr>
    </w:lvl>
    <w:lvl w:ilvl="4">
      <w:start w:val="1"/>
      <w:numFmt w:val="lowerLetter"/>
      <w:lvlText w:val="%5."/>
      <w:lvlJc w:val="left"/>
      <w:pPr>
        <w:tabs>
          <w:tab w:val="num" w:pos="4320"/>
        </w:tabs>
        <w:ind w:left="4320" w:hanging="360"/>
      </w:pPr>
    </w:lvl>
    <w:lvl w:ilvl="5" w:tentative="1">
      <w:start w:val="1"/>
      <w:numFmt w:val="lowerRoman"/>
      <w:lvlText w:val="%6."/>
      <w:lvlJc w:val="right"/>
      <w:pPr>
        <w:tabs>
          <w:tab w:val="num" w:pos="5040"/>
        </w:tabs>
        <w:ind w:left="5040" w:hanging="180"/>
      </w:pPr>
    </w:lvl>
    <w:lvl w:ilvl="6" w:tentative="1">
      <w:start w:val="1"/>
      <w:numFmt w:val="decimal"/>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Roman"/>
      <w:lvlText w:val="%9."/>
      <w:lvlJc w:val="right"/>
      <w:pPr>
        <w:tabs>
          <w:tab w:val="num" w:pos="7200"/>
        </w:tabs>
        <w:ind w:left="7200" w:hanging="180"/>
      </w:pPr>
    </w:lvl>
  </w:abstractNum>
  <w:abstractNum w:abstractNumId="23" w15:restartNumberingAfterBreak="0">
    <w:nsid w:val="7B2C2C1B"/>
    <w:multiLevelType w:val="multilevel"/>
    <w:tmpl w:val="994A57C2"/>
    <w:lvl w:ilvl="0">
      <w:start w:val="1"/>
      <w:numFmt w:val="lowerLetter"/>
      <w:lvlText w:val="%1."/>
      <w:legacy w:legacy="1" w:legacySpace="0" w:legacyIndent="720"/>
      <w:lvlJc w:val="left"/>
      <w:pPr>
        <w:ind w:left="720" w:hanging="720"/>
      </w:pPr>
    </w:lvl>
    <w:lvl w:ilvl="1">
      <w:start w:val="1"/>
      <w:numFmt w:val="lowerRoman"/>
      <w:lvlText w:val="%2."/>
      <w:legacy w:legacy="1" w:legacySpace="0" w:legacyIndent="720"/>
      <w:lvlJc w:val="left"/>
      <w:pPr>
        <w:ind w:left="1440" w:hanging="720"/>
      </w:pPr>
      <w:rPr>
        <w:rFonts w:ascii="Tms Rmn" w:hAnsi="Tms Rmn" w:hint="default"/>
      </w:rPr>
    </w:lvl>
    <w:lvl w:ilvl="2">
      <w:numFmt w:val="none"/>
      <w:lvlText w:val=""/>
      <w:legacy w:legacy="1" w:legacySpace="0" w:legacyIndent="0"/>
      <w:lvlJc w:val="left"/>
      <w:rPr>
        <w:rFonts w:ascii="Tms Rmn" w:hAnsi="Tms Rmn" w:hint="default"/>
      </w:rPr>
    </w:lvl>
    <w:lvl w:ilvl="3">
      <w:numFmt w:val="none"/>
      <w:lvlText w:val=""/>
      <w:legacy w:legacy="1" w:legacySpace="0" w:legacyIndent="0"/>
      <w:lvlJc w:val="left"/>
      <w:rPr>
        <w:rFonts w:ascii="Tms Rmn" w:hAnsi="Tms Rmn" w:hint="default"/>
      </w:rPr>
    </w:lvl>
    <w:lvl w:ilvl="4">
      <w:numFmt w:val="none"/>
      <w:lvlText w:val=""/>
      <w:legacy w:legacy="1" w:legacySpace="0" w:legacyIndent="0"/>
      <w:lvlJc w:val="left"/>
      <w:rPr>
        <w:rFonts w:ascii="Tms Rmn" w:hAnsi="Tms Rmn" w:hint="default"/>
      </w:rPr>
    </w:lvl>
    <w:lvl w:ilvl="5">
      <w:numFmt w:val="none"/>
      <w:lvlText w:val=""/>
      <w:legacy w:legacy="1" w:legacySpace="0" w:legacyIndent="0"/>
      <w:lvlJc w:val="left"/>
      <w:rPr>
        <w:rFonts w:ascii="Tms Rmn" w:hAnsi="Tms Rmn" w:hint="default"/>
      </w:rPr>
    </w:lvl>
    <w:lvl w:ilvl="6">
      <w:numFmt w:val="none"/>
      <w:lvlText w:val=""/>
      <w:legacy w:legacy="1" w:legacySpace="0" w:legacyIndent="0"/>
      <w:lvlJc w:val="left"/>
      <w:rPr>
        <w:rFonts w:ascii="Tms Rmn" w:hAnsi="Tms Rmn" w:hint="default"/>
      </w:rPr>
    </w:lvl>
    <w:lvl w:ilvl="7">
      <w:numFmt w:val="none"/>
      <w:lvlText w:val=""/>
      <w:legacy w:legacy="1" w:legacySpace="0" w:legacyIndent="0"/>
      <w:lvlJc w:val="left"/>
      <w:rPr>
        <w:rFonts w:ascii="Tms Rmn" w:hAnsi="Tms Rmn" w:hint="default"/>
      </w:rPr>
    </w:lvl>
    <w:lvl w:ilvl="8">
      <w:numFmt w:val="none"/>
      <w:lvlText w:val=""/>
      <w:legacy w:legacy="1" w:legacySpace="0" w:legacyIndent="0"/>
      <w:lvlJc w:val="left"/>
      <w:rPr>
        <w:rFonts w:ascii="Tms Rmn" w:hAnsi="Tms Rmn" w:hint="default"/>
      </w:rPr>
    </w:lvl>
  </w:abstractNum>
  <w:num w:numId="1" w16cid:durableId="2038583898">
    <w:abstractNumId w:val="11"/>
  </w:num>
  <w:num w:numId="2" w16cid:durableId="2036809838">
    <w:abstractNumId w:val="20"/>
  </w:num>
  <w:num w:numId="3" w16cid:durableId="271211255">
    <w:abstractNumId w:val="17"/>
  </w:num>
  <w:num w:numId="4" w16cid:durableId="2084913448">
    <w:abstractNumId w:val="13"/>
  </w:num>
  <w:num w:numId="5" w16cid:durableId="1250583958">
    <w:abstractNumId w:val="14"/>
  </w:num>
  <w:num w:numId="6" w16cid:durableId="857233520">
    <w:abstractNumId w:val="10"/>
  </w:num>
  <w:num w:numId="7" w16cid:durableId="128791804">
    <w:abstractNumId w:val="7"/>
  </w:num>
  <w:num w:numId="8" w16cid:durableId="771510731">
    <w:abstractNumId w:val="12"/>
  </w:num>
  <w:num w:numId="9" w16cid:durableId="1735884189">
    <w:abstractNumId w:val="16"/>
  </w:num>
  <w:num w:numId="10" w16cid:durableId="1280257532">
    <w:abstractNumId w:val="18"/>
  </w:num>
  <w:num w:numId="11" w16cid:durableId="101002005">
    <w:abstractNumId w:val="3"/>
  </w:num>
  <w:num w:numId="12" w16cid:durableId="1820220784">
    <w:abstractNumId w:val="15"/>
  </w:num>
  <w:num w:numId="13" w16cid:durableId="1037392217">
    <w:abstractNumId w:val="19"/>
  </w:num>
  <w:num w:numId="14" w16cid:durableId="1601910183">
    <w:abstractNumId w:val="0"/>
  </w:num>
  <w:num w:numId="15" w16cid:durableId="1718049660">
    <w:abstractNumId w:val="5"/>
  </w:num>
  <w:num w:numId="16" w16cid:durableId="1675759147">
    <w:abstractNumId w:val="21"/>
  </w:num>
  <w:num w:numId="17" w16cid:durableId="417335462">
    <w:abstractNumId w:val="23"/>
  </w:num>
  <w:num w:numId="18" w16cid:durableId="29034906">
    <w:abstractNumId w:val="2"/>
    <w:lvlOverride w:ilvl="0">
      <w:lvl w:ilvl="0">
        <w:start w:val="1"/>
        <w:numFmt w:val="bullet"/>
        <w:pStyle w:val="ListBullet2"/>
        <w:lvlText w:val=""/>
        <w:legacy w:legacy="1" w:legacySpace="0" w:legacyIndent="720"/>
        <w:lvlJc w:val="left"/>
        <w:pPr>
          <w:ind w:left="1440" w:hanging="720"/>
        </w:pPr>
        <w:rPr>
          <w:rFonts w:ascii="Symbol" w:hAnsi="Symbol" w:hint="default"/>
        </w:rPr>
      </w:lvl>
    </w:lvlOverride>
  </w:num>
  <w:num w:numId="19" w16cid:durableId="1980071313">
    <w:abstractNumId w:val="9"/>
  </w:num>
  <w:num w:numId="20" w16cid:durableId="1315448435">
    <w:abstractNumId w:val="4"/>
  </w:num>
  <w:num w:numId="21" w16cid:durableId="1204370396">
    <w:abstractNumId w:val="1"/>
  </w:num>
  <w:num w:numId="22" w16cid:durableId="104615838">
    <w:abstractNumId w:val="22"/>
  </w:num>
  <w:num w:numId="23" w16cid:durableId="1923563186">
    <w:abstractNumId w:val="1"/>
  </w:num>
  <w:num w:numId="24" w16cid:durableId="173540360">
    <w:abstractNumId w:val="6"/>
  </w:num>
  <w:num w:numId="25" w16cid:durableId="21261489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9B4"/>
    <w:rsid w:val="00004652"/>
    <w:rsid w:val="00007C36"/>
    <w:rsid w:val="00014B94"/>
    <w:rsid w:val="00016321"/>
    <w:rsid w:val="00031816"/>
    <w:rsid w:val="00034AC8"/>
    <w:rsid w:val="00034B2F"/>
    <w:rsid w:val="00034E30"/>
    <w:rsid w:val="00055C0D"/>
    <w:rsid w:val="000579B6"/>
    <w:rsid w:val="00062300"/>
    <w:rsid w:val="000705D0"/>
    <w:rsid w:val="00075EBC"/>
    <w:rsid w:val="0007666B"/>
    <w:rsid w:val="00076852"/>
    <w:rsid w:val="00086D0A"/>
    <w:rsid w:val="00091380"/>
    <w:rsid w:val="0009334D"/>
    <w:rsid w:val="000967FA"/>
    <w:rsid w:val="000A121A"/>
    <w:rsid w:val="000B1FB6"/>
    <w:rsid w:val="000C67CE"/>
    <w:rsid w:val="000D51AD"/>
    <w:rsid w:val="000D6AE8"/>
    <w:rsid w:val="000E1131"/>
    <w:rsid w:val="000E16CA"/>
    <w:rsid w:val="000E3AFB"/>
    <w:rsid w:val="000F3014"/>
    <w:rsid w:val="000F54D5"/>
    <w:rsid w:val="000F60BF"/>
    <w:rsid w:val="001062E4"/>
    <w:rsid w:val="001206C6"/>
    <w:rsid w:val="001246CA"/>
    <w:rsid w:val="00131515"/>
    <w:rsid w:val="00133830"/>
    <w:rsid w:val="0013539B"/>
    <w:rsid w:val="00135C94"/>
    <w:rsid w:val="001427B6"/>
    <w:rsid w:val="0015493C"/>
    <w:rsid w:val="00170AA0"/>
    <w:rsid w:val="00176015"/>
    <w:rsid w:val="00184144"/>
    <w:rsid w:val="00186B2E"/>
    <w:rsid w:val="00187E34"/>
    <w:rsid w:val="00190978"/>
    <w:rsid w:val="0019505A"/>
    <w:rsid w:val="001A5E38"/>
    <w:rsid w:val="001B1E6B"/>
    <w:rsid w:val="001B3138"/>
    <w:rsid w:val="001B4D8B"/>
    <w:rsid w:val="001C27F3"/>
    <w:rsid w:val="001C619B"/>
    <w:rsid w:val="001C69C5"/>
    <w:rsid w:val="001F3CF4"/>
    <w:rsid w:val="001F46EB"/>
    <w:rsid w:val="00201DDC"/>
    <w:rsid w:val="00203131"/>
    <w:rsid w:val="00203FF7"/>
    <w:rsid w:val="002046F5"/>
    <w:rsid w:val="00204AED"/>
    <w:rsid w:val="0020595F"/>
    <w:rsid w:val="002135C9"/>
    <w:rsid w:val="002156FF"/>
    <w:rsid w:val="00216C58"/>
    <w:rsid w:val="002477CC"/>
    <w:rsid w:val="00261273"/>
    <w:rsid w:val="002660C5"/>
    <w:rsid w:val="002703C9"/>
    <w:rsid w:val="002751DC"/>
    <w:rsid w:val="00293D7B"/>
    <w:rsid w:val="00294C6D"/>
    <w:rsid w:val="00295CCB"/>
    <w:rsid w:val="002A1316"/>
    <w:rsid w:val="002A44FE"/>
    <w:rsid w:val="002B11D2"/>
    <w:rsid w:val="002B5672"/>
    <w:rsid w:val="002C2390"/>
    <w:rsid w:val="002C298C"/>
    <w:rsid w:val="002C5B12"/>
    <w:rsid w:val="002C6403"/>
    <w:rsid w:val="002D6835"/>
    <w:rsid w:val="002D70E6"/>
    <w:rsid w:val="002E5103"/>
    <w:rsid w:val="002E51FB"/>
    <w:rsid w:val="002F6FF9"/>
    <w:rsid w:val="003030BC"/>
    <w:rsid w:val="00304CEC"/>
    <w:rsid w:val="00306C82"/>
    <w:rsid w:val="003148E8"/>
    <w:rsid w:val="00315395"/>
    <w:rsid w:val="00325660"/>
    <w:rsid w:val="003325E9"/>
    <w:rsid w:val="00333CD6"/>
    <w:rsid w:val="00333FC0"/>
    <w:rsid w:val="00336A2E"/>
    <w:rsid w:val="003406AE"/>
    <w:rsid w:val="003415C3"/>
    <w:rsid w:val="0034544B"/>
    <w:rsid w:val="0035609F"/>
    <w:rsid w:val="00357190"/>
    <w:rsid w:val="00362519"/>
    <w:rsid w:val="00372615"/>
    <w:rsid w:val="0038113F"/>
    <w:rsid w:val="00384C1B"/>
    <w:rsid w:val="00384F74"/>
    <w:rsid w:val="0038630E"/>
    <w:rsid w:val="00392DF5"/>
    <w:rsid w:val="003932D2"/>
    <w:rsid w:val="00394813"/>
    <w:rsid w:val="0039600A"/>
    <w:rsid w:val="003A4477"/>
    <w:rsid w:val="003B12DE"/>
    <w:rsid w:val="003B4A91"/>
    <w:rsid w:val="003C5AA1"/>
    <w:rsid w:val="003D3A0B"/>
    <w:rsid w:val="003D533F"/>
    <w:rsid w:val="003E0727"/>
    <w:rsid w:val="003E69DC"/>
    <w:rsid w:val="0040093D"/>
    <w:rsid w:val="0040337C"/>
    <w:rsid w:val="00413A36"/>
    <w:rsid w:val="0041602C"/>
    <w:rsid w:val="00422CB8"/>
    <w:rsid w:val="004340C2"/>
    <w:rsid w:val="00434970"/>
    <w:rsid w:val="00435DAC"/>
    <w:rsid w:val="0044022E"/>
    <w:rsid w:val="00440DC7"/>
    <w:rsid w:val="00446244"/>
    <w:rsid w:val="004516AB"/>
    <w:rsid w:val="00452842"/>
    <w:rsid w:val="00453011"/>
    <w:rsid w:val="004718D3"/>
    <w:rsid w:val="00476C23"/>
    <w:rsid w:val="004829CD"/>
    <w:rsid w:val="004863CE"/>
    <w:rsid w:val="0048680B"/>
    <w:rsid w:val="004873EB"/>
    <w:rsid w:val="00490996"/>
    <w:rsid w:val="004953BB"/>
    <w:rsid w:val="0049733D"/>
    <w:rsid w:val="004A166E"/>
    <w:rsid w:val="004A3274"/>
    <w:rsid w:val="004B27B9"/>
    <w:rsid w:val="004B31AD"/>
    <w:rsid w:val="004B51B6"/>
    <w:rsid w:val="004C030C"/>
    <w:rsid w:val="004C0C8B"/>
    <w:rsid w:val="004C799D"/>
    <w:rsid w:val="004D4855"/>
    <w:rsid w:val="004D56F1"/>
    <w:rsid w:val="004D6DB6"/>
    <w:rsid w:val="004E2BB9"/>
    <w:rsid w:val="004E3B7D"/>
    <w:rsid w:val="004E50C8"/>
    <w:rsid w:val="004F1BD0"/>
    <w:rsid w:val="004F5CB3"/>
    <w:rsid w:val="004F7E41"/>
    <w:rsid w:val="00500959"/>
    <w:rsid w:val="005027E9"/>
    <w:rsid w:val="005146A0"/>
    <w:rsid w:val="005201E1"/>
    <w:rsid w:val="00530162"/>
    <w:rsid w:val="005421CF"/>
    <w:rsid w:val="0054315F"/>
    <w:rsid w:val="00552A50"/>
    <w:rsid w:val="00555F41"/>
    <w:rsid w:val="00562444"/>
    <w:rsid w:val="00577DAB"/>
    <w:rsid w:val="00590C6A"/>
    <w:rsid w:val="00590FC0"/>
    <w:rsid w:val="00591E1E"/>
    <w:rsid w:val="00594349"/>
    <w:rsid w:val="005A259E"/>
    <w:rsid w:val="005B05FC"/>
    <w:rsid w:val="005B1DE0"/>
    <w:rsid w:val="005B593D"/>
    <w:rsid w:val="005B749F"/>
    <w:rsid w:val="005E0708"/>
    <w:rsid w:val="005E15E0"/>
    <w:rsid w:val="005E5905"/>
    <w:rsid w:val="005F4188"/>
    <w:rsid w:val="005F6ED2"/>
    <w:rsid w:val="00615167"/>
    <w:rsid w:val="00621923"/>
    <w:rsid w:val="00624E04"/>
    <w:rsid w:val="00625009"/>
    <w:rsid w:val="00626152"/>
    <w:rsid w:val="00626EC0"/>
    <w:rsid w:val="00630368"/>
    <w:rsid w:val="00630C25"/>
    <w:rsid w:val="006325F8"/>
    <w:rsid w:val="00634598"/>
    <w:rsid w:val="00637C40"/>
    <w:rsid w:val="00654938"/>
    <w:rsid w:val="006567A9"/>
    <w:rsid w:val="006675E8"/>
    <w:rsid w:val="00676A9F"/>
    <w:rsid w:val="00676F3A"/>
    <w:rsid w:val="00690138"/>
    <w:rsid w:val="00693412"/>
    <w:rsid w:val="00693508"/>
    <w:rsid w:val="006A382E"/>
    <w:rsid w:val="006A6F0A"/>
    <w:rsid w:val="006B37DD"/>
    <w:rsid w:val="006B61FA"/>
    <w:rsid w:val="006B7219"/>
    <w:rsid w:val="006C6DC6"/>
    <w:rsid w:val="006D3A59"/>
    <w:rsid w:val="006F43F5"/>
    <w:rsid w:val="00701A3C"/>
    <w:rsid w:val="00706B68"/>
    <w:rsid w:val="00715743"/>
    <w:rsid w:val="00720EA3"/>
    <w:rsid w:val="0072525D"/>
    <w:rsid w:val="007306B9"/>
    <w:rsid w:val="00733C45"/>
    <w:rsid w:val="0074442A"/>
    <w:rsid w:val="00747888"/>
    <w:rsid w:val="00756AE3"/>
    <w:rsid w:val="007574AB"/>
    <w:rsid w:val="00761440"/>
    <w:rsid w:val="00765E5B"/>
    <w:rsid w:val="00774EEB"/>
    <w:rsid w:val="007767B8"/>
    <w:rsid w:val="007774AA"/>
    <w:rsid w:val="00785B65"/>
    <w:rsid w:val="00787C29"/>
    <w:rsid w:val="00794B81"/>
    <w:rsid w:val="00795898"/>
    <w:rsid w:val="007A2FB9"/>
    <w:rsid w:val="007B4554"/>
    <w:rsid w:val="007C0C1D"/>
    <w:rsid w:val="007C732D"/>
    <w:rsid w:val="007D4033"/>
    <w:rsid w:val="007D5EC2"/>
    <w:rsid w:val="007E42F2"/>
    <w:rsid w:val="007E5745"/>
    <w:rsid w:val="007F1389"/>
    <w:rsid w:val="007F344C"/>
    <w:rsid w:val="00800A60"/>
    <w:rsid w:val="00817D0C"/>
    <w:rsid w:val="00821808"/>
    <w:rsid w:val="00830EAF"/>
    <w:rsid w:val="008437EB"/>
    <w:rsid w:val="008446E7"/>
    <w:rsid w:val="008456E2"/>
    <w:rsid w:val="00863CF8"/>
    <w:rsid w:val="0087435F"/>
    <w:rsid w:val="008758B4"/>
    <w:rsid w:val="00881216"/>
    <w:rsid w:val="00883679"/>
    <w:rsid w:val="00886682"/>
    <w:rsid w:val="008869A6"/>
    <w:rsid w:val="008B3B09"/>
    <w:rsid w:val="008C3A60"/>
    <w:rsid w:val="008C4896"/>
    <w:rsid w:val="008C59AA"/>
    <w:rsid w:val="008D19B4"/>
    <w:rsid w:val="008E5241"/>
    <w:rsid w:val="0092196B"/>
    <w:rsid w:val="009249B4"/>
    <w:rsid w:val="009342FB"/>
    <w:rsid w:val="00936FD5"/>
    <w:rsid w:val="00957780"/>
    <w:rsid w:val="009633FE"/>
    <w:rsid w:val="009636DC"/>
    <w:rsid w:val="00965AC4"/>
    <w:rsid w:val="00970729"/>
    <w:rsid w:val="00972A11"/>
    <w:rsid w:val="00977185"/>
    <w:rsid w:val="00980638"/>
    <w:rsid w:val="00984FA6"/>
    <w:rsid w:val="0098632A"/>
    <w:rsid w:val="009962A0"/>
    <w:rsid w:val="0099662A"/>
    <w:rsid w:val="009B20EB"/>
    <w:rsid w:val="009C64DC"/>
    <w:rsid w:val="009C702B"/>
    <w:rsid w:val="00A11581"/>
    <w:rsid w:val="00A14795"/>
    <w:rsid w:val="00A202AF"/>
    <w:rsid w:val="00A41042"/>
    <w:rsid w:val="00A555B7"/>
    <w:rsid w:val="00A73891"/>
    <w:rsid w:val="00A751C5"/>
    <w:rsid w:val="00A82C39"/>
    <w:rsid w:val="00A92C59"/>
    <w:rsid w:val="00AA1DC0"/>
    <w:rsid w:val="00AA3AA5"/>
    <w:rsid w:val="00AA6691"/>
    <w:rsid w:val="00AA7BF2"/>
    <w:rsid w:val="00AB442B"/>
    <w:rsid w:val="00AC14AF"/>
    <w:rsid w:val="00AD14AD"/>
    <w:rsid w:val="00AE19C3"/>
    <w:rsid w:val="00AE2CCE"/>
    <w:rsid w:val="00AE4ECF"/>
    <w:rsid w:val="00AE51E3"/>
    <w:rsid w:val="00AE6149"/>
    <w:rsid w:val="00AE74CF"/>
    <w:rsid w:val="00B10C19"/>
    <w:rsid w:val="00B267AA"/>
    <w:rsid w:val="00B30CA0"/>
    <w:rsid w:val="00B34243"/>
    <w:rsid w:val="00B40518"/>
    <w:rsid w:val="00B50BEC"/>
    <w:rsid w:val="00B575EF"/>
    <w:rsid w:val="00B73EA3"/>
    <w:rsid w:val="00BB5939"/>
    <w:rsid w:val="00BB6BDC"/>
    <w:rsid w:val="00BC32BF"/>
    <w:rsid w:val="00BD3ECC"/>
    <w:rsid w:val="00BD4C5A"/>
    <w:rsid w:val="00C03781"/>
    <w:rsid w:val="00C04FA0"/>
    <w:rsid w:val="00C051DB"/>
    <w:rsid w:val="00C060A0"/>
    <w:rsid w:val="00C26B71"/>
    <w:rsid w:val="00C30CB2"/>
    <w:rsid w:val="00C5295D"/>
    <w:rsid w:val="00C540B0"/>
    <w:rsid w:val="00C603E2"/>
    <w:rsid w:val="00C6544D"/>
    <w:rsid w:val="00C717BB"/>
    <w:rsid w:val="00C9066D"/>
    <w:rsid w:val="00C91236"/>
    <w:rsid w:val="00C96603"/>
    <w:rsid w:val="00C96716"/>
    <w:rsid w:val="00CA39BF"/>
    <w:rsid w:val="00CB3BAA"/>
    <w:rsid w:val="00CB7CFA"/>
    <w:rsid w:val="00CC53AA"/>
    <w:rsid w:val="00CE1706"/>
    <w:rsid w:val="00CE3B76"/>
    <w:rsid w:val="00CF2EAA"/>
    <w:rsid w:val="00CF3750"/>
    <w:rsid w:val="00D21513"/>
    <w:rsid w:val="00D4565A"/>
    <w:rsid w:val="00D46AE4"/>
    <w:rsid w:val="00D506C4"/>
    <w:rsid w:val="00D5329A"/>
    <w:rsid w:val="00D62FB7"/>
    <w:rsid w:val="00D679AA"/>
    <w:rsid w:val="00D70D92"/>
    <w:rsid w:val="00D7319B"/>
    <w:rsid w:val="00D8453D"/>
    <w:rsid w:val="00D924B0"/>
    <w:rsid w:val="00DA1C46"/>
    <w:rsid w:val="00DA26AB"/>
    <w:rsid w:val="00DA54BE"/>
    <w:rsid w:val="00DB74BB"/>
    <w:rsid w:val="00DC071A"/>
    <w:rsid w:val="00DD08E0"/>
    <w:rsid w:val="00DD3A7B"/>
    <w:rsid w:val="00DF407B"/>
    <w:rsid w:val="00E00003"/>
    <w:rsid w:val="00E0222F"/>
    <w:rsid w:val="00E077F0"/>
    <w:rsid w:val="00E12730"/>
    <w:rsid w:val="00E136A0"/>
    <w:rsid w:val="00E2462E"/>
    <w:rsid w:val="00E30ACC"/>
    <w:rsid w:val="00E34BA8"/>
    <w:rsid w:val="00E35EE9"/>
    <w:rsid w:val="00E40F8E"/>
    <w:rsid w:val="00E46174"/>
    <w:rsid w:val="00E60E8F"/>
    <w:rsid w:val="00E66543"/>
    <w:rsid w:val="00E676CB"/>
    <w:rsid w:val="00E7177A"/>
    <w:rsid w:val="00E72E8D"/>
    <w:rsid w:val="00E7367B"/>
    <w:rsid w:val="00E76EDA"/>
    <w:rsid w:val="00E843F6"/>
    <w:rsid w:val="00E90A65"/>
    <w:rsid w:val="00E92650"/>
    <w:rsid w:val="00EA2736"/>
    <w:rsid w:val="00EA3D48"/>
    <w:rsid w:val="00EB5C1A"/>
    <w:rsid w:val="00EC0FCD"/>
    <w:rsid w:val="00EC15C1"/>
    <w:rsid w:val="00EC5218"/>
    <w:rsid w:val="00EC61F1"/>
    <w:rsid w:val="00EE1569"/>
    <w:rsid w:val="00EF720B"/>
    <w:rsid w:val="00F004F2"/>
    <w:rsid w:val="00F012DE"/>
    <w:rsid w:val="00F04F9A"/>
    <w:rsid w:val="00F05F13"/>
    <w:rsid w:val="00F07FF4"/>
    <w:rsid w:val="00F104C7"/>
    <w:rsid w:val="00F179AD"/>
    <w:rsid w:val="00F20ED9"/>
    <w:rsid w:val="00F22B77"/>
    <w:rsid w:val="00F253E0"/>
    <w:rsid w:val="00F35C52"/>
    <w:rsid w:val="00F36664"/>
    <w:rsid w:val="00F36D97"/>
    <w:rsid w:val="00F45D51"/>
    <w:rsid w:val="00F500A1"/>
    <w:rsid w:val="00F61E6A"/>
    <w:rsid w:val="00F629A2"/>
    <w:rsid w:val="00F62AC9"/>
    <w:rsid w:val="00F63D53"/>
    <w:rsid w:val="00F723F1"/>
    <w:rsid w:val="00F726C7"/>
    <w:rsid w:val="00F75B14"/>
    <w:rsid w:val="00F80B24"/>
    <w:rsid w:val="00F858B9"/>
    <w:rsid w:val="00F960CA"/>
    <w:rsid w:val="00FC2CD4"/>
    <w:rsid w:val="00FC56CA"/>
    <w:rsid w:val="00FE4174"/>
    <w:rsid w:val="00FE7FAA"/>
    <w:rsid w:val="00FF10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EA474C"/>
  <w15:docId w15:val="{E19EA4A6-E470-4CA0-9F0F-6B370F55E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2">
    <w:name w:val="heading 2"/>
    <w:basedOn w:val="Normal"/>
    <w:next w:val="Normal"/>
    <w:qFormat/>
    <w:pPr>
      <w:keepNext/>
      <w:jc w:val="both"/>
      <w:outlineLvl w:val="1"/>
    </w:pPr>
    <w:rPr>
      <w:szCs w:val="20"/>
    </w:rPr>
  </w:style>
  <w:style w:type="paragraph" w:styleId="Heading3">
    <w:name w:val="heading 3"/>
    <w:basedOn w:val="Normal"/>
    <w:next w:val="Normal"/>
    <w:qFormat/>
    <w:rsid w:val="0034544B"/>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rPr>
      <w:szCs w:val="20"/>
    </w:rPr>
  </w:style>
  <w:style w:type="paragraph" w:styleId="BodyText2">
    <w:name w:val="Body Text 2"/>
    <w:basedOn w:val="Normal"/>
    <w:link w:val="BodyText2Char"/>
    <w:pPr>
      <w:jc w:val="both"/>
    </w:pPr>
    <w:rPr>
      <w:b/>
      <w:bCs/>
      <w:sz w:val="22"/>
      <w:szCs w:val="20"/>
    </w:rPr>
  </w:style>
  <w:style w:type="paragraph" w:styleId="Title">
    <w:name w:val="Title"/>
    <w:basedOn w:val="Normal"/>
    <w:qFormat/>
    <w:pPr>
      <w:jc w:val="center"/>
    </w:pPr>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3">
    <w:name w:val="Body Text 3"/>
    <w:basedOn w:val="Normal"/>
    <w:pPr>
      <w:jc w:val="both"/>
    </w:pPr>
    <w:rPr>
      <w:sz w:val="22"/>
    </w:rPr>
  </w:style>
  <w:style w:type="character" w:styleId="PageNumber">
    <w:name w:val="page number"/>
    <w:basedOn w:val="DefaultParagraphFont"/>
  </w:style>
  <w:style w:type="paragraph" w:styleId="ListContinue">
    <w:name w:val="List Continue"/>
    <w:basedOn w:val="Normal"/>
    <w:rsid w:val="00E2462E"/>
    <w:pPr>
      <w:spacing w:after="220"/>
      <w:jc w:val="both"/>
    </w:pPr>
    <w:rPr>
      <w:sz w:val="22"/>
      <w:szCs w:val="20"/>
    </w:rPr>
  </w:style>
  <w:style w:type="character" w:styleId="Hyperlink">
    <w:name w:val="Hyperlink"/>
    <w:rsid w:val="00980638"/>
    <w:rPr>
      <w:color w:val="0000FF"/>
      <w:u w:val="single"/>
    </w:rPr>
  </w:style>
  <w:style w:type="paragraph" w:styleId="Subtitle">
    <w:name w:val="Subtitle"/>
    <w:basedOn w:val="Normal"/>
    <w:link w:val="SubtitleChar"/>
    <w:qFormat/>
    <w:rsid w:val="00980638"/>
    <w:pPr>
      <w:jc w:val="center"/>
    </w:pPr>
    <w:rPr>
      <w:rFonts w:ascii="Arial" w:hAnsi="Arial"/>
      <w:b/>
      <w:snapToGrid w:val="0"/>
      <w:color w:val="000000"/>
      <w:sz w:val="20"/>
      <w:szCs w:val="20"/>
    </w:rPr>
  </w:style>
  <w:style w:type="character" w:customStyle="1" w:styleId="SubtitleChar">
    <w:name w:val="Subtitle Char"/>
    <w:link w:val="Subtitle"/>
    <w:rsid w:val="00980638"/>
    <w:rPr>
      <w:rFonts w:ascii="Arial" w:hAnsi="Arial"/>
      <w:b/>
      <w:snapToGrid w:val="0"/>
      <w:color w:val="000000"/>
    </w:rPr>
  </w:style>
  <w:style w:type="paragraph" w:customStyle="1" w:styleId="Indent5">
    <w:name w:val="Indent .5&quot;"/>
    <w:basedOn w:val="Normal"/>
    <w:rsid w:val="00980638"/>
    <w:pPr>
      <w:keepNext/>
      <w:spacing w:after="220"/>
      <w:ind w:left="720"/>
      <w:jc w:val="both"/>
      <w:outlineLvl w:val="0"/>
    </w:pPr>
    <w:rPr>
      <w:sz w:val="22"/>
      <w:szCs w:val="20"/>
    </w:rPr>
  </w:style>
  <w:style w:type="paragraph" w:customStyle="1" w:styleId="Subtitle1">
    <w:name w:val="Subtitle1"/>
    <w:basedOn w:val="Heading2"/>
    <w:rsid w:val="00980638"/>
    <w:pPr>
      <w:spacing w:after="220"/>
    </w:pPr>
    <w:rPr>
      <w:b/>
      <w:sz w:val="22"/>
    </w:rPr>
  </w:style>
  <w:style w:type="paragraph" w:customStyle="1" w:styleId="TitleCenter">
    <w:name w:val="TitleCenter"/>
    <w:basedOn w:val="Normal"/>
    <w:rsid w:val="00980638"/>
    <w:pPr>
      <w:spacing w:after="220"/>
      <w:jc w:val="center"/>
    </w:pPr>
    <w:rPr>
      <w:b/>
      <w:sz w:val="22"/>
      <w:szCs w:val="20"/>
    </w:rPr>
  </w:style>
  <w:style w:type="paragraph" w:customStyle="1" w:styleId="Indent5a">
    <w:name w:val="Indent .5a"/>
    <w:basedOn w:val="Indent5"/>
    <w:rsid w:val="00980638"/>
    <w:pPr>
      <w:spacing w:after="0"/>
    </w:pPr>
  </w:style>
  <w:style w:type="paragraph" w:customStyle="1" w:styleId="Line">
    <w:name w:val="Line"/>
    <w:basedOn w:val="Normal"/>
    <w:autoRedefine/>
    <w:rsid w:val="00980638"/>
    <w:pPr>
      <w:tabs>
        <w:tab w:val="left" w:leader="underscore" w:pos="9360"/>
      </w:tabs>
      <w:spacing w:after="220"/>
    </w:pPr>
    <w:rPr>
      <w:sz w:val="22"/>
      <w:szCs w:val="20"/>
    </w:rPr>
  </w:style>
  <w:style w:type="paragraph" w:customStyle="1" w:styleId="Line-a">
    <w:name w:val="Line-a"/>
    <w:basedOn w:val="Line"/>
    <w:rsid w:val="00980638"/>
    <w:pPr>
      <w:spacing w:after="0"/>
    </w:pPr>
  </w:style>
  <w:style w:type="paragraph" w:customStyle="1" w:styleId="Line15a">
    <w:name w:val="Line 1.5&quot;a"/>
    <w:basedOn w:val="Normal"/>
    <w:rsid w:val="00980638"/>
    <w:pPr>
      <w:tabs>
        <w:tab w:val="left" w:leader="underscore" w:pos="2160"/>
      </w:tabs>
    </w:pPr>
    <w:rPr>
      <w:sz w:val="22"/>
      <w:szCs w:val="20"/>
    </w:rPr>
  </w:style>
  <w:style w:type="paragraph" w:customStyle="1" w:styleId="Indent0">
    <w:name w:val="Indent 0"/>
    <w:basedOn w:val="Normal"/>
    <w:rsid w:val="00980638"/>
    <w:pPr>
      <w:keepNext/>
      <w:spacing w:after="220"/>
      <w:jc w:val="both"/>
      <w:outlineLvl w:val="0"/>
    </w:pPr>
    <w:rPr>
      <w:sz w:val="22"/>
      <w:szCs w:val="20"/>
    </w:rPr>
  </w:style>
  <w:style w:type="paragraph" w:customStyle="1" w:styleId="Line2a">
    <w:name w:val="Line 2&quot;a"/>
    <w:basedOn w:val="Line15a"/>
    <w:rsid w:val="00980638"/>
    <w:pPr>
      <w:tabs>
        <w:tab w:val="clear" w:pos="2160"/>
        <w:tab w:val="left" w:leader="underscore" w:pos="2880"/>
      </w:tabs>
      <w:jc w:val="both"/>
    </w:pPr>
  </w:style>
  <w:style w:type="paragraph" w:styleId="ListNumber2">
    <w:name w:val="List Number 2"/>
    <w:basedOn w:val="Normal"/>
    <w:rsid w:val="00984FA6"/>
    <w:pPr>
      <w:numPr>
        <w:ilvl w:val="3"/>
        <w:numId w:val="2"/>
      </w:numPr>
    </w:pPr>
    <w:rPr>
      <w:sz w:val="20"/>
      <w:szCs w:val="20"/>
    </w:rPr>
  </w:style>
  <w:style w:type="character" w:styleId="Strong">
    <w:name w:val="Strong"/>
    <w:qFormat/>
    <w:rsid w:val="008758B4"/>
    <w:rPr>
      <w:b/>
      <w:bCs/>
    </w:rPr>
  </w:style>
  <w:style w:type="paragraph" w:styleId="FootnoteText">
    <w:name w:val="footnote text"/>
    <w:basedOn w:val="Normal"/>
    <w:semiHidden/>
    <w:rsid w:val="00184144"/>
    <w:pPr>
      <w:spacing w:after="220"/>
    </w:pPr>
    <w:rPr>
      <w:sz w:val="20"/>
      <w:szCs w:val="20"/>
    </w:rPr>
  </w:style>
  <w:style w:type="character" w:styleId="FootnoteReference">
    <w:name w:val="footnote reference"/>
    <w:semiHidden/>
    <w:rsid w:val="00184144"/>
    <w:rPr>
      <w:vertAlign w:val="superscript"/>
    </w:rPr>
  </w:style>
  <w:style w:type="paragraph" w:styleId="ListNumber3">
    <w:name w:val="List Number 3"/>
    <w:basedOn w:val="Normal"/>
    <w:rsid w:val="0034544B"/>
    <w:pPr>
      <w:numPr>
        <w:numId w:val="14"/>
      </w:numPr>
    </w:pPr>
  </w:style>
  <w:style w:type="paragraph" w:styleId="ListBullet2">
    <w:name w:val="List Bullet 2"/>
    <w:basedOn w:val="Normal"/>
    <w:autoRedefine/>
    <w:rsid w:val="0034544B"/>
    <w:pPr>
      <w:numPr>
        <w:numId w:val="18"/>
      </w:numPr>
      <w:spacing w:after="220"/>
      <w:jc w:val="both"/>
    </w:pPr>
    <w:rPr>
      <w:i/>
      <w:color w:val="000000"/>
      <w:sz w:val="22"/>
      <w:szCs w:val="20"/>
    </w:rPr>
  </w:style>
  <w:style w:type="paragraph" w:styleId="ListNumber">
    <w:name w:val="List Number"/>
    <w:basedOn w:val="Normal"/>
    <w:rsid w:val="00452842"/>
    <w:pPr>
      <w:numPr>
        <w:numId w:val="21"/>
      </w:numPr>
    </w:pPr>
  </w:style>
  <w:style w:type="paragraph" w:customStyle="1" w:styleId="Default">
    <w:name w:val="Default"/>
    <w:rsid w:val="004E2BB9"/>
    <w:pPr>
      <w:autoSpaceDE w:val="0"/>
      <w:autoSpaceDN w:val="0"/>
      <w:adjustRightInd w:val="0"/>
    </w:pPr>
    <w:rPr>
      <w:color w:val="000000"/>
      <w:sz w:val="24"/>
      <w:szCs w:val="24"/>
    </w:rPr>
  </w:style>
  <w:style w:type="character" w:customStyle="1" w:styleId="BodyText2Char">
    <w:name w:val="Body Text 2 Char"/>
    <w:link w:val="BodyText2"/>
    <w:rsid w:val="00490996"/>
    <w:rPr>
      <w:b/>
      <w:bCs/>
      <w:sz w:val="22"/>
    </w:rPr>
  </w:style>
  <w:style w:type="paragraph" w:styleId="BalloonText">
    <w:name w:val="Balloon Text"/>
    <w:basedOn w:val="Normal"/>
    <w:link w:val="BalloonTextChar"/>
    <w:semiHidden/>
    <w:unhideWhenUsed/>
    <w:rsid w:val="005B1DE0"/>
    <w:rPr>
      <w:rFonts w:ascii="Segoe UI" w:hAnsi="Segoe UI" w:cs="Segoe UI"/>
      <w:sz w:val="18"/>
      <w:szCs w:val="18"/>
    </w:rPr>
  </w:style>
  <w:style w:type="character" w:customStyle="1" w:styleId="BalloonTextChar">
    <w:name w:val="Balloon Text Char"/>
    <w:basedOn w:val="DefaultParagraphFont"/>
    <w:link w:val="BalloonText"/>
    <w:semiHidden/>
    <w:rsid w:val="005B1DE0"/>
    <w:rPr>
      <w:rFonts w:ascii="Segoe UI" w:hAnsi="Segoe UI" w:cs="Segoe UI"/>
      <w:sz w:val="18"/>
      <w:szCs w:val="18"/>
    </w:rPr>
  </w:style>
  <w:style w:type="paragraph" w:styleId="Revision">
    <w:name w:val="Revision"/>
    <w:hidden/>
    <w:uiPriority w:val="99"/>
    <w:semiHidden/>
    <w:rsid w:val="00C91236"/>
    <w:rPr>
      <w:sz w:val="24"/>
      <w:szCs w:val="24"/>
    </w:rPr>
  </w:style>
  <w:style w:type="character" w:styleId="CommentReference">
    <w:name w:val="annotation reference"/>
    <w:basedOn w:val="DefaultParagraphFont"/>
    <w:semiHidden/>
    <w:unhideWhenUsed/>
    <w:rsid w:val="00055C0D"/>
    <w:rPr>
      <w:sz w:val="16"/>
      <w:szCs w:val="16"/>
    </w:rPr>
  </w:style>
  <w:style w:type="paragraph" w:styleId="CommentText">
    <w:name w:val="annotation text"/>
    <w:basedOn w:val="Normal"/>
    <w:link w:val="CommentTextChar"/>
    <w:unhideWhenUsed/>
    <w:rsid w:val="00055C0D"/>
    <w:rPr>
      <w:sz w:val="20"/>
      <w:szCs w:val="20"/>
    </w:rPr>
  </w:style>
  <w:style w:type="character" w:customStyle="1" w:styleId="CommentTextChar">
    <w:name w:val="Comment Text Char"/>
    <w:basedOn w:val="DefaultParagraphFont"/>
    <w:link w:val="CommentText"/>
    <w:rsid w:val="00055C0D"/>
  </w:style>
  <w:style w:type="paragraph" w:styleId="CommentSubject">
    <w:name w:val="annotation subject"/>
    <w:basedOn w:val="CommentText"/>
    <w:next w:val="CommentText"/>
    <w:link w:val="CommentSubjectChar"/>
    <w:semiHidden/>
    <w:unhideWhenUsed/>
    <w:rsid w:val="00055C0D"/>
    <w:rPr>
      <w:b/>
      <w:bCs/>
    </w:rPr>
  </w:style>
  <w:style w:type="character" w:customStyle="1" w:styleId="CommentSubjectChar">
    <w:name w:val="Comment Subject Char"/>
    <w:basedOn w:val="CommentTextChar"/>
    <w:link w:val="CommentSubject"/>
    <w:semiHidden/>
    <w:rsid w:val="00055C0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3c9e15a3-223f-4584-afb1-1dbe0b3878fa" xsi:nil="true"/>
    <lcf76f155ced4ddcb4097134ff3c332f xmlns="dbd46520-c392-41b5-9f68-fe7486eefad7">
      <Terms xmlns="http://schemas.microsoft.com/office/infopath/2007/PartnerControls"/>
    </lcf76f155ced4ddcb4097134ff3c332f>
    <ProgressStatus xmlns="dbd46520-c392-41b5-9f68-fe7486eefad7">Ready for Review</ProgressStatu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D0FEDF019004E4AB00FDE98BFC1B847" ma:contentTypeVersion="19" ma:contentTypeDescription="Create a new document." ma:contentTypeScope="" ma:versionID="91f85cc8dc4a47803c08097b7e297636">
  <xsd:schema xmlns:xsd="http://www.w3.org/2001/XMLSchema" xmlns:xs="http://www.w3.org/2001/XMLSchema" xmlns:p="http://schemas.microsoft.com/office/2006/metadata/properties" xmlns:ns2="dbd46520-c392-41b5-9f68-fe7486eefad7" xmlns:ns3="826143e3-bbcb-45bb-8829-107013e701e5" xmlns:ns4="3c9e15a3-223f-4584-afb1-1dbe0b3878fa" targetNamespace="http://schemas.microsoft.com/office/2006/metadata/properties" ma:root="true" ma:fieldsID="bf389c20472442bd1cd255c3f3e66553" ns2:_="" ns3:_="" ns4:_="">
    <xsd:import namespace="dbd46520-c392-41b5-9f68-fe7486eefad7"/>
    <xsd:import namespace="826143e3-bbcb-45bb-8829-107013e701e5"/>
    <xsd:import namespace="3c9e15a3-223f-4584-afb1-1dbe0b3878f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LengthInSeconds" minOccurs="0"/>
                <xsd:element ref="ns2:Progress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d46520-c392-41b5-9f68-fe7486eef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ProgressStatus" ma:index="25" nillable="true" ma:displayName="Progress Status" ma:default="Not Started" ma:description="Green = Complete&#10;Yellow = In-Progress&#10;Red = Not Started" ma:format="Dropdown" ma:internalName="ProgressStatus">
      <xsd:simpleType>
        <xsd:union memberTypes="dms:Text">
          <xsd:simpleType>
            <xsd:restriction base="dms:Choice">
              <xsd:enumeration value="Complete"/>
              <xsd:enumeration value="Pending 2nd Review"/>
              <xsd:enumeration value="Ready for Review"/>
              <xsd:enumeration value="In-Progress"/>
              <xsd:enumeration value="Not Started"/>
            </xsd:restriction>
          </xsd:simpleType>
        </xsd:union>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6143e3-bbcb-45bb-8829-107013e701e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057f632e-5ad0-4c8c-a771-480ef62b4bfd}" ma:internalName="TaxCatchAll" ma:showField="CatchAllData" ma:web="826143e3-bbcb-45bb-8829-107013e701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53DBAA-868C-41C1-8170-884AB4315DD9}">
  <ds:schemaRefs>
    <ds:schemaRef ds:uri="http://schemas.microsoft.com/sharepoint/v3/contenttype/forms"/>
  </ds:schemaRefs>
</ds:datastoreItem>
</file>

<file path=customXml/itemProps2.xml><?xml version="1.0" encoding="utf-8"?>
<ds:datastoreItem xmlns:ds="http://schemas.openxmlformats.org/officeDocument/2006/customXml" ds:itemID="{91C764BD-B74B-4FFE-AC85-F9BE917CDA74}">
  <ds:schemaRefs>
    <ds:schemaRef ds:uri="http://schemas.microsoft.com/office/2006/metadata/properties"/>
    <ds:schemaRef ds:uri="http://schemas.microsoft.com/office/infopath/2007/PartnerControls"/>
    <ds:schemaRef ds:uri="3c9e15a3-223f-4584-afb1-1dbe0b3878fa"/>
    <ds:schemaRef ds:uri="dbd46520-c392-41b5-9f68-fe7486eefad7"/>
  </ds:schemaRefs>
</ds:datastoreItem>
</file>

<file path=customXml/itemProps3.xml><?xml version="1.0" encoding="utf-8"?>
<ds:datastoreItem xmlns:ds="http://schemas.openxmlformats.org/officeDocument/2006/customXml" ds:itemID="{987D71A8-EC54-4252-97C8-1A568BC7CE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d46520-c392-41b5-9f68-fe7486eefad7"/>
    <ds:schemaRef ds:uri="826143e3-bbcb-45bb-8829-107013e701e5"/>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7429ED3-FD5B-4983-A068-8714CAC79F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1432</TotalTime>
  <Pages>2</Pages>
  <Words>605</Words>
  <Characters>3452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Statutory Accounting Principles Working Group</vt:lpstr>
    </vt:vector>
  </TitlesOfParts>
  <Company>NAIC</Company>
  <LinksUpToDate>false</LinksUpToDate>
  <CharactersWithSpaces>4049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Statutory Accounting Principles Working Group</dc:title>
  <dc:subject/>
  <dc:creator>Lhunsuck</dc:creator>
  <cp:keywords/>
  <dc:description/>
  <cp:lastModifiedBy>Marcotte, Robin</cp:lastModifiedBy>
  <cp:revision>152</cp:revision>
  <cp:lastPrinted>2011-03-02T00:07:00Z</cp:lastPrinted>
  <dcterms:created xsi:type="dcterms:W3CDTF">2023-02-09T16:26:00Z</dcterms:created>
  <dcterms:modified xsi:type="dcterms:W3CDTF">2025-03-27T18:19:00Z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0x010100DD0FEDF019004E4AB00FDE98BFC1B847</vt:lpwstr>
  </property>
  <property fmtid="{D5CDD505-2E9C-101B-9397-08002B2CF9AE}" pid="3" name="MediaServiceImageTags">
    <vt:lpwstr/>
  </property>
  <property fmtid="{D5CDD505-2E9C-101B-9397-08002B2CF9AE}" pid="4" name="Test">
    <vt:filetime>2023-03-22T05:00:00Z</vt:filetime>
  </property>
  <property fmtid="{D5CDD505-2E9C-101B-9397-08002B2CF9AE}" pid="5" name="ProgressStatus">
    <vt:lpwstr>Complete</vt:lpwstr>
  </property>
</Properties>
</file>