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2DAA" w14:textId="0F6D42A8" w:rsidR="002A1316" w:rsidRPr="00944297" w:rsidRDefault="002A1316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944297">
        <w:rPr>
          <w:rFonts w:asciiTheme="minorHAnsi" w:hAnsiTheme="minorHAnsi" w:cstheme="minorHAnsi"/>
          <w:sz w:val="22"/>
          <w:szCs w:val="22"/>
        </w:rPr>
        <w:t xml:space="preserve">Statutory Accounting Principles </w:t>
      </w:r>
      <w:r w:rsidR="00C6544D" w:rsidRPr="00944297">
        <w:rPr>
          <w:rFonts w:asciiTheme="minorHAnsi" w:hAnsiTheme="minorHAnsi" w:cstheme="minorHAnsi"/>
          <w:sz w:val="22"/>
          <w:szCs w:val="22"/>
        </w:rPr>
        <w:t xml:space="preserve">(E) </w:t>
      </w:r>
      <w:r w:rsidRPr="00944297">
        <w:rPr>
          <w:rFonts w:asciiTheme="minorHAnsi" w:hAnsiTheme="minorHAnsi" w:cstheme="minorHAnsi"/>
          <w:sz w:val="22"/>
          <w:szCs w:val="22"/>
        </w:rPr>
        <w:t>Working Group</w:t>
      </w:r>
    </w:p>
    <w:p w14:paraId="5E8586D5" w14:textId="77777777" w:rsidR="002A1316" w:rsidRPr="00944297" w:rsidRDefault="002A13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4297">
        <w:rPr>
          <w:rFonts w:asciiTheme="minorHAnsi" w:hAnsiTheme="minorHAnsi" w:cstheme="minorHAnsi"/>
          <w:b/>
          <w:sz w:val="22"/>
          <w:szCs w:val="22"/>
        </w:rPr>
        <w:t>Maintenance Agenda Submission Form</w:t>
      </w:r>
    </w:p>
    <w:p w14:paraId="43927C70" w14:textId="77777777" w:rsidR="002A1316" w:rsidRPr="00944297" w:rsidRDefault="002A131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4297">
        <w:rPr>
          <w:rFonts w:asciiTheme="minorHAnsi" w:hAnsiTheme="minorHAnsi" w:cstheme="minorHAnsi"/>
          <w:b/>
          <w:sz w:val="22"/>
          <w:szCs w:val="22"/>
        </w:rPr>
        <w:t>Form A</w:t>
      </w:r>
    </w:p>
    <w:p w14:paraId="65BCA41C" w14:textId="77777777" w:rsidR="002A1316" w:rsidRPr="00944297" w:rsidRDefault="002A1316">
      <w:pPr>
        <w:pStyle w:val="Heading2"/>
        <w:jc w:val="center"/>
        <w:rPr>
          <w:rFonts w:asciiTheme="minorHAnsi" w:hAnsiTheme="minorHAnsi" w:cstheme="minorHAnsi"/>
          <w:sz w:val="22"/>
          <w:szCs w:val="22"/>
        </w:rPr>
      </w:pPr>
    </w:p>
    <w:p w14:paraId="10F0B4B2" w14:textId="6E0E9990" w:rsidR="002A1316" w:rsidRPr="00944297" w:rsidRDefault="002A1316" w:rsidP="00827D3A">
      <w:pPr>
        <w:pStyle w:val="Heading2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44297">
        <w:rPr>
          <w:rFonts w:asciiTheme="minorHAnsi" w:hAnsiTheme="minorHAnsi" w:cstheme="minorHAnsi"/>
          <w:b/>
          <w:sz w:val="22"/>
          <w:szCs w:val="22"/>
        </w:rPr>
        <w:t>Issue:</w:t>
      </w:r>
      <w:r w:rsidR="00EC61F1" w:rsidRPr="009442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B1DE0"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ASU 202</w:t>
      </w:r>
      <w:r w:rsidR="00827D3A"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5</w:t>
      </w:r>
      <w:r w:rsidR="005B1DE0"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-0</w:t>
      </w:r>
      <w:r w:rsidR="00827D3A"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2</w:t>
      </w:r>
      <w:r w:rsidR="00476C23"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—</w:t>
      </w:r>
      <w:r w:rsidR="00827D3A"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Amendments to SEC Paragraphs Pursuant to SEC Staff Accounting Bulletin No. 122</w:t>
      </w:r>
    </w:p>
    <w:p w14:paraId="7D50C110" w14:textId="77777777" w:rsidR="00B30CA0" w:rsidRPr="00944297" w:rsidRDefault="00B30CA0" w:rsidP="00B30CA0">
      <w:pPr>
        <w:rPr>
          <w:rFonts w:asciiTheme="minorHAnsi" w:hAnsiTheme="minorHAnsi" w:cstheme="minorHAnsi"/>
          <w:sz w:val="22"/>
          <w:szCs w:val="22"/>
        </w:rPr>
      </w:pPr>
    </w:p>
    <w:p w14:paraId="1E0B900E" w14:textId="77777777" w:rsidR="002A1316" w:rsidRPr="00944297" w:rsidRDefault="002A1316" w:rsidP="00B30CA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4297">
        <w:rPr>
          <w:rFonts w:asciiTheme="minorHAnsi" w:hAnsiTheme="minorHAnsi" w:cstheme="minorHAnsi"/>
          <w:b/>
          <w:sz w:val="22"/>
          <w:szCs w:val="22"/>
        </w:rPr>
        <w:t>Check (applicable entity):</w:t>
      </w:r>
    </w:p>
    <w:p w14:paraId="3CA22BB3" w14:textId="77777777" w:rsidR="006B37DD" w:rsidRPr="00944297" w:rsidRDefault="006B37DD" w:rsidP="006B37DD">
      <w:pPr>
        <w:tabs>
          <w:tab w:val="center" w:pos="4455"/>
          <w:tab w:val="center" w:pos="5886"/>
          <w:tab w:val="center" w:pos="73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44297">
        <w:rPr>
          <w:rFonts w:asciiTheme="minorHAnsi" w:hAnsiTheme="minorHAnsi" w:cstheme="minorHAnsi"/>
          <w:sz w:val="22"/>
          <w:szCs w:val="22"/>
        </w:rPr>
        <w:tab/>
        <w:t>P/C</w:t>
      </w:r>
      <w:r w:rsidRPr="00944297">
        <w:rPr>
          <w:rFonts w:asciiTheme="minorHAnsi" w:hAnsiTheme="minorHAnsi" w:cstheme="minorHAnsi"/>
          <w:sz w:val="22"/>
          <w:szCs w:val="22"/>
        </w:rPr>
        <w:tab/>
        <w:t>Life</w:t>
      </w:r>
      <w:r w:rsidRPr="00944297">
        <w:rPr>
          <w:rFonts w:asciiTheme="minorHAnsi" w:hAnsiTheme="minorHAnsi" w:cstheme="minorHAnsi"/>
          <w:sz w:val="22"/>
          <w:szCs w:val="22"/>
        </w:rPr>
        <w:tab/>
        <w:t>Health</w:t>
      </w:r>
    </w:p>
    <w:p w14:paraId="347337DD" w14:textId="68EE60B9" w:rsidR="002A1316" w:rsidRPr="00944297" w:rsidRDefault="002A1316" w:rsidP="00B30CA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44297">
        <w:rPr>
          <w:rFonts w:asciiTheme="minorHAnsi" w:hAnsiTheme="minorHAnsi" w:cstheme="minorHAnsi"/>
          <w:sz w:val="22"/>
          <w:szCs w:val="22"/>
        </w:rPr>
        <w:t xml:space="preserve">Modification of </w:t>
      </w:r>
      <w:r w:rsidR="00DF407B" w:rsidRPr="00944297">
        <w:rPr>
          <w:rFonts w:asciiTheme="minorHAnsi" w:hAnsiTheme="minorHAnsi" w:cstheme="minorHAnsi"/>
          <w:sz w:val="22"/>
          <w:szCs w:val="22"/>
        </w:rPr>
        <w:t>E</w:t>
      </w:r>
      <w:r w:rsidRPr="00944297">
        <w:rPr>
          <w:rFonts w:asciiTheme="minorHAnsi" w:hAnsiTheme="minorHAnsi" w:cstheme="minorHAnsi"/>
          <w:sz w:val="22"/>
          <w:szCs w:val="22"/>
        </w:rPr>
        <w:t>xisting SSAP</w:t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332D7DA" w14:textId="02284300" w:rsidR="002A1316" w:rsidRPr="00944297" w:rsidRDefault="002A1316" w:rsidP="00B30CA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44297">
        <w:rPr>
          <w:rFonts w:asciiTheme="minorHAnsi" w:hAnsiTheme="minorHAnsi" w:cstheme="minorHAnsi"/>
          <w:sz w:val="22"/>
          <w:szCs w:val="22"/>
        </w:rPr>
        <w:t>New Issue or SSAP</w:t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08F9360" w14:textId="5D9EFA97" w:rsidR="0044022E" w:rsidRPr="00944297" w:rsidRDefault="0044022E" w:rsidP="0044022E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44297">
        <w:rPr>
          <w:rFonts w:asciiTheme="minorHAnsi" w:hAnsiTheme="minorHAnsi" w:cstheme="minorHAnsi"/>
          <w:sz w:val="22"/>
          <w:szCs w:val="22"/>
        </w:rPr>
        <w:t>Interpretation</w:t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tab/>
      </w:r>
      <w:r w:rsidRPr="009442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429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944297">
        <w:rPr>
          <w:rFonts w:asciiTheme="minorHAnsi" w:hAnsiTheme="minorHAnsi" w:cstheme="minorHAnsi"/>
          <w:sz w:val="22"/>
          <w:szCs w:val="22"/>
        </w:rPr>
      </w:r>
      <w:r w:rsidRPr="00944297">
        <w:rPr>
          <w:rFonts w:asciiTheme="minorHAnsi" w:hAnsiTheme="minorHAnsi" w:cstheme="minorHAnsi"/>
          <w:sz w:val="22"/>
          <w:szCs w:val="22"/>
        </w:rPr>
        <w:fldChar w:fldCharType="separate"/>
      </w:r>
      <w:r w:rsidRPr="0094429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F1580CB" w14:textId="77777777" w:rsidR="002A1316" w:rsidRPr="00944297" w:rsidRDefault="002A1316" w:rsidP="00B30C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FAF16C" w14:textId="655F859D" w:rsidR="002A1316" w:rsidRPr="00944297" w:rsidRDefault="002A1316" w:rsidP="00B30CA0">
      <w:pPr>
        <w:pStyle w:val="BodyText2"/>
        <w:rPr>
          <w:rFonts w:asciiTheme="minorHAnsi" w:hAnsiTheme="minorHAnsi" w:cstheme="minorHAnsi"/>
          <w:bCs w:val="0"/>
          <w:szCs w:val="22"/>
        </w:rPr>
      </w:pPr>
      <w:r w:rsidRPr="00944297">
        <w:rPr>
          <w:rFonts w:asciiTheme="minorHAnsi" w:hAnsiTheme="minorHAnsi" w:cstheme="minorHAnsi"/>
          <w:bCs w:val="0"/>
          <w:szCs w:val="22"/>
        </w:rPr>
        <w:t>Description of Issue:</w:t>
      </w:r>
    </w:p>
    <w:p w14:paraId="0B168B45" w14:textId="7D720B64" w:rsidR="00306C82" w:rsidRPr="00944297" w:rsidRDefault="00827D3A" w:rsidP="00827D3A">
      <w:pPr>
        <w:pStyle w:val="BodyText2"/>
        <w:rPr>
          <w:rFonts w:asciiTheme="minorHAnsi" w:hAnsiTheme="minorHAnsi" w:cstheme="minorHAnsi"/>
          <w:b w:val="0"/>
          <w:szCs w:val="22"/>
          <w:highlight w:val="yellow"/>
        </w:rPr>
      </w:pP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In March of 2025, </w:t>
      </w:r>
      <w:r w:rsidR="00B575EF" w:rsidRPr="00944297">
        <w:rPr>
          <w:rFonts w:asciiTheme="minorHAnsi" w:hAnsiTheme="minorHAnsi" w:cstheme="minorHAnsi"/>
          <w:b w:val="0"/>
          <w:bCs w:val="0"/>
          <w:szCs w:val="22"/>
        </w:rPr>
        <w:t xml:space="preserve">FASB issued </w:t>
      </w:r>
      <w:r w:rsidR="00B575EF"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ASU 202</w:t>
      </w:r>
      <w:r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5</w:t>
      </w:r>
      <w:r w:rsidR="00B575EF"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-0</w:t>
      </w:r>
      <w:r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2</w:t>
      </w:r>
      <w:r w:rsidR="00B575EF"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 xml:space="preserve">, </w:t>
      </w:r>
      <w:r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Liabilities (Topic 405), Amendments to SEC Paragraphs Pursuant to SEC Staff Accounting Bulletin No. 122</w:t>
      </w:r>
      <w:r w:rsidR="00FE303D" w:rsidRPr="00944297">
        <w:rPr>
          <w:rFonts w:asciiTheme="minorHAnsi" w:hAnsiTheme="minorHAnsi" w:cstheme="minorHAnsi"/>
          <w:b w:val="0"/>
          <w:szCs w:val="22"/>
        </w:rPr>
        <w:t xml:space="preserve">, </w:t>
      </w:r>
      <w:r w:rsidR="006574E9" w:rsidRPr="00944297">
        <w:rPr>
          <w:rFonts w:asciiTheme="minorHAnsi" w:hAnsiTheme="minorHAnsi" w:cstheme="minorHAnsi"/>
          <w:b w:val="0"/>
          <w:szCs w:val="22"/>
        </w:rPr>
        <w:t xml:space="preserve">which </w:t>
      </w:r>
      <w:r w:rsidRPr="00944297">
        <w:rPr>
          <w:rFonts w:asciiTheme="minorHAnsi" w:hAnsiTheme="minorHAnsi" w:cstheme="minorHAnsi"/>
          <w:b w:val="0"/>
          <w:szCs w:val="22"/>
        </w:rPr>
        <w:t>amends an SEC paragraph pursuant to the issuance of SEC Staff Accounting Bulletin (SAB) No. 122, which rescinds the interpretive guidance on accounting for obligations to safeguard crypto-assets held for platform users detailed in SAB No. 121.</w:t>
      </w:r>
    </w:p>
    <w:p w14:paraId="040C7183" w14:textId="77777777" w:rsidR="00435DAC" w:rsidRPr="00944297" w:rsidRDefault="00435DAC" w:rsidP="00A92C59">
      <w:pPr>
        <w:pStyle w:val="BodyText2"/>
        <w:rPr>
          <w:rFonts w:asciiTheme="minorHAnsi" w:hAnsiTheme="minorHAnsi" w:cstheme="minorHAnsi"/>
          <w:bCs w:val="0"/>
          <w:szCs w:val="22"/>
          <w:highlight w:val="yellow"/>
        </w:rPr>
      </w:pPr>
    </w:p>
    <w:p w14:paraId="6C6B67AF" w14:textId="77777777" w:rsidR="002A1316" w:rsidRPr="00944297" w:rsidRDefault="002A1316" w:rsidP="00B30CA0">
      <w:pPr>
        <w:pStyle w:val="BodyText2"/>
        <w:rPr>
          <w:rFonts w:asciiTheme="minorHAnsi" w:hAnsiTheme="minorHAnsi" w:cstheme="minorHAnsi"/>
          <w:bCs w:val="0"/>
          <w:szCs w:val="22"/>
        </w:rPr>
      </w:pPr>
      <w:r w:rsidRPr="00944297">
        <w:rPr>
          <w:rFonts w:asciiTheme="minorHAnsi" w:hAnsiTheme="minorHAnsi" w:cstheme="minorHAnsi"/>
          <w:bCs w:val="0"/>
          <w:szCs w:val="22"/>
        </w:rPr>
        <w:t>Existing Authoritative Literature:</w:t>
      </w:r>
    </w:p>
    <w:p w14:paraId="6F758E25" w14:textId="18D9340A" w:rsidR="004E2BB9" w:rsidRPr="00944297" w:rsidRDefault="004C0C8B" w:rsidP="00B30CA0">
      <w:pPr>
        <w:pStyle w:val="BodyText2"/>
        <w:rPr>
          <w:rFonts w:asciiTheme="minorHAnsi" w:hAnsiTheme="minorHAnsi" w:cstheme="minorHAnsi"/>
          <w:b w:val="0"/>
          <w:bCs w:val="0"/>
          <w:szCs w:val="22"/>
          <w:highlight w:val="yellow"/>
        </w:rPr>
      </w:pPr>
      <w:r w:rsidRPr="00944297">
        <w:rPr>
          <w:rFonts w:asciiTheme="minorHAnsi" w:hAnsiTheme="minorHAnsi" w:cstheme="minorHAnsi"/>
          <w:b w:val="0"/>
          <w:bCs w:val="0"/>
          <w:szCs w:val="22"/>
        </w:rPr>
        <w:t>Historically</w:t>
      </w:r>
      <w:r w:rsidR="000705D0" w:rsidRPr="00944297">
        <w:rPr>
          <w:rFonts w:asciiTheme="minorHAnsi" w:hAnsiTheme="minorHAnsi" w:cstheme="minorHAnsi"/>
          <w:b w:val="0"/>
          <w:bCs w:val="0"/>
          <w:szCs w:val="22"/>
        </w:rPr>
        <w:t xml:space="preserve">, SEC guidance from ASUs </w:t>
      </w:r>
      <w:r w:rsidR="003E69DC" w:rsidRPr="00944297">
        <w:rPr>
          <w:rFonts w:asciiTheme="minorHAnsi" w:hAnsiTheme="minorHAnsi" w:cstheme="minorHAnsi"/>
          <w:b w:val="0"/>
          <w:bCs w:val="0"/>
          <w:szCs w:val="22"/>
        </w:rPr>
        <w:t xml:space="preserve">have been </w:t>
      </w:r>
      <w:r w:rsidR="000705D0" w:rsidRPr="00944297">
        <w:rPr>
          <w:rFonts w:asciiTheme="minorHAnsi" w:hAnsiTheme="minorHAnsi" w:cstheme="minorHAnsi"/>
          <w:b w:val="0"/>
          <w:bCs w:val="0"/>
          <w:szCs w:val="22"/>
        </w:rPr>
        <w:t>rejected as not applicable for statutory accounting in Appendix D.</w:t>
      </w:r>
      <w:r w:rsidR="00A14795" w:rsidRPr="00944297">
        <w:rPr>
          <w:rFonts w:asciiTheme="minorHAnsi" w:hAnsiTheme="minorHAnsi" w:cstheme="minorHAnsi"/>
          <w:b w:val="0"/>
          <w:bCs w:val="0"/>
          <w:szCs w:val="22"/>
        </w:rPr>
        <w:t xml:space="preserve"> Regardless, all ASUs are reviewed for statutory accounting purposes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 to determine if the guidance should be considered for statutory accounting. </w:t>
      </w:r>
    </w:p>
    <w:p w14:paraId="44DF7382" w14:textId="77777777" w:rsidR="00E72E8D" w:rsidRPr="00944297" w:rsidRDefault="00E72E8D" w:rsidP="00B30CA0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</w:p>
    <w:p w14:paraId="3BC67C8D" w14:textId="61A43091" w:rsidR="00827D3A" w:rsidRPr="00944297" w:rsidRDefault="00827D3A" w:rsidP="00B30CA0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944297">
        <w:rPr>
          <w:rFonts w:asciiTheme="minorHAnsi" w:hAnsiTheme="minorHAnsi" w:cstheme="minorHAnsi"/>
          <w:b w:val="0"/>
          <w:bCs w:val="0"/>
          <w:szCs w:val="22"/>
        </w:rPr>
        <w:t>The SEC guidance deleted by ASU 2025-02 was previously rejected for inclusion in statutory accounting.</w:t>
      </w:r>
    </w:p>
    <w:p w14:paraId="72973CBE" w14:textId="77777777" w:rsidR="00827D3A" w:rsidRPr="00944297" w:rsidRDefault="00827D3A" w:rsidP="00B30CA0">
      <w:pPr>
        <w:pStyle w:val="BodyText2"/>
        <w:rPr>
          <w:rFonts w:asciiTheme="minorHAnsi" w:hAnsiTheme="minorHAnsi" w:cstheme="minorHAnsi"/>
          <w:b w:val="0"/>
          <w:bCs w:val="0"/>
          <w:szCs w:val="22"/>
          <w:highlight w:val="yellow"/>
        </w:rPr>
      </w:pPr>
    </w:p>
    <w:p w14:paraId="0BDB1F1A" w14:textId="6BECDF6A" w:rsidR="002A1316" w:rsidRPr="00944297" w:rsidRDefault="002A1316" w:rsidP="00B30CA0">
      <w:pPr>
        <w:pStyle w:val="BodyText2"/>
        <w:rPr>
          <w:rFonts w:asciiTheme="minorHAnsi" w:hAnsiTheme="minorHAnsi" w:cstheme="minorHAnsi"/>
          <w:szCs w:val="22"/>
        </w:rPr>
      </w:pPr>
      <w:r w:rsidRPr="00944297">
        <w:rPr>
          <w:rFonts w:asciiTheme="minorHAnsi" w:hAnsiTheme="minorHAnsi" w:cstheme="minorHAnsi"/>
          <w:szCs w:val="22"/>
        </w:rPr>
        <w:t xml:space="preserve">Activity to Date (issues previously addressed by </w:t>
      </w:r>
      <w:r w:rsidR="006B37DD" w:rsidRPr="00944297">
        <w:rPr>
          <w:rFonts w:asciiTheme="minorHAnsi" w:hAnsiTheme="minorHAnsi" w:cstheme="minorHAnsi"/>
          <w:szCs w:val="22"/>
        </w:rPr>
        <w:t xml:space="preserve">the </w:t>
      </w:r>
      <w:r w:rsidR="00004652" w:rsidRPr="00944297">
        <w:rPr>
          <w:rFonts w:asciiTheme="minorHAnsi" w:hAnsiTheme="minorHAnsi" w:cstheme="minorHAnsi"/>
          <w:szCs w:val="22"/>
        </w:rPr>
        <w:t>Working Group</w:t>
      </w:r>
      <w:r w:rsidRPr="00944297">
        <w:rPr>
          <w:rFonts w:asciiTheme="minorHAnsi" w:hAnsiTheme="minorHAnsi" w:cstheme="minorHAnsi"/>
          <w:szCs w:val="22"/>
        </w:rPr>
        <w:t xml:space="preserve">, Emerging Accounting Issues </w:t>
      </w:r>
      <w:r w:rsidR="00004652" w:rsidRPr="00944297">
        <w:rPr>
          <w:rFonts w:asciiTheme="minorHAnsi" w:hAnsiTheme="minorHAnsi" w:cstheme="minorHAnsi"/>
          <w:szCs w:val="22"/>
        </w:rPr>
        <w:t>(E) Working Group</w:t>
      </w:r>
      <w:r w:rsidRPr="00944297">
        <w:rPr>
          <w:rFonts w:asciiTheme="minorHAnsi" w:hAnsiTheme="minorHAnsi" w:cstheme="minorHAnsi"/>
          <w:szCs w:val="22"/>
        </w:rPr>
        <w:t>, SEC, FASB, other State Departments of Insurance or other NAIC groups):</w:t>
      </w:r>
    </w:p>
    <w:p w14:paraId="4D873E6A" w14:textId="17CB2194" w:rsidR="003C5AA1" w:rsidRPr="00944297" w:rsidRDefault="00827D3A" w:rsidP="003C5AA1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44297">
        <w:rPr>
          <w:rFonts w:asciiTheme="minorHAnsi" w:hAnsiTheme="minorHAnsi" w:cstheme="minorHAnsi"/>
          <w:bCs/>
          <w:i/>
          <w:iCs/>
          <w:sz w:val="22"/>
          <w:szCs w:val="22"/>
        </w:rPr>
        <w:t>ASU 2023-04, Amendments to SEC Paragraphs Pursuant to SAB No. 121</w:t>
      </w:r>
      <w:r w:rsidRPr="00944297">
        <w:rPr>
          <w:rFonts w:asciiTheme="minorHAnsi" w:hAnsiTheme="minorHAnsi" w:cstheme="minorHAnsi"/>
          <w:bCs/>
          <w:sz w:val="22"/>
          <w:szCs w:val="22"/>
        </w:rPr>
        <w:t xml:space="preserve"> was rejected by the Working Group </w:t>
      </w:r>
      <w:r w:rsidR="00C57B4E" w:rsidRPr="00944297">
        <w:rPr>
          <w:rFonts w:asciiTheme="minorHAnsi" w:hAnsiTheme="minorHAnsi" w:cstheme="minorHAnsi"/>
          <w:bCs/>
          <w:sz w:val="22"/>
          <w:szCs w:val="22"/>
        </w:rPr>
        <w:t>through</w:t>
      </w:r>
      <w:r w:rsidRPr="00944297">
        <w:rPr>
          <w:rFonts w:asciiTheme="minorHAnsi" w:hAnsiTheme="minorHAnsi" w:cstheme="minorHAnsi"/>
          <w:bCs/>
          <w:sz w:val="22"/>
          <w:szCs w:val="22"/>
        </w:rPr>
        <w:t xml:space="preserve"> agenda item 2023-27.</w:t>
      </w:r>
    </w:p>
    <w:p w14:paraId="7044CD15" w14:textId="77777777" w:rsidR="00A202AF" w:rsidRPr="00944297" w:rsidRDefault="00A202AF" w:rsidP="00706B68">
      <w:pPr>
        <w:pStyle w:val="BodyText2"/>
        <w:rPr>
          <w:rFonts w:asciiTheme="minorHAnsi" w:eastAsia="MS Mincho" w:hAnsiTheme="minorHAnsi" w:cstheme="minorHAnsi"/>
          <w:b w:val="0"/>
          <w:szCs w:val="22"/>
          <w:highlight w:val="yellow"/>
          <w:lang w:eastAsia="ja-JP"/>
        </w:rPr>
      </w:pPr>
    </w:p>
    <w:p w14:paraId="1A7C9804" w14:textId="37F353B2" w:rsidR="002A1316" w:rsidRPr="00944297" w:rsidRDefault="002A1316" w:rsidP="00B30CA0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944297">
        <w:rPr>
          <w:rFonts w:asciiTheme="minorHAnsi" w:hAnsiTheme="minorHAnsi" w:cstheme="minorHAnsi"/>
          <w:b/>
          <w:sz w:val="22"/>
          <w:szCs w:val="22"/>
        </w:rPr>
        <w:t xml:space="preserve">Information or </w:t>
      </w:r>
      <w:r w:rsidR="00DF407B" w:rsidRPr="00944297">
        <w:rPr>
          <w:rFonts w:asciiTheme="minorHAnsi" w:hAnsiTheme="minorHAnsi" w:cstheme="minorHAnsi"/>
          <w:b/>
          <w:sz w:val="22"/>
          <w:szCs w:val="22"/>
        </w:rPr>
        <w:t>i</w:t>
      </w:r>
      <w:r w:rsidRPr="00944297">
        <w:rPr>
          <w:rFonts w:asciiTheme="minorHAnsi" w:hAnsiTheme="minorHAnsi" w:cstheme="minorHAnsi"/>
          <w:b/>
          <w:sz w:val="22"/>
          <w:szCs w:val="22"/>
        </w:rPr>
        <w:t xml:space="preserve">ssues (included in </w:t>
      </w:r>
      <w:r w:rsidRPr="00944297">
        <w:rPr>
          <w:rFonts w:asciiTheme="minorHAnsi" w:hAnsiTheme="minorHAnsi" w:cstheme="minorHAnsi"/>
          <w:b/>
          <w:i/>
          <w:sz w:val="22"/>
          <w:szCs w:val="22"/>
        </w:rPr>
        <w:t>Description of Issue</w:t>
      </w:r>
      <w:r w:rsidRPr="00944297">
        <w:rPr>
          <w:rFonts w:asciiTheme="minorHAnsi" w:hAnsiTheme="minorHAnsi" w:cstheme="minorHAnsi"/>
          <w:b/>
          <w:sz w:val="22"/>
          <w:szCs w:val="22"/>
        </w:rPr>
        <w:t xml:space="preserve">) not previously contemplated by the </w:t>
      </w:r>
      <w:r w:rsidR="00004652" w:rsidRPr="00944297">
        <w:rPr>
          <w:rFonts w:asciiTheme="minorHAnsi" w:hAnsiTheme="minorHAnsi" w:cstheme="minorHAnsi"/>
          <w:b/>
          <w:sz w:val="22"/>
          <w:szCs w:val="22"/>
        </w:rPr>
        <w:t>Working Group</w:t>
      </w:r>
      <w:r w:rsidRPr="00944297">
        <w:rPr>
          <w:rFonts w:asciiTheme="minorHAnsi" w:hAnsiTheme="minorHAnsi" w:cstheme="minorHAnsi"/>
          <w:b/>
          <w:sz w:val="22"/>
          <w:szCs w:val="22"/>
        </w:rPr>
        <w:t>:</w:t>
      </w:r>
    </w:p>
    <w:p w14:paraId="38E08ED2" w14:textId="77777777" w:rsidR="002A1316" w:rsidRPr="00944297" w:rsidRDefault="00FE7FAA" w:rsidP="00B30CA0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944297">
        <w:rPr>
          <w:rFonts w:asciiTheme="minorHAnsi" w:hAnsiTheme="minorHAnsi" w:cstheme="minorHAnsi"/>
          <w:bCs/>
          <w:sz w:val="22"/>
          <w:szCs w:val="22"/>
        </w:rPr>
        <w:t>None</w:t>
      </w:r>
    </w:p>
    <w:p w14:paraId="42D8D9A1" w14:textId="77777777" w:rsidR="00787C29" w:rsidRPr="00944297" w:rsidRDefault="00787C29" w:rsidP="00490996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14:paraId="1F1F1EA7" w14:textId="0AB77212" w:rsidR="002156FF" w:rsidRPr="00944297" w:rsidRDefault="00490996" w:rsidP="00F80B2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944297">
        <w:rPr>
          <w:rFonts w:asciiTheme="minorHAnsi" w:hAnsiTheme="minorHAnsi" w:cstheme="minorHAnsi"/>
          <w:b/>
          <w:sz w:val="22"/>
          <w:szCs w:val="22"/>
        </w:rPr>
        <w:t>Convergence with International Financial Reporting Standards (IFRS):</w:t>
      </w:r>
      <w:r w:rsidR="00F80B24" w:rsidRPr="009442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7C29" w:rsidRPr="00944297">
        <w:rPr>
          <w:rFonts w:asciiTheme="minorHAnsi" w:hAnsiTheme="minorHAnsi" w:cstheme="minorHAnsi"/>
          <w:color w:val="auto"/>
          <w:sz w:val="22"/>
          <w:szCs w:val="22"/>
        </w:rPr>
        <w:t>None</w:t>
      </w:r>
    </w:p>
    <w:p w14:paraId="6E612040" w14:textId="77777777" w:rsidR="002156FF" w:rsidRPr="00944297" w:rsidRDefault="002156FF" w:rsidP="00490996">
      <w:pPr>
        <w:pStyle w:val="BodyText2"/>
        <w:rPr>
          <w:rFonts w:asciiTheme="minorHAnsi" w:hAnsiTheme="minorHAnsi" w:cstheme="minorHAnsi"/>
          <w:b w:val="0"/>
          <w:bCs w:val="0"/>
          <w:szCs w:val="22"/>
          <w:highlight w:val="yellow"/>
        </w:rPr>
      </w:pPr>
    </w:p>
    <w:p w14:paraId="04378B19" w14:textId="77777777" w:rsidR="004718D3" w:rsidRPr="00944297" w:rsidRDefault="002A1316" w:rsidP="002156FF">
      <w:pPr>
        <w:pStyle w:val="BodyText2"/>
        <w:rPr>
          <w:rFonts w:asciiTheme="minorHAnsi" w:hAnsiTheme="minorHAnsi" w:cstheme="minorHAnsi"/>
          <w:szCs w:val="22"/>
        </w:rPr>
      </w:pPr>
      <w:r w:rsidRPr="00944297">
        <w:rPr>
          <w:rFonts w:asciiTheme="minorHAnsi" w:hAnsiTheme="minorHAnsi" w:cstheme="minorHAnsi"/>
          <w:szCs w:val="22"/>
        </w:rPr>
        <w:t>Staff Recommendation:</w:t>
      </w:r>
      <w:bookmarkStart w:id="1" w:name="_Hlk33432049"/>
    </w:p>
    <w:p w14:paraId="4A57F060" w14:textId="2E9C71E8" w:rsidR="002156FF" w:rsidRPr="00944297" w:rsidRDefault="002156FF" w:rsidP="002156FF">
      <w:pPr>
        <w:pStyle w:val="BodyText2"/>
        <w:rPr>
          <w:rFonts w:asciiTheme="minorHAnsi" w:hAnsiTheme="minorHAnsi" w:cstheme="minorHAnsi"/>
          <w:b w:val="0"/>
          <w:szCs w:val="22"/>
        </w:rPr>
      </w:pPr>
      <w:r w:rsidRPr="00944297">
        <w:rPr>
          <w:rFonts w:asciiTheme="minorHAnsi" w:hAnsiTheme="minorHAnsi" w:cstheme="minorHAnsi"/>
          <w:szCs w:val="22"/>
        </w:rPr>
        <w:t xml:space="preserve">NAIC staff recommends that the Working Group move this item to the active listing, categorized as </w:t>
      </w:r>
      <w:r w:rsidR="00CE1706" w:rsidRPr="00944297">
        <w:rPr>
          <w:rFonts w:asciiTheme="minorHAnsi" w:hAnsiTheme="minorHAnsi" w:cstheme="minorHAnsi"/>
          <w:szCs w:val="22"/>
        </w:rPr>
        <w:t>a SAP clarification</w:t>
      </w:r>
      <w:r w:rsidRPr="00944297">
        <w:rPr>
          <w:rFonts w:asciiTheme="minorHAnsi" w:hAnsiTheme="minorHAnsi" w:cstheme="minorHAnsi"/>
          <w:szCs w:val="22"/>
        </w:rPr>
        <w:t xml:space="preserve">, and expose revisions to </w:t>
      </w:r>
      <w:r w:rsidRPr="00944297">
        <w:rPr>
          <w:rFonts w:asciiTheme="minorHAnsi" w:hAnsiTheme="minorHAnsi" w:cstheme="minorHAnsi"/>
          <w:i/>
          <w:szCs w:val="22"/>
        </w:rPr>
        <w:t>Appendix D—Nonapplicable GAAP Pronouncements</w:t>
      </w:r>
      <w:r w:rsidRPr="00944297">
        <w:rPr>
          <w:rFonts w:asciiTheme="minorHAnsi" w:hAnsiTheme="minorHAnsi" w:cstheme="minorHAnsi"/>
          <w:szCs w:val="22"/>
        </w:rPr>
        <w:t xml:space="preserve"> to reject </w:t>
      </w:r>
      <w:r w:rsidR="00827D3A" w:rsidRPr="00944297">
        <w:rPr>
          <w:rFonts w:asciiTheme="minorHAnsi" w:hAnsiTheme="minorHAnsi" w:cstheme="minorHAnsi"/>
          <w:i/>
          <w:iCs/>
          <w:szCs w:val="22"/>
        </w:rPr>
        <w:t xml:space="preserve">ASU 2025-02, Liabilities (Topic 405), Amendments to SEC Paragraphs Pursuant to SEC Staff Accounting Bulletin No. 122 </w:t>
      </w:r>
      <w:r w:rsidR="00787C29" w:rsidRPr="00944297">
        <w:rPr>
          <w:rFonts w:asciiTheme="minorHAnsi" w:hAnsiTheme="minorHAnsi" w:cstheme="minorHAnsi"/>
          <w:i/>
          <w:iCs/>
          <w:szCs w:val="22"/>
        </w:rPr>
        <w:t xml:space="preserve"> </w:t>
      </w:r>
      <w:r w:rsidRPr="00944297">
        <w:rPr>
          <w:rFonts w:asciiTheme="minorHAnsi" w:hAnsiTheme="minorHAnsi" w:cstheme="minorHAnsi"/>
          <w:szCs w:val="22"/>
        </w:rPr>
        <w:t>as not applicable to statutory accounting.</w:t>
      </w:r>
      <w:r w:rsidR="00201DDC" w:rsidRPr="00944297">
        <w:rPr>
          <w:rFonts w:asciiTheme="minorHAnsi" w:hAnsiTheme="minorHAnsi" w:cstheme="minorHAnsi"/>
          <w:szCs w:val="22"/>
        </w:rPr>
        <w:t xml:space="preserve"> This guidance is not applicable as it </w:t>
      </w:r>
      <w:r w:rsidR="00827D3A" w:rsidRPr="00944297">
        <w:rPr>
          <w:rFonts w:asciiTheme="minorHAnsi" w:hAnsiTheme="minorHAnsi" w:cstheme="minorHAnsi"/>
          <w:szCs w:val="22"/>
        </w:rPr>
        <w:t xml:space="preserve">eliminates </w:t>
      </w:r>
      <w:r w:rsidR="00201DDC" w:rsidRPr="00944297">
        <w:rPr>
          <w:rFonts w:asciiTheme="minorHAnsi" w:hAnsiTheme="minorHAnsi" w:cstheme="minorHAnsi"/>
          <w:szCs w:val="22"/>
        </w:rPr>
        <w:t xml:space="preserve">SEC </w:t>
      </w:r>
      <w:r w:rsidR="00827D3A" w:rsidRPr="00944297">
        <w:rPr>
          <w:rFonts w:asciiTheme="minorHAnsi" w:hAnsiTheme="minorHAnsi" w:cstheme="minorHAnsi"/>
          <w:szCs w:val="22"/>
        </w:rPr>
        <w:t>guidance which was rejected for statutory accounting purposes</w:t>
      </w:r>
      <w:r w:rsidR="00F012DE" w:rsidRPr="00944297">
        <w:rPr>
          <w:rFonts w:asciiTheme="minorHAnsi" w:hAnsiTheme="minorHAnsi" w:cstheme="minorHAnsi"/>
          <w:szCs w:val="22"/>
        </w:rPr>
        <w:t>.</w:t>
      </w:r>
      <w:r w:rsidR="00F012DE" w:rsidRPr="00944297">
        <w:rPr>
          <w:rFonts w:asciiTheme="minorHAnsi" w:hAnsiTheme="minorHAnsi" w:cstheme="minorHAnsi"/>
          <w:b w:val="0"/>
          <w:bCs w:val="0"/>
          <w:szCs w:val="22"/>
        </w:rPr>
        <w:t xml:space="preserve"> </w:t>
      </w:r>
    </w:p>
    <w:bookmarkEnd w:id="1"/>
    <w:p w14:paraId="2A2E73F1" w14:textId="77777777" w:rsidR="006B37DD" w:rsidRPr="00944297" w:rsidRDefault="006B37DD" w:rsidP="00B30CA0">
      <w:pPr>
        <w:rPr>
          <w:rFonts w:asciiTheme="minorHAnsi" w:hAnsiTheme="minorHAnsi" w:cstheme="minorHAnsi"/>
          <w:sz w:val="22"/>
          <w:szCs w:val="22"/>
        </w:rPr>
      </w:pPr>
    </w:p>
    <w:p w14:paraId="44BEB325" w14:textId="31F4498A" w:rsidR="00EC5218" w:rsidRPr="00944297" w:rsidRDefault="002156FF" w:rsidP="002156FF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944297">
        <w:rPr>
          <w:rFonts w:asciiTheme="minorHAnsi" w:hAnsiTheme="minorHAnsi" w:cstheme="minorHAnsi"/>
          <w:szCs w:val="22"/>
        </w:rPr>
        <w:t>Staff Review Completed by:</w:t>
      </w:r>
      <w:r w:rsidR="006F43F5" w:rsidRPr="00944297">
        <w:rPr>
          <w:rFonts w:asciiTheme="minorHAnsi" w:hAnsiTheme="minorHAnsi" w:cstheme="minorHAnsi"/>
          <w:szCs w:val="22"/>
        </w:rPr>
        <w:t xml:space="preserve"> </w:t>
      </w:r>
      <w:r w:rsidR="004D6DB6" w:rsidRPr="00944297">
        <w:rPr>
          <w:rFonts w:asciiTheme="minorHAnsi" w:hAnsiTheme="minorHAnsi" w:cstheme="minorHAnsi"/>
          <w:b w:val="0"/>
          <w:bCs w:val="0"/>
          <w:szCs w:val="22"/>
        </w:rPr>
        <w:t>William Oden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 – </w:t>
      </w:r>
      <w:r w:rsidR="00827D3A" w:rsidRPr="00944297">
        <w:rPr>
          <w:rFonts w:asciiTheme="minorHAnsi" w:hAnsiTheme="minorHAnsi" w:cstheme="minorHAnsi"/>
          <w:b w:val="0"/>
          <w:bCs w:val="0"/>
          <w:szCs w:val="22"/>
        </w:rPr>
        <w:t>May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 202</w:t>
      </w:r>
      <w:r w:rsidR="00827D3A" w:rsidRPr="00944297">
        <w:rPr>
          <w:rFonts w:asciiTheme="minorHAnsi" w:hAnsiTheme="minorHAnsi" w:cstheme="minorHAnsi"/>
          <w:b w:val="0"/>
          <w:bCs w:val="0"/>
          <w:szCs w:val="22"/>
        </w:rPr>
        <w:t>5</w:t>
      </w:r>
    </w:p>
    <w:p w14:paraId="0B2B9B9C" w14:textId="77777777" w:rsidR="00944297" w:rsidRPr="00944297" w:rsidRDefault="00944297" w:rsidP="00944297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</w:p>
    <w:p w14:paraId="22FD6207" w14:textId="77777777" w:rsidR="00944297" w:rsidRPr="00944297" w:rsidRDefault="00944297" w:rsidP="00944297">
      <w:pPr>
        <w:pStyle w:val="BodyText2"/>
        <w:rPr>
          <w:rFonts w:asciiTheme="minorHAnsi" w:hAnsiTheme="minorHAnsi" w:cstheme="minorHAnsi"/>
          <w:szCs w:val="22"/>
        </w:rPr>
      </w:pPr>
      <w:r w:rsidRPr="00944297">
        <w:rPr>
          <w:rFonts w:asciiTheme="minorHAnsi" w:hAnsiTheme="minorHAnsi" w:cstheme="minorHAnsi"/>
          <w:szCs w:val="22"/>
        </w:rPr>
        <w:t>Status:</w:t>
      </w:r>
    </w:p>
    <w:p w14:paraId="6DA65C6A" w14:textId="39B8BFB5" w:rsidR="00944297" w:rsidRPr="00944297" w:rsidRDefault="00944297" w:rsidP="00944297">
      <w:pPr>
        <w:pStyle w:val="BodyText2"/>
        <w:rPr>
          <w:rFonts w:asciiTheme="minorHAnsi" w:hAnsiTheme="minorHAnsi" w:cstheme="minorHAnsi"/>
          <w:b w:val="0"/>
          <w:bCs w:val="0"/>
          <w:szCs w:val="22"/>
        </w:rPr>
      </w:pP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On </w:t>
      </w:r>
      <w:r w:rsidR="00C67D72">
        <w:rPr>
          <w:rFonts w:asciiTheme="minorHAnsi" w:hAnsiTheme="minorHAnsi" w:cstheme="minorHAnsi"/>
          <w:b w:val="0"/>
          <w:bCs w:val="0"/>
          <w:szCs w:val="22"/>
        </w:rPr>
        <w:t>May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 2</w:t>
      </w:r>
      <w:r w:rsidR="00C67D72">
        <w:rPr>
          <w:rFonts w:asciiTheme="minorHAnsi" w:hAnsiTheme="minorHAnsi" w:cstheme="minorHAnsi"/>
          <w:b w:val="0"/>
          <w:bCs w:val="0"/>
          <w:szCs w:val="22"/>
        </w:rPr>
        <w:t>2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>, 2025, the Statutory Accounting Principles (E) Working Group exposed revisions to</w:t>
      </w:r>
      <w:r w:rsidRPr="00944297">
        <w:t xml:space="preserve"> </w:t>
      </w:r>
      <w:r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Appendix D—Nonapplicable GAAP Pronouncements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 to reject </w:t>
      </w:r>
      <w:r w:rsidRPr="00944297">
        <w:rPr>
          <w:rFonts w:asciiTheme="minorHAnsi" w:hAnsiTheme="minorHAnsi" w:cstheme="minorHAnsi"/>
          <w:b w:val="0"/>
          <w:bCs w:val="0"/>
          <w:i/>
          <w:iCs/>
          <w:szCs w:val="22"/>
        </w:rPr>
        <w:t>ASU 2025-02, Liabilities (Topic 405), Amendments to SEC Paragraphs Pursuant to SEC Staff Accounting Bulletin No. 122</w:t>
      </w:r>
      <w:r w:rsidRPr="00944297">
        <w:rPr>
          <w:rFonts w:asciiTheme="minorHAnsi" w:hAnsiTheme="minorHAnsi" w:cstheme="minorHAnsi"/>
          <w:b w:val="0"/>
          <w:bCs w:val="0"/>
          <w:szCs w:val="22"/>
        </w:rPr>
        <w:t xml:space="preserve">  as not applicable to statutory accounting.</w:t>
      </w:r>
    </w:p>
    <w:p w14:paraId="2F88D026" w14:textId="2B4EF7BB" w:rsidR="00384C1B" w:rsidRPr="00944297" w:rsidRDefault="00E12730" w:rsidP="00817D0C">
      <w:pPr>
        <w:jc w:val="both"/>
        <w:rPr>
          <w:rFonts w:asciiTheme="minorHAnsi" w:hAnsiTheme="minorHAnsi" w:cstheme="minorHAnsi"/>
          <w:noProof/>
          <w:sz w:val="16"/>
          <w:szCs w:val="16"/>
        </w:rPr>
      </w:pPr>
      <w:r w:rsidRPr="00944297">
        <w:rPr>
          <w:rFonts w:asciiTheme="minorHAnsi" w:hAnsiTheme="minorHAnsi" w:cstheme="minorHAnsi"/>
          <w:noProof/>
          <w:sz w:val="16"/>
          <w:szCs w:val="16"/>
        </w:rPr>
        <w:lastRenderedPageBreak/>
        <w:fldChar w:fldCharType="begin"/>
      </w:r>
      <w:r w:rsidRPr="00944297">
        <w:rPr>
          <w:rFonts w:asciiTheme="minorHAnsi" w:hAnsiTheme="minorHAnsi" w:cstheme="minorHAnsi"/>
          <w:noProof/>
          <w:sz w:val="16"/>
          <w:szCs w:val="16"/>
        </w:rPr>
        <w:instrText xml:space="preserve"> FILENAME  \p  \* MERGEFORMAT </w:instrText>
      </w:r>
      <w:r w:rsidRPr="00944297">
        <w:rPr>
          <w:rFonts w:asciiTheme="minorHAnsi" w:hAnsiTheme="minorHAnsi" w:cstheme="minorHAnsi"/>
          <w:noProof/>
          <w:sz w:val="16"/>
          <w:szCs w:val="16"/>
        </w:rPr>
        <w:fldChar w:fldCharType="separate"/>
      </w:r>
      <w:r w:rsidR="00944297">
        <w:rPr>
          <w:rFonts w:asciiTheme="minorHAnsi" w:hAnsiTheme="minorHAnsi" w:cstheme="minorHAnsi"/>
          <w:noProof/>
          <w:sz w:val="16"/>
          <w:szCs w:val="16"/>
        </w:rPr>
        <w:t>https://naiconline.sharepoint.com/teams/FRSStatutoryAccounting/National Meetings/A. National Meeting Materials/2025/05-22-2025/Exposures/25-15 - ASU 2025-02 - SEC Updates.docx</w:t>
      </w:r>
      <w:r w:rsidRPr="00944297">
        <w:rPr>
          <w:rFonts w:asciiTheme="minorHAnsi" w:hAnsiTheme="minorHAnsi" w:cstheme="minorHAnsi"/>
          <w:noProof/>
          <w:sz w:val="16"/>
          <w:szCs w:val="16"/>
        </w:rPr>
        <w:fldChar w:fldCharType="end"/>
      </w:r>
    </w:p>
    <w:sectPr w:rsidR="00384C1B" w:rsidRPr="00944297" w:rsidSect="00DF4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C62E" w14:textId="77777777" w:rsidR="002555C4" w:rsidRDefault="002555C4">
      <w:r>
        <w:separator/>
      </w:r>
    </w:p>
  </w:endnote>
  <w:endnote w:type="continuationSeparator" w:id="0">
    <w:p w14:paraId="315EE0C2" w14:textId="77777777" w:rsidR="002555C4" w:rsidRDefault="002555C4">
      <w:r>
        <w:continuationSeparator/>
      </w:r>
    </w:p>
  </w:endnote>
  <w:endnote w:type="continuationNotice" w:id="1">
    <w:p w14:paraId="212851E0" w14:textId="77777777" w:rsidR="002555C4" w:rsidRDefault="00255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E302" w14:textId="77777777" w:rsidR="00DE4641" w:rsidRDefault="00DE4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938B" w14:textId="096B9EAE" w:rsidR="004863CE" w:rsidRPr="00DE4641" w:rsidRDefault="004863CE" w:rsidP="00DF407B">
    <w:pPr>
      <w:pStyle w:val="Footer"/>
      <w:tabs>
        <w:tab w:val="clear" w:pos="4320"/>
        <w:tab w:val="center" w:pos="5040"/>
      </w:tabs>
      <w:rPr>
        <w:rFonts w:asciiTheme="minorHAnsi" w:hAnsiTheme="minorHAnsi" w:cstheme="minorHAnsi"/>
        <w:sz w:val="20"/>
      </w:rPr>
    </w:pPr>
    <w:r w:rsidRPr="00DE4641">
      <w:rPr>
        <w:rFonts w:asciiTheme="minorHAnsi" w:hAnsiTheme="minorHAnsi" w:cstheme="minorHAnsi"/>
        <w:sz w:val="20"/>
      </w:rPr>
      <w:t>© 202</w:t>
    </w:r>
    <w:r w:rsidR="003C631A" w:rsidRPr="00DE4641">
      <w:rPr>
        <w:rFonts w:asciiTheme="minorHAnsi" w:hAnsiTheme="minorHAnsi" w:cstheme="minorHAnsi"/>
        <w:sz w:val="20"/>
      </w:rPr>
      <w:t>5</w:t>
    </w:r>
    <w:r w:rsidRPr="00DE4641">
      <w:rPr>
        <w:rFonts w:asciiTheme="minorHAnsi" w:hAnsiTheme="minorHAnsi" w:cstheme="minorHAnsi"/>
        <w:sz w:val="20"/>
      </w:rPr>
      <w:t xml:space="preserve"> National Association of Insurance Commissioners</w:t>
    </w:r>
    <w:r w:rsidRPr="00DE4641">
      <w:rPr>
        <w:rFonts w:asciiTheme="minorHAnsi" w:hAnsiTheme="minorHAnsi" w:cstheme="minorHAnsi"/>
        <w:sz w:val="20"/>
      </w:rPr>
      <w:tab/>
    </w:r>
    <w:r w:rsidRPr="00DE4641">
      <w:rPr>
        <w:rStyle w:val="PageNumber"/>
        <w:rFonts w:asciiTheme="minorHAnsi" w:hAnsiTheme="minorHAnsi" w:cstheme="minorHAnsi"/>
        <w:sz w:val="20"/>
      </w:rPr>
      <w:fldChar w:fldCharType="begin"/>
    </w:r>
    <w:r w:rsidRPr="00DE4641">
      <w:rPr>
        <w:rStyle w:val="PageNumber"/>
        <w:rFonts w:asciiTheme="minorHAnsi" w:hAnsiTheme="minorHAnsi" w:cstheme="minorHAnsi"/>
        <w:sz w:val="20"/>
      </w:rPr>
      <w:instrText xml:space="preserve"> PAGE </w:instrText>
    </w:r>
    <w:r w:rsidRPr="00DE4641">
      <w:rPr>
        <w:rStyle w:val="PageNumber"/>
        <w:rFonts w:asciiTheme="minorHAnsi" w:hAnsiTheme="minorHAnsi" w:cstheme="minorHAnsi"/>
        <w:sz w:val="20"/>
      </w:rPr>
      <w:fldChar w:fldCharType="separate"/>
    </w:r>
    <w:r w:rsidRPr="00DE4641">
      <w:rPr>
        <w:rStyle w:val="PageNumber"/>
        <w:rFonts w:asciiTheme="minorHAnsi" w:hAnsiTheme="minorHAnsi" w:cstheme="minorHAnsi"/>
        <w:noProof/>
        <w:sz w:val="20"/>
      </w:rPr>
      <w:t>2</w:t>
    </w:r>
    <w:r w:rsidRPr="00DE4641">
      <w:rPr>
        <w:rStyle w:val="PageNumber"/>
        <w:rFonts w:asciiTheme="minorHAnsi" w:hAnsiTheme="minorHAnsi" w:cstheme="minorHAns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0D23" w14:textId="15EC467B" w:rsidR="004863CE" w:rsidRDefault="004863CE" w:rsidP="006B37DD">
    <w:pPr>
      <w:pStyle w:val="Footer"/>
      <w:tabs>
        <w:tab w:val="clear" w:pos="4320"/>
        <w:tab w:val="center" w:pos="5040"/>
      </w:tabs>
      <w:rPr>
        <w:sz w:val="20"/>
      </w:rPr>
    </w:pPr>
    <w:r>
      <w:rPr>
        <w:sz w:val="20"/>
      </w:rPr>
      <w:t>© 2019 National Association of Insurance Commissioners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C16E" w14:textId="77777777" w:rsidR="002555C4" w:rsidRDefault="002555C4">
      <w:r>
        <w:separator/>
      </w:r>
    </w:p>
  </w:footnote>
  <w:footnote w:type="continuationSeparator" w:id="0">
    <w:p w14:paraId="09E5E281" w14:textId="77777777" w:rsidR="002555C4" w:rsidRDefault="002555C4">
      <w:r>
        <w:continuationSeparator/>
      </w:r>
    </w:p>
  </w:footnote>
  <w:footnote w:type="continuationNotice" w:id="1">
    <w:p w14:paraId="51C3DB19" w14:textId="77777777" w:rsidR="002555C4" w:rsidRDefault="00255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2AD2" w14:textId="77777777" w:rsidR="00DE4641" w:rsidRDefault="00DE4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0839" w14:textId="0B3A9163" w:rsidR="00B85E35" w:rsidRPr="00F95C41" w:rsidRDefault="00B85E35">
    <w:pPr>
      <w:pStyle w:val="Header"/>
      <w:jc w:val="right"/>
      <w:rPr>
        <w:rFonts w:asciiTheme="minorHAnsi" w:hAnsiTheme="minorHAnsi" w:cstheme="minorHAnsi"/>
        <w:b/>
        <w:sz w:val="20"/>
      </w:rPr>
    </w:pPr>
  </w:p>
  <w:p w14:paraId="14FEED1A" w14:textId="5A90E437" w:rsidR="004863CE" w:rsidRPr="00F95C41" w:rsidRDefault="004863CE">
    <w:pPr>
      <w:pStyle w:val="Header"/>
      <w:jc w:val="right"/>
      <w:rPr>
        <w:rFonts w:asciiTheme="minorHAnsi" w:hAnsiTheme="minorHAnsi" w:cstheme="minorHAnsi"/>
        <w:bCs/>
        <w:sz w:val="20"/>
      </w:rPr>
    </w:pPr>
    <w:r w:rsidRPr="00F95C41">
      <w:rPr>
        <w:rFonts w:asciiTheme="minorHAnsi" w:hAnsiTheme="minorHAnsi" w:cstheme="minorHAnsi"/>
        <w:bCs/>
        <w:sz w:val="20"/>
      </w:rPr>
      <w:t>Ref #202</w:t>
    </w:r>
    <w:r w:rsidR="008D4974" w:rsidRPr="00F95C41">
      <w:rPr>
        <w:rFonts w:asciiTheme="minorHAnsi" w:hAnsiTheme="minorHAnsi" w:cstheme="minorHAnsi"/>
        <w:bCs/>
        <w:sz w:val="20"/>
      </w:rPr>
      <w:t>5</w:t>
    </w:r>
    <w:r w:rsidRPr="00F95C41">
      <w:rPr>
        <w:rFonts w:asciiTheme="minorHAnsi" w:hAnsiTheme="minorHAnsi" w:cstheme="minorHAnsi"/>
        <w:bCs/>
        <w:sz w:val="20"/>
      </w:rPr>
      <w:t>-</w:t>
    </w:r>
    <w:r w:rsidR="00B85E35" w:rsidRPr="00F95C41">
      <w:rPr>
        <w:rFonts w:asciiTheme="minorHAnsi" w:hAnsiTheme="minorHAnsi" w:cstheme="minorHAnsi"/>
        <w:bCs/>
        <w:sz w:val="20"/>
      </w:rPr>
      <w:t>15</w:t>
    </w:r>
  </w:p>
  <w:p w14:paraId="12DAC63B" w14:textId="77777777" w:rsidR="004863CE" w:rsidRPr="00F95C41" w:rsidRDefault="004863CE">
    <w:pPr>
      <w:pStyle w:val="Header"/>
      <w:jc w:val="righ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815E" w14:textId="77777777" w:rsidR="004863CE" w:rsidRPr="00F04F9A" w:rsidRDefault="004863CE" w:rsidP="00AE74CF">
    <w:pPr>
      <w:pStyle w:val="Header"/>
      <w:jc w:val="right"/>
      <w:rPr>
        <w:b/>
        <w:sz w:val="20"/>
      </w:rPr>
    </w:pPr>
    <w:r w:rsidRPr="00F04F9A">
      <w:rPr>
        <w:b/>
        <w:sz w:val="20"/>
      </w:rPr>
      <w:t>Attachment __</w:t>
    </w:r>
  </w:p>
  <w:p w14:paraId="6B24D022" w14:textId="403538C5" w:rsidR="004863CE" w:rsidRPr="00F04F9A" w:rsidRDefault="004863CE" w:rsidP="00AE74CF">
    <w:pPr>
      <w:pStyle w:val="Header"/>
      <w:jc w:val="right"/>
      <w:rPr>
        <w:bCs/>
        <w:sz w:val="20"/>
      </w:rPr>
    </w:pPr>
    <w:r w:rsidRPr="00F04F9A">
      <w:rPr>
        <w:bCs/>
        <w:sz w:val="20"/>
      </w:rPr>
      <w:t>Ref #201</w:t>
    </w:r>
    <w:r>
      <w:rPr>
        <w:bCs/>
        <w:sz w:val="20"/>
      </w:rPr>
      <w:t>9</w:t>
    </w:r>
    <w:r w:rsidRPr="00F04F9A">
      <w:rPr>
        <w:bCs/>
        <w:sz w:val="20"/>
      </w:rPr>
      <w:t>-</w:t>
    </w:r>
  </w:p>
  <w:p w14:paraId="7E519226" w14:textId="77777777" w:rsidR="004863CE" w:rsidRDefault="004863CE" w:rsidP="00AE74C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D4D0B7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8"/>
    <w:multiLevelType w:val="singleLevel"/>
    <w:tmpl w:val="257A15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1D8C0038"/>
    <w:lvl w:ilvl="0">
      <w:numFmt w:val="decimal"/>
      <w:pStyle w:val="ListBullet2"/>
      <w:lvlText w:val="*"/>
      <w:lvlJc w:val="left"/>
    </w:lvl>
  </w:abstractNum>
  <w:abstractNum w:abstractNumId="3" w15:restartNumberingAfterBreak="0">
    <w:nsid w:val="099D0659"/>
    <w:multiLevelType w:val="hybridMultilevel"/>
    <w:tmpl w:val="250A3EF6"/>
    <w:lvl w:ilvl="0" w:tplc="40FA343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0BE749D2"/>
    <w:multiLevelType w:val="multilevel"/>
    <w:tmpl w:val="574091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01296A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6" w15:restartNumberingAfterBreak="0">
    <w:nsid w:val="1CCE3CEB"/>
    <w:multiLevelType w:val="hybridMultilevel"/>
    <w:tmpl w:val="05726922"/>
    <w:lvl w:ilvl="0" w:tplc="7E2CE2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7C7B54"/>
    <w:multiLevelType w:val="hybridMultilevel"/>
    <w:tmpl w:val="1310CA3A"/>
    <w:lvl w:ilvl="0" w:tplc="05969F5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4DA072C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7882B06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EA72BE9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2F3C900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7116F3DC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A16657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DE0A74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4E4C1C54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562614D"/>
    <w:multiLevelType w:val="multilevel"/>
    <w:tmpl w:val="80D0373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68150B"/>
    <w:multiLevelType w:val="hybridMultilevel"/>
    <w:tmpl w:val="0ACE04A2"/>
    <w:lvl w:ilvl="0" w:tplc="D054DC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C186ED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12F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E63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CCC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CA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C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603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E3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F93467"/>
    <w:multiLevelType w:val="hybridMultilevel"/>
    <w:tmpl w:val="265AA1EA"/>
    <w:lvl w:ilvl="0" w:tplc="0409000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F78E6"/>
    <w:multiLevelType w:val="hybridMultilevel"/>
    <w:tmpl w:val="8DCC3DEE"/>
    <w:lvl w:ilvl="0" w:tplc="04090019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814D5B"/>
    <w:multiLevelType w:val="hybridMultilevel"/>
    <w:tmpl w:val="CB2E224E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3583"/>
    <w:multiLevelType w:val="hybridMultilevel"/>
    <w:tmpl w:val="5E6CEDAC"/>
    <w:lvl w:ilvl="0" w:tplc="B4B0530A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1" w:tplc="4AE6A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868BE"/>
    <w:multiLevelType w:val="hybridMultilevel"/>
    <w:tmpl w:val="17B25BA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195D47"/>
    <w:multiLevelType w:val="hybridMultilevel"/>
    <w:tmpl w:val="763AF51A"/>
    <w:lvl w:ilvl="0" w:tplc="F17CDFA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D7B7086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17" w15:restartNumberingAfterBreak="0">
    <w:nsid w:val="60E74C9F"/>
    <w:multiLevelType w:val="hybridMultilevel"/>
    <w:tmpl w:val="D7D0E978"/>
    <w:lvl w:ilvl="0" w:tplc="7F16EE4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E904F5"/>
    <w:multiLevelType w:val="hybridMultilevel"/>
    <w:tmpl w:val="C546AF6A"/>
    <w:lvl w:ilvl="0" w:tplc="32FA1AA2">
      <w:start w:val="1"/>
      <w:numFmt w:val="low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1B022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6E8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03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01E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A2D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22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5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A1A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255417"/>
    <w:multiLevelType w:val="multilevel"/>
    <w:tmpl w:val="6ACC9F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32E2E27"/>
    <w:multiLevelType w:val="hybridMultilevel"/>
    <w:tmpl w:val="97DC6420"/>
    <w:lvl w:ilvl="0" w:tplc="DF8A357A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1" w:tplc="04090019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>
      <w:start w:val="1"/>
      <w:numFmt w:val="lowerLetter"/>
      <w:pStyle w:val="ListNumber2"/>
      <w:lvlText w:val="%4."/>
      <w:lvlJc w:val="left"/>
      <w:pPr>
        <w:tabs>
          <w:tab w:val="num" w:pos="1800"/>
        </w:tabs>
        <w:ind w:left="3240" w:hanging="72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2C3769"/>
    <w:multiLevelType w:val="singleLevel"/>
    <w:tmpl w:val="D06EB10A"/>
    <w:lvl w:ilvl="0">
      <w:start w:val="1"/>
      <w:numFmt w:val="low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22" w15:restartNumberingAfterBreak="0">
    <w:nsid w:val="7A2231DD"/>
    <w:multiLevelType w:val="multilevel"/>
    <w:tmpl w:val="E3246638"/>
    <w:lvl w:ilvl="0">
      <w:start w:val="1"/>
      <w:numFmt w:val="decimal"/>
      <w:lvlText w:val="%1."/>
      <w:legacy w:legacy="1" w:legacySpace="0" w:legacyIndent="720"/>
      <w:lvlJc w:val="left"/>
    </w:lvl>
    <w:lvl w:ilvl="1">
      <w:start w:val="1"/>
      <w:numFmt w:val="lowerRoman"/>
      <w:lvlText w:val="%2."/>
      <w:lvlJc w:val="right"/>
      <w:pPr>
        <w:tabs>
          <w:tab w:val="num" w:pos="1980"/>
        </w:tabs>
        <w:ind w:left="1980" w:hanging="18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3960" w:hanging="72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B2C2C1B"/>
    <w:multiLevelType w:val="multilevel"/>
    <w:tmpl w:val="994A57C2"/>
    <w:lvl w:ilvl="0">
      <w:start w:val="1"/>
      <w:numFmt w:val="lowerLetter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Roman"/>
      <w:lvlText w:val="%2."/>
      <w:legacy w:legacy="1" w:legacySpace="0" w:legacyIndent="720"/>
      <w:lvlJc w:val="left"/>
      <w:pPr>
        <w:ind w:left="1440" w:hanging="720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2038583898">
    <w:abstractNumId w:val="11"/>
  </w:num>
  <w:num w:numId="2" w16cid:durableId="2036809838">
    <w:abstractNumId w:val="20"/>
  </w:num>
  <w:num w:numId="3" w16cid:durableId="271211255">
    <w:abstractNumId w:val="17"/>
  </w:num>
  <w:num w:numId="4" w16cid:durableId="2084913448">
    <w:abstractNumId w:val="13"/>
  </w:num>
  <w:num w:numId="5" w16cid:durableId="1250583958">
    <w:abstractNumId w:val="14"/>
  </w:num>
  <w:num w:numId="6" w16cid:durableId="857233520">
    <w:abstractNumId w:val="10"/>
  </w:num>
  <w:num w:numId="7" w16cid:durableId="128791804">
    <w:abstractNumId w:val="7"/>
  </w:num>
  <w:num w:numId="8" w16cid:durableId="771510731">
    <w:abstractNumId w:val="12"/>
  </w:num>
  <w:num w:numId="9" w16cid:durableId="1735884189">
    <w:abstractNumId w:val="16"/>
  </w:num>
  <w:num w:numId="10" w16cid:durableId="1280257532">
    <w:abstractNumId w:val="18"/>
  </w:num>
  <w:num w:numId="11" w16cid:durableId="101002005">
    <w:abstractNumId w:val="3"/>
  </w:num>
  <w:num w:numId="12" w16cid:durableId="1820220784">
    <w:abstractNumId w:val="15"/>
  </w:num>
  <w:num w:numId="13" w16cid:durableId="1037392217">
    <w:abstractNumId w:val="19"/>
  </w:num>
  <w:num w:numId="14" w16cid:durableId="1601910183">
    <w:abstractNumId w:val="0"/>
  </w:num>
  <w:num w:numId="15" w16cid:durableId="1718049660">
    <w:abstractNumId w:val="5"/>
  </w:num>
  <w:num w:numId="16" w16cid:durableId="1675759147">
    <w:abstractNumId w:val="21"/>
  </w:num>
  <w:num w:numId="17" w16cid:durableId="417335462">
    <w:abstractNumId w:val="23"/>
  </w:num>
  <w:num w:numId="18" w16cid:durableId="29034906">
    <w:abstractNumId w:val="2"/>
    <w:lvlOverride w:ilvl="0">
      <w:lvl w:ilvl="0">
        <w:start w:val="1"/>
        <w:numFmt w:val="bullet"/>
        <w:pStyle w:val="ListBullet2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9" w16cid:durableId="1980071313">
    <w:abstractNumId w:val="9"/>
  </w:num>
  <w:num w:numId="20" w16cid:durableId="1315448435">
    <w:abstractNumId w:val="4"/>
  </w:num>
  <w:num w:numId="21" w16cid:durableId="1204370396">
    <w:abstractNumId w:val="1"/>
  </w:num>
  <w:num w:numId="22" w16cid:durableId="104615838">
    <w:abstractNumId w:val="22"/>
  </w:num>
  <w:num w:numId="23" w16cid:durableId="1923563186">
    <w:abstractNumId w:val="1"/>
  </w:num>
  <w:num w:numId="24" w16cid:durableId="173540360">
    <w:abstractNumId w:val="6"/>
  </w:num>
  <w:num w:numId="25" w16cid:durableId="21261489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B4"/>
    <w:rsid w:val="00004652"/>
    <w:rsid w:val="00016321"/>
    <w:rsid w:val="00031816"/>
    <w:rsid w:val="00034B2F"/>
    <w:rsid w:val="00055C0D"/>
    <w:rsid w:val="000579B6"/>
    <w:rsid w:val="00062300"/>
    <w:rsid w:val="000705D0"/>
    <w:rsid w:val="00091380"/>
    <w:rsid w:val="000967FA"/>
    <w:rsid w:val="000C4698"/>
    <w:rsid w:val="000D51AD"/>
    <w:rsid w:val="000D6AE8"/>
    <w:rsid w:val="000E1131"/>
    <w:rsid w:val="000E16CA"/>
    <w:rsid w:val="000F54D5"/>
    <w:rsid w:val="001206C6"/>
    <w:rsid w:val="001246CA"/>
    <w:rsid w:val="00133830"/>
    <w:rsid w:val="0013539B"/>
    <w:rsid w:val="00135C94"/>
    <w:rsid w:val="00170AA0"/>
    <w:rsid w:val="00176015"/>
    <w:rsid w:val="00184144"/>
    <w:rsid w:val="00187E34"/>
    <w:rsid w:val="00194327"/>
    <w:rsid w:val="0019505A"/>
    <w:rsid w:val="00195559"/>
    <w:rsid w:val="001A0A94"/>
    <w:rsid w:val="001B3138"/>
    <w:rsid w:val="001B4D8B"/>
    <w:rsid w:val="001C27F3"/>
    <w:rsid w:val="001F3CF4"/>
    <w:rsid w:val="001F46EB"/>
    <w:rsid w:val="001F699C"/>
    <w:rsid w:val="00201DDC"/>
    <w:rsid w:val="00203FF7"/>
    <w:rsid w:val="002046F5"/>
    <w:rsid w:val="0020595F"/>
    <w:rsid w:val="002135C9"/>
    <w:rsid w:val="002156FF"/>
    <w:rsid w:val="002555C4"/>
    <w:rsid w:val="00261273"/>
    <w:rsid w:val="002660C5"/>
    <w:rsid w:val="002751DC"/>
    <w:rsid w:val="00293D7B"/>
    <w:rsid w:val="00295CCB"/>
    <w:rsid w:val="002A1316"/>
    <w:rsid w:val="002A44FE"/>
    <w:rsid w:val="002C298C"/>
    <w:rsid w:val="002D70E6"/>
    <w:rsid w:val="002F6FF9"/>
    <w:rsid w:val="003030BC"/>
    <w:rsid w:val="00304CEC"/>
    <w:rsid w:val="00306C82"/>
    <w:rsid w:val="003148E8"/>
    <w:rsid w:val="00325660"/>
    <w:rsid w:val="003325E9"/>
    <w:rsid w:val="00333CD6"/>
    <w:rsid w:val="00333FC0"/>
    <w:rsid w:val="003415C3"/>
    <w:rsid w:val="0034544B"/>
    <w:rsid w:val="0035609F"/>
    <w:rsid w:val="00357190"/>
    <w:rsid w:val="00384C1B"/>
    <w:rsid w:val="00384F74"/>
    <w:rsid w:val="0038630E"/>
    <w:rsid w:val="00392DF5"/>
    <w:rsid w:val="00394813"/>
    <w:rsid w:val="0039600A"/>
    <w:rsid w:val="003A4477"/>
    <w:rsid w:val="003B12DE"/>
    <w:rsid w:val="003C5AA1"/>
    <w:rsid w:val="003C631A"/>
    <w:rsid w:val="003D533F"/>
    <w:rsid w:val="003E69DC"/>
    <w:rsid w:val="0040093D"/>
    <w:rsid w:val="0040337C"/>
    <w:rsid w:val="0041602C"/>
    <w:rsid w:val="00434970"/>
    <w:rsid w:val="00435DAC"/>
    <w:rsid w:val="0044022E"/>
    <w:rsid w:val="00440DC7"/>
    <w:rsid w:val="00446244"/>
    <w:rsid w:val="004516AB"/>
    <w:rsid w:val="00452842"/>
    <w:rsid w:val="00453011"/>
    <w:rsid w:val="004718D3"/>
    <w:rsid w:val="00476C23"/>
    <w:rsid w:val="004829CD"/>
    <w:rsid w:val="004863CE"/>
    <w:rsid w:val="0048680B"/>
    <w:rsid w:val="00490996"/>
    <w:rsid w:val="004953BB"/>
    <w:rsid w:val="0049733D"/>
    <w:rsid w:val="004A166E"/>
    <w:rsid w:val="004A3274"/>
    <w:rsid w:val="004B31AD"/>
    <w:rsid w:val="004B51B6"/>
    <w:rsid w:val="004C030C"/>
    <w:rsid w:val="004C0C8B"/>
    <w:rsid w:val="004C799D"/>
    <w:rsid w:val="004D4855"/>
    <w:rsid w:val="004D56F1"/>
    <w:rsid w:val="004D6DB6"/>
    <w:rsid w:val="004E0040"/>
    <w:rsid w:val="004E2B0F"/>
    <w:rsid w:val="004E2BB9"/>
    <w:rsid w:val="004E3B7D"/>
    <w:rsid w:val="004E50C8"/>
    <w:rsid w:val="004F5CB3"/>
    <w:rsid w:val="004F7E41"/>
    <w:rsid w:val="005146A0"/>
    <w:rsid w:val="005201E1"/>
    <w:rsid w:val="005421CF"/>
    <w:rsid w:val="0054315F"/>
    <w:rsid w:val="00555F41"/>
    <w:rsid w:val="00562444"/>
    <w:rsid w:val="00590C6A"/>
    <w:rsid w:val="00590FC0"/>
    <w:rsid w:val="005A259E"/>
    <w:rsid w:val="005B05FC"/>
    <w:rsid w:val="005B1DE0"/>
    <w:rsid w:val="005B593D"/>
    <w:rsid w:val="005E15E0"/>
    <w:rsid w:val="005F6ED2"/>
    <w:rsid w:val="00615167"/>
    <w:rsid w:val="00624E04"/>
    <w:rsid w:val="00626152"/>
    <w:rsid w:val="00626EC0"/>
    <w:rsid w:val="00630368"/>
    <w:rsid w:val="00634598"/>
    <w:rsid w:val="00637C40"/>
    <w:rsid w:val="00654938"/>
    <w:rsid w:val="006567A9"/>
    <w:rsid w:val="006574E9"/>
    <w:rsid w:val="00676A9F"/>
    <w:rsid w:val="00690138"/>
    <w:rsid w:val="00693412"/>
    <w:rsid w:val="00693508"/>
    <w:rsid w:val="006A382E"/>
    <w:rsid w:val="006A6F0A"/>
    <w:rsid w:val="006B37DD"/>
    <w:rsid w:val="006B7219"/>
    <w:rsid w:val="006D3A59"/>
    <w:rsid w:val="006F43F5"/>
    <w:rsid w:val="00706B68"/>
    <w:rsid w:val="00715743"/>
    <w:rsid w:val="0072525D"/>
    <w:rsid w:val="007306B9"/>
    <w:rsid w:val="00756AE3"/>
    <w:rsid w:val="007574AB"/>
    <w:rsid w:val="00761440"/>
    <w:rsid w:val="00774EEB"/>
    <w:rsid w:val="007767B8"/>
    <w:rsid w:val="007774AA"/>
    <w:rsid w:val="00787C29"/>
    <w:rsid w:val="00794B81"/>
    <w:rsid w:val="00795898"/>
    <w:rsid w:val="007A2FB9"/>
    <w:rsid w:val="007B4554"/>
    <w:rsid w:val="007C0C1D"/>
    <w:rsid w:val="007D3652"/>
    <w:rsid w:val="007D4033"/>
    <w:rsid w:val="007D5EC2"/>
    <w:rsid w:val="007E42F2"/>
    <w:rsid w:val="007E5745"/>
    <w:rsid w:val="007F1389"/>
    <w:rsid w:val="007F344C"/>
    <w:rsid w:val="00800A60"/>
    <w:rsid w:val="00817D0C"/>
    <w:rsid w:val="00827D3A"/>
    <w:rsid w:val="00830EAF"/>
    <w:rsid w:val="008446E7"/>
    <w:rsid w:val="0087435F"/>
    <w:rsid w:val="008758B4"/>
    <w:rsid w:val="00881216"/>
    <w:rsid w:val="00886682"/>
    <w:rsid w:val="008869A6"/>
    <w:rsid w:val="008B3B09"/>
    <w:rsid w:val="008C3A60"/>
    <w:rsid w:val="008C59AA"/>
    <w:rsid w:val="008D4974"/>
    <w:rsid w:val="008E5241"/>
    <w:rsid w:val="0092196B"/>
    <w:rsid w:val="009249B4"/>
    <w:rsid w:val="009342FB"/>
    <w:rsid w:val="0093564B"/>
    <w:rsid w:val="00944297"/>
    <w:rsid w:val="00957780"/>
    <w:rsid w:val="009636DC"/>
    <w:rsid w:val="00972A11"/>
    <w:rsid w:val="00980638"/>
    <w:rsid w:val="00984FA6"/>
    <w:rsid w:val="0098632A"/>
    <w:rsid w:val="009962A0"/>
    <w:rsid w:val="009B20EB"/>
    <w:rsid w:val="009C64DC"/>
    <w:rsid w:val="009C702B"/>
    <w:rsid w:val="00A11581"/>
    <w:rsid w:val="00A14795"/>
    <w:rsid w:val="00A202AF"/>
    <w:rsid w:val="00A41042"/>
    <w:rsid w:val="00A627B1"/>
    <w:rsid w:val="00A751C5"/>
    <w:rsid w:val="00A82C39"/>
    <w:rsid w:val="00A92C59"/>
    <w:rsid w:val="00AA1DC0"/>
    <w:rsid w:val="00AA6691"/>
    <w:rsid w:val="00AC14AF"/>
    <w:rsid w:val="00AD14AD"/>
    <w:rsid w:val="00AE0195"/>
    <w:rsid w:val="00AE19C3"/>
    <w:rsid w:val="00AE4ECF"/>
    <w:rsid w:val="00AE51E3"/>
    <w:rsid w:val="00AE6149"/>
    <w:rsid w:val="00AE74CF"/>
    <w:rsid w:val="00B10C19"/>
    <w:rsid w:val="00B30CA0"/>
    <w:rsid w:val="00B34243"/>
    <w:rsid w:val="00B50BEC"/>
    <w:rsid w:val="00B575EF"/>
    <w:rsid w:val="00B73EA3"/>
    <w:rsid w:val="00B85E35"/>
    <w:rsid w:val="00BB5939"/>
    <w:rsid w:val="00BB6BDC"/>
    <w:rsid w:val="00BD4C5A"/>
    <w:rsid w:val="00C00C8A"/>
    <w:rsid w:val="00C04FA0"/>
    <w:rsid w:val="00C051DB"/>
    <w:rsid w:val="00C060A0"/>
    <w:rsid w:val="00C26B71"/>
    <w:rsid w:val="00C40541"/>
    <w:rsid w:val="00C5295D"/>
    <w:rsid w:val="00C540B0"/>
    <w:rsid w:val="00C57B4E"/>
    <w:rsid w:val="00C6544D"/>
    <w:rsid w:val="00C67D72"/>
    <w:rsid w:val="00C82D44"/>
    <w:rsid w:val="00C9066D"/>
    <w:rsid w:val="00C91236"/>
    <w:rsid w:val="00CA39BF"/>
    <w:rsid w:val="00CB3BAA"/>
    <w:rsid w:val="00CB7CFA"/>
    <w:rsid w:val="00CC53AA"/>
    <w:rsid w:val="00CE1706"/>
    <w:rsid w:val="00CE3B76"/>
    <w:rsid w:val="00CF2EAA"/>
    <w:rsid w:val="00CF3750"/>
    <w:rsid w:val="00D21513"/>
    <w:rsid w:val="00D4565A"/>
    <w:rsid w:val="00D506C4"/>
    <w:rsid w:val="00D679AA"/>
    <w:rsid w:val="00D8453D"/>
    <w:rsid w:val="00D924B0"/>
    <w:rsid w:val="00DA1C46"/>
    <w:rsid w:val="00DA67E4"/>
    <w:rsid w:val="00DC071A"/>
    <w:rsid w:val="00DE4641"/>
    <w:rsid w:val="00DF407B"/>
    <w:rsid w:val="00E00003"/>
    <w:rsid w:val="00E077F0"/>
    <w:rsid w:val="00E12730"/>
    <w:rsid w:val="00E136A0"/>
    <w:rsid w:val="00E2462E"/>
    <w:rsid w:val="00E30ACC"/>
    <w:rsid w:val="00E34BA8"/>
    <w:rsid w:val="00E40F8E"/>
    <w:rsid w:val="00E4366D"/>
    <w:rsid w:val="00E579BC"/>
    <w:rsid w:val="00E66543"/>
    <w:rsid w:val="00E676CB"/>
    <w:rsid w:val="00E72E8D"/>
    <w:rsid w:val="00E7367B"/>
    <w:rsid w:val="00E843F6"/>
    <w:rsid w:val="00E90A65"/>
    <w:rsid w:val="00E92650"/>
    <w:rsid w:val="00EA2736"/>
    <w:rsid w:val="00EA3D48"/>
    <w:rsid w:val="00EC0FCD"/>
    <w:rsid w:val="00EC15C1"/>
    <w:rsid w:val="00EC5218"/>
    <w:rsid w:val="00EC61F1"/>
    <w:rsid w:val="00EF720B"/>
    <w:rsid w:val="00F004F2"/>
    <w:rsid w:val="00F012DE"/>
    <w:rsid w:val="00F04F9A"/>
    <w:rsid w:val="00F05F13"/>
    <w:rsid w:val="00F104C7"/>
    <w:rsid w:val="00F179AD"/>
    <w:rsid w:val="00F22B77"/>
    <w:rsid w:val="00F36664"/>
    <w:rsid w:val="00F36D97"/>
    <w:rsid w:val="00F45D51"/>
    <w:rsid w:val="00F500A1"/>
    <w:rsid w:val="00F54D12"/>
    <w:rsid w:val="00F5649B"/>
    <w:rsid w:val="00F629A2"/>
    <w:rsid w:val="00F63D53"/>
    <w:rsid w:val="00F723F1"/>
    <w:rsid w:val="00F726C7"/>
    <w:rsid w:val="00F80B24"/>
    <w:rsid w:val="00F858B9"/>
    <w:rsid w:val="00F95C41"/>
    <w:rsid w:val="00F960CA"/>
    <w:rsid w:val="00FC2CD4"/>
    <w:rsid w:val="00FD13D1"/>
    <w:rsid w:val="00FE303D"/>
    <w:rsid w:val="00FE4174"/>
    <w:rsid w:val="00FE7D39"/>
    <w:rsid w:val="00FE7FAA"/>
    <w:rsid w:val="00FF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A474C"/>
  <w15:docId w15:val="{E19EA4A6-E470-4CA0-9F0F-6B370F55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3454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2">
    <w:name w:val="Body Text 2"/>
    <w:basedOn w:val="Normal"/>
    <w:link w:val="BodyText2Char"/>
    <w:pPr>
      <w:jc w:val="both"/>
    </w:pPr>
    <w:rPr>
      <w:b/>
      <w:bCs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2"/>
    </w:rPr>
  </w:style>
  <w:style w:type="character" w:styleId="PageNumber">
    <w:name w:val="page number"/>
    <w:basedOn w:val="DefaultParagraphFont"/>
  </w:style>
  <w:style w:type="paragraph" w:styleId="ListContinue">
    <w:name w:val="List Continue"/>
    <w:basedOn w:val="Normal"/>
    <w:rsid w:val="00E2462E"/>
    <w:pPr>
      <w:spacing w:after="220"/>
      <w:jc w:val="both"/>
    </w:pPr>
    <w:rPr>
      <w:sz w:val="22"/>
      <w:szCs w:val="20"/>
    </w:rPr>
  </w:style>
  <w:style w:type="character" w:styleId="Hyperlink">
    <w:name w:val="Hyperlink"/>
    <w:rsid w:val="00980638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980638"/>
    <w:pPr>
      <w:jc w:val="center"/>
    </w:pPr>
    <w:rPr>
      <w:rFonts w:ascii="Arial" w:hAnsi="Arial"/>
      <w:b/>
      <w:snapToGrid w:val="0"/>
      <w:color w:val="000000"/>
      <w:sz w:val="20"/>
      <w:szCs w:val="20"/>
    </w:rPr>
  </w:style>
  <w:style w:type="character" w:customStyle="1" w:styleId="SubtitleChar">
    <w:name w:val="Subtitle Char"/>
    <w:link w:val="Subtitle"/>
    <w:rsid w:val="00980638"/>
    <w:rPr>
      <w:rFonts w:ascii="Arial" w:hAnsi="Arial"/>
      <w:b/>
      <w:snapToGrid w:val="0"/>
      <w:color w:val="000000"/>
    </w:rPr>
  </w:style>
  <w:style w:type="paragraph" w:customStyle="1" w:styleId="Indent5">
    <w:name w:val="Indent .5&quot;"/>
    <w:basedOn w:val="Normal"/>
    <w:rsid w:val="00980638"/>
    <w:pPr>
      <w:keepNext/>
      <w:spacing w:after="220"/>
      <w:ind w:left="720"/>
      <w:jc w:val="both"/>
      <w:outlineLvl w:val="0"/>
    </w:pPr>
    <w:rPr>
      <w:sz w:val="22"/>
      <w:szCs w:val="20"/>
    </w:rPr>
  </w:style>
  <w:style w:type="paragraph" w:customStyle="1" w:styleId="Subtitle1">
    <w:name w:val="Subtitle1"/>
    <w:basedOn w:val="Heading2"/>
    <w:rsid w:val="00980638"/>
    <w:pPr>
      <w:spacing w:after="220"/>
    </w:pPr>
    <w:rPr>
      <w:b/>
      <w:sz w:val="22"/>
    </w:rPr>
  </w:style>
  <w:style w:type="paragraph" w:customStyle="1" w:styleId="TitleCenter">
    <w:name w:val="TitleCenter"/>
    <w:basedOn w:val="Normal"/>
    <w:rsid w:val="00980638"/>
    <w:pPr>
      <w:spacing w:after="220"/>
      <w:jc w:val="center"/>
    </w:pPr>
    <w:rPr>
      <w:b/>
      <w:sz w:val="22"/>
      <w:szCs w:val="20"/>
    </w:rPr>
  </w:style>
  <w:style w:type="paragraph" w:customStyle="1" w:styleId="Indent5a">
    <w:name w:val="Indent .5a"/>
    <w:basedOn w:val="Indent5"/>
    <w:rsid w:val="00980638"/>
    <w:pPr>
      <w:spacing w:after="0"/>
    </w:pPr>
  </w:style>
  <w:style w:type="paragraph" w:customStyle="1" w:styleId="Line">
    <w:name w:val="Line"/>
    <w:basedOn w:val="Normal"/>
    <w:autoRedefine/>
    <w:rsid w:val="00980638"/>
    <w:pPr>
      <w:tabs>
        <w:tab w:val="left" w:leader="underscore" w:pos="9360"/>
      </w:tabs>
      <w:spacing w:after="220"/>
    </w:pPr>
    <w:rPr>
      <w:sz w:val="22"/>
      <w:szCs w:val="20"/>
    </w:rPr>
  </w:style>
  <w:style w:type="paragraph" w:customStyle="1" w:styleId="Line-a">
    <w:name w:val="Line-a"/>
    <w:basedOn w:val="Line"/>
    <w:rsid w:val="00980638"/>
    <w:pPr>
      <w:spacing w:after="0"/>
    </w:pPr>
  </w:style>
  <w:style w:type="paragraph" w:customStyle="1" w:styleId="Line15a">
    <w:name w:val="Line 1.5&quot;a"/>
    <w:basedOn w:val="Normal"/>
    <w:rsid w:val="00980638"/>
    <w:pPr>
      <w:tabs>
        <w:tab w:val="left" w:leader="underscore" w:pos="2160"/>
      </w:tabs>
    </w:pPr>
    <w:rPr>
      <w:sz w:val="22"/>
      <w:szCs w:val="20"/>
    </w:rPr>
  </w:style>
  <w:style w:type="paragraph" w:customStyle="1" w:styleId="Indent0">
    <w:name w:val="Indent 0"/>
    <w:basedOn w:val="Normal"/>
    <w:rsid w:val="00980638"/>
    <w:pPr>
      <w:keepNext/>
      <w:spacing w:after="220"/>
      <w:jc w:val="both"/>
      <w:outlineLvl w:val="0"/>
    </w:pPr>
    <w:rPr>
      <w:sz w:val="22"/>
      <w:szCs w:val="20"/>
    </w:rPr>
  </w:style>
  <w:style w:type="paragraph" w:customStyle="1" w:styleId="Line2a">
    <w:name w:val="Line 2&quot;a"/>
    <w:basedOn w:val="Line15a"/>
    <w:rsid w:val="00980638"/>
    <w:pPr>
      <w:tabs>
        <w:tab w:val="clear" w:pos="2160"/>
        <w:tab w:val="left" w:leader="underscore" w:pos="2880"/>
      </w:tabs>
      <w:jc w:val="both"/>
    </w:pPr>
  </w:style>
  <w:style w:type="paragraph" w:styleId="ListNumber2">
    <w:name w:val="List Number 2"/>
    <w:basedOn w:val="Normal"/>
    <w:rsid w:val="00984FA6"/>
    <w:pPr>
      <w:numPr>
        <w:ilvl w:val="3"/>
        <w:numId w:val="2"/>
      </w:numPr>
    </w:pPr>
    <w:rPr>
      <w:sz w:val="20"/>
      <w:szCs w:val="20"/>
    </w:rPr>
  </w:style>
  <w:style w:type="character" w:styleId="Strong">
    <w:name w:val="Strong"/>
    <w:qFormat/>
    <w:rsid w:val="008758B4"/>
    <w:rPr>
      <w:b/>
      <w:bCs/>
    </w:rPr>
  </w:style>
  <w:style w:type="paragraph" w:styleId="FootnoteText">
    <w:name w:val="footnote text"/>
    <w:basedOn w:val="Normal"/>
    <w:semiHidden/>
    <w:rsid w:val="00184144"/>
    <w:pPr>
      <w:spacing w:after="220"/>
    </w:pPr>
    <w:rPr>
      <w:sz w:val="20"/>
      <w:szCs w:val="20"/>
    </w:rPr>
  </w:style>
  <w:style w:type="character" w:styleId="FootnoteReference">
    <w:name w:val="footnote reference"/>
    <w:semiHidden/>
    <w:rsid w:val="00184144"/>
    <w:rPr>
      <w:vertAlign w:val="superscript"/>
    </w:rPr>
  </w:style>
  <w:style w:type="paragraph" w:styleId="ListNumber3">
    <w:name w:val="List Number 3"/>
    <w:basedOn w:val="Normal"/>
    <w:rsid w:val="0034544B"/>
    <w:pPr>
      <w:numPr>
        <w:numId w:val="14"/>
      </w:numPr>
    </w:pPr>
  </w:style>
  <w:style w:type="paragraph" w:styleId="ListBullet2">
    <w:name w:val="List Bullet 2"/>
    <w:basedOn w:val="Normal"/>
    <w:autoRedefine/>
    <w:rsid w:val="0034544B"/>
    <w:pPr>
      <w:numPr>
        <w:numId w:val="18"/>
      </w:numPr>
      <w:spacing w:after="220"/>
      <w:jc w:val="both"/>
    </w:pPr>
    <w:rPr>
      <w:i/>
      <w:color w:val="000000"/>
      <w:sz w:val="22"/>
      <w:szCs w:val="20"/>
    </w:rPr>
  </w:style>
  <w:style w:type="paragraph" w:styleId="ListNumber">
    <w:name w:val="List Number"/>
    <w:basedOn w:val="Normal"/>
    <w:rsid w:val="00452842"/>
    <w:pPr>
      <w:numPr>
        <w:numId w:val="21"/>
      </w:numPr>
    </w:pPr>
  </w:style>
  <w:style w:type="paragraph" w:customStyle="1" w:styleId="Default">
    <w:name w:val="Default"/>
    <w:rsid w:val="004E2B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Char">
    <w:name w:val="Body Text 2 Char"/>
    <w:link w:val="BodyText2"/>
    <w:rsid w:val="00490996"/>
    <w:rPr>
      <w:b/>
      <w:bCs/>
      <w:sz w:val="22"/>
    </w:rPr>
  </w:style>
  <w:style w:type="paragraph" w:styleId="BalloonText">
    <w:name w:val="Balloon Text"/>
    <w:basedOn w:val="Normal"/>
    <w:link w:val="BalloonTextChar"/>
    <w:semiHidden/>
    <w:unhideWhenUsed/>
    <w:rsid w:val="005B1D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1D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9123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55C0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5C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5C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5C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FEDF019004E4AB00FDE98BFC1B847" ma:contentTypeVersion="19" ma:contentTypeDescription="Create a new document." ma:contentTypeScope="" ma:versionID="91f85cc8dc4a47803c08097b7e297636">
  <xsd:schema xmlns:xsd="http://www.w3.org/2001/XMLSchema" xmlns:xs="http://www.w3.org/2001/XMLSchema" xmlns:p="http://schemas.microsoft.com/office/2006/metadata/properties" xmlns:ns2="dbd46520-c392-41b5-9f68-fe7486eefad7" xmlns:ns3="826143e3-bbcb-45bb-8829-107013e701e5" xmlns:ns4="3c9e15a3-223f-4584-afb1-1dbe0b3878fa" targetNamespace="http://schemas.microsoft.com/office/2006/metadata/properties" ma:root="true" ma:fieldsID="bf389c20472442bd1cd255c3f3e66553" ns2:_="" ns3:_="" ns4:_="">
    <xsd:import namespace="dbd46520-c392-41b5-9f68-fe7486eefad7"/>
    <xsd:import namespace="826143e3-bbcb-45bb-8829-107013e701e5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Progress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6520-c392-41b5-9f68-fe7486eef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ProgressStatus" ma:index="25" nillable="true" ma:displayName="Progress Status" ma:default="Not Started" ma:description="Green = Complete&#10;Yellow = In-Progress&#10;Red = Not Started" ma:format="Dropdown" ma:internalName="ProgressStatus">
      <xsd:simpleType>
        <xsd:union memberTypes="dms:Text">
          <xsd:simpleType>
            <xsd:restriction base="dms:Choice">
              <xsd:enumeration value="Complete"/>
              <xsd:enumeration value="Pending 2nd Review"/>
              <xsd:enumeration value="Ready for Review"/>
              <xsd:enumeration value="In-Progress"/>
              <xsd:enumeration value="Not Started"/>
            </xsd:restriction>
          </xsd:simpleType>
        </xsd:un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143e3-bbcb-45bb-8829-107013e70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57f632e-5ad0-4c8c-a771-480ef62b4bfd}" ma:internalName="TaxCatchAll" ma:showField="CatchAllData" ma:web="826143e3-bbcb-45bb-8829-107013e70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dbd46520-c392-41b5-9f68-fe7486eefad7">
      <Terms xmlns="http://schemas.microsoft.com/office/infopath/2007/PartnerControls"/>
    </lcf76f155ced4ddcb4097134ff3c332f>
    <ProgressStatus xmlns="dbd46520-c392-41b5-9f68-fe7486eefad7">Ready for Review</ProgressStat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ECCFE-D974-4C27-8244-E1B81619A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6520-c392-41b5-9f68-fe7486eefad7"/>
    <ds:schemaRef ds:uri="826143e3-bbcb-45bb-8829-107013e701e5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C764BD-B74B-4FFE-AC85-F9BE917CDA74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26143e3-bbcb-45bb-8829-107013e701e5"/>
    <ds:schemaRef ds:uri="http://purl.org/dc/dcmitype/"/>
    <ds:schemaRef ds:uri="3c9e15a3-223f-4584-afb1-1dbe0b3878fa"/>
    <ds:schemaRef ds:uri="dbd46520-c392-41b5-9f68-fe7486eefad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429ED3-FD5B-4983-A068-8714CAC79F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3DBAA-868C-41C1-8170-884AB4315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378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Statutory Accounting Principles Working Group</vt:lpstr>
    </vt:vector>
  </TitlesOfParts>
  <Company>NAIC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Statutory Accounting Principles Working Group</dc:title>
  <dc:subject/>
  <dc:creator>Lhunsuck</dc:creator>
  <cp:keywords/>
  <dc:description/>
  <cp:lastModifiedBy>Marcotte, Robin</cp:lastModifiedBy>
  <cp:revision>94</cp:revision>
  <cp:lastPrinted>2011-03-02T00:07:00Z</cp:lastPrinted>
  <dcterms:created xsi:type="dcterms:W3CDTF">2023-02-09T16:26:00Z</dcterms:created>
  <dcterms:modified xsi:type="dcterms:W3CDTF">2025-05-22T20:31:00Z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0x010100DD0FEDF019004E4AB00FDE98BFC1B847</vt:lpwstr>
  </property>
  <property fmtid="{D5CDD505-2E9C-101B-9397-08002B2CF9AE}" pid="3" name="MediaServiceImageTags">
    <vt:lpwstr/>
  </property>
  <property fmtid="{D5CDD505-2E9C-101B-9397-08002B2CF9AE}" pid="4" name="Test">
    <vt:filetime>2023-03-22T05:00:00Z</vt:filetime>
  </property>
  <property fmtid="{D5CDD505-2E9C-101B-9397-08002B2CF9AE}" pid="5" name="ProgressStatus">
    <vt:lpwstr>Complete</vt:lpwstr>
  </property>
</Properties>
</file>