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572008" w:rsidRDefault="002A1316">
      <w:pPr>
        <w:pStyle w:val="Title"/>
        <w:rPr>
          <w:rFonts w:ascii="Calibri" w:hAnsi="Calibri" w:cs="Calibri"/>
          <w:sz w:val="22"/>
          <w:szCs w:val="22"/>
        </w:rPr>
      </w:pPr>
      <w:r w:rsidRPr="00572008">
        <w:rPr>
          <w:rFonts w:ascii="Calibri" w:hAnsi="Calibri" w:cs="Calibri"/>
          <w:sz w:val="22"/>
          <w:szCs w:val="22"/>
        </w:rPr>
        <w:t xml:space="preserve">Statutory Accounting Principles </w:t>
      </w:r>
      <w:r w:rsidR="00C6544D" w:rsidRPr="00572008">
        <w:rPr>
          <w:rFonts w:ascii="Calibri" w:hAnsi="Calibri" w:cs="Calibri"/>
          <w:sz w:val="22"/>
          <w:szCs w:val="22"/>
        </w:rPr>
        <w:t xml:space="preserve">(E) </w:t>
      </w:r>
      <w:r w:rsidRPr="00572008">
        <w:rPr>
          <w:rFonts w:ascii="Calibri" w:hAnsi="Calibri" w:cs="Calibri"/>
          <w:sz w:val="22"/>
          <w:szCs w:val="22"/>
        </w:rPr>
        <w:t>Working Group</w:t>
      </w:r>
    </w:p>
    <w:p w14:paraId="5E8586D5" w14:textId="77777777" w:rsidR="002A1316" w:rsidRPr="00572008" w:rsidRDefault="002A1316">
      <w:pPr>
        <w:jc w:val="center"/>
        <w:rPr>
          <w:rFonts w:ascii="Calibri" w:hAnsi="Calibri" w:cs="Calibri"/>
          <w:b/>
          <w:sz w:val="22"/>
          <w:szCs w:val="22"/>
        </w:rPr>
      </w:pPr>
      <w:r w:rsidRPr="00572008">
        <w:rPr>
          <w:rFonts w:ascii="Calibri" w:hAnsi="Calibri" w:cs="Calibri"/>
          <w:b/>
          <w:sz w:val="22"/>
          <w:szCs w:val="22"/>
        </w:rPr>
        <w:t>Maintenance Agenda Submission Form</w:t>
      </w:r>
    </w:p>
    <w:p w14:paraId="43927C70" w14:textId="77777777" w:rsidR="002A1316" w:rsidRPr="00572008" w:rsidRDefault="002A1316">
      <w:pPr>
        <w:jc w:val="center"/>
        <w:rPr>
          <w:rFonts w:ascii="Calibri" w:hAnsi="Calibri" w:cs="Calibri"/>
          <w:b/>
          <w:sz w:val="22"/>
          <w:szCs w:val="22"/>
        </w:rPr>
      </w:pPr>
      <w:r w:rsidRPr="00572008">
        <w:rPr>
          <w:rFonts w:ascii="Calibri" w:hAnsi="Calibri" w:cs="Calibri"/>
          <w:b/>
          <w:sz w:val="22"/>
          <w:szCs w:val="22"/>
        </w:rPr>
        <w:t>Form A</w:t>
      </w:r>
    </w:p>
    <w:p w14:paraId="65BCA41C" w14:textId="77777777" w:rsidR="002A1316" w:rsidRPr="00572008" w:rsidRDefault="002A1316">
      <w:pPr>
        <w:pStyle w:val="Heading2"/>
        <w:jc w:val="center"/>
        <w:rPr>
          <w:rFonts w:ascii="Calibri" w:hAnsi="Calibri" w:cs="Calibri"/>
          <w:sz w:val="22"/>
          <w:szCs w:val="22"/>
        </w:rPr>
      </w:pPr>
    </w:p>
    <w:p w14:paraId="10F0B4B2" w14:textId="6139C12D" w:rsidR="002A1316" w:rsidRPr="00572008" w:rsidRDefault="002A1316" w:rsidP="00B30CA0">
      <w:pPr>
        <w:pStyle w:val="Heading2"/>
        <w:rPr>
          <w:rFonts w:ascii="Calibri" w:hAnsi="Calibri" w:cs="Calibri"/>
          <w:sz w:val="22"/>
          <w:szCs w:val="22"/>
        </w:rPr>
      </w:pPr>
      <w:r w:rsidRPr="00572008">
        <w:rPr>
          <w:rFonts w:ascii="Calibri" w:hAnsi="Calibri" w:cs="Calibri"/>
          <w:b/>
          <w:sz w:val="22"/>
          <w:szCs w:val="22"/>
        </w:rPr>
        <w:t>Issue</w:t>
      </w:r>
      <w:r w:rsidR="00074DCF" w:rsidRPr="00572008">
        <w:rPr>
          <w:rFonts w:ascii="Calibri" w:hAnsi="Calibri" w:cs="Calibri"/>
          <w:b/>
          <w:sz w:val="22"/>
          <w:szCs w:val="22"/>
        </w:rPr>
        <w:t xml:space="preserve">: </w:t>
      </w:r>
      <w:r w:rsidR="00362AF8" w:rsidRPr="00572008">
        <w:rPr>
          <w:rFonts w:ascii="Calibri" w:hAnsi="Calibri" w:cs="Calibri"/>
          <w:b/>
          <w:sz w:val="22"/>
          <w:szCs w:val="22"/>
        </w:rPr>
        <w:t xml:space="preserve">IMR </w:t>
      </w:r>
      <w:r w:rsidR="000D25E9" w:rsidRPr="00572008">
        <w:rPr>
          <w:rFonts w:ascii="Calibri" w:hAnsi="Calibri" w:cs="Calibri"/>
          <w:b/>
          <w:sz w:val="22"/>
          <w:szCs w:val="22"/>
        </w:rPr>
        <w:t>Proof of Reinvestment</w:t>
      </w:r>
    </w:p>
    <w:p w14:paraId="7D50C110" w14:textId="77777777" w:rsidR="00B30CA0" w:rsidRPr="00572008" w:rsidRDefault="00B30CA0" w:rsidP="00B30CA0">
      <w:pPr>
        <w:rPr>
          <w:rFonts w:ascii="Calibri" w:hAnsi="Calibri" w:cs="Calibri"/>
          <w:sz w:val="22"/>
          <w:szCs w:val="22"/>
        </w:rPr>
      </w:pPr>
    </w:p>
    <w:p w14:paraId="1E0B900E" w14:textId="77777777" w:rsidR="002A1316" w:rsidRPr="00572008" w:rsidRDefault="002A1316" w:rsidP="00B30CA0">
      <w:pPr>
        <w:jc w:val="both"/>
        <w:rPr>
          <w:rFonts w:ascii="Calibri" w:hAnsi="Calibri" w:cs="Calibri"/>
          <w:b/>
          <w:sz w:val="22"/>
          <w:szCs w:val="22"/>
        </w:rPr>
      </w:pPr>
      <w:r w:rsidRPr="00572008">
        <w:rPr>
          <w:rFonts w:ascii="Calibri" w:hAnsi="Calibri" w:cs="Calibri"/>
          <w:b/>
          <w:sz w:val="22"/>
          <w:szCs w:val="22"/>
        </w:rPr>
        <w:t>Check (applicable entity):</w:t>
      </w:r>
    </w:p>
    <w:p w14:paraId="3CA22BB3" w14:textId="77777777" w:rsidR="006B37DD" w:rsidRPr="00572008" w:rsidRDefault="006B37DD" w:rsidP="006B37DD">
      <w:pPr>
        <w:tabs>
          <w:tab w:val="center" w:pos="4455"/>
          <w:tab w:val="center" w:pos="5886"/>
          <w:tab w:val="center" w:pos="7326"/>
        </w:tabs>
        <w:jc w:val="both"/>
        <w:rPr>
          <w:rFonts w:ascii="Calibri" w:hAnsi="Calibri" w:cs="Calibri"/>
          <w:sz w:val="22"/>
          <w:szCs w:val="22"/>
        </w:rPr>
      </w:pPr>
      <w:r w:rsidRPr="00572008">
        <w:rPr>
          <w:rFonts w:ascii="Calibri" w:hAnsi="Calibri" w:cs="Calibri"/>
          <w:sz w:val="22"/>
          <w:szCs w:val="22"/>
        </w:rPr>
        <w:tab/>
        <w:t>P/C</w:t>
      </w:r>
      <w:r w:rsidRPr="00572008">
        <w:rPr>
          <w:rFonts w:ascii="Calibri" w:hAnsi="Calibri" w:cs="Calibri"/>
          <w:sz w:val="22"/>
          <w:szCs w:val="22"/>
        </w:rPr>
        <w:tab/>
        <w:t>Life</w:t>
      </w:r>
      <w:r w:rsidRPr="00572008">
        <w:rPr>
          <w:rFonts w:ascii="Calibri" w:hAnsi="Calibri" w:cs="Calibri"/>
          <w:sz w:val="22"/>
          <w:szCs w:val="22"/>
        </w:rPr>
        <w:tab/>
        <w:t>Health</w:t>
      </w:r>
    </w:p>
    <w:p w14:paraId="347337DD" w14:textId="43F5E291" w:rsidR="002A1316" w:rsidRPr="00572008" w:rsidRDefault="002A1316" w:rsidP="00B30CA0">
      <w:pPr>
        <w:ind w:firstLine="720"/>
        <w:jc w:val="both"/>
        <w:rPr>
          <w:rFonts w:ascii="Calibri" w:hAnsi="Calibri" w:cs="Calibri"/>
          <w:sz w:val="22"/>
          <w:szCs w:val="22"/>
        </w:rPr>
      </w:pPr>
      <w:r w:rsidRPr="00572008">
        <w:rPr>
          <w:rFonts w:ascii="Calibri" w:hAnsi="Calibri" w:cs="Calibri"/>
          <w:sz w:val="22"/>
          <w:szCs w:val="22"/>
        </w:rPr>
        <w:t xml:space="preserve">Modification of </w:t>
      </w:r>
      <w:r w:rsidR="00DF407B" w:rsidRPr="00572008">
        <w:rPr>
          <w:rFonts w:ascii="Calibri" w:hAnsi="Calibri" w:cs="Calibri"/>
          <w:sz w:val="22"/>
          <w:szCs w:val="22"/>
        </w:rPr>
        <w:t>E</w:t>
      </w:r>
      <w:r w:rsidRPr="00572008">
        <w:rPr>
          <w:rFonts w:ascii="Calibri" w:hAnsi="Calibri" w:cs="Calibri"/>
          <w:sz w:val="22"/>
          <w:szCs w:val="22"/>
        </w:rPr>
        <w:t>xisting SSAP</w:t>
      </w:r>
      <w:r w:rsidRPr="00572008">
        <w:rPr>
          <w:rFonts w:ascii="Calibri" w:hAnsi="Calibri" w:cs="Calibri"/>
          <w:sz w:val="22"/>
          <w:szCs w:val="22"/>
        </w:rPr>
        <w:tab/>
      </w:r>
      <w:r w:rsidRPr="00572008">
        <w:rPr>
          <w:rFonts w:ascii="Calibri" w:hAnsi="Calibri" w:cs="Calibri"/>
          <w:sz w:val="22"/>
          <w:szCs w:val="22"/>
        </w:rPr>
        <w:tab/>
      </w:r>
      <w:r w:rsidR="002D0FED" w:rsidRPr="00572008">
        <w:rPr>
          <w:rFonts w:ascii="Calibri" w:hAnsi="Calibri" w:cs="Calibri"/>
          <w:sz w:val="22"/>
          <w:szCs w:val="22"/>
        </w:rPr>
        <w:fldChar w:fldCharType="begin">
          <w:ffData>
            <w:name w:val="Check1"/>
            <w:enabled/>
            <w:calcOnExit w:val="0"/>
            <w:checkBox>
              <w:sizeAuto/>
              <w:default w:val="0"/>
            </w:checkBox>
          </w:ffData>
        </w:fldChar>
      </w:r>
      <w:bookmarkStart w:id="0" w:name="Check1"/>
      <w:r w:rsidR="002D0FED" w:rsidRPr="00572008">
        <w:rPr>
          <w:rFonts w:ascii="Calibri" w:hAnsi="Calibri" w:cs="Calibri"/>
          <w:sz w:val="22"/>
          <w:szCs w:val="22"/>
        </w:rPr>
        <w:instrText xml:space="preserve"> FORMCHECKBOX </w:instrText>
      </w:r>
      <w:r w:rsidR="002D0FED" w:rsidRPr="00572008">
        <w:rPr>
          <w:rFonts w:ascii="Calibri" w:hAnsi="Calibri" w:cs="Calibri"/>
          <w:sz w:val="22"/>
          <w:szCs w:val="22"/>
        </w:rPr>
      </w:r>
      <w:r w:rsidR="002D0FED" w:rsidRPr="00572008">
        <w:rPr>
          <w:rFonts w:ascii="Calibri" w:hAnsi="Calibri" w:cs="Calibri"/>
          <w:sz w:val="22"/>
          <w:szCs w:val="22"/>
        </w:rPr>
        <w:fldChar w:fldCharType="separate"/>
      </w:r>
      <w:r w:rsidR="002D0FED" w:rsidRPr="00572008">
        <w:rPr>
          <w:rFonts w:ascii="Calibri" w:hAnsi="Calibri" w:cs="Calibri"/>
          <w:sz w:val="22"/>
          <w:szCs w:val="22"/>
        </w:rPr>
        <w:fldChar w:fldCharType="end"/>
      </w:r>
      <w:bookmarkEnd w:id="0"/>
      <w:r w:rsidRPr="00572008">
        <w:rPr>
          <w:rFonts w:ascii="Calibri" w:hAnsi="Calibri" w:cs="Calibri"/>
          <w:sz w:val="22"/>
          <w:szCs w:val="22"/>
        </w:rPr>
        <w:tab/>
      </w:r>
      <w:r w:rsidRPr="00572008">
        <w:rPr>
          <w:rFonts w:ascii="Calibri" w:hAnsi="Calibri" w:cs="Calibri"/>
          <w:sz w:val="22"/>
          <w:szCs w:val="22"/>
        </w:rPr>
        <w:tab/>
      </w:r>
      <w:r w:rsidRPr="00572008">
        <w:rPr>
          <w:rFonts w:ascii="Calibri" w:hAnsi="Calibri" w:cs="Calibri"/>
          <w:sz w:val="22"/>
          <w:szCs w:val="22"/>
        </w:rPr>
        <w:fldChar w:fldCharType="begin">
          <w:ffData>
            <w:name w:val=""/>
            <w:enabled/>
            <w:calcOnExit w:val="0"/>
            <w:checkBox>
              <w:sizeAuto/>
              <w:default w:val="1"/>
            </w:checkBox>
          </w:ffData>
        </w:fldChar>
      </w:r>
      <w:r w:rsidRPr="00572008">
        <w:rPr>
          <w:rFonts w:ascii="Calibri" w:hAnsi="Calibri" w:cs="Calibri"/>
          <w:sz w:val="22"/>
          <w:szCs w:val="22"/>
        </w:rPr>
        <w:instrText xml:space="preserve"> FORMCHECKBOX </w:instrText>
      </w:r>
      <w:r w:rsidRPr="00572008">
        <w:rPr>
          <w:rFonts w:ascii="Calibri" w:hAnsi="Calibri" w:cs="Calibri"/>
          <w:sz w:val="22"/>
          <w:szCs w:val="22"/>
        </w:rPr>
      </w:r>
      <w:r w:rsidRPr="00572008">
        <w:rPr>
          <w:rFonts w:ascii="Calibri" w:hAnsi="Calibri" w:cs="Calibri"/>
          <w:sz w:val="22"/>
          <w:szCs w:val="22"/>
        </w:rPr>
        <w:fldChar w:fldCharType="separate"/>
      </w:r>
      <w:r w:rsidRPr="00572008">
        <w:rPr>
          <w:rFonts w:ascii="Calibri" w:hAnsi="Calibri" w:cs="Calibri"/>
          <w:sz w:val="22"/>
          <w:szCs w:val="22"/>
        </w:rPr>
        <w:fldChar w:fldCharType="end"/>
      </w:r>
      <w:r w:rsidRPr="00572008">
        <w:rPr>
          <w:rFonts w:ascii="Calibri" w:hAnsi="Calibri" w:cs="Calibri"/>
          <w:sz w:val="22"/>
          <w:szCs w:val="22"/>
        </w:rPr>
        <w:tab/>
      </w:r>
      <w:r w:rsidRPr="00572008">
        <w:rPr>
          <w:rFonts w:ascii="Calibri" w:hAnsi="Calibri" w:cs="Calibri"/>
          <w:sz w:val="22"/>
          <w:szCs w:val="22"/>
        </w:rPr>
        <w:tab/>
      </w:r>
      <w:r w:rsidR="002D0FED" w:rsidRPr="00572008">
        <w:rPr>
          <w:rFonts w:ascii="Calibri" w:hAnsi="Calibri" w:cs="Calibri"/>
          <w:sz w:val="22"/>
          <w:szCs w:val="22"/>
        </w:rPr>
        <w:fldChar w:fldCharType="begin">
          <w:ffData>
            <w:name w:val=""/>
            <w:enabled/>
            <w:calcOnExit w:val="0"/>
            <w:checkBox>
              <w:sizeAuto/>
              <w:default w:val="0"/>
            </w:checkBox>
          </w:ffData>
        </w:fldChar>
      </w:r>
      <w:r w:rsidR="002D0FED" w:rsidRPr="00572008">
        <w:rPr>
          <w:rFonts w:ascii="Calibri" w:hAnsi="Calibri" w:cs="Calibri"/>
          <w:sz w:val="22"/>
          <w:szCs w:val="22"/>
        </w:rPr>
        <w:instrText xml:space="preserve"> FORMCHECKBOX </w:instrText>
      </w:r>
      <w:r w:rsidR="002D0FED" w:rsidRPr="00572008">
        <w:rPr>
          <w:rFonts w:ascii="Calibri" w:hAnsi="Calibri" w:cs="Calibri"/>
          <w:sz w:val="22"/>
          <w:szCs w:val="22"/>
        </w:rPr>
      </w:r>
      <w:r w:rsidR="002D0FED" w:rsidRPr="00572008">
        <w:rPr>
          <w:rFonts w:ascii="Calibri" w:hAnsi="Calibri" w:cs="Calibri"/>
          <w:sz w:val="22"/>
          <w:szCs w:val="22"/>
        </w:rPr>
        <w:fldChar w:fldCharType="separate"/>
      </w:r>
      <w:r w:rsidR="002D0FED" w:rsidRPr="00572008">
        <w:rPr>
          <w:rFonts w:ascii="Calibri" w:hAnsi="Calibri" w:cs="Calibri"/>
          <w:sz w:val="22"/>
          <w:szCs w:val="22"/>
        </w:rPr>
        <w:fldChar w:fldCharType="end"/>
      </w:r>
      <w:r w:rsidR="00C118ED" w:rsidRPr="00572008">
        <w:rPr>
          <w:rFonts w:ascii="Calibri" w:hAnsi="Calibri" w:cs="Calibri"/>
          <w:sz w:val="22"/>
          <w:szCs w:val="22"/>
        </w:rPr>
        <w:tab/>
      </w:r>
    </w:p>
    <w:p w14:paraId="4332D7DA" w14:textId="02284300" w:rsidR="002A1316" w:rsidRPr="00572008" w:rsidRDefault="002A1316" w:rsidP="00B30CA0">
      <w:pPr>
        <w:ind w:firstLine="720"/>
        <w:jc w:val="both"/>
        <w:rPr>
          <w:rFonts w:ascii="Calibri" w:hAnsi="Calibri" w:cs="Calibri"/>
          <w:sz w:val="22"/>
          <w:szCs w:val="22"/>
        </w:rPr>
      </w:pPr>
      <w:r w:rsidRPr="00572008">
        <w:rPr>
          <w:rFonts w:ascii="Calibri" w:hAnsi="Calibri" w:cs="Calibri"/>
          <w:sz w:val="22"/>
          <w:szCs w:val="22"/>
        </w:rPr>
        <w:t>New Issue or SSAP</w:t>
      </w:r>
      <w:r w:rsidRPr="00572008">
        <w:rPr>
          <w:rFonts w:ascii="Calibri" w:hAnsi="Calibri" w:cs="Calibri"/>
          <w:sz w:val="22"/>
          <w:szCs w:val="22"/>
        </w:rPr>
        <w:tab/>
      </w:r>
      <w:r w:rsidRPr="00572008">
        <w:rPr>
          <w:rFonts w:ascii="Calibri" w:hAnsi="Calibri" w:cs="Calibri"/>
          <w:sz w:val="22"/>
          <w:szCs w:val="22"/>
        </w:rPr>
        <w:tab/>
      </w:r>
      <w:r w:rsidRPr="00572008">
        <w:rPr>
          <w:rFonts w:ascii="Calibri" w:hAnsi="Calibri" w:cs="Calibri"/>
          <w:sz w:val="22"/>
          <w:szCs w:val="22"/>
        </w:rPr>
        <w:tab/>
      </w:r>
      <w:r w:rsidRPr="00572008">
        <w:rPr>
          <w:rFonts w:ascii="Calibri" w:hAnsi="Calibri" w:cs="Calibri"/>
          <w:sz w:val="22"/>
          <w:szCs w:val="22"/>
        </w:rPr>
        <w:fldChar w:fldCharType="begin">
          <w:ffData>
            <w:name w:val=""/>
            <w:enabled/>
            <w:calcOnExit w:val="0"/>
            <w:checkBox>
              <w:sizeAuto/>
              <w:default w:val="0"/>
            </w:checkBox>
          </w:ffData>
        </w:fldChar>
      </w:r>
      <w:r w:rsidRPr="00572008">
        <w:rPr>
          <w:rFonts w:ascii="Calibri" w:hAnsi="Calibri" w:cs="Calibri"/>
          <w:sz w:val="22"/>
          <w:szCs w:val="22"/>
        </w:rPr>
        <w:instrText xml:space="preserve"> FORMCHECKBOX </w:instrText>
      </w:r>
      <w:r w:rsidRPr="00572008">
        <w:rPr>
          <w:rFonts w:ascii="Calibri" w:hAnsi="Calibri" w:cs="Calibri"/>
          <w:sz w:val="22"/>
          <w:szCs w:val="22"/>
        </w:rPr>
      </w:r>
      <w:r w:rsidRPr="00572008">
        <w:rPr>
          <w:rFonts w:ascii="Calibri" w:hAnsi="Calibri" w:cs="Calibri"/>
          <w:sz w:val="22"/>
          <w:szCs w:val="22"/>
        </w:rPr>
        <w:fldChar w:fldCharType="separate"/>
      </w:r>
      <w:r w:rsidRPr="00572008">
        <w:rPr>
          <w:rFonts w:ascii="Calibri" w:hAnsi="Calibri" w:cs="Calibri"/>
          <w:sz w:val="22"/>
          <w:szCs w:val="22"/>
        </w:rPr>
        <w:fldChar w:fldCharType="end"/>
      </w:r>
      <w:r w:rsidRPr="00572008">
        <w:rPr>
          <w:rFonts w:ascii="Calibri" w:hAnsi="Calibri" w:cs="Calibri"/>
          <w:sz w:val="22"/>
          <w:szCs w:val="22"/>
        </w:rPr>
        <w:tab/>
      </w:r>
      <w:r w:rsidRPr="00572008">
        <w:rPr>
          <w:rFonts w:ascii="Calibri" w:hAnsi="Calibri" w:cs="Calibri"/>
          <w:sz w:val="22"/>
          <w:szCs w:val="22"/>
        </w:rPr>
        <w:tab/>
      </w:r>
      <w:r w:rsidRPr="00572008">
        <w:rPr>
          <w:rFonts w:ascii="Calibri" w:hAnsi="Calibri" w:cs="Calibri"/>
          <w:sz w:val="22"/>
          <w:szCs w:val="22"/>
        </w:rPr>
        <w:fldChar w:fldCharType="begin">
          <w:ffData>
            <w:name w:val=""/>
            <w:enabled/>
            <w:calcOnExit w:val="0"/>
            <w:checkBox>
              <w:sizeAuto/>
              <w:default w:val="0"/>
            </w:checkBox>
          </w:ffData>
        </w:fldChar>
      </w:r>
      <w:r w:rsidRPr="00572008">
        <w:rPr>
          <w:rFonts w:ascii="Calibri" w:hAnsi="Calibri" w:cs="Calibri"/>
          <w:sz w:val="22"/>
          <w:szCs w:val="22"/>
        </w:rPr>
        <w:instrText xml:space="preserve"> FORMCHECKBOX </w:instrText>
      </w:r>
      <w:r w:rsidRPr="00572008">
        <w:rPr>
          <w:rFonts w:ascii="Calibri" w:hAnsi="Calibri" w:cs="Calibri"/>
          <w:sz w:val="22"/>
          <w:szCs w:val="22"/>
        </w:rPr>
      </w:r>
      <w:r w:rsidRPr="00572008">
        <w:rPr>
          <w:rFonts w:ascii="Calibri" w:hAnsi="Calibri" w:cs="Calibri"/>
          <w:sz w:val="22"/>
          <w:szCs w:val="22"/>
        </w:rPr>
        <w:fldChar w:fldCharType="separate"/>
      </w:r>
      <w:r w:rsidRPr="00572008">
        <w:rPr>
          <w:rFonts w:ascii="Calibri" w:hAnsi="Calibri" w:cs="Calibri"/>
          <w:sz w:val="22"/>
          <w:szCs w:val="22"/>
        </w:rPr>
        <w:fldChar w:fldCharType="end"/>
      </w:r>
      <w:r w:rsidRPr="00572008">
        <w:rPr>
          <w:rFonts w:ascii="Calibri" w:hAnsi="Calibri" w:cs="Calibri"/>
          <w:sz w:val="22"/>
          <w:szCs w:val="22"/>
        </w:rPr>
        <w:tab/>
      </w:r>
      <w:r w:rsidRPr="00572008">
        <w:rPr>
          <w:rFonts w:ascii="Calibri" w:hAnsi="Calibri" w:cs="Calibri"/>
          <w:sz w:val="22"/>
          <w:szCs w:val="22"/>
        </w:rPr>
        <w:tab/>
      </w:r>
      <w:r w:rsidRPr="00572008">
        <w:rPr>
          <w:rFonts w:ascii="Calibri" w:hAnsi="Calibri" w:cs="Calibri"/>
          <w:sz w:val="22"/>
          <w:szCs w:val="22"/>
        </w:rPr>
        <w:fldChar w:fldCharType="begin">
          <w:ffData>
            <w:name w:val=""/>
            <w:enabled/>
            <w:calcOnExit w:val="0"/>
            <w:checkBox>
              <w:sizeAuto/>
              <w:default w:val="0"/>
            </w:checkBox>
          </w:ffData>
        </w:fldChar>
      </w:r>
      <w:r w:rsidRPr="00572008">
        <w:rPr>
          <w:rFonts w:ascii="Calibri" w:hAnsi="Calibri" w:cs="Calibri"/>
          <w:sz w:val="22"/>
          <w:szCs w:val="22"/>
        </w:rPr>
        <w:instrText xml:space="preserve"> FORMCHECKBOX </w:instrText>
      </w:r>
      <w:r w:rsidRPr="00572008">
        <w:rPr>
          <w:rFonts w:ascii="Calibri" w:hAnsi="Calibri" w:cs="Calibri"/>
          <w:sz w:val="22"/>
          <w:szCs w:val="22"/>
        </w:rPr>
      </w:r>
      <w:r w:rsidRPr="00572008">
        <w:rPr>
          <w:rFonts w:ascii="Calibri" w:hAnsi="Calibri" w:cs="Calibri"/>
          <w:sz w:val="22"/>
          <w:szCs w:val="22"/>
        </w:rPr>
        <w:fldChar w:fldCharType="separate"/>
      </w:r>
      <w:r w:rsidRPr="00572008">
        <w:rPr>
          <w:rFonts w:ascii="Calibri" w:hAnsi="Calibri" w:cs="Calibri"/>
          <w:sz w:val="22"/>
          <w:szCs w:val="22"/>
        </w:rPr>
        <w:fldChar w:fldCharType="end"/>
      </w:r>
    </w:p>
    <w:p w14:paraId="108F9360" w14:textId="5D9EFA97" w:rsidR="0044022E" w:rsidRPr="00572008" w:rsidRDefault="0044022E" w:rsidP="0044022E">
      <w:pPr>
        <w:ind w:firstLine="720"/>
        <w:jc w:val="both"/>
        <w:rPr>
          <w:rFonts w:ascii="Calibri" w:hAnsi="Calibri" w:cs="Calibri"/>
          <w:sz w:val="22"/>
          <w:szCs w:val="22"/>
        </w:rPr>
      </w:pPr>
      <w:r w:rsidRPr="00572008">
        <w:rPr>
          <w:rFonts w:ascii="Calibri" w:hAnsi="Calibri" w:cs="Calibri"/>
          <w:sz w:val="22"/>
          <w:szCs w:val="22"/>
        </w:rPr>
        <w:t>Interpretation</w:t>
      </w:r>
      <w:r w:rsidRPr="00572008">
        <w:rPr>
          <w:rFonts w:ascii="Calibri" w:hAnsi="Calibri" w:cs="Calibri"/>
          <w:sz w:val="22"/>
          <w:szCs w:val="22"/>
        </w:rPr>
        <w:tab/>
      </w:r>
      <w:r w:rsidRPr="00572008">
        <w:rPr>
          <w:rFonts w:ascii="Calibri" w:hAnsi="Calibri" w:cs="Calibri"/>
          <w:sz w:val="22"/>
          <w:szCs w:val="22"/>
        </w:rPr>
        <w:tab/>
      </w:r>
      <w:r w:rsidRPr="00572008">
        <w:rPr>
          <w:rFonts w:ascii="Calibri" w:hAnsi="Calibri" w:cs="Calibri"/>
          <w:sz w:val="22"/>
          <w:szCs w:val="22"/>
        </w:rPr>
        <w:tab/>
      </w:r>
      <w:r w:rsidRPr="00572008">
        <w:rPr>
          <w:rFonts w:ascii="Calibri" w:hAnsi="Calibri" w:cs="Calibri"/>
          <w:sz w:val="22"/>
          <w:szCs w:val="22"/>
        </w:rPr>
        <w:tab/>
      </w:r>
      <w:r w:rsidRPr="00572008">
        <w:rPr>
          <w:rFonts w:ascii="Calibri" w:hAnsi="Calibri" w:cs="Calibri"/>
          <w:sz w:val="22"/>
          <w:szCs w:val="22"/>
        </w:rPr>
        <w:fldChar w:fldCharType="begin">
          <w:ffData>
            <w:name w:val=""/>
            <w:enabled/>
            <w:calcOnExit w:val="0"/>
            <w:checkBox>
              <w:sizeAuto/>
              <w:default w:val="0"/>
            </w:checkBox>
          </w:ffData>
        </w:fldChar>
      </w:r>
      <w:r w:rsidRPr="00572008">
        <w:rPr>
          <w:rFonts w:ascii="Calibri" w:hAnsi="Calibri" w:cs="Calibri"/>
          <w:sz w:val="22"/>
          <w:szCs w:val="22"/>
        </w:rPr>
        <w:instrText xml:space="preserve"> FORMCHECKBOX </w:instrText>
      </w:r>
      <w:r w:rsidRPr="00572008">
        <w:rPr>
          <w:rFonts w:ascii="Calibri" w:hAnsi="Calibri" w:cs="Calibri"/>
          <w:sz w:val="22"/>
          <w:szCs w:val="22"/>
        </w:rPr>
      </w:r>
      <w:r w:rsidRPr="00572008">
        <w:rPr>
          <w:rFonts w:ascii="Calibri" w:hAnsi="Calibri" w:cs="Calibri"/>
          <w:sz w:val="22"/>
          <w:szCs w:val="22"/>
        </w:rPr>
        <w:fldChar w:fldCharType="separate"/>
      </w:r>
      <w:r w:rsidRPr="00572008">
        <w:rPr>
          <w:rFonts w:ascii="Calibri" w:hAnsi="Calibri" w:cs="Calibri"/>
          <w:sz w:val="22"/>
          <w:szCs w:val="22"/>
        </w:rPr>
        <w:fldChar w:fldCharType="end"/>
      </w:r>
      <w:r w:rsidRPr="00572008">
        <w:rPr>
          <w:rFonts w:ascii="Calibri" w:hAnsi="Calibri" w:cs="Calibri"/>
          <w:sz w:val="22"/>
          <w:szCs w:val="22"/>
        </w:rPr>
        <w:tab/>
      </w:r>
      <w:r w:rsidRPr="00572008">
        <w:rPr>
          <w:rFonts w:ascii="Calibri" w:hAnsi="Calibri" w:cs="Calibri"/>
          <w:sz w:val="22"/>
          <w:szCs w:val="22"/>
        </w:rPr>
        <w:tab/>
      </w:r>
      <w:r w:rsidRPr="00572008">
        <w:rPr>
          <w:rFonts w:ascii="Calibri" w:hAnsi="Calibri" w:cs="Calibri"/>
          <w:sz w:val="22"/>
          <w:szCs w:val="22"/>
        </w:rPr>
        <w:fldChar w:fldCharType="begin">
          <w:ffData>
            <w:name w:val=""/>
            <w:enabled/>
            <w:calcOnExit w:val="0"/>
            <w:checkBox>
              <w:sizeAuto/>
              <w:default w:val="0"/>
            </w:checkBox>
          </w:ffData>
        </w:fldChar>
      </w:r>
      <w:r w:rsidRPr="00572008">
        <w:rPr>
          <w:rFonts w:ascii="Calibri" w:hAnsi="Calibri" w:cs="Calibri"/>
          <w:sz w:val="22"/>
          <w:szCs w:val="22"/>
        </w:rPr>
        <w:instrText xml:space="preserve"> FORMCHECKBOX </w:instrText>
      </w:r>
      <w:r w:rsidRPr="00572008">
        <w:rPr>
          <w:rFonts w:ascii="Calibri" w:hAnsi="Calibri" w:cs="Calibri"/>
          <w:sz w:val="22"/>
          <w:szCs w:val="22"/>
        </w:rPr>
      </w:r>
      <w:r w:rsidRPr="00572008">
        <w:rPr>
          <w:rFonts w:ascii="Calibri" w:hAnsi="Calibri" w:cs="Calibri"/>
          <w:sz w:val="22"/>
          <w:szCs w:val="22"/>
        </w:rPr>
        <w:fldChar w:fldCharType="separate"/>
      </w:r>
      <w:r w:rsidRPr="00572008">
        <w:rPr>
          <w:rFonts w:ascii="Calibri" w:hAnsi="Calibri" w:cs="Calibri"/>
          <w:sz w:val="22"/>
          <w:szCs w:val="22"/>
        </w:rPr>
        <w:fldChar w:fldCharType="end"/>
      </w:r>
      <w:r w:rsidRPr="00572008">
        <w:rPr>
          <w:rFonts w:ascii="Calibri" w:hAnsi="Calibri" w:cs="Calibri"/>
          <w:sz w:val="22"/>
          <w:szCs w:val="22"/>
        </w:rPr>
        <w:tab/>
      </w:r>
      <w:r w:rsidRPr="00572008">
        <w:rPr>
          <w:rFonts w:ascii="Calibri" w:hAnsi="Calibri" w:cs="Calibri"/>
          <w:sz w:val="22"/>
          <w:szCs w:val="22"/>
        </w:rPr>
        <w:tab/>
      </w:r>
      <w:r w:rsidRPr="00572008">
        <w:rPr>
          <w:rFonts w:ascii="Calibri" w:hAnsi="Calibri" w:cs="Calibri"/>
          <w:sz w:val="22"/>
          <w:szCs w:val="22"/>
        </w:rPr>
        <w:fldChar w:fldCharType="begin">
          <w:ffData>
            <w:name w:val=""/>
            <w:enabled/>
            <w:calcOnExit w:val="0"/>
            <w:checkBox>
              <w:sizeAuto/>
              <w:default w:val="0"/>
            </w:checkBox>
          </w:ffData>
        </w:fldChar>
      </w:r>
      <w:r w:rsidRPr="00572008">
        <w:rPr>
          <w:rFonts w:ascii="Calibri" w:hAnsi="Calibri" w:cs="Calibri"/>
          <w:sz w:val="22"/>
          <w:szCs w:val="22"/>
        </w:rPr>
        <w:instrText xml:space="preserve"> FORMCHECKBOX </w:instrText>
      </w:r>
      <w:r w:rsidRPr="00572008">
        <w:rPr>
          <w:rFonts w:ascii="Calibri" w:hAnsi="Calibri" w:cs="Calibri"/>
          <w:sz w:val="22"/>
          <w:szCs w:val="22"/>
        </w:rPr>
      </w:r>
      <w:r w:rsidRPr="00572008">
        <w:rPr>
          <w:rFonts w:ascii="Calibri" w:hAnsi="Calibri" w:cs="Calibri"/>
          <w:sz w:val="22"/>
          <w:szCs w:val="22"/>
        </w:rPr>
        <w:fldChar w:fldCharType="separate"/>
      </w:r>
      <w:r w:rsidRPr="00572008">
        <w:rPr>
          <w:rFonts w:ascii="Calibri" w:hAnsi="Calibri" w:cs="Calibri"/>
          <w:sz w:val="22"/>
          <w:szCs w:val="22"/>
        </w:rPr>
        <w:fldChar w:fldCharType="end"/>
      </w:r>
    </w:p>
    <w:p w14:paraId="6F1580CB" w14:textId="77777777" w:rsidR="002A1316" w:rsidRPr="00572008" w:rsidRDefault="002A1316" w:rsidP="00B30CA0">
      <w:pPr>
        <w:jc w:val="both"/>
        <w:rPr>
          <w:rFonts w:ascii="Calibri" w:hAnsi="Calibri" w:cs="Calibri"/>
          <w:sz w:val="22"/>
          <w:szCs w:val="22"/>
        </w:rPr>
      </w:pPr>
    </w:p>
    <w:p w14:paraId="2794E752" w14:textId="3C4C9219" w:rsidR="000D25E9" w:rsidRPr="00572008" w:rsidRDefault="002A1316" w:rsidP="008F5AFD">
      <w:pPr>
        <w:pStyle w:val="BodyTextIndent"/>
        <w:spacing w:after="0"/>
        <w:ind w:left="0"/>
        <w:jc w:val="both"/>
        <w:rPr>
          <w:rFonts w:ascii="Calibri" w:hAnsi="Calibri" w:cs="Calibri"/>
          <w:sz w:val="22"/>
          <w:szCs w:val="22"/>
        </w:rPr>
      </w:pPr>
      <w:r w:rsidRPr="00572008">
        <w:rPr>
          <w:rFonts w:ascii="Calibri" w:hAnsi="Calibri" w:cs="Calibri"/>
          <w:b/>
          <w:bCs/>
          <w:sz w:val="22"/>
        </w:rPr>
        <w:t>Description of Issue:</w:t>
      </w:r>
      <w:r w:rsidR="00F7468A" w:rsidRPr="00572008">
        <w:rPr>
          <w:rFonts w:ascii="Calibri" w:hAnsi="Calibri" w:cs="Calibri"/>
          <w:sz w:val="22"/>
        </w:rPr>
        <w:t xml:space="preserve"> </w:t>
      </w:r>
      <w:r w:rsidR="00A818A1" w:rsidRPr="00572008">
        <w:rPr>
          <w:rFonts w:ascii="Calibri" w:hAnsi="Calibri" w:cs="Calibri"/>
          <w:sz w:val="22"/>
          <w:szCs w:val="22"/>
        </w:rPr>
        <w:t xml:space="preserve">This </w:t>
      </w:r>
      <w:r w:rsidR="00463E98" w:rsidRPr="00572008">
        <w:rPr>
          <w:rFonts w:ascii="Calibri" w:hAnsi="Calibri" w:cs="Calibri"/>
          <w:sz w:val="22"/>
          <w:szCs w:val="22"/>
        </w:rPr>
        <w:t xml:space="preserve">agenda item </w:t>
      </w:r>
      <w:r w:rsidR="007F5DAE" w:rsidRPr="00572008">
        <w:rPr>
          <w:rFonts w:ascii="Calibri" w:hAnsi="Calibri" w:cs="Calibri"/>
          <w:sz w:val="22"/>
          <w:szCs w:val="22"/>
        </w:rPr>
        <w:t xml:space="preserve">has been prepared to present the proposed IMR </w:t>
      </w:r>
      <w:r w:rsidR="000D25E9" w:rsidRPr="00572008">
        <w:rPr>
          <w:rFonts w:ascii="Calibri" w:hAnsi="Calibri" w:cs="Calibri"/>
          <w:sz w:val="22"/>
          <w:szCs w:val="22"/>
        </w:rPr>
        <w:t xml:space="preserve">proof of reinvestment </w:t>
      </w:r>
      <w:r w:rsidR="00986CFF" w:rsidRPr="00572008">
        <w:rPr>
          <w:rFonts w:ascii="Calibri" w:hAnsi="Calibri" w:cs="Calibri"/>
          <w:sz w:val="22"/>
          <w:szCs w:val="22"/>
        </w:rPr>
        <w:t>requirement</w:t>
      </w:r>
      <w:r w:rsidR="000D25E9" w:rsidRPr="00572008">
        <w:rPr>
          <w:rFonts w:ascii="Calibri" w:hAnsi="Calibri" w:cs="Calibri"/>
          <w:sz w:val="22"/>
          <w:szCs w:val="22"/>
        </w:rPr>
        <w:t xml:space="preserve"> discussed by the IMR Ad Hoc Group to the</w:t>
      </w:r>
      <w:r w:rsidR="007F5DAE" w:rsidRPr="00572008">
        <w:rPr>
          <w:rFonts w:ascii="Calibri" w:hAnsi="Calibri" w:cs="Calibri"/>
          <w:sz w:val="22"/>
          <w:szCs w:val="22"/>
        </w:rPr>
        <w:t xml:space="preserve"> Working Group</w:t>
      </w:r>
      <w:r w:rsidR="000D25E9" w:rsidRPr="00572008">
        <w:rPr>
          <w:rFonts w:ascii="Calibri" w:hAnsi="Calibri" w:cs="Calibri"/>
          <w:sz w:val="22"/>
          <w:szCs w:val="22"/>
        </w:rPr>
        <w:t xml:space="preserve"> for consideration. </w:t>
      </w:r>
      <w:r w:rsidR="009A4CA4" w:rsidRPr="00572008">
        <w:rPr>
          <w:rFonts w:ascii="Calibri" w:hAnsi="Calibri" w:cs="Calibri"/>
          <w:sz w:val="22"/>
          <w:szCs w:val="22"/>
        </w:rPr>
        <w:t xml:space="preserve">A fundamental concept of </w:t>
      </w:r>
      <w:r w:rsidR="0058788A" w:rsidRPr="00572008">
        <w:rPr>
          <w:rFonts w:ascii="Calibri" w:hAnsi="Calibri" w:cs="Calibri"/>
          <w:sz w:val="22"/>
          <w:szCs w:val="22"/>
        </w:rPr>
        <w:t xml:space="preserve">a </w:t>
      </w:r>
      <w:r w:rsidR="009A4CA4" w:rsidRPr="00572008">
        <w:rPr>
          <w:rFonts w:ascii="Calibri" w:hAnsi="Calibri" w:cs="Calibri"/>
          <w:sz w:val="22"/>
          <w:szCs w:val="22"/>
        </w:rPr>
        <w:t xml:space="preserve">negative </w:t>
      </w:r>
      <w:r w:rsidR="0058788A" w:rsidRPr="00572008">
        <w:rPr>
          <w:rFonts w:ascii="Calibri" w:hAnsi="Calibri" w:cs="Calibri"/>
          <w:sz w:val="22"/>
          <w:szCs w:val="22"/>
        </w:rPr>
        <w:t>interest maintenance reserve (</w:t>
      </w:r>
      <w:r w:rsidR="009A4CA4" w:rsidRPr="00572008">
        <w:rPr>
          <w:rFonts w:ascii="Calibri" w:hAnsi="Calibri" w:cs="Calibri"/>
          <w:sz w:val="22"/>
          <w:szCs w:val="22"/>
        </w:rPr>
        <w:t>IMR</w:t>
      </w:r>
      <w:r w:rsidR="0058788A" w:rsidRPr="00572008">
        <w:rPr>
          <w:rFonts w:ascii="Calibri" w:hAnsi="Calibri" w:cs="Calibri"/>
          <w:sz w:val="22"/>
          <w:szCs w:val="22"/>
        </w:rPr>
        <w:t>)</w:t>
      </w:r>
      <w:r w:rsidR="008933CF" w:rsidRPr="00572008">
        <w:rPr>
          <w:rStyle w:val="FootnoteReference"/>
          <w:rFonts w:ascii="Calibri" w:hAnsi="Calibri" w:cs="Calibri"/>
          <w:sz w:val="22"/>
          <w:szCs w:val="22"/>
        </w:rPr>
        <w:footnoteReference w:id="2"/>
      </w:r>
      <w:r w:rsidR="009A4CA4" w:rsidRPr="00572008">
        <w:rPr>
          <w:rFonts w:ascii="Calibri" w:hAnsi="Calibri" w:cs="Calibri"/>
          <w:sz w:val="22"/>
          <w:szCs w:val="22"/>
        </w:rPr>
        <w:t>, supporting the deferral</w:t>
      </w:r>
      <w:r w:rsidR="00E91243" w:rsidRPr="00572008">
        <w:rPr>
          <w:rFonts w:ascii="Calibri" w:hAnsi="Calibri" w:cs="Calibri"/>
          <w:sz w:val="22"/>
          <w:szCs w:val="22"/>
        </w:rPr>
        <w:t xml:space="preserve"> of realized loss recognition with </w:t>
      </w:r>
      <w:r w:rsidR="009A4CA4" w:rsidRPr="00572008">
        <w:rPr>
          <w:rFonts w:ascii="Calibri" w:hAnsi="Calibri" w:cs="Calibri"/>
          <w:sz w:val="22"/>
          <w:szCs w:val="22"/>
        </w:rPr>
        <w:t>amortization over</w:t>
      </w:r>
      <w:r w:rsidR="00E15A18">
        <w:rPr>
          <w:rFonts w:ascii="Calibri" w:hAnsi="Calibri" w:cs="Calibri"/>
          <w:sz w:val="22"/>
          <w:szCs w:val="22"/>
        </w:rPr>
        <w:t xml:space="preserve"> </w:t>
      </w:r>
      <w:r w:rsidR="009A4CA4" w:rsidRPr="00572008">
        <w:rPr>
          <w:rFonts w:ascii="Calibri" w:hAnsi="Calibri" w:cs="Calibri"/>
          <w:sz w:val="22"/>
          <w:szCs w:val="22"/>
        </w:rPr>
        <w:t xml:space="preserve">time, </w:t>
      </w:r>
      <w:r w:rsidR="00E91243" w:rsidRPr="00572008">
        <w:rPr>
          <w:rFonts w:ascii="Calibri" w:hAnsi="Calibri" w:cs="Calibri"/>
          <w:sz w:val="22"/>
          <w:szCs w:val="22"/>
        </w:rPr>
        <w:t xml:space="preserve">is that the proceeds from the sale of the fixed-income instruments have been </w:t>
      </w:r>
      <w:r w:rsidR="00986CFF" w:rsidRPr="00572008">
        <w:rPr>
          <w:rFonts w:ascii="Calibri" w:hAnsi="Calibri" w:cs="Calibri"/>
          <w:sz w:val="22"/>
          <w:szCs w:val="22"/>
        </w:rPr>
        <w:t>reinvested</w:t>
      </w:r>
      <w:r w:rsidR="00E91243" w:rsidRPr="00572008">
        <w:rPr>
          <w:rFonts w:ascii="Calibri" w:hAnsi="Calibri" w:cs="Calibri"/>
          <w:sz w:val="22"/>
          <w:szCs w:val="22"/>
        </w:rPr>
        <w:t xml:space="preserve"> into new fixed income instruments with a higher yield. </w:t>
      </w:r>
      <w:r w:rsidR="008A39DB" w:rsidRPr="00572008">
        <w:rPr>
          <w:rFonts w:ascii="Calibri" w:hAnsi="Calibri" w:cs="Calibri"/>
          <w:sz w:val="22"/>
          <w:szCs w:val="22"/>
        </w:rPr>
        <w:t>Although the tracking of sales proceeds to specific acquisition</w:t>
      </w:r>
      <w:r w:rsidR="00986CFF" w:rsidRPr="00572008">
        <w:rPr>
          <w:rFonts w:ascii="Calibri" w:hAnsi="Calibri" w:cs="Calibri"/>
          <w:sz w:val="22"/>
          <w:szCs w:val="22"/>
        </w:rPr>
        <w:t>s</w:t>
      </w:r>
      <w:r w:rsidR="008A39DB" w:rsidRPr="00572008">
        <w:rPr>
          <w:rFonts w:ascii="Calibri" w:hAnsi="Calibri" w:cs="Calibri"/>
          <w:sz w:val="22"/>
          <w:szCs w:val="22"/>
        </w:rPr>
        <w:t xml:space="preserve"> was noted as </w:t>
      </w:r>
      <w:r w:rsidR="00B67606" w:rsidRPr="00572008">
        <w:rPr>
          <w:rFonts w:ascii="Calibri" w:hAnsi="Calibri" w:cs="Calibri"/>
          <w:sz w:val="22"/>
          <w:szCs w:val="22"/>
        </w:rPr>
        <w:t xml:space="preserve">the ideal approach, </w:t>
      </w:r>
      <w:r w:rsidR="00DD0B09" w:rsidRPr="00572008">
        <w:rPr>
          <w:rFonts w:ascii="Calibri" w:hAnsi="Calibri" w:cs="Calibri"/>
          <w:sz w:val="22"/>
          <w:szCs w:val="22"/>
        </w:rPr>
        <w:t>such</w:t>
      </w:r>
      <w:r w:rsidR="00B67606" w:rsidRPr="00572008">
        <w:rPr>
          <w:rFonts w:ascii="Calibri" w:hAnsi="Calibri" w:cs="Calibri"/>
          <w:sz w:val="22"/>
          <w:szCs w:val="22"/>
        </w:rPr>
        <w:t xml:space="preserve"> </w:t>
      </w:r>
      <w:r w:rsidR="00986CFF" w:rsidRPr="00572008">
        <w:rPr>
          <w:rFonts w:ascii="Calibri" w:hAnsi="Calibri" w:cs="Calibri"/>
          <w:sz w:val="22"/>
          <w:szCs w:val="22"/>
        </w:rPr>
        <w:t xml:space="preserve">specific investment </w:t>
      </w:r>
      <w:r w:rsidR="00B67606" w:rsidRPr="00572008">
        <w:rPr>
          <w:rFonts w:ascii="Calibri" w:hAnsi="Calibri" w:cs="Calibri"/>
          <w:sz w:val="22"/>
          <w:szCs w:val="22"/>
        </w:rPr>
        <w:t xml:space="preserve">tracking is not </w:t>
      </w:r>
      <w:r w:rsidR="00986CFF" w:rsidRPr="00572008">
        <w:rPr>
          <w:rFonts w:ascii="Calibri" w:hAnsi="Calibri" w:cs="Calibri"/>
          <w:sz w:val="22"/>
          <w:szCs w:val="22"/>
        </w:rPr>
        <w:t>realistic</w:t>
      </w:r>
      <w:r w:rsidR="00B67606" w:rsidRPr="00572008">
        <w:rPr>
          <w:rFonts w:ascii="Calibri" w:hAnsi="Calibri" w:cs="Calibri"/>
          <w:sz w:val="22"/>
          <w:szCs w:val="22"/>
        </w:rPr>
        <w:t xml:space="preserve"> within insurance companies. </w:t>
      </w:r>
      <w:r w:rsidR="00DD0B09" w:rsidRPr="00572008">
        <w:rPr>
          <w:rFonts w:ascii="Calibri" w:hAnsi="Calibri" w:cs="Calibri"/>
          <w:sz w:val="22"/>
          <w:szCs w:val="22"/>
        </w:rPr>
        <w:t>To facilitate verification without specific investment tracking</w:t>
      </w:r>
      <w:r w:rsidR="002E057A" w:rsidRPr="00572008">
        <w:rPr>
          <w:rFonts w:ascii="Calibri" w:hAnsi="Calibri" w:cs="Calibri"/>
          <w:sz w:val="22"/>
          <w:szCs w:val="22"/>
        </w:rPr>
        <w:t xml:space="preserve">, a calculation template has been developed </w:t>
      </w:r>
      <w:r w:rsidR="00A82534" w:rsidRPr="00572008">
        <w:rPr>
          <w:rFonts w:ascii="Calibri" w:hAnsi="Calibri" w:cs="Calibri"/>
          <w:sz w:val="22"/>
          <w:szCs w:val="22"/>
        </w:rPr>
        <w:t xml:space="preserve">to determine whether </w:t>
      </w:r>
      <w:r w:rsidR="004E6626" w:rsidRPr="00572008">
        <w:rPr>
          <w:rFonts w:ascii="Calibri" w:hAnsi="Calibri" w:cs="Calibri"/>
          <w:sz w:val="22"/>
          <w:szCs w:val="22"/>
        </w:rPr>
        <w:t xml:space="preserve">reporting entities are sufficiently acquiring fixed-income instruments </w:t>
      </w:r>
      <w:r w:rsidR="00085C46" w:rsidRPr="00572008">
        <w:rPr>
          <w:rFonts w:ascii="Calibri" w:hAnsi="Calibri" w:cs="Calibri"/>
          <w:sz w:val="22"/>
          <w:szCs w:val="22"/>
        </w:rPr>
        <w:t xml:space="preserve">in comparison to their investable premium and sold </w:t>
      </w:r>
      <w:r w:rsidR="00986CFF" w:rsidRPr="00572008">
        <w:rPr>
          <w:rFonts w:ascii="Calibri" w:hAnsi="Calibri" w:cs="Calibri"/>
          <w:sz w:val="22"/>
          <w:szCs w:val="22"/>
        </w:rPr>
        <w:t xml:space="preserve">fixed-income </w:t>
      </w:r>
      <w:r w:rsidR="00085C46" w:rsidRPr="00572008">
        <w:rPr>
          <w:rFonts w:ascii="Calibri" w:hAnsi="Calibri" w:cs="Calibri"/>
          <w:sz w:val="22"/>
          <w:szCs w:val="22"/>
        </w:rPr>
        <w:t xml:space="preserve">investments, and if the weighted average yield on </w:t>
      </w:r>
      <w:r w:rsidR="00986CFF" w:rsidRPr="00572008">
        <w:rPr>
          <w:rFonts w:ascii="Calibri" w:hAnsi="Calibri" w:cs="Calibri"/>
          <w:sz w:val="22"/>
          <w:szCs w:val="22"/>
        </w:rPr>
        <w:t xml:space="preserve">the </w:t>
      </w:r>
      <w:r w:rsidR="00085C46" w:rsidRPr="00572008">
        <w:rPr>
          <w:rFonts w:ascii="Calibri" w:hAnsi="Calibri" w:cs="Calibri"/>
          <w:sz w:val="22"/>
          <w:szCs w:val="22"/>
        </w:rPr>
        <w:t xml:space="preserve">investments acquired is greater than the weighted average yield of </w:t>
      </w:r>
      <w:r w:rsidR="00986CFF" w:rsidRPr="00572008">
        <w:rPr>
          <w:rFonts w:ascii="Calibri" w:hAnsi="Calibri" w:cs="Calibri"/>
          <w:sz w:val="22"/>
          <w:szCs w:val="22"/>
        </w:rPr>
        <w:t xml:space="preserve">the </w:t>
      </w:r>
      <w:r w:rsidR="00085C46" w:rsidRPr="00572008">
        <w:rPr>
          <w:rFonts w:ascii="Calibri" w:hAnsi="Calibri" w:cs="Calibri"/>
          <w:sz w:val="22"/>
          <w:szCs w:val="22"/>
        </w:rPr>
        <w:t xml:space="preserve">investments sold. Under the concepts </w:t>
      </w:r>
      <w:r w:rsidR="00715BA8" w:rsidRPr="00572008">
        <w:rPr>
          <w:rFonts w:ascii="Calibri" w:hAnsi="Calibri" w:cs="Calibri"/>
          <w:sz w:val="22"/>
          <w:szCs w:val="22"/>
        </w:rPr>
        <w:t xml:space="preserve">supported by the IMR Ad Hoc Group, a company would be required to complete and pass both tests </w:t>
      </w:r>
      <w:r w:rsidR="0089789D" w:rsidRPr="00572008">
        <w:rPr>
          <w:rFonts w:ascii="Calibri" w:hAnsi="Calibri" w:cs="Calibri"/>
          <w:sz w:val="22"/>
          <w:szCs w:val="22"/>
        </w:rPr>
        <w:t xml:space="preserve">(reinvestment and weighted average yield) </w:t>
      </w:r>
      <w:r w:rsidR="00715BA8" w:rsidRPr="00572008">
        <w:rPr>
          <w:rFonts w:ascii="Calibri" w:hAnsi="Calibri" w:cs="Calibri"/>
          <w:sz w:val="22"/>
          <w:szCs w:val="22"/>
        </w:rPr>
        <w:t xml:space="preserve">within the proof </w:t>
      </w:r>
      <w:r w:rsidR="00F0785D" w:rsidRPr="00572008">
        <w:rPr>
          <w:rFonts w:ascii="Calibri" w:hAnsi="Calibri" w:cs="Calibri"/>
          <w:sz w:val="22"/>
          <w:szCs w:val="22"/>
        </w:rPr>
        <w:t xml:space="preserve">of reinvestment </w:t>
      </w:r>
      <w:r w:rsidR="00715BA8" w:rsidRPr="00572008">
        <w:rPr>
          <w:rFonts w:ascii="Calibri" w:hAnsi="Calibri" w:cs="Calibri"/>
          <w:sz w:val="22"/>
          <w:szCs w:val="22"/>
        </w:rPr>
        <w:t>in order to move to a net negative IMR</w:t>
      </w:r>
      <w:r w:rsidR="00F702E2" w:rsidRPr="00572008">
        <w:rPr>
          <w:rFonts w:ascii="Calibri" w:hAnsi="Calibri" w:cs="Calibri"/>
          <w:sz w:val="22"/>
          <w:szCs w:val="22"/>
        </w:rPr>
        <w:t xml:space="preserve"> </w:t>
      </w:r>
      <w:r w:rsidR="00715BA8" w:rsidRPr="00572008">
        <w:rPr>
          <w:rFonts w:ascii="Calibri" w:hAnsi="Calibri" w:cs="Calibri"/>
          <w:sz w:val="22"/>
          <w:szCs w:val="22"/>
        </w:rPr>
        <w:t xml:space="preserve">balance </w:t>
      </w:r>
      <w:r w:rsidR="00F04129" w:rsidRPr="00572008">
        <w:rPr>
          <w:rFonts w:ascii="Calibri" w:hAnsi="Calibri" w:cs="Calibri"/>
          <w:sz w:val="22"/>
          <w:szCs w:val="22"/>
        </w:rPr>
        <w:t xml:space="preserve">(from a prior positive IMR position) </w:t>
      </w:r>
      <w:r w:rsidR="00715BA8" w:rsidRPr="00572008">
        <w:rPr>
          <w:rFonts w:ascii="Calibri" w:hAnsi="Calibri" w:cs="Calibri"/>
          <w:sz w:val="22"/>
          <w:szCs w:val="22"/>
        </w:rPr>
        <w:t xml:space="preserve">and/or increase a prior year net negative IMR balance. </w:t>
      </w:r>
      <w:r w:rsidR="00831BDA" w:rsidRPr="00572008">
        <w:rPr>
          <w:rFonts w:ascii="Calibri" w:hAnsi="Calibri" w:cs="Calibri"/>
          <w:sz w:val="22"/>
          <w:szCs w:val="22"/>
        </w:rPr>
        <w:t xml:space="preserve">Reporting entities with a net positive IMR, regardless of the extent of sales resulting in realized losses throughout the year, would not be required to complete the proof. </w:t>
      </w:r>
      <w:r w:rsidR="007C250D" w:rsidRPr="00572008">
        <w:rPr>
          <w:rFonts w:ascii="Calibri" w:hAnsi="Calibri" w:cs="Calibri"/>
          <w:sz w:val="22"/>
          <w:szCs w:val="22"/>
        </w:rPr>
        <w:t xml:space="preserve">Reporting entities that fail the proof would only be permitted to recognize in IMR current year realized losses that offset current year realized gains. </w:t>
      </w:r>
      <w:r w:rsidR="004701AF" w:rsidRPr="00572008">
        <w:rPr>
          <w:rFonts w:ascii="Calibri" w:hAnsi="Calibri" w:cs="Calibri"/>
          <w:sz w:val="22"/>
          <w:szCs w:val="22"/>
        </w:rPr>
        <w:t xml:space="preserve">If the reporting entity </w:t>
      </w:r>
      <w:r w:rsidR="00973665" w:rsidRPr="00572008">
        <w:rPr>
          <w:rFonts w:ascii="Calibri" w:hAnsi="Calibri" w:cs="Calibri"/>
          <w:sz w:val="22"/>
          <w:szCs w:val="22"/>
        </w:rPr>
        <w:t xml:space="preserve">that failed the proof </w:t>
      </w:r>
      <w:r w:rsidR="004701AF" w:rsidRPr="00572008">
        <w:rPr>
          <w:rFonts w:ascii="Calibri" w:hAnsi="Calibri" w:cs="Calibri"/>
          <w:sz w:val="22"/>
          <w:szCs w:val="22"/>
        </w:rPr>
        <w:t xml:space="preserve">had additional realized losses, those losses would be recognized as a </w:t>
      </w:r>
      <w:r w:rsidR="00973665" w:rsidRPr="00572008">
        <w:rPr>
          <w:rFonts w:ascii="Calibri" w:hAnsi="Calibri" w:cs="Calibri"/>
          <w:sz w:val="22"/>
          <w:szCs w:val="22"/>
        </w:rPr>
        <w:t xml:space="preserve">direct surplus impact and would not be recognized/deferred through IMR. </w:t>
      </w:r>
      <w:r w:rsidR="00EE764D" w:rsidRPr="00572008">
        <w:rPr>
          <w:rFonts w:ascii="Calibri" w:hAnsi="Calibri" w:cs="Calibri"/>
          <w:sz w:val="22"/>
          <w:szCs w:val="22"/>
        </w:rPr>
        <w:t>For clarity, although reference is made to fixed-income investments, the proof of reinvestment focuses on bonds and mortgage loans as they comprise the majority of fixed-income investments at reporting entities. This</w:t>
      </w:r>
      <w:r w:rsidR="0000152F" w:rsidRPr="00572008">
        <w:rPr>
          <w:rFonts w:ascii="Calibri" w:hAnsi="Calibri" w:cs="Calibri"/>
          <w:sz w:val="22"/>
          <w:szCs w:val="22"/>
        </w:rPr>
        <w:t xml:space="preserve"> limitation intends to allow for a more simplistic calculation that still meets the spirit of the overall intent of the proof of reinvestment. </w:t>
      </w:r>
    </w:p>
    <w:p w14:paraId="16D2AEF0" w14:textId="77777777" w:rsidR="0058788A" w:rsidRPr="00572008" w:rsidRDefault="0058788A" w:rsidP="008F5AFD">
      <w:pPr>
        <w:pStyle w:val="BodyTextIndent"/>
        <w:spacing w:after="0"/>
        <w:ind w:left="0"/>
        <w:jc w:val="both"/>
        <w:rPr>
          <w:rFonts w:ascii="Calibri" w:hAnsi="Calibri" w:cs="Calibri"/>
          <w:sz w:val="22"/>
          <w:szCs w:val="22"/>
        </w:rPr>
      </w:pPr>
    </w:p>
    <w:p w14:paraId="710DF359" w14:textId="528A5BE3" w:rsidR="00CC43B1" w:rsidRDefault="00CA6A35" w:rsidP="008F5AFD">
      <w:pPr>
        <w:pStyle w:val="BodyTextIndent"/>
        <w:spacing w:after="0"/>
        <w:ind w:left="0"/>
        <w:jc w:val="both"/>
        <w:rPr>
          <w:rFonts w:ascii="Calibri" w:hAnsi="Calibri" w:cs="Calibri"/>
          <w:sz w:val="22"/>
          <w:szCs w:val="22"/>
        </w:rPr>
      </w:pPr>
      <w:r w:rsidRPr="00572008">
        <w:rPr>
          <w:rFonts w:ascii="Calibri" w:hAnsi="Calibri" w:cs="Calibri"/>
          <w:sz w:val="22"/>
          <w:szCs w:val="22"/>
        </w:rPr>
        <w:t xml:space="preserve">The IMR Ad Hoc Group considered </w:t>
      </w:r>
      <w:r w:rsidR="0000152F" w:rsidRPr="00572008">
        <w:rPr>
          <w:rFonts w:ascii="Calibri" w:hAnsi="Calibri" w:cs="Calibri"/>
          <w:sz w:val="22"/>
          <w:szCs w:val="22"/>
        </w:rPr>
        <w:t xml:space="preserve">the proof concept </w:t>
      </w:r>
      <w:r w:rsidR="003C7AD5" w:rsidRPr="00572008">
        <w:rPr>
          <w:rFonts w:ascii="Calibri" w:hAnsi="Calibri" w:cs="Calibri"/>
          <w:sz w:val="22"/>
          <w:szCs w:val="22"/>
        </w:rPr>
        <w:t>for t</w:t>
      </w:r>
      <w:r w:rsidRPr="00572008">
        <w:rPr>
          <w:rFonts w:ascii="Calibri" w:hAnsi="Calibri" w:cs="Calibri"/>
          <w:sz w:val="22"/>
          <w:szCs w:val="22"/>
        </w:rPr>
        <w:t xml:space="preserve">he general account and the separate </w:t>
      </w:r>
      <w:r w:rsidR="00BF52CB" w:rsidRPr="00572008">
        <w:rPr>
          <w:rFonts w:ascii="Calibri" w:hAnsi="Calibri" w:cs="Calibri"/>
          <w:sz w:val="22"/>
          <w:szCs w:val="22"/>
        </w:rPr>
        <w:t>accounts and</w:t>
      </w:r>
      <w:r w:rsidRPr="00572008">
        <w:rPr>
          <w:rFonts w:ascii="Calibri" w:hAnsi="Calibri" w:cs="Calibri"/>
          <w:sz w:val="22"/>
          <w:szCs w:val="22"/>
        </w:rPr>
        <w:t xml:space="preserve"> determined that </w:t>
      </w:r>
      <w:r w:rsidR="00AF2327" w:rsidRPr="00572008">
        <w:rPr>
          <w:rFonts w:ascii="Calibri" w:hAnsi="Calibri" w:cs="Calibri"/>
          <w:sz w:val="22"/>
          <w:szCs w:val="22"/>
        </w:rPr>
        <w:t>individual</w:t>
      </w:r>
      <w:r w:rsidRPr="00572008">
        <w:rPr>
          <w:rFonts w:ascii="Calibri" w:hAnsi="Calibri" w:cs="Calibri"/>
          <w:sz w:val="22"/>
          <w:szCs w:val="22"/>
        </w:rPr>
        <w:t xml:space="preserve"> proof calculations should be completed for each </w:t>
      </w:r>
      <w:r w:rsidR="00346BE4" w:rsidRPr="00572008">
        <w:rPr>
          <w:rFonts w:ascii="Calibri" w:hAnsi="Calibri" w:cs="Calibri"/>
          <w:sz w:val="22"/>
          <w:szCs w:val="22"/>
        </w:rPr>
        <w:t xml:space="preserve">filed </w:t>
      </w:r>
      <w:r w:rsidRPr="00572008">
        <w:rPr>
          <w:rFonts w:ascii="Calibri" w:hAnsi="Calibri" w:cs="Calibri"/>
          <w:sz w:val="22"/>
          <w:szCs w:val="22"/>
        </w:rPr>
        <w:t>account separately</w:t>
      </w:r>
      <w:r w:rsidR="00BF52CB" w:rsidRPr="00572008">
        <w:rPr>
          <w:rFonts w:ascii="Calibri" w:hAnsi="Calibri" w:cs="Calibri"/>
          <w:sz w:val="22"/>
          <w:szCs w:val="22"/>
        </w:rPr>
        <w:t xml:space="preserve">, based on the position of IMR in </w:t>
      </w:r>
      <w:r w:rsidR="003C7AD5" w:rsidRPr="00572008">
        <w:rPr>
          <w:rFonts w:ascii="Calibri" w:hAnsi="Calibri" w:cs="Calibri"/>
          <w:sz w:val="22"/>
          <w:szCs w:val="22"/>
        </w:rPr>
        <w:t>each</w:t>
      </w:r>
      <w:r w:rsidR="00BF52CB" w:rsidRPr="00572008">
        <w:rPr>
          <w:rFonts w:ascii="Calibri" w:hAnsi="Calibri" w:cs="Calibri"/>
          <w:sz w:val="22"/>
          <w:szCs w:val="22"/>
        </w:rPr>
        <w:t xml:space="preserve">. As such, separate templates have been created for both the general account and the separate account. </w:t>
      </w:r>
      <w:r w:rsidR="00CE30BF" w:rsidRPr="00572008">
        <w:rPr>
          <w:rFonts w:ascii="Calibri" w:hAnsi="Calibri" w:cs="Calibri"/>
          <w:sz w:val="22"/>
          <w:szCs w:val="22"/>
        </w:rPr>
        <w:t>To be clear</w:t>
      </w:r>
      <w:r w:rsidR="00CC43B1" w:rsidRPr="00572008">
        <w:rPr>
          <w:rFonts w:ascii="Calibri" w:hAnsi="Calibri" w:cs="Calibri"/>
          <w:sz w:val="22"/>
          <w:szCs w:val="22"/>
        </w:rPr>
        <w:t xml:space="preserve"> on application requirements: </w:t>
      </w:r>
    </w:p>
    <w:p w14:paraId="539A0034" w14:textId="77777777" w:rsidR="00572008" w:rsidRPr="00572008" w:rsidRDefault="00572008" w:rsidP="008F5AFD">
      <w:pPr>
        <w:pStyle w:val="BodyTextIndent"/>
        <w:spacing w:after="0"/>
        <w:ind w:left="0"/>
        <w:jc w:val="both"/>
        <w:rPr>
          <w:rFonts w:ascii="Calibri" w:hAnsi="Calibri" w:cs="Calibri"/>
          <w:sz w:val="22"/>
          <w:szCs w:val="22"/>
        </w:rPr>
      </w:pPr>
    </w:p>
    <w:p w14:paraId="2CAAB28E" w14:textId="1A7F41AB" w:rsidR="00CC43B1" w:rsidRPr="00572008" w:rsidRDefault="00CC43B1" w:rsidP="00CC43B1">
      <w:pPr>
        <w:pStyle w:val="BodyTextIndent"/>
        <w:numPr>
          <w:ilvl w:val="0"/>
          <w:numId w:val="36"/>
        </w:numPr>
        <w:spacing w:after="0"/>
        <w:jc w:val="both"/>
        <w:rPr>
          <w:rFonts w:ascii="Calibri" w:hAnsi="Calibri" w:cs="Calibri"/>
          <w:sz w:val="22"/>
          <w:szCs w:val="22"/>
        </w:rPr>
      </w:pPr>
      <w:r w:rsidRPr="00572008">
        <w:rPr>
          <w:rFonts w:ascii="Calibri" w:hAnsi="Calibri" w:cs="Calibri"/>
          <w:sz w:val="22"/>
          <w:szCs w:val="22"/>
        </w:rPr>
        <w:lastRenderedPageBreak/>
        <w:t>I</w:t>
      </w:r>
      <w:r w:rsidR="00CE30BF" w:rsidRPr="00572008">
        <w:rPr>
          <w:rFonts w:ascii="Calibri" w:hAnsi="Calibri" w:cs="Calibri"/>
          <w:sz w:val="22"/>
          <w:szCs w:val="22"/>
        </w:rPr>
        <w:t xml:space="preserve">f the general account went net negative or increased the net negative balance, then a proof would be required for the general account. This would be required regardless of whether </w:t>
      </w:r>
      <w:r w:rsidR="00B271BA" w:rsidRPr="00572008">
        <w:rPr>
          <w:rFonts w:ascii="Calibri" w:hAnsi="Calibri" w:cs="Calibri"/>
          <w:sz w:val="22"/>
          <w:szCs w:val="22"/>
        </w:rPr>
        <w:t>any</w:t>
      </w:r>
      <w:r w:rsidR="00CE30BF" w:rsidRPr="00572008">
        <w:rPr>
          <w:rFonts w:ascii="Calibri" w:hAnsi="Calibri" w:cs="Calibri"/>
          <w:sz w:val="22"/>
          <w:szCs w:val="22"/>
        </w:rPr>
        <w:t xml:space="preserve"> separate account </w:t>
      </w:r>
      <w:r w:rsidR="00B271BA" w:rsidRPr="00572008">
        <w:rPr>
          <w:rFonts w:ascii="Calibri" w:hAnsi="Calibri" w:cs="Calibri"/>
          <w:sz w:val="22"/>
          <w:szCs w:val="22"/>
        </w:rPr>
        <w:t xml:space="preserve">(insulated or non-insulated) </w:t>
      </w:r>
      <w:r w:rsidR="00CE30BF" w:rsidRPr="00572008">
        <w:rPr>
          <w:rFonts w:ascii="Calibri" w:hAnsi="Calibri" w:cs="Calibri"/>
          <w:sz w:val="22"/>
          <w:szCs w:val="22"/>
        </w:rPr>
        <w:t xml:space="preserve">was in a positive </w:t>
      </w:r>
      <w:r w:rsidR="002B6C37" w:rsidRPr="00572008">
        <w:rPr>
          <w:rFonts w:ascii="Calibri" w:hAnsi="Calibri" w:cs="Calibri"/>
          <w:sz w:val="22"/>
          <w:szCs w:val="22"/>
        </w:rPr>
        <w:t xml:space="preserve">IMR </w:t>
      </w:r>
      <w:r w:rsidR="00630DA0" w:rsidRPr="00572008">
        <w:rPr>
          <w:rFonts w:ascii="Calibri" w:hAnsi="Calibri" w:cs="Calibri"/>
          <w:sz w:val="22"/>
          <w:szCs w:val="22"/>
        </w:rPr>
        <w:t xml:space="preserve">position. </w:t>
      </w:r>
    </w:p>
    <w:p w14:paraId="6B85B587" w14:textId="77777777" w:rsidR="00CC43B1" w:rsidRPr="00572008" w:rsidRDefault="00CC43B1" w:rsidP="00CC43B1">
      <w:pPr>
        <w:pStyle w:val="BodyTextIndent"/>
        <w:spacing w:after="0"/>
        <w:ind w:left="720"/>
        <w:jc w:val="both"/>
        <w:rPr>
          <w:rFonts w:ascii="Calibri" w:hAnsi="Calibri" w:cs="Calibri"/>
          <w:sz w:val="22"/>
          <w:szCs w:val="22"/>
        </w:rPr>
      </w:pPr>
    </w:p>
    <w:p w14:paraId="6DCB0C41" w14:textId="359BE3FE" w:rsidR="00973665" w:rsidRPr="00572008" w:rsidRDefault="00630DA0" w:rsidP="00CC43B1">
      <w:pPr>
        <w:pStyle w:val="BodyTextIndent"/>
        <w:numPr>
          <w:ilvl w:val="0"/>
          <w:numId w:val="36"/>
        </w:numPr>
        <w:spacing w:after="0"/>
        <w:jc w:val="both"/>
        <w:rPr>
          <w:rFonts w:ascii="Calibri" w:hAnsi="Calibri" w:cs="Calibri"/>
          <w:sz w:val="22"/>
          <w:szCs w:val="22"/>
        </w:rPr>
      </w:pPr>
      <w:r w:rsidRPr="00572008">
        <w:rPr>
          <w:rFonts w:ascii="Calibri" w:hAnsi="Calibri" w:cs="Calibri"/>
          <w:sz w:val="22"/>
          <w:szCs w:val="22"/>
        </w:rPr>
        <w:t>If a separate account went net negative or increased the net negative balance, then a proof for th</w:t>
      </w:r>
      <w:r w:rsidR="00CC43B1" w:rsidRPr="00572008">
        <w:rPr>
          <w:rFonts w:ascii="Calibri" w:hAnsi="Calibri" w:cs="Calibri"/>
          <w:sz w:val="22"/>
          <w:szCs w:val="22"/>
        </w:rPr>
        <w:t>at</w:t>
      </w:r>
      <w:r w:rsidRPr="00572008">
        <w:rPr>
          <w:rFonts w:ascii="Calibri" w:hAnsi="Calibri" w:cs="Calibri"/>
          <w:sz w:val="22"/>
          <w:szCs w:val="22"/>
        </w:rPr>
        <w:t xml:space="preserve"> separate account would be required. Again, this would be required regardless of whether the general account </w:t>
      </w:r>
      <w:r w:rsidR="00CC43B1" w:rsidRPr="00572008">
        <w:rPr>
          <w:rFonts w:ascii="Calibri" w:hAnsi="Calibri" w:cs="Calibri"/>
          <w:sz w:val="22"/>
          <w:szCs w:val="22"/>
        </w:rPr>
        <w:t xml:space="preserve">or another separate account </w:t>
      </w:r>
      <w:r w:rsidRPr="00572008">
        <w:rPr>
          <w:rFonts w:ascii="Calibri" w:hAnsi="Calibri" w:cs="Calibri"/>
          <w:sz w:val="22"/>
          <w:szCs w:val="22"/>
        </w:rPr>
        <w:t xml:space="preserve">was in a positive </w:t>
      </w:r>
      <w:r w:rsidR="002B6C37" w:rsidRPr="00572008">
        <w:rPr>
          <w:rFonts w:ascii="Calibri" w:hAnsi="Calibri" w:cs="Calibri"/>
          <w:sz w:val="22"/>
          <w:szCs w:val="22"/>
        </w:rPr>
        <w:t xml:space="preserve">IMR </w:t>
      </w:r>
      <w:r w:rsidRPr="00572008">
        <w:rPr>
          <w:rFonts w:ascii="Calibri" w:hAnsi="Calibri" w:cs="Calibri"/>
          <w:sz w:val="22"/>
          <w:szCs w:val="22"/>
        </w:rPr>
        <w:t xml:space="preserve">position. </w:t>
      </w:r>
    </w:p>
    <w:p w14:paraId="4735D637" w14:textId="77777777" w:rsidR="00CC43B1" w:rsidRPr="00572008" w:rsidRDefault="00CC43B1" w:rsidP="00CC43B1">
      <w:pPr>
        <w:pStyle w:val="ListParagraph"/>
        <w:contextualSpacing w:val="0"/>
        <w:rPr>
          <w:rFonts w:ascii="Calibri" w:hAnsi="Calibri" w:cs="Calibri"/>
          <w:sz w:val="22"/>
          <w:szCs w:val="22"/>
        </w:rPr>
      </w:pPr>
    </w:p>
    <w:p w14:paraId="127C5782" w14:textId="393E50B3" w:rsidR="00CC43B1" w:rsidRPr="00572008" w:rsidRDefault="00CC43B1" w:rsidP="00CC43B1">
      <w:pPr>
        <w:pStyle w:val="BodyTextIndent"/>
        <w:spacing w:after="0"/>
        <w:jc w:val="both"/>
        <w:rPr>
          <w:rFonts w:ascii="Calibri" w:hAnsi="Calibri" w:cs="Calibri"/>
          <w:sz w:val="22"/>
          <w:szCs w:val="22"/>
        </w:rPr>
      </w:pPr>
      <w:r w:rsidRPr="00572008">
        <w:rPr>
          <w:rFonts w:ascii="Calibri" w:hAnsi="Calibri" w:cs="Calibri"/>
          <w:sz w:val="22"/>
          <w:szCs w:val="22"/>
        </w:rPr>
        <w:t xml:space="preserve">The IMR Ad Hoc Group has also recently indicated support for eliminating the “disallowed” concept for IMR. </w:t>
      </w:r>
      <w:r w:rsidR="0019160A" w:rsidRPr="00572008">
        <w:rPr>
          <w:rFonts w:ascii="Calibri" w:hAnsi="Calibri" w:cs="Calibri"/>
          <w:sz w:val="22"/>
          <w:szCs w:val="22"/>
        </w:rPr>
        <w:t xml:space="preserve">With this removal, IMR recognition will be fully dependent on the </w:t>
      </w:r>
      <w:r w:rsidR="00B271BA" w:rsidRPr="00572008">
        <w:rPr>
          <w:rFonts w:ascii="Calibri" w:hAnsi="Calibri" w:cs="Calibri"/>
          <w:sz w:val="22"/>
          <w:szCs w:val="22"/>
        </w:rPr>
        <w:t xml:space="preserve">IMR </w:t>
      </w:r>
      <w:r w:rsidR="0019160A" w:rsidRPr="00572008">
        <w:rPr>
          <w:rFonts w:ascii="Calibri" w:hAnsi="Calibri" w:cs="Calibri"/>
          <w:sz w:val="22"/>
          <w:szCs w:val="22"/>
        </w:rPr>
        <w:t xml:space="preserve">position in </w:t>
      </w:r>
      <w:r w:rsidR="00AB60B1" w:rsidRPr="00572008">
        <w:rPr>
          <w:rFonts w:ascii="Calibri" w:hAnsi="Calibri" w:cs="Calibri"/>
          <w:sz w:val="22"/>
          <w:szCs w:val="22"/>
        </w:rPr>
        <w:t>that specific account</w:t>
      </w:r>
      <w:r w:rsidR="0019160A" w:rsidRPr="00572008">
        <w:rPr>
          <w:rFonts w:ascii="Calibri" w:hAnsi="Calibri" w:cs="Calibri"/>
          <w:sz w:val="22"/>
          <w:szCs w:val="22"/>
        </w:rPr>
        <w:t xml:space="preserve">. So, if the general account has a net negative IMR, and </w:t>
      </w:r>
      <w:r w:rsidR="00B271BA" w:rsidRPr="00572008">
        <w:rPr>
          <w:rFonts w:ascii="Calibri" w:hAnsi="Calibri" w:cs="Calibri"/>
          <w:sz w:val="22"/>
          <w:szCs w:val="22"/>
        </w:rPr>
        <w:t>a</w:t>
      </w:r>
      <w:r w:rsidR="0019160A" w:rsidRPr="00572008">
        <w:rPr>
          <w:rFonts w:ascii="Calibri" w:hAnsi="Calibri" w:cs="Calibri"/>
          <w:sz w:val="22"/>
          <w:szCs w:val="22"/>
        </w:rPr>
        <w:t xml:space="preserve"> separate account has a net positive IMR, there would be no recognition of a contra-liabilit</w:t>
      </w:r>
      <w:r w:rsidR="00173828" w:rsidRPr="00572008">
        <w:rPr>
          <w:rFonts w:ascii="Calibri" w:hAnsi="Calibri" w:cs="Calibri"/>
          <w:sz w:val="22"/>
          <w:szCs w:val="22"/>
        </w:rPr>
        <w:t>y offset</w:t>
      </w:r>
      <w:r w:rsidR="007E33E5" w:rsidRPr="00572008">
        <w:rPr>
          <w:rFonts w:ascii="Calibri" w:hAnsi="Calibri" w:cs="Calibri"/>
          <w:sz w:val="22"/>
          <w:szCs w:val="22"/>
        </w:rPr>
        <w:t xml:space="preserve"> in the general account</w:t>
      </w:r>
      <w:r w:rsidR="0019160A" w:rsidRPr="00572008">
        <w:rPr>
          <w:rFonts w:ascii="Calibri" w:hAnsi="Calibri" w:cs="Calibri"/>
          <w:sz w:val="22"/>
          <w:szCs w:val="22"/>
        </w:rPr>
        <w:t xml:space="preserve">. Rather, the general account would show the full negative position on the general account asset </w:t>
      </w:r>
      <w:r w:rsidR="00173828" w:rsidRPr="00572008">
        <w:rPr>
          <w:rFonts w:ascii="Calibri" w:hAnsi="Calibri" w:cs="Calibri"/>
          <w:sz w:val="22"/>
          <w:szCs w:val="22"/>
        </w:rPr>
        <w:t>page,</w:t>
      </w:r>
      <w:r w:rsidR="0019160A" w:rsidRPr="00572008">
        <w:rPr>
          <w:rFonts w:ascii="Calibri" w:hAnsi="Calibri" w:cs="Calibri"/>
          <w:sz w:val="22"/>
          <w:szCs w:val="22"/>
        </w:rPr>
        <w:t xml:space="preserve"> and the separate account would show the full positive position on its liability page. </w:t>
      </w:r>
    </w:p>
    <w:p w14:paraId="078BA395" w14:textId="51206390" w:rsidR="000D25E9" w:rsidRPr="00572008" w:rsidRDefault="000D25E9" w:rsidP="008F5AFD">
      <w:pPr>
        <w:pStyle w:val="BodyTextIndent"/>
        <w:spacing w:after="0"/>
        <w:ind w:left="0"/>
        <w:jc w:val="both"/>
        <w:rPr>
          <w:rFonts w:ascii="Calibri" w:hAnsi="Calibri" w:cs="Calibri"/>
          <w:sz w:val="22"/>
          <w:szCs w:val="22"/>
        </w:rPr>
      </w:pPr>
    </w:p>
    <w:p w14:paraId="0387F0EC" w14:textId="45CD9258" w:rsidR="00C55D84" w:rsidRPr="00572008" w:rsidRDefault="00317793" w:rsidP="008F5AFD">
      <w:pPr>
        <w:pStyle w:val="BodyTextIndent"/>
        <w:spacing w:after="0"/>
        <w:ind w:left="0"/>
        <w:jc w:val="both"/>
        <w:rPr>
          <w:rFonts w:ascii="Calibri" w:hAnsi="Calibri" w:cs="Calibri"/>
          <w:sz w:val="22"/>
          <w:szCs w:val="22"/>
        </w:rPr>
      </w:pPr>
      <w:r w:rsidRPr="00572008">
        <w:rPr>
          <w:rFonts w:ascii="Calibri" w:hAnsi="Calibri" w:cs="Calibri"/>
          <w:sz w:val="22"/>
          <w:szCs w:val="22"/>
        </w:rPr>
        <w:t xml:space="preserve">The </w:t>
      </w:r>
      <w:r w:rsidR="006A421C" w:rsidRPr="00572008">
        <w:rPr>
          <w:rFonts w:ascii="Calibri" w:hAnsi="Calibri" w:cs="Calibri"/>
          <w:sz w:val="22"/>
          <w:szCs w:val="22"/>
        </w:rPr>
        <w:t xml:space="preserve">proof of reinvestment </w:t>
      </w:r>
      <w:r w:rsidR="007E33E5" w:rsidRPr="00572008">
        <w:rPr>
          <w:rFonts w:ascii="Calibri" w:hAnsi="Calibri" w:cs="Calibri"/>
          <w:sz w:val="22"/>
          <w:szCs w:val="22"/>
        </w:rPr>
        <w:t xml:space="preserve">is intended </w:t>
      </w:r>
      <w:r w:rsidR="006A421C" w:rsidRPr="00572008">
        <w:rPr>
          <w:rFonts w:ascii="Calibri" w:hAnsi="Calibri" w:cs="Calibri"/>
          <w:sz w:val="22"/>
          <w:szCs w:val="22"/>
        </w:rPr>
        <w:t xml:space="preserve">to be captured as a disclosure within </w:t>
      </w:r>
      <w:r w:rsidR="007F5DAE" w:rsidRPr="00572008">
        <w:rPr>
          <w:rFonts w:ascii="Calibri" w:hAnsi="Calibri" w:cs="Calibri"/>
          <w:i/>
          <w:iCs/>
          <w:sz w:val="22"/>
          <w:szCs w:val="22"/>
        </w:rPr>
        <w:t>SSAP No. 7</w:t>
      </w:r>
      <w:r w:rsidR="009072B6" w:rsidRPr="00572008">
        <w:rPr>
          <w:rFonts w:ascii="Calibri" w:hAnsi="Calibri" w:cs="Calibri"/>
          <w:i/>
          <w:iCs/>
          <w:sz w:val="22"/>
          <w:szCs w:val="22"/>
        </w:rPr>
        <w:t>—Asset Valuation and Interest Maintenance Reserve</w:t>
      </w:r>
      <w:r w:rsidR="006A421C" w:rsidRPr="00572008">
        <w:rPr>
          <w:rFonts w:ascii="Calibri" w:hAnsi="Calibri" w:cs="Calibri"/>
          <w:sz w:val="22"/>
          <w:szCs w:val="22"/>
        </w:rPr>
        <w:t xml:space="preserve"> for </w:t>
      </w:r>
      <w:r w:rsidR="005B75B1" w:rsidRPr="00572008">
        <w:rPr>
          <w:rFonts w:ascii="Calibri" w:hAnsi="Calibri" w:cs="Calibri"/>
          <w:sz w:val="22"/>
          <w:szCs w:val="22"/>
        </w:rPr>
        <w:t xml:space="preserve">annual </w:t>
      </w:r>
      <w:r w:rsidR="006A421C" w:rsidRPr="00572008">
        <w:rPr>
          <w:rFonts w:ascii="Calibri" w:hAnsi="Calibri" w:cs="Calibri"/>
          <w:sz w:val="22"/>
          <w:szCs w:val="22"/>
        </w:rPr>
        <w:t xml:space="preserve">completion as required by impacted reporting entities. </w:t>
      </w:r>
      <w:r w:rsidR="00A30132" w:rsidRPr="00572008">
        <w:rPr>
          <w:rFonts w:ascii="Calibri" w:hAnsi="Calibri" w:cs="Calibri"/>
          <w:sz w:val="22"/>
          <w:szCs w:val="22"/>
        </w:rPr>
        <w:t xml:space="preserve">As shown within the </w:t>
      </w:r>
      <w:r w:rsidR="004D4DA0" w:rsidRPr="00572008">
        <w:rPr>
          <w:rFonts w:ascii="Calibri" w:hAnsi="Calibri" w:cs="Calibri"/>
          <w:sz w:val="22"/>
          <w:szCs w:val="22"/>
        </w:rPr>
        <w:t>illustration</w:t>
      </w:r>
      <w:r w:rsidR="005B75B1" w:rsidRPr="00572008">
        <w:rPr>
          <w:rFonts w:ascii="Calibri" w:hAnsi="Calibri" w:cs="Calibri"/>
          <w:sz w:val="22"/>
          <w:szCs w:val="22"/>
        </w:rPr>
        <w:t>s</w:t>
      </w:r>
      <w:r w:rsidR="004D4DA0" w:rsidRPr="00572008">
        <w:rPr>
          <w:rFonts w:ascii="Calibri" w:hAnsi="Calibri" w:cs="Calibri"/>
          <w:sz w:val="22"/>
          <w:szCs w:val="22"/>
        </w:rPr>
        <w:t xml:space="preserve"> in this agenda item, the template</w:t>
      </w:r>
      <w:r w:rsidR="005B75B1" w:rsidRPr="00572008">
        <w:rPr>
          <w:rFonts w:ascii="Calibri" w:hAnsi="Calibri" w:cs="Calibri"/>
          <w:sz w:val="22"/>
          <w:szCs w:val="22"/>
        </w:rPr>
        <w:t>s</w:t>
      </w:r>
      <w:r w:rsidR="004D4DA0" w:rsidRPr="00572008">
        <w:rPr>
          <w:rFonts w:ascii="Calibri" w:hAnsi="Calibri" w:cs="Calibri"/>
          <w:sz w:val="22"/>
          <w:szCs w:val="22"/>
        </w:rPr>
        <w:t xml:space="preserve"> ha</w:t>
      </w:r>
      <w:r w:rsidR="005B75B1" w:rsidRPr="00572008">
        <w:rPr>
          <w:rFonts w:ascii="Calibri" w:hAnsi="Calibri" w:cs="Calibri"/>
          <w:sz w:val="22"/>
          <w:szCs w:val="22"/>
        </w:rPr>
        <w:t>ve</w:t>
      </w:r>
      <w:r w:rsidR="004D4DA0" w:rsidRPr="00572008">
        <w:rPr>
          <w:rFonts w:ascii="Calibri" w:hAnsi="Calibri" w:cs="Calibri"/>
          <w:sz w:val="22"/>
          <w:szCs w:val="22"/>
        </w:rPr>
        <w:t xml:space="preserve"> been prepared to </w:t>
      </w:r>
      <w:r w:rsidR="000023A9" w:rsidRPr="00572008">
        <w:rPr>
          <w:rFonts w:ascii="Calibri" w:hAnsi="Calibri" w:cs="Calibri"/>
          <w:sz w:val="22"/>
          <w:szCs w:val="22"/>
        </w:rPr>
        <w:t>maximize</w:t>
      </w:r>
      <w:r w:rsidR="004D4DA0" w:rsidRPr="00572008">
        <w:rPr>
          <w:rFonts w:ascii="Calibri" w:hAnsi="Calibri" w:cs="Calibri"/>
          <w:sz w:val="22"/>
          <w:szCs w:val="22"/>
        </w:rPr>
        <w:t xml:space="preserve"> specific reporting lines from the </w:t>
      </w:r>
      <w:r w:rsidR="00631C0A" w:rsidRPr="00572008">
        <w:rPr>
          <w:rFonts w:ascii="Calibri" w:hAnsi="Calibri" w:cs="Calibri"/>
          <w:sz w:val="22"/>
          <w:szCs w:val="22"/>
        </w:rPr>
        <w:t>financial statements</w:t>
      </w:r>
      <w:r w:rsidR="00FC3B6B" w:rsidRPr="00572008">
        <w:rPr>
          <w:rFonts w:ascii="Calibri" w:hAnsi="Calibri" w:cs="Calibri"/>
          <w:sz w:val="22"/>
          <w:szCs w:val="22"/>
        </w:rPr>
        <w:t xml:space="preserve">, allowing for </w:t>
      </w:r>
      <w:r w:rsidR="000023A9" w:rsidRPr="00572008">
        <w:rPr>
          <w:rFonts w:ascii="Calibri" w:hAnsi="Calibri" w:cs="Calibri"/>
          <w:sz w:val="22"/>
          <w:szCs w:val="22"/>
        </w:rPr>
        <w:t xml:space="preserve">ease of </w:t>
      </w:r>
      <w:r w:rsidR="00EF10C4" w:rsidRPr="00572008">
        <w:rPr>
          <w:rFonts w:ascii="Calibri" w:hAnsi="Calibri" w:cs="Calibri"/>
          <w:sz w:val="22"/>
          <w:szCs w:val="22"/>
        </w:rPr>
        <w:t xml:space="preserve">regulator and auditor </w:t>
      </w:r>
      <w:r w:rsidR="000023A9" w:rsidRPr="00572008">
        <w:rPr>
          <w:rFonts w:ascii="Calibri" w:hAnsi="Calibri" w:cs="Calibri"/>
          <w:sz w:val="22"/>
          <w:szCs w:val="22"/>
        </w:rPr>
        <w:t xml:space="preserve">verification. </w:t>
      </w:r>
    </w:p>
    <w:p w14:paraId="18FB6AC4" w14:textId="77777777" w:rsidR="005B75B1" w:rsidRPr="00572008" w:rsidRDefault="005B75B1" w:rsidP="008F5AFD">
      <w:pPr>
        <w:pStyle w:val="BodyTextIndent"/>
        <w:spacing w:after="0"/>
        <w:ind w:left="0"/>
        <w:jc w:val="both"/>
        <w:rPr>
          <w:rFonts w:ascii="Calibri" w:hAnsi="Calibri" w:cs="Calibri"/>
          <w:sz w:val="22"/>
          <w:szCs w:val="22"/>
        </w:rPr>
      </w:pPr>
    </w:p>
    <w:p w14:paraId="064E6392" w14:textId="6CE6E8B6" w:rsidR="009072B6" w:rsidRPr="00572008" w:rsidRDefault="00EF10C4" w:rsidP="008F5AFD">
      <w:pPr>
        <w:pStyle w:val="BodyTextIndent"/>
        <w:spacing w:after="0"/>
        <w:ind w:left="0"/>
        <w:jc w:val="both"/>
        <w:rPr>
          <w:rFonts w:ascii="Calibri" w:hAnsi="Calibri" w:cs="Calibri"/>
          <w:sz w:val="22"/>
          <w:szCs w:val="22"/>
        </w:rPr>
      </w:pPr>
      <w:r w:rsidRPr="00572008">
        <w:rPr>
          <w:rFonts w:ascii="Calibri" w:hAnsi="Calibri" w:cs="Calibri"/>
          <w:sz w:val="22"/>
          <w:szCs w:val="22"/>
        </w:rPr>
        <w:t xml:space="preserve">It is important to highlight </w:t>
      </w:r>
      <w:r w:rsidR="00C55D84" w:rsidRPr="00572008">
        <w:rPr>
          <w:rFonts w:ascii="Calibri" w:hAnsi="Calibri" w:cs="Calibri"/>
          <w:sz w:val="22"/>
          <w:szCs w:val="22"/>
        </w:rPr>
        <w:t>that the recognition to IMR throughout the year is not expected to be impacted. Meaning, reporting entities would recognize realized losses to IMR as appropriate throughout the quarters. T</w:t>
      </w:r>
      <w:r w:rsidRPr="00572008">
        <w:rPr>
          <w:rFonts w:ascii="Calibri" w:hAnsi="Calibri" w:cs="Calibri"/>
          <w:sz w:val="22"/>
          <w:szCs w:val="22"/>
        </w:rPr>
        <w:t xml:space="preserve">he disclosure template </w:t>
      </w:r>
      <w:r w:rsidR="00C55D84" w:rsidRPr="00572008">
        <w:rPr>
          <w:rFonts w:ascii="Calibri" w:hAnsi="Calibri" w:cs="Calibri"/>
          <w:sz w:val="22"/>
          <w:szCs w:val="22"/>
        </w:rPr>
        <w:t>will be required to be</w:t>
      </w:r>
      <w:r w:rsidRPr="00572008">
        <w:rPr>
          <w:rFonts w:ascii="Calibri" w:hAnsi="Calibri" w:cs="Calibri"/>
          <w:sz w:val="22"/>
          <w:szCs w:val="22"/>
        </w:rPr>
        <w:t xml:space="preserve"> completed </w:t>
      </w:r>
      <w:r w:rsidR="005B75B1" w:rsidRPr="00572008">
        <w:rPr>
          <w:rFonts w:ascii="Calibri" w:hAnsi="Calibri" w:cs="Calibri"/>
          <w:sz w:val="22"/>
          <w:szCs w:val="22"/>
        </w:rPr>
        <w:t xml:space="preserve">annually </w:t>
      </w:r>
      <w:r w:rsidRPr="00572008">
        <w:rPr>
          <w:rFonts w:ascii="Calibri" w:hAnsi="Calibri" w:cs="Calibri"/>
          <w:sz w:val="22"/>
          <w:szCs w:val="22"/>
        </w:rPr>
        <w:t xml:space="preserve">for current-year </w:t>
      </w:r>
      <w:r w:rsidR="00FE1447" w:rsidRPr="00572008">
        <w:rPr>
          <w:rFonts w:ascii="Calibri" w:hAnsi="Calibri" w:cs="Calibri"/>
          <w:sz w:val="22"/>
          <w:szCs w:val="22"/>
        </w:rPr>
        <w:t xml:space="preserve">information, and if a company does not pass </w:t>
      </w:r>
      <w:r w:rsidR="008C4F87" w:rsidRPr="00572008">
        <w:rPr>
          <w:rFonts w:ascii="Calibri" w:hAnsi="Calibri" w:cs="Calibri"/>
          <w:sz w:val="22"/>
          <w:szCs w:val="22"/>
        </w:rPr>
        <w:t>the proof, then the</w:t>
      </w:r>
      <w:r w:rsidR="00947532" w:rsidRPr="00572008">
        <w:rPr>
          <w:rFonts w:ascii="Calibri" w:hAnsi="Calibri" w:cs="Calibri"/>
          <w:sz w:val="22"/>
          <w:szCs w:val="22"/>
        </w:rPr>
        <w:t xml:space="preserve"> reporting entity will be required to adjust</w:t>
      </w:r>
      <w:r w:rsidR="001E5C38" w:rsidRPr="00572008">
        <w:rPr>
          <w:rFonts w:ascii="Calibri" w:hAnsi="Calibri" w:cs="Calibri"/>
          <w:sz w:val="22"/>
          <w:szCs w:val="22"/>
        </w:rPr>
        <w:t xml:space="preserve"> </w:t>
      </w:r>
      <w:r w:rsidR="00947532" w:rsidRPr="00572008">
        <w:rPr>
          <w:rFonts w:ascii="Calibri" w:hAnsi="Calibri" w:cs="Calibri"/>
          <w:sz w:val="22"/>
          <w:szCs w:val="22"/>
        </w:rPr>
        <w:t xml:space="preserve">what had been recognized to IMR throughout the year. </w:t>
      </w:r>
      <w:r w:rsidR="006D40A8" w:rsidRPr="00572008">
        <w:rPr>
          <w:rFonts w:ascii="Calibri" w:hAnsi="Calibri" w:cs="Calibri"/>
          <w:sz w:val="22"/>
          <w:szCs w:val="22"/>
        </w:rPr>
        <w:t xml:space="preserve">This will require a year-end adjustment to IMR for companies that do not pass. </w:t>
      </w:r>
    </w:p>
    <w:p w14:paraId="4A616413" w14:textId="77777777" w:rsidR="00806277" w:rsidRPr="00572008" w:rsidRDefault="00806277" w:rsidP="008F5AFD">
      <w:pPr>
        <w:pStyle w:val="BodyTextIndent"/>
        <w:spacing w:after="0"/>
        <w:ind w:left="0"/>
        <w:jc w:val="both"/>
        <w:rPr>
          <w:rFonts w:ascii="Calibri" w:hAnsi="Calibri" w:cs="Calibri"/>
          <w:sz w:val="22"/>
          <w:szCs w:val="22"/>
        </w:rPr>
      </w:pPr>
    </w:p>
    <w:p w14:paraId="2DBCB6E3" w14:textId="1138BA27" w:rsidR="00806277" w:rsidRPr="00572008" w:rsidRDefault="002232C5" w:rsidP="008F5AFD">
      <w:pPr>
        <w:pStyle w:val="BodyTextIndent"/>
        <w:spacing w:after="0"/>
        <w:ind w:left="0"/>
        <w:jc w:val="both"/>
        <w:rPr>
          <w:rFonts w:ascii="Calibri" w:hAnsi="Calibri" w:cs="Calibri"/>
          <w:sz w:val="22"/>
          <w:szCs w:val="22"/>
        </w:rPr>
      </w:pPr>
      <w:r>
        <w:rPr>
          <w:rFonts w:ascii="Calibri" w:hAnsi="Calibri" w:cs="Calibri"/>
          <w:sz w:val="22"/>
          <w:szCs w:val="22"/>
        </w:rPr>
        <w:t>A</w:t>
      </w:r>
      <w:r w:rsidR="00BB2BC4" w:rsidRPr="00572008">
        <w:rPr>
          <w:rFonts w:ascii="Calibri" w:hAnsi="Calibri" w:cs="Calibri"/>
          <w:sz w:val="22"/>
          <w:szCs w:val="22"/>
        </w:rPr>
        <w:t xml:space="preserve"> t</w:t>
      </w:r>
      <w:r w:rsidR="00806277" w:rsidRPr="00572008">
        <w:rPr>
          <w:rFonts w:ascii="Calibri" w:hAnsi="Calibri" w:cs="Calibri"/>
          <w:sz w:val="22"/>
          <w:szCs w:val="22"/>
        </w:rPr>
        <w:t>emplate planned for the Issue Paper</w:t>
      </w:r>
      <w:r w:rsidR="001A4BCE" w:rsidRPr="00572008">
        <w:rPr>
          <w:rFonts w:ascii="Calibri" w:hAnsi="Calibri" w:cs="Calibri"/>
          <w:sz w:val="22"/>
          <w:szCs w:val="22"/>
        </w:rPr>
        <w:t xml:space="preserve"> and SSAP No. 7 </w:t>
      </w:r>
      <w:r w:rsidR="0087523E" w:rsidRPr="00572008">
        <w:rPr>
          <w:rFonts w:ascii="Calibri" w:hAnsi="Calibri" w:cs="Calibri"/>
          <w:sz w:val="22"/>
          <w:szCs w:val="22"/>
        </w:rPr>
        <w:t>to determine</w:t>
      </w:r>
      <w:r w:rsidR="001A4BCE" w:rsidRPr="00572008">
        <w:rPr>
          <w:rFonts w:ascii="Calibri" w:hAnsi="Calibri" w:cs="Calibri"/>
          <w:sz w:val="22"/>
          <w:szCs w:val="22"/>
        </w:rPr>
        <w:t xml:space="preserve"> when the proof of reinvestment is required and then </w:t>
      </w:r>
      <w:r w:rsidR="007548C2" w:rsidRPr="00572008">
        <w:rPr>
          <w:rFonts w:ascii="Calibri" w:hAnsi="Calibri" w:cs="Calibri"/>
          <w:sz w:val="22"/>
          <w:szCs w:val="22"/>
        </w:rPr>
        <w:t>templates illustrat</w:t>
      </w:r>
      <w:r>
        <w:rPr>
          <w:rFonts w:ascii="Calibri" w:hAnsi="Calibri" w:cs="Calibri"/>
          <w:sz w:val="22"/>
          <w:szCs w:val="22"/>
        </w:rPr>
        <w:t>ing</w:t>
      </w:r>
      <w:r w:rsidR="007548C2" w:rsidRPr="00572008">
        <w:rPr>
          <w:rFonts w:ascii="Calibri" w:hAnsi="Calibri" w:cs="Calibri"/>
          <w:sz w:val="22"/>
          <w:szCs w:val="22"/>
        </w:rPr>
        <w:t xml:space="preserve"> the calculations are</w:t>
      </w:r>
      <w:r w:rsidR="00987735" w:rsidRPr="00572008">
        <w:rPr>
          <w:rFonts w:ascii="Calibri" w:hAnsi="Calibri" w:cs="Calibri"/>
          <w:sz w:val="22"/>
          <w:szCs w:val="22"/>
        </w:rPr>
        <w:t xml:space="preserve"> included within this agenda item. </w:t>
      </w:r>
      <w:r w:rsidR="00191DD3" w:rsidRPr="00572008">
        <w:rPr>
          <w:rFonts w:ascii="Calibri" w:hAnsi="Calibri" w:cs="Calibri"/>
          <w:sz w:val="22"/>
          <w:szCs w:val="22"/>
        </w:rPr>
        <w:t xml:space="preserve">The following key concepts are also planned for documentation </w:t>
      </w:r>
      <w:r w:rsidR="009B6F62" w:rsidRPr="00572008">
        <w:rPr>
          <w:rFonts w:ascii="Calibri" w:hAnsi="Calibri" w:cs="Calibri"/>
          <w:sz w:val="22"/>
          <w:szCs w:val="22"/>
        </w:rPr>
        <w:t>to assist with completing the calculations</w:t>
      </w:r>
      <w:r w:rsidR="00E81D8A" w:rsidRPr="00572008">
        <w:rPr>
          <w:rFonts w:ascii="Calibri" w:hAnsi="Calibri" w:cs="Calibri"/>
          <w:sz w:val="22"/>
          <w:szCs w:val="22"/>
        </w:rPr>
        <w:t>:</w:t>
      </w:r>
      <w:r w:rsidR="00191DD3" w:rsidRPr="00572008">
        <w:rPr>
          <w:rFonts w:ascii="Calibri" w:hAnsi="Calibri" w:cs="Calibri"/>
          <w:sz w:val="22"/>
          <w:szCs w:val="22"/>
        </w:rPr>
        <w:t xml:space="preserve"> </w:t>
      </w:r>
    </w:p>
    <w:p w14:paraId="30777F2A" w14:textId="77777777" w:rsidR="00191DD3" w:rsidRPr="00572008" w:rsidRDefault="00191DD3" w:rsidP="008F5AFD">
      <w:pPr>
        <w:pStyle w:val="BodyTextIndent"/>
        <w:spacing w:after="0"/>
        <w:ind w:left="0"/>
        <w:jc w:val="both"/>
        <w:rPr>
          <w:rFonts w:ascii="Calibri" w:hAnsi="Calibri" w:cs="Calibri"/>
          <w:sz w:val="22"/>
          <w:szCs w:val="22"/>
        </w:rPr>
      </w:pPr>
    </w:p>
    <w:p w14:paraId="731CF598" w14:textId="77777777" w:rsidR="00316379" w:rsidRPr="00572008" w:rsidRDefault="00316379" w:rsidP="00067C29">
      <w:pPr>
        <w:pStyle w:val="ListContinue"/>
        <w:numPr>
          <w:ilvl w:val="1"/>
          <w:numId w:val="12"/>
        </w:numPr>
        <w:tabs>
          <w:tab w:val="clear" w:pos="1440"/>
          <w:tab w:val="num" w:pos="720"/>
        </w:tabs>
        <w:ind w:left="720" w:hanging="540"/>
        <w:rPr>
          <w:rFonts w:ascii="Calibri" w:hAnsi="Calibri" w:cs="Calibri"/>
        </w:rPr>
      </w:pPr>
      <w:r w:rsidRPr="00572008">
        <w:rPr>
          <w:rFonts w:ascii="Calibri" w:hAnsi="Calibri" w:cs="Calibri"/>
          <w:u w:val="single"/>
        </w:rPr>
        <w:t>Key Rationale:</w:t>
      </w:r>
      <w:r w:rsidRPr="00572008">
        <w:rPr>
          <w:rFonts w:ascii="Calibri" w:hAnsi="Calibri" w:cs="Calibri"/>
        </w:rPr>
        <w:t xml:space="preserve"> Overall calculation intends to identify whether acquisitions of fixed-income investments are greater than proceeds from fixed-income sales and investable premium. The key rationale is that maturities of fixed-income investments are expected to cover claims (if perfectly matched) and cash proceeds from fixed-income sales and premiums need to be invested. </w:t>
      </w:r>
    </w:p>
    <w:p w14:paraId="3906CF17" w14:textId="77777777" w:rsidR="00316379" w:rsidRPr="00572008" w:rsidRDefault="00316379" w:rsidP="00067C29">
      <w:pPr>
        <w:pStyle w:val="ListContinue"/>
        <w:numPr>
          <w:ilvl w:val="1"/>
          <w:numId w:val="12"/>
        </w:numPr>
        <w:tabs>
          <w:tab w:val="clear" w:pos="1440"/>
          <w:tab w:val="num" w:pos="720"/>
        </w:tabs>
        <w:ind w:left="720" w:hanging="540"/>
        <w:rPr>
          <w:rFonts w:ascii="Calibri" w:hAnsi="Calibri" w:cs="Calibri"/>
        </w:rPr>
      </w:pPr>
      <w:r w:rsidRPr="00572008">
        <w:rPr>
          <w:rFonts w:ascii="Calibri" w:hAnsi="Calibri" w:cs="Calibri"/>
          <w:u w:val="single"/>
        </w:rPr>
        <w:t>Acquisitions of Investments</w:t>
      </w:r>
      <w:r w:rsidRPr="00572008">
        <w:rPr>
          <w:rFonts w:ascii="Calibri" w:hAnsi="Calibri" w:cs="Calibri"/>
        </w:rPr>
        <w:t>: Investments acquired focus on bonds and mortgage loans as the primary sources of fixed-income investments that comprise IMR</w:t>
      </w:r>
      <w:r w:rsidRPr="00572008">
        <w:rPr>
          <w:rStyle w:val="FootnoteReference"/>
          <w:rFonts w:ascii="Calibri" w:hAnsi="Calibri" w:cs="Calibri"/>
        </w:rPr>
        <w:footnoteReference w:id="3"/>
      </w:r>
      <w:r w:rsidRPr="00572008">
        <w:rPr>
          <w:rFonts w:ascii="Calibri" w:hAnsi="Calibri" w:cs="Calibri"/>
        </w:rPr>
        <w:t>. The cost of these investments is pulled directly from the cash flow statement Rows 13.1 and 13.3.</w:t>
      </w:r>
    </w:p>
    <w:p w14:paraId="55437D65" w14:textId="1B9BE99C" w:rsidR="00316379" w:rsidRPr="00572008" w:rsidRDefault="00316379" w:rsidP="00067C29">
      <w:pPr>
        <w:pStyle w:val="ListContinue"/>
        <w:numPr>
          <w:ilvl w:val="1"/>
          <w:numId w:val="12"/>
        </w:numPr>
        <w:tabs>
          <w:tab w:val="clear" w:pos="1440"/>
          <w:tab w:val="num" w:pos="720"/>
        </w:tabs>
        <w:ind w:left="720" w:hanging="540"/>
        <w:rPr>
          <w:rFonts w:ascii="Calibri" w:hAnsi="Calibri" w:cs="Calibri"/>
        </w:rPr>
      </w:pPr>
      <w:r w:rsidRPr="00572008">
        <w:rPr>
          <w:rFonts w:ascii="Calibri" w:hAnsi="Calibri" w:cs="Calibri"/>
          <w:u w:val="single"/>
        </w:rPr>
        <w:t>Proceeds from Investments</w:t>
      </w:r>
      <w:r w:rsidRPr="00572008">
        <w:rPr>
          <w:rFonts w:ascii="Calibri" w:hAnsi="Calibri" w:cs="Calibri"/>
        </w:rPr>
        <w:t xml:space="preserve">: Include the proceeds from sales of bonds and mortgage loans. As of year-end 2025, there is no data-captured disclosure that identifies the proceeds from sales specifically. Available information at that time aggregates proceeds from both sales and maturities. Proposed revisions for year-end 2026 will include new data-captured disclosures for bonds to separately detail proceeds from sales </w:t>
      </w:r>
      <w:r w:rsidRPr="00572008">
        <w:rPr>
          <w:rFonts w:ascii="Calibri" w:hAnsi="Calibri" w:cs="Calibri"/>
        </w:rPr>
        <w:lastRenderedPageBreak/>
        <w:t xml:space="preserve">and maturities. Upon implementation of the new disclosure, the proof of reinvestment calculation will refer to the location of that specific disclosure. Company internal records will be used for mortgage loans, which are not </w:t>
      </w:r>
      <w:r w:rsidR="00877005" w:rsidRPr="00572008">
        <w:rPr>
          <w:rFonts w:ascii="Calibri" w:hAnsi="Calibri" w:cs="Calibri"/>
        </w:rPr>
        <w:t>actively</w:t>
      </w:r>
      <w:r w:rsidRPr="00572008">
        <w:rPr>
          <w:rFonts w:ascii="Calibri" w:hAnsi="Calibri" w:cs="Calibri"/>
        </w:rPr>
        <w:t xml:space="preserve"> traded and have limited sales occurrences. </w:t>
      </w:r>
    </w:p>
    <w:p w14:paraId="192E75F1" w14:textId="77777777" w:rsidR="00316379" w:rsidRPr="00572008" w:rsidRDefault="00316379" w:rsidP="00067C29">
      <w:pPr>
        <w:pStyle w:val="ListContinue"/>
        <w:numPr>
          <w:ilvl w:val="1"/>
          <w:numId w:val="12"/>
        </w:numPr>
        <w:tabs>
          <w:tab w:val="clear" w:pos="1440"/>
          <w:tab w:val="num" w:pos="720"/>
        </w:tabs>
        <w:ind w:left="720" w:hanging="540"/>
        <w:rPr>
          <w:rFonts w:ascii="Calibri" w:hAnsi="Calibri" w:cs="Calibri"/>
        </w:rPr>
      </w:pPr>
      <w:r w:rsidRPr="00572008">
        <w:rPr>
          <w:rFonts w:ascii="Calibri" w:hAnsi="Calibri" w:cs="Calibri"/>
          <w:u w:val="single"/>
        </w:rPr>
        <w:t>Investable Premium</w:t>
      </w:r>
      <w:r w:rsidRPr="00572008">
        <w:rPr>
          <w:rFonts w:ascii="Calibri" w:hAnsi="Calibri" w:cs="Calibri"/>
        </w:rPr>
        <w:t xml:space="preserve">: Premiums are used for many purposes, therefore adjustments to total premium are necessary to determine “investable premium.” Adjustments are captured in the calculation as follows: </w:t>
      </w:r>
    </w:p>
    <w:p w14:paraId="266F67C2" w14:textId="77777777" w:rsidR="00316379" w:rsidRPr="00572008" w:rsidRDefault="00316379" w:rsidP="0036420E">
      <w:pPr>
        <w:pStyle w:val="ListContinue"/>
        <w:numPr>
          <w:ilvl w:val="2"/>
          <w:numId w:val="12"/>
        </w:numPr>
        <w:tabs>
          <w:tab w:val="num" w:pos="1080"/>
        </w:tabs>
        <w:ind w:left="990" w:hanging="450"/>
        <w:rPr>
          <w:rFonts w:ascii="Calibri" w:hAnsi="Calibri" w:cs="Calibri"/>
        </w:rPr>
      </w:pPr>
      <w:r w:rsidRPr="00572008">
        <w:rPr>
          <w:rFonts w:ascii="Calibri" w:hAnsi="Calibri" w:cs="Calibri"/>
        </w:rPr>
        <w:t xml:space="preserve">Remove commissions and expenses as premiums are used to pay commissions and expenses. This subtraction should agree to the Cash Flow Statement, Row 7: Commissions, Expenses Paid and Aggregate Write-In for Deductions. </w:t>
      </w:r>
    </w:p>
    <w:p w14:paraId="1AEC42B7" w14:textId="77777777" w:rsidR="00316379" w:rsidRPr="00572008" w:rsidRDefault="00316379" w:rsidP="0036420E">
      <w:pPr>
        <w:pStyle w:val="ListContinue"/>
        <w:numPr>
          <w:ilvl w:val="2"/>
          <w:numId w:val="12"/>
        </w:numPr>
        <w:tabs>
          <w:tab w:val="num" w:pos="1080"/>
        </w:tabs>
        <w:ind w:left="990" w:hanging="450"/>
        <w:rPr>
          <w:rFonts w:ascii="Calibri" w:hAnsi="Calibri" w:cs="Calibri"/>
        </w:rPr>
      </w:pPr>
      <w:r w:rsidRPr="00572008">
        <w:rPr>
          <w:rFonts w:ascii="Calibri" w:hAnsi="Calibri" w:cs="Calibri"/>
        </w:rPr>
        <w:t xml:space="preserve">Remove premiums for the company’s allocation of equity and other investments, recognizing that companies do not invest all investable premium into bonds and mortgage loans. To make this adjustment, companies calculate the percentage of bonds and mortgage loans to the total invested assets from their balance sheet and then reduce the investable premium by the percentage difference (invested assets not reflecting bonds or mortgage loans.)   </w:t>
      </w:r>
    </w:p>
    <w:p w14:paraId="74C813A9" w14:textId="77777777" w:rsidR="00316379" w:rsidRPr="00572008" w:rsidRDefault="00316379" w:rsidP="0036420E">
      <w:pPr>
        <w:pStyle w:val="ListContinue"/>
        <w:numPr>
          <w:ilvl w:val="2"/>
          <w:numId w:val="12"/>
        </w:numPr>
        <w:tabs>
          <w:tab w:val="num" w:pos="1080"/>
        </w:tabs>
        <w:ind w:left="990" w:hanging="450"/>
        <w:rPr>
          <w:rFonts w:ascii="Calibri" w:hAnsi="Calibri" w:cs="Calibri"/>
        </w:rPr>
      </w:pPr>
      <w:r w:rsidRPr="00572008">
        <w:rPr>
          <w:rFonts w:ascii="Calibri" w:hAnsi="Calibri" w:cs="Calibri"/>
        </w:rPr>
        <w:t xml:space="preserve">Remove premiums that are allocated to the separate account. This subtraction is modified to add-back “premium” transfers to the separate accounts that reflect “assets in-kind” (non-cash asset transfers from the general account to the separate account). A reporting entity is required to complete separate templates to prove reinvestment when required based on the net negative IMR position of any separate account. </w:t>
      </w:r>
    </w:p>
    <w:p w14:paraId="3AA7288A" w14:textId="3F55B4BE" w:rsidR="00316379" w:rsidRPr="00572008" w:rsidRDefault="00316379" w:rsidP="0036420E">
      <w:pPr>
        <w:pStyle w:val="ListContinue"/>
        <w:numPr>
          <w:ilvl w:val="2"/>
          <w:numId w:val="12"/>
        </w:numPr>
        <w:tabs>
          <w:tab w:val="num" w:pos="1080"/>
        </w:tabs>
        <w:ind w:left="990" w:hanging="450"/>
        <w:rPr>
          <w:rFonts w:ascii="Calibri" w:hAnsi="Calibri" w:cs="Calibri"/>
        </w:rPr>
      </w:pPr>
      <w:r w:rsidRPr="00572008">
        <w:rPr>
          <w:rFonts w:ascii="Calibri" w:hAnsi="Calibri" w:cs="Calibri"/>
        </w:rPr>
        <w:t xml:space="preserve">Remove premiums received on certain short-term accident and health (A&amp;H) businesses (excluding premiums received for long-term care and disability). For the specific short-term business excluded, monthly premiums are largely used to pay claims as the liabilities are short-term. To the extent reserves are generated, they generally </w:t>
      </w:r>
      <w:r w:rsidR="00BB5743" w:rsidRPr="00572008">
        <w:rPr>
          <w:rFonts w:ascii="Calibri" w:hAnsi="Calibri" w:cs="Calibri"/>
        </w:rPr>
        <w:t xml:space="preserve">resolve </w:t>
      </w:r>
      <w:r w:rsidRPr="00572008">
        <w:rPr>
          <w:rFonts w:ascii="Calibri" w:hAnsi="Calibri" w:cs="Calibri"/>
        </w:rPr>
        <w:t xml:space="preserve">very quickly, with their claims reserves </w:t>
      </w:r>
      <w:r w:rsidR="00BB5743" w:rsidRPr="00572008">
        <w:rPr>
          <w:rFonts w:ascii="Calibri" w:hAnsi="Calibri" w:cs="Calibri"/>
        </w:rPr>
        <w:t xml:space="preserve">acting </w:t>
      </w:r>
      <w:r w:rsidRPr="00572008">
        <w:rPr>
          <w:rFonts w:ascii="Calibri" w:hAnsi="Calibri" w:cs="Calibri"/>
        </w:rPr>
        <w:t xml:space="preserve">more </w:t>
      </w:r>
      <w:r w:rsidR="00BB5743" w:rsidRPr="00572008">
        <w:rPr>
          <w:rFonts w:ascii="Calibri" w:hAnsi="Calibri" w:cs="Calibri"/>
        </w:rPr>
        <w:t xml:space="preserve">as </w:t>
      </w:r>
      <w:r w:rsidRPr="00572008">
        <w:rPr>
          <w:rFonts w:ascii="Calibri" w:hAnsi="Calibri" w:cs="Calibri"/>
        </w:rPr>
        <w:t>a reserve for payable items than a long-term premium retention reserve that one would expect to cause an inflow into long-term fixed investments. For these companies, the loss ratios are generally much higher year-to-year than new business written in more traditional life/annuity products, and including their gross premium far exceeds any expectation of retained profits that may cause an investable need</w:t>
      </w:r>
      <w:r w:rsidR="00E90884" w:rsidRPr="00572008">
        <w:rPr>
          <w:rFonts w:ascii="Calibri" w:hAnsi="Calibri" w:cs="Calibri"/>
        </w:rPr>
        <w:t xml:space="preserve">. </w:t>
      </w:r>
      <w:r w:rsidRPr="00572008">
        <w:rPr>
          <w:rFonts w:ascii="Calibri" w:hAnsi="Calibri" w:cs="Calibri"/>
        </w:rPr>
        <w:t>Therefore, these premiums are excluded from the proof of reinvestment calculation.</w:t>
      </w:r>
    </w:p>
    <w:p w14:paraId="39CB1092" w14:textId="77777777" w:rsidR="00316379" w:rsidRPr="00572008" w:rsidRDefault="00316379" w:rsidP="00067C29">
      <w:pPr>
        <w:pStyle w:val="ListContinue"/>
        <w:numPr>
          <w:ilvl w:val="1"/>
          <w:numId w:val="12"/>
        </w:numPr>
        <w:tabs>
          <w:tab w:val="clear" w:pos="1440"/>
          <w:tab w:val="num" w:pos="720"/>
        </w:tabs>
        <w:ind w:left="720" w:hanging="540"/>
        <w:rPr>
          <w:rFonts w:ascii="Calibri" w:hAnsi="Calibri" w:cs="Calibri"/>
        </w:rPr>
      </w:pPr>
      <w:r w:rsidRPr="00572008">
        <w:rPr>
          <w:rFonts w:ascii="Calibri" w:hAnsi="Calibri" w:cs="Calibri"/>
          <w:u w:val="single"/>
        </w:rPr>
        <w:t>Calculated Result of Acquisitions to Sales</w:t>
      </w:r>
      <w:r w:rsidRPr="00572008">
        <w:rPr>
          <w:rFonts w:ascii="Calibri" w:hAnsi="Calibri" w:cs="Calibri"/>
        </w:rPr>
        <w:t xml:space="preserve">: The cost of the mortgage loans and bonds purchased less sales and investable premium is calculated. </w:t>
      </w:r>
    </w:p>
    <w:p w14:paraId="3E479418" w14:textId="77777777" w:rsidR="00316379" w:rsidRPr="00572008" w:rsidRDefault="00316379" w:rsidP="00067C29">
      <w:pPr>
        <w:pStyle w:val="ListContinue"/>
        <w:numPr>
          <w:ilvl w:val="1"/>
          <w:numId w:val="12"/>
        </w:numPr>
        <w:tabs>
          <w:tab w:val="clear" w:pos="1440"/>
          <w:tab w:val="num" w:pos="720"/>
        </w:tabs>
        <w:ind w:left="720" w:hanging="540"/>
        <w:rPr>
          <w:rFonts w:ascii="Calibri" w:hAnsi="Calibri" w:cs="Calibri"/>
        </w:rPr>
      </w:pPr>
      <w:r w:rsidRPr="00572008">
        <w:rPr>
          <w:rFonts w:ascii="Calibri" w:hAnsi="Calibri" w:cs="Calibri"/>
          <w:u w:val="single"/>
        </w:rPr>
        <w:t>Calculated Result of Compared Weighted Average Yields</w:t>
      </w:r>
      <w:r w:rsidRPr="00572008">
        <w:rPr>
          <w:rFonts w:ascii="Calibri" w:hAnsi="Calibri" w:cs="Calibri"/>
        </w:rPr>
        <w:t xml:space="preserve">: In addition to the reinvestment verification, a reporting entity shall also identify the weighted average yield of the investments purchased and sold during the year (as shown in the calculation). The difference of these two weighted average yields is then calculated. </w:t>
      </w:r>
    </w:p>
    <w:p w14:paraId="3A6180FA" w14:textId="77777777" w:rsidR="00F62503" w:rsidRPr="00572008" w:rsidRDefault="00316379" w:rsidP="001F2256">
      <w:pPr>
        <w:pStyle w:val="ListContinue"/>
        <w:rPr>
          <w:rFonts w:ascii="Calibri" w:hAnsi="Calibri" w:cs="Calibri"/>
        </w:rPr>
      </w:pPr>
      <w:r w:rsidRPr="00572008">
        <w:rPr>
          <w:rFonts w:ascii="Calibri" w:hAnsi="Calibri" w:cs="Calibri"/>
        </w:rPr>
        <w:t xml:space="preserve">A reporting entity only passes the proof of reinvestment if the results from both the calculated results of acquisitions to sales and the comparison of weighted average yields are both positive. Even if one aspect is positive, and the other is negative, the company does not pass the proof of reinvestment. A reporting entity is only able to increase an IMR net negative position beyond what would be offset beyond current year IMR gains if they pass the proof of reinvestment. Reporting entities that had allocated negative losses to the IMR </w:t>
      </w:r>
      <w:r w:rsidR="005C0115" w:rsidRPr="00572008">
        <w:rPr>
          <w:rFonts w:ascii="Calibri" w:hAnsi="Calibri" w:cs="Calibri"/>
        </w:rPr>
        <w:t>in the general</w:t>
      </w:r>
      <w:r w:rsidRPr="00572008">
        <w:rPr>
          <w:rFonts w:ascii="Calibri" w:hAnsi="Calibri" w:cs="Calibri"/>
        </w:rPr>
        <w:t xml:space="preserve"> account that does not pass proof of reinvestment is required to eliminate the losses that are not offset by gains and recognize the losses as immediate capital losses. </w:t>
      </w:r>
    </w:p>
    <w:p w14:paraId="399E7ABF" w14:textId="7CB3AA70" w:rsidR="00AA160E" w:rsidRPr="00572008" w:rsidRDefault="004F3DB8" w:rsidP="001F2256">
      <w:pPr>
        <w:pStyle w:val="ListContinue"/>
        <w:rPr>
          <w:rFonts w:ascii="Calibri" w:hAnsi="Calibri" w:cs="Calibri"/>
        </w:rPr>
      </w:pPr>
      <w:r w:rsidRPr="00572008">
        <w:rPr>
          <w:rFonts w:ascii="Calibri" w:hAnsi="Calibri" w:cs="Calibri"/>
        </w:rPr>
        <w:t xml:space="preserve">For the separate account, if the reporting entity does not pass the proof of reinvestment, the company is still permitted to recognize net negative IMR transferred from the general account. </w:t>
      </w:r>
      <w:r w:rsidR="00091DC8" w:rsidRPr="00572008">
        <w:rPr>
          <w:rFonts w:ascii="Calibri" w:hAnsi="Calibri" w:cs="Calibri"/>
        </w:rPr>
        <w:t xml:space="preserve">This is permitted as an </w:t>
      </w:r>
      <w:r w:rsidR="00797832" w:rsidRPr="00572008">
        <w:rPr>
          <w:rFonts w:ascii="Calibri" w:hAnsi="Calibri" w:cs="Calibri"/>
        </w:rPr>
        <w:t xml:space="preserve">carve-out </w:t>
      </w:r>
      <w:r w:rsidR="00797832" w:rsidRPr="00572008">
        <w:rPr>
          <w:rFonts w:ascii="Calibri" w:hAnsi="Calibri" w:cs="Calibri"/>
        </w:rPr>
        <w:lastRenderedPageBreak/>
        <w:t xml:space="preserve">as the transferred IMR was not the result of </w:t>
      </w:r>
      <w:r w:rsidR="00397CAD" w:rsidRPr="00572008">
        <w:rPr>
          <w:rFonts w:ascii="Calibri" w:hAnsi="Calibri" w:cs="Calibri"/>
        </w:rPr>
        <w:t>a specific separate account sale</w:t>
      </w:r>
      <w:r w:rsidR="00B138AA" w:rsidRPr="00572008">
        <w:rPr>
          <w:rFonts w:ascii="Calibri" w:hAnsi="Calibri" w:cs="Calibri"/>
        </w:rPr>
        <w:t xml:space="preserve">, therefore it is outside the parameter for the proof of reinvestment calculation. With the exception of this carve-out, if the reporting entity does not pass the proof of reinvestment for the separate account, the entity is only allowed recognize realized losses from sales in the separate account </w:t>
      </w:r>
      <w:r w:rsidR="00B712C0" w:rsidRPr="00572008">
        <w:rPr>
          <w:rFonts w:ascii="Calibri" w:hAnsi="Calibri" w:cs="Calibri"/>
        </w:rPr>
        <w:t xml:space="preserve">IMR </w:t>
      </w:r>
      <w:r w:rsidR="00B138AA" w:rsidRPr="00572008">
        <w:rPr>
          <w:rFonts w:ascii="Calibri" w:hAnsi="Calibri" w:cs="Calibri"/>
        </w:rPr>
        <w:t xml:space="preserve">to the extent they are offset by separate account </w:t>
      </w:r>
      <w:r w:rsidR="00B712C0" w:rsidRPr="00572008">
        <w:rPr>
          <w:rFonts w:ascii="Calibri" w:hAnsi="Calibri" w:cs="Calibri"/>
        </w:rPr>
        <w:t xml:space="preserve">gains also recognized in the IMR. </w:t>
      </w:r>
    </w:p>
    <w:p w14:paraId="4EA8C94F" w14:textId="0445204B" w:rsidR="00410CCF" w:rsidRDefault="00316379" w:rsidP="00067C29">
      <w:pPr>
        <w:pStyle w:val="ListContinue"/>
        <w:rPr>
          <w:szCs w:val="22"/>
        </w:rPr>
      </w:pPr>
      <w:r w:rsidRPr="00572008">
        <w:rPr>
          <w:rFonts w:ascii="Calibri" w:hAnsi="Calibri" w:cs="Calibri"/>
        </w:rPr>
        <w:t xml:space="preserve">After the completion of the proof of reinvestment, and any modifications to eliminate </w:t>
      </w:r>
      <w:r w:rsidR="003567D4" w:rsidRPr="00572008">
        <w:rPr>
          <w:rFonts w:ascii="Calibri" w:hAnsi="Calibri" w:cs="Calibri"/>
        </w:rPr>
        <w:t xml:space="preserve">deferred </w:t>
      </w:r>
      <w:r w:rsidRPr="00572008">
        <w:rPr>
          <w:rFonts w:ascii="Calibri" w:hAnsi="Calibri" w:cs="Calibri"/>
        </w:rPr>
        <w:t>losses from the IMR, the reporting entity shall update and recognize the full and complete IMR amortization required for the IMR balance, including the appropriate portion of amortization attributed to the losses and gains added to the IMR balance throughout the current year.</w:t>
      </w:r>
      <w:r>
        <w:t xml:space="preserve"> </w:t>
      </w:r>
      <w:r w:rsidR="00410CCF">
        <w:rPr>
          <w:szCs w:val="22"/>
        </w:rPr>
        <w:br w:type="page"/>
      </w:r>
    </w:p>
    <w:p w14:paraId="4E3D3FAD" w14:textId="06EC5216" w:rsidR="004D72B5" w:rsidRPr="004D72B5" w:rsidRDefault="00BB2718" w:rsidP="004D72B5">
      <w:pPr>
        <w:pStyle w:val="BodyTextIndent"/>
        <w:spacing w:after="0"/>
        <w:ind w:left="0"/>
        <w:jc w:val="center"/>
        <w:rPr>
          <w:b/>
          <w:bCs/>
          <w:sz w:val="22"/>
          <w:szCs w:val="22"/>
        </w:rPr>
      </w:pPr>
      <w:r w:rsidRPr="004D72B5">
        <w:rPr>
          <w:b/>
          <w:bCs/>
          <w:sz w:val="22"/>
          <w:szCs w:val="22"/>
        </w:rPr>
        <w:lastRenderedPageBreak/>
        <w:t>Template 1 – Examples to Determine when the Proof of Reinvestment is Required:</w:t>
      </w:r>
    </w:p>
    <w:p w14:paraId="0637E920" w14:textId="77777777" w:rsidR="004D72B5" w:rsidRPr="004D72B5" w:rsidRDefault="004D72B5" w:rsidP="004D72B5">
      <w:pPr>
        <w:pStyle w:val="BodyTextIndent"/>
        <w:spacing w:after="0"/>
        <w:ind w:left="0"/>
        <w:jc w:val="both"/>
        <w:rPr>
          <w:sz w:val="22"/>
          <w:szCs w:val="22"/>
        </w:rPr>
      </w:pPr>
    </w:p>
    <w:tbl>
      <w:tblPr>
        <w:tblW w:w="10580" w:type="dxa"/>
        <w:tblInd w:w="-4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65"/>
        <w:gridCol w:w="1080"/>
        <w:gridCol w:w="275"/>
        <w:gridCol w:w="1440"/>
        <w:gridCol w:w="258"/>
        <w:gridCol w:w="1092"/>
        <w:gridCol w:w="270"/>
        <w:gridCol w:w="1440"/>
        <w:gridCol w:w="280"/>
        <w:gridCol w:w="1480"/>
      </w:tblGrid>
      <w:tr w:rsidR="004D72B5" w:rsidRPr="00A335C4" w14:paraId="4827F485" w14:textId="77777777" w:rsidTr="00220F5C">
        <w:trPr>
          <w:trHeight w:val="300"/>
        </w:trPr>
        <w:tc>
          <w:tcPr>
            <w:tcW w:w="2965" w:type="dxa"/>
            <w:noWrap/>
            <w:vAlign w:val="bottom"/>
          </w:tcPr>
          <w:p w14:paraId="1EC0AD49" w14:textId="77777777" w:rsidR="004D72B5" w:rsidRPr="00A335C4" w:rsidRDefault="004D72B5" w:rsidP="00220F5C">
            <w:pPr>
              <w:rPr>
                <w:rFonts w:ascii="Aptos Narrow" w:hAnsi="Aptos Narrow"/>
                <w:color w:val="000000"/>
                <w:szCs w:val="22"/>
              </w:rPr>
            </w:pPr>
          </w:p>
        </w:tc>
        <w:tc>
          <w:tcPr>
            <w:tcW w:w="1080" w:type="dxa"/>
            <w:noWrap/>
            <w:vAlign w:val="bottom"/>
          </w:tcPr>
          <w:p w14:paraId="60C49066" w14:textId="77777777" w:rsidR="004D72B5" w:rsidRPr="009302FA" w:rsidRDefault="004D72B5" w:rsidP="00220F5C">
            <w:pPr>
              <w:jc w:val="center"/>
              <w:rPr>
                <w:rFonts w:ascii="Aptos Narrow" w:hAnsi="Aptos Narrow"/>
                <w:b/>
                <w:bCs/>
                <w:color w:val="000000"/>
                <w:szCs w:val="22"/>
              </w:rPr>
            </w:pPr>
            <w:r w:rsidRPr="009302FA">
              <w:rPr>
                <w:rFonts w:ascii="Aptos Narrow" w:hAnsi="Aptos Narrow"/>
                <w:b/>
                <w:bCs/>
                <w:color w:val="000000"/>
                <w:szCs w:val="22"/>
              </w:rPr>
              <w:t>1</w:t>
            </w:r>
          </w:p>
        </w:tc>
        <w:tc>
          <w:tcPr>
            <w:tcW w:w="275" w:type="dxa"/>
            <w:noWrap/>
            <w:vAlign w:val="bottom"/>
          </w:tcPr>
          <w:p w14:paraId="6FE492D0" w14:textId="77777777" w:rsidR="004D72B5" w:rsidRPr="009302FA" w:rsidRDefault="004D72B5" w:rsidP="00220F5C">
            <w:pPr>
              <w:jc w:val="center"/>
              <w:rPr>
                <w:rFonts w:ascii="Aptos Narrow" w:hAnsi="Aptos Narrow"/>
                <w:b/>
                <w:bCs/>
                <w:color w:val="000000"/>
                <w:szCs w:val="22"/>
              </w:rPr>
            </w:pPr>
          </w:p>
        </w:tc>
        <w:tc>
          <w:tcPr>
            <w:tcW w:w="1440" w:type="dxa"/>
            <w:noWrap/>
            <w:vAlign w:val="bottom"/>
          </w:tcPr>
          <w:p w14:paraId="2EE115C6" w14:textId="77777777" w:rsidR="004D72B5" w:rsidRPr="009302FA" w:rsidRDefault="004D72B5" w:rsidP="00220F5C">
            <w:pPr>
              <w:jc w:val="center"/>
              <w:rPr>
                <w:rFonts w:ascii="Aptos Narrow" w:hAnsi="Aptos Narrow"/>
                <w:b/>
                <w:bCs/>
                <w:color w:val="000000"/>
                <w:szCs w:val="22"/>
              </w:rPr>
            </w:pPr>
            <w:r w:rsidRPr="009302FA">
              <w:rPr>
                <w:rFonts w:ascii="Aptos Narrow" w:hAnsi="Aptos Narrow"/>
                <w:b/>
                <w:bCs/>
                <w:color w:val="000000"/>
                <w:szCs w:val="22"/>
              </w:rPr>
              <w:t>2</w:t>
            </w:r>
          </w:p>
        </w:tc>
        <w:tc>
          <w:tcPr>
            <w:tcW w:w="258" w:type="dxa"/>
            <w:noWrap/>
            <w:vAlign w:val="bottom"/>
          </w:tcPr>
          <w:p w14:paraId="0C0D091A" w14:textId="77777777" w:rsidR="004D72B5" w:rsidRPr="009302FA" w:rsidRDefault="004D72B5" w:rsidP="00220F5C">
            <w:pPr>
              <w:jc w:val="center"/>
              <w:rPr>
                <w:rFonts w:ascii="Aptos Narrow" w:hAnsi="Aptos Narrow"/>
                <w:b/>
                <w:bCs/>
                <w:color w:val="000000"/>
                <w:szCs w:val="22"/>
              </w:rPr>
            </w:pPr>
          </w:p>
        </w:tc>
        <w:tc>
          <w:tcPr>
            <w:tcW w:w="1092" w:type="dxa"/>
            <w:noWrap/>
            <w:vAlign w:val="bottom"/>
          </w:tcPr>
          <w:p w14:paraId="6B22D873" w14:textId="77777777" w:rsidR="004D72B5" w:rsidRPr="009302FA" w:rsidRDefault="004D72B5" w:rsidP="00220F5C">
            <w:pPr>
              <w:jc w:val="center"/>
              <w:rPr>
                <w:rFonts w:ascii="Aptos Narrow" w:hAnsi="Aptos Narrow"/>
                <w:b/>
                <w:bCs/>
                <w:color w:val="000000"/>
                <w:szCs w:val="22"/>
              </w:rPr>
            </w:pPr>
            <w:r w:rsidRPr="009302FA">
              <w:rPr>
                <w:rFonts w:ascii="Aptos Narrow" w:hAnsi="Aptos Narrow"/>
                <w:b/>
                <w:bCs/>
                <w:color w:val="000000"/>
                <w:szCs w:val="22"/>
              </w:rPr>
              <w:t>3</w:t>
            </w:r>
          </w:p>
        </w:tc>
        <w:tc>
          <w:tcPr>
            <w:tcW w:w="270" w:type="dxa"/>
            <w:noWrap/>
            <w:vAlign w:val="bottom"/>
          </w:tcPr>
          <w:p w14:paraId="32D6A1D9" w14:textId="77777777" w:rsidR="004D72B5" w:rsidRPr="009302FA" w:rsidRDefault="004D72B5" w:rsidP="00220F5C">
            <w:pPr>
              <w:jc w:val="center"/>
              <w:rPr>
                <w:rFonts w:ascii="Aptos Narrow" w:hAnsi="Aptos Narrow"/>
                <w:b/>
                <w:bCs/>
                <w:color w:val="000000"/>
                <w:szCs w:val="22"/>
              </w:rPr>
            </w:pPr>
          </w:p>
        </w:tc>
        <w:tc>
          <w:tcPr>
            <w:tcW w:w="1440" w:type="dxa"/>
            <w:noWrap/>
            <w:vAlign w:val="bottom"/>
          </w:tcPr>
          <w:p w14:paraId="6F0BD53A" w14:textId="77777777" w:rsidR="004D72B5" w:rsidRPr="009302FA" w:rsidRDefault="004D72B5" w:rsidP="00220F5C">
            <w:pPr>
              <w:jc w:val="center"/>
              <w:rPr>
                <w:rFonts w:ascii="Aptos Narrow" w:hAnsi="Aptos Narrow"/>
                <w:b/>
                <w:bCs/>
                <w:color w:val="000000"/>
                <w:szCs w:val="22"/>
              </w:rPr>
            </w:pPr>
            <w:r w:rsidRPr="009302FA">
              <w:rPr>
                <w:rFonts w:ascii="Aptos Narrow" w:hAnsi="Aptos Narrow"/>
                <w:b/>
                <w:bCs/>
                <w:color w:val="000000"/>
                <w:szCs w:val="22"/>
              </w:rPr>
              <w:t>4</w:t>
            </w:r>
          </w:p>
        </w:tc>
        <w:tc>
          <w:tcPr>
            <w:tcW w:w="280" w:type="dxa"/>
            <w:noWrap/>
            <w:vAlign w:val="bottom"/>
          </w:tcPr>
          <w:p w14:paraId="33FFF248" w14:textId="77777777" w:rsidR="004D72B5" w:rsidRPr="009302FA" w:rsidRDefault="004D72B5" w:rsidP="00220F5C">
            <w:pPr>
              <w:jc w:val="center"/>
              <w:rPr>
                <w:rFonts w:ascii="Aptos Narrow" w:hAnsi="Aptos Narrow"/>
                <w:b/>
                <w:bCs/>
                <w:color w:val="000000"/>
                <w:szCs w:val="22"/>
              </w:rPr>
            </w:pPr>
          </w:p>
        </w:tc>
        <w:tc>
          <w:tcPr>
            <w:tcW w:w="1480" w:type="dxa"/>
            <w:noWrap/>
            <w:vAlign w:val="bottom"/>
          </w:tcPr>
          <w:p w14:paraId="7CFE7052" w14:textId="77777777" w:rsidR="004D72B5" w:rsidRPr="009302FA" w:rsidRDefault="004D72B5" w:rsidP="00220F5C">
            <w:pPr>
              <w:jc w:val="center"/>
              <w:rPr>
                <w:rFonts w:ascii="Aptos Narrow" w:hAnsi="Aptos Narrow"/>
                <w:b/>
                <w:bCs/>
                <w:color w:val="000000"/>
                <w:szCs w:val="22"/>
              </w:rPr>
            </w:pPr>
            <w:r w:rsidRPr="009302FA">
              <w:rPr>
                <w:rFonts w:ascii="Aptos Narrow" w:hAnsi="Aptos Narrow"/>
                <w:b/>
                <w:bCs/>
                <w:color w:val="000000"/>
                <w:szCs w:val="22"/>
              </w:rPr>
              <w:t>5</w:t>
            </w:r>
          </w:p>
        </w:tc>
      </w:tr>
      <w:tr w:rsidR="004D72B5" w:rsidRPr="00A335C4" w14:paraId="4250811E" w14:textId="77777777" w:rsidTr="00220F5C">
        <w:trPr>
          <w:trHeight w:val="300"/>
        </w:trPr>
        <w:tc>
          <w:tcPr>
            <w:tcW w:w="2965" w:type="dxa"/>
            <w:tcBorders>
              <w:bottom w:val="nil"/>
            </w:tcBorders>
            <w:noWrap/>
            <w:vAlign w:val="bottom"/>
            <w:hideMark/>
          </w:tcPr>
          <w:p w14:paraId="3FDC8089" w14:textId="77777777" w:rsidR="004D72B5" w:rsidRPr="00A335C4" w:rsidRDefault="004D72B5" w:rsidP="00220F5C">
            <w:pPr>
              <w:rPr>
                <w:rFonts w:ascii="Aptos Narrow" w:hAnsi="Aptos Narrow"/>
                <w:color w:val="000000"/>
                <w:szCs w:val="22"/>
              </w:rPr>
            </w:pPr>
            <w:r w:rsidRPr="00A335C4">
              <w:rPr>
                <w:rFonts w:ascii="Aptos Narrow" w:hAnsi="Aptos Narrow"/>
                <w:color w:val="000000"/>
                <w:szCs w:val="22"/>
              </w:rPr>
              <w:t xml:space="preserve">Beginning </w:t>
            </w:r>
            <w:r>
              <w:rPr>
                <w:rFonts w:ascii="Aptos Narrow" w:hAnsi="Aptos Narrow"/>
                <w:color w:val="000000"/>
                <w:szCs w:val="22"/>
              </w:rPr>
              <w:t xml:space="preserve">IMR </w:t>
            </w:r>
            <w:r w:rsidRPr="00A335C4">
              <w:rPr>
                <w:rFonts w:ascii="Aptos Narrow" w:hAnsi="Aptos Narrow"/>
                <w:color w:val="000000"/>
                <w:szCs w:val="22"/>
              </w:rPr>
              <w:t>Balance</w:t>
            </w:r>
          </w:p>
        </w:tc>
        <w:tc>
          <w:tcPr>
            <w:tcW w:w="1080" w:type="dxa"/>
            <w:tcBorders>
              <w:bottom w:val="nil"/>
            </w:tcBorders>
            <w:noWrap/>
            <w:vAlign w:val="bottom"/>
            <w:hideMark/>
          </w:tcPr>
          <w:p w14:paraId="093BE908" w14:textId="77777777" w:rsidR="004D72B5" w:rsidRPr="00A335C4" w:rsidRDefault="004D72B5" w:rsidP="00220F5C">
            <w:pPr>
              <w:jc w:val="center"/>
              <w:rPr>
                <w:rFonts w:ascii="Aptos Narrow" w:hAnsi="Aptos Narrow"/>
                <w:color w:val="000000"/>
                <w:szCs w:val="22"/>
              </w:rPr>
            </w:pPr>
            <w:r w:rsidRPr="00A335C4">
              <w:rPr>
                <w:rFonts w:ascii="Aptos Narrow" w:hAnsi="Aptos Narrow"/>
                <w:color w:val="000000"/>
                <w:szCs w:val="22"/>
              </w:rPr>
              <w:t>50.00</w:t>
            </w:r>
          </w:p>
        </w:tc>
        <w:tc>
          <w:tcPr>
            <w:tcW w:w="275" w:type="dxa"/>
            <w:tcBorders>
              <w:bottom w:val="nil"/>
            </w:tcBorders>
            <w:noWrap/>
            <w:vAlign w:val="bottom"/>
            <w:hideMark/>
          </w:tcPr>
          <w:p w14:paraId="5A67828A" w14:textId="77777777" w:rsidR="004D72B5" w:rsidRPr="00A335C4" w:rsidRDefault="004D72B5" w:rsidP="00220F5C">
            <w:pPr>
              <w:jc w:val="center"/>
              <w:rPr>
                <w:rFonts w:ascii="Aptos Narrow" w:hAnsi="Aptos Narrow"/>
                <w:color w:val="000000"/>
                <w:szCs w:val="22"/>
              </w:rPr>
            </w:pPr>
          </w:p>
        </w:tc>
        <w:tc>
          <w:tcPr>
            <w:tcW w:w="1440" w:type="dxa"/>
            <w:tcBorders>
              <w:bottom w:val="nil"/>
            </w:tcBorders>
            <w:noWrap/>
            <w:vAlign w:val="bottom"/>
            <w:hideMark/>
          </w:tcPr>
          <w:p w14:paraId="5007CF88" w14:textId="77777777" w:rsidR="004D72B5" w:rsidRPr="00A335C4" w:rsidRDefault="004D72B5" w:rsidP="00220F5C">
            <w:pPr>
              <w:jc w:val="center"/>
              <w:rPr>
                <w:rFonts w:ascii="Aptos Narrow" w:hAnsi="Aptos Narrow"/>
                <w:color w:val="000000"/>
                <w:szCs w:val="22"/>
              </w:rPr>
            </w:pPr>
            <w:r w:rsidRPr="00A335C4">
              <w:rPr>
                <w:rFonts w:ascii="Aptos Narrow" w:hAnsi="Aptos Narrow"/>
                <w:color w:val="000000"/>
                <w:szCs w:val="22"/>
              </w:rPr>
              <w:t>50.00</w:t>
            </w:r>
          </w:p>
        </w:tc>
        <w:tc>
          <w:tcPr>
            <w:tcW w:w="258" w:type="dxa"/>
            <w:tcBorders>
              <w:bottom w:val="nil"/>
            </w:tcBorders>
            <w:noWrap/>
            <w:vAlign w:val="bottom"/>
            <w:hideMark/>
          </w:tcPr>
          <w:p w14:paraId="56B187B8" w14:textId="77777777" w:rsidR="004D72B5" w:rsidRPr="00A335C4" w:rsidRDefault="004D72B5" w:rsidP="00220F5C">
            <w:pPr>
              <w:jc w:val="center"/>
              <w:rPr>
                <w:rFonts w:ascii="Aptos Narrow" w:hAnsi="Aptos Narrow"/>
                <w:color w:val="000000"/>
                <w:szCs w:val="22"/>
              </w:rPr>
            </w:pPr>
          </w:p>
        </w:tc>
        <w:tc>
          <w:tcPr>
            <w:tcW w:w="1092" w:type="dxa"/>
            <w:tcBorders>
              <w:bottom w:val="nil"/>
            </w:tcBorders>
            <w:noWrap/>
            <w:vAlign w:val="bottom"/>
            <w:hideMark/>
          </w:tcPr>
          <w:p w14:paraId="73B08C96" w14:textId="77777777" w:rsidR="004D72B5" w:rsidRPr="00A335C4" w:rsidRDefault="004D72B5" w:rsidP="00220F5C">
            <w:pPr>
              <w:jc w:val="center"/>
              <w:rPr>
                <w:rFonts w:ascii="Aptos Narrow" w:hAnsi="Aptos Narrow"/>
                <w:color w:val="000000"/>
                <w:szCs w:val="22"/>
              </w:rPr>
            </w:pPr>
            <w:r w:rsidRPr="00A335C4">
              <w:rPr>
                <w:rFonts w:ascii="Aptos Narrow" w:hAnsi="Aptos Narrow"/>
                <w:color w:val="000000"/>
                <w:szCs w:val="22"/>
              </w:rPr>
              <w:t>(50.00)</w:t>
            </w:r>
          </w:p>
        </w:tc>
        <w:tc>
          <w:tcPr>
            <w:tcW w:w="270" w:type="dxa"/>
            <w:tcBorders>
              <w:bottom w:val="nil"/>
            </w:tcBorders>
            <w:noWrap/>
            <w:vAlign w:val="bottom"/>
            <w:hideMark/>
          </w:tcPr>
          <w:p w14:paraId="570E422A" w14:textId="77777777" w:rsidR="004D72B5" w:rsidRPr="00A335C4" w:rsidRDefault="004D72B5" w:rsidP="00220F5C">
            <w:pPr>
              <w:jc w:val="center"/>
              <w:rPr>
                <w:rFonts w:ascii="Aptos Narrow" w:hAnsi="Aptos Narrow"/>
                <w:color w:val="000000"/>
                <w:szCs w:val="22"/>
              </w:rPr>
            </w:pPr>
          </w:p>
        </w:tc>
        <w:tc>
          <w:tcPr>
            <w:tcW w:w="1440" w:type="dxa"/>
            <w:tcBorders>
              <w:bottom w:val="nil"/>
            </w:tcBorders>
            <w:noWrap/>
            <w:vAlign w:val="bottom"/>
            <w:hideMark/>
          </w:tcPr>
          <w:p w14:paraId="590D1FD8" w14:textId="77777777" w:rsidR="004D72B5" w:rsidRPr="00A335C4" w:rsidRDefault="004D72B5" w:rsidP="00220F5C">
            <w:pPr>
              <w:jc w:val="center"/>
              <w:rPr>
                <w:rFonts w:ascii="Aptos Narrow" w:hAnsi="Aptos Narrow"/>
                <w:color w:val="000000"/>
                <w:szCs w:val="22"/>
              </w:rPr>
            </w:pPr>
            <w:r w:rsidRPr="00A335C4">
              <w:rPr>
                <w:rFonts w:ascii="Aptos Narrow" w:hAnsi="Aptos Narrow"/>
                <w:color w:val="000000"/>
                <w:szCs w:val="22"/>
              </w:rPr>
              <w:t>(50.00)</w:t>
            </w:r>
          </w:p>
        </w:tc>
        <w:tc>
          <w:tcPr>
            <w:tcW w:w="280" w:type="dxa"/>
            <w:tcBorders>
              <w:bottom w:val="nil"/>
            </w:tcBorders>
            <w:noWrap/>
            <w:vAlign w:val="bottom"/>
            <w:hideMark/>
          </w:tcPr>
          <w:p w14:paraId="678B9275" w14:textId="77777777" w:rsidR="004D72B5" w:rsidRPr="00A335C4" w:rsidRDefault="004D72B5" w:rsidP="00220F5C">
            <w:pPr>
              <w:jc w:val="center"/>
              <w:rPr>
                <w:rFonts w:ascii="Aptos Narrow" w:hAnsi="Aptos Narrow"/>
                <w:color w:val="000000"/>
                <w:szCs w:val="22"/>
              </w:rPr>
            </w:pPr>
          </w:p>
        </w:tc>
        <w:tc>
          <w:tcPr>
            <w:tcW w:w="1480" w:type="dxa"/>
            <w:tcBorders>
              <w:bottom w:val="nil"/>
            </w:tcBorders>
            <w:noWrap/>
            <w:vAlign w:val="bottom"/>
            <w:hideMark/>
          </w:tcPr>
          <w:p w14:paraId="707E8F68" w14:textId="77777777" w:rsidR="004D72B5" w:rsidRPr="00A335C4" w:rsidRDefault="004D72B5" w:rsidP="00220F5C">
            <w:pPr>
              <w:jc w:val="center"/>
              <w:rPr>
                <w:rFonts w:ascii="Aptos Narrow" w:hAnsi="Aptos Narrow"/>
                <w:color w:val="000000"/>
                <w:szCs w:val="22"/>
              </w:rPr>
            </w:pPr>
            <w:r w:rsidRPr="00A335C4">
              <w:rPr>
                <w:rFonts w:ascii="Aptos Narrow" w:hAnsi="Aptos Narrow"/>
                <w:color w:val="000000"/>
                <w:szCs w:val="22"/>
              </w:rPr>
              <w:t>(50.00)</w:t>
            </w:r>
          </w:p>
        </w:tc>
      </w:tr>
      <w:tr w:rsidR="004D72B5" w:rsidRPr="00A335C4" w14:paraId="6577AB78" w14:textId="77777777" w:rsidTr="00220F5C">
        <w:trPr>
          <w:trHeight w:val="300"/>
        </w:trPr>
        <w:tc>
          <w:tcPr>
            <w:tcW w:w="2965" w:type="dxa"/>
            <w:tcBorders>
              <w:top w:val="nil"/>
              <w:bottom w:val="single" w:sz="4" w:space="0" w:color="auto"/>
            </w:tcBorders>
            <w:noWrap/>
            <w:vAlign w:val="bottom"/>
            <w:hideMark/>
          </w:tcPr>
          <w:p w14:paraId="25762AF3" w14:textId="77777777" w:rsidR="004D72B5" w:rsidRPr="00A335C4" w:rsidRDefault="004D72B5" w:rsidP="00220F5C">
            <w:pPr>
              <w:rPr>
                <w:rFonts w:ascii="Aptos Narrow" w:hAnsi="Aptos Narrow"/>
                <w:color w:val="000000"/>
                <w:szCs w:val="22"/>
              </w:rPr>
            </w:pPr>
            <w:r w:rsidRPr="00A335C4">
              <w:rPr>
                <w:rFonts w:ascii="Aptos Narrow" w:hAnsi="Aptos Narrow"/>
                <w:color w:val="000000"/>
                <w:szCs w:val="22"/>
              </w:rPr>
              <w:t>IMR Expected Amortization</w:t>
            </w:r>
            <w:r w:rsidRPr="00B2614D">
              <w:rPr>
                <w:rFonts w:ascii="Aptos Narrow" w:hAnsi="Aptos Narrow"/>
                <w:color w:val="000000"/>
                <w:szCs w:val="22"/>
                <w:vertAlign w:val="superscript"/>
              </w:rPr>
              <w:t>1</w:t>
            </w:r>
          </w:p>
        </w:tc>
        <w:tc>
          <w:tcPr>
            <w:tcW w:w="1080" w:type="dxa"/>
            <w:tcBorders>
              <w:top w:val="nil"/>
              <w:bottom w:val="single" w:sz="4" w:space="0" w:color="auto"/>
            </w:tcBorders>
            <w:noWrap/>
            <w:vAlign w:val="bottom"/>
            <w:hideMark/>
          </w:tcPr>
          <w:p w14:paraId="415A77F5" w14:textId="77777777" w:rsidR="004D72B5" w:rsidRPr="00A335C4" w:rsidRDefault="004D72B5" w:rsidP="00220F5C">
            <w:pPr>
              <w:jc w:val="center"/>
              <w:rPr>
                <w:rFonts w:ascii="Aptos Narrow" w:hAnsi="Aptos Narrow"/>
                <w:color w:val="000000"/>
                <w:szCs w:val="22"/>
              </w:rPr>
            </w:pPr>
            <w:r w:rsidRPr="00A335C4">
              <w:rPr>
                <w:rFonts w:ascii="Aptos Narrow" w:hAnsi="Aptos Narrow"/>
                <w:color w:val="000000"/>
                <w:szCs w:val="22"/>
              </w:rPr>
              <w:t>(20.00)</w:t>
            </w:r>
          </w:p>
        </w:tc>
        <w:tc>
          <w:tcPr>
            <w:tcW w:w="275" w:type="dxa"/>
            <w:tcBorders>
              <w:top w:val="nil"/>
              <w:bottom w:val="single" w:sz="4" w:space="0" w:color="auto"/>
            </w:tcBorders>
            <w:noWrap/>
            <w:vAlign w:val="bottom"/>
            <w:hideMark/>
          </w:tcPr>
          <w:p w14:paraId="46B8B703" w14:textId="77777777" w:rsidR="004D72B5" w:rsidRPr="00A335C4" w:rsidRDefault="004D72B5" w:rsidP="00220F5C">
            <w:pPr>
              <w:jc w:val="center"/>
              <w:rPr>
                <w:rFonts w:ascii="Aptos Narrow" w:hAnsi="Aptos Narrow"/>
                <w:color w:val="000000"/>
                <w:szCs w:val="22"/>
              </w:rPr>
            </w:pPr>
          </w:p>
        </w:tc>
        <w:tc>
          <w:tcPr>
            <w:tcW w:w="1440" w:type="dxa"/>
            <w:tcBorders>
              <w:top w:val="nil"/>
              <w:bottom w:val="single" w:sz="4" w:space="0" w:color="auto"/>
            </w:tcBorders>
            <w:noWrap/>
            <w:vAlign w:val="bottom"/>
            <w:hideMark/>
          </w:tcPr>
          <w:p w14:paraId="3751D318" w14:textId="77777777" w:rsidR="004D72B5" w:rsidRPr="00A335C4" w:rsidRDefault="004D72B5" w:rsidP="00220F5C">
            <w:pPr>
              <w:jc w:val="center"/>
              <w:rPr>
                <w:rFonts w:ascii="Aptos Narrow" w:hAnsi="Aptos Narrow"/>
                <w:color w:val="000000"/>
                <w:szCs w:val="22"/>
              </w:rPr>
            </w:pPr>
            <w:r w:rsidRPr="00A335C4">
              <w:rPr>
                <w:rFonts w:ascii="Aptos Narrow" w:hAnsi="Aptos Narrow"/>
                <w:color w:val="000000"/>
                <w:szCs w:val="22"/>
              </w:rPr>
              <w:t>(20.00)</w:t>
            </w:r>
          </w:p>
        </w:tc>
        <w:tc>
          <w:tcPr>
            <w:tcW w:w="258" w:type="dxa"/>
            <w:tcBorders>
              <w:top w:val="nil"/>
              <w:bottom w:val="single" w:sz="4" w:space="0" w:color="auto"/>
            </w:tcBorders>
            <w:noWrap/>
            <w:vAlign w:val="bottom"/>
            <w:hideMark/>
          </w:tcPr>
          <w:p w14:paraId="591C13DD" w14:textId="77777777" w:rsidR="004D72B5" w:rsidRPr="00A335C4" w:rsidRDefault="004D72B5" w:rsidP="00220F5C">
            <w:pPr>
              <w:jc w:val="center"/>
              <w:rPr>
                <w:rFonts w:ascii="Aptos Narrow" w:hAnsi="Aptos Narrow"/>
                <w:color w:val="000000"/>
                <w:szCs w:val="22"/>
              </w:rPr>
            </w:pPr>
          </w:p>
        </w:tc>
        <w:tc>
          <w:tcPr>
            <w:tcW w:w="1092" w:type="dxa"/>
            <w:tcBorders>
              <w:top w:val="nil"/>
              <w:bottom w:val="single" w:sz="4" w:space="0" w:color="auto"/>
            </w:tcBorders>
            <w:noWrap/>
            <w:vAlign w:val="bottom"/>
            <w:hideMark/>
          </w:tcPr>
          <w:p w14:paraId="2532DE74" w14:textId="77777777" w:rsidR="004D72B5" w:rsidRPr="00A335C4" w:rsidRDefault="004D72B5" w:rsidP="00220F5C">
            <w:pPr>
              <w:jc w:val="center"/>
              <w:rPr>
                <w:rFonts w:ascii="Aptos Narrow" w:hAnsi="Aptos Narrow"/>
                <w:color w:val="000000"/>
                <w:szCs w:val="22"/>
              </w:rPr>
            </w:pPr>
            <w:r w:rsidRPr="00A335C4">
              <w:rPr>
                <w:rFonts w:ascii="Aptos Narrow" w:hAnsi="Aptos Narrow"/>
                <w:color w:val="000000"/>
                <w:szCs w:val="22"/>
              </w:rPr>
              <w:t>20.00</w:t>
            </w:r>
          </w:p>
        </w:tc>
        <w:tc>
          <w:tcPr>
            <w:tcW w:w="270" w:type="dxa"/>
            <w:tcBorders>
              <w:top w:val="nil"/>
              <w:bottom w:val="single" w:sz="4" w:space="0" w:color="auto"/>
            </w:tcBorders>
            <w:noWrap/>
            <w:vAlign w:val="bottom"/>
            <w:hideMark/>
          </w:tcPr>
          <w:p w14:paraId="2B8CC176" w14:textId="77777777" w:rsidR="004D72B5" w:rsidRPr="00A335C4" w:rsidRDefault="004D72B5" w:rsidP="00220F5C">
            <w:pPr>
              <w:jc w:val="center"/>
              <w:rPr>
                <w:rFonts w:ascii="Aptos Narrow" w:hAnsi="Aptos Narrow"/>
                <w:color w:val="000000"/>
                <w:szCs w:val="22"/>
              </w:rPr>
            </w:pPr>
          </w:p>
        </w:tc>
        <w:tc>
          <w:tcPr>
            <w:tcW w:w="1440" w:type="dxa"/>
            <w:tcBorders>
              <w:top w:val="nil"/>
              <w:bottom w:val="single" w:sz="4" w:space="0" w:color="auto"/>
            </w:tcBorders>
            <w:noWrap/>
            <w:vAlign w:val="bottom"/>
            <w:hideMark/>
          </w:tcPr>
          <w:p w14:paraId="51E6A3FB" w14:textId="77777777" w:rsidR="004D72B5" w:rsidRPr="00A335C4" w:rsidRDefault="004D72B5" w:rsidP="00220F5C">
            <w:pPr>
              <w:jc w:val="center"/>
              <w:rPr>
                <w:rFonts w:ascii="Aptos Narrow" w:hAnsi="Aptos Narrow"/>
                <w:color w:val="000000"/>
                <w:szCs w:val="22"/>
              </w:rPr>
            </w:pPr>
            <w:r w:rsidRPr="00A335C4">
              <w:rPr>
                <w:rFonts w:ascii="Aptos Narrow" w:hAnsi="Aptos Narrow"/>
                <w:color w:val="000000"/>
                <w:szCs w:val="22"/>
              </w:rPr>
              <w:t>20.00</w:t>
            </w:r>
          </w:p>
        </w:tc>
        <w:tc>
          <w:tcPr>
            <w:tcW w:w="280" w:type="dxa"/>
            <w:tcBorders>
              <w:top w:val="nil"/>
              <w:bottom w:val="single" w:sz="4" w:space="0" w:color="auto"/>
            </w:tcBorders>
            <w:noWrap/>
            <w:vAlign w:val="bottom"/>
            <w:hideMark/>
          </w:tcPr>
          <w:p w14:paraId="182DC567" w14:textId="77777777" w:rsidR="004D72B5" w:rsidRPr="00A335C4" w:rsidRDefault="004D72B5" w:rsidP="00220F5C">
            <w:pPr>
              <w:jc w:val="center"/>
              <w:rPr>
                <w:rFonts w:ascii="Aptos Narrow" w:hAnsi="Aptos Narrow"/>
                <w:color w:val="000000"/>
                <w:szCs w:val="22"/>
              </w:rPr>
            </w:pPr>
          </w:p>
        </w:tc>
        <w:tc>
          <w:tcPr>
            <w:tcW w:w="1480" w:type="dxa"/>
            <w:tcBorders>
              <w:top w:val="nil"/>
              <w:bottom w:val="single" w:sz="4" w:space="0" w:color="auto"/>
            </w:tcBorders>
            <w:noWrap/>
            <w:vAlign w:val="bottom"/>
            <w:hideMark/>
          </w:tcPr>
          <w:p w14:paraId="2EFAC581" w14:textId="77777777" w:rsidR="004D72B5" w:rsidRPr="00A335C4" w:rsidRDefault="004D72B5" w:rsidP="00220F5C">
            <w:pPr>
              <w:jc w:val="center"/>
              <w:rPr>
                <w:rFonts w:ascii="Aptos Narrow" w:hAnsi="Aptos Narrow"/>
                <w:color w:val="000000"/>
                <w:szCs w:val="22"/>
              </w:rPr>
            </w:pPr>
            <w:r w:rsidRPr="00A335C4">
              <w:rPr>
                <w:rFonts w:ascii="Aptos Narrow" w:hAnsi="Aptos Narrow"/>
                <w:color w:val="000000"/>
                <w:szCs w:val="22"/>
              </w:rPr>
              <w:t>20.00</w:t>
            </w:r>
          </w:p>
        </w:tc>
      </w:tr>
      <w:tr w:rsidR="004D72B5" w:rsidRPr="00A335C4" w14:paraId="228160B5" w14:textId="77777777" w:rsidTr="00220F5C">
        <w:trPr>
          <w:trHeight w:val="300"/>
        </w:trPr>
        <w:tc>
          <w:tcPr>
            <w:tcW w:w="2965" w:type="dxa"/>
            <w:tcBorders>
              <w:top w:val="single" w:sz="4" w:space="0" w:color="auto"/>
            </w:tcBorders>
            <w:noWrap/>
            <w:vAlign w:val="bottom"/>
            <w:hideMark/>
          </w:tcPr>
          <w:p w14:paraId="3AFA10FB" w14:textId="77777777" w:rsidR="004D72B5" w:rsidRPr="00A335C4" w:rsidRDefault="004D72B5" w:rsidP="00220F5C">
            <w:pPr>
              <w:jc w:val="right"/>
              <w:rPr>
                <w:rFonts w:ascii="Aptos Narrow" w:hAnsi="Aptos Narrow"/>
                <w:b/>
                <w:bCs/>
                <w:color w:val="000000"/>
                <w:szCs w:val="22"/>
              </w:rPr>
            </w:pPr>
            <w:r w:rsidRPr="00A335C4">
              <w:rPr>
                <w:rFonts w:ascii="Aptos Narrow" w:hAnsi="Aptos Narrow"/>
                <w:b/>
                <w:bCs/>
                <w:color w:val="000000"/>
                <w:szCs w:val="22"/>
              </w:rPr>
              <w:t>Subtotal</w:t>
            </w:r>
          </w:p>
        </w:tc>
        <w:tc>
          <w:tcPr>
            <w:tcW w:w="1080" w:type="dxa"/>
            <w:tcBorders>
              <w:top w:val="single" w:sz="4" w:space="0" w:color="auto"/>
            </w:tcBorders>
            <w:noWrap/>
            <w:vAlign w:val="bottom"/>
            <w:hideMark/>
          </w:tcPr>
          <w:p w14:paraId="266A46BA" w14:textId="77777777" w:rsidR="004D72B5" w:rsidRPr="00A335C4" w:rsidRDefault="004D72B5" w:rsidP="00220F5C">
            <w:pPr>
              <w:jc w:val="center"/>
              <w:rPr>
                <w:rFonts w:ascii="Aptos Narrow" w:hAnsi="Aptos Narrow"/>
                <w:b/>
                <w:bCs/>
                <w:color w:val="000000"/>
                <w:szCs w:val="22"/>
              </w:rPr>
            </w:pPr>
            <w:r w:rsidRPr="00A335C4">
              <w:rPr>
                <w:rFonts w:ascii="Aptos Narrow" w:hAnsi="Aptos Narrow"/>
                <w:b/>
                <w:bCs/>
                <w:color w:val="000000"/>
                <w:szCs w:val="22"/>
              </w:rPr>
              <w:t>30.00</w:t>
            </w:r>
          </w:p>
        </w:tc>
        <w:tc>
          <w:tcPr>
            <w:tcW w:w="275" w:type="dxa"/>
            <w:tcBorders>
              <w:top w:val="single" w:sz="4" w:space="0" w:color="auto"/>
            </w:tcBorders>
            <w:noWrap/>
            <w:vAlign w:val="bottom"/>
            <w:hideMark/>
          </w:tcPr>
          <w:p w14:paraId="5628035E" w14:textId="77777777" w:rsidR="004D72B5" w:rsidRPr="00A335C4" w:rsidRDefault="004D72B5" w:rsidP="00220F5C">
            <w:pPr>
              <w:jc w:val="center"/>
              <w:rPr>
                <w:rFonts w:ascii="Aptos Narrow" w:hAnsi="Aptos Narrow"/>
                <w:b/>
                <w:bCs/>
                <w:color w:val="000000"/>
                <w:szCs w:val="22"/>
              </w:rPr>
            </w:pPr>
          </w:p>
        </w:tc>
        <w:tc>
          <w:tcPr>
            <w:tcW w:w="1440" w:type="dxa"/>
            <w:tcBorders>
              <w:top w:val="single" w:sz="4" w:space="0" w:color="auto"/>
            </w:tcBorders>
            <w:noWrap/>
            <w:vAlign w:val="bottom"/>
            <w:hideMark/>
          </w:tcPr>
          <w:p w14:paraId="58161705" w14:textId="77777777" w:rsidR="004D72B5" w:rsidRPr="00A335C4" w:rsidRDefault="004D72B5" w:rsidP="00220F5C">
            <w:pPr>
              <w:jc w:val="center"/>
              <w:rPr>
                <w:rFonts w:ascii="Aptos Narrow" w:hAnsi="Aptos Narrow"/>
                <w:b/>
                <w:bCs/>
                <w:color w:val="000000"/>
                <w:szCs w:val="22"/>
              </w:rPr>
            </w:pPr>
            <w:r w:rsidRPr="00A335C4">
              <w:rPr>
                <w:rFonts w:ascii="Aptos Narrow" w:hAnsi="Aptos Narrow"/>
                <w:b/>
                <w:bCs/>
                <w:color w:val="000000"/>
                <w:szCs w:val="22"/>
              </w:rPr>
              <w:t>30.00</w:t>
            </w:r>
          </w:p>
        </w:tc>
        <w:tc>
          <w:tcPr>
            <w:tcW w:w="258" w:type="dxa"/>
            <w:tcBorders>
              <w:top w:val="single" w:sz="4" w:space="0" w:color="auto"/>
            </w:tcBorders>
            <w:noWrap/>
            <w:vAlign w:val="bottom"/>
            <w:hideMark/>
          </w:tcPr>
          <w:p w14:paraId="627E0DE8" w14:textId="77777777" w:rsidR="004D72B5" w:rsidRPr="00A335C4" w:rsidRDefault="004D72B5" w:rsidP="00220F5C">
            <w:pPr>
              <w:jc w:val="center"/>
              <w:rPr>
                <w:rFonts w:ascii="Aptos Narrow" w:hAnsi="Aptos Narrow"/>
                <w:b/>
                <w:bCs/>
                <w:color w:val="000000"/>
                <w:szCs w:val="22"/>
              </w:rPr>
            </w:pPr>
          </w:p>
        </w:tc>
        <w:tc>
          <w:tcPr>
            <w:tcW w:w="1092" w:type="dxa"/>
            <w:tcBorders>
              <w:top w:val="single" w:sz="4" w:space="0" w:color="auto"/>
            </w:tcBorders>
            <w:noWrap/>
            <w:vAlign w:val="bottom"/>
            <w:hideMark/>
          </w:tcPr>
          <w:p w14:paraId="18E8571F" w14:textId="77777777" w:rsidR="004D72B5" w:rsidRPr="00A335C4" w:rsidRDefault="004D72B5" w:rsidP="00220F5C">
            <w:pPr>
              <w:jc w:val="center"/>
              <w:rPr>
                <w:rFonts w:ascii="Aptos Narrow" w:hAnsi="Aptos Narrow"/>
                <w:b/>
                <w:bCs/>
                <w:color w:val="000000"/>
                <w:szCs w:val="22"/>
              </w:rPr>
            </w:pPr>
            <w:r w:rsidRPr="00A335C4">
              <w:rPr>
                <w:rFonts w:ascii="Aptos Narrow" w:hAnsi="Aptos Narrow"/>
                <w:b/>
                <w:bCs/>
                <w:color w:val="000000"/>
                <w:szCs w:val="22"/>
              </w:rPr>
              <w:t>(30.00)</w:t>
            </w:r>
          </w:p>
        </w:tc>
        <w:tc>
          <w:tcPr>
            <w:tcW w:w="270" w:type="dxa"/>
            <w:tcBorders>
              <w:top w:val="single" w:sz="4" w:space="0" w:color="auto"/>
            </w:tcBorders>
            <w:noWrap/>
            <w:vAlign w:val="bottom"/>
            <w:hideMark/>
          </w:tcPr>
          <w:p w14:paraId="246311F0" w14:textId="77777777" w:rsidR="004D72B5" w:rsidRPr="00A335C4" w:rsidRDefault="004D72B5" w:rsidP="00220F5C">
            <w:pPr>
              <w:jc w:val="center"/>
              <w:rPr>
                <w:rFonts w:ascii="Aptos Narrow" w:hAnsi="Aptos Narrow"/>
                <w:b/>
                <w:bCs/>
                <w:color w:val="000000"/>
                <w:szCs w:val="22"/>
              </w:rPr>
            </w:pPr>
          </w:p>
        </w:tc>
        <w:tc>
          <w:tcPr>
            <w:tcW w:w="1440" w:type="dxa"/>
            <w:tcBorders>
              <w:top w:val="single" w:sz="4" w:space="0" w:color="auto"/>
            </w:tcBorders>
            <w:noWrap/>
            <w:vAlign w:val="bottom"/>
            <w:hideMark/>
          </w:tcPr>
          <w:p w14:paraId="07B3D738" w14:textId="77777777" w:rsidR="004D72B5" w:rsidRPr="00A335C4" w:rsidRDefault="004D72B5" w:rsidP="00220F5C">
            <w:pPr>
              <w:jc w:val="center"/>
              <w:rPr>
                <w:rFonts w:ascii="Aptos Narrow" w:hAnsi="Aptos Narrow"/>
                <w:b/>
                <w:bCs/>
                <w:color w:val="000000"/>
                <w:szCs w:val="22"/>
              </w:rPr>
            </w:pPr>
            <w:r w:rsidRPr="00A335C4">
              <w:rPr>
                <w:rFonts w:ascii="Aptos Narrow" w:hAnsi="Aptos Narrow"/>
                <w:b/>
                <w:bCs/>
                <w:color w:val="000000"/>
                <w:szCs w:val="22"/>
              </w:rPr>
              <w:t>(30.00)</w:t>
            </w:r>
          </w:p>
        </w:tc>
        <w:tc>
          <w:tcPr>
            <w:tcW w:w="280" w:type="dxa"/>
            <w:tcBorders>
              <w:top w:val="single" w:sz="4" w:space="0" w:color="auto"/>
            </w:tcBorders>
            <w:noWrap/>
            <w:vAlign w:val="bottom"/>
            <w:hideMark/>
          </w:tcPr>
          <w:p w14:paraId="19542735" w14:textId="77777777" w:rsidR="004D72B5" w:rsidRPr="00A335C4" w:rsidRDefault="004D72B5" w:rsidP="00220F5C">
            <w:pPr>
              <w:jc w:val="center"/>
              <w:rPr>
                <w:rFonts w:ascii="Aptos Narrow" w:hAnsi="Aptos Narrow"/>
                <w:b/>
                <w:bCs/>
                <w:color w:val="000000"/>
                <w:szCs w:val="22"/>
              </w:rPr>
            </w:pPr>
          </w:p>
        </w:tc>
        <w:tc>
          <w:tcPr>
            <w:tcW w:w="1480" w:type="dxa"/>
            <w:tcBorders>
              <w:top w:val="single" w:sz="4" w:space="0" w:color="auto"/>
            </w:tcBorders>
            <w:noWrap/>
            <w:vAlign w:val="bottom"/>
            <w:hideMark/>
          </w:tcPr>
          <w:p w14:paraId="4C70E802" w14:textId="77777777" w:rsidR="004D72B5" w:rsidRPr="00A335C4" w:rsidRDefault="004D72B5" w:rsidP="00220F5C">
            <w:pPr>
              <w:jc w:val="center"/>
              <w:rPr>
                <w:rFonts w:ascii="Aptos Narrow" w:hAnsi="Aptos Narrow"/>
                <w:b/>
                <w:bCs/>
                <w:color w:val="000000"/>
                <w:szCs w:val="22"/>
              </w:rPr>
            </w:pPr>
            <w:r w:rsidRPr="00A335C4">
              <w:rPr>
                <w:rFonts w:ascii="Aptos Narrow" w:hAnsi="Aptos Narrow"/>
                <w:b/>
                <w:bCs/>
                <w:color w:val="000000"/>
                <w:szCs w:val="22"/>
              </w:rPr>
              <w:t>(30.00)</w:t>
            </w:r>
          </w:p>
        </w:tc>
      </w:tr>
      <w:tr w:rsidR="004D72B5" w:rsidRPr="00A335C4" w14:paraId="7FB3ABEF" w14:textId="77777777" w:rsidTr="00220F5C">
        <w:trPr>
          <w:trHeight w:val="300"/>
        </w:trPr>
        <w:tc>
          <w:tcPr>
            <w:tcW w:w="2965" w:type="dxa"/>
            <w:noWrap/>
            <w:vAlign w:val="bottom"/>
            <w:hideMark/>
          </w:tcPr>
          <w:p w14:paraId="5867BA46" w14:textId="77777777" w:rsidR="004D72B5" w:rsidRPr="00A335C4" w:rsidRDefault="004D72B5" w:rsidP="00220F5C">
            <w:pPr>
              <w:rPr>
                <w:rFonts w:ascii="Aptos Narrow" w:hAnsi="Aptos Narrow"/>
                <w:color w:val="000000"/>
                <w:szCs w:val="22"/>
              </w:rPr>
            </w:pPr>
            <w:r w:rsidRPr="00A335C4">
              <w:rPr>
                <w:rFonts w:ascii="Aptos Narrow" w:hAnsi="Aptos Narrow"/>
                <w:color w:val="000000"/>
                <w:szCs w:val="22"/>
              </w:rPr>
              <w:t> </w:t>
            </w:r>
          </w:p>
        </w:tc>
        <w:tc>
          <w:tcPr>
            <w:tcW w:w="1080" w:type="dxa"/>
            <w:noWrap/>
            <w:vAlign w:val="bottom"/>
            <w:hideMark/>
          </w:tcPr>
          <w:p w14:paraId="1E61E3F4" w14:textId="77777777" w:rsidR="004D72B5" w:rsidRPr="00A335C4" w:rsidRDefault="004D72B5" w:rsidP="00220F5C">
            <w:pPr>
              <w:jc w:val="center"/>
              <w:rPr>
                <w:rFonts w:ascii="Aptos Narrow" w:hAnsi="Aptos Narrow"/>
                <w:color w:val="000000"/>
                <w:szCs w:val="22"/>
              </w:rPr>
            </w:pPr>
          </w:p>
        </w:tc>
        <w:tc>
          <w:tcPr>
            <w:tcW w:w="275" w:type="dxa"/>
            <w:noWrap/>
            <w:vAlign w:val="bottom"/>
            <w:hideMark/>
          </w:tcPr>
          <w:p w14:paraId="2C72B6EC" w14:textId="77777777" w:rsidR="004D72B5" w:rsidRPr="00A335C4" w:rsidRDefault="004D72B5" w:rsidP="00220F5C">
            <w:pPr>
              <w:jc w:val="center"/>
              <w:rPr>
                <w:sz w:val="20"/>
              </w:rPr>
            </w:pPr>
          </w:p>
        </w:tc>
        <w:tc>
          <w:tcPr>
            <w:tcW w:w="1440" w:type="dxa"/>
            <w:noWrap/>
            <w:vAlign w:val="bottom"/>
            <w:hideMark/>
          </w:tcPr>
          <w:p w14:paraId="47E046D0" w14:textId="77777777" w:rsidR="004D72B5" w:rsidRPr="00A335C4" w:rsidRDefault="004D72B5" w:rsidP="00220F5C">
            <w:pPr>
              <w:jc w:val="center"/>
              <w:rPr>
                <w:sz w:val="20"/>
              </w:rPr>
            </w:pPr>
          </w:p>
        </w:tc>
        <w:tc>
          <w:tcPr>
            <w:tcW w:w="258" w:type="dxa"/>
            <w:noWrap/>
            <w:vAlign w:val="bottom"/>
            <w:hideMark/>
          </w:tcPr>
          <w:p w14:paraId="0209738E" w14:textId="77777777" w:rsidR="004D72B5" w:rsidRPr="00A335C4" w:rsidRDefault="004D72B5" w:rsidP="00220F5C">
            <w:pPr>
              <w:jc w:val="center"/>
              <w:rPr>
                <w:sz w:val="20"/>
              </w:rPr>
            </w:pPr>
          </w:p>
        </w:tc>
        <w:tc>
          <w:tcPr>
            <w:tcW w:w="1092" w:type="dxa"/>
            <w:noWrap/>
            <w:vAlign w:val="bottom"/>
            <w:hideMark/>
          </w:tcPr>
          <w:p w14:paraId="3FA2C7D5" w14:textId="77777777" w:rsidR="004D72B5" w:rsidRPr="00A335C4" w:rsidRDefault="004D72B5" w:rsidP="00220F5C">
            <w:pPr>
              <w:jc w:val="center"/>
              <w:rPr>
                <w:sz w:val="20"/>
              </w:rPr>
            </w:pPr>
          </w:p>
        </w:tc>
        <w:tc>
          <w:tcPr>
            <w:tcW w:w="270" w:type="dxa"/>
            <w:noWrap/>
            <w:vAlign w:val="bottom"/>
            <w:hideMark/>
          </w:tcPr>
          <w:p w14:paraId="62D90787" w14:textId="77777777" w:rsidR="004D72B5" w:rsidRPr="00A335C4" w:rsidRDefault="004D72B5" w:rsidP="00220F5C">
            <w:pPr>
              <w:jc w:val="center"/>
              <w:rPr>
                <w:sz w:val="20"/>
              </w:rPr>
            </w:pPr>
          </w:p>
        </w:tc>
        <w:tc>
          <w:tcPr>
            <w:tcW w:w="1440" w:type="dxa"/>
            <w:noWrap/>
            <w:vAlign w:val="bottom"/>
            <w:hideMark/>
          </w:tcPr>
          <w:p w14:paraId="3B02AC05" w14:textId="77777777" w:rsidR="004D72B5" w:rsidRPr="00A335C4" w:rsidRDefault="004D72B5" w:rsidP="00220F5C">
            <w:pPr>
              <w:jc w:val="center"/>
              <w:rPr>
                <w:sz w:val="20"/>
              </w:rPr>
            </w:pPr>
          </w:p>
        </w:tc>
        <w:tc>
          <w:tcPr>
            <w:tcW w:w="280" w:type="dxa"/>
            <w:noWrap/>
            <w:vAlign w:val="bottom"/>
            <w:hideMark/>
          </w:tcPr>
          <w:p w14:paraId="708E1DD2" w14:textId="77777777" w:rsidR="004D72B5" w:rsidRPr="00A335C4" w:rsidRDefault="004D72B5" w:rsidP="00220F5C">
            <w:pPr>
              <w:jc w:val="center"/>
              <w:rPr>
                <w:sz w:val="20"/>
              </w:rPr>
            </w:pPr>
          </w:p>
        </w:tc>
        <w:tc>
          <w:tcPr>
            <w:tcW w:w="1480" w:type="dxa"/>
            <w:noWrap/>
            <w:vAlign w:val="bottom"/>
            <w:hideMark/>
          </w:tcPr>
          <w:p w14:paraId="171AF19C" w14:textId="77777777" w:rsidR="004D72B5" w:rsidRPr="00A335C4" w:rsidRDefault="004D72B5" w:rsidP="00220F5C">
            <w:pPr>
              <w:jc w:val="center"/>
              <w:rPr>
                <w:rFonts w:ascii="Aptos Narrow" w:hAnsi="Aptos Narrow"/>
                <w:color w:val="000000"/>
                <w:szCs w:val="22"/>
              </w:rPr>
            </w:pPr>
          </w:p>
        </w:tc>
      </w:tr>
      <w:tr w:rsidR="004D72B5" w:rsidRPr="00A335C4" w14:paraId="4ABABDD9" w14:textId="77777777" w:rsidTr="00220F5C">
        <w:trPr>
          <w:trHeight w:val="300"/>
        </w:trPr>
        <w:tc>
          <w:tcPr>
            <w:tcW w:w="2965" w:type="dxa"/>
            <w:tcBorders>
              <w:bottom w:val="nil"/>
            </w:tcBorders>
            <w:noWrap/>
            <w:vAlign w:val="bottom"/>
            <w:hideMark/>
          </w:tcPr>
          <w:p w14:paraId="2AD7EDDB" w14:textId="77777777" w:rsidR="004D72B5" w:rsidRPr="00A335C4" w:rsidRDefault="004D72B5" w:rsidP="00220F5C">
            <w:pPr>
              <w:rPr>
                <w:rFonts w:ascii="Aptos Narrow" w:hAnsi="Aptos Narrow"/>
                <w:color w:val="000000"/>
                <w:szCs w:val="22"/>
              </w:rPr>
            </w:pPr>
            <w:r w:rsidRPr="00A335C4">
              <w:rPr>
                <w:rFonts w:ascii="Aptos Narrow" w:hAnsi="Aptos Narrow"/>
                <w:color w:val="000000"/>
                <w:szCs w:val="22"/>
              </w:rPr>
              <w:t xml:space="preserve">Current Year </w:t>
            </w:r>
            <w:r>
              <w:rPr>
                <w:rFonts w:ascii="Aptos Narrow" w:hAnsi="Aptos Narrow"/>
                <w:color w:val="000000"/>
                <w:szCs w:val="22"/>
              </w:rPr>
              <w:t xml:space="preserve">IMR </w:t>
            </w:r>
            <w:r w:rsidRPr="00A335C4">
              <w:rPr>
                <w:rFonts w:ascii="Aptos Narrow" w:hAnsi="Aptos Narrow"/>
                <w:color w:val="000000"/>
                <w:szCs w:val="22"/>
              </w:rPr>
              <w:t>Gains</w:t>
            </w:r>
          </w:p>
        </w:tc>
        <w:tc>
          <w:tcPr>
            <w:tcW w:w="1080" w:type="dxa"/>
            <w:tcBorders>
              <w:bottom w:val="nil"/>
            </w:tcBorders>
            <w:noWrap/>
            <w:vAlign w:val="bottom"/>
            <w:hideMark/>
          </w:tcPr>
          <w:p w14:paraId="38CCB21E" w14:textId="77777777" w:rsidR="004D72B5" w:rsidRPr="00A335C4" w:rsidRDefault="004D72B5" w:rsidP="00220F5C">
            <w:pPr>
              <w:jc w:val="center"/>
              <w:rPr>
                <w:rFonts w:ascii="Aptos Narrow" w:hAnsi="Aptos Narrow"/>
                <w:color w:val="000000"/>
                <w:szCs w:val="22"/>
              </w:rPr>
            </w:pPr>
            <w:r w:rsidRPr="00A335C4">
              <w:rPr>
                <w:rFonts w:ascii="Aptos Narrow" w:hAnsi="Aptos Narrow"/>
                <w:color w:val="000000"/>
                <w:szCs w:val="22"/>
              </w:rPr>
              <w:t>15.00</w:t>
            </w:r>
          </w:p>
        </w:tc>
        <w:tc>
          <w:tcPr>
            <w:tcW w:w="275" w:type="dxa"/>
            <w:tcBorders>
              <w:bottom w:val="nil"/>
            </w:tcBorders>
            <w:noWrap/>
            <w:vAlign w:val="bottom"/>
            <w:hideMark/>
          </w:tcPr>
          <w:p w14:paraId="1FD9EE49" w14:textId="77777777" w:rsidR="004D72B5" w:rsidRPr="00A335C4" w:rsidRDefault="004D72B5" w:rsidP="00220F5C">
            <w:pPr>
              <w:jc w:val="center"/>
              <w:rPr>
                <w:rFonts w:ascii="Aptos Narrow" w:hAnsi="Aptos Narrow"/>
                <w:color w:val="000000"/>
                <w:szCs w:val="22"/>
              </w:rPr>
            </w:pPr>
          </w:p>
        </w:tc>
        <w:tc>
          <w:tcPr>
            <w:tcW w:w="1440" w:type="dxa"/>
            <w:tcBorders>
              <w:bottom w:val="nil"/>
            </w:tcBorders>
            <w:noWrap/>
            <w:vAlign w:val="bottom"/>
            <w:hideMark/>
          </w:tcPr>
          <w:p w14:paraId="069721A4" w14:textId="77777777" w:rsidR="004D72B5" w:rsidRPr="00A335C4" w:rsidRDefault="004D72B5" w:rsidP="00220F5C">
            <w:pPr>
              <w:jc w:val="center"/>
              <w:rPr>
                <w:rFonts w:ascii="Aptos Narrow" w:hAnsi="Aptos Narrow"/>
                <w:color w:val="000000"/>
                <w:szCs w:val="22"/>
              </w:rPr>
            </w:pPr>
            <w:r w:rsidRPr="00A335C4">
              <w:rPr>
                <w:rFonts w:ascii="Aptos Narrow" w:hAnsi="Aptos Narrow"/>
                <w:color w:val="000000"/>
                <w:szCs w:val="22"/>
              </w:rPr>
              <w:t>15.00</w:t>
            </w:r>
          </w:p>
        </w:tc>
        <w:tc>
          <w:tcPr>
            <w:tcW w:w="258" w:type="dxa"/>
            <w:tcBorders>
              <w:bottom w:val="nil"/>
            </w:tcBorders>
            <w:noWrap/>
            <w:vAlign w:val="bottom"/>
            <w:hideMark/>
          </w:tcPr>
          <w:p w14:paraId="6EF2501D" w14:textId="77777777" w:rsidR="004D72B5" w:rsidRPr="00A335C4" w:rsidRDefault="004D72B5" w:rsidP="00220F5C">
            <w:pPr>
              <w:jc w:val="center"/>
              <w:rPr>
                <w:rFonts w:ascii="Aptos Narrow" w:hAnsi="Aptos Narrow"/>
                <w:color w:val="000000"/>
                <w:szCs w:val="22"/>
              </w:rPr>
            </w:pPr>
          </w:p>
        </w:tc>
        <w:tc>
          <w:tcPr>
            <w:tcW w:w="1092" w:type="dxa"/>
            <w:tcBorders>
              <w:bottom w:val="nil"/>
            </w:tcBorders>
            <w:noWrap/>
            <w:vAlign w:val="bottom"/>
            <w:hideMark/>
          </w:tcPr>
          <w:p w14:paraId="60F869EF" w14:textId="77777777" w:rsidR="004D72B5" w:rsidRPr="00A335C4" w:rsidRDefault="004D72B5" w:rsidP="00220F5C">
            <w:pPr>
              <w:jc w:val="center"/>
              <w:rPr>
                <w:rFonts w:ascii="Aptos Narrow" w:hAnsi="Aptos Narrow"/>
                <w:color w:val="000000"/>
                <w:szCs w:val="22"/>
              </w:rPr>
            </w:pPr>
            <w:r w:rsidRPr="00A335C4">
              <w:rPr>
                <w:rFonts w:ascii="Aptos Narrow" w:hAnsi="Aptos Narrow"/>
                <w:color w:val="000000"/>
                <w:szCs w:val="22"/>
              </w:rPr>
              <w:t>15.00</w:t>
            </w:r>
          </w:p>
        </w:tc>
        <w:tc>
          <w:tcPr>
            <w:tcW w:w="270" w:type="dxa"/>
            <w:tcBorders>
              <w:bottom w:val="nil"/>
            </w:tcBorders>
            <w:noWrap/>
            <w:vAlign w:val="bottom"/>
            <w:hideMark/>
          </w:tcPr>
          <w:p w14:paraId="3504EA57" w14:textId="77777777" w:rsidR="004D72B5" w:rsidRPr="00A335C4" w:rsidRDefault="004D72B5" w:rsidP="00220F5C">
            <w:pPr>
              <w:jc w:val="center"/>
              <w:rPr>
                <w:rFonts w:ascii="Aptos Narrow" w:hAnsi="Aptos Narrow"/>
                <w:color w:val="000000"/>
                <w:szCs w:val="22"/>
              </w:rPr>
            </w:pPr>
          </w:p>
        </w:tc>
        <w:tc>
          <w:tcPr>
            <w:tcW w:w="1440" w:type="dxa"/>
            <w:tcBorders>
              <w:bottom w:val="nil"/>
            </w:tcBorders>
            <w:noWrap/>
            <w:vAlign w:val="bottom"/>
            <w:hideMark/>
          </w:tcPr>
          <w:p w14:paraId="189ED064" w14:textId="77777777" w:rsidR="004D72B5" w:rsidRPr="00A335C4" w:rsidRDefault="004D72B5" w:rsidP="00220F5C">
            <w:pPr>
              <w:jc w:val="center"/>
              <w:rPr>
                <w:rFonts w:ascii="Aptos Narrow" w:hAnsi="Aptos Narrow"/>
                <w:color w:val="000000"/>
                <w:szCs w:val="22"/>
              </w:rPr>
            </w:pPr>
            <w:r>
              <w:rPr>
                <w:rFonts w:ascii="Aptos Narrow" w:hAnsi="Aptos Narrow"/>
                <w:color w:val="000000"/>
                <w:szCs w:val="22"/>
              </w:rPr>
              <w:t>4</w:t>
            </w:r>
            <w:r w:rsidRPr="00A335C4">
              <w:rPr>
                <w:rFonts w:ascii="Aptos Narrow" w:hAnsi="Aptos Narrow"/>
                <w:color w:val="000000"/>
                <w:szCs w:val="22"/>
              </w:rPr>
              <w:t>5.00</w:t>
            </w:r>
          </w:p>
        </w:tc>
        <w:tc>
          <w:tcPr>
            <w:tcW w:w="280" w:type="dxa"/>
            <w:tcBorders>
              <w:bottom w:val="nil"/>
            </w:tcBorders>
            <w:noWrap/>
            <w:vAlign w:val="bottom"/>
            <w:hideMark/>
          </w:tcPr>
          <w:p w14:paraId="1FAD5C6E" w14:textId="77777777" w:rsidR="004D72B5" w:rsidRPr="00A335C4" w:rsidRDefault="004D72B5" w:rsidP="00220F5C">
            <w:pPr>
              <w:jc w:val="center"/>
              <w:rPr>
                <w:rFonts w:ascii="Aptos Narrow" w:hAnsi="Aptos Narrow"/>
                <w:color w:val="000000"/>
                <w:szCs w:val="22"/>
              </w:rPr>
            </w:pPr>
          </w:p>
        </w:tc>
        <w:tc>
          <w:tcPr>
            <w:tcW w:w="1480" w:type="dxa"/>
            <w:tcBorders>
              <w:bottom w:val="nil"/>
            </w:tcBorders>
            <w:noWrap/>
            <w:vAlign w:val="bottom"/>
            <w:hideMark/>
          </w:tcPr>
          <w:p w14:paraId="58BFA21B" w14:textId="77777777" w:rsidR="004D72B5" w:rsidRPr="00A335C4" w:rsidRDefault="004D72B5" w:rsidP="00220F5C">
            <w:pPr>
              <w:jc w:val="center"/>
              <w:rPr>
                <w:rFonts w:ascii="Aptos Narrow" w:hAnsi="Aptos Narrow"/>
                <w:color w:val="000000"/>
                <w:szCs w:val="22"/>
              </w:rPr>
            </w:pPr>
            <w:r w:rsidRPr="00A335C4">
              <w:rPr>
                <w:rFonts w:ascii="Aptos Narrow" w:hAnsi="Aptos Narrow"/>
                <w:color w:val="000000"/>
                <w:szCs w:val="22"/>
              </w:rPr>
              <w:t>15.00</w:t>
            </w:r>
          </w:p>
        </w:tc>
      </w:tr>
      <w:tr w:rsidR="004D72B5" w:rsidRPr="00A335C4" w14:paraId="119379BC" w14:textId="77777777" w:rsidTr="00220F5C">
        <w:trPr>
          <w:trHeight w:val="300"/>
        </w:trPr>
        <w:tc>
          <w:tcPr>
            <w:tcW w:w="2965" w:type="dxa"/>
            <w:tcBorders>
              <w:top w:val="nil"/>
              <w:bottom w:val="single" w:sz="4" w:space="0" w:color="auto"/>
            </w:tcBorders>
            <w:noWrap/>
            <w:vAlign w:val="bottom"/>
            <w:hideMark/>
          </w:tcPr>
          <w:p w14:paraId="79121814" w14:textId="77777777" w:rsidR="004D72B5" w:rsidRPr="00A335C4" w:rsidRDefault="004D72B5" w:rsidP="00220F5C">
            <w:pPr>
              <w:rPr>
                <w:rFonts w:ascii="Aptos Narrow" w:hAnsi="Aptos Narrow"/>
                <w:color w:val="000000"/>
                <w:szCs w:val="22"/>
              </w:rPr>
            </w:pPr>
            <w:r w:rsidRPr="00A335C4">
              <w:rPr>
                <w:rFonts w:ascii="Aptos Narrow" w:hAnsi="Aptos Narrow"/>
                <w:color w:val="000000"/>
                <w:szCs w:val="22"/>
              </w:rPr>
              <w:t xml:space="preserve">Current Year </w:t>
            </w:r>
            <w:r>
              <w:rPr>
                <w:rFonts w:ascii="Aptos Narrow" w:hAnsi="Aptos Narrow"/>
                <w:color w:val="000000"/>
                <w:szCs w:val="22"/>
              </w:rPr>
              <w:t xml:space="preserve">IMR </w:t>
            </w:r>
            <w:r w:rsidRPr="00A335C4">
              <w:rPr>
                <w:rFonts w:ascii="Aptos Narrow" w:hAnsi="Aptos Narrow"/>
                <w:color w:val="000000"/>
                <w:szCs w:val="22"/>
              </w:rPr>
              <w:t>Losses</w:t>
            </w:r>
          </w:p>
        </w:tc>
        <w:tc>
          <w:tcPr>
            <w:tcW w:w="1080" w:type="dxa"/>
            <w:tcBorders>
              <w:top w:val="nil"/>
              <w:bottom w:val="single" w:sz="4" w:space="0" w:color="auto"/>
            </w:tcBorders>
            <w:noWrap/>
            <w:vAlign w:val="bottom"/>
            <w:hideMark/>
          </w:tcPr>
          <w:p w14:paraId="4632A6D5" w14:textId="77777777" w:rsidR="004D72B5" w:rsidRPr="00A335C4" w:rsidRDefault="004D72B5" w:rsidP="00220F5C">
            <w:pPr>
              <w:jc w:val="center"/>
              <w:rPr>
                <w:rFonts w:ascii="Aptos Narrow" w:hAnsi="Aptos Narrow"/>
                <w:color w:val="000000"/>
                <w:szCs w:val="22"/>
              </w:rPr>
            </w:pPr>
            <w:r w:rsidRPr="00A335C4">
              <w:rPr>
                <w:rFonts w:ascii="Aptos Narrow" w:hAnsi="Aptos Narrow"/>
                <w:color w:val="000000"/>
                <w:szCs w:val="22"/>
              </w:rPr>
              <w:t>(50.00)</w:t>
            </w:r>
          </w:p>
        </w:tc>
        <w:tc>
          <w:tcPr>
            <w:tcW w:w="275" w:type="dxa"/>
            <w:tcBorders>
              <w:top w:val="nil"/>
              <w:bottom w:val="single" w:sz="4" w:space="0" w:color="auto"/>
            </w:tcBorders>
            <w:noWrap/>
            <w:vAlign w:val="bottom"/>
            <w:hideMark/>
          </w:tcPr>
          <w:p w14:paraId="2037250E" w14:textId="77777777" w:rsidR="004D72B5" w:rsidRPr="00A335C4" w:rsidRDefault="004D72B5" w:rsidP="00220F5C">
            <w:pPr>
              <w:jc w:val="center"/>
              <w:rPr>
                <w:rFonts w:ascii="Aptos Narrow" w:hAnsi="Aptos Narrow"/>
                <w:color w:val="000000"/>
                <w:szCs w:val="22"/>
              </w:rPr>
            </w:pPr>
          </w:p>
        </w:tc>
        <w:tc>
          <w:tcPr>
            <w:tcW w:w="1440" w:type="dxa"/>
            <w:tcBorders>
              <w:top w:val="nil"/>
              <w:bottom w:val="single" w:sz="4" w:space="0" w:color="auto"/>
            </w:tcBorders>
            <w:noWrap/>
            <w:vAlign w:val="bottom"/>
            <w:hideMark/>
          </w:tcPr>
          <w:p w14:paraId="7E953E3C" w14:textId="77777777" w:rsidR="004D72B5" w:rsidRPr="00A335C4" w:rsidRDefault="004D72B5" w:rsidP="00220F5C">
            <w:pPr>
              <w:jc w:val="center"/>
              <w:rPr>
                <w:rFonts w:ascii="Aptos Narrow" w:hAnsi="Aptos Narrow"/>
                <w:color w:val="000000"/>
                <w:szCs w:val="22"/>
              </w:rPr>
            </w:pPr>
            <w:r w:rsidRPr="00A335C4">
              <w:rPr>
                <w:rFonts w:ascii="Aptos Narrow" w:hAnsi="Aptos Narrow"/>
                <w:color w:val="000000"/>
                <w:szCs w:val="22"/>
              </w:rPr>
              <w:t>(30.00)</w:t>
            </w:r>
          </w:p>
        </w:tc>
        <w:tc>
          <w:tcPr>
            <w:tcW w:w="258" w:type="dxa"/>
            <w:tcBorders>
              <w:top w:val="nil"/>
              <w:bottom w:val="single" w:sz="4" w:space="0" w:color="auto"/>
            </w:tcBorders>
            <w:noWrap/>
            <w:vAlign w:val="bottom"/>
            <w:hideMark/>
          </w:tcPr>
          <w:p w14:paraId="3E816DD2" w14:textId="77777777" w:rsidR="004D72B5" w:rsidRPr="00A335C4" w:rsidRDefault="004D72B5" w:rsidP="00220F5C">
            <w:pPr>
              <w:jc w:val="center"/>
              <w:rPr>
                <w:rFonts w:ascii="Aptos Narrow" w:hAnsi="Aptos Narrow"/>
                <w:color w:val="000000"/>
                <w:szCs w:val="22"/>
              </w:rPr>
            </w:pPr>
          </w:p>
        </w:tc>
        <w:tc>
          <w:tcPr>
            <w:tcW w:w="1092" w:type="dxa"/>
            <w:tcBorders>
              <w:top w:val="nil"/>
              <w:bottom w:val="single" w:sz="4" w:space="0" w:color="auto"/>
            </w:tcBorders>
            <w:noWrap/>
            <w:vAlign w:val="bottom"/>
            <w:hideMark/>
          </w:tcPr>
          <w:p w14:paraId="065EEC08" w14:textId="77777777" w:rsidR="004D72B5" w:rsidRPr="00A335C4" w:rsidRDefault="004D72B5" w:rsidP="00220F5C">
            <w:pPr>
              <w:jc w:val="center"/>
              <w:rPr>
                <w:rFonts w:ascii="Aptos Narrow" w:hAnsi="Aptos Narrow"/>
                <w:color w:val="000000"/>
                <w:szCs w:val="22"/>
              </w:rPr>
            </w:pPr>
            <w:r w:rsidRPr="00A335C4">
              <w:rPr>
                <w:rFonts w:ascii="Aptos Narrow" w:hAnsi="Aptos Narrow"/>
                <w:color w:val="000000"/>
                <w:szCs w:val="22"/>
              </w:rPr>
              <w:t>(50.00)</w:t>
            </w:r>
          </w:p>
        </w:tc>
        <w:tc>
          <w:tcPr>
            <w:tcW w:w="270" w:type="dxa"/>
            <w:tcBorders>
              <w:top w:val="nil"/>
              <w:bottom w:val="single" w:sz="4" w:space="0" w:color="auto"/>
            </w:tcBorders>
            <w:noWrap/>
            <w:vAlign w:val="bottom"/>
            <w:hideMark/>
          </w:tcPr>
          <w:p w14:paraId="0291A11D" w14:textId="77777777" w:rsidR="004D72B5" w:rsidRPr="00A335C4" w:rsidRDefault="004D72B5" w:rsidP="00220F5C">
            <w:pPr>
              <w:jc w:val="center"/>
              <w:rPr>
                <w:rFonts w:ascii="Aptos Narrow" w:hAnsi="Aptos Narrow"/>
                <w:color w:val="000000"/>
                <w:szCs w:val="22"/>
              </w:rPr>
            </w:pPr>
          </w:p>
        </w:tc>
        <w:tc>
          <w:tcPr>
            <w:tcW w:w="1440" w:type="dxa"/>
            <w:tcBorders>
              <w:top w:val="nil"/>
              <w:bottom w:val="single" w:sz="4" w:space="0" w:color="auto"/>
            </w:tcBorders>
            <w:noWrap/>
            <w:vAlign w:val="bottom"/>
            <w:hideMark/>
          </w:tcPr>
          <w:p w14:paraId="27DE7D79" w14:textId="77777777" w:rsidR="004D72B5" w:rsidRPr="00A335C4" w:rsidRDefault="004D72B5" w:rsidP="00220F5C">
            <w:pPr>
              <w:jc w:val="center"/>
              <w:rPr>
                <w:rFonts w:ascii="Aptos Narrow" w:hAnsi="Aptos Narrow"/>
                <w:color w:val="000000"/>
                <w:szCs w:val="22"/>
              </w:rPr>
            </w:pPr>
            <w:r w:rsidRPr="00A335C4">
              <w:rPr>
                <w:rFonts w:ascii="Aptos Narrow" w:hAnsi="Aptos Narrow"/>
                <w:color w:val="000000"/>
                <w:szCs w:val="22"/>
              </w:rPr>
              <w:t>(30.00)</w:t>
            </w:r>
          </w:p>
        </w:tc>
        <w:tc>
          <w:tcPr>
            <w:tcW w:w="280" w:type="dxa"/>
            <w:tcBorders>
              <w:top w:val="nil"/>
              <w:bottom w:val="single" w:sz="4" w:space="0" w:color="auto"/>
            </w:tcBorders>
            <w:noWrap/>
            <w:vAlign w:val="bottom"/>
            <w:hideMark/>
          </w:tcPr>
          <w:p w14:paraId="1D805DAF" w14:textId="77777777" w:rsidR="004D72B5" w:rsidRPr="00A335C4" w:rsidRDefault="004D72B5" w:rsidP="00220F5C">
            <w:pPr>
              <w:jc w:val="center"/>
              <w:rPr>
                <w:rFonts w:ascii="Aptos Narrow" w:hAnsi="Aptos Narrow"/>
                <w:color w:val="000000"/>
                <w:szCs w:val="22"/>
              </w:rPr>
            </w:pPr>
          </w:p>
        </w:tc>
        <w:tc>
          <w:tcPr>
            <w:tcW w:w="1480" w:type="dxa"/>
            <w:tcBorders>
              <w:top w:val="nil"/>
              <w:bottom w:val="single" w:sz="4" w:space="0" w:color="auto"/>
            </w:tcBorders>
            <w:noWrap/>
            <w:vAlign w:val="bottom"/>
            <w:hideMark/>
          </w:tcPr>
          <w:p w14:paraId="6096BB12" w14:textId="77777777" w:rsidR="004D72B5" w:rsidRPr="00A335C4" w:rsidRDefault="004D72B5" w:rsidP="00220F5C">
            <w:pPr>
              <w:jc w:val="center"/>
              <w:rPr>
                <w:rFonts w:ascii="Aptos Narrow" w:hAnsi="Aptos Narrow"/>
                <w:color w:val="000000"/>
                <w:szCs w:val="22"/>
              </w:rPr>
            </w:pPr>
            <w:r w:rsidRPr="00A335C4">
              <w:rPr>
                <w:rFonts w:ascii="Aptos Narrow" w:hAnsi="Aptos Narrow"/>
                <w:color w:val="000000"/>
                <w:szCs w:val="22"/>
              </w:rPr>
              <w:t>(15.00)</w:t>
            </w:r>
          </w:p>
        </w:tc>
      </w:tr>
      <w:tr w:rsidR="004D72B5" w:rsidRPr="00A335C4" w14:paraId="5F912E0C" w14:textId="77777777" w:rsidTr="00220F5C">
        <w:trPr>
          <w:trHeight w:val="300"/>
        </w:trPr>
        <w:tc>
          <w:tcPr>
            <w:tcW w:w="2965" w:type="dxa"/>
            <w:tcBorders>
              <w:top w:val="single" w:sz="4" w:space="0" w:color="auto"/>
            </w:tcBorders>
            <w:noWrap/>
            <w:vAlign w:val="bottom"/>
            <w:hideMark/>
          </w:tcPr>
          <w:p w14:paraId="61B1CCC1" w14:textId="77777777" w:rsidR="004D72B5" w:rsidRPr="00A335C4" w:rsidRDefault="004D72B5" w:rsidP="00220F5C">
            <w:pPr>
              <w:jc w:val="right"/>
              <w:rPr>
                <w:rFonts w:ascii="Aptos Narrow" w:hAnsi="Aptos Narrow"/>
                <w:b/>
                <w:bCs/>
                <w:color w:val="000000"/>
                <w:szCs w:val="22"/>
              </w:rPr>
            </w:pPr>
            <w:r w:rsidRPr="00A335C4">
              <w:rPr>
                <w:rFonts w:ascii="Aptos Narrow" w:hAnsi="Aptos Narrow"/>
                <w:b/>
                <w:bCs/>
                <w:color w:val="000000"/>
                <w:szCs w:val="22"/>
              </w:rPr>
              <w:t xml:space="preserve">IMR </w:t>
            </w:r>
            <w:r w:rsidRPr="009302FA">
              <w:rPr>
                <w:rFonts w:ascii="Aptos Narrow" w:hAnsi="Aptos Narrow"/>
                <w:b/>
                <w:bCs/>
                <w:color w:val="000000"/>
                <w:szCs w:val="22"/>
              </w:rPr>
              <w:t>Preliminary</w:t>
            </w:r>
            <w:r w:rsidRPr="00A335C4">
              <w:rPr>
                <w:rFonts w:ascii="Aptos Narrow" w:hAnsi="Aptos Narrow"/>
                <w:b/>
                <w:bCs/>
                <w:color w:val="000000"/>
                <w:szCs w:val="22"/>
              </w:rPr>
              <w:t xml:space="preserve"> Balance</w:t>
            </w:r>
          </w:p>
        </w:tc>
        <w:tc>
          <w:tcPr>
            <w:tcW w:w="1080" w:type="dxa"/>
            <w:tcBorders>
              <w:top w:val="single" w:sz="4" w:space="0" w:color="auto"/>
            </w:tcBorders>
            <w:noWrap/>
            <w:vAlign w:val="bottom"/>
            <w:hideMark/>
          </w:tcPr>
          <w:p w14:paraId="7D08EF70" w14:textId="77777777" w:rsidR="004D72B5" w:rsidRPr="00A335C4" w:rsidRDefault="004D72B5" w:rsidP="00220F5C">
            <w:pPr>
              <w:jc w:val="center"/>
              <w:rPr>
                <w:rFonts w:ascii="Aptos Narrow" w:hAnsi="Aptos Narrow"/>
                <w:b/>
                <w:bCs/>
                <w:color w:val="000000"/>
                <w:szCs w:val="22"/>
              </w:rPr>
            </w:pPr>
            <w:r w:rsidRPr="00A335C4">
              <w:rPr>
                <w:rFonts w:ascii="Aptos Narrow" w:hAnsi="Aptos Narrow"/>
                <w:b/>
                <w:bCs/>
                <w:color w:val="000000"/>
                <w:szCs w:val="22"/>
              </w:rPr>
              <w:t>(5.00)</w:t>
            </w:r>
          </w:p>
        </w:tc>
        <w:tc>
          <w:tcPr>
            <w:tcW w:w="275" w:type="dxa"/>
            <w:tcBorders>
              <w:top w:val="single" w:sz="4" w:space="0" w:color="auto"/>
            </w:tcBorders>
            <w:noWrap/>
            <w:vAlign w:val="bottom"/>
            <w:hideMark/>
          </w:tcPr>
          <w:p w14:paraId="5AD68808" w14:textId="77777777" w:rsidR="004D72B5" w:rsidRPr="00A335C4" w:rsidRDefault="004D72B5" w:rsidP="00220F5C">
            <w:pPr>
              <w:jc w:val="center"/>
              <w:rPr>
                <w:rFonts w:ascii="Aptos Narrow" w:hAnsi="Aptos Narrow"/>
                <w:b/>
                <w:bCs/>
                <w:color w:val="000000"/>
                <w:szCs w:val="22"/>
              </w:rPr>
            </w:pPr>
          </w:p>
        </w:tc>
        <w:tc>
          <w:tcPr>
            <w:tcW w:w="1440" w:type="dxa"/>
            <w:tcBorders>
              <w:top w:val="single" w:sz="4" w:space="0" w:color="auto"/>
            </w:tcBorders>
            <w:noWrap/>
            <w:vAlign w:val="bottom"/>
            <w:hideMark/>
          </w:tcPr>
          <w:p w14:paraId="732D8DEB" w14:textId="77777777" w:rsidR="004D72B5" w:rsidRPr="00A335C4" w:rsidRDefault="004D72B5" w:rsidP="00220F5C">
            <w:pPr>
              <w:jc w:val="center"/>
              <w:rPr>
                <w:rFonts w:ascii="Aptos Narrow" w:hAnsi="Aptos Narrow"/>
                <w:b/>
                <w:bCs/>
                <w:color w:val="000000"/>
                <w:szCs w:val="22"/>
              </w:rPr>
            </w:pPr>
            <w:r w:rsidRPr="00A335C4">
              <w:rPr>
                <w:rFonts w:ascii="Aptos Narrow" w:hAnsi="Aptos Narrow"/>
                <w:b/>
                <w:bCs/>
                <w:color w:val="000000"/>
                <w:szCs w:val="22"/>
              </w:rPr>
              <w:t>15.00</w:t>
            </w:r>
          </w:p>
        </w:tc>
        <w:tc>
          <w:tcPr>
            <w:tcW w:w="258" w:type="dxa"/>
            <w:tcBorders>
              <w:top w:val="single" w:sz="4" w:space="0" w:color="auto"/>
            </w:tcBorders>
            <w:noWrap/>
            <w:vAlign w:val="bottom"/>
            <w:hideMark/>
          </w:tcPr>
          <w:p w14:paraId="35AA699B" w14:textId="77777777" w:rsidR="004D72B5" w:rsidRPr="00A335C4" w:rsidRDefault="004D72B5" w:rsidP="00220F5C">
            <w:pPr>
              <w:jc w:val="center"/>
              <w:rPr>
                <w:rFonts w:ascii="Aptos Narrow" w:hAnsi="Aptos Narrow"/>
                <w:b/>
                <w:bCs/>
                <w:color w:val="000000"/>
                <w:szCs w:val="22"/>
              </w:rPr>
            </w:pPr>
          </w:p>
        </w:tc>
        <w:tc>
          <w:tcPr>
            <w:tcW w:w="1092" w:type="dxa"/>
            <w:tcBorders>
              <w:top w:val="single" w:sz="4" w:space="0" w:color="auto"/>
            </w:tcBorders>
            <w:noWrap/>
            <w:vAlign w:val="bottom"/>
            <w:hideMark/>
          </w:tcPr>
          <w:p w14:paraId="65A23540" w14:textId="77777777" w:rsidR="004D72B5" w:rsidRPr="00A335C4" w:rsidRDefault="004D72B5" w:rsidP="00220F5C">
            <w:pPr>
              <w:jc w:val="center"/>
              <w:rPr>
                <w:rFonts w:ascii="Aptos Narrow" w:hAnsi="Aptos Narrow"/>
                <w:b/>
                <w:bCs/>
                <w:color w:val="000000"/>
                <w:szCs w:val="22"/>
              </w:rPr>
            </w:pPr>
            <w:r w:rsidRPr="00A335C4">
              <w:rPr>
                <w:rFonts w:ascii="Aptos Narrow" w:hAnsi="Aptos Narrow"/>
                <w:b/>
                <w:bCs/>
                <w:color w:val="000000"/>
                <w:szCs w:val="22"/>
              </w:rPr>
              <w:t>(65.00)</w:t>
            </w:r>
          </w:p>
        </w:tc>
        <w:tc>
          <w:tcPr>
            <w:tcW w:w="270" w:type="dxa"/>
            <w:tcBorders>
              <w:top w:val="single" w:sz="4" w:space="0" w:color="auto"/>
            </w:tcBorders>
            <w:noWrap/>
            <w:vAlign w:val="bottom"/>
            <w:hideMark/>
          </w:tcPr>
          <w:p w14:paraId="1AE1BF34" w14:textId="77777777" w:rsidR="004D72B5" w:rsidRPr="00A335C4" w:rsidRDefault="004D72B5" w:rsidP="00220F5C">
            <w:pPr>
              <w:jc w:val="center"/>
              <w:rPr>
                <w:rFonts w:ascii="Aptos Narrow" w:hAnsi="Aptos Narrow"/>
                <w:b/>
                <w:bCs/>
                <w:color w:val="000000"/>
                <w:szCs w:val="22"/>
              </w:rPr>
            </w:pPr>
          </w:p>
        </w:tc>
        <w:tc>
          <w:tcPr>
            <w:tcW w:w="1440" w:type="dxa"/>
            <w:tcBorders>
              <w:top w:val="single" w:sz="4" w:space="0" w:color="auto"/>
            </w:tcBorders>
            <w:noWrap/>
            <w:vAlign w:val="bottom"/>
            <w:hideMark/>
          </w:tcPr>
          <w:p w14:paraId="6170F765" w14:textId="77777777" w:rsidR="004D72B5" w:rsidRPr="00A335C4" w:rsidRDefault="004D72B5" w:rsidP="00220F5C">
            <w:pPr>
              <w:jc w:val="center"/>
              <w:rPr>
                <w:rFonts w:ascii="Aptos Narrow" w:hAnsi="Aptos Narrow"/>
                <w:b/>
                <w:bCs/>
                <w:color w:val="000000"/>
                <w:szCs w:val="22"/>
              </w:rPr>
            </w:pPr>
            <w:r w:rsidRPr="00A335C4">
              <w:rPr>
                <w:rFonts w:ascii="Aptos Narrow" w:hAnsi="Aptos Narrow"/>
                <w:b/>
                <w:bCs/>
                <w:color w:val="000000"/>
                <w:szCs w:val="22"/>
              </w:rPr>
              <w:t>(</w:t>
            </w:r>
            <w:r>
              <w:rPr>
                <w:rFonts w:ascii="Aptos Narrow" w:hAnsi="Aptos Narrow"/>
                <w:b/>
                <w:bCs/>
                <w:color w:val="000000"/>
                <w:szCs w:val="22"/>
              </w:rPr>
              <w:t>1</w:t>
            </w:r>
            <w:r w:rsidRPr="00A335C4">
              <w:rPr>
                <w:rFonts w:ascii="Aptos Narrow" w:hAnsi="Aptos Narrow"/>
                <w:b/>
                <w:bCs/>
                <w:color w:val="000000"/>
                <w:szCs w:val="22"/>
              </w:rPr>
              <w:t>5.00)</w:t>
            </w:r>
          </w:p>
        </w:tc>
        <w:tc>
          <w:tcPr>
            <w:tcW w:w="280" w:type="dxa"/>
            <w:tcBorders>
              <w:top w:val="single" w:sz="4" w:space="0" w:color="auto"/>
            </w:tcBorders>
            <w:noWrap/>
            <w:vAlign w:val="bottom"/>
            <w:hideMark/>
          </w:tcPr>
          <w:p w14:paraId="45CFBECC" w14:textId="77777777" w:rsidR="004D72B5" w:rsidRPr="00A335C4" w:rsidRDefault="004D72B5" w:rsidP="00220F5C">
            <w:pPr>
              <w:jc w:val="center"/>
              <w:rPr>
                <w:rFonts w:ascii="Aptos Narrow" w:hAnsi="Aptos Narrow"/>
                <w:b/>
                <w:bCs/>
                <w:color w:val="000000"/>
                <w:szCs w:val="22"/>
              </w:rPr>
            </w:pPr>
          </w:p>
        </w:tc>
        <w:tc>
          <w:tcPr>
            <w:tcW w:w="1480" w:type="dxa"/>
            <w:tcBorders>
              <w:top w:val="single" w:sz="4" w:space="0" w:color="auto"/>
            </w:tcBorders>
            <w:noWrap/>
            <w:vAlign w:val="bottom"/>
            <w:hideMark/>
          </w:tcPr>
          <w:p w14:paraId="4DD78188" w14:textId="77777777" w:rsidR="004D72B5" w:rsidRPr="00A335C4" w:rsidRDefault="004D72B5" w:rsidP="00220F5C">
            <w:pPr>
              <w:jc w:val="center"/>
              <w:rPr>
                <w:rFonts w:ascii="Aptos Narrow" w:hAnsi="Aptos Narrow"/>
                <w:b/>
                <w:bCs/>
                <w:color w:val="000000"/>
                <w:szCs w:val="22"/>
              </w:rPr>
            </w:pPr>
            <w:r w:rsidRPr="00A335C4">
              <w:rPr>
                <w:rFonts w:ascii="Aptos Narrow" w:hAnsi="Aptos Narrow"/>
                <w:b/>
                <w:bCs/>
                <w:color w:val="000000"/>
                <w:szCs w:val="22"/>
              </w:rPr>
              <w:t>(30.00)</w:t>
            </w:r>
          </w:p>
        </w:tc>
      </w:tr>
      <w:tr w:rsidR="004D72B5" w:rsidRPr="00A335C4" w14:paraId="0A1F7CF0" w14:textId="77777777" w:rsidTr="0036420E">
        <w:trPr>
          <w:trHeight w:val="300"/>
        </w:trPr>
        <w:tc>
          <w:tcPr>
            <w:tcW w:w="2965" w:type="dxa"/>
            <w:tcBorders>
              <w:bottom w:val="single" w:sz="4" w:space="0" w:color="auto"/>
            </w:tcBorders>
            <w:noWrap/>
            <w:vAlign w:val="bottom"/>
            <w:hideMark/>
          </w:tcPr>
          <w:p w14:paraId="5FA074EC" w14:textId="77777777" w:rsidR="004D72B5" w:rsidRPr="00A335C4" w:rsidRDefault="004D72B5" w:rsidP="00220F5C">
            <w:pPr>
              <w:rPr>
                <w:rFonts w:ascii="Aptos Narrow" w:hAnsi="Aptos Narrow"/>
                <w:color w:val="000000"/>
                <w:szCs w:val="22"/>
              </w:rPr>
            </w:pPr>
            <w:r w:rsidRPr="00A335C4">
              <w:rPr>
                <w:rFonts w:ascii="Aptos Narrow" w:hAnsi="Aptos Narrow"/>
                <w:color w:val="000000"/>
                <w:szCs w:val="22"/>
              </w:rPr>
              <w:t> </w:t>
            </w:r>
          </w:p>
        </w:tc>
        <w:tc>
          <w:tcPr>
            <w:tcW w:w="1080" w:type="dxa"/>
            <w:tcBorders>
              <w:bottom w:val="single" w:sz="4" w:space="0" w:color="auto"/>
            </w:tcBorders>
            <w:noWrap/>
            <w:vAlign w:val="bottom"/>
            <w:hideMark/>
          </w:tcPr>
          <w:p w14:paraId="29B27786" w14:textId="77777777" w:rsidR="004D72B5" w:rsidRPr="00A335C4" w:rsidRDefault="004D72B5" w:rsidP="00220F5C">
            <w:pPr>
              <w:jc w:val="center"/>
              <w:rPr>
                <w:rFonts w:ascii="Aptos Narrow" w:hAnsi="Aptos Narrow"/>
                <w:color w:val="000000"/>
                <w:szCs w:val="22"/>
              </w:rPr>
            </w:pPr>
          </w:p>
        </w:tc>
        <w:tc>
          <w:tcPr>
            <w:tcW w:w="275" w:type="dxa"/>
            <w:tcBorders>
              <w:bottom w:val="single" w:sz="4" w:space="0" w:color="auto"/>
            </w:tcBorders>
            <w:noWrap/>
            <w:vAlign w:val="bottom"/>
            <w:hideMark/>
          </w:tcPr>
          <w:p w14:paraId="3EA017D6" w14:textId="77777777" w:rsidR="004D72B5" w:rsidRPr="00A335C4" w:rsidRDefault="004D72B5" w:rsidP="00220F5C">
            <w:pPr>
              <w:jc w:val="center"/>
              <w:rPr>
                <w:sz w:val="20"/>
              </w:rPr>
            </w:pPr>
          </w:p>
        </w:tc>
        <w:tc>
          <w:tcPr>
            <w:tcW w:w="1440" w:type="dxa"/>
            <w:tcBorders>
              <w:bottom w:val="single" w:sz="4" w:space="0" w:color="auto"/>
            </w:tcBorders>
            <w:noWrap/>
            <w:vAlign w:val="bottom"/>
            <w:hideMark/>
          </w:tcPr>
          <w:p w14:paraId="1EBF4383" w14:textId="77777777" w:rsidR="004D72B5" w:rsidRPr="00A335C4" w:rsidRDefault="004D72B5" w:rsidP="00220F5C">
            <w:pPr>
              <w:jc w:val="center"/>
              <w:rPr>
                <w:sz w:val="20"/>
              </w:rPr>
            </w:pPr>
          </w:p>
        </w:tc>
        <w:tc>
          <w:tcPr>
            <w:tcW w:w="258" w:type="dxa"/>
            <w:tcBorders>
              <w:bottom w:val="single" w:sz="4" w:space="0" w:color="auto"/>
            </w:tcBorders>
            <w:noWrap/>
            <w:vAlign w:val="bottom"/>
            <w:hideMark/>
          </w:tcPr>
          <w:p w14:paraId="2A8DB91B" w14:textId="77777777" w:rsidR="004D72B5" w:rsidRPr="00A335C4" w:rsidRDefault="004D72B5" w:rsidP="00220F5C">
            <w:pPr>
              <w:jc w:val="center"/>
              <w:rPr>
                <w:sz w:val="20"/>
              </w:rPr>
            </w:pPr>
          </w:p>
        </w:tc>
        <w:tc>
          <w:tcPr>
            <w:tcW w:w="1092" w:type="dxa"/>
            <w:tcBorders>
              <w:bottom w:val="single" w:sz="4" w:space="0" w:color="auto"/>
            </w:tcBorders>
            <w:noWrap/>
            <w:vAlign w:val="bottom"/>
            <w:hideMark/>
          </w:tcPr>
          <w:p w14:paraId="1A030359" w14:textId="77777777" w:rsidR="004D72B5" w:rsidRPr="00A335C4" w:rsidRDefault="004D72B5" w:rsidP="00220F5C">
            <w:pPr>
              <w:jc w:val="center"/>
              <w:rPr>
                <w:sz w:val="20"/>
              </w:rPr>
            </w:pPr>
          </w:p>
        </w:tc>
        <w:tc>
          <w:tcPr>
            <w:tcW w:w="270" w:type="dxa"/>
            <w:tcBorders>
              <w:bottom w:val="single" w:sz="4" w:space="0" w:color="auto"/>
            </w:tcBorders>
            <w:noWrap/>
            <w:vAlign w:val="bottom"/>
            <w:hideMark/>
          </w:tcPr>
          <w:p w14:paraId="00A42C33" w14:textId="77777777" w:rsidR="004D72B5" w:rsidRPr="00A335C4" w:rsidRDefault="004D72B5" w:rsidP="00220F5C">
            <w:pPr>
              <w:jc w:val="center"/>
              <w:rPr>
                <w:sz w:val="20"/>
              </w:rPr>
            </w:pPr>
          </w:p>
        </w:tc>
        <w:tc>
          <w:tcPr>
            <w:tcW w:w="1440" w:type="dxa"/>
            <w:tcBorders>
              <w:bottom w:val="single" w:sz="4" w:space="0" w:color="auto"/>
            </w:tcBorders>
            <w:noWrap/>
            <w:vAlign w:val="bottom"/>
            <w:hideMark/>
          </w:tcPr>
          <w:p w14:paraId="35406337" w14:textId="77777777" w:rsidR="004D72B5" w:rsidRPr="00A335C4" w:rsidRDefault="004D72B5" w:rsidP="00220F5C">
            <w:pPr>
              <w:jc w:val="center"/>
              <w:rPr>
                <w:sz w:val="20"/>
              </w:rPr>
            </w:pPr>
          </w:p>
        </w:tc>
        <w:tc>
          <w:tcPr>
            <w:tcW w:w="280" w:type="dxa"/>
            <w:tcBorders>
              <w:bottom w:val="single" w:sz="4" w:space="0" w:color="auto"/>
            </w:tcBorders>
            <w:noWrap/>
            <w:vAlign w:val="bottom"/>
            <w:hideMark/>
          </w:tcPr>
          <w:p w14:paraId="022B01CA" w14:textId="77777777" w:rsidR="004D72B5" w:rsidRPr="00A335C4" w:rsidRDefault="004D72B5" w:rsidP="00220F5C">
            <w:pPr>
              <w:jc w:val="center"/>
              <w:rPr>
                <w:sz w:val="20"/>
              </w:rPr>
            </w:pPr>
          </w:p>
        </w:tc>
        <w:tc>
          <w:tcPr>
            <w:tcW w:w="1480" w:type="dxa"/>
            <w:tcBorders>
              <w:bottom w:val="single" w:sz="4" w:space="0" w:color="auto"/>
            </w:tcBorders>
            <w:noWrap/>
            <w:vAlign w:val="bottom"/>
            <w:hideMark/>
          </w:tcPr>
          <w:p w14:paraId="46F041F7" w14:textId="77777777" w:rsidR="004D72B5" w:rsidRPr="00A335C4" w:rsidRDefault="004D72B5" w:rsidP="00220F5C">
            <w:pPr>
              <w:jc w:val="center"/>
              <w:rPr>
                <w:rFonts w:ascii="Aptos Narrow" w:hAnsi="Aptos Narrow"/>
                <w:color w:val="000000"/>
                <w:szCs w:val="22"/>
              </w:rPr>
            </w:pPr>
          </w:p>
        </w:tc>
      </w:tr>
      <w:tr w:rsidR="004D72B5" w:rsidRPr="00A335C4" w14:paraId="51603044" w14:textId="77777777" w:rsidTr="0036420E">
        <w:trPr>
          <w:trHeight w:val="300"/>
        </w:trPr>
        <w:tc>
          <w:tcPr>
            <w:tcW w:w="2965" w:type="dxa"/>
            <w:tcBorders>
              <w:top w:val="single" w:sz="4" w:space="0" w:color="auto"/>
              <w:bottom w:val="single" w:sz="4" w:space="0" w:color="auto"/>
            </w:tcBorders>
            <w:noWrap/>
            <w:vAlign w:val="bottom"/>
            <w:hideMark/>
          </w:tcPr>
          <w:p w14:paraId="7508A79A" w14:textId="77777777" w:rsidR="004D72B5" w:rsidRPr="00A335C4" w:rsidRDefault="004D72B5" w:rsidP="00220F5C">
            <w:pPr>
              <w:jc w:val="center"/>
              <w:rPr>
                <w:rFonts w:ascii="Aptos Narrow" w:hAnsi="Aptos Narrow"/>
                <w:color w:val="FF0000"/>
                <w:szCs w:val="22"/>
              </w:rPr>
            </w:pPr>
            <w:r w:rsidRPr="00A335C4">
              <w:rPr>
                <w:rFonts w:ascii="Aptos Narrow" w:hAnsi="Aptos Narrow"/>
                <w:color w:val="FF0000"/>
                <w:szCs w:val="22"/>
              </w:rPr>
              <w:t>Proof</w:t>
            </w:r>
          </w:p>
        </w:tc>
        <w:tc>
          <w:tcPr>
            <w:tcW w:w="1080" w:type="dxa"/>
            <w:tcBorders>
              <w:top w:val="single" w:sz="4" w:space="0" w:color="auto"/>
              <w:bottom w:val="single" w:sz="4" w:space="0" w:color="auto"/>
            </w:tcBorders>
            <w:noWrap/>
            <w:vAlign w:val="bottom"/>
            <w:hideMark/>
          </w:tcPr>
          <w:p w14:paraId="6812A36C" w14:textId="77777777" w:rsidR="004D72B5" w:rsidRPr="00A335C4" w:rsidRDefault="004D72B5" w:rsidP="00220F5C">
            <w:pPr>
              <w:jc w:val="center"/>
              <w:rPr>
                <w:rFonts w:ascii="Aptos Narrow" w:hAnsi="Aptos Narrow"/>
                <w:color w:val="FF0000"/>
                <w:szCs w:val="22"/>
              </w:rPr>
            </w:pPr>
            <w:r w:rsidRPr="00A335C4">
              <w:rPr>
                <w:rFonts w:ascii="Aptos Narrow" w:hAnsi="Aptos Narrow"/>
                <w:color w:val="FF0000"/>
                <w:szCs w:val="22"/>
              </w:rPr>
              <w:t>Required</w:t>
            </w:r>
          </w:p>
        </w:tc>
        <w:tc>
          <w:tcPr>
            <w:tcW w:w="275" w:type="dxa"/>
            <w:tcBorders>
              <w:top w:val="single" w:sz="4" w:space="0" w:color="auto"/>
              <w:bottom w:val="single" w:sz="4" w:space="0" w:color="auto"/>
            </w:tcBorders>
            <w:noWrap/>
            <w:vAlign w:val="bottom"/>
            <w:hideMark/>
          </w:tcPr>
          <w:p w14:paraId="2E145667" w14:textId="77777777" w:rsidR="004D72B5" w:rsidRPr="00A335C4" w:rsidRDefault="004D72B5" w:rsidP="00220F5C">
            <w:pPr>
              <w:jc w:val="center"/>
              <w:rPr>
                <w:rFonts w:ascii="Aptos Narrow" w:hAnsi="Aptos Narrow"/>
                <w:color w:val="FF0000"/>
                <w:szCs w:val="22"/>
              </w:rPr>
            </w:pPr>
          </w:p>
        </w:tc>
        <w:tc>
          <w:tcPr>
            <w:tcW w:w="1440" w:type="dxa"/>
            <w:tcBorders>
              <w:top w:val="single" w:sz="4" w:space="0" w:color="auto"/>
              <w:bottom w:val="single" w:sz="4" w:space="0" w:color="auto"/>
            </w:tcBorders>
            <w:noWrap/>
            <w:vAlign w:val="bottom"/>
            <w:hideMark/>
          </w:tcPr>
          <w:p w14:paraId="5D438409" w14:textId="77777777" w:rsidR="004D72B5" w:rsidRPr="00A335C4" w:rsidRDefault="004D72B5" w:rsidP="00220F5C">
            <w:pPr>
              <w:jc w:val="center"/>
              <w:rPr>
                <w:rFonts w:ascii="Aptos Narrow" w:hAnsi="Aptos Narrow"/>
                <w:color w:val="FF0000"/>
                <w:szCs w:val="22"/>
              </w:rPr>
            </w:pPr>
            <w:r w:rsidRPr="00A335C4">
              <w:rPr>
                <w:rFonts w:ascii="Aptos Narrow" w:hAnsi="Aptos Narrow"/>
                <w:color w:val="FF0000"/>
                <w:szCs w:val="22"/>
              </w:rPr>
              <w:t>Not Required</w:t>
            </w:r>
          </w:p>
        </w:tc>
        <w:tc>
          <w:tcPr>
            <w:tcW w:w="258" w:type="dxa"/>
            <w:tcBorders>
              <w:top w:val="single" w:sz="4" w:space="0" w:color="auto"/>
              <w:bottom w:val="single" w:sz="4" w:space="0" w:color="auto"/>
            </w:tcBorders>
            <w:noWrap/>
            <w:vAlign w:val="bottom"/>
            <w:hideMark/>
          </w:tcPr>
          <w:p w14:paraId="022D2637" w14:textId="77777777" w:rsidR="004D72B5" w:rsidRPr="00A335C4" w:rsidRDefault="004D72B5" w:rsidP="00220F5C">
            <w:pPr>
              <w:jc w:val="center"/>
              <w:rPr>
                <w:rFonts w:ascii="Aptos Narrow" w:hAnsi="Aptos Narrow"/>
                <w:color w:val="FF0000"/>
                <w:szCs w:val="22"/>
              </w:rPr>
            </w:pPr>
          </w:p>
        </w:tc>
        <w:tc>
          <w:tcPr>
            <w:tcW w:w="1092" w:type="dxa"/>
            <w:tcBorders>
              <w:top w:val="single" w:sz="4" w:space="0" w:color="auto"/>
              <w:bottom w:val="single" w:sz="4" w:space="0" w:color="auto"/>
            </w:tcBorders>
            <w:noWrap/>
            <w:vAlign w:val="bottom"/>
            <w:hideMark/>
          </w:tcPr>
          <w:p w14:paraId="191FB066" w14:textId="77777777" w:rsidR="004D72B5" w:rsidRPr="00A335C4" w:rsidRDefault="004D72B5" w:rsidP="00220F5C">
            <w:pPr>
              <w:jc w:val="center"/>
              <w:rPr>
                <w:rFonts w:ascii="Aptos Narrow" w:hAnsi="Aptos Narrow"/>
                <w:color w:val="FF0000"/>
                <w:szCs w:val="22"/>
              </w:rPr>
            </w:pPr>
            <w:r w:rsidRPr="00A335C4">
              <w:rPr>
                <w:rFonts w:ascii="Aptos Narrow" w:hAnsi="Aptos Narrow"/>
                <w:color w:val="FF0000"/>
                <w:szCs w:val="22"/>
              </w:rPr>
              <w:t>Required</w:t>
            </w:r>
          </w:p>
        </w:tc>
        <w:tc>
          <w:tcPr>
            <w:tcW w:w="270" w:type="dxa"/>
            <w:tcBorders>
              <w:top w:val="single" w:sz="4" w:space="0" w:color="auto"/>
              <w:bottom w:val="single" w:sz="4" w:space="0" w:color="auto"/>
            </w:tcBorders>
            <w:noWrap/>
            <w:vAlign w:val="bottom"/>
            <w:hideMark/>
          </w:tcPr>
          <w:p w14:paraId="6FBEF72C" w14:textId="77777777" w:rsidR="004D72B5" w:rsidRPr="00A335C4" w:rsidRDefault="004D72B5" w:rsidP="00220F5C">
            <w:pPr>
              <w:jc w:val="center"/>
              <w:rPr>
                <w:rFonts w:ascii="Aptos Narrow" w:hAnsi="Aptos Narrow"/>
                <w:color w:val="FF0000"/>
                <w:szCs w:val="22"/>
              </w:rPr>
            </w:pPr>
          </w:p>
        </w:tc>
        <w:tc>
          <w:tcPr>
            <w:tcW w:w="1440" w:type="dxa"/>
            <w:tcBorders>
              <w:top w:val="single" w:sz="4" w:space="0" w:color="auto"/>
              <w:bottom w:val="single" w:sz="4" w:space="0" w:color="auto"/>
            </w:tcBorders>
            <w:noWrap/>
            <w:vAlign w:val="bottom"/>
            <w:hideMark/>
          </w:tcPr>
          <w:p w14:paraId="0C1D33B8" w14:textId="77777777" w:rsidR="004D72B5" w:rsidRPr="00A335C4" w:rsidRDefault="004D72B5" w:rsidP="00220F5C">
            <w:pPr>
              <w:jc w:val="center"/>
              <w:rPr>
                <w:rFonts w:ascii="Aptos Narrow" w:hAnsi="Aptos Narrow"/>
                <w:color w:val="FF0000"/>
                <w:szCs w:val="22"/>
              </w:rPr>
            </w:pPr>
            <w:r>
              <w:rPr>
                <w:rFonts w:ascii="Aptos Narrow" w:hAnsi="Aptos Narrow"/>
                <w:color w:val="FF0000"/>
                <w:szCs w:val="22"/>
              </w:rPr>
              <w:t>Not R</w:t>
            </w:r>
            <w:r w:rsidRPr="00A335C4">
              <w:rPr>
                <w:rFonts w:ascii="Aptos Narrow" w:hAnsi="Aptos Narrow"/>
                <w:color w:val="FF0000"/>
                <w:szCs w:val="22"/>
              </w:rPr>
              <w:t>equired</w:t>
            </w:r>
          </w:p>
        </w:tc>
        <w:tc>
          <w:tcPr>
            <w:tcW w:w="280" w:type="dxa"/>
            <w:tcBorders>
              <w:top w:val="single" w:sz="4" w:space="0" w:color="auto"/>
              <w:bottom w:val="single" w:sz="4" w:space="0" w:color="auto"/>
            </w:tcBorders>
            <w:noWrap/>
            <w:vAlign w:val="bottom"/>
            <w:hideMark/>
          </w:tcPr>
          <w:p w14:paraId="5755E080" w14:textId="77777777" w:rsidR="004D72B5" w:rsidRPr="00A335C4" w:rsidRDefault="004D72B5" w:rsidP="00220F5C">
            <w:pPr>
              <w:jc w:val="center"/>
              <w:rPr>
                <w:rFonts w:ascii="Aptos Narrow" w:hAnsi="Aptos Narrow"/>
                <w:color w:val="FF0000"/>
                <w:szCs w:val="22"/>
              </w:rPr>
            </w:pPr>
          </w:p>
        </w:tc>
        <w:tc>
          <w:tcPr>
            <w:tcW w:w="1480" w:type="dxa"/>
            <w:tcBorders>
              <w:top w:val="single" w:sz="4" w:space="0" w:color="auto"/>
              <w:bottom w:val="single" w:sz="4" w:space="0" w:color="auto"/>
            </w:tcBorders>
            <w:noWrap/>
            <w:vAlign w:val="bottom"/>
            <w:hideMark/>
          </w:tcPr>
          <w:p w14:paraId="1492735B" w14:textId="77777777" w:rsidR="004D72B5" w:rsidRPr="00A335C4" w:rsidRDefault="004D72B5" w:rsidP="00220F5C">
            <w:pPr>
              <w:jc w:val="center"/>
              <w:rPr>
                <w:rFonts w:ascii="Aptos Narrow" w:hAnsi="Aptos Narrow"/>
                <w:color w:val="FF0000"/>
                <w:szCs w:val="22"/>
              </w:rPr>
            </w:pPr>
            <w:r w:rsidRPr="00A335C4">
              <w:rPr>
                <w:rFonts w:ascii="Aptos Narrow" w:hAnsi="Aptos Narrow"/>
                <w:color w:val="FF0000"/>
                <w:szCs w:val="22"/>
              </w:rPr>
              <w:t>Not Required</w:t>
            </w:r>
          </w:p>
        </w:tc>
      </w:tr>
      <w:tr w:rsidR="004D72B5" w:rsidRPr="00A335C4" w14:paraId="4475C5CF" w14:textId="77777777" w:rsidTr="0036420E">
        <w:trPr>
          <w:trHeight w:val="300"/>
        </w:trPr>
        <w:tc>
          <w:tcPr>
            <w:tcW w:w="2965" w:type="dxa"/>
            <w:tcBorders>
              <w:top w:val="single" w:sz="4" w:space="0" w:color="auto"/>
              <w:left w:val="single" w:sz="4" w:space="0" w:color="auto"/>
              <w:bottom w:val="nil"/>
              <w:right w:val="nil"/>
            </w:tcBorders>
            <w:noWrap/>
            <w:vAlign w:val="bottom"/>
            <w:hideMark/>
          </w:tcPr>
          <w:p w14:paraId="7228821B" w14:textId="1B3E0A92" w:rsidR="004D72B5" w:rsidRPr="00A335C4" w:rsidRDefault="00A966D5" w:rsidP="00220F5C">
            <w:pPr>
              <w:rPr>
                <w:rFonts w:ascii="Aptos Narrow" w:hAnsi="Aptos Narrow"/>
                <w:color w:val="000000"/>
                <w:szCs w:val="22"/>
              </w:rPr>
            </w:pPr>
            <w:r>
              <w:rPr>
                <w:rFonts w:ascii="Aptos Narrow" w:hAnsi="Aptos Narrow"/>
                <w:color w:val="000000"/>
                <w:szCs w:val="22"/>
              </w:rPr>
              <w:t xml:space="preserve">Impact if Entity </w:t>
            </w:r>
            <w:r w:rsidR="004D72B5" w:rsidRPr="00A335C4">
              <w:rPr>
                <w:rFonts w:ascii="Aptos Narrow" w:hAnsi="Aptos Narrow"/>
                <w:color w:val="000000"/>
                <w:szCs w:val="22"/>
              </w:rPr>
              <w:t>Fail</w:t>
            </w:r>
            <w:r>
              <w:rPr>
                <w:rFonts w:ascii="Aptos Narrow" w:hAnsi="Aptos Narrow"/>
                <w:color w:val="000000"/>
                <w:szCs w:val="22"/>
              </w:rPr>
              <w:t>s</w:t>
            </w:r>
            <w:r w:rsidR="004D72B5" w:rsidRPr="00A335C4">
              <w:rPr>
                <w:rFonts w:ascii="Aptos Narrow" w:hAnsi="Aptos Narrow"/>
                <w:color w:val="000000"/>
                <w:szCs w:val="22"/>
              </w:rPr>
              <w:t xml:space="preserve"> Proof: </w:t>
            </w:r>
          </w:p>
        </w:tc>
        <w:tc>
          <w:tcPr>
            <w:tcW w:w="1080" w:type="dxa"/>
            <w:tcBorders>
              <w:top w:val="single" w:sz="4" w:space="0" w:color="auto"/>
              <w:left w:val="nil"/>
              <w:bottom w:val="nil"/>
              <w:right w:val="nil"/>
            </w:tcBorders>
            <w:noWrap/>
            <w:vAlign w:val="bottom"/>
            <w:hideMark/>
          </w:tcPr>
          <w:p w14:paraId="17144B1C" w14:textId="77777777" w:rsidR="004D72B5" w:rsidRPr="00A335C4" w:rsidRDefault="004D72B5" w:rsidP="00220F5C">
            <w:pPr>
              <w:jc w:val="center"/>
              <w:rPr>
                <w:rFonts w:ascii="Aptos Narrow" w:hAnsi="Aptos Narrow"/>
                <w:color w:val="000000"/>
                <w:szCs w:val="22"/>
              </w:rPr>
            </w:pPr>
          </w:p>
        </w:tc>
        <w:tc>
          <w:tcPr>
            <w:tcW w:w="275" w:type="dxa"/>
            <w:tcBorders>
              <w:top w:val="single" w:sz="4" w:space="0" w:color="auto"/>
              <w:left w:val="nil"/>
              <w:bottom w:val="nil"/>
              <w:right w:val="nil"/>
            </w:tcBorders>
            <w:noWrap/>
            <w:vAlign w:val="bottom"/>
            <w:hideMark/>
          </w:tcPr>
          <w:p w14:paraId="00922A0C" w14:textId="77777777" w:rsidR="004D72B5" w:rsidRPr="00A335C4" w:rsidRDefault="004D72B5" w:rsidP="00220F5C">
            <w:pPr>
              <w:jc w:val="center"/>
              <w:rPr>
                <w:sz w:val="20"/>
              </w:rPr>
            </w:pPr>
          </w:p>
        </w:tc>
        <w:tc>
          <w:tcPr>
            <w:tcW w:w="1440" w:type="dxa"/>
            <w:tcBorders>
              <w:top w:val="single" w:sz="4" w:space="0" w:color="auto"/>
              <w:left w:val="nil"/>
              <w:bottom w:val="nil"/>
              <w:right w:val="nil"/>
            </w:tcBorders>
            <w:noWrap/>
            <w:vAlign w:val="bottom"/>
            <w:hideMark/>
          </w:tcPr>
          <w:p w14:paraId="0263BCAB" w14:textId="77777777" w:rsidR="004D72B5" w:rsidRPr="00A335C4" w:rsidRDefault="004D72B5" w:rsidP="00220F5C">
            <w:pPr>
              <w:jc w:val="center"/>
              <w:rPr>
                <w:sz w:val="20"/>
              </w:rPr>
            </w:pPr>
          </w:p>
        </w:tc>
        <w:tc>
          <w:tcPr>
            <w:tcW w:w="258" w:type="dxa"/>
            <w:tcBorders>
              <w:top w:val="single" w:sz="4" w:space="0" w:color="auto"/>
              <w:left w:val="nil"/>
              <w:bottom w:val="nil"/>
              <w:right w:val="nil"/>
            </w:tcBorders>
            <w:noWrap/>
            <w:vAlign w:val="bottom"/>
            <w:hideMark/>
          </w:tcPr>
          <w:p w14:paraId="4749A957" w14:textId="77777777" w:rsidR="004D72B5" w:rsidRPr="00A335C4" w:rsidRDefault="004D72B5" w:rsidP="00220F5C">
            <w:pPr>
              <w:jc w:val="center"/>
              <w:rPr>
                <w:sz w:val="20"/>
              </w:rPr>
            </w:pPr>
          </w:p>
        </w:tc>
        <w:tc>
          <w:tcPr>
            <w:tcW w:w="1092" w:type="dxa"/>
            <w:tcBorders>
              <w:top w:val="single" w:sz="4" w:space="0" w:color="auto"/>
              <w:left w:val="nil"/>
              <w:bottom w:val="nil"/>
              <w:right w:val="nil"/>
            </w:tcBorders>
            <w:noWrap/>
            <w:vAlign w:val="bottom"/>
            <w:hideMark/>
          </w:tcPr>
          <w:p w14:paraId="6FF23CF0" w14:textId="77777777" w:rsidR="004D72B5" w:rsidRPr="00A335C4" w:rsidRDefault="004D72B5" w:rsidP="00220F5C">
            <w:pPr>
              <w:jc w:val="center"/>
              <w:rPr>
                <w:sz w:val="20"/>
              </w:rPr>
            </w:pPr>
          </w:p>
        </w:tc>
        <w:tc>
          <w:tcPr>
            <w:tcW w:w="270" w:type="dxa"/>
            <w:tcBorders>
              <w:top w:val="single" w:sz="4" w:space="0" w:color="auto"/>
              <w:left w:val="nil"/>
              <w:bottom w:val="nil"/>
              <w:right w:val="nil"/>
            </w:tcBorders>
            <w:noWrap/>
            <w:vAlign w:val="bottom"/>
            <w:hideMark/>
          </w:tcPr>
          <w:p w14:paraId="3B18BBF9" w14:textId="77777777" w:rsidR="004D72B5" w:rsidRPr="00A335C4" w:rsidRDefault="004D72B5" w:rsidP="00220F5C">
            <w:pPr>
              <w:jc w:val="center"/>
              <w:rPr>
                <w:sz w:val="20"/>
              </w:rPr>
            </w:pPr>
          </w:p>
        </w:tc>
        <w:tc>
          <w:tcPr>
            <w:tcW w:w="1440" w:type="dxa"/>
            <w:tcBorders>
              <w:top w:val="single" w:sz="4" w:space="0" w:color="auto"/>
              <w:left w:val="nil"/>
              <w:bottom w:val="nil"/>
              <w:right w:val="nil"/>
            </w:tcBorders>
            <w:noWrap/>
            <w:vAlign w:val="bottom"/>
            <w:hideMark/>
          </w:tcPr>
          <w:p w14:paraId="3EF011CE" w14:textId="77777777" w:rsidR="004D72B5" w:rsidRPr="00A335C4" w:rsidRDefault="004D72B5" w:rsidP="00220F5C">
            <w:pPr>
              <w:jc w:val="center"/>
              <w:rPr>
                <w:sz w:val="20"/>
              </w:rPr>
            </w:pPr>
          </w:p>
        </w:tc>
        <w:tc>
          <w:tcPr>
            <w:tcW w:w="280" w:type="dxa"/>
            <w:tcBorders>
              <w:top w:val="single" w:sz="4" w:space="0" w:color="auto"/>
              <w:left w:val="nil"/>
              <w:bottom w:val="nil"/>
              <w:right w:val="nil"/>
            </w:tcBorders>
            <w:noWrap/>
            <w:vAlign w:val="bottom"/>
            <w:hideMark/>
          </w:tcPr>
          <w:p w14:paraId="1AE7D737" w14:textId="77777777" w:rsidR="004D72B5" w:rsidRPr="00A335C4" w:rsidRDefault="004D72B5" w:rsidP="00220F5C">
            <w:pPr>
              <w:jc w:val="center"/>
              <w:rPr>
                <w:sz w:val="20"/>
              </w:rPr>
            </w:pPr>
          </w:p>
        </w:tc>
        <w:tc>
          <w:tcPr>
            <w:tcW w:w="1480" w:type="dxa"/>
            <w:tcBorders>
              <w:top w:val="single" w:sz="4" w:space="0" w:color="auto"/>
              <w:left w:val="nil"/>
              <w:bottom w:val="nil"/>
              <w:right w:val="single" w:sz="4" w:space="0" w:color="auto"/>
            </w:tcBorders>
            <w:noWrap/>
            <w:vAlign w:val="bottom"/>
            <w:hideMark/>
          </w:tcPr>
          <w:p w14:paraId="4B38287B" w14:textId="77777777" w:rsidR="004D72B5" w:rsidRPr="00A335C4" w:rsidRDefault="004D72B5" w:rsidP="00220F5C">
            <w:pPr>
              <w:jc w:val="center"/>
              <w:rPr>
                <w:rFonts w:ascii="Aptos Narrow" w:hAnsi="Aptos Narrow"/>
                <w:color w:val="000000"/>
                <w:szCs w:val="22"/>
              </w:rPr>
            </w:pPr>
          </w:p>
        </w:tc>
      </w:tr>
      <w:tr w:rsidR="004D72B5" w:rsidRPr="00A335C4" w14:paraId="7B617825" w14:textId="77777777" w:rsidTr="00AA11EC">
        <w:trPr>
          <w:trHeight w:val="99"/>
        </w:trPr>
        <w:tc>
          <w:tcPr>
            <w:tcW w:w="2965" w:type="dxa"/>
            <w:tcBorders>
              <w:top w:val="nil"/>
              <w:left w:val="single" w:sz="4" w:space="0" w:color="auto"/>
              <w:bottom w:val="single" w:sz="4" w:space="0" w:color="auto"/>
              <w:right w:val="nil"/>
            </w:tcBorders>
            <w:noWrap/>
            <w:vAlign w:val="bottom"/>
            <w:hideMark/>
          </w:tcPr>
          <w:p w14:paraId="753268D8" w14:textId="77777777" w:rsidR="004D72B5" w:rsidRPr="00A335C4" w:rsidRDefault="004D72B5" w:rsidP="00220F5C">
            <w:pPr>
              <w:rPr>
                <w:rFonts w:ascii="Aptos Narrow" w:hAnsi="Aptos Narrow"/>
                <w:color w:val="000000"/>
                <w:szCs w:val="22"/>
              </w:rPr>
            </w:pPr>
            <w:r w:rsidRPr="00A335C4">
              <w:rPr>
                <w:rFonts w:ascii="Aptos Narrow" w:hAnsi="Aptos Narrow"/>
                <w:color w:val="000000"/>
                <w:szCs w:val="22"/>
              </w:rPr>
              <w:t xml:space="preserve">Remove from IMR: </w:t>
            </w:r>
          </w:p>
        </w:tc>
        <w:tc>
          <w:tcPr>
            <w:tcW w:w="1080" w:type="dxa"/>
            <w:tcBorders>
              <w:top w:val="nil"/>
              <w:left w:val="nil"/>
              <w:bottom w:val="single" w:sz="4" w:space="0" w:color="auto"/>
              <w:right w:val="nil"/>
            </w:tcBorders>
            <w:noWrap/>
            <w:vAlign w:val="bottom"/>
            <w:hideMark/>
          </w:tcPr>
          <w:p w14:paraId="29ED0DB9" w14:textId="77777777" w:rsidR="004D72B5" w:rsidRPr="00A335C4" w:rsidRDefault="004D72B5" w:rsidP="00220F5C">
            <w:pPr>
              <w:jc w:val="center"/>
              <w:rPr>
                <w:rFonts w:ascii="Aptos Narrow" w:hAnsi="Aptos Narrow"/>
                <w:color w:val="000000"/>
                <w:szCs w:val="22"/>
              </w:rPr>
            </w:pPr>
            <w:r w:rsidRPr="00A335C4">
              <w:rPr>
                <w:rFonts w:ascii="Aptos Narrow" w:hAnsi="Aptos Narrow"/>
                <w:color w:val="000000"/>
                <w:szCs w:val="22"/>
              </w:rPr>
              <w:t>(5.00)</w:t>
            </w:r>
          </w:p>
        </w:tc>
        <w:tc>
          <w:tcPr>
            <w:tcW w:w="275" w:type="dxa"/>
            <w:tcBorders>
              <w:top w:val="nil"/>
              <w:left w:val="nil"/>
              <w:bottom w:val="single" w:sz="4" w:space="0" w:color="auto"/>
              <w:right w:val="nil"/>
            </w:tcBorders>
            <w:noWrap/>
            <w:vAlign w:val="bottom"/>
            <w:hideMark/>
          </w:tcPr>
          <w:p w14:paraId="06343160" w14:textId="77777777" w:rsidR="004D72B5" w:rsidRPr="00A335C4" w:rsidRDefault="004D72B5" w:rsidP="00220F5C">
            <w:pPr>
              <w:jc w:val="center"/>
              <w:rPr>
                <w:rFonts w:ascii="Aptos Narrow" w:hAnsi="Aptos Narrow"/>
                <w:color w:val="000000"/>
                <w:szCs w:val="22"/>
              </w:rPr>
            </w:pPr>
          </w:p>
        </w:tc>
        <w:tc>
          <w:tcPr>
            <w:tcW w:w="1440" w:type="dxa"/>
            <w:tcBorders>
              <w:top w:val="nil"/>
              <w:left w:val="nil"/>
              <w:bottom w:val="single" w:sz="4" w:space="0" w:color="auto"/>
              <w:right w:val="nil"/>
            </w:tcBorders>
            <w:noWrap/>
            <w:vAlign w:val="bottom"/>
            <w:hideMark/>
          </w:tcPr>
          <w:p w14:paraId="1B56E813" w14:textId="77777777" w:rsidR="004D72B5" w:rsidRPr="00A335C4" w:rsidRDefault="004D72B5" w:rsidP="00220F5C">
            <w:pPr>
              <w:jc w:val="center"/>
              <w:rPr>
                <w:rFonts w:ascii="Aptos Narrow" w:hAnsi="Aptos Narrow"/>
                <w:color w:val="000000"/>
                <w:szCs w:val="22"/>
              </w:rPr>
            </w:pPr>
            <w:r w:rsidRPr="00A335C4">
              <w:rPr>
                <w:rFonts w:ascii="Aptos Narrow" w:hAnsi="Aptos Narrow"/>
                <w:color w:val="000000"/>
                <w:szCs w:val="22"/>
              </w:rPr>
              <w:t>N/A</w:t>
            </w:r>
          </w:p>
        </w:tc>
        <w:tc>
          <w:tcPr>
            <w:tcW w:w="258" w:type="dxa"/>
            <w:tcBorders>
              <w:top w:val="nil"/>
              <w:left w:val="nil"/>
              <w:bottom w:val="single" w:sz="4" w:space="0" w:color="auto"/>
              <w:right w:val="nil"/>
            </w:tcBorders>
            <w:noWrap/>
            <w:vAlign w:val="bottom"/>
            <w:hideMark/>
          </w:tcPr>
          <w:p w14:paraId="7011DD38" w14:textId="77777777" w:rsidR="004D72B5" w:rsidRPr="00A335C4" w:rsidRDefault="004D72B5" w:rsidP="00220F5C">
            <w:pPr>
              <w:jc w:val="center"/>
              <w:rPr>
                <w:rFonts w:ascii="Aptos Narrow" w:hAnsi="Aptos Narrow"/>
                <w:color w:val="000000"/>
                <w:szCs w:val="22"/>
              </w:rPr>
            </w:pPr>
          </w:p>
        </w:tc>
        <w:tc>
          <w:tcPr>
            <w:tcW w:w="1092" w:type="dxa"/>
            <w:tcBorders>
              <w:top w:val="nil"/>
              <w:left w:val="nil"/>
              <w:bottom w:val="single" w:sz="4" w:space="0" w:color="auto"/>
              <w:right w:val="nil"/>
            </w:tcBorders>
            <w:noWrap/>
            <w:vAlign w:val="bottom"/>
            <w:hideMark/>
          </w:tcPr>
          <w:p w14:paraId="78608FA6" w14:textId="77777777" w:rsidR="004D72B5" w:rsidRPr="00F017AF" w:rsidRDefault="004D72B5" w:rsidP="00220F5C">
            <w:pPr>
              <w:jc w:val="center"/>
              <w:rPr>
                <w:rFonts w:ascii="Aptos Narrow" w:hAnsi="Aptos Narrow"/>
                <w:color w:val="000000"/>
                <w:szCs w:val="22"/>
              </w:rPr>
            </w:pPr>
            <w:r w:rsidRPr="00F017AF">
              <w:rPr>
                <w:rFonts w:ascii="Aptos Narrow" w:hAnsi="Aptos Narrow"/>
                <w:color w:val="000000"/>
                <w:szCs w:val="22"/>
              </w:rPr>
              <w:t>(35.00)</w:t>
            </w:r>
          </w:p>
        </w:tc>
        <w:tc>
          <w:tcPr>
            <w:tcW w:w="270" w:type="dxa"/>
            <w:tcBorders>
              <w:top w:val="nil"/>
              <w:left w:val="nil"/>
              <w:bottom w:val="single" w:sz="4" w:space="0" w:color="auto"/>
              <w:right w:val="nil"/>
            </w:tcBorders>
            <w:noWrap/>
            <w:vAlign w:val="bottom"/>
            <w:hideMark/>
          </w:tcPr>
          <w:p w14:paraId="2B73B922" w14:textId="77777777" w:rsidR="004D72B5" w:rsidRPr="00A335C4" w:rsidRDefault="004D72B5" w:rsidP="00220F5C">
            <w:pPr>
              <w:jc w:val="center"/>
              <w:rPr>
                <w:rFonts w:ascii="Aptos Narrow" w:hAnsi="Aptos Narrow"/>
                <w:color w:val="000000"/>
                <w:szCs w:val="22"/>
              </w:rPr>
            </w:pPr>
          </w:p>
        </w:tc>
        <w:tc>
          <w:tcPr>
            <w:tcW w:w="1440" w:type="dxa"/>
            <w:tcBorders>
              <w:top w:val="nil"/>
              <w:left w:val="nil"/>
              <w:bottom w:val="single" w:sz="4" w:space="0" w:color="auto"/>
              <w:right w:val="nil"/>
            </w:tcBorders>
            <w:noWrap/>
            <w:vAlign w:val="bottom"/>
            <w:hideMark/>
          </w:tcPr>
          <w:p w14:paraId="11922180" w14:textId="77777777" w:rsidR="004D72B5" w:rsidRPr="00A335C4" w:rsidRDefault="004D72B5" w:rsidP="00220F5C">
            <w:pPr>
              <w:jc w:val="center"/>
              <w:rPr>
                <w:rFonts w:ascii="Aptos Narrow" w:hAnsi="Aptos Narrow"/>
                <w:color w:val="000000"/>
                <w:szCs w:val="22"/>
              </w:rPr>
            </w:pPr>
            <w:r>
              <w:rPr>
                <w:rFonts w:ascii="Aptos Narrow" w:hAnsi="Aptos Narrow"/>
                <w:color w:val="000000"/>
                <w:szCs w:val="22"/>
              </w:rPr>
              <w:t>N/A</w:t>
            </w:r>
          </w:p>
        </w:tc>
        <w:tc>
          <w:tcPr>
            <w:tcW w:w="280" w:type="dxa"/>
            <w:tcBorders>
              <w:top w:val="nil"/>
              <w:left w:val="nil"/>
              <w:bottom w:val="single" w:sz="4" w:space="0" w:color="auto"/>
              <w:right w:val="nil"/>
            </w:tcBorders>
            <w:noWrap/>
            <w:vAlign w:val="bottom"/>
            <w:hideMark/>
          </w:tcPr>
          <w:p w14:paraId="2E1BDE4E" w14:textId="77777777" w:rsidR="004D72B5" w:rsidRPr="00A335C4" w:rsidRDefault="004D72B5" w:rsidP="00220F5C">
            <w:pPr>
              <w:jc w:val="center"/>
              <w:rPr>
                <w:rFonts w:ascii="Aptos Narrow" w:hAnsi="Aptos Narrow"/>
                <w:color w:val="000000"/>
                <w:szCs w:val="22"/>
              </w:rPr>
            </w:pPr>
          </w:p>
        </w:tc>
        <w:tc>
          <w:tcPr>
            <w:tcW w:w="1480" w:type="dxa"/>
            <w:tcBorders>
              <w:top w:val="nil"/>
              <w:left w:val="nil"/>
              <w:bottom w:val="single" w:sz="4" w:space="0" w:color="auto"/>
              <w:right w:val="single" w:sz="4" w:space="0" w:color="auto"/>
            </w:tcBorders>
            <w:noWrap/>
            <w:vAlign w:val="bottom"/>
            <w:hideMark/>
          </w:tcPr>
          <w:p w14:paraId="7E2C0FA7" w14:textId="77777777" w:rsidR="004D72B5" w:rsidRPr="00A335C4" w:rsidRDefault="004D72B5" w:rsidP="00220F5C">
            <w:pPr>
              <w:jc w:val="center"/>
              <w:rPr>
                <w:rFonts w:ascii="Aptos Narrow" w:hAnsi="Aptos Narrow"/>
                <w:color w:val="000000"/>
                <w:szCs w:val="22"/>
              </w:rPr>
            </w:pPr>
            <w:r w:rsidRPr="00A335C4">
              <w:rPr>
                <w:rFonts w:ascii="Aptos Narrow" w:hAnsi="Aptos Narrow"/>
                <w:color w:val="000000"/>
                <w:szCs w:val="22"/>
              </w:rPr>
              <w:t>N/A</w:t>
            </w:r>
          </w:p>
        </w:tc>
      </w:tr>
      <w:tr w:rsidR="004D72B5" w:rsidRPr="00A335C4" w14:paraId="69850B59" w14:textId="77777777" w:rsidTr="00AA11EC">
        <w:trPr>
          <w:trHeight w:val="300"/>
        </w:trPr>
        <w:tc>
          <w:tcPr>
            <w:tcW w:w="2965" w:type="dxa"/>
            <w:tcBorders>
              <w:top w:val="single" w:sz="4" w:space="0" w:color="auto"/>
              <w:bottom w:val="single" w:sz="4" w:space="0" w:color="auto"/>
            </w:tcBorders>
            <w:noWrap/>
            <w:vAlign w:val="bottom"/>
            <w:hideMark/>
          </w:tcPr>
          <w:p w14:paraId="654B14A8" w14:textId="77777777" w:rsidR="004D72B5" w:rsidRPr="00A335C4" w:rsidRDefault="004D72B5" w:rsidP="00220F5C">
            <w:pPr>
              <w:rPr>
                <w:rFonts w:ascii="Aptos Narrow" w:hAnsi="Aptos Narrow"/>
                <w:b/>
                <w:bCs/>
                <w:color w:val="000000"/>
                <w:szCs w:val="22"/>
              </w:rPr>
            </w:pPr>
            <w:r w:rsidRPr="00A15C3C">
              <w:rPr>
                <w:rFonts w:ascii="Aptos Narrow" w:hAnsi="Aptos Narrow"/>
                <w:b/>
                <w:bCs/>
                <w:color w:val="000000"/>
                <w:szCs w:val="22"/>
              </w:rPr>
              <w:t>IMR After Adjustment &amp; Before Current Year Amortization</w:t>
            </w:r>
          </w:p>
        </w:tc>
        <w:tc>
          <w:tcPr>
            <w:tcW w:w="1080" w:type="dxa"/>
            <w:tcBorders>
              <w:top w:val="single" w:sz="4" w:space="0" w:color="auto"/>
              <w:bottom w:val="single" w:sz="4" w:space="0" w:color="auto"/>
            </w:tcBorders>
            <w:noWrap/>
            <w:vAlign w:val="bottom"/>
            <w:hideMark/>
          </w:tcPr>
          <w:p w14:paraId="0C645C8F" w14:textId="77777777" w:rsidR="004D72B5" w:rsidRPr="00A335C4" w:rsidRDefault="004D72B5" w:rsidP="00220F5C">
            <w:pPr>
              <w:jc w:val="center"/>
              <w:rPr>
                <w:rFonts w:ascii="Aptos Narrow" w:hAnsi="Aptos Narrow"/>
                <w:b/>
                <w:bCs/>
                <w:color w:val="000000"/>
                <w:szCs w:val="22"/>
              </w:rPr>
            </w:pPr>
            <w:r w:rsidRPr="00A335C4">
              <w:rPr>
                <w:rFonts w:ascii="Aptos Narrow" w:hAnsi="Aptos Narrow"/>
                <w:b/>
                <w:bCs/>
                <w:color w:val="000000"/>
                <w:szCs w:val="22"/>
              </w:rPr>
              <w:t>-</w:t>
            </w:r>
          </w:p>
        </w:tc>
        <w:tc>
          <w:tcPr>
            <w:tcW w:w="275" w:type="dxa"/>
            <w:tcBorders>
              <w:top w:val="single" w:sz="4" w:space="0" w:color="auto"/>
              <w:bottom w:val="single" w:sz="4" w:space="0" w:color="auto"/>
            </w:tcBorders>
            <w:noWrap/>
            <w:vAlign w:val="bottom"/>
            <w:hideMark/>
          </w:tcPr>
          <w:p w14:paraId="013F802B" w14:textId="77777777" w:rsidR="004D72B5" w:rsidRPr="00A335C4" w:rsidRDefault="004D72B5" w:rsidP="00220F5C">
            <w:pPr>
              <w:jc w:val="center"/>
              <w:rPr>
                <w:rFonts w:ascii="Aptos Narrow" w:hAnsi="Aptos Narrow"/>
                <w:b/>
                <w:bCs/>
                <w:color w:val="000000"/>
                <w:szCs w:val="22"/>
              </w:rPr>
            </w:pPr>
          </w:p>
        </w:tc>
        <w:tc>
          <w:tcPr>
            <w:tcW w:w="1440" w:type="dxa"/>
            <w:tcBorders>
              <w:top w:val="single" w:sz="4" w:space="0" w:color="auto"/>
              <w:bottom w:val="single" w:sz="4" w:space="0" w:color="auto"/>
            </w:tcBorders>
            <w:noWrap/>
            <w:vAlign w:val="bottom"/>
            <w:hideMark/>
          </w:tcPr>
          <w:p w14:paraId="7C249728" w14:textId="77777777" w:rsidR="004D72B5" w:rsidRPr="00A335C4" w:rsidRDefault="004D72B5" w:rsidP="00220F5C">
            <w:pPr>
              <w:jc w:val="center"/>
              <w:rPr>
                <w:rFonts w:ascii="Aptos Narrow" w:hAnsi="Aptos Narrow"/>
                <w:b/>
                <w:bCs/>
                <w:color w:val="000000"/>
                <w:szCs w:val="22"/>
              </w:rPr>
            </w:pPr>
            <w:r w:rsidRPr="00A335C4">
              <w:rPr>
                <w:rFonts w:ascii="Aptos Narrow" w:hAnsi="Aptos Narrow"/>
                <w:b/>
                <w:bCs/>
                <w:color w:val="000000"/>
                <w:szCs w:val="22"/>
              </w:rPr>
              <w:t>15.00</w:t>
            </w:r>
          </w:p>
        </w:tc>
        <w:tc>
          <w:tcPr>
            <w:tcW w:w="258" w:type="dxa"/>
            <w:tcBorders>
              <w:top w:val="single" w:sz="4" w:space="0" w:color="auto"/>
              <w:bottom w:val="single" w:sz="4" w:space="0" w:color="auto"/>
            </w:tcBorders>
            <w:noWrap/>
            <w:vAlign w:val="bottom"/>
            <w:hideMark/>
          </w:tcPr>
          <w:p w14:paraId="22C7D9D0" w14:textId="77777777" w:rsidR="004D72B5" w:rsidRPr="00A335C4" w:rsidRDefault="004D72B5" w:rsidP="00220F5C">
            <w:pPr>
              <w:jc w:val="center"/>
              <w:rPr>
                <w:rFonts w:ascii="Aptos Narrow" w:hAnsi="Aptos Narrow"/>
                <w:b/>
                <w:bCs/>
                <w:color w:val="000000"/>
                <w:szCs w:val="22"/>
              </w:rPr>
            </w:pPr>
          </w:p>
        </w:tc>
        <w:tc>
          <w:tcPr>
            <w:tcW w:w="1092" w:type="dxa"/>
            <w:tcBorders>
              <w:top w:val="single" w:sz="4" w:space="0" w:color="auto"/>
              <w:bottom w:val="single" w:sz="4" w:space="0" w:color="auto"/>
            </w:tcBorders>
            <w:noWrap/>
            <w:vAlign w:val="bottom"/>
            <w:hideMark/>
          </w:tcPr>
          <w:p w14:paraId="67FBBE60" w14:textId="77777777" w:rsidR="004D72B5" w:rsidRPr="00F017AF" w:rsidRDefault="004D72B5" w:rsidP="00220F5C">
            <w:pPr>
              <w:jc w:val="center"/>
              <w:rPr>
                <w:rFonts w:ascii="Aptos Narrow" w:hAnsi="Aptos Narrow"/>
                <w:b/>
                <w:bCs/>
                <w:color w:val="000000"/>
                <w:szCs w:val="22"/>
              </w:rPr>
            </w:pPr>
            <w:r w:rsidRPr="00F017AF">
              <w:rPr>
                <w:rFonts w:ascii="Aptos Narrow" w:hAnsi="Aptos Narrow"/>
                <w:b/>
                <w:bCs/>
                <w:color w:val="000000"/>
                <w:szCs w:val="22"/>
              </w:rPr>
              <w:t>(30.00)</w:t>
            </w:r>
          </w:p>
        </w:tc>
        <w:tc>
          <w:tcPr>
            <w:tcW w:w="270" w:type="dxa"/>
            <w:tcBorders>
              <w:top w:val="single" w:sz="4" w:space="0" w:color="auto"/>
              <w:bottom w:val="single" w:sz="4" w:space="0" w:color="auto"/>
            </w:tcBorders>
            <w:noWrap/>
            <w:vAlign w:val="bottom"/>
            <w:hideMark/>
          </w:tcPr>
          <w:p w14:paraId="3FC36375" w14:textId="77777777" w:rsidR="004D72B5" w:rsidRPr="00A335C4" w:rsidRDefault="004D72B5" w:rsidP="00220F5C">
            <w:pPr>
              <w:jc w:val="center"/>
              <w:rPr>
                <w:rFonts w:ascii="Aptos Narrow" w:hAnsi="Aptos Narrow"/>
                <w:b/>
                <w:bCs/>
                <w:color w:val="000000"/>
                <w:szCs w:val="22"/>
              </w:rPr>
            </w:pPr>
          </w:p>
        </w:tc>
        <w:tc>
          <w:tcPr>
            <w:tcW w:w="1440" w:type="dxa"/>
            <w:tcBorders>
              <w:top w:val="single" w:sz="4" w:space="0" w:color="auto"/>
              <w:bottom w:val="single" w:sz="4" w:space="0" w:color="auto"/>
            </w:tcBorders>
            <w:noWrap/>
            <w:vAlign w:val="bottom"/>
            <w:hideMark/>
          </w:tcPr>
          <w:p w14:paraId="45CB5FA3" w14:textId="77777777" w:rsidR="004D72B5" w:rsidRPr="00A335C4" w:rsidRDefault="004D72B5" w:rsidP="00220F5C">
            <w:pPr>
              <w:jc w:val="center"/>
              <w:rPr>
                <w:rFonts w:ascii="Aptos Narrow" w:hAnsi="Aptos Narrow"/>
                <w:b/>
                <w:bCs/>
                <w:color w:val="000000"/>
                <w:szCs w:val="22"/>
              </w:rPr>
            </w:pPr>
            <w:r w:rsidRPr="00A335C4">
              <w:rPr>
                <w:rFonts w:ascii="Aptos Narrow" w:hAnsi="Aptos Narrow"/>
                <w:b/>
                <w:bCs/>
                <w:color w:val="000000"/>
                <w:szCs w:val="22"/>
              </w:rPr>
              <w:t>(</w:t>
            </w:r>
            <w:r>
              <w:rPr>
                <w:rFonts w:ascii="Aptos Narrow" w:hAnsi="Aptos Narrow"/>
                <w:b/>
                <w:bCs/>
                <w:color w:val="000000"/>
                <w:szCs w:val="22"/>
              </w:rPr>
              <w:t>15</w:t>
            </w:r>
            <w:r w:rsidRPr="00A335C4">
              <w:rPr>
                <w:rFonts w:ascii="Aptos Narrow" w:hAnsi="Aptos Narrow"/>
                <w:b/>
                <w:bCs/>
                <w:color w:val="000000"/>
                <w:szCs w:val="22"/>
              </w:rPr>
              <w:t>.00)</w:t>
            </w:r>
          </w:p>
        </w:tc>
        <w:tc>
          <w:tcPr>
            <w:tcW w:w="280" w:type="dxa"/>
            <w:tcBorders>
              <w:top w:val="single" w:sz="4" w:space="0" w:color="auto"/>
              <w:bottom w:val="single" w:sz="4" w:space="0" w:color="auto"/>
            </w:tcBorders>
            <w:noWrap/>
            <w:vAlign w:val="bottom"/>
            <w:hideMark/>
          </w:tcPr>
          <w:p w14:paraId="2620CBC7" w14:textId="77777777" w:rsidR="004D72B5" w:rsidRPr="00A335C4" w:rsidRDefault="004D72B5" w:rsidP="00220F5C">
            <w:pPr>
              <w:jc w:val="center"/>
              <w:rPr>
                <w:rFonts w:ascii="Aptos Narrow" w:hAnsi="Aptos Narrow"/>
                <w:b/>
                <w:bCs/>
                <w:color w:val="000000"/>
                <w:szCs w:val="22"/>
              </w:rPr>
            </w:pPr>
          </w:p>
        </w:tc>
        <w:tc>
          <w:tcPr>
            <w:tcW w:w="1480" w:type="dxa"/>
            <w:tcBorders>
              <w:top w:val="single" w:sz="4" w:space="0" w:color="auto"/>
              <w:bottom w:val="single" w:sz="4" w:space="0" w:color="auto"/>
            </w:tcBorders>
            <w:noWrap/>
            <w:vAlign w:val="bottom"/>
            <w:hideMark/>
          </w:tcPr>
          <w:p w14:paraId="533669C8" w14:textId="77777777" w:rsidR="004D72B5" w:rsidRPr="00A335C4" w:rsidRDefault="004D72B5" w:rsidP="00220F5C">
            <w:pPr>
              <w:jc w:val="center"/>
              <w:rPr>
                <w:rFonts w:ascii="Aptos Narrow" w:hAnsi="Aptos Narrow"/>
                <w:b/>
                <w:bCs/>
                <w:color w:val="000000"/>
                <w:szCs w:val="22"/>
              </w:rPr>
            </w:pPr>
            <w:r w:rsidRPr="00A335C4">
              <w:rPr>
                <w:rFonts w:ascii="Aptos Narrow" w:hAnsi="Aptos Narrow"/>
                <w:b/>
                <w:bCs/>
                <w:color w:val="000000"/>
                <w:szCs w:val="22"/>
              </w:rPr>
              <w:t>(30.00)</w:t>
            </w:r>
          </w:p>
        </w:tc>
      </w:tr>
    </w:tbl>
    <w:p w14:paraId="0BCDCD9D" w14:textId="77777777" w:rsidR="00D2353A" w:rsidRDefault="00D2353A" w:rsidP="00D2353A">
      <w:pPr>
        <w:pStyle w:val="ListContinue"/>
        <w:spacing w:after="0"/>
        <w:rPr>
          <w:i/>
          <w:iCs/>
        </w:rPr>
      </w:pPr>
    </w:p>
    <w:p w14:paraId="23983F9E" w14:textId="5C2AF886" w:rsidR="004D72B5" w:rsidRDefault="004D72B5" w:rsidP="004D72B5">
      <w:pPr>
        <w:pStyle w:val="ListContinue"/>
      </w:pPr>
      <w:r w:rsidRPr="00B14FB6">
        <w:rPr>
          <w:i/>
          <w:iCs/>
        </w:rPr>
        <w:t xml:space="preserve">FN 1: </w:t>
      </w:r>
      <w:r w:rsidRPr="00D2353A">
        <w:t>IMR expected amortization shall be a direct pull from the prior year-end IMR amortization schedule.</w:t>
      </w:r>
      <w:r w:rsidR="00D2353A" w:rsidRPr="00D2353A">
        <w:t xml:space="preserve"> Although IMR amortization is a separate calculation completed to reflect current year impacts to IMR, determining whether the proof is </w:t>
      </w:r>
      <w:r w:rsidR="009B1C42">
        <w:t xml:space="preserve">necessary </w:t>
      </w:r>
      <w:r w:rsidR="00D2353A" w:rsidRPr="00D2353A">
        <w:t>requires an adjustment to the beginning IMR balance for current year expected amortization. This adjustment amount shall be taken directly from the prior year-end IMR amortization schedule and used to adjust the beginning IMR balance. By using the prior year estimated amortization against the beginning balance, instead of actual current year amortization against the ending balance, a circular calculation is prevented. Current year amortization includes components for current year losses and would need to be recalculated if the reporting entity fails the proof and must remove realize</w:t>
      </w:r>
      <w:r w:rsidR="00FA1298">
        <w:t>d</w:t>
      </w:r>
      <w:r w:rsidR="00D2353A" w:rsidRPr="00D2353A">
        <w:t xml:space="preserve"> losses from the ending IMR balance. Current year IMR amortization shall be calculated based on the resulting IMR balance after adjustments for reporting entities that fail the proof of reinvestment, reflecting consideration of actual current year gains and losses included in the IMR</w:t>
      </w:r>
      <w:r w:rsidR="00E90884" w:rsidRPr="00D2353A">
        <w:t xml:space="preserve">. </w:t>
      </w:r>
    </w:p>
    <w:p w14:paraId="3E166796" w14:textId="04185063" w:rsidR="00D2353A" w:rsidRDefault="00D2353A" w:rsidP="001A01ED">
      <w:pPr>
        <w:pStyle w:val="ListContinue"/>
        <w:spacing w:after="0"/>
        <w:rPr>
          <w:b/>
          <w:bCs/>
          <w:u w:val="single"/>
        </w:rPr>
      </w:pPr>
      <w:r w:rsidRPr="00D2353A">
        <w:rPr>
          <w:b/>
          <w:bCs/>
          <w:u w:val="single"/>
        </w:rPr>
        <w:t xml:space="preserve">Discussion of Conclusions: </w:t>
      </w:r>
    </w:p>
    <w:p w14:paraId="4FA53504" w14:textId="4BA2F4C5" w:rsidR="001A01ED" w:rsidRPr="001A01ED" w:rsidRDefault="001A01ED" w:rsidP="004D72B5">
      <w:pPr>
        <w:pStyle w:val="ListContinue"/>
        <w:rPr>
          <w:i/>
          <w:iCs/>
        </w:rPr>
      </w:pPr>
      <w:r w:rsidRPr="001A01ED">
        <w:rPr>
          <w:i/>
          <w:iCs/>
        </w:rPr>
        <w:t xml:space="preserve">In all situations, if the entity is required to complete the proof, and fails, the losses removed from IMR shall be recognized as current period realized loss. </w:t>
      </w:r>
    </w:p>
    <w:p w14:paraId="22CD4ED1" w14:textId="6963CC3B" w:rsidR="004D72B5" w:rsidRDefault="004D72B5" w:rsidP="004D72B5">
      <w:pPr>
        <w:pStyle w:val="ListContinue"/>
        <w:ind w:left="1260" w:hanging="1260"/>
      </w:pPr>
      <w:r w:rsidRPr="000F0D3B">
        <w:rPr>
          <w:b/>
          <w:bCs/>
        </w:rPr>
        <w:t>Example 1:</w:t>
      </w:r>
      <w:r>
        <w:t xml:space="preserve"> </w:t>
      </w:r>
      <w:r>
        <w:tab/>
        <w:t>Proof is required as the entity has gone net negative with losses exceeding gains. If the entity fails the proof, the entity must remove IMR losses</w:t>
      </w:r>
      <w:r w:rsidR="005E5675">
        <w:t xml:space="preserve"> </w:t>
      </w:r>
      <w:r>
        <w:t xml:space="preserve">to either eliminate the net negative position, or to eliminate the increase of a net negative position. For this example, the removal would eliminate the net negative position, resulting </w:t>
      </w:r>
      <w:r w:rsidR="00097CDC">
        <w:t>in</w:t>
      </w:r>
      <w:r>
        <w:t xml:space="preserve"> a year-end IMR position of net zero</w:t>
      </w:r>
      <w:r w:rsidR="005E5675">
        <w:t xml:space="preserve">. </w:t>
      </w:r>
    </w:p>
    <w:p w14:paraId="3955672A" w14:textId="77777777" w:rsidR="004D72B5" w:rsidRDefault="004D72B5" w:rsidP="004D72B5">
      <w:pPr>
        <w:pStyle w:val="ListContinue"/>
        <w:ind w:left="1260" w:hanging="1260"/>
      </w:pPr>
      <w:r w:rsidRPr="000F0D3B">
        <w:rPr>
          <w:b/>
          <w:bCs/>
        </w:rPr>
        <w:t xml:space="preserve">Example </w:t>
      </w:r>
      <w:r>
        <w:rPr>
          <w:b/>
          <w:bCs/>
        </w:rPr>
        <w:t>2</w:t>
      </w:r>
      <w:r w:rsidRPr="000F0D3B">
        <w:rPr>
          <w:b/>
          <w:bCs/>
        </w:rPr>
        <w:t>:</w:t>
      </w:r>
      <w:r>
        <w:t xml:space="preserve"> </w:t>
      </w:r>
      <w:r>
        <w:tab/>
        <w:t xml:space="preserve">Proof is not required as the entity has not gone net negative, even though the entity had more IMR losses than IMR gains. </w:t>
      </w:r>
    </w:p>
    <w:p w14:paraId="1C639BCA" w14:textId="159BBE0A" w:rsidR="004D72B5" w:rsidRDefault="004D72B5" w:rsidP="004D72B5">
      <w:pPr>
        <w:pStyle w:val="ListContinue"/>
        <w:ind w:left="1260" w:hanging="1260"/>
      </w:pPr>
      <w:r w:rsidRPr="000F0D3B">
        <w:rPr>
          <w:b/>
          <w:bCs/>
        </w:rPr>
        <w:t xml:space="preserve">Example </w:t>
      </w:r>
      <w:r>
        <w:rPr>
          <w:b/>
          <w:bCs/>
        </w:rPr>
        <w:t>3</w:t>
      </w:r>
      <w:r w:rsidRPr="000F0D3B">
        <w:rPr>
          <w:b/>
          <w:bCs/>
        </w:rPr>
        <w:t>:</w:t>
      </w:r>
      <w:r>
        <w:t xml:space="preserve"> </w:t>
      </w:r>
      <w:r>
        <w:tab/>
        <w:t>Proof is required as the entity has increased their prior net negative position. If the entity fails the proof, the entity must remove IMR losses to eliminate the current year increase of a net negative position. With the removal of $35 in losses, the net negative position equals the beginning balance after the expected amortization from prior year established IMR.</w:t>
      </w:r>
    </w:p>
    <w:p w14:paraId="345C4C94" w14:textId="12D64134" w:rsidR="004D72B5" w:rsidRDefault="004D72B5" w:rsidP="004D72B5">
      <w:pPr>
        <w:pStyle w:val="ListContinue"/>
        <w:ind w:left="1260" w:hanging="1260"/>
      </w:pPr>
      <w:r w:rsidRPr="000F0D3B">
        <w:rPr>
          <w:b/>
          <w:bCs/>
        </w:rPr>
        <w:t xml:space="preserve">Example </w:t>
      </w:r>
      <w:r>
        <w:rPr>
          <w:b/>
          <w:bCs/>
        </w:rPr>
        <w:t>4</w:t>
      </w:r>
      <w:r w:rsidRPr="000F0D3B">
        <w:rPr>
          <w:b/>
          <w:bCs/>
        </w:rPr>
        <w:t>:</w:t>
      </w:r>
      <w:r>
        <w:t xml:space="preserve"> </w:t>
      </w:r>
      <w:r>
        <w:tab/>
        <w:t>Proof is not required as the entity has not increased their prior-year net negative position.</w:t>
      </w:r>
    </w:p>
    <w:p w14:paraId="60F1850E" w14:textId="6A410CF7" w:rsidR="004D72B5" w:rsidRDefault="004D72B5" w:rsidP="00B92CF1">
      <w:pPr>
        <w:pStyle w:val="ListContinue"/>
        <w:ind w:left="1260" w:hanging="1260"/>
        <w:rPr>
          <w:szCs w:val="22"/>
        </w:rPr>
      </w:pPr>
      <w:r w:rsidRPr="000F0D3B">
        <w:rPr>
          <w:b/>
          <w:bCs/>
        </w:rPr>
        <w:t xml:space="preserve">Example </w:t>
      </w:r>
      <w:r w:rsidR="00D2353A">
        <w:rPr>
          <w:b/>
          <w:bCs/>
        </w:rPr>
        <w:t>5</w:t>
      </w:r>
      <w:r w:rsidRPr="000F0D3B">
        <w:rPr>
          <w:b/>
          <w:bCs/>
        </w:rPr>
        <w:t>:</w:t>
      </w:r>
      <w:r>
        <w:t xml:space="preserve"> </w:t>
      </w:r>
      <w:r>
        <w:tab/>
        <w:t>Proof is not required as the entity has not increased their prior-year net negative position.</w:t>
      </w:r>
      <w:r>
        <w:rPr>
          <w:szCs w:val="22"/>
        </w:rPr>
        <w:br w:type="page"/>
      </w:r>
    </w:p>
    <w:p w14:paraId="1322EBD7" w14:textId="778D19C6" w:rsidR="00C97018" w:rsidRPr="0024495C" w:rsidRDefault="00C97018" w:rsidP="00C97018">
      <w:pPr>
        <w:pStyle w:val="ListContinue"/>
        <w:jc w:val="center"/>
        <w:rPr>
          <w:b/>
          <w:bCs/>
        </w:rPr>
      </w:pPr>
      <w:r>
        <w:rPr>
          <w:b/>
          <w:bCs/>
        </w:rPr>
        <w:lastRenderedPageBreak/>
        <w:t xml:space="preserve">Template 2 </w:t>
      </w:r>
      <w:r w:rsidRPr="0024495C">
        <w:rPr>
          <w:b/>
          <w:bCs/>
        </w:rPr>
        <w:t>–</w:t>
      </w:r>
      <w:r>
        <w:rPr>
          <w:b/>
          <w:bCs/>
        </w:rPr>
        <w:t xml:space="preserve"> </w:t>
      </w:r>
      <w:r w:rsidRPr="0024495C">
        <w:rPr>
          <w:b/>
          <w:bCs/>
        </w:rPr>
        <w:t xml:space="preserve">Proof of Reinvestment </w:t>
      </w:r>
      <w:r>
        <w:rPr>
          <w:b/>
          <w:bCs/>
        </w:rPr>
        <w:t>Disclosure Illustration – General Account</w:t>
      </w:r>
    </w:p>
    <w:tbl>
      <w:tblPr>
        <w:tblW w:w="10874" w:type="dxa"/>
        <w:tblInd w:w="-455" w:type="dxa"/>
        <w:tblLook w:val="04A0" w:firstRow="1" w:lastRow="0" w:firstColumn="1" w:lastColumn="0" w:noHBand="0" w:noVBand="1"/>
      </w:tblPr>
      <w:tblGrid>
        <w:gridCol w:w="592"/>
        <w:gridCol w:w="1923"/>
        <w:gridCol w:w="6755"/>
        <w:gridCol w:w="1604"/>
      </w:tblGrid>
      <w:tr w:rsidR="00C97018" w:rsidRPr="00DB61E0" w14:paraId="18C0320D" w14:textId="77777777" w:rsidTr="00C97018">
        <w:trPr>
          <w:trHeight w:val="300"/>
        </w:trPr>
        <w:tc>
          <w:tcPr>
            <w:tcW w:w="592" w:type="dxa"/>
            <w:tcBorders>
              <w:top w:val="single" w:sz="4" w:space="0" w:color="auto"/>
              <w:left w:val="single" w:sz="4" w:space="0" w:color="auto"/>
              <w:bottom w:val="single" w:sz="4" w:space="0" w:color="auto"/>
              <w:right w:val="single" w:sz="4" w:space="0" w:color="auto"/>
            </w:tcBorders>
            <w:shd w:val="clear" w:color="000000" w:fill="BFBFBF"/>
            <w:hideMark/>
          </w:tcPr>
          <w:p w14:paraId="3DBE5479" w14:textId="77777777" w:rsidR="00C97018" w:rsidRPr="00532398" w:rsidRDefault="00C97018" w:rsidP="00220F5C">
            <w:pPr>
              <w:jc w:val="center"/>
              <w:rPr>
                <w:rFonts w:asciiTheme="minorHAnsi" w:hAnsiTheme="minorHAnsi" w:cstheme="minorHAnsi"/>
                <w:b/>
                <w:bCs/>
                <w:color w:val="000000"/>
                <w:sz w:val="20"/>
              </w:rPr>
            </w:pPr>
            <w:r w:rsidRPr="00532398">
              <w:rPr>
                <w:rFonts w:asciiTheme="minorHAnsi" w:hAnsiTheme="minorHAnsi" w:cstheme="minorHAnsi"/>
                <w:b/>
                <w:bCs/>
                <w:color w:val="000000"/>
                <w:sz w:val="20"/>
              </w:rPr>
              <w:t>Line</w:t>
            </w:r>
          </w:p>
        </w:tc>
        <w:tc>
          <w:tcPr>
            <w:tcW w:w="1923" w:type="dxa"/>
            <w:tcBorders>
              <w:top w:val="single" w:sz="4" w:space="0" w:color="auto"/>
              <w:left w:val="nil"/>
              <w:bottom w:val="single" w:sz="4" w:space="0" w:color="auto"/>
              <w:right w:val="single" w:sz="4" w:space="0" w:color="auto"/>
            </w:tcBorders>
            <w:shd w:val="clear" w:color="000000" w:fill="BFBFBF"/>
            <w:hideMark/>
          </w:tcPr>
          <w:p w14:paraId="49BB76BB" w14:textId="77777777" w:rsidR="00C97018" w:rsidRPr="00532398" w:rsidRDefault="00C97018" w:rsidP="00220F5C">
            <w:pPr>
              <w:jc w:val="center"/>
              <w:rPr>
                <w:rFonts w:asciiTheme="minorHAnsi" w:hAnsiTheme="minorHAnsi" w:cstheme="minorHAnsi"/>
                <w:b/>
                <w:bCs/>
                <w:color w:val="000000"/>
                <w:sz w:val="20"/>
              </w:rPr>
            </w:pPr>
            <w:r w:rsidRPr="00532398">
              <w:rPr>
                <w:rFonts w:asciiTheme="minorHAnsi" w:hAnsiTheme="minorHAnsi" w:cstheme="minorHAnsi"/>
                <w:b/>
                <w:bCs/>
                <w:color w:val="000000"/>
                <w:sz w:val="20"/>
              </w:rPr>
              <w:t>Data Source</w:t>
            </w:r>
          </w:p>
        </w:tc>
        <w:tc>
          <w:tcPr>
            <w:tcW w:w="6755" w:type="dxa"/>
            <w:tcBorders>
              <w:top w:val="single" w:sz="4" w:space="0" w:color="auto"/>
              <w:left w:val="nil"/>
              <w:bottom w:val="single" w:sz="4" w:space="0" w:color="auto"/>
              <w:right w:val="single" w:sz="4" w:space="0" w:color="auto"/>
            </w:tcBorders>
            <w:shd w:val="clear" w:color="000000" w:fill="BFBFBF"/>
            <w:noWrap/>
            <w:hideMark/>
          </w:tcPr>
          <w:p w14:paraId="37C6B66E" w14:textId="77777777" w:rsidR="00C97018" w:rsidRPr="00532398" w:rsidRDefault="00C97018" w:rsidP="00220F5C">
            <w:pPr>
              <w:jc w:val="center"/>
              <w:rPr>
                <w:rFonts w:asciiTheme="minorHAnsi" w:hAnsiTheme="minorHAnsi" w:cstheme="minorHAnsi"/>
                <w:b/>
                <w:bCs/>
                <w:color w:val="000000"/>
                <w:sz w:val="20"/>
              </w:rPr>
            </w:pPr>
            <w:r w:rsidRPr="00532398">
              <w:rPr>
                <w:rFonts w:asciiTheme="minorHAnsi" w:hAnsiTheme="minorHAnsi" w:cstheme="minorHAnsi"/>
                <w:b/>
                <w:bCs/>
                <w:color w:val="000000"/>
                <w:sz w:val="20"/>
              </w:rPr>
              <w:t>Description</w:t>
            </w:r>
          </w:p>
        </w:tc>
        <w:tc>
          <w:tcPr>
            <w:tcW w:w="1604" w:type="dxa"/>
            <w:tcBorders>
              <w:top w:val="single" w:sz="4" w:space="0" w:color="auto"/>
              <w:left w:val="nil"/>
              <w:bottom w:val="single" w:sz="4" w:space="0" w:color="auto"/>
              <w:right w:val="single" w:sz="4" w:space="0" w:color="auto"/>
            </w:tcBorders>
            <w:shd w:val="clear" w:color="000000" w:fill="BFBFBF"/>
            <w:noWrap/>
            <w:hideMark/>
          </w:tcPr>
          <w:p w14:paraId="5D517346" w14:textId="77777777" w:rsidR="00C97018" w:rsidRPr="00532398" w:rsidRDefault="00C97018" w:rsidP="00220F5C">
            <w:pPr>
              <w:jc w:val="center"/>
              <w:rPr>
                <w:rFonts w:asciiTheme="minorHAnsi" w:hAnsiTheme="minorHAnsi" w:cstheme="minorHAnsi"/>
                <w:b/>
                <w:bCs/>
                <w:color w:val="000000"/>
                <w:sz w:val="20"/>
              </w:rPr>
            </w:pPr>
            <w:r w:rsidRPr="00532398">
              <w:rPr>
                <w:rFonts w:asciiTheme="minorHAnsi" w:hAnsiTheme="minorHAnsi" w:cstheme="minorHAnsi"/>
                <w:b/>
                <w:bCs/>
                <w:color w:val="000000"/>
                <w:sz w:val="20"/>
              </w:rPr>
              <w:t>2024 YTD</w:t>
            </w:r>
          </w:p>
        </w:tc>
      </w:tr>
      <w:tr w:rsidR="00C97018" w:rsidRPr="00DB61E0" w14:paraId="617D40AA" w14:textId="77777777" w:rsidTr="00C97018">
        <w:trPr>
          <w:trHeight w:val="300"/>
        </w:trPr>
        <w:tc>
          <w:tcPr>
            <w:tcW w:w="592" w:type="dxa"/>
            <w:tcBorders>
              <w:top w:val="nil"/>
              <w:left w:val="single" w:sz="4" w:space="0" w:color="auto"/>
              <w:bottom w:val="single" w:sz="4" w:space="0" w:color="auto"/>
              <w:right w:val="single" w:sz="4" w:space="0" w:color="auto"/>
            </w:tcBorders>
            <w:shd w:val="clear" w:color="000000" w:fill="FFFFFF"/>
            <w:noWrap/>
            <w:hideMark/>
          </w:tcPr>
          <w:p w14:paraId="527015A1"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1</w:t>
            </w:r>
          </w:p>
        </w:tc>
        <w:tc>
          <w:tcPr>
            <w:tcW w:w="1923" w:type="dxa"/>
            <w:tcBorders>
              <w:top w:val="nil"/>
              <w:left w:val="nil"/>
              <w:bottom w:val="single" w:sz="4" w:space="0" w:color="auto"/>
              <w:right w:val="single" w:sz="4" w:space="0" w:color="auto"/>
            </w:tcBorders>
            <w:shd w:val="clear" w:color="000000" w:fill="FFFFFF"/>
            <w:noWrap/>
            <w:hideMark/>
          </w:tcPr>
          <w:p w14:paraId="30FAB1A8"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CF Stmt - Row 13.1</w:t>
            </w:r>
          </w:p>
        </w:tc>
        <w:tc>
          <w:tcPr>
            <w:tcW w:w="6755" w:type="dxa"/>
            <w:tcBorders>
              <w:top w:val="nil"/>
              <w:left w:val="nil"/>
              <w:bottom w:val="single" w:sz="4" w:space="0" w:color="auto"/>
              <w:right w:val="single" w:sz="4" w:space="0" w:color="auto"/>
            </w:tcBorders>
            <w:shd w:val="clear" w:color="000000" w:fill="FFFFFF"/>
            <w:noWrap/>
            <w:hideMark/>
          </w:tcPr>
          <w:p w14:paraId="1C7E50A7" w14:textId="77777777" w:rsidR="00C97018" w:rsidRPr="00532398" w:rsidRDefault="00C97018" w:rsidP="00220F5C">
            <w:pPr>
              <w:rPr>
                <w:rFonts w:asciiTheme="minorHAnsi" w:hAnsiTheme="minorHAnsi" w:cstheme="minorHAnsi"/>
                <w:color w:val="000000"/>
                <w:sz w:val="20"/>
              </w:rPr>
            </w:pPr>
            <w:r w:rsidRPr="00532398">
              <w:rPr>
                <w:rFonts w:asciiTheme="minorHAnsi" w:hAnsiTheme="minorHAnsi" w:cstheme="minorHAnsi"/>
                <w:color w:val="000000"/>
                <w:sz w:val="20"/>
              </w:rPr>
              <w:t>Cost of investments acquired (long-term only) - Bonds</w:t>
            </w:r>
          </w:p>
        </w:tc>
        <w:tc>
          <w:tcPr>
            <w:tcW w:w="1604" w:type="dxa"/>
            <w:tcBorders>
              <w:top w:val="nil"/>
              <w:left w:val="nil"/>
              <w:bottom w:val="single" w:sz="4" w:space="0" w:color="auto"/>
              <w:right w:val="single" w:sz="4" w:space="0" w:color="auto"/>
            </w:tcBorders>
            <w:shd w:val="clear" w:color="000000" w:fill="FFFFFF"/>
            <w:noWrap/>
            <w:hideMark/>
          </w:tcPr>
          <w:p w14:paraId="34E8C93F"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103,056,000</w:t>
            </w:r>
          </w:p>
        </w:tc>
      </w:tr>
      <w:tr w:rsidR="00C97018" w:rsidRPr="00DB61E0" w14:paraId="370FB3F4" w14:textId="77777777" w:rsidTr="00C97018">
        <w:trPr>
          <w:trHeight w:val="300"/>
        </w:trPr>
        <w:tc>
          <w:tcPr>
            <w:tcW w:w="592" w:type="dxa"/>
            <w:tcBorders>
              <w:top w:val="nil"/>
              <w:left w:val="single" w:sz="4" w:space="0" w:color="auto"/>
              <w:bottom w:val="single" w:sz="4" w:space="0" w:color="auto"/>
              <w:right w:val="single" w:sz="4" w:space="0" w:color="auto"/>
            </w:tcBorders>
            <w:shd w:val="clear" w:color="000000" w:fill="FFFFFF"/>
            <w:noWrap/>
            <w:hideMark/>
          </w:tcPr>
          <w:p w14:paraId="1D269E3D"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2</w:t>
            </w:r>
          </w:p>
        </w:tc>
        <w:tc>
          <w:tcPr>
            <w:tcW w:w="1923" w:type="dxa"/>
            <w:tcBorders>
              <w:top w:val="nil"/>
              <w:left w:val="nil"/>
              <w:bottom w:val="single" w:sz="4" w:space="0" w:color="auto"/>
              <w:right w:val="single" w:sz="4" w:space="0" w:color="auto"/>
            </w:tcBorders>
            <w:shd w:val="clear" w:color="000000" w:fill="FFFFFF"/>
            <w:noWrap/>
            <w:hideMark/>
          </w:tcPr>
          <w:p w14:paraId="6D9153E3"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CF Stmt - Row 13.3</w:t>
            </w:r>
          </w:p>
        </w:tc>
        <w:tc>
          <w:tcPr>
            <w:tcW w:w="6755" w:type="dxa"/>
            <w:tcBorders>
              <w:top w:val="nil"/>
              <w:left w:val="nil"/>
              <w:bottom w:val="single" w:sz="4" w:space="0" w:color="auto"/>
              <w:right w:val="single" w:sz="4" w:space="0" w:color="auto"/>
            </w:tcBorders>
            <w:shd w:val="clear" w:color="000000" w:fill="FFFFFF"/>
            <w:noWrap/>
            <w:hideMark/>
          </w:tcPr>
          <w:p w14:paraId="7B4C2179" w14:textId="77777777" w:rsidR="00C97018" w:rsidRPr="00532398" w:rsidRDefault="00C97018" w:rsidP="00220F5C">
            <w:pPr>
              <w:rPr>
                <w:rFonts w:asciiTheme="minorHAnsi" w:hAnsiTheme="minorHAnsi" w:cstheme="minorHAnsi"/>
                <w:color w:val="000000"/>
                <w:sz w:val="20"/>
              </w:rPr>
            </w:pPr>
            <w:r w:rsidRPr="00532398">
              <w:rPr>
                <w:rFonts w:asciiTheme="minorHAnsi" w:hAnsiTheme="minorHAnsi" w:cstheme="minorHAnsi"/>
                <w:color w:val="000000"/>
                <w:sz w:val="20"/>
              </w:rPr>
              <w:t>Cost of investments acquired (long-term only) - Mortgage Loans</w:t>
            </w:r>
          </w:p>
        </w:tc>
        <w:tc>
          <w:tcPr>
            <w:tcW w:w="1604" w:type="dxa"/>
            <w:tcBorders>
              <w:top w:val="nil"/>
              <w:left w:val="nil"/>
              <w:bottom w:val="single" w:sz="4" w:space="0" w:color="auto"/>
              <w:right w:val="single" w:sz="4" w:space="0" w:color="auto"/>
            </w:tcBorders>
            <w:shd w:val="clear" w:color="000000" w:fill="FFFFFF"/>
            <w:noWrap/>
            <w:hideMark/>
          </w:tcPr>
          <w:p w14:paraId="32AD2275"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14,181,000</w:t>
            </w:r>
          </w:p>
        </w:tc>
      </w:tr>
      <w:tr w:rsidR="00C97018" w:rsidRPr="00DB61E0" w14:paraId="029716D9" w14:textId="77777777" w:rsidTr="00C97018">
        <w:trPr>
          <w:trHeight w:val="300"/>
        </w:trPr>
        <w:tc>
          <w:tcPr>
            <w:tcW w:w="592" w:type="dxa"/>
            <w:tcBorders>
              <w:top w:val="nil"/>
              <w:left w:val="single" w:sz="4" w:space="0" w:color="auto"/>
              <w:bottom w:val="single" w:sz="4" w:space="0" w:color="auto"/>
              <w:right w:val="single" w:sz="4" w:space="0" w:color="auto"/>
            </w:tcBorders>
            <w:shd w:val="clear" w:color="000000" w:fill="FFFFFF"/>
            <w:noWrap/>
            <w:hideMark/>
          </w:tcPr>
          <w:p w14:paraId="70775C1F"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3</w:t>
            </w:r>
          </w:p>
        </w:tc>
        <w:tc>
          <w:tcPr>
            <w:tcW w:w="1923" w:type="dxa"/>
            <w:tcBorders>
              <w:top w:val="nil"/>
              <w:left w:val="nil"/>
              <w:bottom w:val="single" w:sz="4" w:space="0" w:color="auto"/>
              <w:right w:val="single" w:sz="4" w:space="0" w:color="auto"/>
            </w:tcBorders>
            <w:shd w:val="clear" w:color="000000" w:fill="FFFFFF"/>
            <w:noWrap/>
            <w:hideMark/>
          </w:tcPr>
          <w:p w14:paraId="2E161237"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Sum of lines 1 + 2</w:t>
            </w:r>
          </w:p>
        </w:tc>
        <w:tc>
          <w:tcPr>
            <w:tcW w:w="6755" w:type="dxa"/>
            <w:tcBorders>
              <w:top w:val="nil"/>
              <w:left w:val="nil"/>
              <w:bottom w:val="single" w:sz="4" w:space="0" w:color="auto"/>
              <w:right w:val="single" w:sz="4" w:space="0" w:color="auto"/>
            </w:tcBorders>
            <w:shd w:val="clear" w:color="000000" w:fill="FFFFFF"/>
            <w:noWrap/>
            <w:hideMark/>
          </w:tcPr>
          <w:p w14:paraId="1FC592B0" w14:textId="40902AE0" w:rsidR="00C97018" w:rsidRPr="00532398" w:rsidRDefault="00C97018" w:rsidP="00220F5C">
            <w:pPr>
              <w:jc w:val="right"/>
              <w:rPr>
                <w:rFonts w:asciiTheme="minorHAnsi" w:hAnsiTheme="minorHAnsi" w:cstheme="minorHAnsi"/>
                <w:b/>
                <w:bCs/>
                <w:color w:val="000000"/>
                <w:sz w:val="20"/>
              </w:rPr>
            </w:pPr>
            <w:r w:rsidRPr="00532398">
              <w:rPr>
                <w:rFonts w:asciiTheme="minorHAnsi" w:hAnsiTheme="minorHAnsi" w:cstheme="minorHAnsi"/>
                <w:b/>
                <w:bCs/>
                <w:color w:val="000000"/>
                <w:sz w:val="20"/>
              </w:rPr>
              <w:t xml:space="preserve">Cost of </w:t>
            </w:r>
            <w:r w:rsidR="00A56AE2">
              <w:rPr>
                <w:rFonts w:asciiTheme="minorHAnsi" w:hAnsiTheme="minorHAnsi" w:cstheme="minorHAnsi"/>
                <w:b/>
                <w:bCs/>
                <w:color w:val="000000"/>
                <w:sz w:val="20"/>
              </w:rPr>
              <w:t>Fixed Income</w:t>
            </w:r>
            <w:r w:rsidR="00A56AE2" w:rsidRPr="00532398">
              <w:rPr>
                <w:rFonts w:asciiTheme="minorHAnsi" w:hAnsiTheme="minorHAnsi" w:cstheme="minorHAnsi"/>
                <w:b/>
                <w:bCs/>
                <w:color w:val="000000"/>
                <w:sz w:val="20"/>
              </w:rPr>
              <w:t xml:space="preserve"> </w:t>
            </w:r>
            <w:r w:rsidRPr="00532398">
              <w:rPr>
                <w:rFonts w:asciiTheme="minorHAnsi" w:hAnsiTheme="minorHAnsi" w:cstheme="minorHAnsi"/>
                <w:b/>
                <w:bCs/>
                <w:color w:val="000000"/>
                <w:sz w:val="20"/>
              </w:rPr>
              <w:t>Investments Purchased</w:t>
            </w:r>
          </w:p>
        </w:tc>
        <w:tc>
          <w:tcPr>
            <w:tcW w:w="1604" w:type="dxa"/>
            <w:tcBorders>
              <w:top w:val="nil"/>
              <w:left w:val="nil"/>
              <w:bottom w:val="single" w:sz="4" w:space="0" w:color="auto"/>
              <w:right w:val="single" w:sz="4" w:space="0" w:color="auto"/>
            </w:tcBorders>
            <w:shd w:val="clear" w:color="000000" w:fill="FFFFFF"/>
            <w:noWrap/>
            <w:hideMark/>
          </w:tcPr>
          <w:p w14:paraId="79992115" w14:textId="77777777" w:rsidR="00C97018" w:rsidRPr="00532398" w:rsidRDefault="00C97018" w:rsidP="00220F5C">
            <w:pPr>
              <w:jc w:val="center"/>
              <w:rPr>
                <w:rFonts w:asciiTheme="minorHAnsi" w:hAnsiTheme="minorHAnsi" w:cstheme="minorHAnsi"/>
                <w:b/>
                <w:bCs/>
                <w:color w:val="000000"/>
                <w:sz w:val="20"/>
              </w:rPr>
            </w:pPr>
            <w:r w:rsidRPr="00532398">
              <w:rPr>
                <w:rFonts w:asciiTheme="minorHAnsi" w:hAnsiTheme="minorHAnsi" w:cstheme="minorHAnsi"/>
                <w:b/>
                <w:bCs/>
                <w:color w:val="000000"/>
                <w:sz w:val="20"/>
              </w:rPr>
              <w:t>117,237,000</w:t>
            </w:r>
          </w:p>
        </w:tc>
      </w:tr>
      <w:tr w:rsidR="00C97018" w:rsidRPr="00DB61E0" w14:paraId="76100CDB" w14:textId="77777777" w:rsidTr="00C97018">
        <w:trPr>
          <w:trHeight w:val="89"/>
        </w:trPr>
        <w:tc>
          <w:tcPr>
            <w:tcW w:w="592" w:type="dxa"/>
            <w:tcBorders>
              <w:top w:val="nil"/>
              <w:left w:val="single" w:sz="4" w:space="0" w:color="auto"/>
              <w:bottom w:val="single" w:sz="4" w:space="0" w:color="auto"/>
              <w:right w:val="single" w:sz="4" w:space="0" w:color="auto"/>
            </w:tcBorders>
            <w:shd w:val="clear" w:color="000000" w:fill="FFFFFF"/>
            <w:noWrap/>
            <w:hideMark/>
          </w:tcPr>
          <w:p w14:paraId="79542BD1"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4</w:t>
            </w:r>
          </w:p>
        </w:tc>
        <w:tc>
          <w:tcPr>
            <w:tcW w:w="1923" w:type="dxa"/>
            <w:tcBorders>
              <w:top w:val="nil"/>
              <w:left w:val="nil"/>
              <w:bottom w:val="single" w:sz="4" w:space="0" w:color="auto"/>
              <w:right w:val="single" w:sz="4" w:space="0" w:color="auto"/>
            </w:tcBorders>
            <w:shd w:val="clear" w:color="000000" w:fill="FFFFFF"/>
            <w:noWrap/>
            <w:hideMark/>
          </w:tcPr>
          <w:p w14:paraId="2D21D87B" w14:textId="77777777" w:rsidR="00C97018" w:rsidRPr="00532398" w:rsidRDefault="00C97018" w:rsidP="00220F5C">
            <w:pPr>
              <w:jc w:val="center"/>
              <w:rPr>
                <w:rFonts w:asciiTheme="minorHAnsi" w:hAnsiTheme="minorHAnsi" w:cstheme="minorHAnsi"/>
                <w:color w:val="000000"/>
                <w:sz w:val="20"/>
              </w:rPr>
            </w:pPr>
          </w:p>
        </w:tc>
        <w:tc>
          <w:tcPr>
            <w:tcW w:w="6755" w:type="dxa"/>
            <w:tcBorders>
              <w:top w:val="nil"/>
              <w:left w:val="nil"/>
              <w:bottom w:val="single" w:sz="4" w:space="0" w:color="auto"/>
              <w:right w:val="single" w:sz="4" w:space="0" w:color="auto"/>
            </w:tcBorders>
            <w:shd w:val="clear" w:color="000000" w:fill="FFFFFF"/>
            <w:noWrap/>
            <w:hideMark/>
          </w:tcPr>
          <w:p w14:paraId="067AB24A" w14:textId="77777777" w:rsidR="00C97018" w:rsidRPr="00532398" w:rsidRDefault="00C97018" w:rsidP="00220F5C">
            <w:pPr>
              <w:rPr>
                <w:rFonts w:asciiTheme="minorHAnsi" w:hAnsiTheme="minorHAnsi" w:cstheme="minorHAnsi"/>
                <w:b/>
                <w:bCs/>
                <w:color w:val="000000"/>
                <w:sz w:val="20"/>
              </w:rPr>
            </w:pPr>
          </w:p>
        </w:tc>
        <w:tc>
          <w:tcPr>
            <w:tcW w:w="1604" w:type="dxa"/>
            <w:tcBorders>
              <w:top w:val="nil"/>
              <w:left w:val="nil"/>
              <w:bottom w:val="single" w:sz="4" w:space="0" w:color="auto"/>
              <w:right w:val="single" w:sz="4" w:space="0" w:color="auto"/>
            </w:tcBorders>
            <w:shd w:val="clear" w:color="000000" w:fill="FFFFFF"/>
            <w:noWrap/>
            <w:hideMark/>
          </w:tcPr>
          <w:p w14:paraId="2C167EED" w14:textId="77777777" w:rsidR="00C97018" w:rsidRPr="00532398" w:rsidRDefault="00C97018" w:rsidP="00220F5C">
            <w:pPr>
              <w:jc w:val="center"/>
              <w:rPr>
                <w:rFonts w:asciiTheme="minorHAnsi" w:hAnsiTheme="minorHAnsi" w:cstheme="minorHAnsi"/>
                <w:b/>
                <w:bCs/>
                <w:color w:val="000000"/>
                <w:sz w:val="20"/>
              </w:rPr>
            </w:pPr>
          </w:p>
        </w:tc>
      </w:tr>
      <w:tr w:rsidR="00C97018" w:rsidRPr="00DB61E0" w14:paraId="4D619B6A" w14:textId="77777777" w:rsidTr="00C97018">
        <w:trPr>
          <w:trHeight w:val="300"/>
        </w:trPr>
        <w:tc>
          <w:tcPr>
            <w:tcW w:w="592" w:type="dxa"/>
            <w:tcBorders>
              <w:top w:val="nil"/>
              <w:left w:val="single" w:sz="4" w:space="0" w:color="auto"/>
              <w:bottom w:val="single" w:sz="4" w:space="0" w:color="auto"/>
              <w:right w:val="single" w:sz="4" w:space="0" w:color="auto"/>
            </w:tcBorders>
            <w:shd w:val="clear" w:color="000000" w:fill="FFFFFF"/>
            <w:noWrap/>
            <w:hideMark/>
          </w:tcPr>
          <w:p w14:paraId="60CA27B1"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5</w:t>
            </w:r>
          </w:p>
        </w:tc>
        <w:tc>
          <w:tcPr>
            <w:tcW w:w="1923" w:type="dxa"/>
            <w:tcBorders>
              <w:top w:val="nil"/>
              <w:left w:val="nil"/>
              <w:bottom w:val="single" w:sz="4" w:space="0" w:color="auto"/>
              <w:right w:val="single" w:sz="4" w:space="0" w:color="auto"/>
            </w:tcBorders>
            <w:shd w:val="clear" w:color="000000" w:fill="FFFFFF"/>
            <w:noWrap/>
            <w:hideMark/>
          </w:tcPr>
          <w:p w14:paraId="46618E23"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Internal Systems</w:t>
            </w:r>
          </w:p>
        </w:tc>
        <w:tc>
          <w:tcPr>
            <w:tcW w:w="6755" w:type="dxa"/>
            <w:tcBorders>
              <w:top w:val="nil"/>
              <w:left w:val="nil"/>
              <w:bottom w:val="single" w:sz="4" w:space="0" w:color="auto"/>
              <w:right w:val="single" w:sz="4" w:space="0" w:color="auto"/>
            </w:tcBorders>
            <w:shd w:val="clear" w:color="000000" w:fill="FFFFFF"/>
            <w:noWrap/>
            <w:hideMark/>
          </w:tcPr>
          <w:p w14:paraId="2796B094" w14:textId="77777777" w:rsidR="00C97018" w:rsidRPr="00532398" w:rsidRDefault="00C97018" w:rsidP="00220F5C">
            <w:pPr>
              <w:rPr>
                <w:rFonts w:asciiTheme="minorHAnsi" w:hAnsiTheme="minorHAnsi" w:cstheme="minorHAnsi"/>
                <w:color w:val="000000"/>
                <w:sz w:val="20"/>
              </w:rPr>
            </w:pPr>
            <w:r w:rsidRPr="00532398">
              <w:rPr>
                <w:rFonts w:asciiTheme="minorHAnsi" w:hAnsiTheme="minorHAnsi" w:cstheme="minorHAnsi"/>
                <w:color w:val="000000"/>
                <w:sz w:val="20"/>
              </w:rPr>
              <w:t>Proceeds from investments sold - Bonds</w:t>
            </w:r>
          </w:p>
        </w:tc>
        <w:tc>
          <w:tcPr>
            <w:tcW w:w="1604" w:type="dxa"/>
            <w:tcBorders>
              <w:top w:val="nil"/>
              <w:left w:val="nil"/>
              <w:bottom w:val="single" w:sz="4" w:space="0" w:color="auto"/>
              <w:right w:val="single" w:sz="4" w:space="0" w:color="auto"/>
            </w:tcBorders>
            <w:shd w:val="clear" w:color="000000" w:fill="FFFFFF"/>
            <w:noWrap/>
            <w:hideMark/>
          </w:tcPr>
          <w:p w14:paraId="5B00EBC4"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39,861,000</w:t>
            </w:r>
          </w:p>
        </w:tc>
      </w:tr>
      <w:tr w:rsidR="00C97018" w:rsidRPr="00DB61E0" w14:paraId="08D18DFC" w14:textId="77777777" w:rsidTr="00C97018">
        <w:trPr>
          <w:trHeight w:val="300"/>
        </w:trPr>
        <w:tc>
          <w:tcPr>
            <w:tcW w:w="592" w:type="dxa"/>
            <w:tcBorders>
              <w:top w:val="nil"/>
              <w:left w:val="single" w:sz="4" w:space="0" w:color="auto"/>
              <w:bottom w:val="single" w:sz="4" w:space="0" w:color="auto"/>
              <w:right w:val="single" w:sz="4" w:space="0" w:color="auto"/>
            </w:tcBorders>
            <w:shd w:val="clear" w:color="000000" w:fill="FFFFFF"/>
            <w:noWrap/>
            <w:hideMark/>
          </w:tcPr>
          <w:p w14:paraId="349409D9"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6</w:t>
            </w:r>
          </w:p>
        </w:tc>
        <w:tc>
          <w:tcPr>
            <w:tcW w:w="1923" w:type="dxa"/>
            <w:tcBorders>
              <w:top w:val="nil"/>
              <w:left w:val="nil"/>
              <w:bottom w:val="single" w:sz="4" w:space="0" w:color="auto"/>
              <w:right w:val="single" w:sz="4" w:space="0" w:color="auto"/>
            </w:tcBorders>
            <w:shd w:val="clear" w:color="000000" w:fill="FFFFFF"/>
            <w:noWrap/>
            <w:hideMark/>
          </w:tcPr>
          <w:p w14:paraId="2E4AA997"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Internal Systems</w:t>
            </w:r>
          </w:p>
        </w:tc>
        <w:tc>
          <w:tcPr>
            <w:tcW w:w="6755" w:type="dxa"/>
            <w:tcBorders>
              <w:top w:val="nil"/>
              <w:left w:val="nil"/>
              <w:bottom w:val="single" w:sz="4" w:space="0" w:color="auto"/>
              <w:right w:val="single" w:sz="4" w:space="0" w:color="auto"/>
            </w:tcBorders>
            <w:shd w:val="clear" w:color="000000" w:fill="FFFFFF"/>
            <w:noWrap/>
            <w:hideMark/>
          </w:tcPr>
          <w:p w14:paraId="0158E4F2" w14:textId="77777777" w:rsidR="00C97018" w:rsidRPr="00532398" w:rsidRDefault="00C97018" w:rsidP="00220F5C">
            <w:pPr>
              <w:rPr>
                <w:rFonts w:asciiTheme="minorHAnsi" w:hAnsiTheme="minorHAnsi" w:cstheme="minorHAnsi"/>
                <w:color w:val="000000"/>
                <w:sz w:val="20"/>
              </w:rPr>
            </w:pPr>
            <w:r w:rsidRPr="00532398">
              <w:rPr>
                <w:rFonts w:asciiTheme="minorHAnsi" w:hAnsiTheme="minorHAnsi" w:cstheme="minorHAnsi"/>
                <w:color w:val="000000"/>
                <w:sz w:val="20"/>
              </w:rPr>
              <w:t>Proceeds from investments sold - Mortgage Loan</w:t>
            </w:r>
          </w:p>
        </w:tc>
        <w:tc>
          <w:tcPr>
            <w:tcW w:w="1604" w:type="dxa"/>
            <w:tcBorders>
              <w:top w:val="nil"/>
              <w:left w:val="nil"/>
              <w:bottom w:val="single" w:sz="4" w:space="0" w:color="auto"/>
              <w:right w:val="single" w:sz="4" w:space="0" w:color="auto"/>
            </w:tcBorders>
            <w:shd w:val="clear" w:color="000000" w:fill="FFFFFF"/>
            <w:noWrap/>
            <w:hideMark/>
          </w:tcPr>
          <w:p w14:paraId="4A53B848"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3,831,000</w:t>
            </w:r>
          </w:p>
        </w:tc>
      </w:tr>
      <w:tr w:rsidR="00C97018" w:rsidRPr="00DB61E0" w14:paraId="3AAC7515" w14:textId="77777777" w:rsidTr="00C97018">
        <w:trPr>
          <w:trHeight w:val="300"/>
        </w:trPr>
        <w:tc>
          <w:tcPr>
            <w:tcW w:w="592" w:type="dxa"/>
            <w:tcBorders>
              <w:top w:val="nil"/>
              <w:left w:val="single" w:sz="4" w:space="0" w:color="auto"/>
              <w:bottom w:val="single" w:sz="4" w:space="0" w:color="auto"/>
              <w:right w:val="single" w:sz="4" w:space="0" w:color="auto"/>
            </w:tcBorders>
            <w:shd w:val="clear" w:color="000000" w:fill="FFFFFF"/>
            <w:noWrap/>
            <w:hideMark/>
          </w:tcPr>
          <w:p w14:paraId="6A40A3BB"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7</w:t>
            </w:r>
          </w:p>
        </w:tc>
        <w:tc>
          <w:tcPr>
            <w:tcW w:w="1923" w:type="dxa"/>
            <w:tcBorders>
              <w:top w:val="nil"/>
              <w:left w:val="nil"/>
              <w:bottom w:val="single" w:sz="4" w:space="0" w:color="auto"/>
              <w:right w:val="single" w:sz="4" w:space="0" w:color="auto"/>
            </w:tcBorders>
            <w:shd w:val="clear" w:color="000000" w:fill="FFFFFF"/>
            <w:noWrap/>
            <w:hideMark/>
          </w:tcPr>
          <w:p w14:paraId="4CD63D0F" w14:textId="77777777" w:rsidR="00C97018" w:rsidRPr="000A6D51" w:rsidRDefault="00C97018" w:rsidP="00220F5C">
            <w:pPr>
              <w:jc w:val="center"/>
              <w:rPr>
                <w:rFonts w:asciiTheme="minorHAnsi" w:hAnsiTheme="minorHAnsi" w:cstheme="minorHAnsi"/>
                <w:color w:val="000000"/>
                <w:sz w:val="20"/>
              </w:rPr>
            </w:pPr>
            <w:r w:rsidRPr="000A6D51">
              <w:rPr>
                <w:rFonts w:asciiTheme="minorHAnsi" w:hAnsiTheme="minorHAnsi" w:cstheme="minorHAnsi"/>
                <w:color w:val="000000"/>
                <w:sz w:val="20"/>
              </w:rPr>
              <w:t>Sum of Lines 5 &amp; 6</w:t>
            </w:r>
          </w:p>
        </w:tc>
        <w:tc>
          <w:tcPr>
            <w:tcW w:w="6755" w:type="dxa"/>
            <w:tcBorders>
              <w:top w:val="nil"/>
              <w:left w:val="nil"/>
              <w:bottom w:val="single" w:sz="4" w:space="0" w:color="auto"/>
              <w:right w:val="single" w:sz="4" w:space="0" w:color="auto"/>
            </w:tcBorders>
            <w:shd w:val="clear" w:color="000000" w:fill="FFFFFF"/>
            <w:noWrap/>
            <w:hideMark/>
          </w:tcPr>
          <w:p w14:paraId="51F15984" w14:textId="77777777" w:rsidR="00C97018" w:rsidRPr="00532398" w:rsidRDefault="00C97018" w:rsidP="00220F5C">
            <w:pPr>
              <w:jc w:val="right"/>
              <w:rPr>
                <w:rFonts w:asciiTheme="minorHAnsi" w:hAnsiTheme="minorHAnsi" w:cstheme="minorHAnsi"/>
                <w:b/>
                <w:bCs/>
                <w:color w:val="000000"/>
                <w:sz w:val="20"/>
              </w:rPr>
            </w:pPr>
            <w:r w:rsidRPr="00532398">
              <w:rPr>
                <w:rFonts w:asciiTheme="minorHAnsi" w:hAnsiTheme="minorHAnsi" w:cstheme="minorHAnsi"/>
                <w:b/>
                <w:bCs/>
                <w:color w:val="000000"/>
                <w:sz w:val="20"/>
              </w:rPr>
              <w:t>Total proceeds from Fixed Income Investments Sold</w:t>
            </w:r>
          </w:p>
        </w:tc>
        <w:tc>
          <w:tcPr>
            <w:tcW w:w="1604" w:type="dxa"/>
            <w:tcBorders>
              <w:top w:val="nil"/>
              <w:left w:val="nil"/>
              <w:bottom w:val="single" w:sz="4" w:space="0" w:color="auto"/>
              <w:right w:val="single" w:sz="4" w:space="0" w:color="auto"/>
            </w:tcBorders>
            <w:shd w:val="clear" w:color="000000" w:fill="FFFFFF"/>
            <w:noWrap/>
            <w:hideMark/>
          </w:tcPr>
          <w:p w14:paraId="3303FA77" w14:textId="77777777" w:rsidR="00C97018" w:rsidRPr="00532398" w:rsidRDefault="00C97018" w:rsidP="00220F5C">
            <w:pPr>
              <w:jc w:val="center"/>
              <w:rPr>
                <w:rFonts w:asciiTheme="minorHAnsi" w:hAnsiTheme="minorHAnsi" w:cstheme="minorHAnsi"/>
                <w:b/>
                <w:bCs/>
                <w:color w:val="000000"/>
                <w:sz w:val="20"/>
              </w:rPr>
            </w:pPr>
            <w:r w:rsidRPr="00532398">
              <w:rPr>
                <w:rFonts w:asciiTheme="minorHAnsi" w:hAnsiTheme="minorHAnsi" w:cstheme="minorHAnsi"/>
                <w:b/>
                <w:bCs/>
                <w:color w:val="000000"/>
                <w:sz w:val="20"/>
              </w:rPr>
              <w:t>43,692,000</w:t>
            </w:r>
          </w:p>
        </w:tc>
      </w:tr>
      <w:tr w:rsidR="00C97018" w:rsidRPr="00DB61E0" w14:paraId="6A2AD9A3" w14:textId="77777777" w:rsidTr="00C97018">
        <w:trPr>
          <w:trHeight w:val="161"/>
        </w:trPr>
        <w:tc>
          <w:tcPr>
            <w:tcW w:w="592" w:type="dxa"/>
            <w:tcBorders>
              <w:top w:val="nil"/>
              <w:left w:val="single" w:sz="4" w:space="0" w:color="auto"/>
              <w:bottom w:val="single" w:sz="4" w:space="0" w:color="auto"/>
              <w:right w:val="single" w:sz="4" w:space="0" w:color="auto"/>
            </w:tcBorders>
            <w:shd w:val="clear" w:color="000000" w:fill="FFFFFF"/>
            <w:noWrap/>
            <w:hideMark/>
          </w:tcPr>
          <w:p w14:paraId="051475E8"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8</w:t>
            </w:r>
          </w:p>
        </w:tc>
        <w:tc>
          <w:tcPr>
            <w:tcW w:w="1923" w:type="dxa"/>
            <w:tcBorders>
              <w:top w:val="nil"/>
              <w:left w:val="nil"/>
              <w:bottom w:val="single" w:sz="4" w:space="0" w:color="auto"/>
              <w:right w:val="single" w:sz="4" w:space="0" w:color="auto"/>
            </w:tcBorders>
            <w:shd w:val="clear" w:color="000000" w:fill="FFFFFF"/>
            <w:noWrap/>
            <w:hideMark/>
          </w:tcPr>
          <w:p w14:paraId="7CFBFF7F" w14:textId="77777777" w:rsidR="00C97018" w:rsidRPr="00532398" w:rsidRDefault="00C97018" w:rsidP="00220F5C">
            <w:pPr>
              <w:jc w:val="center"/>
              <w:rPr>
                <w:rFonts w:asciiTheme="minorHAnsi" w:hAnsiTheme="minorHAnsi" w:cstheme="minorHAnsi"/>
                <w:color w:val="000000"/>
                <w:sz w:val="20"/>
              </w:rPr>
            </w:pPr>
          </w:p>
        </w:tc>
        <w:tc>
          <w:tcPr>
            <w:tcW w:w="6755" w:type="dxa"/>
            <w:tcBorders>
              <w:top w:val="nil"/>
              <w:left w:val="nil"/>
              <w:bottom w:val="single" w:sz="4" w:space="0" w:color="auto"/>
              <w:right w:val="single" w:sz="4" w:space="0" w:color="auto"/>
            </w:tcBorders>
            <w:shd w:val="clear" w:color="000000" w:fill="FFFFFF"/>
            <w:noWrap/>
            <w:hideMark/>
          </w:tcPr>
          <w:p w14:paraId="6A85B082" w14:textId="77777777" w:rsidR="00C97018" w:rsidRPr="00532398" w:rsidRDefault="00C97018" w:rsidP="00220F5C">
            <w:pPr>
              <w:rPr>
                <w:rFonts w:asciiTheme="minorHAnsi" w:hAnsiTheme="minorHAnsi" w:cstheme="minorHAnsi"/>
                <w:color w:val="000000"/>
                <w:sz w:val="20"/>
              </w:rPr>
            </w:pPr>
          </w:p>
        </w:tc>
        <w:tc>
          <w:tcPr>
            <w:tcW w:w="1604" w:type="dxa"/>
            <w:tcBorders>
              <w:top w:val="nil"/>
              <w:left w:val="nil"/>
              <w:bottom w:val="single" w:sz="4" w:space="0" w:color="auto"/>
              <w:right w:val="single" w:sz="4" w:space="0" w:color="auto"/>
            </w:tcBorders>
            <w:shd w:val="clear" w:color="000000" w:fill="FFFFFF"/>
            <w:noWrap/>
            <w:hideMark/>
          </w:tcPr>
          <w:p w14:paraId="25D1515B" w14:textId="77777777" w:rsidR="00C97018" w:rsidRPr="00532398" w:rsidRDefault="00C97018" w:rsidP="00220F5C">
            <w:pPr>
              <w:jc w:val="center"/>
              <w:rPr>
                <w:rFonts w:asciiTheme="minorHAnsi" w:hAnsiTheme="minorHAnsi" w:cstheme="minorHAnsi"/>
                <w:b/>
                <w:bCs/>
                <w:color w:val="000000"/>
                <w:sz w:val="20"/>
              </w:rPr>
            </w:pPr>
          </w:p>
        </w:tc>
      </w:tr>
      <w:tr w:rsidR="00C97018" w:rsidRPr="00DB61E0" w14:paraId="2C80B03D" w14:textId="77777777" w:rsidTr="00C97018">
        <w:trPr>
          <w:trHeight w:val="300"/>
        </w:trPr>
        <w:tc>
          <w:tcPr>
            <w:tcW w:w="592" w:type="dxa"/>
            <w:tcBorders>
              <w:top w:val="nil"/>
              <w:left w:val="single" w:sz="4" w:space="0" w:color="auto"/>
              <w:bottom w:val="single" w:sz="4" w:space="0" w:color="auto"/>
              <w:right w:val="single" w:sz="4" w:space="0" w:color="auto"/>
            </w:tcBorders>
            <w:shd w:val="clear" w:color="000000" w:fill="FFFFFF"/>
            <w:noWrap/>
            <w:hideMark/>
          </w:tcPr>
          <w:p w14:paraId="08EC2A4B"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9</w:t>
            </w:r>
          </w:p>
        </w:tc>
        <w:tc>
          <w:tcPr>
            <w:tcW w:w="1923" w:type="dxa"/>
            <w:tcBorders>
              <w:top w:val="nil"/>
              <w:left w:val="nil"/>
              <w:bottom w:val="single" w:sz="4" w:space="0" w:color="auto"/>
              <w:right w:val="single" w:sz="4" w:space="0" w:color="auto"/>
            </w:tcBorders>
            <w:shd w:val="clear" w:color="000000" w:fill="FFFFFF"/>
            <w:noWrap/>
            <w:hideMark/>
          </w:tcPr>
          <w:p w14:paraId="671F3E2F"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CF Stmt - Row 1</w:t>
            </w:r>
          </w:p>
        </w:tc>
        <w:tc>
          <w:tcPr>
            <w:tcW w:w="6755" w:type="dxa"/>
            <w:tcBorders>
              <w:top w:val="nil"/>
              <w:left w:val="nil"/>
              <w:bottom w:val="single" w:sz="4" w:space="0" w:color="auto"/>
              <w:right w:val="single" w:sz="4" w:space="0" w:color="auto"/>
            </w:tcBorders>
            <w:shd w:val="clear" w:color="000000" w:fill="FFFFFF"/>
            <w:noWrap/>
            <w:hideMark/>
          </w:tcPr>
          <w:p w14:paraId="34A18118" w14:textId="77777777" w:rsidR="00C97018" w:rsidRPr="00532398" w:rsidRDefault="00C97018" w:rsidP="00220F5C">
            <w:pPr>
              <w:rPr>
                <w:rFonts w:asciiTheme="minorHAnsi" w:hAnsiTheme="minorHAnsi" w:cstheme="minorHAnsi"/>
                <w:color w:val="000000"/>
                <w:sz w:val="20"/>
              </w:rPr>
            </w:pPr>
            <w:r w:rsidRPr="00532398">
              <w:rPr>
                <w:rFonts w:asciiTheme="minorHAnsi" w:hAnsiTheme="minorHAnsi" w:cstheme="minorHAnsi"/>
                <w:color w:val="000000"/>
                <w:sz w:val="20"/>
              </w:rPr>
              <w:t>Premiums collected net of reinsurance</w:t>
            </w:r>
          </w:p>
        </w:tc>
        <w:tc>
          <w:tcPr>
            <w:tcW w:w="1604" w:type="dxa"/>
            <w:tcBorders>
              <w:top w:val="nil"/>
              <w:left w:val="nil"/>
              <w:bottom w:val="single" w:sz="4" w:space="0" w:color="auto"/>
              <w:right w:val="single" w:sz="4" w:space="0" w:color="auto"/>
            </w:tcBorders>
            <w:shd w:val="clear" w:color="000000" w:fill="FFFFFF"/>
            <w:noWrap/>
            <w:hideMark/>
          </w:tcPr>
          <w:p w14:paraId="32E23E66"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52,020,000</w:t>
            </w:r>
          </w:p>
        </w:tc>
      </w:tr>
      <w:tr w:rsidR="00C97018" w:rsidRPr="00DB61E0" w14:paraId="3451D9A8" w14:textId="77777777" w:rsidTr="00C97018">
        <w:trPr>
          <w:trHeight w:val="300"/>
        </w:trPr>
        <w:tc>
          <w:tcPr>
            <w:tcW w:w="592" w:type="dxa"/>
            <w:tcBorders>
              <w:top w:val="nil"/>
              <w:left w:val="single" w:sz="4" w:space="0" w:color="auto"/>
              <w:bottom w:val="single" w:sz="4" w:space="0" w:color="auto"/>
              <w:right w:val="single" w:sz="4" w:space="0" w:color="auto"/>
            </w:tcBorders>
            <w:shd w:val="clear" w:color="000000" w:fill="FFFFFF"/>
            <w:noWrap/>
            <w:hideMark/>
          </w:tcPr>
          <w:p w14:paraId="5FF5DE30"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10</w:t>
            </w:r>
          </w:p>
        </w:tc>
        <w:tc>
          <w:tcPr>
            <w:tcW w:w="1923" w:type="dxa"/>
            <w:tcBorders>
              <w:top w:val="nil"/>
              <w:left w:val="nil"/>
              <w:bottom w:val="single" w:sz="4" w:space="0" w:color="auto"/>
              <w:right w:val="single" w:sz="4" w:space="0" w:color="auto"/>
            </w:tcBorders>
            <w:shd w:val="clear" w:color="000000" w:fill="FFFFFF"/>
            <w:noWrap/>
            <w:hideMark/>
          </w:tcPr>
          <w:p w14:paraId="7659C2F5"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CF Stmt - Row 7</w:t>
            </w:r>
          </w:p>
        </w:tc>
        <w:tc>
          <w:tcPr>
            <w:tcW w:w="6755" w:type="dxa"/>
            <w:tcBorders>
              <w:top w:val="nil"/>
              <w:left w:val="nil"/>
              <w:bottom w:val="single" w:sz="4" w:space="0" w:color="auto"/>
              <w:right w:val="single" w:sz="4" w:space="0" w:color="auto"/>
            </w:tcBorders>
            <w:shd w:val="clear" w:color="000000" w:fill="FFFFFF"/>
            <w:noWrap/>
            <w:hideMark/>
          </w:tcPr>
          <w:p w14:paraId="6C9923F1" w14:textId="77777777" w:rsidR="00C97018" w:rsidRPr="0018017E" w:rsidRDefault="00C97018" w:rsidP="00220F5C">
            <w:pPr>
              <w:rPr>
                <w:rFonts w:asciiTheme="minorHAnsi" w:hAnsiTheme="minorHAnsi" w:cstheme="minorHAnsi"/>
                <w:sz w:val="20"/>
              </w:rPr>
            </w:pPr>
            <w:r w:rsidRPr="0018017E">
              <w:rPr>
                <w:rFonts w:asciiTheme="minorHAnsi" w:hAnsiTheme="minorHAnsi" w:cstheme="minorHAnsi"/>
                <w:sz w:val="20"/>
              </w:rPr>
              <w:t>Commissions, expenses paid &amp; aggregate write-ins for deductions</w:t>
            </w:r>
          </w:p>
        </w:tc>
        <w:tc>
          <w:tcPr>
            <w:tcW w:w="1604" w:type="dxa"/>
            <w:tcBorders>
              <w:top w:val="nil"/>
              <w:left w:val="nil"/>
              <w:bottom w:val="single" w:sz="4" w:space="0" w:color="auto"/>
              <w:right w:val="single" w:sz="4" w:space="0" w:color="auto"/>
            </w:tcBorders>
            <w:shd w:val="clear" w:color="000000" w:fill="FFFFFF"/>
            <w:noWrap/>
            <w:hideMark/>
          </w:tcPr>
          <w:p w14:paraId="4A04C6F7"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11,062,000</w:t>
            </w:r>
          </w:p>
        </w:tc>
      </w:tr>
      <w:tr w:rsidR="00C97018" w:rsidRPr="00DB61E0" w14:paraId="78E9C594" w14:textId="77777777" w:rsidTr="00C97018">
        <w:trPr>
          <w:trHeight w:val="300"/>
        </w:trPr>
        <w:tc>
          <w:tcPr>
            <w:tcW w:w="592" w:type="dxa"/>
            <w:tcBorders>
              <w:top w:val="nil"/>
              <w:left w:val="single" w:sz="4" w:space="0" w:color="auto"/>
              <w:bottom w:val="single" w:sz="4" w:space="0" w:color="auto"/>
              <w:right w:val="single" w:sz="4" w:space="0" w:color="auto"/>
            </w:tcBorders>
            <w:shd w:val="clear" w:color="000000" w:fill="FFFFFF"/>
            <w:noWrap/>
            <w:hideMark/>
          </w:tcPr>
          <w:p w14:paraId="4317D966" w14:textId="77777777" w:rsidR="00C97018" w:rsidRPr="00532398" w:rsidRDefault="00C97018" w:rsidP="00220F5C">
            <w:pPr>
              <w:jc w:val="center"/>
              <w:rPr>
                <w:rFonts w:asciiTheme="minorHAnsi" w:hAnsiTheme="minorHAnsi" w:cstheme="minorHAnsi"/>
                <w:sz w:val="20"/>
              </w:rPr>
            </w:pPr>
            <w:r>
              <w:rPr>
                <w:rFonts w:asciiTheme="minorHAnsi" w:hAnsiTheme="minorHAnsi" w:cstheme="minorHAnsi"/>
                <w:sz w:val="20"/>
              </w:rPr>
              <w:t>11</w:t>
            </w:r>
          </w:p>
        </w:tc>
        <w:tc>
          <w:tcPr>
            <w:tcW w:w="1923" w:type="dxa"/>
            <w:tcBorders>
              <w:top w:val="nil"/>
              <w:left w:val="nil"/>
              <w:bottom w:val="single" w:sz="4" w:space="0" w:color="auto"/>
              <w:right w:val="single" w:sz="4" w:space="0" w:color="auto"/>
            </w:tcBorders>
            <w:shd w:val="clear" w:color="000000" w:fill="FFFFFF"/>
            <w:noWrap/>
            <w:hideMark/>
          </w:tcPr>
          <w:p w14:paraId="04FBEFF5" w14:textId="77777777" w:rsidR="00C97018" w:rsidRPr="00532398" w:rsidRDefault="00C97018" w:rsidP="00220F5C">
            <w:pPr>
              <w:jc w:val="center"/>
              <w:rPr>
                <w:rFonts w:asciiTheme="minorHAnsi" w:hAnsiTheme="minorHAnsi" w:cstheme="minorHAnsi"/>
                <w:sz w:val="20"/>
              </w:rPr>
            </w:pPr>
            <w:r w:rsidRPr="00532398">
              <w:rPr>
                <w:rFonts w:asciiTheme="minorHAnsi" w:hAnsiTheme="minorHAnsi" w:cstheme="minorHAnsi"/>
                <w:sz w:val="20"/>
              </w:rPr>
              <w:t>AS - Note 35 SA</w:t>
            </w:r>
          </w:p>
        </w:tc>
        <w:tc>
          <w:tcPr>
            <w:tcW w:w="6755" w:type="dxa"/>
            <w:tcBorders>
              <w:top w:val="nil"/>
              <w:left w:val="nil"/>
              <w:bottom w:val="single" w:sz="4" w:space="0" w:color="auto"/>
              <w:right w:val="single" w:sz="4" w:space="0" w:color="auto"/>
            </w:tcBorders>
            <w:shd w:val="clear" w:color="000000" w:fill="FFFFFF"/>
            <w:noWrap/>
            <w:hideMark/>
          </w:tcPr>
          <w:p w14:paraId="50312B92" w14:textId="77777777" w:rsidR="00C97018" w:rsidRPr="0018017E" w:rsidRDefault="00C97018" w:rsidP="00220F5C">
            <w:pPr>
              <w:rPr>
                <w:rFonts w:asciiTheme="minorHAnsi" w:hAnsiTheme="minorHAnsi" w:cstheme="minorHAnsi"/>
                <w:sz w:val="20"/>
              </w:rPr>
            </w:pPr>
            <w:r w:rsidRPr="0018017E">
              <w:rPr>
                <w:rFonts w:asciiTheme="minorHAnsi" w:hAnsiTheme="minorHAnsi" w:cstheme="minorHAnsi"/>
                <w:sz w:val="20"/>
              </w:rPr>
              <w:t>Total Separate Account premiums, considerations or deposits, end of current period. (Negative IMR in the SA requires a separate calculation)</w:t>
            </w:r>
          </w:p>
        </w:tc>
        <w:tc>
          <w:tcPr>
            <w:tcW w:w="1604" w:type="dxa"/>
            <w:tcBorders>
              <w:top w:val="nil"/>
              <w:left w:val="nil"/>
              <w:bottom w:val="single" w:sz="4" w:space="0" w:color="auto"/>
              <w:right w:val="single" w:sz="4" w:space="0" w:color="auto"/>
            </w:tcBorders>
            <w:shd w:val="clear" w:color="000000" w:fill="FFFFFF"/>
            <w:noWrap/>
            <w:hideMark/>
          </w:tcPr>
          <w:p w14:paraId="09616845"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15,000,000</w:t>
            </w:r>
          </w:p>
        </w:tc>
      </w:tr>
      <w:tr w:rsidR="00C97018" w:rsidRPr="00DB61E0" w14:paraId="001D0D15" w14:textId="77777777" w:rsidTr="00C97018">
        <w:trPr>
          <w:trHeight w:val="300"/>
        </w:trPr>
        <w:tc>
          <w:tcPr>
            <w:tcW w:w="592" w:type="dxa"/>
            <w:tcBorders>
              <w:top w:val="nil"/>
              <w:left w:val="single" w:sz="4" w:space="0" w:color="auto"/>
              <w:bottom w:val="single" w:sz="4" w:space="0" w:color="auto"/>
              <w:right w:val="single" w:sz="4" w:space="0" w:color="auto"/>
            </w:tcBorders>
            <w:shd w:val="clear" w:color="000000" w:fill="FFFFFF"/>
            <w:noWrap/>
            <w:hideMark/>
          </w:tcPr>
          <w:p w14:paraId="3B4DA68B" w14:textId="77777777" w:rsidR="00C97018" w:rsidRPr="00532398" w:rsidRDefault="00C97018" w:rsidP="00220F5C">
            <w:pPr>
              <w:jc w:val="center"/>
              <w:rPr>
                <w:rFonts w:asciiTheme="minorHAnsi" w:hAnsiTheme="minorHAnsi" w:cstheme="minorHAnsi"/>
                <w:sz w:val="20"/>
              </w:rPr>
            </w:pPr>
            <w:r w:rsidRPr="00532398">
              <w:rPr>
                <w:rFonts w:asciiTheme="minorHAnsi" w:hAnsiTheme="minorHAnsi" w:cstheme="minorHAnsi"/>
                <w:sz w:val="20"/>
              </w:rPr>
              <w:t>1</w:t>
            </w:r>
            <w:r>
              <w:rPr>
                <w:rFonts w:asciiTheme="minorHAnsi" w:hAnsiTheme="minorHAnsi" w:cstheme="minorHAnsi"/>
                <w:sz w:val="20"/>
              </w:rPr>
              <w:t>2</w:t>
            </w:r>
          </w:p>
        </w:tc>
        <w:tc>
          <w:tcPr>
            <w:tcW w:w="1923" w:type="dxa"/>
            <w:tcBorders>
              <w:top w:val="nil"/>
              <w:left w:val="nil"/>
              <w:bottom w:val="single" w:sz="4" w:space="0" w:color="auto"/>
              <w:right w:val="single" w:sz="4" w:space="0" w:color="auto"/>
            </w:tcBorders>
            <w:shd w:val="clear" w:color="000000" w:fill="FFFFFF"/>
            <w:noWrap/>
            <w:hideMark/>
          </w:tcPr>
          <w:p w14:paraId="2CFAEC01" w14:textId="77777777" w:rsidR="00C97018" w:rsidRPr="00532398" w:rsidRDefault="00C97018" w:rsidP="00220F5C">
            <w:pPr>
              <w:jc w:val="center"/>
              <w:rPr>
                <w:rFonts w:asciiTheme="minorHAnsi" w:hAnsiTheme="minorHAnsi" w:cstheme="minorHAnsi"/>
                <w:sz w:val="20"/>
              </w:rPr>
            </w:pPr>
            <w:r w:rsidRPr="00532398">
              <w:rPr>
                <w:rFonts w:asciiTheme="minorHAnsi" w:hAnsiTheme="minorHAnsi" w:cstheme="minorHAnsi"/>
                <w:sz w:val="20"/>
              </w:rPr>
              <w:t>Internal Systems</w:t>
            </w:r>
          </w:p>
        </w:tc>
        <w:tc>
          <w:tcPr>
            <w:tcW w:w="6755" w:type="dxa"/>
            <w:tcBorders>
              <w:top w:val="nil"/>
              <w:left w:val="nil"/>
              <w:bottom w:val="single" w:sz="4" w:space="0" w:color="auto"/>
              <w:right w:val="single" w:sz="4" w:space="0" w:color="auto"/>
            </w:tcBorders>
            <w:shd w:val="clear" w:color="000000" w:fill="FFFFFF"/>
            <w:noWrap/>
            <w:hideMark/>
          </w:tcPr>
          <w:p w14:paraId="313C9D1C" w14:textId="77777777" w:rsidR="00C97018" w:rsidRPr="00532398" w:rsidRDefault="00C97018" w:rsidP="00220F5C">
            <w:pPr>
              <w:rPr>
                <w:rFonts w:asciiTheme="minorHAnsi" w:hAnsiTheme="minorHAnsi" w:cstheme="minorHAnsi"/>
                <w:color w:val="000000"/>
                <w:sz w:val="20"/>
              </w:rPr>
            </w:pPr>
            <w:r w:rsidRPr="00532398">
              <w:rPr>
                <w:rFonts w:asciiTheme="minorHAnsi" w:hAnsiTheme="minorHAnsi" w:cstheme="minorHAnsi"/>
                <w:color w:val="000000"/>
                <w:sz w:val="20"/>
              </w:rPr>
              <w:t>Separate Account assets in kind received in line 11 above</w:t>
            </w:r>
          </w:p>
        </w:tc>
        <w:tc>
          <w:tcPr>
            <w:tcW w:w="1604" w:type="dxa"/>
            <w:tcBorders>
              <w:top w:val="nil"/>
              <w:left w:val="nil"/>
              <w:bottom w:val="single" w:sz="4" w:space="0" w:color="auto"/>
              <w:right w:val="single" w:sz="4" w:space="0" w:color="auto"/>
            </w:tcBorders>
            <w:shd w:val="clear" w:color="000000" w:fill="FFFFFF"/>
            <w:noWrap/>
            <w:hideMark/>
          </w:tcPr>
          <w:p w14:paraId="7D63FE3B"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3,000,000</w:t>
            </w:r>
          </w:p>
        </w:tc>
      </w:tr>
      <w:tr w:rsidR="00C97018" w:rsidRPr="00DB61E0" w14:paraId="23A77055" w14:textId="77777777" w:rsidTr="00C97018">
        <w:trPr>
          <w:trHeight w:val="1025"/>
        </w:trPr>
        <w:tc>
          <w:tcPr>
            <w:tcW w:w="592" w:type="dxa"/>
            <w:tcBorders>
              <w:top w:val="nil"/>
              <w:left w:val="single" w:sz="4" w:space="0" w:color="auto"/>
              <w:bottom w:val="single" w:sz="4" w:space="0" w:color="auto"/>
              <w:right w:val="single" w:sz="4" w:space="0" w:color="auto"/>
            </w:tcBorders>
            <w:shd w:val="clear" w:color="000000" w:fill="FFFFFF"/>
            <w:noWrap/>
            <w:hideMark/>
          </w:tcPr>
          <w:p w14:paraId="758B849D" w14:textId="77777777" w:rsidR="00C97018" w:rsidRPr="00532398" w:rsidRDefault="00C97018" w:rsidP="00220F5C">
            <w:pPr>
              <w:jc w:val="center"/>
              <w:rPr>
                <w:rFonts w:asciiTheme="minorHAnsi" w:hAnsiTheme="minorHAnsi" w:cstheme="minorHAnsi"/>
                <w:sz w:val="20"/>
              </w:rPr>
            </w:pPr>
            <w:r w:rsidRPr="00532398">
              <w:rPr>
                <w:rFonts w:asciiTheme="minorHAnsi" w:hAnsiTheme="minorHAnsi" w:cstheme="minorHAnsi"/>
                <w:sz w:val="20"/>
              </w:rPr>
              <w:t>1</w:t>
            </w:r>
            <w:r>
              <w:rPr>
                <w:rFonts w:asciiTheme="minorHAnsi" w:hAnsiTheme="minorHAnsi" w:cstheme="minorHAnsi"/>
                <w:sz w:val="20"/>
              </w:rPr>
              <w:t>3</w:t>
            </w:r>
          </w:p>
        </w:tc>
        <w:tc>
          <w:tcPr>
            <w:tcW w:w="1923" w:type="dxa"/>
            <w:tcBorders>
              <w:top w:val="nil"/>
              <w:left w:val="nil"/>
              <w:bottom w:val="single" w:sz="4" w:space="0" w:color="auto"/>
              <w:right w:val="single" w:sz="4" w:space="0" w:color="auto"/>
            </w:tcBorders>
            <w:shd w:val="clear" w:color="000000" w:fill="FFFFFF"/>
            <w:hideMark/>
          </w:tcPr>
          <w:p w14:paraId="046B7EC4" w14:textId="77777777" w:rsidR="00C97018" w:rsidRPr="00532398" w:rsidRDefault="00C97018" w:rsidP="00220F5C">
            <w:pPr>
              <w:jc w:val="center"/>
              <w:rPr>
                <w:rFonts w:asciiTheme="minorHAnsi" w:hAnsiTheme="minorHAnsi" w:cstheme="minorHAnsi"/>
                <w:sz w:val="20"/>
              </w:rPr>
            </w:pPr>
            <w:r w:rsidRPr="00532398">
              <w:rPr>
                <w:rFonts w:asciiTheme="minorHAnsi" w:hAnsiTheme="minorHAnsi" w:cstheme="minorHAnsi"/>
                <w:sz w:val="20"/>
              </w:rPr>
              <w:t>Analysis of Operations - A&amp;H: Column 1 less columns 11^ &amp; 12</w:t>
            </w:r>
          </w:p>
        </w:tc>
        <w:tc>
          <w:tcPr>
            <w:tcW w:w="6755" w:type="dxa"/>
            <w:tcBorders>
              <w:top w:val="nil"/>
              <w:left w:val="nil"/>
              <w:bottom w:val="single" w:sz="4" w:space="0" w:color="auto"/>
              <w:right w:val="single" w:sz="4" w:space="0" w:color="auto"/>
            </w:tcBorders>
            <w:shd w:val="clear" w:color="000000" w:fill="FFFFFF"/>
            <w:noWrap/>
            <w:hideMark/>
          </w:tcPr>
          <w:p w14:paraId="2AEACD24" w14:textId="77777777" w:rsidR="00C97018" w:rsidRPr="00532398" w:rsidRDefault="00C97018" w:rsidP="00220F5C">
            <w:pPr>
              <w:rPr>
                <w:rFonts w:asciiTheme="minorHAnsi" w:hAnsiTheme="minorHAnsi" w:cstheme="minorHAnsi"/>
                <w:color w:val="000000"/>
                <w:sz w:val="20"/>
              </w:rPr>
            </w:pPr>
            <w:r w:rsidRPr="00532398">
              <w:rPr>
                <w:rFonts w:asciiTheme="minorHAnsi" w:hAnsiTheme="minorHAnsi" w:cstheme="minorHAnsi"/>
                <w:color w:val="000000"/>
                <w:sz w:val="20"/>
              </w:rPr>
              <w:t>Premiums for accident and health contracts (short-term)</w:t>
            </w:r>
          </w:p>
        </w:tc>
        <w:tc>
          <w:tcPr>
            <w:tcW w:w="1604" w:type="dxa"/>
            <w:tcBorders>
              <w:top w:val="nil"/>
              <w:left w:val="nil"/>
              <w:bottom w:val="single" w:sz="4" w:space="0" w:color="auto"/>
              <w:right w:val="single" w:sz="4" w:space="0" w:color="auto"/>
            </w:tcBorders>
            <w:shd w:val="clear" w:color="000000" w:fill="FFFFFF"/>
            <w:noWrap/>
            <w:hideMark/>
          </w:tcPr>
          <w:p w14:paraId="0CCCB0CD"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5,000,000</w:t>
            </w:r>
          </w:p>
        </w:tc>
      </w:tr>
      <w:tr w:rsidR="00C97018" w:rsidRPr="00DB61E0" w14:paraId="65A39F98" w14:textId="77777777" w:rsidTr="00C97018">
        <w:trPr>
          <w:trHeight w:val="332"/>
        </w:trPr>
        <w:tc>
          <w:tcPr>
            <w:tcW w:w="592" w:type="dxa"/>
            <w:tcBorders>
              <w:top w:val="nil"/>
              <w:left w:val="single" w:sz="4" w:space="0" w:color="auto"/>
              <w:bottom w:val="single" w:sz="4" w:space="0" w:color="auto"/>
              <w:right w:val="single" w:sz="4" w:space="0" w:color="auto"/>
            </w:tcBorders>
            <w:noWrap/>
            <w:hideMark/>
          </w:tcPr>
          <w:p w14:paraId="698D27C5" w14:textId="77777777" w:rsidR="00C97018" w:rsidRPr="00532398" w:rsidRDefault="00C97018" w:rsidP="00220F5C">
            <w:pPr>
              <w:jc w:val="center"/>
              <w:rPr>
                <w:rFonts w:asciiTheme="minorHAnsi" w:hAnsiTheme="minorHAnsi" w:cstheme="minorHAnsi"/>
                <w:sz w:val="20"/>
              </w:rPr>
            </w:pPr>
            <w:r w:rsidRPr="00532398">
              <w:rPr>
                <w:rFonts w:asciiTheme="minorHAnsi" w:hAnsiTheme="minorHAnsi" w:cstheme="minorHAnsi"/>
                <w:sz w:val="20"/>
              </w:rPr>
              <w:t>1</w:t>
            </w:r>
            <w:r>
              <w:rPr>
                <w:rFonts w:asciiTheme="minorHAnsi" w:hAnsiTheme="minorHAnsi" w:cstheme="minorHAnsi"/>
                <w:sz w:val="20"/>
              </w:rPr>
              <w:t>4</w:t>
            </w:r>
          </w:p>
        </w:tc>
        <w:tc>
          <w:tcPr>
            <w:tcW w:w="1923" w:type="dxa"/>
            <w:tcBorders>
              <w:top w:val="nil"/>
              <w:left w:val="nil"/>
              <w:bottom w:val="single" w:sz="4" w:space="0" w:color="auto"/>
              <w:right w:val="single" w:sz="4" w:space="0" w:color="auto"/>
            </w:tcBorders>
            <w:hideMark/>
          </w:tcPr>
          <w:p w14:paraId="673BA7ED" w14:textId="77777777" w:rsidR="00C97018" w:rsidRPr="00532398" w:rsidRDefault="00C97018" w:rsidP="00220F5C">
            <w:pPr>
              <w:jc w:val="center"/>
              <w:rPr>
                <w:rFonts w:asciiTheme="minorHAnsi" w:hAnsiTheme="minorHAnsi" w:cstheme="minorHAnsi"/>
                <w:sz w:val="20"/>
              </w:rPr>
            </w:pPr>
            <w:r w:rsidRPr="00532398">
              <w:rPr>
                <w:rFonts w:asciiTheme="minorHAnsi" w:hAnsiTheme="minorHAnsi" w:cstheme="minorHAnsi"/>
                <w:sz w:val="20"/>
              </w:rPr>
              <w:t xml:space="preserve">Line 9 - line 10 – line 11 </w:t>
            </w:r>
            <w:r>
              <w:rPr>
                <w:rFonts w:asciiTheme="minorHAnsi" w:hAnsiTheme="minorHAnsi" w:cstheme="minorHAnsi"/>
                <w:sz w:val="20"/>
              </w:rPr>
              <w:t>+</w:t>
            </w:r>
            <w:r w:rsidRPr="00532398">
              <w:rPr>
                <w:rFonts w:asciiTheme="minorHAnsi" w:hAnsiTheme="minorHAnsi" w:cstheme="minorHAnsi"/>
                <w:sz w:val="20"/>
              </w:rPr>
              <w:t xml:space="preserve"> line 12 </w:t>
            </w:r>
            <w:r>
              <w:rPr>
                <w:rFonts w:asciiTheme="minorHAnsi" w:hAnsiTheme="minorHAnsi" w:cstheme="minorHAnsi"/>
                <w:sz w:val="20"/>
              </w:rPr>
              <w:t>-</w:t>
            </w:r>
            <w:r w:rsidRPr="00532398">
              <w:rPr>
                <w:rFonts w:asciiTheme="minorHAnsi" w:hAnsiTheme="minorHAnsi" w:cstheme="minorHAnsi"/>
                <w:sz w:val="20"/>
              </w:rPr>
              <w:t xml:space="preserve"> line 13</w:t>
            </w:r>
          </w:p>
        </w:tc>
        <w:tc>
          <w:tcPr>
            <w:tcW w:w="6755" w:type="dxa"/>
            <w:tcBorders>
              <w:top w:val="nil"/>
              <w:left w:val="nil"/>
              <w:bottom w:val="single" w:sz="4" w:space="0" w:color="auto"/>
              <w:right w:val="single" w:sz="4" w:space="0" w:color="auto"/>
            </w:tcBorders>
            <w:noWrap/>
            <w:hideMark/>
          </w:tcPr>
          <w:p w14:paraId="76A6167F" w14:textId="77777777" w:rsidR="00C97018" w:rsidRPr="00532398" w:rsidRDefault="00C97018" w:rsidP="00220F5C">
            <w:pPr>
              <w:jc w:val="right"/>
              <w:rPr>
                <w:rFonts w:asciiTheme="minorHAnsi" w:hAnsiTheme="minorHAnsi" w:cstheme="minorHAnsi"/>
                <w:b/>
                <w:bCs/>
                <w:color w:val="000000"/>
                <w:sz w:val="20"/>
              </w:rPr>
            </w:pPr>
            <w:r w:rsidRPr="00532398">
              <w:rPr>
                <w:rFonts w:asciiTheme="minorHAnsi" w:hAnsiTheme="minorHAnsi" w:cstheme="minorHAnsi"/>
                <w:b/>
                <w:bCs/>
                <w:color w:val="000000"/>
                <w:sz w:val="20"/>
              </w:rPr>
              <w:t>Investable Premiums Before Other Investment Adjustment</w:t>
            </w:r>
          </w:p>
        </w:tc>
        <w:tc>
          <w:tcPr>
            <w:tcW w:w="1604" w:type="dxa"/>
            <w:tcBorders>
              <w:top w:val="nil"/>
              <w:left w:val="nil"/>
              <w:bottom w:val="single" w:sz="4" w:space="0" w:color="auto"/>
              <w:right w:val="single" w:sz="4" w:space="0" w:color="auto"/>
            </w:tcBorders>
            <w:noWrap/>
            <w:hideMark/>
          </w:tcPr>
          <w:p w14:paraId="5CB9F973" w14:textId="77777777" w:rsidR="00C97018" w:rsidRPr="00532398" w:rsidRDefault="00C97018" w:rsidP="00220F5C">
            <w:pPr>
              <w:jc w:val="center"/>
              <w:rPr>
                <w:rFonts w:asciiTheme="minorHAnsi" w:hAnsiTheme="minorHAnsi" w:cstheme="minorHAnsi"/>
                <w:b/>
                <w:bCs/>
                <w:color w:val="000000"/>
                <w:sz w:val="20"/>
              </w:rPr>
            </w:pPr>
            <w:r w:rsidRPr="00532398">
              <w:rPr>
                <w:rFonts w:asciiTheme="minorHAnsi" w:hAnsiTheme="minorHAnsi" w:cstheme="minorHAnsi"/>
                <w:b/>
                <w:bCs/>
                <w:color w:val="000000"/>
                <w:sz w:val="20"/>
              </w:rPr>
              <w:t>23,958,000</w:t>
            </w:r>
          </w:p>
        </w:tc>
      </w:tr>
      <w:tr w:rsidR="00C97018" w:rsidRPr="00DB61E0" w14:paraId="14CC7F16" w14:textId="77777777" w:rsidTr="00C97018">
        <w:trPr>
          <w:trHeight w:val="197"/>
        </w:trPr>
        <w:tc>
          <w:tcPr>
            <w:tcW w:w="592" w:type="dxa"/>
            <w:tcBorders>
              <w:top w:val="nil"/>
              <w:left w:val="single" w:sz="4" w:space="0" w:color="auto"/>
              <w:bottom w:val="single" w:sz="4" w:space="0" w:color="auto"/>
              <w:right w:val="single" w:sz="4" w:space="0" w:color="auto"/>
            </w:tcBorders>
            <w:noWrap/>
            <w:hideMark/>
          </w:tcPr>
          <w:p w14:paraId="512E7CDC" w14:textId="77777777" w:rsidR="00C97018" w:rsidRPr="003D4267" w:rsidRDefault="00C97018" w:rsidP="00220F5C">
            <w:pPr>
              <w:jc w:val="center"/>
              <w:rPr>
                <w:rFonts w:asciiTheme="minorHAnsi" w:hAnsiTheme="minorHAnsi" w:cstheme="minorHAnsi"/>
                <w:sz w:val="20"/>
              </w:rPr>
            </w:pPr>
            <w:r>
              <w:rPr>
                <w:rFonts w:asciiTheme="minorHAnsi" w:hAnsiTheme="minorHAnsi" w:cstheme="minorHAnsi"/>
                <w:sz w:val="20"/>
              </w:rPr>
              <w:t>15</w:t>
            </w:r>
          </w:p>
        </w:tc>
        <w:tc>
          <w:tcPr>
            <w:tcW w:w="1923" w:type="dxa"/>
            <w:tcBorders>
              <w:top w:val="nil"/>
              <w:left w:val="nil"/>
              <w:bottom w:val="single" w:sz="4" w:space="0" w:color="auto"/>
              <w:right w:val="single" w:sz="4" w:space="0" w:color="auto"/>
            </w:tcBorders>
            <w:hideMark/>
          </w:tcPr>
          <w:p w14:paraId="7F78DA50" w14:textId="77777777" w:rsidR="00C97018" w:rsidRPr="003D4267" w:rsidRDefault="00C97018" w:rsidP="00220F5C">
            <w:pPr>
              <w:jc w:val="center"/>
              <w:rPr>
                <w:rFonts w:asciiTheme="minorHAnsi" w:hAnsiTheme="minorHAnsi" w:cstheme="minorHAnsi"/>
                <w:sz w:val="20"/>
              </w:rPr>
            </w:pPr>
          </w:p>
        </w:tc>
        <w:tc>
          <w:tcPr>
            <w:tcW w:w="6755" w:type="dxa"/>
            <w:tcBorders>
              <w:top w:val="nil"/>
              <w:left w:val="nil"/>
              <w:bottom w:val="single" w:sz="4" w:space="0" w:color="auto"/>
              <w:right w:val="single" w:sz="4" w:space="0" w:color="auto"/>
            </w:tcBorders>
            <w:noWrap/>
            <w:hideMark/>
          </w:tcPr>
          <w:p w14:paraId="5A5C1976" w14:textId="77777777" w:rsidR="00C97018" w:rsidRPr="00532398" w:rsidRDefault="00C97018" w:rsidP="00220F5C">
            <w:pPr>
              <w:jc w:val="right"/>
              <w:rPr>
                <w:rFonts w:asciiTheme="minorHAnsi" w:hAnsiTheme="minorHAnsi" w:cstheme="minorHAnsi"/>
                <w:b/>
                <w:bCs/>
                <w:color w:val="000000"/>
                <w:sz w:val="20"/>
              </w:rPr>
            </w:pPr>
          </w:p>
        </w:tc>
        <w:tc>
          <w:tcPr>
            <w:tcW w:w="1604" w:type="dxa"/>
            <w:tcBorders>
              <w:top w:val="nil"/>
              <w:left w:val="nil"/>
              <w:bottom w:val="single" w:sz="4" w:space="0" w:color="auto"/>
              <w:right w:val="single" w:sz="4" w:space="0" w:color="auto"/>
            </w:tcBorders>
            <w:noWrap/>
            <w:hideMark/>
          </w:tcPr>
          <w:p w14:paraId="1A499B03" w14:textId="77777777" w:rsidR="00C97018" w:rsidRPr="00532398" w:rsidRDefault="00C97018" w:rsidP="00220F5C">
            <w:pPr>
              <w:jc w:val="center"/>
              <w:rPr>
                <w:rFonts w:asciiTheme="minorHAnsi" w:hAnsiTheme="minorHAnsi" w:cstheme="minorHAnsi"/>
                <w:b/>
                <w:bCs/>
                <w:color w:val="000000"/>
                <w:sz w:val="20"/>
              </w:rPr>
            </w:pPr>
          </w:p>
        </w:tc>
      </w:tr>
      <w:tr w:rsidR="00C97018" w:rsidRPr="00DB61E0" w14:paraId="6944795C" w14:textId="77777777" w:rsidTr="00C97018">
        <w:trPr>
          <w:trHeight w:val="215"/>
        </w:trPr>
        <w:tc>
          <w:tcPr>
            <w:tcW w:w="592" w:type="dxa"/>
            <w:tcBorders>
              <w:top w:val="nil"/>
              <w:left w:val="single" w:sz="4" w:space="0" w:color="auto"/>
              <w:bottom w:val="single" w:sz="4" w:space="0" w:color="auto"/>
              <w:right w:val="single" w:sz="4" w:space="0" w:color="auto"/>
            </w:tcBorders>
            <w:noWrap/>
            <w:hideMark/>
          </w:tcPr>
          <w:p w14:paraId="04341CED" w14:textId="77777777" w:rsidR="00C97018" w:rsidRPr="003D4267" w:rsidRDefault="00C97018" w:rsidP="00220F5C">
            <w:pPr>
              <w:jc w:val="center"/>
              <w:rPr>
                <w:rFonts w:asciiTheme="minorHAnsi" w:hAnsiTheme="minorHAnsi" w:cstheme="minorHAnsi"/>
                <w:sz w:val="20"/>
              </w:rPr>
            </w:pPr>
            <w:r>
              <w:rPr>
                <w:rFonts w:asciiTheme="minorHAnsi" w:hAnsiTheme="minorHAnsi" w:cstheme="minorHAnsi"/>
                <w:sz w:val="20"/>
              </w:rPr>
              <w:t>16</w:t>
            </w:r>
          </w:p>
        </w:tc>
        <w:tc>
          <w:tcPr>
            <w:tcW w:w="1923" w:type="dxa"/>
            <w:tcBorders>
              <w:top w:val="nil"/>
              <w:left w:val="nil"/>
              <w:bottom w:val="single" w:sz="4" w:space="0" w:color="auto"/>
              <w:right w:val="single" w:sz="4" w:space="0" w:color="auto"/>
            </w:tcBorders>
            <w:hideMark/>
          </w:tcPr>
          <w:p w14:paraId="5E4670D6" w14:textId="77777777" w:rsidR="00C97018" w:rsidRPr="003D4267" w:rsidRDefault="00C97018" w:rsidP="00220F5C">
            <w:pPr>
              <w:jc w:val="center"/>
              <w:rPr>
                <w:rFonts w:asciiTheme="minorHAnsi" w:hAnsiTheme="minorHAnsi" w:cstheme="minorHAnsi"/>
                <w:sz w:val="20"/>
              </w:rPr>
            </w:pPr>
            <w:r>
              <w:rPr>
                <w:rFonts w:asciiTheme="minorHAnsi" w:hAnsiTheme="minorHAnsi" w:cstheme="minorHAnsi"/>
                <w:sz w:val="20"/>
              </w:rPr>
              <w:t>BS – Row 1</w:t>
            </w:r>
          </w:p>
        </w:tc>
        <w:tc>
          <w:tcPr>
            <w:tcW w:w="6755" w:type="dxa"/>
            <w:tcBorders>
              <w:top w:val="nil"/>
              <w:left w:val="nil"/>
              <w:bottom w:val="single" w:sz="4" w:space="0" w:color="auto"/>
              <w:right w:val="single" w:sz="4" w:space="0" w:color="auto"/>
            </w:tcBorders>
            <w:noWrap/>
            <w:hideMark/>
          </w:tcPr>
          <w:p w14:paraId="4F63992F" w14:textId="77777777" w:rsidR="00C97018" w:rsidRPr="001A5D4B" w:rsidRDefault="00C97018" w:rsidP="00220F5C">
            <w:pPr>
              <w:rPr>
                <w:rFonts w:asciiTheme="minorHAnsi" w:hAnsiTheme="minorHAnsi" w:cstheme="minorHAnsi"/>
                <w:color w:val="000000"/>
                <w:sz w:val="20"/>
              </w:rPr>
            </w:pPr>
            <w:r w:rsidRPr="001A5D4B">
              <w:rPr>
                <w:rFonts w:asciiTheme="minorHAnsi" w:hAnsiTheme="minorHAnsi" w:cstheme="minorHAnsi"/>
                <w:color w:val="000000"/>
                <w:sz w:val="20"/>
              </w:rPr>
              <w:t>Bonds</w:t>
            </w:r>
            <w:r>
              <w:rPr>
                <w:rFonts w:asciiTheme="minorHAnsi" w:hAnsiTheme="minorHAnsi" w:cstheme="minorHAnsi"/>
                <w:color w:val="000000"/>
                <w:sz w:val="20"/>
              </w:rPr>
              <w:t xml:space="preserve"> – Net Admitted</w:t>
            </w:r>
          </w:p>
        </w:tc>
        <w:tc>
          <w:tcPr>
            <w:tcW w:w="1604" w:type="dxa"/>
            <w:tcBorders>
              <w:top w:val="nil"/>
              <w:left w:val="nil"/>
              <w:bottom w:val="single" w:sz="4" w:space="0" w:color="auto"/>
              <w:right w:val="single" w:sz="4" w:space="0" w:color="auto"/>
            </w:tcBorders>
            <w:noWrap/>
            <w:hideMark/>
          </w:tcPr>
          <w:p w14:paraId="3AF878F1" w14:textId="77777777" w:rsidR="00C97018" w:rsidRPr="00613CE5" w:rsidRDefault="00C97018" w:rsidP="00220F5C">
            <w:pPr>
              <w:jc w:val="center"/>
              <w:rPr>
                <w:rFonts w:asciiTheme="minorHAnsi" w:hAnsiTheme="minorHAnsi" w:cstheme="minorHAnsi"/>
                <w:color w:val="000000"/>
                <w:sz w:val="20"/>
              </w:rPr>
            </w:pPr>
            <w:r w:rsidRPr="00613CE5">
              <w:rPr>
                <w:rFonts w:asciiTheme="minorHAnsi" w:hAnsiTheme="minorHAnsi" w:cstheme="minorHAnsi"/>
                <w:color w:val="000000"/>
                <w:sz w:val="20"/>
              </w:rPr>
              <w:t>130,000,000</w:t>
            </w:r>
          </w:p>
        </w:tc>
      </w:tr>
      <w:tr w:rsidR="00C97018" w:rsidRPr="00DB61E0" w14:paraId="631BC662" w14:textId="77777777" w:rsidTr="00C97018">
        <w:trPr>
          <w:trHeight w:hRule="exact" w:val="253"/>
        </w:trPr>
        <w:tc>
          <w:tcPr>
            <w:tcW w:w="592" w:type="dxa"/>
            <w:tcBorders>
              <w:top w:val="nil"/>
              <w:left w:val="single" w:sz="4" w:space="0" w:color="auto"/>
              <w:bottom w:val="single" w:sz="4" w:space="0" w:color="auto"/>
              <w:right w:val="single" w:sz="4" w:space="0" w:color="auto"/>
            </w:tcBorders>
            <w:noWrap/>
            <w:hideMark/>
          </w:tcPr>
          <w:p w14:paraId="02F0A707" w14:textId="77777777" w:rsidR="00C97018" w:rsidRPr="003D4267" w:rsidRDefault="00C97018" w:rsidP="00220F5C">
            <w:pPr>
              <w:jc w:val="center"/>
              <w:rPr>
                <w:rFonts w:asciiTheme="minorHAnsi" w:hAnsiTheme="minorHAnsi" w:cstheme="minorHAnsi"/>
                <w:sz w:val="20"/>
              </w:rPr>
            </w:pPr>
            <w:r>
              <w:rPr>
                <w:rFonts w:asciiTheme="minorHAnsi" w:hAnsiTheme="minorHAnsi" w:cstheme="minorHAnsi"/>
                <w:sz w:val="20"/>
              </w:rPr>
              <w:t>17</w:t>
            </w:r>
          </w:p>
        </w:tc>
        <w:tc>
          <w:tcPr>
            <w:tcW w:w="1923" w:type="dxa"/>
            <w:tcBorders>
              <w:top w:val="nil"/>
              <w:left w:val="nil"/>
              <w:bottom w:val="single" w:sz="4" w:space="0" w:color="auto"/>
              <w:right w:val="single" w:sz="4" w:space="0" w:color="auto"/>
            </w:tcBorders>
            <w:hideMark/>
          </w:tcPr>
          <w:p w14:paraId="65445A88" w14:textId="77777777" w:rsidR="00C97018" w:rsidRPr="003D4267" w:rsidRDefault="00C97018" w:rsidP="00220F5C">
            <w:pPr>
              <w:jc w:val="center"/>
              <w:rPr>
                <w:rFonts w:asciiTheme="minorHAnsi" w:hAnsiTheme="minorHAnsi" w:cstheme="minorHAnsi"/>
                <w:sz w:val="20"/>
              </w:rPr>
            </w:pPr>
            <w:r>
              <w:rPr>
                <w:rFonts w:asciiTheme="minorHAnsi" w:hAnsiTheme="minorHAnsi" w:cstheme="minorHAnsi"/>
                <w:sz w:val="20"/>
              </w:rPr>
              <w:t>BS – Row 3.1</w:t>
            </w:r>
          </w:p>
        </w:tc>
        <w:tc>
          <w:tcPr>
            <w:tcW w:w="6755" w:type="dxa"/>
            <w:tcBorders>
              <w:top w:val="nil"/>
              <w:left w:val="nil"/>
              <w:bottom w:val="single" w:sz="4" w:space="0" w:color="auto"/>
              <w:right w:val="single" w:sz="4" w:space="0" w:color="auto"/>
            </w:tcBorders>
            <w:noWrap/>
            <w:hideMark/>
          </w:tcPr>
          <w:p w14:paraId="0A520CF2" w14:textId="77777777" w:rsidR="00C97018" w:rsidRPr="001A5D4B" w:rsidRDefault="00C97018" w:rsidP="00220F5C">
            <w:pPr>
              <w:rPr>
                <w:rFonts w:asciiTheme="minorHAnsi" w:hAnsiTheme="minorHAnsi" w:cstheme="minorHAnsi"/>
                <w:color w:val="000000"/>
                <w:sz w:val="20"/>
              </w:rPr>
            </w:pPr>
            <w:r w:rsidRPr="001A5D4B">
              <w:rPr>
                <w:rFonts w:asciiTheme="minorHAnsi" w:hAnsiTheme="minorHAnsi" w:cstheme="minorHAnsi"/>
                <w:color w:val="000000"/>
                <w:sz w:val="20"/>
              </w:rPr>
              <w:t>First Lien Mortgages</w:t>
            </w:r>
            <w:r>
              <w:rPr>
                <w:rFonts w:asciiTheme="minorHAnsi" w:hAnsiTheme="minorHAnsi" w:cstheme="minorHAnsi"/>
                <w:color w:val="000000"/>
                <w:sz w:val="20"/>
              </w:rPr>
              <w:t xml:space="preserve"> – Net Admitted</w:t>
            </w:r>
          </w:p>
        </w:tc>
        <w:tc>
          <w:tcPr>
            <w:tcW w:w="1604" w:type="dxa"/>
            <w:tcBorders>
              <w:top w:val="nil"/>
              <w:left w:val="nil"/>
              <w:bottom w:val="single" w:sz="4" w:space="0" w:color="auto"/>
              <w:right w:val="single" w:sz="4" w:space="0" w:color="auto"/>
            </w:tcBorders>
            <w:noWrap/>
            <w:hideMark/>
          </w:tcPr>
          <w:p w14:paraId="08C75BDC" w14:textId="77777777" w:rsidR="00C97018" w:rsidRPr="00613CE5" w:rsidRDefault="00C97018" w:rsidP="00220F5C">
            <w:pPr>
              <w:jc w:val="center"/>
              <w:rPr>
                <w:rFonts w:asciiTheme="minorHAnsi" w:hAnsiTheme="minorHAnsi" w:cstheme="minorHAnsi"/>
                <w:color w:val="000000"/>
                <w:sz w:val="20"/>
              </w:rPr>
            </w:pPr>
            <w:r w:rsidRPr="00613CE5">
              <w:rPr>
                <w:rFonts w:asciiTheme="minorHAnsi" w:hAnsiTheme="minorHAnsi" w:cstheme="minorHAnsi"/>
                <w:color w:val="000000"/>
                <w:sz w:val="20"/>
              </w:rPr>
              <w:t>20,000,000</w:t>
            </w:r>
          </w:p>
        </w:tc>
      </w:tr>
      <w:tr w:rsidR="00C97018" w:rsidRPr="00DB61E0" w14:paraId="52283E77" w14:textId="77777777" w:rsidTr="00C97018">
        <w:trPr>
          <w:trHeight w:val="251"/>
        </w:trPr>
        <w:tc>
          <w:tcPr>
            <w:tcW w:w="592" w:type="dxa"/>
            <w:tcBorders>
              <w:top w:val="nil"/>
              <w:left w:val="single" w:sz="4" w:space="0" w:color="auto"/>
              <w:bottom w:val="single" w:sz="4" w:space="0" w:color="auto"/>
              <w:right w:val="single" w:sz="4" w:space="0" w:color="auto"/>
            </w:tcBorders>
            <w:noWrap/>
            <w:hideMark/>
          </w:tcPr>
          <w:p w14:paraId="3B969809" w14:textId="77777777" w:rsidR="00C97018" w:rsidRPr="00A66399" w:rsidRDefault="00C97018" w:rsidP="00220F5C">
            <w:pPr>
              <w:jc w:val="center"/>
              <w:rPr>
                <w:rFonts w:asciiTheme="minorHAnsi" w:hAnsiTheme="minorHAnsi" w:cstheme="minorHAnsi"/>
                <w:sz w:val="20"/>
              </w:rPr>
            </w:pPr>
            <w:r w:rsidRPr="00A66399">
              <w:rPr>
                <w:rFonts w:asciiTheme="minorHAnsi" w:hAnsiTheme="minorHAnsi" w:cstheme="minorHAnsi"/>
                <w:sz w:val="20"/>
              </w:rPr>
              <w:t>18</w:t>
            </w:r>
          </w:p>
        </w:tc>
        <w:tc>
          <w:tcPr>
            <w:tcW w:w="1923" w:type="dxa"/>
            <w:tcBorders>
              <w:top w:val="nil"/>
              <w:left w:val="nil"/>
              <w:bottom w:val="single" w:sz="4" w:space="0" w:color="auto"/>
              <w:right w:val="single" w:sz="4" w:space="0" w:color="auto"/>
            </w:tcBorders>
            <w:hideMark/>
          </w:tcPr>
          <w:p w14:paraId="1B536378" w14:textId="77777777" w:rsidR="00C97018" w:rsidRPr="003D4267" w:rsidRDefault="00C97018" w:rsidP="00220F5C">
            <w:pPr>
              <w:jc w:val="center"/>
              <w:rPr>
                <w:rFonts w:asciiTheme="minorHAnsi" w:hAnsiTheme="minorHAnsi" w:cstheme="minorHAnsi"/>
                <w:sz w:val="20"/>
              </w:rPr>
            </w:pPr>
            <w:r>
              <w:rPr>
                <w:rFonts w:asciiTheme="minorHAnsi" w:hAnsiTheme="minorHAnsi" w:cstheme="minorHAnsi"/>
                <w:sz w:val="20"/>
              </w:rPr>
              <w:t>BS – Row 3.2</w:t>
            </w:r>
          </w:p>
        </w:tc>
        <w:tc>
          <w:tcPr>
            <w:tcW w:w="6755" w:type="dxa"/>
            <w:tcBorders>
              <w:top w:val="nil"/>
              <w:left w:val="nil"/>
              <w:bottom w:val="single" w:sz="4" w:space="0" w:color="auto"/>
              <w:right w:val="single" w:sz="4" w:space="0" w:color="auto"/>
            </w:tcBorders>
            <w:noWrap/>
            <w:hideMark/>
          </w:tcPr>
          <w:p w14:paraId="691BB008" w14:textId="77777777" w:rsidR="00C97018" w:rsidRPr="00532398" w:rsidRDefault="00C97018" w:rsidP="00220F5C">
            <w:pPr>
              <w:rPr>
                <w:rFonts w:asciiTheme="minorHAnsi" w:hAnsiTheme="minorHAnsi" w:cstheme="minorHAnsi"/>
                <w:b/>
                <w:bCs/>
                <w:color w:val="000000"/>
                <w:sz w:val="20"/>
              </w:rPr>
            </w:pPr>
            <w:r>
              <w:rPr>
                <w:rFonts w:asciiTheme="minorHAnsi" w:hAnsiTheme="minorHAnsi" w:cstheme="minorHAnsi"/>
                <w:color w:val="000000"/>
                <w:sz w:val="20"/>
              </w:rPr>
              <w:t>Other Than First Lien</w:t>
            </w:r>
            <w:r w:rsidRPr="001A5D4B">
              <w:rPr>
                <w:rFonts w:asciiTheme="minorHAnsi" w:hAnsiTheme="minorHAnsi" w:cstheme="minorHAnsi"/>
                <w:color w:val="000000"/>
                <w:sz w:val="20"/>
              </w:rPr>
              <w:t xml:space="preserve"> Mortgages</w:t>
            </w:r>
            <w:r>
              <w:rPr>
                <w:rFonts w:asciiTheme="minorHAnsi" w:hAnsiTheme="minorHAnsi" w:cstheme="minorHAnsi"/>
                <w:color w:val="000000"/>
                <w:sz w:val="20"/>
              </w:rPr>
              <w:t xml:space="preserve"> – Net Admitted</w:t>
            </w:r>
          </w:p>
        </w:tc>
        <w:tc>
          <w:tcPr>
            <w:tcW w:w="1604" w:type="dxa"/>
            <w:tcBorders>
              <w:top w:val="nil"/>
              <w:left w:val="nil"/>
              <w:bottom w:val="single" w:sz="4" w:space="0" w:color="auto"/>
              <w:right w:val="single" w:sz="4" w:space="0" w:color="auto"/>
            </w:tcBorders>
            <w:noWrap/>
            <w:hideMark/>
          </w:tcPr>
          <w:p w14:paraId="663D2102" w14:textId="77777777" w:rsidR="00C97018" w:rsidRPr="00613CE5" w:rsidRDefault="00C97018" w:rsidP="00220F5C">
            <w:pPr>
              <w:jc w:val="center"/>
              <w:rPr>
                <w:rFonts w:asciiTheme="minorHAnsi" w:hAnsiTheme="minorHAnsi" w:cstheme="minorHAnsi"/>
                <w:color w:val="000000"/>
                <w:sz w:val="20"/>
              </w:rPr>
            </w:pPr>
            <w:r w:rsidRPr="00613CE5">
              <w:rPr>
                <w:rFonts w:asciiTheme="minorHAnsi" w:hAnsiTheme="minorHAnsi" w:cstheme="minorHAnsi"/>
                <w:color w:val="000000"/>
                <w:sz w:val="20"/>
              </w:rPr>
              <w:t>10,000,000</w:t>
            </w:r>
          </w:p>
        </w:tc>
      </w:tr>
      <w:tr w:rsidR="00C97018" w:rsidRPr="00DB61E0" w14:paraId="6B9C1186" w14:textId="77777777" w:rsidTr="00C97018">
        <w:trPr>
          <w:trHeight w:val="300"/>
        </w:trPr>
        <w:tc>
          <w:tcPr>
            <w:tcW w:w="592" w:type="dxa"/>
            <w:tcBorders>
              <w:top w:val="nil"/>
              <w:left w:val="single" w:sz="4" w:space="0" w:color="auto"/>
              <w:bottom w:val="single" w:sz="4" w:space="0" w:color="auto"/>
              <w:right w:val="single" w:sz="4" w:space="0" w:color="auto"/>
            </w:tcBorders>
            <w:noWrap/>
          </w:tcPr>
          <w:p w14:paraId="6CF134EB" w14:textId="77777777" w:rsidR="00C97018" w:rsidRPr="00A66399" w:rsidRDefault="00C97018" w:rsidP="00220F5C">
            <w:pPr>
              <w:jc w:val="center"/>
              <w:rPr>
                <w:rFonts w:asciiTheme="minorHAnsi" w:hAnsiTheme="minorHAnsi" w:cstheme="minorHAnsi"/>
                <w:sz w:val="20"/>
              </w:rPr>
            </w:pPr>
            <w:r w:rsidRPr="00A66399">
              <w:rPr>
                <w:rFonts w:asciiTheme="minorHAnsi" w:hAnsiTheme="minorHAnsi" w:cstheme="minorHAnsi"/>
                <w:sz w:val="20"/>
              </w:rPr>
              <w:t>19</w:t>
            </w:r>
          </w:p>
        </w:tc>
        <w:tc>
          <w:tcPr>
            <w:tcW w:w="1923" w:type="dxa"/>
            <w:tcBorders>
              <w:top w:val="nil"/>
              <w:left w:val="nil"/>
              <w:bottom w:val="single" w:sz="4" w:space="0" w:color="auto"/>
              <w:right w:val="single" w:sz="4" w:space="0" w:color="auto"/>
            </w:tcBorders>
            <w:noWrap/>
          </w:tcPr>
          <w:p w14:paraId="7C880577" w14:textId="77777777" w:rsidR="00C97018" w:rsidRPr="00532398" w:rsidRDefault="00C97018" w:rsidP="00220F5C">
            <w:pPr>
              <w:jc w:val="center"/>
              <w:rPr>
                <w:rFonts w:asciiTheme="minorHAnsi" w:hAnsiTheme="minorHAnsi" w:cstheme="minorHAnsi"/>
                <w:color w:val="000000"/>
                <w:sz w:val="20"/>
              </w:rPr>
            </w:pPr>
            <w:r>
              <w:rPr>
                <w:rFonts w:asciiTheme="minorHAnsi" w:hAnsiTheme="minorHAnsi" w:cstheme="minorHAnsi"/>
                <w:color w:val="000000"/>
                <w:sz w:val="20"/>
              </w:rPr>
              <w:t>16 + 17 + 18</w:t>
            </w:r>
          </w:p>
        </w:tc>
        <w:tc>
          <w:tcPr>
            <w:tcW w:w="6755" w:type="dxa"/>
            <w:tcBorders>
              <w:top w:val="nil"/>
              <w:left w:val="nil"/>
              <w:bottom w:val="single" w:sz="4" w:space="0" w:color="auto"/>
              <w:right w:val="single" w:sz="4" w:space="0" w:color="auto"/>
            </w:tcBorders>
            <w:noWrap/>
          </w:tcPr>
          <w:p w14:paraId="0946AE3B" w14:textId="77777777" w:rsidR="00C97018" w:rsidRPr="00532398" w:rsidRDefault="00C97018" w:rsidP="00220F5C">
            <w:pPr>
              <w:jc w:val="right"/>
              <w:rPr>
                <w:rFonts w:asciiTheme="minorHAnsi" w:hAnsiTheme="minorHAnsi" w:cstheme="minorHAnsi"/>
                <w:b/>
                <w:bCs/>
                <w:color w:val="000000"/>
                <w:sz w:val="20"/>
              </w:rPr>
            </w:pPr>
            <w:r>
              <w:rPr>
                <w:rFonts w:asciiTheme="minorHAnsi" w:hAnsiTheme="minorHAnsi" w:cstheme="minorHAnsi"/>
                <w:b/>
                <w:bCs/>
                <w:color w:val="000000"/>
                <w:sz w:val="20"/>
              </w:rPr>
              <w:t>Investments Subject to Proof of Reinvestment</w:t>
            </w:r>
          </w:p>
        </w:tc>
        <w:tc>
          <w:tcPr>
            <w:tcW w:w="1604" w:type="dxa"/>
            <w:tcBorders>
              <w:top w:val="nil"/>
              <w:left w:val="nil"/>
              <w:bottom w:val="single" w:sz="4" w:space="0" w:color="auto"/>
              <w:right w:val="single" w:sz="4" w:space="0" w:color="auto"/>
            </w:tcBorders>
            <w:noWrap/>
          </w:tcPr>
          <w:p w14:paraId="7796B49E" w14:textId="77777777" w:rsidR="00C97018" w:rsidRPr="00532398" w:rsidRDefault="00C97018" w:rsidP="00220F5C">
            <w:pPr>
              <w:jc w:val="center"/>
              <w:rPr>
                <w:rFonts w:asciiTheme="minorHAnsi" w:hAnsiTheme="minorHAnsi" w:cstheme="minorHAnsi"/>
                <w:b/>
                <w:bCs/>
                <w:color w:val="000000"/>
                <w:sz w:val="20"/>
              </w:rPr>
            </w:pPr>
            <w:r>
              <w:rPr>
                <w:rFonts w:asciiTheme="minorHAnsi" w:hAnsiTheme="minorHAnsi" w:cstheme="minorHAnsi"/>
                <w:b/>
                <w:bCs/>
                <w:color w:val="000000"/>
                <w:sz w:val="20"/>
              </w:rPr>
              <w:t>160,000,000</w:t>
            </w:r>
          </w:p>
        </w:tc>
      </w:tr>
      <w:tr w:rsidR="00C97018" w:rsidRPr="00DB61E0" w14:paraId="729914AE" w14:textId="77777777" w:rsidTr="00C97018">
        <w:trPr>
          <w:trHeight w:val="300"/>
        </w:trPr>
        <w:tc>
          <w:tcPr>
            <w:tcW w:w="592" w:type="dxa"/>
            <w:tcBorders>
              <w:top w:val="nil"/>
              <w:left w:val="single" w:sz="4" w:space="0" w:color="auto"/>
              <w:bottom w:val="single" w:sz="4" w:space="0" w:color="auto"/>
              <w:right w:val="single" w:sz="4" w:space="0" w:color="auto"/>
            </w:tcBorders>
            <w:noWrap/>
          </w:tcPr>
          <w:p w14:paraId="5D5932E5" w14:textId="77777777" w:rsidR="00C97018" w:rsidRPr="00A66399" w:rsidRDefault="00C97018" w:rsidP="00220F5C">
            <w:pPr>
              <w:jc w:val="center"/>
              <w:rPr>
                <w:rFonts w:asciiTheme="minorHAnsi" w:hAnsiTheme="minorHAnsi" w:cstheme="minorHAnsi"/>
                <w:sz w:val="20"/>
              </w:rPr>
            </w:pPr>
            <w:r w:rsidRPr="00A66399">
              <w:rPr>
                <w:rFonts w:asciiTheme="minorHAnsi" w:hAnsiTheme="minorHAnsi" w:cstheme="minorHAnsi"/>
                <w:sz w:val="20"/>
              </w:rPr>
              <w:t>20</w:t>
            </w:r>
          </w:p>
        </w:tc>
        <w:tc>
          <w:tcPr>
            <w:tcW w:w="1923" w:type="dxa"/>
            <w:tcBorders>
              <w:top w:val="nil"/>
              <w:left w:val="nil"/>
              <w:bottom w:val="single" w:sz="4" w:space="0" w:color="auto"/>
              <w:right w:val="single" w:sz="4" w:space="0" w:color="auto"/>
            </w:tcBorders>
            <w:noWrap/>
          </w:tcPr>
          <w:p w14:paraId="420266B7" w14:textId="77777777" w:rsidR="00C97018" w:rsidRPr="00532398" w:rsidRDefault="00C97018" w:rsidP="00220F5C">
            <w:pPr>
              <w:jc w:val="center"/>
              <w:rPr>
                <w:rFonts w:asciiTheme="minorHAnsi" w:hAnsiTheme="minorHAnsi" w:cstheme="minorHAnsi"/>
                <w:color w:val="000000"/>
                <w:sz w:val="20"/>
              </w:rPr>
            </w:pPr>
            <w:r>
              <w:rPr>
                <w:rFonts w:asciiTheme="minorHAnsi" w:hAnsiTheme="minorHAnsi" w:cstheme="minorHAnsi"/>
                <w:color w:val="000000"/>
                <w:sz w:val="20"/>
              </w:rPr>
              <w:t>BS – Row 12</w:t>
            </w:r>
          </w:p>
        </w:tc>
        <w:tc>
          <w:tcPr>
            <w:tcW w:w="6755" w:type="dxa"/>
            <w:tcBorders>
              <w:top w:val="nil"/>
              <w:left w:val="nil"/>
              <w:bottom w:val="single" w:sz="4" w:space="0" w:color="auto"/>
              <w:right w:val="single" w:sz="4" w:space="0" w:color="auto"/>
            </w:tcBorders>
            <w:noWrap/>
          </w:tcPr>
          <w:p w14:paraId="712B470E" w14:textId="77777777" w:rsidR="00C97018" w:rsidRPr="007A3829" w:rsidRDefault="00C97018" w:rsidP="00220F5C">
            <w:pPr>
              <w:rPr>
                <w:rFonts w:asciiTheme="minorHAnsi" w:hAnsiTheme="minorHAnsi" w:cstheme="minorHAnsi"/>
                <w:color w:val="000000"/>
                <w:sz w:val="20"/>
              </w:rPr>
            </w:pPr>
            <w:r>
              <w:rPr>
                <w:rFonts w:asciiTheme="minorHAnsi" w:hAnsiTheme="minorHAnsi" w:cstheme="minorHAnsi"/>
                <w:color w:val="000000"/>
                <w:sz w:val="20"/>
              </w:rPr>
              <w:t>Subtotal, Cash and Invested Assets – Net Admitted</w:t>
            </w:r>
          </w:p>
        </w:tc>
        <w:tc>
          <w:tcPr>
            <w:tcW w:w="1604" w:type="dxa"/>
            <w:tcBorders>
              <w:top w:val="nil"/>
              <w:left w:val="nil"/>
              <w:bottom w:val="single" w:sz="4" w:space="0" w:color="auto"/>
              <w:right w:val="single" w:sz="4" w:space="0" w:color="auto"/>
            </w:tcBorders>
            <w:noWrap/>
          </w:tcPr>
          <w:p w14:paraId="2451D65B" w14:textId="77777777" w:rsidR="00C97018" w:rsidRPr="00613CE5" w:rsidRDefault="00C97018" w:rsidP="00220F5C">
            <w:pPr>
              <w:jc w:val="center"/>
              <w:rPr>
                <w:rFonts w:asciiTheme="minorHAnsi" w:hAnsiTheme="minorHAnsi" w:cstheme="minorHAnsi"/>
                <w:color w:val="000000"/>
                <w:sz w:val="20"/>
              </w:rPr>
            </w:pPr>
            <w:r w:rsidRPr="00613CE5">
              <w:rPr>
                <w:rFonts w:asciiTheme="minorHAnsi" w:hAnsiTheme="minorHAnsi" w:cstheme="minorHAnsi"/>
                <w:color w:val="000000"/>
                <w:sz w:val="20"/>
              </w:rPr>
              <w:t>200,000,000</w:t>
            </w:r>
          </w:p>
        </w:tc>
      </w:tr>
      <w:tr w:rsidR="00C97018" w:rsidRPr="00DB61E0" w14:paraId="1D59838B" w14:textId="77777777" w:rsidTr="00C97018">
        <w:trPr>
          <w:trHeight w:val="300"/>
        </w:trPr>
        <w:tc>
          <w:tcPr>
            <w:tcW w:w="592" w:type="dxa"/>
            <w:tcBorders>
              <w:top w:val="nil"/>
              <w:left w:val="single" w:sz="4" w:space="0" w:color="auto"/>
              <w:bottom w:val="single" w:sz="4" w:space="0" w:color="auto"/>
              <w:right w:val="single" w:sz="4" w:space="0" w:color="auto"/>
            </w:tcBorders>
            <w:noWrap/>
          </w:tcPr>
          <w:p w14:paraId="75BB5D2E" w14:textId="77777777" w:rsidR="00C97018" w:rsidRPr="00A66399" w:rsidRDefault="00C97018" w:rsidP="00220F5C">
            <w:pPr>
              <w:jc w:val="center"/>
              <w:rPr>
                <w:rFonts w:asciiTheme="minorHAnsi" w:hAnsiTheme="minorHAnsi" w:cstheme="minorHAnsi"/>
                <w:sz w:val="20"/>
              </w:rPr>
            </w:pPr>
            <w:r w:rsidRPr="00A66399">
              <w:rPr>
                <w:rFonts w:asciiTheme="minorHAnsi" w:hAnsiTheme="minorHAnsi" w:cstheme="minorHAnsi"/>
                <w:sz w:val="20"/>
              </w:rPr>
              <w:t>21</w:t>
            </w:r>
          </w:p>
        </w:tc>
        <w:tc>
          <w:tcPr>
            <w:tcW w:w="1923" w:type="dxa"/>
            <w:tcBorders>
              <w:top w:val="nil"/>
              <w:left w:val="nil"/>
              <w:bottom w:val="single" w:sz="4" w:space="0" w:color="auto"/>
              <w:right w:val="single" w:sz="4" w:space="0" w:color="auto"/>
            </w:tcBorders>
            <w:noWrap/>
          </w:tcPr>
          <w:p w14:paraId="2FF2A539" w14:textId="77777777" w:rsidR="00C97018" w:rsidRPr="00532398" w:rsidRDefault="00C97018" w:rsidP="00220F5C">
            <w:pPr>
              <w:jc w:val="center"/>
              <w:rPr>
                <w:rFonts w:asciiTheme="minorHAnsi" w:hAnsiTheme="minorHAnsi" w:cstheme="minorHAnsi"/>
                <w:color w:val="000000"/>
                <w:sz w:val="20"/>
              </w:rPr>
            </w:pPr>
            <w:r>
              <w:rPr>
                <w:rFonts w:asciiTheme="minorHAnsi" w:hAnsiTheme="minorHAnsi" w:cstheme="minorHAnsi"/>
                <w:color w:val="000000"/>
                <w:sz w:val="20"/>
              </w:rPr>
              <w:t>Line 20 – Line 19</w:t>
            </w:r>
          </w:p>
        </w:tc>
        <w:tc>
          <w:tcPr>
            <w:tcW w:w="6755" w:type="dxa"/>
            <w:tcBorders>
              <w:top w:val="nil"/>
              <w:left w:val="nil"/>
              <w:bottom w:val="single" w:sz="4" w:space="0" w:color="auto"/>
              <w:right w:val="single" w:sz="4" w:space="0" w:color="auto"/>
            </w:tcBorders>
            <w:noWrap/>
          </w:tcPr>
          <w:p w14:paraId="0AB94AC3" w14:textId="08C89E33" w:rsidR="00C97018" w:rsidRPr="00532398" w:rsidRDefault="00C97018" w:rsidP="00220F5C">
            <w:pPr>
              <w:jc w:val="right"/>
              <w:rPr>
                <w:rFonts w:asciiTheme="minorHAnsi" w:hAnsiTheme="minorHAnsi" w:cstheme="minorHAnsi"/>
                <w:b/>
                <w:bCs/>
                <w:color w:val="000000"/>
                <w:sz w:val="20"/>
              </w:rPr>
            </w:pPr>
            <w:r>
              <w:rPr>
                <w:rFonts w:asciiTheme="minorHAnsi" w:hAnsiTheme="minorHAnsi" w:cstheme="minorHAnsi"/>
                <w:b/>
                <w:bCs/>
                <w:color w:val="000000"/>
                <w:sz w:val="20"/>
              </w:rPr>
              <w:t xml:space="preserve">Allocation for </w:t>
            </w:r>
            <w:r w:rsidR="00FE7B88">
              <w:rPr>
                <w:rFonts w:asciiTheme="minorHAnsi" w:hAnsiTheme="minorHAnsi" w:cstheme="minorHAnsi"/>
                <w:b/>
                <w:bCs/>
                <w:color w:val="000000"/>
                <w:sz w:val="20"/>
              </w:rPr>
              <w:t>I</w:t>
            </w:r>
            <w:r>
              <w:rPr>
                <w:rFonts w:asciiTheme="minorHAnsi" w:hAnsiTheme="minorHAnsi" w:cstheme="minorHAnsi"/>
                <w:b/>
                <w:bCs/>
                <w:color w:val="000000"/>
                <w:sz w:val="20"/>
              </w:rPr>
              <w:t>nvestment Into Other Assets</w:t>
            </w:r>
          </w:p>
        </w:tc>
        <w:tc>
          <w:tcPr>
            <w:tcW w:w="1604" w:type="dxa"/>
            <w:tcBorders>
              <w:top w:val="nil"/>
              <w:left w:val="nil"/>
              <w:bottom w:val="single" w:sz="4" w:space="0" w:color="auto"/>
              <w:right w:val="single" w:sz="4" w:space="0" w:color="auto"/>
            </w:tcBorders>
            <w:noWrap/>
          </w:tcPr>
          <w:p w14:paraId="0175C029" w14:textId="77777777" w:rsidR="00C97018" w:rsidRPr="00532398" w:rsidRDefault="00C97018" w:rsidP="00220F5C">
            <w:pPr>
              <w:jc w:val="center"/>
              <w:rPr>
                <w:rFonts w:asciiTheme="minorHAnsi" w:hAnsiTheme="minorHAnsi" w:cstheme="minorHAnsi"/>
                <w:b/>
                <w:bCs/>
                <w:color w:val="000000"/>
                <w:sz w:val="20"/>
              </w:rPr>
            </w:pPr>
            <w:r>
              <w:rPr>
                <w:rFonts w:asciiTheme="minorHAnsi" w:hAnsiTheme="minorHAnsi" w:cstheme="minorHAnsi"/>
                <w:b/>
                <w:bCs/>
                <w:color w:val="000000"/>
                <w:sz w:val="20"/>
              </w:rPr>
              <w:t>40,000,000</w:t>
            </w:r>
          </w:p>
        </w:tc>
      </w:tr>
      <w:tr w:rsidR="00C97018" w:rsidRPr="00DB61E0" w14:paraId="1FF9C828" w14:textId="77777777" w:rsidTr="00C97018">
        <w:trPr>
          <w:trHeight w:val="300"/>
        </w:trPr>
        <w:tc>
          <w:tcPr>
            <w:tcW w:w="592" w:type="dxa"/>
            <w:tcBorders>
              <w:top w:val="nil"/>
              <w:left w:val="single" w:sz="4" w:space="0" w:color="auto"/>
              <w:bottom w:val="single" w:sz="4" w:space="0" w:color="auto"/>
              <w:right w:val="single" w:sz="4" w:space="0" w:color="auto"/>
            </w:tcBorders>
            <w:noWrap/>
          </w:tcPr>
          <w:p w14:paraId="0E182A24" w14:textId="77777777" w:rsidR="00C97018" w:rsidRPr="00A66399" w:rsidRDefault="00C97018" w:rsidP="00220F5C">
            <w:pPr>
              <w:jc w:val="center"/>
              <w:rPr>
                <w:rFonts w:asciiTheme="minorHAnsi" w:hAnsiTheme="minorHAnsi" w:cstheme="minorHAnsi"/>
                <w:sz w:val="20"/>
              </w:rPr>
            </w:pPr>
            <w:r w:rsidRPr="00A66399">
              <w:rPr>
                <w:rFonts w:asciiTheme="minorHAnsi" w:hAnsiTheme="minorHAnsi" w:cstheme="minorHAnsi"/>
                <w:sz w:val="20"/>
              </w:rPr>
              <w:t>22</w:t>
            </w:r>
          </w:p>
        </w:tc>
        <w:tc>
          <w:tcPr>
            <w:tcW w:w="1923" w:type="dxa"/>
            <w:tcBorders>
              <w:top w:val="nil"/>
              <w:left w:val="nil"/>
              <w:bottom w:val="single" w:sz="4" w:space="0" w:color="auto"/>
              <w:right w:val="single" w:sz="4" w:space="0" w:color="auto"/>
            </w:tcBorders>
            <w:noWrap/>
          </w:tcPr>
          <w:p w14:paraId="5015605C" w14:textId="77777777" w:rsidR="00C97018" w:rsidRPr="00532398" w:rsidRDefault="00C97018" w:rsidP="00220F5C">
            <w:pPr>
              <w:jc w:val="center"/>
              <w:rPr>
                <w:rFonts w:asciiTheme="minorHAnsi" w:hAnsiTheme="minorHAnsi" w:cstheme="minorHAnsi"/>
                <w:color w:val="000000"/>
                <w:sz w:val="20"/>
              </w:rPr>
            </w:pPr>
            <w:r>
              <w:rPr>
                <w:rFonts w:asciiTheme="minorHAnsi" w:hAnsiTheme="minorHAnsi" w:cstheme="minorHAnsi"/>
                <w:color w:val="000000"/>
                <w:sz w:val="20"/>
              </w:rPr>
              <w:t>Line 21 Divided by Line 20</w:t>
            </w:r>
          </w:p>
        </w:tc>
        <w:tc>
          <w:tcPr>
            <w:tcW w:w="6755" w:type="dxa"/>
            <w:tcBorders>
              <w:top w:val="nil"/>
              <w:left w:val="nil"/>
              <w:bottom w:val="single" w:sz="4" w:space="0" w:color="auto"/>
              <w:right w:val="single" w:sz="4" w:space="0" w:color="auto"/>
            </w:tcBorders>
            <w:noWrap/>
          </w:tcPr>
          <w:p w14:paraId="5F1E913C" w14:textId="77777777" w:rsidR="00C97018" w:rsidRPr="00532398" w:rsidRDefault="00C97018" w:rsidP="00220F5C">
            <w:pPr>
              <w:jc w:val="right"/>
              <w:rPr>
                <w:rFonts w:asciiTheme="minorHAnsi" w:hAnsiTheme="minorHAnsi" w:cstheme="minorHAnsi"/>
                <w:b/>
                <w:bCs/>
                <w:color w:val="000000"/>
                <w:sz w:val="20"/>
              </w:rPr>
            </w:pPr>
            <w:r>
              <w:rPr>
                <w:rFonts w:asciiTheme="minorHAnsi" w:hAnsiTheme="minorHAnsi" w:cstheme="minorHAnsi"/>
                <w:b/>
                <w:bCs/>
                <w:color w:val="000000"/>
                <w:sz w:val="20"/>
              </w:rPr>
              <w:t>Percent of Investable Premiums Allocable to Equity and Other Investments</w:t>
            </w:r>
          </w:p>
        </w:tc>
        <w:tc>
          <w:tcPr>
            <w:tcW w:w="1604" w:type="dxa"/>
            <w:tcBorders>
              <w:top w:val="nil"/>
              <w:left w:val="nil"/>
              <w:bottom w:val="single" w:sz="4" w:space="0" w:color="auto"/>
              <w:right w:val="single" w:sz="4" w:space="0" w:color="auto"/>
            </w:tcBorders>
            <w:noWrap/>
          </w:tcPr>
          <w:p w14:paraId="32B68ADB" w14:textId="77777777" w:rsidR="00C97018" w:rsidRPr="00532398" w:rsidRDefault="00C97018" w:rsidP="00220F5C">
            <w:pPr>
              <w:jc w:val="center"/>
              <w:rPr>
                <w:rFonts w:asciiTheme="minorHAnsi" w:hAnsiTheme="minorHAnsi" w:cstheme="minorHAnsi"/>
                <w:b/>
                <w:bCs/>
                <w:color w:val="000000"/>
                <w:sz w:val="20"/>
              </w:rPr>
            </w:pPr>
            <w:r>
              <w:rPr>
                <w:rFonts w:asciiTheme="minorHAnsi" w:hAnsiTheme="minorHAnsi" w:cstheme="minorHAnsi"/>
                <w:b/>
                <w:bCs/>
                <w:color w:val="000000"/>
                <w:sz w:val="20"/>
              </w:rPr>
              <w:t>20%</w:t>
            </w:r>
          </w:p>
        </w:tc>
      </w:tr>
      <w:tr w:rsidR="00C97018" w:rsidRPr="00DB61E0" w14:paraId="1FD978BA" w14:textId="77777777" w:rsidTr="00C97018">
        <w:trPr>
          <w:trHeight w:val="300"/>
        </w:trPr>
        <w:tc>
          <w:tcPr>
            <w:tcW w:w="592" w:type="dxa"/>
            <w:tcBorders>
              <w:top w:val="nil"/>
              <w:left w:val="single" w:sz="4" w:space="0" w:color="auto"/>
              <w:bottom w:val="single" w:sz="4" w:space="0" w:color="auto"/>
              <w:right w:val="single" w:sz="4" w:space="0" w:color="auto"/>
            </w:tcBorders>
            <w:noWrap/>
          </w:tcPr>
          <w:p w14:paraId="4C805CC7" w14:textId="77777777" w:rsidR="00C97018" w:rsidRPr="00A66399" w:rsidRDefault="00C97018" w:rsidP="00220F5C">
            <w:pPr>
              <w:jc w:val="center"/>
              <w:rPr>
                <w:rFonts w:asciiTheme="minorHAnsi" w:hAnsiTheme="minorHAnsi" w:cstheme="minorHAnsi"/>
                <w:sz w:val="20"/>
              </w:rPr>
            </w:pPr>
            <w:r w:rsidRPr="00A66399">
              <w:rPr>
                <w:rFonts w:asciiTheme="minorHAnsi" w:hAnsiTheme="minorHAnsi" w:cstheme="minorHAnsi"/>
                <w:sz w:val="20"/>
              </w:rPr>
              <w:t>23</w:t>
            </w:r>
          </w:p>
        </w:tc>
        <w:tc>
          <w:tcPr>
            <w:tcW w:w="1923" w:type="dxa"/>
            <w:tcBorders>
              <w:top w:val="nil"/>
              <w:left w:val="nil"/>
              <w:bottom w:val="single" w:sz="4" w:space="0" w:color="auto"/>
              <w:right w:val="single" w:sz="4" w:space="0" w:color="auto"/>
            </w:tcBorders>
            <w:noWrap/>
          </w:tcPr>
          <w:p w14:paraId="73742B9C" w14:textId="77777777" w:rsidR="00C97018" w:rsidRPr="00532398" w:rsidRDefault="00C97018" w:rsidP="00220F5C">
            <w:pPr>
              <w:jc w:val="center"/>
              <w:rPr>
                <w:rFonts w:asciiTheme="minorHAnsi" w:hAnsiTheme="minorHAnsi" w:cstheme="minorHAnsi"/>
                <w:color w:val="000000"/>
                <w:sz w:val="20"/>
              </w:rPr>
            </w:pPr>
            <w:r>
              <w:rPr>
                <w:rFonts w:asciiTheme="minorHAnsi" w:hAnsiTheme="minorHAnsi" w:cstheme="minorHAnsi"/>
                <w:color w:val="000000"/>
                <w:sz w:val="20"/>
              </w:rPr>
              <w:t>Line 14 multiplied by Line 22</w:t>
            </w:r>
          </w:p>
        </w:tc>
        <w:tc>
          <w:tcPr>
            <w:tcW w:w="6755" w:type="dxa"/>
            <w:tcBorders>
              <w:top w:val="nil"/>
              <w:left w:val="nil"/>
              <w:bottom w:val="single" w:sz="4" w:space="0" w:color="auto"/>
              <w:right w:val="single" w:sz="4" w:space="0" w:color="auto"/>
            </w:tcBorders>
            <w:noWrap/>
          </w:tcPr>
          <w:p w14:paraId="4ABA0066" w14:textId="77777777" w:rsidR="00C97018" w:rsidRPr="00532398" w:rsidRDefault="00C97018" w:rsidP="00220F5C">
            <w:pPr>
              <w:jc w:val="right"/>
              <w:rPr>
                <w:rFonts w:asciiTheme="minorHAnsi" w:hAnsiTheme="minorHAnsi" w:cstheme="minorHAnsi"/>
                <w:b/>
                <w:bCs/>
                <w:color w:val="000000"/>
                <w:sz w:val="20"/>
              </w:rPr>
            </w:pPr>
            <w:r>
              <w:rPr>
                <w:rFonts w:asciiTheme="minorHAnsi" w:hAnsiTheme="minorHAnsi" w:cstheme="minorHAnsi"/>
                <w:b/>
                <w:bCs/>
                <w:color w:val="000000"/>
                <w:sz w:val="20"/>
              </w:rPr>
              <w:t>Investable Premium Adjustment</w:t>
            </w:r>
          </w:p>
        </w:tc>
        <w:tc>
          <w:tcPr>
            <w:tcW w:w="1604" w:type="dxa"/>
            <w:tcBorders>
              <w:top w:val="nil"/>
              <w:left w:val="nil"/>
              <w:bottom w:val="single" w:sz="4" w:space="0" w:color="auto"/>
              <w:right w:val="single" w:sz="4" w:space="0" w:color="auto"/>
            </w:tcBorders>
            <w:noWrap/>
          </w:tcPr>
          <w:p w14:paraId="5CAE254A" w14:textId="77777777" w:rsidR="00C97018" w:rsidRPr="00532398" w:rsidRDefault="00C97018" w:rsidP="00220F5C">
            <w:pPr>
              <w:jc w:val="center"/>
              <w:rPr>
                <w:rFonts w:asciiTheme="minorHAnsi" w:hAnsiTheme="minorHAnsi" w:cstheme="minorHAnsi"/>
                <w:b/>
                <w:bCs/>
                <w:color w:val="000000"/>
                <w:sz w:val="20"/>
              </w:rPr>
            </w:pPr>
            <w:r>
              <w:rPr>
                <w:rFonts w:asciiTheme="minorHAnsi" w:hAnsiTheme="minorHAnsi" w:cstheme="minorHAnsi"/>
                <w:b/>
                <w:bCs/>
                <w:color w:val="000000"/>
                <w:sz w:val="20"/>
              </w:rPr>
              <w:t>4,792,000</w:t>
            </w:r>
          </w:p>
        </w:tc>
      </w:tr>
      <w:tr w:rsidR="00C97018" w:rsidRPr="00DB61E0" w14:paraId="34BF85B4" w14:textId="77777777" w:rsidTr="00C97018">
        <w:trPr>
          <w:trHeight w:val="300"/>
        </w:trPr>
        <w:tc>
          <w:tcPr>
            <w:tcW w:w="592" w:type="dxa"/>
            <w:tcBorders>
              <w:top w:val="nil"/>
              <w:left w:val="single" w:sz="4" w:space="0" w:color="auto"/>
              <w:bottom w:val="single" w:sz="4" w:space="0" w:color="auto"/>
              <w:right w:val="single" w:sz="4" w:space="0" w:color="auto"/>
            </w:tcBorders>
            <w:shd w:val="clear" w:color="000000" w:fill="FFFFFF"/>
            <w:noWrap/>
          </w:tcPr>
          <w:p w14:paraId="74F9402C" w14:textId="77777777" w:rsidR="00C97018" w:rsidRPr="00A66399" w:rsidRDefault="00C97018" w:rsidP="00220F5C">
            <w:pPr>
              <w:jc w:val="center"/>
              <w:rPr>
                <w:rFonts w:asciiTheme="minorHAnsi" w:hAnsiTheme="minorHAnsi" w:cstheme="minorHAnsi"/>
                <w:sz w:val="20"/>
              </w:rPr>
            </w:pPr>
            <w:r w:rsidRPr="00A66399">
              <w:rPr>
                <w:rFonts w:asciiTheme="minorHAnsi" w:hAnsiTheme="minorHAnsi" w:cstheme="minorHAnsi"/>
                <w:sz w:val="20"/>
              </w:rPr>
              <w:t>24</w:t>
            </w:r>
          </w:p>
        </w:tc>
        <w:tc>
          <w:tcPr>
            <w:tcW w:w="1923" w:type="dxa"/>
            <w:tcBorders>
              <w:top w:val="nil"/>
              <w:left w:val="nil"/>
              <w:bottom w:val="single" w:sz="4" w:space="0" w:color="auto"/>
              <w:right w:val="single" w:sz="4" w:space="0" w:color="auto"/>
            </w:tcBorders>
            <w:shd w:val="clear" w:color="000000" w:fill="FFFFFF"/>
            <w:noWrap/>
          </w:tcPr>
          <w:p w14:paraId="191FD890" w14:textId="77777777" w:rsidR="00C97018" w:rsidRPr="00532398" w:rsidRDefault="00C97018" w:rsidP="00220F5C">
            <w:pPr>
              <w:jc w:val="center"/>
              <w:rPr>
                <w:rFonts w:asciiTheme="minorHAnsi" w:hAnsiTheme="minorHAnsi" w:cstheme="minorHAnsi"/>
                <w:color w:val="000000"/>
                <w:sz w:val="20"/>
              </w:rPr>
            </w:pPr>
            <w:r>
              <w:rPr>
                <w:rFonts w:asciiTheme="minorHAnsi" w:hAnsiTheme="minorHAnsi" w:cstheme="minorHAnsi"/>
                <w:color w:val="000000"/>
                <w:sz w:val="20"/>
              </w:rPr>
              <w:t>Line 14 – Less 23</w:t>
            </w:r>
          </w:p>
        </w:tc>
        <w:tc>
          <w:tcPr>
            <w:tcW w:w="6755" w:type="dxa"/>
            <w:tcBorders>
              <w:top w:val="nil"/>
              <w:left w:val="nil"/>
              <w:bottom w:val="single" w:sz="4" w:space="0" w:color="auto"/>
              <w:right w:val="single" w:sz="4" w:space="0" w:color="auto"/>
            </w:tcBorders>
            <w:shd w:val="clear" w:color="000000" w:fill="FFFFFF"/>
            <w:noWrap/>
          </w:tcPr>
          <w:p w14:paraId="75C3DA76" w14:textId="77777777" w:rsidR="00C97018" w:rsidRPr="00532398" w:rsidRDefault="00C97018" w:rsidP="00220F5C">
            <w:pPr>
              <w:jc w:val="right"/>
              <w:rPr>
                <w:rFonts w:asciiTheme="minorHAnsi" w:hAnsiTheme="minorHAnsi" w:cstheme="minorHAnsi"/>
                <w:b/>
                <w:bCs/>
                <w:color w:val="000000"/>
                <w:sz w:val="20"/>
              </w:rPr>
            </w:pPr>
            <w:r>
              <w:rPr>
                <w:rFonts w:asciiTheme="minorHAnsi" w:hAnsiTheme="minorHAnsi" w:cstheme="minorHAnsi"/>
                <w:b/>
                <w:bCs/>
                <w:color w:val="000000"/>
                <w:sz w:val="20"/>
              </w:rPr>
              <w:t>Investable Premium</w:t>
            </w:r>
          </w:p>
        </w:tc>
        <w:tc>
          <w:tcPr>
            <w:tcW w:w="1604" w:type="dxa"/>
            <w:tcBorders>
              <w:top w:val="nil"/>
              <w:left w:val="nil"/>
              <w:bottom w:val="single" w:sz="4" w:space="0" w:color="auto"/>
              <w:right w:val="single" w:sz="4" w:space="0" w:color="auto"/>
            </w:tcBorders>
            <w:shd w:val="clear" w:color="000000" w:fill="FFFFFF"/>
            <w:noWrap/>
          </w:tcPr>
          <w:p w14:paraId="75A0CC03" w14:textId="77777777" w:rsidR="00C97018" w:rsidRPr="00532398" w:rsidRDefault="00C97018" w:rsidP="00220F5C">
            <w:pPr>
              <w:jc w:val="center"/>
              <w:rPr>
                <w:rFonts w:asciiTheme="minorHAnsi" w:hAnsiTheme="minorHAnsi" w:cstheme="minorHAnsi"/>
                <w:b/>
                <w:bCs/>
                <w:color w:val="000000"/>
                <w:sz w:val="20"/>
              </w:rPr>
            </w:pPr>
            <w:r>
              <w:rPr>
                <w:rFonts w:asciiTheme="minorHAnsi" w:hAnsiTheme="minorHAnsi" w:cstheme="minorHAnsi"/>
                <w:b/>
                <w:bCs/>
                <w:color w:val="000000"/>
                <w:sz w:val="20"/>
              </w:rPr>
              <w:t>19,166,000</w:t>
            </w:r>
          </w:p>
        </w:tc>
      </w:tr>
      <w:tr w:rsidR="00C97018" w:rsidRPr="00DB61E0" w14:paraId="236814C9" w14:textId="77777777" w:rsidTr="00C97018">
        <w:trPr>
          <w:trHeight w:val="300"/>
        </w:trPr>
        <w:tc>
          <w:tcPr>
            <w:tcW w:w="592" w:type="dxa"/>
            <w:tcBorders>
              <w:top w:val="nil"/>
              <w:left w:val="single" w:sz="4" w:space="0" w:color="auto"/>
              <w:bottom w:val="single" w:sz="4" w:space="0" w:color="auto"/>
              <w:right w:val="single" w:sz="4" w:space="0" w:color="auto"/>
            </w:tcBorders>
            <w:shd w:val="clear" w:color="000000" w:fill="FFFFFF"/>
            <w:noWrap/>
            <w:hideMark/>
          </w:tcPr>
          <w:p w14:paraId="3279128C" w14:textId="77777777" w:rsidR="00C97018" w:rsidRPr="00A66399" w:rsidRDefault="00C97018" w:rsidP="00220F5C">
            <w:pPr>
              <w:jc w:val="center"/>
              <w:rPr>
                <w:rFonts w:asciiTheme="minorHAnsi" w:hAnsiTheme="minorHAnsi" w:cstheme="minorHAnsi"/>
                <w:sz w:val="20"/>
              </w:rPr>
            </w:pPr>
            <w:r w:rsidRPr="00A66399">
              <w:rPr>
                <w:rFonts w:asciiTheme="minorHAnsi" w:hAnsiTheme="minorHAnsi" w:cstheme="minorHAnsi"/>
                <w:sz w:val="20"/>
              </w:rPr>
              <w:t>25</w:t>
            </w:r>
          </w:p>
        </w:tc>
        <w:tc>
          <w:tcPr>
            <w:tcW w:w="1923" w:type="dxa"/>
            <w:tcBorders>
              <w:top w:val="nil"/>
              <w:left w:val="nil"/>
              <w:bottom w:val="single" w:sz="4" w:space="0" w:color="auto"/>
              <w:right w:val="single" w:sz="4" w:space="0" w:color="auto"/>
            </w:tcBorders>
            <w:shd w:val="clear" w:color="000000" w:fill="FFFFFF"/>
            <w:noWrap/>
            <w:hideMark/>
          </w:tcPr>
          <w:p w14:paraId="69C95BA0"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Line 3 - line 7 - line 14</w:t>
            </w:r>
          </w:p>
        </w:tc>
        <w:tc>
          <w:tcPr>
            <w:tcW w:w="6755" w:type="dxa"/>
            <w:tcBorders>
              <w:top w:val="nil"/>
              <w:left w:val="nil"/>
              <w:bottom w:val="single" w:sz="4" w:space="0" w:color="auto"/>
              <w:right w:val="single" w:sz="4" w:space="0" w:color="auto"/>
            </w:tcBorders>
            <w:shd w:val="clear" w:color="000000" w:fill="FFFFFF"/>
            <w:noWrap/>
            <w:hideMark/>
          </w:tcPr>
          <w:p w14:paraId="6CCCF000" w14:textId="3F883A76" w:rsidR="00C97018" w:rsidRPr="00532398" w:rsidRDefault="00C97018" w:rsidP="00220F5C">
            <w:pPr>
              <w:jc w:val="right"/>
              <w:rPr>
                <w:rFonts w:asciiTheme="minorHAnsi" w:hAnsiTheme="minorHAnsi" w:cstheme="minorHAnsi"/>
                <w:b/>
                <w:bCs/>
                <w:color w:val="000000"/>
                <w:sz w:val="20"/>
              </w:rPr>
            </w:pPr>
            <w:r w:rsidRPr="00532398">
              <w:rPr>
                <w:rFonts w:asciiTheme="minorHAnsi" w:hAnsiTheme="minorHAnsi" w:cstheme="minorHAnsi"/>
                <w:b/>
                <w:bCs/>
                <w:color w:val="000000"/>
                <w:sz w:val="20"/>
              </w:rPr>
              <w:t xml:space="preserve">Investments </w:t>
            </w:r>
            <w:r w:rsidR="00FE7B88">
              <w:rPr>
                <w:rFonts w:asciiTheme="minorHAnsi" w:hAnsiTheme="minorHAnsi" w:cstheme="minorHAnsi"/>
                <w:b/>
                <w:bCs/>
                <w:color w:val="000000"/>
                <w:sz w:val="20"/>
              </w:rPr>
              <w:t>P</w:t>
            </w:r>
            <w:r w:rsidRPr="00532398">
              <w:rPr>
                <w:rFonts w:asciiTheme="minorHAnsi" w:hAnsiTheme="minorHAnsi" w:cstheme="minorHAnsi"/>
                <w:b/>
                <w:bCs/>
                <w:color w:val="000000"/>
                <w:sz w:val="20"/>
              </w:rPr>
              <w:t xml:space="preserve">urchased less </w:t>
            </w:r>
            <w:r w:rsidR="00FE7B88">
              <w:rPr>
                <w:rFonts w:asciiTheme="minorHAnsi" w:hAnsiTheme="minorHAnsi" w:cstheme="minorHAnsi"/>
                <w:b/>
                <w:bCs/>
                <w:color w:val="000000"/>
                <w:sz w:val="20"/>
              </w:rPr>
              <w:t>I</w:t>
            </w:r>
            <w:r w:rsidRPr="00532398">
              <w:rPr>
                <w:rFonts w:asciiTheme="minorHAnsi" w:hAnsiTheme="minorHAnsi" w:cstheme="minorHAnsi"/>
                <w:b/>
                <w:bCs/>
                <w:color w:val="000000"/>
                <w:sz w:val="20"/>
              </w:rPr>
              <w:t xml:space="preserve">nvestments </w:t>
            </w:r>
            <w:r w:rsidR="00FE7B88">
              <w:rPr>
                <w:rFonts w:asciiTheme="minorHAnsi" w:hAnsiTheme="minorHAnsi" w:cstheme="minorHAnsi"/>
                <w:b/>
                <w:bCs/>
                <w:color w:val="000000"/>
                <w:sz w:val="20"/>
              </w:rPr>
              <w:t>S</w:t>
            </w:r>
            <w:r w:rsidRPr="00532398">
              <w:rPr>
                <w:rFonts w:asciiTheme="minorHAnsi" w:hAnsiTheme="minorHAnsi" w:cstheme="minorHAnsi"/>
                <w:b/>
                <w:bCs/>
                <w:color w:val="000000"/>
                <w:sz w:val="20"/>
              </w:rPr>
              <w:t xml:space="preserve">old and </w:t>
            </w:r>
            <w:r w:rsidR="00FE7B88">
              <w:rPr>
                <w:rFonts w:asciiTheme="minorHAnsi" w:hAnsiTheme="minorHAnsi" w:cstheme="minorHAnsi"/>
                <w:b/>
                <w:bCs/>
                <w:color w:val="000000"/>
                <w:sz w:val="20"/>
              </w:rPr>
              <w:t>I</w:t>
            </w:r>
            <w:r w:rsidRPr="00532398">
              <w:rPr>
                <w:rFonts w:asciiTheme="minorHAnsi" w:hAnsiTheme="minorHAnsi" w:cstheme="minorHAnsi"/>
                <w:b/>
                <w:bCs/>
                <w:color w:val="000000"/>
                <w:sz w:val="20"/>
              </w:rPr>
              <w:t xml:space="preserve">nvestable </w:t>
            </w:r>
            <w:r w:rsidR="00FE7B88">
              <w:rPr>
                <w:rFonts w:asciiTheme="minorHAnsi" w:hAnsiTheme="minorHAnsi" w:cstheme="minorHAnsi"/>
                <w:b/>
                <w:bCs/>
                <w:color w:val="000000"/>
                <w:sz w:val="20"/>
              </w:rPr>
              <w:t>P</w:t>
            </w:r>
            <w:r w:rsidRPr="00532398">
              <w:rPr>
                <w:rFonts w:asciiTheme="minorHAnsi" w:hAnsiTheme="minorHAnsi" w:cstheme="minorHAnsi"/>
                <w:b/>
                <w:bCs/>
                <w:color w:val="000000"/>
                <w:sz w:val="20"/>
              </w:rPr>
              <w:t>remiums</w:t>
            </w:r>
          </w:p>
        </w:tc>
        <w:tc>
          <w:tcPr>
            <w:tcW w:w="1604" w:type="dxa"/>
            <w:tcBorders>
              <w:top w:val="nil"/>
              <w:left w:val="nil"/>
              <w:bottom w:val="single" w:sz="4" w:space="0" w:color="auto"/>
              <w:right w:val="single" w:sz="4" w:space="0" w:color="auto"/>
            </w:tcBorders>
            <w:shd w:val="clear" w:color="000000" w:fill="FFFFFF"/>
            <w:noWrap/>
            <w:hideMark/>
          </w:tcPr>
          <w:p w14:paraId="0D2018E7" w14:textId="77777777" w:rsidR="00C97018" w:rsidRPr="00532398" w:rsidRDefault="00C97018" w:rsidP="00220F5C">
            <w:pPr>
              <w:jc w:val="center"/>
              <w:rPr>
                <w:rFonts w:asciiTheme="minorHAnsi" w:hAnsiTheme="minorHAnsi" w:cstheme="minorHAnsi"/>
                <w:b/>
                <w:bCs/>
                <w:color w:val="000000"/>
                <w:sz w:val="20"/>
              </w:rPr>
            </w:pPr>
            <w:r w:rsidRPr="00532398">
              <w:rPr>
                <w:rFonts w:asciiTheme="minorHAnsi" w:hAnsiTheme="minorHAnsi" w:cstheme="minorHAnsi"/>
                <w:b/>
                <w:bCs/>
                <w:color w:val="000000"/>
                <w:sz w:val="20"/>
              </w:rPr>
              <w:t>49,587,000</w:t>
            </w:r>
          </w:p>
        </w:tc>
      </w:tr>
      <w:tr w:rsidR="00C97018" w:rsidRPr="00DB61E0" w14:paraId="7E36F72D" w14:textId="77777777" w:rsidTr="00C97018">
        <w:trPr>
          <w:trHeight w:val="300"/>
        </w:trPr>
        <w:tc>
          <w:tcPr>
            <w:tcW w:w="592" w:type="dxa"/>
            <w:tcBorders>
              <w:top w:val="nil"/>
              <w:left w:val="single" w:sz="4" w:space="0" w:color="auto"/>
              <w:bottom w:val="single" w:sz="4" w:space="0" w:color="auto"/>
              <w:right w:val="single" w:sz="4" w:space="0" w:color="auto"/>
            </w:tcBorders>
            <w:shd w:val="clear" w:color="000000" w:fill="FFFFFF"/>
            <w:noWrap/>
            <w:hideMark/>
          </w:tcPr>
          <w:p w14:paraId="6AF225B4" w14:textId="77777777" w:rsidR="00C97018" w:rsidRPr="00532398" w:rsidRDefault="00C97018" w:rsidP="00220F5C">
            <w:pPr>
              <w:jc w:val="center"/>
              <w:rPr>
                <w:rFonts w:asciiTheme="minorHAnsi" w:hAnsiTheme="minorHAnsi" w:cstheme="minorHAnsi"/>
                <w:color w:val="000000"/>
                <w:sz w:val="20"/>
              </w:rPr>
            </w:pPr>
            <w:r>
              <w:rPr>
                <w:rFonts w:asciiTheme="minorHAnsi" w:hAnsiTheme="minorHAnsi" w:cstheme="minorHAnsi"/>
                <w:color w:val="000000"/>
                <w:sz w:val="20"/>
              </w:rPr>
              <w:t>26</w:t>
            </w:r>
          </w:p>
        </w:tc>
        <w:tc>
          <w:tcPr>
            <w:tcW w:w="1923" w:type="dxa"/>
            <w:tcBorders>
              <w:top w:val="nil"/>
              <w:left w:val="nil"/>
              <w:bottom w:val="single" w:sz="4" w:space="0" w:color="auto"/>
              <w:right w:val="single" w:sz="4" w:space="0" w:color="auto"/>
            </w:tcBorders>
            <w:shd w:val="clear" w:color="000000" w:fill="FFFFFF"/>
            <w:noWrap/>
            <w:hideMark/>
          </w:tcPr>
          <w:p w14:paraId="669D5D8E"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Internal Systems</w:t>
            </w:r>
          </w:p>
        </w:tc>
        <w:tc>
          <w:tcPr>
            <w:tcW w:w="6755" w:type="dxa"/>
            <w:tcBorders>
              <w:top w:val="nil"/>
              <w:left w:val="nil"/>
              <w:bottom w:val="single" w:sz="4" w:space="0" w:color="auto"/>
              <w:right w:val="single" w:sz="4" w:space="0" w:color="auto"/>
            </w:tcBorders>
            <w:shd w:val="clear" w:color="000000" w:fill="FFFFFF"/>
            <w:noWrap/>
            <w:hideMark/>
          </w:tcPr>
          <w:p w14:paraId="3E1AF178" w14:textId="77777777" w:rsidR="00C97018" w:rsidRPr="00532398" w:rsidRDefault="00C97018" w:rsidP="00220F5C">
            <w:pPr>
              <w:rPr>
                <w:rFonts w:asciiTheme="minorHAnsi" w:hAnsiTheme="minorHAnsi" w:cstheme="minorHAnsi"/>
                <w:color w:val="000000"/>
                <w:sz w:val="20"/>
              </w:rPr>
            </w:pPr>
            <w:r w:rsidRPr="00532398">
              <w:rPr>
                <w:rFonts w:asciiTheme="minorHAnsi" w:hAnsiTheme="minorHAnsi" w:cstheme="minorHAnsi"/>
                <w:color w:val="000000"/>
                <w:sz w:val="20"/>
              </w:rPr>
              <w:t>Weighted average yield of fixed income investments purchased (as reported on line 3) during the year</w:t>
            </w:r>
          </w:p>
        </w:tc>
        <w:tc>
          <w:tcPr>
            <w:tcW w:w="1604" w:type="dxa"/>
            <w:tcBorders>
              <w:top w:val="nil"/>
              <w:left w:val="nil"/>
              <w:bottom w:val="single" w:sz="4" w:space="0" w:color="auto"/>
              <w:right w:val="single" w:sz="4" w:space="0" w:color="auto"/>
            </w:tcBorders>
            <w:shd w:val="clear" w:color="000000" w:fill="FFFFFF"/>
            <w:noWrap/>
            <w:hideMark/>
          </w:tcPr>
          <w:p w14:paraId="2AAE5D1D" w14:textId="77777777" w:rsidR="00C97018" w:rsidRPr="00532398" w:rsidRDefault="00C97018" w:rsidP="00220F5C">
            <w:pPr>
              <w:jc w:val="center"/>
              <w:rPr>
                <w:rFonts w:asciiTheme="minorHAnsi" w:hAnsiTheme="minorHAnsi" w:cstheme="minorHAnsi"/>
                <w:b/>
                <w:bCs/>
                <w:color w:val="000000"/>
                <w:sz w:val="20"/>
              </w:rPr>
            </w:pPr>
            <w:r w:rsidRPr="00532398">
              <w:rPr>
                <w:rFonts w:asciiTheme="minorHAnsi" w:hAnsiTheme="minorHAnsi" w:cstheme="minorHAnsi"/>
                <w:b/>
                <w:bCs/>
                <w:color w:val="000000"/>
                <w:sz w:val="20"/>
              </w:rPr>
              <w:t>4.57%</w:t>
            </w:r>
          </w:p>
        </w:tc>
      </w:tr>
      <w:tr w:rsidR="00C97018" w:rsidRPr="00DB61E0" w14:paraId="02572A87" w14:textId="77777777" w:rsidTr="00C97018">
        <w:trPr>
          <w:trHeight w:val="300"/>
        </w:trPr>
        <w:tc>
          <w:tcPr>
            <w:tcW w:w="592" w:type="dxa"/>
            <w:tcBorders>
              <w:top w:val="nil"/>
              <w:left w:val="single" w:sz="4" w:space="0" w:color="auto"/>
              <w:bottom w:val="single" w:sz="4" w:space="0" w:color="auto"/>
              <w:right w:val="single" w:sz="4" w:space="0" w:color="auto"/>
            </w:tcBorders>
            <w:shd w:val="clear" w:color="000000" w:fill="FFFFFF"/>
            <w:noWrap/>
            <w:hideMark/>
          </w:tcPr>
          <w:p w14:paraId="1DB56ACB" w14:textId="77777777" w:rsidR="00C97018" w:rsidRPr="00532398" w:rsidRDefault="00C97018" w:rsidP="00220F5C">
            <w:pPr>
              <w:jc w:val="center"/>
              <w:rPr>
                <w:rFonts w:asciiTheme="minorHAnsi" w:hAnsiTheme="minorHAnsi" w:cstheme="minorHAnsi"/>
                <w:color w:val="000000"/>
                <w:sz w:val="20"/>
              </w:rPr>
            </w:pPr>
            <w:r>
              <w:rPr>
                <w:rFonts w:asciiTheme="minorHAnsi" w:hAnsiTheme="minorHAnsi" w:cstheme="minorHAnsi"/>
                <w:color w:val="000000"/>
                <w:sz w:val="20"/>
              </w:rPr>
              <w:t>27</w:t>
            </w:r>
          </w:p>
        </w:tc>
        <w:tc>
          <w:tcPr>
            <w:tcW w:w="1923" w:type="dxa"/>
            <w:tcBorders>
              <w:top w:val="nil"/>
              <w:left w:val="nil"/>
              <w:bottom w:val="single" w:sz="4" w:space="0" w:color="auto"/>
              <w:right w:val="single" w:sz="4" w:space="0" w:color="auto"/>
            </w:tcBorders>
            <w:shd w:val="clear" w:color="000000" w:fill="FFFFFF"/>
            <w:noWrap/>
            <w:hideMark/>
          </w:tcPr>
          <w:p w14:paraId="53CEA185"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Internal Systems</w:t>
            </w:r>
          </w:p>
        </w:tc>
        <w:tc>
          <w:tcPr>
            <w:tcW w:w="6755" w:type="dxa"/>
            <w:tcBorders>
              <w:top w:val="nil"/>
              <w:left w:val="nil"/>
              <w:bottom w:val="single" w:sz="4" w:space="0" w:color="auto"/>
              <w:right w:val="single" w:sz="4" w:space="0" w:color="auto"/>
            </w:tcBorders>
            <w:shd w:val="clear" w:color="000000" w:fill="FFFFFF"/>
            <w:noWrap/>
            <w:hideMark/>
          </w:tcPr>
          <w:p w14:paraId="391758DD" w14:textId="77777777" w:rsidR="00C97018" w:rsidRPr="00532398" w:rsidRDefault="00C97018" w:rsidP="00220F5C">
            <w:pPr>
              <w:rPr>
                <w:rFonts w:asciiTheme="minorHAnsi" w:hAnsiTheme="minorHAnsi" w:cstheme="minorHAnsi"/>
                <w:color w:val="000000"/>
                <w:sz w:val="20"/>
              </w:rPr>
            </w:pPr>
            <w:r w:rsidRPr="00532398">
              <w:rPr>
                <w:rFonts w:asciiTheme="minorHAnsi" w:hAnsiTheme="minorHAnsi" w:cstheme="minorHAnsi"/>
                <w:color w:val="000000"/>
                <w:sz w:val="20"/>
              </w:rPr>
              <w:t>Weighted average yield of fixed income investments sold (as reported on line7) during the year</w:t>
            </w:r>
          </w:p>
        </w:tc>
        <w:tc>
          <w:tcPr>
            <w:tcW w:w="1604" w:type="dxa"/>
            <w:tcBorders>
              <w:top w:val="nil"/>
              <w:left w:val="nil"/>
              <w:bottom w:val="single" w:sz="4" w:space="0" w:color="auto"/>
              <w:right w:val="single" w:sz="4" w:space="0" w:color="auto"/>
            </w:tcBorders>
            <w:shd w:val="clear" w:color="000000" w:fill="FFFFFF"/>
            <w:noWrap/>
            <w:hideMark/>
          </w:tcPr>
          <w:p w14:paraId="4FB8DF31" w14:textId="77777777" w:rsidR="00C97018" w:rsidRPr="00532398" w:rsidRDefault="00C97018" w:rsidP="00220F5C">
            <w:pPr>
              <w:jc w:val="center"/>
              <w:rPr>
                <w:rFonts w:asciiTheme="minorHAnsi" w:hAnsiTheme="minorHAnsi" w:cstheme="minorHAnsi"/>
                <w:b/>
                <w:bCs/>
                <w:color w:val="000000"/>
                <w:sz w:val="20"/>
              </w:rPr>
            </w:pPr>
            <w:r w:rsidRPr="00532398">
              <w:rPr>
                <w:rFonts w:asciiTheme="minorHAnsi" w:hAnsiTheme="minorHAnsi" w:cstheme="minorHAnsi"/>
                <w:b/>
                <w:bCs/>
                <w:color w:val="000000"/>
                <w:sz w:val="20"/>
              </w:rPr>
              <w:t>3.96%</w:t>
            </w:r>
          </w:p>
        </w:tc>
      </w:tr>
      <w:tr w:rsidR="00C97018" w:rsidRPr="00DB61E0" w14:paraId="0EBBD4E6" w14:textId="77777777" w:rsidTr="00C97018">
        <w:trPr>
          <w:trHeight w:val="300"/>
        </w:trPr>
        <w:tc>
          <w:tcPr>
            <w:tcW w:w="592" w:type="dxa"/>
            <w:tcBorders>
              <w:top w:val="nil"/>
              <w:left w:val="single" w:sz="4" w:space="0" w:color="auto"/>
              <w:bottom w:val="single" w:sz="4" w:space="0" w:color="auto"/>
              <w:right w:val="single" w:sz="4" w:space="0" w:color="auto"/>
            </w:tcBorders>
            <w:shd w:val="clear" w:color="000000" w:fill="FFFFFF"/>
            <w:noWrap/>
            <w:hideMark/>
          </w:tcPr>
          <w:p w14:paraId="65073AB5" w14:textId="77777777" w:rsidR="00C97018" w:rsidRPr="00532398" w:rsidRDefault="00C97018" w:rsidP="00220F5C">
            <w:pPr>
              <w:jc w:val="center"/>
              <w:rPr>
                <w:rFonts w:asciiTheme="minorHAnsi" w:hAnsiTheme="minorHAnsi" w:cstheme="minorHAnsi"/>
                <w:color w:val="000000"/>
                <w:sz w:val="20"/>
              </w:rPr>
            </w:pPr>
            <w:r>
              <w:rPr>
                <w:rFonts w:asciiTheme="minorHAnsi" w:hAnsiTheme="minorHAnsi" w:cstheme="minorHAnsi"/>
                <w:color w:val="000000"/>
                <w:sz w:val="20"/>
              </w:rPr>
              <w:t>28</w:t>
            </w:r>
          </w:p>
        </w:tc>
        <w:tc>
          <w:tcPr>
            <w:tcW w:w="1923" w:type="dxa"/>
            <w:tcBorders>
              <w:top w:val="nil"/>
              <w:left w:val="nil"/>
              <w:bottom w:val="single" w:sz="4" w:space="0" w:color="auto"/>
              <w:right w:val="single" w:sz="4" w:space="0" w:color="auto"/>
            </w:tcBorders>
            <w:shd w:val="clear" w:color="000000" w:fill="FFFFFF"/>
            <w:noWrap/>
            <w:hideMark/>
          </w:tcPr>
          <w:p w14:paraId="61641E67" w14:textId="77777777" w:rsidR="00C97018" w:rsidRPr="00532398" w:rsidRDefault="00C97018" w:rsidP="00220F5C">
            <w:pPr>
              <w:jc w:val="center"/>
              <w:rPr>
                <w:rFonts w:asciiTheme="minorHAnsi" w:hAnsiTheme="minorHAnsi" w:cstheme="minorHAnsi"/>
                <w:color w:val="000000"/>
                <w:sz w:val="20"/>
              </w:rPr>
            </w:pPr>
            <w:r w:rsidRPr="00532398">
              <w:rPr>
                <w:rFonts w:asciiTheme="minorHAnsi" w:hAnsiTheme="minorHAnsi" w:cstheme="minorHAnsi"/>
                <w:color w:val="000000"/>
                <w:sz w:val="20"/>
              </w:rPr>
              <w:t>Line 17 - line 18</w:t>
            </w:r>
          </w:p>
        </w:tc>
        <w:tc>
          <w:tcPr>
            <w:tcW w:w="6755" w:type="dxa"/>
            <w:tcBorders>
              <w:top w:val="nil"/>
              <w:left w:val="nil"/>
              <w:bottom w:val="single" w:sz="4" w:space="0" w:color="auto"/>
              <w:right w:val="single" w:sz="4" w:space="0" w:color="auto"/>
            </w:tcBorders>
            <w:shd w:val="clear" w:color="000000" w:fill="FFFFFF"/>
            <w:noWrap/>
            <w:hideMark/>
          </w:tcPr>
          <w:p w14:paraId="58EF2E6E" w14:textId="6D4F85AE" w:rsidR="00C97018" w:rsidRPr="00532398" w:rsidRDefault="00C97018" w:rsidP="00220F5C">
            <w:pPr>
              <w:jc w:val="right"/>
              <w:rPr>
                <w:rFonts w:asciiTheme="minorHAnsi" w:hAnsiTheme="minorHAnsi" w:cstheme="minorHAnsi"/>
                <w:b/>
                <w:bCs/>
                <w:color w:val="000000"/>
                <w:sz w:val="20"/>
              </w:rPr>
            </w:pPr>
            <w:r w:rsidRPr="00532398">
              <w:rPr>
                <w:rFonts w:asciiTheme="minorHAnsi" w:hAnsiTheme="minorHAnsi" w:cstheme="minorHAnsi"/>
                <w:b/>
                <w:bCs/>
                <w:color w:val="000000"/>
                <w:sz w:val="20"/>
              </w:rPr>
              <w:t>Increase (</w:t>
            </w:r>
            <w:r w:rsidR="00FE7B88">
              <w:rPr>
                <w:rFonts w:asciiTheme="minorHAnsi" w:hAnsiTheme="minorHAnsi" w:cstheme="minorHAnsi"/>
                <w:b/>
                <w:bCs/>
                <w:color w:val="000000"/>
                <w:sz w:val="20"/>
              </w:rPr>
              <w:t>D</w:t>
            </w:r>
            <w:r w:rsidRPr="00532398">
              <w:rPr>
                <w:rFonts w:asciiTheme="minorHAnsi" w:hAnsiTheme="minorHAnsi" w:cstheme="minorHAnsi"/>
                <w:b/>
                <w:bCs/>
                <w:color w:val="000000"/>
                <w:sz w:val="20"/>
              </w:rPr>
              <w:t xml:space="preserve">ecrease) of </w:t>
            </w:r>
            <w:r w:rsidR="00FE7B88">
              <w:rPr>
                <w:rFonts w:asciiTheme="minorHAnsi" w:hAnsiTheme="minorHAnsi" w:cstheme="minorHAnsi"/>
                <w:b/>
                <w:bCs/>
                <w:color w:val="000000"/>
                <w:sz w:val="20"/>
              </w:rPr>
              <w:t>Y</w:t>
            </w:r>
            <w:r w:rsidRPr="00532398">
              <w:rPr>
                <w:rFonts w:asciiTheme="minorHAnsi" w:hAnsiTheme="minorHAnsi" w:cstheme="minorHAnsi"/>
                <w:b/>
                <w:bCs/>
                <w:color w:val="000000"/>
                <w:sz w:val="20"/>
              </w:rPr>
              <w:t xml:space="preserve">ield of </w:t>
            </w:r>
            <w:r w:rsidR="00FE7B88">
              <w:rPr>
                <w:rFonts w:asciiTheme="minorHAnsi" w:hAnsiTheme="minorHAnsi" w:cstheme="minorHAnsi"/>
                <w:b/>
                <w:bCs/>
                <w:color w:val="000000"/>
                <w:sz w:val="20"/>
              </w:rPr>
              <w:t>P</w:t>
            </w:r>
            <w:r w:rsidRPr="00532398">
              <w:rPr>
                <w:rFonts w:asciiTheme="minorHAnsi" w:hAnsiTheme="minorHAnsi" w:cstheme="minorHAnsi"/>
                <w:b/>
                <w:bCs/>
                <w:color w:val="000000"/>
                <w:sz w:val="20"/>
              </w:rPr>
              <w:t xml:space="preserve">urchased </w:t>
            </w:r>
            <w:r w:rsidR="00FE7B88">
              <w:rPr>
                <w:rFonts w:asciiTheme="minorHAnsi" w:hAnsiTheme="minorHAnsi" w:cstheme="minorHAnsi"/>
                <w:b/>
                <w:bCs/>
                <w:color w:val="000000"/>
                <w:sz w:val="20"/>
              </w:rPr>
              <w:t>I</w:t>
            </w:r>
            <w:r w:rsidRPr="00532398">
              <w:rPr>
                <w:rFonts w:asciiTheme="minorHAnsi" w:hAnsiTheme="minorHAnsi" w:cstheme="minorHAnsi"/>
                <w:b/>
                <w:bCs/>
                <w:color w:val="000000"/>
                <w:sz w:val="20"/>
              </w:rPr>
              <w:t xml:space="preserve">nvestments </w:t>
            </w:r>
            <w:r w:rsidR="00F34886">
              <w:rPr>
                <w:rFonts w:asciiTheme="minorHAnsi" w:hAnsiTheme="minorHAnsi" w:cstheme="minorHAnsi"/>
                <w:b/>
                <w:bCs/>
                <w:color w:val="000000"/>
                <w:sz w:val="20"/>
              </w:rPr>
              <w:t>O</w:t>
            </w:r>
            <w:r w:rsidRPr="00532398">
              <w:rPr>
                <w:rFonts w:asciiTheme="minorHAnsi" w:hAnsiTheme="minorHAnsi" w:cstheme="minorHAnsi"/>
                <w:b/>
                <w:bCs/>
                <w:color w:val="000000"/>
                <w:sz w:val="20"/>
              </w:rPr>
              <w:t xml:space="preserve">ver </w:t>
            </w:r>
            <w:r w:rsidR="00F34886">
              <w:rPr>
                <w:rFonts w:asciiTheme="minorHAnsi" w:hAnsiTheme="minorHAnsi" w:cstheme="minorHAnsi"/>
                <w:b/>
                <w:bCs/>
                <w:color w:val="000000"/>
                <w:sz w:val="20"/>
              </w:rPr>
              <w:t>T</w:t>
            </w:r>
            <w:r w:rsidRPr="00532398">
              <w:rPr>
                <w:rFonts w:asciiTheme="minorHAnsi" w:hAnsiTheme="minorHAnsi" w:cstheme="minorHAnsi"/>
                <w:b/>
                <w:bCs/>
                <w:color w:val="000000"/>
                <w:sz w:val="20"/>
              </w:rPr>
              <w:t xml:space="preserve">hose </w:t>
            </w:r>
            <w:r w:rsidR="00F34886">
              <w:rPr>
                <w:rFonts w:asciiTheme="minorHAnsi" w:hAnsiTheme="minorHAnsi" w:cstheme="minorHAnsi"/>
                <w:b/>
                <w:bCs/>
                <w:color w:val="000000"/>
                <w:sz w:val="20"/>
              </w:rPr>
              <w:t>S</w:t>
            </w:r>
            <w:r w:rsidRPr="00532398">
              <w:rPr>
                <w:rFonts w:asciiTheme="minorHAnsi" w:hAnsiTheme="minorHAnsi" w:cstheme="minorHAnsi"/>
                <w:b/>
                <w:bCs/>
                <w:color w:val="000000"/>
                <w:sz w:val="20"/>
              </w:rPr>
              <w:t>old</w:t>
            </w:r>
          </w:p>
        </w:tc>
        <w:tc>
          <w:tcPr>
            <w:tcW w:w="1604" w:type="dxa"/>
            <w:tcBorders>
              <w:top w:val="nil"/>
              <w:left w:val="nil"/>
              <w:bottom w:val="single" w:sz="4" w:space="0" w:color="auto"/>
              <w:right w:val="single" w:sz="4" w:space="0" w:color="auto"/>
            </w:tcBorders>
            <w:shd w:val="clear" w:color="000000" w:fill="FFFFFF"/>
            <w:noWrap/>
            <w:hideMark/>
          </w:tcPr>
          <w:p w14:paraId="6AD52A12" w14:textId="77777777" w:rsidR="00C97018" w:rsidRPr="00532398" w:rsidRDefault="00C97018" w:rsidP="00220F5C">
            <w:pPr>
              <w:jc w:val="center"/>
              <w:rPr>
                <w:rFonts w:asciiTheme="minorHAnsi" w:hAnsiTheme="minorHAnsi" w:cstheme="minorHAnsi"/>
                <w:b/>
                <w:bCs/>
                <w:color w:val="000000"/>
                <w:sz w:val="20"/>
              </w:rPr>
            </w:pPr>
            <w:r w:rsidRPr="00532398">
              <w:rPr>
                <w:rFonts w:asciiTheme="minorHAnsi" w:hAnsiTheme="minorHAnsi" w:cstheme="minorHAnsi"/>
                <w:b/>
                <w:bCs/>
                <w:color w:val="000000"/>
                <w:sz w:val="20"/>
              </w:rPr>
              <w:t>0.61%</w:t>
            </w:r>
          </w:p>
        </w:tc>
      </w:tr>
      <w:tr w:rsidR="00C97018" w:rsidRPr="00DB61E0" w14:paraId="7BB9AC67" w14:textId="77777777" w:rsidTr="00C97018">
        <w:trPr>
          <w:trHeight w:val="300"/>
        </w:trPr>
        <w:tc>
          <w:tcPr>
            <w:tcW w:w="592" w:type="dxa"/>
            <w:tcBorders>
              <w:top w:val="nil"/>
              <w:left w:val="single" w:sz="4" w:space="0" w:color="auto"/>
              <w:bottom w:val="single" w:sz="4" w:space="0" w:color="auto"/>
              <w:right w:val="single" w:sz="4" w:space="0" w:color="auto"/>
            </w:tcBorders>
            <w:shd w:val="clear" w:color="000000" w:fill="FFFFFF"/>
            <w:noWrap/>
            <w:hideMark/>
          </w:tcPr>
          <w:p w14:paraId="56E345CF" w14:textId="77777777" w:rsidR="00C97018" w:rsidRPr="00532398" w:rsidRDefault="00C97018" w:rsidP="00220F5C">
            <w:pPr>
              <w:jc w:val="center"/>
              <w:rPr>
                <w:rFonts w:asciiTheme="minorHAnsi" w:hAnsiTheme="minorHAnsi" w:cstheme="minorHAnsi"/>
                <w:color w:val="000000"/>
                <w:sz w:val="20"/>
              </w:rPr>
            </w:pPr>
          </w:p>
        </w:tc>
        <w:tc>
          <w:tcPr>
            <w:tcW w:w="1923" w:type="dxa"/>
            <w:tcBorders>
              <w:top w:val="nil"/>
              <w:left w:val="nil"/>
              <w:bottom w:val="single" w:sz="4" w:space="0" w:color="auto"/>
              <w:right w:val="single" w:sz="4" w:space="0" w:color="auto"/>
            </w:tcBorders>
            <w:shd w:val="clear" w:color="000000" w:fill="FFFFFF"/>
            <w:noWrap/>
            <w:hideMark/>
          </w:tcPr>
          <w:p w14:paraId="67F9F043" w14:textId="77777777" w:rsidR="00C97018" w:rsidRPr="00532398" w:rsidRDefault="00C97018" w:rsidP="00220F5C">
            <w:pPr>
              <w:jc w:val="center"/>
              <w:rPr>
                <w:rFonts w:asciiTheme="minorHAnsi" w:hAnsiTheme="minorHAnsi" w:cstheme="minorHAnsi"/>
                <w:color w:val="000000"/>
                <w:sz w:val="20"/>
              </w:rPr>
            </w:pPr>
          </w:p>
        </w:tc>
        <w:tc>
          <w:tcPr>
            <w:tcW w:w="6755" w:type="dxa"/>
            <w:tcBorders>
              <w:top w:val="nil"/>
              <w:left w:val="nil"/>
              <w:bottom w:val="single" w:sz="4" w:space="0" w:color="auto"/>
              <w:right w:val="single" w:sz="4" w:space="0" w:color="auto"/>
            </w:tcBorders>
            <w:shd w:val="clear" w:color="000000" w:fill="FFFFFF"/>
            <w:noWrap/>
            <w:hideMark/>
          </w:tcPr>
          <w:p w14:paraId="7A8320EA" w14:textId="77777777" w:rsidR="00C97018" w:rsidRPr="00532398" w:rsidRDefault="00C97018" w:rsidP="00220F5C">
            <w:pPr>
              <w:rPr>
                <w:rFonts w:asciiTheme="minorHAnsi" w:hAnsiTheme="minorHAnsi" w:cstheme="minorHAnsi"/>
                <w:b/>
                <w:bCs/>
                <w:color w:val="000000"/>
                <w:sz w:val="20"/>
              </w:rPr>
            </w:pPr>
          </w:p>
        </w:tc>
        <w:tc>
          <w:tcPr>
            <w:tcW w:w="1604" w:type="dxa"/>
            <w:tcBorders>
              <w:top w:val="nil"/>
              <w:left w:val="nil"/>
              <w:bottom w:val="single" w:sz="4" w:space="0" w:color="auto"/>
              <w:right w:val="single" w:sz="4" w:space="0" w:color="auto"/>
            </w:tcBorders>
            <w:shd w:val="clear" w:color="000000" w:fill="FFFFFF"/>
            <w:noWrap/>
            <w:hideMark/>
          </w:tcPr>
          <w:p w14:paraId="1392A467" w14:textId="77777777" w:rsidR="00C97018" w:rsidRPr="00532398" w:rsidRDefault="00C97018" w:rsidP="00220F5C">
            <w:pPr>
              <w:jc w:val="center"/>
              <w:rPr>
                <w:rFonts w:asciiTheme="minorHAnsi" w:hAnsiTheme="minorHAnsi" w:cstheme="minorHAnsi"/>
                <w:b/>
                <w:bCs/>
                <w:color w:val="000000"/>
                <w:sz w:val="20"/>
              </w:rPr>
            </w:pPr>
          </w:p>
        </w:tc>
      </w:tr>
      <w:tr w:rsidR="00C97018" w:rsidRPr="00DB61E0" w14:paraId="2DEC7C84" w14:textId="77777777" w:rsidTr="00C97018">
        <w:trPr>
          <w:trHeight w:val="300"/>
        </w:trPr>
        <w:tc>
          <w:tcPr>
            <w:tcW w:w="592" w:type="dxa"/>
            <w:tcBorders>
              <w:top w:val="nil"/>
              <w:left w:val="single" w:sz="4" w:space="0" w:color="auto"/>
              <w:bottom w:val="single" w:sz="4" w:space="0" w:color="auto"/>
              <w:right w:val="single" w:sz="4" w:space="0" w:color="auto"/>
            </w:tcBorders>
            <w:shd w:val="clear" w:color="000000" w:fill="FFFFFF"/>
            <w:noWrap/>
            <w:hideMark/>
          </w:tcPr>
          <w:p w14:paraId="1D17D2F9" w14:textId="77777777" w:rsidR="00C97018" w:rsidRPr="00532398" w:rsidRDefault="00C97018" w:rsidP="00220F5C">
            <w:pPr>
              <w:jc w:val="center"/>
              <w:rPr>
                <w:rFonts w:asciiTheme="minorHAnsi" w:hAnsiTheme="minorHAnsi" w:cstheme="minorHAnsi"/>
                <w:color w:val="000000"/>
                <w:sz w:val="20"/>
              </w:rPr>
            </w:pPr>
            <w:r>
              <w:rPr>
                <w:rFonts w:asciiTheme="minorHAnsi" w:hAnsiTheme="minorHAnsi" w:cstheme="minorHAnsi"/>
                <w:color w:val="000000"/>
                <w:sz w:val="20"/>
              </w:rPr>
              <w:t>29</w:t>
            </w:r>
          </w:p>
        </w:tc>
        <w:tc>
          <w:tcPr>
            <w:tcW w:w="1923" w:type="dxa"/>
            <w:tcBorders>
              <w:top w:val="nil"/>
              <w:left w:val="nil"/>
              <w:bottom w:val="single" w:sz="4" w:space="0" w:color="auto"/>
              <w:right w:val="single" w:sz="4" w:space="0" w:color="auto"/>
            </w:tcBorders>
            <w:shd w:val="clear" w:color="000000" w:fill="FFFFFF"/>
            <w:noWrap/>
            <w:hideMark/>
          </w:tcPr>
          <w:p w14:paraId="36054F22" w14:textId="77777777" w:rsidR="00C97018" w:rsidRPr="00532398" w:rsidRDefault="00C97018" w:rsidP="00220F5C">
            <w:pPr>
              <w:jc w:val="center"/>
              <w:rPr>
                <w:rFonts w:asciiTheme="minorHAnsi" w:hAnsiTheme="minorHAnsi" w:cstheme="minorHAnsi"/>
                <w:color w:val="000000"/>
                <w:sz w:val="20"/>
              </w:rPr>
            </w:pPr>
          </w:p>
        </w:tc>
        <w:tc>
          <w:tcPr>
            <w:tcW w:w="6755" w:type="dxa"/>
            <w:tcBorders>
              <w:top w:val="nil"/>
              <w:left w:val="nil"/>
              <w:bottom w:val="single" w:sz="4" w:space="0" w:color="auto"/>
              <w:right w:val="single" w:sz="4" w:space="0" w:color="auto"/>
            </w:tcBorders>
            <w:shd w:val="clear" w:color="000000" w:fill="FFFFFF"/>
            <w:noWrap/>
            <w:hideMark/>
          </w:tcPr>
          <w:p w14:paraId="04B9996E" w14:textId="2102E634" w:rsidR="00C97018" w:rsidRPr="00532398" w:rsidRDefault="00C97018" w:rsidP="00220F5C">
            <w:pPr>
              <w:jc w:val="right"/>
              <w:rPr>
                <w:rFonts w:asciiTheme="minorHAnsi" w:hAnsiTheme="minorHAnsi" w:cstheme="minorHAnsi"/>
                <w:b/>
                <w:bCs/>
                <w:color w:val="000000"/>
                <w:sz w:val="20"/>
              </w:rPr>
            </w:pPr>
            <w:r w:rsidRPr="00532398">
              <w:rPr>
                <w:rFonts w:asciiTheme="minorHAnsi" w:hAnsiTheme="minorHAnsi" w:cstheme="minorHAnsi"/>
                <w:b/>
                <w:bCs/>
                <w:color w:val="000000"/>
                <w:sz w:val="20"/>
              </w:rPr>
              <w:t xml:space="preserve">Sufficient </w:t>
            </w:r>
            <w:r w:rsidR="00F34886">
              <w:rPr>
                <w:rFonts w:asciiTheme="minorHAnsi" w:hAnsiTheme="minorHAnsi" w:cstheme="minorHAnsi"/>
                <w:b/>
                <w:bCs/>
                <w:color w:val="000000"/>
                <w:sz w:val="20"/>
              </w:rPr>
              <w:t>E</w:t>
            </w:r>
            <w:r w:rsidRPr="00532398">
              <w:rPr>
                <w:rFonts w:asciiTheme="minorHAnsi" w:hAnsiTheme="minorHAnsi" w:cstheme="minorHAnsi"/>
                <w:b/>
                <w:bCs/>
                <w:color w:val="000000"/>
                <w:sz w:val="20"/>
              </w:rPr>
              <w:t xml:space="preserve">vidence of </w:t>
            </w:r>
            <w:r w:rsidR="00F34886">
              <w:rPr>
                <w:rFonts w:asciiTheme="minorHAnsi" w:hAnsiTheme="minorHAnsi" w:cstheme="minorHAnsi"/>
                <w:b/>
                <w:bCs/>
                <w:color w:val="000000"/>
                <w:sz w:val="20"/>
              </w:rPr>
              <w:t>R</w:t>
            </w:r>
            <w:r w:rsidRPr="00532398">
              <w:rPr>
                <w:rFonts w:asciiTheme="minorHAnsi" w:hAnsiTheme="minorHAnsi" w:cstheme="minorHAnsi"/>
                <w:b/>
                <w:bCs/>
                <w:color w:val="000000"/>
                <w:sz w:val="20"/>
              </w:rPr>
              <w:t xml:space="preserve">einvestment of </w:t>
            </w:r>
            <w:r w:rsidR="00F34886">
              <w:rPr>
                <w:rFonts w:asciiTheme="minorHAnsi" w:hAnsiTheme="minorHAnsi" w:cstheme="minorHAnsi"/>
                <w:b/>
                <w:bCs/>
                <w:color w:val="000000"/>
                <w:sz w:val="20"/>
              </w:rPr>
              <w:t>F</w:t>
            </w:r>
            <w:r w:rsidRPr="00532398">
              <w:rPr>
                <w:rFonts w:asciiTheme="minorHAnsi" w:hAnsiTheme="minorHAnsi" w:cstheme="minorHAnsi"/>
                <w:b/>
                <w:bCs/>
                <w:color w:val="000000"/>
                <w:sz w:val="20"/>
              </w:rPr>
              <w:t xml:space="preserve">ixed </w:t>
            </w:r>
            <w:r w:rsidR="00F34886">
              <w:rPr>
                <w:rFonts w:asciiTheme="minorHAnsi" w:hAnsiTheme="minorHAnsi" w:cstheme="minorHAnsi"/>
                <w:b/>
                <w:bCs/>
                <w:color w:val="000000"/>
                <w:sz w:val="20"/>
              </w:rPr>
              <w:t>I</w:t>
            </w:r>
            <w:r w:rsidRPr="00532398">
              <w:rPr>
                <w:rFonts w:asciiTheme="minorHAnsi" w:hAnsiTheme="minorHAnsi" w:cstheme="minorHAnsi"/>
                <w:b/>
                <w:bCs/>
                <w:color w:val="000000"/>
                <w:sz w:val="20"/>
              </w:rPr>
              <w:t xml:space="preserve">ncome </w:t>
            </w:r>
            <w:r w:rsidR="00F34886">
              <w:rPr>
                <w:rFonts w:asciiTheme="minorHAnsi" w:hAnsiTheme="minorHAnsi" w:cstheme="minorHAnsi"/>
                <w:b/>
                <w:bCs/>
                <w:color w:val="000000"/>
                <w:sz w:val="20"/>
              </w:rPr>
              <w:t>I</w:t>
            </w:r>
            <w:r w:rsidRPr="00532398">
              <w:rPr>
                <w:rFonts w:asciiTheme="minorHAnsi" w:hAnsiTheme="minorHAnsi" w:cstheme="minorHAnsi"/>
                <w:b/>
                <w:bCs/>
                <w:color w:val="000000"/>
                <w:sz w:val="20"/>
              </w:rPr>
              <w:t>nvestments</w:t>
            </w:r>
          </w:p>
        </w:tc>
        <w:tc>
          <w:tcPr>
            <w:tcW w:w="1604" w:type="dxa"/>
            <w:tcBorders>
              <w:top w:val="nil"/>
              <w:left w:val="nil"/>
              <w:bottom w:val="single" w:sz="4" w:space="0" w:color="auto"/>
              <w:right w:val="single" w:sz="4" w:space="0" w:color="auto"/>
            </w:tcBorders>
            <w:shd w:val="clear" w:color="000000" w:fill="FFFFFF"/>
            <w:noWrap/>
            <w:hideMark/>
          </w:tcPr>
          <w:p w14:paraId="5F3FCEC6" w14:textId="77777777" w:rsidR="00C97018" w:rsidRPr="00532398" w:rsidRDefault="00C97018" w:rsidP="00220F5C">
            <w:pPr>
              <w:jc w:val="center"/>
              <w:rPr>
                <w:rFonts w:asciiTheme="minorHAnsi" w:hAnsiTheme="minorHAnsi" w:cstheme="minorHAnsi"/>
                <w:b/>
                <w:bCs/>
                <w:color w:val="000000"/>
                <w:sz w:val="20"/>
              </w:rPr>
            </w:pPr>
          </w:p>
        </w:tc>
      </w:tr>
      <w:tr w:rsidR="00C97018" w:rsidRPr="00DB61E0" w14:paraId="700AAC5E" w14:textId="77777777" w:rsidTr="00C97018">
        <w:trPr>
          <w:trHeight w:val="300"/>
        </w:trPr>
        <w:tc>
          <w:tcPr>
            <w:tcW w:w="592" w:type="dxa"/>
            <w:tcBorders>
              <w:top w:val="nil"/>
              <w:left w:val="single" w:sz="4" w:space="0" w:color="auto"/>
              <w:bottom w:val="single" w:sz="4" w:space="0" w:color="auto"/>
              <w:right w:val="single" w:sz="4" w:space="0" w:color="auto"/>
            </w:tcBorders>
            <w:shd w:val="clear" w:color="000000" w:fill="FFFFFF"/>
            <w:noWrap/>
            <w:hideMark/>
          </w:tcPr>
          <w:p w14:paraId="64718DB9" w14:textId="77777777" w:rsidR="00C97018" w:rsidRPr="00532398" w:rsidRDefault="00C97018" w:rsidP="00220F5C">
            <w:pPr>
              <w:jc w:val="center"/>
              <w:rPr>
                <w:rFonts w:asciiTheme="minorHAnsi" w:hAnsiTheme="minorHAnsi" w:cstheme="minorHAnsi"/>
                <w:color w:val="000000"/>
                <w:sz w:val="20"/>
              </w:rPr>
            </w:pPr>
            <w:r>
              <w:rPr>
                <w:rFonts w:asciiTheme="minorHAnsi" w:hAnsiTheme="minorHAnsi" w:cstheme="minorHAnsi"/>
                <w:color w:val="000000"/>
                <w:sz w:val="20"/>
              </w:rPr>
              <w:t>30</w:t>
            </w:r>
          </w:p>
        </w:tc>
        <w:tc>
          <w:tcPr>
            <w:tcW w:w="1923" w:type="dxa"/>
            <w:tcBorders>
              <w:top w:val="nil"/>
              <w:left w:val="nil"/>
              <w:bottom w:val="single" w:sz="4" w:space="0" w:color="auto"/>
              <w:right w:val="single" w:sz="4" w:space="0" w:color="auto"/>
            </w:tcBorders>
            <w:shd w:val="clear" w:color="000000" w:fill="FFFFFF"/>
            <w:noWrap/>
            <w:hideMark/>
          </w:tcPr>
          <w:p w14:paraId="7356CDC4" w14:textId="25D29BB6" w:rsidR="00C97018" w:rsidRPr="007E7709" w:rsidRDefault="007E7709" w:rsidP="00220F5C">
            <w:pPr>
              <w:jc w:val="center"/>
              <w:rPr>
                <w:rFonts w:asciiTheme="minorHAnsi" w:hAnsiTheme="minorHAnsi" w:cstheme="minorHAnsi"/>
                <w:b/>
                <w:bCs/>
                <w:color w:val="000000"/>
                <w:sz w:val="20"/>
              </w:rPr>
            </w:pPr>
            <w:r w:rsidRPr="007E7709">
              <w:rPr>
                <w:rFonts w:asciiTheme="minorHAnsi" w:hAnsiTheme="minorHAnsi" w:cstheme="minorHAnsi"/>
                <w:b/>
                <w:bCs/>
                <w:color w:val="000000"/>
                <w:sz w:val="20"/>
              </w:rPr>
              <w:t>Test 1</w:t>
            </w:r>
          </w:p>
        </w:tc>
        <w:tc>
          <w:tcPr>
            <w:tcW w:w="6755" w:type="dxa"/>
            <w:tcBorders>
              <w:top w:val="nil"/>
              <w:left w:val="nil"/>
              <w:bottom w:val="single" w:sz="4" w:space="0" w:color="auto"/>
              <w:right w:val="single" w:sz="4" w:space="0" w:color="auto"/>
            </w:tcBorders>
            <w:shd w:val="clear" w:color="000000" w:fill="FFFFFF"/>
            <w:noWrap/>
            <w:hideMark/>
          </w:tcPr>
          <w:p w14:paraId="6420D70E" w14:textId="77777777" w:rsidR="00C97018" w:rsidRPr="007E7709" w:rsidRDefault="00C97018" w:rsidP="00220F5C">
            <w:pPr>
              <w:rPr>
                <w:rFonts w:asciiTheme="minorHAnsi" w:hAnsiTheme="minorHAnsi" w:cstheme="minorHAnsi"/>
                <w:b/>
                <w:bCs/>
                <w:color w:val="000000"/>
                <w:sz w:val="20"/>
              </w:rPr>
            </w:pPr>
            <w:r w:rsidRPr="007E7709">
              <w:rPr>
                <w:rFonts w:asciiTheme="minorHAnsi" w:hAnsiTheme="minorHAnsi" w:cstheme="minorHAnsi"/>
                <w:b/>
                <w:bCs/>
                <w:color w:val="000000"/>
                <w:sz w:val="20"/>
              </w:rPr>
              <w:t>Is line 25 positive?</w:t>
            </w:r>
          </w:p>
        </w:tc>
        <w:tc>
          <w:tcPr>
            <w:tcW w:w="1604" w:type="dxa"/>
            <w:tcBorders>
              <w:top w:val="nil"/>
              <w:left w:val="nil"/>
              <w:bottom w:val="single" w:sz="4" w:space="0" w:color="auto"/>
              <w:right w:val="single" w:sz="4" w:space="0" w:color="auto"/>
            </w:tcBorders>
            <w:shd w:val="clear" w:color="000000" w:fill="FFFFFF"/>
            <w:noWrap/>
            <w:hideMark/>
          </w:tcPr>
          <w:p w14:paraId="5AE721DB" w14:textId="77777777" w:rsidR="00C97018" w:rsidRPr="005B5C37" w:rsidRDefault="00C97018" w:rsidP="00220F5C">
            <w:pPr>
              <w:jc w:val="center"/>
              <w:rPr>
                <w:rFonts w:asciiTheme="minorHAnsi" w:hAnsiTheme="minorHAnsi" w:cstheme="minorHAnsi"/>
                <w:b/>
                <w:bCs/>
                <w:color w:val="000000"/>
                <w:sz w:val="20"/>
              </w:rPr>
            </w:pPr>
            <w:r w:rsidRPr="005B5C37">
              <w:rPr>
                <w:rFonts w:asciiTheme="minorHAnsi" w:hAnsiTheme="minorHAnsi" w:cstheme="minorHAnsi"/>
                <w:b/>
                <w:bCs/>
                <w:color w:val="000000"/>
                <w:sz w:val="20"/>
              </w:rPr>
              <w:t>Yes</w:t>
            </w:r>
          </w:p>
        </w:tc>
      </w:tr>
      <w:tr w:rsidR="00C97018" w:rsidRPr="00DB61E0" w14:paraId="46B0EDAE" w14:textId="77777777" w:rsidTr="00C97018">
        <w:trPr>
          <w:trHeight w:val="300"/>
        </w:trPr>
        <w:tc>
          <w:tcPr>
            <w:tcW w:w="592" w:type="dxa"/>
            <w:tcBorders>
              <w:top w:val="nil"/>
              <w:left w:val="single" w:sz="4" w:space="0" w:color="auto"/>
              <w:bottom w:val="single" w:sz="4" w:space="0" w:color="auto"/>
              <w:right w:val="single" w:sz="4" w:space="0" w:color="auto"/>
            </w:tcBorders>
            <w:shd w:val="clear" w:color="000000" w:fill="FFFFFF"/>
            <w:noWrap/>
            <w:hideMark/>
          </w:tcPr>
          <w:p w14:paraId="64837BDF" w14:textId="77777777" w:rsidR="00C97018" w:rsidRPr="00532398" w:rsidRDefault="00C97018" w:rsidP="00220F5C">
            <w:pPr>
              <w:jc w:val="center"/>
              <w:rPr>
                <w:rFonts w:asciiTheme="minorHAnsi" w:hAnsiTheme="minorHAnsi" w:cstheme="minorHAnsi"/>
                <w:color w:val="000000"/>
                <w:sz w:val="20"/>
              </w:rPr>
            </w:pPr>
            <w:r>
              <w:rPr>
                <w:rFonts w:asciiTheme="minorHAnsi" w:hAnsiTheme="minorHAnsi" w:cstheme="minorHAnsi"/>
                <w:color w:val="000000"/>
                <w:sz w:val="20"/>
              </w:rPr>
              <w:t>31</w:t>
            </w:r>
          </w:p>
        </w:tc>
        <w:tc>
          <w:tcPr>
            <w:tcW w:w="1923" w:type="dxa"/>
            <w:tcBorders>
              <w:top w:val="nil"/>
              <w:left w:val="nil"/>
              <w:bottom w:val="single" w:sz="4" w:space="0" w:color="auto"/>
              <w:right w:val="single" w:sz="4" w:space="0" w:color="auto"/>
            </w:tcBorders>
            <w:shd w:val="clear" w:color="000000" w:fill="FFFFFF"/>
            <w:noWrap/>
            <w:hideMark/>
          </w:tcPr>
          <w:p w14:paraId="2333FF3E" w14:textId="336D635C" w:rsidR="00C97018" w:rsidRPr="007E7709" w:rsidRDefault="007E7709" w:rsidP="00220F5C">
            <w:pPr>
              <w:jc w:val="center"/>
              <w:rPr>
                <w:rFonts w:asciiTheme="minorHAnsi" w:hAnsiTheme="minorHAnsi" w:cstheme="minorHAnsi"/>
                <w:b/>
                <w:bCs/>
                <w:color w:val="000000"/>
                <w:sz w:val="20"/>
              </w:rPr>
            </w:pPr>
            <w:r w:rsidRPr="007E7709">
              <w:rPr>
                <w:rFonts w:asciiTheme="minorHAnsi" w:hAnsiTheme="minorHAnsi" w:cstheme="minorHAnsi"/>
                <w:b/>
                <w:bCs/>
                <w:color w:val="000000"/>
                <w:sz w:val="20"/>
              </w:rPr>
              <w:t>Test 2</w:t>
            </w:r>
          </w:p>
        </w:tc>
        <w:tc>
          <w:tcPr>
            <w:tcW w:w="6755" w:type="dxa"/>
            <w:tcBorders>
              <w:top w:val="nil"/>
              <w:left w:val="nil"/>
              <w:bottom w:val="single" w:sz="4" w:space="0" w:color="auto"/>
              <w:right w:val="single" w:sz="4" w:space="0" w:color="auto"/>
            </w:tcBorders>
            <w:shd w:val="clear" w:color="000000" w:fill="FFFFFF"/>
            <w:noWrap/>
            <w:hideMark/>
          </w:tcPr>
          <w:p w14:paraId="1CD3B036" w14:textId="77777777" w:rsidR="00C97018" w:rsidRPr="007E7709" w:rsidRDefault="00C97018" w:rsidP="00220F5C">
            <w:pPr>
              <w:rPr>
                <w:rFonts w:asciiTheme="minorHAnsi" w:hAnsiTheme="minorHAnsi" w:cstheme="minorHAnsi"/>
                <w:b/>
                <w:bCs/>
                <w:color w:val="000000"/>
                <w:sz w:val="20"/>
              </w:rPr>
            </w:pPr>
            <w:r w:rsidRPr="007E7709">
              <w:rPr>
                <w:rFonts w:asciiTheme="minorHAnsi" w:hAnsiTheme="minorHAnsi" w:cstheme="minorHAnsi"/>
                <w:b/>
                <w:bCs/>
                <w:color w:val="000000"/>
                <w:sz w:val="20"/>
              </w:rPr>
              <w:t>Is line 28 positive?</w:t>
            </w:r>
          </w:p>
        </w:tc>
        <w:tc>
          <w:tcPr>
            <w:tcW w:w="1604" w:type="dxa"/>
            <w:tcBorders>
              <w:top w:val="nil"/>
              <w:left w:val="nil"/>
              <w:bottom w:val="single" w:sz="4" w:space="0" w:color="auto"/>
              <w:right w:val="single" w:sz="4" w:space="0" w:color="auto"/>
            </w:tcBorders>
            <w:shd w:val="clear" w:color="000000" w:fill="FFFFFF"/>
            <w:noWrap/>
            <w:hideMark/>
          </w:tcPr>
          <w:p w14:paraId="001BD46C" w14:textId="77777777" w:rsidR="00C97018" w:rsidRPr="005B5C37" w:rsidRDefault="00C97018" w:rsidP="00220F5C">
            <w:pPr>
              <w:jc w:val="center"/>
              <w:rPr>
                <w:rFonts w:asciiTheme="minorHAnsi" w:hAnsiTheme="minorHAnsi" w:cstheme="minorHAnsi"/>
                <w:b/>
                <w:bCs/>
                <w:color w:val="000000"/>
                <w:sz w:val="20"/>
              </w:rPr>
            </w:pPr>
            <w:r w:rsidRPr="005B5C37">
              <w:rPr>
                <w:rFonts w:asciiTheme="minorHAnsi" w:hAnsiTheme="minorHAnsi" w:cstheme="minorHAnsi"/>
                <w:b/>
                <w:bCs/>
                <w:color w:val="000000"/>
                <w:sz w:val="20"/>
              </w:rPr>
              <w:t>Yes</w:t>
            </w:r>
          </w:p>
        </w:tc>
      </w:tr>
      <w:tr w:rsidR="00C97018" w:rsidRPr="00DB61E0" w14:paraId="50C2F72E" w14:textId="77777777" w:rsidTr="00C97018">
        <w:trPr>
          <w:trHeight w:val="600"/>
        </w:trPr>
        <w:tc>
          <w:tcPr>
            <w:tcW w:w="592" w:type="dxa"/>
            <w:tcBorders>
              <w:top w:val="nil"/>
              <w:left w:val="single" w:sz="4" w:space="0" w:color="auto"/>
              <w:bottom w:val="single" w:sz="4" w:space="0" w:color="auto"/>
              <w:right w:val="single" w:sz="4" w:space="0" w:color="auto"/>
            </w:tcBorders>
            <w:shd w:val="clear" w:color="000000" w:fill="FFFFFF"/>
            <w:noWrap/>
            <w:hideMark/>
          </w:tcPr>
          <w:p w14:paraId="0C9AF9C4" w14:textId="77777777" w:rsidR="00C97018" w:rsidRPr="00532398" w:rsidRDefault="00C97018" w:rsidP="00220F5C">
            <w:pPr>
              <w:rPr>
                <w:rFonts w:asciiTheme="minorHAnsi" w:hAnsiTheme="minorHAnsi" w:cstheme="minorHAnsi"/>
                <w:color w:val="000000"/>
                <w:sz w:val="20"/>
              </w:rPr>
            </w:pPr>
          </w:p>
        </w:tc>
        <w:tc>
          <w:tcPr>
            <w:tcW w:w="10282" w:type="dxa"/>
            <w:gridSpan w:val="3"/>
            <w:tcBorders>
              <w:top w:val="nil"/>
              <w:left w:val="nil"/>
              <w:bottom w:val="single" w:sz="4" w:space="0" w:color="auto"/>
              <w:right w:val="single" w:sz="4" w:space="0" w:color="auto"/>
            </w:tcBorders>
            <w:shd w:val="clear" w:color="000000" w:fill="FFFFFF"/>
            <w:noWrap/>
            <w:hideMark/>
          </w:tcPr>
          <w:p w14:paraId="306C95FE" w14:textId="4D712DD9" w:rsidR="00C97018" w:rsidRPr="00532398" w:rsidRDefault="00C97018" w:rsidP="00220F5C">
            <w:pPr>
              <w:rPr>
                <w:rFonts w:asciiTheme="minorHAnsi" w:hAnsiTheme="minorHAnsi" w:cstheme="minorHAnsi"/>
                <w:b/>
                <w:bCs/>
                <w:color w:val="000000"/>
                <w:sz w:val="20"/>
              </w:rPr>
            </w:pPr>
            <w:r w:rsidRPr="00532398">
              <w:rPr>
                <w:rFonts w:asciiTheme="minorHAnsi" w:hAnsiTheme="minorHAnsi" w:cstheme="minorHAnsi"/>
                <w:color w:val="000000"/>
                <w:sz w:val="20"/>
              </w:rPr>
              <w:t>If lines 2</w:t>
            </w:r>
            <w:r w:rsidR="007E7709">
              <w:rPr>
                <w:rFonts w:asciiTheme="minorHAnsi" w:hAnsiTheme="minorHAnsi" w:cstheme="minorHAnsi"/>
                <w:color w:val="000000"/>
                <w:sz w:val="20"/>
              </w:rPr>
              <w:t>5</w:t>
            </w:r>
            <w:r w:rsidRPr="00532398">
              <w:rPr>
                <w:rFonts w:asciiTheme="minorHAnsi" w:hAnsiTheme="minorHAnsi" w:cstheme="minorHAnsi"/>
                <w:color w:val="000000"/>
                <w:sz w:val="20"/>
              </w:rPr>
              <w:t xml:space="preserve"> &amp; 2</w:t>
            </w:r>
            <w:r w:rsidR="007E7709">
              <w:rPr>
                <w:rFonts w:asciiTheme="minorHAnsi" w:hAnsiTheme="minorHAnsi" w:cstheme="minorHAnsi"/>
                <w:color w:val="000000"/>
                <w:sz w:val="20"/>
              </w:rPr>
              <w:t>8</w:t>
            </w:r>
            <w:r w:rsidRPr="00532398">
              <w:rPr>
                <w:rFonts w:asciiTheme="minorHAnsi" w:hAnsiTheme="minorHAnsi" w:cstheme="minorHAnsi"/>
                <w:color w:val="000000"/>
                <w:sz w:val="20"/>
              </w:rPr>
              <w:t xml:space="preserve"> are both positive - current year negative IMR that exceeds positive IMR can be added to either originate a net negative balance or increase an existing unamortized negative IMR balance. Admittance is subject to limitations included within SSAP No. 7.</w:t>
            </w:r>
            <w:r w:rsidRPr="00532398">
              <w:rPr>
                <w:rFonts w:asciiTheme="minorHAnsi" w:hAnsiTheme="minorHAnsi" w:cstheme="minorHAnsi"/>
                <w:b/>
                <w:bCs/>
                <w:color w:val="000000"/>
                <w:sz w:val="20"/>
              </w:rPr>
              <w:t> </w:t>
            </w:r>
          </w:p>
        </w:tc>
      </w:tr>
    </w:tbl>
    <w:p w14:paraId="30474419" w14:textId="2BCD8CA6" w:rsidR="004D2FF6" w:rsidRPr="0024495C" w:rsidRDefault="004D2FF6" w:rsidP="004D2FF6">
      <w:pPr>
        <w:pStyle w:val="ListContinue"/>
        <w:jc w:val="center"/>
        <w:rPr>
          <w:b/>
          <w:bCs/>
        </w:rPr>
      </w:pPr>
      <w:r>
        <w:rPr>
          <w:b/>
          <w:bCs/>
        </w:rPr>
        <w:lastRenderedPageBreak/>
        <w:t>Template 3</w:t>
      </w:r>
      <w:r w:rsidRPr="0024495C">
        <w:rPr>
          <w:b/>
          <w:bCs/>
        </w:rPr>
        <w:t xml:space="preserve"> –</w:t>
      </w:r>
      <w:r>
        <w:rPr>
          <w:b/>
          <w:bCs/>
        </w:rPr>
        <w:t xml:space="preserve"> </w:t>
      </w:r>
      <w:r w:rsidRPr="0024495C">
        <w:rPr>
          <w:b/>
          <w:bCs/>
        </w:rPr>
        <w:t xml:space="preserve">Proof of Reinvestment </w:t>
      </w:r>
      <w:r>
        <w:rPr>
          <w:b/>
          <w:bCs/>
        </w:rPr>
        <w:t>Disclosure Illustration – Separate Account</w:t>
      </w:r>
    </w:p>
    <w:tbl>
      <w:tblPr>
        <w:tblW w:w="10982" w:type="dxa"/>
        <w:tblInd w:w="-635" w:type="dxa"/>
        <w:tblLook w:val="04A0" w:firstRow="1" w:lastRow="0" w:firstColumn="1" w:lastColumn="0" w:noHBand="0" w:noVBand="1"/>
      </w:tblPr>
      <w:tblGrid>
        <w:gridCol w:w="558"/>
        <w:gridCol w:w="2610"/>
        <w:gridCol w:w="6462"/>
        <w:gridCol w:w="1352"/>
      </w:tblGrid>
      <w:tr w:rsidR="004D2FF6" w:rsidRPr="00DB61E0" w14:paraId="28EB5C66" w14:textId="77777777" w:rsidTr="00220F5C">
        <w:trPr>
          <w:trHeight w:val="300"/>
        </w:trPr>
        <w:tc>
          <w:tcPr>
            <w:tcW w:w="558" w:type="dxa"/>
            <w:tcBorders>
              <w:top w:val="single" w:sz="4" w:space="0" w:color="auto"/>
              <w:left w:val="single" w:sz="4" w:space="0" w:color="auto"/>
              <w:bottom w:val="single" w:sz="4" w:space="0" w:color="auto"/>
              <w:right w:val="single" w:sz="4" w:space="0" w:color="auto"/>
            </w:tcBorders>
            <w:shd w:val="clear" w:color="000000" w:fill="BFBFBF"/>
            <w:hideMark/>
          </w:tcPr>
          <w:p w14:paraId="390C497A" w14:textId="77777777" w:rsidR="004D2FF6" w:rsidRPr="00532398" w:rsidRDefault="004D2FF6" w:rsidP="00220F5C">
            <w:pPr>
              <w:jc w:val="center"/>
              <w:rPr>
                <w:rFonts w:asciiTheme="minorHAnsi" w:hAnsiTheme="minorHAnsi" w:cstheme="minorHAnsi"/>
                <w:b/>
                <w:bCs/>
                <w:color w:val="000000"/>
                <w:sz w:val="20"/>
              </w:rPr>
            </w:pPr>
            <w:r w:rsidRPr="00532398">
              <w:rPr>
                <w:rFonts w:asciiTheme="minorHAnsi" w:hAnsiTheme="minorHAnsi" w:cstheme="minorHAnsi"/>
                <w:b/>
                <w:bCs/>
                <w:color w:val="000000"/>
                <w:sz w:val="20"/>
              </w:rPr>
              <w:t>Line</w:t>
            </w:r>
          </w:p>
        </w:tc>
        <w:tc>
          <w:tcPr>
            <w:tcW w:w="2610" w:type="dxa"/>
            <w:tcBorders>
              <w:top w:val="single" w:sz="4" w:space="0" w:color="auto"/>
              <w:left w:val="nil"/>
              <w:bottom w:val="single" w:sz="4" w:space="0" w:color="auto"/>
              <w:right w:val="single" w:sz="4" w:space="0" w:color="auto"/>
            </w:tcBorders>
            <w:shd w:val="clear" w:color="000000" w:fill="BFBFBF"/>
            <w:hideMark/>
          </w:tcPr>
          <w:p w14:paraId="276B915B" w14:textId="77777777" w:rsidR="004D2FF6" w:rsidRPr="00532398" w:rsidRDefault="004D2FF6" w:rsidP="00220F5C">
            <w:pPr>
              <w:jc w:val="center"/>
              <w:rPr>
                <w:rFonts w:asciiTheme="minorHAnsi" w:hAnsiTheme="minorHAnsi" w:cstheme="minorHAnsi"/>
                <w:b/>
                <w:bCs/>
                <w:color w:val="000000"/>
                <w:sz w:val="20"/>
              </w:rPr>
            </w:pPr>
            <w:r w:rsidRPr="00532398">
              <w:rPr>
                <w:rFonts w:asciiTheme="minorHAnsi" w:hAnsiTheme="minorHAnsi" w:cstheme="minorHAnsi"/>
                <w:b/>
                <w:bCs/>
                <w:color w:val="000000"/>
                <w:sz w:val="20"/>
              </w:rPr>
              <w:t>Data Source</w:t>
            </w:r>
          </w:p>
        </w:tc>
        <w:tc>
          <w:tcPr>
            <w:tcW w:w="6462" w:type="dxa"/>
            <w:tcBorders>
              <w:top w:val="single" w:sz="4" w:space="0" w:color="auto"/>
              <w:left w:val="nil"/>
              <w:bottom w:val="single" w:sz="4" w:space="0" w:color="auto"/>
              <w:right w:val="single" w:sz="4" w:space="0" w:color="auto"/>
            </w:tcBorders>
            <w:shd w:val="clear" w:color="000000" w:fill="BFBFBF"/>
            <w:noWrap/>
            <w:hideMark/>
          </w:tcPr>
          <w:p w14:paraId="64B42733" w14:textId="77777777" w:rsidR="004D2FF6" w:rsidRPr="00532398" w:rsidRDefault="004D2FF6" w:rsidP="00220F5C">
            <w:pPr>
              <w:jc w:val="center"/>
              <w:rPr>
                <w:rFonts w:asciiTheme="minorHAnsi" w:hAnsiTheme="minorHAnsi" w:cstheme="minorHAnsi"/>
                <w:b/>
                <w:bCs/>
                <w:color w:val="000000"/>
                <w:sz w:val="20"/>
              </w:rPr>
            </w:pPr>
            <w:r w:rsidRPr="00532398">
              <w:rPr>
                <w:rFonts w:asciiTheme="minorHAnsi" w:hAnsiTheme="minorHAnsi" w:cstheme="minorHAnsi"/>
                <w:b/>
                <w:bCs/>
                <w:color w:val="000000"/>
                <w:sz w:val="20"/>
              </w:rPr>
              <w:t>Description</w:t>
            </w:r>
          </w:p>
        </w:tc>
        <w:tc>
          <w:tcPr>
            <w:tcW w:w="1352" w:type="dxa"/>
            <w:tcBorders>
              <w:top w:val="single" w:sz="4" w:space="0" w:color="auto"/>
              <w:left w:val="nil"/>
              <w:bottom w:val="single" w:sz="4" w:space="0" w:color="auto"/>
              <w:right w:val="single" w:sz="4" w:space="0" w:color="auto"/>
            </w:tcBorders>
            <w:shd w:val="clear" w:color="000000" w:fill="BFBFBF"/>
            <w:noWrap/>
            <w:hideMark/>
          </w:tcPr>
          <w:p w14:paraId="6E50B2E1" w14:textId="77777777" w:rsidR="004D2FF6" w:rsidRPr="00532398" w:rsidRDefault="004D2FF6" w:rsidP="00220F5C">
            <w:pPr>
              <w:jc w:val="center"/>
              <w:rPr>
                <w:rFonts w:asciiTheme="minorHAnsi" w:hAnsiTheme="minorHAnsi" w:cstheme="minorHAnsi"/>
                <w:b/>
                <w:bCs/>
                <w:color w:val="000000"/>
                <w:sz w:val="20"/>
              </w:rPr>
            </w:pPr>
            <w:r w:rsidRPr="00532398">
              <w:rPr>
                <w:rFonts w:asciiTheme="minorHAnsi" w:hAnsiTheme="minorHAnsi" w:cstheme="minorHAnsi"/>
                <w:b/>
                <w:bCs/>
                <w:color w:val="000000"/>
                <w:sz w:val="20"/>
              </w:rPr>
              <w:t>2024 YTD</w:t>
            </w:r>
          </w:p>
        </w:tc>
      </w:tr>
      <w:tr w:rsidR="004D2FF6" w:rsidRPr="00DB61E0" w14:paraId="77121D68" w14:textId="77777777" w:rsidTr="00220F5C">
        <w:trPr>
          <w:trHeight w:val="300"/>
        </w:trPr>
        <w:tc>
          <w:tcPr>
            <w:tcW w:w="558" w:type="dxa"/>
            <w:tcBorders>
              <w:top w:val="nil"/>
              <w:left w:val="single" w:sz="4" w:space="0" w:color="auto"/>
              <w:bottom w:val="single" w:sz="4" w:space="0" w:color="auto"/>
              <w:right w:val="single" w:sz="4" w:space="0" w:color="auto"/>
            </w:tcBorders>
            <w:shd w:val="clear" w:color="000000" w:fill="FFFFFF"/>
            <w:noWrap/>
            <w:hideMark/>
          </w:tcPr>
          <w:p w14:paraId="684475DE"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1</w:t>
            </w:r>
          </w:p>
        </w:tc>
        <w:tc>
          <w:tcPr>
            <w:tcW w:w="2610" w:type="dxa"/>
            <w:tcBorders>
              <w:top w:val="nil"/>
              <w:left w:val="nil"/>
              <w:bottom w:val="single" w:sz="4" w:space="0" w:color="auto"/>
              <w:right w:val="single" w:sz="4" w:space="0" w:color="auto"/>
            </w:tcBorders>
            <w:shd w:val="clear" w:color="000000" w:fill="FFFFFF"/>
            <w:noWrap/>
            <w:hideMark/>
          </w:tcPr>
          <w:p w14:paraId="256AA40F"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internal systems</w:t>
            </w:r>
          </w:p>
        </w:tc>
        <w:tc>
          <w:tcPr>
            <w:tcW w:w="6462" w:type="dxa"/>
            <w:tcBorders>
              <w:top w:val="nil"/>
              <w:left w:val="nil"/>
              <w:bottom w:val="single" w:sz="4" w:space="0" w:color="auto"/>
              <w:right w:val="single" w:sz="4" w:space="0" w:color="auto"/>
            </w:tcBorders>
            <w:shd w:val="clear" w:color="000000" w:fill="FFFFFF"/>
            <w:noWrap/>
            <w:hideMark/>
          </w:tcPr>
          <w:p w14:paraId="0724A832" w14:textId="77777777" w:rsidR="004D2FF6" w:rsidRPr="007B0B5B" w:rsidRDefault="004D2FF6" w:rsidP="00220F5C">
            <w:pPr>
              <w:rPr>
                <w:rFonts w:ascii="Calibri" w:hAnsi="Calibri" w:cs="Calibri"/>
                <w:color w:val="000000"/>
                <w:sz w:val="20"/>
                <w:szCs w:val="20"/>
              </w:rPr>
            </w:pPr>
            <w:r w:rsidRPr="007B0B5B">
              <w:rPr>
                <w:rFonts w:ascii="Calibri" w:hAnsi="Calibri" w:cs="Calibri"/>
                <w:color w:val="000000"/>
                <w:sz w:val="20"/>
                <w:szCs w:val="20"/>
              </w:rPr>
              <w:t>Cost of investments acquired (long-term only) - Bonds</w:t>
            </w:r>
          </w:p>
        </w:tc>
        <w:tc>
          <w:tcPr>
            <w:tcW w:w="1352" w:type="dxa"/>
            <w:tcBorders>
              <w:top w:val="nil"/>
              <w:left w:val="nil"/>
              <w:bottom w:val="single" w:sz="4" w:space="0" w:color="auto"/>
              <w:right w:val="single" w:sz="4" w:space="0" w:color="auto"/>
            </w:tcBorders>
            <w:shd w:val="clear" w:color="000000" w:fill="FFFFFF"/>
            <w:noWrap/>
            <w:vAlign w:val="bottom"/>
            <w:hideMark/>
          </w:tcPr>
          <w:p w14:paraId="24554A5A"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430,000</w:t>
            </w:r>
          </w:p>
        </w:tc>
      </w:tr>
      <w:tr w:rsidR="004D2FF6" w:rsidRPr="00DB61E0" w14:paraId="50424BB4" w14:textId="77777777" w:rsidTr="00220F5C">
        <w:trPr>
          <w:trHeight w:val="300"/>
        </w:trPr>
        <w:tc>
          <w:tcPr>
            <w:tcW w:w="558" w:type="dxa"/>
            <w:tcBorders>
              <w:top w:val="nil"/>
              <w:left w:val="single" w:sz="4" w:space="0" w:color="auto"/>
              <w:bottom w:val="single" w:sz="4" w:space="0" w:color="auto"/>
              <w:right w:val="single" w:sz="4" w:space="0" w:color="auto"/>
            </w:tcBorders>
            <w:shd w:val="clear" w:color="000000" w:fill="FFFFFF"/>
            <w:noWrap/>
            <w:hideMark/>
          </w:tcPr>
          <w:p w14:paraId="0CFF2043"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2</w:t>
            </w:r>
          </w:p>
        </w:tc>
        <w:tc>
          <w:tcPr>
            <w:tcW w:w="2610" w:type="dxa"/>
            <w:tcBorders>
              <w:top w:val="nil"/>
              <w:left w:val="nil"/>
              <w:bottom w:val="single" w:sz="4" w:space="0" w:color="auto"/>
              <w:right w:val="single" w:sz="4" w:space="0" w:color="auto"/>
            </w:tcBorders>
            <w:shd w:val="clear" w:color="000000" w:fill="FFFFFF"/>
            <w:noWrap/>
            <w:hideMark/>
          </w:tcPr>
          <w:p w14:paraId="32855905"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internal systems</w:t>
            </w:r>
          </w:p>
        </w:tc>
        <w:tc>
          <w:tcPr>
            <w:tcW w:w="6462" w:type="dxa"/>
            <w:tcBorders>
              <w:top w:val="nil"/>
              <w:left w:val="nil"/>
              <w:bottom w:val="single" w:sz="4" w:space="0" w:color="auto"/>
              <w:right w:val="single" w:sz="4" w:space="0" w:color="auto"/>
            </w:tcBorders>
            <w:shd w:val="clear" w:color="000000" w:fill="FFFFFF"/>
            <w:noWrap/>
            <w:hideMark/>
          </w:tcPr>
          <w:p w14:paraId="40B4F4E0" w14:textId="77777777" w:rsidR="004D2FF6" w:rsidRPr="007B0B5B" w:rsidRDefault="004D2FF6" w:rsidP="00220F5C">
            <w:pPr>
              <w:rPr>
                <w:rFonts w:ascii="Calibri" w:hAnsi="Calibri" w:cs="Calibri"/>
                <w:color w:val="000000"/>
                <w:sz w:val="20"/>
                <w:szCs w:val="20"/>
              </w:rPr>
            </w:pPr>
            <w:r w:rsidRPr="007B0B5B">
              <w:rPr>
                <w:rFonts w:ascii="Calibri" w:hAnsi="Calibri" w:cs="Calibri"/>
                <w:color w:val="000000"/>
                <w:sz w:val="20"/>
                <w:szCs w:val="20"/>
              </w:rPr>
              <w:t>Cost of investments acquired (long-term only) - Mortgage Loans</w:t>
            </w:r>
          </w:p>
        </w:tc>
        <w:tc>
          <w:tcPr>
            <w:tcW w:w="1352" w:type="dxa"/>
            <w:tcBorders>
              <w:top w:val="nil"/>
              <w:left w:val="nil"/>
              <w:bottom w:val="single" w:sz="4" w:space="0" w:color="auto"/>
              <w:right w:val="single" w:sz="4" w:space="0" w:color="auto"/>
            </w:tcBorders>
            <w:shd w:val="clear" w:color="000000" w:fill="FFFFFF"/>
            <w:noWrap/>
            <w:vAlign w:val="bottom"/>
            <w:hideMark/>
          </w:tcPr>
          <w:p w14:paraId="792309F7"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128,000</w:t>
            </w:r>
          </w:p>
        </w:tc>
      </w:tr>
      <w:tr w:rsidR="004D2FF6" w:rsidRPr="00DB61E0" w14:paraId="1082A9CF" w14:textId="77777777" w:rsidTr="00220F5C">
        <w:trPr>
          <w:trHeight w:val="300"/>
        </w:trPr>
        <w:tc>
          <w:tcPr>
            <w:tcW w:w="558" w:type="dxa"/>
            <w:tcBorders>
              <w:top w:val="nil"/>
              <w:left w:val="single" w:sz="4" w:space="0" w:color="auto"/>
              <w:bottom w:val="single" w:sz="4" w:space="0" w:color="auto"/>
              <w:right w:val="single" w:sz="4" w:space="0" w:color="auto"/>
            </w:tcBorders>
            <w:shd w:val="clear" w:color="000000" w:fill="FFFFFF"/>
            <w:noWrap/>
            <w:hideMark/>
          </w:tcPr>
          <w:p w14:paraId="1A5F25B7"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3</w:t>
            </w:r>
          </w:p>
        </w:tc>
        <w:tc>
          <w:tcPr>
            <w:tcW w:w="2610" w:type="dxa"/>
            <w:tcBorders>
              <w:top w:val="nil"/>
              <w:left w:val="nil"/>
              <w:bottom w:val="single" w:sz="4" w:space="0" w:color="auto"/>
              <w:right w:val="single" w:sz="4" w:space="0" w:color="auto"/>
            </w:tcBorders>
            <w:shd w:val="clear" w:color="000000" w:fill="FFFFFF"/>
            <w:noWrap/>
            <w:hideMark/>
          </w:tcPr>
          <w:p w14:paraId="4F36917B"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 xml:space="preserve"> Sum of lines 1 + 2</w:t>
            </w:r>
          </w:p>
        </w:tc>
        <w:tc>
          <w:tcPr>
            <w:tcW w:w="6462" w:type="dxa"/>
            <w:tcBorders>
              <w:top w:val="nil"/>
              <w:left w:val="nil"/>
              <w:bottom w:val="single" w:sz="4" w:space="0" w:color="auto"/>
              <w:right w:val="single" w:sz="4" w:space="0" w:color="auto"/>
            </w:tcBorders>
            <w:shd w:val="clear" w:color="000000" w:fill="FFFFFF"/>
            <w:noWrap/>
            <w:hideMark/>
          </w:tcPr>
          <w:p w14:paraId="7B77F7C4" w14:textId="77777777" w:rsidR="004D2FF6" w:rsidRPr="007B0B5B" w:rsidRDefault="004D2FF6" w:rsidP="00220F5C">
            <w:pPr>
              <w:jc w:val="right"/>
              <w:rPr>
                <w:rFonts w:ascii="Calibri" w:hAnsi="Calibri" w:cs="Calibri"/>
                <w:b/>
                <w:bCs/>
                <w:color w:val="000000"/>
                <w:sz w:val="20"/>
                <w:szCs w:val="20"/>
              </w:rPr>
            </w:pPr>
            <w:r w:rsidRPr="007B0B5B">
              <w:rPr>
                <w:rFonts w:ascii="Calibri" w:hAnsi="Calibri" w:cs="Calibri"/>
                <w:b/>
                <w:bCs/>
                <w:color w:val="000000"/>
                <w:sz w:val="20"/>
                <w:szCs w:val="20"/>
              </w:rPr>
              <w:t xml:space="preserve">  Cost of </w:t>
            </w:r>
            <w:r>
              <w:rPr>
                <w:rFonts w:ascii="Calibri" w:hAnsi="Calibri" w:cs="Calibri"/>
                <w:b/>
                <w:bCs/>
                <w:color w:val="000000"/>
                <w:sz w:val="20"/>
              </w:rPr>
              <w:t>Bonds &amp; Mortgage Loans</w:t>
            </w:r>
            <w:r w:rsidRPr="007B0B5B">
              <w:rPr>
                <w:rFonts w:ascii="Calibri" w:hAnsi="Calibri" w:cs="Calibri"/>
                <w:b/>
                <w:bCs/>
                <w:color w:val="000000"/>
                <w:sz w:val="20"/>
                <w:szCs w:val="20"/>
              </w:rPr>
              <w:t xml:space="preserve"> Purchased</w:t>
            </w:r>
          </w:p>
        </w:tc>
        <w:tc>
          <w:tcPr>
            <w:tcW w:w="1352" w:type="dxa"/>
            <w:tcBorders>
              <w:top w:val="nil"/>
              <w:left w:val="nil"/>
              <w:bottom w:val="single" w:sz="4" w:space="0" w:color="auto"/>
              <w:right w:val="single" w:sz="4" w:space="0" w:color="auto"/>
            </w:tcBorders>
            <w:shd w:val="clear" w:color="000000" w:fill="FFFFFF"/>
            <w:noWrap/>
            <w:hideMark/>
          </w:tcPr>
          <w:p w14:paraId="44692379" w14:textId="77777777" w:rsidR="004D2FF6" w:rsidRPr="007B0B5B" w:rsidRDefault="004D2FF6" w:rsidP="00220F5C">
            <w:pPr>
              <w:jc w:val="center"/>
              <w:rPr>
                <w:rFonts w:ascii="Calibri" w:hAnsi="Calibri" w:cs="Calibri"/>
                <w:b/>
                <w:bCs/>
                <w:color w:val="000000"/>
                <w:sz w:val="20"/>
                <w:szCs w:val="20"/>
              </w:rPr>
            </w:pPr>
            <w:r w:rsidRPr="007B0B5B">
              <w:rPr>
                <w:rFonts w:ascii="Calibri" w:hAnsi="Calibri" w:cs="Calibri"/>
                <w:b/>
                <w:bCs/>
                <w:color w:val="000000"/>
                <w:sz w:val="20"/>
                <w:szCs w:val="20"/>
              </w:rPr>
              <w:t>558,000</w:t>
            </w:r>
          </w:p>
        </w:tc>
      </w:tr>
      <w:tr w:rsidR="004D2FF6" w:rsidRPr="00DB61E0" w14:paraId="72AB38DA" w14:textId="77777777" w:rsidTr="004D2FF6">
        <w:trPr>
          <w:trHeight w:hRule="exact" w:val="289"/>
        </w:trPr>
        <w:tc>
          <w:tcPr>
            <w:tcW w:w="558" w:type="dxa"/>
            <w:tcBorders>
              <w:top w:val="nil"/>
              <w:left w:val="single" w:sz="4" w:space="0" w:color="auto"/>
              <w:bottom w:val="single" w:sz="4" w:space="0" w:color="auto"/>
              <w:right w:val="single" w:sz="4" w:space="0" w:color="auto"/>
            </w:tcBorders>
            <w:shd w:val="clear" w:color="000000" w:fill="FFFFFF"/>
            <w:noWrap/>
            <w:hideMark/>
          </w:tcPr>
          <w:p w14:paraId="7FB91D4C"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4</w:t>
            </w:r>
          </w:p>
        </w:tc>
        <w:tc>
          <w:tcPr>
            <w:tcW w:w="2610" w:type="dxa"/>
            <w:tcBorders>
              <w:top w:val="nil"/>
              <w:left w:val="nil"/>
              <w:bottom w:val="single" w:sz="4" w:space="0" w:color="auto"/>
              <w:right w:val="single" w:sz="4" w:space="0" w:color="auto"/>
            </w:tcBorders>
            <w:shd w:val="clear" w:color="000000" w:fill="FFFFFF"/>
            <w:noWrap/>
            <w:hideMark/>
          </w:tcPr>
          <w:p w14:paraId="7BA5E82A"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 </w:t>
            </w:r>
          </w:p>
        </w:tc>
        <w:tc>
          <w:tcPr>
            <w:tcW w:w="6462" w:type="dxa"/>
            <w:tcBorders>
              <w:top w:val="nil"/>
              <w:left w:val="nil"/>
              <w:bottom w:val="single" w:sz="4" w:space="0" w:color="auto"/>
              <w:right w:val="single" w:sz="4" w:space="0" w:color="auto"/>
            </w:tcBorders>
            <w:shd w:val="clear" w:color="000000" w:fill="FFFFFF"/>
            <w:noWrap/>
            <w:hideMark/>
          </w:tcPr>
          <w:p w14:paraId="26C88154" w14:textId="77777777" w:rsidR="004D2FF6" w:rsidRPr="007B0B5B" w:rsidRDefault="004D2FF6" w:rsidP="00220F5C">
            <w:pPr>
              <w:rPr>
                <w:rFonts w:ascii="Calibri" w:hAnsi="Calibri" w:cs="Calibri"/>
                <w:b/>
                <w:bCs/>
                <w:color w:val="000000"/>
                <w:sz w:val="20"/>
                <w:szCs w:val="20"/>
              </w:rPr>
            </w:pPr>
            <w:r w:rsidRPr="007B0B5B">
              <w:rPr>
                <w:rFonts w:ascii="Calibri" w:hAnsi="Calibri" w:cs="Calibri"/>
                <w:b/>
                <w:bCs/>
                <w:color w:val="000000"/>
                <w:sz w:val="20"/>
                <w:szCs w:val="20"/>
              </w:rPr>
              <w:t> </w:t>
            </w:r>
          </w:p>
        </w:tc>
        <w:tc>
          <w:tcPr>
            <w:tcW w:w="1352" w:type="dxa"/>
            <w:tcBorders>
              <w:top w:val="nil"/>
              <w:left w:val="nil"/>
              <w:bottom w:val="single" w:sz="4" w:space="0" w:color="auto"/>
              <w:right w:val="single" w:sz="4" w:space="0" w:color="auto"/>
            </w:tcBorders>
            <w:shd w:val="clear" w:color="000000" w:fill="FFFFFF"/>
            <w:noWrap/>
            <w:vAlign w:val="bottom"/>
            <w:hideMark/>
          </w:tcPr>
          <w:p w14:paraId="751646E8" w14:textId="77777777" w:rsidR="004D2FF6" w:rsidRPr="007B0B5B" w:rsidRDefault="004D2FF6" w:rsidP="00220F5C">
            <w:pPr>
              <w:jc w:val="center"/>
              <w:rPr>
                <w:rFonts w:ascii="Calibri" w:hAnsi="Calibri" w:cs="Calibri"/>
                <w:b/>
                <w:bCs/>
                <w:color w:val="000000"/>
                <w:sz w:val="20"/>
                <w:szCs w:val="20"/>
              </w:rPr>
            </w:pPr>
          </w:p>
        </w:tc>
      </w:tr>
      <w:tr w:rsidR="004D2FF6" w:rsidRPr="00DB61E0" w14:paraId="187B08CC" w14:textId="77777777" w:rsidTr="00220F5C">
        <w:trPr>
          <w:trHeight w:val="300"/>
        </w:trPr>
        <w:tc>
          <w:tcPr>
            <w:tcW w:w="558" w:type="dxa"/>
            <w:tcBorders>
              <w:top w:val="nil"/>
              <w:left w:val="single" w:sz="4" w:space="0" w:color="auto"/>
              <w:bottom w:val="single" w:sz="4" w:space="0" w:color="auto"/>
              <w:right w:val="single" w:sz="4" w:space="0" w:color="auto"/>
            </w:tcBorders>
            <w:shd w:val="clear" w:color="000000" w:fill="FFFFFF"/>
            <w:noWrap/>
            <w:hideMark/>
          </w:tcPr>
          <w:p w14:paraId="2DB0E5BA"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5</w:t>
            </w:r>
          </w:p>
        </w:tc>
        <w:tc>
          <w:tcPr>
            <w:tcW w:w="2610" w:type="dxa"/>
            <w:tcBorders>
              <w:top w:val="nil"/>
              <w:left w:val="nil"/>
              <w:bottom w:val="single" w:sz="4" w:space="0" w:color="auto"/>
              <w:right w:val="single" w:sz="4" w:space="0" w:color="auto"/>
            </w:tcBorders>
            <w:shd w:val="clear" w:color="000000" w:fill="FFFFFF"/>
            <w:noWrap/>
            <w:hideMark/>
          </w:tcPr>
          <w:p w14:paraId="7669E503"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Internal Systems</w:t>
            </w:r>
          </w:p>
        </w:tc>
        <w:tc>
          <w:tcPr>
            <w:tcW w:w="6462" w:type="dxa"/>
            <w:tcBorders>
              <w:top w:val="nil"/>
              <w:left w:val="nil"/>
              <w:bottom w:val="single" w:sz="4" w:space="0" w:color="auto"/>
              <w:right w:val="single" w:sz="4" w:space="0" w:color="auto"/>
            </w:tcBorders>
            <w:shd w:val="clear" w:color="000000" w:fill="FFFFFF"/>
            <w:noWrap/>
            <w:hideMark/>
          </w:tcPr>
          <w:p w14:paraId="57839920" w14:textId="77777777" w:rsidR="004D2FF6" w:rsidRPr="007B0B5B" w:rsidRDefault="004D2FF6" w:rsidP="00220F5C">
            <w:pPr>
              <w:rPr>
                <w:rFonts w:ascii="Calibri" w:hAnsi="Calibri" w:cs="Calibri"/>
                <w:color w:val="000000"/>
                <w:sz w:val="20"/>
                <w:szCs w:val="20"/>
              </w:rPr>
            </w:pPr>
            <w:r w:rsidRPr="007B0B5B">
              <w:rPr>
                <w:rFonts w:ascii="Calibri" w:hAnsi="Calibri" w:cs="Calibri"/>
                <w:color w:val="000000"/>
                <w:sz w:val="20"/>
                <w:szCs w:val="20"/>
              </w:rPr>
              <w:t xml:space="preserve">Proceeds from </w:t>
            </w:r>
            <w:r>
              <w:rPr>
                <w:rFonts w:ascii="Calibri" w:hAnsi="Calibri" w:cs="Calibri"/>
                <w:color w:val="000000"/>
                <w:sz w:val="20"/>
              </w:rPr>
              <w:t>I</w:t>
            </w:r>
            <w:r w:rsidRPr="007B0B5B">
              <w:rPr>
                <w:rFonts w:ascii="Calibri" w:hAnsi="Calibri" w:cs="Calibri"/>
                <w:color w:val="000000"/>
                <w:sz w:val="20"/>
                <w:szCs w:val="20"/>
              </w:rPr>
              <w:t>nvestments sold - Bonds</w:t>
            </w:r>
          </w:p>
        </w:tc>
        <w:tc>
          <w:tcPr>
            <w:tcW w:w="1352" w:type="dxa"/>
            <w:tcBorders>
              <w:top w:val="nil"/>
              <w:left w:val="nil"/>
              <w:bottom w:val="single" w:sz="4" w:space="0" w:color="auto"/>
              <w:right w:val="single" w:sz="4" w:space="0" w:color="auto"/>
            </w:tcBorders>
            <w:shd w:val="clear" w:color="000000" w:fill="FFFFFF"/>
            <w:noWrap/>
            <w:vAlign w:val="bottom"/>
            <w:hideMark/>
          </w:tcPr>
          <w:p w14:paraId="6E965656"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502,000</w:t>
            </w:r>
          </w:p>
        </w:tc>
      </w:tr>
      <w:tr w:rsidR="004D2FF6" w:rsidRPr="00DB61E0" w14:paraId="233E35EF" w14:textId="77777777" w:rsidTr="00220F5C">
        <w:trPr>
          <w:trHeight w:val="300"/>
        </w:trPr>
        <w:tc>
          <w:tcPr>
            <w:tcW w:w="558" w:type="dxa"/>
            <w:tcBorders>
              <w:top w:val="nil"/>
              <w:left w:val="single" w:sz="4" w:space="0" w:color="auto"/>
              <w:bottom w:val="single" w:sz="4" w:space="0" w:color="auto"/>
              <w:right w:val="single" w:sz="4" w:space="0" w:color="auto"/>
            </w:tcBorders>
            <w:shd w:val="clear" w:color="000000" w:fill="FFFFFF"/>
            <w:noWrap/>
            <w:hideMark/>
          </w:tcPr>
          <w:p w14:paraId="430D2EC9"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6</w:t>
            </w:r>
          </w:p>
        </w:tc>
        <w:tc>
          <w:tcPr>
            <w:tcW w:w="2610" w:type="dxa"/>
            <w:tcBorders>
              <w:top w:val="nil"/>
              <w:left w:val="nil"/>
              <w:bottom w:val="single" w:sz="4" w:space="0" w:color="auto"/>
              <w:right w:val="single" w:sz="4" w:space="0" w:color="auto"/>
            </w:tcBorders>
            <w:shd w:val="clear" w:color="000000" w:fill="FFFFFF"/>
            <w:noWrap/>
            <w:hideMark/>
          </w:tcPr>
          <w:p w14:paraId="6BC8A318"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Internal Systems</w:t>
            </w:r>
          </w:p>
        </w:tc>
        <w:tc>
          <w:tcPr>
            <w:tcW w:w="6462" w:type="dxa"/>
            <w:tcBorders>
              <w:top w:val="nil"/>
              <w:left w:val="nil"/>
              <w:bottom w:val="single" w:sz="4" w:space="0" w:color="auto"/>
              <w:right w:val="single" w:sz="4" w:space="0" w:color="auto"/>
            </w:tcBorders>
            <w:shd w:val="clear" w:color="000000" w:fill="FFFFFF"/>
            <w:noWrap/>
            <w:hideMark/>
          </w:tcPr>
          <w:p w14:paraId="0B25B3E7" w14:textId="77777777" w:rsidR="004D2FF6" w:rsidRPr="007B0B5B" w:rsidRDefault="004D2FF6" w:rsidP="00220F5C">
            <w:pPr>
              <w:rPr>
                <w:rFonts w:ascii="Calibri" w:hAnsi="Calibri" w:cs="Calibri"/>
                <w:color w:val="000000"/>
                <w:sz w:val="20"/>
                <w:szCs w:val="20"/>
              </w:rPr>
            </w:pPr>
            <w:r w:rsidRPr="007B0B5B">
              <w:rPr>
                <w:rFonts w:ascii="Calibri" w:hAnsi="Calibri" w:cs="Calibri"/>
                <w:color w:val="000000"/>
                <w:sz w:val="20"/>
                <w:szCs w:val="20"/>
              </w:rPr>
              <w:t xml:space="preserve">Proceeds from </w:t>
            </w:r>
            <w:r>
              <w:rPr>
                <w:rFonts w:ascii="Calibri" w:hAnsi="Calibri" w:cs="Calibri"/>
                <w:color w:val="000000"/>
                <w:sz w:val="20"/>
              </w:rPr>
              <w:t>I</w:t>
            </w:r>
            <w:r w:rsidRPr="007B0B5B">
              <w:rPr>
                <w:rFonts w:ascii="Calibri" w:hAnsi="Calibri" w:cs="Calibri"/>
                <w:color w:val="000000"/>
                <w:sz w:val="20"/>
                <w:szCs w:val="20"/>
              </w:rPr>
              <w:t>nvestments sold - Mortgage Loan</w:t>
            </w:r>
            <w:r>
              <w:rPr>
                <w:rFonts w:ascii="Calibri" w:hAnsi="Calibri" w:cs="Calibri"/>
                <w:color w:val="000000"/>
                <w:sz w:val="20"/>
              </w:rPr>
              <w:t>s</w:t>
            </w:r>
          </w:p>
        </w:tc>
        <w:tc>
          <w:tcPr>
            <w:tcW w:w="1352" w:type="dxa"/>
            <w:tcBorders>
              <w:top w:val="nil"/>
              <w:left w:val="nil"/>
              <w:bottom w:val="single" w:sz="4" w:space="0" w:color="auto"/>
              <w:right w:val="single" w:sz="4" w:space="0" w:color="auto"/>
            </w:tcBorders>
            <w:shd w:val="clear" w:color="000000" w:fill="FFFFFF"/>
            <w:noWrap/>
            <w:vAlign w:val="bottom"/>
            <w:hideMark/>
          </w:tcPr>
          <w:p w14:paraId="407352D9"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14,000</w:t>
            </w:r>
          </w:p>
        </w:tc>
      </w:tr>
      <w:tr w:rsidR="004D2FF6" w:rsidRPr="00DB61E0" w14:paraId="03622EAF" w14:textId="77777777" w:rsidTr="00220F5C">
        <w:trPr>
          <w:trHeight w:val="300"/>
        </w:trPr>
        <w:tc>
          <w:tcPr>
            <w:tcW w:w="558" w:type="dxa"/>
            <w:tcBorders>
              <w:top w:val="nil"/>
              <w:left w:val="single" w:sz="4" w:space="0" w:color="auto"/>
              <w:bottom w:val="single" w:sz="4" w:space="0" w:color="auto"/>
              <w:right w:val="single" w:sz="4" w:space="0" w:color="auto"/>
            </w:tcBorders>
            <w:shd w:val="clear" w:color="000000" w:fill="FFFFFF"/>
            <w:noWrap/>
            <w:hideMark/>
          </w:tcPr>
          <w:p w14:paraId="24A7E944"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7</w:t>
            </w:r>
          </w:p>
        </w:tc>
        <w:tc>
          <w:tcPr>
            <w:tcW w:w="2610" w:type="dxa"/>
            <w:tcBorders>
              <w:top w:val="nil"/>
              <w:left w:val="nil"/>
              <w:bottom w:val="single" w:sz="4" w:space="0" w:color="auto"/>
              <w:right w:val="single" w:sz="4" w:space="0" w:color="auto"/>
            </w:tcBorders>
            <w:shd w:val="clear" w:color="000000" w:fill="FFFFFF"/>
            <w:noWrap/>
            <w:hideMark/>
          </w:tcPr>
          <w:p w14:paraId="58ACAE91"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sum of lines 5 &amp; 6</w:t>
            </w:r>
          </w:p>
        </w:tc>
        <w:tc>
          <w:tcPr>
            <w:tcW w:w="6462" w:type="dxa"/>
            <w:tcBorders>
              <w:top w:val="nil"/>
              <w:left w:val="nil"/>
              <w:bottom w:val="single" w:sz="4" w:space="0" w:color="auto"/>
              <w:right w:val="single" w:sz="4" w:space="0" w:color="auto"/>
            </w:tcBorders>
            <w:shd w:val="clear" w:color="000000" w:fill="FFFFFF"/>
            <w:noWrap/>
            <w:hideMark/>
          </w:tcPr>
          <w:p w14:paraId="73B1DAD9" w14:textId="77777777" w:rsidR="004D2FF6" w:rsidRPr="007B0B5B" w:rsidRDefault="004D2FF6" w:rsidP="00220F5C">
            <w:pPr>
              <w:jc w:val="right"/>
              <w:rPr>
                <w:rFonts w:ascii="Calibri" w:hAnsi="Calibri" w:cs="Calibri"/>
                <w:b/>
                <w:bCs/>
                <w:color w:val="000000"/>
                <w:sz w:val="20"/>
                <w:szCs w:val="20"/>
              </w:rPr>
            </w:pPr>
            <w:r w:rsidRPr="007B0B5B">
              <w:rPr>
                <w:rFonts w:ascii="Calibri" w:hAnsi="Calibri" w:cs="Calibri"/>
                <w:b/>
                <w:bCs/>
                <w:color w:val="000000"/>
                <w:sz w:val="20"/>
                <w:szCs w:val="20"/>
              </w:rPr>
              <w:t xml:space="preserve">  Total proceeds from </w:t>
            </w:r>
            <w:r>
              <w:rPr>
                <w:rFonts w:ascii="Calibri" w:hAnsi="Calibri" w:cs="Calibri"/>
                <w:b/>
                <w:bCs/>
                <w:color w:val="000000"/>
                <w:sz w:val="20"/>
              </w:rPr>
              <w:t xml:space="preserve">Bonds &amp; Mortgage Loans </w:t>
            </w:r>
            <w:r w:rsidRPr="007B0B5B">
              <w:rPr>
                <w:rFonts w:ascii="Calibri" w:hAnsi="Calibri" w:cs="Calibri"/>
                <w:b/>
                <w:bCs/>
                <w:color w:val="000000"/>
                <w:sz w:val="20"/>
                <w:szCs w:val="20"/>
              </w:rPr>
              <w:t xml:space="preserve">Sold </w:t>
            </w:r>
          </w:p>
        </w:tc>
        <w:tc>
          <w:tcPr>
            <w:tcW w:w="1352" w:type="dxa"/>
            <w:tcBorders>
              <w:top w:val="nil"/>
              <w:left w:val="nil"/>
              <w:bottom w:val="single" w:sz="4" w:space="0" w:color="auto"/>
              <w:right w:val="single" w:sz="4" w:space="0" w:color="auto"/>
            </w:tcBorders>
            <w:shd w:val="clear" w:color="000000" w:fill="FFFFFF"/>
            <w:noWrap/>
            <w:hideMark/>
          </w:tcPr>
          <w:p w14:paraId="09259F70" w14:textId="77777777" w:rsidR="004D2FF6" w:rsidRPr="007B0B5B" w:rsidRDefault="004D2FF6" w:rsidP="00220F5C">
            <w:pPr>
              <w:jc w:val="center"/>
              <w:rPr>
                <w:rFonts w:ascii="Calibri" w:hAnsi="Calibri" w:cs="Calibri"/>
                <w:b/>
                <w:bCs/>
                <w:color w:val="000000"/>
                <w:sz w:val="20"/>
                <w:szCs w:val="20"/>
              </w:rPr>
            </w:pPr>
            <w:r w:rsidRPr="007B0B5B">
              <w:rPr>
                <w:rFonts w:ascii="Calibri" w:hAnsi="Calibri" w:cs="Calibri"/>
                <w:b/>
                <w:bCs/>
                <w:color w:val="000000"/>
                <w:sz w:val="20"/>
                <w:szCs w:val="20"/>
              </w:rPr>
              <w:t>516,000</w:t>
            </w:r>
          </w:p>
        </w:tc>
      </w:tr>
      <w:tr w:rsidR="004D2FF6" w:rsidRPr="00DB61E0" w14:paraId="065DC779" w14:textId="77777777" w:rsidTr="004D2FF6">
        <w:trPr>
          <w:trHeight w:hRule="exact" w:val="271"/>
        </w:trPr>
        <w:tc>
          <w:tcPr>
            <w:tcW w:w="558" w:type="dxa"/>
            <w:tcBorders>
              <w:top w:val="nil"/>
              <w:left w:val="single" w:sz="4" w:space="0" w:color="auto"/>
              <w:bottom w:val="single" w:sz="4" w:space="0" w:color="auto"/>
              <w:right w:val="single" w:sz="4" w:space="0" w:color="auto"/>
            </w:tcBorders>
            <w:shd w:val="clear" w:color="000000" w:fill="FFFFFF"/>
            <w:noWrap/>
            <w:hideMark/>
          </w:tcPr>
          <w:p w14:paraId="68A59C61"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8</w:t>
            </w:r>
          </w:p>
        </w:tc>
        <w:tc>
          <w:tcPr>
            <w:tcW w:w="2610" w:type="dxa"/>
            <w:tcBorders>
              <w:top w:val="nil"/>
              <w:left w:val="nil"/>
              <w:bottom w:val="single" w:sz="4" w:space="0" w:color="auto"/>
              <w:right w:val="single" w:sz="4" w:space="0" w:color="auto"/>
            </w:tcBorders>
            <w:shd w:val="clear" w:color="000000" w:fill="FFFFFF"/>
            <w:noWrap/>
            <w:hideMark/>
          </w:tcPr>
          <w:p w14:paraId="346D26E8"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 </w:t>
            </w:r>
          </w:p>
        </w:tc>
        <w:tc>
          <w:tcPr>
            <w:tcW w:w="6462" w:type="dxa"/>
            <w:tcBorders>
              <w:top w:val="nil"/>
              <w:left w:val="nil"/>
              <w:bottom w:val="single" w:sz="4" w:space="0" w:color="auto"/>
              <w:right w:val="single" w:sz="4" w:space="0" w:color="auto"/>
            </w:tcBorders>
            <w:shd w:val="clear" w:color="000000" w:fill="FFFFFF"/>
            <w:noWrap/>
            <w:hideMark/>
          </w:tcPr>
          <w:p w14:paraId="5A7A5AD0" w14:textId="77777777" w:rsidR="004D2FF6" w:rsidRPr="007B0B5B" w:rsidRDefault="004D2FF6" w:rsidP="00220F5C">
            <w:pPr>
              <w:rPr>
                <w:rFonts w:ascii="Calibri" w:hAnsi="Calibri" w:cs="Calibri"/>
                <w:color w:val="000000"/>
                <w:sz w:val="20"/>
                <w:szCs w:val="20"/>
              </w:rPr>
            </w:pPr>
            <w:r w:rsidRPr="007B0B5B">
              <w:rPr>
                <w:rFonts w:ascii="Calibri" w:hAnsi="Calibri" w:cs="Calibri"/>
                <w:color w:val="000000"/>
                <w:sz w:val="20"/>
                <w:szCs w:val="20"/>
              </w:rPr>
              <w:t> </w:t>
            </w:r>
          </w:p>
        </w:tc>
        <w:tc>
          <w:tcPr>
            <w:tcW w:w="1352" w:type="dxa"/>
            <w:tcBorders>
              <w:top w:val="nil"/>
              <w:left w:val="nil"/>
              <w:bottom w:val="single" w:sz="4" w:space="0" w:color="auto"/>
              <w:right w:val="single" w:sz="4" w:space="0" w:color="auto"/>
            </w:tcBorders>
            <w:shd w:val="clear" w:color="000000" w:fill="FFFFFF"/>
            <w:noWrap/>
            <w:vAlign w:val="bottom"/>
            <w:hideMark/>
          </w:tcPr>
          <w:p w14:paraId="22FAB0CF" w14:textId="77777777" w:rsidR="004D2FF6" w:rsidRPr="007B0B5B" w:rsidRDefault="004D2FF6" w:rsidP="00220F5C">
            <w:pPr>
              <w:jc w:val="center"/>
              <w:rPr>
                <w:rFonts w:ascii="Calibri" w:hAnsi="Calibri" w:cs="Calibri"/>
                <w:b/>
                <w:bCs/>
                <w:color w:val="000000"/>
                <w:sz w:val="20"/>
                <w:szCs w:val="20"/>
              </w:rPr>
            </w:pPr>
          </w:p>
        </w:tc>
      </w:tr>
      <w:tr w:rsidR="004D2FF6" w:rsidRPr="00DB61E0" w14:paraId="58B393B6" w14:textId="77777777" w:rsidTr="00220F5C">
        <w:trPr>
          <w:trHeight w:val="300"/>
        </w:trPr>
        <w:tc>
          <w:tcPr>
            <w:tcW w:w="558" w:type="dxa"/>
            <w:tcBorders>
              <w:top w:val="nil"/>
              <w:left w:val="single" w:sz="4" w:space="0" w:color="auto"/>
              <w:bottom w:val="single" w:sz="4" w:space="0" w:color="auto"/>
              <w:right w:val="single" w:sz="4" w:space="0" w:color="auto"/>
            </w:tcBorders>
            <w:shd w:val="clear" w:color="000000" w:fill="FFFFFF"/>
            <w:noWrap/>
            <w:hideMark/>
          </w:tcPr>
          <w:p w14:paraId="56BA315E"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9</w:t>
            </w:r>
          </w:p>
        </w:tc>
        <w:tc>
          <w:tcPr>
            <w:tcW w:w="2610" w:type="dxa"/>
            <w:tcBorders>
              <w:top w:val="nil"/>
              <w:left w:val="nil"/>
              <w:bottom w:val="single" w:sz="4" w:space="0" w:color="auto"/>
              <w:right w:val="single" w:sz="4" w:space="0" w:color="auto"/>
            </w:tcBorders>
            <w:shd w:val="clear" w:color="000000" w:fill="FFFFFF"/>
            <w:noWrap/>
            <w:hideMark/>
          </w:tcPr>
          <w:p w14:paraId="4004B6C5"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Blue book Note 35</w:t>
            </w:r>
          </w:p>
        </w:tc>
        <w:tc>
          <w:tcPr>
            <w:tcW w:w="6462" w:type="dxa"/>
            <w:tcBorders>
              <w:top w:val="nil"/>
              <w:left w:val="nil"/>
              <w:bottom w:val="single" w:sz="4" w:space="0" w:color="auto"/>
              <w:right w:val="single" w:sz="4" w:space="0" w:color="auto"/>
            </w:tcBorders>
            <w:shd w:val="clear" w:color="000000" w:fill="FFFFFF"/>
            <w:noWrap/>
            <w:hideMark/>
          </w:tcPr>
          <w:p w14:paraId="0FE47252" w14:textId="77777777" w:rsidR="004D2FF6" w:rsidRPr="007B0B5B" w:rsidRDefault="004D2FF6" w:rsidP="00220F5C">
            <w:pPr>
              <w:rPr>
                <w:rFonts w:ascii="Calibri" w:hAnsi="Calibri" w:cs="Calibri"/>
                <w:color w:val="000000"/>
                <w:sz w:val="20"/>
                <w:szCs w:val="20"/>
              </w:rPr>
            </w:pPr>
            <w:r w:rsidRPr="007B0B5B">
              <w:rPr>
                <w:rFonts w:ascii="Calibri" w:hAnsi="Calibri" w:cs="Calibri"/>
                <w:color w:val="000000"/>
                <w:sz w:val="20"/>
                <w:szCs w:val="20"/>
              </w:rPr>
              <w:t>Premiums collected net of reinsurance</w:t>
            </w:r>
          </w:p>
        </w:tc>
        <w:tc>
          <w:tcPr>
            <w:tcW w:w="1352" w:type="dxa"/>
            <w:tcBorders>
              <w:top w:val="nil"/>
              <w:left w:val="nil"/>
              <w:bottom w:val="single" w:sz="4" w:space="0" w:color="auto"/>
              <w:right w:val="single" w:sz="4" w:space="0" w:color="auto"/>
            </w:tcBorders>
            <w:shd w:val="clear" w:color="000000" w:fill="FFFFFF"/>
            <w:noWrap/>
            <w:vAlign w:val="bottom"/>
            <w:hideMark/>
          </w:tcPr>
          <w:p w14:paraId="4A026398"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7,000</w:t>
            </w:r>
          </w:p>
        </w:tc>
      </w:tr>
      <w:tr w:rsidR="004D2FF6" w:rsidRPr="00DB61E0" w14:paraId="0F980036" w14:textId="77777777" w:rsidTr="00220F5C">
        <w:trPr>
          <w:trHeight w:val="300"/>
        </w:trPr>
        <w:tc>
          <w:tcPr>
            <w:tcW w:w="558" w:type="dxa"/>
            <w:tcBorders>
              <w:top w:val="nil"/>
              <w:left w:val="single" w:sz="4" w:space="0" w:color="auto"/>
              <w:bottom w:val="single" w:sz="4" w:space="0" w:color="auto"/>
              <w:right w:val="single" w:sz="4" w:space="0" w:color="auto"/>
            </w:tcBorders>
            <w:shd w:val="clear" w:color="000000" w:fill="FFFFFF"/>
            <w:noWrap/>
            <w:hideMark/>
          </w:tcPr>
          <w:p w14:paraId="7C36909E"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10</w:t>
            </w:r>
          </w:p>
        </w:tc>
        <w:tc>
          <w:tcPr>
            <w:tcW w:w="2610" w:type="dxa"/>
            <w:tcBorders>
              <w:top w:val="nil"/>
              <w:left w:val="nil"/>
              <w:bottom w:val="single" w:sz="4" w:space="0" w:color="auto"/>
              <w:right w:val="single" w:sz="4" w:space="0" w:color="auto"/>
            </w:tcBorders>
            <w:shd w:val="clear" w:color="000000" w:fill="FFFFFF"/>
            <w:noWrap/>
            <w:hideMark/>
          </w:tcPr>
          <w:p w14:paraId="545705FE"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CF Stmt - Row 7</w:t>
            </w:r>
          </w:p>
        </w:tc>
        <w:tc>
          <w:tcPr>
            <w:tcW w:w="6462" w:type="dxa"/>
            <w:tcBorders>
              <w:top w:val="nil"/>
              <w:left w:val="nil"/>
              <w:bottom w:val="single" w:sz="4" w:space="0" w:color="auto"/>
              <w:right w:val="single" w:sz="4" w:space="0" w:color="auto"/>
            </w:tcBorders>
            <w:shd w:val="clear" w:color="000000" w:fill="FFFFFF"/>
            <w:noWrap/>
            <w:hideMark/>
          </w:tcPr>
          <w:p w14:paraId="298DC036" w14:textId="77777777" w:rsidR="004D2FF6" w:rsidRPr="007B0B5B" w:rsidRDefault="004D2FF6" w:rsidP="00220F5C">
            <w:pPr>
              <w:rPr>
                <w:rFonts w:ascii="Calibri" w:hAnsi="Calibri" w:cs="Calibri"/>
                <w:color w:val="000000"/>
                <w:sz w:val="20"/>
                <w:szCs w:val="20"/>
              </w:rPr>
            </w:pPr>
            <w:r w:rsidRPr="007B0B5B">
              <w:rPr>
                <w:rFonts w:ascii="Calibri" w:hAnsi="Calibri" w:cs="Calibri"/>
                <w:color w:val="000000"/>
                <w:sz w:val="20"/>
                <w:szCs w:val="20"/>
              </w:rPr>
              <w:t>Commissions, expenses paid and aggregate write-ins for deductions</w:t>
            </w:r>
          </w:p>
        </w:tc>
        <w:tc>
          <w:tcPr>
            <w:tcW w:w="1352" w:type="dxa"/>
            <w:tcBorders>
              <w:top w:val="nil"/>
              <w:left w:val="nil"/>
              <w:bottom w:val="single" w:sz="4" w:space="0" w:color="auto"/>
              <w:right w:val="single" w:sz="4" w:space="0" w:color="auto"/>
            </w:tcBorders>
            <w:shd w:val="clear" w:color="000000" w:fill="FFFFFF"/>
            <w:noWrap/>
            <w:vAlign w:val="bottom"/>
            <w:hideMark/>
          </w:tcPr>
          <w:p w14:paraId="3E13906A"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0</w:t>
            </w:r>
          </w:p>
        </w:tc>
      </w:tr>
      <w:tr w:rsidR="004D2FF6" w:rsidRPr="00DB61E0" w14:paraId="22F876F2" w14:textId="77777777" w:rsidTr="00220F5C">
        <w:trPr>
          <w:trHeight w:val="300"/>
        </w:trPr>
        <w:tc>
          <w:tcPr>
            <w:tcW w:w="558" w:type="dxa"/>
            <w:tcBorders>
              <w:top w:val="nil"/>
              <w:left w:val="single" w:sz="4" w:space="0" w:color="auto"/>
              <w:bottom w:val="single" w:sz="4" w:space="0" w:color="auto"/>
              <w:right w:val="single" w:sz="4" w:space="0" w:color="auto"/>
            </w:tcBorders>
            <w:shd w:val="clear" w:color="000000" w:fill="FFFFFF"/>
            <w:noWrap/>
            <w:hideMark/>
          </w:tcPr>
          <w:p w14:paraId="554CD8F4"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11</w:t>
            </w:r>
          </w:p>
        </w:tc>
        <w:tc>
          <w:tcPr>
            <w:tcW w:w="2610" w:type="dxa"/>
            <w:tcBorders>
              <w:top w:val="nil"/>
              <w:left w:val="nil"/>
              <w:bottom w:val="single" w:sz="4" w:space="0" w:color="auto"/>
              <w:right w:val="single" w:sz="4" w:space="0" w:color="auto"/>
            </w:tcBorders>
            <w:shd w:val="clear" w:color="000000" w:fill="FFFFFF"/>
            <w:noWrap/>
            <w:hideMark/>
          </w:tcPr>
          <w:p w14:paraId="002BF178"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AS - Note 35 SA</w:t>
            </w:r>
          </w:p>
        </w:tc>
        <w:tc>
          <w:tcPr>
            <w:tcW w:w="6462" w:type="dxa"/>
            <w:tcBorders>
              <w:top w:val="nil"/>
              <w:left w:val="nil"/>
              <w:bottom w:val="single" w:sz="4" w:space="0" w:color="auto"/>
              <w:right w:val="single" w:sz="4" w:space="0" w:color="auto"/>
            </w:tcBorders>
            <w:shd w:val="clear" w:color="000000" w:fill="FFFFFF"/>
            <w:noWrap/>
            <w:hideMark/>
          </w:tcPr>
          <w:p w14:paraId="30DB407E" w14:textId="77777777" w:rsidR="004D2FF6" w:rsidRPr="007B0B5B" w:rsidRDefault="004D2FF6" w:rsidP="00220F5C">
            <w:pPr>
              <w:rPr>
                <w:rFonts w:ascii="Calibri" w:hAnsi="Calibri" w:cs="Calibri"/>
                <w:color w:val="000000"/>
                <w:sz w:val="20"/>
                <w:szCs w:val="20"/>
              </w:rPr>
            </w:pPr>
            <w:r w:rsidRPr="007B0B5B">
              <w:rPr>
                <w:rFonts w:ascii="Calibri" w:hAnsi="Calibri" w:cs="Calibri"/>
                <w:color w:val="000000"/>
                <w:sz w:val="20"/>
                <w:szCs w:val="20"/>
              </w:rPr>
              <w:t xml:space="preserve">Total premiums, considerations or deposits </w:t>
            </w:r>
            <w:r>
              <w:rPr>
                <w:rFonts w:ascii="Calibri" w:hAnsi="Calibri" w:cs="Calibri"/>
                <w:color w:val="000000"/>
                <w:sz w:val="20"/>
              </w:rPr>
              <w:t>at</w:t>
            </w:r>
            <w:r w:rsidRPr="007B0B5B">
              <w:rPr>
                <w:rFonts w:ascii="Calibri" w:hAnsi="Calibri" w:cs="Calibri"/>
                <w:color w:val="000000"/>
                <w:sz w:val="20"/>
                <w:szCs w:val="20"/>
              </w:rPr>
              <w:t xml:space="preserve"> end of current period</w:t>
            </w:r>
          </w:p>
        </w:tc>
        <w:tc>
          <w:tcPr>
            <w:tcW w:w="1352" w:type="dxa"/>
            <w:tcBorders>
              <w:top w:val="nil"/>
              <w:left w:val="nil"/>
              <w:bottom w:val="single" w:sz="4" w:space="0" w:color="auto"/>
              <w:right w:val="single" w:sz="4" w:space="0" w:color="auto"/>
            </w:tcBorders>
            <w:shd w:val="clear" w:color="000000" w:fill="FFFFFF"/>
            <w:noWrap/>
            <w:vAlign w:val="bottom"/>
            <w:hideMark/>
          </w:tcPr>
          <w:p w14:paraId="6645E895"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0</w:t>
            </w:r>
          </w:p>
        </w:tc>
      </w:tr>
      <w:tr w:rsidR="004D2FF6" w:rsidRPr="00DB61E0" w14:paraId="07C4B163" w14:textId="77777777" w:rsidTr="00220F5C">
        <w:trPr>
          <w:trHeight w:val="300"/>
        </w:trPr>
        <w:tc>
          <w:tcPr>
            <w:tcW w:w="558" w:type="dxa"/>
            <w:tcBorders>
              <w:top w:val="nil"/>
              <w:left w:val="single" w:sz="4" w:space="0" w:color="auto"/>
              <w:bottom w:val="single" w:sz="4" w:space="0" w:color="auto"/>
              <w:right w:val="single" w:sz="4" w:space="0" w:color="auto"/>
            </w:tcBorders>
            <w:shd w:val="clear" w:color="000000" w:fill="FFFFFF"/>
            <w:noWrap/>
            <w:hideMark/>
          </w:tcPr>
          <w:p w14:paraId="30F7DB16"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12</w:t>
            </w:r>
          </w:p>
        </w:tc>
        <w:tc>
          <w:tcPr>
            <w:tcW w:w="2610" w:type="dxa"/>
            <w:tcBorders>
              <w:top w:val="nil"/>
              <w:left w:val="nil"/>
              <w:bottom w:val="single" w:sz="4" w:space="0" w:color="auto"/>
              <w:right w:val="single" w:sz="4" w:space="0" w:color="auto"/>
            </w:tcBorders>
            <w:shd w:val="clear" w:color="000000" w:fill="FFFFFF"/>
            <w:noWrap/>
            <w:hideMark/>
          </w:tcPr>
          <w:p w14:paraId="2F9CA52C"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Internal Systems</w:t>
            </w:r>
          </w:p>
        </w:tc>
        <w:tc>
          <w:tcPr>
            <w:tcW w:w="6462" w:type="dxa"/>
            <w:tcBorders>
              <w:top w:val="nil"/>
              <w:left w:val="nil"/>
              <w:bottom w:val="single" w:sz="4" w:space="0" w:color="auto"/>
              <w:right w:val="single" w:sz="4" w:space="0" w:color="auto"/>
            </w:tcBorders>
            <w:shd w:val="clear" w:color="000000" w:fill="FFFFFF"/>
            <w:noWrap/>
            <w:hideMark/>
          </w:tcPr>
          <w:p w14:paraId="27795C15" w14:textId="77777777" w:rsidR="004D2FF6" w:rsidRPr="007B0B5B" w:rsidRDefault="004D2FF6" w:rsidP="00220F5C">
            <w:pPr>
              <w:rPr>
                <w:rFonts w:ascii="Calibri" w:hAnsi="Calibri" w:cs="Calibri"/>
                <w:color w:val="000000"/>
                <w:sz w:val="20"/>
                <w:szCs w:val="20"/>
              </w:rPr>
            </w:pPr>
            <w:r w:rsidRPr="007B0B5B">
              <w:rPr>
                <w:rFonts w:ascii="Calibri" w:hAnsi="Calibri" w:cs="Calibri"/>
                <w:color w:val="000000"/>
                <w:sz w:val="20"/>
                <w:szCs w:val="20"/>
              </w:rPr>
              <w:t>Assets in kind received in line 11 above</w:t>
            </w:r>
          </w:p>
        </w:tc>
        <w:tc>
          <w:tcPr>
            <w:tcW w:w="1352" w:type="dxa"/>
            <w:tcBorders>
              <w:top w:val="nil"/>
              <w:left w:val="nil"/>
              <w:bottom w:val="single" w:sz="4" w:space="0" w:color="auto"/>
              <w:right w:val="single" w:sz="4" w:space="0" w:color="auto"/>
            </w:tcBorders>
            <w:shd w:val="clear" w:color="000000" w:fill="FFFFFF"/>
            <w:noWrap/>
            <w:vAlign w:val="bottom"/>
            <w:hideMark/>
          </w:tcPr>
          <w:p w14:paraId="75CE55F6"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0</w:t>
            </w:r>
          </w:p>
        </w:tc>
      </w:tr>
      <w:tr w:rsidR="004D2FF6" w:rsidRPr="00DB61E0" w14:paraId="64027201" w14:textId="77777777" w:rsidTr="00220F5C">
        <w:trPr>
          <w:trHeight w:val="1025"/>
        </w:trPr>
        <w:tc>
          <w:tcPr>
            <w:tcW w:w="558" w:type="dxa"/>
            <w:tcBorders>
              <w:top w:val="nil"/>
              <w:left w:val="single" w:sz="4" w:space="0" w:color="auto"/>
              <w:bottom w:val="single" w:sz="4" w:space="0" w:color="auto"/>
              <w:right w:val="single" w:sz="4" w:space="0" w:color="auto"/>
            </w:tcBorders>
            <w:shd w:val="clear" w:color="000000" w:fill="FFFFFF"/>
            <w:noWrap/>
            <w:hideMark/>
          </w:tcPr>
          <w:p w14:paraId="1FD5CF8D"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13</w:t>
            </w:r>
          </w:p>
        </w:tc>
        <w:tc>
          <w:tcPr>
            <w:tcW w:w="2610" w:type="dxa"/>
            <w:tcBorders>
              <w:top w:val="nil"/>
              <w:left w:val="nil"/>
              <w:bottom w:val="single" w:sz="4" w:space="0" w:color="auto"/>
              <w:right w:val="single" w:sz="4" w:space="0" w:color="auto"/>
            </w:tcBorders>
            <w:shd w:val="clear" w:color="000000" w:fill="FFFFFF"/>
            <w:hideMark/>
          </w:tcPr>
          <w:p w14:paraId="68880A9E"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AS - Analysis of operations by lines of business - A&amp;H: Column 13 less columns 11 &amp; 12</w:t>
            </w:r>
          </w:p>
        </w:tc>
        <w:tc>
          <w:tcPr>
            <w:tcW w:w="6462" w:type="dxa"/>
            <w:tcBorders>
              <w:top w:val="nil"/>
              <w:left w:val="nil"/>
              <w:bottom w:val="single" w:sz="4" w:space="0" w:color="auto"/>
              <w:right w:val="single" w:sz="4" w:space="0" w:color="auto"/>
            </w:tcBorders>
            <w:shd w:val="clear" w:color="000000" w:fill="FFFFFF"/>
            <w:noWrap/>
            <w:hideMark/>
          </w:tcPr>
          <w:p w14:paraId="460C4AA8" w14:textId="77777777" w:rsidR="004D2FF6" w:rsidRPr="007B0B5B" w:rsidRDefault="004D2FF6" w:rsidP="00220F5C">
            <w:pPr>
              <w:rPr>
                <w:rFonts w:ascii="Calibri" w:hAnsi="Calibri" w:cs="Calibri"/>
                <w:color w:val="000000"/>
                <w:sz w:val="20"/>
                <w:szCs w:val="20"/>
              </w:rPr>
            </w:pPr>
            <w:r w:rsidRPr="007B0B5B">
              <w:rPr>
                <w:rFonts w:ascii="Calibri" w:hAnsi="Calibri" w:cs="Calibri"/>
                <w:color w:val="000000"/>
                <w:sz w:val="20"/>
                <w:szCs w:val="20"/>
              </w:rPr>
              <w:t>Premiums for accident and health contracts (short-term)</w:t>
            </w:r>
          </w:p>
        </w:tc>
        <w:tc>
          <w:tcPr>
            <w:tcW w:w="1352" w:type="dxa"/>
            <w:tcBorders>
              <w:top w:val="nil"/>
              <w:left w:val="nil"/>
              <w:bottom w:val="single" w:sz="4" w:space="0" w:color="auto"/>
              <w:right w:val="single" w:sz="4" w:space="0" w:color="auto"/>
            </w:tcBorders>
            <w:shd w:val="clear" w:color="000000" w:fill="FFFFFF"/>
            <w:noWrap/>
            <w:vAlign w:val="bottom"/>
            <w:hideMark/>
          </w:tcPr>
          <w:p w14:paraId="6098E127"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0</w:t>
            </w:r>
          </w:p>
        </w:tc>
      </w:tr>
      <w:tr w:rsidR="004D2FF6" w:rsidRPr="00DB61E0" w14:paraId="6989859E" w14:textId="77777777" w:rsidTr="00220F5C">
        <w:trPr>
          <w:trHeight w:val="332"/>
        </w:trPr>
        <w:tc>
          <w:tcPr>
            <w:tcW w:w="558" w:type="dxa"/>
            <w:tcBorders>
              <w:top w:val="nil"/>
              <w:left w:val="single" w:sz="4" w:space="0" w:color="auto"/>
              <w:bottom w:val="single" w:sz="4" w:space="0" w:color="auto"/>
              <w:right w:val="single" w:sz="4" w:space="0" w:color="auto"/>
            </w:tcBorders>
            <w:noWrap/>
            <w:hideMark/>
          </w:tcPr>
          <w:p w14:paraId="4CDC6C3A"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14</w:t>
            </w:r>
          </w:p>
        </w:tc>
        <w:tc>
          <w:tcPr>
            <w:tcW w:w="2610" w:type="dxa"/>
            <w:tcBorders>
              <w:top w:val="nil"/>
              <w:left w:val="nil"/>
              <w:bottom w:val="single" w:sz="4" w:space="0" w:color="auto"/>
              <w:right w:val="single" w:sz="4" w:space="0" w:color="auto"/>
            </w:tcBorders>
            <w:hideMark/>
          </w:tcPr>
          <w:p w14:paraId="3F30BB12"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Line 9 -line 10 -line 11 + line 12 - line 13</w:t>
            </w:r>
          </w:p>
        </w:tc>
        <w:tc>
          <w:tcPr>
            <w:tcW w:w="6462" w:type="dxa"/>
            <w:tcBorders>
              <w:top w:val="nil"/>
              <w:left w:val="nil"/>
              <w:bottom w:val="single" w:sz="4" w:space="0" w:color="auto"/>
              <w:right w:val="single" w:sz="4" w:space="0" w:color="auto"/>
            </w:tcBorders>
            <w:noWrap/>
            <w:hideMark/>
          </w:tcPr>
          <w:p w14:paraId="4B857EC0" w14:textId="77777777" w:rsidR="004D2FF6" w:rsidRDefault="004D2FF6" w:rsidP="00220F5C">
            <w:pPr>
              <w:jc w:val="right"/>
              <w:rPr>
                <w:rFonts w:ascii="Calibri" w:hAnsi="Calibri" w:cs="Calibri"/>
                <w:b/>
                <w:bCs/>
                <w:color w:val="000000"/>
                <w:sz w:val="20"/>
              </w:rPr>
            </w:pPr>
          </w:p>
          <w:p w14:paraId="5B5C6417" w14:textId="77777777" w:rsidR="004D2FF6" w:rsidRPr="007B0B5B" w:rsidRDefault="004D2FF6" w:rsidP="00220F5C">
            <w:pPr>
              <w:jc w:val="right"/>
              <w:rPr>
                <w:rFonts w:ascii="Calibri" w:hAnsi="Calibri" w:cs="Calibri"/>
                <w:b/>
                <w:bCs/>
                <w:color w:val="000000"/>
                <w:sz w:val="20"/>
                <w:szCs w:val="20"/>
              </w:rPr>
            </w:pPr>
            <w:r w:rsidRPr="007B0B5B">
              <w:rPr>
                <w:rFonts w:ascii="Calibri" w:hAnsi="Calibri" w:cs="Calibri"/>
                <w:b/>
                <w:bCs/>
                <w:color w:val="000000"/>
                <w:sz w:val="20"/>
                <w:szCs w:val="20"/>
              </w:rPr>
              <w:t xml:space="preserve">  Investable Premiums</w:t>
            </w:r>
          </w:p>
        </w:tc>
        <w:tc>
          <w:tcPr>
            <w:tcW w:w="1352" w:type="dxa"/>
            <w:tcBorders>
              <w:top w:val="nil"/>
              <w:left w:val="nil"/>
              <w:bottom w:val="single" w:sz="4" w:space="0" w:color="auto"/>
              <w:right w:val="single" w:sz="4" w:space="0" w:color="auto"/>
            </w:tcBorders>
            <w:noWrap/>
            <w:vAlign w:val="bottom"/>
            <w:hideMark/>
          </w:tcPr>
          <w:p w14:paraId="0278A61E" w14:textId="77777777" w:rsidR="004D2FF6" w:rsidRPr="007B0B5B" w:rsidRDefault="004D2FF6" w:rsidP="00220F5C">
            <w:pPr>
              <w:jc w:val="center"/>
              <w:rPr>
                <w:rFonts w:ascii="Calibri" w:hAnsi="Calibri" w:cs="Calibri"/>
                <w:b/>
                <w:bCs/>
                <w:color w:val="000000"/>
                <w:sz w:val="20"/>
                <w:szCs w:val="20"/>
              </w:rPr>
            </w:pPr>
            <w:r w:rsidRPr="007B0B5B">
              <w:rPr>
                <w:rFonts w:ascii="Calibri" w:hAnsi="Calibri" w:cs="Calibri"/>
                <w:color w:val="000000"/>
                <w:sz w:val="20"/>
                <w:szCs w:val="20"/>
              </w:rPr>
              <w:t>7</w:t>
            </w:r>
            <w:r>
              <w:rPr>
                <w:rFonts w:ascii="Calibri" w:hAnsi="Calibri" w:cs="Calibri"/>
                <w:color w:val="000000"/>
                <w:sz w:val="20"/>
              </w:rPr>
              <w:t>,000</w:t>
            </w:r>
          </w:p>
        </w:tc>
      </w:tr>
      <w:tr w:rsidR="004D2FF6" w:rsidRPr="00DB61E0" w14:paraId="6DA8C794" w14:textId="77777777" w:rsidTr="004D2FF6">
        <w:trPr>
          <w:trHeight w:hRule="exact" w:val="163"/>
        </w:trPr>
        <w:tc>
          <w:tcPr>
            <w:tcW w:w="558" w:type="dxa"/>
            <w:tcBorders>
              <w:top w:val="nil"/>
              <w:left w:val="single" w:sz="4" w:space="0" w:color="auto"/>
              <w:bottom w:val="single" w:sz="4" w:space="0" w:color="auto"/>
              <w:right w:val="single" w:sz="4" w:space="0" w:color="auto"/>
            </w:tcBorders>
            <w:noWrap/>
            <w:hideMark/>
          </w:tcPr>
          <w:p w14:paraId="5BD7EB7F"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15</w:t>
            </w:r>
          </w:p>
        </w:tc>
        <w:tc>
          <w:tcPr>
            <w:tcW w:w="2610" w:type="dxa"/>
            <w:tcBorders>
              <w:top w:val="nil"/>
              <w:left w:val="nil"/>
              <w:bottom w:val="single" w:sz="4" w:space="0" w:color="auto"/>
              <w:right w:val="single" w:sz="4" w:space="0" w:color="auto"/>
            </w:tcBorders>
            <w:hideMark/>
          </w:tcPr>
          <w:p w14:paraId="0572439A"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 </w:t>
            </w:r>
          </w:p>
        </w:tc>
        <w:tc>
          <w:tcPr>
            <w:tcW w:w="6462" w:type="dxa"/>
            <w:tcBorders>
              <w:top w:val="nil"/>
              <w:left w:val="nil"/>
              <w:bottom w:val="single" w:sz="4" w:space="0" w:color="auto"/>
              <w:right w:val="single" w:sz="4" w:space="0" w:color="auto"/>
            </w:tcBorders>
            <w:noWrap/>
            <w:hideMark/>
          </w:tcPr>
          <w:p w14:paraId="0B9823F8" w14:textId="77777777" w:rsidR="004D2FF6" w:rsidRPr="007B0B5B" w:rsidRDefault="004D2FF6" w:rsidP="00220F5C">
            <w:pPr>
              <w:jc w:val="right"/>
              <w:rPr>
                <w:rFonts w:ascii="Calibri" w:hAnsi="Calibri" w:cs="Calibri"/>
                <w:b/>
                <w:bCs/>
                <w:color w:val="000000"/>
                <w:sz w:val="20"/>
                <w:szCs w:val="20"/>
              </w:rPr>
            </w:pPr>
            <w:r w:rsidRPr="007B0B5B">
              <w:rPr>
                <w:rFonts w:ascii="Calibri" w:hAnsi="Calibri" w:cs="Calibri"/>
                <w:b/>
                <w:bCs/>
                <w:color w:val="000000"/>
                <w:sz w:val="20"/>
                <w:szCs w:val="20"/>
              </w:rPr>
              <w:t> </w:t>
            </w:r>
          </w:p>
        </w:tc>
        <w:tc>
          <w:tcPr>
            <w:tcW w:w="1352" w:type="dxa"/>
            <w:tcBorders>
              <w:top w:val="nil"/>
              <w:left w:val="nil"/>
              <w:bottom w:val="single" w:sz="4" w:space="0" w:color="auto"/>
              <w:right w:val="single" w:sz="4" w:space="0" w:color="auto"/>
            </w:tcBorders>
            <w:noWrap/>
            <w:vAlign w:val="bottom"/>
            <w:hideMark/>
          </w:tcPr>
          <w:p w14:paraId="66A89D56" w14:textId="77777777" w:rsidR="004D2FF6" w:rsidRPr="007B0B5B" w:rsidRDefault="004D2FF6" w:rsidP="00220F5C">
            <w:pPr>
              <w:jc w:val="center"/>
              <w:rPr>
                <w:rFonts w:ascii="Calibri" w:hAnsi="Calibri" w:cs="Calibri"/>
                <w:b/>
                <w:bCs/>
                <w:color w:val="000000"/>
                <w:sz w:val="20"/>
                <w:szCs w:val="20"/>
              </w:rPr>
            </w:pPr>
          </w:p>
        </w:tc>
      </w:tr>
      <w:tr w:rsidR="004D2FF6" w:rsidRPr="00DB61E0" w14:paraId="683506DE" w14:textId="77777777" w:rsidTr="00220F5C">
        <w:trPr>
          <w:trHeight w:val="215"/>
        </w:trPr>
        <w:tc>
          <w:tcPr>
            <w:tcW w:w="558" w:type="dxa"/>
            <w:tcBorders>
              <w:top w:val="nil"/>
              <w:left w:val="single" w:sz="4" w:space="0" w:color="auto"/>
              <w:bottom w:val="single" w:sz="4" w:space="0" w:color="auto"/>
              <w:right w:val="single" w:sz="4" w:space="0" w:color="auto"/>
            </w:tcBorders>
            <w:noWrap/>
            <w:hideMark/>
          </w:tcPr>
          <w:p w14:paraId="7EFD62B6"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16</w:t>
            </w:r>
          </w:p>
        </w:tc>
        <w:tc>
          <w:tcPr>
            <w:tcW w:w="2610" w:type="dxa"/>
            <w:tcBorders>
              <w:top w:val="nil"/>
              <w:left w:val="nil"/>
              <w:bottom w:val="single" w:sz="4" w:space="0" w:color="auto"/>
              <w:right w:val="single" w:sz="4" w:space="0" w:color="auto"/>
            </w:tcBorders>
            <w:hideMark/>
          </w:tcPr>
          <w:p w14:paraId="59C0DA53"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 xml:space="preserve">B/S Line 1 - Bonds </w:t>
            </w:r>
          </w:p>
        </w:tc>
        <w:tc>
          <w:tcPr>
            <w:tcW w:w="6462" w:type="dxa"/>
            <w:tcBorders>
              <w:top w:val="nil"/>
              <w:left w:val="nil"/>
              <w:bottom w:val="single" w:sz="4" w:space="0" w:color="auto"/>
              <w:right w:val="single" w:sz="4" w:space="0" w:color="auto"/>
            </w:tcBorders>
            <w:noWrap/>
            <w:hideMark/>
          </w:tcPr>
          <w:p w14:paraId="568485E1" w14:textId="77777777" w:rsidR="004D2FF6" w:rsidRPr="007B0B5B" w:rsidRDefault="004D2FF6" w:rsidP="00220F5C">
            <w:pPr>
              <w:rPr>
                <w:rFonts w:ascii="Calibri" w:hAnsi="Calibri" w:cs="Calibri"/>
                <w:color w:val="000000"/>
                <w:sz w:val="20"/>
                <w:szCs w:val="20"/>
              </w:rPr>
            </w:pPr>
            <w:r w:rsidRPr="007B0B5B">
              <w:rPr>
                <w:rFonts w:ascii="Calibri" w:hAnsi="Calibri" w:cs="Calibri"/>
                <w:color w:val="000000"/>
                <w:sz w:val="20"/>
                <w:szCs w:val="20"/>
              </w:rPr>
              <w:t>Bonds</w:t>
            </w:r>
            <w:r>
              <w:rPr>
                <w:rFonts w:ascii="Calibri" w:hAnsi="Calibri" w:cs="Calibri"/>
                <w:color w:val="000000"/>
                <w:sz w:val="20"/>
              </w:rPr>
              <w:t xml:space="preserve"> – General Account Basis Only – Net Admitted</w:t>
            </w:r>
          </w:p>
        </w:tc>
        <w:tc>
          <w:tcPr>
            <w:tcW w:w="1352" w:type="dxa"/>
            <w:tcBorders>
              <w:top w:val="nil"/>
              <w:left w:val="nil"/>
              <w:bottom w:val="single" w:sz="4" w:space="0" w:color="auto"/>
              <w:right w:val="single" w:sz="4" w:space="0" w:color="auto"/>
            </w:tcBorders>
            <w:noWrap/>
            <w:vAlign w:val="bottom"/>
            <w:hideMark/>
          </w:tcPr>
          <w:p w14:paraId="3510FFE0"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2,450</w:t>
            </w:r>
            <w:r>
              <w:rPr>
                <w:rFonts w:ascii="Calibri" w:hAnsi="Calibri" w:cs="Calibri"/>
                <w:color w:val="000000"/>
                <w:sz w:val="20"/>
              </w:rPr>
              <w:t>,000</w:t>
            </w:r>
          </w:p>
        </w:tc>
      </w:tr>
      <w:tr w:rsidR="004D2FF6" w:rsidRPr="00DB61E0" w14:paraId="3626E518" w14:textId="77777777" w:rsidTr="00220F5C">
        <w:trPr>
          <w:trHeight w:hRule="exact" w:val="253"/>
        </w:trPr>
        <w:tc>
          <w:tcPr>
            <w:tcW w:w="558" w:type="dxa"/>
            <w:tcBorders>
              <w:top w:val="nil"/>
              <w:left w:val="single" w:sz="4" w:space="0" w:color="auto"/>
              <w:bottom w:val="single" w:sz="4" w:space="0" w:color="auto"/>
              <w:right w:val="single" w:sz="4" w:space="0" w:color="auto"/>
            </w:tcBorders>
            <w:noWrap/>
            <w:hideMark/>
          </w:tcPr>
          <w:p w14:paraId="55557253"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17</w:t>
            </w:r>
          </w:p>
        </w:tc>
        <w:tc>
          <w:tcPr>
            <w:tcW w:w="2610" w:type="dxa"/>
            <w:tcBorders>
              <w:top w:val="nil"/>
              <w:left w:val="nil"/>
              <w:bottom w:val="single" w:sz="4" w:space="0" w:color="auto"/>
              <w:right w:val="single" w:sz="4" w:space="0" w:color="auto"/>
            </w:tcBorders>
            <w:hideMark/>
          </w:tcPr>
          <w:p w14:paraId="4A0FC7C6"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B/S - Line 3 M/Ls (GA basis)</w:t>
            </w:r>
          </w:p>
        </w:tc>
        <w:tc>
          <w:tcPr>
            <w:tcW w:w="6462" w:type="dxa"/>
            <w:tcBorders>
              <w:top w:val="nil"/>
              <w:left w:val="nil"/>
              <w:bottom w:val="single" w:sz="4" w:space="0" w:color="auto"/>
              <w:right w:val="single" w:sz="4" w:space="0" w:color="auto"/>
            </w:tcBorders>
            <w:noWrap/>
            <w:hideMark/>
          </w:tcPr>
          <w:p w14:paraId="5A6FC6CD" w14:textId="77777777" w:rsidR="004D2FF6" w:rsidRPr="007B0B5B" w:rsidRDefault="004D2FF6" w:rsidP="00220F5C">
            <w:pPr>
              <w:rPr>
                <w:rFonts w:ascii="Calibri" w:hAnsi="Calibri" w:cs="Calibri"/>
                <w:color w:val="000000"/>
                <w:sz w:val="20"/>
                <w:szCs w:val="20"/>
              </w:rPr>
            </w:pPr>
            <w:r w:rsidRPr="007B0B5B">
              <w:rPr>
                <w:rFonts w:ascii="Calibri" w:hAnsi="Calibri" w:cs="Calibri"/>
                <w:color w:val="000000"/>
                <w:sz w:val="20"/>
                <w:szCs w:val="20"/>
              </w:rPr>
              <w:t>Mortgages</w:t>
            </w:r>
            <w:r>
              <w:rPr>
                <w:rFonts w:ascii="Calibri" w:hAnsi="Calibri" w:cs="Calibri"/>
                <w:color w:val="000000"/>
                <w:sz w:val="20"/>
              </w:rPr>
              <w:t xml:space="preserve"> – General Account Basis Only – Net Admitted</w:t>
            </w:r>
          </w:p>
        </w:tc>
        <w:tc>
          <w:tcPr>
            <w:tcW w:w="1352" w:type="dxa"/>
            <w:tcBorders>
              <w:top w:val="nil"/>
              <w:left w:val="nil"/>
              <w:bottom w:val="single" w:sz="4" w:space="0" w:color="auto"/>
              <w:right w:val="single" w:sz="4" w:space="0" w:color="auto"/>
            </w:tcBorders>
            <w:noWrap/>
            <w:vAlign w:val="bottom"/>
            <w:hideMark/>
          </w:tcPr>
          <w:p w14:paraId="0D2A9871"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570</w:t>
            </w:r>
            <w:r>
              <w:rPr>
                <w:rFonts w:ascii="Calibri" w:hAnsi="Calibri" w:cs="Calibri"/>
                <w:color w:val="000000"/>
                <w:sz w:val="20"/>
              </w:rPr>
              <w:t>,000</w:t>
            </w:r>
          </w:p>
        </w:tc>
      </w:tr>
      <w:tr w:rsidR="004D2FF6" w:rsidRPr="00DB61E0" w14:paraId="36E721AB" w14:textId="77777777" w:rsidTr="00220F5C">
        <w:trPr>
          <w:trHeight w:val="251"/>
        </w:trPr>
        <w:tc>
          <w:tcPr>
            <w:tcW w:w="558" w:type="dxa"/>
            <w:tcBorders>
              <w:top w:val="nil"/>
              <w:left w:val="single" w:sz="4" w:space="0" w:color="auto"/>
              <w:bottom w:val="single" w:sz="4" w:space="0" w:color="auto"/>
              <w:right w:val="single" w:sz="4" w:space="0" w:color="auto"/>
            </w:tcBorders>
            <w:noWrap/>
            <w:hideMark/>
          </w:tcPr>
          <w:p w14:paraId="0D2F8C7C"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18</w:t>
            </w:r>
          </w:p>
        </w:tc>
        <w:tc>
          <w:tcPr>
            <w:tcW w:w="2610" w:type="dxa"/>
            <w:tcBorders>
              <w:top w:val="nil"/>
              <w:left w:val="nil"/>
              <w:bottom w:val="single" w:sz="4" w:space="0" w:color="auto"/>
              <w:right w:val="single" w:sz="4" w:space="0" w:color="auto"/>
            </w:tcBorders>
            <w:hideMark/>
          </w:tcPr>
          <w:p w14:paraId="742D1E73"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Sum of lines 16 &amp; 17</w:t>
            </w:r>
          </w:p>
        </w:tc>
        <w:tc>
          <w:tcPr>
            <w:tcW w:w="6462" w:type="dxa"/>
            <w:tcBorders>
              <w:top w:val="nil"/>
              <w:left w:val="nil"/>
              <w:bottom w:val="single" w:sz="4" w:space="0" w:color="auto"/>
              <w:right w:val="single" w:sz="4" w:space="0" w:color="auto"/>
            </w:tcBorders>
            <w:noWrap/>
            <w:hideMark/>
          </w:tcPr>
          <w:p w14:paraId="01F624D5" w14:textId="77777777" w:rsidR="004D2FF6" w:rsidRPr="007B0B5B" w:rsidRDefault="004D2FF6" w:rsidP="00220F5C">
            <w:pPr>
              <w:jc w:val="right"/>
              <w:rPr>
                <w:rFonts w:ascii="Calibri" w:hAnsi="Calibri" w:cs="Calibri"/>
                <w:b/>
                <w:bCs/>
                <w:color w:val="000000"/>
                <w:sz w:val="20"/>
                <w:szCs w:val="20"/>
              </w:rPr>
            </w:pPr>
            <w:r w:rsidRPr="007B0B5B">
              <w:rPr>
                <w:rFonts w:ascii="Calibri" w:hAnsi="Calibri" w:cs="Calibri"/>
                <w:b/>
                <w:bCs/>
                <w:color w:val="000000"/>
                <w:sz w:val="20"/>
                <w:szCs w:val="20"/>
              </w:rPr>
              <w:t xml:space="preserve">   Investments Subject to Proof of Reinvestment</w:t>
            </w:r>
          </w:p>
        </w:tc>
        <w:tc>
          <w:tcPr>
            <w:tcW w:w="1352" w:type="dxa"/>
            <w:tcBorders>
              <w:top w:val="nil"/>
              <w:left w:val="nil"/>
              <w:bottom w:val="single" w:sz="4" w:space="0" w:color="auto"/>
              <w:right w:val="single" w:sz="4" w:space="0" w:color="auto"/>
            </w:tcBorders>
            <w:noWrap/>
            <w:vAlign w:val="bottom"/>
            <w:hideMark/>
          </w:tcPr>
          <w:p w14:paraId="5AEFA704"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3,020</w:t>
            </w:r>
            <w:r>
              <w:rPr>
                <w:rFonts w:ascii="Calibri" w:hAnsi="Calibri" w:cs="Calibri"/>
                <w:color w:val="000000"/>
                <w:sz w:val="20"/>
              </w:rPr>
              <w:t>,000</w:t>
            </w:r>
          </w:p>
        </w:tc>
      </w:tr>
      <w:tr w:rsidR="004D2FF6" w:rsidRPr="00DB61E0" w14:paraId="4740F0CC" w14:textId="77777777" w:rsidTr="00220F5C">
        <w:trPr>
          <w:trHeight w:val="300"/>
        </w:trPr>
        <w:tc>
          <w:tcPr>
            <w:tcW w:w="558" w:type="dxa"/>
            <w:tcBorders>
              <w:top w:val="nil"/>
              <w:left w:val="single" w:sz="4" w:space="0" w:color="auto"/>
              <w:bottom w:val="single" w:sz="4" w:space="0" w:color="auto"/>
              <w:right w:val="single" w:sz="4" w:space="0" w:color="auto"/>
            </w:tcBorders>
            <w:noWrap/>
          </w:tcPr>
          <w:p w14:paraId="5C03661A"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19</w:t>
            </w:r>
          </w:p>
        </w:tc>
        <w:tc>
          <w:tcPr>
            <w:tcW w:w="2610" w:type="dxa"/>
            <w:tcBorders>
              <w:top w:val="nil"/>
              <w:left w:val="nil"/>
              <w:bottom w:val="single" w:sz="4" w:space="0" w:color="auto"/>
              <w:right w:val="single" w:sz="4" w:space="0" w:color="auto"/>
            </w:tcBorders>
            <w:noWrap/>
          </w:tcPr>
          <w:p w14:paraId="0970CA24"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 xml:space="preserve">B/S - Line 11 Cash &amp; Invested Assets </w:t>
            </w:r>
          </w:p>
        </w:tc>
        <w:tc>
          <w:tcPr>
            <w:tcW w:w="6462" w:type="dxa"/>
            <w:tcBorders>
              <w:top w:val="nil"/>
              <w:left w:val="nil"/>
              <w:bottom w:val="single" w:sz="4" w:space="0" w:color="auto"/>
              <w:right w:val="single" w:sz="4" w:space="0" w:color="auto"/>
            </w:tcBorders>
            <w:noWrap/>
          </w:tcPr>
          <w:p w14:paraId="4707809F" w14:textId="77777777" w:rsidR="004D2FF6" w:rsidRDefault="004D2FF6" w:rsidP="00220F5C">
            <w:pPr>
              <w:rPr>
                <w:rFonts w:ascii="Calibri" w:hAnsi="Calibri" w:cs="Calibri"/>
                <w:color w:val="000000"/>
                <w:sz w:val="20"/>
              </w:rPr>
            </w:pPr>
          </w:p>
          <w:p w14:paraId="05DE40C9" w14:textId="77777777" w:rsidR="004D2FF6" w:rsidRPr="007B0B5B" w:rsidRDefault="004D2FF6" w:rsidP="00220F5C">
            <w:pPr>
              <w:rPr>
                <w:rFonts w:ascii="Calibri" w:hAnsi="Calibri" w:cs="Calibri"/>
                <w:b/>
                <w:bCs/>
                <w:color w:val="000000"/>
                <w:sz w:val="20"/>
                <w:szCs w:val="20"/>
              </w:rPr>
            </w:pPr>
            <w:r w:rsidRPr="007B0B5B">
              <w:rPr>
                <w:rFonts w:ascii="Calibri" w:hAnsi="Calibri" w:cs="Calibri"/>
                <w:color w:val="000000"/>
                <w:sz w:val="20"/>
                <w:szCs w:val="20"/>
              </w:rPr>
              <w:t>Subtotal, Cash and Invested Assets</w:t>
            </w:r>
            <w:r>
              <w:rPr>
                <w:rFonts w:ascii="Calibri" w:hAnsi="Calibri" w:cs="Calibri"/>
                <w:color w:val="000000"/>
                <w:sz w:val="20"/>
              </w:rPr>
              <w:t xml:space="preserve"> – General Account Basis - Net Admitted</w:t>
            </w:r>
          </w:p>
        </w:tc>
        <w:tc>
          <w:tcPr>
            <w:tcW w:w="1352" w:type="dxa"/>
            <w:tcBorders>
              <w:top w:val="nil"/>
              <w:left w:val="nil"/>
              <w:bottom w:val="single" w:sz="4" w:space="0" w:color="auto"/>
              <w:right w:val="single" w:sz="4" w:space="0" w:color="auto"/>
            </w:tcBorders>
            <w:noWrap/>
            <w:vAlign w:val="bottom"/>
          </w:tcPr>
          <w:p w14:paraId="3A681D83" w14:textId="77777777" w:rsidR="004D2FF6" w:rsidRPr="007B0B5B" w:rsidRDefault="004D2FF6" w:rsidP="00220F5C">
            <w:pPr>
              <w:jc w:val="center"/>
              <w:rPr>
                <w:rFonts w:ascii="Calibri" w:hAnsi="Calibri" w:cs="Calibri"/>
                <w:b/>
                <w:bCs/>
                <w:color w:val="000000"/>
                <w:sz w:val="20"/>
                <w:szCs w:val="20"/>
              </w:rPr>
            </w:pPr>
            <w:r w:rsidRPr="007B0B5B">
              <w:rPr>
                <w:rFonts w:ascii="Calibri" w:hAnsi="Calibri" w:cs="Calibri"/>
                <w:color w:val="000000"/>
                <w:sz w:val="20"/>
                <w:szCs w:val="20"/>
              </w:rPr>
              <w:t>3,124</w:t>
            </w:r>
            <w:r>
              <w:rPr>
                <w:rFonts w:ascii="Calibri" w:hAnsi="Calibri" w:cs="Calibri"/>
                <w:color w:val="000000"/>
                <w:sz w:val="20"/>
              </w:rPr>
              <w:t>,000</w:t>
            </w:r>
          </w:p>
        </w:tc>
      </w:tr>
      <w:tr w:rsidR="004D2FF6" w:rsidRPr="00DB61E0" w14:paraId="6BE95D6D" w14:textId="77777777" w:rsidTr="00220F5C">
        <w:trPr>
          <w:trHeight w:val="300"/>
        </w:trPr>
        <w:tc>
          <w:tcPr>
            <w:tcW w:w="558" w:type="dxa"/>
            <w:tcBorders>
              <w:top w:val="nil"/>
              <w:left w:val="single" w:sz="4" w:space="0" w:color="auto"/>
              <w:bottom w:val="single" w:sz="4" w:space="0" w:color="auto"/>
              <w:right w:val="single" w:sz="4" w:space="0" w:color="auto"/>
            </w:tcBorders>
            <w:noWrap/>
          </w:tcPr>
          <w:p w14:paraId="2162A385"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20</w:t>
            </w:r>
          </w:p>
        </w:tc>
        <w:tc>
          <w:tcPr>
            <w:tcW w:w="2610" w:type="dxa"/>
            <w:tcBorders>
              <w:top w:val="nil"/>
              <w:left w:val="nil"/>
              <w:bottom w:val="single" w:sz="4" w:space="0" w:color="auto"/>
              <w:right w:val="single" w:sz="4" w:space="0" w:color="auto"/>
            </w:tcBorders>
            <w:noWrap/>
          </w:tcPr>
          <w:p w14:paraId="6027DDE3"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Line 19-Line 18</w:t>
            </w:r>
          </w:p>
        </w:tc>
        <w:tc>
          <w:tcPr>
            <w:tcW w:w="6462" w:type="dxa"/>
            <w:tcBorders>
              <w:top w:val="nil"/>
              <w:left w:val="nil"/>
              <w:bottom w:val="single" w:sz="4" w:space="0" w:color="auto"/>
              <w:right w:val="single" w:sz="4" w:space="0" w:color="auto"/>
            </w:tcBorders>
            <w:noWrap/>
          </w:tcPr>
          <w:p w14:paraId="74782C9F" w14:textId="77777777" w:rsidR="004D2FF6" w:rsidRPr="007B0B5B" w:rsidRDefault="004D2FF6" w:rsidP="00220F5C">
            <w:pPr>
              <w:jc w:val="right"/>
              <w:rPr>
                <w:rFonts w:ascii="Calibri" w:hAnsi="Calibri" w:cs="Calibri"/>
                <w:color w:val="000000"/>
                <w:sz w:val="20"/>
                <w:szCs w:val="20"/>
              </w:rPr>
            </w:pPr>
            <w:r w:rsidRPr="007B0B5B">
              <w:rPr>
                <w:rFonts w:ascii="Calibri" w:hAnsi="Calibri" w:cs="Calibri"/>
                <w:b/>
                <w:bCs/>
                <w:color w:val="000000"/>
                <w:sz w:val="20"/>
                <w:szCs w:val="20"/>
              </w:rPr>
              <w:t xml:space="preserve">   Allocation for Investment for Other Assets</w:t>
            </w:r>
          </w:p>
        </w:tc>
        <w:tc>
          <w:tcPr>
            <w:tcW w:w="1352" w:type="dxa"/>
            <w:tcBorders>
              <w:top w:val="nil"/>
              <w:left w:val="nil"/>
              <w:bottom w:val="single" w:sz="4" w:space="0" w:color="auto"/>
              <w:right w:val="single" w:sz="4" w:space="0" w:color="auto"/>
            </w:tcBorders>
            <w:noWrap/>
            <w:vAlign w:val="bottom"/>
          </w:tcPr>
          <w:p w14:paraId="4154C3D3"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104</w:t>
            </w:r>
            <w:r>
              <w:rPr>
                <w:rFonts w:ascii="Calibri" w:hAnsi="Calibri" w:cs="Calibri"/>
                <w:color w:val="000000"/>
                <w:sz w:val="20"/>
              </w:rPr>
              <w:t>,000</w:t>
            </w:r>
          </w:p>
        </w:tc>
      </w:tr>
      <w:tr w:rsidR="004D2FF6" w:rsidRPr="00DB61E0" w14:paraId="28F21B25" w14:textId="77777777" w:rsidTr="00220F5C">
        <w:trPr>
          <w:trHeight w:val="300"/>
        </w:trPr>
        <w:tc>
          <w:tcPr>
            <w:tcW w:w="558" w:type="dxa"/>
            <w:tcBorders>
              <w:top w:val="nil"/>
              <w:left w:val="single" w:sz="4" w:space="0" w:color="auto"/>
              <w:bottom w:val="single" w:sz="4" w:space="0" w:color="auto"/>
              <w:right w:val="single" w:sz="4" w:space="0" w:color="auto"/>
            </w:tcBorders>
            <w:noWrap/>
          </w:tcPr>
          <w:p w14:paraId="72B20E63"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21</w:t>
            </w:r>
          </w:p>
        </w:tc>
        <w:tc>
          <w:tcPr>
            <w:tcW w:w="2610" w:type="dxa"/>
            <w:tcBorders>
              <w:top w:val="nil"/>
              <w:left w:val="nil"/>
              <w:bottom w:val="single" w:sz="4" w:space="0" w:color="auto"/>
              <w:right w:val="single" w:sz="4" w:space="0" w:color="auto"/>
            </w:tcBorders>
            <w:noWrap/>
          </w:tcPr>
          <w:p w14:paraId="33DEEC78"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Line 20 divided by line 19</w:t>
            </w:r>
          </w:p>
        </w:tc>
        <w:tc>
          <w:tcPr>
            <w:tcW w:w="6462" w:type="dxa"/>
            <w:tcBorders>
              <w:top w:val="nil"/>
              <w:left w:val="nil"/>
              <w:bottom w:val="single" w:sz="4" w:space="0" w:color="auto"/>
              <w:right w:val="single" w:sz="4" w:space="0" w:color="auto"/>
            </w:tcBorders>
            <w:noWrap/>
          </w:tcPr>
          <w:p w14:paraId="0A227EDB" w14:textId="77777777" w:rsidR="004D2FF6" w:rsidRPr="007B0B5B" w:rsidRDefault="004D2FF6" w:rsidP="00220F5C">
            <w:pPr>
              <w:jc w:val="right"/>
              <w:rPr>
                <w:rFonts w:ascii="Calibri" w:hAnsi="Calibri" w:cs="Calibri"/>
                <w:b/>
                <w:bCs/>
                <w:color w:val="000000"/>
                <w:sz w:val="20"/>
                <w:szCs w:val="20"/>
              </w:rPr>
            </w:pPr>
            <w:r w:rsidRPr="007B0B5B">
              <w:rPr>
                <w:rFonts w:ascii="Calibri" w:hAnsi="Calibri" w:cs="Calibri"/>
                <w:b/>
                <w:bCs/>
                <w:color w:val="000000"/>
                <w:sz w:val="20"/>
                <w:szCs w:val="20"/>
              </w:rPr>
              <w:t xml:space="preserve">   Percent of Investable Premiums Allocable to Equity </w:t>
            </w:r>
            <w:r>
              <w:rPr>
                <w:rFonts w:ascii="Calibri" w:hAnsi="Calibri" w:cs="Calibri"/>
                <w:b/>
                <w:bCs/>
                <w:color w:val="000000"/>
                <w:sz w:val="20"/>
              </w:rPr>
              <w:t>&amp;</w:t>
            </w:r>
            <w:r w:rsidRPr="007B0B5B">
              <w:rPr>
                <w:rFonts w:ascii="Calibri" w:hAnsi="Calibri" w:cs="Calibri"/>
                <w:b/>
                <w:bCs/>
                <w:color w:val="000000"/>
                <w:sz w:val="20"/>
                <w:szCs w:val="20"/>
              </w:rPr>
              <w:t xml:space="preserve"> Other Investments</w:t>
            </w:r>
          </w:p>
        </w:tc>
        <w:tc>
          <w:tcPr>
            <w:tcW w:w="1352" w:type="dxa"/>
            <w:tcBorders>
              <w:top w:val="nil"/>
              <w:left w:val="nil"/>
              <w:bottom w:val="single" w:sz="4" w:space="0" w:color="auto"/>
              <w:right w:val="single" w:sz="4" w:space="0" w:color="auto"/>
            </w:tcBorders>
            <w:noWrap/>
            <w:vAlign w:val="bottom"/>
          </w:tcPr>
          <w:p w14:paraId="68694111" w14:textId="77777777" w:rsidR="004D2FF6" w:rsidRPr="007B0B5B" w:rsidRDefault="004D2FF6" w:rsidP="00220F5C">
            <w:pPr>
              <w:jc w:val="center"/>
              <w:rPr>
                <w:rFonts w:ascii="Calibri" w:hAnsi="Calibri" w:cs="Calibri"/>
                <w:b/>
                <w:bCs/>
                <w:color w:val="000000"/>
                <w:sz w:val="20"/>
                <w:szCs w:val="20"/>
              </w:rPr>
            </w:pPr>
            <w:r w:rsidRPr="007B0B5B">
              <w:rPr>
                <w:rFonts w:ascii="Calibri" w:hAnsi="Calibri" w:cs="Calibri"/>
                <w:color w:val="000000"/>
                <w:sz w:val="20"/>
                <w:szCs w:val="20"/>
              </w:rPr>
              <w:t>3%</w:t>
            </w:r>
          </w:p>
        </w:tc>
      </w:tr>
      <w:tr w:rsidR="004D2FF6" w:rsidRPr="00DB61E0" w14:paraId="0F3E417A" w14:textId="77777777" w:rsidTr="00220F5C">
        <w:trPr>
          <w:trHeight w:val="300"/>
        </w:trPr>
        <w:tc>
          <w:tcPr>
            <w:tcW w:w="558" w:type="dxa"/>
            <w:tcBorders>
              <w:top w:val="nil"/>
              <w:left w:val="single" w:sz="4" w:space="0" w:color="auto"/>
              <w:bottom w:val="single" w:sz="4" w:space="0" w:color="auto"/>
              <w:right w:val="single" w:sz="4" w:space="0" w:color="auto"/>
            </w:tcBorders>
            <w:noWrap/>
          </w:tcPr>
          <w:p w14:paraId="6B08187B"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22</w:t>
            </w:r>
          </w:p>
        </w:tc>
        <w:tc>
          <w:tcPr>
            <w:tcW w:w="2610" w:type="dxa"/>
            <w:tcBorders>
              <w:top w:val="nil"/>
              <w:left w:val="nil"/>
              <w:bottom w:val="single" w:sz="4" w:space="0" w:color="auto"/>
              <w:right w:val="single" w:sz="4" w:space="0" w:color="auto"/>
            </w:tcBorders>
            <w:noWrap/>
          </w:tcPr>
          <w:p w14:paraId="30A00FCF"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Line 14 multiplied by line 21</w:t>
            </w:r>
          </w:p>
        </w:tc>
        <w:tc>
          <w:tcPr>
            <w:tcW w:w="6462" w:type="dxa"/>
            <w:tcBorders>
              <w:top w:val="nil"/>
              <w:left w:val="nil"/>
              <w:bottom w:val="single" w:sz="4" w:space="0" w:color="auto"/>
              <w:right w:val="single" w:sz="4" w:space="0" w:color="auto"/>
            </w:tcBorders>
            <w:noWrap/>
          </w:tcPr>
          <w:p w14:paraId="078B4C0C" w14:textId="77777777" w:rsidR="004D2FF6" w:rsidRPr="007B0B5B" w:rsidRDefault="004D2FF6" w:rsidP="00220F5C">
            <w:pPr>
              <w:jc w:val="right"/>
              <w:rPr>
                <w:rFonts w:ascii="Calibri" w:hAnsi="Calibri" w:cs="Calibri"/>
                <w:b/>
                <w:bCs/>
                <w:color w:val="000000"/>
                <w:sz w:val="20"/>
                <w:szCs w:val="20"/>
              </w:rPr>
            </w:pPr>
            <w:r w:rsidRPr="007B0B5B">
              <w:rPr>
                <w:rFonts w:ascii="Calibri" w:hAnsi="Calibri" w:cs="Calibri"/>
                <w:b/>
                <w:bCs/>
                <w:color w:val="000000"/>
                <w:sz w:val="20"/>
                <w:szCs w:val="20"/>
              </w:rPr>
              <w:t xml:space="preserve">   Investable Premium Adjustment</w:t>
            </w:r>
          </w:p>
        </w:tc>
        <w:tc>
          <w:tcPr>
            <w:tcW w:w="1352" w:type="dxa"/>
            <w:tcBorders>
              <w:top w:val="nil"/>
              <w:left w:val="nil"/>
              <w:bottom w:val="single" w:sz="4" w:space="0" w:color="auto"/>
              <w:right w:val="single" w:sz="4" w:space="0" w:color="auto"/>
            </w:tcBorders>
            <w:noWrap/>
            <w:vAlign w:val="bottom"/>
          </w:tcPr>
          <w:p w14:paraId="05F125A8" w14:textId="77777777" w:rsidR="004D2FF6" w:rsidRPr="007B0B5B" w:rsidRDefault="004D2FF6" w:rsidP="00220F5C">
            <w:pPr>
              <w:jc w:val="center"/>
              <w:rPr>
                <w:rFonts w:ascii="Calibri" w:hAnsi="Calibri" w:cs="Calibri"/>
                <w:b/>
                <w:bCs/>
                <w:color w:val="000000"/>
                <w:sz w:val="20"/>
                <w:szCs w:val="20"/>
              </w:rPr>
            </w:pPr>
            <w:r w:rsidRPr="007B0B5B">
              <w:rPr>
                <w:rFonts w:ascii="Calibri" w:hAnsi="Calibri" w:cs="Calibri"/>
                <w:color w:val="000000"/>
                <w:sz w:val="20"/>
                <w:szCs w:val="20"/>
              </w:rPr>
              <w:t>0.23</w:t>
            </w:r>
          </w:p>
        </w:tc>
      </w:tr>
      <w:tr w:rsidR="004D2FF6" w:rsidRPr="00DB61E0" w14:paraId="20CEB41F" w14:textId="77777777" w:rsidTr="00220F5C">
        <w:trPr>
          <w:trHeight w:val="300"/>
        </w:trPr>
        <w:tc>
          <w:tcPr>
            <w:tcW w:w="558" w:type="dxa"/>
            <w:tcBorders>
              <w:top w:val="nil"/>
              <w:left w:val="single" w:sz="4" w:space="0" w:color="auto"/>
              <w:bottom w:val="single" w:sz="4" w:space="0" w:color="auto"/>
              <w:right w:val="single" w:sz="4" w:space="0" w:color="auto"/>
            </w:tcBorders>
            <w:noWrap/>
          </w:tcPr>
          <w:p w14:paraId="62629593"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23</w:t>
            </w:r>
          </w:p>
        </w:tc>
        <w:tc>
          <w:tcPr>
            <w:tcW w:w="2610" w:type="dxa"/>
            <w:tcBorders>
              <w:top w:val="nil"/>
              <w:left w:val="nil"/>
              <w:bottom w:val="single" w:sz="4" w:space="0" w:color="auto"/>
              <w:right w:val="single" w:sz="4" w:space="0" w:color="auto"/>
            </w:tcBorders>
            <w:noWrap/>
          </w:tcPr>
          <w:p w14:paraId="7B110157"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Line 14 minus line 22</w:t>
            </w:r>
          </w:p>
        </w:tc>
        <w:tc>
          <w:tcPr>
            <w:tcW w:w="6462" w:type="dxa"/>
            <w:tcBorders>
              <w:top w:val="nil"/>
              <w:left w:val="nil"/>
              <w:bottom w:val="single" w:sz="4" w:space="0" w:color="auto"/>
              <w:right w:val="single" w:sz="4" w:space="0" w:color="auto"/>
            </w:tcBorders>
            <w:noWrap/>
          </w:tcPr>
          <w:p w14:paraId="566D57BF" w14:textId="77777777" w:rsidR="004D2FF6" w:rsidRPr="007B0B5B" w:rsidRDefault="004D2FF6" w:rsidP="00220F5C">
            <w:pPr>
              <w:jc w:val="right"/>
              <w:rPr>
                <w:rFonts w:ascii="Calibri" w:hAnsi="Calibri" w:cs="Calibri"/>
                <w:b/>
                <w:bCs/>
                <w:color w:val="000000"/>
                <w:sz w:val="20"/>
                <w:szCs w:val="20"/>
              </w:rPr>
            </w:pPr>
            <w:r w:rsidRPr="007B0B5B">
              <w:rPr>
                <w:rFonts w:ascii="Calibri" w:hAnsi="Calibri" w:cs="Calibri"/>
                <w:b/>
                <w:bCs/>
                <w:color w:val="000000"/>
                <w:sz w:val="20"/>
                <w:szCs w:val="20"/>
              </w:rPr>
              <w:t xml:space="preserve">   Investable Premiums</w:t>
            </w:r>
          </w:p>
        </w:tc>
        <w:tc>
          <w:tcPr>
            <w:tcW w:w="1352" w:type="dxa"/>
            <w:tcBorders>
              <w:top w:val="nil"/>
              <w:left w:val="nil"/>
              <w:bottom w:val="single" w:sz="4" w:space="0" w:color="auto"/>
              <w:right w:val="single" w:sz="4" w:space="0" w:color="auto"/>
            </w:tcBorders>
            <w:noWrap/>
            <w:vAlign w:val="bottom"/>
          </w:tcPr>
          <w:p w14:paraId="3BCC1F04" w14:textId="77777777" w:rsidR="004D2FF6" w:rsidRPr="007B0B5B" w:rsidRDefault="004D2FF6" w:rsidP="00220F5C">
            <w:pPr>
              <w:jc w:val="center"/>
              <w:rPr>
                <w:rFonts w:ascii="Calibri" w:hAnsi="Calibri" w:cs="Calibri"/>
                <w:b/>
                <w:bCs/>
                <w:color w:val="000000"/>
                <w:sz w:val="20"/>
                <w:szCs w:val="20"/>
              </w:rPr>
            </w:pPr>
            <w:r w:rsidRPr="007B0B5B">
              <w:rPr>
                <w:rFonts w:ascii="Calibri" w:hAnsi="Calibri" w:cs="Calibri"/>
                <w:color w:val="000000"/>
                <w:sz w:val="20"/>
                <w:szCs w:val="20"/>
              </w:rPr>
              <w:t>6.77</w:t>
            </w:r>
          </w:p>
        </w:tc>
      </w:tr>
      <w:tr w:rsidR="004D2FF6" w:rsidRPr="00DB61E0" w14:paraId="48FE3827" w14:textId="77777777" w:rsidTr="004D2FF6">
        <w:trPr>
          <w:trHeight w:hRule="exact" w:val="190"/>
        </w:trPr>
        <w:tc>
          <w:tcPr>
            <w:tcW w:w="558" w:type="dxa"/>
            <w:tcBorders>
              <w:top w:val="nil"/>
              <w:left w:val="single" w:sz="4" w:space="0" w:color="auto"/>
              <w:bottom w:val="single" w:sz="4" w:space="0" w:color="auto"/>
              <w:right w:val="single" w:sz="4" w:space="0" w:color="auto"/>
            </w:tcBorders>
            <w:shd w:val="clear" w:color="000000" w:fill="FFFFFF"/>
            <w:noWrap/>
          </w:tcPr>
          <w:p w14:paraId="34E0D0AB"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24</w:t>
            </w:r>
          </w:p>
        </w:tc>
        <w:tc>
          <w:tcPr>
            <w:tcW w:w="2610" w:type="dxa"/>
            <w:tcBorders>
              <w:top w:val="nil"/>
              <w:left w:val="nil"/>
              <w:bottom w:val="single" w:sz="4" w:space="0" w:color="auto"/>
              <w:right w:val="single" w:sz="4" w:space="0" w:color="auto"/>
            </w:tcBorders>
            <w:shd w:val="clear" w:color="000000" w:fill="FFFFFF"/>
            <w:noWrap/>
          </w:tcPr>
          <w:p w14:paraId="2FB20DEF"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 </w:t>
            </w:r>
          </w:p>
        </w:tc>
        <w:tc>
          <w:tcPr>
            <w:tcW w:w="6462" w:type="dxa"/>
            <w:tcBorders>
              <w:top w:val="nil"/>
              <w:left w:val="nil"/>
              <w:bottom w:val="single" w:sz="4" w:space="0" w:color="auto"/>
              <w:right w:val="single" w:sz="4" w:space="0" w:color="auto"/>
            </w:tcBorders>
            <w:shd w:val="clear" w:color="000000" w:fill="FFFFFF"/>
            <w:noWrap/>
          </w:tcPr>
          <w:p w14:paraId="5CCD4D2F" w14:textId="77777777" w:rsidR="004D2FF6" w:rsidRPr="007B0B5B" w:rsidRDefault="004D2FF6" w:rsidP="00220F5C">
            <w:pPr>
              <w:jc w:val="right"/>
              <w:rPr>
                <w:rFonts w:ascii="Calibri" w:hAnsi="Calibri" w:cs="Calibri"/>
                <w:b/>
                <w:bCs/>
                <w:color w:val="000000"/>
                <w:sz w:val="20"/>
                <w:szCs w:val="20"/>
              </w:rPr>
            </w:pPr>
            <w:r w:rsidRPr="007B0B5B">
              <w:rPr>
                <w:rFonts w:ascii="Calibri" w:hAnsi="Calibri" w:cs="Calibri"/>
                <w:b/>
                <w:bCs/>
                <w:color w:val="000000"/>
                <w:sz w:val="20"/>
                <w:szCs w:val="20"/>
              </w:rPr>
              <w:t> </w:t>
            </w:r>
          </w:p>
        </w:tc>
        <w:tc>
          <w:tcPr>
            <w:tcW w:w="1352" w:type="dxa"/>
            <w:tcBorders>
              <w:top w:val="nil"/>
              <w:left w:val="nil"/>
              <w:bottom w:val="single" w:sz="4" w:space="0" w:color="auto"/>
              <w:right w:val="single" w:sz="4" w:space="0" w:color="auto"/>
            </w:tcBorders>
            <w:shd w:val="clear" w:color="000000" w:fill="FFFFFF"/>
            <w:noWrap/>
            <w:vAlign w:val="bottom"/>
          </w:tcPr>
          <w:p w14:paraId="4B16E93A" w14:textId="77777777" w:rsidR="004D2FF6" w:rsidRPr="007B0B5B" w:rsidRDefault="004D2FF6" w:rsidP="00220F5C">
            <w:pPr>
              <w:jc w:val="center"/>
              <w:rPr>
                <w:rFonts w:ascii="Calibri" w:hAnsi="Calibri" w:cs="Calibri"/>
                <w:b/>
                <w:bCs/>
                <w:color w:val="000000"/>
                <w:sz w:val="20"/>
                <w:szCs w:val="20"/>
              </w:rPr>
            </w:pPr>
          </w:p>
        </w:tc>
      </w:tr>
      <w:tr w:rsidR="004D2FF6" w:rsidRPr="00DB61E0" w14:paraId="7131EB29" w14:textId="77777777" w:rsidTr="00220F5C">
        <w:trPr>
          <w:trHeight w:val="300"/>
        </w:trPr>
        <w:tc>
          <w:tcPr>
            <w:tcW w:w="558" w:type="dxa"/>
            <w:tcBorders>
              <w:top w:val="nil"/>
              <w:left w:val="single" w:sz="4" w:space="0" w:color="auto"/>
              <w:bottom w:val="single" w:sz="4" w:space="0" w:color="auto"/>
              <w:right w:val="single" w:sz="4" w:space="0" w:color="auto"/>
            </w:tcBorders>
            <w:shd w:val="clear" w:color="000000" w:fill="FFFFFF"/>
            <w:noWrap/>
            <w:hideMark/>
          </w:tcPr>
          <w:p w14:paraId="5BBD0117" w14:textId="77777777" w:rsidR="004D2FF6" w:rsidRPr="007B0B5B" w:rsidRDefault="004D2FF6" w:rsidP="00220F5C">
            <w:pPr>
              <w:jc w:val="center"/>
              <w:rPr>
                <w:rFonts w:ascii="Calibri" w:hAnsi="Calibri" w:cs="Calibri"/>
                <w:sz w:val="20"/>
                <w:szCs w:val="20"/>
              </w:rPr>
            </w:pPr>
            <w:r w:rsidRPr="007B0B5B">
              <w:rPr>
                <w:rFonts w:ascii="Calibri" w:hAnsi="Calibri" w:cs="Calibri"/>
                <w:color w:val="000000"/>
                <w:sz w:val="20"/>
                <w:szCs w:val="20"/>
              </w:rPr>
              <w:t>25</w:t>
            </w:r>
          </w:p>
        </w:tc>
        <w:tc>
          <w:tcPr>
            <w:tcW w:w="2610" w:type="dxa"/>
            <w:tcBorders>
              <w:top w:val="nil"/>
              <w:left w:val="nil"/>
              <w:bottom w:val="single" w:sz="4" w:space="0" w:color="auto"/>
              <w:right w:val="single" w:sz="4" w:space="0" w:color="auto"/>
            </w:tcBorders>
            <w:shd w:val="clear" w:color="000000" w:fill="FFFFFF"/>
            <w:noWrap/>
            <w:hideMark/>
          </w:tcPr>
          <w:p w14:paraId="7CDFAFC9"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Line 3 - line 7 - line 23</w:t>
            </w:r>
          </w:p>
        </w:tc>
        <w:tc>
          <w:tcPr>
            <w:tcW w:w="6462" w:type="dxa"/>
            <w:tcBorders>
              <w:top w:val="nil"/>
              <w:left w:val="nil"/>
              <w:bottom w:val="single" w:sz="4" w:space="0" w:color="auto"/>
              <w:right w:val="single" w:sz="4" w:space="0" w:color="auto"/>
            </w:tcBorders>
            <w:shd w:val="clear" w:color="000000" w:fill="FFFFFF"/>
            <w:noWrap/>
            <w:hideMark/>
          </w:tcPr>
          <w:p w14:paraId="2C67A975" w14:textId="7A5E873E" w:rsidR="004D2FF6" w:rsidRPr="007B0B5B" w:rsidRDefault="004D2FF6" w:rsidP="00220F5C">
            <w:pPr>
              <w:jc w:val="right"/>
              <w:rPr>
                <w:rFonts w:ascii="Calibri" w:hAnsi="Calibri" w:cs="Calibri"/>
                <w:b/>
                <w:bCs/>
                <w:color w:val="000000"/>
                <w:sz w:val="20"/>
                <w:szCs w:val="20"/>
              </w:rPr>
            </w:pPr>
            <w:r>
              <w:rPr>
                <w:rFonts w:ascii="Calibri" w:hAnsi="Calibri" w:cs="Calibri"/>
                <w:b/>
                <w:bCs/>
                <w:color w:val="000000"/>
                <w:sz w:val="20"/>
              </w:rPr>
              <w:t>I</w:t>
            </w:r>
            <w:r w:rsidRPr="007B0B5B">
              <w:rPr>
                <w:rFonts w:ascii="Calibri" w:hAnsi="Calibri" w:cs="Calibri"/>
                <w:b/>
                <w:bCs/>
                <w:color w:val="000000"/>
                <w:sz w:val="20"/>
                <w:szCs w:val="20"/>
              </w:rPr>
              <w:t xml:space="preserve">nvestments </w:t>
            </w:r>
            <w:r w:rsidR="00D97E79">
              <w:rPr>
                <w:rFonts w:ascii="Calibri" w:hAnsi="Calibri" w:cs="Calibri"/>
                <w:b/>
                <w:bCs/>
                <w:color w:val="000000"/>
                <w:sz w:val="20"/>
                <w:szCs w:val="20"/>
              </w:rPr>
              <w:t>P</w:t>
            </w:r>
            <w:r w:rsidRPr="007B0B5B">
              <w:rPr>
                <w:rFonts w:ascii="Calibri" w:hAnsi="Calibri" w:cs="Calibri"/>
                <w:b/>
                <w:bCs/>
                <w:color w:val="000000"/>
                <w:sz w:val="20"/>
                <w:szCs w:val="20"/>
              </w:rPr>
              <w:t xml:space="preserve">urchased less </w:t>
            </w:r>
            <w:r w:rsidR="00D97E79">
              <w:rPr>
                <w:rFonts w:ascii="Calibri" w:hAnsi="Calibri" w:cs="Calibri"/>
                <w:b/>
                <w:bCs/>
                <w:color w:val="000000"/>
                <w:sz w:val="20"/>
                <w:szCs w:val="20"/>
              </w:rPr>
              <w:t>I</w:t>
            </w:r>
            <w:r w:rsidRPr="007B0B5B">
              <w:rPr>
                <w:rFonts w:ascii="Calibri" w:hAnsi="Calibri" w:cs="Calibri"/>
                <w:b/>
                <w:bCs/>
                <w:color w:val="000000"/>
                <w:sz w:val="20"/>
                <w:szCs w:val="20"/>
              </w:rPr>
              <w:t xml:space="preserve">nvestments </w:t>
            </w:r>
            <w:r w:rsidR="00D97E79">
              <w:rPr>
                <w:rFonts w:ascii="Calibri" w:hAnsi="Calibri" w:cs="Calibri"/>
                <w:b/>
                <w:bCs/>
                <w:color w:val="000000"/>
                <w:sz w:val="20"/>
                <w:szCs w:val="20"/>
              </w:rPr>
              <w:t>S</w:t>
            </w:r>
            <w:r w:rsidRPr="007B0B5B">
              <w:rPr>
                <w:rFonts w:ascii="Calibri" w:hAnsi="Calibri" w:cs="Calibri"/>
                <w:b/>
                <w:bCs/>
                <w:color w:val="000000"/>
                <w:sz w:val="20"/>
                <w:szCs w:val="20"/>
              </w:rPr>
              <w:t xml:space="preserve">old and </w:t>
            </w:r>
            <w:r w:rsidR="00D97E79">
              <w:rPr>
                <w:rFonts w:ascii="Calibri" w:hAnsi="Calibri" w:cs="Calibri"/>
                <w:b/>
                <w:bCs/>
                <w:color w:val="000000"/>
                <w:sz w:val="20"/>
                <w:szCs w:val="20"/>
              </w:rPr>
              <w:t>I</w:t>
            </w:r>
            <w:r w:rsidRPr="007B0B5B">
              <w:rPr>
                <w:rFonts w:ascii="Calibri" w:hAnsi="Calibri" w:cs="Calibri"/>
                <w:b/>
                <w:bCs/>
                <w:color w:val="000000"/>
                <w:sz w:val="20"/>
                <w:szCs w:val="20"/>
              </w:rPr>
              <w:t xml:space="preserve">nvestable </w:t>
            </w:r>
            <w:r w:rsidR="00D97E79">
              <w:rPr>
                <w:rFonts w:ascii="Calibri" w:hAnsi="Calibri" w:cs="Calibri"/>
                <w:b/>
                <w:bCs/>
                <w:color w:val="000000"/>
                <w:sz w:val="20"/>
                <w:szCs w:val="20"/>
              </w:rPr>
              <w:t>P</w:t>
            </w:r>
            <w:r w:rsidRPr="007B0B5B">
              <w:rPr>
                <w:rFonts w:ascii="Calibri" w:hAnsi="Calibri" w:cs="Calibri"/>
                <w:b/>
                <w:bCs/>
                <w:color w:val="000000"/>
                <w:sz w:val="20"/>
                <w:szCs w:val="20"/>
              </w:rPr>
              <w:t>remiums</w:t>
            </w:r>
          </w:p>
        </w:tc>
        <w:tc>
          <w:tcPr>
            <w:tcW w:w="1352" w:type="dxa"/>
            <w:tcBorders>
              <w:top w:val="nil"/>
              <w:left w:val="nil"/>
              <w:bottom w:val="single" w:sz="4" w:space="0" w:color="auto"/>
              <w:right w:val="single" w:sz="4" w:space="0" w:color="auto"/>
            </w:tcBorders>
            <w:shd w:val="clear" w:color="000000" w:fill="FFFFFF"/>
            <w:noWrap/>
            <w:vAlign w:val="bottom"/>
            <w:hideMark/>
          </w:tcPr>
          <w:p w14:paraId="1FDCB5AA" w14:textId="77777777" w:rsidR="004D2FF6" w:rsidRPr="007B0B5B" w:rsidRDefault="004D2FF6" w:rsidP="00220F5C">
            <w:pPr>
              <w:jc w:val="center"/>
              <w:rPr>
                <w:rFonts w:ascii="Calibri" w:hAnsi="Calibri" w:cs="Calibri"/>
                <w:b/>
                <w:bCs/>
                <w:color w:val="000000"/>
                <w:sz w:val="20"/>
                <w:szCs w:val="20"/>
              </w:rPr>
            </w:pPr>
            <w:r w:rsidRPr="007B0B5B">
              <w:rPr>
                <w:rFonts w:ascii="Calibri" w:hAnsi="Calibri" w:cs="Calibri"/>
                <w:b/>
                <w:bCs/>
                <w:color w:val="000000"/>
                <w:sz w:val="20"/>
                <w:szCs w:val="20"/>
              </w:rPr>
              <w:t>35</w:t>
            </w:r>
            <w:r>
              <w:rPr>
                <w:rFonts w:ascii="Calibri" w:hAnsi="Calibri" w:cs="Calibri"/>
                <w:b/>
                <w:bCs/>
                <w:color w:val="000000"/>
                <w:sz w:val="20"/>
              </w:rPr>
              <w:t>,000</w:t>
            </w:r>
          </w:p>
        </w:tc>
      </w:tr>
      <w:tr w:rsidR="004D2FF6" w:rsidRPr="00DB61E0" w14:paraId="673D2B97" w14:textId="77777777" w:rsidTr="00220F5C">
        <w:trPr>
          <w:trHeight w:val="134"/>
        </w:trPr>
        <w:tc>
          <w:tcPr>
            <w:tcW w:w="558" w:type="dxa"/>
            <w:tcBorders>
              <w:top w:val="nil"/>
              <w:left w:val="single" w:sz="4" w:space="0" w:color="auto"/>
              <w:bottom w:val="single" w:sz="4" w:space="0" w:color="auto"/>
              <w:right w:val="single" w:sz="4" w:space="0" w:color="auto"/>
            </w:tcBorders>
            <w:shd w:val="clear" w:color="000000" w:fill="FFFFFF"/>
            <w:noWrap/>
            <w:hideMark/>
          </w:tcPr>
          <w:p w14:paraId="23176AC6"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26</w:t>
            </w:r>
          </w:p>
        </w:tc>
        <w:tc>
          <w:tcPr>
            <w:tcW w:w="2610" w:type="dxa"/>
            <w:tcBorders>
              <w:top w:val="nil"/>
              <w:left w:val="nil"/>
              <w:bottom w:val="single" w:sz="4" w:space="0" w:color="auto"/>
              <w:right w:val="single" w:sz="4" w:space="0" w:color="auto"/>
            </w:tcBorders>
            <w:shd w:val="clear" w:color="000000" w:fill="FFFFFF"/>
            <w:noWrap/>
            <w:hideMark/>
          </w:tcPr>
          <w:p w14:paraId="5467F08A"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 </w:t>
            </w:r>
          </w:p>
        </w:tc>
        <w:tc>
          <w:tcPr>
            <w:tcW w:w="6462" w:type="dxa"/>
            <w:tcBorders>
              <w:top w:val="nil"/>
              <w:left w:val="nil"/>
              <w:bottom w:val="single" w:sz="4" w:space="0" w:color="auto"/>
              <w:right w:val="single" w:sz="4" w:space="0" w:color="auto"/>
            </w:tcBorders>
            <w:shd w:val="clear" w:color="000000" w:fill="FFFFFF"/>
            <w:noWrap/>
            <w:hideMark/>
          </w:tcPr>
          <w:p w14:paraId="3283CA55" w14:textId="77777777" w:rsidR="004D2FF6" w:rsidRPr="007B0B5B" w:rsidRDefault="004D2FF6" w:rsidP="00220F5C">
            <w:pPr>
              <w:rPr>
                <w:rFonts w:ascii="Calibri" w:hAnsi="Calibri" w:cs="Calibri"/>
                <w:color w:val="000000"/>
                <w:sz w:val="20"/>
                <w:szCs w:val="20"/>
              </w:rPr>
            </w:pPr>
            <w:r w:rsidRPr="007B0B5B">
              <w:rPr>
                <w:rFonts w:ascii="Calibri" w:hAnsi="Calibri" w:cs="Calibri"/>
                <w:b/>
                <w:bCs/>
                <w:color w:val="000000"/>
                <w:sz w:val="20"/>
                <w:szCs w:val="20"/>
              </w:rPr>
              <w:t> </w:t>
            </w:r>
          </w:p>
        </w:tc>
        <w:tc>
          <w:tcPr>
            <w:tcW w:w="1352" w:type="dxa"/>
            <w:tcBorders>
              <w:top w:val="nil"/>
              <w:left w:val="nil"/>
              <w:bottom w:val="single" w:sz="4" w:space="0" w:color="auto"/>
              <w:right w:val="single" w:sz="4" w:space="0" w:color="auto"/>
            </w:tcBorders>
            <w:shd w:val="clear" w:color="000000" w:fill="FFFFFF"/>
            <w:noWrap/>
            <w:vAlign w:val="bottom"/>
            <w:hideMark/>
          </w:tcPr>
          <w:p w14:paraId="04F5DD73" w14:textId="77777777" w:rsidR="004D2FF6" w:rsidRPr="007B0B5B" w:rsidRDefault="004D2FF6" w:rsidP="00220F5C">
            <w:pPr>
              <w:jc w:val="center"/>
              <w:rPr>
                <w:rFonts w:ascii="Calibri" w:hAnsi="Calibri" w:cs="Calibri"/>
                <w:b/>
                <w:bCs/>
                <w:color w:val="000000"/>
                <w:sz w:val="20"/>
                <w:szCs w:val="20"/>
              </w:rPr>
            </w:pPr>
          </w:p>
        </w:tc>
      </w:tr>
      <w:tr w:rsidR="004D2FF6" w:rsidRPr="00DB61E0" w14:paraId="580499FE" w14:textId="77777777" w:rsidTr="00220F5C">
        <w:trPr>
          <w:trHeight w:val="300"/>
        </w:trPr>
        <w:tc>
          <w:tcPr>
            <w:tcW w:w="558" w:type="dxa"/>
            <w:tcBorders>
              <w:top w:val="nil"/>
              <w:left w:val="single" w:sz="4" w:space="0" w:color="auto"/>
              <w:bottom w:val="single" w:sz="4" w:space="0" w:color="auto"/>
              <w:right w:val="single" w:sz="4" w:space="0" w:color="auto"/>
            </w:tcBorders>
            <w:shd w:val="clear" w:color="000000" w:fill="FFFFFF"/>
            <w:noWrap/>
            <w:hideMark/>
          </w:tcPr>
          <w:p w14:paraId="30BE1D24"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27</w:t>
            </w:r>
          </w:p>
        </w:tc>
        <w:tc>
          <w:tcPr>
            <w:tcW w:w="2610" w:type="dxa"/>
            <w:tcBorders>
              <w:top w:val="nil"/>
              <w:left w:val="nil"/>
              <w:bottom w:val="single" w:sz="4" w:space="0" w:color="auto"/>
              <w:right w:val="single" w:sz="4" w:space="0" w:color="auto"/>
            </w:tcBorders>
            <w:shd w:val="clear" w:color="000000" w:fill="FFFFFF"/>
            <w:noWrap/>
            <w:hideMark/>
          </w:tcPr>
          <w:p w14:paraId="0870CD64" w14:textId="77777777" w:rsidR="004D2FF6" w:rsidRPr="007B0B5B" w:rsidRDefault="004D2FF6" w:rsidP="00220F5C">
            <w:pPr>
              <w:jc w:val="center"/>
              <w:rPr>
                <w:rFonts w:ascii="Calibri" w:hAnsi="Calibri" w:cs="Calibri"/>
                <w:color w:val="000000"/>
                <w:sz w:val="20"/>
                <w:szCs w:val="20"/>
              </w:rPr>
            </w:pPr>
            <w:r w:rsidRPr="007B0B5B">
              <w:rPr>
                <w:rFonts w:ascii="Calibri" w:hAnsi="Calibri" w:cs="Calibri"/>
                <w:color w:val="000000"/>
                <w:sz w:val="20"/>
                <w:szCs w:val="20"/>
              </w:rPr>
              <w:t>Internal Systems</w:t>
            </w:r>
          </w:p>
        </w:tc>
        <w:tc>
          <w:tcPr>
            <w:tcW w:w="6462" w:type="dxa"/>
            <w:tcBorders>
              <w:top w:val="nil"/>
              <w:left w:val="nil"/>
              <w:bottom w:val="single" w:sz="4" w:space="0" w:color="auto"/>
              <w:right w:val="single" w:sz="4" w:space="0" w:color="auto"/>
            </w:tcBorders>
            <w:shd w:val="clear" w:color="000000" w:fill="FFFFFF"/>
            <w:noWrap/>
            <w:hideMark/>
          </w:tcPr>
          <w:p w14:paraId="6A842A9A" w14:textId="16A6582B" w:rsidR="004D2FF6" w:rsidRPr="007B0B5B" w:rsidRDefault="004D2FF6" w:rsidP="00220F5C">
            <w:pPr>
              <w:rPr>
                <w:rFonts w:ascii="Calibri" w:hAnsi="Calibri" w:cs="Calibri"/>
                <w:color w:val="000000"/>
                <w:sz w:val="20"/>
                <w:szCs w:val="20"/>
              </w:rPr>
            </w:pPr>
            <w:r w:rsidRPr="007B0B5B">
              <w:rPr>
                <w:rFonts w:ascii="Calibri" w:hAnsi="Calibri" w:cs="Calibri"/>
                <w:color w:val="000000"/>
                <w:sz w:val="20"/>
                <w:szCs w:val="20"/>
              </w:rPr>
              <w:t xml:space="preserve">Weighted average yield of fixed income investments purchased (as </w:t>
            </w:r>
            <w:r w:rsidRPr="007B0B5B">
              <w:rPr>
                <w:rFonts w:ascii="Calibri" w:hAnsi="Calibri" w:cs="Calibri"/>
                <w:color w:val="000000"/>
                <w:sz w:val="20"/>
              </w:rPr>
              <w:t>reported</w:t>
            </w:r>
            <w:r w:rsidRPr="007B0B5B">
              <w:rPr>
                <w:rFonts w:ascii="Calibri" w:hAnsi="Calibri" w:cs="Calibri"/>
                <w:color w:val="000000"/>
                <w:sz w:val="20"/>
                <w:szCs w:val="20"/>
              </w:rPr>
              <w:t xml:space="preserve"> on line 3) during the year </w:t>
            </w:r>
          </w:p>
        </w:tc>
        <w:tc>
          <w:tcPr>
            <w:tcW w:w="1352" w:type="dxa"/>
            <w:tcBorders>
              <w:top w:val="nil"/>
              <w:left w:val="nil"/>
              <w:bottom w:val="single" w:sz="4" w:space="0" w:color="auto"/>
              <w:right w:val="single" w:sz="4" w:space="0" w:color="auto"/>
            </w:tcBorders>
            <w:shd w:val="clear" w:color="000000" w:fill="FFFFFF"/>
            <w:noWrap/>
            <w:vAlign w:val="bottom"/>
            <w:hideMark/>
          </w:tcPr>
          <w:p w14:paraId="6B633567" w14:textId="77777777" w:rsidR="004D2FF6" w:rsidRPr="007B0B5B" w:rsidRDefault="004D2FF6" w:rsidP="00220F5C">
            <w:pPr>
              <w:jc w:val="center"/>
              <w:rPr>
                <w:rFonts w:ascii="Calibri" w:hAnsi="Calibri" w:cs="Calibri"/>
                <w:b/>
                <w:bCs/>
                <w:color w:val="000000"/>
                <w:sz w:val="20"/>
                <w:szCs w:val="20"/>
              </w:rPr>
            </w:pPr>
            <w:r w:rsidRPr="007B0B5B">
              <w:rPr>
                <w:rFonts w:ascii="Calibri" w:hAnsi="Calibri" w:cs="Calibri"/>
                <w:color w:val="000000"/>
                <w:sz w:val="20"/>
                <w:szCs w:val="20"/>
              </w:rPr>
              <w:t>4%</w:t>
            </w:r>
          </w:p>
        </w:tc>
      </w:tr>
      <w:tr w:rsidR="004D2FF6" w:rsidRPr="00DB61E0" w14:paraId="547825D4" w14:textId="77777777" w:rsidTr="00220F5C">
        <w:trPr>
          <w:trHeight w:val="300"/>
        </w:trPr>
        <w:tc>
          <w:tcPr>
            <w:tcW w:w="558" w:type="dxa"/>
            <w:tcBorders>
              <w:top w:val="nil"/>
              <w:left w:val="single" w:sz="4" w:space="0" w:color="auto"/>
              <w:bottom w:val="single" w:sz="4" w:space="0" w:color="auto"/>
              <w:right w:val="single" w:sz="4" w:space="0" w:color="auto"/>
            </w:tcBorders>
            <w:shd w:val="clear" w:color="000000" w:fill="FFFFFF"/>
            <w:noWrap/>
            <w:hideMark/>
          </w:tcPr>
          <w:p w14:paraId="43947C91" w14:textId="77777777" w:rsidR="004D2FF6" w:rsidRPr="00571160" w:rsidRDefault="004D2FF6" w:rsidP="00220F5C">
            <w:pPr>
              <w:jc w:val="center"/>
              <w:rPr>
                <w:rFonts w:ascii="Calibri" w:hAnsi="Calibri" w:cs="Calibri"/>
                <w:color w:val="000000"/>
                <w:sz w:val="20"/>
                <w:szCs w:val="20"/>
              </w:rPr>
            </w:pPr>
            <w:r w:rsidRPr="00571160">
              <w:rPr>
                <w:rFonts w:ascii="Calibri" w:hAnsi="Calibri" w:cs="Calibri"/>
                <w:color w:val="000000"/>
                <w:sz w:val="20"/>
                <w:szCs w:val="20"/>
              </w:rPr>
              <w:t>28</w:t>
            </w:r>
          </w:p>
        </w:tc>
        <w:tc>
          <w:tcPr>
            <w:tcW w:w="2610" w:type="dxa"/>
            <w:tcBorders>
              <w:top w:val="nil"/>
              <w:left w:val="nil"/>
              <w:bottom w:val="single" w:sz="4" w:space="0" w:color="auto"/>
              <w:right w:val="single" w:sz="4" w:space="0" w:color="auto"/>
            </w:tcBorders>
            <w:shd w:val="clear" w:color="000000" w:fill="FFFFFF"/>
            <w:noWrap/>
            <w:hideMark/>
          </w:tcPr>
          <w:p w14:paraId="327B919B" w14:textId="77777777" w:rsidR="004D2FF6" w:rsidRPr="00571160" w:rsidRDefault="004D2FF6" w:rsidP="00220F5C">
            <w:pPr>
              <w:jc w:val="center"/>
              <w:rPr>
                <w:rFonts w:ascii="Calibri" w:hAnsi="Calibri" w:cs="Calibri"/>
                <w:color w:val="000000"/>
                <w:sz w:val="20"/>
                <w:szCs w:val="20"/>
              </w:rPr>
            </w:pPr>
            <w:r w:rsidRPr="00571160">
              <w:rPr>
                <w:rFonts w:ascii="Calibri" w:hAnsi="Calibri" w:cs="Calibri"/>
                <w:color w:val="000000"/>
                <w:sz w:val="20"/>
                <w:szCs w:val="20"/>
              </w:rPr>
              <w:t>Internal Systems</w:t>
            </w:r>
          </w:p>
        </w:tc>
        <w:tc>
          <w:tcPr>
            <w:tcW w:w="6462" w:type="dxa"/>
            <w:tcBorders>
              <w:top w:val="nil"/>
              <w:left w:val="nil"/>
              <w:bottom w:val="single" w:sz="4" w:space="0" w:color="auto"/>
              <w:right w:val="single" w:sz="4" w:space="0" w:color="auto"/>
            </w:tcBorders>
            <w:shd w:val="clear" w:color="000000" w:fill="FFFFFF"/>
            <w:noWrap/>
            <w:hideMark/>
          </w:tcPr>
          <w:p w14:paraId="498DB35C" w14:textId="77777777" w:rsidR="004D2FF6" w:rsidRPr="00571160" w:rsidRDefault="004D2FF6" w:rsidP="00220F5C">
            <w:pPr>
              <w:jc w:val="right"/>
              <w:rPr>
                <w:rFonts w:ascii="Calibri" w:hAnsi="Calibri" w:cs="Calibri"/>
                <w:b/>
                <w:bCs/>
                <w:color w:val="000000"/>
                <w:sz w:val="20"/>
                <w:szCs w:val="20"/>
              </w:rPr>
            </w:pPr>
            <w:r w:rsidRPr="00571160">
              <w:rPr>
                <w:rFonts w:ascii="Calibri" w:hAnsi="Calibri" w:cs="Calibri"/>
                <w:color w:val="000000"/>
                <w:sz w:val="20"/>
                <w:szCs w:val="20"/>
              </w:rPr>
              <w:t>Weighted average yield of fixed income investments sold (as reported on line7) during the year</w:t>
            </w:r>
          </w:p>
        </w:tc>
        <w:tc>
          <w:tcPr>
            <w:tcW w:w="1352" w:type="dxa"/>
            <w:tcBorders>
              <w:top w:val="nil"/>
              <w:left w:val="nil"/>
              <w:bottom w:val="single" w:sz="4" w:space="0" w:color="auto"/>
              <w:right w:val="single" w:sz="4" w:space="0" w:color="auto"/>
            </w:tcBorders>
            <w:shd w:val="clear" w:color="000000" w:fill="FFFFFF"/>
            <w:noWrap/>
            <w:vAlign w:val="bottom"/>
            <w:hideMark/>
          </w:tcPr>
          <w:p w14:paraId="5C26B845" w14:textId="77777777" w:rsidR="004D2FF6" w:rsidRPr="00571160" w:rsidRDefault="004D2FF6" w:rsidP="00220F5C">
            <w:pPr>
              <w:jc w:val="center"/>
              <w:rPr>
                <w:rFonts w:ascii="Calibri" w:hAnsi="Calibri" w:cs="Calibri"/>
                <w:b/>
                <w:bCs/>
                <w:color w:val="000000"/>
                <w:sz w:val="20"/>
                <w:szCs w:val="20"/>
              </w:rPr>
            </w:pPr>
            <w:r w:rsidRPr="00571160">
              <w:rPr>
                <w:rFonts w:ascii="Calibri" w:hAnsi="Calibri" w:cs="Calibri"/>
                <w:color w:val="000000"/>
                <w:sz w:val="20"/>
                <w:szCs w:val="20"/>
              </w:rPr>
              <w:t>3%</w:t>
            </w:r>
          </w:p>
        </w:tc>
      </w:tr>
      <w:tr w:rsidR="004D2FF6" w:rsidRPr="00DB61E0" w14:paraId="56E775BF" w14:textId="77777777" w:rsidTr="00220F5C">
        <w:trPr>
          <w:trHeight w:val="300"/>
        </w:trPr>
        <w:tc>
          <w:tcPr>
            <w:tcW w:w="558" w:type="dxa"/>
            <w:tcBorders>
              <w:top w:val="nil"/>
              <w:left w:val="single" w:sz="4" w:space="0" w:color="auto"/>
              <w:bottom w:val="single" w:sz="4" w:space="0" w:color="auto"/>
              <w:right w:val="single" w:sz="4" w:space="0" w:color="auto"/>
            </w:tcBorders>
            <w:shd w:val="clear" w:color="000000" w:fill="FFFFFF"/>
            <w:noWrap/>
            <w:hideMark/>
          </w:tcPr>
          <w:p w14:paraId="20500C09" w14:textId="77777777" w:rsidR="004D2FF6" w:rsidRPr="00571160" w:rsidRDefault="004D2FF6" w:rsidP="00220F5C">
            <w:pPr>
              <w:jc w:val="center"/>
              <w:rPr>
                <w:rFonts w:ascii="Calibri" w:hAnsi="Calibri" w:cs="Calibri"/>
                <w:color w:val="000000"/>
                <w:sz w:val="20"/>
                <w:szCs w:val="20"/>
              </w:rPr>
            </w:pPr>
            <w:r w:rsidRPr="00571160">
              <w:rPr>
                <w:rFonts w:ascii="Calibri" w:hAnsi="Calibri" w:cs="Calibri"/>
                <w:color w:val="000000"/>
                <w:sz w:val="20"/>
                <w:szCs w:val="20"/>
              </w:rPr>
              <w:t>29</w:t>
            </w:r>
          </w:p>
        </w:tc>
        <w:tc>
          <w:tcPr>
            <w:tcW w:w="2610" w:type="dxa"/>
            <w:tcBorders>
              <w:top w:val="nil"/>
              <w:left w:val="nil"/>
              <w:bottom w:val="single" w:sz="4" w:space="0" w:color="auto"/>
              <w:right w:val="single" w:sz="4" w:space="0" w:color="auto"/>
            </w:tcBorders>
            <w:shd w:val="clear" w:color="000000" w:fill="FFFFFF"/>
            <w:noWrap/>
            <w:hideMark/>
          </w:tcPr>
          <w:p w14:paraId="39EA7CD4" w14:textId="77777777" w:rsidR="004D2FF6" w:rsidRPr="00571160" w:rsidRDefault="004D2FF6" w:rsidP="00220F5C">
            <w:pPr>
              <w:jc w:val="center"/>
              <w:rPr>
                <w:rFonts w:ascii="Calibri" w:hAnsi="Calibri" w:cs="Calibri"/>
                <w:color w:val="000000"/>
                <w:sz w:val="20"/>
                <w:szCs w:val="20"/>
              </w:rPr>
            </w:pPr>
            <w:r w:rsidRPr="00571160">
              <w:rPr>
                <w:rFonts w:ascii="Calibri" w:hAnsi="Calibri" w:cs="Calibri"/>
                <w:color w:val="000000"/>
                <w:sz w:val="20"/>
                <w:szCs w:val="20"/>
              </w:rPr>
              <w:t>Line 17 - line 18</w:t>
            </w:r>
          </w:p>
        </w:tc>
        <w:tc>
          <w:tcPr>
            <w:tcW w:w="6462" w:type="dxa"/>
            <w:tcBorders>
              <w:top w:val="nil"/>
              <w:left w:val="nil"/>
              <w:bottom w:val="single" w:sz="4" w:space="0" w:color="auto"/>
              <w:right w:val="single" w:sz="4" w:space="0" w:color="auto"/>
            </w:tcBorders>
            <w:shd w:val="clear" w:color="000000" w:fill="FFFFFF"/>
            <w:noWrap/>
            <w:hideMark/>
          </w:tcPr>
          <w:p w14:paraId="73C39665" w14:textId="48E6B116" w:rsidR="004D2FF6" w:rsidRPr="00571160" w:rsidRDefault="004D2FF6" w:rsidP="00220F5C">
            <w:pPr>
              <w:jc w:val="right"/>
              <w:rPr>
                <w:rFonts w:ascii="Calibri" w:hAnsi="Calibri" w:cs="Calibri"/>
                <w:b/>
                <w:bCs/>
                <w:color w:val="000000"/>
                <w:sz w:val="20"/>
                <w:szCs w:val="20"/>
              </w:rPr>
            </w:pPr>
            <w:r w:rsidRPr="00571160">
              <w:rPr>
                <w:rFonts w:ascii="Calibri" w:hAnsi="Calibri" w:cs="Calibri"/>
                <w:b/>
                <w:bCs/>
                <w:color w:val="000000"/>
                <w:sz w:val="20"/>
                <w:szCs w:val="20"/>
              </w:rPr>
              <w:t>Increase (</w:t>
            </w:r>
            <w:r w:rsidR="00D97E79">
              <w:rPr>
                <w:rFonts w:ascii="Calibri" w:hAnsi="Calibri" w:cs="Calibri"/>
                <w:b/>
                <w:bCs/>
                <w:color w:val="000000"/>
                <w:sz w:val="20"/>
                <w:szCs w:val="20"/>
              </w:rPr>
              <w:t>D</w:t>
            </w:r>
            <w:r w:rsidRPr="00571160">
              <w:rPr>
                <w:rFonts w:ascii="Calibri" w:hAnsi="Calibri" w:cs="Calibri"/>
                <w:b/>
                <w:bCs/>
                <w:color w:val="000000"/>
                <w:sz w:val="20"/>
                <w:szCs w:val="20"/>
              </w:rPr>
              <w:t xml:space="preserve">ecrease) of </w:t>
            </w:r>
            <w:r w:rsidR="00D97E79">
              <w:rPr>
                <w:rFonts w:ascii="Calibri" w:hAnsi="Calibri" w:cs="Calibri"/>
                <w:b/>
                <w:bCs/>
                <w:color w:val="000000"/>
                <w:sz w:val="20"/>
                <w:szCs w:val="20"/>
              </w:rPr>
              <w:t>Y</w:t>
            </w:r>
            <w:r w:rsidRPr="00571160">
              <w:rPr>
                <w:rFonts w:ascii="Calibri" w:hAnsi="Calibri" w:cs="Calibri"/>
                <w:b/>
                <w:bCs/>
                <w:color w:val="000000"/>
                <w:sz w:val="20"/>
                <w:szCs w:val="20"/>
              </w:rPr>
              <w:t xml:space="preserve">ield of </w:t>
            </w:r>
            <w:r w:rsidR="00D97E79">
              <w:rPr>
                <w:rFonts w:ascii="Calibri" w:hAnsi="Calibri" w:cs="Calibri"/>
                <w:b/>
                <w:bCs/>
                <w:color w:val="000000"/>
                <w:sz w:val="20"/>
                <w:szCs w:val="20"/>
              </w:rPr>
              <w:t>P</w:t>
            </w:r>
            <w:r w:rsidRPr="00571160">
              <w:rPr>
                <w:rFonts w:ascii="Calibri" w:hAnsi="Calibri" w:cs="Calibri"/>
                <w:b/>
                <w:bCs/>
                <w:color w:val="000000"/>
                <w:sz w:val="20"/>
                <w:szCs w:val="20"/>
              </w:rPr>
              <w:t xml:space="preserve">urchased </w:t>
            </w:r>
            <w:r w:rsidR="00D97E79">
              <w:rPr>
                <w:rFonts w:ascii="Calibri" w:hAnsi="Calibri" w:cs="Calibri"/>
                <w:b/>
                <w:bCs/>
                <w:color w:val="000000"/>
                <w:sz w:val="20"/>
                <w:szCs w:val="20"/>
              </w:rPr>
              <w:t>F</w:t>
            </w:r>
            <w:r w:rsidRPr="00571160">
              <w:rPr>
                <w:rFonts w:ascii="Calibri" w:hAnsi="Calibri" w:cs="Calibri"/>
                <w:b/>
                <w:bCs/>
                <w:color w:val="000000"/>
                <w:sz w:val="20"/>
                <w:szCs w:val="20"/>
              </w:rPr>
              <w:t xml:space="preserve">ixed </w:t>
            </w:r>
            <w:r w:rsidR="00D97E79">
              <w:rPr>
                <w:rFonts w:ascii="Calibri" w:hAnsi="Calibri" w:cs="Calibri"/>
                <w:b/>
                <w:bCs/>
                <w:color w:val="000000"/>
                <w:sz w:val="20"/>
                <w:szCs w:val="20"/>
              </w:rPr>
              <w:t>I</w:t>
            </w:r>
            <w:r w:rsidRPr="00571160">
              <w:rPr>
                <w:rFonts w:ascii="Calibri" w:hAnsi="Calibri" w:cs="Calibri"/>
                <w:b/>
                <w:bCs/>
                <w:color w:val="000000"/>
                <w:sz w:val="20"/>
                <w:szCs w:val="20"/>
              </w:rPr>
              <w:t xml:space="preserve">ncome </w:t>
            </w:r>
            <w:r w:rsidR="00D97E79">
              <w:rPr>
                <w:rFonts w:ascii="Calibri" w:hAnsi="Calibri" w:cs="Calibri"/>
                <w:b/>
                <w:bCs/>
                <w:color w:val="000000"/>
                <w:sz w:val="20"/>
                <w:szCs w:val="20"/>
              </w:rPr>
              <w:t>I</w:t>
            </w:r>
            <w:r w:rsidRPr="00571160">
              <w:rPr>
                <w:rFonts w:ascii="Calibri" w:hAnsi="Calibri" w:cs="Calibri"/>
                <w:b/>
                <w:bCs/>
                <w:color w:val="000000"/>
                <w:sz w:val="20"/>
                <w:szCs w:val="20"/>
              </w:rPr>
              <w:t xml:space="preserve">nvestment </w:t>
            </w:r>
            <w:r w:rsidR="00D97E79">
              <w:rPr>
                <w:rFonts w:ascii="Calibri" w:hAnsi="Calibri" w:cs="Calibri"/>
                <w:b/>
                <w:bCs/>
                <w:color w:val="000000"/>
                <w:sz w:val="20"/>
                <w:szCs w:val="20"/>
              </w:rPr>
              <w:t>Y</w:t>
            </w:r>
            <w:r w:rsidRPr="00571160">
              <w:rPr>
                <w:rFonts w:ascii="Calibri" w:hAnsi="Calibri" w:cs="Calibri"/>
                <w:b/>
                <w:bCs/>
                <w:color w:val="000000"/>
                <w:sz w:val="20"/>
                <w:szCs w:val="20"/>
              </w:rPr>
              <w:t xml:space="preserve">ield </w:t>
            </w:r>
            <w:r w:rsidR="00D97E79">
              <w:rPr>
                <w:rFonts w:ascii="Calibri" w:hAnsi="Calibri" w:cs="Calibri"/>
                <w:b/>
                <w:bCs/>
                <w:color w:val="000000"/>
                <w:sz w:val="20"/>
                <w:szCs w:val="20"/>
              </w:rPr>
              <w:t>O</w:t>
            </w:r>
            <w:r w:rsidRPr="00571160">
              <w:rPr>
                <w:rFonts w:ascii="Calibri" w:hAnsi="Calibri" w:cs="Calibri"/>
                <w:b/>
                <w:bCs/>
                <w:color w:val="000000"/>
                <w:sz w:val="20"/>
                <w:szCs w:val="20"/>
              </w:rPr>
              <w:t xml:space="preserve">ver </w:t>
            </w:r>
            <w:r w:rsidR="00D97E79">
              <w:rPr>
                <w:rFonts w:ascii="Calibri" w:hAnsi="Calibri" w:cs="Calibri"/>
                <w:b/>
                <w:bCs/>
                <w:color w:val="000000"/>
                <w:sz w:val="20"/>
                <w:szCs w:val="20"/>
              </w:rPr>
              <w:t>T</w:t>
            </w:r>
            <w:r w:rsidRPr="00571160">
              <w:rPr>
                <w:rFonts w:ascii="Calibri" w:hAnsi="Calibri" w:cs="Calibri"/>
                <w:b/>
                <w:bCs/>
                <w:color w:val="000000"/>
                <w:sz w:val="20"/>
                <w:szCs w:val="20"/>
              </w:rPr>
              <w:t xml:space="preserve">hose </w:t>
            </w:r>
            <w:r w:rsidR="00D97E79">
              <w:rPr>
                <w:rFonts w:ascii="Calibri" w:hAnsi="Calibri" w:cs="Calibri"/>
                <w:b/>
                <w:bCs/>
                <w:color w:val="000000"/>
                <w:sz w:val="20"/>
                <w:szCs w:val="20"/>
              </w:rPr>
              <w:t>D</w:t>
            </w:r>
            <w:r w:rsidRPr="00571160">
              <w:rPr>
                <w:rFonts w:ascii="Calibri" w:hAnsi="Calibri" w:cs="Calibri"/>
                <w:b/>
                <w:bCs/>
                <w:color w:val="000000"/>
                <w:sz w:val="20"/>
                <w:szCs w:val="20"/>
              </w:rPr>
              <w:t>isposed</w:t>
            </w:r>
          </w:p>
        </w:tc>
        <w:tc>
          <w:tcPr>
            <w:tcW w:w="1352" w:type="dxa"/>
            <w:tcBorders>
              <w:top w:val="nil"/>
              <w:left w:val="nil"/>
              <w:bottom w:val="single" w:sz="4" w:space="0" w:color="auto"/>
              <w:right w:val="single" w:sz="4" w:space="0" w:color="auto"/>
            </w:tcBorders>
            <w:shd w:val="clear" w:color="000000" w:fill="FFFFFF"/>
            <w:noWrap/>
            <w:vAlign w:val="bottom"/>
            <w:hideMark/>
          </w:tcPr>
          <w:p w14:paraId="316DA88A" w14:textId="77777777" w:rsidR="004D2FF6" w:rsidRPr="00571160" w:rsidRDefault="004D2FF6" w:rsidP="00220F5C">
            <w:pPr>
              <w:jc w:val="center"/>
              <w:rPr>
                <w:rFonts w:ascii="Calibri" w:hAnsi="Calibri" w:cs="Calibri"/>
                <w:b/>
                <w:bCs/>
                <w:color w:val="000000"/>
                <w:sz w:val="20"/>
                <w:szCs w:val="20"/>
              </w:rPr>
            </w:pPr>
            <w:r w:rsidRPr="00571160">
              <w:rPr>
                <w:rFonts w:ascii="Calibri" w:hAnsi="Calibri" w:cs="Calibri"/>
                <w:color w:val="000000"/>
                <w:sz w:val="20"/>
                <w:szCs w:val="20"/>
              </w:rPr>
              <w:t>1%</w:t>
            </w:r>
          </w:p>
        </w:tc>
      </w:tr>
      <w:tr w:rsidR="004D2FF6" w:rsidRPr="00DB61E0" w14:paraId="77E5A144" w14:textId="77777777" w:rsidTr="004D2FF6">
        <w:trPr>
          <w:trHeight w:hRule="exact" w:val="172"/>
        </w:trPr>
        <w:tc>
          <w:tcPr>
            <w:tcW w:w="558" w:type="dxa"/>
            <w:tcBorders>
              <w:top w:val="nil"/>
              <w:left w:val="single" w:sz="4" w:space="0" w:color="auto"/>
              <w:bottom w:val="single" w:sz="4" w:space="0" w:color="auto"/>
              <w:right w:val="single" w:sz="4" w:space="0" w:color="auto"/>
            </w:tcBorders>
            <w:shd w:val="clear" w:color="000000" w:fill="FFFFFF"/>
            <w:noWrap/>
            <w:hideMark/>
          </w:tcPr>
          <w:p w14:paraId="089D0266" w14:textId="77777777" w:rsidR="004D2FF6" w:rsidRPr="00571160" w:rsidRDefault="004D2FF6" w:rsidP="00220F5C">
            <w:pPr>
              <w:jc w:val="center"/>
              <w:rPr>
                <w:rFonts w:ascii="Calibri" w:hAnsi="Calibri" w:cs="Calibri"/>
                <w:color w:val="000000"/>
                <w:sz w:val="20"/>
                <w:szCs w:val="20"/>
              </w:rPr>
            </w:pPr>
            <w:r w:rsidRPr="00571160">
              <w:rPr>
                <w:rFonts w:ascii="Calibri" w:hAnsi="Calibri" w:cs="Calibri"/>
                <w:color w:val="000000"/>
                <w:sz w:val="20"/>
                <w:szCs w:val="20"/>
              </w:rPr>
              <w:t>30</w:t>
            </w:r>
          </w:p>
        </w:tc>
        <w:tc>
          <w:tcPr>
            <w:tcW w:w="2610" w:type="dxa"/>
            <w:tcBorders>
              <w:top w:val="nil"/>
              <w:left w:val="nil"/>
              <w:bottom w:val="single" w:sz="4" w:space="0" w:color="auto"/>
              <w:right w:val="single" w:sz="4" w:space="0" w:color="auto"/>
            </w:tcBorders>
            <w:shd w:val="clear" w:color="000000" w:fill="FFFFFF"/>
            <w:noWrap/>
            <w:hideMark/>
          </w:tcPr>
          <w:p w14:paraId="0A71A6A6" w14:textId="77777777" w:rsidR="004D2FF6" w:rsidRPr="00571160" w:rsidRDefault="004D2FF6" w:rsidP="00220F5C">
            <w:pPr>
              <w:jc w:val="center"/>
              <w:rPr>
                <w:rFonts w:ascii="Calibri" w:hAnsi="Calibri" w:cs="Calibri"/>
                <w:color w:val="000000"/>
                <w:sz w:val="20"/>
                <w:szCs w:val="20"/>
              </w:rPr>
            </w:pPr>
            <w:r w:rsidRPr="00571160">
              <w:rPr>
                <w:rFonts w:ascii="Calibri" w:hAnsi="Calibri" w:cs="Calibri"/>
                <w:color w:val="000000"/>
                <w:sz w:val="20"/>
                <w:szCs w:val="20"/>
              </w:rPr>
              <w:t> </w:t>
            </w:r>
          </w:p>
        </w:tc>
        <w:tc>
          <w:tcPr>
            <w:tcW w:w="6462" w:type="dxa"/>
            <w:tcBorders>
              <w:top w:val="nil"/>
              <w:left w:val="nil"/>
              <w:bottom w:val="single" w:sz="4" w:space="0" w:color="auto"/>
              <w:right w:val="single" w:sz="4" w:space="0" w:color="auto"/>
            </w:tcBorders>
            <w:shd w:val="clear" w:color="000000" w:fill="FFFFFF"/>
            <w:noWrap/>
            <w:hideMark/>
          </w:tcPr>
          <w:p w14:paraId="4512EC7F" w14:textId="77777777" w:rsidR="004D2FF6" w:rsidRPr="00571160" w:rsidRDefault="004D2FF6" w:rsidP="00220F5C">
            <w:pPr>
              <w:jc w:val="right"/>
              <w:rPr>
                <w:rFonts w:ascii="Calibri" w:hAnsi="Calibri" w:cs="Calibri"/>
                <w:b/>
                <w:bCs/>
                <w:color w:val="000000"/>
                <w:sz w:val="20"/>
                <w:szCs w:val="20"/>
              </w:rPr>
            </w:pPr>
            <w:r w:rsidRPr="00571160">
              <w:rPr>
                <w:rFonts w:ascii="Calibri" w:hAnsi="Calibri" w:cs="Calibri"/>
                <w:b/>
                <w:bCs/>
                <w:color w:val="000000"/>
                <w:sz w:val="20"/>
                <w:szCs w:val="20"/>
              </w:rPr>
              <w:t> </w:t>
            </w:r>
          </w:p>
        </w:tc>
        <w:tc>
          <w:tcPr>
            <w:tcW w:w="1352" w:type="dxa"/>
            <w:tcBorders>
              <w:top w:val="nil"/>
              <w:left w:val="nil"/>
              <w:bottom w:val="single" w:sz="4" w:space="0" w:color="auto"/>
              <w:right w:val="single" w:sz="4" w:space="0" w:color="auto"/>
            </w:tcBorders>
            <w:shd w:val="clear" w:color="000000" w:fill="FFFFFF"/>
            <w:noWrap/>
            <w:vAlign w:val="bottom"/>
            <w:hideMark/>
          </w:tcPr>
          <w:p w14:paraId="020794D7" w14:textId="77777777" w:rsidR="004D2FF6" w:rsidRPr="00571160" w:rsidRDefault="004D2FF6" w:rsidP="00220F5C">
            <w:pPr>
              <w:jc w:val="center"/>
              <w:rPr>
                <w:rFonts w:ascii="Calibri" w:hAnsi="Calibri" w:cs="Calibri"/>
                <w:b/>
                <w:bCs/>
                <w:color w:val="000000"/>
                <w:sz w:val="20"/>
                <w:szCs w:val="20"/>
              </w:rPr>
            </w:pPr>
          </w:p>
        </w:tc>
      </w:tr>
      <w:tr w:rsidR="004D2FF6" w:rsidRPr="00DB61E0" w14:paraId="266F3111" w14:textId="77777777" w:rsidTr="00220F5C">
        <w:trPr>
          <w:trHeight w:val="300"/>
        </w:trPr>
        <w:tc>
          <w:tcPr>
            <w:tcW w:w="558" w:type="dxa"/>
            <w:tcBorders>
              <w:top w:val="nil"/>
              <w:left w:val="single" w:sz="4" w:space="0" w:color="auto"/>
              <w:bottom w:val="single" w:sz="4" w:space="0" w:color="auto"/>
              <w:right w:val="single" w:sz="4" w:space="0" w:color="auto"/>
            </w:tcBorders>
            <w:shd w:val="clear" w:color="000000" w:fill="FFFFFF"/>
            <w:noWrap/>
            <w:hideMark/>
          </w:tcPr>
          <w:p w14:paraId="3F68B181" w14:textId="77777777" w:rsidR="004D2FF6" w:rsidRPr="00571160" w:rsidRDefault="004D2FF6" w:rsidP="00220F5C">
            <w:pPr>
              <w:jc w:val="center"/>
              <w:rPr>
                <w:rFonts w:ascii="Calibri" w:hAnsi="Calibri" w:cs="Calibri"/>
                <w:color w:val="000000"/>
                <w:sz w:val="20"/>
                <w:szCs w:val="20"/>
              </w:rPr>
            </w:pPr>
            <w:r w:rsidRPr="00571160">
              <w:rPr>
                <w:rFonts w:ascii="Calibri" w:hAnsi="Calibri" w:cs="Calibri"/>
                <w:color w:val="000000"/>
                <w:sz w:val="20"/>
                <w:szCs w:val="20"/>
              </w:rPr>
              <w:t>31</w:t>
            </w:r>
          </w:p>
        </w:tc>
        <w:tc>
          <w:tcPr>
            <w:tcW w:w="2610" w:type="dxa"/>
            <w:tcBorders>
              <w:top w:val="nil"/>
              <w:left w:val="nil"/>
              <w:bottom w:val="single" w:sz="4" w:space="0" w:color="auto"/>
              <w:right w:val="single" w:sz="4" w:space="0" w:color="auto"/>
            </w:tcBorders>
            <w:shd w:val="clear" w:color="000000" w:fill="FFFFFF"/>
            <w:noWrap/>
            <w:hideMark/>
          </w:tcPr>
          <w:p w14:paraId="2E6E7FC0" w14:textId="77777777" w:rsidR="004D2FF6" w:rsidRPr="00571160" w:rsidRDefault="004D2FF6" w:rsidP="00220F5C">
            <w:pPr>
              <w:jc w:val="center"/>
              <w:rPr>
                <w:rFonts w:ascii="Calibri" w:hAnsi="Calibri" w:cs="Calibri"/>
                <w:color w:val="000000"/>
                <w:sz w:val="20"/>
                <w:szCs w:val="20"/>
              </w:rPr>
            </w:pPr>
            <w:r w:rsidRPr="00571160">
              <w:rPr>
                <w:rFonts w:ascii="Calibri" w:hAnsi="Calibri" w:cs="Calibri"/>
                <w:color w:val="000000"/>
                <w:sz w:val="20"/>
                <w:szCs w:val="20"/>
              </w:rPr>
              <w:t> </w:t>
            </w:r>
          </w:p>
        </w:tc>
        <w:tc>
          <w:tcPr>
            <w:tcW w:w="6462" w:type="dxa"/>
            <w:tcBorders>
              <w:top w:val="nil"/>
              <w:left w:val="nil"/>
              <w:bottom w:val="single" w:sz="4" w:space="0" w:color="auto"/>
              <w:right w:val="single" w:sz="4" w:space="0" w:color="auto"/>
            </w:tcBorders>
            <w:shd w:val="clear" w:color="000000" w:fill="FFFFFF"/>
            <w:noWrap/>
            <w:hideMark/>
          </w:tcPr>
          <w:p w14:paraId="6027B314" w14:textId="06445ABA" w:rsidR="004D2FF6" w:rsidRPr="00571160" w:rsidRDefault="004D2FF6" w:rsidP="00220F5C">
            <w:pPr>
              <w:jc w:val="right"/>
              <w:rPr>
                <w:rFonts w:ascii="Calibri" w:hAnsi="Calibri" w:cs="Calibri"/>
                <w:color w:val="000000"/>
                <w:sz w:val="20"/>
                <w:szCs w:val="20"/>
              </w:rPr>
            </w:pPr>
            <w:r w:rsidRPr="00571160">
              <w:rPr>
                <w:rFonts w:ascii="Calibri" w:hAnsi="Calibri" w:cs="Calibri"/>
                <w:b/>
                <w:bCs/>
                <w:color w:val="000000"/>
                <w:sz w:val="20"/>
                <w:szCs w:val="20"/>
              </w:rPr>
              <w:t xml:space="preserve">Sufficient </w:t>
            </w:r>
            <w:r w:rsidR="00D97E79">
              <w:rPr>
                <w:rFonts w:ascii="Calibri" w:hAnsi="Calibri" w:cs="Calibri"/>
                <w:b/>
                <w:bCs/>
                <w:color w:val="000000"/>
                <w:sz w:val="20"/>
                <w:szCs w:val="20"/>
              </w:rPr>
              <w:t>E</w:t>
            </w:r>
            <w:r w:rsidRPr="00571160">
              <w:rPr>
                <w:rFonts w:ascii="Calibri" w:hAnsi="Calibri" w:cs="Calibri"/>
                <w:b/>
                <w:bCs/>
                <w:color w:val="000000"/>
                <w:sz w:val="20"/>
                <w:szCs w:val="20"/>
              </w:rPr>
              <w:t xml:space="preserve">vidence of </w:t>
            </w:r>
            <w:r w:rsidR="00D97E79">
              <w:rPr>
                <w:rFonts w:ascii="Calibri" w:hAnsi="Calibri" w:cs="Calibri"/>
                <w:b/>
                <w:bCs/>
                <w:color w:val="000000"/>
                <w:sz w:val="20"/>
                <w:szCs w:val="20"/>
              </w:rPr>
              <w:t>R</w:t>
            </w:r>
            <w:r w:rsidRPr="00571160">
              <w:rPr>
                <w:rFonts w:ascii="Calibri" w:hAnsi="Calibri" w:cs="Calibri"/>
                <w:b/>
                <w:bCs/>
                <w:color w:val="000000"/>
                <w:sz w:val="20"/>
                <w:szCs w:val="20"/>
              </w:rPr>
              <w:t xml:space="preserve">einvestment of </w:t>
            </w:r>
            <w:r w:rsidR="00D97E79">
              <w:rPr>
                <w:rFonts w:ascii="Calibri" w:hAnsi="Calibri" w:cs="Calibri"/>
                <w:b/>
                <w:bCs/>
                <w:color w:val="000000"/>
                <w:sz w:val="20"/>
                <w:szCs w:val="20"/>
              </w:rPr>
              <w:t>F</w:t>
            </w:r>
            <w:r w:rsidRPr="00571160">
              <w:rPr>
                <w:rFonts w:ascii="Calibri" w:hAnsi="Calibri" w:cs="Calibri"/>
                <w:b/>
                <w:bCs/>
                <w:color w:val="000000"/>
                <w:sz w:val="20"/>
                <w:szCs w:val="20"/>
              </w:rPr>
              <w:t xml:space="preserve">ixed </w:t>
            </w:r>
            <w:r w:rsidR="00D97E79">
              <w:rPr>
                <w:rFonts w:ascii="Calibri" w:hAnsi="Calibri" w:cs="Calibri"/>
                <w:b/>
                <w:bCs/>
                <w:color w:val="000000"/>
                <w:sz w:val="20"/>
                <w:szCs w:val="20"/>
              </w:rPr>
              <w:t>I</w:t>
            </w:r>
            <w:r w:rsidRPr="00571160">
              <w:rPr>
                <w:rFonts w:ascii="Calibri" w:hAnsi="Calibri" w:cs="Calibri"/>
                <w:b/>
                <w:bCs/>
                <w:color w:val="000000"/>
                <w:sz w:val="20"/>
                <w:szCs w:val="20"/>
              </w:rPr>
              <w:t xml:space="preserve">ncome </w:t>
            </w:r>
            <w:r w:rsidR="00D97E79">
              <w:rPr>
                <w:rFonts w:ascii="Calibri" w:hAnsi="Calibri" w:cs="Calibri"/>
                <w:b/>
                <w:bCs/>
                <w:color w:val="000000"/>
                <w:sz w:val="20"/>
                <w:szCs w:val="20"/>
              </w:rPr>
              <w:t>I</w:t>
            </w:r>
            <w:r w:rsidRPr="00571160">
              <w:rPr>
                <w:rFonts w:ascii="Calibri" w:hAnsi="Calibri" w:cs="Calibri"/>
                <w:b/>
                <w:bCs/>
                <w:color w:val="000000"/>
                <w:sz w:val="20"/>
                <w:szCs w:val="20"/>
              </w:rPr>
              <w:t>nvestments</w:t>
            </w:r>
          </w:p>
        </w:tc>
        <w:tc>
          <w:tcPr>
            <w:tcW w:w="1352" w:type="dxa"/>
            <w:tcBorders>
              <w:top w:val="nil"/>
              <w:left w:val="nil"/>
              <w:bottom w:val="single" w:sz="4" w:space="0" w:color="auto"/>
              <w:right w:val="single" w:sz="4" w:space="0" w:color="auto"/>
            </w:tcBorders>
            <w:shd w:val="clear" w:color="000000" w:fill="FFFFFF"/>
            <w:noWrap/>
            <w:vAlign w:val="bottom"/>
            <w:hideMark/>
          </w:tcPr>
          <w:p w14:paraId="6E0DE74C" w14:textId="77777777" w:rsidR="004D2FF6" w:rsidRPr="00571160" w:rsidRDefault="004D2FF6" w:rsidP="00220F5C">
            <w:pPr>
              <w:jc w:val="center"/>
              <w:rPr>
                <w:rFonts w:ascii="Calibri" w:hAnsi="Calibri" w:cs="Calibri"/>
                <w:b/>
                <w:bCs/>
                <w:color w:val="000000"/>
                <w:sz w:val="20"/>
                <w:szCs w:val="20"/>
              </w:rPr>
            </w:pPr>
          </w:p>
        </w:tc>
      </w:tr>
      <w:tr w:rsidR="004D2FF6" w:rsidRPr="00DB61E0" w14:paraId="58549873" w14:textId="77777777" w:rsidTr="00220F5C">
        <w:trPr>
          <w:trHeight w:val="300"/>
        </w:trPr>
        <w:tc>
          <w:tcPr>
            <w:tcW w:w="558" w:type="dxa"/>
            <w:tcBorders>
              <w:top w:val="nil"/>
              <w:left w:val="single" w:sz="4" w:space="0" w:color="auto"/>
              <w:bottom w:val="single" w:sz="4" w:space="0" w:color="auto"/>
              <w:right w:val="single" w:sz="4" w:space="0" w:color="auto"/>
            </w:tcBorders>
            <w:shd w:val="clear" w:color="000000" w:fill="FFFFFF"/>
            <w:noWrap/>
            <w:hideMark/>
          </w:tcPr>
          <w:p w14:paraId="12BA26BB" w14:textId="77777777" w:rsidR="004D2FF6" w:rsidRPr="00571160" w:rsidRDefault="004D2FF6" w:rsidP="00220F5C">
            <w:pPr>
              <w:jc w:val="center"/>
              <w:rPr>
                <w:rFonts w:ascii="Calibri" w:hAnsi="Calibri" w:cs="Calibri"/>
                <w:color w:val="000000"/>
                <w:sz w:val="20"/>
                <w:szCs w:val="20"/>
              </w:rPr>
            </w:pPr>
            <w:r w:rsidRPr="00571160">
              <w:rPr>
                <w:rFonts w:ascii="Calibri" w:hAnsi="Calibri" w:cs="Calibri"/>
                <w:color w:val="000000"/>
                <w:sz w:val="20"/>
                <w:szCs w:val="20"/>
              </w:rPr>
              <w:t>32</w:t>
            </w:r>
          </w:p>
        </w:tc>
        <w:tc>
          <w:tcPr>
            <w:tcW w:w="2610" w:type="dxa"/>
            <w:tcBorders>
              <w:top w:val="nil"/>
              <w:left w:val="nil"/>
              <w:bottom w:val="single" w:sz="4" w:space="0" w:color="auto"/>
              <w:right w:val="single" w:sz="4" w:space="0" w:color="auto"/>
            </w:tcBorders>
            <w:shd w:val="clear" w:color="000000" w:fill="FFFFFF"/>
            <w:noWrap/>
            <w:hideMark/>
          </w:tcPr>
          <w:p w14:paraId="0A6C8757" w14:textId="19EE2737" w:rsidR="004D2FF6" w:rsidRPr="0009351C" w:rsidRDefault="004D2FF6" w:rsidP="00220F5C">
            <w:pPr>
              <w:jc w:val="center"/>
              <w:rPr>
                <w:rFonts w:ascii="Calibri" w:hAnsi="Calibri" w:cs="Calibri"/>
                <w:b/>
                <w:bCs/>
                <w:color w:val="000000"/>
                <w:sz w:val="20"/>
                <w:szCs w:val="20"/>
              </w:rPr>
            </w:pPr>
            <w:r w:rsidRPr="0009351C">
              <w:rPr>
                <w:rFonts w:ascii="Calibri" w:hAnsi="Calibri" w:cs="Calibri"/>
                <w:b/>
                <w:bCs/>
                <w:color w:val="000000"/>
                <w:sz w:val="20"/>
                <w:szCs w:val="20"/>
              </w:rPr>
              <w:t> </w:t>
            </w:r>
            <w:r w:rsidR="00906E9C" w:rsidRPr="0009351C">
              <w:rPr>
                <w:rFonts w:ascii="Calibri" w:hAnsi="Calibri" w:cs="Calibri"/>
                <w:b/>
                <w:bCs/>
                <w:color w:val="000000"/>
                <w:sz w:val="20"/>
                <w:szCs w:val="20"/>
              </w:rPr>
              <w:t>Test 1</w:t>
            </w:r>
          </w:p>
        </w:tc>
        <w:tc>
          <w:tcPr>
            <w:tcW w:w="6462" w:type="dxa"/>
            <w:tcBorders>
              <w:top w:val="nil"/>
              <w:left w:val="nil"/>
              <w:bottom w:val="single" w:sz="4" w:space="0" w:color="auto"/>
              <w:right w:val="single" w:sz="4" w:space="0" w:color="auto"/>
            </w:tcBorders>
            <w:shd w:val="clear" w:color="000000" w:fill="FFFFFF"/>
            <w:noWrap/>
            <w:hideMark/>
          </w:tcPr>
          <w:p w14:paraId="0090B8F3" w14:textId="77777777" w:rsidR="004D2FF6" w:rsidRPr="0009351C" w:rsidRDefault="004D2FF6" w:rsidP="00220F5C">
            <w:pPr>
              <w:rPr>
                <w:rFonts w:ascii="Calibri" w:hAnsi="Calibri" w:cs="Calibri"/>
                <w:b/>
                <w:bCs/>
                <w:color w:val="000000"/>
                <w:sz w:val="20"/>
                <w:szCs w:val="20"/>
              </w:rPr>
            </w:pPr>
            <w:r w:rsidRPr="0009351C">
              <w:rPr>
                <w:rFonts w:ascii="Calibri" w:hAnsi="Calibri" w:cs="Calibri"/>
                <w:b/>
                <w:bCs/>
                <w:color w:val="000000"/>
                <w:sz w:val="20"/>
                <w:szCs w:val="20"/>
              </w:rPr>
              <w:t>Is line 25 positive?</w:t>
            </w:r>
          </w:p>
        </w:tc>
        <w:tc>
          <w:tcPr>
            <w:tcW w:w="1352" w:type="dxa"/>
            <w:tcBorders>
              <w:top w:val="nil"/>
              <w:left w:val="nil"/>
              <w:bottom w:val="single" w:sz="4" w:space="0" w:color="auto"/>
              <w:right w:val="single" w:sz="4" w:space="0" w:color="auto"/>
            </w:tcBorders>
            <w:shd w:val="clear" w:color="000000" w:fill="FFFFFF"/>
            <w:noWrap/>
            <w:vAlign w:val="bottom"/>
            <w:hideMark/>
          </w:tcPr>
          <w:p w14:paraId="4B13F96D" w14:textId="77777777" w:rsidR="004D2FF6" w:rsidRPr="00571160" w:rsidRDefault="004D2FF6" w:rsidP="00220F5C">
            <w:pPr>
              <w:jc w:val="center"/>
              <w:rPr>
                <w:rFonts w:ascii="Calibri" w:hAnsi="Calibri" w:cs="Calibri"/>
                <w:b/>
                <w:bCs/>
                <w:color w:val="000000"/>
                <w:sz w:val="20"/>
                <w:szCs w:val="20"/>
              </w:rPr>
            </w:pPr>
            <w:r w:rsidRPr="00571160">
              <w:rPr>
                <w:rFonts w:ascii="Calibri" w:hAnsi="Calibri" w:cs="Calibri"/>
                <w:color w:val="000000"/>
                <w:sz w:val="20"/>
                <w:szCs w:val="20"/>
              </w:rPr>
              <w:t>yes</w:t>
            </w:r>
          </w:p>
        </w:tc>
      </w:tr>
      <w:tr w:rsidR="004D2FF6" w:rsidRPr="00DB61E0" w14:paraId="36D1571E" w14:textId="77777777" w:rsidTr="00220F5C">
        <w:trPr>
          <w:trHeight w:val="300"/>
        </w:trPr>
        <w:tc>
          <w:tcPr>
            <w:tcW w:w="558" w:type="dxa"/>
            <w:tcBorders>
              <w:top w:val="nil"/>
              <w:left w:val="single" w:sz="4" w:space="0" w:color="auto"/>
              <w:bottom w:val="single" w:sz="4" w:space="0" w:color="auto"/>
              <w:right w:val="single" w:sz="4" w:space="0" w:color="auto"/>
            </w:tcBorders>
            <w:shd w:val="clear" w:color="000000" w:fill="FFFFFF"/>
            <w:noWrap/>
          </w:tcPr>
          <w:p w14:paraId="40694E84" w14:textId="77777777" w:rsidR="004D2FF6" w:rsidRPr="00571160" w:rsidRDefault="004D2FF6" w:rsidP="00220F5C">
            <w:pPr>
              <w:jc w:val="center"/>
              <w:rPr>
                <w:rFonts w:ascii="Calibri" w:hAnsi="Calibri" w:cs="Calibri"/>
                <w:color w:val="000000"/>
                <w:sz w:val="20"/>
                <w:szCs w:val="20"/>
              </w:rPr>
            </w:pPr>
            <w:r w:rsidRPr="00571160">
              <w:rPr>
                <w:rFonts w:ascii="Calibri" w:hAnsi="Calibri" w:cs="Calibri"/>
                <w:color w:val="000000"/>
                <w:sz w:val="20"/>
                <w:szCs w:val="20"/>
              </w:rPr>
              <w:t>33</w:t>
            </w:r>
          </w:p>
        </w:tc>
        <w:tc>
          <w:tcPr>
            <w:tcW w:w="2610" w:type="dxa"/>
            <w:tcBorders>
              <w:top w:val="nil"/>
              <w:left w:val="nil"/>
              <w:bottom w:val="single" w:sz="4" w:space="0" w:color="auto"/>
              <w:right w:val="single" w:sz="4" w:space="0" w:color="auto"/>
            </w:tcBorders>
            <w:shd w:val="clear" w:color="000000" w:fill="FFFFFF"/>
            <w:noWrap/>
          </w:tcPr>
          <w:p w14:paraId="22F5F685" w14:textId="3A7F84D9" w:rsidR="004D2FF6" w:rsidRPr="0009351C" w:rsidRDefault="004D2FF6" w:rsidP="00220F5C">
            <w:pPr>
              <w:jc w:val="center"/>
              <w:rPr>
                <w:rFonts w:ascii="Calibri" w:hAnsi="Calibri" w:cs="Calibri"/>
                <w:b/>
                <w:bCs/>
                <w:color w:val="000000"/>
                <w:sz w:val="20"/>
                <w:szCs w:val="20"/>
              </w:rPr>
            </w:pPr>
            <w:r w:rsidRPr="0009351C">
              <w:rPr>
                <w:rFonts w:ascii="Calibri" w:hAnsi="Calibri" w:cs="Calibri"/>
                <w:b/>
                <w:bCs/>
                <w:color w:val="000000"/>
                <w:sz w:val="20"/>
                <w:szCs w:val="20"/>
              </w:rPr>
              <w:t> </w:t>
            </w:r>
            <w:r w:rsidR="00906E9C" w:rsidRPr="0009351C">
              <w:rPr>
                <w:rFonts w:ascii="Calibri" w:hAnsi="Calibri" w:cs="Calibri"/>
                <w:b/>
                <w:bCs/>
                <w:color w:val="000000"/>
                <w:sz w:val="20"/>
                <w:szCs w:val="20"/>
              </w:rPr>
              <w:t>Test 2</w:t>
            </w:r>
          </w:p>
        </w:tc>
        <w:tc>
          <w:tcPr>
            <w:tcW w:w="6462" w:type="dxa"/>
            <w:tcBorders>
              <w:top w:val="nil"/>
              <w:left w:val="nil"/>
              <w:bottom w:val="single" w:sz="4" w:space="0" w:color="auto"/>
              <w:right w:val="single" w:sz="4" w:space="0" w:color="auto"/>
            </w:tcBorders>
            <w:shd w:val="clear" w:color="000000" w:fill="FFFFFF"/>
            <w:noWrap/>
          </w:tcPr>
          <w:p w14:paraId="50FF1A9E" w14:textId="77777777" w:rsidR="004D2FF6" w:rsidRPr="0009351C" w:rsidRDefault="004D2FF6" w:rsidP="00220F5C">
            <w:pPr>
              <w:rPr>
                <w:rFonts w:ascii="Calibri" w:hAnsi="Calibri" w:cs="Calibri"/>
                <w:b/>
                <w:bCs/>
                <w:color w:val="000000"/>
                <w:sz w:val="20"/>
                <w:szCs w:val="20"/>
              </w:rPr>
            </w:pPr>
            <w:r w:rsidRPr="0009351C">
              <w:rPr>
                <w:rFonts w:ascii="Calibri" w:hAnsi="Calibri" w:cs="Calibri"/>
                <w:b/>
                <w:bCs/>
                <w:color w:val="000000"/>
                <w:sz w:val="20"/>
                <w:szCs w:val="20"/>
              </w:rPr>
              <w:t>Is line 29 positive?</w:t>
            </w:r>
          </w:p>
        </w:tc>
        <w:tc>
          <w:tcPr>
            <w:tcW w:w="1352" w:type="dxa"/>
            <w:tcBorders>
              <w:top w:val="nil"/>
              <w:left w:val="nil"/>
              <w:bottom w:val="single" w:sz="4" w:space="0" w:color="auto"/>
              <w:right w:val="single" w:sz="4" w:space="0" w:color="auto"/>
            </w:tcBorders>
            <w:shd w:val="clear" w:color="000000" w:fill="FFFFFF"/>
            <w:noWrap/>
            <w:vAlign w:val="bottom"/>
          </w:tcPr>
          <w:p w14:paraId="65ACF21E" w14:textId="77777777" w:rsidR="004D2FF6" w:rsidRPr="00571160" w:rsidRDefault="004D2FF6" w:rsidP="00220F5C">
            <w:pPr>
              <w:jc w:val="center"/>
              <w:rPr>
                <w:rFonts w:ascii="Calibri" w:hAnsi="Calibri" w:cs="Calibri"/>
                <w:color w:val="000000"/>
                <w:sz w:val="20"/>
                <w:szCs w:val="20"/>
              </w:rPr>
            </w:pPr>
            <w:r w:rsidRPr="00571160">
              <w:rPr>
                <w:rFonts w:ascii="Calibri" w:hAnsi="Calibri" w:cs="Calibri"/>
                <w:color w:val="000000"/>
                <w:sz w:val="20"/>
                <w:szCs w:val="20"/>
              </w:rPr>
              <w:t>yes</w:t>
            </w:r>
          </w:p>
        </w:tc>
      </w:tr>
      <w:tr w:rsidR="004D2FF6" w:rsidRPr="00DB61E0" w14:paraId="053AFE88" w14:textId="77777777" w:rsidTr="00220F5C">
        <w:trPr>
          <w:trHeight w:val="300"/>
        </w:trPr>
        <w:tc>
          <w:tcPr>
            <w:tcW w:w="10982" w:type="dxa"/>
            <w:gridSpan w:val="4"/>
            <w:tcBorders>
              <w:top w:val="nil"/>
              <w:left w:val="single" w:sz="4" w:space="0" w:color="auto"/>
              <w:bottom w:val="single" w:sz="4" w:space="0" w:color="auto"/>
              <w:right w:val="single" w:sz="4" w:space="0" w:color="auto"/>
            </w:tcBorders>
            <w:shd w:val="clear" w:color="000000" w:fill="FFFFFF"/>
            <w:noWrap/>
          </w:tcPr>
          <w:p w14:paraId="1807FB28" w14:textId="06911635" w:rsidR="004A7197" w:rsidRPr="004A7197" w:rsidRDefault="004D2FF6" w:rsidP="00220F5C">
            <w:pPr>
              <w:rPr>
                <w:rFonts w:ascii="Calibri" w:hAnsi="Calibri" w:cs="Calibri"/>
                <w:color w:val="000000"/>
                <w:sz w:val="20"/>
              </w:rPr>
            </w:pPr>
            <w:r w:rsidRPr="00571160">
              <w:rPr>
                <w:rFonts w:ascii="Calibri" w:hAnsi="Calibri" w:cs="Calibri"/>
                <w:color w:val="000000"/>
                <w:sz w:val="20"/>
                <w:szCs w:val="20"/>
              </w:rPr>
              <w:t xml:space="preserve">If lines 32 &amp; 33 are both positive </w:t>
            </w:r>
            <w:r>
              <w:rPr>
                <w:rFonts w:ascii="Calibri" w:hAnsi="Calibri" w:cs="Calibri"/>
                <w:color w:val="000000"/>
                <w:sz w:val="20"/>
              </w:rPr>
              <w:t xml:space="preserve">(yes) </w:t>
            </w:r>
            <w:r w:rsidRPr="00571160">
              <w:rPr>
                <w:rFonts w:ascii="Calibri" w:hAnsi="Calibri" w:cs="Calibri"/>
                <w:color w:val="000000"/>
                <w:sz w:val="20"/>
                <w:szCs w:val="20"/>
              </w:rPr>
              <w:t>- current year negative IMR can be added to existing unamortized negative IMR balance</w:t>
            </w:r>
            <w:r>
              <w:rPr>
                <w:rFonts w:ascii="Calibri" w:hAnsi="Calibri" w:cs="Calibri"/>
                <w:color w:val="000000"/>
                <w:sz w:val="20"/>
              </w:rPr>
              <w:t>. If either line 32 or 33 is negative (no), then current year negative IMR cannot be added to existing unamortized negative IMR</w:t>
            </w:r>
            <w:r w:rsidR="004A7197">
              <w:rPr>
                <w:rFonts w:ascii="Calibri" w:hAnsi="Calibri" w:cs="Calibri"/>
                <w:color w:val="000000"/>
                <w:sz w:val="20"/>
              </w:rPr>
              <w:t xml:space="preserve">, with the exception of negative IMR received as a transfer from the general account. </w:t>
            </w:r>
            <w:r w:rsidR="00360FD3">
              <w:rPr>
                <w:rFonts w:ascii="Calibri" w:hAnsi="Calibri" w:cs="Calibri"/>
                <w:color w:val="000000"/>
                <w:sz w:val="20"/>
              </w:rPr>
              <w:t xml:space="preserve">(Note: Further discussion is planned for this exception and whether the transferred IMR should be reflected in the separate account IMR balance.) </w:t>
            </w:r>
          </w:p>
        </w:tc>
      </w:tr>
    </w:tbl>
    <w:p w14:paraId="5B972A3A" w14:textId="77777777" w:rsidR="004A7197" w:rsidRDefault="004A7197" w:rsidP="00937619">
      <w:pPr>
        <w:rPr>
          <w:b/>
          <w:sz w:val="22"/>
          <w:szCs w:val="22"/>
        </w:rPr>
      </w:pPr>
    </w:p>
    <w:p w14:paraId="50A56175" w14:textId="5BA39A9C" w:rsidR="00BA40D6" w:rsidRPr="00572008" w:rsidRDefault="004A7197" w:rsidP="00937619">
      <w:pPr>
        <w:rPr>
          <w:rFonts w:ascii="Calibri" w:hAnsi="Calibri" w:cs="Calibri"/>
          <w:b/>
          <w:sz w:val="22"/>
          <w:szCs w:val="22"/>
        </w:rPr>
      </w:pPr>
      <w:r>
        <w:rPr>
          <w:b/>
          <w:sz w:val="22"/>
          <w:szCs w:val="22"/>
        </w:rPr>
        <w:br w:type="page"/>
      </w:r>
      <w:r w:rsidR="002A1316" w:rsidRPr="00572008">
        <w:rPr>
          <w:rFonts w:ascii="Calibri" w:hAnsi="Calibri" w:cs="Calibri"/>
          <w:b/>
          <w:sz w:val="22"/>
          <w:szCs w:val="22"/>
        </w:rPr>
        <w:lastRenderedPageBreak/>
        <w:t>Existing Authoritative Literature:</w:t>
      </w:r>
      <w:r w:rsidR="00296E66" w:rsidRPr="00572008">
        <w:rPr>
          <w:rFonts w:ascii="Calibri" w:hAnsi="Calibri" w:cs="Calibri"/>
          <w:b/>
          <w:sz w:val="22"/>
          <w:szCs w:val="22"/>
        </w:rPr>
        <w:t xml:space="preserve"> </w:t>
      </w:r>
    </w:p>
    <w:p w14:paraId="0FDC7984" w14:textId="77777777" w:rsidR="00922A71" w:rsidRPr="00572008" w:rsidRDefault="00922A71" w:rsidP="00937619">
      <w:pPr>
        <w:rPr>
          <w:rFonts w:ascii="Calibri" w:hAnsi="Calibri" w:cs="Calibri"/>
          <w:b/>
          <w:sz w:val="22"/>
          <w:szCs w:val="22"/>
        </w:rPr>
      </w:pPr>
    </w:p>
    <w:p w14:paraId="2E187AE3" w14:textId="77777777" w:rsidR="00597502" w:rsidRPr="00572008" w:rsidRDefault="00257793" w:rsidP="00597502">
      <w:pPr>
        <w:pStyle w:val="BodyTextIndent"/>
        <w:numPr>
          <w:ilvl w:val="0"/>
          <w:numId w:val="37"/>
        </w:numPr>
        <w:spacing w:after="0"/>
        <w:jc w:val="both"/>
        <w:rPr>
          <w:rFonts w:ascii="Calibri" w:hAnsi="Calibri" w:cs="Calibri"/>
          <w:b/>
          <w:bCs/>
          <w:i/>
          <w:iCs/>
          <w:sz w:val="22"/>
          <w:szCs w:val="22"/>
        </w:rPr>
      </w:pPr>
      <w:r w:rsidRPr="00572008">
        <w:rPr>
          <w:rFonts w:ascii="Calibri" w:hAnsi="Calibri" w:cs="Calibri"/>
          <w:b/>
          <w:bCs/>
          <w:i/>
          <w:iCs/>
          <w:sz w:val="22"/>
          <w:szCs w:val="22"/>
        </w:rPr>
        <w:t>SSAP No. 7</w:t>
      </w:r>
      <w:r w:rsidR="00B20E2A" w:rsidRPr="00572008">
        <w:rPr>
          <w:rFonts w:ascii="Calibri" w:hAnsi="Calibri" w:cs="Calibri"/>
          <w:b/>
          <w:bCs/>
          <w:i/>
          <w:iCs/>
          <w:sz w:val="22"/>
          <w:szCs w:val="22"/>
        </w:rPr>
        <w:t>—Asset Valuation Reserve and Interest Maintenance Reserve</w:t>
      </w:r>
    </w:p>
    <w:p w14:paraId="4306E9F4" w14:textId="3604743A" w:rsidR="00257793" w:rsidRPr="00572008" w:rsidRDefault="00597502" w:rsidP="00597502">
      <w:pPr>
        <w:pStyle w:val="BodyTextIndent"/>
        <w:numPr>
          <w:ilvl w:val="0"/>
          <w:numId w:val="37"/>
        </w:numPr>
        <w:spacing w:after="0"/>
        <w:jc w:val="both"/>
        <w:rPr>
          <w:rFonts w:ascii="Calibri" w:hAnsi="Calibri" w:cs="Calibri"/>
          <w:b/>
          <w:bCs/>
          <w:i/>
          <w:iCs/>
          <w:sz w:val="22"/>
          <w:szCs w:val="22"/>
        </w:rPr>
      </w:pPr>
      <w:r w:rsidRPr="00572008">
        <w:rPr>
          <w:rFonts w:ascii="Calibri" w:hAnsi="Calibri" w:cs="Calibri"/>
          <w:b/>
          <w:bCs/>
          <w:i/>
          <w:iCs/>
          <w:sz w:val="22"/>
          <w:szCs w:val="22"/>
        </w:rPr>
        <w:t>Annual Statement Instruments – Interest Maintenance Reserve</w:t>
      </w:r>
      <w:r w:rsidR="00257793" w:rsidRPr="00572008">
        <w:rPr>
          <w:rFonts w:ascii="Calibri" w:hAnsi="Calibri" w:cs="Calibri"/>
          <w:b/>
          <w:bCs/>
          <w:i/>
          <w:iCs/>
          <w:sz w:val="22"/>
          <w:szCs w:val="22"/>
        </w:rPr>
        <w:t xml:space="preserve"> </w:t>
      </w:r>
    </w:p>
    <w:p w14:paraId="7B4A0F54" w14:textId="77777777" w:rsidR="00257793" w:rsidRPr="00572008" w:rsidRDefault="00257793" w:rsidP="00257793">
      <w:pPr>
        <w:pStyle w:val="BodyTextIndent"/>
        <w:spacing w:after="0"/>
        <w:ind w:left="0"/>
        <w:jc w:val="both"/>
        <w:rPr>
          <w:rFonts w:ascii="Calibri" w:hAnsi="Calibri" w:cs="Calibri"/>
          <w:sz w:val="22"/>
          <w:szCs w:val="22"/>
        </w:rPr>
      </w:pPr>
    </w:p>
    <w:p w14:paraId="16E524B1" w14:textId="512C3614" w:rsidR="00B20E2A" w:rsidRPr="00572008" w:rsidRDefault="00597502" w:rsidP="008E3AF7">
      <w:pPr>
        <w:pStyle w:val="BodyText2"/>
        <w:rPr>
          <w:rFonts w:ascii="Calibri" w:hAnsi="Calibri" w:cs="Calibri"/>
          <w:b w:val="0"/>
          <w:bCs w:val="0"/>
          <w:szCs w:val="22"/>
        </w:rPr>
      </w:pPr>
      <w:r w:rsidRPr="00572008">
        <w:rPr>
          <w:rFonts w:ascii="Calibri" w:hAnsi="Calibri" w:cs="Calibri"/>
          <w:b w:val="0"/>
          <w:bCs w:val="0"/>
          <w:szCs w:val="22"/>
        </w:rPr>
        <w:t xml:space="preserve">SSAP No. 7 establishes statutory accounting principles for an AVR and IMR. Currently most guidance is captured in the Annual Statement Instructions. One intent of the long-term IMR project is to move accounting guidance from the </w:t>
      </w:r>
      <w:r w:rsidR="00404AE3" w:rsidRPr="00572008">
        <w:rPr>
          <w:rFonts w:ascii="Calibri" w:hAnsi="Calibri" w:cs="Calibri"/>
          <w:b w:val="0"/>
          <w:bCs w:val="0"/>
          <w:szCs w:val="22"/>
        </w:rPr>
        <w:t xml:space="preserve">Annual Statement Instructions </w:t>
      </w:r>
      <w:r w:rsidRPr="00572008">
        <w:rPr>
          <w:rFonts w:ascii="Calibri" w:hAnsi="Calibri" w:cs="Calibri"/>
          <w:b w:val="0"/>
          <w:bCs w:val="0"/>
          <w:szCs w:val="22"/>
        </w:rPr>
        <w:t xml:space="preserve">into the SSAP. </w:t>
      </w:r>
    </w:p>
    <w:p w14:paraId="6D7A8E9F" w14:textId="77777777" w:rsidR="00597502" w:rsidRPr="00572008" w:rsidRDefault="00597502" w:rsidP="008E3AF7">
      <w:pPr>
        <w:pStyle w:val="BodyText2"/>
        <w:rPr>
          <w:rFonts w:ascii="Calibri" w:hAnsi="Calibri" w:cs="Calibri"/>
          <w:b w:val="0"/>
          <w:bCs w:val="0"/>
          <w:szCs w:val="22"/>
        </w:rPr>
      </w:pPr>
    </w:p>
    <w:p w14:paraId="072FF629" w14:textId="0FAB3D92" w:rsidR="00597502" w:rsidRPr="00572008" w:rsidRDefault="00597502" w:rsidP="008E3AF7">
      <w:pPr>
        <w:pStyle w:val="BodyText2"/>
        <w:rPr>
          <w:rFonts w:ascii="Calibri" w:hAnsi="Calibri" w:cs="Calibri"/>
          <w:b w:val="0"/>
          <w:bCs w:val="0"/>
          <w:i/>
          <w:iCs/>
          <w:szCs w:val="22"/>
        </w:rPr>
      </w:pPr>
      <w:r w:rsidRPr="00572008">
        <w:rPr>
          <w:rFonts w:ascii="Calibri" w:hAnsi="Calibri" w:cs="Calibri"/>
          <w:b w:val="0"/>
          <w:bCs w:val="0"/>
          <w:szCs w:val="22"/>
        </w:rPr>
        <w:t>There is no guidance</w:t>
      </w:r>
      <w:r w:rsidR="00404AE3" w:rsidRPr="00572008">
        <w:rPr>
          <w:rFonts w:ascii="Calibri" w:hAnsi="Calibri" w:cs="Calibri"/>
          <w:b w:val="0"/>
          <w:bCs w:val="0"/>
          <w:szCs w:val="22"/>
        </w:rPr>
        <w:t xml:space="preserve"> for IMR/AVR</w:t>
      </w:r>
      <w:r w:rsidRPr="00572008">
        <w:rPr>
          <w:rFonts w:ascii="Calibri" w:hAnsi="Calibri" w:cs="Calibri"/>
          <w:b w:val="0"/>
          <w:bCs w:val="0"/>
          <w:szCs w:val="22"/>
        </w:rPr>
        <w:t xml:space="preserve"> </w:t>
      </w:r>
      <w:r w:rsidR="00D92DF3" w:rsidRPr="00572008">
        <w:rPr>
          <w:rFonts w:ascii="Calibri" w:hAnsi="Calibri" w:cs="Calibri"/>
          <w:b w:val="0"/>
          <w:bCs w:val="0"/>
          <w:szCs w:val="22"/>
        </w:rPr>
        <w:t xml:space="preserve">in SSAP No. 7 and the Annual Statement Instructions </w:t>
      </w:r>
      <w:r w:rsidRPr="00572008">
        <w:rPr>
          <w:rFonts w:ascii="Calibri" w:hAnsi="Calibri" w:cs="Calibri"/>
          <w:b w:val="0"/>
          <w:bCs w:val="0"/>
          <w:szCs w:val="22"/>
        </w:rPr>
        <w:t xml:space="preserve">that limits recognition of realized losses from qualifying debt securities to IMR. This is because that historically, net negative IMR was nonadmitted. </w:t>
      </w:r>
      <w:r w:rsidR="009917B7" w:rsidRPr="00572008">
        <w:rPr>
          <w:rFonts w:ascii="Calibri" w:hAnsi="Calibri" w:cs="Calibri"/>
          <w:b w:val="0"/>
          <w:bCs w:val="0"/>
          <w:szCs w:val="22"/>
        </w:rPr>
        <w:t xml:space="preserve">With </w:t>
      </w:r>
      <w:r w:rsidR="004E2F77" w:rsidRPr="00572008">
        <w:rPr>
          <w:rFonts w:ascii="Calibri" w:hAnsi="Calibri" w:cs="Calibri"/>
          <w:b w:val="0"/>
          <w:bCs w:val="0"/>
          <w:szCs w:val="22"/>
        </w:rPr>
        <w:t>potential</w:t>
      </w:r>
      <w:r w:rsidR="009917B7" w:rsidRPr="00572008">
        <w:rPr>
          <w:rFonts w:ascii="Calibri" w:hAnsi="Calibri" w:cs="Calibri"/>
          <w:b w:val="0"/>
          <w:bCs w:val="0"/>
          <w:szCs w:val="22"/>
        </w:rPr>
        <w:t xml:space="preserve"> long-term guidance that permits admittance of negative IMR, restrictions on </w:t>
      </w:r>
      <w:r w:rsidR="004E2F77" w:rsidRPr="00572008">
        <w:rPr>
          <w:rFonts w:ascii="Calibri" w:hAnsi="Calibri" w:cs="Calibri"/>
          <w:b w:val="0"/>
          <w:bCs w:val="0"/>
          <w:szCs w:val="22"/>
        </w:rPr>
        <w:t xml:space="preserve">recognition to IMR is being considered. </w:t>
      </w:r>
    </w:p>
    <w:p w14:paraId="59A03780" w14:textId="77777777" w:rsidR="00B20E2A" w:rsidRPr="00572008" w:rsidRDefault="00B20E2A" w:rsidP="008E3AF7">
      <w:pPr>
        <w:pStyle w:val="BodyText2"/>
        <w:rPr>
          <w:rFonts w:ascii="Calibri" w:hAnsi="Calibri" w:cs="Calibri"/>
          <w:szCs w:val="22"/>
        </w:rPr>
      </w:pPr>
    </w:p>
    <w:p w14:paraId="5170A32E" w14:textId="19E46A2C" w:rsidR="00E80F92" w:rsidRPr="00572008" w:rsidRDefault="002A1316" w:rsidP="00B30CA0">
      <w:pPr>
        <w:pStyle w:val="BodyText2"/>
        <w:rPr>
          <w:rFonts w:ascii="Calibri" w:hAnsi="Calibri" w:cs="Calibri"/>
          <w:szCs w:val="22"/>
        </w:rPr>
      </w:pPr>
      <w:r w:rsidRPr="00572008">
        <w:rPr>
          <w:rFonts w:ascii="Calibri" w:hAnsi="Calibri" w:cs="Calibri"/>
          <w:szCs w:val="22"/>
        </w:rPr>
        <w:t xml:space="preserve">Activity to Date (issues previously addressed by </w:t>
      </w:r>
      <w:r w:rsidR="006B37DD" w:rsidRPr="00572008">
        <w:rPr>
          <w:rFonts w:ascii="Calibri" w:hAnsi="Calibri" w:cs="Calibri"/>
          <w:szCs w:val="22"/>
        </w:rPr>
        <w:t xml:space="preserve">the </w:t>
      </w:r>
      <w:r w:rsidR="00004652" w:rsidRPr="00572008">
        <w:rPr>
          <w:rFonts w:ascii="Calibri" w:hAnsi="Calibri" w:cs="Calibri"/>
          <w:szCs w:val="22"/>
        </w:rPr>
        <w:t>Working Group</w:t>
      </w:r>
      <w:r w:rsidRPr="00572008">
        <w:rPr>
          <w:rFonts w:ascii="Calibri" w:hAnsi="Calibri" w:cs="Calibri"/>
          <w:szCs w:val="22"/>
        </w:rPr>
        <w:t xml:space="preserve">, Emerging Accounting Issues </w:t>
      </w:r>
      <w:r w:rsidR="00004652" w:rsidRPr="00572008">
        <w:rPr>
          <w:rFonts w:ascii="Calibri" w:hAnsi="Calibri" w:cs="Calibri"/>
          <w:szCs w:val="22"/>
        </w:rPr>
        <w:t>(E) Working Group</w:t>
      </w:r>
      <w:r w:rsidRPr="00572008">
        <w:rPr>
          <w:rFonts w:ascii="Calibri" w:hAnsi="Calibri" w:cs="Calibri"/>
          <w:szCs w:val="22"/>
        </w:rPr>
        <w:t>, SEC, FASB, other State Departments of Insurance or other NAIC groups):</w:t>
      </w:r>
      <w:r w:rsidR="004E2BB9" w:rsidRPr="00572008">
        <w:rPr>
          <w:rFonts w:ascii="Calibri" w:hAnsi="Calibri" w:cs="Calibri"/>
          <w:szCs w:val="22"/>
        </w:rPr>
        <w:t xml:space="preserve"> </w:t>
      </w:r>
    </w:p>
    <w:p w14:paraId="058FDF78" w14:textId="77777777" w:rsidR="009D0C90" w:rsidRPr="00572008" w:rsidRDefault="009D0C90" w:rsidP="00B30CA0">
      <w:pPr>
        <w:pStyle w:val="BodyText2"/>
        <w:rPr>
          <w:rFonts w:ascii="Calibri" w:hAnsi="Calibri" w:cs="Calibri"/>
          <w:b w:val="0"/>
          <w:bCs w:val="0"/>
          <w:szCs w:val="22"/>
        </w:rPr>
      </w:pPr>
    </w:p>
    <w:p w14:paraId="708FBD67" w14:textId="3D37EB69" w:rsidR="0081712C" w:rsidRPr="00572008" w:rsidRDefault="0081712C" w:rsidP="0081712C">
      <w:pPr>
        <w:pStyle w:val="BodyText2"/>
        <w:numPr>
          <w:ilvl w:val="0"/>
          <w:numId w:val="35"/>
        </w:numPr>
        <w:rPr>
          <w:rFonts w:ascii="Calibri" w:hAnsi="Calibri" w:cs="Calibri"/>
          <w:b w:val="0"/>
          <w:bCs w:val="0"/>
          <w:szCs w:val="22"/>
        </w:rPr>
      </w:pPr>
      <w:r w:rsidRPr="00572008">
        <w:rPr>
          <w:rFonts w:ascii="Calibri" w:hAnsi="Calibri" w:cs="Calibri"/>
          <w:b w:val="0"/>
          <w:bCs w:val="0"/>
          <w:szCs w:val="22"/>
        </w:rPr>
        <w:t xml:space="preserve">Agenda Item 2023-14: </w:t>
      </w:r>
      <w:r w:rsidRPr="00572008">
        <w:rPr>
          <w:rFonts w:ascii="Calibri" w:hAnsi="Calibri" w:cs="Calibri"/>
          <w:b w:val="0"/>
          <w:bCs w:val="0"/>
          <w:i/>
          <w:iCs/>
          <w:szCs w:val="22"/>
        </w:rPr>
        <w:t>SSAP No. 7—Asset Valuation Reserve and Interest Maintenance Reserve</w:t>
      </w:r>
      <w:r w:rsidRPr="00572008">
        <w:rPr>
          <w:rFonts w:ascii="Calibri" w:hAnsi="Calibri" w:cs="Calibri"/>
          <w:b w:val="0"/>
          <w:bCs w:val="0"/>
          <w:szCs w:val="22"/>
        </w:rPr>
        <w:t xml:space="preserve"> establishes a broad project to capture accounting guidance for AVR and IMR in SSAP No. 7.</w:t>
      </w:r>
      <w:r w:rsidR="00F349CB" w:rsidRPr="00572008">
        <w:rPr>
          <w:rFonts w:ascii="Calibri" w:hAnsi="Calibri" w:cs="Calibri"/>
          <w:b w:val="0"/>
          <w:bCs w:val="0"/>
          <w:szCs w:val="22"/>
        </w:rPr>
        <w:t xml:space="preserve"> The IMR ad hoc group was created from this agenda item and has been meeting regularly since </w:t>
      </w:r>
      <w:r w:rsidR="0007286C" w:rsidRPr="00572008">
        <w:rPr>
          <w:rFonts w:ascii="Calibri" w:hAnsi="Calibri" w:cs="Calibri"/>
          <w:b w:val="0"/>
          <w:bCs w:val="0"/>
          <w:szCs w:val="22"/>
        </w:rPr>
        <w:t>October</w:t>
      </w:r>
      <w:r w:rsidR="00F349CB" w:rsidRPr="00572008">
        <w:rPr>
          <w:rFonts w:ascii="Calibri" w:hAnsi="Calibri" w:cs="Calibri"/>
          <w:b w:val="0"/>
          <w:bCs w:val="0"/>
          <w:szCs w:val="22"/>
        </w:rPr>
        <w:t xml:space="preserve"> 2023. </w:t>
      </w:r>
      <w:r w:rsidR="00B97E72" w:rsidRPr="00572008">
        <w:rPr>
          <w:rFonts w:ascii="Calibri" w:hAnsi="Calibri" w:cs="Calibri"/>
          <w:b w:val="0"/>
          <w:bCs w:val="0"/>
          <w:szCs w:val="22"/>
        </w:rPr>
        <w:t xml:space="preserve">In accordance with this agenda item, </w:t>
      </w:r>
      <w:r w:rsidR="003749F1" w:rsidRPr="00572008">
        <w:rPr>
          <w:rFonts w:ascii="Calibri" w:hAnsi="Calibri" w:cs="Calibri"/>
          <w:b w:val="0"/>
          <w:bCs w:val="0"/>
          <w:szCs w:val="22"/>
        </w:rPr>
        <w:t xml:space="preserve">in August 2025, the Working Group agreed with a resulting conclusion from the IMR Ad Hoc Group to eliminate the concept of hypothetical IMR </w:t>
      </w:r>
      <w:r w:rsidR="00196A31" w:rsidRPr="00572008">
        <w:rPr>
          <w:rFonts w:ascii="Calibri" w:hAnsi="Calibri" w:cs="Calibri"/>
          <w:b w:val="0"/>
          <w:bCs w:val="0"/>
          <w:szCs w:val="22"/>
        </w:rPr>
        <w:t xml:space="preserve">in the issue paper and proposed edits to SSAP No. 7. Consistent with other IMR topics, when the issue paper and SSAP No. 7 revisions are exposed, future revisions can be considered prior to final adoption and implementation. </w:t>
      </w:r>
    </w:p>
    <w:p w14:paraId="55620F07" w14:textId="77777777" w:rsidR="0081712C" w:rsidRPr="00572008" w:rsidRDefault="0081712C" w:rsidP="0081712C">
      <w:pPr>
        <w:pStyle w:val="ListParagraph"/>
        <w:rPr>
          <w:rFonts w:ascii="Calibri" w:hAnsi="Calibri" w:cs="Calibri"/>
          <w:b/>
          <w:bCs/>
          <w:szCs w:val="22"/>
        </w:rPr>
      </w:pPr>
    </w:p>
    <w:p w14:paraId="2DE76E10" w14:textId="2691CF2A" w:rsidR="0081712C" w:rsidRPr="00572008" w:rsidRDefault="0081712C" w:rsidP="0081712C">
      <w:pPr>
        <w:pStyle w:val="BodyText2"/>
        <w:numPr>
          <w:ilvl w:val="0"/>
          <w:numId w:val="35"/>
        </w:numPr>
        <w:rPr>
          <w:rFonts w:ascii="Calibri" w:hAnsi="Calibri" w:cs="Calibri"/>
          <w:b w:val="0"/>
          <w:bCs w:val="0"/>
          <w:szCs w:val="22"/>
        </w:rPr>
      </w:pPr>
      <w:r w:rsidRPr="00572008">
        <w:rPr>
          <w:rFonts w:ascii="Calibri" w:hAnsi="Calibri" w:cs="Calibri"/>
          <w:b w:val="0"/>
          <w:bCs w:val="0"/>
          <w:szCs w:val="22"/>
        </w:rPr>
        <w:t xml:space="preserve">Agenda Item 2023-15: IMR/AVR Specific Allocations </w:t>
      </w:r>
      <w:r w:rsidR="007C423E" w:rsidRPr="00572008">
        <w:rPr>
          <w:rFonts w:ascii="Calibri" w:hAnsi="Calibri" w:cs="Calibri"/>
          <w:b w:val="0"/>
          <w:bCs w:val="0"/>
          <w:szCs w:val="22"/>
        </w:rPr>
        <w:t>adopted</w:t>
      </w:r>
      <w:r w:rsidRPr="00572008">
        <w:rPr>
          <w:rFonts w:ascii="Calibri" w:hAnsi="Calibri" w:cs="Calibri"/>
          <w:b w:val="0"/>
          <w:bCs w:val="0"/>
          <w:szCs w:val="22"/>
        </w:rPr>
        <w:t xml:space="preserve"> revisions to the A/S instructions </w:t>
      </w:r>
      <w:r w:rsidR="00350A0B" w:rsidRPr="00572008">
        <w:rPr>
          <w:rFonts w:ascii="Calibri" w:hAnsi="Calibri" w:cs="Calibri"/>
          <w:b w:val="0"/>
          <w:bCs w:val="0"/>
          <w:szCs w:val="22"/>
        </w:rPr>
        <w:t>for year-end 2024 to remove the guidance that prescribes the specific allocation of non-interest related losses to IMR</w:t>
      </w:r>
      <w:r w:rsidR="00F349CB" w:rsidRPr="00572008">
        <w:rPr>
          <w:rFonts w:ascii="Calibri" w:hAnsi="Calibri" w:cs="Calibri"/>
          <w:b w:val="0"/>
          <w:bCs w:val="0"/>
          <w:szCs w:val="22"/>
        </w:rPr>
        <w:t>. The revisions addressed both mortgage loans and the guidance for debt securities. For debt securities, the guidance directs AVR reporting if there is an acute credit event that negatively impacts the price of the security that has not yet been reflected in the CRP ratings/SVO feed at the time of the sale where the resulting gains/loss was predominantly credit related</w:t>
      </w:r>
      <w:r w:rsidR="00E90884" w:rsidRPr="00572008">
        <w:rPr>
          <w:rFonts w:ascii="Calibri" w:hAnsi="Calibri" w:cs="Calibri"/>
          <w:b w:val="0"/>
          <w:bCs w:val="0"/>
          <w:szCs w:val="22"/>
        </w:rPr>
        <w:t xml:space="preserve">. </w:t>
      </w:r>
    </w:p>
    <w:p w14:paraId="323B55A8" w14:textId="77777777" w:rsidR="0007286C" w:rsidRPr="00572008" w:rsidRDefault="0007286C" w:rsidP="0007286C">
      <w:pPr>
        <w:pStyle w:val="ListParagraph"/>
        <w:rPr>
          <w:rFonts w:ascii="Calibri" w:hAnsi="Calibri" w:cs="Calibri"/>
          <w:b/>
          <w:bCs/>
          <w:szCs w:val="22"/>
        </w:rPr>
      </w:pPr>
    </w:p>
    <w:p w14:paraId="48E17320" w14:textId="21C2B4CA" w:rsidR="0081712C" w:rsidRPr="00572008" w:rsidRDefault="0081712C" w:rsidP="0081712C">
      <w:pPr>
        <w:pStyle w:val="BodyText2"/>
        <w:numPr>
          <w:ilvl w:val="0"/>
          <w:numId w:val="35"/>
        </w:numPr>
        <w:rPr>
          <w:rFonts w:ascii="Calibri" w:hAnsi="Calibri" w:cs="Calibri"/>
          <w:b w:val="0"/>
          <w:bCs w:val="0"/>
          <w:szCs w:val="22"/>
        </w:rPr>
      </w:pPr>
      <w:r w:rsidRPr="00572008">
        <w:rPr>
          <w:rFonts w:ascii="Calibri" w:hAnsi="Calibri" w:cs="Calibri"/>
          <w:b w:val="0"/>
          <w:bCs w:val="0"/>
          <w:szCs w:val="22"/>
        </w:rPr>
        <w:t xml:space="preserve">Agenda Item 2023-29: </w:t>
      </w:r>
      <w:r w:rsidR="007B0757" w:rsidRPr="00572008">
        <w:rPr>
          <w:rFonts w:ascii="Calibri" w:hAnsi="Calibri" w:cs="Calibri"/>
          <w:b w:val="0"/>
          <w:bCs w:val="0"/>
          <w:szCs w:val="22"/>
        </w:rPr>
        <w:t>IMR / AVR Preferred Stock</w:t>
      </w:r>
      <w:r w:rsidR="00A24E09" w:rsidRPr="00572008">
        <w:rPr>
          <w:rFonts w:ascii="Calibri" w:hAnsi="Calibri" w:cs="Calibri"/>
          <w:b w:val="0"/>
          <w:bCs w:val="0"/>
          <w:szCs w:val="22"/>
        </w:rPr>
        <w:t xml:space="preserve"> adopted revisions to the A/S instructions </w:t>
      </w:r>
      <w:r w:rsidR="0033648B" w:rsidRPr="00572008">
        <w:rPr>
          <w:rFonts w:ascii="Calibri" w:hAnsi="Calibri" w:cs="Calibri"/>
          <w:b w:val="0"/>
          <w:bCs w:val="0"/>
          <w:szCs w:val="22"/>
        </w:rPr>
        <w:t xml:space="preserve">for year-end 2024 </w:t>
      </w:r>
      <w:r w:rsidR="00A24E09" w:rsidRPr="00572008">
        <w:rPr>
          <w:rFonts w:ascii="Calibri" w:hAnsi="Calibri" w:cs="Calibri"/>
          <w:b w:val="0"/>
          <w:bCs w:val="0"/>
          <w:szCs w:val="22"/>
        </w:rPr>
        <w:t xml:space="preserve">to remove the guidance that directed all preferred stock to be allocated between IMR/AVR based on NAIC designations, and to clarify that perpetual preferred stock as well as all mandatorily convertible preferred stock shall be reported through the AVR. </w:t>
      </w:r>
    </w:p>
    <w:p w14:paraId="6BB39D56" w14:textId="77777777" w:rsidR="00697D85" w:rsidRPr="00572008" w:rsidRDefault="00697D85" w:rsidP="00697D85">
      <w:pPr>
        <w:pStyle w:val="ListParagraph"/>
        <w:rPr>
          <w:rFonts w:ascii="Calibri" w:hAnsi="Calibri" w:cs="Calibri"/>
          <w:b/>
          <w:bCs/>
          <w:szCs w:val="22"/>
        </w:rPr>
      </w:pPr>
    </w:p>
    <w:p w14:paraId="5C66B827" w14:textId="253C783E" w:rsidR="00697D85" w:rsidRPr="00572008" w:rsidRDefault="00EC2C53" w:rsidP="0081712C">
      <w:pPr>
        <w:pStyle w:val="BodyText2"/>
        <w:numPr>
          <w:ilvl w:val="0"/>
          <w:numId w:val="35"/>
        </w:numPr>
        <w:rPr>
          <w:rFonts w:ascii="Calibri" w:hAnsi="Calibri" w:cs="Calibri"/>
          <w:b w:val="0"/>
          <w:bCs w:val="0"/>
          <w:szCs w:val="22"/>
        </w:rPr>
      </w:pPr>
      <w:r w:rsidRPr="00572008">
        <w:rPr>
          <w:rFonts w:ascii="Calibri" w:hAnsi="Calibri" w:cs="Calibri"/>
          <w:b w:val="0"/>
          <w:bCs w:val="0"/>
          <w:szCs w:val="22"/>
        </w:rPr>
        <w:t xml:space="preserve">Agenda Item 2024-15: </w:t>
      </w:r>
      <w:r w:rsidR="004554D2" w:rsidRPr="00572008">
        <w:rPr>
          <w:rFonts w:ascii="Calibri" w:hAnsi="Calibri" w:cs="Calibri"/>
          <w:b w:val="0"/>
          <w:bCs w:val="0"/>
          <w:szCs w:val="22"/>
        </w:rPr>
        <w:t>Asset Liability Management Derivatives</w:t>
      </w:r>
      <w:r w:rsidR="002651B3" w:rsidRPr="00572008">
        <w:rPr>
          <w:rFonts w:ascii="Calibri" w:hAnsi="Calibri" w:cs="Calibri"/>
          <w:b w:val="0"/>
          <w:bCs w:val="0"/>
          <w:szCs w:val="22"/>
        </w:rPr>
        <w:t xml:space="preserve"> was developed to consider new statutory accounting guidance </w:t>
      </w:r>
      <w:r w:rsidR="00F134FA" w:rsidRPr="00572008">
        <w:rPr>
          <w:rFonts w:ascii="Calibri" w:hAnsi="Calibri" w:cs="Calibri"/>
          <w:b w:val="0"/>
          <w:bCs w:val="0"/>
          <w:szCs w:val="22"/>
        </w:rPr>
        <w:t xml:space="preserve">to permit the deferral of realized gains/losses for interest-rate hedging derivatives that do not qualify as effective hedges under </w:t>
      </w:r>
      <w:r w:rsidR="00F134FA" w:rsidRPr="00572008">
        <w:rPr>
          <w:rFonts w:ascii="Calibri" w:hAnsi="Calibri" w:cs="Calibri"/>
          <w:b w:val="0"/>
          <w:bCs w:val="0"/>
          <w:i/>
          <w:iCs/>
          <w:szCs w:val="22"/>
        </w:rPr>
        <w:t>SSAP No. 86—Derivatives</w:t>
      </w:r>
      <w:r w:rsidR="00F134FA" w:rsidRPr="00572008">
        <w:rPr>
          <w:rFonts w:ascii="Calibri" w:hAnsi="Calibri" w:cs="Calibri"/>
          <w:b w:val="0"/>
          <w:bCs w:val="0"/>
          <w:szCs w:val="22"/>
        </w:rPr>
        <w:t xml:space="preserve">. </w:t>
      </w:r>
      <w:r w:rsidR="00D63406" w:rsidRPr="00572008">
        <w:rPr>
          <w:rFonts w:ascii="Calibri" w:hAnsi="Calibri" w:cs="Calibri"/>
          <w:b w:val="0"/>
          <w:bCs w:val="0"/>
          <w:szCs w:val="22"/>
        </w:rPr>
        <w:t xml:space="preserve">This item was initially exposed at the 2024 Summer National Meeting, but an extended comment period was provided until </w:t>
      </w:r>
      <w:r w:rsidR="00507496" w:rsidRPr="00572008">
        <w:rPr>
          <w:rFonts w:ascii="Calibri" w:hAnsi="Calibri" w:cs="Calibri"/>
          <w:b w:val="0"/>
          <w:bCs w:val="0"/>
          <w:szCs w:val="22"/>
        </w:rPr>
        <w:t>November 8, 2024. Then, due to the extent of comments and the complexity of the topic, the Working Group deferred direction to staff to move forward. Further discussion</w:t>
      </w:r>
      <w:r w:rsidR="00A2755A" w:rsidRPr="00572008">
        <w:rPr>
          <w:rFonts w:ascii="Calibri" w:hAnsi="Calibri" w:cs="Calibri"/>
          <w:b w:val="0"/>
          <w:bCs w:val="0"/>
          <w:szCs w:val="22"/>
        </w:rPr>
        <w:t xml:space="preserve">, along with </w:t>
      </w:r>
      <w:r w:rsidR="00BD4F0C" w:rsidRPr="00572008">
        <w:rPr>
          <w:rFonts w:ascii="Calibri" w:hAnsi="Calibri" w:cs="Calibri"/>
          <w:b w:val="0"/>
          <w:bCs w:val="0"/>
          <w:szCs w:val="22"/>
        </w:rPr>
        <w:t>a review</w:t>
      </w:r>
      <w:r w:rsidR="00A2755A" w:rsidRPr="00572008">
        <w:rPr>
          <w:rFonts w:ascii="Calibri" w:hAnsi="Calibri" w:cs="Calibri"/>
          <w:b w:val="0"/>
          <w:bCs w:val="0"/>
          <w:szCs w:val="22"/>
        </w:rPr>
        <w:t xml:space="preserve"> of data reported for IMR derivatives is anticipated, before the Working Group directs staff to move forward</w:t>
      </w:r>
      <w:r w:rsidR="00E90884" w:rsidRPr="00572008">
        <w:rPr>
          <w:rFonts w:ascii="Calibri" w:hAnsi="Calibri" w:cs="Calibri"/>
          <w:b w:val="0"/>
          <w:bCs w:val="0"/>
          <w:szCs w:val="22"/>
        </w:rPr>
        <w:t xml:space="preserve">. </w:t>
      </w:r>
    </w:p>
    <w:p w14:paraId="4080E5A6" w14:textId="77777777" w:rsidR="00645741" w:rsidRPr="00572008" w:rsidRDefault="00645741" w:rsidP="00645741">
      <w:pPr>
        <w:pStyle w:val="ListParagraph"/>
        <w:rPr>
          <w:rFonts w:ascii="Calibri" w:hAnsi="Calibri" w:cs="Calibri"/>
          <w:b/>
          <w:bCs/>
          <w:szCs w:val="22"/>
        </w:rPr>
      </w:pPr>
    </w:p>
    <w:p w14:paraId="2331972A" w14:textId="6E9E46FB" w:rsidR="00645741" w:rsidRPr="00572008" w:rsidRDefault="00645741" w:rsidP="0081712C">
      <w:pPr>
        <w:pStyle w:val="BodyText2"/>
        <w:numPr>
          <w:ilvl w:val="0"/>
          <w:numId w:val="35"/>
        </w:numPr>
        <w:rPr>
          <w:rFonts w:ascii="Calibri" w:hAnsi="Calibri" w:cs="Calibri"/>
          <w:b w:val="0"/>
          <w:bCs w:val="0"/>
          <w:szCs w:val="22"/>
        </w:rPr>
      </w:pPr>
      <w:r w:rsidRPr="00572008">
        <w:rPr>
          <w:rFonts w:ascii="Calibri" w:hAnsi="Calibri" w:cs="Calibri"/>
          <w:b w:val="0"/>
          <w:bCs w:val="0"/>
          <w:szCs w:val="22"/>
        </w:rPr>
        <w:t xml:space="preserve">Agenda Item 2025-13: IMR Definition was developed </w:t>
      </w:r>
      <w:r w:rsidR="00984C8C" w:rsidRPr="00572008">
        <w:rPr>
          <w:rFonts w:ascii="Calibri" w:hAnsi="Calibri" w:cs="Calibri"/>
          <w:b w:val="0"/>
          <w:bCs w:val="0"/>
          <w:szCs w:val="22"/>
        </w:rPr>
        <w:t>to establish a br</w:t>
      </w:r>
      <w:r w:rsidR="00934D9B" w:rsidRPr="00572008">
        <w:rPr>
          <w:rFonts w:ascii="Calibri" w:hAnsi="Calibri" w:cs="Calibri"/>
          <w:b w:val="0"/>
          <w:bCs w:val="0"/>
          <w:szCs w:val="22"/>
        </w:rPr>
        <w:t xml:space="preserve">oad definition of IMR. This definition was “adopted” by the Working Group on August 11, 2025, but consistent with other IMR topics, the </w:t>
      </w:r>
      <w:r w:rsidR="00934D9B" w:rsidRPr="00572008">
        <w:rPr>
          <w:rFonts w:ascii="Calibri" w:hAnsi="Calibri" w:cs="Calibri"/>
          <w:b w:val="0"/>
          <w:bCs w:val="0"/>
          <w:szCs w:val="22"/>
        </w:rPr>
        <w:lastRenderedPageBreak/>
        <w:t xml:space="preserve">definition will be included in the issue paper </w:t>
      </w:r>
      <w:r w:rsidR="00970723" w:rsidRPr="00572008">
        <w:rPr>
          <w:rFonts w:ascii="Calibri" w:hAnsi="Calibri" w:cs="Calibri"/>
          <w:b w:val="0"/>
          <w:bCs w:val="0"/>
          <w:szCs w:val="22"/>
        </w:rPr>
        <w:t>and revisions to SSAP No. 7, which will also be exposed, and future revisions could be considered prior to final adoption and implementation.</w:t>
      </w:r>
    </w:p>
    <w:p w14:paraId="42BD32BA" w14:textId="77777777" w:rsidR="0081712C" w:rsidRPr="00572008" w:rsidRDefault="0081712C" w:rsidP="00B30CA0">
      <w:pPr>
        <w:pStyle w:val="BodyText2"/>
        <w:rPr>
          <w:rFonts w:ascii="Calibri" w:hAnsi="Calibri" w:cs="Calibri"/>
          <w:szCs w:val="22"/>
        </w:rPr>
      </w:pPr>
    </w:p>
    <w:p w14:paraId="6520E969" w14:textId="77777777" w:rsidR="00F86342" w:rsidRPr="00572008" w:rsidRDefault="00F86342" w:rsidP="00B30CA0">
      <w:pPr>
        <w:pStyle w:val="BodyText"/>
        <w:rPr>
          <w:rFonts w:ascii="Calibri" w:hAnsi="Calibri" w:cs="Calibri"/>
          <w:b/>
          <w:sz w:val="22"/>
          <w:szCs w:val="22"/>
        </w:rPr>
      </w:pPr>
    </w:p>
    <w:p w14:paraId="1A7C9804" w14:textId="301D0A4D" w:rsidR="002A1316" w:rsidRPr="00572008" w:rsidRDefault="002A1316" w:rsidP="00B30CA0">
      <w:pPr>
        <w:pStyle w:val="BodyText"/>
        <w:rPr>
          <w:rFonts w:ascii="Calibri" w:hAnsi="Calibri" w:cs="Calibri"/>
          <w:b/>
          <w:sz w:val="22"/>
          <w:szCs w:val="22"/>
        </w:rPr>
      </w:pPr>
      <w:r w:rsidRPr="00572008">
        <w:rPr>
          <w:rFonts w:ascii="Calibri" w:hAnsi="Calibri" w:cs="Calibri"/>
          <w:b/>
          <w:sz w:val="22"/>
          <w:szCs w:val="22"/>
        </w:rPr>
        <w:t xml:space="preserve">Information or </w:t>
      </w:r>
      <w:r w:rsidR="00DF407B" w:rsidRPr="00572008">
        <w:rPr>
          <w:rFonts w:ascii="Calibri" w:hAnsi="Calibri" w:cs="Calibri"/>
          <w:b/>
          <w:sz w:val="22"/>
          <w:szCs w:val="22"/>
        </w:rPr>
        <w:t>i</w:t>
      </w:r>
      <w:r w:rsidRPr="00572008">
        <w:rPr>
          <w:rFonts w:ascii="Calibri" w:hAnsi="Calibri" w:cs="Calibri"/>
          <w:b/>
          <w:sz w:val="22"/>
          <w:szCs w:val="22"/>
        </w:rPr>
        <w:t xml:space="preserve">ssues (included in </w:t>
      </w:r>
      <w:r w:rsidRPr="00572008">
        <w:rPr>
          <w:rFonts w:ascii="Calibri" w:hAnsi="Calibri" w:cs="Calibri"/>
          <w:b/>
          <w:i/>
          <w:sz w:val="22"/>
          <w:szCs w:val="22"/>
        </w:rPr>
        <w:t>Description of Issue</w:t>
      </w:r>
      <w:r w:rsidRPr="00572008">
        <w:rPr>
          <w:rFonts w:ascii="Calibri" w:hAnsi="Calibri" w:cs="Calibri"/>
          <w:b/>
          <w:sz w:val="22"/>
          <w:szCs w:val="22"/>
        </w:rPr>
        <w:t xml:space="preserve">) not previously contemplated by the </w:t>
      </w:r>
      <w:r w:rsidR="00004652" w:rsidRPr="00572008">
        <w:rPr>
          <w:rFonts w:ascii="Calibri" w:hAnsi="Calibri" w:cs="Calibri"/>
          <w:b/>
          <w:sz w:val="22"/>
          <w:szCs w:val="22"/>
        </w:rPr>
        <w:t>Working Group</w:t>
      </w:r>
      <w:r w:rsidRPr="00572008">
        <w:rPr>
          <w:rFonts w:ascii="Calibri" w:hAnsi="Calibri" w:cs="Calibri"/>
          <w:b/>
          <w:sz w:val="22"/>
          <w:szCs w:val="22"/>
        </w:rPr>
        <w:t>:</w:t>
      </w:r>
    </w:p>
    <w:p w14:paraId="38E08ED2" w14:textId="77777777" w:rsidR="002A1316" w:rsidRPr="00572008" w:rsidRDefault="00FE7FAA" w:rsidP="00B30CA0">
      <w:pPr>
        <w:pStyle w:val="BodyText"/>
        <w:rPr>
          <w:rFonts w:ascii="Calibri" w:hAnsi="Calibri" w:cs="Calibri"/>
          <w:bCs/>
          <w:sz w:val="22"/>
          <w:szCs w:val="22"/>
        </w:rPr>
      </w:pPr>
      <w:r w:rsidRPr="00572008">
        <w:rPr>
          <w:rFonts w:ascii="Calibri" w:hAnsi="Calibri" w:cs="Calibri"/>
          <w:bCs/>
          <w:sz w:val="22"/>
          <w:szCs w:val="22"/>
        </w:rPr>
        <w:t>None</w:t>
      </w:r>
    </w:p>
    <w:p w14:paraId="41FDE8A0" w14:textId="77777777" w:rsidR="00F86342" w:rsidRPr="00572008" w:rsidRDefault="00F86342" w:rsidP="00B30CA0">
      <w:pPr>
        <w:pStyle w:val="BodyText"/>
        <w:rPr>
          <w:rFonts w:ascii="Calibri" w:hAnsi="Calibri" w:cs="Calibri"/>
          <w:bCs/>
          <w:sz w:val="22"/>
          <w:szCs w:val="22"/>
        </w:rPr>
      </w:pPr>
    </w:p>
    <w:p w14:paraId="70213B4E" w14:textId="4B3051E9" w:rsidR="00490996" w:rsidRPr="00572008" w:rsidRDefault="00490996" w:rsidP="00490996">
      <w:pPr>
        <w:pStyle w:val="Default"/>
        <w:rPr>
          <w:rFonts w:ascii="Calibri" w:hAnsi="Calibri" w:cs="Calibri"/>
          <w:bCs/>
          <w:sz w:val="22"/>
          <w:szCs w:val="22"/>
        </w:rPr>
      </w:pPr>
      <w:r w:rsidRPr="00572008">
        <w:rPr>
          <w:rFonts w:ascii="Calibri" w:hAnsi="Calibri" w:cs="Calibri"/>
          <w:b/>
          <w:sz w:val="22"/>
          <w:szCs w:val="22"/>
        </w:rPr>
        <w:t>Convergence with International Financial Reporting Standards (IFRS):</w:t>
      </w:r>
      <w:r w:rsidR="002408D3" w:rsidRPr="00572008">
        <w:rPr>
          <w:rFonts w:ascii="Calibri" w:hAnsi="Calibri" w:cs="Calibri"/>
          <w:b/>
          <w:sz w:val="22"/>
          <w:szCs w:val="22"/>
        </w:rPr>
        <w:t xml:space="preserve"> </w:t>
      </w:r>
      <w:r w:rsidR="002408D3" w:rsidRPr="00572008">
        <w:rPr>
          <w:rFonts w:ascii="Calibri" w:hAnsi="Calibri" w:cs="Calibri"/>
          <w:bCs/>
          <w:sz w:val="22"/>
          <w:szCs w:val="22"/>
        </w:rPr>
        <w:t>N</w:t>
      </w:r>
      <w:r w:rsidR="006E0775" w:rsidRPr="00572008">
        <w:rPr>
          <w:rFonts w:ascii="Calibri" w:hAnsi="Calibri" w:cs="Calibri"/>
          <w:bCs/>
          <w:sz w:val="22"/>
          <w:szCs w:val="22"/>
        </w:rPr>
        <w:t>/</w:t>
      </w:r>
      <w:r w:rsidR="002408D3" w:rsidRPr="00572008">
        <w:rPr>
          <w:rFonts w:ascii="Calibri" w:hAnsi="Calibri" w:cs="Calibri"/>
          <w:bCs/>
          <w:sz w:val="22"/>
          <w:szCs w:val="22"/>
        </w:rPr>
        <w:t>A</w:t>
      </w:r>
    </w:p>
    <w:p w14:paraId="0F14F38A" w14:textId="77777777" w:rsidR="00BD4F0C" w:rsidRPr="00572008" w:rsidRDefault="00BD4F0C" w:rsidP="004E2BB9">
      <w:pPr>
        <w:pStyle w:val="BodyText2"/>
        <w:rPr>
          <w:rFonts w:ascii="Calibri" w:hAnsi="Calibri" w:cs="Calibri"/>
          <w:i/>
          <w:iCs/>
          <w:szCs w:val="22"/>
        </w:rPr>
      </w:pPr>
    </w:p>
    <w:p w14:paraId="5557637B" w14:textId="7BD0DF0C" w:rsidR="00237383" w:rsidRPr="00572008" w:rsidRDefault="00711CBA" w:rsidP="004E2BB9">
      <w:pPr>
        <w:pStyle w:val="BodyText2"/>
        <w:rPr>
          <w:rFonts w:ascii="Calibri" w:hAnsi="Calibri" w:cs="Calibri"/>
          <w:szCs w:val="22"/>
        </w:rPr>
      </w:pPr>
      <w:r w:rsidRPr="00572008">
        <w:rPr>
          <w:rFonts w:ascii="Calibri" w:hAnsi="Calibri" w:cs="Calibri"/>
          <w:szCs w:val="22"/>
        </w:rPr>
        <w:t>Staff</w:t>
      </w:r>
      <w:r w:rsidRPr="00572008">
        <w:rPr>
          <w:rFonts w:ascii="Calibri" w:hAnsi="Calibri" w:cs="Calibri"/>
          <w:i/>
          <w:iCs/>
          <w:szCs w:val="22"/>
        </w:rPr>
        <w:t xml:space="preserve"> </w:t>
      </w:r>
      <w:r w:rsidR="002A1316" w:rsidRPr="00572008">
        <w:rPr>
          <w:rFonts w:ascii="Calibri" w:hAnsi="Calibri" w:cs="Calibri"/>
          <w:szCs w:val="22"/>
        </w:rPr>
        <w:t>Recommendation:</w:t>
      </w:r>
      <w:r w:rsidR="004128F1" w:rsidRPr="00572008">
        <w:rPr>
          <w:rFonts w:ascii="Calibri" w:hAnsi="Calibri" w:cs="Calibri"/>
          <w:szCs w:val="22"/>
        </w:rPr>
        <w:t xml:space="preserve"> </w:t>
      </w:r>
    </w:p>
    <w:p w14:paraId="05C5D5F3" w14:textId="613DFBA2" w:rsidR="00D41C09" w:rsidRPr="00572008" w:rsidRDefault="00D41C09" w:rsidP="00D41C09">
      <w:pPr>
        <w:jc w:val="both"/>
        <w:rPr>
          <w:rFonts w:ascii="Calibri" w:hAnsi="Calibri" w:cs="Calibri"/>
          <w:b/>
          <w:bCs/>
          <w:sz w:val="22"/>
          <w:szCs w:val="22"/>
        </w:rPr>
      </w:pPr>
      <w:r w:rsidRPr="00572008">
        <w:rPr>
          <w:rFonts w:ascii="Calibri" w:hAnsi="Calibri" w:cs="Calibri"/>
          <w:b/>
          <w:bCs/>
          <w:sz w:val="22"/>
          <w:szCs w:val="22"/>
        </w:rPr>
        <w:t xml:space="preserve">NAIC staff recommend that the Working Group move this item to the active listing as a new SAP concept and expose the proposed </w:t>
      </w:r>
      <w:r w:rsidR="003E00DF" w:rsidRPr="00572008">
        <w:rPr>
          <w:rFonts w:ascii="Calibri" w:hAnsi="Calibri" w:cs="Calibri"/>
          <w:b/>
          <w:bCs/>
          <w:sz w:val="22"/>
          <w:szCs w:val="22"/>
        </w:rPr>
        <w:t>concepts and templates for the IMR Proof of Reinvestment</w:t>
      </w:r>
      <w:r w:rsidR="002A353D" w:rsidRPr="00572008">
        <w:rPr>
          <w:rFonts w:ascii="Calibri" w:hAnsi="Calibri" w:cs="Calibri"/>
          <w:b/>
          <w:bCs/>
          <w:sz w:val="22"/>
          <w:szCs w:val="22"/>
        </w:rPr>
        <w:t>, as shown above,</w:t>
      </w:r>
      <w:r w:rsidR="003E00DF" w:rsidRPr="00572008">
        <w:rPr>
          <w:rFonts w:ascii="Calibri" w:hAnsi="Calibri" w:cs="Calibri"/>
          <w:b/>
          <w:bCs/>
          <w:sz w:val="22"/>
          <w:szCs w:val="22"/>
        </w:rPr>
        <w:t xml:space="preserve"> for </w:t>
      </w:r>
      <w:r w:rsidR="0038148A">
        <w:rPr>
          <w:rFonts w:ascii="Calibri" w:hAnsi="Calibri" w:cs="Calibri"/>
          <w:b/>
          <w:bCs/>
          <w:sz w:val="22"/>
          <w:szCs w:val="22"/>
        </w:rPr>
        <w:t xml:space="preserve">full </w:t>
      </w:r>
      <w:r w:rsidR="003E00DF" w:rsidRPr="00572008">
        <w:rPr>
          <w:rFonts w:ascii="Calibri" w:hAnsi="Calibri" w:cs="Calibri"/>
          <w:b/>
          <w:bCs/>
          <w:sz w:val="22"/>
          <w:szCs w:val="22"/>
        </w:rPr>
        <w:t xml:space="preserve">Working Group and </w:t>
      </w:r>
      <w:r w:rsidR="00A46122" w:rsidRPr="00572008">
        <w:rPr>
          <w:rFonts w:ascii="Calibri" w:hAnsi="Calibri" w:cs="Calibri"/>
          <w:b/>
          <w:bCs/>
          <w:sz w:val="22"/>
          <w:szCs w:val="22"/>
        </w:rPr>
        <w:t>industry consideration. Although being shared/exposed at this time</w:t>
      </w:r>
      <w:r w:rsidR="00702B1A" w:rsidRPr="00572008">
        <w:rPr>
          <w:rFonts w:ascii="Calibri" w:hAnsi="Calibri" w:cs="Calibri"/>
          <w:b/>
          <w:bCs/>
          <w:sz w:val="22"/>
          <w:szCs w:val="22"/>
        </w:rPr>
        <w:t xml:space="preserve"> with a request for feedback</w:t>
      </w:r>
      <w:r w:rsidR="00A46122" w:rsidRPr="00572008">
        <w:rPr>
          <w:rFonts w:ascii="Calibri" w:hAnsi="Calibri" w:cs="Calibri"/>
          <w:b/>
          <w:bCs/>
          <w:sz w:val="22"/>
          <w:szCs w:val="22"/>
        </w:rPr>
        <w:t xml:space="preserve">, the resulting guidance will be included in the </w:t>
      </w:r>
      <w:r w:rsidR="00702B1A" w:rsidRPr="00572008">
        <w:rPr>
          <w:rFonts w:ascii="Calibri" w:hAnsi="Calibri" w:cs="Calibri"/>
          <w:b/>
          <w:bCs/>
          <w:sz w:val="22"/>
          <w:szCs w:val="22"/>
        </w:rPr>
        <w:t>i</w:t>
      </w:r>
      <w:r w:rsidR="00A46122" w:rsidRPr="00572008">
        <w:rPr>
          <w:rFonts w:ascii="Calibri" w:hAnsi="Calibri" w:cs="Calibri"/>
          <w:b/>
          <w:bCs/>
          <w:sz w:val="22"/>
          <w:szCs w:val="22"/>
        </w:rPr>
        <w:t xml:space="preserve">ssue </w:t>
      </w:r>
      <w:r w:rsidR="00702B1A" w:rsidRPr="00572008">
        <w:rPr>
          <w:rFonts w:ascii="Calibri" w:hAnsi="Calibri" w:cs="Calibri"/>
          <w:b/>
          <w:bCs/>
          <w:sz w:val="22"/>
          <w:szCs w:val="22"/>
        </w:rPr>
        <w:t>p</w:t>
      </w:r>
      <w:r w:rsidR="00A46122" w:rsidRPr="00572008">
        <w:rPr>
          <w:rFonts w:ascii="Calibri" w:hAnsi="Calibri" w:cs="Calibri"/>
          <w:b/>
          <w:bCs/>
          <w:sz w:val="22"/>
          <w:szCs w:val="22"/>
        </w:rPr>
        <w:t xml:space="preserve">aper being developed for SSAP No. 7. </w:t>
      </w:r>
      <w:r w:rsidR="00E803FF" w:rsidRPr="00572008">
        <w:rPr>
          <w:rFonts w:ascii="Calibri" w:hAnsi="Calibri" w:cs="Calibri"/>
          <w:b/>
          <w:bCs/>
          <w:sz w:val="22"/>
          <w:szCs w:val="22"/>
        </w:rPr>
        <w:t>As such, s</w:t>
      </w:r>
      <w:r w:rsidR="00A46122" w:rsidRPr="00572008">
        <w:rPr>
          <w:rFonts w:ascii="Calibri" w:hAnsi="Calibri" w:cs="Calibri"/>
          <w:b/>
          <w:bCs/>
          <w:sz w:val="22"/>
          <w:szCs w:val="22"/>
        </w:rPr>
        <w:t xml:space="preserve">ubsequent consideration can </w:t>
      </w:r>
      <w:r w:rsidR="00651A99">
        <w:rPr>
          <w:rFonts w:ascii="Calibri" w:hAnsi="Calibri" w:cs="Calibri"/>
          <w:b/>
          <w:bCs/>
          <w:sz w:val="22"/>
          <w:szCs w:val="22"/>
        </w:rPr>
        <w:t xml:space="preserve">also </w:t>
      </w:r>
      <w:r w:rsidR="00A46122" w:rsidRPr="00572008">
        <w:rPr>
          <w:rFonts w:ascii="Calibri" w:hAnsi="Calibri" w:cs="Calibri"/>
          <w:b/>
          <w:bCs/>
          <w:sz w:val="22"/>
          <w:szCs w:val="22"/>
        </w:rPr>
        <w:t>oc</w:t>
      </w:r>
      <w:r w:rsidR="00702B1A" w:rsidRPr="00572008">
        <w:rPr>
          <w:rFonts w:ascii="Calibri" w:hAnsi="Calibri" w:cs="Calibri"/>
          <w:b/>
          <w:bCs/>
          <w:sz w:val="22"/>
          <w:szCs w:val="22"/>
        </w:rPr>
        <w:t xml:space="preserve">cur when the issue paper is also exposed for comment. </w:t>
      </w:r>
    </w:p>
    <w:p w14:paraId="24D36FF5" w14:textId="77777777" w:rsidR="00E803FF" w:rsidRPr="00572008" w:rsidRDefault="00E803FF" w:rsidP="00711CBA">
      <w:pPr>
        <w:pStyle w:val="BodyText2"/>
        <w:rPr>
          <w:rFonts w:ascii="Calibri" w:hAnsi="Calibri" w:cs="Calibri"/>
          <w:szCs w:val="22"/>
        </w:rPr>
      </w:pPr>
    </w:p>
    <w:p w14:paraId="282FCCC4" w14:textId="50FB6E7E" w:rsidR="007540C2" w:rsidRPr="000006A4" w:rsidRDefault="00711CBA" w:rsidP="00C5033B">
      <w:pPr>
        <w:pStyle w:val="BodyText2"/>
        <w:rPr>
          <w:rFonts w:ascii="Calibri" w:hAnsi="Calibri" w:cs="Calibri"/>
          <w:b w:val="0"/>
          <w:szCs w:val="22"/>
        </w:rPr>
      </w:pPr>
      <w:r w:rsidRPr="00572008">
        <w:rPr>
          <w:rFonts w:ascii="Calibri" w:hAnsi="Calibri" w:cs="Calibri"/>
          <w:szCs w:val="22"/>
        </w:rPr>
        <w:t xml:space="preserve">Staff Review Completed by: </w:t>
      </w:r>
      <w:r w:rsidRPr="00572008">
        <w:rPr>
          <w:rFonts w:ascii="Calibri" w:hAnsi="Calibri" w:cs="Calibri"/>
          <w:b w:val="0"/>
          <w:bCs w:val="0"/>
          <w:szCs w:val="22"/>
        </w:rPr>
        <w:t>Julie Gann, NAIC Staff—</w:t>
      </w:r>
      <w:r w:rsidR="00E42DAB" w:rsidRPr="00572008">
        <w:rPr>
          <w:rFonts w:ascii="Calibri" w:hAnsi="Calibri" w:cs="Calibri"/>
          <w:b w:val="0"/>
          <w:bCs w:val="0"/>
          <w:szCs w:val="22"/>
        </w:rPr>
        <w:t xml:space="preserve">September </w:t>
      </w:r>
      <w:r w:rsidR="00905E72" w:rsidRPr="00572008">
        <w:rPr>
          <w:rFonts w:ascii="Calibri" w:hAnsi="Calibri" w:cs="Calibri"/>
          <w:b w:val="0"/>
          <w:bCs w:val="0"/>
          <w:szCs w:val="22"/>
        </w:rPr>
        <w:t>2025</w:t>
      </w:r>
    </w:p>
    <w:p w14:paraId="5CBA66C1" w14:textId="77777777" w:rsidR="003C145B" w:rsidRPr="006441A1" w:rsidRDefault="003C145B" w:rsidP="00B30CA0">
      <w:pPr>
        <w:rPr>
          <w:rFonts w:ascii="Calibri" w:hAnsi="Calibri" w:cs="Calibri"/>
          <w:sz w:val="22"/>
          <w:szCs w:val="22"/>
        </w:rPr>
      </w:pPr>
    </w:p>
    <w:p w14:paraId="5C406464" w14:textId="77777777" w:rsidR="006441A1" w:rsidRPr="006441A1" w:rsidRDefault="006441A1" w:rsidP="006441A1">
      <w:pPr>
        <w:pStyle w:val="BodyText2"/>
        <w:rPr>
          <w:rFonts w:asciiTheme="minorHAnsi" w:hAnsiTheme="minorHAnsi" w:cstheme="minorHAnsi"/>
          <w:bCs w:val="0"/>
          <w:szCs w:val="22"/>
        </w:rPr>
      </w:pPr>
      <w:r w:rsidRPr="006441A1">
        <w:rPr>
          <w:rFonts w:asciiTheme="minorHAnsi" w:hAnsiTheme="minorHAnsi" w:cstheme="minorHAnsi"/>
          <w:bCs w:val="0"/>
          <w:szCs w:val="22"/>
        </w:rPr>
        <w:t>Status:</w:t>
      </w:r>
    </w:p>
    <w:p w14:paraId="0B1B2603" w14:textId="59A3CB49" w:rsidR="006441A1" w:rsidRPr="006441A1" w:rsidRDefault="006441A1" w:rsidP="008B2482">
      <w:pPr>
        <w:jc w:val="both"/>
        <w:rPr>
          <w:rFonts w:ascii="Calibri" w:hAnsi="Calibri" w:cs="Calibri"/>
          <w:bCs/>
          <w:sz w:val="22"/>
          <w:szCs w:val="22"/>
        </w:rPr>
      </w:pPr>
      <w:r w:rsidRPr="006441A1">
        <w:rPr>
          <w:rFonts w:asciiTheme="minorHAnsi" w:hAnsiTheme="minorHAnsi" w:cstheme="minorHAnsi"/>
          <w:bCs/>
          <w:sz w:val="22"/>
          <w:szCs w:val="22"/>
        </w:rPr>
        <w:t>On December 9, 2025, the Statutory Accounting</w:t>
      </w:r>
      <w:r w:rsidR="00171BD9">
        <w:rPr>
          <w:rFonts w:asciiTheme="minorHAnsi" w:hAnsiTheme="minorHAnsi" w:cstheme="minorHAnsi"/>
          <w:bCs/>
          <w:sz w:val="22"/>
          <w:szCs w:val="22"/>
        </w:rPr>
        <w:t xml:space="preserve"> Principles</w:t>
      </w:r>
      <w:r w:rsidRPr="006441A1">
        <w:rPr>
          <w:rFonts w:asciiTheme="minorHAnsi" w:hAnsiTheme="minorHAnsi" w:cstheme="minorHAnsi"/>
          <w:bCs/>
          <w:sz w:val="22"/>
          <w:szCs w:val="22"/>
        </w:rPr>
        <w:t xml:space="preserve"> (E) Working Group exposed </w:t>
      </w:r>
      <w:r w:rsidR="00840700" w:rsidRPr="00840700">
        <w:rPr>
          <w:rFonts w:asciiTheme="minorHAnsi" w:hAnsiTheme="minorHAnsi" w:cstheme="minorHAnsi"/>
          <w:bCs/>
          <w:sz w:val="22"/>
          <w:szCs w:val="22"/>
        </w:rPr>
        <w:t>the proposed concepts and templates for the IMR Proof of Reinvestment</w:t>
      </w:r>
      <w:r w:rsidR="0094331A">
        <w:rPr>
          <w:rFonts w:asciiTheme="minorHAnsi" w:hAnsiTheme="minorHAnsi" w:cstheme="minorHAnsi"/>
          <w:bCs/>
          <w:sz w:val="22"/>
          <w:szCs w:val="22"/>
        </w:rPr>
        <w:t xml:space="preserve"> developed by the IMR Ad Hoc Group</w:t>
      </w:r>
      <w:r w:rsidR="00840700" w:rsidRPr="00840700">
        <w:rPr>
          <w:rFonts w:asciiTheme="minorHAnsi" w:hAnsiTheme="minorHAnsi" w:cstheme="minorHAnsi"/>
          <w:bCs/>
          <w:sz w:val="22"/>
          <w:szCs w:val="22"/>
        </w:rPr>
        <w:t>, as shown above, for Working Group and industry consideration.</w:t>
      </w:r>
      <w:r w:rsidR="00BC5E94">
        <w:rPr>
          <w:rFonts w:asciiTheme="minorHAnsi" w:hAnsiTheme="minorHAnsi" w:cstheme="minorHAnsi"/>
          <w:bCs/>
          <w:sz w:val="22"/>
          <w:szCs w:val="22"/>
        </w:rPr>
        <w:t xml:space="preserve"> </w:t>
      </w:r>
      <w:r w:rsidR="0094331A">
        <w:rPr>
          <w:rFonts w:asciiTheme="minorHAnsi" w:hAnsiTheme="minorHAnsi" w:cstheme="minorHAnsi"/>
          <w:bCs/>
          <w:sz w:val="22"/>
          <w:szCs w:val="22"/>
        </w:rPr>
        <w:t xml:space="preserve">These concepts and </w:t>
      </w:r>
      <w:r w:rsidR="00E20FAA">
        <w:rPr>
          <w:rFonts w:asciiTheme="minorHAnsi" w:hAnsiTheme="minorHAnsi" w:cstheme="minorHAnsi"/>
          <w:bCs/>
          <w:sz w:val="22"/>
          <w:szCs w:val="22"/>
        </w:rPr>
        <w:t xml:space="preserve">disclosures are anticipated to be </w:t>
      </w:r>
      <w:r w:rsidR="003C2127">
        <w:rPr>
          <w:rFonts w:asciiTheme="minorHAnsi" w:hAnsiTheme="minorHAnsi" w:cstheme="minorHAnsi"/>
          <w:bCs/>
          <w:sz w:val="22"/>
          <w:szCs w:val="22"/>
        </w:rPr>
        <w:t>included</w:t>
      </w:r>
      <w:r w:rsidR="00E20FAA">
        <w:rPr>
          <w:rFonts w:asciiTheme="minorHAnsi" w:hAnsiTheme="minorHAnsi" w:cstheme="minorHAnsi"/>
          <w:bCs/>
          <w:sz w:val="22"/>
          <w:szCs w:val="22"/>
        </w:rPr>
        <w:t xml:space="preserve"> in the issue paper and revised</w:t>
      </w:r>
      <w:r w:rsidR="00CB5E30">
        <w:rPr>
          <w:rFonts w:asciiTheme="minorHAnsi" w:hAnsiTheme="minorHAnsi" w:cstheme="minorHAnsi"/>
          <w:bCs/>
          <w:sz w:val="22"/>
          <w:szCs w:val="22"/>
        </w:rPr>
        <w:t xml:space="preserve"> SSAP </w:t>
      </w:r>
      <w:r w:rsidR="00F44229">
        <w:rPr>
          <w:rFonts w:asciiTheme="minorHAnsi" w:hAnsiTheme="minorHAnsi" w:cstheme="minorHAnsi"/>
          <w:bCs/>
          <w:sz w:val="22"/>
          <w:szCs w:val="22"/>
        </w:rPr>
        <w:t xml:space="preserve">developed as part of the IMR long-term project. </w:t>
      </w:r>
    </w:p>
    <w:p w14:paraId="7F3CD83C" w14:textId="77777777" w:rsidR="006441A1" w:rsidRPr="006441A1" w:rsidRDefault="006441A1" w:rsidP="00B30CA0">
      <w:pPr>
        <w:rPr>
          <w:rFonts w:ascii="Calibri" w:hAnsi="Calibri" w:cs="Calibri"/>
          <w:sz w:val="22"/>
          <w:szCs w:val="22"/>
        </w:rPr>
      </w:pPr>
    </w:p>
    <w:p w14:paraId="68BD6302" w14:textId="6661F8E9" w:rsidR="00340D1B" w:rsidRDefault="002A1316" w:rsidP="00EF4925">
      <w:pPr>
        <w:rPr>
          <w:rFonts w:asciiTheme="minorHAnsi" w:hAnsiTheme="minorHAnsi" w:cstheme="minorHAnsi"/>
          <w:noProof/>
          <w:sz w:val="16"/>
          <w:szCs w:val="16"/>
        </w:rPr>
      </w:pPr>
      <w:r w:rsidRPr="000006A4">
        <w:rPr>
          <w:rFonts w:asciiTheme="minorHAnsi" w:hAnsiTheme="minorHAnsi" w:cstheme="minorHAnsi"/>
          <w:sz w:val="16"/>
          <w:szCs w:val="16"/>
        </w:rPr>
        <w:fldChar w:fldCharType="begin"/>
      </w:r>
      <w:r w:rsidRPr="000006A4">
        <w:rPr>
          <w:rFonts w:asciiTheme="minorHAnsi" w:hAnsiTheme="minorHAnsi" w:cstheme="minorHAnsi"/>
          <w:sz w:val="16"/>
          <w:szCs w:val="16"/>
        </w:rPr>
        <w:instrText xml:space="preserve"> FILENAME \p </w:instrText>
      </w:r>
      <w:r w:rsidRPr="000006A4">
        <w:rPr>
          <w:rFonts w:asciiTheme="minorHAnsi" w:hAnsiTheme="minorHAnsi" w:cstheme="minorHAnsi"/>
          <w:sz w:val="16"/>
          <w:szCs w:val="16"/>
        </w:rPr>
        <w:fldChar w:fldCharType="separate"/>
      </w:r>
      <w:r w:rsidR="000006A4" w:rsidRPr="000006A4">
        <w:rPr>
          <w:rFonts w:asciiTheme="minorHAnsi" w:hAnsiTheme="minorHAnsi" w:cstheme="minorHAnsi"/>
          <w:noProof/>
          <w:sz w:val="16"/>
          <w:szCs w:val="16"/>
        </w:rPr>
        <w:t>https://naiconline.sharepoint.com/teams/FRSStatutoryAccounting/National Meetings/A. National Meeting Materials/2025/12-9-25 Fall National Meeting/Meeting/B - 25-23 - IMR Proof of Reinvestment.docx</w:t>
      </w:r>
      <w:r w:rsidRPr="000006A4">
        <w:rPr>
          <w:rFonts w:asciiTheme="minorHAnsi" w:hAnsiTheme="minorHAnsi" w:cstheme="minorHAnsi"/>
          <w:sz w:val="16"/>
          <w:szCs w:val="16"/>
        </w:rPr>
        <w:fldChar w:fldCharType="end"/>
      </w:r>
    </w:p>
    <w:p w14:paraId="74C1920C" w14:textId="77777777" w:rsidR="000006A4" w:rsidRPr="000006A4" w:rsidRDefault="000006A4" w:rsidP="000006A4">
      <w:pPr>
        <w:rPr>
          <w:rFonts w:asciiTheme="minorHAnsi" w:hAnsiTheme="minorHAnsi" w:cstheme="minorHAnsi"/>
          <w:sz w:val="16"/>
          <w:szCs w:val="16"/>
        </w:rPr>
      </w:pPr>
    </w:p>
    <w:p w14:paraId="229BFA90" w14:textId="77777777" w:rsidR="000006A4" w:rsidRPr="000006A4" w:rsidRDefault="000006A4" w:rsidP="000006A4">
      <w:pPr>
        <w:rPr>
          <w:rFonts w:asciiTheme="minorHAnsi" w:hAnsiTheme="minorHAnsi" w:cstheme="minorHAnsi"/>
          <w:sz w:val="16"/>
          <w:szCs w:val="16"/>
        </w:rPr>
      </w:pPr>
    </w:p>
    <w:p w14:paraId="6C25D305" w14:textId="77777777" w:rsidR="000006A4" w:rsidRPr="000006A4" w:rsidRDefault="000006A4" w:rsidP="000006A4">
      <w:pPr>
        <w:rPr>
          <w:rFonts w:asciiTheme="minorHAnsi" w:hAnsiTheme="minorHAnsi" w:cstheme="minorHAnsi"/>
          <w:sz w:val="16"/>
          <w:szCs w:val="16"/>
        </w:rPr>
      </w:pPr>
    </w:p>
    <w:p w14:paraId="3ACFB61E" w14:textId="77777777" w:rsidR="000006A4" w:rsidRPr="000006A4" w:rsidRDefault="000006A4" w:rsidP="000006A4">
      <w:pPr>
        <w:rPr>
          <w:rFonts w:asciiTheme="minorHAnsi" w:hAnsiTheme="minorHAnsi" w:cstheme="minorHAnsi"/>
          <w:sz w:val="16"/>
          <w:szCs w:val="16"/>
        </w:rPr>
      </w:pPr>
    </w:p>
    <w:p w14:paraId="512E5989" w14:textId="77777777" w:rsidR="000006A4" w:rsidRPr="000006A4" w:rsidRDefault="000006A4" w:rsidP="000006A4">
      <w:pPr>
        <w:rPr>
          <w:rFonts w:asciiTheme="minorHAnsi" w:hAnsiTheme="minorHAnsi" w:cstheme="minorHAnsi"/>
          <w:sz w:val="16"/>
          <w:szCs w:val="16"/>
        </w:rPr>
      </w:pPr>
    </w:p>
    <w:p w14:paraId="49A32F3C" w14:textId="77777777" w:rsidR="000006A4" w:rsidRPr="000006A4" w:rsidRDefault="000006A4" w:rsidP="000006A4">
      <w:pPr>
        <w:rPr>
          <w:rFonts w:asciiTheme="minorHAnsi" w:hAnsiTheme="minorHAnsi" w:cstheme="minorHAnsi"/>
          <w:sz w:val="16"/>
          <w:szCs w:val="16"/>
        </w:rPr>
      </w:pPr>
    </w:p>
    <w:p w14:paraId="0EA5A04D" w14:textId="77777777" w:rsidR="000006A4" w:rsidRPr="000006A4" w:rsidRDefault="000006A4" w:rsidP="000006A4">
      <w:pPr>
        <w:rPr>
          <w:rFonts w:asciiTheme="minorHAnsi" w:hAnsiTheme="minorHAnsi" w:cstheme="minorHAnsi"/>
          <w:sz w:val="16"/>
          <w:szCs w:val="16"/>
        </w:rPr>
      </w:pPr>
    </w:p>
    <w:p w14:paraId="32AC1BE2" w14:textId="77777777" w:rsidR="000006A4" w:rsidRPr="000006A4" w:rsidRDefault="000006A4" w:rsidP="000006A4">
      <w:pPr>
        <w:rPr>
          <w:rFonts w:asciiTheme="minorHAnsi" w:hAnsiTheme="minorHAnsi" w:cstheme="minorHAnsi"/>
          <w:sz w:val="16"/>
          <w:szCs w:val="16"/>
        </w:rPr>
      </w:pPr>
    </w:p>
    <w:p w14:paraId="6583D555" w14:textId="77777777" w:rsidR="000006A4" w:rsidRPr="000006A4" w:rsidRDefault="000006A4" w:rsidP="000006A4">
      <w:pPr>
        <w:rPr>
          <w:rFonts w:asciiTheme="minorHAnsi" w:hAnsiTheme="minorHAnsi" w:cstheme="minorHAnsi"/>
          <w:sz w:val="16"/>
          <w:szCs w:val="16"/>
        </w:rPr>
      </w:pPr>
    </w:p>
    <w:p w14:paraId="34EDEED5" w14:textId="77777777" w:rsidR="000006A4" w:rsidRPr="000006A4" w:rsidRDefault="000006A4" w:rsidP="000006A4">
      <w:pPr>
        <w:rPr>
          <w:rFonts w:asciiTheme="minorHAnsi" w:hAnsiTheme="minorHAnsi" w:cstheme="minorHAnsi"/>
          <w:sz w:val="16"/>
          <w:szCs w:val="16"/>
        </w:rPr>
      </w:pPr>
    </w:p>
    <w:p w14:paraId="69DD3C59" w14:textId="77777777" w:rsidR="000006A4" w:rsidRPr="000006A4" w:rsidRDefault="000006A4" w:rsidP="000006A4">
      <w:pPr>
        <w:rPr>
          <w:rFonts w:asciiTheme="minorHAnsi" w:hAnsiTheme="minorHAnsi" w:cstheme="minorHAnsi"/>
          <w:sz w:val="16"/>
          <w:szCs w:val="16"/>
        </w:rPr>
      </w:pPr>
    </w:p>
    <w:p w14:paraId="13432148" w14:textId="77777777" w:rsidR="000006A4" w:rsidRPr="000006A4" w:rsidRDefault="000006A4" w:rsidP="000006A4">
      <w:pPr>
        <w:rPr>
          <w:rFonts w:asciiTheme="minorHAnsi" w:hAnsiTheme="minorHAnsi" w:cstheme="minorHAnsi"/>
          <w:sz w:val="16"/>
          <w:szCs w:val="16"/>
        </w:rPr>
      </w:pPr>
    </w:p>
    <w:p w14:paraId="40136A95" w14:textId="77777777" w:rsidR="000006A4" w:rsidRPr="000006A4" w:rsidRDefault="000006A4" w:rsidP="000006A4">
      <w:pPr>
        <w:rPr>
          <w:rFonts w:asciiTheme="minorHAnsi" w:hAnsiTheme="minorHAnsi" w:cstheme="minorHAnsi"/>
          <w:sz w:val="16"/>
          <w:szCs w:val="16"/>
        </w:rPr>
      </w:pPr>
    </w:p>
    <w:p w14:paraId="670592D8" w14:textId="77777777" w:rsidR="000006A4" w:rsidRPr="000006A4" w:rsidRDefault="000006A4" w:rsidP="000006A4">
      <w:pPr>
        <w:rPr>
          <w:rFonts w:asciiTheme="minorHAnsi" w:hAnsiTheme="minorHAnsi" w:cstheme="minorHAnsi"/>
          <w:sz w:val="16"/>
          <w:szCs w:val="16"/>
        </w:rPr>
      </w:pPr>
    </w:p>
    <w:p w14:paraId="248302E0" w14:textId="77777777" w:rsidR="000006A4" w:rsidRPr="000006A4" w:rsidRDefault="000006A4" w:rsidP="000006A4">
      <w:pPr>
        <w:rPr>
          <w:rFonts w:asciiTheme="minorHAnsi" w:hAnsiTheme="minorHAnsi" w:cstheme="minorHAnsi"/>
          <w:sz w:val="16"/>
          <w:szCs w:val="16"/>
        </w:rPr>
      </w:pPr>
    </w:p>
    <w:p w14:paraId="3BD212B4" w14:textId="77777777" w:rsidR="000006A4" w:rsidRPr="000006A4" w:rsidRDefault="000006A4" w:rsidP="000006A4">
      <w:pPr>
        <w:rPr>
          <w:rFonts w:asciiTheme="minorHAnsi" w:hAnsiTheme="minorHAnsi" w:cstheme="minorHAnsi"/>
          <w:sz w:val="16"/>
          <w:szCs w:val="16"/>
        </w:rPr>
      </w:pPr>
    </w:p>
    <w:p w14:paraId="5C92AF34" w14:textId="77777777" w:rsidR="000006A4" w:rsidRPr="000006A4" w:rsidRDefault="000006A4" w:rsidP="000006A4">
      <w:pPr>
        <w:rPr>
          <w:rFonts w:asciiTheme="minorHAnsi" w:hAnsiTheme="minorHAnsi" w:cstheme="minorHAnsi"/>
          <w:sz w:val="16"/>
          <w:szCs w:val="16"/>
        </w:rPr>
      </w:pPr>
    </w:p>
    <w:p w14:paraId="0E47A822" w14:textId="77777777" w:rsidR="000006A4" w:rsidRPr="000006A4" w:rsidRDefault="000006A4" w:rsidP="000006A4">
      <w:pPr>
        <w:rPr>
          <w:rFonts w:asciiTheme="minorHAnsi" w:hAnsiTheme="minorHAnsi" w:cstheme="minorHAnsi"/>
          <w:sz w:val="16"/>
          <w:szCs w:val="16"/>
        </w:rPr>
      </w:pPr>
    </w:p>
    <w:p w14:paraId="0BB6E1AF" w14:textId="77777777" w:rsidR="000006A4" w:rsidRPr="000006A4" w:rsidRDefault="000006A4" w:rsidP="000006A4">
      <w:pPr>
        <w:rPr>
          <w:rFonts w:asciiTheme="minorHAnsi" w:hAnsiTheme="minorHAnsi" w:cstheme="minorHAnsi"/>
          <w:sz w:val="16"/>
          <w:szCs w:val="16"/>
        </w:rPr>
      </w:pPr>
    </w:p>
    <w:p w14:paraId="54DB08FB" w14:textId="71F46444" w:rsidR="000006A4" w:rsidRPr="000006A4" w:rsidRDefault="000006A4" w:rsidP="000006A4">
      <w:pPr>
        <w:tabs>
          <w:tab w:val="left" w:pos="1860"/>
        </w:tabs>
        <w:rPr>
          <w:rFonts w:asciiTheme="minorHAnsi" w:hAnsiTheme="minorHAnsi" w:cstheme="minorHAnsi"/>
          <w:sz w:val="16"/>
          <w:szCs w:val="16"/>
        </w:rPr>
      </w:pPr>
      <w:r>
        <w:rPr>
          <w:rFonts w:asciiTheme="minorHAnsi" w:hAnsiTheme="minorHAnsi" w:cstheme="minorHAnsi"/>
          <w:sz w:val="16"/>
          <w:szCs w:val="16"/>
        </w:rPr>
        <w:tab/>
      </w:r>
    </w:p>
    <w:sectPr w:rsidR="000006A4" w:rsidRPr="000006A4" w:rsidSect="00152C06">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1AFE3" w14:textId="77777777" w:rsidR="00191315" w:rsidRDefault="00191315">
      <w:r>
        <w:separator/>
      </w:r>
    </w:p>
  </w:endnote>
  <w:endnote w:type="continuationSeparator" w:id="0">
    <w:p w14:paraId="3A39A8E0" w14:textId="77777777" w:rsidR="00191315" w:rsidRDefault="00191315">
      <w:r>
        <w:continuationSeparator/>
      </w:r>
    </w:p>
  </w:endnote>
  <w:endnote w:type="continuationNotice" w:id="1">
    <w:p w14:paraId="7C18B991" w14:textId="77777777" w:rsidR="00191315" w:rsidRDefault="00191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22C0CEA7" w:rsidR="006D3A59" w:rsidRPr="000006A4" w:rsidRDefault="006D3A59" w:rsidP="00DF407B">
    <w:pPr>
      <w:pStyle w:val="Footer"/>
      <w:tabs>
        <w:tab w:val="clear" w:pos="4320"/>
        <w:tab w:val="center" w:pos="5040"/>
      </w:tabs>
      <w:rPr>
        <w:rFonts w:asciiTheme="minorHAnsi" w:hAnsiTheme="minorHAnsi" w:cstheme="minorHAnsi"/>
        <w:sz w:val="20"/>
      </w:rPr>
    </w:pPr>
    <w:r w:rsidRPr="000006A4">
      <w:rPr>
        <w:rFonts w:asciiTheme="minorHAnsi" w:hAnsiTheme="minorHAnsi" w:cstheme="minorHAnsi"/>
        <w:sz w:val="20"/>
      </w:rPr>
      <w:t xml:space="preserve">© </w:t>
    </w:r>
    <w:r w:rsidR="005B478B" w:rsidRPr="000006A4">
      <w:rPr>
        <w:rFonts w:asciiTheme="minorHAnsi" w:hAnsiTheme="minorHAnsi" w:cstheme="minorHAnsi"/>
        <w:sz w:val="20"/>
      </w:rPr>
      <w:t>20</w:t>
    </w:r>
    <w:r w:rsidR="00CA4E49" w:rsidRPr="000006A4">
      <w:rPr>
        <w:rFonts w:asciiTheme="minorHAnsi" w:hAnsiTheme="minorHAnsi" w:cstheme="minorHAnsi"/>
        <w:sz w:val="20"/>
      </w:rPr>
      <w:t>2</w:t>
    </w:r>
    <w:r w:rsidR="00570CA0" w:rsidRPr="000006A4">
      <w:rPr>
        <w:rFonts w:asciiTheme="minorHAnsi" w:hAnsiTheme="minorHAnsi" w:cstheme="minorHAnsi"/>
        <w:sz w:val="20"/>
      </w:rPr>
      <w:t>5</w:t>
    </w:r>
    <w:r w:rsidRPr="000006A4">
      <w:rPr>
        <w:rFonts w:asciiTheme="minorHAnsi" w:hAnsiTheme="minorHAnsi" w:cstheme="minorHAnsi"/>
        <w:sz w:val="20"/>
      </w:rPr>
      <w:t xml:space="preserve"> National Association of Insurance Commissioners</w:t>
    </w:r>
    <w:r w:rsidR="00DF407B" w:rsidRPr="000006A4">
      <w:rPr>
        <w:rFonts w:asciiTheme="minorHAnsi" w:hAnsiTheme="minorHAnsi" w:cstheme="minorHAnsi"/>
        <w:sz w:val="20"/>
      </w:rPr>
      <w:tab/>
    </w:r>
    <w:r w:rsidRPr="000006A4">
      <w:rPr>
        <w:rStyle w:val="PageNumber"/>
        <w:rFonts w:asciiTheme="minorHAnsi" w:hAnsiTheme="minorHAnsi" w:cstheme="minorHAnsi"/>
        <w:sz w:val="20"/>
      </w:rPr>
      <w:fldChar w:fldCharType="begin"/>
    </w:r>
    <w:r w:rsidRPr="000006A4">
      <w:rPr>
        <w:rStyle w:val="PageNumber"/>
        <w:rFonts w:asciiTheme="minorHAnsi" w:hAnsiTheme="minorHAnsi" w:cstheme="minorHAnsi"/>
        <w:sz w:val="20"/>
      </w:rPr>
      <w:instrText xml:space="preserve"> PAGE </w:instrText>
    </w:r>
    <w:r w:rsidRPr="000006A4">
      <w:rPr>
        <w:rStyle w:val="PageNumber"/>
        <w:rFonts w:asciiTheme="minorHAnsi" w:hAnsiTheme="minorHAnsi" w:cstheme="minorHAnsi"/>
        <w:sz w:val="20"/>
      </w:rPr>
      <w:fldChar w:fldCharType="separate"/>
    </w:r>
    <w:r w:rsidR="00626EC0" w:rsidRPr="000006A4">
      <w:rPr>
        <w:rStyle w:val="PageNumber"/>
        <w:rFonts w:asciiTheme="minorHAnsi" w:hAnsiTheme="minorHAnsi" w:cstheme="minorHAnsi"/>
        <w:noProof/>
        <w:sz w:val="20"/>
      </w:rPr>
      <w:t>2</w:t>
    </w:r>
    <w:r w:rsidRPr="000006A4">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4F67" w14:textId="77777777" w:rsidR="00191315" w:rsidRDefault="00191315">
      <w:r>
        <w:separator/>
      </w:r>
    </w:p>
  </w:footnote>
  <w:footnote w:type="continuationSeparator" w:id="0">
    <w:p w14:paraId="21D72DFE" w14:textId="77777777" w:rsidR="00191315" w:rsidRDefault="00191315">
      <w:r>
        <w:continuationSeparator/>
      </w:r>
    </w:p>
  </w:footnote>
  <w:footnote w:type="continuationNotice" w:id="1">
    <w:p w14:paraId="0A8357B7" w14:textId="77777777" w:rsidR="00191315" w:rsidRDefault="00191315"/>
  </w:footnote>
  <w:footnote w:id="2">
    <w:p w14:paraId="053B89E8" w14:textId="0BFF05C1" w:rsidR="008933CF" w:rsidRPr="00572008" w:rsidRDefault="008933CF" w:rsidP="008933CF">
      <w:pPr>
        <w:pStyle w:val="BodyTextIndent"/>
        <w:spacing w:after="0"/>
        <w:ind w:left="0"/>
        <w:jc w:val="both"/>
        <w:rPr>
          <w:rFonts w:ascii="Calibri" w:hAnsi="Calibri" w:cs="Calibri"/>
          <w:sz w:val="18"/>
          <w:szCs w:val="18"/>
        </w:rPr>
      </w:pPr>
      <w:r w:rsidRPr="00572008">
        <w:rPr>
          <w:rStyle w:val="FootnoteReference"/>
          <w:rFonts w:ascii="Calibri" w:hAnsi="Calibri" w:cs="Calibri"/>
          <w:sz w:val="18"/>
          <w:szCs w:val="18"/>
        </w:rPr>
        <w:footnoteRef/>
      </w:r>
      <w:r w:rsidRPr="00572008">
        <w:rPr>
          <w:rFonts w:ascii="Calibri" w:hAnsi="Calibri" w:cs="Calibri"/>
          <w:sz w:val="18"/>
          <w:szCs w:val="18"/>
        </w:rPr>
        <w:t xml:space="preserve"> </w:t>
      </w:r>
      <w:r w:rsidRPr="00572008">
        <w:rPr>
          <w:rFonts w:ascii="Calibri" w:hAnsi="Calibri" w:cs="Calibri"/>
          <w:sz w:val="18"/>
          <w:szCs w:val="18"/>
          <w:u w:val="single"/>
        </w:rPr>
        <w:t xml:space="preserve">Primer / Recap: </w:t>
      </w:r>
      <w:r w:rsidRPr="00572008">
        <w:rPr>
          <w:rFonts w:ascii="Calibri" w:hAnsi="Calibri" w:cs="Calibri"/>
          <w:sz w:val="18"/>
          <w:szCs w:val="18"/>
        </w:rPr>
        <w:t>IMR is a statutory concept used to defer and amortize realized interest</w:t>
      </w:r>
      <w:r w:rsidR="0009351C" w:rsidRPr="00572008">
        <w:rPr>
          <w:rFonts w:ascii="Calibri" w:hAnsi="Calibri" w:cs="Calibri"/>
          <w:sz w:val="18"/>
          <w:szCs w:val="18"/>
        </w:rPr>
        <w:t>-</w:t>
      </w:r>
      <w:r w:rsidRPr="00572008">
        <w:rPr>
          <w:rFonts w:ascii="Calibri" w:hAnsi="Calibri" w:cs="Calibri"/>
          <w:sz w:val="18"/>
          <w:szCs w:val="18"/>
        </w:rPr>
        <w:t xml:space="preserve">related gains and losses generated from the sale of fixed income instruments before maturity. When a sale occurs with a realized gain, it is considered a positive IMR (liability). When a sale occurs with a realized loss, it is considered a negative IMR. Reporting entities collectively report the IMR based on the net negative or positive position. Prior to </w:t>
      </w:r>
      <w:r w:rsidRPr="00572008">
        <w:rPr>
          <w:rFonts w:ascii="Calibri" w:hAnsi="Calibri" w:cs="Calibri"/>
          <w:i/>
          <w:iCs/>
          <w:sz w:val="18"/>
          <w:szCs w:val="18"/>
        </w:rPr>
        <w:t>INT 23-01: Net Negative (Disallowed) IMR</w:t>
      </w:r>
      <w:r w:rsidRPr="00572008">
        <w:rPr>
          <w:rFonts w:ascii="Calibri" w:hAnsi="Calibri" w:cs="Calibri"/>
          <w:sz w:val="18"/>
          <w:szCs w:val="18"/>
        </w:rPr>
        <w:t xml:space="preserve">, net negative IMR was a nonadmitted asset. Under INT 23-01 net negative IMR is permitted to be admitted up to 10% of adjusted capital and surplus. This INT has an effective date through Dec. 31, 2026. Consideration of a long-term approach for net negative IMR was directed as part of the INT adoption. The IMR Ad Hoc Group has been working to establish key concepts for future inclusion in </w:t>
      </w:r>
      <w:r w:rsidRPr="00572008">
        <w:rPr>
          <w:rFonts w:ascii="Calibri" w:hAnsi="Calibri" w:cs="Calibri"/>
          <w:i/>
          <w:iCs/>
          <w:sz w:val="18"/>
          <w:szCs w:val="18"/>
        </w:rPr>
        <w:t>SSAP No. 7—Asset Valuation Reserve and Interest Maintenance Reserve</w:t>
      </w:r>
      <w:r w:rsidRPr="00572008">
        <w:rPr>
          <w:rFonts w:ascii="Calibri" w:hAnsi="Calibri" w:cs="Calibri"/>
          <w:sz w:val="18"/>
          <w:szCs w:val="18"/>
        </w:rPr>
        <w:t xml:space="preserve">. </w:t>
      </w:r>
    </w:p>
    <w:p w14:paraId="33FFDD1C" w14:textId="582641B3" w:rsidR="008933CF" w:rsidRDefault="008933CF">
      <w:pPr>
        <w:pStyle w:val="FootnoteText"/>
      </w:pPr>
    </w:p>
  </w:footnote>
  <w:footnote w:id="3">
    <w:p w14:paraId="0B3042F0" w14:textId="4610BE5D" w:rsidR="00316379" w:rsidRPr="00572008" w:rsidRDefault="00316379" w:rsidP="00316379">
      <w:pPr>
        <w:pStyle w:val="FootnoteText"/>
        <w:jc w:val="both"/>
        <w:rPr>
          <w:rFonts w:ascii="Calibri" w:hAnsi="Calibri" w:cs="Calibri"/>
        </w:rPr>
      </w:pPr>
      <w:r w:rsidRPr="00572008">
        <w:rPr>
          <w:rStyle w:val="FootnoteReference"/>
          <w:rFonts w:ascii="Calibri" w:hAnsi="Calibri" w:cs="Calibri"/>
        </w:rPr>
        <w:footnoteRef/>
      </w:r>
      <w:r w:rsidRPr="00572008">
        <w:rPr>
          <w:rFonts w:ascii="Calibri" w:hAnsi="Calibri" w:cs="Calibri"/>
        </w:rPr>
        <w:t xml:space="preserve"> </w:t>
      </w:r>
      <w:r w:rsidR="00384944" w:rsidRPr="00572008">
        <w:rPr>
          <w:rFonts w:ascii="Calibri" w:hAnsi="Calibri" w:cs="Calibri"/>
        </w:rPr>
        <w:t>The proof of reinvestment only focuses on bonds and mortgage loans as they represent the majority of fixed-income items acquired and sold by reporting entities. Consideration was given to requiring an assessment of those items if they represented 10% or more of a reporting entity’s fixed-income sales for a given year, however, with the decision to require AVR allocation for items held at fair value, this provision was eliminated. If included, it would have a required a manual adjustment to the proof by the reporting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995D" w14:textId="6D37C89D" w:rsidR="00C97BE7" w:rsidRPr="000006A4" w:rsidRDefault="00C97BE7">
    <w:pPr>
      <w:pStyle w:val="Header"/>
      <w:jc w:val="right"/>
      <w:rPr>
        <w:rFonts w:asciiTheme="minorHAnsi" w:hAnsiTheme="minorHAnsi" w:cstheme="minorHAnsi"/>
        <w:b/>
        <w:sz w:val="20"/>
      </w:rPr>
    </w:pPr>
  </w:p>
  <w:p w14:paraId="14FEED1A" w14:textId="1CADF70F" w:rsidR="006D3A59" w:rsidRPr="000006A4" w:rsidRDefault="006D3A59">
    <w:pPr>
      <w:pStyle w:val="Header"/>
      <w:jc w:val="right"/>
      <w:rPr>
        <w:rFonts w:asciiTheme="minorHAnsi" w:hAnsiTheme="minorHAnsi" w:cstheme="minorHAnsi"/>
        <w:bCs/>
        <w:sz w:val="20"/>
      </w:rPr>
    </w:pPr>
    <w:r w:rsidRPr="000006A4">
      <w:rPr>
        <w:rFonts w:asciiTheme="minorHAnsi" w:hAnsiTheme="minorHAnsi" w:cstheme="minorHAnsi"/>
        <w:bCs/>
        <w:sz w:val="20"/>
      </w:rPr>
      <w:t>Ref #</w:t>
    </w:r>
    <w:r w:rsidR="00EA089E" w:rsidRPr="000006A4">
      <w:rPr>
        <w:rFonts w:asciiTheme="minorHAnsi" w:hAnsiTheme="minorHAnsi" w:cstheme="minorHAnsi"/>
        <w:bCs/>
        <w:sz w:val="20"/>
      </w:rPr>
      <w:t>2025-</w:t>
    </w:r>
    <w:r w:rsidR="000006A4">
      <w:rPr>
        <w:rFonts w:asciiTheme="minorHAnsi" w:hAnsiTheme="minorHAnsi" w:cstheme="minorHAnsi"/>
        <w:bCs/>
        <w:sz w:val="20"/>
      </w:rPr>
      <w:t>23</w:t>
    </w:r>
  </w:p>
  <w:p w14:paraId="12DAC63B" w14:textId="77777777" w:rsidR="006D3A59" w:rsidRPr="000006A4" w:rsidRDefault="006D3A59">
    <w:pPr>
      <w:pStyle w:val="Header"/>
      <w:jc w:val="right"/>
      <w:rPr>
        <w:rFonts w:asciiTheme="minorHAnsi" w:hAnsiTheme="minorHAnsi" w:cstheme="minorHAns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0A914D5"/>
    <w:multiLevelType w:val="singleLevel"/>
    <w:tmpl w:val="B6C656D6"/>
    <w:lvl w:ilvl="0">
      <w:start w:val="1"/>
      <w:numFmt w:val="lowerLetter"/>
      <w:lvlText w:val="%1."/>
      <w:legacy w:legacy="1" w:legacySpace="0" w:legacyIndent="720"/>
      <w:lvlJc w:val="left"/>
      <w:pPr>
        <w:ind w:left="1440" w:hanging="720"/>
      </w:pPr>
    </w:lvl>
  </w:abstractNum>
  <w:abstractNum w:abstractNumId="4" w15:restartNumberingAfterBreak="0">
    <w:nsid w:val="05885650"/>
    <w:multiLevelType w:val="singleLevel"/>
    <w:tmpl w:val="B6C656D6"/>
    <w:lvl w:ilvl="0">
      <w:start w:val="1"/>
      <w:numFmt w:val="lowerLetter"/>
      <w:lvlText w:val="%1."/>
      <w:legacy w:legacy="1" w:legacySpace="0" w:legacyIndent="720"/>
      <w:lvlJc w:val="left"/>
      <w:pPr>
        <w:ind w:left="1440" w:hanging="720"/>
      </w:pPr>
    </w:lvl>
  </w:abstractNum>
  <w:abstractNum w:abstractNumId="5" w15:restartNumberingAfterBreak="0">
    <w:nsid w:val="061E5CF7"/>
    <w:multiLevelType w:val="hybridMultilevel"/>
    <w:tmpl w:val="8340C75A"/>
    <w:lvl w:ilvl="0" w:tplc="58B2F5E2">
      <w:start w:val="18"/>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4E7739"/>
    <w:multiLevelType w:val="hybridMultilevel"/>
    <w:tmpl w:val="095C8030"/>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1C868EC"/>
    <w:multiLevelType w:val="hybridMultilevel"/>
    <w:tmpl w:val="CDF6EE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509DA"/>
    <w:multiLevelType w:val="hybridMultilevel"/>
    <w:tmpl w:val="CCFC6B3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C2D55"/>
    <w:multiLevelType w:val="hybridMultilevel"/>
    <w:tmpl w:val="A3267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224549"/>
    <w:multiLevelType w:val="hybridMultilevel"/>
    <w:tmpl w:val="C9AA26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AE1505"/>
    <w:multiLevelType w:val="hybridMultilevel"/>
    <w:tmpl w:val="679C68F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FFFFFFFF">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79511B"/>
    <w:multiLevelType w:val="hybridMultilevel"/>
    <w:tmpl w:val="67E66C8C"/>
    <w:lvl w:ilvl="0" w:tplc="05F4BEA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16141"/>
    <w:multiLevelType w:val="hybridMultilevel"/>
    <w:tmpl w:val="ECF8A50E"/>
    <w:lvl w:ilvl="0" w:tplc="3944312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A8353C"/>
    <w:multiLevelType w:val="hybridMultilevel"/>
    <w:tmpl w:val="0B484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91A4F"/>
    <w:multiLevelType w:val="hybridMultilevel"/>
    <w:tmpl w:val="CDF6EE1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0794F4C"/>
    <w:multiLevelType w:val="multilevel"/>
    <w:tmpl w:val="ADDC8270"/>
    <w:lvl w:ilvl="0">
      <w:start w:val="1"/>
      <w:numFmt w:val="decimal"/>
      <w:lvlText w:val="%1."/>
      <w:lvlJc w:val="left"/>
      <w:pPr>
        <w:tabs>
          <w:tab w:val="num" w:pos="360"/>
        </w:tabs>
        <w:ind w:left="0" w:firstLine="0"/>
      </w:pPr>
      <w:rPr>
        <w:rFonts w:hint="default"/>
        <w:b w:val="0"/>
        <w:i w:val="0"/>
        <w:color w:val="auto"/>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67310E7"/>
    <w:multiLevelType w:val="hybridMultilevel"/>
    <w:tmpl w:val="2CDC4902"/>
    <w:lvl w:ilvl="0" w:tplc="6114DA7E">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800016"/>
    <w:multiLevelType w:val="hybridMultilevel"/>
    <w:tmpl w:val="DCE0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652E7E"/>
    <w:multiLevelType w:val="singleLevel"/>
    <w:tmpl w:val="B6C656D6"/>
    <w:lvl w:ilvl="0">
      <w:start w:val="1"/>
      <w:numFmt w:val="lowerLetter"/>
      <w:lvlText w:val="%1."/>
      <w:legacy w:legacy="1" w:legacySpace="0" w:legacyIndent="720"/>
      <w:lvlJc w:val="left"/>
      <w:pPr>
        <w:ind w:left="1440" w:hanging="720"/>
      </w:pPr>
    </w:lvl>
  </w:abstractNum>
  <w:abstractNum w:abstractNumId="20" w15:restartNumberingAfterBreak="0">
    <w:nsid w:val="3E550DF1"/>
    <w:multiLevelType w:val="hybridMultilevel"/>
    <w:tmpl w:val="10724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7828B4"/>
    <w:multiLevelType w:val="hybridMultilevel"/>
    <w:tmpl w:val="50146642"/>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59A84E7C"/>
    <w:multiLevelType w:val="hybridMultilevel"/>
    <w:tmpl w:val="50146642"/>
    <w:lvl w:ilvl="0" w:tplc="868894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005B2D"/>
    <w:multiLevelType w:val="hybridMultilevel"/>
    <w:tmpl w:val="21D65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0D1BEE"/>
    <w:multiLevelType w:val="hybridMultilevel"/>
    <w:tmpl w:val="7FDCBD4A"/>
    <w:lvl w:ilvl="0" w:tplc="78C827C6">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C404C"/>
    <w:multiLevelType w:val="multilevel"/>
    <w:tmpl w:val="ADDC8270"/>
    <w:lvl w:ilvl="0">
      <w:start w:val="1"/>
      <w:numFmt w:val="decimal"/>
      <w:lvlText w:val="%1."/>
      <w:lvlJc w:val="left"/>
      <w:pPr>
        <w:tabs>
          <w:tab w:val="num" w:pos="360"/>
        </w:tabs>
        <w:ind w:left="0" w:firstLine="0"/>
      </w:pPr>
      <w:rPr>
        <w:rFonts w:hint="default"/>
        <w:b w:val="0"/>
        <w:i w:val="0"/>
        <w:color w:val="auto"/>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FE85FD5"/>
    <w:multiLevelType w:val="hybridMultilevel"/>
    <w:tmpl w:val="2CF05636"/>
    <w:lvl w:ilvl="0" w:tplc="CCA6834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96E8D730">
      <w:start w:val="2"/>
      <w:numFmt w:val="decimal"/>
      <w:lvlText w:val="%3"/>
      <w:lvlJc w:val="left"/>
      <w:pPr>
        <w:ind w:left="1980" w:hanging="360"/>
      </w:pPr>
      <w:rPr>
        <w:rFonts w:hint="default"/>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30130B5"/>
    <w:multiLevelType w:val="hybridMultilevel"/>
    <w:tmpl w:val="8D686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0625F2"/>
    <w:multiLevelType w:val="hybridMultilevel"/>
    <w:tmpl w:val="0054C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F34565"/>
    <w:multiLevelType w:val="hybridMultilevel"/>
    <w:tmpl w:val="095C8030"/>
    <w:lvl w:ilvl="0" w:tplc="FC028D8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F3EEA"/>
    <w:multiLevelType w:val="hybridMultilevel"/>
    <w:tmpl w:val="CA7EDF5E"/>
    <w:lvl w:ilvl="0" w:tplc="906CFC06">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584779"/>
    <w:multiLevelType w:val="hybridMultilevel"/>
    <w:tmpl w:val="4CFA60FA"/>
    <w:lvl w:ilvl="0" w:tplc="05F4BE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6D2585"/>
    <w:multiLevelType w:val="hybridMultilevel"/>
    <w:tmpl w:val="2CDC4902"/>
    <w:lvl w:ilvl="0" w:tplc="FFFFFFFF">
      <w:start w:val="9"/>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F3038B5"/>
    <w:multiLevelType w:val="singleLevel"/>
    <w:tmpl w:val="B6C656D6"/>
    <w:lvl w:ilvl="0">
      <w:start w:val="1"/>
      <w:numFmt w:val="lowerLetter"/>
      <w:lvlText w:val="%1."/>
      <w:legacy w:legacy="1" w:legacySpace="0" w:legacyIndent="720"/>
      <w:lvlJc w:val="left"/>
      <w:pPr>
        <w:ind w:left="1440" w:hanging="720"/>
      </w:pPr>
    </w:lvl>
  </w:abstractNum>
  <w:abstractNum w:abstractNumId="35" w15:restartNumberingAfterBreak="0">
    <w:nsid w:val="7F3A292C"/>
    <w:multiLevelType w:val="hybridMultilevel"/>
    <w:tmpl w:val="8D686B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017550">
    <w:abstractNumId w:val="24"/>
  </w:num>
  <w:num w:numId="2" w16cid:durableId="364260327">
    <w:abstractNumId w:val="0"/>
  </w:num>
  <w:num w:numId="3" w16cid:durableId="381363988">
    <w:abstractNumId w:val="1"/>
  </w:num>
  <w:num w:numId="4" w16cid:durableId="714891892">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5" w16cid:durableId="1178884407">
    <w:abstractNumId w:val="25"/>
  </w:num>
  <w:num w:numId="6" w16cid:durableId="1458836272">
    <w:abstractNumId w:val="20"/>
  </w:num>
  <w:num w:numId="7" w16cid:durableId="1008948029">
    <w:abstractNumId w:val="32"/>
  </w:num>
  <w:num w:numId="8" w16cid:durableId="1704944180">
    <w:abstractNumId w:val="12"/>
  </w:num>
  <w:num w:numId="9" w16cid:durableId="2079937666">
    <w:abstractNumId w:val="18"/>
  </w:num>
  <w:num w:numId="10" w16cid:durableId="1441994862">
    <w:abstractNumId w:val="13"/>
  </w:num>
  <w:num w:numId="11" w16cid:durableId="1457914985">
    <w:abstractNumId w:val="27"/>
  </w:num>
  <w:num w:numId="12" w16cid:durableId="2145540256">
    <w:abstractNumId w:val="26"/>
  </w:num>
  <w:num w:numId="13" w16cid:durableId="2019230181">
    <w:abstractNumId w:val="8"/>
  </w:num>
  <w:num w:numId="14" w16cid:durableId="1693188679">
    <w:abstractNumId w:val="16"/>
  </w:num>
  <w:num w:numId="15" w16cid:durableId="1734499745">
    <w:abstractNumId w:val="28"/>
  </w:num>
  <w:num w:numId="16" w16cid:durableId="809783737">
    <w:abstractNumId w:val="7"/>
  </w:num>
  <w:num w:numId="17" w16cid:durableId="1794664839">
    <w:abstractNumId w:val="17"/>
  </w:num>
  <w:num w:numId="18" w16cid:durableId="834413886">
    <w:abstractNumId w:val="35"/>
  </w:num>
  <w:num w:numId="19" w16cid:durableId="127864152">
    <w:abstractNumId w:val="15"/>
  </w:num>
  <w:num w:numId="20" w16cid:durableId="370040414">
    <w:abstractNumId w:val="33"/>
  </w:num>
  <w:num w:numId="21" w16cid:durableId="822627542">
    <w:abstractNumId w:val="29"/>
  </w:num>
  <w:num w:numId="22" w16cid:durableId="1367607007">
    <w:abstractNumId w:val="23"/>
  </w:num>
  <w:num w:numId="23" w16cid:durableId="1331368468">
    <w:abstractNumId w:val="19"/>
    <w:lvlOverride w:ilvl="0">
      <w:startOverride w:val="1"/>
    </w:lvlOverride>
  </w:num>
  <w:num w:numId="24" w16cid:durableId="1345666533">
    <w:abstractNumId w:val="22"/>
  </w:num>
  <w:num w:numId="25" w16cid:durableId="1911112376">
    <w:abstractNumId w:val="30"/>
  </w:num>
  <w:num w:numId="26" w16cid:durableId="1901136938">
    <w:abstractNumId w:val="31"/>
  </w:num>
  <w:num w:numId="27" w16cid:durableId="1994944640">
    <w:abstractNumId w:val="24"/>
  </w:num>
  <w:num w:numId="28" w16cid:durableId="839151091">
    <w:abstractNumId w:val="34"/>
  </w:num>
  <w:num w:numId="29" w16cid:durableId="153645697">
    <w:abstractNumId w:val="5"/>
  </w:num>
  <w:num w:numId="30" w16cid:durableId="1413315190">
    <w:abstractNumId w:val="3"/>
  </w:num>
  <w:num w:numId="31" w16cid:durableId="683477284">
    <w:abstractNumId w:val="21"/>
  </w:num>
  <w:num w:numId="32" w16cid:durableId="414861052">
    <w:abstractNumId w:val="6"/>
  </w:num>
  <w:num w:numId="33" w16cid:durableId="1978295721">
    <w:abstractNumId w:val="4"/>
  </w:num>
  <w:num w:numId="34" w16cid:durableId="1334182810">
    <w:abstractNumId w:val="10"/>
  </w:num>
  <w:num w:numId="35" w16cid:durableId="205677545">
    <w:abstractNumId w:val="11"/>
  </w:num>
  <w:num w:numId="36" w16cid:durableId="777140421">
    <w:abstractNumId w:val="14"/>
  </w:num>
  <w:num w:numId="37" w16cid:durableId="101457824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6A4"/>
    <w:rsid w:val="000009EA"/>
    <w:rsid w:val="0000107E"/>
    <w:rsid w:val="0000152F"/>
    <w:rsid w:val="0000167A"/>
    <w:rsid w:val="00001D36"/>
    <w:rsid w:val="00001D90"/>
    <w:rsid w:val="000023A9"/>
    <w:rsid w:val="00002559"/>
    <w:rsid w:val="000027E1"/>
    <w:rsid w:val="00004652"/>
    <w:rsid w:val="0000489A"/>
    <w:rsid w:val="00005D2F"/>
    <w:rsid w:val="000069A7"/>
    <w:rsid w:val="00006E6E"/>
    <w:rsid w:val="00006FF9"/>
    <w:rsid w:val="00007006"/>
    <w:rsid w:val="00007627"/>
    <w:rsid w:val="000109C5"/>
    <w:rsid w:val="00010B3B"/>
    <w:rsid w:val="00011B34"/>
    <w:rsid w:val="000130E2"/>
    <w:rsid w:val="000138D5"/>
    <w:rsid w:val="00013BBC"/>
    <w:rsid w:val="00014577"/>
    <w:rsid w:val="00015830"/>
    <w:rsid w:val="00016091"/>
    <w:rsid w:val="000161FE"/>
    <w:rsid w:val="00016321"/>
    <w:rsid w:val="000170A4"/>
    <w:rsid w:val="000171E3"/>
    <w:rsid w:val="000176AB"/>
    <w:rsid w:val="0001788D"/>
    <w:rsid w:val="000179BF"/>
    <w:rsid w:val="00020E4B"/>
    <w:rsid w:val="00021028"/>
    <w:rsid w:val="000210E2"/>
    <w:rsid w:val="0002240D"/>
    <w:rsid w:val="00023391"/>
    <w:rsid w:val="000238DA"/>
    <w:rsid w:val="00023E5B"/>
    <w:rsid w:val="00025317"/>
    <w:rsid w:val="00025817"/>
    <w:rsid w:val="00026441"/>
    <w:rsid w:val="000273D7"/>
    <w:rsid w:val="000276A4"/>
    <w:rsid w:val="00027A72"/>
    <w:rsid w:val="000301A7"/>
    <w:rsid w:val="000303F0"/>
    <w:rsid w:val="000309E6"/>
    <w:rsid w:val="00030E84"/>
    <w:rsid w:val="000337E3"/>
    <w:rsid w:val="0003404E"/>
    <w:rsid w:val="000340AB"/>
    <w:rsid w:val="000347DD"/>
    <w:rsid w:val="000349B5"/>
    <w:rsid w:val="00034B2F"/>
    <w:rsid w:val="0003553F"/>
    <w:rsid w:val="000360CE"/>
    <w:rsid w:val="000361C6"/>
    <w:rsid w:val="0003748A"/>
    <w:rsid w:val="00037EB2"/>
    <w:rsid w:val="00040782"/>
    <w:rsid w:val="00040C83"/>
    <w:rsid w:val="0004316D"/>
    <w:rsid w:val="00043358"/>
    <w:rsid w:val="00043ADE"/>
    <w:rsid w:val="00043BC8"/>
    <w:rsid w:val="00045077"/>
    <w:rsid w:val="00046033"/>
    <w:rsid w:val="000463EA"/>
    <w:rsid w:val="00046EC8"/>
    <w:rsid w:val="00047A25"/>
    <w:rsid w:val="00047EE2"/>
    <w:rsid w:val="00050373"/>
    <w:rsid w:val="00050942"/>
    <w:rsid w:val="00052548"/>
    <w:rsid w:val="00053670"/>
    <w:rsid w:val="00053C91"/>
    <w:rsid w:val="00053F7A"/>
    <w:rsid w:val="00054D98"/>
    <w:rsid w:val="00054FC7"/>
    <w:rsid w:val="00054FF9"/>
    <w:rsid w:val="00055811"/>
    <w:rsid w:val="00055D8C"/>
    <w:rsid w:val="00056814"/>
    <w:rsid w:val="00056E97"/>
    <w:rsid w:val="000579B6"/>
    <w:rsid w:val="00057CF4"/>
    <w:rsid w:val="000604F6"/>
    <w:rsid w:val="000608A6"/>
    <w:rsid w:val="000609D3"/>
    <w:rsid w:val="00060B48"/>
    <w:rsid w:val="00060CD6"/>
    <w:rsid w:val="00061004"/>
    <w:rsid w:val="00062300"/>
    <w:rsid w:val="000623F9"/>
    <w:rsid w:val="00062948"/>
    <w:rsid w:val="000632AA"/>
    <w:rsid w:val="00064BC7"/>
    <w:rsid w:val="00065305"/>
    <w:rsid w:val="00065350"/>
    <w:rsid w:val="00065373"/>
    <w:rsid w:val="0006644D"/>
    <w:rsid w:val="00066E84"/>
    <w:rsid w:val="00067232"/>
    <w:rsid w:val="000675CC"/>
    <w:rsid w:val="00067C29"/>
    <w:rsid w:val="00067DE5"/>
    <w:rsid w:val="00070094"/>
    <w:rsid w:val="00070A86"/>
    <w:rsid w:val="00071194"/>
    <w:rsid w:val="00071500"/>
    <w:rsid w:val="00071609"/>
    <w:rsid w:val="00071709"/>
    <w:rsid w:val="000720AF"/>
    <w:rsid w:val="0007286C"/>
    <w:rsid w:val="00073865"/>
    <w:rsid w:val="00073BD7"/>
    <w:rsid w:val="00073C19"/>
    <w:rsid w:val="00073E68"/>
    <w:rsid w:val="00073EEB"/>
    <w:rsid w:val="00074135"/>
    <w:rsid w:val="00074DCF"/>
    <w:rsid w:val="0007588B"/>
    <w:rsid w:val="00075A6D"/>
    <w:rsid w:val="000763C3"/>
    <w:rsid w:val="000770F7"/>
    <w:rsid w:val="00077B4F"/>
    <w:rsid w:val="00081D34"/>
    <w:rsid w:val="000822AC"/>
    <w:rsid w:val="0008475C"/>
    <w:rsid w:val="00085065"/>
    <w:rsid w:val="000851DB"/>
    <w:rsid w:val="000851ED"/>
    <w:rsid w:val="0008523F"/>
    <w:rsid w:val="000856B0"/>
    <w:rsid w:val="000856DF"/>
    <w:rsid w:val="00085C46"/>
    <w:rsid w:val="00085F3C"/>
    <w:rsid w:val="000865F6"/>
    <w:rsid w:val="00087568"/>
    <w:rsid w:val="00087733"/>
    <w:rsid w:val="00087FD0"/>
    <w:rsid w:val="00090B8E"/>
    <w:rsid w:val="00090F49"/>
    <w:rsid w:val="00091380"/>
    <w:rsid w:val="00091D47"/>
    <w:rsid w:val="00091DC8"/>
    <w:rsid w:val="00092527"/>
    <w:rsid w:val="00092614"/>
    <w:rsid w:val="0009286F"/>
    <w:rsid w:val="00092D78"/>
    <w:rsid w:val="0009306F"/>
    <w:rsid w:val="0009351C"/>
    <w:rsid w:val="00093997"/>
    <w:rsid w:val="0009439F"/>
    <w:rsid w:val="00094644"/>
    <w:rsid w:val="00094931"/>
    <w:rsid w:val="000956B9"/>
    <w:rsid w:val="000957DA"/>
    <w:rsid w:val="0009627E"/>
    <w:rsid w:val="000967FA"/>
    <w:rsid w:val="00096A9C"/>
    <w:rsid w:val="00096B0D"/>
    <w:rsid w:val="00097320"/>
    <w:rsid w:val="00097CDC"/>
    <w:rsid w:val="00097D1E"/>
    <w:rsid w:val="000A0E4D"/>
    <w:rsid w:val="000A198F"/>
    <w:rsid w:val="000A1A64"/>
    <w:rsid w:val="000A1AE1"/>
    <w:rsid w:val="000A1F32"/>
    <w:rsid w:val="000A322E"/>
    <w:rsid w:val="000A338D"/>
    <w:rsid w:val="000A3C51"/>
    <w:rsid w:val="000A3E6D"/>
    <w:rsid w:val="000A4686"/>
    <w:rsid w:val="000A58BA"/>
    <w:rsid w:val="000A711B"/>
    <w:rsid w:val="000A7381"/>
    <w:rsid w:val="000A745C"/>
    <w:rsid w:val="000B05B5"/>
    <w:rsid w:val="000B1BA0"/>
    <w:rsid w:val="000B34A8"/>
    <w:rsid w:val="000B4849"/>
    <w:rsid w:val="000B4A29"/>
    <w:rsid w:val="000B5ADA"/>
    <w:rsid w:val="000B5B00"/>
    <w:rsid w:val="000B5FC9"/>
    <w:rsid w:val="000B6268"/>
    <w:rsid w:val="000B72D4"/>
    <w:rsid w:val="000C07C7"/>
    <w:rsid w:val="000C11B3"/>
    <w:rsid w:val="000C1AD7"/>
    <w:rsid w:val="000C1EFD"/>
    <w:rsid w:val="000C21F0"/>
    <w:rsid w:val="000C2D7A"/>
    <w:rsid w:val="000C3045"/>
    <w:rsid w:val="000C38E3"/>
    <w:rsid w:val="000C4240"/>
    <w:rsid w:val="000C453A"/>
    <w:rsid w:val="000C5EA8"/>
    <w:rsid w:val="000C61ED"/>
    <w:rsid w:val="000C6895"/>
    <w:rsid w:val="000C6981"/>
    <w:rsid w:val="000C6EE3"/>
    <w:rsid w:val="000C7150"/>
    <w:rsid w:val="000C7D35"/>
    <w:rsid w:val="000D045D"/>
    <w:rsid w:val="000D0AE1"/>
    <w:rsid w:val="000D1226"/>
    <w:rsid w:val="000D25E9"/>
    <w:rsid w:val="000D2AD3"/>
    <w:rsid w:val="000D2E77"/>
    <w:rsid w:val="000D4363"/>
    <w:rsid w:val="000D4576"/>
    <w:rsid w:val="000D6AE8"/>
    <w:rsid w:val="000D6CB3"/>
    <w:rsid w:val="000D74B1"/>
    <w:rsid w:val="000E09FA"/>
    <w:rsid w:val="000E0CCF"/>
    <w:rsid w:val="000E1131"/>
    <w:rsid w:val="000E16CA"/>
    <w:rsid w:val="000E174A"/>
    <w:rsid w:val="000E199F"/>
    <w:rsid w:val="000E3325"/>
    <w:rsid w:val="000E3901"/>
    <w:rsid w:val="000E41AC"/>
    <w:rsid w:val="000E43C8"/>
    <w:rsid w:val="000E4751"/>
    <w:rsid w:val="000E48F7"/>
    <w:rsid w:val="000E6BDE"/>
    <w:rsid w:val="000E7588"/>
    <w:rsid w:val="000F17DA"/>
    <w:rsid w:val="000F20C9"/>
    <w:rsid w:val="000F2751"/>
    <w:rsid w:val="000F47A2"/>
    <w:rsid w:val="000F5114"/>
    <w:rsid w:val="000F5D26"/>
    <w:rsid w:val="000F6124"/>
    <w:rsid w:val="000F74B4"/>
    <w:rsid w:val="000F79D9"/>
    <w:rsid w:val="000F7BCD"/>
    <w:rsid w:val="00100949"/>
    <w:rsid w:val="0010170F"/>
    <w:rsid w:val="001017BB"/>
    <w:rsid w:val="00102900"/>
    <w:rsid w:val="00103306"/>
    <w:rsid w:val="00103E8C"/>
    <w:rsid w:val="00104063"/>
    <w:rsid w:val="00104188"/>
    <w:rsid w:val="00105D74"/>
    <w:rsid w:val="001063D1"/>
    <w:rsid w:val="001077A1"/>
    <w:rsid w:val="0011091C"/>
    <w:rsid w:val="00110932"/>
    <w:rsid w:val="00111698"/>
    <w:rsid w:val="0011253D"/>
    <w:rsid w:val="001127D9"/>
    <w:rsid w:val="001127F5"/>
    <w:rsid w:val="001129B9"/>
    <w:rsid w:val="00112A59"/>
    <w:rsid w:val="00113CC8"/>
    <w:rsid w:val="00114295"/>
    <w:rsid w:val="00115EF5"/>
    <w:rsid w:val="0011602D"/>
    <w:rsid w:val="0011635B"/>
    <w:rsid w:val="00117566"/>
    <w:rsid w:val="00120AF2"/>
    <w:rsid w:val="0012174E"/>
    <w:rsid w:val="00121CA7"/>
    <w:rsid w:val="00123B24"/>
    <w:rsid w:val="00124880"/>
    <w:rsid w:val="001248B2"/>
    <w:rsid w:val="00125301"/>
    <w:rsid w:val="00125646"/>
    <w:rsid w:val="00125B29"/>
    <w:rsid w:val="00126C73"/>
    <w:rsid w:val="001275E3"/>
    <w:rsid w:val="00127660"/>
    <w:rsid w:val="001317A6"/>
    <w:rsid w:val="00131FC5"/>
    <w:rsid w:val="0013246B"/>
    <w:rsid w:val="00133830"/>
    <w:rsid w:val="0013539B"/>
    <w:rsid w:val="00135EC4"/>
    <w:rsid w:val="001365A9"/>
    <w:rsid w:val="00137E60"/>
    <w:rsid w:val="00140E6B"/>
    <w:rsid w:val="00142381"/>
    <w:rsid w:val="001428F7"/>
    <w:rsid w:val="001430CC"/>
    <w:rsid w:val="00144189"/>
    <w:rsid w:val="00144F00"/>
    <w:rsid w:val="001452F9"/>
    <w:rsid w:val="00145730"/>
    <w:rsid w:val="001462DE"/>
    <w:rsid w:val="0014655D"/>
    <w:rsid w:val="00146BED"/>
    <w:rsid w:val="00152550"/>
    <w:rsid w:val="00152C06"/>
    <w:rsid w:val="001531BB"/>
    <w:rsid w:val="001534E4"/>
    <w:rsid w:val="00154012"/>
    <w:rsid w:val="0015429C"/>
    <w:rsid w:val="0015560C"/>
    <w:rsid w:val="0015579F"/>
    <w:rsid w:val="00156F15"/>
    <w:rsid w:val="001579D2"/>
    <w:rsid w:val="00160161"/>
    <w:rsid w:val="00160306"/>
    <w:rsid w:val="00160362"/>
    <w:rsid w:val="00161888"/>
    <w:rsid w:val="00161964"/>
    <w:rsid w:val="00161979"/>
    <w:rsid w:val="00162876"/>
    <w:rsid w:val="00163734"/>
    <w:rsid w:val="0016377E"/>
    <w:rsid w:val="0016464E"/>
    <w:rsid w:val="00164657"/>
    <w:rsid w:val="001653C5"/>
    <w:rsid w:val="00165430"/>
    <w:rsid w:val="001654CA"/>
    <w:rsid w:val="00165EFA"/>
    <w:rsid w:val="00166423"/>
    <w:rsid w:val="00167224"/>
    <w:rsid w:val="00170450"/>
    <w:rsid w:val="00170A9B"/>
    <w:rsid w:val="00171928"/>
    <w:rsid w:val="00171B9B"/>
    <w:rsid w:val="00171BD9"/>
    <w:rsid w:val="00171ED1"/>
    <w:rsid w:val="00172377"/>
    <w:rsid w:val="0017261A"/>
    <w:rsid w:val="00172BE2"/>
    <w:rsid w:val="0017345A"/>
    <w:rsid w:val="00173828"/>
    <w:rsid w:val="00173F9B"/>
    <w:rsid w:val="00173FD3"/>
    <w:rsid w:val="00174704"/>
    <w:rsid w:val="00175E8C"/>
    <w:rsid w:val="0017686F"/>
    <w:rsid w:val="00176AB2"/>
    <w:rsid w:val="0017719A"/>
    <w:rsid w:val="0018017E"/>
    <w:rsid w:val="00181059"/>
    <w:rsid w:val="00181BAC"/>
    <w:rsid w:val="0018256B"/>
    <w:rsid w:val="00183813"/>
    <w:rsid w:val="00183E0E"/>
    <w:rsid w:val="00184144"/>
    <w:rsid w:val="0018548A"/>
    <w:rsid w:val="00185A85"/>
    <w:rsid w:val="00185E5E"/>
    <w:rsid w:val="00186635"/>
    <w:rsid w:val="0018762A"/>
    <w:rsid w:val="0019095E"/>
    <w:rsid w:val="00191315"/>
    <w:rsid w:val="0019160A"/>
    <w:rsid w:val="00191DD3"/>
    <w:rsid w:val="001928F2"/>
    <w:rsid w:val="00193099"/>
    <w:rsid w:val="001936A1"/>
    <w:rsid w:val="001940C0"/>
    <w:rsid w:val="0019505A"/>
    <w:rsid w:val="0019521A"/>
    <w:rsid w:val="00195ED8"/>
    <w:rsid w:val="00196A31"/>
    <w:rsid w:val="00197196"/>
    <w:rsid w:val="001971F3"/>
    <w:rsid w:val="001972B7"/>
    <w:rsid w:val="001974C3"/>
    <w:rsid w:val="00197766"/>
    <w:rsid w:val="001A01ED"/>
    <w:rsid w:val="001A0333"/>
    <w:rsid w:val="001A0335"/>
    <w:rsid w:val="001A07A7"/>
    <w:rsid w:val="001A12E2"/>
    <w:rsid w:val="001A14BC"/>
    <w:rsid w:val="001A181E"/>
    <w:rsid w:val="001A24FF"/>
    <w:rsid w:val="001A256D"/>
    <w:rsid w:val="001A26FA"/>
    <w:rsid w:val="001A27B3"/>
    <w:rsid w:val="001A365C"/>
    <w:rsid w:val="001A3E01"/>
    <w:rsid w:val="001A4BCE"/>
    <w:rsid w:val="001A4DEC"/>
    <w:rsid w:val="001A7437"/>
    <w:rsid w:val="001A78DE"/>
    <w:rsid w:val="001A7A1A"/>
    <w:rsid w:val="001B0A3B"/>
    <w:rsid w:val="001B0A9B"/>
    <w:rsid w:val="001B1546"/>
    <w:rsid w:val="001B1586"/>
    <w:rsid w:val="001B16DB"/>
    <w:rsid w:val="001B1F96"/>
    <w:rsid w:val="001B23C1"/>
    <w:rsid w:val="001B24C9"/>
    <w:rsid w:val="001B28A0"/>
    <w:rsid w:val="001B3138"/>
    <w:rsid w:val="001B3438"/>
    <w:rsid w:val="001B555F"/>
    <w:rsid w:val="001B5588"/>
    <w:rsid w:val="001B56BB"/>
    <w:rsid w:val="001B57A9"/>
    <w:rsid w:val="001B5EB5"/>
    <w:rsid w:val="001B7B34"/>
    <w:rsid w:val="001B7F04"/>
    <w:rsid w:val="001C0939"/>
    <w:rsid w:val="001C111B"/>
    <w:rsid w:val="001C122A"/>
    <w:rsid w:val="001C18AB"/>
    <w:rsid w:val="001C2D47"/>
    <w:rsid w:val="001C2E2A"/>
    <w:rsid w:val="001C36AB"/>
    <w:rsid w:val="001C3EB4"/>
    <w:rsid w:val="001C4CB0"/>
    <w:rsid w:val="001C531E"/>
    <w:rsid w:val="001C53D4"/>
    <w:rsid w:val="001C58EC"/>
    <w:rsid w:val="001C5EB9"/>
    <w:rsid w:val="001C640C"/>
    <w:rsid w:val="001C654E"/>
    <w:rsid w:val="001C6B2F"/>
    <w:rsid w:val="001C6BD4"/>
    <w:rsid w:val="001C7081"/>
    <w:rsid w:val="001C70EA"/>
    <w:rsid w:val="001C72FA"/>
    <w:rsid w:val="001C759C"/>
    <w:rsid w:val="001C7A03"/>
    <w:rsid w:val="001C7DA4"/>
    <w:rsid w:val="001D058E"/>
    <w:rsid w:val="001D143D"/>
    <w:rsid w:val="001D3288"/>
    <w:rsid w:val="001D33C1"/>
    <w:rsid w:val="001D345E"/>
    <w:rsid w:val="001D37C2"/>
    <w:rsid w:val="001D64CF"/>
    <w:rsid w:val="001D64DC"/>
    <w:rsid w:val="001D65BD"/>
    <w:rsid w:val="001D6692"/>
    <w:rsid w:val="001D7D1B"/>
    <w:rsid w:val="001E0ACD"/>
    <w:rsid w:val="001E403F"/>
    <w:rsid w:val="001E4A9B"/>
    <w:rsid w:val="001E4B2C"/>
    <w:rsid w:val="001E4ECA"/>
    <w:rsid w:val="001E4F3E"/>
    <w:rsid w:val="001E5002"/>
    <w:rsid w:val="001E54BA"/>
    <w:rsid w:val="001E56AF"/>
    <w:rsid w:val="001E5C38"/>
    <w:rsid w:val="001E609B"/>
    <w:rsid w:val="001E6237"/>
    <w:rsid w:val="001E6551"/>
    <w:rsid w:val="001E7723"/>
    <w:rsid w:val="001E7AD4"/>
    <w:rsid w:val="001F008E"/>
    <w:rsid w:val="001F0DF5"/>
    <w:rsid w:val="001F0E42"/>
    <w:rsid w:val="001F17A1"/>
    <w:rsid w:val="001F1BB2"/>
    <w:rsid w:val="001F1DDC"/>
    <w:rsid w:val="001F2256"/>
    <w:rsid w:val="001F2EA0"/>
    <w:rsid w:val="001F2F64"/>
    <w:rsid w:val="001F3CF4"/>
    <w:rsid w:val="001F3FCB"/>
    <w:rsid w:val="001F4498"/>
    <w:rsid w:val="001F46EB"/>
    <w:rsid w:val="001F4BF6"/>
    <w:rsid w:val="001F4C3C"/>
    <w:rsid w:val="001F55EC"/>
    <w:rsid w:val="001F62D5"/>
    <w:rsid w:val="001F6D50"/>
    <w:rsid w:val="001F7653"/>
    <w:rsid w:val="00200007"/>
    <w:rsid w:val="00200367"/>
    <w:rsid w:val="002014DA"/>
    <w:rsid w:val="002018A8"/>
    <w:rsid w:val="002028B1"/>
    <w:rsid w:val="002033E6"/>
    <w:rsid w:val="0020360B"/>
    <w:rsid w:val="00203FF7"/>
    <w:rsid w:val="002046F5"/>
    <w:rsid w:val="0020476B"/>
    <w:rsid w:val="0020632B"/>
    <w:rsid w:val="00207C52"/>
    <w:rsid w:val="00207E1D"/>
    <w:rsid w:val="00213009"/>
    <w:rsid w:val="002134DC"/>
    <w:rsid w:val="002141B3"/>
    <w:rsid w:val="00214219"/>
    <w:rsid w:val="00214E55"/>
    <w:rsid w:val="00214EC7"/>
    <w:rsid w:val="002156C3"/>
    <w:rsid w:val="00215B42"/>
    <w:rsid w:val="00215D99"/>
    <w:rsid w:val="002164C1"/>
    <w:rsid w:val="00216D66"/>
    <w:rsid w:val="002179B4"/>
    <w:rsid w:val="00220626"/>
    <w:rsid w:val="002211AE"/>
    <w:rsid w:val="00221D96"/>
    <w:rsid w:val="00222368"/>
    <w:rsid w:val="002225B6"/>
    <w:rsid w:val="002230F8"/>
    <w:rsid w:val="002232C5"/>
    <w:rsid w:val="00223B02"/>
    <w:rsid w:val="0022415E"/>
    <w:rsid w:val="00224222"/>
    <w:rsid w:val="002249C7"/>
    <w:rsid w:val="00224A27"/>
    <w:rsid w:val="00224B9C"/>
    <w:rsid w:val="00225297"/>
    <w:rsid w:val="00225762"/>
    <w:rsid w:val="00225EC6"/>
    <w:rsid w:val="00226A10"/>
    <w:rsid w:val="00226BEF"/>
    <w:rsid w:val="00226FBD"/>
    <w:rsid w:val="002276F4"/>
    <w:rsid w:val="0022790F"/>
    <w:rsid w:val="00227A42"/>
    <w:rsid w:val="00227D28"/>
    <w:rsid w:val="002312D4"/>
    <w:rsid w:val="002313AC"/>
    <w:rsid w:val="00231B56"/>
    <w:rsid w:val="00231BED"/>
    <w:rsid w:val="00232640"/>
    <w:rsid w:val="00233D96"/>
    <w:rsid w:val="00234312"/>
    <w:rsid w:val="00234A44"/>
    <w:rsid w:val="00234AB2"/>
    <w:rsid w:val="00234DE3"/>
    <w:rsid w:val="00235312"/>
    <w:rsid w:val="0023724F"/>
    <w:rsid w:val="00237383"/>
    <w:rsid w:val="002376FD"/>
    <w:rsid w:val="00237939"/>
    <w:rsid w:val="00237E7E"/>
    <w:rsid w:val="00240272"/>
    <w:rsid w:val="00240725"/>
    <w:rsid w:val="002408D3"/>
    <w:rsid w:val="00240C5C"/>
    <w:rsid w:val="00240D4E"/>
    <w:rsid w:val="002410C7"/>
    <w:rsid w:val="00241671"/>
    <w:rsid w:val="00241B60"/>
    <w:rsid w:val="00242209"/>
    <w:rsid w:val="002422BF"/>
    <w:rsid w:val="00242984"/>
    <w:rsid w:val="002436E7"/>
    <w:rsid w:val="00244916"/>
    <w:rsid w:val="00245074"/>
    <w:rsid w:val="002465DC"/>
    <w:rsid w:val="002470D2"/>
    <w:rsid w:val="002477DE"/>
    <w:rsid w:val="00247D09"/>
    <w:rsid w:val="002513DC"/>
    <w:rsid w:val="00252846"/>
    <w:rsid w:val="00253116"/>
    <w:rsid w:val="00253C3F"/>
    <w:rsid w:val="00254901"/>
    <w:rsid w:val="00255485"/>
    <w:rsid w:val="002557C2"/>
    <w:rsid w:val="00255882"/>
    <w:rsid w:val="0025590C"/>
    <w:rsid w:val="00256398"/>
    <w:rsid w:val="00256464"/>
    <w:rsid w:val="00256AF9"/>
    <w:rsid w:val="00256E80"/>
    <w:rsid w:val="00257793"/>
    <w:rsid w:val="002579DD"/>
    <w:rsid w:val="00257A99"/>
    <w:rsid w:val="00257E8C"/>
    <w:rsid w:val="00260C0E"/>
    <w:rsid w:val="00261085"/>
    <w:rsid w:val="002611A7"/>
    <w:rsid w:val="00261273"/>
    <w:rsid w:val="00261603"/>
    <w:rsid w:val="00261A24"/>
    <w:rsid w:val="00261C0A"/>
    <w:rsid w:val="00261DC7"/>
    <w:rsid w:val="00262AC4"/>
    <w:rsid w:val="00264256"/>
    <w:rsid w:val="002642A9"/>
    <w:rsid w:val="00264551"/>
    <w:rsid w:val="00264BF2"/>
    <w:rsid w:val="00264C7A"/>
    <w:rsid w:val="002651B3"/>
    <w:rsid w:val="0026769A"/>
    <w:rsid w:val="00267C95"/>
    <w:rsid w:val="002700C2"/>
    <w:rsid w:val="00270CE4"/>
    <w:rsid w:val="002715B5"/>
    <w:rsid w:val="00271C21"/>
    <w:rsid w:val="002728B3"/>
    <w:rsid w:val="00274005"/>
    <w:rsid w:val="002744C4"/>
    <w:rsid w:val="00274A30"/>
    <w:rsid w:val="0027541F"/>
    <w:rsid w:val="0027560E"/>
    <w:rsid w:val="00275BC0"/>
    <w:rsid w:val="002766DB"/>
    <w:rsid w:val="002771F4"/>
    <w:rsid w:val="0028233C"/>
    <w:rsid w:val="002828C1"/>
    <w:rsid w:val="00282A8D"/>
    <w:rsid w:val="00282F22"/>
    <w:rsid w:val="00282FEA"/>
    <w:rsid w:val="002848CD"/>
    <w:rsid w:val="00285BC3"/>
    <w:rsid w:val="00286D1B"/>
    <w:rsid w:val="00287A96"/>
    <w:rsid w:val="002917DF"/>
    <w:rsid w:val="002917FA"/>
    <w:rsid w:val="00291D71"/>
    <w:rsid w:val="00292517"/>
    <w:rsid w:val="00292B34"/>
    <w:rsid w:val="00293119"/>
    <w:rsid w:val="00294082"/>
    <w:rsid w:val="00294337"/>
    <w:rsid w:val="0029443E"/>
    <w:rsid w:val="00294999"/>
    <w:rsid w:val="00294FE6"/>
    <w:rsid w:val="00295430"/>
    <w:rsid w:val="00295F1F"/>
    <w:rsid w:val="00296403"/>
    <w:rsid w:val="00296B86"/>
    <w:rsid w:val="00296CF0"/>
    <w:rsid w:val="00296E66"/>
    <w:rsid w:val="00297A6D"/>
    <w:rsid w:val="00297AF4"/>
    <w:rsid w:val="002A005B"/>
    <w:rsid w:val="002A08EC"/>
    <w:rsid w:val="002A0EB5"/>
    <w:rsid w:val="002A1316"/>
    <w:rsid w:val="002A2CC3"/>
    <w:rsid w:val="002A2F16"/>
    <w:rsid w:val="002A353D"/>
    <w:rsid w:val="002A429D"/>
    <w:rsid w:val="002A44FE"/>
    <w:rsid w:val="002A4E9D"/>
    <w:rsid w:val="002A5793"/>
    <w:rsid w:val="002A601C"/>
    <w:rsid w:val="002A62D2"/>
    <w:rsid w:val="002A6BDC"/>
    <w:rsid w:val="002A6CB4"/>
    <w:rsid w:val="002B0F32"/>
    <w:rsid w:val="002B12A6"/>
    <w:rsid w:val="002B1B31"/>
    <w:rsid w:val="002B1F0E"/>
    <w:rsid w:val="002B2657"/>
    <w:rsid w:val="002B4006"/>
    <w:rsid w:val="002B5AC1"/>
    <w:rsid w:val="002B5F94"/>
    <w:rsid w:val="002B6039"/>
    <w:rsid w:val="002B6C37"/>
    <w:rsid w:val="002B70ED"/>
    <w:rsid w:val="002B7397"/>
    <w:rsid w:val="002B750A"/>
    <w:rsid w:val="002B7DF6"/>
    <w:rsid w:val="002C00B2"/>
    <w:rsid w:val="002C0F5D"/>
    <w:rsid w:val="002C1115"/>
    <w:rsid w:val="002C19E2"/>
    <w:rsid w:val="002C2216"/>
    <w:rsid w:val="002C2278"/>
    <w:rsid w:val="002C2B63"/>
    <w:rsid w:val="002C3317"/>
    <w:rsid w:val="002C3A5D"/>
    <w:rsid w:val="002C3AB1"/>
    <w:rsid w:val="002C4E61"/>
    <w:rsid w:val="002C5BE7"/>
    <w:rsid w:val="002C5CBA"/>
    <w:rsid w:val="002C6171"/>
    <w:rsid w:val="002C666A"/>
    <w:rsid w:val="002C6C0A"/>
    <w:rsid w:val="002C6EC5"/>
    <w:rsid w:val="002C6FD5"/>
    <w:rsid w:val="002C7C73"/>
    <w:rsid w:val="002D0028"/>
    <w:rsid w:val="002D0116"/>
    <w:rsid w:val="002D0149"/>
    <w:rsid w:val="002D0272"/>
    <w:rsid w:val="002D0A6C"/>
    <w:rsid w:val="002D0FED"/>
    <w:rsid w:val="002D162A"/>
    <w:rsid w:val="002D1DEE"/>
    <w:rsid w:val="002D240B"/>
    <w:rsid w:val="002D2620"/>
    <w:rsid w:val="002D3298"/>
    <w:rsid w:val="002D3588"/>
    <w:rsid w:val="002D3F8A"/>
    <w:rsid w:val="002D414D"/>
    <w:rsid w:val="002D59F5"/>
    <w:rsid w:val="002D5B28"/>
    <w:rsid w:val="002D5BF7"/>
    <w:rsid w:val="002D6DDF"/>
    <w:rsid w:val="002D70E6"/>
    <w:rsid w:val="002D7357"/>
    <w:rsid w:val="002E0453"/>
    <w:rsid w:val="002E048D"/>
    <w:rsid w:val="002E057A"/>
    <w:rsid w:val="002E07AA"/>
    <w:rsid w:val="002E10B8"/>
    <w:rsid w:val="002E1519"/>
    <w:rsid w:val="002E1631"/>
    <w:rsid w:val="002E17D0"/>
    <w:rsid w:val="002E199B"/>
    <w:rsid w:val="002E255B"/>
    <w:rsid w:val="002E26C9"/>
    <w:rsid w:val="002E2AC9"/>
    <w:rsid w:val="002E3197"/>
    <w:rsid w:val="002E3A7B"/>
    <w:rsid w:val="002E3BE2"/>
    <w:rsid w:val="002E3FF0"/>
    <w:rsid w:val="002E4AD9"/>
    <w:rsid w:val="002E500D"/>
    <w:rsid w:val="002E535F"/>
    <w:rsid w:val="002E575E"/>
    <w:rsid w:val="002E5DCE"/>
    <w:rsid w:val="002E702D"/>
    <w:rsid w:val="002E7901"/>
    <w:rsid w:val="002F055F"/>
    <w:rsid w:val="002F05F4"/>
    <w:rsid w:val="002F0D79"/>
    <w:rsid w:val="002F1EBF"/>
    <w:rsid w:val="002F2935"/>
    <w:rsid w:val="002F2EA2"/>
    <w:rsid w:val="002F5819"/>
    <w:rsid w:val="002F5D54"/>
    <w:rsid w:val="002F5EAD"/>
    <w:rsid w:val="002F6FF9"/>
    <w:rsid w:val="00300EA4"/>
    <w:rsid w:val="0030135B"/>
    <w:rsid w:val="00301A1C"/>
    <w:rsid w:val="00302917"/>
    <w:rsid w:val="00302A97"/>
    <w:rsid w:val="00303C3C"/>
    <w:rsid w:val="003049AF"/>
    <w:rsid w:val="00304CEC"/>
    <w:rsid w:val="0030546C"/>
    <w:rsid w:val="0030560B"/>
    <w:rsid w:val="00305EFE"/>
    <w:rsid w:val="00306D32"/>
    <w:rsid w:val="00306E13"/>
    <w:rsid w:val="00307C30"/>
    <w:rsid w:val="003110CE"/>
    <w:rsid w:val="00311103"/>
    <w:rsid w:val="00312502"/>
    <w:rsid w:val="003137D2"/>
    <w:rsid w:val="003137DB"/>
    <w:rsid w:val="00313FB8"/>
    <w:rsid w:val="00314101"/>
    <w:rsid w:val="003148E8"/>
    <w:rsid w:val="0031514D"/>
    <w:rsid w:val="0031532A"/>
    <w:rsid w:val="003157BB"/>
    <w:rsid w:val="003157DB"/>
    <w:rsid w:val="0031580D"/>
    <w:rsid w:val="00315880"/>
    <w:rsid w:val="00315D2C"/>
    <w:rsid w:val="00316044"/>
    <w:rsid w:val="00316379"/>
    <w:rsid w:val="003170AF"/>
    <w:rsid w:val="00317369"/>
    <w:rsid w:val="00317793"/>
    <w:rsid w:val="00317D79"/>
    <w:rsid w:val="00320CFF"/>
    <w:rsid w:val="0032153F"/>
    <w:rsid w:val="00321DE0"/>
    <w:rsid w:val="00322D53"/>
    <w:rsid w:val="00323DFF"/>
    <w:rsid w:val="003245DA"/>
    <w:rsid w:val="00324997"/>
    <w:rsid w:val="00324AC2"/>
    <w:rsid w:val="00325660"/>
    <w:rsid w:val="003259E2"/>
    <w:rsid w:val="00326374"/>
    <w:rsid w:val="00326416"/>
    <w:rsid w:val="003266E0"/>
    <w:rsid w:val="00326D84"/>
    <w:rsid w:val="00327340"/>
    <w:rsid w:val="00327CB8"/>
    <w:rsid w:val="00330EF0"/>
    <w:rsid w:val="0033156D"/>
    <w:rsid w:val="0033165C"/>
    <w:rsid w:val="00331F41"/>
    <w:rsid w:val="00332557"/>
    <w:rsid w:val="003325E9"/>
    <w:rsid w:val="00332A8E"/>
    <w:rsid w:val="00333FC0"/>
    <w:rsid w:val="00334255"/>
    <w:rsid w:val="0033438C"/>
    <w:rsid w:val="00334464"/>
    <w:rsid w:val="00335B42"/>
    <w:rsid w:val="00335F40"/>
    <w:rsid w:val="003360E6"/>
    <w:rsid w:val="0033620A"/>
    <w:rsid w:val="0033648B"/>
    <w:rsid w:val="00336E07"/>
    <w:rsid w:val="003371CB"/>
    <w:rsid w:val="00337372"/>
    <w:rsid w:val="00337695"/>
    <w:rsid w:val="00337CC1"/>
    <w:rsid w:val="0034083B"/>
    <w:rsid w:val="00340C82"/>
    <w:rsid w:val="00340D1B"/>
    <w:rsid w:val="003415C3"/>
    <w:rsid w:val="00341EAF"/>
    <w:rsid w:val="00342210"/>
    <w:rsid w:val="00342CB7"/>
    <w:rsid w:val="003434F6"/>
    <w:rsid w:val="0034372A"/>
    <w:rsid w:val="0034395E"/>
    <w:rsid w:val="00344C6C"/>
    <w:rsid w:val="0034544B"/>
    <w:rsid w:val="003455FF"/>
    <w:rsid w:val="003461E0"/>
    <w:rsid w:val="0034667C"/>
    <w:rsid w:val="00346BE4"/>
    <w:rsid w:val="00347374"/>
    <w:rsid w:val="00350A0B"/>
    <w:rsid w:val="00350E1D"/>
    <w:rsid w:val="00351688"/>
    <w:rsid w:val="00351B97"/>
    <w:rsid w:val="00352550"/>
    <w:rsid w:val="003526AE"/>
    <w:rsid w:val="0035281A"/>
    <w:rsid w:val="00353B38"/>
    <w:rsid w:val="00355A60"/>
    <w:rsid w:val="00355DAD"/>
    <w:rsid w:val="0035609F"/>
    <w:rsid w:val="003567D4"/>
    <w:rsid w:val="003570EA"/>
    <w:rsid w:val="00357190"/>
    <w:rsid w:val="00357D05"/>
    <w:rsid w:val="00357FFA"/>
    <w:rsid w:val="00360049"/>
    <w:rsid w:val="00360172"/>
    <w:rsid w:val="0036046D"/>
    <w:rsid w:val="00360FD3"/>
    <w:rsid w:val="00362AF8"/>
    <w:rsid w:val="00363566"/>
    <w:rsid w:val="0036420E"/>
    <w:rsid w:val="00364E3D"/>
    <w:rsid w:val="00364F10"/>
    <w:rsid w:val="00365141"/>
    <w:rsid w:val="00365F34"/>
    <w:rsid w:val="0036648C"/>
    <w:rsid w:val="003668CA"/>
    <w:rsid w:val="003672EC"/>
    <w:rsid w:val="003675EC"/>
    <w:rsid w:val="00367BBB"/>
    <w:rsid w:val="00367F7A"/>
    <w:rsid w:val="00367F9C"/>
    <w:rsid w:val="003708DD"/>
    <w:rsid w:val="00370E1C"/>
    <w:rsid w:val="00371899"/>
    <w:rsid w:val="0037204C"/>
    <w:rsid w:val="003725D2"/>
    <w:rsid w:val="00372F6F"/>
    <w:rsid w:val="003735D9"/>
    <w:rsid w:val="00373D0A"/>
    <w:rsid w:val="0037483C"/>
    <w:rsid w:val="003749F1"/>
    <w:rsid w:val="0037566E"/>
    <w:rsid w:val="0037579B"/>
    <w:rsid w:val="00375913"/>
    <w:rsid w:val="00375A23"/>
    <w:rsid w:val="00376450"/>
    <w:rsid w:val="00376683"/>
    <w:rsid w:val="00376842"/>
    <w:rsid w:val="00376C2F"/>
    <w:rsid w:val="00376CFC"/>
    <w:rsid w:val="00376FCE"/>
    <w:rsid w:val="00377A90"/>
    <w:rsid w:val="00377D50"/>
    <w:rsid w:val="00377D94"/>
    <w:rsid w:val="00380568"/>
    <w:rsid w:val="00380CDF"/>
    <w:rsid w:val="0038148A"/>
    <w:rsid w:val="003825F8"/>
    <w:rsid w:val="00382F63"/>
    <w:rsid w:val="00383C0C"/>
    <w:rsid w:val="00383D51"/>
    <w:rsid w:val="00383D70"/>
    <w:rsid w:val="00384944"/>
    <w:rsid w:val="003849E8"/>
    <w:rsid w:val="00384A51"/>
    <w:rsid w:val="00385476"/>
    <w:rsid w:val="00385E84"/>
    <w:rsid w:val="00386D4C"/>
    <w:rsid w:val="00390D99"/>
    <w:rsid w:val="00391518"/>
    <w:rsid w:val="00392764"/>
    <w:rsid w:val="003935A4"/>
    <w:rsid w:val="00393E47"/>
    <w:rsid w:val="00394216"/>
    <w:rsid w:val="003945AD"/>
    <w:rsid w:val="003947D5"/>
    <w:rsid w:val="0039600A"/>
    <w:rsid w:val="00396170"/>
    <w:rsid w:val="00396836"/>
    <w:rsid w:val="00396B13"/>
    <w:rsid w:val="003970A2"/>
    <w:rsid w:val="00397CAD"/>
    <w:rsid w:val="00397FB4"/>
    <w:rsid w:val="003A0B67"/>
    <w:rsid w:val="003A19DE"/>
    <w:rsid w:val="003A1B7B"/>
    <w:rsid w:val="003A2496"/>
    <w:rsid w:val="003A274A"/>
    <w:rsid w:val="003A29F7"/>
    <w:rsid w:val="003A2D8D"/>
    <w:rsid w:val="003A3E88"/>
    <w:rsid w:val="003A4AF4"/>
    <w:rsid w:val="003A4EB1"/>
    <w:rsid w:val="003A5751"/>
    <w:rsid w:val="003A6148"/>
    <w:rsid w:val="003A63F2"/>
    <w:rsid w:val="003A670B"/>
    <w:rsid w:val="003A6A86"/>
    <w:rsid w:val="003B0FD5"/>
    <w:rsid w:val="003B12DE"/>
    <w:rsid w:val="003B17C0"/>
    <w:rsid w:val="003B1E6F"/>
    <w:rsid w:val="003B33EB"/>
    <w:rsid w:val="003B3567"/>
    <w:rsid w:val="003B3F47"/>
    <w:rsid w:val="003B47FB"/>
    <w:rsid w:val="003B4A81"/>
    <w:rsid w:val="003B591F"/>
    <w:rsid w:val="003B6907"/>
    <w:rsid w:val="003B787D"/>
    <w:rsid w:val="003B7E8A"/>
    <w:rsid w:val="003B7FF4"/>
    <w:rsid w:val="003C07B6"/>
    <w:rsid w:val="003C145B"/>
    <w:rsid w:val="003C14D0"/>
    <w:rsid w:val="003C174C"/>
    <w:rsid w:val="003C2127"/>
    <w:rsid w:val="003C337D"/>
    <w:rsid w:val="003C33DF"/>
    <w:rsid w:val="003C3FC8"/>
    <w:rsid w:val="003C410E"/>
    <w:rsid w:val="003C57EA"/>
    <w:rsid w:val="003C7250"/>
    <w:rsid w:val="003C73D7"/>
    <w:rsid w:val="003C784D"/>
    <w:rsid w:val="003C7957"/>
    <w:rsid w:val="003C7A17"/>
    <w:rsid w:val="003C7AD5"/>
    <w:rsid w:val="003C7D19"/>
    <w:rsid w:val="003D0323"/>
    <w:rsid w:val="003D0569"/>
    <w:rsid w:val="003D05BE"/>
    <w:rsid w:val="003D19A1"/>
    <w:rsid w:val="003D252C"/>
    <w:rsid w:val="003D27DC"/>
    <w:rsid w:val="003D29CA"/>
    <w:rsid w:val="003D2F2D"/>
    <w:rsid w:val="003D3B62"/>
    <w:rsid w:val="003D3BF0"/>
    <w:rsid w:val="003D4420"/>
    <w:rsid w:val="003D497D"/>
    <w:rsid w:val="003D5059"/>
    <w:rsid w:val="003D5451"/>
    <w:rsid w:val="003D58F1"/>
    <w:rsid w:val="003D5A51"/>
    <w:rsid w:val="003D608C"/>
    <w:rsid w:val="003D6928"/>
    <w:rsid w:val="003D6E6E"/>
    <w:rsid w:val="003D6F9C"/>
    <w:rsid w:val="003D7031"/>
    <w:rsid w:val="003D790C"/>
    <w:rsid w:val="003D7C55"/>
    <w:rsid w:val="003D7DC1"/>
    <w:rsid w:val="003E00DF"/>
    <w:rsid w:val="003E026F"/>
    <w:rsid w:val="003E02E7"/>
    <w:rsid w:val="003E0392"/>
    <w:rsid w:val="003E0702"/>
    <w:rsid w:val="003E094C"/>
    <w:rsid w:val="003E0EC8"/>
    <w:rsid w:val="003E23A7"/>
    <w:rsid w:val="003E28CF"/>
    <w:rsid w:val="003E4272"/>
    <w:rsid w:val="003E5116"/>
    <w:rsid w:val="003E52E5"/>
    <w:rsid w:val="003E53BD"/>
    <w:rsid w:val="003E55EF"/>
    <w:rsid w:val="003E57F2"/>
    <w:rsid w:val="003E5884"/>
    <w:rsid w:val="003E6DD2"/>
    <w:rsid w:val="003E6F51"/>
    <w:rsid w:val="003E7060"/>
    <w:rsid w:val="003E75F1"/>
    <w:rsid w:val="003F000A"/>
    <w:rsid w:val="003F007E"/>
    <w:rsid w:val="003F0893"/>
    <w:rsid w:val="003F08CA"/>
    <w:rsid w:val="003F0CB9"/>
    <w:rsid w:val="003F172F"/>
    <w:rsid w:val="003F2B28"/>
    <w:rsid w:val="003F325D"/>
    <w:rsid w:val="003F346B"/>
    <w:rsid w:val="003F366D"/>
    <w:rsid w:val="003F4038"/>
    <w:rsid w:val="003F41B9"/>
    <w:rsid w:val="003F4634"/>
    <w:rsid w:val="003F47DF"/>
    <w:rsid w:val="003F4831"/>
    <w:rsid w:val="003F4A75"/>
    <w:rsid w:val="003F4ACC"/>
    <w:rsid w:val="003F50F9"/>
    <w:rsid w:val="003F572C"/>
    <w:rsid w:val="003F5A47"/>
    <w:rsid w:val="003F6829"/>
    <w:rsid w:val="003F744B"/>
    <w:rsid w:val="003F74A8"/>
    <w:rsid w:val="003F7FB3"/>
    <w:rsid w:val="003F7FCB"/>
    <w:rsid w:val="0040031F"/>
    <w:rsid w:val="0040067F"/>
    <w:rsid w:val="0040093D"/>
    <w:rsid w:val="004010BB"/>
    <w:rsid w:val="00401202"/>
    <w:rsid w:val="00401313"/>
    <w:rsid w:val="00401529"/>
    <w:rsid w:val="004018EA"/>
    <w:rsid w:val="004028C1"/>
    <w:rsid w:val="0040337C"/>
    <w:rsid w:val="00403632"/>
    <w:rsid w:val="00403EEF"/>
    <w:rsid w:val="00404002"/>
    <w:rsid w:val="00404AE3"/>
    <w:rsid w:val="00405053"/>
    <w:rsid w:val="0040516D"/>
    <w:rsid w:val="00406784"/>
    <w:rsid w:val="00406F8C"/>
    <w:rsid w:val="0041029C"/>
    <w:rsid w:val="004107EC"/>
    <w:rsid w:val="00410839"/>
    <w:rsid w:val="004108E7"/>
    <w:rsid w:val="00410CCF"/>
    <w:rsid w:val="00410F4D"/>
    <w:rsid w:val="004116EB"/>
    <w:rsid w:val="00412614"/>
    <w:rsid w:val="004128F1"/>
    <w:rsid w:val="00414676"/>
    <w:rsid w:val="004146C7"/>
    <w:rsid w:val="00414BDC"/>
    <w:rsid w:val="00414EAE"/>
    <w:rsid w:val="00416BC2"/>
    <w:rsid w:val="004177DE"/>
    <w:rsid w:val="004201DC"/>
    <w:rsid w:val="00420A2E"/>
    <w:rsid w:val="00421277"/>
    <w:rsid w:val="00421554"/>
    <w:rsid w:val="00421692"/>
    <w:rsid w:val="004228F5"/>
    <w:rsid w:val="00422CB8"/>
    <w:rsid w:val="004231A3"/>
    <w:rsid w:val="00423C6E"/>
    <w:rsid w:val="00423E9D"/>
    <w:rsid w:val="00424570"/>
    <w:rsid w:val="004254EC"/>
    <w:rsid w:val="00426456"/>
    <w:rsid w:val="00426919"/>
    <w:rsid w:val="00426F7F"/>
    <w:rsid w:val="0043025E"/>
    <w:rsid w:val="004302C9"/>
    <w:rsid w:val="0043069A"/>
    <w:rsid w:val="0043137E"/>
    <w:rsid w:val="004316CE"/>
    <w:rsid w:val="0043188F"/>
    <w:rsid w:val="004320C1"/>
    <w:rsid w:val="004326F0"/>
    <w:rsid w:val="00432A1F"/>
    <w:rsid w:val="00432BB5"/>
    <w:rsid w:val="00433032"/>
    <w:rsid w:val="00433E0D"/>
    <w:rsid w:val="00433E1D"/>
    <w:rsid w:val="00434207"/>
    <w:rsid w:val="00434395"/>
    <w:rsid w:val="0043440C"/>
    <w:rsid w:val="00434711"/>
    <w:rsid w:val="00434970"/>
    <w:rsid w:val="00434B3E"/>
    <w:rsid w:val="00434F70"/>
    <w:rsid w:val="00434F98"/>
    <w:rsid w:val="00435281"/>
    <w:rsid w:val="0043591A"/>
    <w:rsid w:val="004359E1"/>
    <w:rsid w:val="00435DAC"/>
    <w:rsid w:val="00436716"/>
    <w:rsid w:val="00436721"/>
    <w:rsid w:val="00436AD8"/>
    <w:rsid w:val="00437C60"/>
    <w:rsid w:val="0044022E"/>
    <w:rsid w:val="00440B42"/>
    <w:rsid w:val="00440F52"/>
    <w:rsid w:val="004418C2"/>
    <w:rsid w:val="00441F52"/>
    <w:rsid w:val="004420CA"/>
    <w:rsid w:val="004431D9"/>
    <w:rsid w:val="00443381"/>
    <w:rsid w:val="00443DAE"/>
    <w:rsid w:val="00444785"/>
    <w:rsid w:val="00444798"/>
    <w:rsid w:val="0044533B"/>
    <w:rsid w:val="004455D8"/>
    <w:rsid w:val="00445B07"/>
    <w:rsid w:val="00446244"/>
    <w:rsid w:val="004475A4"/>
    <w:rsid w:val="0044761E"/>
    <w:rsid w:val="004504C3"/>
    <w:rsid w:val="0045055A"/>
    <w:rsid w:val="00450D0E"/>
    <w:rsid w:val="00450D5E"/>
    <w:rsid w:val="004516AB"/>
    <w:rsid w:val="00452103"/>
    <w:rsid w:val="00452842"/>
    <w:rsid w:val="004530A2"/>
    <w:rsid w:val="0045395B"/>
    <w:rsid w:val="00454273"/>
    <w:rsid w:val="004547BC"/>
    <w:rsid w:val="004548DD"/>
    <w:rsid w:val="004554D2"/>
    <w:rsid w:val="00455588"/>
    <w:rsid w:val="004555D2"/>
    <w:rsid w:val="0045639A"/>
    <w:rsid w:val="00456EC8"/>
    <w:rsid w:val="00457093"/>
    <w:rsid w:val="00457EC9"/>
    <w:rsid w:val="004600B3"/>
    <w:rsid w:val="00460EAE"/>
    <w:rsid w:val="00461A68"/>
    <w:rsid w:val="004623DC"/>
    <w:rsid w:val="00462C30"/>
    <w:rsid w:val="00462DA2"/>
    <w:rsid w:val="00463138"/>
    <w:rsid w:val="00463E5B"/>
    <w:rsid w:val="00463E98"/>
    <w:rsid w:val="00464103"/>
    <w:rsid w:val="004646D6"/>
    <w:rsid w:val="004648C4"/>
    <w:rsid w:val="004654AD"/>
    <w:rsid w:val="004654C3"/>
    <w:rsid w:val="00465572"/>
    <w:rsid w:val="00466170"/>
    <w:rsid w:val="004662AE"/>
    <w:rsid w:val="00466D26"/>
    <w:rsid w:val="004673C8"/>
    <w:rsid w:val="0046757B"/>
    <w:rsid w:val="00470133"/>
    <w:rsid w:val="004701AF"/>
    <w:rsid w:val="00470446"/>
    <w:rsid w:val="00470E92"/>
    <w:rsid w:val="00471735"/>
    <w:rsid w:val="00471924"/>
    <w:rsid w:val="004726AA"/>
    <w:rsid w:val="00473168"/>
    <w:rsid w:val="00473E83"/>
    <w:rsid w:val="0047523A"/>
    <w:rsid w:val="00475905"/>
    <w:rsid w:val="00475942"/>
    <w:rsid w:val="004774AD"/>
    <w:rsid w:val="00480491"/>
    <w:rsid w:val="0048080F"/>
    <w:rsid w:val="00481288"/>
    <w:rsid w:val="004812C5"/>
    <w:rsid w:val="004813F4"/>
    <w:rsid w:val="00481B00"/>
    <w:rsid w:val="00481C54"/>
    <w:rsid w:val="004821B5"/>
    <w:rsid w:val="004821F6"/>
    <w:rsid w:val="004829CD"/>
    <w:rsid w:val="004833B9"/>
    <w:rsid w:val="004836C4"/>
    <w:rsid w:val="0048371C"/>
    <w:rsid w:val="00483AEC"/>
    <w:rsid w:val="004845CC"/>
    <w:rsid w:val="0048488F"/>
    <w:rsid w:val="00484BD5"/>
    <w:rsid w:val="00484CB7"/>
    <w:rsid w:val="00485666"/>
    <w:rsid w:val="00485DFF"/>
    <w:rsid w:val="004860F9"/>
    <w:rsid w:val="00486129"/>
    <w:rsid w:val="004861C6"/>
    <w:rsid w:val="0048680B"/>
    <w:rsid w:val="00486D2D"/>
    <w:rsid w:val="004873FE"/>
    <w:rsid w:val="0048752D"/>
    <w:rsid w:val="00487C04"/>
    <w:rsid w:val="00490434"/>
    <w:rsid w:val="00490996"/>
    <w:rsid w:val="00490F38"/>
    <w:rsid w:val="00491EC3"/>
    <w:rsid w:val="004926D5"/>
    <w:rsid w:val="00492C89"/>
    <w:rsid w:val="00493369"/>
    <w:rsid w:val="0049353F"/>
    <w:rsid w:val="004947FF"/>
    <w:rsid w:val="00494B30"/>
    <w:rsid w:val="004953BB"/>
    <w:rsid w:val="00495439"/>
    <w:rsid w:val="00495D3E"/>
    <w:rsid w:val="0049733D"/>
    <w:rsid w:val="00497532"/>
    <w:rsid w:val="00497761"/>
    <w:rsid w:val="00497B6F"/>
    <w:rsid w:val="00497F4E"/>
    <w:rsid w:val="004A131D"/>
    <w:rsid w:val="004A166E"/>
    <w:rsid w:val="004A23C7"/>
    <w:rsid w:val="004A25B6"/>
    <w:rsid w:val="004A3544"/>
    <w:rsid w:val="004A35A2"/>
    <w:rsid w:val="004A47CB"/>
    <w:rsid w:val="004A4BBF"/>
    <w:rsid w:val="004A4F25"/>
    <w:rsid w:val="004A52CF"/>
    <w:rsid w:val="004A5678"/>
    <w:rsid w:val="004A5CC4"/>
    <w:rsid w:val="004A5F17"/>
    <w:rsid w:val="004A6307"/>
    <w:rsid w:val="004A7197"/>
    <w:rsid w:val="004A79D8"/>
    <w:rsid w:val="004B0045"/>
    <w:rsid w:val="004B0875"/>
    <w:rsid w:val="004B1375"/>
    <w:rsid w:val="004B17DD"/>
    <w:rsid w:val="004B38C2"/>
    <w:rsid w:val="004B3F4D"/>
    <w:rsid w:val="004B4AD1"/>
    <w:rsid w:val="004B4AE6"/>
    <w:rsid w:val="004B51B6"/>
    <w:rsid w:val="004B57D9"/>
    <w:rsid w:val="004B58DF"/>
    <w:rsid w:val="004B5C26"/>
    <w:rsid w:val="004B6878"/>
    <w:rsid w:val="004B6B93"/>
    <w:rsid w:val="004B7024"/>
    <w:rsid w:val="004B7385"/>
    <w:rsid w:val="004B7AC8"/>
    <w:rsid w:val="004B7C1B"/>
    <w:rsid w:val="004C033A"/>
    <w:rsid w:val="004C1990"/>
    <w:rsid w:val="004C1E0B"/>
    <w:rsid w:val="004C1F17"/>
    <w:rsid w:val="004C2367"/>
    <w:rsid w:val="004C2B99"/>
    <w:rsid w:val="004C45A3"/>
    <w:rsid w:val="004C49B1"/>
    <w:rsid w:val="004C69C3"/>
    <w:rsid w:val="004C6D63"/>
    <w:rsid w:val="004C742B"/>
    <w:rsid w:val="004C7B2E"/>
    <w:rsid w:val="004D0463"/>
    <w:rsid w:val="004D049D"/>
    <w:rsid w:val="004D08C4"/>
    <w:rsid w:val="004D125C"/>
    <w:rsid w:val="004D2900"/>
    <w:rsid w:val="004D2A48"/>
    <w:rsid w:val="004D2FF6"/>
    <w:rsid w:val="004D3025"/>
    <w:rsid w:val="004D37EE"/>
    <w:rsid w:val="004D389A"/>
    <w:rsid w:val="004D39F4"/>
    <w:rsid w:val="004D4855"/>
    <w:rsid w:val="004D4AFC"/>
    <w:rsid w:val="004D4DA0"/>
    <w:rsid w:val="004D4EEF"/>
    <w:rsid w:val="004D696F"/>
    <w:rsid w:val="004D722F"/>
    <w:rsid w:val="004D72B5"/>
    <w:rsid w:val="004D733A"/>
    <w:rsid w:val="004E08D5"/>
    <w:rsid w:val="004E1EAF"/>
    <w:rsid w:val="004E2BB9"/>
    <w:rsid w:val="004E2F77"/>
    <w:rsid w:val="004E3B7D"/>
    <w:rsid w:val="004E4B26"/>
    <w:rsid w:val="004E4FFB"/>
    <w:rsid w:val="004E6626"/>
    <w:rsid w:val="004E71B1"/>
    <w:rsid w:val="004E74E7"/>
    <w:rsid w:val="004E7D21"/>
    <w:rsid w:val="004F08F5"/>
    <w:rsid w:val="004F0AD8"/>
    <w:rsid w:val="004F0EF3"/>
    <w:rsid w:val="004F1AB7"/>
    <w:rsid w:val="004F2894"/>
    <w:rsid w:val="004F3DB8"/>
    <w:rsid w:val="004F4FB9"/>
    <w:rsid w:val="004F5274"/>
    <w:rsid w:val="004F6FC8"/>
    <w:rsid w:val="004F7B4C"/>
    <w:rsid w:val="00501004"/>
    <w:rsid w:val="00501CAC"/>
    <w:rsid w:val="00501D63"/>
    <w:rsid w:val="00503CDA"/>
    <w:rsid w:val="00504D25"/>
    <w:rsid w:val="005064A5"/>
    <w:rsid w:val="00507048"/>
    <w:rsid w:val="00507496"/>
    <w:rsid w:val="00507684"/>
    <w:rsid w:val="0050768D"/>
    <w:rsid w:val="005078AD"/>
    <w:rsid w:val="00507B2D"/>
    <w:rsid w:val="00507B8A"/>
    <w:rsid w:val="005104FD"/>
    <w:rsid w:val="005105AF"/>
    <w:rsid w:val="00510979"/>
    <w:rsid w:val="00510AFB"/>
    <w:rsid w:val="0051121F"/>
    <w:rsid w:val="005112A2"/>
    <w:rsid w:val="00511976"/>
    <w:rsid w:val="00511A4C"/>
    <w:rsid w:val="00511C47"/>
    <w:rsid w:val="00512C45"/>
    <w:rsid w:val="005131DD"/>
    <w:rsid w:val="005141C7"/>
    <w:rsid w:val="00514421"/>
    <w:rsid w:val="00514434"/>
    <w:rsid w:val="005156A2"/>
    <w:rsid w:val="00517340"/>
    <w:rsid w:val="00517F39"/>
    <w:rsid w:val="0052035A"/>
    <w:rsid w:val="00520EED"/>
    <w:rsid w:val="00520FE2"/>
    <w:rsid w:val="00521089"/>
    <w:rsid w:val="00522062"/>
    <w:rsid w:val="005220EC"/>
    <w:rsid w:val="00523870"/>
    <w:rsid w:val="00524707"/>
    <w:rsid w:val="00525525"/>
    <w:rsid w:val="00525721"/>
    <w:rsid w:val="00525A97"/>
    <w:rsid w:val="00525CD4"/>
    <w:rsid w:val="00527CA1"/>
    <w:rsid w:val="00527DAD"/>
    <w:rsid w:val="00527E6B"/>
    <w:rsid w:val="0053011F"/>
    <w:rsid w:val="0053046B"/>
    <w:rsid w:val="00530A2A"/>
    <w:rsid w:val="00531194"/>
    <w:rsid w:val="00531B2A"/>
    <w:rsid w:val="0053202B"/>
    <w:rsid w:val="00532057"/>
    <w:rsid w:val="00532095"/>
    <w:rsid w:val="005320F6"/>
    <w:rsid w:val="00532748"/>
    <w:rsid w:val="00532E28"/>
    <w:rsid w:val="005333D5"/>
    <w:rsid w:val="005337D3"/>
    <w:rsid w:val="005338B9"/>
    <w:rsid w:val="00535A9E"/>
    <w:rsid w:val="00535E58"/>
    <w:rsid w:val="00535F14"/>
    <w:rsid w:val="005364FC"/>
    <w:rsid w:val="00540095"/>
    <w:rsid w:val="005408B8"/>
    <w:rsid w:val="00540C64"/>
    <w:rsid w:val="00540DFB"/>
    <w:rsid w:val="0054152D"/>
    <w:rsid w:val="0054164B"/>
    <w:rsid w:val="0054209F"/>
    <w:rsid w:val="005426C0"/>
    <w:rsid w:val="005434C7"/>
    <w:rsid w:val="00543CE4"/>
    <w:rsid w:val="00543E8E"/>
    <w:rsid w:val="005457A1"/>
    <w:rsid w:val="00547E79"/>
    <w:rsid w:val="005516FA"/>
    <w:rsid w:val="00551E8F"/>
    <w:rsid w:val="00552112"/>
    <w:rsid w:val="00552337"/>
    <w:rsid w:val="005523CB"/>
    <w:rsid w:val="0055259F"/>
    <w:rsid w:val="00552C82"/>
    <w:rsid w:val="00552DF0"/>
    <w:rsid w:val="0055313D"/>
    <w:rsid w:val="00553720"/>
    <w:rsid w:val="00554170"/>
    <w:rsid w:val="00555983"/>
    <w:rsid w:val="00556878"/>
    <w:rsid w:val="005569F5"/>
    <w:rsid w:val="00556D61"/>
    <w:rsid w:val="00557258"/>
    <w:rsid w:val="00560EA7"/>
    <w:rsid w:val="00560F52"/>
    <w:rsid w:val="0056125F"/>
    <w:rsid w:val="0056241D"/>
    <w:rsid w:val="00562444"/>
    <w:rsid w:val="00562D61"/>
    <w:rsid w:val="005636B1"/>
    <w:rsid w:val="00563AE1"/>
    <w:rsid w:val="00564023"/>
    <w:rsid w:val="005654AA"/>
    <w:rsid w:val="005655DD"/>
    <w:rsid w:val="00565D5A"/>
    <w:rsid w:val="005672C5"/>
    <w:rsid w:val="00567974"/>
    <w:rsid w:val="005700DE"/>
    <w:rsid w:val="005700E1"/>
    <w:rsid w:val="005702D0"/>
    <w:rsid w:val="005705DF"/>
    <w:rsid w:val="0057078A"/>
    <w:rsid w:val="00570976"/>
    <w:rsid w:val="00570CA0"/>
    <w:rsid w:val="00572008"/>
    <w:rsid w:val="005736B2"/>
    <w:rsid w:val="00573FEF"/>
    <w:rsid w:val="00574355"/>
    <w:rsid w:val="00574D5A"/>
    <w:rsid w:val="0057575E"/>
    <w:rsid w:val="00577038"/>
    <w:rsid w:val="0057782D"/>
    <w:rsid w:val="00577A01"/>
    <w:rsid w:val="005804E5"/>
    <w:rsid w:val="005822D6"/>
    <w:rsid w:val="00582362"/>
    <w:rsid w:val="00582366"/>
    <w:rsid w:val="00583161"/>
    <w:rsid w:val="00583B06"/>
    <w:rsid w:val="00583EF4"/>
    <w:rsid w:val="00585849"/>
    <w:rsid w:val="0058721A"/>
    <w:rsid w:val="0058788A"/>
    <w:rsid w:val="00587B38"/>
    <w:rsid w:val="00587B3E"/>
    <w:rsid w:val="00587E39"/>
    <w:rsid w:val="00590AF2"/>
    <w:rsid w:val="00591C9B"/>
    <w:rsid w:val="0059253B"/>
    <w:rsid w:val="005928E4"/>
    <w:rsid w:val="00592CD1"/>
    <w:rsid w:val="00592D7D"/>
    <w:rsid w:val="005932AF"/>
    <w:rsid w:val="0059433C"/>
    <w:rsid w:val="0059440E"/>
    <w:rsid w:val="00597502"/>
    <w:rsid w:val="0059797A"/>
    <w:rsid w:val="005A01EB"/>
    <w:rsid w:val="005A0AE4"/>
    <w:rsid w:val="005A102E"/>
    <w:rsid w:val="005A1732"/>
    <w:rsid w:val="005A1CAA"/>
    <w:rsid w:val="005A259E"/>
    <w:rsid w:val="005A2E55"/>
    <w:rsid w:val="005A3051"/>
    <w:rsid w:val="005A359A"/>
    <w:rsid w:val="005A4C31"/>
    <w:rsid w:val="005A5258"/>
    <w:rsid w:val="005A6231"/>
    <w:rsid w:val="005A6325"/>
    <w:rsid w:val="005A6538"/>
    <w:rsid w:val="005A7693"/>
    <w:rsid w:val="005A77E0"/>
    <w:rsid w:val="005B06E3"/>
    <w:rsid w:val="005B0952"/>
    <w:rsid w:val="005B09E2"/>
    <w:rsid w:val="005B17F6"/>
    <w:rsid w:val="005B23C2"/>
    <w:rsid w:val="005B25A3"/>
    <w:rsid w:val="005B2965"/>
    <w:rsid w:val="005B3975"/>
    <w:rsid w:val="005B3FDE"/>
    <w:rsid w:val="005B4292"/>
    <w:rsid w:val="005B437A"/>
    <w:rsid w:val="005B450D"/>
    <w:rsid w:val="005B478B"/>
    <w:rsid w:val="005B5116"/>
    <w:rsid w:val="005B5B45"/>
    <w:rsid w:val="005B6F6C"/>
    <w:rsid w:val="005B75B1"/>
    <w:rsid w:val="005C0115"/>
    <w:rsid w:val="005C0F76"/>
    <w:rsid w:val="005C14B9"/>
    <w:rsid w:val="005C193C"/>
    <w:rsid w:val="005C22EC"/>
    <w:rsid w:val="005C2407"/>
    <w:rsid w:val="005C3263"/>
    <w:rsid w:val="005C3866"/>
    <w:rsid w:val="005C49BA"/>
    <w:rsid w:val="005C5145"/>
    <w:rsid w:val="005C5FF2"/>
    <w:rsid w:val="005C729E"/>
    <w:rsid w:val="005C7AFD"/>
    <w:rsid w:val="005D0007"/>
    <w:rsid w:val="005D00FB"/>
    <w:rsid w:val="005D0451"/>
    <w:rsid w:val="005D09B0"/>
    <w:rsid w:val="005D0E0B"/>
    <w:rsid w:val="005D1ACA"/>
    <w:rsid w:val="005D2E74"/>
    <w:rsid w:val="005D3717"/>
    <w:rsid w:val="005D3B90"/>
    <w:rsid w:val="005D3D8B"/>
    <w:rsid w:val="005D5552"/>
    <w:rsid w:val="005D59B5"/>
    <w:rsid w:val="005D6643"/>
    <w:rsid w:val="005D67D5"/>
    <w:rsid w:val="005D69F5"/>
    <w:rsid w:val="005D6FBB"/>
    <w:rsid w:val="005D7E72"/>
    <w:rsid w:val="005E14EF"/>
    <w:rsid w:val="005E153A"/>
    <w:rsid w:val="005E15E0"/>
    <w:rsid w:val="005E196C"/>
    <w:rsid w:val="005E196F"/>
    <w:rsid w:val="005E2B31"/>
    <w:rsid w:val="005E2F8D"/>
    <w:rsid w:val="005E3001"/>
    <w:rsid w:val="005E377D"/>
    <w:rsid w:val="005E3A76"/>
    <w:rsid w:val="005E3F50"/>
    <w:rsid w:val="005E4225"/>
    <w:rsid w:val="005E4D29"/>
    <w:rsid w:val="005E4D4E"/>
    <w:rsid w:val="005E504B"/>
    <w:rsid w:val="005E52E5"/>
    <w:rsid w:val="005E5675"/>
    <w:rsid w:val="005E5995"/>
    <w:rsid w:val="005E5C57"/>
    <w:rsid w:val="005E607D"/>
    <w:rsid w:val="005E60BE"/>
    <w:rsid w:val="005E6337"/>
    <w:rsid w:val="005E639D"/>
    <w:rsid w:val="005E6846"/>
    <w:rsid w:val="005E692A"/>
    <w:rsid w:val="005F0006"/>
    <w:rsid w:val="005F017E"/>
    <w:rsid w:val="005F01CF"/>
    <w:rsid w:val="005F033F"/>
    <w:rsid w:val="005F17EB"/>
    <w:rsid w:val="005F1F7B"/>
    <w:rsid w:val="005F2609"/>
    <w:rsid w:val="005F27C1"/>
    <w:rsid w:val="005F2C4A"/>
    <w:rsid w:val="005F2F96"/>
    <w:rsid w:val="005F376A"/>
    <w:rsid w:val="005F3DA0"/>
    <w:rsid w:val="005F3DE7"/>
    <w:rsid w:val="005F422E"/>
    <w:rsid w:val="005F60FE"/>
    <w:rsid w:val="005F668E"/>
    <w:rsid w:val="005F6885"/>
    <w:rsid w:val="005F7A75"/>
    <w:rsid w:val="005F7BA2"/>
    <w:rsid w:val="005F7F96"/>
    <w:rsid w:val="0060002E"/>
    <w:rsid w:val="00600564"/>
    <w:rsid w:val="006007DC"/>
    <w:rsid w:val="00600F76"/>
    <w:rsid w:val="006011DC"/>
    <w:rsid w:val="00601238"/>
    <w:rsid w:val="006014FD"/>
    <w:rsid w:val="006024CC"/>
    <w:rsid w:val="00603C66"/>
    <w:rsid w:val="00605860"/>
    <w:rsid w:val="006058A1"/>
    <w:rsid w:val="006069E1"/>
    <w:rsid w:val="00606F6E"/>
    <w:rsid w:val="00610914"/>
    <w:rsid w:val="00611D7D"/>
    <w:rsid w:val="0061244C"/>
    <w:rsid w:val="006124C3"/>
    <w:rsid w:val="00612694"/>
    <w:rsid w:val="006129EB"/>
    <w:rsid w:val="00612B11"/>
    <w:rsid w:val="00612D9B"/>
    <w:rsid w:val="006130B6"/>
    <w:rsid w:val="00613DD7"/>
    <w:rsid w:val="006143EE"/>
    <w:rsid w:val="00615345"/>
    <w:rsid w:val="00615514"/>
    <w:rsid w:val="006158F7"/>
    <w:rsid w:val="00615BA5"/>
    <w:rsid w:val="00615CD4"/>
    <w:rsid w:val="00617004"/>
    <w:rsid w:val="00617D5C"/>
    <w:rsid w:val="00621033"/>
    <w:rsid w:val="006217D1"/>
    <w:rsid w:val="00621C80"/>
    <w:rsid w:val="006220AE"/>
    <w:rsid w:val="006224F6"/>
    <w:rsid w:val="006229E3"/>
    <w:rsid w:val="00623E2A"/>
    <w:rsid w:val="006240C3"/>
    <w:rsid w:val="00624528"/>
    <w:rsid w:val="00624801"/>
    <w:rsid w:val="006249AB"/>
    <w:rsid w:val="00624C7E"/>
    <w:rsid w:val="00624E04"/>
    <w:rsid w:val="00624FC3"/>
    <w:rsid w:val="006253C6"/>
    <w:rsid w:val="00625DFF"/>
    <w:rsid w:val="00626012"/>
    <w:rsid w:val="00626152"/>
    <w:rsid w:val="00626DB0"/>
    <w:rsid w:val="00626EC0"/>
    <w:rsid w:val="0063023E"/>
    <w:rsid w:val="00630368"/>
    <w:rsid w:val="00630644"/>
    <w:rsid w:val="006306D5"/>
    <w:rsid w:val="006309A8"/>
    <w:rsid w:val="00630CCC"/>
    <w:rsid w:val="00630DA0"/>
    <w:rsid w:val="0063120A"/>
    <w:rsid w:val="00631C0A"/>
    <w:rsid w:val="00631DC0"/>
    <w:rsid w:val="00631F59"/>
    <w:rsid w:val="006321A7"/>
    <w:rsid w:val="0063252B"/>
    <w:rsid w:val="006333AF"/>
    <w:rsid w:val="0063383E"/>
    <w:rsid w:val="00633872"/>
    <w:rsid w:val="00633C35"/>
    <w:rsid w:val="0063456C"/>
    <w:rsid w:val="00634598"/>
    <w:rsid w:val="006354C5"/>
    <w:rsid w:val="00635D04"/>
    <w:rsid w:val="00635DC4"/>
    <w:rsid w:val="006360DF"/>
    <w:rsid w:val="006364D1"/>
    <w:rsid w:val="006368CB"/>
    <w:rsid w:val="0063760B"/>
    <w:rsid w:val="00637A7B"/>
    <w:rsid w:val="00637C40"/>
    <w:rsid w:val="00640801"/>
    <w:rsid w:val="0064084A"/>
    <w:rsid w:val="00640B70"/>
    <w:rsid w:val="006413EB"/>
    <w:rsid w:val="0064182B"/>
    <w:rsid w:val="00642512"/>
    <w:rsid w:val="00643562"/>
    <w:rsid w:val="006441A1"/>
    <w:rsid w:val="006448AD"/>
    <w:rsid w:val="006455BD"/>
    <w:rsid w:val="00645741"/>
    <w:rsid w:val="006459F6"/>
    <w:rsid w:val="00645D0D"/>
    <w:rsid w:val="006463F5"/>
    <w:rsid w:val="006471DA"/>
    <w:rsid w:val="00647BB4"/>
    <w:rsid w:val="006502FC"/>
    <w:rsid w:val="00650594"/>
    <w:rsid w:val="006514EB"/>
    <w:rsid w:val="00651A99"/>
    <w:rsid w:val="00651BBE"/>
    <w:rsid w:val="00651D38"/>
    <w:rsid w:val="00652E35"/>
    <w:rsid w:val="00653B49"/>
    <w:rsid w:val="00653E79"/>
    <w:rsid w:val="00653F63"/>
    <w:rsid w:val="00654185"/>
    <w:rsid w:val="006542A2"/>
    <w:rsid w:val="006543A8"/>
    <w:rsid w:val="00654938"/>
    <w:rsid w:val="00655125"/>
    <w:rsid w:val="006563BA"/>
    <w:rsid w:val="00657210"/>
    <w:rsid w:val="006611D9"/>
    <w:rsid w:val="006613EB"/>
    <w:rsid w:val="006641E0"/>
    <w:rsid w:val="006641E5"/>
    <w:rsid w:val="0066429D"/>
    <w:rsid w:val="00664F6B"/>
    <w:rsid w:val="00665144"/>
    <w:rsid w:val="006654EF"/>
    <w:rsid w:val="00665E45"/>
    <w:rsid w:val="00665E46"/>
    <w:rsid w:val="00665F6E"/>
    <w:rsid w:val="00666129"/>
    <w:rsid w:val="00666825"/>
    <w:rsid w:val="00667110"/>
    <w:rsid w:val="00667EF7"/>
    <w:rsid w:val="006705B3"/>
    <w:rsid w:val="00671704"/>
    <w:rsid w:val="0067177B"/>
    <w:rsid w:val="00671966"/>
    <w:rsid w:val="00671C73"/>
    <w:rsid w:val="00672E50"/>
    <w:rsid w:val="00673523"/>
    <w:rsid w:val="00673BB6"/>
    <w:rsid w:val="006740EB"/>
    <w:rsid w:val="006744B1"/>
    <w:rsid w:val="00675140"/>
    <w:rsid w:val="0067514B"/>
    <w:rsid w:val="00675EFB"/>
    <w:rsid w:val="00675F6F"/>
    <w:rsid w:val="00676116"/>
    <w:rsid w:val="00676981"/>
    <w:rsid w:val="00676A9F"/>
    <w:rsid w:val="00676E12"/>
    <w:rsid w:val="00676E34"/>
    <w:rsid w:val="00677498"/>
    <w:rsid w:val="006775A0"/>
    <w:rsid w:val="006775DC"/>
    <w:rsid w:val="00677D75"/>
    <w:rsid w:val="006800D0"/>
    <w:rsid w:val="00681DFC"/>
    <w:rsid w:val="006828FD"/>
    <w:rsid w:val="00682D65"/>
    <w:rsid w:val="00683286"/>
    <w:rsid w:val="00683BD8"/>
    <w:rsid w:val="00683C56"/>
    <w:rsid w:val="00684437"/>
    <w:rsid w:val="006849BA"/>
    <w:rsid w:val="006857B6"/>
    <w:rsid w:val="00685FF4"/>
    <w:rsid w:val="00686433"/>
    <w:rsid w:val="00686E0C"/>
    <w:rsid w:val="00690138"/>
    <w:rsid w:val="006903CF"/>
    <w:rsid w:val="00690FEC"/>
    <w:rsid w:val="00691286"/>
    <w:rsid w:val="0069225B"/>
    <w:rsid w:val="006924B7"/>
    <w:rsid w:val="0069258E"/>
    <w:rsid w:val="006926A3"/>
    <w:rsid w:val="0069381D"/>
    <w:rsid w:val="00693971"/>
    <w:rsid w:val="006948DE"/>
    <w:rsid w:val="006950F1"/>
    <w:rsid w:val="00695431"/>
    <w:rsid w:val="006957BA"/>
    <w:rsid w:val="00695B08"/>
    <w:rsid w:val="00695BDD"/>
    <w:rsid w:val="00695DBD"/>
    <w:rsid w:val="0069621E"/>
    <w:rsid w:val="0069783B"/>
    <w:rsid w:val="00697D85"/>
    <w:rsid w:val="006A0162"/>
    <w:rsid w:val="006A0A01"/>
    <w:rsid w:val="006A0D36"/>
    <w:rsid w:val="006A1077"/>
    <w:rsid w:val="006A11EF"/>
    <w:rsid w:val="006A1322"/>
    <w:rsid w:val="006A1CC1"/>
    <w:rsid w:val="006A28E1"/>
    <w:rsid w:val="006A388D"/>
    <w:rsid w:val="006A3A65"/>
    <w:rsid w:val="006A421C"/>
    <w:rsid w:val="006A47F5"/>
    <w:rsid w:val="006A4CC2"/>
    <w:rsid w:val="006A5F4A"/>
    <w:rsid w:val="006A62CF"/>
    <w:rsid w:val="006B080F"/>
    <w:rsid w:val="006B0EFF"/>
    <w:rsid w:val="006B19F8"/>
    <w:rsid w:val="006B2756"/>
    <w:rsid w:val="006B2DA8"/>
    <w:rsid w:val="006B341C"/>
    <w:rsid w:val="006B363F"/>
    <w:rsid w:val="006B36AE"/>
    <w:rsid w:val="006B37DD"/>
    <w:rsid w:val="006B4174"/>
    <w:rsid w:val="006B4DAB"/>
    <w:rsid w:val="006B5EEC"/>
    <w:rsid w:val="006B6C8C"/>
    <w:rsid w:val="006B6D7F"/>
    <w:rsid w:val="006B763A"/>
    <w:rsid w:val="006B76E4"/>
    <w:rsid w:val="006B7876"/>
    <w:rsid w:val="006C157C"/>
    <w:rsid w:val="006C5221"/>
    <w:rsid w:val="006C5CDA"/>
    <w:rsid w:val="006C6B7A"/>
    <w:rsid w:val="006C7387"/>
    <w:rsid w:val="006C7DA7"/>
    <w:rsid w:val="006D14CF"/>
    <w:rsid w:val="006D1659"/>
    <w:rsid w:val="006D19A4"/>
    <w:rsid w:val="006D2FB1"/>
    <w:rsid w:val="006D3A59"/>
    <w:rsid w:val="006D3CA5"/>
    <w:rsid w:val="006D3D67"/>
    <w:rsid w:val="006D40A8"/>
    <w:rsid w:val="006D41DD"/>
    <w:rsid w:val="006D47BB"/>
    <w:rsid w:val="006D50AB"/>
    <w:rsid w:val="006D54BF"/>
    <w:rsid w:val="006D5BF1"/>
    <w:rsid w:val="006D5DCA"/>
    <w:rsid w:val="006D7A8E"/>
    <w:rsid w:val="006D7E68"/>
    <w:rsid w:val="006E0007"/>
    <w:rsid w:val="006E02D3"/>
    <w:rsid w:val="006E0775"/>
    <w:rsid w:val="006E0B41"/>
    <w:rsid w:val="006E1224"/>
    <w:rsid w:val="006E27AE"/>
    <w:rsid w:val="006E2E80"/>
    <w:rsid w:val="006E317D"/>
    <w:rsid w:val="006E3CAA"/>
    <w:rsid w:val="006E3FA0"/>
    <w:rsid w:val="006E5948"/>
    <w:rsid w:val="006E65E0"/>
    <w:rsid w:val="006E75A7"/>
    <w:rsid w:val="006E786F"/>
    <w:rsid w:val="006E7F80"/>
    <w:rsid w:val="006F02BA"/>
    <w:rsid w:val="006F088C"/>
    <w:rsid w:val="006F124E"/>
    <w:rsid w:val="006F193A"/>
    <w:rsid w:val="006F1B13"/>
    <w:rsid w:val="006F280C"/>
    <w:rsid w:val="006F2963"/>
    <w:rsid w:val="006F4E58"/>
    <w:rsid w:val="006F5CA0"/>
    <w:rsid w:val="006F6194"/>
    <w:rsid w:val="006F656C"/>
    <w:rsid w:val="006F7917"/>
    <w:rsid w:val="006F7985"/>
    <w:rsid w:val="006F7D5B"/>
    <w:rsid w:val="007001C9"/>
    <w:rsid w:val="00700679"/>
    <w:rsid w:val="00702B1A"/>
    <w:rsid w:val="00702BF6"/>
    <w:rsid w:val="00703CCF"/>
    <w:rsid w:val="007042DD"/>
    <w:rsid w:val="007043A1"/>
    <w:rsid w:val="00706B68"/>
    <w:rsid w:val="00706F84"/>
    <w:rsid w:val="0070701C"/>
    <w:rsid w:val="007072F8"/>
    <w:rsid w:val="00707FA4"/>
    <w:rsid w:val="0071027F"/>
    <w:rsid w:val="00711335"/>
    <w:rsid w:val="00711390"/>
    <w:rsid w:val="00711CBA"/>
    <w:rsid w:val="007125A4"/>
    <w:rsid w:val="007127F2"/>
    <w:rsid w:val="00712BFC"/>
    <w:rsid w:val="00713259"/>
    <w:rsid w:val="00714FDF"/>
    <w:rsid w:val="00715743"/>
    <w:rsid w:val="00715BA8"/>
    <w:rsid w:val="0072331C"/>
    <w:rsid w:val="007247FF"/>
    <w:rsid w:val="007250D9"/>
    <w:rsid w:val="0072525D"/>
    <w:rsid w:val="007254B5"/>
    <w:rsid w:val="0072568C"/>
    <w:rsid w:val="007257CB"/>
    <w:rsid w:val="00725B41"/>
    <w:rsid w:val="007260AB"/>
    <w:rsid w:val="007261B6"/>
    <w:rsid w:val="00726441"/>
    <w:rsid w:val="0072699B"/>
    <w:rsid w:val="00727D72"/>
    <w:rsid w:val="007306B9"/>
    <w:rsid w:val="00731800"/>
    <w:rsid w:val="00731ADC"/>
    <w:rsid w:val="007329A4"/>
    <w:rsid w:val="00732DD8"/>
    <w:rsid w:val="0073318F"/>
    <w:rsid w:val="007334F3"/>
    <w:rsid w:val="0073484C"/>
    <w:rsid w:val="00734E48"/>
    <w:rsid w:val="00735335"/>
    <w:rsid w:val="007354A3"/>
    <w:rsid w:val="00735524"/>
    <w:rsid w:val="00735620"/>
    <w:rsid w:val="00736729"/>
    <w:rsid w:val="007367DE"/>
    <w:rsid w:val="0073714B"/>
    <w:rsid w:val="00740788"/>
    <w:rsid w:val="00742132"/>
    <w:rsid w:val="00742262"/>
    <w:rsid w:val="00742608"/>
    <w:rsid w:val="007429E0"/>
    <w:rsid w:val="0074346D"/>
    <w:rsid w:val="00744239"/>
    <w:rsid w:val="00744F9B"/>
    <w:rsid w:val="00745976"/>
    <w:rsid w:val="00746146"/>
    <w:rsid w:val="0074616C"/>
    <w:rsid w:val="007470B3"/>
    <w:rsid w:val="00747296"/>
    <w:rsid w:val="00747C3E"/>
    <w:rsid w:val="0075051D"/>
    <w:rsid w:val="00750A93"/>
    <w:rsid w:val="00750C76"/>
    <w:rsid w:val="00751364"/>
    <w:rsid w:val="00751DD7"/>
    <w:rsid w:val="00752E15"/>
    <w:rsid w:val="00753C4E"/>
    <w:rsid w:val="00753D57"/>
    <w:rsid w:val="007540BC"/>
    <w:rsid w:val="007540C2"/>
    <w:rsid w:val="00754101"/>
    <w:rsid w:val="00754630"/>
    <w:rsid w:val="007548C2"/>
    <w:rsid w:val="00755974"/>
    <w:rsid w:val="00755ABB"/>
    <w:rsid w:val="00755B3F"/>
    <w:rsid w:val="00755C05"/>
    <w:rsid w:val="00755F72"/>
    <w:rsid w:val="007560FA"/>
    <w:rsid w:val="0075697C"/>
    <w:rsid w:val="00756AE3"/>
    <w:rsid w:val="00756D58"/>
    <w:rsid w:val="00756F66"/>
    <w:rsid w:val="00756FA4"/>
    <w:rsid w:val="007574AB"/>
    <w:rsid w:val="0076099C"/>
    <w:rsid w:val="00761255"/>
    <w:rsid w:val="00761440"/>
    <w:rsid w:val="007636F5"/>
    <w:rsid w:val="00763DF1"/>
    <w:rsid w:val="00764374"/>
    <w:rsid w:val="007646F6"/>
    <w:rsid w:val="007668C6"/>
    <w:rsid w:val="00766A99"/>
    <w:rsid w:val="00766B60"/>
    <w:rsid w:val="00767E8D"/>
    <w:rsid w:val="007704B7"/>
    <w:rsid w:val="0077079C"/>
    <w:rsid w:val="00770F8A"/>
    <w:rsid w:val="0077134D"/>
    <w:rsid w:val="00771D95"/>
    <w:rsid w:val="0077209F"/>
    <w:rsid w:val="00772579"/>
    <w:rsid w:val="00772931"/>
    <w:rsid w:val="00772EE5"/>
    <w:rsid w:val="00773508"/>
    <w:rsid w:val="00773755"/>
    <w:rsid w:val="0077434D"/>
    <w:rsid w:val="00774EEB"/>
    <w:rsid w:val="0077549A"/>
    <w:rsid w:val="00775992"/>
    <w:rsid w:val="007761CA"/>
    <w:rsid w:val="007763F5"/>
    <w:rsid w:val="007767B8"/>
    <w:rsid w:val="007774AA"/>
    <w:rsid w:val="007776E8"/>
    <w:rsid w:val="007805DF"/>
    <w:rsid w:val="007810F0"/>
    <w:rsid w:val="00781AFE"/>
    <w:rsid w:val="00782A29"/>
    <w:rsid w:val="00783D3A"/>
    <w:rsid w:val="00783E3D"/>
    <w:rsid w:val="00783F7D"/>
    <w:rsid w:val="007848D1"/>
    <w:rsid w:val="00784B85"/>
    <w:rsid w:val="00784BE5"/>
    <w:rsid w:val="00784C74"/>
    <w:rsid w:val="00785D0C"/>
    <w:rsid w:val="00785DAE"/>
    <w:rsid w:val="007877AE"/>
    <w:rsid w:val="00787A71"/>
    <w:rsid w:val="00792699"/>
    <w:rsid w:val="00793CF4"/>
    <w:rsid w:val="007940E3"/>
    <w:rsid w:val="007944F1"/>
    <w:rsid w:val="007948C8"/>
    <w:rsid w:val="00794B02"/>
    <w:rsid w:val="00794B81"/>
    <w:rsid w:val="007951DF"/>
    <w:rsid w:val="007957F8"/>
    <w:rsid w:val="00795898"/>
    <w:rsid w:val="00796353"/>
    <w:rsid w:val="00796BA4"/>
    <w:rsid w:val="00797832"/>
    <w:rsid w:val="00797BCD"/>
    <w:rsid w:val="00797BFF"/>
    <w:rsid w:val="00797FA3"/>
    <w:rsid w:val="007A0DD9"/>
    <w:rsid w:val="007A1580"/>
    <w:rsid w:val="007A1BA8"/>
    <w:rsid w:val="007A336C"/>
    <w:rsid w:val="007A360B"/>
    <w:rsid w:val="007A3870"/>
    <w:rsid w:val="007A4030"/>
    <w:rsid w:val="007A4280"/>
    <w:rsid w:val="007A4636"/>
    <w:rsid w:val="007A48FF"/>
    <w:rsid w:val="007A5CBA"/>
    <w:rsid w:val="007A627D"/>
    <w:rsid w:val="007A6402"/>
    <w:rsid w:val="007A6F4C"/>
    <w:rsid w:val="007A7078"/>
    <w:rsid w:val="007A72ED"/>
    <w:rsid w:val="007A7323"/>
    <w:rsid w:val="007A7E1E"/>
    <w:rsid w:val="007A7FBD"/>
    <w:rsid w:val="007B05E1"/>
    <w:rsid w:val="007B0757"/>
    <w:rsid w:val="007B08A0"/>
    <w:rsid w:val="007B148D"/>
    <w:rsid w:val="007B245F"/>
    <w:rsid w:val="007B255E"/>
    <w:rsid w:val="007B2841"/>
    <w:rsid w:val="007B3184"/>
    <w:rsid w:val="007B4554"/>
    <w:rsid w:val="007B4B5F"/>
    <w:rsid w:val="007B508A"/>
    <w:rsid w:val="007B547D"/>
    <w:rsid w:val="007B6577"/>
    <w:rsid w:val="007B6716"/>
    <w:rsid w:val="007B6FE0"/>
    <w:rsid w:val="007B7E6B"/>
    <w:rsid w:val="007C1E90"/>
    <w:rsid w:val="007C2438"/>
    <w:rsid w:val="007C250D"/>
    <w:rsid w:val="007C2698"/>
    <w:rsid w:val="007C275C"/>
    <w:rsid w:val="007C2E3F"/>
    <w:rsid w:val="007C304B"/>
    <w:rsid w:val="007C3BDB"/>
    <w:rsid w:val="007C3C48"/>
    <w:rsid w:val="007C3CA2"/>
    <w:rsid w:val="007C423E"/>
    <w:rsid w:val="007C5894"/>
    <w:rsid w:val="007C6578"/>
    <w:rsid w:val="007C6DF7"/>
    <w:rsid w:val="007C6F6C"/>
    <w:rsid w:val="007C7365"/>
    <w:rsid w:val="007C77BF"/>
    <w:rsid w:val="007C7FA5"/>
    <w:rsid w:val="007D0379"/>
    <w:rsid w:val="007D0700"/>
    <w:rsid w:val="007D0A7F"/>
    <w:rsid w:val="007D15C5"/>
    <w:rsid w:val="007D2109"/>
    <w:rsid w:val="007D2DE7"/>
    <w:rsid w:val="007D3122"/>
    <w:rsid w:val="007D3867"/>
    <w:rsid w:val="007D3DE1"/>
    <w:rsid w:val="007D4563"/>
    <w:rsid w:val="007D5471"/>
    <w:rsid w:val="007D54B1"/>
    <w:rsid w:val="007D583E"/>
    <w:rsid w:val="007D5B9D"/>
    <w:rsid w:val="007D6CBE"/>
    <w:rsid w:val="007E0131"/>
    <w:rsid w:val="007E0631"/>
    <w:rsid w:val="007E0669"/>
    <w:rsid w:val="007E0B1D"/>
    <w:rsid w:val="007E1DC8"/>
    <w:rsid w:val="007E2B02"/>
    <w:rsid w:val="007E2B49"/>
    <w:rsid w:val="007E33E5"/>
    <w:rsid w:val="007E36AA"/>
    <w:rsid w:val="007E466D"/>
    <w:rsid w:val="007E47E9"/>
    <w:rsid w:val="007E4EA8"/>
    <w:rsid w:val="007E50A9"/>
    <w:rsid w:val="007E5590"/>
    <w:rsid w:val="007E581A"/>
    <w:rsid w:val="007E68DB"/>
    <w:rsid w:val="007E7709"/>
    <w:rsid w:val="007F02C7"/>
    <w:rsid w:val="007F04C5"/>
    <w:rsid w:val="007F053B"/>
    <w:rsid w:val="007F0BCA"/>
    <w:rsid w:val="007F1389"/>
    <w:rsid w:val="007F2559"/>
    <w:rsid w:val="007F2D4D"/>
    <w:rsid w:val="007F344C"/>
    <w:rsid w:val="007F3B9E"/>
    <w:rsid w:val="007F5DAE"/>
    <w:rsid w:val="007F5F46"/>
    <w:rsid w:val="007F6F99"/>
    <w:rsid w:val="007F6FB7"/>
    <w:rsid w:val="00800033"/>
    <w:rsid w:val="008003E2"/>
    <w:rsid w:val="0080099B"/>
    <w:rsid w:val="00801388"/>
    <w:rsid w:val="008013D2"/>
    <w:rsid w:val="008018F1"/>
    <w:rsid w:val="008029E7"/>
    <w:rsid w:val="00802DAB"/>
    <w:rsid w:val="008030B6"/>
    <w:rsid w:val="0080337F"/>
    <w:rsid w:val="0080375E"/>
    <w:rsid w:val="00804813"/>
    <w:rsid w:val="0080591C"/>
    <w:rsid w:val="008060B7"/>
    <w:rsid w:val="00806277"/>
    <w:rsid w:val="00806FC1"/>
    <w:rsid w:val="008071D9"/>
    <w:rsid w:val="008073B7"/>
    <w:rsid w:val="00810590"/>
    <w:rsid w:val="00811EB7"/>
    <w:rsid w:val="00812028"/>
    <w:rsid w:val="00812A19"/>
    <w:rsid w:val="0081375B"/>
    <w:rsid w:val="008143D4"/>
    <w:rsid w:val="00815284"/>
    <w:rsid w:val="00815A37"/>
    <w:rsid w:val="00816774"/>
    <w:rsid w:val="00816F35"/>
    <w:rsid w:val="0081702F"/>
    <w:rsid w:val="0081712C"/>
    <w:rsid w:val="0081775B"/>
    <w:rsid w:val="00820B44"/>
    <w:rsid w:val="00821B11"/>
    <w:rsid w:val="008230CE"/>
    <w:rsid w:val="008236BC"/>
    <w:rsid w:val="0082374D"/>
    <w:rsid w:val="00826345"/>
    <w:rsid w:val="00827FA5"/>
    <w:rsid w:val="00831BDA"/>
    <w:rsid w:val="00832525"/>
    <w:rsid w:val="00832B2C"/>
    <w:rsid w:val="0083381C"/>
    <w:rsid w:val="00833CAF"/>
    <w:rsid w:val="008345C2"/>
    <w:rsid w:val="008348E9"/>
    <w:rsid w:val="00835055"/>
    <w:rsid w:val="008356DC"/>
    <w:rsid w:val="00835A2B"/>
    <w:rsid w:val="00835AD1"/>
    <w:rsid w:val="00835CB9"/>
    <w:rsid w:val="00836A5D"/>
    <w:rsid w:val="00836D80"/>
    <w:rsid w:val="008370D9"/>
    <w:rsid w:val="0084009E"/>
    <w:rsid w:val="008403CE"/>
    <w:rsid w:val="00840562"/>
    <w:rsid w:val="00840700"/>
    <w:rsid w:val="00841337"/>
    <w:rsid w:val="00841A6F"/>
    <w:rsid w:val="008424D9"/>
    <w:rsid w:val="0084259D"/>
    <w:rsid w:val="008426C3"/>
    <w:rsid w:val="00842A9D"/>
    <w:rsid w:val="00842C79"/>
    <w:rsid w:val="00843266"/>
    <w:rsid w:val="0084330C"/>
    <w:rsid w:val="008435B1"/>
    <w:rsid w:val="00843822"/>
    <w:rsid w:val="00843A29"/>
    <w:rsid w:val="00843C17"/>
    <w:rsid w:val="00844474"/>
    <w:rsid w:val="00845300"/>
    <w:rsid w:val="008462CB"/>
    <w:rsid w:val="00846AC1"/>
    <w:rsid w:val="008502DE"/>
    <w:rsid w:val="008511CE"/>
    <w:rsid w:val="00851C1F"/>
    <w:rsid w:val="0085224D"/>
    <w:rsid w:val="00852D42"/>
    <w:rsid w:val="008530DA"/>
    <w:rsid w:val="00853A6E"/>
    <w:rsid w:val="008541AD"/>
    <w:rsid w:val="00854ACF"/>
    <w:rsid w:val="00855553"/>
    <w:rsid w:val="00855F40"/>
    <w:rsid w:val="00856223"/>
    <w:rsid w:val="0085728C"/>
    <w:rsid w:val="00860685"/>
    <w:rsid w:val="00860C80"/>
    <w:rsid w:val="00860D0C"/>
    <w:rsid w:val="00860E7F"/>
    <w:rsid w:val="00862236"/>
    <w:rsid w:val="00862915"/>
    <w:rsid w:val="00862A86"/>
    <w:rsid w:val="00862BFE"/>
    <w:rsid w:val="00862FE4"/>
    <w:rsid w:val="00863561"/>
    <w:rsid w:val="008642AC"/>
    <w:rsid w:val="00864A10"/>
    <w:rsid w:val="00864D4B"/>
    <w:rsid w:val="00864D9B"/>
    <w:rsid w:val="0086559C"/>
    <w:rsid w:val="00865936"/>
    <w:rsid w:val="00866A69"/>
    <w:rsid w:val="008672D9"/>
    <w:rsid w:val="00867601"/>
    <w:rsid w:val="00867B79"/>
    <w:rsid w:val="00867DB1"/>
    <w:rsid w:val="0087018E"/>
    <w:rsid w:val="008705B4"/>
    <w:rsid w:val="008706E4"/>
    <w:rsid w:val="00870F11"/>
    <w:rsid w:val="00871328"/>
    <w:rsid w:val="008720D7"/>
    <w:rsid w:val="008724B2"/>
    <w:rsid w:val="008727CE"/>
    <w:rsid w:val="008729CD"/>
    <w:rsid w:val="00872D23"/>
    <w:rsid w:val="00874B55"/>
    <w:rsid w:val="00874D08"/>
    <w:rsid w:val="0087523E"/>
    <w:rsid w:val="008758B4"/>
    <w:rsid w:val="0087628E"/>
    <w:rsid w:val="00876671"/>
    <w:rsid w:val="0087681C"/>
    <w:rsid w:val="008769D5"/>
    <w:rsid w:val="00876DB0"/>
    <w:rsid w:val="00877005"/>
    <w:rsid w:val="008772F1"/>
    <w:rsid w:val="00877A4A"/>
    <w:rsid w:val="00880244"/>
    <w:rsid w:val="008803A0"/>
    <w:rsid w:val="00880510"/>
    <w:rsid w:val="00881374"/>
    <w:rsid w:val="00881A83"/>
    <w:rsid w:val="00881E6D"/>
    <w:rsid w:val="008826C1"/>
    <w:rsid w:val="00884420"/>
    <w:rsid w:val="00884937"/>
    <w:rsid w:val="0088568E"/>
    <w:rsid w:val="00885FA5"/>
    <w:rsid w:val="00886137"/>
    <w:rsid w:val="00886499"/>
    <w:rsid w:val="008869A6"/>
    <w:rsid w:val="00886C92"/>
    <w:rsid w:val="00886F04"/>
    <w:rsid w:val="0088704E"/>
    <w:rsid w:val="0088714C"/>
    <w:rsid w:val="008875C5"/>
    <w:rsid w:val="008877D2"/>
    <w:rsid w:val="00890669"/>
    <w:rsid w:val="008909C4"/>
    <w:rsid w:val="00890B3D"/>
    <w:rsid w:val="00890DAB"/>
    <w:rsid w:val="0089117F"/>
    <w:rsid w:val="00892B43"/>
    <w:rsid w:val="008930C3"/>
    <w:rsid w:val="00893310"/>
    <w:rsid w:val="008933CF"/>
    <w:rsid w:val="00893424"/>
    <w:rsid w:val="00893899"/>
    <w:rsid w:val="00893B21"/>
    <w:rsid w:val="00893F31"/>
    <w:rsid w:val="008950CB"/>
    <w:rsid w:val="0089556B"/>
    <w:rsid w:val="00895863"/>
    <w:rsid w:val="008959A5"/>
    <w:rsid w:val="00895F8C"/>
    <w:rsid w:val="00896B2A"/>
    <w:rsid w:val="00896E22"/>
    <w:rsid w:val="00896E95"/>
    <w:rsid w:val="00896FFA"/>
    <w:rsid w:val="008972B7"/>
    <w:rsid w:val="00897724"/>
    <w:rsid w:val="0089789D"/>
    <w:rsid w:val="00897A4E"/>
    <w:rsid w:val="008A0179"/>
    <w:rsid w:val="008A0C03"/>
    <w:rsid w:val="008A163E"/>
    <w:rsid w:val="008A39DB"/>
    <w:rsid w:val="008A40F6"/>
    <w:rsid w:val="008A44B9"/>
    <w:rsid w:val="008A45C1"/>
    <w:rsid w:val="008A4A43"/>
    <w:rsid w:val="008A4E0B"/>
    <w:rsid w:val="008A516F"/>
    <w:rsid w:val="008A58E5"/>
    <w:rsid w:val="008A5E85"/>
    <w:rsid w:val="008A71B5"/>
    <w:rsid w:val="008B00A5"/>
    <w:rsid w:val="008B0C0F"/>
    <w:rsid w:val="008B0D6C"/>
    <w:rsid w:val="008B10D5"/>
    <w:rsid w:val="008B1772"/>
    <w:rsid w:val="008B1B8B"/>
    <w:rsid w:val="008B2482"/>
    <w:rsid w:val="008B25F8"/>
    <w:rsid w:val="008B268E"/>
    <w:rsid w:val="008B2844"/>
    <w:rsid w:val="008B317D"/>
    <w:rsid w:val="008B3368"/>
    <w:rsid w:val="008B3429"/>
    <w:rsid w:val="008B34B6"/>
    <w:rsid w:val="008B3604"/>
    <w:rsid w:val="008B3F3B"/>
    <w:rsid w:val="008B42A2"/>
    <w:rsid w:val="008B471F"/>
    <w:rsid w:val="008B4E46"/>
    <w:rsid w:val="008B58BB"/>
    <w:rsid w:val="008B5BCA"/>
    <w:rsid w:val="008B6AD2"/>
    <w:rsid w:val="008B7294"/>
    <w:rsid w:val="008C0015"/>
    <w:rsid w:val="008C1F5F"/>
    <w:rsid w:val="008C26E4"/>
    <w:rsid w:val="008C3A60"/>
    <w:rsid w:val="008C3EF4"/>
    <w:rsid w:val="008C471E"/>
    <w:rsid w:val="008C4CAB"/>
    <w:rsid w:val="008C4F87"/>
    <w:rsid w:val="008C59AA"/>
    <w:rsid w:val="008C718A"/>
    <w:rsid w:val="008D0DB1"/>
    <w:rsid w:val="008D14F5"/>
    <w:rsid w:val="008D1EF0"/>
    <w:rsid w:val="008D236E"/>
    <w:rsid w:val="008D24E4"/>
    <w:rsid w:val="008D272C"/>
    <w:rsid w:val="008D2CF6"/>
    <w:rsid w:val="008D364A"/>
    <w:rsid w:val="008D3694"/>
    <w:rsid w:val="008D385C"/>
    <w:rsid w:val="008D391A"/>
    <w:rsid w:val="008D5077"/>
    <w:rsid w:val="008D52E8"/>
    <w:rsid w:val="008D5578"/>
    <w:rsid w:val="008D55D5"/>
    <w:rsid w:val="008D56A3"/>
    <w:rsid w:val="008D5CDD"/>
    <w:rsid w:val="008D6789"/>
    <w:rsid w:val="008D6923"/>
    <w:rsid w:val="008D6BF6"/>
    <w:rsid w:val="008D77CF"/>
    <w:rsid w:val="008D7A3C"/>
    <w:rsid w:val="008D7CC4"/>
    <w:rsid w:val="008D7D16"/>
    <w:rsid w:val="008E04D1"/>
    <w:rsid w:val="008E05C1"/>
    <w:rsid w:val="008E0833"/>
    <w:rsid w:val="008E0C06"/>
    <w:rsid w:val="008E1747"/>
    <w:rsid w:val="008E295F"/>
    <w:rsid w:val="008E3A56"/>
    <w:rsid w:val="008E3AF7"/>
    <w:rsid w:val="008E3CAD"/>
    <w:rsid w:val="008E3E91"/>
    <w:rsid w:val="008E47E1"/>
    <w:rsid w:val="008E5E1F"/>
    <w:rsid w:val="008E7E73"/>
    <w:rsid w:val="008F0BEB"/>
    <w:rsid w:val="008F1505"/>
    <w:rsid w:val="008F20BB"/>
    <w:rsid w:val="008F2190"/>
    <w:rsid w:val="008F2A84"/>
    <w:rsid w:val="008F2AFB"/>
    <w:rsid w:val="008F2E7F"/>
    <w:rsid w:val="008F357E"/>
    <w:rsid w:val="008F4310"/>
    <w:rsid w:val="008F5023"/>
    <w:rsid w:val="008F52E0"/>
    <w:rsid w:val="008F5632"/>
    <w:rsid w:val="008F570E"/>
    <w:rsid w:val="008F5AFD"/>
    <w:rsid w:val="008F60C8"/>
    <w:rsid w:val="008F639B"/>
    <w:rsid w:val="00901B96"/>
    <w:rsid w:val="0090228C"/>
    <w:rsid w:val="00902494"/>
    <w:rsid w:val="009029A1"/>
    <w:rsid w:val="009034C1"/>
    <w:rsid w:val="00903AD5"/>
    <w:rsid w:val="00905512"/>
    <w:rsid w:val="00905E72"/>
    <w:rsid w:val="00906E9C"/>
    <w:rsid w:val="00907075"/>
    <w:rsid w:val="009072B6"/>
    <w:rsid w:val="0090784B"/>
    <w:rsid w:val="00907FCA"/>
    <w:rsid w:val="009106D7"/>
    <w:rsid w:val="0091075B"/>
    <w:rsid w:val="00910E71"/>
    <w:rsid w:val="0091120D"/>
    <w:rsid w:val="0091183B"/>
    <w:rsid w:val="00911869"/>
    <w:rsid w:val="00911D85"/>
    <w:rsid w:val="00912314"/>
    <w:rsid w:val="00913294"/>
    <w:rsid w:val="0091344B"/>
    <w:rsid w:val="00913943"/>
    <w:rsid w:val="00913A63"/>
    <w:rsid w:val="00913B98"/>
    <w:rsid w:val="00913FF7"/>
    <w:rsid w:val="00915AE8"/>
    <w:rsid w:val="00915B2D"/>
    <w:rsid w:val="00915B53"/>
    <w:rsid w:val="00915C27"/>
    <w:rsid w:val="00916D44"/>
    <w:rsid w:val="009173DE"/>
    <w:rsid w:val="00917C0D"/>
    <w:rsid w:val="009201D8"/>
    <w:rsid w:val="0092196B"/>
    <w:rsid w:val="00921ECF"/>
    <w:rsid w:val="00921FC1"/>
    <w:rsid w:val="00922951"/>
    <w:rsid w:val="00922A71"/>
    <w:rsid w:val="009232A2"/>
    <w:rsid w:val="0092447B"/>
    <w:rsid w:val="009245FA"/>
    <w:rsid w:val="009249B4"/>
    <w:rsid w:val="00924FC3"/>
    <w:rsid w:val="00925CB7"/>
    <w:rsid w:val="009264A0"/>
    <w:rsid w:val="0092705E"/>
    <w:rsid w:val="009277E0"/>
    <w:rsid w:val="00927AB5"/>
    <w:rsid w:val="00927EFD"/>
    <w:rsid w:val="00930E48"/>
    <w:rsid w:val="00931150"/>
    <w:rsid w:val="0093115A"/>
    <w:rsid w:val="009319C5"/>
    <w:rsid w:val="00931CF3"/>
    <w:rsid w:val="0093260C"/>
    <w:rsid w:val="00932EBA"/>
    <w:rsid w:val="0093314D"/>
    <w:rsid w:val="0093422C"/>
    <w:rsid w:val="00934BFF"/>
    <w:rsid w:val="00934D9B"/>
    <w:rsid w:val="009358B3"/>
    <w:rsid w:val="009373FF"/>
    <w:rsid w:val="00937619"/>
    <w:rsid w:val="0093796E"/>
    <w:rsid w:val="00937991"/>
    <w:rsid w:val="009400BB"/>
    <w:rsid w:val="009402A5"/>
    <w:rsid w:val="009408A4"/>
    <w:rsid w:val="00940970"/>
    <w:rsid w:val="00940993"/>
    <w:rsid w:val="009409DA"/>
    <w:rsid w:val="00940BF7"/>
    <w:rsid w:val="009416AF"/>
    <w:rsid w:val="009420A3"/>
    <w:rsid w:val="00942F1B"/>
    <w:rsid w:val="009430E3"/>
    <w:rsid w:val="0094331A"/>
    <w:rsid w:val="009435A8"/>
    <w:rsid w:val="00944989"/>
    <w:rsid w:val="0094520E"/>
    <w:rsid w:val="00945531"/>
    <w:rsid w:val="00945887"/>
    <w:rsid w:val="009462E3"/>
    <w:rsid w:val="00946733"/>
    <w:rsid w:val="0094681B"/>
    <w:rsid w:val="00946870"/>
    <w:rsid w:val="00947048"/>
    <w:rsid w:val="00947532"/>
    <w:rsid w:val="00947A49"/>
    <w:rsid w:val="009505EC"/>
    <w:rsid w:val="0095098D"/>
    <w:rsid w:val="00951324"/>
    <w:rsid w:val="00951959"/>
    <w:rsid w:val="00951EA4"/>
    <w:rsid w:val="00951F38"/>
    <w:rsid w:val="0095232C"/>
    <w:rsid w:val="00952A97"/>
    <w:rsid w:val="009530A2"/>
    <w:rsid w:val="00953B80"/>
    <w:rsid w:val="0095413B"/>
    <w:rsid w:val="009542AD"/>
    <w:rsid w:val="00955090"/>
    <w:rsid w:val="00955E89"/>
    <w:rsid w:val="00957780"/>
    <w:rsid w:val="00957BE9"/>
    <w:rsid w:val="0096003A"/>
    <w:rsid w:val="009604FB"/>
    <w:rsid w:val="00960852"/>
    <w:rsid w:val="00961427"/>
    <w:rsid w:val="009624DD"/>
    <w:rsid w:val="009628D2"/>
    <w:rsid w:val="009629D3"/>
    <w:rsid w:val="00962E6F"/>
    <w:rsid w:val="009632B9"/>
    <w:rsid w:val="0096331C"/>
    <w:rsid w:val="0096428F"/>
    <w:rsid w:val="009642D3"/>
    <w:rsid w:val="009643E6"/>
    <w:rsid w:val="00964E89"/>
    <w:rsid w:val="0096760F"/>
    <w:rsid w:val="00970723"/>
    <w:rsid w:val="00970BA9"/>
    <w:rsid w:val="009718F5"/>
    <w:rsid w:val="00972A11"/>
    <w:rsid w:val="009735BF"/>
    <w:rsid w:val="00973665"/>
    <w:rsid w:val="00973B33"/>
    <w:rsid w:val="00973BD3"/>
    <w:rsid w:val="00974DB6"/>
    <w:rsid w:val="009767F7"/>
    <w:rsid w:val="00976B70"/>
    <w:rsid w:val="00977124"/>
    <w:rsid w:val="00977371"/>
    <w:rsid w:val="009774F6"/>
    <w:rsid w:val="00980638"/>
    <w:rsid w:val="00980AB6"/>
    <w:rsid w:val="00981108"/>
    <w:rsid w:val="00981260"/>
    <w:rsid w:val="00981578"/>
    <w:rsid w:val="0098198D"/>
    <w:rsid w:val="00981B69"/>
    <w:rsid w:val="00981F36"/>
    <w:rsid w:val="0098238E"/>
    <w:rsid w:val="009825C9"/>
    <w:rsid w:val="009829E9"/>
    <w:rsid w:val="009831A7"/>
    <w:rsid w:val="009832BA"/>
    <w:rsid w:val="00983668"/>
    <w:rsid w:val="009837D9"/>
    <w:rsid w:val="00983C33"/>
    <w:rsid w:val="00983CFE"/>
    <w:rsid w:val="00984ABE"/>
    <w:rsid w:val="00984C8C"/>
    <w:rsid w:val="00984FA6"/>
    <w:rsid w:val="009856E8"/>
    <w:rsid w:val="009857ED"/>
    <w:rsid w:val="0098632A"/>
    <w:rsid w:val="00986CFF"/>
    <w:rsid w:val="00987735"/>
    <w:rsid w:val="009905FD"/>
    <w:rsid w:val="009905FE"/>
    <w:rsid w:val="009908D8"/>
    <w:rsid w:val="00990F83"/>
    <w:rsid w:val="009912BD"/>
    <w:rsid w:val="009913E2"/>
    <w:rsid w:val="009917B7"/>
    <w:rsid w:val="00991D68"/>
    <w:rsid w:val="00992327"/>
    <w:rsid w:val="0099274B"/>
    <w:rsid w:val="00992C6C"/>
    <w:rsid w:val="00992FE0"/>
    <w:rsid w:val="009935B0"/>
    <w:rsid w:val="00994505"/>
    <w:rsid w:val="00994724"/>
    <w:rsid w:val="00994E61"/>
    <w:rsid w:val="0099530A"/>
    <w:rsid w:val="0099551F"/>
    <w:rsid w:val="009958F7"/>
    <w:rsid w:val="009960D6"/>
    <w:rsid w:val="009968C2"/>
    <w:rsid w:val="00997D39"/>
    <w:rsid w:val="00997FF7"/>
    <w:rsid w:val="009A029C"/>
    <w:rsid w:val="009A09CC"/>
    <w:rsid w:val="009A1AA8"/>
    <w:rsid w:val="009A3DEA"/>
    <w:rsid w:val="009A3F0E"/>
    <w:rsid w:val="009A4808"/>
    <w:rsid w:val="009A4C4E"/>
    <w:rsid w:val="009A4CA4"/>
    <w:rsid w:val="009A5335"/>
    <w:rsid w:val="009A5409"/>
    <w:rsid w:val="009A5D4F"/>
    <w:rsid w:val="009A5D8D"/>
    <w:rsid w:val="009A6727"/>
    <w:rsid w:val="009A6BEA"/>
    <w:rsid w:val="009A769C"/>
    <w:rsid w:val="009B0306"/>
    <w:rsid w:val="009B1C42"/>
    <w:rsid w:val="009B20EB"/>
    <w:rsid w:val="009B35A0"/>
    <w:rsid w:val="009B3806"/>
    <w:rsid w:val="009B3903"/>
    <w:rsid w:val="009B39D9"/>
    <w:rsid w:val="009B4F08"/>
    <w:rsid w:val="009B5063"/>
    <w:rsid w:val="009B5800"/>
    <w:rsid w:val="009B6C91"/>
    <w:rsid w:val="009B6F62"/>
    <w:rsid w:val="009B7CB1"/>
    <w:rsid w:val="009C07FA"/>
    <w:rsid w:val="009C112E"/>
    <w:rsid w:val="009C16A0"/>
    <w:rsid w:val="009C1F16"/>
    <w:rsid w:val="009C22EE"/>
    <w:rsid w:val="009C23A2"/>
    <w:rsid w:val="009C50B8"/>
    <w:rsid w:val="009C5A23"/>
    <w:rsid w:val="009C5C6D"/>
    <w:rsid w:val="009C655A"/>
    <w:rsid w:val="009C6AEF"/>
    <w:rsid w:val="009C702B"/>
    <w:rsid w:val="009C7E94"/>
    <w:rsid w:val="009D0C90"/>
    <w:rsid w:val="009D0DC7"/>
    <w:rsid w:val="009D0E0E"/>
    <w:rsid w:val="009D1435"/>
    <w:rsid w:val="009D1F72"/>
    <w:rsid w:val="009D23D4"/>
    <w:rsid w:val="009D3006"/>
    <w:rsid w:val="009D3F2E"/>
    <w:rsid w:val="009D4150"/>
    <w:rsid w:val="009D449A"/>
    <w:rsid w:val="009D4679"/>
    <w:rsid w:val="009D47A8"/>
    <w:rsid w:val="009D495D"/>
    <w:rsid w:val="009D531A"/>
    <w:rsid w:val="009D5993"/>
    <w:rsid w:val="009D5A68"/>
    <w:rsid w:val="009D600D"/>
    <w:rsid w:val="009D62F0"/>
    <w:rsid w:val="009D7CED"/>
    <w:rsid w:val="009E05A5"/>
    <w:rsid w:val="009E06CC"/>
    <w:rsid w:val="009E079F"/>
    <w:rsid w:val="009E0FE6"/>
    <w:rsid w:val="009E1470"/>
    <w:rsid w:val="009E1FC7"/>
    <w:rsid w:val="009E257E"/>
    <w:rsid w:val="009E3B83"/>
    <w:rsid w:val="009E4493"/>
    <w:rsid w:val="009E4E7A"/>
    <w:rsid w:val="009E4FF1"/>
    <w:rsid w:val="009E563F"/>
    <w:rsid w:val="009E71FE"/>
    <w:rsid w:val="009E77B9"/>
    <w:rsid w:val="009E77D6"/>
    <w:rsid w:val="009E78EC"/>
    <w:rsid w:val="009F2559"/>
    <w:rsid w:val="009F3531"/>
    <w:rsid w:val="009F3853"/>
    <w:rsid w:val="009F417D"/>
    <w:rsid w:val="009F52FC"/>
    <w:rsid w:val="009F5833"/>
    <w:rsid w:val="009F5C8C"/>
    <w:rsid w:val="009F5F0A"/>
    <w:rsid w:val="009F664B"/>
    <w:rsid w:val="009F6705"/>
    <w:rsid w:val="009F7239"/>
    <w:rsid w:val="00A00073"/>
    <w:rsid w:val="00A014C7"/>
    <w:rsid w:val="00A01800"/>
    <w:rsid w:val="00A01F35"/>
    <w:rsid w:val="00A023AC"/>
    <w:rsid w:val="00A02699"/>
    <w:rsid w:val="00A02AB1"/>
    <w:rsid w:val="00A03E31"/>
    <w:rsid w:val="00A04C3E"/>
    <w:rsid w:val="00A0563E"/>
    <w:rsid w:val="00A05DF1"/>
    <w:rsid w:val="00A06100"/>
    <w:rsid w:val="00A063F5"/>
    <w:rsid w:val="00A07E71"/>
    <w:rsid w:val="00A11226"/>
    <w:rsid w:val="00A11487"/>
    <w:rsid w:val="00A11581"/>
    <w:rsid w:val="00A11650"/>
    <w:rsid w:val="00A1180F"/>
    <w:rsid w:val="00A127A2"/>
    <w:rsid w:val="00A127AF"/>
    <w:rsid w:val="00A13952"/>
    <w:rsid w:val="00A13B37"/>
    <w:rsid w:val="00A13DDF"/>
    <w:rsid w:val="00A143EC"/>
    <w:rsid w:val="00A14511"/>
    <w:rsid w:val="00A145CF"/>
    <w:rsid w:val="00A1484B"/>
    <w:rsid w:val="00A15B69"/>
    <w:rsid w:val="00A15D42"/>
    <w:rsid w:val="00A202AF"/>
    <w:rsid w:val="00A20771"/>
    <w:rsid w:val="00A209A5"/>
    <w:rsid w:val="00A21560"/>
    <w:rsid w:val="00A2177E"/>
    <w:rsid w:val="00A21C84"/>
    <w:rsid w:val="00A21D7C"/>
    <w:rsid w:val="00A225CE"/>
    <w:rsid w:val="00A2264E"/>
    <w:rsid w:val="00A23833"/>
    <w:rsid w:val="00A2485D"/>
    <w:rsid w:val="00A24E09"/>
    <w:rsid w:val="00A26908"/>
    <w:rsid w:val="00A2755A"/>
    <w:rsid w:val="00A27DE3"/>
    <w:rsid w:val="00A30132"/>
    <w:rsid w:val="00A313D8"/>
    <w:rsid w:val="00A320DC"/>
    <w:rsid w:val="00A32296"/>
    <w:rsid w:val="00A32433"/>
    <w:rsid w:val="00A330B4"/>
    <w:rsid w:val="00A33723"/>
    <w:rsid w:val="00A339E0"/>
    <w:rsid w:val="00A3456C"/>
    <w:rsid w:val="00A34ED4"/>
    <w:rsid w:val="00A358C9"/>
    <w:rsid w:val="00A36090"/>
    <w:rsid w:val="00A367EC"/>
    <w:rsid w:val="00A370D9"/>
    <w:rsid w:val="00A374F2"/>
    <w:rsid w:val="00A3787A"/>
    <w:rsid w:val="00A37984"/>
    <w:rsid w:val="00A37CE1"/>
    <w:rsid w:val="00A37FFB"/>
    <w:rsid w:val="00A40E7A"/>
    <w:rsid w:val="00A422CF"/>
    <w:rsid w:val="00A436C1"/>
    <w:rsid w:val="00A43AF0"/>
    <w:rsid w:val="00A45893"/>
    <w:rsid w:val="00A45921"/>
    <w:rsid w:val="00A46122"/>
    <w:rsid w:val="00A47542"/>
    <w:rsid w:val="00A47C96"/>
    <w:rsid w:val="00A50DD7"/>
    <w:rsid w:val="00A51C62"/>
    <w:rsid w:val="00A52225"/>
    <w:rsid w:val="00A532E4"/>
    <w:rsid w:val="00A533DF"/>
    <w:rsid w:val="00A53498"/>
    <w:rsid w:val="00A541A3"/>
    <w:rsid w:val="00A549AA"/>
    <w:rsid w:val="00A5641E"/>
    <w:rsid w:val="00A56AE2"/>
    <w:rsid w:val="00A60B3D"/>
    <w:rsid w:val="00A624D1"/>
    <w:rsid w:val="00A635F3"/>
    <w:rsid w:val="00A63EB3"/>
    <w:rsid w:val="00A64505"/>
    <w:rsid w:val="00A64B1A"/>
    <w:rsid w:val="00A64DF6"/>
    <w:rsid w:val="00A666EC"/>
    <w:rsid w:val="00A66825"/>
    <w:rsid w:val="00A67011"/>
    <w:rsid w:val="00A67593"/>
    <w:rsid w:val="00A676CB"/>
    <w:rsid w:val="00A6777B"/>
    <w:rsid w:val="00A67E67"/>
    <w:rsid w:val="00A70E0E"/>
    <w:rsid w:val="00A7178F"/>
    <w:rsid w:val="00A721AD"/>
    <w:rsid w:val="00A7260D"/>
    <w:rsid w:val="00A7353B"/>
    <w:rsid w:val="00A73CFD"/>
    <w:rsid w:val="00A74C50"/>
    <w:rsid w:val="00A752CB"/>
    <w:rsid w:val="00A76017"/>
    <w:rsid w:val="00A77915"/>
    <w:rsid w:val="00A77F8C"/>
    <w:rsid w:val="00A77FB8"/>
    <w:rsid w:val="00A808F3"/>
    <w:rsid w:val="00A80A1B"/>
    <w:rsid w:val="00A80DE4"/>
    <w:rsid w:val="00A81431"/>
    <w:rsid w:val="00A816B9"/>
    <w:rsid w:val="00A818A1"/>
    <w:rsid w:val="00A8194F"/>
    <w:rsid w:val="00A8236B"/>
    <w:rsid w:val="00A82534"/>
    <w:rsid w:val="00A8257F"/>
    <w:rsid w:val="00A82615"/>
    <w:rsid w:val="00A82676"/>
    <w:rsid w:val="00A82C39"/>
    <w:rsid w:val="00A83B2E"/>
    <w:rsid w:val="00A83D24"/>
    <w:rsid w:val="00A8401D"/>
    <w:rsid w:val="00A846F4"/>
    <w:rsid w:val="00A85083"/>
    <w:rsid w:val="00A85E56"/>
    <w:rsid w:val="00A86189"/>
    <w:rsid w:val="00A8625B"/>
    <w:rsid w:val="00A86776"/>
    <w:rsid w:val="00A87022"/>
    <w:rsid w:val="00A872DB"/>
    <w:rsid w:val="00A906EA"/>
    <w:rsid w:val="00A90BD1"/>
    <w:rsid w:val="00A914A2"/>
    <w:rsid w:val="00A91818"/>
    <w:rsid w:val="00A924FB"/>
    <w:rsid w:val="00A92C59"/>
    <w:rsid w:val="00A92E24"/>
    <w:rsid w:val="00A93042"/>
    <w:rsid w:val="00A93479"/>
    <w:rsid w:val="00A93A5D"/>
    <w:rsid w:val="00A93E69"/>
    <w:rsid w:val="00A94424"/>
    <w:rsid w:val="00A947B1"/>
    <w:rsid w:val="00A9489C"/>
    <w:rsid w:val="00A94919"/>
    <w:rsid w:val="00A94A31"/>
    <w:rsid w:val="00A94F3D"/>
    <w:rsid w:val="00A9546C"/>
    <w:rsid w:val="00A966D5"/>
    <w:rsid w:val="00A968DD"/>
    <w:rsid w:val="00A96B28"/>
    <w:rsid w:val="00A9777B"/>
    <w:rsid w:val="00A97E6A"/>
    <w:rsid w:val="00AA11EC"/>
    <w:rsid w:val="00AA160E"/>
    <w:rsid w:val="00AA1DC0"/>
    <w:rsid w:val="00AA1F0F"/>
    <w:rsid w:val="00AA20A6"/>
    <w:rsid w:val="00AA2DC4"/>
    <w:rsid w:val="00AA314F"/>
    <w:rsid w:val="00AA3885"/>
    <w:rsid w:val="00AA4328"/>
    <w:rsid w:val="00AA44D2"/>
    <w:rsid w:val="00AA4AC0"/>
    <w:rsid w:val="00AA4C48"/>
    <w:rsid w:val="00AA6691"/>
    <w:rsid w:val="00AA7E88"/>
    <w:rsid w:val="00AB024B"/>
    <w:rsid w:val="00AB067E"/>
    <w:rsid w:val="00AB1D9C"/>
    <w:rsid w:val="00AB2770"/>
    <w:rsid w:val="00AB2C33"/>
    <w:rsid w:val="00AB33D2"/>
    <w:rsid w:val="00AB35C0"/>
    <w:rsid w:val="00AB3DA6"/>
    <w:rsid w:val="00AB4073"/>
    <w:rsid w:val="00AB485B"/>
    <w:rsid w:val="00AB4F87"/>
    <w:rsid w:val="00AB5295"/>
    <w:rsid w:val="00AB60B1"/>
    <w:rsid w:val="00AB6304"/>
    <w:rsid w:val="00AB699B"/>
    <w:rsid w:val="00AB6EF7"/>
    <w:rsid w:val="00AB6F7F"/>
    <w:rsid w:val="00AC052F"/>
    <w:rsid w:val="00AC05E3"/>
    <w:rsid w:val="00AC0993"/>
    <w:rsid w:val="00AC106D"/>
    <w:rsid w:val="00AC1349"/>
    <w:rsid w:val="00AC14AF"/>
    <w:rsid w:val="00AC15FC"/>
    <w:rsid w:val="00AC28E2"/>
    <w:rsid w:val="00AC2AA4"/>
    <w:rsid w:val="00AC3117"/>
    <w:rsid w:val="00AC31F6"/>
    <w:rsid w:val="00AC3AF2"/>
    <w:rsid w:val="00AC3BD1"/>
    <w:rsid w:val="00AC3CB4"/>
    <w:rsid w:val="00AC4CC9"/>
    <w:rsid w:val="00AC50C2"/>
    <w:rsid w:val="00AC6007"/>
    <w:rsid w:val="00AC6B73"/>
    <w:rsid w:val="00AC7DCC"/>
    <w:rsid w:val="00AD0AD5"/>
    <w:rsid w:val="00AD2376"/>
    <w:rsid w:val="00AD26BE"/>
    <w:rsid w:val="00AD2CE8"/>
    <w:rsid w:val="00AD32B8"/>
    <w:rsid w:val="00AD334A"/>
    <w:rsid w:val="00AD3B2D"/>
    <w:rsid w:val="00AD45B0"/>
    <w:rsid w:val="00AD4D9F"/>
    <w:rsid w:val="00AD5AA8"/>
    <w:rsid w:val="00AD6318"/>
    <w:rsid w:val="00AD6CC6"/>
    <w:rsid w:val="00AE01FD"/>
    <w:rsid w:val="00AE27CE"/>
    <w:rsid w:val="00AE34CE"/>
    <w:rsid w:val="00AE3D2A"/>
    <w:rsid w:val="00AE491D"/>
    <w:rsid w:val="00AE582A"/>
    <w:rsid w:val="00AE5C51"/>
    <w:rsid w:val="00AE6149"/>
    <w:rsid w:val="00AE6399"/>
    <w:rsid w:val="00AE6930"/>
    <w:rsid w:val="00AE6B09"/>
    <w:rsid w:val="00AE72EF"/>
    <w:rsid w:val="00AE73A6"/>
    <w:rsid w:val="00AE74CF"/>
    <w:rsid w:val="00AE7AB9"/>
    <w:rsid w:val="00AF020E"/>
    <w:rsid w:val="00AF04E3"/>
    <w:rsid w:val="00AF0514"/>
    <w:rsid w:val="00AF07B0"/>
    <w:rsid w:val="00AF0D44"/>
    <w:rsid w:val="00AF0DA9"/>
    <w:rsid w:val="00AF1002"/>
    <w:rsid w:val="00AF1172"/>
    <w:rsid w:val="00AF14C1"/>
    <w:rsid w:val="00AF17F1"/>
    <w:rsid w:val="00AF1B49"/>
    <w:rsid w:val="00AF1EFD"/>
    <w:rsid w:val="00AF2327"/>
    <w:rsid w:val="00AF3375"/>
    <w:rsid w:val="00AF397A"/>
    <w:rsid w:val="00AF3AB6"/>
    <w:rsid w:val="00AF3B44"/>
    <w:rsid w:val="00AF3DB4"/>
    <w:rsid w:val="00AF4369"/>
    <w:rsid w:val="00AF480B"/>
    <w:rsid w:val="00AF4E99"/>
    <w:rsid w:val="00AF6D29"/>
    <w:rsid w:val="00B000E3"/>
    <w:rsid w:val="00B00A40"/>
    <w:rsid w:val="00B01F58"/>
    <w:rsid w:val="00B02A14"/>
    <w:rsid w:val="00B02ACB"/>
    <w:rsid w:val="00B033B4"/>
    <w:rsid w:val="00B03725"/>
    <w:rsid w:val="00B03767"/>
    <w:rsid w:val="00B037A6"/>
    <w:rsid w:val="00B04148"/>
    <w:rsid w:val="00B0468C"/>
    <w:rsid w:val="00B046C2"/>
    <w:rsid w:val="00B04AB1"/>
    <w:rsid w:val="00B04CF6"/>
    <w:rsid w:val="00B05613"/>
    <w:rsid w:val="00B06409"/>
    <w:rsid w:val="00B06CD4"/>
    <w:rsid w:val="00B10C19"/>
    <w:rsid w:val="00B11B6F"/>
    <w:rsid w:val="00B11C2C"/>
    <w:rsid w:val="00B11C65"/>
    <w:rsid w:val="00B11DE8"/>
    <w:rsid w:val="00B138AA"/>
    <w:rsid w:val="00B1396A"/>
    <w:rsid w:val="00B1422E"/>
    <w:rsid w:val="00B14460"/>
    <w:rsid w:val="00B1451D"/>
    <w:rsid w:val="00B148E1"/>
    <w:rsid w:val="00B14A9F"/>
    <w:rsid w:val="00B14B67"/>
    <w:rsid w:val="00B14E33"/>
    <w:rsid w:val="00B15193"/>
    <w:rsid w:val="00B1560D"/>
    <w:rsid w:val="00B164E9"/>
    <w:rsid w:val="00B16BC3"/>
    <w:rsid w:val="00B16DC5"/>
    <w:rsid w:val="00B170E9"/>
    <w:rsid w:val="00B20513"/>
    <w:rsid w:val="00B20D7E"/>
    <w:rsid w:val="00B20E2A"/>
    <w:rsid w:val="00B221BC"/>
    <w:rsid w:val="00B2223F"/>
    <w:rsid w:val="00B22DE0"/>
    <w:rsid w:val="00B22E16"/>
    <w:rsid w:val="00B2337B"/>
    <w:rsid w:val="00B23C54"/>
    <w:rsid w:val="00B24058"/>
    <w:rsid w:val="00B25018"/>
    <w:rsid w:val="00B252EB"/>
    <w:rsid w:val="00B2584E"/>
    <w:rsid w:val="00B25868"/>
    <w:rsid w:val="00B25E9F"/>
    <w:rsid w:val="00B26A7C"/>
    <w:rsid w:val="00B26D19"/>
    <w:rsid w:val="00B271BA"/>
    <w:rsid w:val="00B273E8"/>
    <w:rsid w:val="00B27580"/>
    <w:rsid w:val="00B30B66"/>
    <w:rsid w:val="00B30CA0"/>
    <w:rsid w:val="00B31403"/>
    <w:rsid w:val="00B32B1A"/>
    <w:rsid w:val="00B32FAE"/>
    <w:rsid w:val="00B3337E"/>
    <w:rsid w:val="00B333EA"/>
    <w:rsid w:val="00B33674"/>
    <w:rsid w:val="00B337EC"/>
    <w:rsid w:val="00B33F92"/>
    <w:rsid w:val="00B3538F"/>
    <w:rsid w:val="00B35982"/>
    <w:rsid w:val="00B35BCC"/>
    <w:rsid w:val="00B360AF"/>
    <w:rsid w:val="00B361B8"/>
    <w:rsid w:val="00B36263"/>
    <w:rsid w:val="00B362EC"/>
    <w:rsid w:val="00B363DC"/>
    <w:rsid w:val="00B37116"/>
    <w:rsid w:val="00B403AF"/>
    <w:rsid w:val="00B40C2B"/>
    <w:rsid w:val="00B42034"/>
    <w:rsid w:val="00B42230"/>
    <w:rsid w:val="00B434D2"/>
    <w:rsid w:val="00B437A5"/>
    <w:rsid w:val="00B437F3"/>
    <w:rsid w:val="00B43971"/>
    <w:rsid w:val="00B43EAC"/>
    <w:rsid w:val="00B4432B"/>
    <w:rsid w:val="00B44ED0"/>
    <w:rsid w:val="00B4666D"/>
    <w:rsid w:val="00B46EBD"/>
    <w:rsid w:val="00B47232"/>
    <w:rsid w:val="00B472B5"/>
    <w:rsid w:val="00B47585"/>
    <w:rsid w:val="00B4760E"/>
    <w:rsid w:val="00B476ED"/>
    <w:rsid w:val="00B50F97"/>
    <w:rsid w:val="00B51A76"/>
    <w:rsid w:val="00B51CB8"/>
    <w:rsid w:val="00B51ECA"/>
    <w:rsid w:val="00B51FB4"/>
    <w:rsid w:val="00B52FFC"/>
    <w:rsid w:val="00B5304C"/>
    <w:rsid w:val="00B54E1E"/>
    <w:rsid w:val="00B556CC"/>
    <w:rsid w:val="00B55784"/>
    <w:rsid w:val="00B560BD"/>
    <w:rsid w:val="00B564A0"/>
    <w:rsid w:val="00B564C0"/>
    <w:rsid w:val="00B566F0"/>
    <w:rsid w:val="00B566F7"/>
    <w:rsid w:val="00B56BFE"/>
    <w:rsid w:val="00B5744A"/>
    <w:rsid w:val="00B57F88"/>
    <w:rsid w:val="00B60F20"/>
    <w:rsid w:val="00B619B4"/>
    <w:rsid w:val="00B62396"/>
    <w:rsid w:val="00B62A82"/>
    <w:rsid w:val="00B63489"/>
    <w:rsid w:val="00B638CB"/>
    <w:rsid w:val="00B654C4"/>
    <w:rsid w:val="00B65766"/>
    <w:rsid w:val="00B65D2A"/>
    <w:rsid w:val="00B67298"/>
    <w:rsid w:val="00B6752F"/>
    <w:rsid w:val="00B67606"/>
    <w:rsid w:val="00B67CF3"/>
    <w:rsid w:val="00B7091E"/>
    <w:rsid w:val="00B70D5A"/>
    <w:rsid w:val="00B712C0"/>
    <w:rsid w:val="00B71444"/>
    <w:rsid w:val="00B715E5"/>
    <w:rsid w:val="00B71AA1"/>
    <w:rsid w:val="00B74397"/>
    <w:rsid w:val="00B75709"/>
    <w:rsid w:val="00B758C4"/>
    <w:rsid w:val="00B7622F"/>
    <w:rsid w:val="00B768A6"/>
    <w:rsid w:val="00B77731"/>
    <w:rsid w:val="00B77772"/>
    <w:rsid w:val="00B80398"/>
    <w:rsid w:val="00B8166D"/>
    <w:rsid w:val="00B8191E"/>
    <w:rsid w:val="00B824B7"/>
    <w:rsid w:val="00B82997"/>
    <w:rsid w:val="00B82C9C"/>
    <w:rsid w:val="00B833AB"/>
    <w:rsid w:val="00B83D79"/>
    <w:rsid w:val="00B8447A"/>
    <w:rsid w:val="00B8480F"/>
    <w:rsid w:val="00B84DC1"/>
    <w:rsid w:val="00B85778"/>
    <w:rsid w:val="00B86868"/>
    <w:rsid w:val="00B871D0"/>
    <w:rsid w:val="00B87CFA"/>
    <w:rsid w:val="00B902CA"/>
    <w:rsid w:val="00B906F9"/>
    <w:rsid w:val="00B9071C"/>
    <w:rsid w:val="00B90D62"/>
    <w:rsid w:val="00B90E5E"/>
    <w:rsid w:val="00B90F08"/>
    <w:rsid w:val="00B911E2"/>
    <w:rsid w:val="00B913ED"/>
    <w:rsid w:val="00B918A8"/>
    <w:rsid w:val="00B92198"/>
    <w:rsid w:val="00B92336"/>
    <w:rsid w:val="00B9259C"/>
    <w:rsid w:val="00B9269E"/>
    <w:rsid w:val="00B92CF1"/>
    <w:rsid w:val="00B93047"/>
    <w:rsid w:val="00B93150"/>
    <w:rsid w:val="00B93D09"/>
    <w:rsid w:val="00B94C2C"/>
    <w:rsid w:val="00B952C6"/>
    <w:rsid w:val="00B9545A"/>
    <w:rsid w:val="00B9563C"/>
    <w:rsid w:val="00B957B3"/>
    <w:rsid w:val="00B976F7"/>
    <w:rsid w:val="00B97C7C"/>
    <w:rsid w:val="00B97E72"/>
    <w:rsid w:val="00BA00D0"/>
    <w:rsid w:val="00BA01B7"/>
    <w:rsid w:val="00BA18E8"/>
    <w:rsid w:val="00BA3233"/>
    <w:rsid w:val="00BA40D6"/>
    <w:rsid w:val="00BA4C76"/>
    <w:rsid w:val="00BA57BE"/>
    <w:rsid w:val="00BA5ED9"/>
    <w:rsid w:val="00BA5FB9"/>
    <w:rsid w:val="00BA69E6"/>
    <w:rsid w:val="00BA6B79"/>
    <w:rsid w:val="00BA6BC1"/>
    <w:rsid w:val="00BA6D8A"/>
    <w:rsid w:val="00BA7476"/>
    <w:rsid w:val="00BB091B"/>
    <w:rsid w:val="00BB14A2"/>
    <w:rsid w:val="00BB14DF"/>
    <w:rsid w:val="00BB1B2F"/>
    <w:rsid w:val="00BB2718"/>
    <w:rsid w:val="00BB2BC4"/>
    <w:rsid w:val="00BB35EF"/>
    <w:rsid w:val="00BB3631"/>
    <w:rsid w:val="00BB3838"/>
    <w:rsid w:val="00BB44BD"/>
    <w:rsid w:val="00BB476F"/>
    <w:rsid w:val="00BB4D5B"/>
    <w:rsid w:val="00BB5743"/>
    <w:rsid w:val="00BB5939"/>
    <w:rsid w:val="00BB6030"/>
    <w:rsid w:val="00BB7ACF"/>
    <w:rsid w:val="00BC09D7"/>
    <w:rsid w:val="00BC0EA8"/>
    <w:rsid w:val="00BC161B"/>
    <w:rsid w:val="00BC1A66"/>
    <w:rsid w:val="00BC1D8C"/>
    <w:rsid w:val="00BC2230"/>
    <w:rsid w:val="00BC2237"/>
    <w:rsid w:val="00BC299A"/>
    <w:rsid w:val="00BC2C7B"/>
    <w:rsid w:val="00BC3625"/>
    <w:rsid w:val="00BC3D55"/>
    <w:rsid w:val="00BC3DF0"/>
    <w:rsid w:val="00BC4B54"/>
    <w:rsid w:val="00BC4CC4"/>
    <w:rsid w:val="00BC4F09"/>
    <w:rsid w:val="00BC5354"/>
    <w:rsid w:val="00BC54E2"/>
    <w:rsid w:val="00BC5E94"/>
    <w:rsid w:val="00BC6142"/>
    <w:rsid w:val="00BC63BB"/>
    <w:rsid w:val="00BC6EDE"/>
    <w:rsid w:val="00BD0C92"/>
    <w:rsid w:val="00BD19A5"/>
    <w:rsid w:val="00BD2571"/>
    <w:rsid w:val="00BD2D41"/>
    <w:rsid w:val="00BD2D6A"/>
    <w:rsid w:val="00BD3E44"/>
    <w:rsid w:val="00BD3F83"/>
    <w:rsid w:val="00BD41A7"/>
    <w:rsid w:val="00BD4316"/>
    <w:rsid w:val="00BD4F0C"/>
    <w:rsid w:val="00BD5385"/>
    <w:rsid w:val="00BD5539"/>
    <w:rsid w:val="00BD596C"/>
    <w:rsid w:val="00BD6447"/>
    <w:rsid w:val="00BD6469"/>
    <w:rsid w:val="00BD676A"/>
    <w:rsid w:val="00BD7205"/>
    <w:rsid w:val="00BE13E0"/>
    <w:rsid w:val="00BE1620"/>
    <w:rsid w:val="00BE1CD3"/>
    <w:rsid w:val="00BE2319"/>
    <w:rsid w:val="00BE2541"/>
    <w:rsid w:val="00BE2758"/>
    <w:rsid w:val="00BE2A96"/>
    <w:rsid w:val="00BE2ACD"/>
    <w:rsid w:val="00BE2C9D"/>
    <w:rsid w:val="00BE352D"/>
    <w:rsid w:val="00BE41BB"/>
    <w:rsid w:val="00BE4ADE"/>
    <w:rsid w:val="00BE51D5"/>
    <w:rsid w:val="00BE5786"/>
    <w:rsid w:val="00BE60A9"/>
    <w:rsid w:val="00BE6A11"/>
    <w:rsid w:val="00BE794A"/>
    <w:rsid w:val="00BF0936"/>
    <w:rsid w:val="00BF0A89"/>
    <w:rsid w:val="00BF138D"/>
    <w:rsid w:val="00BF1732"/>
    <w:rsid w:val="00BF181C"/>
    <w:rsid w:val="00BF1A55"/>
    <w:rsid w:val="00BF1F70"/>
    <w:rsid w:val="00BF20B2"/>
    <w:rsid w:val="00BF3B51"/>
    <w:rsid w:val="00BF3BF5"/>
    <w:rsid w:val="00BF3D15"/>
    <w:rsid w:val="00BF4176"/>
    <w:rsid w:val="00BF436C"/>
    <w:rsid w:val="00BF49F1"/>
    <w:rsid w:val="00BF4EBD"/>
    <w:rsid w:val="00BF52CB"/>
    <w:rsid w:val="00BF54AE"/>
    <w:rsid w:val="00BF5A2C"/>
    <w:rsid w:val="00BF5C4F"/>
    <w:rsid w:val="00BF724E"/>
    <w:rsid w:val="00BF7273"/>
    <w:rsid w:val="00BF73EE"/>
    <w:rsid w:val="00BF7CDE"/>
    <w:rsid w:val="00C000EC"/>
    <w:rsid w:val="00C00338"/>
    <w:rsid w:val="00C005E9"/>
    <w:rsid w:val="00C00918"/>
    <w:rsid w:val="00C00AF6"/>
    <w:rsid w:val="00C02345"/>
    <w:rsid w:val="00C03376"/>
    <w:rsid w:val="00C048E4"/>
    <w:rsid w:val="00C04FA0"/>
    <w:rsid w:val="00C051DB"/>
    <w:rsid w:val="00C05C54"/>
    <w:rsid w:val="00C071B3"/>
    <w:rsid w:val="00C077E7"/>
    <w:rsid w:val="00C07B46"/>
    <w:rsid w:val="00C07CB0"/>
    <w:rsid w:val="00C103C8"/>
    <w:rsid w:val="00C10E60"/>
    <w:rsid w:val="00C114BE"/>
    <w:rsid w:val="00C118ED"/>
    <w:rsid w:val="00C12356"/>
    <w:rsid w:val="00C12465"/>
    <w:rsid w:val="00C12F14"/>
    <w:rsid w:val="00C13884"/>
    <w:rsid w:val="00C13A29"/>
    <w:rsid w:val="00C14708"/>
    <w:rsid w:val="00C14BC1"/>
    <w:rsid w:val="00C14C3F"/>
    <w:rsid w:val="00C167B8"/>
    <w:rsid w:val="00C2056D"/>
    <w:rsid w:val="00C20B47"/>
    <w:rsid w:val="00C20EE7"/>
    <w:rsid w:val="00C21603"/>
    <w:rsid w:val="00C218A5"/>
    <w:rsid w:val="00C22169"/>
    <w:rsid w:val="00C22209"/>
    <w:rsid w:val="00C22584"/>
    <w:rsid w:val="00C236C0"/>
    <w:rsid w:val="00C24DDA"/>
    <w:rsid w:val="00C25B50"/>
    <w:rsid w:val="00C26106"/>
    <w:rsid w:val="00C26B71"/>
    <w:rsid w:val="00C27794"/>
    <w:rsid w:val="00C30352"/>
    <w:rsid w:val="00C309EF"/>
    <w:rsid w:val="00C313BD"/>
    <w:rsid w:val="00C31420"/>
    <w:rsid w:val="00C3226C"/>
    <w:rsid w:val="00C33C58"/>
    <w:rsid w:val="00C36075"/>
    <w:rsid w:val="00C3623A"/>
    <w:rsid w:val="00C37AC2"/>
    <w:rsid w:val="00C37C8D"/>
    <w:rsid w:val="00C37DC4"/>
    <w:rsid w:val="00C40BEA"/>
    <w:rsid w:val="00C40E70"/>
    <w:rsid w:val="00C41909"/>
    <w:rsid w:val="00C41B1A"/>
    <w:rsid w:val="00C426FD"/>
    <w:rsid w:val="00C43446"/>
    <w:rsid w:val="00C43628"/>
    <w:rsid w:val="00C437CC"/>
    <w:rsid w:val="00C440AC"/>
    <w:rsid w:val="00C44C42"/>
    <w:rsid w:val="00C44D05"/>
    <w:rsid w:val="00C4510F"/>
    <w:rsid w:val="00C452BD"/>
    <w:rsid w:val="00C45452"/>
    <w:rsid w:val="00C463BD"/>
    <w:rsid w:val="00C473DC"/>
    <w:rsid w:val="00C47406"/>
    <w:rsid w:val="00C5033B"/>
    <w:rsid w:val="00C5036C"/>
    <w:rsid w:val="00C5061E"/>
    <w:rsid w:val="00C51487"/>
    <w:rsid w:val="00C51D46"/>
    <w:rsid w:val="00C53443"/>
    <w:rsid w:val="00C5382D"/>
    <w:rsid w:val="00C53A3F"/>
    <w:rsid w:val="00C5431B"/>
    <w:rsid w:val="00C54362"/>
    <w:rsid w:val="00C5437C"/>
    <w:rsid w:val="00C54519"/>
    <w:rsid w:val="00C55D84"/>
    <w:rsid w:val="00C5659B"/>
    <w:rsid w:val="00C56871"/>
    <w:rsid w:val="00C56F15"/>
    <w:rsid w:val="00C57131"/>
    <w:rsid w:val="00C572A2"/>
    <w:rsid w:val="00C573D8"/>
    <w:rsid w:val="00C57948"/>
    <w:rsid w:val="00C613C0"/>
    <w:rsid w:val="00C6210A"/>
    <w:rsid w:val="00C624BA"/>
    <w:rsid w:val="00C634DE"/>
    <w:rsid w:val="00C63770"/>
    <w:rsid w:val="00C63A17"/>
    <w:rsid w:val="00C63C3B"/>
    <w:rsid w:val="00C640EF"/>
    <w:rsid w:val="00C64438"/>
    <w:rsid w:val="00C64543"/>
    <w:rsid w:val="00C6544D"/>
    <w:rsid w:val="00C6564B"/>
    <w:rsid w:val="00C66143"/>
    <w:rsid w:val="00C66177"/>
    <w:rsid w:val="00C667E1"/>
    <w:rsid w:val="00C66D18"/>
    <w:rsid w:val="00C67BB2"/>
    <w:rsid w:val="00C71413"/>
    <w:rsid w:val="00C71424"/>
    <w:rsid w:val="00C718D3"/>
    <w:rsid w:val="00C71C2C"/>
    <w:rsid w:val="00C73252"/>
    <w:rsid w:val="00C74277"/>
    <w:rsid w:val="00C75512"/>
    <w:rsid w:val="00C757D3"/>
    <w:rsid w:val="00C761EF"/>
    <w:rsid w:val="00C77C33"/>
    <w:rsid w:val="00C8063E"/>
    <w:rsid w:val="00C80DE8"/>
    <w:rsid w:val="00C80E34"/>
    <w:rsid w:val="00C825CF"/>
    <w:rsid w:val="00C829D8"/>
    <w:rsid w:val="00C845FB"/>
    <w:rsid w:val="00C848BA"/>
    <w:rsid w:val="00C85210"/>
    <w:rsid w:val="00C85D4B"/>
    <w:rsid w:val="00C85FE2"/>
    <w:rsid w:val="00C860EC"/>
    <w:rsid w:val="00C86D6C"/>
    <w:rsid w:val="00C87376"/>
    <w:rsid w:val="00C87DFC"/>
    <w:rsid w:val="00C9002D"/>
    <w:rsid w:val="00C9066D"/>
    <w:rsid w:val="00C908CF"/>
    <w:rsid w:val="00C90BD5"/>
    <w:rsid w:val="00C91CEC"/>
    <w:rsid w:val="00C92A90"/>
    <w:rsid w:val="00C93A91"/>
    <w:rsid w:val="00C9442A"/>
    <w:rsid w:val="00C9527B"/>
    <w:rsid w:val="00C95811"/>
    <w:rsid w:val="00C9654C"/>
    <w:rsid w:val="00C96603"/>
    <w:rsid w:val="00C96C1C"/>
    <w:rsid w:val="00C96D4B"/>
    <w:rsid w:val="00C97018"/>
    <w:rsid w:val="00C97BE7"/>
    <w:rsid w:val="00CA0132"/>
    <w:rsid w:val="00CA08C4"/>
    <w:rsid w:val="00CA115B"/>
    <w:rsid w:val="00CA320C"/>
    <w:rsid w:val="00CA3787"/>
    <w:rsid w:val="00CA39BF"/>
    <w:rsid w:val="00CA3A18"/>
    <w:rsid w:val="00CA4E49"/>
    <w:rsid w:val="00CA5073"/>
    <w:rsid w:val="00CA6632"/>
    <w:rsid w:val="00CA6A35"/>
    <w:rsid w:val="00CA6E06"/>
    <w:rsid w:val="00CA7310"/>
    <w:rsid w:val="00CA76CC"/>
    <w:rsid w:val="00CA79EC"/>
    <w:rsid w:val="00CA7C1D"/>
    <w:rsid w:val="00CB0FCA"/>
    <w:rsid w:val="00CB1277"/>
    <w:rsid w:val="00CB12D9"/>
    <w:rsid w:val="00CB13E1"/>
    <w:rsid w:val="00CB248F"/>
    <w:rsid w:val="00CB2654"/>
    <w:rsid w:val="00CB290D"/>
    <w:rsid w:val="00CB2CD7"/>
    <w:rsid w:val="00CB31E1"/>
    <w:rsid w:val="00CB394F"/>
    <w:rsid w:val="00CB3DFD"/>
    <w:rsid w:val="00CB3E9B"/>
    <w:rsid w:val="00CB503B"/>
    <w:rsid w:val="00CB56FB"/>
    <w:rsid w:val="00CB5700"/>
    <w:rsid w:val="00CB5A4B"/>
    <w:rsid w:val="00CB5AC8"/>
    <w:rsid w:val="00CB5E30"/>
    <w:rsid w:val="00CB6AC2"/>
    <w:rsid w:val="00CB7CFA"/>
    <w:rsid w:val="00CC068A"/>
    <w:rsid w:val="00CC1887"/>
    <w:rsid w:val="00CC22CB"/>
    <w:rsid w:val="00CC23D1"/>
    <w:rsid w:val="00CC2CD1"/>
    <w:rsid w:val="00CC2EF8"/>
    <w:rsid w:val="00CC3292"/>
    <w:rsid w:val="00CC35E1"/>
    <w:rsid w:val="00CC43B1"/>
    <w:rsid w:val="00CC51ED"/>
    <w:rsid w:val="00CC53AA"/>
    <w:rsid w:val="00CC5B83"/>
    <w:rsid w:val="00CC5CE3"/>
    <w:rsid w:val="00CC6D21"/>
    <w:rsid w:val="00CC7F14"/>
    <w:rsid w:val="00CD1845"/>
    <w:rsid w:val="00CD2CE4"/>
    <w:rsid w:val="00CD2E6D"/>
    <w:rsid w:val="00CD316F"/>
    <w:rsid w:val="00CD478A"/>
    <w:rsid w:val="00CD4AD9"/>
    <w:rsid w:val="00CD5305"/>
    <w:rsid w:val="00CD5413"/>
    <w:rsid w:val="00CD5A72"/>
    <w:rsid w:val="00CD6589"/>
    <w:rsid w:val="00CD7087"/>
    <w:rsid w:val="00CD73AB"/>
    <w:rsid w:val="00CE064D"/>
    <w:rsid w:val="00CE07B1"/>
    <w:rsid w:val="00CE0B00"/>
    <w:rsid w:val="00CE0B23"/>
    <w:rsid w:val="00CE29C9"/>
    <w:rsid w:val="00CE2C52"/>
    <w:rsid w:val="00CE2CF9"/>
    <w:rsid w:val="00CE30BF"/>
    <w:rsid w:val="00CE3974"/>
    <w:rsid w:val="00CE3B76"/>
    <w:rsid w:val="00CE5D4C"/>
    <w:rsid w:val="00CE62C5"/>
    <w:rsid w:val="00CE6FB3"/>
    <w:rsid w:val="00CE7513"/>
    <w:rsid w:val="00CE7FF9"/>
    <w:rsid w:val="00CF06A7"/>
    <w:rsid w:val="00CF1777"/>
    <w:rsid w:val="00CF1A89"/>
    <w:rsid w:val="00CF227F"/>
    <w:rsid w:val="00CF291A"/>
    <w:rsid w:val="00CF298C"/>
    <w:rsid w:val="00CF2BCF"/>
    <w:rsid w:val="00CF2F7A"/>
    <w:rsid w:val="00CF3629"/>
    <w:rsid w:val="00CF3750"/>
    <w:rsid w:val="00CF3837"/>
    <w:rsid w:val="00CF3C10"/>
    <w:rsid w:val="00CF3DD5"/>
    <w:rsid w:val="00CF4680"/>
    <w:rsid w:val="00CF51A5"/>
    <w:rsid w:val="00CF55A3"/>
    <w:rsid w:val="00CF573F"/>
    <w:rsid w:val="00CF6365"/>
    <w:rsid w:val="00CF64F9"/>
    <w:rsid w:val="00CF6E43"/>
    <w:rsid w:val="00CF6F4E"/>
    <w:rsid w:val="00CF732E"/>
    <w:rsid w:val="00CF73D1"/>
    <w:rsid w:val="00D004C3"/>
    <w:rsid w:val="00D0059E"/>
    <w:rsid w:val="00D00FF1"/>
    <w:rsid w:val="00D01058"/>
    <w:rsid w:val="00D0122E"/>
    <w:rsid w:val="00D02351"/>
    <w:rsid w:val="00D023D9"/>
    <w:rsid w:val="00D02A07"/>
    <w:rsid w:val="00D036C2"/>
    <w:rsid w:val="00D03992"/>
    <w:rsid w:val="00D03EC6"/>
    <w:rsid w:val="00D044C0"/>
    <w:rsid w:val="00D049B8"/>
    <w:rsid w:val="00D04F9C"/>
    <w:rsid w:val="00D051A0"/>
    <w:rsid w:val="00D05306"/>
    <w:rsid w:val="00D05744"/>
    <w:rsid w:val="00D05A33"/>
    <w:rsid w:val="00D05B9D"/>
    <w:rsid w:val="00D06250"/>
    <w:rsid w:val="00D064EE"/>
    <w:rsid w:val="00D0793D"/>
    <w:rsid w:val="00D079E7"/>
    <w:rsid w:val="00D10E21"/>
    <w:rsid w:val="00D11021"/>
    <w:rsid w:val="00D11916"/>
    <w:rsid w:val="00D12B2A"/>
    <w:rsid w:val="00D13543"/>
    <w:rsid w:val="00D139CC"/>
    <w:rsid w:val="00D13E79"/>
    <w:rsid w:val="00D140D3"/>
    <w:rsid w:val="00D15189"/>
    <w:rsid w:val="00D152C8"/>
    <w:rsid w:val="00D166E8"/>
    <w:rsid w:val="00D16FFE"/>
    <w:rsid w:val="00D17E22"/>
    <w:rsid w:val="00D20AD2"/>
    <w:rsid w:val="00D20F3B"/>
    <w:rsid w:val="00D21513"/>
    <w:rsid w:val="00D21F6B"/>
    <w:rsid w:val="00D2237D"/>
    <w:rsid w:val="00D2316C"/>
    <w:rsid w:val="00D2353A"/>
    <w:rsid w:val="00D23BEE"/>
    <w:rsid w:val="00D24409"/>
    <w:rsid w:val="00D2500E"/>
    <w:rsid w:val="00D27F58"/>
    <w:rsid w:val="00D31727"/>
    <w:rsid w:val="00D31858"/>
    <w:rsid w:val="00D318A5"/>
    <w:rsid w:val="00D31A22"/>
    <w:rsid w:val="00D3333F"/>
    <w:rsid w:val="00D3354C"/>
    <w:rsid w:val="00D33E84"/>
    <w:rsid w:val="00D34D6A"/>
    <w:rsid w:val="00D34F58"/>
    <w:rsid w:val="00D34FC4"/>
    <w:rsid w:val="00D36060"/>
    <w:rsid w:val="00D360D8"/>
    <w:rsid w:val="00D363E8"/>
    <w:rsid w:val="00D36F21"/>
    <w:rsid w:val="00D378FB"/>
    <w:rsid w:val="00D37F01"/>
    <w:rsid w:val="00D41739"/>
    <w:rsid w:val="00D417F5"/>
    <w:rsid w:val="00D41C09"/>
    <w:rsid w:val="00D421E7"/>
    <w:rsid w:val="00D424A5"/>
    <w:rsid w:val="00D430A2"/>
    <w:rsid w:val="00D4377C"/>
    <w:rsid w:val="00D43BB1"/>
    <w:rsid w:val="00D43C47"/>
    <w:rsid w:val="00D4433E"/>
    <w:rsid w:val="00D458CD"/>
    <w:rsid w:val="00D46554"/>
    <w:rsid w:val="00D47F0E"/>
    <w:rsid w:val="00D506C4"/>
    <w:rsid w:val="00D5090D"/>
    <w:rsid w:val="00D515C9"/>
    <w:rsid w:val="00D51795"/>
    <w:rsid w:val="00D51A35"/>
    <w:rsid w:val="00D51F35"/>
    <w:rsid w:val="00D522C5"/>
    <w:rsid w:val="00D52C59"/>
    <w:rsid w:val="00D52F09"/>
    <w:rsid w:val="00D5344A"/>
    <w:rsid w:val="00D5415A"/>
    <w:rsid w:val="00D54255"/>
    <w:rsid w:val="00D543F9"/>
    <w:rsid w:val="00D54CDE"/>
    <w:rsid w:val="00D55D98"/>
    <w:rsid w:val="00D55EFE"/>
    <w:rsid w:val="00D562F8"/>
    <w:rsid w:val="00D56A84"/>
    <w:rsid w:val="00D57545"/>
    <w:rsid w:val="00D57F1D"/>
    <w:rsid w:val="00D600D0"/>
    <w:rsid w:val="00D61743"/>
    <w:rsid w:val="00D617D4"/>
    <w:rsid w:val="00D6192A"/>
    <w:rsid w:val="00D623B2"/>
    <w:rsid w:val="00D62BDD"/>
    <w:rsid w:val="00D62EBF"/>
    <w:rsid w:val="00D63406"/>
    <w:rsid w:val="00D63A0A"/>
    <w:rsid w:val="00D67D44"/>
    <w:rsid w:val="00D70222"/>
    <w:rsid w:val="00D704B8"/>
    <w:rsid w:val="00D70B60"/>
    <w:rsid w:val="00D714B6"/>
    <w:rsid w:val="00D71F4A"/>
    <w:rsid w:val="00D720CB"/>
    <w:rsid w:val="00D72695"/>
    <w:rsid w:val="00D72C39"/>
    <w:rsid w:val="00D733A2"/>
    <w:rsid w:val="00D73422"/>
    <w:rsid w:val="00D73A66"/>
    <w:rsid w:val="00D74BE8"/>
    <w:rsid w:val="00D75A53"/>
    <w:rsid w:val="00D779AA"/>
    <w:rsid w:val="00D80D65"/>
    <w:rsid w:val="00D80D74"/>
    <w:rsid w:val="00D80DEB"/>
    <w:rsid w:val="00D80EFC"/>
    <w:rsid w:val="00D80FC7"/>
    <w:rsid w:val="00D81054"/>
    <w:rsid w:val="00D82A79"/>
    <w:rsid w:val="00D833B7"/>
    <w:rsid w:val="00D83EA4"/>
    <w:rsid w:val="00D8622C"/>
    <w:rsid w:val="00D867A0"/>
    <w:rsid w:val="00D8700D"/>
    <w:rsid w:val="00D87125"/>
    <w:rsid w:val="00D90546"/>
    <w:rsid w:val="00D9168B"/>
    <w:rsid w:val="00D91948"/>
    <w:rsid w:val="00D924B0"/>
    <w:rsid w:val="00D924D4"/>
    <w:rsid w:val="00D92DF3"/>
    <w:rsid w:val="00D92F0C"/>
    <w:rsid w:val="00D93229"/>
    <w:rsid w:val="00D9349B"/>
    <w:rsid w:val="00D93EF4"/>
    <w:rsid w:val="00D941DE"/>
    <w:rsid w:val="00D94799"/>
    <w:rsid w:val="00D9483B"/>
    <w:rsid w:val="00D94F15"/>
    <w:rsid w:val="00D95005"/>
    <w:rsid w:val="00D9607E"/>
    <w:rsid w:val="00D9626C"/>
    <w:rsid w:val="00D9762D"/>
    <w:rsid w:val="00D97E79"/>
    <w:rsid w:val="00DA0E3E"/>
    <w:rsid w:val="00DA1405"/>
    <w:rsid w:val="00DA1602"/>
    <w:rsid w:val="00DA1C46"/>
    <w:rsid w:val="00DA26D5"/>
    <w:rsid w:val="00DA28FE"/>
    <w:rsid w:val="00DA3AB5"/>
    <w:rsid w:val="00DA40B1"/>
    <w:rsid w:val="00DA4B56"/>
    <w:rsid w:val="00DA734B"/>
    <w:rsid w:val="00DA7C22"/>
    <w:rsid w:val="00DB06A7"/>
    <w:rsid w:val="00DB08E7"/>
    <w:rsid w:val="00DB130C"/>
    <w:rsid w:val="00DB14ED"/>
    <w:rsid w:val="00DB2C38"/>
    <w:rsid w:val="00DB3066"/>
    <w:rsid w:val="00DB306A"/>
    <w:rsid w:val="00DB3CC8"/>
    <w:rsid w:val="00DB3EEE"/>
    <w:rsid w:val="00DB4C97"/>
    <w:rsid w:val="00DB5182"/>
    <w:rsid w:val="00DB53CB"/>
    <w:rsid w:val="00DB6DB0"/>
    <w:rsid w:val="00DB6E3C"/>
    <w:rsid w:val="00DB7369"/>
    <w:rsid w:val="00DC06FF"/>
    <w:rsid w:val="00DC071A"/>
    <w:rsid w:val="00DC121B"/>
    <w:rsid w:val="00DC1DBB"/>
    <w:rsid w:val="00DC1E39"/>
    <w:rsid w:val="00DC2041"/>
    <w:rsid w:val="00DC2458"/>
    <w:rsid w:val="00DC26E2"/>
    <w:rsid w:val="00DC2C44"/>
    <w:rsid w:val="00DC2D14"/>
    <w:rsid w:val="00DC32DF"/>
    <w:rsid w:val="00DC3CFA"/>
    <w:rsid w:val="00DC3FBB"/>
    <w:rsid w:val="00DC3FE6"/>
    <w:rsid w:val="00DC4699"/>
    <w:rsid w:val="00DC4E26"/>
    <w:rsid w:val="00DC4FC8"/>
    <w:rsid w:val="00DC5476"/>
    <w:rsid w:val="00DC5AF5"/>
    <w:rsid w:val="00DC67B5"/>
    <w:rsid w:val="00DC6C1F"/>
    <w:rsid w:val="00DC711E"/>
    <w:rsid w:val="00DC75CA"/>
    <w:rsid w:val="00DD09CF"/>
    <w:rsid w:val="00DD0B09"/>
    <w:rsid w:val="00DD0C12"/>
    <w:rsid w:val="00DD176A"/>
    <w:rsid w:val="00DD378D"/>
    <w:rsid w:val="00DD509C"/>
    <w:rsid w:val="00DD50D3"/>
    <w:rsid w:val="00DD5350"/>
    <w:rsid w:val="00DD5C67"/>
    <w:rsid w:val="00DD61B4"/>
    <w:rsid w:val="00DD633E"/>
    <w:rsid w:val="00DD6AF6"/>
    <w:rsid w:val="00DD7038"/>
    <w:rsid w:val="00DD777C"/>
    <w:rsid w:val="00DD78D2"/>
    <w:rsid w:val="00DD7C82"/>
    <w:rsid w:val="00DE01AB"/>
    <w:rsid w:val="00DE01B6"/>
    <w:rsid w:val="00DE047F"/>
    <w:rsid w:val="00DE0BFD"/>
    <w:rsid w:val="00DE0F8F"/>
    <w:rsid w:val="00DE1753"/>
    <w:rsid w:val="00DE1ADC"/>
    <w:rsid w:val="00DE1FBF"/>
    <w:rsid w:val="00DE1FCD"/>
    <w:rsid w:val="00DE2B0B"/>
    <w:rsid w:val="00DE3563"/>
    <w:rsid w:val="00DE4BEA"/>
    <w:rsid w:val="00DE4F81"/>
    <w:rsid w:val="00DE506F"/>
    <w:rsid w:val="00DE57D4"/>
    <w:rsid w:val="00DE5CF7"/>
    <w:rsid w:val="00DE7226"/>
    <w:rsid w:val="00DE7AB4"/>
    <w:rsid w:val="00DE7EAD"/>
    <w:rsid w:val="00DF2331"/>
    <w:rsid w:val="00DF2782"/>
    <w:rsid w:val="00DF2A91"/>
    <w:rsid w:val="00DF2BBE"/>
    <w:rsid w:val="00DF2BF6"/>
    <w:rsid w:val="00DF2C33"/>
    <w:rsid w:val="00DF31CA"/>
    <w:rsid w:val="00DF3565"/>
    <w:rsid w:val="00DF3749"/>
    <w:rsid w:val="00DF407B"/>
    <w:rsid w:val="00DF55D4"/>
    <w:rsid w:val="00DF620C"/>
    <w:rsid w:val="00DF6F05"/>
    <w:rsid w:val="00DF7F12"/>
    <w:rsid w:val="00E0074F"/>
    <w:rsid w:val="00E01062"/>
    <w:rsid w:val="00E010F0"/>
    <w:rsid w:val="00E01EB9"/>
    <w:rsid w:val="00E024EF"/>
    <w:rsid w:val="00E02D39"/>
    <w:rsid w:val="00E03105"/>
    <w:rsid w:val="00E031FF"/>
    <w:rsid w:val="00E04AE7"/>
    <w:rsid w:val="00E058C6"/>
    <w:rsid w:val="00E05911"/>
    <w:rsid w:val="00E077F0"/>
    <w:rsid w:val="00E078FA"/>
    <w:rsid w:val="00E07AA3"/>
    <w:rsid w:val="00E1180E"/>
    <w:rsid w:val="00E12AB3"/>
    <w:rsid w:val="00E1311E"/>
    <w:rsid w:val="00E136A0"/>
    <w:rsid w:val="00E1416C"/>
    <w:rsid w:val="00E14A73"/>
    <w:rsid w:val="00E14E2D"/>
    <w:rsid w:val="00E1522A"/>
    <w:rsid w:val="00E15A18"/>
    <w:rsid w:val="00E15CC6"/>
    <w:rsid w:val="00E15D68"/>
    <w:rsid w:val="00E166CC"/>
    <w:rsid w:val="00E16F0C"/>
    <w:rsid w:val="00E17828"/>
    <w:rsid w:val="00E17A88"/>
    <w:rsid w:val="00E17C03"/>
    <w:rsid w:val="00E2026E"/>
    <w:rsid w:val="00E204C5"/>
    <w:rsid w:val="00E204D3"/>
    <w:rsid w:val="00E20FAA"/>
    <w:rsid w:val="00E211ED"/>
    <w:rsid w:val="00E2304B"/>
    <w:rsid w:val="00E23CEE"/>
    <w:rsid w:val="00E23DF5"/>
    <w:rsid w:val="00E24010"/>
    <w:rsid w:val="00E2462E"/>
    <w:rsid w:val="00E25B38"/>
    <w:rsid w:val="00E265A8"/>
    <w:rsid w:val="00E2688F"/>
    <w:rsid w:val="00E26ADB"/>
    <w:rsid w:val="00E276EF"/>
    <w:rsid w:val="00E27DE9"/>
    <w:rsid w:val="00E3076A"/>
    <w:rsid w:val="00E30ACC"/>
    <w:rsid w:val="00E30DBE"/>
    <w:rsid w:val="00E313BF"/>
    <w:rsid w:val="00E31568"/>
    <w:rsid w:val="00E31CC1"/>
    <w:rsid w:val="00E31CF5"/>
    <w:rsid w:val="00E32786"/>
    <w:rsid w:val="00E35449"/>
    <w:rsid w:val="00E355A8"/>
    <w:rsid w:val="00E357A1"/>
    <w:rsid w:val="00E35803"/>
    <w:rsid w:val="00E35EA4"/>
    <w:rsid w:val="00E36010"/>
    <w:rsid w:val="00E36570"/>
    <w:rsid w:val="00E3671B"/>
    <w:rsid w:val="00E3700F"/>
    <w:rsid w:val="00E378EE"/>
    <w:rsid w:val="00E379C4"/>
    <w:rsid w:val="00E37FC2"/>
    <w:rsid w:val="00E401FB"/>
    <w:rsid w:val="00E406AD"/>
    <w:rsid w:val="00E407EB"/>
    <w:rsid w:val="00E40BBC"/>
    <w:rsid w:val="00E4121B"/>
    <w:rsid w:val="00E42DAB"/>
    <w:rsid w:val="00E43DE3"/>
    <w:rsid w:val="00E453A1"/>
    <w:rsid w:val="00E45689"/>
    <w:rsid w:val="00E45EA4"/>
    <w:rsid w:val="00E50207"/>
    <w:rsid w:val="00E50375"/>
    <w:rsid w:val="00E5134C"/>
    <w:rsid w:val="00E51ECD"/>
    <w:rsid w:val="00E51FEF"/>
    <w:rsid w:val="00E52AFF"/>
    <w:rsid w:val="00E53E5E"/>
    <w:rsid w:val="00E53F3F"/>
    <w:rsid w:val="00E53FD0"/>
    <w:rsid w:val="00E54239"/>
    <w:rsid w:val="00E549F6"/>
    <w:rsid w:val="00E54B54"/>
    <w:rsid w:val="00E54D05"/>
    <w:rsid w:val="00E567BC"/>
    <w:rsid w:val="00E56BF7"/>
    <w:rsid w:val="00E56CA8"/>
    <w:rsid w:val="00E572E4"/>
    <w:rsid w:val="00E57813"/>
    <w:rsid w:val="00E57922"/>
    <w:rsid w:val="00E57B54"/>
    <w:rsid w:val="00E6000B"/>
    <w:rsid w:val="00E60882"/>
    <w:rsid w:val="00E6144C"/>
    <w:rsid w:val="00E61724"/>
    <w:rsid w:val="00E63FD9"/>
    <w:rsid w:val="00E64438"/>
    <w:rsid w:val="00E64593"/>
    <w:rsid w:val="00E646AA"/>
    <w:rsid w:val="00E64857"/>
    <w:rsid w:val="00E64FEA"/>
    <w:rsid w:val="00E6560A"/>
    <w:rsid w:val="00E65BF3"/>
    <w:rsid w:val="00E66575"/>
    <w:rsid w:val="00E6662D"/>
    <w:rsid w:val="00E66672"/>
    <w:rsid w:val="00E67BE6"/>
    <w:rsid w:val="00E67D87"/>
    <w:rsid w:val="00E7029D"/>
    <w:rsid w:val="00E70615"/>
    <w:rsid w:val="00E708FB"/>
    <w:rsid w:val="00E70959"/>
    <w:rsid w:val="00E70A81"/>
    <w:rsid w:val="00E7141A"/>
    <w:rsid w:val="00E7201B"/>
    <w:rsid w:val="00E720D5"/>
    <w:rsid w:val="00E737EF"/>
    <w:rsid w:val="00E744E0"/>
    <w:rsid w:val="00E74791"/>
    <w:rsid w:val="00E74C08"/>
    <w:rsid w:val="00E74F8F"/>
    <w:rsid w:val="00E75C6A"/>
    <w:rsid w:val="00E762E3"/>
    <w:rsid w:val="00E76F26"/>
    <w:rsid w:val="00E77874"/>
    <w:rsid w:val="00E77DDE"/>
    <w:rsid w:val="00E803FF"/>
    <w:rsid w:val="00E80615"/>
    <w:rsid w:val="00E8082C"/>
    <w:rsid w:val="00E80E7E"/>
    <w:rsid w:val="00E80F92"/>
    <w:rsid w:val="00E812EF"/>
    <w:rsid w:val="00E8199F"/>
    <w:rsid w:val="00E81D8A"/>
    <w:rsid w:val="00E82190"/>
    <w:rsid w:val="00E82CD7"/>
    <w:rsid w:val="00E836CB"/>
    <w:rsid w:val="00E84E98"/>
    <w:rsid w:val="00E85E6A"/>
    <w:rsid w:val="00E86035"/>
    <w:rsid w:val="00E86AA2"/>
    <w:rsid w:val="00E87019"/>
    <w:rsid w:val="00E87941"/>
    <w:rsid w:val="00E87BC2"/>
    <w:rsid w:val="00E87F0C"/>
    <w:rsid w:val="00E901BE"/>
    <w:rsid w:val="00E90884"/>
    <w:rsid w:val="00E90A65"/>
    <w:rsid w:val="00E91028"/>
    <w:rsid w:val="00E91243"/>
    <w:rsid w:val="00E916D6"/>
    <w:rsid w:val="00E91A1D"/>
    <w:rsid w:val="00E9295D"/>
    <w:rsid w:val="00E950E0"/>
    <w:rsid w:val="00E95325"/>
    <w:rsid w:val="00E95824"/>
    <w:rsid w:val="00E97EAC"/>
    <w:rsid w:val="00EA089E"/>
    <w:rsid w:val="00EA12CC"/>
    <w:rsid w:val="00EA142E"/>
    <w:rsid w:val="00EA1FB3"/>
    <w:rsid w:val="00EA2736"/>
    <w:rsid w:val="00EA3679"/>
    <w:rsid w:val="00EA3DB8"/>
    <w:rsid w:val="00EA43E1"/>
    <w:rsid w:val="00EA4413"/>
    <w:rsid w:val="00EA4F52"/>
    <w:rsid w:val="00EA5668"/>
    <w:rsid w:val="00EA6C28"/>
    <w:rsid w:val="00EA7019"/>
    <w:rsid w:val="00EA74C7"/>
    <w:rsid w:val="00EB0668"/>
    <w:rsid w:val="00EB26D9"/>
    <w:rsid w:val="00EB2878"/>
    <w:rsid w:val="00EB2E95"/>
    <w:rsid w:val="00EB2EF5"/>
    <w:rsid w:val="00EB3593"/>
    <w:rsid w:val="00EB3C3D"/>
    <w:rsid w:val="00EB3F4C"/>
    <w:rsid w:val="00EB485B"/>
    <w:rsid w:val="00EB53C7"/>
    <w:rsid w:val="00EB66D5"/>
    <w:rsid w:val="00EB6F88"/>
    <w:rsid w:val="00EB7148"/>
    <w:rsid w:val="00EC13CB"/>
    <w:rsid w:val="00EC15C1"/>
    <w:rsid w:val="00EC1A5B"/>
    <w:rsid w:val="00EC2482"/>
    <w:rsid w:val="00EC2C53"/>
    <w:rsid w:val="00EC37FE"/>
    <w:rsid w:val="00EC4638"/>
    <w:rsid w:val="00EC5295"/>
    <w:rsid w:val="00EC607E"/>
    <w:rsid w:val="00EC6182"/>
    <w:rsid w:val="00EC61F1"/>
    <w:rsid w:val="00EC6940"/>
    <w:rsid w:val="00EC7441"/>
    <w:rsid w:val="00EC7959"/>
    <w:rsid w:val="00EC7F15"/>
    <w:rsid w:val="00ED0D78"/>
    <w:rsid w:val="00ED10E5"/>
    <w:rsid w:val="00ED1564"/>
    <w:rsid w:val="00ED1B02"/>
    <w:rsid w:val="00ED2A69"/>
    <w:rsid w:val="00ED2B31"/>
    <w:rsid w:val="00ED3019"/>
    <w:rsid w:val="00ED4B22"/>
    <w:rsid w:val="00ED4D4F"/>
    <w:rsid w:val="00ED518A"/>
    <w:rsid w:val="00ED63B2"/>
    <w:rsid w:val="00ED673F"/>
    <w:rsid w:val="00ED6A5E"/>
    <w:rsid w:val="00ED74F9"/>
    <w:rsid w:val="00EE03F8"/>
    <w:rsid w:val="00EE0CDD"/>
    <w:rsid w:val="00EE1324"/>
    <w:rsid w:val="00EE2663"/>
    <w:rsid w:val="00EE365F"/>
    <w:rsid w:val="00EE410E"/>
    <w:rsid w:val="00EE47DB"/>
    <w:rsid w:val="00EE4CC2"/>
    <w:rsid w:val="00EE5479"/>
    <w:rsid w:val="00EE5A07"/>
    <w:rsid w:val="00EE6079"/>
    <w:rsid w:val="00EE6992"/>
    <w:rsid w:val="00EE702E"/>
    <w:rsid w:val="00EE733A"/>
    <w:rsid w:val="00EE764D"/>
    <w:rsid w:val="00EF10C4"/>
    <w:rsid w:val="00EF2BCB"/>
    <w:rsid w:val="00EF2FDB"/>
    <w:rsid w:val="00EF32D3"/>
    <w:rsid w:val="00EF373C"/>
    <w:rsid w:val="00EF417A"/>
    <w:rsid w:val="00EF4533"/>
    <w:rsid w:val="00EF4925"/>
    <w:rsid w:val="00EF4958"/>
    <w:rsid w:val="00EF4B29"/>
    <w:rsid w:val="00EF4B8B"/>
    <w:rsid w:val="00EF5178"/>
    <w:rsid w:val="00EF54C1"/>
    <w:rsid w:val="00EF5D17"/>
    <w:rsid w:val="00EF5DE9"/>
    <w:rsid w:val="00EF720B"/>
    <w:rsid w:val="00EF7299"/>
    <w:rsid w:val="00EF732C"/>
    <w:rsid w:val="00F002BC"/>
    <w:rsid w:val="00F01AF3"/>
    <w:rsid w:val="00F02353"/>
    <w:rsid w:val="00F02672"/>
    <w:rsid w:val="00F02D14"/>
    <w:rsid w:val="00F03DC4"/>
    <w:rsid w:val="00F04129"/>
    <w:rsid w:val="00F041B8"/>
    <w:rsid w:val="00F04F9A"/>
    <w:rsid w:val="00F05F13"/>
    <w:rsid w:val="00F06BCB"/>
    <w:rsid w:val="00F0781F"/>
    <w:rsid w:val="00F07836"/>
    <w:rsid w:val="00F0785D"/>
    <w:rsid w:val="00F10B23"/>
    <w:rsid w:val="00F11AF1"/>
    <w:rsid w:val="00F11EC1"/>
    <w:rsid w:val="00F127DB"/>
    <w:rsid w:val="00F12A57"/>
    <w:rsid w:val="00F12C23"/>
    <w:rsid w:val="00F13099"/>
    <w:rsid w:val="00F134FA"/>
    <w:rsid w:val="00F13601"/>
    <w:rsid w:val="00F1459F"/>
    <w:rsid w:val="00F15897"/>
    <w:rsid w:val="00F16EDB"/>
    <w:rsid w:val="00F174CB"/>
    <w:rsid w:val="00F179AD"/>
    <w:rsid w:val="00F17D04"/>
    <w:rsid w:val="00F21062"/>
    <w:rsid w:val="00F2182F"/>
    <w:rsid w:val="00F21B38"/>
    <w:rsid w:val="00F2279C"/>
    <w:rsid w:val="00F22962"/>
    <w:rsid w:val="00F22B6F"/>
    <w:rsid w:val="00F23206"/>
    <w:rsid w:val="00F234B6"/>
    <w:rsid w:val="00F23DC6"/>
    <w:rsid w:val="00F24024"/>
    <w:rsid w:val="00F24027"/>
    <w:rsid w:val="00F24AB5"/>
    <w:rsid w:val="00F250C1"/>
    <w:rsid w:val="00F25DA2"/>
    <w:rsid w:val="00F2657C"/>
    <w:rsid w:val="00F27BF5"/>
    <w:rsid w:val="00F27C75"/>
    <w:rsid w:val="00F31367"/>
    <w:rsid w:val="00F319D3"/>
    <w:rsid w:val="00F32BC8"/>
    <w:rsid w:val="00F32DFE"/>
    <w:rsid w:val="00F338DE"/>
    <w:rsid w:val="00F33DC0"/>
    <w:rsid w:val="00F33DD9"/>
    <w:rsid w:val="00F33FE8"/>
    <w:rsid w:val="00F34886"/>
    <w:rsid w:val="00F349CB"/>
    <w:rsid w:val="00F34A6D"/>
    <w:rsid w:val="00F35479"/>
    <w:rsid w:val="00F35CD3"/>
    <w:rsid w:val="00F35DC4"/>
    <w:rsid w:val="00F35F0D"/>
    <w:rsid w:val="00F360E8"/>
    <w:rsid w:val="00F366B8"/>
    <w:rsid w:val="00F36D97"/>
    <w:rsid w:val="00F373F1"/>
    <w:rsid w:val="00F3757C"/>
    <w:rsid w:val="00F377C0"/>
    <w:rsid w:val="00F400A2"/>
    <w:rsid w:val="00F404EB"/>
    <w:rsid w:val="00F406D7"/>
    <w:rsid w:val="00F408E7"/>
    <w:rsid w:val="00F415DB"/>
    <w:rsid w:val="00F4231F"/>
    <w:rsid w:val="00F42363"/>
    <w:rsid w:val="00F43271"/>
    <w:rsid w:val="00F43516"/>
    <w:rsid w:val="00F43768"/>
    <w:rsid w:val="00F43A77"/>
    <w:rsid w:val="00F44229"/>
    <w:rsid w:val="00F444D8"/>
    <w:rsid w:val="00F4522C"/>
    <w:rsid w:val="00F453E5"/>
    <w:rsid w:val="00F45A88"/>
    <w:rsid w:val="00F45D51"/>
    <w:rsid w:val="00F46855"/>
    <w:rsid w:val="00F47552"/>
    <w:rsid w:val="00F50384"/>
    <w:rsid w:val="00F50952"/>
    <w:rsid w:val="00F50E87"/>
    <w:rsid w:val="00F51343"/>
    <w:rsid w:val="00F515F2"/>
    <w:rsid w:val="00F516B7"/>
    <w:rsid w:val="00F5198C"/>
    <w:rsid w:val="00F52664"/>
    <w:rsid w:val="00F531EE"/>
    <w:rsid w:val="00F537D0"/>
    <w:rsid w:val="00F53E3E"/>
    <w:rsid w:val="00F54842"/>
    <w:rsid w:val="00F54884"/>
    <w:rsid w:val="00F55072"/>
    <w:rsid w:val="00F555B0"/>
    <w:rsid w:val="00F55C3F"/>
    <w:rsid w:val="00F55F5E"/>
    <w:rsid w:val="00F5674A"/>
    <w:rsid w:val="00F574D9"/>
    <w:rsid w:val="00F60419"/>
    <w:rsid w:val="00F60437"/>
    <w:rsid w:val="00F6183B"/>
    <w:rsid w:val="00F61F65"/>
    <w:rsid w:val="00F622AE"/>
    <w:rsid w:val="00F62503"/>
    <w:rsid w:val="00F63553"/>
    <w:rsid w:val="00F63E60"/>
    <w:rsid w:val="00F64F27"/>
    <w:rsid w:val="00F65191"/>
    <w:rsid w:val="00F65AC4"/>
    <w:rsid w:val="00F66268"/>
    <w:rsid w:val="00F6630A"/>
    <w:rsid w:val="00F66D2A"/>
    <w:rsid w:val="00F67280"/>
    <w:rsid w:val="00F67487"/>
    <w:rsid w:val="00F702E2"/>
    <w:rsid w:val="00F706F3"/>
    <w:rsid w:val="00F72224"/>
    <w:rsid w:val="00F723F1"/>
    <w:rsid w:val="00F72502"/>
    <w:rsid w:val="00F73B0E"/>
    <w:rsid w:val="00F7468A"/>
    <w:rsid w:val="00F7595C"/>
    <w:rsid w:val="00F75E0D"/>
    <w:rsid w:val="00F75F47"/>
    <w:rsid w:val="00F76175"/>
    <w:rsid w:val="00F767A3"/>
    <w:rsid w:val="00F771FF"/>
    <w:rsid w:val="00F77215"/>
    <w:rsid w:val="00F77253"/>
    <w:rsid w:val="00F773E6"/>
    <w:rsid w:val="00F7759F"/>
    <w:rsid w:val="00F7768C"/>
    <w:rsid w:val="00F77990"/>
    <w:rsid w:val="00F77C81"/>
    <w:rsid w:val="00F77F1A"/>
    <w:rsid w:val="00F80016"/>
    <w:rsid w:val="00F80733"/>
    <w:rsid w:val="00F814E0"/>
    <w:rsid w:val="00F816D0"/>
    <w:rsid w:val="00F8196C"/>
    <w:rsid w:val="00F819C9"/>
    <w:rsid w:val="00F81E13"/>
    <w:rsid w:val="00F8228D"/>
    <w:rsid w:val="00F82DB4"/>
    <w:rsid w:val="00F832A8"/>
    <w:rsid w:val="00F84C08"/>
    <w:rsid w:val="00F854C3"/>
    <w:rsid w:val="00F858B9"/>
    <w:rsid w:val="00F86289"/>
    <w:rsid w:val="00F86342"/>
    <w:rsid w:val="00F8746A"/>
    <w:rsid w:val="00F878B4"/>
    <w:rsid w:val="00F91823"/>
    <w:rsid w:val="00F93088"/>
    <w:rsid w:val="00F94B28"/>
    <w:rsid w:val="00F95A33"/>
    <w:rsid w:val="00F95CFB"/>
    <w:rsid w:val="00F96507"/>
    <w:rsid w:val="00F96F0B"/>
    <w:rsid w:val="00F97748"/>
    <w:rsid w:val="00F97A8B"/>
    <w:rsid w:val="00FA0200"/>
    <w:rsid w:val="00FA0FFD"/>
    <w:rsid w:val="00FA1298"/>
    <w:rsid w:val="00FA1412"/>
    <w:rsid w:val="00FA218F"/>
    <w:rsid w:val="00FA2A15"/>
    <w:rsid w:val="00FA2EC5"/>
    <w:rsid w:val="00FA2EEF"/>
    <w:rsid w:val="00FA4493"/>
    <w:rsid w:val="00FA46AC"/>
    <w:rsid w:val="00FA4764"/>
    <w:rsid w:val="00FA4F2C"/>
    <w:rsid w:val="00FA5A50"/>
    <w:rsid w:val="00FA6401"/>
    <w:rsid w:val="00FA6A6A"/>
    <w:rsid w:val="00FA6BE9"/>
    <w:rsid w:val="00FA70D7"/>
    <w:rsid w:val="00FA7CA8"/>
    <w:rsid w:val="00FB0E37"/>
    <w:rsid w:val="00FB112E"/>
    <w:rsid w:val="00FB18FF"/>
    <w:rsid w:val="00FB1B57"/>
    <w:rsid w:val="00FB1B8F"/>
    <w:rsid w:val="00FB2F82"/>
    <w:rsid w:val="00FB325B"/>
    <w:rsid w:val="00FB3826"/>
    <w:rsid w:val="00FB3A87"/>
    <w:rsid w:val="00FB3D97"/>
    <w:rsid w:val="00FB4077"/>
    <w:rsid w:val="00FB40AD"/>
    <w:rsid w:val="00FB445C"/>
    <w:rsid w:val="00FB4894"/>
    <w:rsid w:val="00FB77BF"/>
    <w:rsid w:val="00FB78A7"/>
    <w:rsid w:val="00FB7DAE"/>
    <w:rsid w:val="00FC04FB"/>
    <w:rsid w:val="00FC0E66"/>
    <w:rsid w:val="00FC178B"/>
    <w:rsid w:val="00FC1875"/>
    <w:rsid w:val="00FC2B27"/>
    <w:rsid w:val="00FC2DCE"/>
    <w:rsid w:val="00FC2ECB"/>
    <w:rsid w:val="00FC2F44"/>
    <w:rsid w:val="00FC30EB"/>
    <w:rsid w:val="00FC3B6B"/>
    <w:rsid w:val="00FC3E39"/>
    <w:rsid w:val="00FC572E"/>
    <w:rsid w:val="00FC5928"/>
    <w:rsid w:val="00FC613B"/>
    <w:rsid w:val="00FC69F6"/>
    <w:rsid w:val="00FC7140"/>
    <w:rsid w:val="00FD01B4"/>
    <w:rsid w:val="00FD0F43"/>
    <w:rsid w:val="00FD1187"/>
    <w:rsid w:val="00FD1260"/>
    <w:rsid w:val="00FD1A71"/>
    <w:rsid w:val="00FD1A9C"/>
    <w:rsid w:val="00FD1FC8"/>
    <w:rsid w:val="00FD22C0"/>
    <w:rsid w:val="00FD2A1A"/>
    <w:rsid w:val="00FD2B4F"/>
    <w:rsid w:val="00FD2FEE"/>
    <w:rsid w:val="00FD39D8"/>
    <w:rsid w:val="00FD3C94"/>
    <w:rsid w:val="00FD3FB8"/>
    <w:rsid w:val="00FD4038"/>
    <w:rsid w:val="00FD431E"/>
    <w:rsid w:val="00FD44E3"/>
    <w:rsid w:val="00FD4AF9"/>
    <w:rsid w:val="00FD543B"/>
    <w:rsid w:val="00FD635D"/>
    <w:rsid w:val="00FD68C2"/>
    <w:rsid w:val="00FD6BAE"/>
    <w:rsid w:val="00FD6FBB"/>
    <w:rsid w:val="00FD7317"/>
    <w:rsid w:val="00FD74BC"/>
    <w:rsid w:val="00FD768C"/>
    <w:rsid w:val="00FD7F59"/>
    <w:rsid w:val="00FE00E6"/>
    <w:rsid w:val="00FE0760"/>
    <w:rsid w:val="00FE08FC"/>
    <w:rsid w:val="00FE1447"/>
    <w:rsid w:val="00FE1AF1"/>
    <w:rsid w:val="00FE205F"/>
    <w:rsid w:val="00FE2427"/>
    <w:rsid w:val="00FE356F"/>
    <w:rsid w:val="00FE3FFD"/>
    <w:rsid w:val="00FE4788"/>
    <w:rsid w:val="00FE4A36"/>
    <w:rsid w:val="00FE4E79"/>
    <w:rsid w:val="00FE6335"/>
    <w:rsid w:val="00FE6510"/>
    <w:rsid w:val="00FE72BC"/>
    <w:rsid w:val="00FE73E3"/>
    <w:rsid w:val="00FE7B88"/>
    <w:rsid w:val="00FE7FAA"/>
    <w:rsid w:val="00FF0118"/>
    <w:rsid w:val="00FF1017"/>
    <w:rsid w:val="00FF2813"/>
    <w:rsid w:val="00FF3073"/>
    <w:rsid w:val="00FF31D1"/>
    <w:rsid w:val="00FF3F8D"/>
    <w:rsid w:val="00FF3F9C"/>
    <w:rsid w:val="00FF4026"/>
    <w:rsid w:val="00FF4954"/>
    <w:rsid w:val="00FF4CF8"/>
    <w:rsid w:val="00FF5DA5"/>
    <w:rsid w:val="00FF5FC5"/>
    <w:rsid w:val="00FF616D"/>
    <w:rsid w:val="00FF68C7"/>
    <w:rsid w:val="00FF6E70"/>
    <w:rsid w:val="00FF7349"/>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4B8455C5-7147-409D-9EE5-B3DF55B9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link w:val="ListContinueChar"/>
    <w:qFormat/>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uiPriority w:val="99"/>
    <w:qFormat/>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4"/>
      </w:numPr>
      <w:spacing w:after="220"/>
      <w:jc w:val="both"/>
    </w:pPr>
    <w:rPr>
      <w:i/>
      <w:color w:val="000000"/>
      <w:sz w:val="22"/>
      <w:szCs w:val="20"/>
    </w:rPr>
  </w:style>
  <w:style w:type="paragraph" w:styleId="ListNumber">
    <w:name w:val="List Number"/>
    <w:basedOn w:val="Normal"/>
    <w:rsid w:val="00452842"/>
    <w:pPr>
      <w:numPr>
        <w:numId w:val="3"/>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basedOn w:val="Normal"/>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rsid w:val="005D00FB"/>
  </w:style>
  <w:style w:type="character" w:customStyle="1" w:styleId="ListContinueChar">
    <w:name w:val="List Continue Char"/>
    <w:link w:val="ListContinue"/>
    <w:rsid w:val="000337E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215312746">
      <w:bodyDiv w:val="1"/>
      <w:marLeft w:val="0"/>
      <w:marRight w:val="0"/>
      <w:marTop w:val="0"/>
      <w:marBottom w:val="0"/>
      <w:divBdr>
        <w:top w:val="none" w:sz="0" w:space="0" w:color="auto"/>
        <w:left w:val="none" w:sz="0" w:space="0" w:color="auto"/>
        <w:bottom w:val="none" w:sz="0" w:space="0" w:color="auto"/>
        <w:right w:val="none" w:sz="0" w:space="0" w:color="auto"/>
      </w:divBdr>
    </w:div>
    <w:div w:id="1633558467">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7fa5538e17377bc7e8e3cb95a9a425df">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6c14228483d172f371dbff59e3c486a6"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3c9e15a3-223f-4584-afb1-1dbe0b3878fa"/>
    <ds:schemaRef ds:uri="dbd46520-c392-41b5-9f68-fe7486eefad7"/>
  </ds:schemaRefs>
</ds:datastoreItem>
</file>

<file path=customXml/itemProps2.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3.xml><?xml version="1.0" encoding="utf-8"?>
<ds:datastoreItem xmlns:ds="http://schemas.openxmlformats.org/officeDocument/2006/customXml" ds:itemID="{1D56AC30-AED7-4799-8531-4EC4EF8C7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2116DE-A9E3-4368-85A4-B7B44E8B48D7}">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293</TotalTime>
  <Pages>9</Pages>
  <Words>3782</Words>
  <Characters>21560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25292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221</cp:revision>
  <cp:lastPrinted>2025-11-24T16:40:00Z</cp:lastPrinted>
  <dcterms:created xsi:type="dcterms:W3CDTF">2025-09-23T12:40:00Z</dcterms:created>
  <dcterms:modified xsi:type="dcterms:W3CDTF">2025-12-11T17:53:00Z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y fmtid="{D5CDD505-2E9C-101B-9397-08002B2CF9AE}" pid="5" name="Test">
    <vt:filetime>2025-03-24T05:00:00Z</vt:filetime>
  </property>
  <property fmtid="{D5CDD505-2E9C-101B-9397-08002B2CF9AE}" pid="6" name="docLang">
    <vt:lpwstr>en</vt:lpwstr>
  </property>
</Properties>
</file>