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A54018" w:rsidRDefault="002A1316">
      <w:pPr>
        <w:pStyle w:val="Title"/>
        <w:rPr>
          <w:rFonts w:asciiTheme="minorHAnsi" w:hAnsiTheme="minorHAnsi" w:cstheme="minorHAnsi"/>
          <w:sz w:val="22"/>
          <w:szCs w:val="22"/>
        </w:rPr>
      </w:pPr>
      <w:r w:rsidRPr="00A54018">
        <w:rPr>
          <w:rFonts w:asciiTheme="minorHAnsi" w:hAnsiTheme="minorHAnsi" w:cstheme="minorHAnsi"/>
          <w:sz w:val="22"/>
          <w:szCs w:val="22"/>
        </w:rPr>
        <w:t xml:space="preserve">Statutory Accounting Principles </w:t>
      </w:r>
      <w:r w:rsidR="00C6544D" w:rsidRPr="00A54018">
        <w:rPr>
          <w:rFonts w:asciiTheme="minorHAnsi" w:hAnsiTheme="minorHAnsi" w:cstheme="minorHAnsi"/>
          <w:sz w:val="22"/>
          <w:szCs w:val="22"/>
        </w:rPr>
        <w:t xml:space="preserve">(E) </w:t>
      </w:r>
      <w:r w:rsidRPr="00A54018">
        <w:rPr>
          <w:rFonts w:asciiTheme="minorHAnsi" w:hAnsiTheme="minorHAnsi" w:cstheme="minorHAnsi"/>
          <w:sz w:val="22"/>
          <w:szCs w:val="22"/>
        </w:rPr>
        <w:t>Working Group</w:t>
      </w:r>
    </w:p>
    <w:p w14:paraId="5E8586D5"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Maintenance Agenda Submission Form</w:t>
      </w:r>
    </w:p>
    <w:p w14:paraId="43927C70"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Form A</w:t>
      </w:r>
    </w:p>
    <w:p w14:paraId="65BCA41C" w14:textId="77777777" w:rsidR="002A1316" w:rsidRPr="00A54018" w:rsidRDefault="002A1316">
      <w:pPr>
        <w:pStyle w:val="Heading2"/>
        <w:jc w:val="center"/>
        <w:rPr>
          <w:rFonts w:asciiTheme="minorHAnsi" w:hAnsiTheme="minorHAnsi" w:cstheme="minorHAnsi"/>
          <w:sz w:val="22"/>
          <w:szCs w:val="22"/>
        </w:rPr>
      </w:pPr>
    </w:p>
    <w:p w14:paraId="10F0B4B2" w14:textId="7C080D41" w:rsidR="002A1316" w:rsidRPr="00A54018" w:rsidRDefault="002A1316" w:rsidP="00B30CA0">
      <w:pPr>
        <w:pStyle w:val="Heading2"/>
        <w:rPr>
          <w:rFonts w:asciiTheme="minorHAnsi" w:hAnsiTheme="minorHAnsi" w:cstheme="minorHAnsi"/>
          <w:sz w:val="22"/>
          <w:szCs w:val="22"/>
        </w:rPr>
      </w:pPr>
      <w:r w:rsidRPr="00A54018">
        <w:rPr>
          <w:rFonts w:asciiTheme="minorHAnsi" w:hAnsiTheme="minorHAnsi" w:cstheme="minorHAnsi"/>
          <w:b/>
          <w:sz w:val="22"/>
          <w:szCs w:val="22"/>
        </w:rPr>
        <w:t>Issue</w:t>
      </w:r>
      <w:r w:rsidR="00074DCF" w:rsidRPr="00A54018">
        <w:rPr>
          <w:rFonts w:asciiTheme="minorHAnsi" w:hAnsiTheme="minorHAnsi" w:cstheme="minorHAnsi"/>
          <w:b/>
          <w:sz w:val="22"/>
          <w:szCs w:val="22"/>
        </w:rPr>
        <w:t xml:space="preserve">: </w:t>
      </w:r>
      <w:r w:rsidR="00C7688B">
        <w:rPr>
          <w:rFonts w:asciiTheme="minorHAnsi" w:hAnsiTheme="minorHAnsi" w:cstheme="minorHAnsi"/>
          <w:b/>
          <w:sz w:val="22"/>
          <w:szCs w:val="22"/>
        </w:rPr>
        <w:t>SSAP No. 48 Equity Changes</w:t>
      </w:r>
      <w:r w:rsidR="00F67ABD" w:rsidRPr="00A54018">
        <w:rPr>
          <w:rFonts w:asciiTheme="minorHAnsi" w:hAnsiTheme="minorHAnsi" w:cstheme="minorHAnsi"/>
          <w:b/>
          <w:sz w:val="22"/>
          <w:szCs w:val="22"/>
        </w:rPr>
        <w:t xml:space="preserve"> </w:t>
      </w:r>
    </w:p>
    <w:p w14:paraId="7D50C110" w14:textId="77777777" w:rsidR="00B30CA0" w:rsidRPr="00A54018" w:rsidRDefault="00B30CA0" w:rsidP="00B30CA0">
      <w:pPr>
        <w:rPr>
          <w:rFonts w:asciiTheme="minorHAnsi" w:hAnsiTheme="minorHAnsi" w:cstheme="minorHAnsi"/>
          <w:sz w:val="22"/>
          <w:szCs w:val="22"/>
        </w:rPr>
      </w:pPr>
    </w:p>
    <w:p w14:paraId="1E0B900E" w14:textId="77777777" w:rsidR="002A1316" w:rsidRPr="00A54018" w:rsidRDefault="002A1316" w:rsidP="00B30CA0">
      <w:pPr>
        <w:jc w:val="both"/>
        <w:rPr>
          <w:rFonts w:asciiTheme="minorHAnsi" w:hAnsiTheme="minorHAnsi" w:cstheme="minorHAnsi"/>
          <w:b/>
          <w:sz w:val="22"/>
          <w:szCs w:val="22"/>
        </w:rPr>
      </w:pPr>
      <w:r w:rsidRPr="00A54018">
        <w:rPr>
          <w:rFonts w:asciiTheme="minorHAnsi" w:hAnsiTheme="minorHAnsi" w:cstheme="minorHAnsi"/>
          <w:b/>
          <w:sz w:val="22"/>
          <w:szCs w:val="22"/>
        </w:rPr>
        <w:t>Check (applicable entity):</w:t>
      </w:r>
    </w:p>
    <w:p w14:paraId="3CA22BB3" w14:textId="77777777" w:rsidR="006B37DD" w:rsidRPr="00A54018" w:rsidRDefault="006B37DD" w:rsidP="006B37DD">
      <w:pPr>
        <w:tabs>
          <w:tab w:val="center" w:pos="4455"/>
          <w:tab w:val="center" w:pos="5886"/>
          <w:tab w:val="center" w:pos="7326"/>
        </w:tabs>
        <w:jc w:val="both"/>
        <w:rPr>
          <w:rFonts w:asciiTheme="minorHAnsi" w:hAnsiTheme="minorHAnsi" w:cstheme="minorHAnsi"/>
          <w:sz w:val="22"/>
          <w:szCs w:val="22"/>
        </w:rPr>
      </w:pPr>
      <w:r w:rsidRPr="00A54018">
        <w:rPr>
          <w:rFonts w:asciiTheme="minorHAnsi" w:hAnsiTheme="minorHAnsi" w:cstheme="minorHAnsi"/>
          <w:sz w:val="22"/>
          <w:szCs w:val="22"/>
        </w:rPr>
        <w:tab/>
        <w:t>P/C</w:t>
      </w:r>
      <w:r w:rsidRPr="00A54018">
        <w:rPr>
          <w:rFonts w:asciiTheme="minorHAnsi" w:hAnsiTheme="minorHAnsi" w:cstheme="minorHAnsi"/>
          <w:sz w:val="22"/>
          <w:szCs w:val="22"/>
        </w:rPr>
        <w:tab/>
        <w:t>Life</w:t>
      </w:r>
      <w:r w:rsidRPr="00A54018">
        <w:rPr>
          <w:rFonts w:asciiTheme="minorHAnsi" w:hAnsiTheme="minorHAnsi" w:cstheme="minorHAnsi"/>
          <w:sz w:val="22"/>
          <w:szCs w:val="22"/>
        </w:rPr>
        <w:tab/>
        <w:t>Health</w:t>
      </w:r>
    </w:p>
    <w:p w14:paraId="347337DD" w14:textId="58E18D11"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 xml:space="preserve">Modification of </w:t>
      </w:r>
      <w:r w:rsidR="00DF407B" w:rsidRPr="00A54018">
        <w:rPr>
          <w:rFonts w:asciiTheme="minorHAnsi" w:hAnsiTheme="minorHAnsi" w:cstheme="minorHAnsi"/>
          <w:sz w:val="22"/>
          <w:szCs w:val="22"/>
        </w:rPr>
        <w:t>E</w:t>
      </w:r>
      <w:r w:rsidRPr="00A54018">
        <w:rPr>
          <w:rFonts w:asciiTheme="minorHAnsi" w:hAnsiTheme="minorHAnsi" w:cstheme="minorHAnsi"/>
          <w:sz w:val="22"/>
          <w:szCs w:val="22"/>
        </w:rPr>
        <w:t>xisting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bookmarkEnd w:id="0"/>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1"/>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
            <w:enabled/>
            <w:calcOnExit w:val="0"/>
            <w:checkBox>
              <w:sizeAuto/>
              <w:default w:val="1"/>
            </w:checkBox>
          </w:ffData>
        </w:fldChar>
      </w:r>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r w:rsidR="00C118ED" w:rsidRPr="00A54018">
        <w:rPr>
          <w:rFonts w:asciiTheme="minorHAnsi" w:hAnsiTheme="minorHAnsi" w:cstheme="minorHAnsi"/>
          <w:sz w:val="22"/>
          <w:szCs w:val="22"/>
        </w:rPr>
        <w:tab/>
      </w:r>
    </w:p>
    <w:p w14:paraId="4332D7DA" w14:textId="02284300"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New Issue or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108F9360" w14:textId="5D9EFA97" w:rsidR="0044022E" w:rsidRPr="00A54018" w:rsidRDefault="0044022E" w:rsidP="0044022E">
      <w:pPr>
        <w:ind w:firstLine="720"/>
        <w:jc w:val="both"/>
        <w:rPr>
          <w:rFonts w:asciiTheme="minorHAnsi" w:hAnsiTheme="minorHAnsi" w:cstheme="minorHAnsi"/>
          <w:sz w:val="22"/>
          <w:szCs w:val="22"/>
        </w:rPr>
      </w:pPr>
      <w:r w:rsidRPr="00A54018">
        <w:rPr>
          <w:rFonts w:asciiTheme="minorHAnsi" w:hAnsiTheme="minorHAnsi" w:cstheme="minorHAnsi"/>
          <w:sz w:val="22"/>
          <w:szCs w:val="22"/>
        </w:rPr>
        <w:t>Interpretation</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6F1580CB" w14:textId="77777777" w:rsidR="002A1316" w:rsidRPr="00A54018" w:rsidRDefault="002A1316" w:rsidP="00B30CA0">
      <w:pPr>
        <w:jc w:val="both"/>
        <w:rPr>
          <w:rFonts w:asciiTheme="minorHAnsi" w:hAnsiTheme="minorHAnsi" w:cstheme="minorHAnsi"/>
          <w:sz w:val="22"/>
          <w:szCs w:val="22"/>
        </w:rPr>
      </w:pPr>
    </w:p>
    <w:p w14:paraId="4813E7D1" w14:textId="2DB1F9EF" w:rsidR="008925AF" w:rsidRDefault="002A1316" w:rsidP="008F5AFD">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b/>
          <w:sz w:val="22"/>
        </w:rPr>
        <w:t>Description of Issue:</w:t>
      </w:r>
      <w:r w:rsidR="00F7468A" w:rsidRPr="00A54018">
        <w:rPr>
          <w:rFonts w:asciiTheme="minorHAnsi" w:hAnsiTheme="minorHAnsi" w:cstheme="minorHAnsi"/>
          <w:sz w:val="22"/>
        </w:rPr>
        <w:t xml:space="preserve"> </w:t>
      </w:r>
      <w:r w:rsidR="00A818A1" w:rsidRPr="00A54018">
        <w:rPr>
          <w:rFonts w:asciiTheme="minorHAnsi" w:hAnsiTheme="minorHAnsi" w:cstheme="minorHAnsi"/>
          <w:sz w:val="22"/>
          <w:szCs w:val="22"/>
        </w:rPr>
        <w:t xml:space="preserve">This </w:t>
      </w:r>
      <w:r w:rsidR="00463E98" w:rsidRPr="00A54018">
        <w:rPr>
          <w:rFonts w:asciiTheme="minorHAnsi" w:hAnsiTheme="minorHAnsi" w:cstheme="minorHAnsi"/>
          <w:sz w:val="22"/>
          <w:szCs w:val="22"/>
        </w:rPr>
        <w:t xml:space="preserve">agenda item </w:t>
      </w:r>
      <w:r w:rsidR="007F5DAE" w:rsidRPr="00A54018">
        <w:rPr>
          <w:rFonts w:asciiTheme="minorHAnsi" w:hAnsiTheme="minorHAnsi" w:cstheme="minorHAnsi"/>
          <w:sz w:val="22"/>
          <w:szCs w:val="22"/>
        </w:rPr>
        <w:t xml:space="preserve">has been prepared </w:t>
      </w:r>
      <w:r w:rsidR="00A06B59">
        <w:rPr>
          <w:rFonts w:asciiTheme="minorHAnsi" w:hAnsiTheme="minorHAnsi" w:cstheme="minorHAnsi"/>
          <w:sz w:val="22"/>
          <w:szCs w:val="22"/>
        </w:rPr>
        <w:t xml:space="preserve">to review the </w:t>
      </w:r>
      <w:r w:rsidR="001607ED">
        <w:rPr>
          <w:rFonts w:asciiTheme="minorHAnsi" w:hAnsiTheme="minorHAnsi" w:cstheme="minorHAnsi"/>
          <w:sz w:val="22"/>
          <w:szCs w:val="22"/>
        </w:rPr>
        <w:t xml:space="preserve">overall guidance as well as the </w:t>
      </w:r>
      <w:r w:rsidR="00A06B59">
        <w:rPr>
          <w:rFonts w:asciiTheme="minorHAnsi" w:hAnsiTheme="minorHAnsi" w:cstheme="minorHAnsi"/>
          <w:sz w:val="22"/>
          <w:szCs w:val="22"/>
        </w:rPr>
        <w:t>process in which equity changes</w:t>
      </w:r>
      <w:r w:rsidR="001F2518">
        <w:rPr>
          <w:rFonts w:asciiTheme="minorHAnsi" w:hAnsiTheme="minorHAnsi" w:cstheme="minorHAnsi"/>
          <w:sz w:val="22"/>
          <w:szCs w:val="22"/>
        </w:rPr>
        <w:t xml:space="preserve"> are reported for investments in </w:t>
      </w:r>
      <w:r w:rsidR="001607ED">
        <w:rPr>
          <w:rFonts w:asciiTheme="minorHAnsi" w:hAnsiTheme="minorHAnsi" w:cstheme="minorHAnsi"/>
          <w:sz w:val="22"/>
          <w:szCs w:val="22"/>
        </w:rPr>
        <w:t xml:space="preserve">scope of </w:t>
      </w:r>
      <w:r w:rsidR="001F2518" w:rsidRPr="002E5CC6">
        <w:rPr>
          <w:rFonts w:asciiTheme="minorHAnsi" w:hAnsiTheme="minorHAnsi" w:cstheme="minorHAnsi"/>
          <w:i/>
          <w:iCs/>
          <w:sz w:val="22"/>
          <w:szCs w:val="22"/>
        </w:rPr>
        <w:t>SSAP No. 48—Joint Ventures, Partnerships and Limited Liability Companies</w:t>
      </w:r>
      <w:r w:rsidR="001F2518">
        <w:rPr>
          <w:rFonts w:asciiTheme="minorHAnsi" w:hAnsiTheme="minorHAnsi" w:cstheme="minorHAnsi"/>
          <w:sz w:val="22"/>
          <w:szCs w:val="22"/>
        </w:rPr>
        <w:t xml:space="preserve">. </w:t>
      </w:r>
      <w:r w:rsidR="0027391B">
        <w:rPr>
          <w:rFonts w:asciiTheme="minorHAnsi" w:hAnsiTheme="minorHAnsi" w:cstheme="minorHAnsi"/>
          <w:sz w:val="22"/>
          <w:szCs w:val="22"/>
        </w:rPr>
        <w:t>Q</w:t>
      </w:r>
      <w:r w:rsidR="00EF60D9">
        <w:rPr>
          <w:rFonts w:asciiTheme="minorHAnsi" w:hAnsiTheme="minorHAnsi" w:cstheme="minorHAnsi"/>
          <w:sz w:val="22"/>
          <w:szCs w:val="22"/>
        </w:rPr>
        <w:t xml:space="preserve">uestions have been raised as to </w:t>
      </w:r>
      <w:r w:rsidR="0009360D">
        <w:rPr>
          <w:rFonts w:asciiTheme="minorHAnsi" w:hAnsiTheme="minorHAnsi" w:cstheme="minorHAnsi"/>
          <w:sz w:val="22"/>
          <w:szCs w:val="22"/>
        </w:rPr>
        <w:t xml:space="preserve">the timing of the requirement for the audited financial statements, </w:t>
      </w:r>
      <w:r w:rsidR="001607ED">
        <w:rPr>
          <w:rFonts w:asciiTheme="minorHAnsi" w:hAnsiTheme="minorHAnsi" w:cstheme="minorHAnsi"/>
          <w:sz w:val="22"/>
          <w:szCs w:val="22"/>
        </w:rPr>
        <w:t>and</w:t>
      </w:r>
      <w:r w:rsidR="00EF60D9">
        <w:rPr>
          <w:rFonts w:asciiTheme="minorHAnsi" w:hAnsiTheme="minorHAnsi" w:cstheme="minorHAnsi"/>
          <w:sz w:val="22"/>
          <w:szCs w:val="22"/>
        </w:rPr>
        <w:t xml:space="preserve"> inquiries on the specific guidance in the standard for </w:t>
      </w:r>
      <w:r w:rsidR="0009360D">
        <w:rPr>
          <w:rFonts w:asciiTheme="minorHAnsi" w:hAnsiTheme="minorHAnsi" w:cstheme="minorHAnsi"/>
          <w:sz w:val="22"/>
          <w:szCs w:val="22"/>
        </w:rPr>
        <w:t xml:space="preserve">determining the </w:t>
      </w:r>
      <w:r w:rsidR="0008672F">
        <w:rPr>
          <w:rFonts w:asciiTheme="minorHAnsi" w:hAnsiTheme="minorHAnsi" w:cstheme="minorHAnsi"/>
          <w:sz w:val="22"/>
          <w:szCs w:val="22"/>
        </w:rPr>
        <w:t xml:space="preserve">amount reported (book/adjusted carrying value) for a SSAP No. 48 investment. </w:t>
      </w:r>
      <w:r w:rsidR="0013586B">
        <w:rPr>
          <w:rFonts w:asciiTheme="minorHAnsi" w:hAnsiTheme="minorHAnsi" w:cstheme="minorHAnsi"/>
          <w:sz w:val="22"/>
          <w:szCs w:val="22"/>
        </w:rPr>
        <w:t xml:space="preserve">In reviewing reported information on Schedule BA, questions have also been identified on the reporting provisions and if they are clear / consistently applied. </w:t>
      </w:r>
    </w:p>
    <w:p w14:paraId="62F43401" w14:textId="77777777" w:rsidR="0088416F" w:rsidRDefault="0088416F" w:rsidP="008F5AFD">
      <w:pPr>
        <w:pStyle w:val="BodyTextIndent"/>
        <w:spacing w:after="0"/>
        <w:ind w:left="0"/>
        <w:jc w:val="both"/>
        <w:rPr>
          <w:rFonts w:asciiTheme="minorHAnsi" w:hAnsiTheme="minorHAnsi" w:cstheme="minorHAnsi"/>
          <w:sz w:val="22"/>
          <w:szCs w:val="22"/>
        </w:rPr>
      </w:pPr>
    </w:p>
    <w:p w14:paraId="34A77B93" w14:textId="5303ADCB" w:rsidR="00085251" w:rsidRDefault="0088416F"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Under existing guidance in SSAP No. 48, investments shall be</w:t>
      </w:r>
      <w:r w:rsidR="00BF1C22">
        <w:rPr>
          <w:rFonts w:asciiTheme="minorHAnsi" w:hAnsiTheme="minorHAnsi" w:cstheme="minorHAnsi"/>
          <w:sz w:val="22"/>
          <w:szCs w:val="22"/>
        </w:rPr>
        <w:t xml:space="preserve"> reported using the equity method. </w:t>
      </w:r>
      <w:r w:rsidR="00B91172">
        <w:rPr>
          <w:rFonts w:asciiTheme="minorHAnsi" w:hAnsiTheme="minorHAnsi" w:cstheme="minorHAnsi"/>
          <w:sz w:val="22"/>
          <w:szCs w:val="22"/>
        </w:rPr>
        <w:t xml:space="preserve">If a reporting entity holds a minor ownership interest (less than 10%) or lacks control, the equity calculation is limited to the guidance in SSAP No. 48. </w:t>
      </w:r>
      <w:r w:rsidR="007E3C1B">
        <w:rPr>
          <w:rFonts w:asciiTheme="minorHAnsi" w:hAnsiTheme="minorHAnsi" w:cstheme="minorHAnsi"/>
          <w:sz w:val="22"/>
          <w:szCs w:val="22"/>
        </w:rPr>
        <w:t xml:space="preserve">If there is </w:t>
      </w:r>
      <w:r w:rsidR="00E73AFD">
        <w:rPr>
          <w:rFonts w:asciiTheme="minorHAnsi" w:hAnsiTheme="minorHAnsi" w:cstheme="minorHAnsi"/>
          <w:sz w:val="22"/>
          <w:szCs w:val="22"/>
        </w:rPr>
        <w:t xml:space="preserve">a </w:t>
      </w:r>
      <w:r w:rsidR="007E3C1B">
        <w:rPr>
          <w:rFonts w:asciiTheme="minorHAnsi" w:hAnsiTheme="minorHAnsi" w:cstheme="minorHAnsi"/>
          <w:sz w:val="22"/>
          <w:szCs w:val="22"/>
        </w:rPr>
        <w:t xml:space="preserve">more-than-minor ownership interest, then the equity method is calculated </w:t>
      </w:r>
      <w:r w:rsidR="00EB7259">
        <w:rPr>
          <w:rFonts w:asciiTheme="minorHAnsi" w:hAnsiTheme="minorHAnsi" w:cstheme="minorHAnsi"/>
          <w:sz w:val="22"/>
          <w:szCs w:val="22"/>
        </w:rPr>
        <w:t>pursuant to the guidance in</w:t>
      </w:r>
      <w:r w:rsidR="007E3C1B">
        <w:rPr>
          <w:rFonts w:asciiTheme="minorHAnsi" w:hAnsiTheme="minorHAnsi" w:cstheme="minorHAnsi"/>
          <w:sz w:val="22"/>
          <w:szCs w:val="22"/>
        </w:rPr>
        <w:t xml:space="preserve"> </w:t>
      </w:r>
      <w:r w:rsidR="007E3C1B" w:rsidRPr="00DD5FAD">
        <w:rPr>
          <w:rFonts w:asciiTheme="minorHAnsi" w:hAnsiTheme="minorHAnsi" w:cstheme="minorHAnsi"/>
          <w:i/>
          <w:iCs/>
          <w:sz w:val="22"/>
          <w:szCs w:val="22"/>
        </w:rPr>
        <w:t>SSAP No. 97—Investments in Subsidiaries, Controlled and Affiliated Entities</w:t>
      </w:r>
      <w:r w:rsidR="00FC719F">
        <w:rPr>
          <w:rFonts w:asciiTheme="minorHAnsi" w:hAnsiTheme="minorHAnsi" w:cstheme="minorHAnsi"/>
          <w:sz w:val="22"/>
          <w:szCs w:val="22"/>
        </w:rPr>
        <w:t>, paragraphs 8.b.i-8.b.i</w:t>
      </w:r>
      <w:r w:rsidR="000357DE">
        <w:rPr>
          <w:rFonts w:asciiTheme="minorHAnsi" w:hAnsiTheme="minorHAnsi" w:cstheme="minorHAnsi"/>
          <w:sz w:val="22"/>
          <w:szCs w:val="22"/>
        </w:rPr>
        <w:t>v, which determines the equity method based on the investee (e.g., insurance company, non-insurance company, foreign insurance</w:t>
      </w:r>
      <w:r w:rsidR="00FC719F">
        <w:rPr>
          <w:rFonts w:asciiTheme="minorHAnsi" w:hAnsiTheme="minorHAnsi" w:cstheme="minorHAnsi"/>
          <w:sz w:val="22"/>
          <w:szCs w:val="22"/>
        </w:rPr>
        <w:t xml:space="preserve"> </w:t>
      </w:r>
      <w:r w:rsidR="000357DE">
        <w:rPr>
          <w:rFonts w:asciiTheme="minorHAnsi" w:hAnsiTheme="minorHAnsi" w:cstheme="minorHAnsi"/>
          <w:sz w:val="22"/>
          <w:szCs w:val="22"/>
        </w:rPr>
        <w:t>company).</w:t>
      </w:r>
      <w:r w:rsidR="00085251">
        <w:rPr>
          <w:rFonts w:asciiTheme="minorHAnsi" w:hAnsiTheme="minorHAnsi" w:cstheme="minorHAnsi"/>
          <w:sz w:val="22"/>
          <w:szCs w:val="22"/>
        </w:rPr>
        <w:t xml:space="preserve"> </w:t>
      </w:r>
      <w:r w:rsidR="00CA0FF6">
        <w:rPr>
          <w:rFonts w:asciiTheme="minorHAnsi" w:hAnsiTheme="minorHAnsi" w:cstheme="minorHAnsi"/>
          <w:sz w:val="22"/>
          <w:szCs w:val="22"/>
        </w:rPr>
        <w:t>T</w:t>
      </w:r>
      <w:r w:rsidR="00085251">
        <w:rPr>
          <w:rFonts w:asciiTheme="minorHAnsi" w:hAnsiTheme="minorHAnsi" w:cstheme="minorHAnsi"/>
          <w:sz w:val="22"/>
          <w:szCs w:val="22"/>
        </w:rPr>
        <w:t xml:space="preserve">he general concept of </w:t>
      </w:r>
      <w:r w:rsidR="00CA0FF6">
        <w:rPr>
          <w:rFonts w:asciiTheme="minorHAnsi" w:hAnsiTheme="minorHAnsi" w:cstheme="minorHAnsi"/>
          <w:sz w:val="22"/>
          <w:szCs w:val="22"/>
        </w:rPr>
        <w:t>the</w:t>
      </w:r>
      <w:r w:rsidR="00085251">
        <w:rPr>
          <w:rFonts w:asciiTheme="minorHAnsi" w:hAnsiTheme="minorHAnsi" w:cstheme="minorHAnsi"/>
          <w:sz w:val="22"/>
          <w:szCs w:val="22"/>
        </w:rPr>
        <w:t xml:space="preserve"> equity calculation is the same</w:t>
      </w:r>
      <w:r w:rsidR="00EB7259">
        <w:rPr>
          <w:rFonts w:asciiTheme="minorHAnsi" w:hAnsiTheme="minorHAnsi" w:cstheme="minorHAnsi"/>
          <w:sz w:val="22"/>
          <w:szCs w:val="22"/>
        </w:rPr>
        <w:t xml:space="preserve"> in both SSAP No. 48 and SSAP No. 97. The equity method</w:t>
      </w:r>
      <w:r w:rsidR="00085251">
        <w:rPr>
          <w:rFonts w:asciiTheme="minorHAnsi" w:hAnsiTheme="minorHAnsi" w:cstheme="minorHAnsi"/>
          <w:sz w:val="22"/>
          <w:szCs w:val="22"/>
        </w:rPr>
        <w:t xml:space="preserve"> adjusts </w:t>
      </w:r>
      <w:r w:rsidR="000F5B54">
        <w:rPr>
          <w:rFonts w:asciiTheme="minorHAnsi" w:hAnsiTheme="minorHAnsi" w:cstheme="minorHAnsi"/>
          <w:sz w:val="22"/>
          <w:szCs w:val="22"/>
        </w:rPr>
        <w:t xml:space="preserve">a reporting entity’s cost basis in an investment to reflect the </w:t>
      </w:r>
      <w:r w:rsidR="00FC7CCB">
        <w:rPr>
          <w:rFonts w:asciiTheme="minorHAnsi" w:hAnsiTheme="minorHAnsi" w:cstheme="minorHAnsi"/>
          <w:sz w:val="22"/>
          <w:szCs w:val="22"/>
        </w:rPr>
        <w:t xml:space="preserve">audited </w:t>
      </w:r>
      <w:r w:rsidR="000F5B54">
        <w:rPr>
          <w:rFonts w:asciiTheme="minorHAnsi" w:hAnsiTheme="minorHAnsi" w:cstheme="minorHAnsi"/>
          <w:sz w:val="22"/>
          <w:szCs w:val="22"/>
        </w:rPr>
        <w:t xml:space="preserve">undistributed gains/losses of the investee. </w:t>
      </w:r>
      <w:r w:rsidR="00E62367">
        <w:rPr>
          <w:rFonts w:asciiTheme="minorHAnsi" w:hAnsiTheme="minorHAnsi" w:cstheme="minorHAnsi"/>
          <w:sz w:val="22"/>
          <w:szCs w:val="22"/>
        </w:rPr>
        <w:t xml:space="preserve">Under both SSAP No. 48 and SSAP No. 97, audited financial statements are required to support the </w:t>
      </w:r>
      <w:r w:rsidR="001436FC">
        <w:rPr>
          <w:rFonts w:asciiTheme="minorHAnsi" w:hAnsiTheme="minorHAnsi" w:cstheme="minorHAnsi"/>
          <w:sz w:val="22"/>
          <w:szCs w:val="22"/>
        </w:rPr>
        <w:t>equity method calculation</w:t>
      </w:r>
      <w:r w:rsidR="00FE48CD">
        <w:rPr>
          <w:rFonts w:asciiTheme="minorHAnsi" w:hAnsiTheme="minorHAnsi" w:cstheme="minorHAnsi"/>
          <w:sz w:val="22"/>
          <w:szCs w:val="22"/>
        </w:rPr>
        <w:t xml:space="preserve"> and for the investment to be admitted</w:t>
      </w:r>
      <w:r w:rsidR="001436FC">
        <w:rPr>
          <w:rFonts w:asciiTheme="minorHAnsi" w:hAnsiTheme="minorHAnsi" w:cstheme="minorHAnsi"/>
          <w:sz w:val="22"/>
          <w:szCs w:val="22"/>
        </w:rPr>
        <w:t>.</w:t>
      </w:r>
      <w:r w:rsidR="00FE48CD">
        <w:rPr>
          <w:rFonts w:asciiTheme="minorHAnsi" w:hAnsiTheme="minorHAnsi" w:cstheme="minorHAnsi"/>
          <w:sz w:val="22"/>
          <w:szCs w:val="22"/>
        </w:rPr>
        <w:t xml:space="preserve"> </w:t>
      </w:r>
      <w:r w:rsidR="002F0509">
        <w:rPr>
          <w:rFonts w:asciiTheme="minorHAnsi" w:hAnsiTheme="minorHAnsi" w:cstheme="minorHAnsi"/>
          <w:sz w:val="22"/>
          <w:szCs w:val="22"/>
        </w:rPr>
        <w:t>C</w:t>
      </w:r>
      <w:r w:rsidR="00D26B06">
        <w:rPr>
          <w:rFonts w:asciiTheme="minorHAnsi" w:hAnsiTheme="minorHAnsi" w:cstheme="minorHAnsi"/>
          <w:sz w:val="22"/>
          <w:szCs w:val="22"/>
        </w:rPr>
        <w:t>alculations also include a</w:t>
      </w:r>
      <w:r w:rsidR="004C3D12">
        <w:rPr>
          <w:rFonts w:asciiTheme="minorHAnsi" w:hAnsiTheme="minorHAnsi" w:cstheme="minorHAnsi"/>
          <w:sz w:val="22"/>
          <w:szCs w:val="22"/>
        </w:rPr>
        <w:t xml:space="preserve">mortization of a </w:t>
      </w:r>
      <w:r w:rsidR="007122D0">
        <w:rPr>
          <w:rFonts w:asciiTheme="minorHAnsi" w:hAnsiTheme="minorHAnsi" w:cstheme="minorHAnsi"/>
          <w:sz w:val="22"/>
          <w:szCs w:val="22"/>
        </w:rPr>
        <w:t>“</w:t>
      </w:r>
      <w:r w:rsidR="004C3D12">
        <w:rPr>
          <w:rFonts w:asciiTheme="minorHAnsi" w:hAnsiTheme="minorHAnsi" w:cstheme="minorHAnsi"/>
          <w:sz w:val="22"/>
          <w:szCs w:val="22"/>
        </w:rPr>
        <w:t>basis difference</w:t>
      </w:r>
      <w:r w:rsidR="007122D0">
        <w:rPr>
          <w:rFonts w:asciiTheme="minorHAnsi" w:hAnsiTheme="minorHAnsi" w:cstheme="minorHAnsi"/>
          <w:sz w:val="22"/>
          <w:szCs w:val="22"/>
        </w:rPr>
        <w:t>”</w:t>
      </w:r>
      <w:r w:rsidR="004C3D12">
        <w:rPr>
          <w:rFonts w:asciiTheme="minorHAnsi" w:hAnsiTheme="minorHAnsi" w:cstheme="minorHAnsi"/>
          <w:sz w:val="22"/>
          <w:szCs w:val="22"/>
        </w:rPr>
        <w:t xml:space="preserve"> or goodwill</w:t>
      </w:r>
      <w:r w:rsidR="007122D0">
        <w:rPr>
          <w:rFonts w:asciiTheme="minorHAnsi" w:hAnsiTheme="minorHAnsi" w:cstheme="minorHAnsi"/>
          <w:sz w:val="22"/>
          <w:szCs w:val="22"/>
        </w:rPr>
        <w:t xml:space="preserve"> – </w:t>
      </w:r>
      <w:r w:rsidR="00B91172">
        <w:rPr>
          <w:rFonts w:asciiTheme="minorHAnsi" w:hAnsiTheme="minorHAnsi" w:cstheme="minorHAnsi"/>
          <w:sz w:val="22"/>
          <w:szCs w:val="22"/>
        </w:rPr>
        <w:t xml:space="preserve">both </w:t>
      </w:r>
      <w:r w:rsidR="007122D0">
        <w:rPr>
          <w:rFonts w:asciiTheme="minorHAnsi" w:hAnsiTheme="minorHAnsi" w:cstheme="minorHAnsi"/>
          <w:sz w:val="22"/>
          <w:szCs w:val="22"/>
        </w:rPr>
        <w:t>concepts discussed</w:t>
      </w:r>
      <w:r w:rsidR="002F0509">
        <w:rPr>
          <w:rFonts w:asciiTheme="minorHAnsi" w:hAnsiTheme="minorHAnsi" w:cstheme="minorHAnsi"/>
          <w:sz w:val="22"/>
          <w:szCs w:val="22"/>
        </w:rPr>
        <w:t xml:space="preserve"> </w:t>
      </w:r>
      <w:r w:rsidR="007122D0">
        <w:rPr>
          <w:rFonts w:asciiTheme="minorHAnsi" w:hAnsiTheme="minorHAnsi" w:cstheme="minorHAnsi"/>
          <w:sz w:val="22"/>
          <w:szCs w:val="22"/>
        </w:rPr>
        <w:t>within</w:t>
      </w:r>
      <w:r w:rsidR="00C517E8">
        <w:rPr>
          <w:rFonts w:asciiTheme="minorHAnsi" w:hAnsiTheme="minorHAnsi" w:cstheme="minorHAnsi"/>
          <w:sz w:val="22"/>
          <w:szCs w:val="22"/>
        </w:rPr>
        <w:t>.</w:t>
      </w:r>
    </w:p>
    <w:p w14:paraId="0ED8F040" w14:textId="77777777" w:rsidR="007439D3" w:rsidRDefault="007439D3" w:rsidP="008F5AFD">
      <w:pPr>
        <w:pStyle w:val="BodyTextIndent"/>
        <w:spacing w:after="0"/>
        <w:ind w:left="0"/>
        <w:jc w:val="both"/>
        <w:rPr>
          <w:rFonts w:asciiTheme="minorHAnsi" w:hAnsiTheme="minorHAnsi" w:cstheme="minorHAnsi"/>
          <w:sz w:val="22"/>
          <w:szCs w:val="22"/>
        </w:rPr>
      </w:pPr>
    </w:p>
    <w:p w14:paraId="22F0012D" w14:textId="3953F98D" w:rsidR="007439D3" w:rsidRDefault="007439D3"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This agenda item is very detailed with many concepts from SSAP No. 48 identified for potential discussion. Ultimately, as shown within the recommendation, </w:t>
      </w:r>
      <w:r w:rsidR="0012799E">
        <w:rPr>
          <w:rFonts w:asciiTheme="minorHAnsi" w:hAnsiTheme="minorHAnsi" w:cstheme="minorHAnsi"/>
          <w:sz w:val="22"/>
          <w:szCs w:val="22"/>
        </w:rPr>
        <w:t xml:space="preserve">this agenda item proposes a review of several concepts to ensure intended guidance is clear and consistently applied. </w:t>
      </w:r>
      <w:r w:rsidR="00140B0D">
        <w:rPr>
          <w:rFonts w:asciiTheme="minorHAnsi" w:hAnsiTheme="minorHAnsi" w:cstheme="minorHAnsi"/>
          <w:sz w:val="22"/>
          <w:szCs w:val="22"/>
        </w:rPr>
        <w:t>It’s</w:t>
      </w:r>
      <w:r w:rsidR="0012799E">
        <w:rPr>
          <w:rFonts w:asciiTheme="minorHAnsi" w:hAnsiTheme="minorHAnsi" w:cstheme="minorHAnsi"/>
          <w:sz w:val="22"/>
          <w:szCs w:val="22"/>
        </w:rPr>
        <w:t xml:space="preserve"> also noted that this review would be in line with historical agenda item </w:t>
      </w:r>
      <w:r w:rsidR="00140B0D">
        <w:rPr>
          <w:rFonts w:asciiTheme="minorHAnsi" w:hAnsiTheme="minorHAnsi" w:cstheme="minorHAnsi"/>
          <w:sz w:val="22"/>
          <w:szCs w:val="22"/>
        </w:rPr>
        <w:t xml:space="preserve">2013-36: Investment Classification Project. Although SSAP No. 48 was identified for review within that project, a review of SSAP No. 48 has yet to be completed. </w:t>
      </w:r>
    </w:p>
    <w:p w14:paraId="62EA150F" w14:textId="77777777" w:rsidR="00085251" w:rsidRDefault="00085251" w:rsidP="008F5AFD">
      <w:pPr>
        <w:pStyle w:val="BodyTextIndent"/>
        <w:spacing w:after="0"/>
        <w:ind w:left="0"/>
        <w:jc w:val="both"/>
        <w:rPr>
          <w:rFonts w:asciiTheme="minorHAnsi" w:hAnsiTheme="minorHAnsi" w:cstheme="minorHAnsi"/>
          <w:sz w:val="22"/>
          <w:szCs w:val="22"/>
        </w:rPr>
      </w:pPr>
    </w:p>
    <w:p w14:paraId="6D632E4E" w14:textId="12AE8C9D" w:rsidR="00140B0D" w:rsidRPr="00140B0D" w:rsidRDefault="00140B0D" w:rsidP="00140B0D">
      <w:pPr>
        <w:pStyle w:val="BodyTextIndent"/>
        <w:numPr>
          <w:ilvl w:val="0"/>
          <w:numId w:val="13"/>
        </w:numPr>
        <w:spacing w:after="0"/>
        <w:jc w:val="both"/>
        <w:rPr>
          <w:rFonts w:asciiTheme="minorHAnsi" w:hAnsiTheme="minorHAnsi" w:cstheme="minorHAnsi"/>
          <w:b/>
          <w:bCs/>
          <w:sz w:val="22"/>
          <w:szCs w:val="22"/>
          <w:u w:val="single"/>
        </w:rPr>
      </w:pPr>
      <w:r>
        <w:rPr>
          <w:rFonts w:asciiTheme="minorHAnsi" w:hAnsiTheme="minorHAnsi" w:cstheme="minorHAnsi"/>
          <w:b/>
          <w:bCs/>
          <w:sz w:val="22"/>
          <w:szCs w:val="22"/>
          <w:u w:val="single"/>
        </w:rPr>
        <w:t>Review of 2024 Year-End Information for 2024 Acquired SSAP N</w:t>
      </w:r>
      <w:r w:rsidR="00515505">
        <w:rPr>
          <w:rFonts w:asciiTheme="minorHAnsi" w:hAnsiTheme="minorHAnsi" w:cstheme="minorHAnsi"/>
          <w:b/>
          <w:bCs/>
          <w:sz w:val="22"/>
          <w:szCs w:val="22"/>
          <w:u w:val="single"/>
        </w:rPr>
        <w:t>o</w:t>
      </w:r>
      <w:r>
        <w:rPr>
          <w:rFonts w:asciiTheme="minorHAnsi" w:hAnsiTheme="minorHAnsi" w:cstheme="minorHAnsi"/>
          <w:b/>
          <w:bCs/>
          <w:sz w:val="22"/>
          <w:szCs w:val="22"/>
          <w:u w:val="single"/>
        </w:rPr>
        <w:t xml:space="preserve">. 48 Investments: </w:t>
      </w:r>
    </w:p>
    <w:p w14:paraId="26306214" w14:textId="075CB9FF" w:rsidR="0088416F" w:rsidRDefault="00EE5FF9"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NAIC staff ran a</w:t>
      </w:r>
      <w:r w:rsidR="00B81B00">
        <w:rPr>
          <w:rFonts w:asciiTheme="minorHAnsi" w:hAnsiTheme="minorHAnsi" w:cstheme="minorHAnsi"/>
          <w:sz w:val="22"/>
          <w:szCs w:val="22"/>
        </w:rPr>
        <w:t xml:space="preserve"> year-end 2024 data report to </w:t>
      </w:r>
      <w:r w:rsidR="00386747">
        <w:rPr>
          <w:rFonts w:asciiTheme="minorHAnsi" w:hAnsiTheme="minorHAnsi" w:cstheme="minorHAnsi"/>
          <w:sz w:val="22"/>
          <w:szCs w:val="22"/>
        </w:rPr>
        <w:t>review</w:t>
      </w:r>
      <w:r w:rsidR="00B81B00">
        <w:rPr>
          <w:rFonts w:asciiTheme="minorHAnsi" w:hAnsiTheme="minorHAnsi" w:cstheme="minorHAnsi"/>
          <w:sz w:val="22"/>
          <w:szCs w:val="22"/>
        </w:rPr>
        <w:t xml:space="preserve"> </w:t>
      </w:r>
      <w:r w:rsidR="00460C95">
        <w:rPr>
          <w:rFonts w:asciiTheme="minorHAnsi" w:hAnsiTheme="minorHAnsi" w:cstheme="minorHAnsi"/>
          <w:sz w:val="22"/>
          <w:szCs w:val="22"/>
        </w:rPr>
        <w:t xml:space="preserve">investment information for all items </w:t>
      </w:r>
      <w:r w:rsidR="00DD77FD">
        <w:rPr>
          <w:rFonts w:asciiTheme="minorHAnsi" w:hAnsiTheme="minorHAnsi" w:cstheme="minorHAnsi"/>
          <w:sz w:val="22"/>
          <w:szCs w:val="22"/>
        </w:rPr>
        <w:t xml:space="preserve">acquired in 2024 and </w:t>
      </w:r>
      <w:r w:rsidR="00460C95">
        <w:rPr>
          <w:rFonts w:asciiTheme="minorHAnsi" w:hAnsiTheme="minorHAnsi" w:cstheme="minorHAnsi"/>
          <w:sz w:val="22"/>
          <w:szCs w:val="22"/>
        </w:rPr>
        <w:t xml:space="preserve">reported in scope of SSAP No. 48. For year-end 2024, this included the </w:t>
      </w:r>
      <w:r w:rsidR="00DD77FD">
        <w:rPr>
          <w:rFonts w:asciiTheme="minorHAnsi" w:hAnsiTheme="minorHAnsi" w:cstheme="minorHAnsi"/>
          <w:sz w:val="22"/>
          <w:szCs w:val="22"/>
        </w:rPr>
        <w:t xml:space="preserve">Schedule BA </w:t>
      </w:r>
      <w:r w:rsidR="00460C95">
        <w:rPr>
          <w:rFonts w:asciiTheme="minorHAnsi" w:hAnsiTheme="minorHAnsi" w:cstheme="minorHAnsi"/>
          <w:sz w:val="22"/>
          <w:szCs w:val="22"/>
        </w:rPr>
        <w:t>reporting lines for “</w:t>
      </w:r>
      <w:r w:rsidR="004F1EC2">
        <w:rPr>
          <w:rFonts w:asciiTheme="minorHAnsi" w:hAnsiTheme="minorHAnsi" w:cstheme="minorHAnsi"/>
          <w:sz w:val="22"/>
          <w:szCs w:val="22"/>
        </w:rPr>
        <w:t>Non-Registered Private Funds” and “Joint Ventures, Partnerships or Limited Liability Companies</w:t>
      </w:r>
      <w:r w:rsidR="00777F0E">
        <w:rPr>
          <w:rFonts w:asciiTheme="minorHAnsi" w:hAnsiTheme="minorHAnsi" w:cstheme="minorHAnsi"/>
          <w:sz w:val="22"/>
          <w:szCs w:val="22"/>
        </w:rPr>
        <w:t>.” (As of Jan. 1, 2025, the non-registered private fund reporting line has been eliminated, with all SSAP No. 48 items captured on the remaining line.)</w:t>
      </w:r>
      <w:r>
        <w:rPr>
          <w:rFonts w:asciiTheme="minorHAnsi" w:hAnsiTheme="minorHAnsi" w:cstheme="minorHAnsi"/>
          <w:sz w:val="22"/>
          <w:szCs w:val="22"/>
        </w:rPr>
        <w:t xml:space="preserve"> </w:t>
      </w:r>
      <w:r w:rsidR="00753DEB">
        <w:rPr>
          <w:rFonts w:asciiTheme="minorHAnsi" w:hAnsiTheme="minorHAnsi" w:cstheme="minorHAnsi"/>
          <w:sz w:val="22"/>
          <w:szCs w:val="22"/>
        </w:rPr>
        <w:t>NAIC staff only focused on 2024 acquired items to eliminate the potential for prior year impacts to the</w:t>
      </w:r>
      <w:r w:rsidR="0074143D">
        <w:rPr>
          <w:rFonts w:asciiTheme="minorHAnsi" w:hAnsiTheme="minorHAnsi" w:cstheme="minorHAnsi"/>
          <w:sz w:val="22"/>
          <w:szCs w:val="22"/>
        </w:rPr>
        <w:t xml:space="preserve"> book ad</w:t>
      </w:r>
      <w:r w:rsidR="00A15740">
        <w:rPr>
          <w:rFonts w:asciiTheme="minorHAnsi" w:hAnsiTheme="minorHAnsi" w:cstheme="minorHAnsi"/>
          <w:sz w:val="22"/>
          <w:szCs w:val="22"/>
        </w:rPr>
        <w:t>j</w:t>
      </w:r>
      <w:r w:rsidR="0074143D">
        <w:rPr>
          <w:rFonts w:asciiTheme="minorHAnsi" w:hAnsiTheme="minorHAnsi" w:cstheme="minorHAnsi"/>
          <w:sz w:val="22"/>
          <w:szCs w:val="22"/>
        </w:rPr>
        <w:t>usted carrying value</w:t>
      </w:r>
      <w:r w:rsidR="00753DEB">
        <w:rPr>
          <w:rFonts w:asciiTheme="minorHAnsi" w:hAnsiTheme="minorHAnsi" w:cstheme="minorHAnsi"/>
          <w:sz w:val="22"/>
          <w:szCs w:val="22"/>
        </w:rPr>
        <w:t xml:space="preserve"> </w:t>
      </w:r>
      <w:r w:rsidR="0074143D">
        <w:rPr>
          <w:rFonts w:asciiTheme="minorHAnsi" w:hAnsiTheme="minorHAnsi" w:cstheme="minorHAnsi"/>
          <w:sz w:val="22"/>
          <w:szCs w:val="22"/>
        </w:rPr>
        <w:t>(</w:t>
      </w:r>
      <w:r w:rsidR="00753DEB">
        <w:rPr>
          <w:rFonts w:asciiTheme="minorHAnsi" w:hAnsiTheme="minorHAnsi" w:cstheme="minorHAnsi"/>
          <w:sz w:val="22"/>
          <w:szCs w:val="22"/>
        </w:rPr>
        <w:t>BACV</w:t>
      </w:r>
      <w:r w:rsidR="0074143D">
        <w:rPr>
          <w:rFonts w:asciiTheme="minorHAnsi" w:hAnsiTheme="minorHAnsi" w:cstheme="minorHAnsi"/>
          <w:sz w:val="22"/>
          <w:szCs w:val="22"/>
        </w:rPr>
        <w:t>)</w:t>
      </w:r>
      <w:r w:rsidR="00753DEB">
        <w:rPr>
          <w:rFonts w:asciiTheme="minorHAnsi" w:hAnsiTheme="minorHAnsi" w:cstheme="minorHAnsi"/>
          <w:sz w:val="22"/>
          <w:szCs w:val="22"/>
        </w:rPr>
        <w:t xml:space="preserve">. </w:t>
      </w:r>
    </w:p>
    <w:p w14:paraId="66E8DE61" w14:textId="77777777" w:rsidR="00B72D64" w:rsidRDefault="00B72D64" w:rsidP="008F5AFD">
      <w:pPr>
        <w:pStyle w:val="BodyTextIndent"/>
        <w:spacing w:after="0"/>
        <w:ind w:left="0"/>
        <w:jc w:val="both"/>
        <w:rPr>
          <w:rFonts w:asciiTheme="minorHAnsi" w:hAnsiTheme="minorHAnsi" w:cstheme="minorHAnsi"/>
          <w:sz w:val="22"/>
          <w:szCs w:val="22"/>
        </w:rPr>
      </w:pPr>
    </w:p>
    <w:p w14:paraId="60FAE438" w14:textId="47D2351C" w:rsidR="00B72D64" w:rsidRDefault="00B72D64" w:rsidP="00423392">
      <w:pPr>
        <w:pStyle w:val="BodyTextIndent"/>
        <w:ind w:left="0"/>
        <w:jc w:val="both"/>
        <w:rPr>
          <w:rFonts w:asciiTheme="minorHAnsi" w:hAnsiTheme="minorHAnsi" w:cstheme="minorHAnsi"/>
          <w:sz w:val="22"/>
          <w:szCs w:val="22"/>
        </w:rPr>
      </w:pPr>
      <w:r>
        <w:rPr>
          <w:rFonts w:asciiTheme="minorHAnsi" w:hAnsiTheme="minorHAnsi" w:cstheme="minorHAnsi"/>
          <w:sz w:val="22"/>
          <w:szCs w:val="22"/>
        </w:rPr>
        <w:t xml:space="preserve">From this data pull, there were 2,286 investments reported with a 2024 acquisition date. </w:t>
      </w:r>
      <w:r w:rsidR="00CF6B9E">
        <w:rPr>
          <w:rFonts w:asciiTheme="minorHAnsi" w:hAnsiTheme="minorHAnsi" w:cstheme="minorHAnsi"/>
          <w:sz w:val="22"/>
          <w:szCs w:val="22"/>
        </w:rPr>
        <w:t xml:space="preserve">Of these investments: </w:t>
      </w:r>
    </w:p>
    <w:p w14:paraId="18F6B4F8" w14:textId="579B8621" w:rsidR="00CF6B9E" w:rsidRDefault="00CF6B9E" w:rsidP="00E00E43">
      <w:pPr>
        <w:pStyle w:val="BodyTextIndent"/>
        <w:numPr>
          <w:ilvl w:val="0"/>
          <w:numId w:val="6"/>
        </w:numPr>
        <w:jc w:val="both"/>
        <w:rPr>
          <w:rFonts w:asciiTheme="minorHAnsi" w:hAnsiTheme="minorHAnsi" w:cstheme="minorHAnsi"/>
          <w:sz w:val="22"/>
          <w:szCs w:val="22"/>
        </w:rPr>
      </w:pPr>
      <w:r>
        <w:rPr>
          <w:rFonts w:asciiTheme="minorHAnsi" w:hAnsiTheme="minorHAnsi" w:cstheme="minorHAnsi"/>
          <w:sz w:val="22"/>
          <w:szCs w:val="22"/>
        </w:rPr>
        <w:t>622 report</w:t>
      </w:r>
      <w:r w:rsidR="008F0F93">
        <w:rPr>
          <w:rFonts w:asciiTheme="minorHAnsi" w:hAnsiTheme="minorHAnsi" w:cstheme="minorHAnsi"/>
          <w:sz w:val="22"/>
          <w:szCs w:val="22"/>
        </w:rPr>
        <w:t>ed an unrealized gain from the date of acquisition</w:t>
      </w:r>
    </w:p>
    <w:p w14:paraId="29AA2D5F" w14:textId="44B91FCD" w:rsidR="008F0F93" w:rsidRDefault="008F0F93" w:rsidP="00E00E43">
      <w:pPr>
        <w:pStyle w:val="BodyTextIndent"/>
        <w:numPr>
          <w:ilvl w:val="0"/>
          <w:numId w:val="6"/>
        </w:numPr>
        <w:jc w:val="both"/>
        <w:rPr>
          <w:rFonts w:asciiTheme="minorHAnsi" w:hAnsiTheme="minorHAnsi" w:cstheme="minorHAnsi"/>
          <w:sz w:val="22"/>
          <w:szCs w:val="22"/>
        </w:rPr>
      </w:pPr>
      <w:r>
        <w:rPr>
          <w:rFonts w:asciiTheme="minorHAnsi" w:hAnsiTheme="minorHAnsi" w:cstheme="minorHAnsi"/>
          <w:sz w:val="22"/>
          <w:szCs w:val="22"/>
        </w:rPr>
        <w:t>961 report</w:t>
      </w:r>
      <w:r w:rsidR="005B43C4">
        <w:rPr>
          <w:rFonts w:asciiTheme="minorHAnsi" w:hAnsiTheme="minorHAnsi" w:cstheme="minorHAnsi"/>
          <w:sz w:val="22"/>
          <w:szCs w:val="22"/>
        </w:rPr>
        <w:t>ed</w:t>
      </w:r>
      <w:r>
        <w:rPr>
          <w:rFonts w:asciiTheme="minorHAnsi" w:hAnsiTheme="minorHAnsi" w:cstheme="minorHAnsi"/>
          <w:sz w:val="22"/>
          <w:szCs w:val="22"/>
        </w:rPr>
        <w:t xml:space="preserve"> </w:t>
      </w:r>
      <w:r w:rsidR="00E449B1">
        <w:rPr>
          <w:rFonts w:asciiTheme="minorHAnsi" w:hAnsiTheme="minorHAnsi" w:cstheme="minorHAnsi"/>
          <w:sz w:val="22"/>
          <w:szCs w:val="22"/>
        </w:rPr>
        <w:t>no unrealized gains lor loss from the date of acquisition</w:t>
      </w:r>
    </w:p>
    <w:p w14:paraId="57E44B7A" w14:textId="14071409" w:rsidR="00E449B1" w:rsidRDefault="005B43C4" w:rsidP="00E00E43">
      <w:pPr>
        <w:pStyle w:val="BodyTextIndent"/>
        <w:numPr>
          <w:ilvl w:val="0"/>
          <w:numId w:val="6"/>
        </w:numPr>
        <w:spacing w:after="0"/>
        <w:jc w:val="both"/>
        <w:rPr>
          <w:rFonts w:asciiTheme="minorHAnsi" w:hAnsiTheme="minorHAnsi" w:cstheme="minorHAnsi"/>
          <w:sz w:val="22"/>
          <w:szCs w:val="22"/>
        </w:rPr>
      </w:pPr>
      <w:r>
        <w:rPr>
          <w:rFonts w:asciiTheme="minorHAnsi" w:hAnsiTheme="minorHAnsi" w:cstheme="minorHAnsi"/>
          <w:sz w:val="22"/>
          <w:szCs w:val="22"/>
        </w:rPr>
        <w:t>703 reported an unrealized loss from the date of acquisition</w:t>
      </w:r>
    </w:p>
    <w:p w14:paraId="410C17ED" w14:textId="77777777" w:rsidR="00FC035F" w:rsidRDefault="00FC035F" w:rsidP="00FC035F">
      <w:pPr>
        <w:pStyle w:val="BodyTextIndent"/>
        <w:spacing w:after="0"/>
        <w:ind w:left="720"/>
        <w:jc w:val="both"/>
        <w:rPr>
          <w:rFonts w:asciiTheme="minorHAnsi" w:hAnsiTheme="minorHAnsi" w:cstheme="minorHAnsi"/>
          <w:sz w:val="22"/>
          <w:szCs w:val="22"/>
        </w:rPr>
      </w:pPr>
    </w:p>
    <w:p w14:paraId="58784239" w14:textId="3AF5772A" w:rsidR="008D6A00" w:rsidRDefault="009C440D"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NAIC staff noted that </w:t>
      </w:r>
      <w:r w:rsidR="00505BF6">
        <w:rPr>
          <w:rFonts w:asciiTheme="minorHAnsi" w:hAnsiTheme="minorHAnsi" w:cstheme="minorHAnsi"/>
          <w:sz w:val="22"/>
          <w:szCs w:val="22"/>
        </w:rPr>
        <w:t>some</w:t>
      </w:r>
      <w:r>
        <w:rPr>
          <w:rFonts w:asciiTheme="minorHAnsi" w:hAnsiTheme="minorHAnsi" w:cstheme="minorHAnsi"/>
          <w:sz w:val="22"/>
          <w:szCs w:val="22"/>
        </w:rPr>
        <w:t xml:space="preserve"> investments (80) were acquired in December 2024</w:t>
      </w:r>
      <w:r w:rsidR="00C0715D">
        <w:rPr>
          <w:rFonts w:asciiTheme="minorHAnsi" w:hAnsiTheme="minorHAnsi" w:cstheme="minorHAnsi"/>
          <w:sz w:val="22"/>
          <w:szCs w:val="22"/>
        </w:rPr>
        <w:t xml:space="preserve">, including </w:t>
      </w:r>
      <w:r w:rsidR="00E51745">
        <w:rPr>
          <w:rFonts w:asciiTheme="minorHAnsi" w:hAnsiTheme="minorHAnsi" w:cstheme="minorHAnsi"/>
          <w:sz w:val="22"/>
          <w:szCs w:val="22"/>
        </w:rPr>
        <w:t>som</w:t>
      </w:r>
      <w:r w:rsidR="00646FD7">
        <w:rPr>
          <w:rFonts w:asciiTheme="minorHAnsi" w:hAnsiTheme="minorHAnsi" w:cstheme="minorHAnsi"/>
          <w:sz w:val="22"/>
          <w:szCs w:val="22"/>
        </w:rPr>
        <w:t>e</w:t>
      </w:r>
      <w:r w:rsidR="00C0715D">
        <w:rPr>
          <w:rFonts w:asciiTheme="minorHAnsi" w:hAnsiTheme="minorHAnsi" w:cstheme="minorHAnsi"/>
          <w:sz w:val="22"/>
          <w:szCs w:val="22"/>
        </w:rPr>
        <w:t xml:space="preserve"> acquired on December 31, </w:t>
      </w:r>
      <w:r w:rsidR="00E07EC3">
        <w:rPr>
          <w:rFonts w:asciiTheme="minorHAnsi" w:hAnsiTheme="minorHAnsi" w:cstheme="minorHAnsi"/>
          <w:sz w:val="22"/>
          <w:szCs w:val="22"/>
        </w:rPr>
        <w:t>2024</w:t>
      </w:r>
      <w:r w:rsidR="00E51745">
        <w:rPr>
          <w:rFonts w:asciiTheme="minorHAnsi" w:hAnsiTheme="minorHAnsi" w:cstheme="minorHAnsi"/>
          <w:sz w:val="22"/>
          <w:szCs w:val="22"/>
        </w:rPr>
        <w:t>,</w:t>
      </w:r>
      <w:r w:rsidR="00E07EC3">
        <w:rPr>
          <w:rFonts w:asciiTheme="minorHAnsi" w:hAnsiTheme="minorHAnsi" w:cstheme="minorHAnsi"/>
          <w:sz w:val="22"/>
          <w:szCs w:val="22"/>
        </w:rPr>
        <w:t xml:space="preserve"> and</w:t>
      </w:r>
      <w:r>
        <w:rPr>
          <w:rFonts w:asciiTheme="minorHAnsi" w:hAnsiTheme="minorHAnsi" w:cstheme="minorHAnsi"/>
          <w:sz w:val="22"/>
          <w:szCs w:val="22"/>
        </w:rPr>
        <w:t xml:space="preserve"> </w:t>
      </w:r>
      <w:r w:rsidR="000273C2">
        <w:rPr>
          <w:rFonts w:asciiTheme="minorHAnsi" w:hAnsiTheme="minorHAnsi" w:cstheme="minorHAnsi"/>
          <w:sz w:val="22"/>
          <w:szCs w:val="22"/>
        </w:rPr>
        <w:t xml:space="preserve">were </w:t>
      </w:r>
      <w:r>
        <w:rPr>
          <w:rFonts w:asciiTheme="minorHAnsi" w:hAnsiTheme="minorHAnsi" w:cstheme="minorHAnsi"/>
          <w:sz w:val="22"/>
          <w:szCs w:val="22"/>
        </w:rPr>
        <w:t xml:space="preserve">reported with a </w:t>
      </w:r>
      <w:r w:rsidR="00854DC7">
        <w:rPr>
          <w:rFonts w:asciiTheme="minorHAnsi" w:hAnsiTheme="minorHAnsi" w:cstheme="minorHAnsi"/>
          <w:sz w:val="22"/>
          <w:szCs w:val="22"/>
        </w:rPr>
        <w:t xml:space="preserve">year-end </w:t>
      </w:r>
      <w:r>
        <w:rPr>
          <w:rFonts w:asciiTheme="minorHAnsi" w:hAnsiTheme="minorHAnsi" w:cstheme="minorHAnsi"/>
          <w:sz w:val="22"/>
          <w:szCs w:val="22"/>
        </w:rPr>
        <w:t>BACV that differed from the acquisition cost</w:t>
      </w:r>
      <w:r w:rsidR="00C0715D">
        <w:rPr>
          <w:rFonts w:asciiTheme="minorHAnsi" w:hAnsiTheme="minorHAnsi" w:cstheme="minorHAnsi"/>
          <w:sz w:val="22"/>
          <w:szCs w:val="22"/>
        </w:rPr>
        <w:t xml:space="preserve"> resulting in an </w:t>
      </w:r>
      <w:r w:rsidR="00854DC7">
        <w:rPr>
          <w:rFonts w:asciiTheme="minorHAnsi" w:hAnsiTheme="minorHAnsi" w:cstheme="minorHAnsi"/>
          <w:sz w:val="22"/>
          <w:szCs w:val="22"/>
        </w:rPr>
        <w:t xml:space="preserve">immediate </w:t>
      </w:r>
      <w:r w:rsidR="00C0715D">
        <w:rPr>
          <w:rFonts w:asciiTheme="minorHAnsi" w:hAnsiTheme="minorHAnsi" w:cstheme="minorHAnsi"/>
          <w:sz w:val="22"/>
          <w:szCs w:val="22"/>
        </w:rPr>
        <w:t xml:space="preserve">unrealized gain or loss. </w:t>
      </w:r>
      <w:r w:rsidR="008404FD" w:rsidRPr="004A764B">
        <w:rPr>
          <w:rFonts w:asciiTheme="minorHAnsi" w:hAnsiTheme="minorHAnsi" w:cstheme="minorHAnsi"/>
          <w:sz w:val="22"/>
          <w:szCs w:val="22"/>
          <w:u w:val="single"/>
        </w:rPr>
        <w:t>This i</w:t>
      </w:r>
      <w:r w:rsidR="008404FD" w:rsidRPr="009422D7">
        <w:rPr>
          <w:rFonts w:asciiTheme="minorHAnsi" w:hAnsiTheme="minorHAnsi" w:cstheme="minorHAnsi"/>
          <w:sz w:val="22"/>
          <w:szCs w:val="22"/>
          <w:u w:val="single"/>
        </w:rPr>
        <w:t xml:space="preserve">dentification further </w:t>
      </w:r>
      <w:r w:rsidR="00854DC7" w:rsidRPr="009422D7">
        <w:rPr>
          <w:rFonts w:asciiTheme="minorHAnsi" w:hAnsiTheme="minorHAnsi" w:cstheme="minorHAnsi"/>
          <w:sz w:val="22"/>
          <w:szCs w:val="22"/>
          <w:u w:val="single"/>
        </w:rPr>
        <w:t>raised</w:t>
      </w:r>
      <w:r w:rsidR="005D0A5E" w:rsidRPr="009422D7">
        <w:rPr>
          <w:rFonts w:asciiTheme="minorHAnsi" w:hAnsiTheme="minorHAnsi" w:cstheme="minorHAnsi"/>
          <w:sz w:val="22"/>
          <w:szCs w:val="22"/>
          <w:u w:val="single"/>
        </w:rPr>
        <w:t xml:space="preserve"> questions as to how companies would have updated information to support a change </w:t>
      </w:r>
      <w:r w:rsidR="00A73CCD" w:rsidRPr="009422D7">
        <w:rPr>
          <w:rFonts w:asciiTheme="minorHAnsi" w:hAnsiTheme="minorHAnsi" w:cstheme="minorHAnsi"/>
          <w:sz w:val="22"/>
          <w:szCs w:val="22"/>
          <w:u w:val="single"/>
        </w:rPr>
        <w:t>in</w:t>
      </w:r>
      <w:r w:rsidR="005D0A5E" w:rsidRPr="009422D7">
        <w:rPr>
          <w:rFonts w:asciiTheme="minorHAnsi" w:hAnsiTheme="minorHAnsi" w:cstheme="minorHAnsi"/>
          <w:sz w:val="22"/>
          <w:szCs w:val="22"/>
          <w:u w:val="single"/>
        </w:rPr>
        <w:t xml:space="preserve"> the acquisition cost for year-end reporting, or if they had acquired </w:t>
      </w:r>
      <w:r w:rsidR="0074143D">
        <w:rPr>
          <w:rFonts w:asciiTheme="minorHAnsi" w:hAnsiTheme="minorHAnsi" w:cstheme="minorHAnsi"/>
          <w:sz w:val="22"/>
          <w:szCs w:val="22"/>
          <w:u w:val="single"/>
        </w:rPr>
        <w:t xml:space="preserve">the </w:t>
      </w:r>
      <w:r w:rsidR="009C6C69">
        <w:rPr>
          <w:rFonts w:asciiTheme="minorHAnsi" w:hAnsiTheme="minorHAnsi" w:cstheme="minorHAnsi"/>
          <w:sz w:val="22"/>
          <w:szCs w:val="22"/>
          <w:u w:val="single"/>
        </w:rPr>
        <w:t xml:space="preserve">investments </w:t>
      </w:r>
      <w:r w:rsidR="005D0A5E" w:rsidRPr="009422D7">
        <w:rPr>
          <w:rFonts w:asciiTheme="minorHAnsi" w:hAnsiTheme="minorHAnsi" w:cstheme="minorHAnsi"/>
          <w:sz w:val="22"/>
          <w:szCs w:val="22"/>
          <w:u w:val="single"/>
        </w:rPr>
        <w:t>at a discount and were increasing the BACV to match the investment company’s stated equity value</w:t>
      </w:r>
      <w:r w:rsidR="005D0A5E">
        <w:rPr>
          <w:rFonts w:asciiTheme="minorHAnsi" w:hAnsiTheme="minorHAnsi" w:cstheme="minorHAnsi"/>
          <w:sz w:val="22"/>
          <w:szCs w:val="22"/>
        </w:rPr>
        <w:t xml:space="preserve">. </w:t>
      </w:r>
    </w:p>
    <w:p w14:paraId="1DEA5B41" w14:textId="77777777" w:rsidR="008D6A00" w:rsidRDefault="008D6A00" w:rsidP="008F5AFD">
      <w:pPr>
        <w:pStyle w:val="BodyTextIndent"/>
        <w:spacing w:after="0"/>
        <w:ind w:left="0"/>
        <w:jc w:val="both"/>
        <w:rPr>
          <w:rFonts w:asciiTheme="minorHAnsi" w:hAnsiTheme="minorHAnsi" w:cstheme="minorHAnsi"/>
          <w:sz w:val="22"/>
          <w:szCs w:val="22"/>
        </w:rPr>
      </w:pPr>
    </w:p>
    <w:p w14:paraId="2290919D" w14:textId="77777777" w:rsidR="009C6C69" w:rsidRDefault="00C17761" w:rsidP="008F5AFD">
      <w:pPr>
        <w:pStyle w:val="BodyTextIndent"/>
        <w:spacing w:after="0"/>
        <w:ind w:left="0"/>
        <w:jc w:val="both"/>
        <w:rPr>
          <w:rFonts w:asciiTheme="minorHAnsi" w:hAnsiTheme="minorHAnsi" w:cstheme="minorHAnsi"/>
          <w:sz w:val="22"/>
          <w:szCs w:val="22"/>
        </w:rPr>
      </w:pPr>
      <w:r w:rsidRPr="009422D7">
        <w:rPr>
          <w:rFonts w:asciiTheme="minorHAnsi" w:hAnsiTheme="minorHAnsi" w:cstheme="minorHAnsi"/>
          <w:sz w:val="22"/>
          <w:szCs w:val="22"/>
          <w:u w:val="single"/>
        </w:rPr>
        <w:t>NAIC staff also noted that</w:t>
      </w:r>
      <w:r w:rsidR="00686677" w:rsidRPr="009422D7">
        <w:rPr>
          <w:rFonts w:asciiTheme="minorHAnsi" w:hAnsiTheme="minorHAnsi" w:cstheme="minorHAnsi"/>
          <w:sz w:val="22"/>
          <w:szCs w:val="22"/>
          <w:u w:val="single"/>
        </w:rPr>
        <w:t xml:space="preserve"> </w:t>
      </w:r>
      <w:r w:rsidR="000D718E" w:rsidRPr="009422D7">
        <w:rPr>
          <w:rFonts w:asciiTheme="minorHAnsi" w:hAnsiTheme="minorHAnsi" w:cstheme="minorHAnsi"/>
          <w:sz w:val="22"/>
          <w:szCs w:val="22"/>
          <w:u w:val="single"/>
        </w:rPr>
        <w:t xml:space="preserve">for many </w:t>
      </w:r>
      <w:r w:rsidR="00A43293" w:rsidRPr="009422D7">
        <w:rPr>
          <w:rFonts w:asciiTheme="minorHAnsi" w:hAnsiTheme="minorHAnsi" w:cstheme="minorHAnsi"/>
          <w:sz w:val="22"/>
          <w:szCs w:val="22"/>
          <w:u w:val="single"/>
        </w:rPr>
        <w:t xml:space="preserve">2024 acquired </w:t>
      </w:r>
      <w:r w:rsidR="000D718E" w:rsidRPr="009422D7">
        <w:rPr>
          <w:rFonts w:asciiTheme="minorHAnsi" w:hAnsiTheme="minorHAnsi" w:cstheme="minorHAnsi"/>
          <w:sz w:val="22"/>
          <w:szCs w:val="22"/>
          <w:u w:val="single"/>
        </w:rPr>
        <w:t>securities</w:t>
      </w:r>
      <w:r w:rsidRPr="009422D7">
        <w:rPr>
          <w:rFonts w:asciiTheme="minorHAnsi" w:hAnsiTheme="minorHAnsi" w:cstheme="minorHAnsi"/>
          <w:sz w:val="22"/>
          <w:szCs w:val="22"/>
          <w:u w:val="single"/>
        </w:rPr>
        <w:t xml:space="preserve"> the </w:t>
      </w:r>
      <w:r w:rsidR="00894A43" w:rsidRPr="009422D7">
        <w:rPr>
          <w:rFonts w:asciiTheme="minorHAnsi" w:hAnsiTheme="minorHAnsi" w:cstheme="minorHAnsi"/>
          <w:sz w:val="22"/>
          <w:szCs w:val="22"/>
          <w:u w:val="single"/>
        </w:rPr>
        <w:t xml:space="preserve">calculation </w:t>
      </w:r>
      <w:r w:rsidR="007266D1" w:rsidRPr="009422D7">
        <w:rPr>
          <w:rFonts w:asciiTheme="minorHAnsi" w:hAnsiTheme="minorHAnsi" w:cstheme="minorHAnsi"/>
          <w:sz w:val="22"/>
          <w:szCs w:val="22"/>
          <w:u w:val="single"/>
        </w:rPr>
        <w:t xml:space="preserve">to arrive at the reported unrealized </w:t>
      </w:r>
      <w:r w:rsidR="009E44B4">
        <w:rPr>
          <w:rFonts w:asciiTheme="minorHAnsi" w:hAnsiTheme="minorHAnsi" w:cstheme="minorHAnsi"/>
          <w:sz w:val="22"/>
          <w:szCs w:val="22"/>
          <w:u w:val="single"/>
        </w:rPr>
        <w:t>valuation increase/decrease</w:t>
      </w:r>
      <w:r w:rsidR="007266D1" w:rsidRPr="009422D7">
        <w:rPr>
          <w:rFonts w:asciiTheme="minorHAnsi" w:hAnsiTheme="minorHAnsi" w:cstheme="minorHAnsi"/>
          <w:sz w:val="22"/>
          <w:szCs w:val="22"/>
          <w:u w:val="single"/>
        </w:rPr>
        <w:t xml:space="preserve"> did not seem to properly compute. </w:t>
      </w:r>
      <w:r w:rsidR="00D827B9" w:rsidRPr="009422D7">
        <w:rPr>
          <w:rFonts w:asciiTheme="minorHAnsi" w:hAnsiTheme="minorHAnsi" w:cstheme="minorHAnsi"/>
          <w:sz w:val="22"/>
          <w:szCs w:val="22"/>
          <w:u w:val="single"/>
        </w:rPr>
        <w:t>Meaning</w:t>
      </w:r>
      <w:r w:rsidR="007266D1" w:rsidRPr="009422D7">
        <w:rPr>
          <w:rFonts w:asciiTheme="minorHAnsi" w:hAnsiTheme="minorHAnsi" w:cstheme="minorHAnsi"/>
          <w:sz w:val="22"/>
          <w:szCs w:val="22"/>
          <w:u w:val="single"/>
        </w:rPr>
        <w:t xml:space="preserve">, </w:t>
      </w:r>
      <w:r w:rsidR="00551C32" w:rsidRPr="009422D7">
        <w:rPr>
          <w:rFonts w:asciiTheme="minorHAnsi" w:hAnsiTheme="minorHAnsi" w:cstheme="minorHAnsi"/>
          <w:sz w:val="22"/>
          <w:szCs w:val="22"/>
          <w:u w:val="single"/>
        </w:rPr>
        <w:t xml:space="preserve">the difference between the </w:t>
      </w:r>
      <w:r w:rsidR="0071395A" w:rsidRPr="009422D7">
        <w:rPr>
          <w:rFonts w:asciiTheme="minorHAnsi" w:hAnsiTheme="minorHAnsi" w:cstheme="minorHAnsi"/>
          <w:sz w:val="22"/>
          <w:szCs w:val="22"/>
          <w:u w:val="single"/>
        </w:rPr>
        <w:t xml:space="preserve">reported </w:t>
      </w:r>
      <w:r w:rsidR="008E3B25" w:rsidRPr="009422D7">
        <w:rPr>
          <w:rFonts w:asciiTheme="minorHAnsi" w:hAnsiTheme="minorHAnsi" w:cstheme="minorHAnsi"/>
          <w:sz w:val="22"/>
          <w:szCs w:val="22"/>
          <w:u w:val="single"/>
        </w:rPr>
        <w:t xml:space="preserve">acquisition </w:t>
      </w:r>
      <w:r w:rsidR="00551C32" w:rsidRPr="009422D7">
        <w:rPr>
          <w:rFonts w:asciiTheme="minorHAnsi" w:hAnsiTheme="minorHAnsi" w:cstheme="minorHAnsi"/>
          <w:sz w:val="22"/>
          <w:szCs w:val="22"/>
          <w:u w:val="single"/>
        </w:rPr>
        <w:t xml:space="preserve">cost and BACV did not agree to what was reported as an </w:t>
      </w:r>
      <w:r w:rsidR="009E44B4">
        <w:rPr>
          <w:rFonts w:asciiTheme="minorHAnsi" w:hAnsiTheme="minorHAnsi" w:cstheme="minorHAnsi"/>
          <w:sz w:val="22"/>
          <w:szCs w:val="22"/>
          <w:u w:val="single"/>
        </w:rPr>
        <w:t>valuation increase/decrease</w:t>
      </w:r>
      <w:r w:rsidR="00551C32" w:rsidRPr="009422D7">
        <w:rPr>
          <w:rFonts w:asciiTheme="minorHAnsi" w:hAnsiTheme="minorHAnsi" w:cstheme="minorHAnsi"/>
          <w:sz w:val="22"/>
          <w:szCs w:val="22"/>
          <w:u w:val="single"/>
        </w:rPr>
        <w:t>.</w:t>
      </w:r>
      <w:r w:rsidR="00772CFF" w:rsidRPr="009422D7">
        <w:rPr>
          <w:rFonts w:asciiTheme="minorHAnsi" w:hAnsiTheme="minorHAnsi" w:cstheme="minorHAnsi"/>
          <w:sz w:val="22"/>
          <w:szCs w:val="22"/>
          <w:u w:val="single"/>
        </w:rPr>
        <w:t xml:space="preserve"> In some situations, the company </w:t>
      </w:r>
      <w:r w:rsidR="0071395A" w:rsidRPr="009422D7">
        <w:rPr>
          <w:rFonts w:asciiTheme="minorHAnsi" w:hAnsiTheme="minorHAnsi" w:cstheme="minorHAnsi"/>
          <w:sz w:val="22"/>
          <w:szCs w:val="22"/>
          <w:u w:val="single"/>
        </w:rPr>
        <w:t xml:space="preserve">even </w:t>
      </w:r>
      <w:r w:rsidR="00772CFF" w:rsidRPr="009422D7">
        <w:rPr>
          <w:rFonts w:asciiTheme="minorHAnsi" w:hAnsiTheme="minorHAnsi" w:cstheme="minorHAnsi"/>
          <w:sz w:val="22"/>
          <w:szCs w:val="22"/>
          <w:u w:val="single"/>
        </w:rPr>
        <w:t xml:space="preserve">reported an unrealized </w:t>
      </w:r>
      <w:r w:rsidR="009E44B4">
        <w:rPr>
          <w:rFonts w:asciiTheme="minorHAnsi" w:hAnsiTheme="minorHAnsi" w:cstheme="minorHAnsi"/>
          <w:sz w:val="22"/>
          <w:szCs w:val="22"/>
          <w:u w:val="single"/>
        </w:rPr>
        <w:t>decrease</w:t>
      </w:r>
      <w:r w:rsidR="00772CFF" w:rsidRPr="009422D7">
        <w:rPr>
          <w:rFonts w:asciiTheme="minorHAnsi" w:hAnsiTheme="minorHAnsi" w:cstheme="minorHAnsi"/>
          <w:sz w:val="22"/>
          <w:szCs w:val="22"/>
          <w:u w:val="single"/>
        </w:rPr>
        <w:t xml:space="preserve"> when the change </w:t>
      </w:r>
      <w:r w:rsidR="00C12CAD">
        <w:rPr>
          <w:rFonts w:asciiTheme="minorHAnsi" w:hAnsiTheme="minorHAnsi" w:cstheme="minorHAnsi"/>
          <w:sz w:val="22"/>
          <w:szCs w:val="22"/>
          <w:u w:val="single"/>
        </w:rPr>
        <w:t xml:space="preserve">between the BACV and amortized cost </w:t>
      </w:r>
      <w:r w:rsidR="00E5247F">
        <w:rPr>
          <w:rFonts w:asciiTheme="minorHAnsi" w:hAnsiTheme="minorHAnsi" w:cstheme="minorHAnsi"/>
          <w:sz w:val="22"/>
          <w:szCs w:val="22"/>
          <w:u w:val="single"/>
        </w:rPr>
        <w:t>seem to reflect an</w:t>
      </w:r>
      <w:r w:rsidR="00772CFF" w:rsidRPr="009422D7">
        <w:rPr>
          <w:rFonts w:asciiTheme="minorHAnsi" w:hAnsiTheme="minorHAnsi" w:cstheme="minorHAnsi"/>
          <w:sz w:val="22"/>
          <w:szCs w:val="22"/>
          <w:u w:val="single"/>
        </w:rPr>
        <w:t xml:space="preserve"> unrealized </w:t>
      </w:r>
      <w:r w:rsidR="009E44B4">
        <w:rPr>
          <w:rFonts w:asciiTheme="minorHAnsi" w:hAnsiTheme="minorHAnsi" w:cstheme="minorHAnsi"/>
          <w:sz w:val="22"/>
          <w:szCs w:val="22"/>
          <w:u w:val="single"/>
        </w:rPr>
        <w:t>increase</w:t>
      </w:r>
      <w:r w:rsidR="00772CFF" w:rsidRPr="009422D7">
        <w:rPr>
          <w:rFonts w:asciiTheme="minorHAnsi" w:hAnsiTheme="minorHAnsi" w:cstheme="minorHAnsi"/>
          <w:sz w:val="22"/>
          <w:szCs w:val="22"/>
          <w:u w:val="single"/>
        </w:rPr>
        <w:t xml:space="preserve"> (or vice versa)</w:t>
      </w:r>
      <w:r w:rsidR="00772CFF">
        <w:rPr>
          <w:rFonts w:asciiTheme="minorHAnsi" w:hAnsiTheme="minorHAnsi" w:cstheme="minorHAnsi"/>
          <w:sz w:val="22"/>
          <w:szCs w:val="22"/>
        </w:rPr>
        <w:t xml:space="preserve">. </w:t>
      </w:r>
      <w:r w:rsidR="0071395A">
        <w:rPr>
          <w:rFonts w:asciiTheme="minorHAnsi" w:hAnsiTheme="minorHAnsi" w:cstheme="minorHAnsi"/>
          <w:sz w:val="22"/>
          <w:szCs w:val="22"/>
        </w:rPr>
        <w:t>Although other impacts to BACV</w:t>
      </w:r>
      <w:r w:rsidR="00566491">
        <w:rPr>
          <w:rFonts w:asciiTheme="minorHAnsi" w:hAnsiTheme="minorHAnsi" w:cstheme="minorHAnsi"/>
          <w:sz w:val="22"/>
          <w:szCs w:val="22"/>
        </w:rPr>
        <w:t xml:space="preserve"> (e.g., recognized OTTIs, capitalized deferred interest or foreign exchange changes)</w:t>
      </w:r>
      <w:r w:rsidR="0071395A">
        <w:rPr>
          <w:rFonts w:asciiTheme="minorHAnsi" w:hAnsiTheme="minorHAnsi" w:cstheme="minorHAnsi"/>
          <w:sz w:val="22"/>
          <w:szCs w:val="22"/>
        </w:rPr>
        <w:t xml:space="preserve"> </w:t>
      </w:r>
      <w:r w:rsidR="00DE7452">
        <w:rPr>
          <w:rFonts w:asciiTheme="minorHAnsi" w:hAnsiTheme="minorHAnsi" w:cstheme="minorHAnsi"/>
          <w:sz w:val="22"/>
          <w:szCs w:val="22"/>
        </w:rPr>
        <w:t xml:space="preserve">or investment income received (reducing unrealized gains) </w:t>
      </w:r>
      <w:r w:rsidR="00FF15A5">
        <w:rPr>
          <w:rFonts w:asciiTheme="minorHAnsi" w:hAnsiTheme="minorHAnsi" w:cstheme="minorHAnsi"/>
          <w:sz w:val="22"/>
          <w:szCs w:val="22"/>
        </w:rPr>
        <w:t xml:space="preserve">detailed on Schedule BA </w:t>
      </w:r>
      <w:r w:rsidR="0071395A">
        <w:rPr>
          <w:rFonts w:asciiTheme="minorHAnsi" w:hAnsiTheme="minorHAnsi" w:cstheme="minorHAnsi"/>
          <w:sz w:val="22"/>
          <w:szCs w:val="22"/>
        </w:rPr>
        <w:t xml:space="preserve">could explain the difference, this was not </w:t>
      </w:r>
      <w:r w:rsidR="00225ECD">
        <w:rPr>
          <w:rFonts w:asciiTheme="minorHAnsi" w:hAnsiTheme="minorHAnsi" w:cstheme="minorHAnsi"/>
          <w:sz w:val="22"/>
          <w:szCs w:val="22"/>
        </w:rPr>
        <w:t>the situation for most of the noted items</w:t>
      </w:r>
      <w:r w:rsidR="00A75B4E">
        <w:rPr>
          <w:rFonts w:asciiTheme="minorHAnsi" w:hAnsiTheme="minorHAnsi" w:cstheme="minorHAnsi"/>
          <w:sz w:val="22"/>
          <w:szCs w:val="22"/>
        </w:rPr>
        <w:t>.</w:t>
      </w:r>
    </w:p>
    <w:p w14:paraId="05191021" w14:textId="77777777" w:rsidR="009C6C69" w:rsidRDefault="009C6C69" w:rsidP="008F5AFD">
      <w:pPr>
        <w:pStyle w:val="BodyTextIndent"/>
        <w:spacing w:after="0"/>
        <w:ind w:left="0"/>
        <w:jc w:val="both"/>
        <w:rPr>
          <w:rFonts w:asciiTheme="minorHAnsi" w:hAnsiTheme="minorHAnsi" w:cstheme="minorHAnsi"/>
          <w:sz w:val="22"/>
          <w:szCs w:val="22"/>
        </w:rPr>
      </w:pPr>
    </w:p>
    <w:p w14:paraId="5BDEBF90" w14:textId="597EDCDC" w:rsidR="00A75B4E" w:rsidRDefault="00F73E1A"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After investigating </w:t>
      </w:r>
      <w:r w:rsidR="00225ECD">
        <w:rPr>
          <w:rFonts w:asciiTheme="minorHAnsi" w:hAnsiTheme="minorHAnsi" w:cstheme="minorHAnsi"/>
          <w:sz w:val="22"/>
          <w:szCs w:val="22"/>
        </w:rPr>
        <w:t>a limited number of these items</w:t>
      </w:r>
      <w:r>
        <w:rPr>
          <w:rFonts w:asciiTheme="minorHAnsi" w:hAnsiTheme="minorHAnsi" w:cstheme="minorHAnsi"/>
          <w:sz w:val="22"/>
          <w:szCs w:val="22"/>
        </w:rPr>
        <w:t xml:space="preserve">, </w:t>
      </w:r>
      <w:r w:rsidR="00D9479C">
        <w:rPr>
          <w:rFonts w:asciiTheme="minorHAnsi" w:hAnsiTheme="minorHAnsi" w:cstheme="minorHAnsi"/>
          <w:sz w:val="22"/>
          <w:szCs w:val="22"/>
        </w:rPr>
        <w:t>it was noted that</w:t>
      </w:r>
      <w:r w:rsidR="009F21BC">
        <w:rPr>
          <w:rFonts w:asciiTheme="minorHAnsi" w:hAnsiTheme="minorHAnsi" w:cstheme="minorHAnsi"/>
          <w:sz w:val="22"/>
          <w:szCs w:val="22"/>
        </w:rPr>
        <w:t xml:space="preserve"> </w:t>
      </w:r>
      <w:r w:rsidR="008E3B25">
        <w:rPr>
          <w:rFonts w:asciiTheme="minorHAnsi" w:hAnsiTheme="minorHAnsi" w:cstheme="minorHAnsi"/>
          <w:sz w:val="22"/>
          <w:szCs w:val="22"/>
        </w:rPr>
        <w:t>some</w:t>
      </w:r>
      <w:r w:rsidR="00D9479C">
        <w:rPr>
          <w:rFonts w:asciiTheme="minorHAnsi" w:hAnsiTheme="minorHAnsi" w:cstheme="minorHAnsi"/>
          <w:sz w:val="22"/>
          <w:szCs w:val="22"/>
        </w:rPr>
        <w:t xml:space="preserve"> investment</w:t>
      </w:r>
      <w:r w:rsidR="009F21BC">
        <w:rPr>
          <w:rFonts w:asciiTheme="minorHAnsi" w:hAnsiTheme="minorHAnsi" w:cstheme="minorHAnsi"/>
          <w:sz w:val="22"/>
          <w:szCs w:val="22"/>
        </w:rPr>
        <w:t>s</w:t>
      </w:r>
      <w:r w:rsidR="00D9479C">
        <w:rPr>
          <w:rFonts w:asciiTheme="minorHAnsi" w:hAnsiTheme="minorHAnsi" w:cstheme="minorHAnsi"/>
          <w:sz w:val="22"/>
          <w:szCs w:val="22"/>
        </w:rPr>
        <w:t xml:space="preserve"> </w:t>
      </w:r>
      <w:r>
        <w:rPr>
          <w:rFonts w:asciiTheme="minorHAnsi" w:hAnsiTheme="minorHAnsi" w:cstheme="minorHAnsi"/>
          <w:sz w:val="22"/>
          <w:szCs w:val="22"/>
        </w:rPr>
        <w:t>w</w:t>
      </w:r>
      <w:r w:rsidR="009F21BC">
        <w:rPr>
          <w:rFonts w:asciiTheme="minorHAnsi" w:hAnsiTheme="minorHAnsi" w:cstheme="minorHAnsi"/>
          <w:sz w:val="22"/>
          <w:szCs w:val="22"/>
        </w:rPr>
        <w:t>ere</w:t>
      </w:r>
      <w:r>
        <w:rPr>
          <w:rFonts w:asciiTheme="minorHAnsi" w:hAnsiTheme="minorHAnsi" w:cstheme="minorHAnsi"/>
          <w:sz w:val="22"/>
          <w:szCs w:val="22"/>
        </w:rPr>
        <w:t xml:space="preserve"> not originally acquired in </w:t>
      </w:r>
      <w:r w:rsidR="00645F92">
        <w:rPr>
          <w:rFonts w:asciiTheme="minorHAnsi" w:hAnsiTheme="minorHAnsi" w:cstheme="minorHAnsi"/>
          <w:sz w:val="22"/>
          <w:szCs w:val="22"/>
        </w:rPr>
        <w:t>2024 but</w:t>
      </w:r>
      <w:r w:rsidR="0048232A">
        <w:rPr>
          <w:rFonts w:asciiTheme="minorHAnsi" w:hAnsiTheme="minorHAnsi" w:cstheme="minorHAnsi"/>
          <w:sz w:val="22"/>
          <w:szCs w:val="22"/>
        </w:rPr>
        <w:t xml:space="preserve"> had additional contributions in 2024</w:t>
      </w:r>
      <w:r w:rsidR="00D9479C">
        <w:rPr>
          <w:rFonts w:asciiTheme="minorHAnsi" w:hAnsiTheme="minorHAnsi" w:cstheme="minorHAnsi"/>
          <w:sz w:val="22"/>
          <w:szCs w:val="22"/>
        </w:rPr>
        <w:t xml:space="preserve"> and the “date originally acquired” </w:t>
      </w:r>
      <w:r w:rsidR="00E5247F">
        <w:rPr>
          <w:rFonts w:asciiTheme="minorHAnsi" w:hAnsiTheme="minorHAnsi" w:cstheme="minorHAnsi"/>
          <w:sz w:val="22"/>
          <w:szCs w:val="22"/>
        </w:rPr>
        <w:t xml:space="preserve">on Schedule BA – Part 1 </w:t>
      </w:r>
      <w:r w:rsidR="009F21BC">
        <w:rPr>
          <w:rFonts w:asciiTheme="minorHAnsi" w:hAnsiTheme="minorHAnsi" w:cstheme="minorHAnsi"/>
          <w:sz w:val="22"/>
          <w:szCs w:val="22"/>
        </w:rPr>
        <w:t>had been</w:t>
      </w:r>
      <w:r w:rsidR="00D9479C">
        <w:rPr>
          <w:rFonts w:asciiTheme="minorHAnsi" w:hAnsiTheme="minorHAnsi" w:cstheme="minorHAnsi"/>
          <w:sz w:val="22"/>
          <w:szCs w:val="22"/>
        </w:rPr>
        <w:t xml:space="preserve"> incorrectly updated</w:t>
      </w:r>
      <w:r w:rsidR="00B250CD">
        <w:rPr>
          <w:rFonts w:asciiTheme="minorHAnsi" w:hAnsiTheme="minorHAnsi" w:cstheme="minorHAnsi"/>
          <w:sz w:val="22"/>
          <w:szCs w:val="22"/>
        </w:rPr>
        <w:t xml:space="preserve">, likely </w:t>
      </w:r>
      <w:r w:rsidR="005D4D5B">
        <w:rPr>
          <w:rFonts w:asciiTheme="minorHAnsi" w:hAnsiTheme="minorHAnsi" w:cstheme="minorHAnsi"/>
          <w:sz w:val="22"/>
          <w:szCs w:val="22"/>
        </w:rPr>
        <w:t>to</w:t>
      </w:r>
      <w:r w:rsidR="00B250CD">
        <w:rPr>
          <w:rFonts w:asciiTheme="minorHAnsi" w:hAnsiTheme="minorHAnsi" w:cstheme="minorHAnsi"/>
          <w:sz w:val="22"/>
          <w:szCs w:val="22"/>
        </w:rPr>
        <w:t xml:space="preserve"> the</w:t>
      </w:r>
      <w:r w:rsidR="00566491">
        <w:rPr>
          <w:rFonts w:asciiTheme="minorHAnsi" w:hAnsiTheme="minorHAnsi" w:cstheme="minorHAnsi"/>
          <w:sz w:val="22"/>
          <w:szCs w:val="22"/>
        </w:rPr>
        <w:t xml:space="preserve"> date </w:t>
      </w:r>
      <w:r w:rsidR="00B250CD">
        <w:rPr>
          <w:rFonts w:asciiTheme="minorHAnsi" w:hAnsiTheme="minorHAnsi" w:cstheme="minorHAnsi"/>
          <w:sz w:val="22"/>
          <w:szCs w:val="22"/>
        </w:rPr>
        <w:t>when</w:t>
      </w:r>
      <w:r w:rsidR="00566491">
        <w:rPr>
          <w:rFonts w:asciiTheme="minorHAnsi" w:hAnsiTheme="minorHAnsi" w:cstheme="minorHAnsi"/>
          <w:sz w:val="22"/>
          <w:szCs w:val="22"/>
        </w:rPr>
        <w:t xml:space="preserve"> additional contributions</w:t>
      </w:r>
      <w:r w:rsidR="00B250CD">
        <w:rPr>
          <w:rFonts w:asciiTheme="minorHAnsi" w:hAnsiTheme="minorHAnsi" w:cstheme="minorHAnsi"/>
          <w:sz w:val="22"/>
          <w:szCs w:val="22"/>
        </w:rPr>
        <w:t xml:space="preserve"> were made</w:t>
      </w:r>
      <w:r w:rsidR="00E44E37">
        <w:rPr>
          <w:rFonts w:asciiTheme="minorHAnsi" w:hAnsiTheme="minorHAnsi" w:cstheme="minorHAnsi"/>
          <w:sz w:val="22"/>
          <w:szCs w:val="22"/>
        </w:rPr>
        <w:t xml:space="preserve">. </w:t>
      </w:r>
      <w:r w:rsidR="009F21BC">
        <w:rPr>
          <w:rFonts w:asciiTheme="minorHAnsi" w:hAnsiTheme="minorHAnsi" w:cstheme="minorHAnsi"/>
          <w:sz w:val="22"/>
          <w:szCs w:val="22"/>
        </w:rPr>
        <w:t>For items acquired before 2024</w:t>
      </w:r>
      <w:r w:rsidR="009E4FAD">
        <w:rPr>
          <w:rFonts w:asciiTheme="minorHAnsi" w:hAnsiTheme="minorHAnsi" w:cstheme="minorHAnsi"/>
          <w:sz w:val="22"/>
          <w:szCs w:val="22"/>
        </w:rPr>
        <w:t xml:space="preserve">, </w:t>
      </w:r>
      <w:r w:rsidR="001234D7">
        <w:rPr>
          <w:rFonts w:asciiTheme="minorHAnsi" w:hAnsiTheme="minorHAnsi" w:cstheme="minorHAnsi"/>
          <w:sz w:val="22"/>
          <w:szCs w:val="22"/>
        </w:rPr>
        <w:t>prior year impacts</w:t>
      </w:r>
      <w:r w:rsidR="00721522">
        <w:rPr>
          <w:rFonts w:asciiTheme="minorHAnsi" w:hAnsiTheme="minorHAnsi" w:cstheme="minorHAnsi"/>
          <w:sz w:val="22"/>
          <w:szCs w:val="22"/>
        </w:rPr>
        <w:t xml:space="preserve"> could influence the unrealized gain/loss calculation</w:t>
      </w:r>
      <w:r w:rsidR="00555C10">
        <w:rPr>
          <w:rFonts w:asciiTheme="minorHAnsi" w:hAnsiTheme="minorHAnsi" w:cstheme="minorHAnsi"/>
          <w:sz w:val="22"/>
          <w:szCs w:val="22"/>
        </w:rPr>
        <w:t>, potentially explaining why the calculation did not properly compute. (</w:t>
      </w:r>
      <w:r w:rsidR="00206D75">
        <w:rPr>
          <w:rFonts w:asciiTheme="minorHAnsi" w:hAnsiTheme="minorHAnsi" w:cstheme="minorHAnsi"/>
          <w:sz w:val="22"/>
          <w:szCs w:val="22"/>
        </w:rPr>
        <w:t xml:space="preserve">NAIC staff notes that </w:t>
      </w:r>
      <w:r w:rsidR="0023721F">
        <w:rPr>
          <w:rFonts w:asciiTheme="minorHAnsi" w:hAnsiTheme="minorHAnsi" w:cstheme="minorHAnsi"/>
          <w:sz w:val="22"/>
          <w:szCs w:val="22"/>
        </w:rPr>
        <w:t xml:space="preserve">this </w:t>
      </w:r>
      <w:r w:rsidR="00206D75">
        <w:rPr>
          <w:rFonts w:asciiTheme="minorHAnsi" w:hAnsiTheme="minorHAnsi" w:cstheme="minorHAnsi"/>
          <w:sz w:val="22"/>
          <w:szCs w:val="22"/>
        </w:rPr>
        <w:t xml:space="preserve">may not be </w:t>
      </w:r>
      <w:r w:rsidR="00B646B0">
        <w:rPr>
          <w:rFonts w:asciiTheme="minorHAnsi" w:hAnsiTheme="minorHAnsi" w:cstheme="minorHAnsi"/>
          <w:sz w:val="22"/>
          <w:szCs w:val="22"/>
        </w:rPr>
        <w:t>the</w:t>
      </w:r>
      <w:r w:rsidR="00206D75">
        <w:rPr>
          <w:rFonts w:asciiTheme="minorHAnsi" w:hAnsiTheme="minorHAnsi" w:cstheme="minorHAnsi"/>
          <w:sz w:val="22"/>
          <w:szCs w:val="22"/>
        </w:rPr>
        <w:t xml:space="preserve"> </w:t>
      </w:r>
      <w:r w:rsidR="00B646B0">
        <w:rPr>
          <w:rFonts w:asciiTheme="minorHAnsi" w:hAnsiTheme="minorHAnsi" w:cstheme="minorHAnsi"/>
          <w:sz w:val="22"/>
          <w:szCs w:val="22"/>
        </w:rPr>
        <w:t>widespread</w:t>
      </w:r>
      <w:r w:rsidR="00206D75">
        <w:rPr>
          <w:rFonts w:asciiTheme="minorHAnsi" w:hAnsiTheme="minorHAnsi" w:cstheme="minorHAnsi"/>
          <w:sz w:val="22"/>
          <w:szCs w:val="22"/>
        </w:rPr>
        <w:t xml:space="preserve"> explanation</w:t>
      </w:r>
      <w:r w:rsidR="0023721F">
        <w:rPr>
          <w:rFonts w:asciiTheme="minorHAnsi" w:hAnsiTheme="minorHAnsi" w:cstheme="minorHAnsi"/>
          <w:sz w:val="22"/>
          <w:szCs w:val="22"/>
        </w:rPr>
        <w:t xml:space="preserve"> for discrepancies</w:t>
      </w:r>
      <w:r w:rsidR="00DA5D6C">
        <w:rPr>
          <w:rFonts w:asciiTheme="minorHAnsi" w:hAnsiTheme="minorHAnsi" w:cstheme="minorHAnsi"/>
          <w:sz w:val="22"/>
          <w:szCs w:val="22"/>
        </w:rPr>
        <w:t xml:space="preserve">, and </w:t>
      </w:r>
      <w:r w:rsidR="00555C10">
        <w:rPr>
          <w:rFonts w:asciiTheme="minorHAnsi" w:hAnsiTheme="minorHAnsi" w:cstheme="minorHAnsi"/>
          <w:sz w:val="22"/>
          <w:szCs w:val="22"/>
        </w:rPr>
        <w:t xml:space="preserve">staff </w:t>
      </w:r>
      <w:r w:rsidR="005D4D5B">
        <w:rPr>
          <w:rFonts w:asciiTheme="minorHAnsi" w:hAnsiTheme="minorHAnsi" w:cstheme="minorHAnsi"/>
          <w:sz w:val="22"/>
          <w:szCs w:val="22"/>
        </w:rPr>
        <w:t>have</w:t>
      </w:r>
      <w:r w:rsidR="00555C10">
        <w:rPr>
          <w:rFonts w:asciiTheme="minorHAnsi" w:hAnsiTheme="minorHAnsi" w:cstheme="minorHAnsi"/>
          <w:sz w:val="22"/>
          <w:szCs w:val="22"/>
        </w:rPr>
        <w:t xml:space="preserve"> not investigated the</w:t>
      </w:r>
      <w:r w:rsidR="008D6A00">
        <w:rPr>
          <w:rFonts w:asciiTheme="minorHAnsi" w:hAnsiTheme="minorHAnsi" w:cstheme="minorHAnsi"/>
          <w:sz w:val="22"/>
          <w:szCs w:val="22"/>
        </w:rPr>
        <w:t xml:space="preserve"> history of these</w:t>
      </w:r>
      <w:r w:rsidR="00555C10">
        <w:rPr>
          <w:rFonts w:asciiTheme="minorHAnsi" w:hAnsiTheme="minorHAnsi" w:cstheme="minorHAnsi"/>
          <w:sz w:val="22"/>
          <w:szCs w:val="22"/>
        </w:rPr>
        <w:t xml:space="preserve"> items to verify the calculation</w:t>
      </w:r>
      <w:r w:rsidR="0044688D">
        <w:rPr>
          <w:rFonts w:asciiTheme="minorHAnsi" w:hAnsiTheme="minorHAnsi" w:cstheme="minorHAnsi"/>
          <w:sz w:val="22"/>
          <w:szCs w:val="22"/>
        </w:rPr>
        <w:t>s</w:t>
      </w:r>
      <w:r w:rsidR="00555C10">
        <w:rPr>
          <w:rFonts w:asciiTheme="minorHAnsi" w:hAnsiTheme="minorHAnsi" w:cstheme="minorHAnsi"/>
          <w:sz w:val="22"/>
          <w:szCs w:val="22"/>
        </w:rPr>
        <w:t xml:space="preserve">.) </w:t>
      </w:r>
    </w:p>
    <w:p w14:paraId="208E3317" w14:textId="77777777" w:rsidR="002E6D01" w:rsidRDefault="002E6D01" w:rsidP="008F5AFD">
      <w:pPr>
        <w:pStyle w:val="BodyTextIndent"/>
        <w:spacing w:after="0"/>
        <w:ind w:left="0"/>
        <w:jc w:val="both"/>
        <w:rPr>
          <w:rFonts w:asciiTheme="minorHAnsi" w:hAnsiTheme="minorHAnsi" w:cstheme="minorHAnsi"/>
          <w:sz w:val="22"/>
          <w:szCs w:val="22"/>
        </w:rPr>
      </w:pPr>
    </w:p>
    <w:p w14:paraId="6F2B49A9" w14:textId="016A9AAB" w:rsidR="002E6D01" w:rsidRDefault="00F1216B"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Regardless, a</w:t>
      </w:r>
      <w:r w:rsidR="002E6D01">
        <w:rPr>
          <w:rFonts w:asciiTheme="minorHAnsi" w:hAnsiTheme="minorHAnsi" w:cstheme="minorHAnsi"/>
          <w:sz w:val="22"/>
          <w:szCs w:val="22"/>
        </w:rPr>
        <w:t xml:space="preserve">fter </w:t>
      </w:r>
      <w:r w:rsidR="0087572A">
        <w:rPr>
          <w:rFonts w:asciiTheme="minorHAnsi" w:hAnsiTheme="minorHAnsi" w:cstheme="minorHAnsi"/>
          <w:sz w:val="22"/>
          <w:szCs w:val="22"/>
        </w:rPr>
        <w:t xml:space="preserve">corresponding </w:t>
      </w:r>
      <w:r w:rsidR="00E53125">
        <w:rPr>
          <w:rFonts w:asciiTheme="minorHAnsi" w:hAnsiTheme="minorHAnsi" w:cstheme="minorHAnsi"/>
          <w:sz w:val="22"/>
          <w:szCs w:val="22"/>
        </w:rPr>
        <w:t xml:space="preserve">with </w:t>
      </w:r>
      <w:r w:rsidR="00592E63">
        <w:rPr>
          <w:rFonts w:asciiTheme="minorHAnsi" w:hAnsiTheme="minorHAnsi" w:cstheme="minorHAnsi"/>
          <w:sz w:val="22"/>
          <w:szCs w:val="22"/>
        </w:rPr>
        <w:t>a few interested party representatives, it was agreed that the intent</w:t>
      </w:r>
      <w:r w:rsidR="007F49B5">
        <w:rPr>
          <w:rFonts w:asciiTheme="minorHAnsi" w:hAnsiTheme="minorHAnsi" w:cstheme="minorHAnsi"/>
          <w:sz w:val="22"/>
          <w:szCs w:val="22"/>
        </w:rPr>
        <w:t xml:space="preserve">, consistent with the annual statement instructions, </w:t>
      </w:r>
      <w:r w:rsidR="00871AB6">
        <w:rPr>
          <w:rFonts w:asciiTheme="minorHAnsi" w:hAnsiTheme="minorHAnsi" w:cstheme="minorHAnsi"/>
          <w:sz w:val="22"/>
          <w:szCs w:val="22"/>
        </w:rPr>
        <w:t>is</w:t>
      </w:r>
      <w:r w:rsidR="00680661">
        <w:rPr>
          <w:rFonts w:asciiTheme="minorHAnsi" w:hAnsiTheme="minorHAnsi" w:cstheme="minorHAnsi"/>
          <w:sz w:val="22"/>
          <w:szCs w:val="22"/>
        </w:rPr>
        <w:t xml:space="preserve"> to have the “owned” schedules (Part 1) </w:t>
      </w:r>
      <w:r w:rsidR="00480119">
        <w:rPr>
          <w:rFonts w:asciiTheme="minorHAnsi" w:hAnsiTheme="minorHAnsi" w:cstheme="minorHAnsi"/>
          <w:sz w:val="22"/>
          <w:szCs w:val="22"/>
        </w:rPr>
        <w:t>reflect the</w:t>
      </w:r>
      <w:r w:rsidR="007F49B5">
        <w:rPr>
          <w:rFonts w:asciiTheme="minorHAnsi" w:hAnsiTheme="minorHAnsi" w:cstheme="minorHAnsi"/>
          <w:sz w:val="22"/>
          <w:szCs w:val="22"/>
        </w:rPr>
        <w:t xml:space="preserve"> investment’s</w:t>
      </w:r>
      <w:r w:rsidR="00480119">
        <w:rPr>
          <w:rFonts w:asciiTheme="minorHAnsi" w:hAnsiTheme="minorHAnsi" w:cstheme="minorHAnsi"/>
          <w:sz w:val="22"/>
          <w:szCs w:val="22"/>
        </w:rPr>
        <w:t xml:space="preserve"> original acquisition date </w:t>
      </w:r>
      <w:r w:rsidR="008F70A2">
        <w:rPr>
          <w:rFonts w:asciiTheme="minorHAnsi" w:hAnsiTheme="minorHAnsi" w:cstheme="minorHAnsi"/>
          <w:sz w:val="22"/>
          <w:szCs w:val="22"/>
        </w:rPr>
        <w:t>even</w:t>
      </w:r>
      <w:r w:rsidR="00480119">
        <w:rPr>
          <w:rFonts w:asciiTheme="minorHAnsi" w:hAnsiTheme="minorHAnsi" w:cstheme="minorHAnsi"/>
          <w:sz w:val="22"/>
          <w:szCs w:val="22"/>
        </w:rPr>
        <w:t xml:space="preserve"> if there w</w:t>
      </w:r>
      <w:r w:rsidR="008F70A2">
        <w:rPr>
          <w:rFonts w:asciiTheme="minorHAnsi" w:hAnsiTheme="minorHAnsi" w:cstheme="minorHAnsi"/>
          <w:sz w:val="22"/>
          <w:szCs w:val="22"/>
        </w:rPr>
        <w:t>ere</w:t>
      </w:r>
      <w:r w:rsidR="00480119">
        <w:rPr>
          <w:rFonts w:asciiTheme="minorHAnsi" w:hAnsiTheme="minorHAnsi" w:cstheme="minorHAnsi"/>
          <w:sz w:val="22"/>
          <w:szCs w:val="22"/>
        </w:rPr>
        <w:t xml:space="preserve"> subsequent </w:t>
      </w:r>
      <w:r w:rsidR="007F49B5">
        <w:rPr>
          <w:rFonts w:asciiTheme="minorHAnsi" w:hAnsiTheme="minorHAnsi" w:cstheme="minorHAnsi"/>
          <w:sz w:val="22"/>
          <w:szCs w:val="22"/>
        </w:rPr>
        <w:t>funding</w:t>
      </w:r>
      <w:r w:rsidR="006C1F48">
        <w:rPr>
          <w:rFonts w:asciiTheme="minorHAnsi" w:hAnsiTheme="minorHAnsi" w:cstheme="minorHAnsi"/>
          <w:sz w:val="22"/>
          <w:szCs w:val="22"/>
        </w:rPr>
        <w:t xml:space="preserve"> / additional interests acquired</w:t>
      </w:r>
      <w:r w:rsidR="00480119">
        <w:rPr>
          <w:rFonts w:asciiTheme="minorHAnsi" w:hAnsiTheme="minorHAnsi" w:cstheme="minorHAnsi"/>
          <w:sz w:val="22"/>
          <w:szCs w:val="22"/>
        </w:rPr>
        <w:t xml:space="preserve">. The date of </w:t>
      </w:r>
      <w:r w:rsidR="008F70A2">
        <w:rPr>
          <w:rFonts w:asciiTheme="minorHAnsi" w:hAnsiTheme="minorHAnsi" w:cstheme="minorHAnsi"/>
          <w:sz w:val="22"/>
          <w:szCs w:val="22"/>
        </w:rPr>
        <w:t xml:space="preserve">the </w:t>
      </w:r>
      <w:r w:rsidR="00480119">
        <w:rPr>
          <w:rFonts w:asciiTheme="minorHAnsi" w:hAnsiTheme="minorHAnsi" w:cstheme="minorHAnsi"/>
          <w:sz w:val="22"/>
          <w:szCs w:val="22"/>
        </w:rPr>
        <w:t xml:space="preserve">subsequent </w:t>
      </w:r>
      <w:r w:rsidR="006C1F48">
        <w:rPr>
          <w:rFonts w:asciiTheme="minorHAnsi" w:hAnsiTheme="minorHAnsi" w:cstheme="minorHAnsi"/>
          <w:sz w:val="22"/>
          <w:szCs w:val="22"/>
        </w:rPr>
        <w:t>funding</w:t>
      </w:r>
      <w:r w:rsidR="008F70A2">
        <w:rPr>
          <w:rFonts w:asciiTheme="minorHAnsi" w:hAnsiTheme="minorHAnsi" w:cstheme="minorHAnsi"/>
          <w:sz w:val="22"/>
          <w:szCs w:val="22"/>
        </w:rPr>
        <w:t xml:space="preserve"> should be detailed </w:t>
      </w:r>
      <w:r w:rsidR="006C1F48">
        <w:rPr>
          <w:rFonts w:asciiTheme="minorHAnsi" w:hAnsiTheme="minorHAnsi" w:cstheme="minorHAnsi"/>
          <w:sz w:val="22"/>
          <w:szCs w:val="22"/>
        </w:rPr>
        <w:t>on the</w:t>
      </w:r>
      <w:r w:rsidR="008F70A2">
        <w:rPr>
          <w:rFonts w:asciiTheme="minorHAnsi" w:hAnsiTheme="minorHAnsi" w:cstheme="minorHAnsi"/>
          <w:sz w:val="22"/>
          <w:szCs w:val="22"/>
        </w:rPr>
        <w:t xml:space="preserve"> “acquired” schedules (e.g., Schedule BA – Part 2)</w:t>
      </w:r>
      <w:r w:rsidR="00871AB6">
        <w:rPr>
          <w:rFonts w:asciiTheme="minorHAnsi" w:hAnsiTheme="minorHAnsi" w:cstheme="minorHAnsi"/>
          <w:sz w:val="22"/>
          <w:szCs w:val="22"/>
        </w:rPr>
        <w:t xml:space="preserve">, but that date should not be used to override the original acquisition date on Part 1. </w:t>
      </w:r>
      <w:r w:rsidR="00036422" w:rsidRPr="0044688D">
        <w:rPr>
          <w:rFonts w:asciiTheme="minorHAnsi" w:hAnsiTheme="minorHAnsi" w:cstheme="minorHAnsi"/>
          <w:sz w:val="22"/>
          <w:szCs w:val="22"/>
          <w:u w:val="single"/>
        </w:rPr>
        <w:t>To ensure consisten</w:t>
      </w:r>
      <w:r w:rsidR="00101699">
        <w:rPr>
          <w:rFonts w:asciiTheme="minorHAnsi" w:hAnsiTheme="minorHAnsi" w:cstheme="minorHAnsi"/>
          <w:sz w:val="22"/>
          <w:szCs w:val="22"/>
          <w:u w:val="single"/>
        </w:rPr>
        <w:t>cy</w:t>
      </w:r>
      <w:r w:rsidR="00036422" w:rsidRPr="0044688D">
        <w:rPr>
          <w:rFonts w:asciiTheme="minorHAnsi" w:hAnsiTheme="minorHAnsi" w:cstheme="minorHAnsi"/>
          <w:sz w:val="22"/>
          <w:szCs w:val="22"/>
          <w:u w:val="single"/>
        </w:rPr>
        <w:t xml:space="preserve"> in reporting, t</w:t>
      </w:r>
      <w:r w:rsidR="006C1F48" w:rsidRPr="0044688D">
        <w:rPr>
          <w:rFonts w:asciiTheme="minorHAnsi" w:hAnsiTheme="minorHAnsi" w:cstheme="minorHAnsi"/>
          <w:sz w:val="22"/>
          <w:szCs w:val="22"/>
          <w:u w:val="single"/>
        </w:rPr>
        <w:t xml:space="preserve">his agenda item proposes </w:t>
      </w:r>
      <w:r w:rsidR="003C2C1C" w:rsidRPr="0044688D">
        <w:rPr>
          <w:rFonts w:asciiTheme="minorHAnsi" w:hAnsiTheme="minorHAnsi" w:cstheme="minorHAnsi"/>
          <w:sz w:val="22"/>
          <w:szCs w:val="22"/>
          <w:u w:val="single"/>
        </w:rPr>
        <w:t xml:space="preserve">minor blanks reporting revisions to clarify the “date originally acquired” </w:t>
      </w:r>
      <w:r w:rsidR="00621779" w:rsidRPr="0044688D">
        <w:rPr>
          <w:rFonts w:asciiTheme="minorHAnsi" w:hAnsiTheme="minorHAnsi" w:cstheme="minorHAnsi"/>
          <w:sz w:val="22"/>
          <w:szCs w:val="22"/>
          <w:u w:val="single"/>
        </w:rPr>
        <w:t>on Part 1</w:t>
      </w:r>
      <w:r w:rsidR="00861947" w:rsidRPr="0044688D">
        <w:rPr>
          <w:rFonts w:asciiTheme="minorHAnsi" w:hAnsiTheme="minorHAnsi" w:cstheme="minorHAnsi"/>
          <w:sz w:val="22"/>
          <w:szCs w:val="22"/>
          <w:u w:val="single"/>
        </w:rPr>
        <w:t xml:space="preserve"> </w:t>
      </w:r>
      <w:r w:rsidR="00621779" w:rsidRPr="0044688D">
        <w:rPr>
          <w:rFonts w:asciiTheme="minorHAnsi" w:hAnsiTheme="minorHAnsi" w:cstheme="minorHAnsi"/>
          <w:sz w:val="22"/>
          <w:szCs w:val="22"/>
          <w:u w:val="single"/>
        </w:rPr>
        <w:t xml:space="preserve">to identify that it should not be updated to reflect additional interests / funding towards an </w:t>
      </w:r>
      <w:r w:rsidR="00861947" w:rsidRPr="0044688D">
        <w:rPr>
          <w:rFonts w:asciiTheme="minorHAnsi" w:hAnsiTheme="minorHAnsi" w:cstheme="minorHAnsi"/>
          <w:sz w:val="22"/>
          <w:szCs w:val="22"/>
          <w:u w:val="single"/>
        </w:rPr>
        <w:t>existing investment</w:t>
      </w:r>
      <w:r w:rsidR="00621779" w:rsidRPr="0044688D">
        <w:rPr>
          <w:rFonts w:asciiTheme="minorHAnsi" w:hAnsiTheme="minorHAnsi" w:cstheme="minorHAnsi"/>
          <w:sz w:val="22"/>
          <w:szCs w:val="22"/>
          <w:u w:val="single"/>
        </w:rPr>
        <w:t xml:space="preserve">. </w:t>
      </w:r>
      <w:r w:rsidR="00861947" w:rsidRPr="0044688D">
        <w:rPr>
          <w:rFonts w:asciiTheme="minorHAnsi" w:hAnsiTheme="minorHAnsi" w:cstheme="minorHAnsi"/>
          <w:sz w:val="22"/>
          <w:szCs w:val="22"/>
          <w:u w:val="single"/>
        </w:rPr>
        <w:t xml:space="preserve">For Part 2, minor revisions are proposed </w:t>
      </w:r>
      <w:r w:rsidR="00BC1236" w:rsidRPr="0044688D">
        <w:rPr>
          <w:rFonts w:asciiTheme="minorHAnsi" w:hAnsiTheme="minorHAnsi" w:cstheme="minorHAnsi"/>
          <w:sz w:val="22"/>
          <w:szCs w:val="22"/>
          <w:u w:val="single"/>
        </w:rPr>
        <w:t>to include guidance for subsequent additions</w:t>
      </w:r>
      <w:r w:rsidR="00BC1236" w:rsidRPr="00036422">
        <w:rPr>
          <w:rFonts w:asciiTheme="minorHAnsi" w:hAnsiTheme="minorHAnsi" w:cstheme="minorHAnsi"/>
          <w:sz w:val="22"/>
          <w:szCs w:val="22"/>
        </w:rPr>
        <w:t>.</w:t>
      </w:r>
      <w:r w:rsidR="00BC1236">
        <w:rPr>
          <w:rFonts w:asciiTheme="minorHAnsi" w:hAnsiTheme="minorHAnsi" w:cstheme="minorHAnsi"/>
          <w:sz w:val="22"/>
          <w:szCs w:val="22"/>
        </w:rPr>
        <w:t xml:space="preserve"> </w:t>
      </w:r>
    </w:p>
    <w:p w14:paraId="07432693" w14:textId="77777777" w:rsidR="00C07408" w:rsidRDefault="00C07408" w:rsidP="008F5AFD">
      <w:pPr>
        <w:pStyle w:val="BodyTextIndent"/>
        <w:spacing w:after="0"/>
        <w:ind w:left="0"/>
        <w:jc w:val="both"/>
        <w:rPr>
          <w:rFonts w:asciiTheme="minorHAnsi" w:hAnsiTheme="minorHAnsi" w:cstheme="minorHAnsi"/>
          <w:sz w:val="22"/>
          <w:szCs w:val="22"/>
        </w:rPr>
      </w:pPr>
    </w:p>
    <w:p w14:paraId="40E0FDE2" w14:textId="53D3279C" w:rsidR="00C07408" w:rsidRPr="00FB741E" w:rsidRDefault="00C07408" w:rsidP="00D273BD">
      <w:pPr>
        <w:pStyle w:val="BodyTextIndent"/>
        <w:numPr>
          <w:ilvl w:val="0"/>
          <w:numId w:val="13"/>
        </w:numPr>
        <w:spacing w:after="0"/>
        <w:jc w:val="both"/>
        <w:rPr>
          <w:rFonts w:asciiTheme="minorHAnsi" w:hAnsiTheme="minorHAnsi" w:cstheme="minorHAnsi"/>
          <w:b/>
          <w:bCs/>
          <w:sz w:val="22"/>
          <w:szCs w:val="22"/>
          <w:u w:val="single"/>
        </w:rPr>
      </w:pPr>
      <w:r w:rsidRPr="00FB741E">
        <w:rPr>
          <w:rFonts w:asciiTheme="minorHAnsi" w:hAnsiTheme="minorHAnsi" w:cstheme="minorHAnsi"/>
          <w:b/>
          <w:bCs/>
          <w:sz w:val="22"/>
          <w:szCs w:val="22"/>
          <w:u w:val="single"/>
        </w:rPr>
        <w:t xml:space="preserve">Timing of Recognition of Equity Value </w:t>
      </w:r>
      <w:r w:rsidR="00D87A55">
        <w:rPr>
          <w:rFonts w:asciiTheme="minorHAnsi" w:hAnsiTheme="minorHAnsi" w:cstheme="minorHAnsi"/>
          <w:b/>
          <w:bCs/>
          <w:sz w:val="22"/>
          <w:szCs w:val="22"/>
          <w:u w:val="single"/>
        </w:rPr>
        <w:t>Increases (</w:t>
      </w:r>
      <w:r w:rsidRPr="00FB741E">
        <w:rPr>
          <w:rFonts w:asciiTheme="minorHAnsi" w:hAnsiTheme="minorHAnsi" w:cstheme="minorHAnsi"/>
          <w:b/>
          <w:bCs/>
          <w:sz w:val="22"/>
          <w:szCs w:val="22"/>
          <w:u w:val="single"/>
        </w:rPr>
        <w:t>Gains</w:t>
      </w:r>
      <w:r w:rsidR="00D87A55">
        <w:rPr>
          <w:rFonts w:asciiTheme="minorHAnsi" w:hAnsiTheme="minorHAnsi" w:cstheme="minorHAnsi"/>
          <w:b/>
          <w:bCs/>
          <w:sz w:val="22"/>
          <w:szCs w:val="22"/>
          <w:u w:val="single"/>
        </w:rPr>
        <w:t>)</w:t>
      </w:r>
      <w:r w:rsidRPr="00FB741E">
        <w:rPr>
          <w:rFonts w:asciiTheme="minorHAnsi" w:hAnsiTheme="minorHAnsi" w:cstheme="minorHAnsi"/>
          <w:b/>
          <w:bCs/>
          <w:sz w:val="22"/>
          <w:szCs w:val="22"/>
          <w:u w:val="single"/>
        </w:rPr>
        <w:t xml:space="preserve"> and </w:t>
      </w:r>
      <w:r w:rsidR="00D87A55">
        <w:rPr>
          <w:rFonts w:asciiTheme="minorHAnsi" w:hAnsiTheme="minorHAnsi" w:cstheme="minorHAnsi"/>
          <w:b/>
          <w:bCs/>
          <w:sz w:val="22"/>
          <w:szCs w:val="22"/>
          <w:u w:val="single"/>
        </w:rPr>
        <w:t>Declines (</w:t>
      </w:r>
      <w:r w:rsidRPr="00FB741E">
        <w:rPr>
          <w:rFonts w:asciiTheme="minorHAnsi" w:hAnsiTheme="minorHAnsi" w:cstheme="minorHAnsi"/>
          <w:b/>
          <w:bCs/>
          <w:sz w:val="22"/>
          <w:szCs w:val="22"/>
          <w:u w:val="single"/>
        </w:rPr>
        <w:t>Losses</w:t>
      </w:r>
      <w:r w:rsidR="00D87A55">
        <w:rPr>
          <w:rFonts w:asciiTheme="minorHAnsi" w:hAnsiTheme="minorHAnsi" w:cstheme="minorHAnsi"/>
          <w:b/>
          <w:bCs/>
          <w:sz w:val="22"/>
          <w:szCs w:val="22"/>
          <w:u w:val="single"/>
        </w:rPr>
        <w:t>)</w:t>
      </w:r>
      <w:r w:rsidRPr="00FB741E">
        <w:rPr>
          <w:rFonts w:asciiTheme="minorHAnsi" w:hAnsiTheme="minorHAnsi" w:cstheme="minorHAnsi"/>
          <w:b/>
          <w:bCs/>
          <w:sz w:val="22"/>
          <w:szCs w:val="22"/>
          <w:u w:val="single"/>
        </w:rPr>
        <w:t xml:space="preserve">: </w:t>
      </w:r>
    </w:p>
    <w:p w14:paraId="220E264D" w14:textId="6E75A6BA" w:rsidR="00364CF6" w:rsidRDefault="00566491"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Per the explicit</w:t>
      </w:r>
      <w:r w:rsidR="00036422">
        <w:rPr>
          <w:rFonts w:asciiTheme="minorHAnsi" w:hAnsiTheme="minorHAnsi" w:cstheme="minorHAnsi"/>
          <w:sz w:val="22"/>
          <w:szCs w:val="22"/>
        </w:rPr>
        <w:t xml:space="preserve"> guidance in SSAP No. 48 and SSAP No. 97, </w:t>
      </w:r>
      <w:r w:rsidR="003928B3">
        <w:rPr>
          <w:rFonts w:asciiTheme="minorHAnsi" w:hAnsiTheme="minorHAnsi" w:cstheme="minorHAnsi"/>
          <w:sz w:val="22"/>
          <w:szCs w:val="22"/>
        </w:rPr>
        <w:t xml:space="preserve">reporting entities are to adjust </w:t>
      </w:r>
      <w:r w:rsidR="002C28C6">
        <w:rPr>
          <w:rFonts w:asciiTheme="minorHAnsi" w:hAnsiTheme="minorHAnsi" w:cstheme="minorHAnsi"/>
          <w:sz w:val="22"/>
          <w:szCs w:val="22"/>
        </w:rPr>
        <w:t xml:space="preserve">the reported value based on the </w:t>
      </w:r>
      <w:r w:rsidR="000C6D7E">
        <w:rPr>
          <w:rFonts w:asciiTheme="minorHAnsi" w:hAnsiTheme="minorHAnsi" w:cstheme="minorHAnsi"/>
          <w:sz w:val="22"/>
          <w:szCs w:val="22"/>
        </w:rPr>
        <w:t xml:space="preserve">applicable </w:t>
      </w:r>
      <w:r w:rsidR="000C6D7E" w:rsidRPr="007B7385">
        <w:rPr>
          <w:rFonts w:asciiTheme="minorHAnsi" w:hAnsiTheme="minorHAnsi" w:cstheme="minorHAnsi"/>
          <w:sz w:val="22"/>
          <w:szCs w:val="22"/>
          <w:u w:val="single"/>
        </w:rPr>
        <w:t>audited</w:t>
      </w:r>
      <w:r w:rsidR="000C6D7E">
        <w:rPr>
          <w:rFonts w:asciiTheme="minorHAnsi" w:hAnsiTheme="minorHAnsi" w:cstheme="minorHAnsi"/>
          <w:sz w:val="22"/>
          <w:szCs w:val="22"/>
        </w:rPr>
        <w:t xml:space="preserve"> financial statements of the </w:t>
      </w:r>
      <w:r w:rsidR="007B7385">
        <w:rPr>
          <w:rFonts w:asciiTheme="minorHAnsi" w:hAnsiTheme="minorHAnsi" w:cstheme="minorHAnsi"/>
          <w:sz w:val="22"/>
          <w:szCs w:val="22"/>
        </w:rPr>
        <w:t>investee. However,</w:t>
      </w:r>
      <w:r w:rsidR="002E057E">
        <w:rPr>
          <w:rFonts w:asciiTheme="minorHAnsi" w:hAnsiTheme="minorHAnsi" w:cstheme="minorHAnsi"/>
          <w:sz w:val="22"/>
          <w:szCs w:val="22"/>
        </w:rPr>
        <w:t xml:space="preserve"> this is not how these equity adjustments occur in practice. Pursuant to discussion with interested party representatives, </w:t>
      </w:r>
      <w:r w:rsidR="00F6527B">
        <w:rPr>
          <w:rFonts w:asciiTheme="minorHAnsi" w:hAnsiTheme="minorHAnsi" w:cstheme="minorHAnsi"/>
          <w:sz w:val="22"/>
          <w:szCs w:val="22"/>
        </w:rPr>
        <w:t xml:space="preserve">reporting entities often adjust the reported equity value based on the </w:t>
      </w:r>
      <w:r w:rsidR="00651F3B" w:rsidRPr="00651F3B">
        <w:rPr>
          <w:rFonts w:asciiTheme="minorHAnsi" w:hAnsiTheme="minorHAnsi" w:cstheme="minorHAnsi"/>
          <w:sz w:val="22"/>
          <w:szCs w:val="22"/>
          <w:u w:val="single"/>
        </w:rPr>
        <w:t>unaudited</w:t>
      </w:r>
      <w:r w:rsidR="00651F3B">
        <w:rPr>
          <w:rFonts w:asciiTheme="minorHAnsi" w:hAnsiTheme="minorHAnsi" w:cstheme="minorHAnsi"/>
          <w:sz w:val="22"/>
          <w:szCs w:val="22"/>
        </w:rPr>
        <w:t xml:space="preserve"> statements</w:t>
      </w:r>
      <w:r w:rsidR="00F6527B">
        <w:rPr>
          <w:rFonts w:asciiTheme="minorHAnsi" w:hAnsiTheme="minorHAnsi" w:cstheme="minorHAnsi"/>
          <w:sz w:val="22"/>
          <w:szCs w:val="22"/>
        </w:rPr>
        <w:t xml:space="preserve"> received from the investee. </w:t>
      </w:r>
      <w:r w:rsidR="00651F3B">
        <w:rPr>
          <w:rFonts w:asciiTheme="minorHAnsi" w:hAnsiTheme="minorHAnsi" w:cstheme="minorHAnsi"/>
          <w:sz w:val="22"/>
          <w:szCs w:val="22"/>
        </w:rPr>
        <w:t xml:space="preserve">These statements could be received monthly, quarterly, annually, or not at all. Then, when the investee is audited, a “true-up” statement is provided to the reporting entity, and the reporting entity then adjusts the reported BACV based on the audited financial statements. </w:t>
      </w:r>
      <w:r w:rsidR="00364CF6">
        <w:rPr>
          <w:rFonts w:asciiTheme="minorHAnsi" w:hAnsiTheme="minorHAnsi" w:cstheme="minorHAnsi"/>
          <w:sz w:val="22"/>
          <w:szCs w:val="22"/>
        </w:rPr>
        <w:t xml:space="preserve">As such, reporting entities are </w:t>
      </w:r>
      <w:r w:rsidR="00EA5BBE">
        <w:rPr>
          <w:rFonts w:asciiTheme="minorHAnsi" w:hAnsiTheme="minorHAnsi" w:cstheme="minorHAnsi"/>
          <w:sz w:val="22"/>
          <w:szCs w:val="22"/>
        </w:rPr>
        <w:t xml:space="preserve">often </w:t>
      </w:r>
      <w:r w:rsidR="00364CF6">
        <w:rPr>
          <w:rFonts w:asciiTheme="minorHAnsi" w:hAnsiTheme="minorHAnsi" w:cstheme="minorHAnsi"/>
          <w:sz w:val="22"/>
          <w:szCs w:val="22"/>
        </w:rPr>
        <w:t>not</w:t>
      </w:r>
      <w:r w:rsidR="00744919">
        <w:rPr>
          <w:rFonts w:asciiTheme="minorHAnsi" w:hAnsiTheme="minorHAnsi" w:cstheme="minorHAnsi"/>
          <w:sz w:val="22"/>
          <w:szCs w:val="22"/>
        </w:rPr>
        <w:t xml:space="preserve"> waiting for </w:t>
      </w:r>
      <w:r w:rsidR="00941E22">
        <w:rPr>
          <w:rFonts w:asciiTheme="minorHAnsi" w:hAnsiTheme="minorHAnsi" w:cstheme="minorHAnsi"/>
          <w:sz w:val="22"/>
          <w:szCs w:val="22"/>
        </w:rPr>
        <w:t>confirmed, audited,</w:t>
      </w:r>
      <w:r w:rsidR="00744919">
        <w:rPr>
          <w:rFonts w:asciiTheme="minorHAnsi" w:hAnsiTheme="minorHAnsi" w:cstheme="minorHAnsi"/>
          <w:sz w:val="22"/>
          <w:szCs w:val="22"/>
        </w:rPr>
        <w:t xml:space="preserve"> financial statements </w:t>
      </w:r>
      <w:r w:rsidR="000B2CC5">
        <w:rPr>
          <w:rFonts w:asciiTheme="minorHAnsi" w:hAnsiTheme="minorHAnsi" w:cstheme="minorHAnsi"/>
          <w:sz w:val="22"/>
          <w:szCs w:val="22"/>
        </w:rPr>
        <w:t>before</w:t>
      </w:r>
      <w:r w:rsidR="00744919">
        <w:rPr>
          <w:rFonts w:asciiTheme="minorHAnsi" w:hAnsiTheme="minorHAnsi" w:cstheme="minorHAnsi"/>
          <w:sz w:val="22"/>
          <w:szCs w:val="22"/>
        </w:rPr>
        <w:t xml:space="preserve"> </w:t>
      </w:r>
      <w:r w:rsidR="000B2CC5">
        <w:rPr>
          <w:rFonts w:asciiTheme="minorHAnsi" w:hAnsiTheme="minorHAnsi" w:cstheme="minorHAnsi"/>
          <w:sz w:val="22"/>
          <w:szCs w:val="22"/>
        </w:rPr>
        <w:t xml:space="preserve">regularly </w:t>
      </w:r>
      <w:r w:rsidR="00744919">
        <w:rPr>
          <w:rFonts w:asciiTheme="minorHAnsi" w:hAnsiTheme="minorHAnsi" w:cstheme="minorHAnsi"/>
          <w:sz w:val="22"/>
          <w:szCs w:val="22"/>
        </w:rPr>
        <w:t>adjust</w:t>
      </w:r>
      <w:r w:rsidR="000B2CC5">
        <w:rPr>
          <w:rFonts w:asciiTheme="minorHAnsi" w:hAnsiTheme="minorHAnsi" w:cstheme="minorHAnsi"/>
          <w:sz w:val="22"/>
          <w:szCs w:val="22"/>
        </w:rPr>
        <w:t>ing</w:t>
      </w:r>
      <w:r w:rsidR="00744919">
        <w:rPr>
          <w:rFonts w:asciiTheme="minorHAnsi" w:hAnsiTheme="minorHAnsi" w:cstheme="minorHAnsi"/>
          <w:sz w:val="22"/>
          <w:szCs w:val="22"/>
        </w:rPr>
        <w:t xml:space="preserve"> their reported equity value in the investee. </w:t>
      </w:r>
    </w:p>
    <w:p w14:paraId="49BC0CDB" w14:textId="77777777" w:rsidR="007D610E" w:rsidRDefault="007D610E" w:rsidP="008F5AFD">
      <w:pPr>
        <w:pStyle w:val="BodyTextIndent"/>
        <w:spacing w:after="0"/>
        <w:ind w:left="0"/>
        <w:jc w:val="both"/>
        <w:rPr>
          <w:rFonts w:asciiTheme="minorHAnsi" w:hAnsiTheme="minorHAnsi" w:cstheme="minorHAnsi"/>
          <w:sz w:val="22"/>
          <w:szCs w:val="22"/>
        </w:rPr>
      </w:pPr>
    </w:p>
    <w:p w14:paraId="433C00B4" w14:textId="2E3BDDE3" w:rsidR="005B2237" w:rsidRDefault="005B2237"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To illustrate, assume on Jan. </w:t>
      </w:r>
      <w:r w:rsidR="00780965">
        <w:rPr>
          <w:rFonts w:asciiTheme="minorHAnsi" w:hAnsiTheme="minorHAnsi" w:cstheme="minorHAnsi"/>
          <w:sz w:val="22"/>
          <w:szCs w:val="22"/>
        </w:rPr>
        <w:t>30</w:t>
      </w:r>
      <w:r w:rsidR="00DF0D7B">
        <w:rPr>
          <w:rFonts w:asciiTheme="minorHAnsi" w:hAnsiTheme="minorHAnsi" w:cstheme="minorHAnsi"/>
          <w:sz w:val="22"/>
          <w:szCs w:val="22"/>
        </w:rPr>
        <w:t>, 202</w:t>
      </w:r>
      <w:r w:rsidR="005C2018">
        <w:rPr>
          <w:rFonts w:asciiTheme="minorHAnsi" w:hAnsiTheme="minorHAnsi" w:cstheme="minorHAnsi"/>
          <w:sz w:val="22"/>
          <w:szCs w:val="22"/>
        </w:rPr>
        <w:t>4</w:t>
      </w:r>
      <w:r w:rsidR="003432D3">
        <w:rPr>
          <w:rFonts w:asciiTheme="minorHAnsi" w:hAnsiTheme="minorHAnsi" w:cstheme="minorHAnsi"/>
          <w:sz w:val="22"/>
          <w:szCs w:val="22"/>
        </w:rPr>
        <w:t>,</w:t>
      </w:r>
      <w:r w:rsidR="00DF0D7B">
        <w:rPr>
          <w:rFonts w:asciiTheme="minorHAnsi" w:hAnsiTheme="minorHAnsi" w:cstheme="minorHAnsi"/>
          <w:sz w:val="22"/>
          <w:szCs w:val="22"/>
        </w:rPr>
        <w:t xml:space="preserve"> </w:t>
      </w:r>
      <w:r w:rsidR="00780965">
        <w:rPr>
          <w:rFonts w:asciiTheme="minorHAnsi" w:hAnsiTheme="minorHAnsi" w:cstheme="minorHAnsi"/>
          <w:sz w:val="22"/>
          <w:szCs w:val="22"/>
        </w:rPr>
        <w:t>a</w:t>
      </w:r>
      <w:r>
        <w:rPr>
          <w:rFonts w:asciiTheme="minorHAnsi" w:hAnsiTheme="minorHAnsi" w:cstheme="minorHAnsi"/>
          <w:sz w:val="22"/>
          <w:szCs w:val="22"/>
        </w:rPr>
        <w:t xml:space="preserve"> reporting entity </w:t>
      </w:r>
      <w:r w:rsidR="007955A7">
        <w:rPr>
          <w:rFonts w:asciiTheme="minorHAnsi" w:hAnsiTheme="minorHAnsi" w:cstheme="minorHAnsi"/>
          <w:sz w:val="22"/>
          <w:szCs w:val="22"/>
        </w:rPr>
        <w:t>acquired ownership of a SSAP No. 48</w:t>
      </w:r>
      <w:r>
        <w:rPr>
          <w:rFonts w:asciiTheme="minorHAnsi" w:hAnsiTheme="minorHAnsi" w:cstheme="minorHAnsi"/>
          <w:sz w:val="22"/>
          <w:szCs w:val="22"/>
        </w:rPr>
        <w:t xml:space="preserve"> entity. </w:t>
      </w:r>
      <w:r w:rsidR="00780965">
        <w:rPr>
          <w:rFonts w:asciiTheme="minorHAnsi" w:hAnsiTheme="minorHAnsi" w:cstheme="minorHAnsi"/>
          <w:sz w:val="22"/>
          <w:szCs w:val="22"/>
        </w:rPr>
        <w:t xml:space="preserve">Then, each quarter, the reporting entity received a statement indicating a </w:t>
      </w:r>
      <w:r w:rsidR="0082757A">
        <w:rPr>
          <w:rFonts w:asciiTheme="minorHAnsi" w:hAnsiTheme="minorHAnsi" w:cstheme="minorHAnsi"/>
          <w:sz w:val="22"/>
          <w:szCs w:val="22"/>
        </w:rPr>
        <w:t>10</w:t>
      </w:r>
      <w:r w:rsidR="00780965">
        <w:rPr>
          <w:rFonts w:asciiTheme="minorHAnsi" w:hAnsiTheme="minorHAnsi" w:cstheme="minorHAnsi"/>
          <w:sz w:val="22"/>
          <w:szCs w:val="22"/>
        </w:rPr>
        <w:t xml:space="preserve">% increase in </w:t>
      </w:r>
      <w:r w:rsidR="007F134F">
        <w:rPr>
          <w:rFonts w:asciiTheme="minorHAnsi" w:hAnsiTheme="minorHAnsi" w:cstheme="minorHAnsi"/>
          <w:sz w:val="22"/>
          <w:szCs w:val="22"/>
        </w:rPr>
        <w:t xml:space="preserve">equity </w:t>
      </w:r>
      <w:r w:rsidR="00780965">
        <w:rPr>
          <w:rFonts w:asciiTheme="minorHAnsi" w:hAnsiTheme="minorHAnsi" w:cstheme="minorHAnsi"/>
          <w:sz w:val="22"/>
          <w:szCs w:val="22"/>
        </w:rPr>
        <w:t xml:space="preserve">value. </w:t>
      </w:r>
      <w:r w:rsidR="009943AF">
        <w:rPr>
          <w:rFonts w:asciiTheme="minorHAnsi" w:hAnsiTheme="minorHAnsi" w:cstheme="minorHAnsi"/>
          <w:sz w:val="22"/>
          <w:szCs w:val="22"/>
        </w:rPr>
        <w:t xml:space="preserve">Under </w:t>
      </w:r>
      <w:r w:rsidR="00A744C8">
        <w:rPr>
          <w:rFonts w:asciiTheme="minorHAnsi" w:hAnsiTheme="minorHAnsi" w:cstheme="minorHAnsi"/>
          <w:sz w:val="22"/>
          <w:szCs w:val="22"/>
        </w:rPr>
        <w:t>industry</w:t>
      </w:r>
      <w:r w:rsidR="008D6373">
        <w:rPr>
          <w:rFonts w:asciiTheme="minorHAnsi" w:hAnsiTheme="minorHAnsi" w:cstheme="minorHAnsi"/>
          <w:sz w:val="22"/>
          <w:szCs w:val="22"/>
        </w:rPr>
        <w:t xml:space="preserve"> practice, reporting entities </w:t>
      </w:r>
      <w:r w:rsidR="003432D3">
        <w:rPr>
          <w:rFonts w:asciiTheme="minorHAnsi" w:hAnsiTheme="minorHAnsi" w:cstheme="minorHAnsi"/>
          <w:sz w:val="22"/>
          <w:szCs w:val="22"/>
        </w:rPr>
        <w:t>recognize</w:t>
      </w:r>
      <w:r w:rsidR="008D6373">
        <w:rPr>
          <w:rFonts w:asciiTheme="minorHAnsi" w:hAnsiTheme="minorHAnsi" w:cstheme="minorHAnsi"/>
          <w:sz w:val="22"/>
          <w:szCs w:val="22"/>
        </w:rPr>
        <w:t xml:space="preserve"> this increased value with </w:t>
      </w:r>
      <w:r w:rsidR="003432D3">
        <w:rPr>
          <w:rFonts w:asciiTheme="minorHAnsi" w:hAnsiTheme="minorHAnsi" w:cstheme="minorHAnsi"/>
          <w:sz w:val="22"/>
          <w:szCs w:val="22"/>
        </w:rPr>
        <w:t>an</w:t>
      </w:r>
      <w:r w:rsidR="008D6373">
        <w:rPr>
          <w:rFonts w:asciiTheme="minorHAnsi" w:hAnsiTheme="minorHAnsi" w:cstheme="minorHAnsi"/>
          <w:sz w:val="22"/>
          <w:szCs w:val="22"/>
        </w:rPr>
        <w:t xml:space="preserve"> </w:t>
      </w:r>
      <w:r w:rsidR="00172EA1">
        <w:rPr>
          <w:rFonts w:asciiTheme="minorHAnsi" w:hAnsiTheme="minorHAnsi" w:cstheme="minorHAnsi"/>
          <w:sz w:val="22"/>
          <w:szCs w:val="22"/>
        </w:rPr>
        <w:t xml:space="preserve">unrealized gain each quarter, </w:t>
      </w:r>
      <w:r w:rsidR="00A13954">
        <w:rPr>
          <w:rFonts w:asciiTheme="minorHAnsi" w:hAnsiTheme="minorHAnsi" w:cstheme="minorHAnsi"/>
          <w:sz w:val="22"/>
          <w:szCs w:val="22"/>
        </w:rPr>
        <w:t xml:space="preserve">with the cumulative effect reflected in the year-end </w:t>
      </w:r>
      <w:r w:rsidR="00C52BF3">
        <w:rPr>
          <w:rFonts w:asciiTheme="minorHAnsi" w:hAnsiTheme="minorHAnsi" w:cstheme="minorHAnsi"/>
          <w:sz w:val="22"/>
          <w:szCs w:val="22"/>
        </w:rPr>
        <w:t xml:space="preserve">financial statements. </w:t>
      </w:r>
      <w:r w:rsidR="00DF0D7B">
        <w:rPr>
          <w:rFonts w:asciiTheme="minorHAnsi" w:hAnsiTheme="minorHAnsi" w:cstheme="minorHAnsi"/>
          <w:sz w:val="22"/>
          <w:szCs w:val="22"/>
        </w:rPr>
        <w:t xml:space="preserve">Then, the investee would </w:t>
      </w:r>
      <w:r w:rsidR="005924E8">
        <w:rPr>
          <w:rFonts w:asciiTheme="minorHAnsi" w:hAnsiTheme="minorHAnsi" w:cstheme="minorHAnsi"/>
          <w:sz w:val="22"/>
          <w:szCs w:val="22"/>
        </w:rPr>
        <w:t>have</w:t>
      </w:r>
      <w:r w:rsidR="00DF0D7B">
        <w:rPr>
          <w:rFonts w:asciiTheme="minorHAnsi" w:hAnsiTheme="minorHAnsi" w:cstheme="minorHAnsi"/>
          <w:sz w:val="22"/>
          <w:szCs w:val="22"/>
        </w:rPr>
        <w:t xml:space="preserve"> an audit of their </w:t>
      </w:r>
      <w:r w:rsidR="005C2018">
        <w:rPr>
          <w:rFonts w:asciiTheme="minorHAnsi" w:hAnsiTheme="minorHAnsi" w:cstheme="minorHAnsi"/>
          <w:sz w:val="22"/>
          <w:szCs w:val="22"/>
        </w:rPr>
        <w:t xml:space="preserve">equity value as of year-end 2024. However, this audit would </w:t>
      </w:r>
      <w:r w:rsidR="003432D3">
        <w:rPr>
          <w:rFonts w:asciiTheme="minorHAnsi" w:hAnsiTheme="minorHAnsi" w:cstheme="minorHAnsi"/>
          <w:sz w:val="22"/>
          <w:szCs w:val="22"/>
        </w:rPr>
        <w:t xml:space="preserve">likely </w:t>
      </w:r>
      <w:r w:rsidR="005C2018">
        <w:rPr>
          <w:rFonts w:asciiTheme="minorHAnsi" w:hAnsiTheme="minorHAnsi" w:cstheme="minorHAnsi"/>
          <w:sz w:val="22"/>
          <w:szCs w:val="22"/>
        </w:rPr>
        <w:t xml:space="preserve">not be completed until </w:t>
      </w:r>
      <w:r w:rsidR="003432D3">
        <w:rPr>
          <w:rFonts w:asciiTheme="minorHAnsi" w:hAnsiTheme="minorHAnsi" w:cstheme="minorHAnsi"/>
          <w:sz w:val="22"/>
          <w:szCs w:val="22"/>
        </w:rPr>
        <w:t xml:space="preserve">after first </w:t>
      </w:r>
      <w:r w:rsidR="00FF08A4">
        <w:rPr>
          <w:rFonts w:asciiTheme="minorHAnsi" w:hAnsiTheme="minorHAnsi" w:cstheme="minorHAnsi"/>
          <w:sz w:val="22"/>
          <w:szCs w:val="22"/>
        </w:rPr>
        <w:t>quarter</w:t>
      </w:r>
      <w:r w:rsidR="007F134F">
        <w:rPr>
          <w:rFonts w:asciiTheme="minorHAnsi" w:hAnsiTheme="minorHAnsi" w:cstheme="minorHAnsi"/>
          <w:sz w:val="22"/>
          <w:szCs w:val="22"/>
        </w:rPr>
        <w:t xml:space="preserve"> 2025</w:t>
      </w:r>
      <w:r w:rsidR="005C2018">
        <w:rPr>
          <w:rFonts w:asciiTheme="minorHAnsi" w:hAnsiTheme="minorHAnsi" w:cstheme="minorHAnsi"/>
          <w:sz w:val="22"/>
          <w:szCs w:val="22"/>
        </w:rPr>
        <w:t xml:space="preserve">. As such, the reporting entity </w:t>
      </w:r>
      <w:r w:rsidR="003432D3">
        <w:rPr>
          <w:rFonts w:asciiTheme="minorHAnsi" w:hAnsiTheme="minorHAnsi" w:cstheme="minorHAnsi"/>
          <w:sz w:val="22"/>
          <w:szCs w:val="22"/>
        </w:rPr>
        <w:t xml:space="preserve">would </w:t>
      </w:r>
      <w:r w:rsidR="005C2018">
        <w:rPr>
          <w:rFonts w:asciiTheme="minorHAnsi" w:hAnsiTheme="minorHAnsi" w:cstheme="minorHAnsi"/>
          <w:sz w:val="22"/>
          <w:szCs w:val="22"/>
        </w:rPr>
        <w:t xml:space="preserve">receive another unaudited </w:t>
      </w:r>
      <w:r w:rsidR="00824F76">
        <w:rPr>
          <w:rFonts w:asciiTheme="minorHAnsi" w:hAnsiTheme="minorHAnsi" w:cstheme="minorHAnsi"/>
          <w:sz w:val="22"/>
          <w:szCs w:val="22"/>
        </w:rPr>
        <w:t xml:space="preserve">quarterly </w:t>
      </w:r>
      <w:r w:rsidR="005C2018">
        <w:rPr>
          <w:rFonts w:asciiTheme="minorHAnsi" w:hAnsiTheme="minorHAnsi" w:cstheme="minorHAnsi"/>
          <w:sz w:val="22"/>
          <w:szCs w:val="22"/>
        </w:rPr>
        <w:t xml:space="preserve">statement indicating a 10% increase </w:t>
      </w:r>
      <w:r w:rsidR="00824F76">
        <w:rPr>
          <w:rFonts w:asciiTheme="minorHAnsi" w:hAnsiTheme="minorHAnsi" w:cstheme="minorHAnsi"/>
          <w:sz w:val="22"/>
          <w:szCs w:val="22"/>
        </w:rPr>
        <w:t xml:space="preserve">in </w:t>
      </w:r>
      <w:r w:rsidR="00FF08A4">
        <w:rPr>
          <w:rFonts w:asciiTheme="minorHAnsi" w:hAnsiTheme="minorHAnsi" w:cstheme="minorHAnsi"/>
          <w:sz w:val="22"/>
          <w:szCs w:val="22"/>
        </w:rPr>
        <w:t xml:space="preserve">March 2025 and </w:t>
      </w:r>
      <w:r w:rsidR="007F134F">
        <w:rPr>
          <w:rFonts w:asciiTheme="minorHAnsi" w:hAnsiTheme="minorHAnsi" w:cstheme="minorHAnsi"/>
          <w:sz w:val="22"/>
          <w:szCs w:val="22"/>
        </w:rPr>
        <w:t>the</w:t>
      </w:r>
      <w:r w:rsidR="00395BF8">
        <w:rPr>
          <w:rFonts w:asciiTheme="minorHAnsi" w:hAnsiTheme="minorHAnsi" w:cstheme="minorHAnsi"/>
          <w:sz w:val="22"/>
          <w:szCs w:val="22"/>
        </w:rPr>
        <w:t xml:space="preserve"> reporting entity</w:t>
      </w:r>
      <w:r w:rsidR="007F134F">
        <w:rPr>
          <w:rFonts w:asciiTheme="minorHAnsi" w:hAnsiTheme="minorHAnsi" w:cstheme="minorHAnsi"/>
          <w:sz w:val="22"/>
          <w:szCs w:val="22"/>
        </w:rPr>
        <w:t xml:space="preserve"> would </w:t>
      </w:r>
      <w:r w:rsidR="00FF08A4">
        <w:rPr>
          <w:rFonts w:asciiTheme="minorHAnsi" w:hAnsiTheme="minorHAnsi" w:cstheme="minorHAnsi"/>
          <w:sz w:val="22"/>
          <w:szCs w:val="22"/>
        </w:rPr>
        <w:t>recognize an</w:t>
      </w:r>
      <w:r w:rsidR="00824F76">
        <w:rPr>
          <w:rFonts w:asciiTheme="minorHAnsi" w:hAnsiTheme="minorHAnsi" w:cstheme="minorHAnsi"/>
          <w:sz w:val="22"/>
          <w:szCs w:val="22"/>
        </w:rPr>
        <w:t xml:space="preserve"> additional unrealized gain</w:t>
      </w:r>
      <w:r w:rsidR="00232036">
        <w:rPr>
          <w:rFonts w:asciiTheme="minorHAnsi" w:hAnsiTheme="minorHAnsi" w:cstheme="minorHAnsi"/>
          <w:sz w:val="22"/>
          <w:szCs w:val="22"/>
        </w:rPr>
        <w:t xml:space="preserve">. </w:t>
      </w:r>
      <w:r w:rsidR="00BA19EB">
        <w:rPr>
          <w:rFonts w:asciiTheme="minorHAnsi" w:hAnsiTheme="minorHAnsi" w:cstheme="minorHAnsi"/>
          <w:sz w:val="22"/>
          <w:szCs w:val="22"/>
        </w:rPr>
        <w:t xml:space="preserve">Once the audit was complete, </w:t>
      </w:r>
      <w:r w:rsidR="00BA19EB">
        <w:rPr>
          <w:rFonts w:asciiTheme="minorHAnsi" w:hAnsiTheme="minorHAnsi" w:cstheme="minorHAnsi"/>
          <w:sz w:val="22"/>
          <w:szCs w:val="22"/>
        </w:rPr>
        <w:lastRenderedPageBreak/>
        <w:t xml:space="preserve">the reporting entity would receive the audited </w:t>
      </w:r>
      <w:r w:rsidR="001547FD">
        <w:rPr>
          <w:rFonts w:asciiTheme="minorHAnsi" w:hAnsiTheme="minorHAnsi" w:cstheme="minorHAnsi"/>
          <w:sz w:val="22"/>
          <w:szCs w:val="22"/>
        </w:rPr>
        <w:t>result and</w:t>
      </w:r>
      <w:r w:rsidR="00FB3A70">
        <w:rPr>
          <w:rFonts w:asciiTheme="minorHAnsi" w:hAnsiTheme="minorHAnsi" w:cstheme="minorHAnsi"/>
          <w:sz w:val="22"/>
          <w:szCs w:val="22"/>
        </w:rPr>
        <w:t xml:space="preserve"> then make a corresponding adjustment to the equity value based on what was reported as of year-end 2024. Even if a reduction was necessary, </w:t>
      </w:r>
      <w:r w:rsidR="00E26D78">
        <w:rPr>
          <w:rFonts w:asciiTheme="minorHAnsi" w:hAnsiTheme="minorHAnsi" w:cstheme="minorHAnsi"/>
          <w:sz w:val="22"/>
          <w:szCs w:val="22"/>
        </w:rPr>
        <w:t xml:space="preserve">the adjustment is made to the </w:t>
      </w:r>
      <w:r w:rsidR="006537B9">
        <w:rPr>
          <w:rFonts w:asciiTheme="minorHAnsi" w:hAnsiTheme="minorHAnsi" w:cstheme="minorHAnsi"/>
          <w:sz w:val="22"/>
          <w:szCs w:val="22"/>
        </w:rPr>
        <w:t>current period</w:t>
      </w:r>
      <w:r w:rsidR="00E26D78">
        <w:rPr>
          <w:rFonts w:asciiTheme="minorHAnsi" w:hAnsiTheme="minorHAnsi" w:cstheme="minorHAnsi"/>
          <w:sz w:val="22"/>
          <w:szCs w:val="22"/>
        </w:rPr>
        <w:t xml:space="preserve"> </w:t>
      </w:r>
      <w:r w:rsidR="006537B9">
        <w:rPr>
          <w:rFonts w:asciiTheme="minorHAnsi" w:hAnsiTheme="minorHAnsi" w:cstheme="minorHAnsi"/>
          <w:sz w:val="22"/>
          <w:szCs w:val="22"/>
        </w:rPr>
        <w:t>financials</w:t>
      </w:r>
      <w:r w:rsidR="00E26D78">
        <w:rPr>
          <w:rFonts w:asciiTheme="minorHAnsi" w:hAnsiTheme="minorHAnsi" w:cstheme="minorHAnsi"/>
          <w:sz w:val="22"/>
          <w:szCs w:val="22"/>
        </w:rPr>
        <w:t xml:space="preserve"> (</w:t>
      </w:r>
      <w:r w:rsidR="00FF08A4">
        <w:rPr>
          <w:rFonts w:asciiTheme="minorHAnsi" w:hAnsiTheme="minorHAnsi" w:cstheme="minorHAnsi"/>
          <w:sz w:val="22"/>
          <w:szCs w:val="22"/>
        </w:rPr>
        <w:t>whichever quarter the audited info is received</w:t>
      </w:r>
      <w:r w:rsidR="00E26D78">
        <w:rPr>
          <w:rFonts w:asciiTheme="minorHAnsi" w:hAnsiTheme="minorHAnsi" w:cstheme="minorHAnsi"/>
          <w:sz w:val="22"/>
          <w:szCs w:val="22"/>
        </w:rPr>
        <w:t xml:space="preserve">), but the </w:t>
      </w:r>
      <w:r w:rsidR="001547FD">
        <w:rPr>
          <w:rFonts w:asciiTheme="minorHAnsi" w:hAnsiTheme="minorHAnsi" w:cstheme="minorHAnsi"/>
          <w:sz w:val="22"/>
          <w:szCs w:val="22"/>
        </w:rPr>
        <w:t xml:space="preserve">unaudited </w:t>
      </w:r>
      <w:r w:rsidR="00FB3A70">
        <w:rPr>
          <w:rFonts w:asciiTheme="minorHAnsi" w:hAnsiTheme="minorHAnsi" w:cstheme="minorHAnsi"/>
          <w:sz w:val="22"/>
          <w:szCs w:val="22"/>
        </w:rPr>
        <w:t xml:space="preserve">10% </w:t>
      </w:r>
      <w:r w:rsidR="00F57D1A">
        <w:rPr>
          <w:rFonts w:asciiTheme="minorHAnsi" w:hAnsiTheme="minorHAnsi" w:cstheme="minorHAnsi"/>
          <w:sz w:val="22"/>
          <w:szCs w:val="22"/>
        </w:rPr>
        <w:t>unrealized gain</w:t>
      </w:r>
      <w:r w:rsidR="00FB3A70">
        <w:rPr>
          <w:rFonts w:asciiTheme="minorHAnsi" w:hAnsiTheme="minorHAnsi" w:cstheme="minorHAnsi"/>
          <w:sz w:val="22"/>
          <w:szCs w:val="22"/>
        </w:rPr>
        <w:t xml:space="preserve"> </w:t>
      </w:r>
      <w:r w:rsidR="001547FD">
        <w:rPr>
          <w:rFonts w:asciiTheme="minorHAnsi" w:hAnsiTheme="minorHAnsi" w:cstheme="minorHAnsi"/>
          <w:sz w:val="22"/>
          <w:szCs w:val="22"/>
        </w:rPr>
        <w:t>reported for the Q1 2025 would remain</w:t>
      </w:r>
      <w:r w:rsidR="008D76B4">
        <w:rPr>
          <w:rFonts w:asciiTheme="minorHAnsi" w:hAnsiTheme="minorHAnsi" w:cstheme="minorHAnsi"/>
          <w:sz w:val="22"/>
          <w:szCs w:val="22"/>
        </w:rPr>
        <w:t xml:space="preserve"> until a subsequent audit found that the adjustment was incorrect</w:t>
      </w:r>
      <w:r w:rsidR="00BA72DA">
        <w:rPr>
          <w:rFonts w:asciiTheme="minorHAnsi" w:hAnsiTheme="minorHAnsi" w:cstheme="minorHAnsi"/>
          <w:sz w:val="22"/>
          <w:szCs w:val="22"/>
        </w:rPr>
        <w:t xml:space="preserve">. </w:t>
      </w:r>
    </w:p>
    <w:p w14:paraId="6CF64A9C" w14:textId="77777777" w:rsidR="00F4656F" w:rsidRDefault="00F4656F" w:rsidP="008F5AFD">
      <w:pPr>
        <w:pStyle w:val="BodyTextIndent"/>
        <w:spacing w:after="0"/>
        <w:ind w:left="0"/>
        <w:jc w:val="both"/>
        <w:rPr>
          <w:rFonts w:asciiTheme="minorHAnsi" w:hAnsiTheme="minorHAnsi" w:cstheme="minorHAnsi"/>
          <w:sz w:val="22"/>
          <w:szCs w:val="22"/>
        </w:rPr>
      </w:pPr>
    </w:p>
    <w:p w14:paraId="737C9627" w14:textId="540EC97B" w:rsidR="00F4656F" w:rsidRDefault="00F4656F"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Although the requirement for audited </w:t>
      </w:r>
      <w:r w:rsidR="00943B14">
        <w:rPr>
          <w:rFonts w:asciiTheme="minorHAnsi" w:hAnsiTheme="minorHAnsi" w:cstheme="minorHAnsi"/>
          <w:sz w:val="22"/>
          <w:szCs w:val="22"/>
        </w:rPr>
        <w:t xml:space="preserve">financial support is pointed to as a safeguard for the reported value </w:t>
      </w:r>
      <w:r w:rsidR="009A40CA">
        <w:rPr>
          <w:rFonts w:asciiTheme="minorHAnsi" w:hAnsiTheme="minorHAnsi" w:cstheme="minorHAnsi"/>
          <w:sz w:val="22"/>
          <w:szCs w:val="22"/>
        </w:rPr>
        <w:t>of these investments, with the industry practice,</w:t>
      </w:r>
      <w:r w:rsidR="00822FCE">
        <w:rPr>
          <w:rFonts w:asciiTheme="minorHAnsi" w:hAnsiTheme="minorHAnsi" w:cstheme="minorHAnsi"/>
          <w:sz w:val="22"/>
          <w:szCs w:val="22"/>
        </w:rPr>
        <w:t xml:space="preserve"> </w:t>
      </w:r>
      <w:r w:rsidR="00822FCE" w:rsidRPr="009628D5">
        <w:rPr>
          <w:rFonts w:asciiTheme="minorHAnsi" w:hAnsiTheme="minorHAnsi" w:cstheme="minorHAnsi"/>
          <w:sz w:val="22"/>
          <w:szCs w:val="22"/>
        </w:rPr>
        <w:t>there can be a significant timing differen</w:t>
      </w:r>
      <w:r w:rsidR="003E6B43" w:rsidRPr="009628D5">
        <w:rPr>
          <w:rFonts w:asciiTheme="minorHAnsi" w:hAnsiTheme="minorHAnsi" w:cstheme="minorHAnsi"/>
          <w:sz w:val="22"/>
          <w:szCs w:val="22"/>
        </w:rPr>
        <w:t>ce in the reported equity value and when the audited financial statements are obtained to verify that amount. This practice</w:t>
      </w:r>
      <w:r w:rsidR="007D0EF0" w:rsidRPr="009628D5">
        <w:rPr>
          <w:rFonts w:asciiTheme="minorHAnsi" w:hAnsiTheme="minorHAnsi" w:cstheme="minorHAnsi"/>
          <w:sz w:val="22"/>
          <w:szCs w:val="22"/>
        </w:rPr>
        <w:t xml:space="preserve"> </w:t>
      </w:r>
      <w:r w:rsidR="003E6B43" w:rsidRPr="009628D5">
        <w:rPr>
          <w:rFonts w:asciiTheme="minorHAnsi" w:hAnsiTheme="minorHAnsi" w:cstheme="minorHAnsi"/>
          <w:sz w:val="22"/>
          <w:szCs w:val="22"/>
        </w:rPr>
        <w:t xml:space="preserve">is not </w:t>
      </w:r>
      <w:r w:rsidR="00C57771" w:rsidRPr="009628D5">
        <w:rPr>
          <w:rFonts w:asciiTheme="minorHAnsi" w:hAnsiTheme="minorHAnsi" w:cstheme="minorHAnsi"/>
          <w:sz w:val="22"/>
          <w:szCs w:val="22"/>
        </w:rPr>
        <w:t>consistent</w:t>
      </w:r>
      <w:r w:rsidR="003E6B43" w:rsidRPr="009628D5">
        <w:rPr>
          <w:rFonts w:asciiTheme="minorHAnsi" w:hAnsiTheme="minorHAnsi" w:cstheme="minorHAnsi"/>
          <w:sz w:val="22"/>
          <w:szCs w:val="22"/>
        </w:rPr>
        <w:t xml:space="preserve"> with the explicit guidance in SSAP No. </w:t>
      </w:r>
      <w:r w:rsidR="00EA3CB8" w:rsidRPr="009628D5">
        <w:rPr>
          <w:rFonts w:asciiTheme="minorHAnsi" w:hAnsiTheme="minorHAnsi" w:cstheme="minorHAnsi"/>
          <w:sz w:val="22"/>
          <w:szCs w:val="22"/>
        </w:rPr>
        <w:t xml:space="preserve">48 that indicates </w:t>
      </w:r>
      <w:r w:rsidR="000A3E79" w:rsidRPr="009628D5">
        <w:rPr>
          <w:rFonts w:asciiTheme="minorHAnsi" w:hAnsiTheme="minorHAnsi" w:cstheme="minorHAnsi"/>
          <w:sz w:val="22"/>
          <w:szCs w:val="22"/>
        </w:rPr>
        <w:t xml:space="preserve">the carrying amount </w:t>
      </w:r>
      <w:r w:rsidR="00A41912" w:rsidRPr="009628D5">
        <w:rPr>
          <w:rFonts w:asciiTheme="minorHAnsi" w:hAnsiTheme="minorHAnsi" w:cstheme="minorHAnsi"/>
          <w:sz w:val="22"/>
          <w:szCs w:val="22"/>
        </w:rPr>
        <w:t xml:space="preserve">shall be adjusted to recognize the reporting entity’s share of the </w:t>
      </w:r>
      <w:r w:rsidR="00A41912" w:rsidRPr="009628D5">
        <w:rPr>
          <w:rFonts w:asciiTheme="minorHAnsi" w:hAnsiTheme="minorHAnsi" w:cstheme="minorHAnsi"/>
          <w:sz w:val="22"/>
          <w:szCs w:val="22"/>
          <w:u w:val="single"/>
        </w:rPr>
        <w:t>audited</w:t>
      </w:r>
      <w:r w:rsidR="00A41912" w:rsidRPr="009628D5">
        <w:rPr>
          <w:rFonts w:asciiTheme="minorHAnsi" w:hAnsiTheme="minorHAnsi" w:cstheme="minorHAnsi"/>
          <w:sz w:val="22"/>
          <w:szCs w:val="22"/>
        </w:rPr>
        <w:t xml:space="preserve"> U.S. GAAP basis earnings </w:t>
      </w:r>
      <w:r w:rsidR="00AC7BA0" w:rsidRPr="009628D5">
        <w:rPr>
          <w:rFonts w:asciiTheme="minorHAnsi" w:hAnsiTheme="minorHAnsi" w:cstheme="minorHAnsi"/>
          <w:sz w:val="22"/>
          <w:szCs w:val="22"/>
        </w:rPr>
        <w:t>or losses of the investee after the date of acquisition.</w:t>
      </w:r>
      <w:r w:rsidR="00AC7BA0">
        <w:rPr>
          <w:rFonts w:asciiTheme="minorHAnsi" w:hAnsiTheme="minorHAnsi" w:cstheme="minorHAnsi"/>
          <w:sz w:val="22"/>
          <w:szCs w:val="22"/>
        </w:rPr>
        <w:t xml:space="preserve"> </w:t>
      </w:r>
      <w:r w:rsidR="00534AD7">
        <w:rPr>
          <w:rFonts w:asciiTheme="minorHAnsi" w:hAnsiTheme="minorHAnsi" w:cstheme="minorHAnsi"/>
          <w:sz w:val="22"/>
          <w:szCs w:val="22"/>
        </w:rPr>
        <w:t xml:space="preserve">The guidance in SSAP No. 48 does allow </w:t>
      </w:r>
      <w:r w:rsidR="008F486A">
        <w:rPr>
          <w:rFonts w:asciiTheme="minorHAnsi" w:hAnsiTheme="minorHAnsi" w:cstheme="minorHAnsi"/>
          <w:sz w:val="22"/>
          <w:szCs w:val="22"/>
        </w:rPr>
        <w:t xml:space="preserve">use of unaudited </w:t>
      </w:r>
      <w:r w:rsidR="00BD2F5B">
        <w:rPr>
          <w:rFonts w:asciiTheme="minorHAnsi" w:hAnsiTheme="minorHAnsi" w:cstheme="minorHAnsi"/>
          <w:sz w:val="22"/>
          <w:szCs w:val="22"/>
        </w:rPr>
        <w:t>information if the annual audited information is not complete as of the annual financial statement deadline</w:t>
      </w:r>
      <w:r w:rsidR="009E2D35">
        <w:rPr>
          <w:rFonts w:asciiTheme="minorHAnsi" w:hAnsiTheme="minorHAnsi" w:cstheme="minorHAnsi"/>
          <w:sz w:val="22"/>
          <w:szCs w:val="22"/>
        </w:rPr>
        <w:t xml:space="preserve">, however, clarification is requested on how far in advance the use of unaudited information should be permitted. Is </w:t>
      </w:r>
      <w:r w:rsidR="00922D45">
        <w:rPr>
          <w:rFonts w:asciiTheme="minorHAnsi" w:hAnsiTheme="minorHAnsi" w:cstheme="minorHAnsi"/>
          <w:sz w:val="22"/>
          <w:szCs w:val="22"/>
        </w:rPr>
        <w:t>the guidance</w:t>
      </w:r>
      <w:r w:rsidR="009E2D35">
        <w:rPr>
          <w:rFonts w:asciiTheme="minorHAnsi" w:hAnsiTheme="minorHAnsi" w:cstheme="minorHAnsi"/>
          <w:sz w:val="22"/>
          <w:szCs w:val="22"/>
        </w:rPr>
        <w:t xml:space="preserve"> intended to allow equity adjustments at any time the investee provides information, or </w:t>
      </w:r>
      <w:r w:rsidR="00894739">
        <w:rPr>
          <w:rFonts w:asciiTheme="minorHAnsi" w:hAnsiTheme="minorHAnsi" w:cstheme="minorHAnsi"/>
          <w:sz w:val="22"/>
          <w:szCs w:val="22"/>
        </w:rPr>
        <w:t>was that intended to only apply at year-end?</w:t>
      </w:r>
      <w:r w:rsidR="009E2D35">
        <w:rPr>
          <w:rFonts w:asciiTheme="minorHAnsi" w:hAnsiTheme="minorHAnsi" w:cstheme="minorHAnsi"/>
          <w:sz w:val="22"/>
          <w:szCs w:val="22"/>
        </w:rPr>
        <w:t xml:space="preserve"> </w:t>
      </w:r>
      <w:r w:rsidR="003E11B2">
        <w:rPr>
          <w:rFonts w:asciiTheme="minorHAnsi" w:hAnsiTheme="minorHAnsi" w:cstheme="minorHAnsi"/>
          <w:sz w:val="22"/>
          <w:szCs w:val="22"/>
        </w:rPr>
        <w:t xml:space="preserve">When there is an audit lag, SSAP No. 48 indicates use of the more “recent available financial statements” </w:t>
      </w:r>
      <w:r w:rsidR="00280A4C">
        <w:rPr>
          <w:rFonts w:asciiTheme="minorHAnsi" w:hAnsiTheme="minorHAnsi" w:cstheme="minorHAnsi"/>
          <w:sz w:val="22"/>
          <w:szCs w:val="22"/>
        </w:rPr>
        <w:t xml:space="preserve">and that the lag should be consistent from period to period. </w:t>
      </w:r>
      <w:r w:rsidR="008D71D1">
        <w:rPr>
          <w:rFonts w:asciiTheme="minorHAnsi" w:hAnsiTheme="minorHAnsi" w:cstheme="minorHAnsi"/>
          <w:sz w:val="22"/>
          <w:szCs w:val="22"/>
        </w:rPr>
        <w:t xml:space="preserve">SSAP No. 97 has the SCA </w:t>
      </w:r>
      <w:r w:rsidR="000B5684">
        <w:rPr>
          <w:rFonts w:asciiTheme="minorHAnsi" w:hAnsiTheme="minorHAnsi" w:cstheme="minorHAnsi"/>
          <w:sz w:val="22"/>
          <w:szCs w:val="22"/>
        </w:rPr>
        <w:t xml:space="preserve">reporting process that </w:t>
      </w:r>
      <w:r w:rsidR="001C3392">
        <w:rPr>
          <w:rFonts w:asciiTheme="minorHAnsi" w:hAnsiTheme="minorHAnsi" w:cstheme="minorHAnsi"/>
          <w:sz w:val="22"/>
          <w:szCs w:val="22"/>
        </w:rPr>
        <w:t>verifies audited information</w:t>
      </w:r>
      <w:r w:rsidR="000C38CF">
        <w:rPr>
          <w:rFonts w:asciiTheme="minorHAnsi" w:hAnsiTheme="minorHAnsi" w:cstheme="minorHAnsi"/>
          <w:sz w:val="22"/>
          <w:szCs w:val="22"/>
        </w:rPr>
        <w:t>, the</w:t>
      </w:r>
      <w:r w:rsidR="001C3392">
        <w:rPr>
          <w:rFonts w:asciiTheme="minorHAnsi" w:hAnsiTheme="minorHAnsi" w:cstheme="minorHAnsi"/>
          <w:sz w:val="22"/>
          <w:szCs w:val="22"/>
        </w:rPr>
        <w:t xml:space="preserve"> reported </w:t>
      </w:r>
      <w:r w:rsidR="000C38CF">
        <w:rPr>
          <w:rFonts w:asciiTheme="minorHAnsi" w:hAnsiTheme="minorHAnsi" w:cstheme="minorHAnsi"/>
          <w:sz w:val="22"/>
          <w:szCs w:val="22"/>
        </w:rPr>
        <w:t>valuation method and adjustments required</w:t>
      </w:r>
      <w:r w:rsidR="00DB63F7">
        <w:rPr>
          <w:rFonts w:asciiTheme="minorHAnsi" w:hAnsiTheme="minorHAnsi" w:cstheme="minorHAnsi"/>
          <w:sz w:val="22"/>
          <w:szCs w:val="22"/>
        </w:rPr>
        <w:t>.</w:t>
      </w:r>
    </w:p>
    <w:p w14:paraId="6FDF08B1" w14:textId="77777777" w:rsidR="00031EDF" w:rsidRDefault="00031EDF" w:rsidP="008F5AFD">
      <w:pPr>
        <w:pStyle w:val="BodyTextIndent"/>
        <w:spacing w:after="0"/>
        <w:ind w:left="0"/>
        <w:jc w:val="both"/>
        <w:rPr>
          <w:rFonts w:asciiTheme="minorHAnsi" w:hAnsiTheme="minorHAnsi" w:cstheme="minorHAnsi"/>
          <w:sz w:val="22"/>
          <w:szCs w:val="22"/>
        </w:rPr>
      </w:pPr>
    </w:p>
    <w:p w14:paraId="1D5E822D" w14:textId="6B24DF88" w:rsidR="00F31980" w:rsidRPr="00797805" w:rsidRDefault="00031EDF" w:rsidP="008F5AFD">
      <w:pPr>
        <w:pStyle w:val="BodyTextIndent"/>
        <w:spacing w:after="0"/>
        <w:ind w:left="0"/>
        <w:jc w:val="both"/>
        <w:rPr>
          <w:rFonts w:asciiTheme="minorHAnsi" w:hAnsiTheme="minorHAnsi" w:cstheme="minorHAnsi"/>
          <w:sz w:val="22"/>
          <w:szCs w:val="22"/>
          <w:u w:val="single"/>
        </w:rPr>
      </w:pPr>
      <w:r>
        <w:rPr>
          <w:rFonts w:asciiTheme="minorHAnsi" w:hAnsiTheme="minorHAnsi" w:cstheme="minorHAnsi"/>
          <w:sz w:val="22"/>
          <w:szCs w:val="22"/>
        </w:rPr>
        <w:t xml:space="preserve">With knowledge of industry practice, NAIC staff </w:t>
      </w:r>
      <w:r w:rsidR="00EB4049">
        <w:rPr>
          <w:rFonts w:asciiTheme="minorHAnsi" w:hAnsiTheme="minorHAnsi" w:cstheme="minorHAnsi"/>
          <w:sz w:val="22"/>
          <w:szCs w:val="22"/>
        </w:rPr>
        <w:t>request</w:t>
      </w:r>
      <w:r w:rsidR="00DA7B5B">
        <w:rPr>
          <w:rFonts w:asciiTheme="minorHAnsi" w:hAnsiTheme="minorHAnsi" w:cstheme="minorHAnsi"/>
          <w:sz w:val="22"/>
          <w:szCs w:val="22"/>
        </w:rPr>
        <w:t xml:space="preserve"> comments on</w:t>
      </w:r>
      <w:r>
        <w:rPr>
          <w:rFonts w:asciiTheme="minorHAnsi" w:hAnsiTheme="minorHAnsi" w:cstheme="minorHAnsi"/>
          <w:sz w:val="22"/>
          <w:szCs w:val="22"/>
        </w:rPr>
        <w:t xml:space="preserve"> whether additional information is needed </w:t>
      </w:r>
      <w:r w:rsidR="00232446">
        <w:rPr>
          <w:rFonts w:asciiTheme="minorHAnsi" w:hAnsiTheme="minorHAnsi" w:cstheme="minorHAnsi"/>
          <w:sz w:val="22"/>
          <w:szCs w:val="22"/>
        </w:rPr>
        <w:t xml:space="preserve">for regulators to assess the reported value of SSAP No. 48 investments. </w:t>
      </w:r>
      <w:r w:rsidR="00232446" w:rsidRPr="00797805">
        <w:rPr>
          <w:rFonts w:asciiTheme="minorHAnsi" w:hAnsiTheme="minorHAnsi" w:cstheme="minorHAnsi"/>
          <w:sz w:val="22"/>
          <w:szCs w:val="22"/>
          <w:u w:val="single"/>
        </w:rPr>
        <w:t xml:space="preserve">For example, </w:t>
      </w:r>
      <w:r w:rsidR="00BA56D7" w:rsidRPr="00797805">
        <w:rPr>
          <w:rFonts w:asciiTheme="minorHAnsi" w:hAnsiTheme="minorHAnsi" w:cstheme="minorHAnsi"/>
          <w:sz w:val="22"/>
          <w:szCs w:val="22"/>
          <w:u w:val="single"/>
        </w:rPr>
        <w:t xml:space="preserve">whether </w:t>
      </w:r>
      <w:r w:rsidR="00232446" w:rsidRPr="00797805">
        <w:rPr>
          <w:rFonts w:asciiTheme="minorHAnsi" w:hAnsiTheme="minorHAnsi" w:cstheme="minorHAnsi"/>
          <w:sz w:val="22"/>
          <w:szCs w:val="22"/>
          <w:u w:val="single"/>
        </w:rPr>
        <w:t xml:space="preserve">it would be beneficial to receive information (perhaps via </w:t>
      </w:r>
      <w:r w:rsidR="00A7206A" w:rsidRPr="00797805">
        <w:rPr>
          <w:rFonts w:asciiTheme="minorHAnsi" w:hAnsiTheme="minorHAnsi" w:cstheme="minorHAnsi"/>
          <w:sz w:val="22"/>
          <w:szCs w:val="22"/>
          <w:u w:val="single"/>
        </w:rPr>
        <w:t>new</w:t>
      </w:r>
      <w:r w:rsidR="00232446" w:rsidRPr="00797805">
        <w:rPr>
          <w:rFonts w:asciiTheme="minorHAnsi" w:hAnsiTheme="minorHAnsi" w:cstheme="minorHAnsi"/>
          <w:sz w:val="22"/>
          <w:szCs w:val="22"/>
          <w:u w:val="single"/>
        </w:rPr>
        <w:t xml:space="preserve"> electronic column</w:t>
      </w:r>
      <w:r w:rsidR="00A7206A" w:rsidRPr="00797805">
        <w:rPr>
          <w:rFonts w:asciiTheme="minorHAnsi" w:hAnsiTheme="minorHAnsi" w:cstheme="minorHAnsi"/>
          <w:sz w:val="22"/>
          <w:szCs w:val="22"/>
          <w:u w:val="single"/>
        </w:rPr>
        <w:t>s</w:t>
      </w:r>
      <w:r w:rsidR="00232446" w:rsidRPr="00797805">
        <w:rPr>
          <w:rFonts w:asciiTheme="minorHAnsi" w:hAnsiTheme="minorHAnsi" w:cstheme="minorHAnsi"/>
          <w:sz w:val="22"/>
          <w:szCs w:val="22"/>
          <w:u w:val="single"/>
        </w:rPr>
        <w:t xml:space="preserve">) </w:t>
      </w:r>
      <w:r w:rsidR="00B15F05" w:rsidRPr="00797805">
        <w:rPr>
          <w:rFonts w:asciiTheme="minorHAnsi" w:hAnsiTheme="minorHAnsi" w:cstheme="minorHAnsi"/>
          <w:sz w:val="22"/>
          <w:szCs w:val="22"/>
          <w:u w:val="single"/>
        </w:rPr>
        <w:t>that identifies the date of the last audited financial statement supporting the equity position</w:t>
      </w:r>
      <w:r w:rsidR="003901C2" w:rsidRPr="00797805">
        <w:rPr>
          <w:rFonts w:asciiTheme="minorHAnsi" w:hAnsiTheme="minorHAnsi" w:cstheme="minorHAnsi"/>
          <w:sz w:val="22"/>
          <w:szCs w:val="22"/>
          <w:u w:val="single"/>
        </w:rPr>
        <w:t>, when that audited information was received by the reporting entity</w:t>
      </w:r>
      <w:r w:rsidR="00C50EA1" w:rsidRPr="00797805">
        <w:rPr>
          <w:rFonts w:asciiTheme="minorHAnsi" w:hAnsiTheme="minorHAnsi" w:cstheme="minorHAnsi"/>
          <w:sz w:val="22"/>
          <w:szCs w:val="22"/>
          <w:u w:val="single"/>
        </w:rPr>
        <w:t>, and what the reporting entity’s audited equity value was at that time</w:t>
      </w:r>
      <w:r w:rsidR="00B15F05" w:rsidRPr="00797805">
        <w:rPr>
          <w:rFonts w:asciiTheme="minorHAnsi" w:hAnsiTheme="minorHAnsi" w:cstheme="minorHAnsi"/>
          <w:sz w:val="22"/>
          <w:szCs w:val="22"/>
          <w:u w:val="single"/>
        </w:rPr>
        <w:t>.</w:t>
      </w:r>
      <w:r w:rsidR="00C50EA1" w:rsidRPr="00797805">
        <w:rPr>
          <w:rFonts w:asciiTheme="minorHAnsi" w:hAnsiTheme="minorHAnsi" w:cstheme="minorHAnsi"/>
          <w:sz w:val="22"/>
          <w:szCs w:val="22"/>
          <w:u w:val="single"/>
        </w:rPr>
        <w:t xml:space="preserve"> </w:t>
      </w:r>
      <w:r w:rsidR="00F31980" w:rsidRPr="00797805">
        <w:rPr>
          <w:rFonts w:asciiTheme="minorHAnsi" w:hAnsiTheme="minorHAnsi" w:cstheme="minorHAnsi"/>
          <w:sz w:val="22"/>
          <w:szCs w:val="22"/>
          <w:u w:val="single"/>
        </w:rPr>
        <w:t xml:space="preserve">This could assist in identifying significant </w:t>
      </w:r>
      <w:r w:rsidR="005018F6">
        <w:rPr>
          <w:rFonts w:asciiTheme="minorHAnsi" w:hAnsiTheme="minorHAnsi" w:cstheme="minorHAnsi"/>
          <w:sz w:val="22"/>
          <w:szCs w:val="22"/>
          <w:u w:val="single"/>
        </w:rPr>
        <w:t xml:space="preserve">equity </w:t>
      </w:r>
      <w:r w:rsidR="00F31980" w:rsidRPr="00797805">
        <w:rPr>
          <w:rFonts w:asciiTheme="minorHAnsi" w:hAnsiTheme="minorHAnsi" w:cstheme="minorHAnsi"/>
          <w:sz w:val="22"/>
          <w:szCs w:val="22"/>
          <w:u w:val="single"/>
        </w:rPr>
        <w:t xml:space="preserve">changes since the last audit was received. </w:t>
      </w:r>
    </w:p>
    <w:p w14:paraId="2952B6C1" w14:textId="77777777" w:rsidR="00F31980" w:rsidRPr="00797805" w:rsidRDefault="00F31980" w:rsidP="008F5AFD">
      <w:pPr>
        <w:pStyle w:val="BodyTextIndent"/>
        <w:spacing w:after="0"/>
        <w:ind w:left="0"/>
        <w:jc w:val="both"/>
        <w:rPr>
          <w:rFonts w:asciiTheme="minorHAnsi" w:hAnsiTheme="minorHAnsi" w:cstheme="minorHAnsi"/>
          <w:sz w:val="22"/>
          <w:szCs w:val="22"/>
          <w:u w:val="single"/>
        </w:rPr>
      </w:pPr>
    </w:p>
    <w:p w14:paraId="3AEA0D2A" w14:textId="4E790655" w:rsidR="005D666D" w:rsidRDefault="00F31980" w:rsidP="008F5AFD">
      <w:pPr>
        <w:pStyle w:val="BodyTextIndent"/>
        <w:spacing w:after="0"/>
        <w:ind w:left="0"/>
        <w:jc w:val="both"/>
        <w:rPr>
          <w:rFonts w:asciiTheme="minorHAnsi" w:hAnsiTheme="minorHAnsi" w:cstheme="minorHAnsi"/>
          <w:sz w:val="22"/>
          <w:szCs w:val="22"/>
        </w:rPr>
      </w:pPr>
      <w:r w:rsidRPr="00DC79C5">
        <w:rPr>
          <w:rFonts w:asciiTheme="minorHAnsi" w:hAnsiTheme="minorHAnsi" w:cstheme="minorHAnsi"/>
          <w:sz w:val="22"/>
          <w:szCs w:val="22"/>
        </w:rPr>
        <w:t xml:space="preserve">Conversely, if preferred by regulators, the language in SSAP No. 48 </w:t>
      </w:r>
      <w:r w:rsidR="0068643A" w:rsidRPr="00DC79C5">
        <w:rPr>
          <w:rFonts w:asciiTheme="minorHAnsi" w:hAnsiTheme="minorHAnsi" w:cstheme="minorHAnsi"/>
          <w:sz w:val="22"/>
          <w:szCs w:val="22"/>
        </w:rPr>
        <w:t xml:space="preserve">could be </w:t>
      </w:r>
      <w:r w:rsidR="00DC79C5">
        <w:rPr>
          <w:rFonts w:asciiTheme="minorHAnsi" w:hAnsiTheme="minorHAnsi" w:cstheme="minorHAnsi"/>
          <w:sz w:val="22"/>
          <w:szCs w:val="22"/>
        </w:rPr>
        <w:t>revised to</w:t>
      </w:r>
      <w:r w:rsidRPr="00DC79C5">
        <w:rPr>
          <w:rFonts w:asciiTheme="minorHAnsi" w:hAnsiTheme="minorHAnsi" w:cstheme="minorHAnsi"/>
          <w:sz w:val="22"/>
          <w:szCs w:val="22"/>
        </w:rPr>
        <w:t xml:space="preserve"> </w:t>
      </w:r>
      <w:r w:rsidR="00F7270E" w:rsidRPr="00DC79C5">
        <w:rPr>
          <w:rFonts w:asciiTheme="minorHAnsi" w:hAnsiTheme="minorHAnsi" w:cstheme="minorHAnsi"/>
          <w:sz w:val="22"/>
          <w:szCs w:val="22"/>
        </w:rPr>
        <w:t xml:space="preserve">restrict recognition of unrealized gains </w:t>
      </w:r>
      <w:r w:rsidR="00D3718A" w:rsidRPr="00DC79C5">
        <w:rPr>
          <w:rFonts w:asciiTheme="minorHAnsi" w:hAnsiTheme="minorHAnsi" w:cstheme="minorHAnsi"/>
          <w:sz w:val="22"/>
          <w:szCs w:val="22"/>
        </w:rPr>
        <w:t xml:space="preserve">(valuation increases) </w:t>
      </w:r>
      <w:r w:rsidR="0068643A" w:rsidRPr="00DC79C5">
        <w:rPr>
          <w:rFonts w:asciiTheme="minorHAnsi" w:hAnsiTheme="minorHAnsi" w:cstheme="minorHAnsi"/>
          <w:sz w:val="22"/>
          <w:szCs w:val="22"/>
        </w:rPr>
        <w:t xml:space="preserve">until those increases are supported by </w:t>
      </w:r>
      <w:r w:rsidR="00F7270E" w:rsidRPr="00DC79C5">
        <w:rPr>
          <w:rFonts w:asciiTheme="minorHAnsi" w:hAnsiTheme="minorHAnsi" w:cstheme="minorHAnsi"/>
          <w:sz w:val="22"/>
          <w:szCs w:val="22"/>
        </w:rPr>
        <w:t>audited financial statements. If supported, consideration would need to be given</w:t>
      </w:r>
      <w:r w:rsidR="007B7BC1" w:rsidRPr="00DC79C5">
        <w:rPr>
          <w:rFonts w:asciiTheme="minorHAnsi" w:hAnsiTheme="minorHAnsi" w:cstheme="minorHAnsi"/>
          <w:sz w:val="22"/>
          <w:szCs w:val="22"/>
        </w:rPr>
        <w:t xml:space="preserve"> to the recognition of unrealized </w:t>
      </w:r>
      <w:r w:rsidR="00D87A55">
        <w:rPr>
          <w:rFonts w:asciiTheme="minorHAnsi" w:hAnsiTheme="minorHAnsi" w:cstheme="minorHAnsi"/>
          <w:sz w:val="22"/>
          <w:szCs w:val="22"/>
        </w:rPr>
        <w:t>declines</w:t>
      </w:r>
      <w:r w:rsidR="00BA62D2">
        <w:rPr>
          <w:rFonts w:asciiTheme="minorHAnsi" w:hAnsiTheme="minorHAnsi" w:cstheme="minorHAnsi"/>
          <w:sz w:val="22"/>
          <w:szCs w:val="22"/>
        </w:rPr>
        <w:t xml:space="preserve"> (</w:t>
      </w:r>
      <w:r w:rsidR="007B7BC1" w:rsidRPr="00DC79C5">
        <w:rPr>
          <w:rFonts w:asciiTheme="minorHAnsi" w:hAnsiTheme="minorHAnsi" w:cstheme="minorHAnsi"/>
          <w:sz w:val="22"/>
          <w:szCs w:val="22"/>
        </w:rPr>
        <w:t>losses</w:t>
      </w:r>
      <w:r w:rsidR="00BA62D2">
        <w:rPr>
          <w:rFonts w:asciiTheme="minorHAnsi" w:hAnsiTheme="minorHAnsi" w:cstheme="minorHAnsi"/>
          <w:sz w:val="22"/>
          <w:szCs w:val="22"/>
        </w:rPr>
        <w:t>)</w:t>
      </w:r>
      <w:r w:rsidR="007B7BC1" w:rsidRPr="00DC79C5">
        <w:rPr>
          <w:rFonts w:asciiTheme="minorHAnsi" w:hAnsiTheme="minorHAnsi" w:cstheme="minorHAnsi"/>
          <w:sz w:val="22"/>
          <w:szCs w:val="22"/>
        </w:rPr>
        <w:t>, as presumably, those should be recognized when known.</w:t>
      </w:r>
      <w:r w:rsidR="007B7BC1" w:rsidRPr="005018F6">
        <w:rPr>
          <w:rFonts w:asciiTheme="minorHAnsi" w:hAnsiTheme="minorHAnsi" w:cstheme="minorHAnsi"/>
          <w:sz w:val="22"/>
          <w:szCs w:val="22"/>
        </w:rPr>
        <w:t xml:space="preserve"> </w:t>
      </w:r>
    </w:p>
    <w:p w14:paraId="39DA6649" w14:textId="77777777" w:rsidR="00906612" w:rsidRDefault="00906612" w:rsidP="008F5AFD">
      <w:pPr>
        <w:pStyle w:val="BodyTextIndent"/>
        <w:spacing w:after="0"/>
        <w:ind w:left="0"/>
        <w:jc w:val="both"/>
        <w:rPr>
          <w:rFonts w:asciiTheme="minorHAnsi" w:hAnsiTheme="minorHAnsi" w:cstheme="minorHAnsi"/>
          <w:sz w:val="22"/>
          <w:szCs w:val="22"/>
        </w:rPr>
      </w:pPr>
    </w:p>
    <w:p w14:paraId="38A1B547" w14:textId="032255E7" w:rsidR="008026DC" w:rsidRDefault="008026DC" w:rsidP="00174352">
      <w:pPr>
        <w:pStyle w:val="BodyTextIndent"/>
        <w:numPr>
          <w:ilvl w:val="0"/>
          <w:numId w:val="13"/>
        </w:numPr>
        <w:spacing w:after="0"/>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Acquisition of SSAP No. </w:t>
      </w:r>
      <w:r w:rsidR="00B14C00">
        <w:rPr>
          <w:rFonts w:asciiTheme="minorHAnsi" w:hAnsiTheme="minorHAnsi" w:cstheme="minorHAnsi"/>
          <w:b/>
          <w:bCs/>
          <w:sz w:val="22"/>
          <w:szCs w:val="22"/>
          <w:u w:val="single"/>
        </w:rPr>
        <w:t xml:space="preserve">48 </w:t>
      </w:r>
      <w:r>
        <w:rPr>
          <w:rFonts w:asciiTheme="minorHAnsi" w:hAnsiTheme="minorHAnsi" w:cstheme="minorHAnsi"/>
          <w:b/>
          <w:bCs/>
          <w:sz w:val="22"/>
          <w:szCs w:val="22"/>
          <w:u w:val="single"/>
        </w:rPr>
        <w:t>Investments at a Discount</w:t>
      </w:r>
      <w:r w:rsidR="00B14C00">
        <w:rPr>
          <w:rFonts w:asciiTheme="minorHAnsi" w:hAnsiTheme="minorHAnsi" w:cstheme="minorHAnsi"/>
          <w:b/>
          <w:bCs/>
          <w:sz w:val="22"/>
          <w:szCs w:val="22"/>
          <w:u w:val="single"/>
        </w:rPr>
        <w:t xml:space="preserve"> with Negative Goodwill</w:t>
      </w:r>
    </w:p>
    <w:p w14:paraId="70618003" w14:textId="770E13C7" w:rsidR="00407C84" w:rsidRDefault="008026DC" w:rsidP="008026DC">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The origination of this agenda item was </w:t>
      </w:r>
      <w:r w:rsidR="007A0BF4">
        <w:rPr>
          <w:rFonts w:asciiTheme="minorHAnsi" w:hAnsiTheme="minorHAnsi" w:cstheme="minorHAnsi"/>
          <w:sz w:val="22"/>
          <w:szCs w:val="22"/>
        </w:rPr>
        <w:t xml:space="preserve">from the </w:t>
      </w:r>
      <w:r w:rsidR="000744B9">
        <w:rPr>
          <w:rFonts w:asciiTheme="minorHAnsi" w:hAnsiTheme="minorHAnsi" w:cstheme="minorHAnsi"/>
          <w:sz w:val="22"/>
          <w:szCs w:val="22"/>
        </w:rPr>
        <w:t>inquiry o</w:t>
      </w:r>
      <w:r w:rsidR="009E67FD">
        <w:rPr>
          <w:rFonts w:asciiTheme="minorHAnsi" w:hAnsiTheme="minorHAnsi" w:cstheme="minorHAnsi"/>
          <w:sz w:val="22"/>
          <w:szCs w:val="22"/>
        </w:rPr>
        <w:t>n whether reporting entities</w:t>
      </w:r>
      <w:r>
        <w:rPr>
          <w:rFonts w:asciiTheme="minorHAnsi" w:hAnsiTheme="minorHAnsi" w:cstheme="minorHAnsi"/>
          <w:sz w:val="22"/>
          <w:szCs w:val="22"/>
        </w:rPr>
        <w:t xml:space="preserve"> could </w:t>
      </w:r>
      <w:r w:rsidR="007A0BF4">
        <w:rPr>
          <w:rFonts w:asciiTheme="minorHAnsi" w:hAnsiTheme="minorHAnsi" w:cstheme="minorHAnsi"/>
          <w:sz w:val="22"/>
          <w:szCs w:val="22"/>
        </w:rPr>
        <w:t>acquire</w:t>
      </w:r>
      <w:r>
        <w:rPr>
          <w:rFonts w:asciiTheme="minorHAnsi" w:hAnsiTheme="minorHAnsi" w:cstheme="minorHAnsi"/>
          <w:sz w:val="22"/>
          <w:szCs w:val="22"/>
        </w:rPr>
        <w:t xml:space="preserve"> SSAP No. 48 investments at a discount</w:t>
      </w:r>
      <w:r w:rsidR="00224D49">
        <w:rPr>
          <w:rFonts w:asciiTheme="minorHAnsi" w:hAnsiTheme="minorHAnsi" w:cstheme="minorHAnsi"/>
          <w:sz w:val="22"/>
          <w:szCs w:val="22"/>
        </w:rPr>
        <w:t>, and then immediately recogniz</w:t>
      </w:r>
      <w:r w:rsidR="00D80098">
        <w:rPr>
          <w:rFonts w:asciiTheme="minorHAnsi" w:hAnsiTheme="minorHAnsi" w:cstheme="minorHAnsi"/>
          <w:sz w:val="22"/>
          <w:szCs w:val="22"/>
        </w:rPr>
        <w:t>e</w:t>
      </w:r>
      <w:r w:rsidR="00224D49">
        <w:rPr>
          <w:rFonts w:asciiTheme="minorHAnsi" w:hAnsiTheme="minorHAnsi" w:cstheme="minorHAnsi"/>
          <w:sz w:val="22"/>
          <w:szCs w:val="22"/>
        </w:rPr>
        <w:t xml:space="preserve"> a gain to represent the </w:t>
      </w:r>
      <w:r w:rsidR="00D80098">
        <w:rPr>
          <w:rFonts w:asciiTheme="minorHAnsi" w:hAnsiTheme="minorHAnsi" w:cstheme="minorHAnsi"/>
          <w:sz w:val="22"/>
          <w:szCs w:val="22"/>
        </w:rPr>
        <w:t xml:space="preserve">non-discounted </w:t>
      </w:r>
      <w:r w:rsidR="00224D49">
        <w:rPr>
          <w:rFonts w:asciiTheme="minorHAnsi" w:hAnsiTheme="minorHAnsi" w:cstheme="minorHAnsi"/>
          <w:sz w:val="22"/>
          <w:szCs w:val="22"/>
        </w:rPr>
        <w:t>equity value</w:t>
      </w:r>
      <w:r>
        <w:rPr>
          <w:rFonts w:asciiTheme="minorHAnsi" w:hAnsiTheme="minorHAnsi" w:cstheme="minorHAnsi"/>
          <w:sz w:val="22"/>
          <w:szCs w:val="22"/>
        </w:rPr>
        <w:t xml:space="preserve">. </w:t>
      </w:r>
      <w:r w:rsidR="00224D49">
        <w:rPr>
          <w:rFonts w:asciiTheme="minorHAnsi" w:hAnsiTheme="minorHAnsi" w:cstheme="minorHAnsi"/>
          <w:sz w:val="22"/>
          <w:szCs w:val="22"/>
        </w:rPr>
        <w:t xml:space="preserve">From what NAIC staff </w:t>
      </w:r>
      <w:r w:rsidR="009074CE">
        <w:rPr>
          <w:rFonts w:asciiTheme="minorHAnsi" w:hAnsiTheme="minorHAnsi" w:cstheme="minorHAnsi"/>
          <w:sz w:val="22"/>
          <w:szCs w:val="22"/>
        </w:rPr>
        <w:t>have</w:t>
      </w:r>
      <w:r w:rsidR="00224D49">
        <w:rPr>
          <w:rFonts w:asciiTheme="minorHAnsi" w:hAnsiTheme="minorHAnsi" w:cstheme="minorHAnsi"/>
          <w:sz w:val="22"/>
          <w:szCs w:val="22"/>
        </w:rPr>
        <w:t xml:space="preserve"> ascertained, </w:t>
      </w:r>
      <w:r w:rsidR="009E67FD">
        <w:rPr>
          <w:rFonts w:asciiTheme="minorHAnsi" w:hAnsiTheme="minorHAnsi" w:cstheme="minorHAnsi"/>
          <w:sz w:val="22"/>
          <w:szCs w:val="22"/>
        </w:rPr>
        <w:t xml:space="preserve">acquisitions </w:t>
      </w:r>
      <w:r w:rsidR="00352E14">
        <w:rPr>
          <w:rFonts w:asciiTheme="minorHAnsi" w:hAnsiTheme="minorHAnsi" w:cstheme="minorHAnsi"/>
          <w:sz w:val="22"/>
          <w:szCs w:val="22"/>
        </w:rPr>
        <w:t xml:space="preserve">at a discount </w:t>
      </w:r>
      <w:r>
        <w:rPr>
          <w:rFonts w:asciiTheme="minorHAnsi" w:hAnsiTheme="minorHAnsi" w:cstheme="minorHAnsi"/>
          <w:sz w:val="22"/>
          <w:szCs w:val="22"/>
        </w:rPr>
        <w:t>co</w:t>
      </w:r>
      <w:r w:rsidR="00BD208B">
        <w:rPr>
          <w:rFonts w:asciiTheme="minorHAnsi" w:hAnsiTheme="minorHAnsi" w:cstheme="minorHAnsi"/>
          <w:sz w:val="22"/>
          <w:szCs w:val="22"/>
        </w:rPr>
        <w:t>uld occur in two general situations</w:t>
      </w:r>
      <w:r w:rsidR="009074CE">
        <w:rPr>
          <w:rFonts w:asciiTheme="minorHAnsi" w:hAnsiTheme="minorHAnsi" w:cstheme="minorHAnsi"/>
          <w:sz w:val="22"/>
          <w:szCs w:val="22"/>
        </w:rPr>
        <w:t>:</w:t>
      </w:r>
      <w:r w:rsidR="00BD208B">
        <w:rPr>
          <w:rFonts w:asciiTheme="minorHAnsi" w:hAnsiTheme="minorHAnsi" w:cstheme="minorHAnsi"/>
          <w:sz w:val="22"/>
          <w:szCs w:val="22"/>
        </w:rPr>
        <w:t xml:space="preserve"> </w:t>
      </w:r>
    </w:p>
    <w:p w14:paraId="25D55919" w14:textId="77777777" w:rsidR="00407C84" w:rsidRDefault="00407C84" w:rsidP="008026DC">
      <w:pPr>
        <w:pStyle w:val="BodyTextIndent"/>
        <w:spacing w:after="0"/>
        <w:ind w:left="0"/>
        <w:jc w:val="both"/>
        <w:rPr>
          <w:rFonts w:asciiTheme="minorHAnsi" w:hAnsiTheme="minorHAnsi" w:cstheme="minorHAnsi"/>
          <w:sz w:val="22"/>
          <w:szCs w:val="22"/>
        </w:rPr>
      </w:pPr>
    </w:p>
    <w:p w14:paraId="4A1E2F3D" w14:textId="730E4157" w:rsidR="008026DC" w:rsidRDefault="00637252" w:rsidP="00E00E43">
      <w:pPr>
        <w:pStyle w:val="BodyTextIndent"/>
        <w:numPr>
          <w:ilvl w:val="0"/>
          <w:numId w:val="8"/>
        </w:numPr>
        <w:spacing w:after="0"/>
        <w:jc w:val="both"/>
        <w:rPr>
          <w:rFonts w:asciiTheme="minorHAnsi" w:hAnsiTheme="minorHAnsi" w:cstheme="minorHAnsi"/>
          <w:sz w:val="22"/>
          <w:szCs w:val="22"/>
        </w:rPr>
      </w:pPr>
      <w:r>
        <w:rPr>
          <w:rFonts w:asciiTheme="minorHAnsi" w:hAnsiTheme="minorHAnsi" w:cstheme="minorHAnsi"/>
          <w:sz w:val="22"/>
          <w:szCs w:val="22"/>
        </w:rPr>
        <w:t>T</w:t>
      </w:r>
      <w:r w:rsidR="00BD208B">
        <w:rPr>
          <w:rFonts w:asciiTheme="minorHAnsi" w:hAnsiTheme="minorHAnsi" w:cstheme="minorHAnsi"/>
          <w:sz w:val="22"/>
          <w:szCs w:val="22"/>
        </w:rPr>
        <w:t xml:space="preserve">he issuing entity offers the </w:t>
      </w:r>
      <w:r w:rsidR="00B171C9">
        <w:rPr>
          <w:rFonts w:asciiTheme="minorHAnsi" w:hAnsiTheme="minorHAnsi" w:cstheme="minorHAnsi"/>
          <w:sz w:val="22"/>
          <w:szCs w:val="22"/>
        </w:rPr>
        <w:t xml:space="preserve">insurance reporting entity the </w:t>
      </w:r>
      <w:r w:rsidR="00BD208B">
        <w:rPr>
          <w:rFonts w:asciiTheme="minorHAnsi" w:hAnsiTheme="minorHAnsi" w:cstheme="minorHAnsi"/>
          <w:sz w:val="22"/>
          <w:szCs w:val="22"/>
        </w:rPr>
        <w:t xml:space="preserve">ability to purchase the investment at a lower amount than the </w:t>
      </w:r>
      <w:r w:rsidR="00407C84">
        <w:rPr>
          <w:rFonts w:asciiTheme="minorHAnsi" w:hAnsiTheme="minorHAnsi" w:cstheme="minorHAnsi"/>
          <w:sz w:val="22"/>
          <w:szCs w:val="22"/>
        </w:rPr>
        <w:t xml:space="preserve">proportionate share of the </w:t>
      </w:r>
      <w:r w:rsidR="00F86584">
        <w:rPr>
          <w:rFonts w:asciiTheme="minorHAnsi" w:hAnsiTheme="minorHAnsi" w:cstheme="minorHAnsi"/>
          <w:sz w:val="22"/>
          <w:szCs w:val="22"/>
        </w:rPr>
        <w:t xml:space="preserve">equity value. This could occur, but is not expected to be a common occurrence, at least not </w:t>
      </w:r>
      <w:r w:rsidR="00407C84">
        <w:rPr>
          <w:rFonts w:asciiTheme="minorHAnsi" w:hAnsiTheme="minorHAnsi" w:cstheme="minorHAnsi"/>
          <w:sz w:val="22"/>
          <w:szCs w:val="22"/>
        </w:rPr>
        <w:t>between</w:t>
      </w:r>
      <w:r w:rsidR="00F86584">
        <w:rPr>
          <w:rFonts w:asciiTheme="minorHAnsi" w:hAnsiTheme="minorHAnsi" w:cstheme="minorHAnsi"/>
          <w:sz w:val="22"/>
          <w:szCs w:val="22"/>
        </w:rPr>
        <w:t xml:space="preserve"> unrelated third parties</w:t>
      </w:r>
      <w:r w:rsidR="002B673F">
        <w:rPr>
          <w:rFonts w:asciiTheme="minorHAnsi" w:hAnsiTheme="minorHAnsi" w:cstheme="minorHAnsi"/>
          <w:sz w:val="22"/>
          <w:szCs w:val="22"/>
        </w:rPr>
        <w:t xml:space="preserve">. </w:t>
      </w:r>
    </w:p>
    <w:p w14:paraId="139C0E70" w14:textId="77777777" w:rsidR="00407C84" w:rsidRDefault="00407C84" w:rsidP="00637252">
      <w:pPr>
        <w:pStyle w:val="BodyTextIndent"/>
        <w:spacing w:after="0"/>
        <w:ind w:left="720"/>
        <w:jc w:val="both"/>
        <w:rPr>
          <w:rFonts w:asciiTheme="minorHAnsi" w:hAnsiTheme="minorHAnsi" w:cstheme="minorHAnsi"/>
          <w:sz w:val="22"/>
          <w:szCs w:val="22"/>
        </w:rPr>
      </w:pPr>
    </w:p>
    <w:p w14:paraId="343FBF7E" w14:textId="6C719299" w:rsidR="00407C84" w:rsidRDefault="00637252" w:rsidP="00E00E43">
      <w:pPr>
        <w:pStyle w:val="BodyTextIndent"/>
        <w:numPr>
          <w:ilvl w:val="0"/>
          <w:numId w:val="8"/>
        </w:numPr>
        <w:spacing w:after="0"/>
        <w:jc w:val="both"/>
        <w:rPr>
          <w:rFonts w:asciiTheme="minorHAnsi" w:hAnsiTheme="minorHAnsi" w:cstheme="minorHAnsi"/>
          <w:sz w:val="22"/>
          <w:szCs w:val="22"/>
        </w:rPr>
      </w:pPr>
      <w:r>
        <w:rPr>
          <w:rFonts w:asciiTheme="minorHAnsi" w:hAnsiTheme="minorHAnsi" w:cstheme="minorHAnsi"/>
          <w:sz w:val="22"/>
          <w:szCs w:val="22"/>
        </w:rPr>
        <w:t>T</w:t>
      </w:r>
      <w:r w:rsidR="00407C84">
        <w:rPr>
          <w:rFonts w:asciiTheme="minorHAnsi" w:hAnsiTheme="minorHAnsi" w:cstheme="minorHAnsi"/>
          <w:sz w:val="22"/>
          <w:szCs w:val="22"/>
        </w:rPr>
        <w:t>he insurance reporting entity acquires the SSAP No. 48 investment from another investor that is looking to</w:t>
      </w:r>
      <w:r w:rsidR="00DC6127">
        <w:rPr>
          <w:rFonts w:asciiTheme="minorHAnsi" w:hAnsiTheme="minorHAnsi" w:cstheme="minorHAnsi"/>
          <w:sz w:val="22"/>
          <w:szCs w:val="22"/>
        </w:rPr>
        <w:t xml:space="preserve"> reduce or </w:t>
      </w:r>
      <w:r w:rsidR="00A15EA4">
        <w:rPr>
          <w:rFonts w:asciiTheme="minorHAnsi" w:hAnsiTheme="minorHAnsi" w:cstheme="minorHAnsi"/>
          <w:sz w:val="22"/>
          <w:szCs w:val="22"/>
        </w:rPr>
        <w:t xml:space="preserve"> </w:t>
      </w:r>
      <w:r w:rsidR="00350E20">
        <w:rPr>
          <w:rFonts w:asciiTheme="minorHAnsi" w:hAnsiTheme="minorHAnsi" w:cstheme="minorHAnsi"/>
          <w:sz w:val="22"/>
          <w:szCs w:val="22"/>
        </w:rPr>
        <w:t xml:space="preserve">eliminate their equity interest. This is expected to be the </w:t>
      </w:r>
      <w:r w:rsidR="00796CC0">
        <w:rPr>
          <w:rFonts w:asciiTheme="minorHAnsi" w:hAnsiTheme="minorHAnsi" w:cstheme="minorHAnsi"/>
          <w:sz w:val="22"/>
          <w:szCs w:val="22"/>
        </w:rPr>
        <w:t>more common</w:t>
      </w:r>
      <w:r w:rsidR="00350E20">
        <w:rPr>
          <w:rFonts w:asciiTheme="minorHAnsi" w:hAnsiTheme="minorHAnsi" w:cstheme="minorHAnsi"/>
          <w:sz w:val="22"/>
          <w:szCs w:val="22"/>
        </w:rPr>
        <w:t xml:space="preserve"> of the two scenarios, where the original investor takes </w:t>
      </w:r>
      <w:r w:rsidR="00796CC0">
        <w:rPr>
          <w:rFonts w:asciiTheme="minorHAnsi" w:hAnsiTheme="minorHAnsi" w:cstheme="minorHAnsi"/>
          <w:sz w:val="22"/>
          <w:szCs w:val="22"/>
        </w:rPr>
        <w:t>a loss</w:t>
      </w:r>
      <w:r w:rsidR="00350E20">
        <w:rPr>
          <w:rFonts w:asciiTheme="minorHAnsi" w:hAnsiTheme="minorHAnsi" w:cstheme="minorHAnsi"/>
          <w:sz w:val="22"/>
          <w:szCs w:val="22"/>
        </w:rPr>
        <w:t xml:space="preserve"> to unwind from the investment. </w:t>
      </w:r>
      <w:r w:rsidR="00796CC0">
        <w:rPr>
          <w:rFonts w:asciiTheme="minorHAnsi" w:hAnsiTheme="minorHAnsi" w:cstheme="minorHAnsi"/>
          <w:sz w:val="22"/>
          <w:szCs w:val="22"/>
        </w:rPr>
        <w:t>Although the original investor may have reported the investment at the audited equity value</w:t>
      </w:r>
      <w:r w:rsidR="00AD2E0C">
        <w:rPr>
          <w:rFonts w:asciiTheme="minorHAnsi" w:hAnsiTheme="minorHAnsi" w:cstheme="minorHAnsi"/>
          <w:sz w:val="22"/>
          <w:szCs w:val="22"/>
        </w:rPr>
        <w:t xml:space="preserve">, </w:t>
      </w:r>
      <w:r w:rsidR="00AD2E0C" w:rsidRPr="001847B5">
        <w:rPr>
          <w:rFonts w:asciiTheme="minorHAnsi" w:hAnsiTheme="minorHAnsi" w:cstheme="minorHAnsi"/>
          <w:sz w:val="22"/>
          <w:szCs w:val="22"/>
          <w:u w:val="single"/>
        </w:rPr>
        <w:t>the equity value may not reflect fair value</w:t>
      </w:r>
      <w:r w:rsidR="007E7DC7">
        <w:rPr>
          <w:rFonts w:asciiTheme="minorHAnsi" w:hAnsiTheme="minorHAnsi" w:cstheme="minorHAnsi"/>
          <w:sz w:val="22"/>
          <w:szCs w:val="22"/>
        </w:rPr>
        <w:t xml:space="preserve">. Pursuant to SSAP No. 100, fair value is </w:t>
      </w:r>
      <w:r w:rsidR="00AD2E0C">
        <w:rPr>
          <w:rFonts w:asciiTheme="minorHAnsi" w:hAnsiTheme="minorHAnsi" w:cstheme="minorHAnsi"/>
          <w:sz w:val="22"/>
          <w:szCs w:val="22"/>
        </w:rPr>
        <w:t xml:space="preserve">defined as </w:t>
      </w:r>
      <w:r w:rsidR="008100E8">
        <w:rPr>
          <w:rFonts w:asciiTheme="minorHAnsi" w:hAnsiTheme="minorHAnsi" w:cstheme="minorHAnsi"/>
          <w:sz w:val="22"/>
          <w:szCs w:val="22"/>
        </w:rPr>
        <w:t xml:space="preserve">the price that would be received to sell an asset in </w:t>
      </w:r>
      <w:r w:rsidR="001847B5">
        <w:rPr>
          <w:rFonts w:asciiTheme="minorHAnsi" w:hAnsiTheme="minorHAnsi" w:cstheme="minorHAnsi"/>
          <w:sz w:val="22"/>
          <w:szCs w:val="22"/>
        </w:rPr>
        <w:t xml:space="preserve">an </w:t>
      </w:r>
      <w:r w:rsidR="008100E8">
        <w:rPr>
          <w:rFonts w:asciiTheme="minorHAnsi" w:hAnsiTheme="minorHAnsi" w:cstheme="minorHAnsi"/>
          <w:sz w:val="22"/>
          <w:szCs w:val="22"/>
        </w:rPr>
        <w:t xml:space="preserve">orderly transaction </w:t>
      </w:r>
      <w:r w:rsidR="007E7DC7">
        <w:rPr>
          <w:rFonts w:asciiTheme="minorHAnsi" w:hAnsiTheme="minorHAnsi" w:cstheme="minorHAnsi"/>
          <w:sz w:val="22"/>
          <w:szCs w:val="22"/>
        </w:rPr>
        <w:t xml:space="preserve">between market participants at the measurement date (exit price). </w:t>
      </w:r>
      <w:r w:rsidR="00FA3DEB">
        <w:rPr>
          <w:rFonts w:asciiTheme="minorHAnsi" w:hAnsiTheme="minorHAnsi" w:cstheme="minorHAnsi"/>
          <w:sz w:val="22"/>
          <w:szCs w:val="22"/>
        </w:rPr>
        <w:t xml:space="preserve">As </w:t>
      </w:r>
      <w:r w:rsidR="001847B5">
        <w:rPr>
          <w:rFonts w:asciiTheme="minorHAnsi" w:hAnsiTheme="minorHAnsi" w:cstheme="minorHAnsi"/>
          <w:sz w:val="22"/>
          <w:szCs w:val="22"/>
        </w:rPr>
        <w:t>SSAP No. 48</w:t>
      </w:r>
      <w:r w:rsidR="00FA3DEB">
        <w:rPr>
          <w:rFonts w:asciiTheme="minorHAnsi" w:hAnsiTheme="minorHAnsi" w:cstheme="minorHAnsi"/>
          <w:sz w:val="22"/>
          <w:szCs w:val="22"/>
        </w:rPr>
        <w:t xml:space="preserve"> investments are </w:t>
      </w:r>
      <w:r w:rsidR="00B17C62">
        <w:rPr>
          <w:rFonts w:asciiTheme="minorHAnsi" w:hAnsiTheme="minorHAnsi" w:cstheme="minorHAnsi"/>
          <w:sz w:val="22"/>
          <w:szCs w:val="22"/>
        </w:rPr>
        <w:t xml:space="preserve">often not liquid, </w:t>
      </w:r>
      <w:r w:rsidR="00664E47">
        <w:rPr>
          <w:rFonts w:asciiTheme="minorHAnsi" w:hAnsiTheme="minorHAnsi" w:cstheme="minorHAnsi"/>
          <w:sz w:val="22"/>
          <w:szCs w:val="22"/>
        </w:rPr>
        <w:t xml:space="preserve">investors may be required to take a loss (less than the equity value) </w:t>
      </w:r>
      <w:r w:rsidR="00BA06B0">
        <w:rPr>
          <w:rFonts w:asciiTheme="minorHAnsi" w:hAnsiTheme="minorHAnsi" w:cstheme="minorHAnsi"/>
          <w:sz w:val="22"/>
          <w:szCs w:val="22"/>
        </w:rPr>
        <w:t xml:space="preserve">to </w:t>
      </w:r>
      <w:r w:rsidR="00DC6127">
        <w:rPr>
          <w:rFonts w:asciiTheme="minorHAnsi" w:hAnsiTheme="minorHAnsi" w:cstheme="minorHAnsi"/>
          <w:sz w:val="22"/>
          <w:szCs w:val="22"/>
        </w:rPr>
        <w:t xml:space="preserve">reduce or </w:t>
      </w:r>
      <w:r w:rsidR="00BA06B0">
        <w:rPr>
          <w:rFonts w:asciiTheme="minorHAnsi" w:hAnsiTheme="minorHAnsi" w:cstheme="minorHAnsi"/>
          <w:sz w:val="22"/>
          <w:szCs w:val="22"/>
        </w:rPr>
        <w:t xml:space="preserve">eliminate their investment interest. </w:t>
      </w:r>
    </w:p>
    <w:p w14:paraId="1AD62242" w14:textId="77777777" w:rsidR="008100E8" w:rsidRDefault="008100E8" w:rsidP="008100E8">
      <w:pPr>
        <w:pStyle w:val="ListParagraph"/>
        <w:rPr>
          <w:rFonts w:asciiTheme="minorHAnsi" w:hAnsiTheme="minorHAnsi" w:cstheme="minorHAnsi"/>
          <w:sz w:val="22"/>
          <w:szCs w:val="22"/>
        </w:rPr>
      </w:pPr>
    </w:p>
    <w:p w14:paraId="6017B42E" w14:textId="1AF6D236" w:rsidR="00F935F1" w:rsidRDefault="007E7DC7" w:rsidP="00F66A62">
      <w:pPr>
        <w:pStyle w:val="BodyTextIndent"/>
        <w:spacing w:after="0"/>
        <w:ind w:left="0"/>
        <w:jc w:val="both"/>
        <w:rPr>
          <w:rFonts w:asciiTheme="minorHAnsi" w:hAnsiTheme="minorHAnsi" w:cstheme="minorHAnsi"/>
          <w:sz w:val="22"/>
          <w:szCs w:val="22"/>
        </w:rPr>
      </w:pPr>
      <w:r w:rsidRPr="00D742A7">
        <w:rPr>
          <w:rFonts w:asciiTheme="minorHAnsi" w:hAnsiTheme="minorHAnsi" w:cstheme="minorHAnsi"/>
          <w:sz w:val="22"/>
          <w:szCs w:val="22"/>
        </w:rPr>
        <w:lastRenderedPageBreak/>
        <w:t xml:space="preserve">Although </w:t>
      </w:r>
      <w:r w:rsidR="002C4EF1">
        <w:rPr>
          <w:rFonts w:asciiTheme="minorHAnsi" w:hAnsiTheme="minorHAnsi" w:cstheme="minorHAnsi"/>
          <w:sz w:val="22"/>
          <w:szCs w:val="22"/>
        </w:rPr>
        <w:t>there are provisions in certain</w:t>
      </w:r>
      <w:r w:rsidRPr="00D742A7">
        <w:rPr>
          <w:rFonts w:asciiTheme="minorHAnsi" w:hAnsiTheme="minorHAnsi" w:cstheme="minorHAnsi"/>
          <w:sz w:val="22"/>
          <w:szCs w:val="22"/>
        </w:rPr>
        <w:t xml:space="preserve"> </w:t>
      </w:r>
      <w:r w:rsidR="002C4EF1">
        <w:rPr>
          <w:rFonts w:asciiTheme="minorHAnsi" w:hAnsiTheme="minorHAnsi" w:cstheme="minorHAnsi"/>
          <w:sz w:val="22"/>
          <w:szCs w:val="22"/>
        </w:rPr>
        <w:t xml:space="preserve">SSAPs that restrict the measurement value of investments to not exceed fair value, that concept does not currently exist in SSAP No. 48. </w:t>
      </w:r>
      <w:r w:rsidR="00FA3DEB">
        <w:rPr>
          <w:rFonts w:asciiTheme="minorHAnsi" w:hAnsiTheme="minorHAnsi" w:cstheme="minorHAnsi"/>
          <w:sz w:val="22"/>
          <w:szCs w:val="22"/>
        </w:rPr>
        <w:t xml:space="preserve">As such, </w:t>
      </w:r>
      <w:r w:rsidR="00740B03">
        <w:rPr>
          <w:rFonts w:asciiTheme="minorHAnsi" w:hAnsiTheme="minorHAnsi" w:cstheme="minorHAnsi"/>
          <w:sz w:val="22"/>
          <w:szCs w:val="22"/>
        </w:rPr>
        <w:t xml:space="preserve">under the provisions within SSAP No. 48, </w:t>
      </w:r>
      <w:r w:rsidR="00FA3DEB">
        <w:rPr>
          <w:rFonts w:asciiTheme="minorHAnsi" w:hAnsiTheme="minorHAnsi" w:cstheme="minorHAnsi"/>
          <w:sz w:val="22"/>
          <w:szCs w:val="22"/>
        </w:rPr>
        <w:t xml:space="preserve">insurance reporting entities </w:t>
      </w:r>
      <w:r w:rsidR="00247FD1">
        <w:rPr>
          <w:rFonts w:asciiTheme="minorHAnsi" w:hAnsiTheme="minorHAnsi" w:cstheme="minorHAnsi"/>
          <w:sz w:val="22"/>
          <w:szCs w:val="22"/>
        </w:rPr>
        <w:t>utilize</w:t>
      </w:r>
      <w:r w:rsidR="007426FD">
        <w:rPr>
          <w:rFonts w:asciiTheme="minorHAnsi" w:hAnsiTheme="minorHAnsi" w:cstheme="minorHAnsi"/>
          <w:sz w:val="22"/>
          <w:szCs w:val="22"/>
        </w:rPr>
        <w:t xml:space="preserve"> equity value, regardless </w:t>
      </w:r>
      <w:r w:rsidR="00752F73">
        <w:rPr>
          <w:rFonts w:asciiTheme="minorHAnsi" w:hAnsiTheme="minorHAnsi" w:cstheme="minorHAnsi"/>
          <w:sz w:val="22"/>
          <w:szCs w:val="22"/>
        </w:rPr>
        <w:t xml:space="preserve">of whether the equity value is reflective of fair value (exit price). </w:t>
      </w:r>
      <w:r w:rsidR="002B30D5">
        <w:rPr>
          <w:rFonts w:asciiTheme="minorHAnsi" w:hAnsiTheme="minorHAnsi" w:cstheme="minorHAnsi"/>
          <w:sz w:val="22"/>
          <w:szCs w:val="22"/>
        </w:rPr>
        <w:t xml:space="preserve">Although the audited equity value may reflect the fair value of the assets/liabilities in the structure, that value may not reflect what the insurance reporting entity </w:t>
      </w:r>
      <w:r w:rsidR="00E22CD2">
        <w:rPr>
          <w:rFonts w:asciiTheme="minorHAnsi" w:hAnsiTheme="minorHAnsi" w:cstheme="minorHAnsi"/>
          <w:sz w:val="22"/>
          <w:szCs w:val="22"/>
        </w:rPr>
        <w:t>could</w:t>
      </w:r>
      <w:r w:rsidR="002B30D5">
        <w:rPr>
          <w:rFonts w:asciiTheme="minorHAnsi" w:hAnsiTheme="minorHAnsi" w:cstheme="minorHAnsi"/>
          <w:sz w:val="22"/>
          <w:szCs w:val="22"/>
        </w:rPr>
        <w:t xml:space="preserve"> receive </w:t>
      </w:r>
      <w:r w:rsidR="00E22CD2">
        <w:rPr>
          <w:rFonts w:asciiTheme="minorHAnsi" w:hAnsiTheme="minorHAnsi" w:cstheme="minorHAnsi"/>
          <w:sz w:val="22"/>
          <w:szCs w:val="22"/>
        </w:rPr>
        <w:t>(</w:t>
      </w:r>
      <w:r w:rsidR="002B30D5">
        <w:rPr>
          <w:rFonts w:asciiTheme="minorHAnsi" w:hAnsiTheme="minorHAnsi" w:cstheme="minorHAnsi"/>
          <w:sz w:val="22"/>
          <w:szCs w:val="22"/>
        </w:rPr>
        <w:t>fair value</w:t>
      </w:r>
      <w:r w:rsidR="00E22CD2">
        <w:rPr>
          <w:rFonts w:asciiTheme="minorHAnsi" w:hAnsiTheme="minorHAnsi" w:cstheme="minorHAnsi"/>
          <w:sz w:val="22"/>
          <w:szCs w:val="22"/>
        </w:rPr>
        <w:t>)</w:t>
      </w:r>
      <w:r w:rsidR="002B30D5">
        <w:rPr>
          <w:rFonts w:asciiTheme="minorHAnsi" w:hAnsiTheme="minorHAnsi" w:cstheme="minorHAnsi"/>
          <w:sz w:val="22"/>
          <w:szCs w:val="22"/>
        </w:rPr>
        <w:t xml:space="preserve"> if they needed to sell their investment. </w:t>
      </w:r>
    </w:p>
    <w:p w14:paraId="23159271" w14:textId="77777777" w:rsidR="00F935F1" w:rsidRDefault="00F935F1" w:rsidP="00F66A62">
      <w:pPr>
        <w:pStyle w:val="BodyTextIndent"/>
        <w:spacing w:after="0"/>
        <w:ind w:left="0"/>
        <w:jc w:val="both"/>
        <w:rPr>
          <w:rFonts w:asciiTheme="minorHAnsi" w:hAnsiTheme="minorHAnsi" w:cstheme="minorHAnsi"/>
          <w:sz w:val="22"/>
          <w:szCs w:val="22"/>
        </w:rPr>
      </w:pPr>
    </w:p>
    <w:p w14:paraId="0B186D6F" w14:textId="51D679EF" w:rsidR="00F66A62" w:rsidRDefault="00F935F1" w:rsidP="00F66A62">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u w:val="single"/>
        </w:rPr>
        <w:t>U</w:t>
      </w:r>
      <w:r w:rsidR="00247FD1" w:rsidRPr="00165EC9">
        <w:rPr>
          <w:rFonts w:asciiTheme="minorHAnsi" w:hAnsiTheme="minorHAnsi" w:cstheme="minorHAnsi"/>
          <w:sz w:val="22"/>
          <w:szCs w:val="22"/>
          <w:u w:val="single"/>
        </w:rPr>
        <w:t>n</w:t>
      </w:r>
      <w:r w:rsidR="00F66A62" w:rsidRPr="00165EC9">
        <w:rPr>
          <w:rFonts w:asciiTheme="minorHAnsi" w:hAnsiTheme="minorHAnsi" w:cstheme="minorHAnsi"/>
          <w:sz w:val="22"/>
          <w:szCs w:val="22"/>
          <w:u w:val="single"/>
        </w:rPr>
        <w:t xml:space="preserve">der </w:t>
      </w:r>
      <w:r w:rsidR="00447456">
        <w:rPr>
          <w:rFonts w:asciiTheme="minorHAnsi" w:hAnsiTheme="minorHAnsi" w:cstheme="minorHAnsi"/>
          <w:sz w:val="22"/>
          <w:szCs w:val="22"/>
          <w:u w:val="single"/>
        </w:rPr>
        <w:t xml:space="preserve">existing </w:t>
      </w:r>
      <w:r w:rsidR="00F66A62" w:rsidRPr="00165EC9">
        <w:rPr>
          <w:rFonts w:asciiTheme="minorHAnsi" w:hAnsiTheme="minorHAnsi" w:cstheme="minorHAnsi"/>
          <w:sz w:val="22"/>
          <w:szCs w:val="22"/>
          <w:u w:val="single"/>
        </w:rPr>
        <w:t xml:space="preserve">statutory accounting guidance, </w:t>
      </w:r>
      <w:r w:rsidR="00521100" w:rsidRPr="00165EC9">
        <w:rPr>
          <w:rFonts w:asciiTheme="minorHAnsi" w:hAnsiTheme="minorHAnsi" w:cstheme="minorHAnsi"/>
          <w:sz w:val="22"/>
          <w:szCs w:val="22"/>
          <w:u w:val="single"/>
        </w:rPr>
        <w:t xml:space="preserve">all SSAP No. 48 acquisitions </w:t>
      </w:r>
      <w:r w:rsidR="006B654A" w:rsidRPr="00165EC9">
        <w:rPr>
          <w:rFonts w:asciiTheme="minorHAnsi" w:hAnsiTheme="minorHAnsi" w:cstheme="minorHAnsi"/>
          <w:sz w:val="22"/>
          <w:szCs w:val="22"/>
          <w:u w:val="single"/>
        </w:rPr>
        <w:t xml:space="preserve">are subject to </w:t>
      </w:r>
      <w:r w:rsidR="00F17E30" w:rsidRPr="00165EC9">
        <w:rPr>
          <w:rFonts w:asciiTheme="minorHAnsi" w:hAnsiTheme="minorHAnsi" w:cstheme="minorHAnsi"/>
          <w:i/>
          <w:iCs/>
          <w:sz w:val="22"/>
          <w:szCs w:val="22"/>
          <w:u w:val="single"/>
        </w:rPr>
        <w:t>SSAP No. 68—Business Combination and Goodwill</w:t>
      </w:r>
      <w:r w:rsidR="00F17E30" w:rsidRPr="00165EC9">
        <w:rPr>
          <w:rFonts w:asciiTheme="minorHAnsi" w:hAnsiTheme="minorHAnsi" w:cstheme="minorHAnsi"/>
          <w:sz w:val="22"/>
          <w:szCs w:val="22"/>
          <w:u w:val="single"/>
        </w:rPr>
        <w:t xml:space="preserve"> </w:t>
      </w:r>
      <w:r w:rsidR="00165EC9" w:rsidRPr="00165EC9">
        <w:rPr>
          <w:rFonts w:asciiTheme="minorHAnsi" w:hAnsiTheme="minorHAnsi" w:cstheme="minorHAnsi"/>
          <w:sz w:val="22"/>
          <w:szCs w:val="22"/>
          <w:u w:val="single"/>
        </w:rPr>
        <w:t xml:space="preserve">and the </w:t>
      </w:r>
      <w:r w:rsidR="006B654A" w:rsidRPr="00165EC9">
        <w:rPr>
          <w:rFonts w:asciiTheme="minorHAnsi" w:hAnsiTheme="minorHAnsi" w:cstheme="minorHAnsi"/>
          <w:sz w:val="22"/>
          <w:szCs w:val="22"/>
          <w:u w:val="single"/>
        </w:rPr>
        <w:t xml:space="preserve">guidance </w:t>
      </w:r>
      <w:r w:rsidR="00165EC9" w:rsidRPr="00165EC9">
        <w:rPr>
          <w:rFonts w:asciiTheme="minorHAnsi" w:hAnsiTheme="minorHAnsi" w:cstheme="minorHAnsi"/>
          <w:sz w:val="22"/>
          <w:szCs w:val="22"/>
          <w:u w:val="single"/>
        </w:rPr>
        <w:t>for</w:t>
      </w:r>
      <w:r w:rsidR="006B654A" w:rsidRPr="00165EC9">
        <w:rPr>
          <w:rFonts w:asciiTheme="minorHAnsi" w:hAnsiTheme="minorHAnsi" w:cstheme="minorHAnsi"/>
          <w:sz w:val="22"/>
          <w:szCs w:val="22"/>
          <w:u w:val="single"/>
        </w:rPr>
        <w:t xml:space="preserve"> goodwill. This means that if the entity was to acquire a SSAP No. 48 </w:t>
      </w:r>
      <w:r w:rsidR="00F678D9" w:rsidRPr="00165EC9">
        <w:rPr>
          <w:rFonts w:asciiTheme="minorHAnsi" w:hAnsiTheme="minorHAnsi" w:cstheme="minorHAnsi"/>
          <w:sz w:val="22"/>
          <w:szCs w:val="22"/>
          <w:u w:val="single"/>
        </w:rPr>
        <w:t xml:space="preserve">investment </w:t>
      </w:r>
      <w:r w:rsidR="00655819" w:rsidRPr="00165EC9">
        <w:rPr>
          <w:rFonts w:asciiTheme="minorHAnsi" w:hAnsiTheme="minorHAnsi" w:cstheme="minorHAnsi"/>
          <w:sz w:val="22"/>
          <w:szCs w:val="22"/>
          <w:u w:val="single"/>
        </w:rPr>
        <w:t>for an amount</w:t>
      </w:r>
      <w:r w:rsidR="006B654A" w:rsidRPr="00165EC9">
        <w:rPr>
          <w:rFonts w:asciiTheme="minorHAnsi" w:hAnsiTheme="minorHAnsi" w:cstheme="minorHAnsi"/>
          <w:sz w:val="22"/>
          <w:szCs w:val="22"/>
          <w:u w:val="single"/>
        </w:rPr>
        <w:t xml:space="preserve"> greater than book value, positive goodwill would exist. </w:t>
      </w:r>
      <w:r w:rsidR="00F678D9" w:rsidRPr="00165EC9">
        <w:rPr>
          <w:rFonts w:asciiTheme="minorHAnsi" w:hAnsiTheme="minorHAnsi" w:cstheme="minorHAnsi"/>
          <w:sz w:val="22"/>
          <w:szCs w:val="22"/>
          <w:u w:val="single"/>
        </w:rPr>
        <w:t>If</w:t>
      </w:r>
      <w:r w:rsidR="00655819" w:rsidRPr="00165EC9">
        <w:rPr>
          <w:rFonts w:asciiTheme="minorHAnsi" w:hAnsiTheme="minorHAnsi" w:cstheme="minorHAnsi"/>
          <w:sz w:val="22"/>
          <w:szCs w:val="22"/>
          <w:u w:val="single"/>
        </w:rPr>
        <w:t xml:space="preserve"> an entity was to acquire a SSAP No. 48 investment for an amount less than book value</w:t>
      </w:r>
      <w:r w:rsidR="00226EA0" w:rsidRPr="00165EC9">
        <w:rPr>
          <w:rFonts w:asciiTheme="minorHAnsi" w:hAnsiTheme="minorHAnsi" w:cstheme="minorHAnsi"/>
          <w:sz w:val="22"/>
          <w:szCs w:val="22"/>
          <w:u w:val="single"/>
        </w:rPr>
        <w:t xml:space="preserve"> (discount)</w:t>
      </w:r>
      <w:r w:rsidR="00655819" w:rsidRPr="00165EC9">
        <w:rPr>
          <w:rFonts w:asciiTheme="minorHAnsi" w:hAnsiTheme="minorHAnsi" w:cstheme="minorHAnsi"/>
          <w:sz w:val="22"/>
          <w:szCs w:val="22"/>
          <w:u w:val="single"/>
        </w:rPr>
        <w:t>, negative goodwill would exist</w:t>
      </w:r>
      <w:r w:rsidR="00655819">
        <w:rPr>
          <w:rFonts w:asciiTheme="minorHAnsi" w:hAnsiTheme="minorHAnsi" w:cstheme="minorHAnsi"/>
          <w:sz w:val="22"/>
          <w:szCs w:val="22"/>
        </w:rPr>
        <w:t xml:space="preserve">. </w:t>
      </w:r>
      <w:r w:rsidR="00AC50DC">
        <w:rPr>
          <w:rFonts w:asciiTheme="minorHAnsi" w:hAnsiTheme="minorHAnsi" w:cstheme="minorHAnsi"/>
          <w:sz w:val="22"/>
          <w:szCs w:val="22"/>
        </w:rPr>
        <w:t xml:space="preserve">Goodwill is reported combined with the related </w:t>
      </w:r>
      <w:r w:rsidR="00D669DB">
        <w:rPr>
          <w:rFonts w:asciiTheme="minorHAnsi" w:hAnsiTheme="minorHAnsi" w:cstheme="minorHAnsi"/>
          <w:sz w:val="22"/>
          <w:szCs w:val="22"/>
        </w:rPr>
        <w:t>investment;</w:t>
      </w:r>
      <w:r w:rsidR="00AC50DC">
        <w:rPr>
          <w:rFonts w:asciiTheme="minorHAnsi" w:hAnsiTheme="minorHAnsi" w:cstheme="minorHAnsi"/>
          <w:sz w:val="22"/>
          <w:szCs w:val="22"/>
        </w:rPr>
        <w:t xml:space="preserve"> </w:t>
      </w:r>
      <w:r w:rsidR="00165EC9">
        <w:rPr>
          <w:rFonts w:asciiTheme="minorHAnsi" w:hAnsiTheme="minorHAnsi" w:cstheme="minorHAnsi"/>
          <w:sz w:val="22"/>
          <w:szCs w:val="22"/>
        </w:rPr>
        <w:t>therefore,</w:t>
      </w:r>
      <w:r w:rsidR="00AC50DC">
        <w:rPr>
          <w:rFonts w:asciiTheme="minorHAnsi" w:hAnsiTheme="minorHAnsi" w:cstheme="minorHAnsi"/>
          <w:sz w:val="22"/>
          <w:szCs w:val="22"/>
        </w:rPr>
        <w:t xml:space="preserve"> goodwill impacts the </w:t>
      </w:r>
      <w:r w:rsidR="00854A73">
        <w:rPr>
          <w:rFonts w:asciiTheme="minorHAnsi" w:hAnsiTheme="minorHAnsi" w:cstheme="minorHAnsi"/>
          <w:sz w:val="22"/>
          <w:szCs w:val="22"/>
        </w:rPr>
        <w:t xml:space="preserve">reported BACV on Schedule BA. (Positive goodwill increases the BACV and negative goodwill decreases the BACV.) </w:t>
      </w:r>
    </w:p>
    <w:p w14:paraId="6A893F34" w14:textId="77777777" w:rsidR="0058211A" w:rsidRDefault="0058211A" w:rsidP="00F66A62">
      <w:pPr>
        <w:pStyle w:val="BodyTextIndent"/>
        <w:spacing w:after="0"/>
        <w:ind w:left="0"/>
        <w:jc w:val="both"/>
        <w:rPr>
          <w:rFonts w:asciiTheme="minorHAnsi" w:hAnsiTheme="minorHAnsi" w:cstheme="minorHAnsi"/>
          <w:sz w:val="22"/>
          <w:szCs w:val="22"/>
        </w:rPr>
      </w:pPr>
    </w:p>
    <w:p w14:paraId="0F493D6B" w14:textId="67A84843" w:rsidR="00893514" w:rsidRDefault="00854A73" w:rsidP="00F66A62">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If</w:t>
      </w:r>
      <w:r w:rsidR="001E1595">
        <w:rPr>
          <w:rFonts w:asciiTheme="minorHAnsi" w:hAnsiTheme="minorHAnsi" w:cstheme="minorHAnsi"/>
          <w:sz w:val="22"/>
          <w:szCs w:val="22"/>
        </w:rPr>
        <w:t xml:space="preserve"> acquiring </w:t>
      </w:r>
      <w:r>
        <w:rPr>
          <w:rFonts w:asciiTheme="minorHAnsi" w:hAnsiTheme="minorHAnsi" w:cstheme="minorHAnsi"/>
          <w:sz w:val="22"/>
          <w:szCs w:val="22"/>
        </w:rPr>
        <w:t xml:space="preserve">a SSAP No. 48 </w:t>
      </w:r>
      <w:r w:rsidR="007F7255">
        <w:rPr>
          <w:rFonts w:asciiTheme="minorHAnsi" w:hAnsiTheme="minorHAnsi" w:cstheme="minorHAnsi"/>
          <w:sz w:val="22"/>
          <w:szCs w:val="22"/>
        </w:rPr>
        <w:t>investment at a discount, with negative goodwill, the</w:t>
      </w:r>
      <w:r w:rsidR="00700970">
        <w:rPr>
          <w:rFonts w:asciiTheme="minorHAnsi" w:hAnsiTheme="minorHAnsi" w:cstheme="minorHAnsi"/>
          <w:sz w:val="22"/>
          <w:szCs w:val="22"/>
        </w:rPr>
        <w:t xml:space="preserve"> entry to record the investment would be as follows</w:t>
      </w:r>
      <w:r w:rsidR="00893514">
        <w:rPr>
          <w:rFonts w:asciiTheme="minorHAnsi" w:hAnsiTheme="minorHAnsi" w:cstheme="minorHAnsi"/>
          <w:sz w:val="22"/>
          <w:szCs w:val="22"/>
        </w:rPr>
        <w:t>: (Equity</w:t>
      </w:r>
      <w:r w:rsidR="00E645DC">
        <w:rPr>
          <w:rFonts w:asciiTheme="minorHAnsi" w:hAnsiTheme="minorHAnsi" w:cstheme="minorHAnsi"/>
          <w:sz w:val="22"/>
          <w:szCs w:val="22"/>
        </w:rPr>
        <w:t>/book</w:t>
      </w:r>
      <w:r w:rsidR="00893514">
        <w:rPr>
          <w:rFonts w:asciiTheme="minorHAnsi" w:hAnsiTheme="minorHAnsi" w:cstheme="minorHAnsi"/>
          <w:sz w:val="22"/>
          <w:szCs w:val="22"/>
        </w:rPr>
        <w:t xml:space="preserve"> value is $100 and purchase price is $</w:t>
      </w:r>
      <w:r w:rsidR="00FD381D">
        <w:rPr>
          <w:rFonts w:asciiTheme="minorHAnsi" w:hAnsiTheme="minorHAnsi" w:cstheme="minorHAnsi"/>
          <w:sz w:val="22"/>
          <w:szCs w:val="22"/>
        </w:rPr>
        <w:t>80.)</w:t>
      </w:r>
    </w:p>
    <w:p w14:paraId="20263678" w14:textId="77777777" w:rsidR="00A111E1" w:rsidRDefault="00A111E1" w:rsidP="00F66A62">
      <w:pPr>
        <w:pStyle w:val="BodyTextIndent"/>
        <w:spacing w:after="0"/>
        <w:ind w:left="0"/>
        <w:jc w:val="both"/>
        <w:rPr>
          <w:rFonts w:asciiTheme="minorHAnsi" w:hAnsiTheme="minorHAnsi" w:cstheme="minorHAnsi"/>
          <w:sz w:val="22"/>
          <w:szCs w:val="22"/>
        </w:rPr>
      </w:pPr>
    </w:p>
    <w:p w14:paraId="42BCA9D0" w14:textId="704FE342" w:rsidR="00A111E1" w:rsidRDefault="00FD381D" w:rsidP="00A111E1">
      <w:pPr>
        <w:pStyle w:val="BodyTextIndent"/>
        <w:spacing w:after="0"/>
        <w:ind w:left="720"/>
        <w:jc w:val="both"/>
        <w:rPr>
          <w:rFonts w:asciiTheme="minorHAnsi" w:hAnsiTheme="minorHAnsi" w:cstheme="minorHAnsi"/>
          <w:sz w:val="22"/>
          <w:szCs w:val="22"/>
        </w:rPr>
      </w:pPr>
      <w:r>
        <w:rPr>
          <w:rFonts w:asciiTheme="minorHAnsi" w:hAnsiTheme="minorHAnsi" w:cstheme="minorHAnsi"/>
          <w:sz w:val="22"/>
          <w:szCs w:val="22"/>
        </w:rPr>
        <w:t xml:space="preserve">SSAP No. 48 </w:t>
      </w:r>
      <w:r w:rsidR="001F6466">
        <w:rPr>
          <w:rFonts w:asciiTheme="minorHAnsi" w:hAnsiTheme="minorHAnsi" w:cstheme="minorHAnsi"/>
          <w:sz w:val="22"/>
          <w:szCs w:val="22"/>
        </w:rPr>
        <w:t xml:space="preserve">Investment </w:t>
      </w:r>
      <w:r w:rsidR="00893514">
        <w:rPr>
          <w:rFonts w:asciiTheme="minorHAnsi" w:hAnsiTheme="minorHAnsi" w:cstheme="minorHAnsi"/>
          <w:sz w:val="22"/>
          <w:szCs w:val="22"/>
        </w:rPr>
        <w:tab/>
        <w:t>100</w:t>
      </w:r>
    </w:p>
    <w:p w14:paraId="015E30A7" w14:textId="2FBC0276" w:rsidR="00FD381D" w:rsidRDefault="00FD381D" w:rsidP="00A111E1">
      <w:pPr>
        <w:pStyle w:val="BodyTextIndent"/>
        <w:spacing w:after="0"/>
        <w:ind w:left="720"/>
        <w:jc w:val="both"/>
        <w:rPr>
          <w:rFonts w:asciiTheme="minorHAnsi" w:hAnsiTheme="minorHAnsi" w:cstheme="minorHAnsi"/>
          <w:sz w:val="22"/>
          <w:szCs w:val="22"/>
        </w:rPr>
      </w:pPr>
      <w:r>
        <w:rPr>
          <w:rFonts w:asciiTheme="minorHAnsi" w:hAnsiTheme="minorHAnsi" w:cstheme="minorHAnsi"/>
          <w:sz w:val="22"/>
          <w:szCs w:val="22"/>
        </w:rPr>
        <w:tab/>
        <w:t>Goodwill</w:t>
      </w:r>
      <w:r>
        <w:rPr>
          <w:rFonts w:asciiTheme="minorHAnsi" w:hAnsiTheme="minorHAnsi" w:cstheme="minorHAnsi"/>
          <w:sz w:val="22"/>
          <w:szCs w:val="22"/>
        </w:rPr>
        <w:tab/>
      </w:r>
      <w:r>
        <w:rPr>
          <w:rFonts w:asciiTheme="minorHAnsi" w:hAnsiTheme="minorHAnsi" w:cstheme="minorHAnsi"/>
          <w:sz w:val="22"/>
          <w:szCs w:val="22"/>
        </w:rPr>
        <w:tab/>
      </w:r>
      <w:r w:rsidR="001F6466">
        <w:rPr>
          <w:rFonts w:asciiTheme="minorHAnsi" w:hAnsiTheme="minorHAnsi" w:cstheme="minorHAnsi"/>
          <w:sz w:val="22"/>
          <w:szCs w:val="22"/>
        </w:rPr>
        <w:tab/>
      </w:r>
      <w:r w:rsidR="000E0F04">
        <w:rPr>
          <w:rFonts w:asciiTheme="minorHAnsi" w:hAnsiTheme="minorHAnsi" w:cstheme="minorHAnsi"/>
          <w:sz w:val="22"/>
          <w:szCs w:val="22"/>
        </w:rPr>
        <w:t>(</w:t>
      </w:r>
      <w:r w:rsidR="005C0185">
        <w:rPr>
          <w:rFonts w:asciiTheme="minorHAnsi" w:hAnsiTheme="minorHAnsi" w:cstheme="minorHAnsi"/>
          <w:sz w:val="22"/>
          <w:szCs w:val="22"/>
        </w:rPr>
        <w:t>2</w:t>
      </w:r>
      <w:r>
        <w:rPr>
          <w:rFonts w:asciiTheme="minorHAnsi" w:hAnsiTheme="minorHAnsi" w:cstheme="minorHAnsi"/>
          <w:sz w:val="22"/>
          <w:szCs w:val="22"/>
        </w:rPr>
        <w:t>0</w:t>
      </w:r>
      <w:r w:rsidR="000E0F04">
        <w:rPr>
          <w:rFonts w:asciiTheme="minorHAnsi" w:hAnsiTheme="minorHAnsi" w:cstheme="minorHAnsi"/>
          <w:sz w:val="22"/>
          <w:szCs w:val="22"/>
        </w:rPr>
        <w:t>)</w:t>
      </w:r>
    </w:p>
    <w:p w14:paraId="7FC4EBB8" w14:textId="6B0971E8" w:rsidR="005C0185" w:rsidRDefault="005C0185" w:rsidP="00A111E1">
      <w:pPr>
        <w:pStyle w:val="BodyTextIndent"/>
        <w:spacing w:after="0"/>
        <w:ind w:left="720"/>
        <w:jc w:val="both"/>
        <w:rPr>
          <w:rFonts w:asciiTheme="minorHAnsi" w:hAnsiTheme="minorHAnsi" w:cstheme="minorHAnsi"/>
          <w:sz w:val="22"/>
          <w:szCs w:val="22"/>
        </w:rPr>
      </w:pPr>
      <w:r>
        <w:rPr>
          <w:rFonts w:asciiTheme="minorHAnsi" w:hAnsiTheme="minorHAnsi" w:cstheme="minorHAnsi"/>
          <w:sz w:val="22"/>
          <w:szCs w:val="22"/>
        </w:rPr>
        <w:tab/>
        <w:t>Cash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F6466">
        <w:rPr>
          <w:rFonts w:asciiTheme="minorHAnsi" w:hAnsiTheme="minorHAnsi" w:cstheme="minorHAnsi"/>
          <w:sz w:val="22"/>
          <w:szCs w:val="22"/>
        </w:rPr>
        <w:tab/>
      </w:r>
      <w:r w:rsidR="000E0F04">
        <w:rPr>
          <w:rFonts w:asciiTheme="minorHAnsi" w:hAnsiTheme="minorHAnsi" w:cstheme="minorHAnsi"/>
          <w:sz w:val="22"/>
          <w:szCs w:val="22"/>
        </w:rPr>
        <w:t>(</w:t>
      </w:r>
      <w:r>
        <w:rPr>
          <w:rFonts w:asciiTheme="minorHAnsi" w:hAnsiTheme="minorHAnsi" w:cstheme="minorHAnsi"/>
          <w:sz w:val="22"/>
          <w:szCs w:val="22"/>
        </w:rPr>
        <w:t>80</w:t>
      </w:r>
      <w:r w:rsidR="000E0F04">
        <w:rPr>
          <w:rFonts w:asciiTheme="minorHAnsi" w:hAnsiTheme="minorHAnsi" w:cstheme="minorHAnsi"/>
          <w:sz w:val="22"/>
          <w:szCs w:val="22"/>
        </w:rPr>
        <w:t>)</w:t>
      </w:r>
    </w:p>
    <w:p w14:paraId="1ACCC7EF" w14:textId="77777777" w:rsidR="00FD381D" w:rsidRDefault="00FD381D" w:rsidP="00A111E1">
      <w:pPr>
        <w:pStyle w:val="BodyTextIndent"/>
        <w:spacing w:after="0"/>
        <w:ind w:left="720"/>
        <w:jc w:val="both"/>
        <w:rPr>
          <w:rFonts w:asciiTheme="minorHAnsi" w:hAnsiTheme="minorHAnsi" w:cstheme="minorHAnsi"/>
          <w:sz w:val="22"/>
          <w:szCs w:val="22"/>
        </w:rPr>
      </w:pPr>
    </w:p>
    <w:p w14:paraId="6328C174" w14:textId="2D93E1F7" w:rsidR="00FD381D" w:rsidRDefault="005C0185" w:rsidP="00DB2F46">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Since goodwill is reported </w:t>
      </w:r>
      <w:r w:rsidR="00DB2F46">
        <w:rPr>
          <w:rFonts w:asciiTheme="minorHAnsi" w:hAnsiTheme="minorHAnsi" w:cstheme="minorHAnsi"/>
          <w:sz w:val="22"/>
          <w:szCs w:val="22"/>
        </w:rPr>
        <w:t xml:space="preserve">combined </w:t>
      </w:r>
      <w:r>
        <w:rPr>
          <w:rFonts w:asciiTheme="minorHAnsi" w:hAnsiTheme="minorHAnsi" w:cstheme="minorHAnsi"/>
          <w:sz w:val="22"/>
          <w:szCs w:val="22"/>
        </w:rPr>
        <w:t xml:space="preserve">with the </w:t>
      </w:r>
      <w:r w:rsidR="00981042">
        <w:rPr>
          <w:rFonts w:asciiTheme="minorHAnsi" w:hAnsiTheme="minorHAnsi" w:cstheme="minorHAnsi"/>
          <w:sz w:val="22"/>
          <w:szCs w:val="22"/>
        </w:rPr>
        <w:t xml:space="preserve">investment, </w:t>
      </w:r>
      <w:r w:rsidR="00CA32B4" w:rsidRPr="003F71EC">
        <w:rPr>
          <w:rFonts w:asciiTheme="minorHAnsi" w:hAnsiTheme="minorHAnsi" w:cstheme="minorHAnsi"/>
          <w:sz w:val="22"/>
          <w:szCs w:val="22"/>
          <w:u w:val="single"/>
        </w:rPr>
        <w:t>Schedule BA would report the investment at $80</w:t>
      </w:r>
      <w:r w:rsidR="00CA32B4">
        <w:rPr>
          <w:rFonts w:asciiTheme="minorHAnsi" w:hAnsiTheme="minorHAnsi" w:cstheme="minorHAnsi"/>
          <w:sz w:val="22"/>
          <w:szCs w:val="22"/>
        </w:rPr>
        <w:t xml:space="preserve">. </w:t>
      </w:r>
      <w:r w:rsidR="00DB2F46">
        <w:rPr>
          <w:rFonts w:asciiTheme="minorHAnsi" w:hAnsiTheme="minorHAnsi" w:cstheme="minorHAnsi"/>
          <w:sz w:val="22"/>
          <w:szCs w:val="22"/>
        </w:rPr>
        <w:t xml:space="preserve">Over a timeframe not to exceed 10 years, the negative goodwill </w:t>
      </w:r>
      <w:r w:rsidR="001D3338">
        <w:rPr>
          <w:rFonts w:asciiTheme="minorHAnsi" w:hAnsiTheme="minorHAnsi" w:cstheme="minorHAnsi"/>
          <w:sz w:val="22"/>
          <w:szCs w:val="22"/>
        </w:rPr>
        <w:t>would be</w:t>
      </w:r>
      <w:r w:rsidR="00DB2F46">
        <w:rPr>
          <w:rFonts w:asciiTheme="minorHAnsi" w:hAnsiTheme="minorHAnsi" w:cstheme="minorHAnsi"/>
          <w:sz w:val="22"/>
          <w:szCs w:val="22"/>
        </w:rPr>
        <w:t xml:space="preserve"> amortized as an unrealized gain, systematically eliminating the goodwill and increasing the investment position. After the amortization timeframe</w:t>
      </w:r>
      <w:r w:rsidR="00CA32B4">
        <w:rPr>
          <w:rFonts w:asciiTheme="minorHAnsi" w:hAnsiTheme="minorHAnsi" w:cstheme="minorHAnsi"/>
          <w:sz w:val="22"/>
          <w:szCs w:val="22"/>
        </w:rPr>
        <w:t xml:space="preserve"> (assuming no other changes)</w:t>
      </w:r>
      <w:r w:rsidR="00DB2F46">
        <w:rPr>
          <w:rFonts w:asciiTheme="minorHAnsi" w:hAnsiTheme="minorHAnsi" w:cstheme="minorHAnsi"/>
          <w:sz w:val="22"/>
          <w:szCs w:val="22"/>
        </w:rPr>
        <w:t>, the investment</w:t>
      </w:r>
      <w:r w:rsidR="000E0F04">
        <w:rPr>
          <w:rFonts w:asciiTheme="minorHAnsi" w:hAnsiTheme="minorHAnsi" w:cstheme="minorHAnsi"/>
          <w:sz w:val="22"/>
          <w:szCs w:val="22"/>
        </w:rPr>
        <w:t xml:space="preserve"> balances</w:t>
      </w:r>
      <w:r w:rsidR="00DB2F46">
        <w:rPr>
          <w:rFonts w:asciiTheme="minorHAnsi" w:hAnsiTheme="minorHAnsi" w:cstheme="minorHAnsi"/>
          <w:sz w:val="22"/>
          <w:szCs w:val="22"/>
        </w:rPr>
        <w:t xml:space="preserve"> would </w:t>
      </w:r>
      <w:r w:rsidR="002F5772">
        <w:rPr>
          <w:rFonts w:asciiTheme="minorHAnsi" w:hAnsiTheme="minorHAnsi" w:cstheme="minorHAnsi"/>
          <w:sz w:val="22"/>
          <w:szCs w:val="22"/>
        </w:rPr>
        <w:t>be reported at $100</w:t>
      </w:r>
      <w:r w:rsidR="00175E41">
        <w:rPr>
          <w:rFonts w:asciiTheme="minorHAnsi" w:hAnsiTheme="minorHAnsi" w:cstheme="minorHAnsi"/>
          <w:sz w:val="22"/>
          <w:szCs w:val="22"/>
        </w:rPr>
        <w:t xml:space="preserve"> (as it is no longer net with the </w:t>
      </w:r>
      <w:r w:rsidR="00CB5817">
        <w:rPr>
          <w:rFonts w:asciiTheme="minorHAnsi" w:hAnsiTheme="minorHAnsi" w:cstheme="minorHAnsi"/>
          <w:sz w:val="22"/>
          <w:szCs w:val="22"/>
        </w:rPr>
        <w:t xml:space="preserve">negative </w:t>
      </w:r>
      <w:r w:rsidR="00175E41">
        <w:rPr>
          <w:rFonts w:asciiTheme="minorHAnsi" w:hAnsiTheme="minorHAnsi" w:cstheme="minorHAnsi"/>
          <w:sz w:val="22"/>
          <w:szCs w:val="22"/>
        </w:rPr>
        <w:t>goodwill)</w:t>
      </w:r>
      <w:r w:rsidR="002F5772">
        <w:rPr>
          <w:rFonts w:asciiTheme="minorHAnsi" w:hAnsiTheme="minorHAnsi" w:cstheme="minorHAnsi"/>
          <w:sz w:val="22"/>
          <w:szCs w:val="22"/>
        </w:rPr>
        <w:t xml:space="preserve">, and there would be unrealized gain reported at $20 </w:t>
      </w:r>
      <w:r w:rsidR="00DB2F46">
        <w:rPr>
          <w:rFonts w:asciiTheme="minorHAnsi" w:hAnsiTheme="minorHAnsi" w:cstheme="minorHAnsi"/>
          <w:sz w:val="22"/>
          <w:szCs w:val="22"/>
        </w:rPr>
        <w:t xml:space="preserve">on </w:t>
      </w:r>
      <w:r w:rsidR="00D37CF1">
        <w:rPr>
          <w:rFonts w:asciiTheme="minorHAnsi" w:hAnsiTheme="minorHAnsi" w:cstheme="minorHAnsi"/>
          <w:sz w:val="22"/>
          <w:szCs w:val="22"/>
        </w:rPr>
        <w:t>Schedule BA</w:t>
      </w:r>
      <w:r w:rsidR="00AE50C7">
        <w:rPr>
          <w:rFonts w:asciiTheme="minorHAnsi" w:hAnsiTheme="minorHAnsi" w:cstheme="minorHAnsi"/>
          <w:sz w:val="22"/>
          <w:szCs w:val="22"/>
        </w:rPr>
        <w:t>.</w:t>
      </w:r>
      <w:r w:rsidR="009D6794">
        <w:rPr>
          <w:rFonts w:asciiTheme="minorHAnsi" w:hAnsiTheme="minorHAnsi" w:cstheme="minorHAnsi"/>
          <w:sz w:val="22"/>
          <w:szCs w:val="22"/>
        </w:rPr>
        <w:t xml:space="preserve"> </w:t>
      </w:r>
    </w:p>
    <w:p w14:paraId="6D902A0B" w14:textId="3B74FBA9" w:rsidR="00973189" w:rsidRDefault="00973189" w:rsidP="00DB2F46">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7B780DB1" w14:textId="2B870BFC" w:rsidR="002327E7" w:rsidRDefault="00DA5963" w:rsidP="00327477">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This reporting </w:t>
      </w:r>
      <w:r w:rsidR="00205279">
        <w:rPr>
          <w:rFonts w:asciiTheme="minorHAnsi" w:hAnsiTheme="minorHAnsi" w:cstheme="minorHAnsi"/>
          <w:sz w:val="22"/>
          <w:szCs w:val="22"/>
        </w:rPr>
        <w:t xml:space="preserve">could </w:t>
      </w:r>
      <w:r>
        <w:rPr>
          <w:rFonts w:asciiTheme="minorHAnsi" w:hAnsiTheme="minorHAnsi" w:cstheme="minorHAnsi"/>
          <w:sz w:val="22"/>
          <w:szCs w:val="22"/>
        </w:rPr>
        <w:t xml:space="preserve">cause questions, as </w:t>
      </w:r>
      <w:r w:rsidR="00EF03F0">
        <w:rPr>
          <w:rFonts w:asciiTheme="minorHAnsi" w:hAnsiTheme="minorHAnsi" w:cstheme="minorHAnsi"/>
          <w:sz w:val="22"/>
          <w:szCs w:val="22"/>
        </w:rPr>
        <w:t xml:space="preserve">it </w:t>
      </w:r>
      <w:r w:rsidR="00D4163F">
        <w:rPr>
          <w:rFonts w:asciiTheme="minorHAnsi" w:hAnsiTheme="minorHAnsi" w:cstheme="minorHAnsi"/>
          <w:sz w:val="22"/>
          <w:szCs w:val="22"/>
        </w:rPr>
        <w:t xml:space="preserve">would </w:t>
      </w:r>
      <w:r w:rsidR="00EF03F0">
        <w:rPr>
          <w:rFonts w:asciiTheme="minorHAnsi" w:hAnsiTheme="minorHAnsi" w:cstheme="minorHAnsi"/>
          <w:sz w:val="22"/>
          <w:szCs w:val="22"/>
        </w:rPr>
        <w:t>appear there</w:t>
      </w:r>
      <w:r>
        <w:rPr>
          <w:rFonts w:asciiTheme="minorHAnsi" w:hAnsiTheme="minorHAnsi" w:cstheme="minorHAnsi"/>
          <w:sz w:val="22"/>
          <w:szCs w:val="22"/>
        </w:rPr>
        <w:t xml:space="preserve"> </w:t>
      </w:r>
      <w:r w:rsidR="00A53F2A">
        <w:rPr>
          <w:rFonts w:asciiTheme="minorHAnsi" w:hAnsiTheme="minorHAnsi" w:cstheme="minorHAnsi"/>
          <w:sz w:val="22"/>
          <w:szCs w:val="22"/>
        </w:rPr>
        <w:t>is</w:t>
      </w:r>
      <w:r>
        <w:rPr>
          <w:rFonts w:asciiTheme="minorHAnsi" w:hAnsiTheme="minorHAnsi" w:cstheme="minorHAnsi"/>
          <w:sz w:val="22"/>
          <w:szCs w:val="22"/>
        </w:rPr>
        <w:t xml:space="preserve"> </w:t>
      </w:r>
      <w:r w:rsidR="00D05D89">
        <w:rPr>
          <w:rFonts w:asciiTheme="minorHAnsi" w:hAnsiTheme="minorHAnsi" w:cstheme="minorHAnsi"/>
          <w:sz w:val="22"/>
          <w:szCs w:val="22"/>
        </w:rPr>
        <w:t xml:space="preserve">$20 </w:t>
      </w:r>
      <w:r w:rsidR="001025BD">
        <w:rPr>
          <w:rFonts w:asciiTheme="minorHAnsi" w:hAnsiTheme="minorHAnsi" w:cstheme="minorHAnsi"/>
          <w:sz w:val="22"/>
          <w:szCs w:val="22"/>
        </w:rPr>
        <w:t xml:space="preserve">in </w:t>
      </w:r>
      <w:r w:rsidR="00D05D89">
        <w:rPr>
          <w:rFonts w:asciiTheme="minorHAnsi" w:hAnsiTheme="minorHAnsi" w:cstheme="minorHAnsi"/>
          <w:sz w:val="22"/>
          <w:szCs w:val="22"/>
        </w:rPr>
        <w:t>accumulated undistributed earnings</w:t>
      </w:r>
      <w:r w:rsidR="00264693">
        <w:rPr>
          <w:rFonts w:asciiTheme="minorHAnsi" w:hAnsiTheme="minorHAnsi" w:cstheme="minorHAnsi"/>
          <w:sz w:val="22"/>
          <w:szCs w:val="22"/>
        </w:rPr>
        <w:t xml:space="preserve"> </w:t>
      </w:r>
      <w:r w:rsidR="00D05D89">
        <w:rPr>
          <w:rFonts w:asciiTheme="minorHAnsi" w:hAnsiTheme="minorHAnsi" w:cstheme="minorHAnsi"/>
          <w:sz w:val="22"/>
          <w:szCs w:val="22"/>
        </w:rPr>
        <w:t>after acquisition</w:t>
      </w:r>
      <w:r w:rsidR="00264693">
        <w:rPr>
          <w:rFonts w:asciiTheme="minorHAnsi" w:hAnsiTheme="minorHAnsi" w:cstheme="minorHAnsi"/>
          <w:sz w:val="22"/>
          <w:szCs w:val="22"/>
        </w:rPr>
        <w:t xml:space="preserve">, but that </w:t>
      </w:r>
      <w:r w:rsidR="004C3D19">
        <w:rPr>
          <w:rFonts w:asciiTheme="minorHAnsi" w:hAnsiTheme="minorHAnsi" w:cstheme="minorHAnsi"/>
          <w:sz w:val="22"/>
          <w:szCs w:val="22"/>
        </w:rPr>
        <w:t>would not</w:t>
      </w:r>
      <w:r w:rsidR="00264693">
        <w:rPr>
          <w:rFonts w:asciiTheme="minorHAnsi" w:hAnsiTheme="minorHAnsi" w:cstheme="minorHAnsi"/>
          <w:sz w:val="22"/>
          <w:szCs w:val="22"/>
        </w:rPr>
        <w:t xml:space="preserve"> be the case</w:t>
      </w:r>
      <w:r w:rsidR="00D05D89">
        <w:rPr>
          <w:rFonts w:asciiTheme="minorHAnsi" w:hAnsiTheme="minorHAnsi" w:cstheme="minorHAnsi"/>
          <w:sz w:val="22"/>
          <w:szCs w:val="22"/>
        </w:rPr>
        <w:t>, as the investment was just acquired at a discount and the unrealized gain just reflects the amortization of the negative goodwill to get to the equity value</w:t>
      </w:r>
      <w:r w:rsidR="0096349C">
        <w:rPr>
          <w:rFonts w:asciiTheme="minorHAnsi" w:hAnsiTheme="minorHAnsi" w:cstheme="minorHAnsi"/>
          <w:sz w:val="22"/>
          <w:szCs w:val="22"/>
        </w:rPr>
        <w:t xml:space="preserve"> at the date of acquisition</w:t>
      </w:r>
      <w:r w:rsidR="002B673F">
        <w:rPr>
          <w:rFonts w:asciiTheme="minorHAnsi" w:hAnsiTheme="minorHAnsi" w:cstheme="minorHAnsi"/>
          <w:sz w:val="22"/>
          <w:szCs w:val="22"/>
        </w:rPr>
        <w:t xml:space="preserve">. </w:t>
      </w:r>
      <w:r w:rsidR="00692586">
        <w:rPr>
          <w:rFonts w:asciiTheme="minorHAnsi" w:hAnsiTheme="minorHAnsi" w:cstheme="minorHAnsi"/>
          <w:sz w:val="22"/>
          <w:szCs w:val="22"/>
        </w:rPr>
        <w:t xml:space="preserve">Regardless, </w:t>
      </w:r>
      <w:r w:rsidR="006A30D8">
        <w:rPr>
          <w:rFonts w:asciiTheme="minorHAnsi" w:hAnsiTheme="minorHAnsi" w:cstheme="minorHAnsi"/>
          <w:sz w:val="22"/>
          <w:szCs w:val="22"/>
        </w:rPr>
        <w:t>since</w:t>
      </w:r>
      <w:r w:rsidR="00692586">
        <w:rPr>
          <w:rFonts w:asciiTheme="minorHAnsi" w:hAnsiTheme="minorHAnsi" w:cstheme="minorHAnsi"/>
          <w:sz w:val="22"/>
          <w:szCs w:val="22"/>
        </w:rPr>
        <w:t xml:space="preserve"> the entity only paid $80 for the investment, if </w:t>
      </w:r>
      <w:r w:rsidR="00567177">
        <w:rPr>
          <w:rFonts w:asciiTheme="minorHAnsi" w:hAnsiTheme="minorHAnsi" w:cstheme="minorHAnsi"/>
          <w:sz w:val="22"/>
          <w:szCs w:val="22"/>
        </w:rPr>
        <w:t xml:space="preserve">the investment was sold </w:t>
      </w:r>
      <w:r w:rsidR="00692586">
        <w:rPr>
          <w:rFonts w:asciiTheme="minorHAnsi" w:hAnsiTheme="minorHAnsi" w:cstheme="minorHAnsi"/>
          <w:sz w:val="22"/>
          <w:szCs w:val="22"/>
        </w:rPr>
        <w:t>for the equity value, the</w:t>
      </w:r>
      <w:r w:rsidR="002327E7">
        <w:rPr>
          <w:rFonts w:asciiTheme="minorHAnsi" w:hAnsiTheme="minorHAnsi" w:cstheme="minorHAnsi"/>
          <w:sz w:val="22"/>
          <w:szCs w:val="22"/>
        </w:rPr>
        <w:t xml:space="preserve"> entity </w:t>
      </w:r>
      <w:r w:rsidR="00692586">
        <w:rPr>
          <w:rFonts w:asciiTheme="minorHAnsi" w:hAnsiTheme="minorHAnsi" w:cstheme="minorHAnsi"/>
          <w:sz w:val="22"/>
          <w:szCs w:val="22"/>
        </w:rPr>
        <w:t xml:space="preserve">would </w:t>
      </w:r>
      <w:r w:rsidR="00FC7951">
        <w:rPr>
          <w:rFonts w:asciiTheme="minorHAnsi" w:hAnsiTheme="minorHAnsi" w:cstheme="minorHAnsi"/>
          <w:sz w:val="22"/>
          <w:szCs w:val="22"/>
        </w:rPr>
        <w:t>recognize a</w:t>
      </w:r>
      <w:r w:rsidR="00DA757A">
        <w:rPr>
          <w:rFonts w:asciiTheme="minorHAnsi" w:hAnsiTheme="minorHAnsi" w:cstheme="minorHAnsi"/>
          <w:sz w:val="22"/>
          <w:szCs w:val="22"/>
        </w:rPr>
        <w:t xml:space="preserve"> $20 gain. </w:t>
      </w:r>
    </w:p>
    <w:p w14:paraId="36105E30" w14:textId="77777777" w:rsidR="008950CF" w:rsidRDefault="008950CF" w:rsidP="00327477">
      <w:pPr>
        <w:pStyle w:val="BodyTextIndent"/>
        <w:spacing w:after="0"/>
        <w:ind w:left="0"/>
        <w:jc w:val="both"/>
        <w:rPr>
          <w:rFonts w:asciiTheme="minorHAnsi" w:hAnsiTheme="minorHAnsi" w:cstheme="minorHAnsi"/>
          <w:sz w:val="22"/>
          <w:szCs w:val="22"/>
        </w:rPr>
      </w:pPr>
    </w:p>
    <w:p w14:paraId="161E9882" w14:textId="4CC6F1F1" w:rsidR="008950CF" w:rsidRDefault="008950CF" w:rsidP="00327477">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It should be highlighted that the goodwill amortization timeframe is “the period in which the acquiring entity benefits economically, not to exceed 10 years” with goodwill evaluated separately for each transaction. There is no difference in this guidance between negative and positive goodwill, therefore a company could </w:t>
      </w:r>
      <w:r w:rsidR="00392353">
        <w:rPr>
          <w:rFonts w:asciiTheme="minorHAnsi" w:hAnsiTheme="minorHAnsi" w:cstheme="minorHAnsi"/>
          <w:sz w:val="22"/>
          <w:szCs w:val="22"/>
        </w:rPr>
        <w:t>conclude</w:t>
      </w:r>
      <w:r>
        <w:rPr>
          <w:rFonts w:asciiTheme="minorHAnsi" w:hAnsiTheme="minorHAnsi" w:cstheme="minorHAnsi"/>
          <w:sz w:val="22"/>
          <w:szCs w:val="22"/>
        </w:rPr>
        <w:t xml:space="preserve"> that the “economic benefit” timeframe is much shorter than 10 years, allowing for the goodwill to be amortized faster, resulting in an increase in the reported investment amount. Presumably, with no existing restrictions that require an amortization timeframe for negative goodwill, a company could determine that there is no future economic benefit timeframe and immediate eliminate the negative goodwill. Although this may not be desirable </w:t>
      </w:r>
      <w:r w:rsidR="00392353">
        <w:rPr>
          <w:rFonts w:asciiTheme="minorHAnsi" w:hAnsiTheme="minorHAnsi" w:cstheme="minorHAnsi"/>
          <w:sz w:val="22"/>
          <w:szCs w:val="22"/>
        </w:rPr>
        <w:t xml:space="preserve">by an entity </w:t>
      </w:r>
      <w:r>
        <w:rPr>
          <w:rFonts w:asciiTheme="minorHAnsi" w:hAnsiTheme="minorHAnsi" w:cstheme="minorHAnsi"/>
          <w:sz w:val="22"/>
          <w:szCs w:val="22"/>
        </w:rPr>
        <w:t>for positive goodwill, it would allow a day-one gain for negative goodwill (investments acquired at a discount).</w:t>
      </w:r>
    </w:p>
    <w:p w14:paraId="1D7FDAEC" w14:textId="77777777" w:rsidR="002327E7" w:rsidRDefault="002327E7" w:rsidP="00327477">
      <w:pPr>
        <w:pStyle w:val="BodyTextIndent"/>
        <w:spacing w:after="0"/>
        <w:ind w:left="0"/>
        <w:jc w:val="both"/>
        <w:rPr>
          <w:rFonts w:asciiTheme="minorHAnsi" w:hAnsiTheme="minorHAnsi" w:cstheme="minorHAnsi"/>
          <w:sz w:val="22"/>
          <w:szCs w:val="22"/>
        </w:rPr>
      </w:pPr>
    </w:p>
    <w:p w14:paraId="62146D90" w14:textId="348A860B" w:rsidR="0086294C" w:rsidRDefault="00DA757A" w:rsidP="00327477">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In addition to the amortization of goodwill</w:t>
      </w:r>
      <w:r w:rsidR="00510D31">
        <w:rPr>
          <w:rFonts w:asciiTheme="minorHAnsi" w:hAnsiTheme="minorHAnsi" w:cstheme="minorHAnsi"/>
          <w:sz w:val="22"/>
          <w:szCs w:val="22"/>
        </w:rPr>
        <w:t xml:space="preserve">, the </w:t>
      </w:r>
      <w:r w:rsidR="00235CA5">
        <w:rPr>
          <w:rFonts w:asciiTheme="minorHAnsi" w:hAnsiTheme="minorHAnsi" w:cstheme="minorHAnsi"/>
          <w:sz w:val="22"/>
          <w:szCs w:val="22"/>
        </w:rPr>
        <w:t xml:space="preserve">insurance company </w:t>
      </w:r>
      <w:r w:rsidR="00156489">
        <w:rPr>
          <w:rFonts w:asciiTheme="minorHAnsi" w:hAnsiTheme="minorHAnsi" w:cstheme="minorHAnsi"/>
          <w:sz w:val="22"/>
          <w:szCs w:val="22"/>
        </w:rPr>
        <w:t>shall also be</w:t>
      </w:r>
      <w:r w:rsidR="00235CA5">
        <w:rPr>
          <w:rFonts w:asciiTheme="minorHAnsi" w:hAnsiTheme="minorHAnsi" w:cstheme="minorHAnsi"/>
          <w:sz w:val="22"/>
          <w:szCs w:val="22"/>
        </w:rPr>
        <w:t xml:space="preserve"> reporting the equity </w:t>
      </w:r>
      <w:r w:rsidR="00DC6127">
        <w:rPr>
          <w:rFonts w:asciiTheme="minorHAnsi" w:hAnsiTheme="minorHAnsi" w:cstheme="minorHAnsi"/>
          <w:sz w:val="22"/>
          <w:szCs w:val="22"/>
        </w:rPr>
        <w:t xml:space="preserve">method </w:t>
      </w:r>
      <w:r w:rsidR="00235CA5">
        <w:rPr>
          <w:rFonts w:asciiTheme="minorHAnsi" w:hAnsiTheme="minorHAnsi" w:cstheme="minorHAnsi"/>
          <w:sz w:val="22"/>
          <w:szCs w:val="22"/>
        </w:rPr>
        <w:t>pick-ups</w:t>
      </w:r>
      <w:r w:rsidR="00156489">
        <w:rPr>
          <w:rFonts w:asciiTheme="minorHAnsi" w:hAnsiTheme="minorHAnsi" w:cstheme="minorHAnsi"/>
          <w:sz w:val="22"/>
          <w:szCs w:val="22"/>
        </w:rPr>
        <w:t>/declines</w:t>
      </w:r>
      <w:r w:rsidR="00327477">
        <w:rPr>
          <w:rFonts w:asciiTheme="minorHAnsi" w:hAnsiTheme="minorHAnsi" w:cstheme="minorHAnsi"/>
          <w:sz w:val="22"/>
          <w:szCs w:val="22"/>
        </w:rPr>
        <w:t xml:space="preserve">, resulting </w:t>
      </w:r>
      <w:r w:rsidR="00156489">
        <w:rPr>
          <w:rFonts w:asciiTheme="minorHAnsi" w:hAnsiTheme="minorHAnsi" w:cstheme="minorHAnsi"/>
          <w:sz w:val="22"/>
          <w:szCs w:val="22"/>
        </w:rPr>
        <w:t xml:space="preserve">in additional changes to the investment value and the recognition of unrealized gains/losses. </w:t>
      </w:r>
      <w:r w:rsidR="00144CA3" w:rsidRPr="001025BD">
        <w:rPr>
          <w:rFonts w:asciiTheme="minorHAnsi" w:hAnsiTheme="minorHAnsi" w:cstheme="minorHAnsi"/>
          <w:sz w:val="22"/>
          <w:szCs w:val="22"/>
          <w:u w:val="single"/>
        </w:rPr>
        <w:t xml:space="preserve">From NAIC staff’s understanding of the intent of the guidance, </w:t>
      </w:r>
      <w:r w:rsidR="00AB7939" w:rsidRPr="001025BD">
        <w:rPr>
          <w:rFonts w:asciiTheme="minorHAnsi" w:hAnsiTheme="minorHAnsi" w:cstheme="minorHAnsi"/>
          <w:sz w:val="22"/>
          <w:szCs w:val="22"/>
          <w:u w:val="single"/>
        </w:rPr>
        <w:t xml:space="preserve">it is not appropriate to use </w:t>
      </w:r>
      <w:r w:rsidR="007B1CAB" w:rsidRPr="001025BD">
        <w:rPr>
          <w:rFonts w:asciiTheme="minorHAnsi" w:hAnsiTheme="minorHAnsi" w:cstheme="minorHAnsi"/>
          <w:sz w:val="22"/>
          <w:szCs w:val="22"/>
          <w:u w:val="single"/>
        </w:rPr>
        <w:t>subsequent equity changes to eliminate goodwill</w:t>
      </w:r>
      <w:r w:rsidR="00BD59D5" w:rsidRPr="001025BD">
        <w:rPr>
          <w:rFonts w:asciiTheme="minorHAnsi" w:hAnsiTheme="minorHAnsi" w:cstheme="minorHAnsi"/>
          <w:sz w:val="22"/>
          <w:szCs w:val="22"/>
          <w:u w:val="single"/>
        </w:rPr>
        <w:t xml:space="preserve"> or accelerate its amortization into unrealized gain/loss.</w:t>
      </w:r>
      <w:r w:rsidR="00BD59D5">
        <w:rPr>
          <w:rFonts w:asciiTheme="minorHAnsi" w:hAnsiTheme="minorHAnsi" w:cstheme="minorHAnsi"/>
          <w:sz w:val="22"/>
          <w:szCs w:val="22"/>
        </w:rPr>
        <w:t xml:space="preserve"> </w:t>
      </w:r>
    </w:p>
    <w:p w14:paraId="1E9ACF11" w14:textId="77777777" w:rsidR="00B4187B" w:rsidRDefault="00B4187B" w:rsidP="00327477">
      <w:pPr>
        <w:pStyle w:val="BodyTextIndent"/>
        <w:spacing w:after="0"/>
        <w:ind w:left="0"/>
        <w:jc w:val="both"/>
        <w:rPr>
          <w:rFonts w:asciiTheme="minorHAnsi" w:hAnsiTheme="minorHAnsi" w:cstheme="minorHAnsi"/>
          <w:sz w:val="22"/>
          <w:szCs w:val="22"/>
        </w:rPr>
      </w:pPr>
    </w:p>
    <w:p w14:paraId="23ACF3F5" w14:textId="04F219AA" w:rsidR="00FC7951" w:rsidRDefault="0057797B" w:rsidP="00327477">
      <w:pPr>
        <w:pStyle w:val="BodyTextIndent"/>
        <w:spacing w:after="0"/>
        <w:ind w:left="0"/>
        <w:jc w:val="both"/>
        <w:rPr>
          <w:rFonts w:asciiTheme="minorHAnsi" w:hAnsiTheme="minorHAnsi" w:cstheme="minorHAnsi"/>
          <w:sz w:val="22"/>
          <w:szCs w:val="22"/>
        </w:rPr>
      </w:pPr>
      <w:r w:rsidRPr="00905CFE">
        <w:rPr>
          <w:rFonts w:asciiTheme="minorHAnsi" w:hAnsiTheme="minorHAnsi" w:cstheme="minorHAnsi"/>
          <w:sz w:val="22"/>
          <w:szCs w:val="22"/>
          <w:u w:val="single"/>
        </w:rPr>
        <w:t xml:space="preserve">Ultimately, the question is whether </w:t>
      </w:r>
      <w:r w:rsidR="009328B6" w:rsidRPr="00905CFE">
        <w:rPr>
          <w:rFonts w:asciiTheme="minorHAnsi" w:hAnsiTheme="minorHAnsi" w:cstheme="minorHAnsi"/>
          <w:sz w:val="22"/>
          <w:szCs w:val="22"/>
          <w:u w:val="single"/>
        </w:rPr>
        <w:t>the guidance, and the net reporting with goodwill</w:t>
      </w:r>
      <w:r w:rsidR="006B4CB5" w:rsidRPr="00905CFE">
        <w:rPr>
          <w:rFonts w:asciiTheme="minorHAnsi" w:hAnsiTheme="minorHAnsi" w:cstheme="minorHAnsi"/>
          <w:sz w:val="22"/>
          <w:szCs w:val="22"/>
          <w:u w:val="single"/>
        </w:rPr>
        <w:t xml:space="preserve"> (positive or negative)</w:t>
      </w:r>
      <w:r w:rsidR="00965336" w:rsidRPr="00905CFE">
        <w:rPr>
          <w:rFonts w:asciiTheme="minorHAnsi" w:hAnsiTheme="minorHAnsi" w:cstheme="minorHAnsi"/>
          <w:sz w:val="22"/>
          <w:szCs w:val="22"/>
          <w:u w:val="single"/>
        </w:rPr>
        <w:t xml:space="preserve"> on Schedule BA</w:t>
      </w:r>
      <w:r w:rsidR="009328B6" w:rsidRPr="00905CFE">
        <w:rPr>
          <w:rFonts w:asciiTheme="minorHAnsi" w:hAnsiTheme="minorHAnsi" w:cstheme="minorHAnsi"/>
          <w:sz w:val="22"/>
          <w:szCs w:val="22"/>
          <w:u w:val="single"/>
        </w:rPr>
        <w:t xml:space="preserve">, is </w:t>
      </w:r>
      <w:r w:rsidR="00E9068E">
        <w:rPr>
          <w:rFonts w:asciiTheme="minorHAnsi" w:hAnsiTheme="minorHAnsi" w:cstheme="minorHAnsi"/>
          <w:sz w:val="22"/>
          <w:szCs w:val="22"/>
          <w:u w:val="single"/>
        </w:rPr>
        <w:t>reflected as intended, if it</w:t>
      </w:r>
      <w:r w:rsidR="00F2086D">
        <w:rPr>
          <w:rFonts w:asciiTheme="minorHAnsi" w:hAnsiTheme="minorHAnsi" w:cstheme="minorHAnsi"/>
          <w:sz w:val="22"/>
          <w:szCs w:val="22"/>
          <w:u w:val="single"/>
        </w:rPr>
        <w:t xml:space="preserve"> is </w:t>
      </w:r>
      <w:r w:rsidR="009328B6" w:rsidRPr="00905CFE">
        <w:rPr>
          <w:rFonts w:asciiTheme="minorHAnsi" w:hAnsiTheme="minorHAnsi" w:cstheme="minorHAnsi"/>
          <w:sz w:val="22"/>
          <w:szCs w:val="22"/>
          <w:u w:val="single"/>
        </w:rPr>
        <w:t xml:space="preserve">properly being followed and if there is adequate documentation and </w:t>
      </w:r>
      <w:r w:rsidR="009328B6" w:rsidRPr="00905CFE">
        <w:rPr>
          <w:rFonts w:asciiTheme="minorHAnsi" w:hAnsiTheme="minorHAnsi" w:cstheme="minorHAnsi"/>
          <w:sz w:val="22"/>
          <w:szCs w:val="22"/>
          <w:u w:val="single"/>
        </w:rPr>
        <w:lastRenderedPageBreak/>
        <w:t>reporting of the goodwill for each investment.</w:t>
      </w:r>
      <w:r w:rsidR="009328B6">
        <w:rPr>
          <w:rFonts w:asciiTheme="minorHAnsi" w:hAnsiTheme="minorHAnsi" w:cstheme="minorHAnsi"/>
          <w:sz w:val="22"/>
          <w:szCs w:val="22"/>
        </w:rPr>
        <w:t xml:space="preserve"> </w:t>
      </w:r>
      <w:r w:rsidR="00D71580">
        <w:rPr>
          <w:rFonts w:asciiTheme="minorHAnsi" w:hAnsiTheme="minorHAnsi" w:cstheme="minorHAnsi"/>
          <w:sz w:val="22"/>
          <w:szCs w:val="22"/>
        </w:rPr>
        <w:t xml:space="preserve">From the review of year-end 2024 </w:t>
      </w:r>
      <w:r w:rsidR="00411269">
        <w:rPr>
          <w:rFonts w:asciiTheme="minorHAnsi" w:hAnsiTheme="minorHAnsi" w:cstheme="minorHAnsi"/>
          <w:sz w:val="22"/>
          <w:szCs w:val="22"/>
        </w:rPr>
        <w:t>data, it is not possible to identify the goodwill reported within each investment</w:t>
      </w:r>
      <w:r w:rsidR="003F5F67">
        <w:rPr>
          <w:rFonts w:asciiTheme="minorHAnsi" w:hAnsiTheme="minorHAnsi" w:cstheme="minorHAnsi"/>
          <w:sz w:val="22"/>
          <w:szCs w:val="22"/>
        </w:rPr>
        <w:t xml:space="preserve"> </w:t>
      </w:r>
      <w:r w:rsidR="00411269">
        <w:rPr>
          <w:rFonts w:asciiTheme="minorHAnsi" w:hAnsiTheme="minorHAnsi" w:cstheme="minorHAnsi"/>
          <w:sz w:val="22"/>
          <w:szCs w:val="22"/>
        </w:rPr>
        <w:t xml:space="preserve">or the extent to which the unrealized gain/loss reflects the amortization of goodwill. </w:t>
      </w:r>
    </w:p>
    <w:p w14:paraId="55A697D0" w14:textId="77777777" w:rsidR="00FC7951" w:rsidRDefault="00FC7951" w:rsidP="00327477">
      <w:pPr>
        <w:pStyle w:val="BodyTextIndent"/>
        <w:spacing w:after="0"/>
        <w:ind w:left="0"/>
        <w:jc w:val="both"/>
        <w:rPr>
          <w:rFonts w:asciiTheme="minorHAnsi" w:hAnsiTheme="minorHAnsi" w:cstheme="minorHAnsi"/>
          <w:sz w:val="22"/>
          <w:szCs w:val="22"/>
        </w:rPr>
      </w:pPr>
    </w:p>
    <w:p w14:paraId="63E679D5" w14:textId="042666EE" w:rsidR="009328B6" w:rsidRDefault="008134D5" w:rsidP="00EF03F0">
      <w:pPr>
        <w:pStyle w:val="BodyTextIndent"/>
        <w:spacing w:after="240"/>
        <w:ind w:left="0"/>
        <w:jc w:val="both"/>
        <w:rPr>
          <w:rFonts w:asciiTheme="minorHAnsi" w:hAnsiTheme="minorHAnsi" w:cstheme="minorHAnsi"/>
          <w:sz w:val="22"/>
          <w:szCs w:val="22"/>
        </w:rPr>
      </w:pPr>
      <w:r>
        <w:rPr>
          <w:rFonts w:asciiTheme="minorHAnsi" w:hAnsiTheme="minorHAnsi" w:cstheme="minorHAnsi"/>
          <w:sz w:val="22"/>
          <w:szCs w:val="22"/>
        </w:rPr>
        <w:t xml:space="preserve">Based solely on the extent of unrealized </w:t>
      </w:r>
      <w:r w:rsidR="00BA62D2">
        <w:rPr>
          <w:rFonts w:asciiTheme="minorHAnsi" w:hAnsiTheme="minorHAnsi" w:cstheme="minorHAnsi"/>
          <w:sz w:val="22"/>
          <w:szCs w:val="22"/>
        </w:rPr>
        <w:t xml:space="preserve">valuation increases/decreases </w:t>
      </w:r>
      <w:r>
        <w:rPr>
          <w:rFonts w:asciiTheme="minorHAnsi" w:hAnsiTheme="minorHAnsi" w:cstheme="minorHAnsi"/>
          <w:sz w:val="22"/>
          <w:szCs w:val="22"/>
        </w:rPr>
        <w:t xml:space="preserve">shown for investments originally acquired towards the end of </w:t>
      </w:r>
      <w:r w:rsidR="00A43890">
        <w:rPr>
          <w:rFonts w:asciiTheme="minorHAnsi" w:hAnsiTheme="minorHAnsi" w:cstheme="minorHAnsi"/>
          <w:sz w:val="22"/>
          <w:szCs w:val="22"/>
        </w:rPr>
        <w:t>2024</w:t>
      </w:r>
      <w:r>
        <w:rPr>
          <w:rFonts w:asciiTheme="minorHAnsi" w:hAnsiTheme="minorHAnsi" w:cstheme="minorHAnsi"/>
          <w:sz w:val="22"/>
          <w:szCs w:val="22"/>
        </w:rPr>
        <w:t xml:space="preserve">, </w:t>
      </w:r>
      <w:r w:rsidR="00126C0A">
        <w:rPr>
          <w:rFonts w:asciiTheme="minorHAnsi" w:hAnsiTheme="minorHAnsi" w:cstheme="minorHAnsi"/>
          <w:sz w:val="22"/>
          <w:szCs w:val="22"/>
        </w:rPr>
        <w:t xml:space="preserve">NAIC staff </w:t>
      </w:r>
      <w:r w:rsidR="00AE50C7">
        <w:rPr>
          <w:rFonts w:asciiTheme="minorHAnsi" w:hAnsiTheme="minorHAnsi" w:cstheme="minorHAnsi"/>
          <w:sz w:val="22"/>
          <w:szCs w:val="22"/>
        </w:rPr>
        <w:t>suspect</w:t>
      </w:r>
      <w:r w:rsidR="00126C0A">
        <w:rPr>
          <w:rFonts w:asciiTheme="minorHAnsi" w:hAnsiTheme="minorHAnsi" w:cstheme="minorHAnsi"/>
          <w:sz w:val="22"/>
          <w:szCs w:val="22"/>
        </w:rPr>
        <w:t xml:space="preserve"> that some entities may not be </w:t>
      </w:r>
      <w:r w:rsidR="001F292F">
        <w:rPr>
          <w:rFonts w:asciiTheme="minorHAnsi" w:hAnsiTheme="minorHAnsi" w:cstheme="minorHAnsi"/>
          <w:sz w:val="22"/>
          <w:szCs w:val="22"/>
        </w:rPr>
        <w:t xml:space="preserve">capturing the concept of </w:t>
      </w:r>
      <w:r w:rsidR="00C35993">
        <w:rPr>
          <w:rFonts w:asciiTheme="minorHAnsi" w:hAnsiTheme="minorHAnsi" w:cstheme="minorHAnsi"/>
          <w:sz w:val="22"/>
          <w:szCs w:val="22"/>
        </w:rPr>
        <w:t xml:space="preserve">negative </w:t>
      </w:r>
      <w:r w:rsidR="001F292F">
        <w:rPr>
          <w:rFonts w:asciiTheme="minorHAnsi" w:hAnsiTheme="minorHAnsi" w:cstheme="minorHAnsi"/>
          <w:sz w:val="22"/>
          <w:szCs w:val="22"/>
        </w:rPr>
        <w:t>goodwill</w:t>
      </w:r>
      <w:r w:rsidR="002D1510">
        <w:rPr>
          <w:rFonts w:asciiTheme="minorHAnsi" w:hAnsiTheme="minorHAnsi" w:cstheme="minorHAnsi"/>
          <w:sz w:val="22"/>
          <w:szCs w:val="22"/>
        </w:rPr>
        <w:t xml:space="preserve"> for investments acquired at a </w:t>
      </w:r>
      <w:r w:rsidR="000A7CBA">
        <w:rPr>
          <w:rFonts w:asciiTheme="minorHAnsi" w:hAnsiTheme="minorHAnsi" w:cstheme="minorHAnsi"/>
          <w:sz w:val="22"/>
          <w:szCs w:val="22"/>
        </w:rPr>
        <w:t>discount and</w:t>
      </w:r>
      <w:r w:rsidR="002D1510">
        <w:rPr>
          <w:rFonts w:asciiTheme="minorHAnsi" w:hAnsiTheme="minorHAnsi" w:cstheme="minorHAnsi"/>
          <w:sz w:val="22"/>
          <w:szCs w:val="22"/>
        </w:rPr>
        <w:t xml:space="preserve"> </w:t>
      </w:r>
      <w:r w:rsidR="00A43890">
        <w:rPr>
          <w:rFonts w:asciiTheme="minorHAnsi" w:hAnsiTheme="minorHAnsi" w:cstheme="minorHAnsi"/>
          <w:sz w:val="22"/>
          <w:szCs w:val="22"/>
        </w:rPr>
        <w:t xml:space="preserve">instead </w:t>
      </w:r>
      <w:r w:rsidR="00244950">
        <w:rPr>
          <w:rFonts w:asciiTheme="minorHAnsi" w:hAnsiTheme="minorHAnsi" w:cstheme="minorHAnsi"/>
          <w:sz w:val="22"/>
          <w:szCs w:val="22"/>
        </w:rPr>
        <w:t>are</w:t>
      </w:r>
      <w:r w:rsidR="002D1510">
        <w:rPr>
          <w:rFonts w:asciiTheme="minorHAnsi" w:hAnsiTheme="minorHAnsi" w:cstheme="minorHAnsi"/>
          <w:sz w:val="22"/>
          <w:szCs w:val="22"/>
        </w:rPr>
        <w:t xml:space="preserve"> </w:t>
      </w:r>
      <w:r w:rsidR="001D2A3D">
        <w:rPr>
          <w:rFonts w:asciiTheme="minorHAnsi" w:hAnsiTheme="minorHAnsi" w:cstheme="minorHAnsi"/>
          <w:sz w:val="22"/>
          <w:szCs w:val="22"/>
        </w:rPr>
        <w:t>recognizing a day-</w:t>
      </w:r>
      <w:r w:rsidR="00F2086D">
        <w:rPr>
          <w:rFonts w:asciiTheme="minorHAnsi" w:hAnsiTheme="minorHAnsi" w:cstheme="minorHAnsi"/>
          <w:sz w:val="22"/>
          <w:szCs w:val="22"/>
        </w:rPr>
        <w:t>one</w:t>
      </w:r>
      <w:r w:rsidR="001D2A3D">
        <w:rPr>
          <w:rFonts w:asciiTheme="minorHAnsi" w:hAnsiTheme="minorHAnsi" w:cstheme="minorHAnsi"/>
          <w:sz w:val="22"/>
          <w:szCs w:val="22"/>
        </w:rPr>
        <w:t xml:space="preserve"> immediate unrealized gain</w:t>
      </w:r>
      <w:r w:rsidR="0071581E">
        <w:rPr>
          <w:rFonts w:asciiTheme="minorHAnsi" w:hAnsiTheme="minorHAnsi" w:cstheme="minorHAnsi"/>
          <w:sz w:val="22"/>
          <w:szCs w:val="22"/>
        </w:rPr>
        <w:t>. F</w:t>
      </w:r>
      <w:r w:rsidR="003D5212">
        <w:rPr>
          <w:rFonts w:asciiTheme="minorHAnsi" w:hAnsiTheme="minorHAnsi" w:cstheme="minorHAnsi"/>
          <w:sz w:val="22"/>
          <w:szCs w:val="22"/>
        </w:rPr>
        <w:t xml:space="preserve">rom the data review for 2024 acquisitions, NAIC staff identified </w:t>
      </w:r>
      <w:r w:rsidR="009C66F2">
        <w:rPr>
          <w:rFonts w:asciiTheme="minorHAnsi" w:hAnsiTheme="minorHAnsi" w:cstheme="minorHAnsi"/>
          <w:sz w:val="22"/>
          <w:szCs w:val="22"/>
        </w:rPr>
        <w:t xml:space="preserve">that </w:t>
      </w:r>
      <w:r w:rsidR="003D5212">
        <w:rPr>
          <w:rFonts w:asciiTheme="minorHAnsi" w:hAnsiTheme="minorHAnsi" w:cstheme="minorHAnsi"/>
          <w:sz w:val="22"/>
          <w:szCs w:val="22"/>
        </w:rPr>
        <w:t xml:space="preserve">only </w:t>
      </w:r>
      <w:r w:rsidR="00635D48">
        <w:rPr>
          <w:rFonts w:asciiTheme="minorHAnsi" w:hAnsiTheme="minorHAnsi" w:cstheme="minorHAnsi"/>
          <w:sz w:val="22"/>
          <w:szCs w:val="22"/>
        </w:rPr>
        <w:t>14 companies reported a current year amortization/accretion</w:t>
      </w:r>
      <w:r w:rsidR="009C66F2">
        <w:rPr>
          <w:rFonts w:asciiTheme="minorHAnsi" w:hAnsiTheme="minorHAnsi" w:cstheme="minorHAnsi"/>
          <w:sz w:val="22"/>
          <w:szCs w:val="22"/>
        </w:rPr>
        <w:t xml:space="preserve"> on Schedule BA</w:t>
      </w:r>
      <w:r w:rsidR="00556C68">
        <w:rPr>
          <w:rFonts w:asciiTheme="minorHAnsi" w:hAnsiTheme="minorHAnsi" w:cstheme="minorHAnsi"/>
          <w:sz w:val="22"/>
          <w:szCs w:val="22"/>
        </w:rPr>
        <w:t>, although many more companies reported a</w:t>
      </w:r>
      <w:r w:rsidR="00C161B2">
        <w:rPr>
          <w:rFonts w:asciiTheme="minorHAnsi" w:hAnsiTheme="minorHAnsi" w:cstheme="minorHAnsi"/>
          <w:sz w:val="22"/>
          <w:szCs w:val="22"/>
        </w:rPr>
        <w:t xml:space="preserve">n unrealized valuation increase/decrease shortly after the acquisition date. The following chart highlights the differences </w:t>
      </w:r>
      <w:r w:rsidR="00F33A8B">
        <w:rPr>
          <w:rFonts w:asciiTheme="minorHAnsi" w:hAnsiTheme="minorHAnsi" w:cstheme="minorHAnsi"/>
          <w:sz w:val="22"/>
          <w:szCs w:val="22"/>
        </w:rPr>
        <w:t xml:space="preserve">between following the SAP guidance with </w:t>
      </w:r>
      <w:r w:rsidR="002D60DF">
        <w:rPr>
          <w:rFonts w:asciiTheme="minorHAnsi" w:hAnsiTheme="minorHAnsi" w:cstheme="minorHAnsi"/>
          <w:sz w:val="22"/>
          <w:szCs w:val="22"/>
        </w:rPr>
        <w:t xml:space="preserve">negative </w:t>
      </w:r>
      <w:r w:rsidR="00F33A8B">
        <w:rPr>
          <w:rFonts w:asciiTheme="minorHAnsi" w:hAnsiTheme="minorHAnsi" w:cstheme="minorHAnsi"/>
          <w:sz w:val="22"/>
          <w:szCs w:val="22"/>
        </w:rPr>
        <w:t>goodwill and if a company recognized a day-</w:t>
      </w:r>
      <w:r w:rsidR="002D60DF">
        <w:rPr>
          <w:rFonts w:asciiTheme="minorHAnsi" w:hAnsiTheme="minorHAnsi" w:cstheme="minorHAnsi"/>
          <w:sz w:val="22"/>
          <w:szCs w:val="22"/>
        </w:rPr>
        <w:t>one</w:t>
      </w:r>
      <w:r w:rsidR="00F33A8B">
        <w:rPr>
          <w:rFonts w:asciiTheme="minorHAnsi" w:hAnsiTheme="minorHAnsi" w:cstheme="minorHAnsi"/>
          <w:sz w:val="22"/>
          <w:szCs w:val="22"/>
        </w:rPr>
        <w:t xml:space="preserve"> gain:</w:t>
      </w:r>
    </w:p>
    <w:tbl>
      <w:tblPr>
        <w:tblStyle w:val="TableGrid"/>
        <w:tblW w:w="10075" w:type="dxa"/>
        <w:tblLayout w:type="fixed"/>
        <w:tblLook w:val="04A0" w:firstRow="1" w:lastRow="0" w:firstColumn="1" w:lastColumn="0" w:noHBand="0" w:noVBand="1"/>
      </w:tblPr>
      <w:tblGrid>
        <w:gridCol w:w="1296"/>
        <w:gridCol w:w="1256"/>
        <w:gridCol w:w="758"/>
        <w:gridCol w:w="1635"/>
        <w:gridCol w:w="1170"/>
        <w:gridCol w:w="1620"/>
        <w:gridCol w:w="900"/>
        <w:gridCol w:w="1440"/>
      </w:tblGrid>
      <w:tr w:rsidR="001B6926" w14:paraId="6156C4C7" w14:textId="3A4DC404" w:rsidTr="009C66F2">
        <w:tc>
          <w:tcPr>
            <w:tcW w:w="4945" w:type="dxa"/>
            <w:gridSpan w:val="4"/>
            <w:tcBorders>
              <w:top w:val="single" w:sz="4" w:space="0" w:color="auto"/>
              <w:left w:val="single" w:sz="4" w:space="0" w:color="auto"/>
              <w:bottom w:val="nil"/>
              <w:right w:val="single" w:sz="4" w:space="0" w:color="auto"/>
            </w:tcBorders>
          </w:tcPr>
          <w:p w14:paraId="09CA707D" w14:textId="143A2FFF" w:rsidR="001B6926" w:rsidRPr="001B6926" w:rsidRDefault="00F57561" w:rsidP="00777EC3">
            <w:pPr>
              <w:pStyle w:val="BodyTextIndent"/>
              <w:ind w:left="0"/>
              <w:jc w:val="both"/>
              <w:rPr>
                <w:rFonts w:asciiTheme="minorHAnsi" w:hAnsiTheme="minorHAnsi" w:cstheme="minorHAnsi"/>
                <w:b/>
                <w:bCs/>
                <w:sz w:val="22"/>
                <w:szCs w:val="22"/>
              </w:rPr>
            </w:pPr>
            <w:r>
              <w:rPr>
                <w:rFonts w:asciiTheme="minorHAnsi" w:hAnsiTheme="minorHAnsi" w:cstheme="minorHAnsi"/>
                <w:sz w:val="22"/>
                <w:szCs w:val="22"/>
              </w:rPr>
              <w:br w:type="page"/>
            </w:r>
            <w:r w:rsidR="001B6926" w:rsidRPr="001B6926">
              <w:rPr>
                <w:rFonts w:asciiTheme="minorHAnsi" w:hAnsiTheme="minorHAnsi" w:cstheme="minorHAnsi"/>
                <w:b/>
                <w:bCs/>
                <w:sz w:val="22"/>
                <w:szCs w:val="22"/>
              </w:rPr>
              <w:t xml:space="preserve">Correct Accounting under SAP: </w:t>
            </w:r>
          </w:p>
        </w:tc>
        <w:tc>
          <w:tcPr>
            <w:tcW w:w="5130" w:type="dxa"/>
            <w:gridSpan w:val="4"/>
            <w:tcBorders>
              <w:top w:val="single" w:sz="4" w:space="0" w:color="auto"/>
              <w:left w:val="single" w:sz="4" w:space="0" w:color="auto"/>
              <w:bottom w:val="nil"/>
              <w:right w:val="single" w:sz="4" w:space="0" w:color="auto"/>
            </w:tcBorders>
          </w:tcPr>
          <w:p w14:paraId="4F872539" w14:textId="390929E9" w:rsidR="001B6926" w:rsidRPr="001B6926" w:rsidRDefault="001B6926" w:rsidP="00327477">
            <w:pPr>
              <w:pStyle w:val="BodyTextIndent"/>
              <w:spacing w:after="0"/>
              <w:ind w:left="0"/>
              <w:jc w:val="both"/>
              <w:rPr>
                <w:rFonts w:asciiTheme="minorHAnsi" w:hAnsiTheme="minorHAnsi" w:cstheme="minorHAnsi"/>
                <w:b/>
                <w:bCs/>
                <w:sz w:val="22"/>
                <w:szCs w:val="22"/>
              </w:rPr>
            </w:pPr>
            <w:r w:rsidRPr="001B6926">
              <w:rPr>
                <w:rFonts w:asciiTheme="minorHAnsi" w:hAnsiTheme="minorHAnsi" w:cstheme="minorHAnsi"/>
                <w:b/>
                <w:bCs/>
                <w:sz w:val="22"/>
                <w:szCs w:val="22"/>
              </w:rPr>
              <w:t>Potential Accounting with Day-</w:t>
            </w:r>
            <w:r w:rsidR="002D60DF">
              <w:rPr>
                <w:rFonts w:asciiTheme="minorHAnsi" w:hAnsiTheme="minorHAnsi" w:cstheme="minorHAnsi"/>
                <w:b/>
                <w:bCs/>
                <w:sz w:val="22"/>
                <w:szCs w:val="22"/>
              </w:rPr>
              <w:t>one</w:t>
            </w:r>
            <w:r w:rsidRPr="001B6926">
              <w:rPr>
                <w:rFonts w:asciiTheme="minorHAnsi" w:hAnsiTheme="minorHAnsi" w:cstheme="minorHAnsi"/>
                <w:b/>
                <w:bCs/>
                <w:sz w:val="22"/>
                <w:szCs w:val="22"/>
              </w:rPr>
              <w:t xml:space="preserve"> Gain: </w:t>
            </w:r>
          </w:p>
        </w:tc>
      </w:tr>
      <w:tr w:rsidR="009C66F2" w14:paraId="2A3290AB" w14:textId="3DFAF79F" w:rsidTr="009C66F2">
        <w:tc>
          <w:tcPr>
            <w:tcW w:w="2552" w:type="dxa"/>
            <w:gridSpan w:val="2"/>
            <w:tcBorders>
              <w:top w:val="nil"/>
              <w:left w:val="single" w:sz="4" w:space="0" w:color="auto"/>
              <w:bottom w:val="nil"/>
              <w:right w:val="nil"/>
            </w:tcBorders>
          </w:tcPr>
          <w:p w14:paraId="0BD391A4" w14:textId="6C997564" w:rsidR="001B6926" w:rsidRDefault="001B6926" w:rsidP="00327477">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SSAP No. 48 Investment</w:t>
            </w:r>
          </w:p>
        </w:tc>
        <w:tc>
          <w:tcPr>
            <w:tcW w:w="758" w:type="dxa"/>
            <w:tcBorders>
              <w:top w:val="nil"/>
              <w:left w:val="nil"/>
              <w:bottom w:val="nil"/>
              <w:right w:val="nil"/>
            </w:tcBorders>
          </w:tcPr>
          <w:p w14:paraId="4E86F9E6" w14:textId="6F88F68F" w:rsidR="001B6926" w:rsidRDefault="001B6926" w:rsidP="00327477">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100</w:t>
            </w:r>
          </w:p>
        </w:tc>
        <w:tc>
          <w:tcPr>
            <w:tcW w:w="1635" w:type="dxa"/>
            <w:tcBorders>
              <w:top w:val="nil"/>
              <w:left w:val="nil"/>
              <w:bottom w:val="nil"/>
              <w:right w:val="single" w:sz="4" w:space="0" w:color="auto"/>
            </w:tcBorders>
          </w:tcPr>
          <w:p w14:paraId="2B2DC4AC" w14:textId="77777777" w:rsidR="001B6926" w:rsidRDefault="001B6926" w:rsidP="00327477">
            <w:pPr>
              <w:pStyle w:val="BodyTextIndent"/>
              <w:spacing w:after="0"/>
              <w:ind w:left="0"/>
              <w:jc w:val="both"/>
              <w:rPr>
                <w:rFonts w:asciiTheme="minorHAnsi" w:hAnsiTheme="minorHAnsi" w:cstheme="minorHAnsi"/>
                <w:sz w:val="22"/>
                <w:szCs w:val="22"/>
              </w:rPr>
            </w:pPr>
          </w:p>
        </w:tc>
        <w:tc>
          <w:tcPr>
            <w:tcW w:w="2790" w:type="dxa"/>
            <w:gridSpan w:val="2"/>
            <w:tcBorders>
              <w:top w:val="nil"/>
              <w:left w:val="single" w:sz="4" w:space="0" w:color="auto"/>
              <w:bottom w:val="nil"/>
              <w:right w:val="nil"/>
            </w:tcBorders>
          </w:tcPr>
          <w:p w14:paraId="1E455FB1" w14:textId="2B9E00B6" w:rsidR="001B6926" w:rsidRDefault="001B6926" w:rsidP="00327477">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SSAP No. 48 Investment</w:t>
            </w:r>
          </w:p>
        </w:tc>
        <w:tc>
          <w:tcPr>
            <w:tcW w:w="900" w:type="dxa"/>
            <w:tcBorders>
              <w:top w:val="nil"/>
              <w:left w:val="nil"/>
              <w:bottom w:val="nil"/>
              <w:right w:val="nil"/>
            </w:tcBorders>
          </w:tcPr>
          <w:p w14:paraId="6674CEE8" w14:textId="2A82F7C6" w:rsidR="001B6926" w:rsidRDefault="001B6926" w:rsidP="00327477">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100</w:t>
            </w:r>
          </w:p>
        </w:tc>
        <w:tc>
          <w:tcPr>
            <w:tcW w:w="1440" w:type="dxa"/>
            <w:tcBorders>
              <w:top w:val="nil"/>
              <w:left w:val="nil"/>
              <w:bottom w:val="nil"/>
              <w:right w:val="single" w:sz="4" w:space="0" w:color="auto"/>
            </w:tcBorders>
          </w:tcPr>
          <w:p w14:paraId="0E456080" w14:textId="3D0CAE2E" w:rsidR="001B6926" w:rsidRDefault="001B6926" w:rsidP="00327477">
            <w:pPr>
              <w:pStyle w:val="BodyTextIndent"/>
              <w:spacing w:after="0"/>
              <w:ind w:left="0"/>
              <w:jc w:val="both"/>
              <w:rPr>
                <w:rFonts w:asciiTheme="minorHAnsi" w:hAnsiTheme="minorHAnsi" w:cstheme="minorHAnsi"/>
                <w:sz w:val="22"/>
                <w:szCs w:val="22"/>
              </w:rPr>
            </w:pPr>
          </w:p>
        </w:tc>
      </w:tr>
      <w:tr w:rsidR="00907248" w14:paraId="7C957AB4" w14:textId="220BF44C" w:rsidTr="009C66F2">
        <w:tc>
          <w:tcPr>
            <w:tcW w:w="1296" w:type="dxa"/>
            <w:tcBorders>
              <w:top w:val="nil"/>
              <w:left w:val="single" w:sz="4" w:space="0" w:color="auto"/>
              <w:bottom w:val="nil"/>
              <w:right w:val="nil"/>
            </w:tcBorders>
          </w:tcPr>
          <w:p w14:paraId="70E4C9A8" w14:textId="77777777" w:rsidR="001B6926" w:rsidRDefault="001B6926" w:rsidP="001B6926">
            <w:pPr>
              <w:pStyle w:val="BodyTextIndent"/>
              <w:spacing w:after="0"/>
              <w:ind w:left="0"/>
              <w:jc w:val="both"/>
              <w:rPr>
                <w:rFonts w:asciiTheme="minorHAnsi" w:hAnsiTheme="minorHAnsi" w:cstheme="minorHAnsi"/>
                <w:sz w:val="22"/>
                <w:szCs w:val="22"/>
              </w:rPr>
            </w:pPr>
          </w:p>
        </w:tc>
        <w:tc>
          <w:tcPr>
            <w:tcW w:w="2014" w:type="dxa"/>
            <w:gridSpan w:val="2"/>
            <w:tcBorders>
              <w:top w:val="nil"/>
              <w:left w:val="nil"/>
              <w:bottom w:val="nil"/>
              <w:right w:val="nil"/>
            </w:tcBorders>
          </w:tcPr>
          <w:p w14:paraId="2602159D" w14:textId="3A1FEF89" w:rsidR="001B6926" w:rsidRDefault="00B4187B" w:rsidP="001B6926">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Negative </w:t>
            </w:r>
            <w:r w:rsidR="001B6926">
              <w:rPr>
                <w:rFonts w:asciiTheme="minorHAnsi" w:hAnsiTheme="minorHAnsi" w:cstheme="minorHAnsi"/>
                <w:sz w:val="22"/>
                <w:szCs w:val="22"/>
              </w:rPr>
              <w:t>Goodwill</w:t>
            </w:r>
          </w:p>
        </w:tc>
        <w:tc>
          <w:tcPr>
            <w:tcW w:w="1635" w:type="dxa"/>
            <w:tcBorders>
              <w:top w:val="nil"/>
              <w:left w:val="nil"/>
              <w:bottom w:val="nil"/>
              <w:right w:val="single" w:sz="4" w:space="0" w:color="auto"/>
            </w:tcBorders>
          </w:tcPr>
          <w:p w14:paraId="3903DC56" w14:textId="1E932CD8" w:rsidR="001B6926" w:rsidRDefault="001B6926" w:rsidP="001B6926">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20</w:t>
            </w:r>
          </w:p>
        </w:tc>
        <w:tc>
          <w:tcPr>
            <w:tcW w:w="1170" w:type="dxa"/>
            <w:tcBorders>
              <w:top w:val="nil"/>
              <w:left w:val="single" w:sz="4" w:space="0" w:color="auto"/>
              <w:bottom w:val="nil"/>
              <w:right w:val="nil"/>
            </w:tcBorders>
          </w:tcPr>
          <w:p w14:paraId="6428A0D6" w14:textId="77777777" w:rsidR="001B6926" w:rsidRDefault="001B6926" w:rsidP="001B6926">
            <w:pPr>
              <w:pStyle w:val="BodyTextIndent"/>
              <w:spacing w:after="0"/>
              <w:ind w:left="0"/>
              <w:jc w:val="both"/>
              <w:rPr>
                <w:rFonts w:asciiTheme="minorHAnsi" w:hAnsiTheme="minorHAnsi" w:cstheme="minorHAnsi"/>
                <w:sz w:val="22"/>
                <w:szCs w:val="22"/>
              </w:rPr>
            </w:pPr>
          </w:p>
        </w:tc>
        <w:tc>
          <w:tcPr>
            <w:tcW w:w="2520" w:type="dxa"/>
            <w:gridSpan w:val="2"/>
            <w:tcBorders>
              <w:top w:val="nil"/>
              <w:left w:val="nil"/>
              <w:bottom w:val="nil"/>
              <w:right w:val="nil"/>
            </w:tcBorders>
          </w:tcPr>
          <w:p w14:paraId="2BFF4F64" w14:textId="3D9C1914" w:rsidR="001B6926" w:rsidRDefault="001B6926" w:rsidP="001B6926">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Unrealized Gain</w:t>
            </w:r>
          </w:p>
        </w:tc>
        <w:tc>
          <w:tcPr>
            <w:tcW w:w="1440" w:type="dxa"/>
            <w:tcBorders>
              <w:top w:val="nil"/>
              <w:left w:val="nil"/>
              <w:bottom w:val="nil"/>
              <w:right w:val="single" w:sz="4" w:space="0" w:color="auto"/>
            </w:tcBorders>
          </w:tcPr>
          <w:p w14:paraId="4C5D0548" w14:textId="14241529" w:rsidR="001B6926" w:rsidRDefault="001B6926" w:rsidP="001B6926">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20</w:t>
            </w:r>
          </w:p>
        </w:tc>
      </w:tr>
      <w:tr w:rsidR="00907248" w14:paraId="75D0D1A3" w14:textId="26AF7ED9" w:rsidTr="009C66F2">
        <w:tc>
          <w:tcPr>
            <w:tcW w:w="1296" w:type="dxa"/>
            <w:tcBorders>
              <w:top w:val="nil"/>
              <w:left w:val="single" w:sz="4" w:space="0" w:color="auto"/>
              <w:bottom w:val="nil"/>
              <w:right w:val="nil"/>
            </w:tcBorders>
          </w:tcPr>
          <w:p w14:paraId="0D914142" w14:textId="77777777" w:rsidR="001B6926" w:rsidRDefault="001B6926" w:rsidP="001B6926">
            <w:pPr>
              <w:pStyle w:val="BodyTextIndent"/>
              <w:spacing w:after="0"/>
              <w:ind w:left="0"/>
              <w:jc w:val="both"/>
              <w:rPr>
                <w:rFonts w:asciiTheme="minorHAnsi" w:hAnsiTheme="minorHAnsi" w:cstheme="minorHAnsi"/>
                <w:sz w:val="22"/>
                <w:szCs w:val="22"/>
              </w:rPr>
            </w:pPr>
          </w:p>
        </w:tc>
        <w:tc>
          <w:tcPr>
            <w:tcW w:w="2014" w:type="dxa"/>
            <w:gridSpan w:val="2"/>
            <w:tcBorders>
              <w:top w:val="nil"/>
              <w:left w:val="nil"/>
              <w:bottom w:val="nil"/>
              <w:right w:val="nil"/>
            </w:tcBorders>
          </w:tcPr>
          <w:p w14:paraId="2E2DEA2E" w14:textId="5CA6EDF9" w:rsidR="001B6926" w:rsidRDefault="001B6926" w:rsidP="001B6926">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Cash</w:t>
            </w:r>
          </w:p>
        </w:tc>
        <w:tc>
          <w:tcPr>
            <w:tcW w:w="1635" w:type="dxa"/>
            <w:tcBorders>
              <w:top w:val="nil"/>
              <w:left w:val="nil"/>
              <w:bottom w:val="nil"/>
              <w:right w:val="single" w:sz="4" w:space="0" w:color="auto"/>
            </w:tcBorders>
          </w:tcPr>
          <w:p w14:paraId="327DA37B" w14:textId="2AFFAD7B" w:rsidR="001B6926" w:rsidRDefault="001B6926" w:rsidP="001B6926">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80</w:t>
            </w:r>
          </w:p>
        </w:tc>
        <w:tc>
          <w:tcPr>
            <w:tcW w:w="1170" w:type="dxa"/>
            <w:tcBorders>
              <w:top w:val="nil"/>
              <w:left w:val="single" w:sz="4" w:space="0" w:color="auto"/>
              <w:bottom w:val="nil"/>
              <w:right w:val="nil"/>
            </w:tcBorders>
          </w:tcPr>
          <w:p w14:paraId="18F56513" w14:textId="77777777" w:rsidR="001B6926" w:rsidRDefault="001B6926" w:rsidP="001B6926">
            <w:pPr>
              <w:pStyle w:val="BodyTextIndent"/>
              <w:spacing w:after="0"/>
              <w:ind w:left="0"/>
              <w:jc w:val="both"/>
              <w:rPr>
                <w:rFonts w:asciiTheme="minorHAnsi" w:hAnsiTheme="minorHAnsi" w:cstheme="minorHAnsi"/>
                <w:sz w:val="22"/>
                <w:szCs w:val="22"/>
              </w:rPr>
            </w:pPr>
          </w:p>
        </w:tc>
        <w:tc>
          <w:tcPr>
            <w:tcW w:w="2520" w:type="dxa"/>
            <w:gridSpan w:val="2"/>
            <w:tcBorders>
              <w:top w:val="nil"/>
              <w:left w:val="nil"/>
              <w:bottom w:val="nil"/>
              <w:right w:val="nil"/>
            </w:tcBorders>
          </w:tcPr>
          <w:p w14:paraId="619D97AE" w14:textId="654624CE" w:rsidR="001B6926" w:rsidRDefault="001B6926" w:rsidP="001B6926">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Cash</w:t>
            </w:r>
          </w:p>
        </w:tc>
        <w:tc>
          <w:tcPr>
            <w:tcW w:w="1440" w:type="dxa"/>
            <w:tcBorders>
              <w:top w:val="nil"/>
              <w:left w:val="nil"/>
              <w:bottom w:val="nil"/>
              <w:right w:val="single" w:sz="4" w:space="0" w:color="auto"/>
            </w:tcBorders>
          </w:tcPr>
          <w:p w14:paraId="08DB8FFF" w14:textId="474C8728" w:rsidR="001B6926" w:rsidRDefault="001B6926" w:rsidP="001B6926">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80</w:t>
            </w:r>
          </w:p>
        </w:tc>
      </w:tr>
      <w:tr w:rsidR="00907248" w14:paraId="7344F307" w14:textId="657E9486" w:rsidTr="009C66F2">
        <w:tc>
          <w:tcPr>
            <w:tcW w:w="1296" w:type="dxa"/>
            <w:tcBorders>
              <w:top w:val="nil"/>
              <w:left w:val="single" w:sz="4" w:space="0" w:color="auto"/>
              <w:bottom w:val="nil"/>
              <w:right w:val="nil"/>
            </w:tcBorders>
          </w:tcPr>
          <w:p w14:paraId="67075BD7" w14:textId="77777777" w:rsidR="001B6926" w:rsidRDefault="001B6926" w:rsidP="001B6926">
            <w:pPr>
              <w:pStyle w:val="BodyTextIndent"/>
              <w:spacing w:after="0"/>
              <w:ind w:left="0"/>
              <w:jc w:val="both"/>
              <w:rPr>
                <w:rFonts w:asciiTheme="minorHAnsi" w:hAnsiTheme="minorHAnsi" w:cstheme="minorHAnsi"/>
                <w:sz w:val="22"/>
                <w:szCs w:val="22"/>
              </w:rPr>
            </w:pPr>
          </w:p>
        </w:tc>
        <w:tc>
          <w:tcPr>
            <w:tcW w:w="1256" w:type="dxa"/>
            <w:tcBorders>
              <w:top w:val="nil"/>
              <w:left w:val="nil"/>
              <w:bottom w:val="nil"/>
              <w:right w:val="nil"/>
            </w:tcBorders>
          </w:tcPr>
          <w:p w14:paraId="205B2A3D" w14:textId="77777777" w:rsidR="001B6926" w:rsidRDefault="001B6926" w:rsidP="001B6926">
            <w:pPr>
              <w:pStyle w:val="BodyTextIndent"/>
              <w:spacing w:after="0"/>
              <w:ind w:left="0"/>
              <w:jc w:val="both"/>
              <w:rPr>
                <w:rFonts w:asciiTheme="minorHAnsi" w:hAnsiTheme="minorHAnsi" w:cstheme="minorHAnsi"/>
                <w:sz w:val="22"/>
                <w:szCs w:val="22"/>
              </w:rPr>
            </w:pPr>
          </w:p>
        </w:tc>
        <w:tc>
          <w:tcPr>
            <w:tcW w:w="758" w:type="dxa"/>
            <w:tcBorders>
              <w:top w:val="nil"/>
              <w:left w:val="nil"/>
              <w:bottom w:val="nil"/>
              <w:right w:val="nil"/>
            </w:tcBorders>
          </w:tcPr>
          <w:p w14:paraId="6470258C" w14:textId="77777777" w:rsidR="001B6926" w:rsidRDefault="001B6926" w:rsidP="001B6926">
            <w:pPr>
              <w:pStyle w:val="BodyTextIndent"/>
              <w:spacing w:after="0"/>
              <w:ind w:left="0"/>
              <w:jc w:val="both"/>
              <w:rPr>
                <w:rFonts w:asciiTheme="minorHAnsi" w:hAnsiTheme="minorHAnsi" w:cstheme="minorHAnsi"/>
                <w:sz w:val="22"/>
                <w:szCs w:val="22"/>
              </w:rPr>
            </w:pPr>
          </w:p>
        </w:tc>
        <w:tc>
          <w:tcPr>
            <w:tcW w:w="1635" w:type="dxa"/>
            <w:tcBorders>
              <w:top w:val="nil"/>
              <w:left w:val="nil"/>
              <w:bottom w:val="nil"/>
              <w:right w:val="single" w:sz="4" w:space="0" w:color="auto"/>
            </w:tcBorders>
          </w:tcPr>
          <w:p w14:paraId="3D5D5F53" w14:textId="77777777" w:rsidR="001B6926" w:rsidRDefault="001B6926" w:rsidP="001B6926">
            <w:pPr>
              <w:pStyle w:val="BodyTextIndent"/>
              <w:spacing w:after="0"/>
              <w:ind w:left="0"/>
              <w:jc w:val="both"/>
              <w:rPr>
                <w:rFonts w:asciiTheme="minorHAnsi" w:hAnsiTheme="minorHAnsi" w:cstheme="minorHAnsi"/>
                <w:sz w:val="22"/>
                <w:szCs w:val="22"/>
              </w:rPr>
            </w:pPr>
          </w:p>
        </w:tc>
        <w:tc>
          <w:tcPr>
            <w:tcW w:w="1170" w:type="dxa"/>
            <w:tcBorders>
              <w:top w:val="nil"/>
              <w:left w:val="single" w:sz="4" w:space="0" w:color="auto"/>
              <w:bottom w:val="nil"/>
              <w:right w:val="nil"/>
            </w:tcBorders>
          </w:tcPr>
          <w:p w14:paraId="421EC978" w14:textId="77777777" w:rsidR="001B6926" w:rsidRDefault="001B6926" w:rsidP="001B6926">
            <w:pPr>
              <w:pStyle w:val="BodyTextIndent"/>
              <w:spacing w:after="0"/>
              <w:ind w:left="0"/>
              <w:jc w:val="both"/>
              <w:rPr>
                <w:rFonts w:asciiTheme="minorHAnsi" w:hAnsiTheme="minorHAnsi" w:cstheme="minorHAnsi"/>
                <w:sz w:val="22"/>
                <w:szCs w:val="22"/>
              </w:rPr>
            </w:pPr>
          </w:p>
        </w:tc>
        <w:tc>
          <w:tcPr>
            <w:tcW w:w="1620" w:type="dxa"/>
            <w:tcBorders>
              <w:top w:val="nil"/>
              <w:left w:val="nil"/>
              <w:bottom w:val="nil"/>
              <w:right w:val="nil"/>
            </w:tcBorders>
          </w:tcPr>
          <w:p w14:paraId="3223E406" w14:textId="77777777" w:rsidR="001B6926" w:rsidRDefault="001B6926" w:rsidP="001B6926">
            <w:pPr>
              <w:pStyle w:val="BodyTextIndent"/>
              <w:spacing w:after="0"/>
              <w:ind w:left="0"/>
              <w:jc w:val="both"/>
              <w:rPr>
                <w:rFonts w:asciiTheme="minorHAnsi" w:hAnsiTheme="minorHAnsi" w:cstheme="minorHAnsi"/>
                <w:sz w:val="22"/>
                <w:szCs w:val="22"/>
              </w:rPr>
            </w:pPr>
          </w:p>
        </w:tc>
        <w:tc>
          <w:tcPr>
            <w:tcW w:w="900" w:type="dxa"/>
            <w:tcBorders>
              <w:top w:val="nil"/>
              <w:left w:val="nil"/>
              <w:bottom w:val="nil"/>
              <w:right w:val="nil"/>
            </w:tcBorders>
          </w:tcPr>
          <w:p w14:paraId="25EF9572" w14:textId="77777777" w:rsidR="001B6926" w:rsidRDefault="001B6926" w:rsidP="001B6926">
            <w:pPr>
              <w:pStyle w:val="BodyTextIndent"/>
              <w:spacing w:after="0"/>
              <w:ind w:left="0"/>
              <w:jc w:val="both"/>
              <w:rPr>
                <w:rFonts w:asciiTheme="minorHAnsi" w:hAnsiTheme="minorHAnsi" w:cstheme="minorHAnsi"/>
                <w:sz w:val="22"/>
                <w:szCs w:val="22"/>
              </w:rPr>
            </w:pPr>
          </w:p>
        </w:tc>
        <w:tc>
          <w:tcPr>
            <w:tcW w:w="1440" w:type="dxa"/>
            <w:tcBorders>
              <w:top w:val="nil"/>
              <w:left w:val="nil"/>
              <w:bottom w:val="nil"/>
              <w:right w:val="single" w:sz="4" w:space="0" w:color="auto"/>
            </w:tcBorders>
          </w:tcPr>
          <w:p w14:paraId="205E895F" w14:textId="77777777" w:rsidR="001B6926" w:rsidRDefault="001B6926" w:rsidP="001B6926">
            <w:pPr>
              <w:pStyle w:val="BodyTextIndent"/>
              <w:spacing w:after="0"/>
              <w:ind w:left="0"/>
              <w:jc w:val="both"/>
              <w:rPr>
                <w:rFonts w:asciiTheme="minorHAnsi" w:hAnsiTheme="minorHAnsi" w:cstheme="minorHAnsi"/>
                <w:sz w:val="22"/>
                <w:szCs w:val="22"/>
              </w:rPr>
            </w:pPr>
          </w:p>
        </w:tc>
      </w:tr>
      <w:tr w:rsidR="001B6926" w14:paraId="1D90105B" w14:textId="06889421" w:rsidTr="009C66F2">
        <w:tc>
          <w:tcPr>
            <w:tcW w:w="4945" w:type="dxa"/>
            <w:gridSpan w:val="4"/>
            <w:tcBorders>
              <w:top w:val="nil"/>
              <w:left w:val="single" w:sz="4" w:space="0" w:color="auto"/>
              <w:bottom w:val="single" w:sz="4" w:space="0" w:color="auto"/>
              <w:right w:val="single" w:sz="4" w:space="0" w:color="auto"/>
            </w:tcBorders>
          </w:tcPr>
          <w:p w14:paraId="2CD8A0DB" w14:textId="7AB1303D" w:rsidR="001B6926" w:rsidRDefault="001B6926" w:rsidP="001B6926">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The $100 investment and goodwill of $20 is reported net, therefore on Schedule BA, the investment </w:t>
            </w:r>
            <w:r w:rsidR="000C3938">
              <w:rPr>
                <w:rFonts w:asciiTheme="minorHAnsi" w:hAnsiTheme="minorHAnsi" w:cstheme="minorHAnsi"/>
                <w:sz w:val="22"/>
                <w:szCs w:val="22"/>
              </w:rPr>
              <w:t>is</w:t>
            </w:r>
            <w:r w:rsidR="00C35993">
              <w:rPr>
                <w:rFonts w:asciiTheme="minorHAnsi" w:hAnsiTheme="minorHAnsi" w:cstheme="minorHAnsi"/>
                <w:sz w:val="22"/>
                <w:szCs w:val="22"/>
              </w:rPr>
              <w:t xml:space="preserve"> shown at</w:t>
            </w:r>
            <w:r>
              <w:rPr>
                <w:rFonts w:asciiTheme="minorHAnsi" w:hAnsiTheme="minorHAnsi" w:cstheme="minorHAnsi"/>
                <w:sz w:val="22"/>
                <w:szCs w:val="22"/>
              </w:rPr>
              <w:t xml:space="preserve"> $80. </w:t>
            </w:r>
          </w:p>
        </w:tc>
        <w:tc>
          <w:tcPr>
            <w:tcW w:w="5130" w:type="dxa"/>
            <w:gridSpan w:val="4"/>
            <w:tcBorders>
              <w:top w:val="nil"/>
              <w:left w:val="single" w:sz="4" w:space="0" w:color="auto"/>
              <w:bottom w:val="single" w:sz="4" w:space="0" w:color="auto"/>
              <w:right w:val="single" w:sz="4" w:space="0" w:color="auto"/>
            </w:tcBorders>
          </w:tcPr>
          <w:p w14:paraId="335F5C65" w14:textId="145AFA7E" w:rsidR="001B6926" w:rsidRDefault="00965A5A" w:rsidP="001B6926">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If companies do not recognize the negative goodwill, they </w:t>
            </w:r>
            <w:r w:rsidR="00A05E0F">
              <w:rPr>
                <w:rFonts w:asciiTheme="minorHAnsi" w:hAnsiTheme="minorHAnsi" w:cstheme="minorHAnsi"/>
                <w:sz w:val="22"/>
                <w:szCs w:val="22"/>
              </w:rPr>
              <w:t>will</w:t>
            </w:r>
            <w:r>
              <w:rPr>
                <w:rFonts w:asciiTheme="minorHAnsi" w:hAnsiTheme="minorHAnsi" w:cstheme="minorHAnsi"/>
                <w:sz w:val="22"/>
                <w:szCs w:val="22"/>
              </w:rPr>
              <w:t xml:space="preserve"> recognize an</w:t>
            </w:r>
            <w:r w:rsidR="001B6926">
              <w:rPr>
                <w:rFonts w:asciiTheme="minorHAnsi" w:hAnsiTheme="minorHAnsi" w:cstheme="minorHAnsi"/>
                <w:sz w:val="22"/>
                <w:szCs w:val="22"/>
              </w:rPr>
              <w:t xml:space="preserve"> immediate unrealized gain</w:t>
            </w:r>
            <w:r w:rsidR="0003687B">
              <w:rPr>
                <w:rFonts w:asciiTheme="minorHAnsi" w:hAnsiTheme="minorHAnsi" w:cstheme="minorHAnsi"/>
                <w:sz w:val="22"/>
                <w:szCs w:val="22"/>
              </w:rPr>
              <w:t xml:space="preserve">, resulting </w:t>
            </w:r>
            <w:r w:rsidR="00EF03F0">
              <w:rPr>
                <w:rFonts w:asciiTheme="minorHAnsi" w:hAnsiTheme="minorHAnsi" w:cstheme="minorHAnsi"/>
                <w:sz w:val="22"/>
                <w:szCs w:val="22"/>
              </w:rPr>
              <w:t>in</w:t>
            </w:r>
            <w:r w:rsidR="00905CFE">
              <w:rPr>
                <w:rFonts w:asciiTheme="minorHAnsi" w:hAnsiTheme="minorHAnsi" w:cstheme="minorHAnsi"/>
                <w:sz w:val="22"/>
                <w:szCs w:val="22"/>
              </w:rPr>
              <w:t xml:space="preserve"> $100 </w:t>
            </w:r>
            <w:r w:rsidR="00FC63A0">
              <w:rPr>
                <w:rFonts w:asciiTheme="minorHAnsi" w:hAnsiTheme="minorHAnsi" w:cstheme="minorHAnsi"/>
                <w:sz w:val="22"/>
                <w:szCs w:val="22"/>
              </w:rPr>
              <w:t>on Schedule BA for the investment</w:t>
            </w:r>
            <w:r w:rsidR="002B673F">
              <w:rPr>
                <w:rFonts w:asciiTheme="minorHAnsi" w:hAnsiTheme="minorHAnsi" w:cstheme="minorHAnsi"/>
                <w:sz w:val="22"/>
                <w:szCs w:val="22"/>
              </w:rPr>
              <w:t xml:space="preserve">. </w:t>
            </w:r>
          </w:p>
        </w:tc>
      </w:tr>
    </w:tbl>
    <w:p w14:paraId="478D7ADE" w14:textId="77777777" w:rsidR="00F57561" w:rsidRDefault="00F57561" w:rsidP="00B14C00">
      <w:pPr>
        <w:pStyle w:val="BodyTextIndent"/>
        <w:spacing w:after="0"/>
        <w:ind w:left="0"/>
        <w:jc w:val="both"/>
        <w:rPr>
          <w:rFonts w:asciiTheme="minorHAnsi" w:hAnsiTheme="minorHAnsi" w:cstheme="minorHAnsi"/>
          <w:b/>
          <w:bCs/>
          <w:sz w:val="22"/>
          <w:szCs w:val="22"/>
          <w:u w:val="single"/>
        </w:rPr>
      </w:pPr>
    </w:p>
    <w:p w14:paraId="3D04E77A" w14:textId="0599800E" w:rsidR="00B14C00" w:rsidRDefault="008155E1" w:rsidP="00174352">
      <w:pPr>
        <w:pStyle w:val="BodyTextIndent"/>
        <w:numPr>
          <w:ilvl w:val="0"/>
          <w:numId w:val="13"/>
        </w:numPr>
        <w:spacing w:after="0"/>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Application of </w:t>
      </w:r>
      <w:r w:rsidR="00B14C00">
        <w:rPr>
          <w:rFonts w:asciiTheme="minorHAnsi" w:hAnsiTheme="minorHAnsi" w:cstheme="minorHAnsi"/>
          <w:b/>
          <w:bCs/>
          <w:sz w:val="22"/>
          <w:szCs w:val="22"/>
          <w:u w:val="single"/>
        </w:rPr>
        <w:t xml:space="preserve">Goodwill </w:t>
      </w:r>
      <w:r>
        <w:rPr>
          <w:rFonts w:asciiTheme="minorHAnsi" w:hAnsiTheme="minorHAnsi" w:cstheme="minorHAnsi"/>
          <w:b/>
          <w:bCs/>
          <w:sz w:val="22"/>
          <w:szCs w:val="22"/>
          <w:u w:val="single"/>
        </w:rPr>
        <w:t xml:space="preserve">and Goodwill </w:t>
      </w:r>
      <w:r w:rsidR="00B14C00">
        <w:rPr>
          <w:rFonts w:asciiTheme="minorHAnsi" w:hAnsiTheme="minorHAnsi" w:cstheme="minorHAnsi"/>
          <w:b/>
          <w:bCs/>
          <w:sz w:val="22"/>
          <w:szCs w:val="22"/>
          <w:u w:val="single"/>
        </w:rPr>
        <w:t xml:space="preserve">Disclosures </w:t>
      </w:r>
    </w:p>
    <w:p w14:paraId="2FDF99A5" w14:textId="2C488978" w:rsidR="00F05B92" w:rsidRDefault="00550ED4" w:rsidP="00327477">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Although the guidance in SSAP No. 68, paragraph </w:t>
      </w:r>
      <w:r w:rsidR="003C7A01">
        <w:rPr>
          <w:rFonts w:asciiTheme="minorHAnsi" w:hAnsiTheme="minorHAnsi" w:cstheme="minorHAnsi"/>
          <w:sz w:val="22"/>
          <w:szCs w:val="22"/>
        </w:rPr>
        <w:t>4</w:t>
      </w:r>
      <w:r w:rsidR="004A5353">
        <w:rPr>
          <w:rFonts w:asciiTheme="minorHAnsi" w:hAnsiTheme="minorHAnsi" w:cstheme="minorHAnsi"/>
          <w:sz w:val="22"/>
          <w:szCs w:val="22"/>
        </w:rPr>
        <w:t xml:space="preserve"> is explicit that all SSAP No. 48 entities are subject to goodwill (those with both a more</w:t>
      </w:r>
      <w:r w:rsidR="000C3938">
        <w:rPr>
          <w:rFonts w:asciiTheme="minorHAnsi" w:hAnsiTheme="minorHAnsi" w:cstheme="minorHAnsi"/>
          <w:sz w:val="22"/>
          <w:szCs w:val="22"/>
        </w:rPr>
        <w:t>-</w:t>
      </w:r>
      <w:r w:rsidR="004A5353">
        <w:rPr>
          <w:rFonts w:asciiTheme="minorHAnsi" w:hAnsiTheme="minorHAnsi" w:cstheme="minorHAnsi"/>
          <w:sz w:val="22"/>
          <w:szCs w:val="22"/>
        </w:rPr>
        <w:t>than</w:t>
      </w:r>
      <w:r w:rsidR="000C3938">
        <w:rPr>
          <w:rFonts w:asciiTheme="minorHAnsi" w:hAnsiTheme="minorHAnsi" w:cstheme="minorHAnsi"/>
          <w:sz w:val="22"/>
          <w:szCs w:val="22"/>
        </w:rPr>
        <w:t>-</w:t>
      </w:r>
      <w:r w:rsidR="004A5353">
        <w:rPr>
          <w:rFonts w:asciiTheme="minorHAnsi" w:hAnsiTheme="minorHAnsi" w:cstheme="minorHAnsi"/>
          <w:sz w:val="22"/>
          <w:szCs w:val="22"/>
        </w:rPr>
        <w:t xml:space="preserve">minor interest valued pursuant to SSAP No. 97, paragraphs 8.b.i, </w:t>
      </w:r>
      <w:r w:rsidR="0080352D">
        <w:rPr>
          <w:rFonts w:asciiTheme="minorHAnsi" w:hAnsiTheme="minorHAnsi" w:cstheme="minorHAnsi"/>
          <w:sz w:val="22"/>
          <w:szCs w:val="22"/>
        </w:rPr>
        <w:t xml:space="preserve">8.b.ii, 8.b.iii and 8.b.iv, and those with a minor interest pursuant to SSAP No. 48, paragraph 9), </w:t>
      </w:r>
      <w:r w:rsidR="00945A52">
        <w:rPr>
          <w:rFonts w:asciiTheme="minorHAnsi" w:hAnsiTheme="minorHAnsi" w:cstheme="minorHAnsi"/>
          <w:sz w:val="22"/>
          <w:szCs w:val="22"/>
        </w:rPr>
        <w:t xml:space="preserve">there is a question whether </w:t>
      </w:r>
      <w:r w:rsidR="00321421">
        <w:rPr>
          <w:rFonts w:asciiTheme="minorHAnsi" w:hAnsiTheme="minorHAnsi" w:cstheme="minorHAnsi"/>
          <w:sz w:val="22"/>
          <w:szCs w:val="22"/>
        </w:rPr>
        <w:t xml:space="preserve"> acquisitions of SSAP No. 48 </w:t>
      </w:r>
      <w:r w:rsidR="00945A52">
        <w:rPr>
          <w:rFonts w:asciiTheme="minorHAnsi" w:hAnsiTheme="minorHAnsi" w:cstheme="minorHAnsi"/>
          <w:sz w:val="22"/>
          <w:szCs w:val="22"/>
        </w:rPr>
        <w:t xml:space="preserve">investments </w:t>
      </w:r>
      <w:r w:rsidR="00321421">
        <w:rPr>
          <w:rFonts w:asciiTheme="minorHAnsi" w:hAnsiTheme="minorHAnsi" w:cstheme="minorHAnsi"/>
          <w:sz w:val="22"/>
          <w:szCs w:val="22"/>
        </w:rPr>
        <w:t xml:space="preserve">are </w:t>
      </w:r>
      <w:r w:rsidR="00244950">
        <w:rPr>
          <w:rFonts w:asciiTheme="minorHAnsi" w:hAnsiTheme="minorHAnsi" w:cstheme="minorHAnsi"/>
          <w:sz w:val="22"/>
          <w:szCs w:val="22"/>
        </w:rPr>
        <w:t xml:space="preserve">following the guidance and are </w:t>
      </w:r>
      <w:r w:rsidR="00321421">
        <w:rPr>
          <w:rFonts w:asciiTheme="minorHAnsi" w:hAnsiTheme="minorHAnsi" w:cstheme="minorHAnsi"/>
          <w:sz w:val="22"/>
          <w:szCs w:val="22"/>
        </w:rPr>
        <w:t xml:space="preserve">captured in the goodwill disclosures. </w:t>
      </w:r>
      <w:r w:rsidR="00C13866">
        <w:rPr>
          <w:rFonts w:asciiTheme="minorHAnsi" w:hAnsiTheme="minorHAnsi" w:cstheme="minorHAnsi"/>
          <w:sz w:val="22"/>
          <w:szCs w:val="22"/>
        </w:rPr>
        <w:t xml:space="preserve">NAIC staff suspects that </w:t>
      </w:r>
      <w:r w:rsidR="008F725C">
        <w:rPr>
          <w:rFonts w:asciiTheme="minorHAnsi" w:hAnsiTheme="minorHAnsi" w:cstheme="minorHAnsi"/>
          <w:sz w:val="22"/>
          <w:szCs w:val="22"/>
        </w:rPr>
        <w:t xml:space="preserve">the application of the SSAP No. 68 goodwill guidance </w:t>
      </w:r>
      <w:r w:rsidR="00244950">
        <w:rPr>
          <w:rFonts w:asciiTheme="minorHAnsi" w:hAnsiTheme="minorHAnsi" w:cstheme="minorHAnsi"/>
          <w:sz w:val="22"/>
          <w:szCs w:val="22"/>
        </w:rPr>
        <w:t xml:space="preserve">to SSAP No. 48 investment acquisition </w:t>
      </w:r>
      <w:r w:rsidR="003C5B2A">
        <w:rPr>
          <w:rFonts w:asciiTheme="minorHAnsi" w:hAnsiTheme="minorHAnsi" w:cstheme="minorHAnsi"/>
          <w:sz w:val="22"/>
          <w:szCs w:val="22"/>
        </w:rPr>
        <w:t xml:space="preserve">is inconsistently applied based on </w:t>
      </w:r>
      <w:r w:rsidR="004D1782">
        <w:rPr>
          <w:rFonts w:asciiTheme="minorHAnsi" w:hAnsiTheme="minorHAnsi" w:cstheme="minorHAnsi"/>
          <w:sz w:val="22"/>
          <w:szCs w:val="22"/>
        </w:rPr>
        <w:t>two key</w:t>
      </w:r>
      <w:r w:rsidR="003C5B2A">
        <w:rPr>
          <w:rFonts w:asciiTheme="minorHAnsi" w:hAnsiTheme="minorHAnsi" w:cstheme="minorHAnsi"/>
          <w:sz w:val="22"/>
          <w:szCs w:val="22"/>
        </w:rPr>
        <w:t xml:space="preserve"> factors</w:t>
      </w:r>
      <w:r w:rsidR="00F05B92">
        <w:rPr>
          <w:rFonts w:asciiTheme="minorHAnsi" w:hAnsiTheme="minorHAnsi" w:cstheme="minorHAnsi"/>
          <w:sz w:val="22"/>
          <w:szCs w:val="22"/>
        </w:rPr>
        <w:t>:</w:t>
      </w:r>
    </w:p>
    <w:p w14:paraId="5D247275" w14:textId="77777777" w:rsidR="00F05B92" w:rsidRDefault="00F05B92" w:rsidP="00327477">
      <w:pPr>
        <w:pStyle w:val="BodyTextIndent"/>
        <w:spacing w:after="0"/>
        <w:ind w:left="0"/>
        <w:jc w:val="both"/>
        <w:rPr>
          <w:rFonts w:asciiTheme="minorHAnsi" w:hAnsiTheme="minorHAnsi" w:cstheme="minorHAnsi"/>
          <w:sz w:val="22"/>
          <w:szCs w:val="22"/>
        </w:rPr>
      </w:pPr>
    </w:p>
    <w:p w14:paraId="798F6909" w14:textId="23E6A59D" w:rsidR="00550ED4" w:rsidRDefault="003C5B2A" w:rsidP="00E00E43">
      <w:pPr>
        <w:pStyle w:val="BodyTextIndent"/>
        <w:numPr>
          <w:ilvl w:val="0"/>
          <w:numId w:val="9"/>
        </w:numPr>
        <w:spacing w:after="0"/>
        <w:jc w:val="both"/>
        <w:rPr>
          <w:rFonts w:asciiTheme="minorHAnsi" w:hAnsiTheme="minorHAnsi" w:cstheme="minorHAnsi"/>
          <w:sz w:val="22"/>
          <w:szCs w:val="22"/>
        </w:rPr>
      </w:pPr>
      <w:r>
        <w:rPr>
          <w:rFonts w:asciiTheme="minorHAnsi" w:hAnsiTheme="minorHAnsi" w:cstheme="minorHAnsi"/>
          <w:sz w:val="22"/>
          <w:szCs w:val="22"/>
        </w:rPr>
        <w:t xml:space="preserve">First, the </w:t>
      </w:r>
      <w:r w:rsidR="000C3938">
        <w:rPr>
          <w:rFonts w:asciiTheme="minorHAnsi" w:hAnsiTheme="minorHAnsi" w:cstheme="minorHAnsi"/>
          <w:sz w:val="22"/>
          <w:szCs w:val="22"/>
        </w:rPr>
        <w:t xml:space="preserve">SSAP </w:t>
      </w:r>
      <w:r w:rsidR="00222789">
        <w:rPr>
          <w:rFonts w:asciiTheme="minorHAnsi" w:hAnsiTheme="minorHAnsi" w:cstheme="minorHAnsi"/>
          <w:sz w:val="22"/>
          <w:szCs w:val="22"/>
        </w:rPr>
        <w:t xml:space="preserve">No. 68 </w:t>
      </w:r>
      <w:r w:rsidR="000C3938">
        <w:rPr>
          <w:rFonts w:asciiTheme="minorHAnsi" w:hAnsiTheme="minorHAnsi" w:cstheme="minorHAnsi"/>
          <w:sz w:val="22"/>
          <w:szCs w:val="22"/>
        </w:rPr>
        <w:t xml:space="preserve">title and </w:t>
      </w:r>
      <w:r>
        <w:rPr>
          <w:rFonts w:asciiTheme="minorHAnsi" w:hAnsiTheme="minorHAnsi" w:cstheme="minorHAnsi"/>
          <w:sz w:val="22"/>
          <w:szCs w:val="22"/>
        </w:rPr>
        <w:t>guidance</w:t>
      </w:r>
      <w:r w:rsidR="00C85813">
        <w:rPr>
          <w:rFonts w:asciiTheme="minorHAnsi" w:hAnsiTheme="minorHAnsi" w:cstheme="minorHAnsi"/>
          <w:sz w:val="22"/>
          <w:szCs w:val="22"/>
        </w:rPr>
        <w:t xml:space="preserve"> refers to “business combinations” and it is likely that companies acquiring an interest in a SSAP No. 48 </w:t>
      </w:r>
      <w:r w:rsidR="008D0812">
        <w:rPr>
          <w:rFonts w:asciiTheme="minorHAnsi" w:hAnsiTheme="minorHAnsi" w:cstheme="minorHAnsi"/>
          <w:sz w:val="22"/>
          <w:szCs w:val="22"/>
        </w:rPr>
        <w:t xml:space="preserve">investment do not consider the investment acquisition as a business combination. </w:t>
      </w:r>
    </w:p>
    <w:p w14:paraId="34344236" w14:textId="77777777" w:rsidR="00E84C41" w:rsidRDefault="00E84C41" w:rsidP="00E84C41">
      <w:pPr>
        <w:pStyle w:val="BodyTextIndent"/>
        <w:spacing w:after="0"/>
        <w:ind w:left="766"/>
        <w:jc w:val="both"/>
        <w:rPr>
          <w:rFonts w:asciiTheme="minorHAnsi" w:hAnsiTheme="minorHAnsi" w:cstheme="minorHAnsi"/>
          <w:sz w:val="22"/>
          <w:szCs w:val="22"/>
        </w:rPr>
      </w:pPr>
    </w:p>
    <w:p w14:paraId="7B883803" w14:textId="559BE6A8" w:rsidR="00124A9F" w:rsidRDefault="00124A9F" w:rsidP="00E00E43">
      <w:pPr>
        <w:pStyle w:val="BodyTextIndent"/>
        <w:numPr>
          <w:ilvl w:val="0"/>
          <w:numId w:val="9"/>
        </w:numPr>
        <w:spacing w:after="0"/>
        <w:jc w:val="both"/>
        <w:rPr>
          <w:rFonts w:asciiTheme="minorHAnsi" w:hAnsiTheme="minorHAnsi" w:cstheme="minorHAnsi"/>
          <w:sz w:val="22"/>
          <w:szCs w:val="22"/>
        </w:rPr>
      </w:pPr>
      <w:r>
        <w:rPr>
          <w:rFonts w:asciiTheme="minorHAnsi" w:hAnsiTheme="minorHAnsi" w:cstheme="minorHAnsi"/>
          <w:sz w:val="22"/>
          <w:szCs w:val="22"/>
        </w:rPr>
        <w:t xml:space="preserve">Second, </w:t>
      </w:r>
      <w:r w:rsidR="00E84C41">
        <w:rPr>
          <w:rFonts w:asciiTheme="minorHAnsi" w:hAnsiTheme="minorHAnsi" w:cstheme="minorHAnsi"/>
          <w:sz w:val="22"/>
          <w:szCs w:val="22"/>
        </w:rPr>
        <w:t xml:space="preserve">although SSAP No. 68, </w:t>
      </w:r>
      <w:r w:rsidR="00390C8B">
        <w:rPr>
          <w:rFonts w:asciiTheme="minorHAnsi" w:hAnsiTheme="minorHAnsi" w:cstheme="minorHAnsi"/>
          <w:sz w:val="22"/>
          <w:szCs w:val="22"/>
        </w:rPr>
        <w:t xml:space="preserve">paragraph 1 and </w:t>
      </w:r>
      <w:r w:rsidR="00E84C41">
        <w:rPr>
          <w:rFonts w:asciiTheme="minorHAnsi" w:hAnsiTheme="minorHAnsi" w:cstheme="minorHAnsi"/>
          <w:sz w:val="22"/>
          <w:szCs w:val="22"/>
        </w:rPr>
        <w:t>paragraph 5</w:t>
      </w:r>
      <w:r w:rsidR="00F57561">
        <w:rPr>
          <w:rFonts w:asciiTheme="minorHAnsi" w:hAnsiTheme="minorHAnsi" w:cstheme="minorHAnsi"/>
          <w:sz w:val="22"/>
          <w:szCs w:val="22"/>
        </w:rPr>
        <w:t>,</w:t>
      </w:r>
      <w:r w:rsidR="00E84C41">
        <w:rPr>
          <w:rFonts w:asciiTheme="minorHAnsi" w:hAnsiTheme="minorHAnsi" w:cstheme="minorHAnsi"/>
          <w:sz w:val="22"/>
          <w:szCs w:val="22"/>
        </w:rPr>
        <w:t xml:space="preserve"> </w:t>
      </w:r>
      <w:r w:rsidR="00F57561">
        <w:rPr>
          <w:rFonts w:asciiTheme="minorHAnsi" w:hAnsiTheme="minorHAnsi" w:cstheme="minorHAnsi"/>
          <w:sz w:val="22"/>
          <w:szCs w:val="22"/>
        </w:rPr>
        <w:t xml:space="preserve">apply to </w:t>
      </w:r>
      <w:r w:rsidR="00390C8B">
        <w:rPr>
          <w:rFonts w:asciiTheme="minorHAnsi" w:hAnsiTheme="minorHAnsi" w:cstheme="minorHAnsi"/>
          <w:sz w:val="22"/>
          <w:szCs w:val="22"/>
        </w:rPr>
        <w:t xml:space="preserve">all SSAP No. 48 investments, including </w:t>
      </w:r>
      <w:r w:rsidR="00E84C41">
        <w:rPr>
          <w:rFonts w:asciiTheme="minorHAnsi" w:hAnsiTheme="minorHAnsi" w:cstheme="minorHAnsi"/>
          <w:sz w:val="22"/>
          <w:szCs w:val="22"/>
        </w:rPr>
        <w:t>both more</w:t>
      </w:r>
      <w:r w:rsidR="000C3938">
        <w:rPr>
          <w:rFonts w:asciiTheme="minorHAnsi" w:hAnsiTheme="minorHAnsi" w:cstheme="minorHAnsi"/>
          <w:sz w:val="22"/>
          <w:szCs w:val="22"/>
        </w:rPr>
        <w:t>-</w:t>
      </w:r>
      <w:r w:rsidR="00E84C41">
        <w:rPr>
          <w:rFonts w:asciiTheme="minorHAnsi" w:hAnsiTheme="minorHAnsi" w:cstheme="minorHAnsi"/>
          <w:sz w:val="22"/>
          <w:szCs w:val="22"/>
        </w:rPr>
        <w:t>than</w:t>
      </w:r>
      <w:r w:rsidR="000C3938">
        <w:rPr>
          <w:rFonts w:asciiTheme="minorHAnsi" w:hAnsiTheme="minorHAnsi" w:cstheme="minorHAnsi"/>
          <w:sz w:val="22"/>
          <w:szCs w:val="22"/>
        </w:rPr>
        <w:t>-</w:t>
      </w:r>
      <w:r w:rsidR="00E84C41">
        <w:rPr>
          <w:rFonts w:asciiTheme="minorHAnsi" w:hAnsiTheme="minorHAnsi" w:cstheme="minorHAnsi"/>
          <w:sz w:val="22"/>
          <w:szCs w:val="22"/>
        </w:rPr>
        <w:t xml:space="preserve">minor </w:t>
      </w:r>
      <w:r w:rsidR="001007D0">
        <w:rPr>
          <w:rFonts w:asciiTheme="minorHAnsi" w:hAnsiTheme="minorHAnsi" w:cstheme="minorHAnsi"/>
          <w:sz w:val="22"/>
          <w:szCs w:val="22"/>
        </w:rPr>
        <w:t xml:space="preserve">(SCA) and minor (non-SCA) </w:t>
      </w:r>
      <w:r w:rsidR="00E84C41">
        <w:rPr>
          <w:rFonts w:asciiTheme="minorHAnsi" w:hAnsiTheme="minorHAnsi" w:cstheme="minorHAnsi"/>
          <w:sz w:val="22"/>
          <w:szCs w:val="22"/>
        </w:rPr>
        <w:t>SSAP No. 48 investments,</w:t>
      </w:r>
      <w:r w:rsidR="00291B72">
        <w:rPr>
          <w:rFonts w:asciiTheme="minorHAnsi" w:hAnsiTheme="minorHAnsi" w:cstheme="minorHAnsi"/>
          <w:sz w:val="22"/>
          <w:szCs w:val="22"/>
        </w:rPr>
        <w:t xml:space="preserve"> other </w:t>
      </w:r>
      <w:r w:rsidR="00F57561">
        <w:rPr>
          <w:rFonts w:asciiTheme="minorHAnsi" w:hAnsiTheme="minorHAnsi" w:cstheme="minorHAnsi"/>
          <w:sz w:val="22"/>
          <w:szCs w:val="22"/>
        </w:rPr>
        <w:t>sections of</w:t>
      </w:r>
      <w:r w:rsidR="00291B72">
        <w:rPr>
          <w:rFonts w:asciiTheme="minorHAnsi" w:hAnsiTheme="minorHAnsi" w:cstheme="minorHAnsi"/>
          <w:sz w:val="22"/>
          <w:szCs w:val="22"/>
        </w:rPr>
        <w:t xml:space="preserve"> </w:t>
      </w:r>
      <w:r w:rsidR="000C3938">
        <w:rPr>
          <w:rFonts w:asciiTheme="minorHAnsi" w:hAnsiTheme="minorHAnsi" w:cstheme="minorHAnsi"/>
          <w:sz w:val="22"/>
          <w:szCs w:val="22"/>
        </w:rPr>
        <w:t>SSAP No. 68</w:t>
      </w:r>
      <w:r w:rsidR="00291B72">
        <w:rPr>
          <w:rFonts w:asciiTheme="minorHAnsi" w:hAnsiTheme="minorHAnsi" w:cstheme="minorHAnsi"/>
          <w:sz w:val="22"/>
          <w:szCs w:val="22"/>
        </w:rPr>
        <w:t xml:space="preserve"> </w:t>
      </w:r>
      <w:r w:rsidR="00A751C4">
        <w:rPr>
          <w:rFonts w:asciiTheme="minorHAnsi" w:hAnsiTheme="minorHAnsi" w:cstheme="minorHAnsi"/>
          <w:sz w:val="22"/>
          <w:szCs w:val="22"/>
        </w:rPr>
        <w:t xml:space="preserve">refer to “SCA Investments.” </w:t>
      </w:r>
      <w:r w:rsidR="00F57561">
        <w:rPr>
          <w:rFonts w:asciiTheme="minorHAnsi" w:hAnsiTheme="minorHAnsi" w:cstheme="minorHAnsi"/>
          <w:sz w:val="22"/>
          <w:szCs w:val="22"/>
        </w:rPr>
        <w:t>Because a</w:t>
      </w:r>
      <w:r w:rsidR="00E244CA">
        <w:rPr>
          <w:rFonts w:asciiTheme="minorHAnsi" w:hAnsiTheme="minorHAnsi" w:cstheme="minorHAnsi"/>
          <w:sz w:val="22"/>
          <w:szCs w:val="22"/>
        </w:rPr>
        <w:t xml:space="preserve">n SCA (subsidiary, controlled or affiliated) investment is a specific term that refers to </w:t>
      </w:r>
      <w:r w:rsidR="001007D0">
        <w:rPr>
          <w:rFonts w:asciiTheme="minorHAnsi" w:hAnsiTheme="minorHAnsi" w:cstheme="minorHAnsi"/>
          <w:sz w:val="22"/>
          <w:szCs w:val="22"/>
        </w:rPr>
        <w:t>affiliation and control</w:t>
      </w:r>
      <w:r w:rsidR="00F57561">
        <w:rPr>
          <w:rFonts w:asciiTheme="minorHAnsi" w:hAnsiTheme="minorHAnsi" w:cstheme="minorHAnsi"/>
          <w:sz w:val="22"/>
          <w:szCs w:val="22"/>
        </w:rPr>
        <w:t>, t</w:t>
      </w:r>
      <w:r w:rsidR="00291B72">
        <w:rPr>
          <w:rFonts w:asciiTheme="minorHAnsi" w:hAnsiTheme="minorHAnsi" w:cstheme="minorHAnsi"/>
          <w:sz w:val="22"/>
          <w:szCs w:val="22"/>
        </w:rPr>
        <w:t>hese references/headings could cause companies to mis</w:t>
      </w:r>
      <w:r w:rsidR="000B5A9C">
        <w:rPr>
          <w:rFonts w:asciiTheme="minorHAnsi" w:hAnsiTheme="minorHAnsi" w:cstheme="minorHAnsi"/>
          <w:sz w:val="22"/>
          <w:szCs w:val="22"/>
        </w:rPr>
        <w:t>apply the guidance, even with the specific SSAP No. 48 citations</w:t>
      </w:r>
      <w:r w:rsidR="002B673F">
        <w:rPr>
          <w:rFonts w:asciiTheme="minorHAnsi" w:hAnsiTheme="minorHAnsi" w:cstheme="minorHAnsi"/>
          <w:sz w:val="22"/>
          <w:szCs w:val="22"/>
        </w:rPr>
        <w:t xml:space="preserve">. </w:t>
      </w:r>
    </w:p>
    <w:p w14:paraId="3606639B" w14:textId="77777777" w:rsidR="00550ED4" w:rsidRDefault="00550ED4" w:rsidP="00327477">
      <w:pPr>
        <w:pStyle w:val="BodyTextIndent"/>
        <w:spacing w:after="0"/>
        <w:ind w:left="0"/>
        <w:jc w:val="both"/>
        <w:rPr>
          <w:rFonts w:asciiTheme="minorHAnsi" w:hAnsiTheme="minorHAnsi" w:cstheme="minorHAnsi"/>
          <w:sz w:val="22"/>
          <w:szCs w:val="22"/>
        </w:rPr>
      </w:pPr>
    </w:p>
    <w:p w14:paraId="511B2428" w14:textId="6B5A02C4" w:rsidR="00550ED4" w:rsidRDefault="00BF36F4" w:rsidP="00327477">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Consistent</w:t>
      </w:r>
      <w:r w:rsidR="003564DD" w:rsidRPr="00340B5E">
        <w:rPr>
          <w:rFonts w:asciiTheme="minorHAnsi" w:hAnsiTheme="minorHAnsi" w:cstheme="minorHAnsi"/>
          <w:sz w:val="22"/>
          <w:szCs w:val="22"/>
        </w:rPr>
        <w:t xml:space="preserve"> with the issues noted previously, the question is whether proper documentation and reporting is occurring for goodwill that should be recognized for SSAP No. 48 investments. </w:t>
      </w:r>
      <w:r w:rsidR="003564DD">
        <w:rPr>
          <w:rFonts w:asciiTheme="minorHAnsi" w:hAnsiTheme="minorHAnsi" w:cstheme="minorHAnsi"/>
          <w:sz w:val="22"/>
          <w:szCs w:val="22"/>
        </w:rPr>
        <w:t xml:space="preserve">This is further </w:t>
      </w:r>
      <w:r w:rsidR="003123F2">
        <w:rPr>
          <w:rFonts w:asciiTheme="minorHAnsi" w:hAnsiTheme="minorHAnsi" w:cstheme="minorHAnsi"/>
          <w:sz w:val="22"/>
          <w:szCs w:val="22"/>
        </w:rPr>
        <w:t>expanded with a question on whether the guidance in SSAP No. 68 should be clarified to ensure consistent application</w:t>
      </w:r>
      <w:r w:rsidR="00222789">
        <w:rPr>
          <w:rFonts w:asciiTheme="minorHAnsi" w:hAnsiTheme="minorHAnsi" w:cstheme="minorHAnsi"/>
          <w:sz w:val="22"/>
          <w:szCs w:val="22"/>
        </w:rPr>
        <w:t>, or if revised if the intent was not to capture all SSAP No. 48 acquisitions</w:t>
      </w:r>
      <w:r w:rsidR="003123F2">
        <w:rPr>
          <w:rFonts w:asciiTheme="minorHAnsi" w:hAnsiTheme="minorHAnsi" w:cstheme="minorHAnsi"/>
          <w:sz w:val="22"/>
          <w:szCs w:val="22"/>
        </w:rPr>
        <w:t xml:space="preserve">. </w:t>
      </w:r>
      <w:r w:rsidR="00222789" w:rsidRPr="00222789">
        <w:rPr>
          <w:rFonts w:asciiTheme="minorHAnsi" w:hAnsiTheme="minorHAnsi" w:cstheme="minorHAnsi"/>
          <w:sz w:val="22"/>
          <w:szCs w:val="22"/>
          <w:u w:val="single"/>
        </w:rPr>
        <w:t xml:space="preserve">If the guidance </w:t>
      </w:r>
      <w:r>
        <w:rPr>
          <w:rFonts w:asciiTheme="minorHAnsi" w:hAnsiTheme="minorHAnsi" w:cstheme="minorHAnsi"/>
          <w:sz w:val="22"/>
          <w:szCs w:val="22"/>
          <w:u w:val="single"/>
        </w:rPr>
        <w:t xml:space="preserve">is </w:t>
      </w:r>
      <w:r w:rsidR="00222789" w:rsidRPr="00222789">
        <w:rPr>
          <w:rFonts w:asciiTheme="minorHAnsi" w:hAnsiTheme="minorHAnsi" w:cstheme="minorHAnsi"/>
          <w:sz w:val="22"/>
          <w:szCs w:val="22"/>
          <w:u w:val="single"/>
        </w:rPr>
        <w:t>retained, c</w:t>
      </w:r>
      <w:r w:rsidR="00DE0F3E" w:rsidRPr="00222789">
        <w:rPr>
          <w:rFonts w:asciiTheme="minorHAnsi" w:hAnsiTheme="minorHAnsi" w:cstheme="minorHAnsi"/>
          <w:sz w:val="22"/>
          <w:szCs w:val="22"/>
          <w:u w:val="single"/>
        </w:rPr>
        <w:t xml:space="preserve">onsideration </w:t>
      </w:r>
      <w:r w:rsidR="00F35B69">
        <w:rPr>
          <w:rFonts w:asciiTheme="minorHAnsi" w:hAnsiTheme="minorHAnsi" w:cstheme="minorHAnsi"/>
          <w:sz w:val="22"/>
          <w:szCs w:val="22"/>
          <w:u w:val="single"/>
        </w:rPr>
        <w:t>may be given</w:t>
      </w:r>
      <w:r w:rsidR="00DE0F3E" w:rsidRPr="00222789">
        <w:rPr>
          <w:rFonts w:asciiTheme="minorHAnsi" w:hAnsiTheme="minorHAnsi" w:cstheme="minorHAnsi"/>
          <w:sz w:val="22"/>
          <w:szCs w:val="22"/>
          <w:u w:val="single"/>
        </w:rPr>
        <w:t xml:space="preserve"> on expanding the disclosures and/or potentially incorporating electronic-only columns on Schedule BA for SSAP No. 48 investments to capture unamortized goodwill</w:t>
      </w:r>
      <w:r w:rsidR="00DE57A3" w:rsidRPr="00222789">
        <w:rPr>
          <w:rFonts w:asciiTheme="minorHAnsi" w:hAnsiTheme="minorHAnsi" w:cstheme="minorHAnsi"/>
          <w:sz w:val="22"/>
          <w:szCs w:val="22"/>
          <w:u w:val="single"/>
        </w:rPr>
        <w:t xml:space="preserve"> related to each specific investment</w:t>
      </w:r>
      <w:r w:rsidR="00DE57A3">
        <w:rPr>
          <w:rFonts w:asciiTheme="minorHAnsi" w:hAnsiTheme="minorHAnsi" w:cstheme="minorHAnsi"/>
          <w:sz w:val="22"/>
          <w:szCs w:val="22"/>
        </w:rPr>
        <w:t xml:space="preserve">. </w:t>
      </w:r>
    </w:p>
    <w:p w14:paraId="67B0BAA4" w14:textId="77777777" w:rsidR="00450837" w:rsidRDefault="00450837" w:rsidP="00327477">
      <w:pPr>
        <w:pStyle w:val="BodyTextIndent"/>
        <w:spacing w:after="0"/>
        <w:ind w:left="0"/>
        <w:jc w:val="both"/>
        <w:rPr>
          <w:rFonts w:asciiTheme="minorHAnsi" w:hAnsiTheme="minorHAnsi" w:cstheme="minorHAnsi"/>
          <w:sz w:val="22"/>
          <w:szCs w:val="22"/>
        </w:rPr>
      </w:pPr>
    </w:p>
    <w:p w14:paraId="3102A602" w14:textId="77777777" w:rsidR="00450837" w:rsidRDefault="00450837" w:rsidP="00327477">
      <w:pPr>
        <w:pStyle w:val="BodyTextIndent"/>
        <w:spacing w:after="0"/>
        <w:ind w:left="0"/>
        <w:jc w:val="both"/>
        <w:rPr>
          <w:rFonts w:asciiTheme="minorHAnsi" w:hAnsiTheme="minorHAnsi" w:cstheme="minorHAnsi"/>
          <w:sz w:val="22"/>
          <w:szCs w:val="22"/>
        </w:rPr>
      </w:pPr>
    </w:p>
    <w:p w14:paraId="17969729" w14:textId="77777777" w:rsidR="001220FD" w:rsidRPr="00FB741E" w:rsidRDefault="001220FD" w:rsidP="00174352">
      <w:pPr>
        <w:pStyle w:val="BodyTextIndent"/>
        <w:numPr>
          <w:ilvl w:val="0"/>
          <w:numId w:val="13"/>
        </w:numPr>
        <w:spacing w:after="0"/>
        <w:jc w:val="both"/>
        <w:rPr>
          <w:rFonts w:asciiTheme="minorHAnsi" w:hAnsiTheme="minorHAnsi" w:cstheme="minorHAnsi"/>
          <w:b/>
          <w:bCs/>
          <w:sz w:val="22"/>
          <w:szCs w:val="22"/>
          <w:u w:val="single"/>
        </w:rPr>
      </w:pPr>
      <w:r w:rsidRPr="00FB741E">
        <w:rPr>
          <w:rFonts w:asciiTheme="minorHAnsi" w:hAnsiTheme="minorHAnsi" w:cstheme="minorHAnsi"/>
          <w:b/>
          <w:bCs/>
          <w:sz w:val="22"/>
          <w:szCs w:val="22"/>
          <w:u w:val="single"/>
        </w:rPr>
        <w:t>Discussion on Goodwill &amp; Basis Difference</w:t>
      </w:r>
    </w:p>
    <w:p w14:paraId="43571ADA" w14:textId="031002E5" w:rsidR="00A10247" w:rsidRDefault="009E0420" w:rsidP="001220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lastRenderedPageBreak/>
        <w:t xml:space="preserve">With the review of the goodwill guidance, it was noted that </w:t>
      </w:r>
      <w:r w:rsidR="001220FD" w:rsidRPr="001F5742">
        <w:rPr>
          <w:rFonts w:asciiTheme="minorHAnsi" w:hAnsiTheme="minorHAnsi" w:cstheme="minorHAnsi"/>
          <w:sz w:val="22"/>
          <w:szCs w:val="22"/>
        </w:rPr>
        <w:t>SSAP No. 48</w:t>
      </w:r>
      <w:r w:rsidR="007A417C">
        <w:rPr>
          <w:rFonts w:asciiTheme="minorHAnsi" w:hAnsiTheme="minorHAnsi" w:cstheme="minorHAnsi"/>
          <w:sz w:val="22"/>
          <w:szCs w:val="22"/>
        </w:rPr>
        <w:t>, paragraph 11,</w:t>
      </w:r>
      <w:r w:rsidR="001220FD" w:rsidRPr="001F5742">
        <w:rPr>
          <w:rFonts w:asciiTheme="minorHAnsi" w:hAnsiTheme="minorHAnsi" w:cstheme="minorHAnsi"/>
          <w:sz w:val="22"/>
          <w:szCs w:val="22"/>
        </w:rPr>
        <w:t xml:space="preserve"> makes specific reference to the “amortization of the basis </w:t>
      </w:r>
      <w:r w:rsidR="001220FD" w:rsidRPr="00710E47">
        <w:rPr>
          <w:rFonts w:asciiTheme="minorHAnsi" w:hAnsiTheme="minorHAnsi" w:cstheme="minorHAnsi"/>
          <w:sz w:val="22"/>
          <w:szCs w:val="22"/>
        </w:rPr>
        <w:t>difference (difference between the cost and the underlying U.S. GAAP equity</w:t>
      </w:r>
      <w:r w:rsidR="00F35B69" w:rsidRPr="00710E47">
        <w:rPr>
          <w:rFonts w:asciiTheme="minorHAnsi" w:hAnsiTheme="minorHAnsi" w:cstheme="minorHAnsi"/>
          <w:sz w:val="22"/>
          <w:szCs w:val="22"/>
        </w:rPr>
        <w:t>)</w:t>
      </w:r>
      <w:r w:rsidR="001220FD" w:rsidRPr="00710E47">
        <w:rPr>
          <w:rFonts w:asciiTheme="minorHAnsi" w:hAnsiTheme="minorHAnsi" w:cstheme="minorHAnsi"/>
          <w:sz w:val="22"/>
          <w:szCs w:val="22"/>
        </w:rPr>
        <w:t>” as the first step in determining</w:t>
      </w:r>
      <w:r w:rsidR="00550E60" w:rsidRPr="00710E47">
        <w:rPr>
          <w:rFonts w:asciiTheme="minorHAnsi" w:hAnsiTheme="minorHAnsi" w:cstheme="minorHAnsi"/>
          <w:sz w:val="22"/>
          <w:szCs w:val="22"/>
        </w:rPr>
        <w:t xml:space="preserve"> the investment’s</w:t>
      </w:r>
      <w:r w:rsidR="001220FD" w:rsidRPr="00710E47">
        <w:rPr>
          <w:rFonts w:asciiTheme="minorHAnsi" w:hAnsiTheme="minorHAnsi" w:cstheme="minorHAnsi"/>
          <w:sz w:val="22"/>
          <w:szCs w:val="22"/>
        </w:rPr>
        <w:t xml:space="preserve"> current</w:t>
      </w:r>
      <w:r w:rsidR="001220FD" w:rsidRPr="001F5742">
        <w:rPr>
          <w:rFonts w:asciiTheme="minorHAnsi" w:hAnsiTheme="minorHAnsi" w:cstheme="minorHAnsi"/>
          <w:sz w:val="22"/>
          <w:szCs w:val="22"/>
        </w:rPr>
        <w:t xml:space="preserve"> equity value. </w:t>
      </w:r>
      <w:r w:rsidR="001220FD">
        <w:rPr>
          <w:rFonts w:asciiTheme="minorHAnsi" w:hAnsiTheme="minorHAnsi" w:cstheme="minorHAnsi"/>
          <w:sz w:val="22"/>
          <w:szCs w:val="22"/>
        </w:rPr>
        <w:t xml:space="preserve">In researching this guidance, the term “amortization of the basis difference” is incorrect under statutory accounting and instead should read as “amortization of goodwill.” </w:t>
      </w:r>
      <w:r w:rsidR="00F17E30">
        <w:rPr>
          <w:rFonts w:asciiTheme="minorHAnsi" w:hAnsiTheme="minorHAnsi" w:cstheme="minorHAnsi"/>
          <w:sz w:val="22"/>
          <w:szCs w:val="22"/>
        </w:rPr>
        <w:t xml:space="preserve">As previously noted, </w:t>
      </w:r>
      <w:r w:rsidR="001220FD" w:rsidRPr="00A10247">
        <w:rPr>
          <w:rFonts w:asciiTheme="minorHAnsi" w:hAnsiTheme="minorHAnsi" w:cstheme="minorHAnsi"/>
          <w:sz w:val="22"/>
          <w:szCs w:val="22"/>
        </w:rPr>
        <w:t>SSAP No. 68</w:t>
      </w:r>
      <w:r w:rsidR="00A10247">
        <w:rPr>
          <w:rFonts w:asciiTheme="minorHAnsi" w:hAnsiTheme="minorHAnsi" w:cstheme="minorHAnsi"/>
          <w:i/>
          <w:iCs/>
          <w:sz w:val="22"/>
          <w:szCs w:val="22"/>
        </w:rPr>
        <w:t xml:space="preserve"> </w:t>
      </w:r>
      <w:r w:rsidR="001220FD" w:rsidRPr="001F5742">
        <w:rPr>
          <w:rFonts w:asciiTheme="minorHAnsi" w:hAnsiTheme="minorHAnsi" w:cstheme="minorHAnsi"/>
          <w:sz w:val="22"/>
          <w:szCs w:val="22"/>
        </w:rPr>
        <w:t xml:space="preserve">applies to the accounting for purchases of </w:t>
      </w:r>
      <w:r w:rsidR="00B64F41">
        <w:rPr>
          <w:rFonts w:asciiTheme="minorHAnsi" w:hAnsiTheme="minorHAnsi" w:cstheme="minorHAnsi"/>
          <w:sz w:val="22"/>
          <w:szCs w:val="22"/>
        </w:rPr>
        <w:t>SSAP No. 48 investments</w:t>
      </w:r>
      <w:r w:rsidR="001220FD">
        <w:rPr>
          <w:rFonts w:asciiTheme="minorHAnsi" w:hAnsiTheme="minorHAnsi" w:cstheme="minorHAnsi"/>
          <w:sz w:val="22"/>
          <w:szCs w:val="22"/>
        </w:rPr>
        <w:t xml:space="preserve"> in all situations. </w:t>
      </w:r>
    </w:p>
    <w:p w14:paraId="434FAB75" w14:textId="77777777" w:rsidR="00E265C5" w:rsidRDefault="00E265C5" w:rsidP="001220FD">
      <w:pPr>
        <w:pStyle w:val="BodyTextIndent"/>
        <w:spacing w:after="0"/>
        <w:ind w:left="0"/>
        <w:jc w:val="both"/>
        <w:rPr>
          <w:rFonts w:asciiTheme="minorHAnsi" w:hAnsiTheme="minorHAnsi" w:cstheme="minorHAnsi"/>
          <w:sz w:val="22"/>
          <w:szCs w:val="22"/>
        </w:rPr>
      </w:pPr>
    </w:p>
    <w:p w14:paraId="75C609F0" w14:textId="026A188D" w:rsidR="001220FD" w:rsidRPr="00FB741E" w:rsidRDefault="00E265C5" w:rsidP="001220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Under SSAP No. 68, goodwill is recognized as the difference between the purchase price (cost) and the acquired entity’s book value. This is different from U.S. GAAP in which goodwill is recognized as the difference between the purchase price and fair value. </w:t>
      </w:r>
      <w:r w:rsidR="00A10247">
        <w:rPr>
          <w:rFonts w:asciiTheme="minorHAnsi" w:hAnsiTheme="minorHAnsi" w:cstheme="minorHAnsi"/>
          <w:sz w:val="22"/>
          <w:szCs w:val="22"/>
        </w:rPr>
        <w:t xml:space="preserve">The concept of a “basis difference” is a U.S. GAAP </w:t>
      </w:r>
      <w:r w:rsidR="003E16E5">
        <w:rPr>
          <w:rFonts w:asciiTheme="minorHAnsi" w:hAnsiTheme="minorHAnsi" w:cstheme="minorHAnsi"/>
          <w:sz w:val="22"/>
          <w:szCs w:val="22"/>
        </w:rPr>
        <w:t>situation that arises</w:t>
      </w:r>
      <w:r>
        <w:rPr>
          <w:rFonts w:asciiTheme="minorHAnsi" w:hAnsiTheme="minorHAnsi" w:cstheme="minorHAnsi"/>
          <w:sz w:val="22"/>
          <w:szCs w:val="22"/>
        </w:rPr>
        <w:t xml:space="preserve"> in an acquisition</w:t>
      </w:r>
      <w:r w:rsidR="003E16E5">
        <w:rPr>
          <w:rFonts w:asciiTheme="minorHAnsi" w:hAnsiTheme="minorHAnsi" w:cstheme="minorHAnsi"/>
          <w:sz w:val="22"/>
          <w:szCs w:val="22"/>
        </w:rPr>
        <w:t xml:space="preserve"> when book value is less than fair value. </w:t>
      </w:r>
      <w:r w:rsidR="0081267B">
        <w:rPr>
          <w:rFonts w:asciiTheme="minorHAnsi" w:hAnsiTheme="minorHAnsi" w:cstheme="minorHAnsi"/>
          <w:sz w:val="22"/>
          <w:szCs w:val="22"/>
        </w:rPr>
        <w:t>This concept</w:t>
      </w:r>
      <w:r w:rsidR="00BA79A3">
        <w:rPr>
          <w:rFonts w:asciiTheme="minorHAnsi" w:hAnsiTheme="minorHAnsi" w:cstheme="minorHAnsi"/>
          <w:sz w:val="22"/>
          <w:szCs w:val="22"/>
        </w:rPr>
        <w:t xml:space="preserve"> is </w:t>
      </w:r>
      <w:r w:rsidR="00C16A5B">
        <w:rPr>
          <w:rFonts w:asciiTheme="minorHAnsi" w:hAnsiTheme="minorHAnsi" w:cstheme="minorHAnsi"/>
          <w:sz w:val="22"/>
          <w:szCs w:val="22"/>
        </w:rPr>
        <w:t xml:space="preserve">considered separately </w:t>
      </w:r>
      <w:r w:rsidR="001220FD">
        <w:rPr>
          <w:rFonts w:asciiTheme="minorHAnsi" w:hAnsiTheme="minorHAnsi" w:cstheme="minorHAnsi"/>
          <w:sz w:val="22"/>
          <w:szCs w:val="22"/>
        </w:rPr>
        <w:t xml:space="preserve">under U.S. GAAP, </w:t>
      </w:r>
      <w:r w:rsidR="0081267B">
        <w:rPr>
          <w:rFonts w:asciiTheme="minorHAnsi" w:hAnsiTheme="minorHAnsi" w:cstheme="minorHAnsi"/>
          <w:sz w:val="22"/>
          <w:szCs w:val="22"/>
        </w:rPr>
        <w:t xml:space="preserve">as </w:t>
      </w:r>
      <w:r w:rsidR="001220FD">
        <w:rPr>
          <w:rFonts w:asciiTheme="minorHAnsi" w:hAnsiTheme="minorHAnsi" w:cstheme="minorHAnsi"/>
          <w:sz w:val="22"/>
          <w:szCs w:val="22"/>
        </w:rPr>
        <w:t xml:space="preserve">the difference between the purchase price and the fair value is “goodwill.” Use of the term “basis difference” in SSAP </w:t>
      </w:r>
      <w:r w:rsidR="001220FD" w:rsidRPr="00FB741E">
        <w:rPr>
          <w:rFonts w:asciiTheme="minorHAnsi" w:hAnsiTheme="minorHAnsi" w:cstheme="minorHAnsi"/>
          <w:sz w:val="22"/>
          <w:szCs w:val="22"/>
        </w:rPr>
        <w:t xml:space="preserve">No. 48 is a misnomer under statutory accounting concepts, as </w:t>
      </w:r>
      <w:r w:rsidR="00E93D82">
        <w:rPr>
          <w:rFonts w:asciiTheme="minorHAnsi" w:hAnsiTheme="minorHAnsi" w:cstheme="minorHAnsi"/>
          <w:sz w:val="22"/>
          <w:szCs w:val="22"/>
        </w:rPr>
        <w:t>the comparison of fair value to purchase price as a component of the goodwill calculation does not</w:t>
      </w:r>
      <w:r w:rsidR="001220FD" w:rsidRPr="00FB741E">
        <w:rPr>
          <w:rFonts w:asciiTheme="minorHAnsi" w:hAnsiTheme="minorHAnsi" w:cstheme="minorHAnsi"/>
          <w:sz w:val="22"/>
          <w:szCs w:val="22"/>
        </w:rPr>
        <w:t xml:space="preserve"> exist </w:t>
      </w:r>
      <w:r w:rsidR="001220FD">
        <w:rPr>
          <w:rFonts w:asciiTheme="minorHAnsi" w:hAnsiTheme="minorHAnsi" w:cstheme="minorHAnsi"/>
          <w:sz w:val="22"/>
          <w:szCs w:val="22"/>
        </w:rPr>
        <w:t>under the prescribed</w:t>
      </w:r>
      <w:r w:rsidR="001220FD" w:rsidRPr="00FB741E">
        <w:rPr>
          <w:rFonts w:asciiTheme="minorHAnsi" w:hAnsiTheme="minorHAnsi" w:cstheme="minorHAnsi"/>
          <w:sz w:val="22"/>
          <w:szCs w:val="22"/>
        </w:rPr>
        <w:t xml:space="preserve"> </w:t>
      </w:r>
      <w:r w:rsidR="00D77884">
        <w:rPr>
          <w:rFonts w:asciiTheme="minorHAnsi" w:hAnsiTheme="minorHAnsi" w:cstheme="minorHAnsi"/>
          <w:sz w:val="22"/>
          <w:szCs w:val="22"/>
        </w:rPr>
        <w:t xml:space="preserve">statutory accounting </w:t>
      </w:r>
      <w:r w:rsidR="001220FD" w:rsidRPr="00FB741E">
        <w:rPr>
          <w:rFonts w:asciiTheme="minorHAnsi" w:hAnsiTheme="minorHAnsi" w:cstheme="minorHAnsi"/>
          <w:sz w:val="22"/>
          <w:szCs w:val="22"/>
        </w:rPr>
        <w:t>goodwill calculation</w:t>
      </w:r>
      <w:r w:rsidR="001220FD">
        <w:rPr>
          <w:rFonts w:asciiTheme="minorHAnsi" w:hAnsiTheme="minorHAnsi" w:cstheme="minorHAnsi"/>
          <w:sz w:val="22"/>
          <w:szCs w:val="22"/>
        </w:rPr>
        <w:t xml:space="preserve">. </w:t>
      </w:r>
      <w:r w:rsidR="001220FD" w:rsidRPr="00D77884">
        <w:rPr>
          <w:rFonts w:asciiTheme="minorHAnsi" w:hAnsiTheme="minorHAnsi" w:cstheme="minorHAnsi"/>
          <w:sz w:val="22"/>
          <w:szCs w:val="22"/>
          <w:u w:val="single"/>
        </w:rPr>
        <w:t xml:space="preserve">The reference in SSAP No. 48, paragraph should be revised to reflect “goodwill” </w:t>
      </w:r>
      <w:r w:rsidR="00D77884" w:rsidRPr="00D77884">
        <w:rPr>
          <w:rFonts w:asciiTheme="minorHAnsi" w:hAnsiTheme="minorHAnsi" w:cstheme="minorHAnsi"/>
          <w:sz w:val="22"/>
          <w:szCs w:val="22"/>
          <w:u w:val="single"/>
        </w:rPr>
        <w:t>to reflect statutory concepts and prevent misapplication or confusion</w:t>
      </w:r>
      <w:r w:rsidR="00D77884">
        <w:rPr>
          <w:rFonts w:asciiTheme="minorHAnsi" w:hAnsiTheme="minorHAnsi" w:cstheme="minorHAnsi"/>
          <w:sz w:val="22"/>
          <w:szCs w:val="22"/>
        </w:rPr>
        <w:t xml:space="preserve">. </w:t>
      </w:r>
      <w:r w:rsidR="001220FD" w:rsidRPr="00FB741E">
        <w:rPr>
          <w:rFonts w:asciiTheme="minorHAnsi" w:hAnsiTheme="minorHAnsi" w:cstheme="minorHAnsi"/>
          <w:sz w:val="22"/>
          <w:szCs w:val="22"/>
        </w:rPr>
        <w:t xml:space="preserve">To illustrate the differences: </w:t>
      </w:r>
    </w:p>
    <w:p w14:paraId="49782CCE" w14:textId="77777777" w:rsidR="001220FD" w:rsidRPr="00FB741E" w:rsidRDefault="001220FD" w:rsidP="001220FD">
      <w:pPr>
        <w:pStyle w:val="BodyTextIndent"/>
        <w:spacing w:after="0"/>
        <w:ind w:left="0"/>
        <w:jc w:val="both"/>
        <w:rPr>
          <w:rFonts w:asciiTheme="minorHAnsi" w:hAnsiTheme="minorHAnsi" w:cstheme="minorHAnsi"/>
          <w:sz w:val="22"/>
          <w:szCs w:val="22"/>
        </w:rPr>
      </w:pPr>
    </w:p>
    <w:p w14:paraId="225BB4FA" w14:textId="6FBFECF1" w:rsidR="001220FD" w:rsidRPr="00FB741E" w:rsidRDefault="001220FD" w:rsidP="00E00E43">
      <w:pPr>
        <w:pStyle w:val="BodyTextIndent"/>
        <w:numPr>
          <w:ilvl w:val="0"/>
          <w:numId w:val="7"/>
        </w:numPr>
        <w:spacing w:after="240"/>
        <w:jc w:val="both"/>
        <w:rPr>
          <w:rFonts w:asciiTheme="minorHAnsi" w:hAnsiTheme="minorHAnsi" w:cstheme="minorHAnsi"/>
          <w:sz w:val="22"/>
          <w:szCs w:val="22"/>
        </w:rPr>
      </w:pPr>
      <w:r w:rsidRPr="00FB741E">
        <w:rPr>
          <w:rFonts w:asciiTheme="minorHAnsi" w:hAnsiTheme="minorHAnsi" w:cstheme="minorHAnsi"/>
          <w:b/>
          <w:bCs/>
          <w:sz w:val="22"/>
          <w:szCs w:val="22"/>
        </w:rPr>
        <w:t>SAP</w:t>
      </w:r>
      <w:r w:rsidRPr="00FB741E">
        <w:rPr>
          <w:rFonts w:asciiTheme="minorHAnsi" w:hAnsiTheme="minorHAnsi" w:cstheme="minorHAnsi"/>
          <w:sz w:val="22"/>
          <w:szCs w:val="22"/>
        </w:rPr>
        <w:t xml:space="preserve"> - If an insurer paid $200 to acquire </w:t>
      </w:r>
      <w:r w:rsidR="00D77884">
        <w:rPr>
          <w:rFonts w:asciiTheme="minorHAnsi" w:hAnsiTheme="minorHAnsi" w:cstheme="minorHAnsi"/>
          <w:sz w:val="22"/>
          <w:szCs w:val="22"/>
        </w:rPr>
        <w:t>an LLC</w:t>
      </w:r>
      <w:r w:rsidRPr="00FB741E">
        <w:rPr>
          <w:rFonts w:asciiTheme="minorHAnsi" w:hAnsiTheme="minorHAnsi" w:cstheme="minorHAnsi"/>
          <w:sz w:val="22"/>
          <w:szCs w:val="22"/>
        </w:rPr>
        <w:t xml:space="preserve"> with a </w:t>
      </w:r>
      <w:r>
        <w:rPr>
          <w:rFonts w:asciiTheme="minorHAnsi" w:hAnsiTheme="minorHAnsi" w:cstheme="minorHAnsi"/>
          <w:sz w:val="22"/>
          <w:szCs w:val="22"/>
        </w:rPr>
        <w:t>b</w:t>
      </w:r>
      <w:r w:rsidRPr="00FB741E">
        <w:rPr>
          <w:rFonts w:asciiTheme="minorHAnsi" w:hAnsiTheme="minorHAnsi" w:cstheme="minorHAnsi"/>
          <w:sz w:val="22"/>
          <w:szCs w:val="22"/>
        </w:rPr>
        <w:t xml:space="preserve">ook </w:t>
      </w:r>
      <w:r>
        <w:rPr>
          <w:rFonts w:asciiTheme="minorHAnsi" w:hAnsiTheme="minorHAnsi" w:cstheme="minorHAnsi"/>
          <w:sz w:val="22"/>
          <w:szCs w:val="22"/>
        </w:rPr>
        <w:t>v</w:t>
      </w:r>
      <w:r w:rsidRPr="00FB741E">
        <w:rPr>
          <w:rFonts w:asciiTheme="minorHAnsi" w:hAnsiTheme="minorHAnsi" w:cstheme="minorHAnsi"/>
          <w:sz w:val="22"/>
          <w:szCs w:val="22"/>
        </w:rPr>
        <w:t xml:space="preserve">alue of $150, the insurer recognizes $50 in goodwill under SSAP No. 68. </w:t>
      </w:r>
      <w:r w:rsidR="00D77884">
        <w:rPr>
          <w:rFonts w:asciiTheme="minorHAnsi" w:hAnsiTheme="minorHAnsi" w:cstheme="minorHAnsi"/>
          <w:sz w:val="22"/>
          <w:szCs w:val="22"/>
        </w:rPr>
        <w:t xml:space="preserve">The goodwill is then amortized over the useful life, not to exceed 10 years. </w:t>
      </w:r>
    </w:p>
    <w:p w14:paraId="333AA201" w14:textId="58F4626A" w:rsidR="001220FD" w:rsidRPr="00FB741E" w:rsidRDefault="001220FD" w:rsidP="00E00E43">
      <w:pPr>
        <w:pStyle w:val="BodyTextIndent"/>
        <w:numPr>
          <w:ilvl w:val="0"/>
          <w:numId w:val="7"/>
        </w:numPr>
        <w:spacing w:after="0"/>
        <w:jc w:val="both"/>
        <w:rPr>
          <w:rFonts w:asciiTheme="minorHAnsi" w:hAnsiTheme="minorHAnsi" w:cstheme="minorHAnsi"/>
          <w:sz w:val="22"/>
          <w:szCs w:val="22"/>
        </w:rPr>
      </w:pPr>
      <w:r w:rsidRPr="00FB741E">
        <w:rPr>
          <w:rFonts w:asciiTheme="minorHAnsi" w:hAnsiTheme="minorHAnsi" w:cstheme="minorHAnsi"/>
          <w:b/>
          <w:bCs/>
          <w:sz w:val="22"/>
          <w:szCs w:val="22"/>
        </w:rPr>
        <w:t>GAAP</w:t>
      </w:r>
      <w:r w:rsidRPr="00FB741E">
        <w:rPr>
          <w:rFonts w:asciiTheme="minorHAnsi" w:hAnsiTheme="minorHAnsi" w:cstheme="minorHAnsi"/>
          <w:sz w:val="22"/>
          <w:szCs w:val="22"/>
        </w:rPr>
        <w:t xml:space="preserve"> - If an insurer paid $200 to acquire the same </w:t>
      </w:r>
      <w:r w:rsidR="00D77884">
        <w:rPr>
          <w:rFonts w:asciiTheme="minorHAnsi" w:hAnsiTheme="minorHAnsi" w:cstheme="minorHAnsi"/>
          <w:sz w:val="22"/>
          <w:szCs w:val="22"/>
        </w:rPr>
        <w:t>LLC</w:t>
      </w:r>
      <w:r w:rsidRPr="00FB741E">
        <w:rPr>
          <w:rFonts w:asciiTheme="minorHAnsi" w:hAnsiTheme="minorHAnsi" w:cstheme="minorHAnsi"/>
          <w:sz w:val="22"/>
          <w:szCs w:val="22"/>
        </w:rPr>
        <w:t xml:space="preserve"> with a </w:t>
      </w:r>
      <w:r>
        <w:rPr>
          <w:rFonts w:asciiTheme="minorHAnsi" w:hAnsiTheme="minorHAnsi" w:cstheme="minorHAnsi"/>
          <w:sz w:val="22"/>
          <w:szCs w:val="22"/>
        </w:rPr>
        <w:t>b</w:t>
      </w:r>
      <w:r w:rsidRPr="00FB741E">
        <w:rPr>
          <w:rFonts w:asciiTheme="minorHAnsi" w:hAnsiTheme="minorHAnsi" w:cstheme="minorHAnsi"/>
          <w:sz w:val="22"/>
          <w:szCs w:val="22"/>
        </w:rPr>
        <w:t xml:space="preserve">ook </w:t>
      </w:r>
      <w:r>
        <w:rPr>
          <w:rFonts w:asciiTheme="minorHAnsi" w:hAnsiTheme="minorHAnsi" w:cstheme="minorHAnsi"/>
          <w:sz w:val="22"/>
          <w:szCs w:val="22"/>
        </w:rPr>
        <w:t>v</w:t>
      </w:r>
      <w:r w:rsidRPr="00FB741E">
        <w:rPr>
          <w:rFonts w:asciiTheme="minorHAnsi" w:hAnsiTheme="minorHAnsi" w:cstheme="minorHAnsi"/>
          <w:sz w:val="22"/>
          <w:szCs w:val="22"/>
        </w:rPr>
        <w:t xml:space="preserve">alue of $150, under </w:t>
      </w:r>
      <w:r>
        <w:rPr>
          <w:rFonts w:asciiTheme="minorHAnsi" w:hAnsiTheme="minorHAnsi" w:cstheme="minorHAnsi"/>
          <w:sz w:val="22"/>
          <w:szCs w:val="22"/>
        </w:rPr>
        <w:t xml:space="preserve">U.S. </w:t>
      </w:r>
      <w:r w:rsidRPr="00FB741E">
        <w:rPr>
          <w:rFonts w:asciiTheme="minorHAnsi" w:hAnsiTheme="minorHAnsi" w:cstheme="minorHAnsi"/>
          <w:sz w:val="22"/>
          <w:szCs w:val="22"/>
        </w:rPr>
        <w:t xml:space="preserve">GAAP the insurer would first have to determine if the </w:t>
      </w:r>
      <w:r>
        <w:rPr>
          <w:rFonts w:asciiTheme="minorHAnsi" w:hAnsiTheme="minorHAnsi" w:cstheme="minorHAnsi"/>
          <w:sz w:val="22"/>
          <w:szCs w:val="22"/>
        </w:rPr>
        <w:t>book value</w:t>
      </w:r>
      <w:r w:rsidRPr="00FB741E">
        <w:rPr>
          <w:rFonts w:asciiTheme="minorHAnsi" w:hAnsiTheme="minorHAnsi" w:cstheme="minorHAnsi"/>
          <w:sz w:val="22"/>
          <w:szCs w:val="22"/>
        </w:rPr>
        <w:t xml:space="preserve"> equa</w:t>
      </w:r>
      <w:r>
        <w:rPr>
          <w:rFonts w:asciiTheme="minorHAnsi" w:hAnsiTheme="minorHAnsi" w:cstheme="minorHAnsi"/>
          <w:sz w:val="22"/>
          <w:szCs w:val="22"/>
        </w:rPr>
        <w:t>led fair value</w:t>
      </w:r>
      <w:r w:rsidRPr="00FB741E">
        <w:rPr>
          <w:rFonts w:asciiTheme="minorHAnsi" w:hAnsiTheme="minorHAnsi" w:cstheme="minorHAnsi"/>
          <w:sz w:val="22"/>
          <w:szCs w:val="22"/>
        </w:rPr>
        <w:t xml:space="preserve">. If the </w:t>
      </w:r>
      <w:r>
        <w:rPr>
          <w:rFonts w:asciiTheme="minorHAnsi" w:hAnsiTheme="minorHAnsi" w:cstheme="minorHAnsi"/>
          <w:sz w:val="22"/>
          <w:szCs w:val="22"/>
        </w:rPr>
        <w:t>fair value</w:t>
      </w:r>
      <w:r w:rsidRPr="00FB741E">
        <w:rPr>
          <w:rFonts w:asciiTheme="minorHAnsi" w:hAnsiTheme="minorHAnsi" w:cstheme="minorHAnsi"/>
          <w:sz w:val="22"/>
          <w:szCs w:val="22"/>
        </w:rPr>
        <w:t xml:space="preserve"> was $180, the US GAAP filer would recognize a basis difference of $30 and goodwill of $20</w:t>
      </w:r>
      <w:r>
        <w:rPr>
          <w:rFonts w:asciiTheme="minorHAnsi" w:hAnsiTheme="minorHAnsi" w:cstheme="minorHAnsi"/>
          <w:sz w:val="22"/>
          <w:szCs w:val="22"/>
        </w:rPr>
        <w:t xml:space="preserve">. </w:t>
      </w:r>
      <w:r w:rsidR="00D77884">
        <w:rPr>
          <w:rFonts w:asciiTheme="minorHAnsi" w:hAnsiTheme="minorHAnsi" w:cstheme="minorHAnsi"/>
          <w:sz w:val="22"/>
          <w:szCs w:val="22"/>
        </w:rPr>
        <w:t>Under U.S. GAAP, for public companies, the basis difference is amortized over the useful life</w:t>
      </w:r>
      <w:r w:rsidR="008144C1">
        <w:rPr>
          <w:rFonts w:asciiTheme="minorHAnsi" w:hAnsiTheme="minorHAnsi" w:cstheme="minorHAnsi"/>
          <w:sz w:val="22"/>
          <w:szCs w:val="22"/>
        </w:rPr>
        <w:t xml:space="preserve"> of the asset it pertains to</w:t>
      </w:r>
      <w:r w:rsidR="00D77884">
        <w:rPr>
          <w:rFonts w:asciiTheme="minorHAnsi" w:hAnsiTheme="minorHAnsi" w:cstheme="minorHAnsi"/>
          <w:sz w:val="22"/>
          <w:szCs w:val="22"/>
        </w:rPr>
        <w:t xml:space="preserve">, not to exceed 10 years, but goodwill is an indefinite asset, only subject to annual impairment testing. </w:t>
      </w:r>
    </w:p>
    <w:p w14:paraId="5B1A3600" w14:textId="77777777" w:rsidR="001220FD" w:rsidRDefault="001220FD" w:rsidP="00327477">
      <w:pPr>
        <w:pStyle w:val="BodyTextIndent"/>
        <w:spacing w:after="0"/>
        <w:ind w:left="0"/>
        <w:jc w:val="both"/>
        <w:rPr>
          <w:rFonts w:asciiTheme="minorHAnsi" w:hAnsiTheme="minorHAnsi" w:cstheme="minorHAnsi"/>
          <w:sz w:val="22"/>
          <w:szCs w:val="22"/>
        </w:rPr>
      </w:pPr>
    </w:p>
    <w:p w14:paraId="12545249" w14:textId="30D20622" w:rsidR="00DE57A3" w:rsidRDefault="00DE57A3" w:rsidP="00174352">
      <w:pPr>
        <w:pStyle w:val="BodyTextIndent"/>
        <w:numPr>
          <w:ilvl w:val="0"/>
          <w:numId w:val="13"/>
        </w:numPr>
        <w:spacing w:after="0"/>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SSAP No. 48 </w:t>
      </w:r>
      <w:r w:rsidR="00FE24AE">
        <w:rPr>
          <w:rFonts w:asciiTheme="minorHAnsi" w:hAnsiTheme="minorHAnsi" w:cstheme="minorHAnsi"/>
          <w:b/>
          <w:bCs/>
          <w:sz w:val="22"/>
          <w:szCs w:val="22"/>
          <w:u w:val="single"/>
        </w:rPr>
        <w:t xml:space="preserve">Negative </w:t>
      </w:r>
      <w:r>
        <w:rPr>
          <w:rFonts w:asciiTheme="minorHAnsi" w:hAnsiTheme="minorHAnsi" w:cstheme="minorHAnsi"/>
          <w:b/>
          <w:bCs/>
          <w:sz w:val="22"/>
          <w:szCs w:val="22"/>
          <w:u w:val="single"/>
        </w:rPr>
        <w:t>Investment Income and Impairment Assessment</w:t>
      </w:r>
    </w:p>
    <w:p w14:paraId="516560FC" w14:textId="0956F249" w:rsidR="00A96029" w:rsidRDefault="00C20273" w:rsidP="00327477">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S</w:t>
      </w:r>
      <w:r w:rsidR="001449AE">
        <w:rPr>
          <w:rFonts w:asciiTheme="minorHAnsi" w:hAnsiTheme="minorHAnsi" w:cstheme="minorHAnsi"/>
          <w:sz w:val="22"/>
          <w:szCs w:val="22"/>
        </w:rPr>
        <w:t>S</w:t>
      </w:r>
      <w:r>
        <w:rPr>
          <w:rFonts w:asciiTheme="minorHAnsi" w:hAnsiTheme="minorHAnsi" w:cstheme="minorHAnsi"/>
          <w:sz w:val="22"/>
          <w:szCs w:val="22"/>
        </w:rPr>
        <w:t xml:space="preserve">AP No. 48 investments do not provide </w:t>
      </w:r>
      <w:r w:rsidR="008B59E7">
        <w:rPr>
          <w:rFonts w:asciiTheme="minorHAnsi" w:hAnsiTheme="minorHAnsi" w:cstheme="minorHAnsi"/>
          <w:sz w:val="22"/>
          <w:szCs w:val="22"/>
        </w:rPr>
        <w:t xml:space="preserve">scheduled </w:t>
      </w:r>
      <w:r>
        <w:rPr>
          <w:rFonts w:asciiTheme="minorHAnsi" w:hAnsiTheme="minorHAnsi" w:cstheme="minorHAnsi"/>
          <w:sz w:val="22"/>
          <w:szCs w:val="22"/>
        </w:rPr>
        <w:t xml:space="preserve">interest or other investment </w:t>
      </w:r>
      <w:r w:rsidR="00DF4D17">
        <w:rPr>
          <w:rFonts w:asciiTheme="minorHAnsi" w:hAnsiTheme="minorHAnsi" w:cstheme="minorHAnsi"/>
          <w:sz w:val="22"/>
          <w:szCs w:val="22"/>
        </w:rPr>
        <w:t xml:space="preserve">income outside of </w:t>
      </w:r>
      <w:r w:rsidR="008871F0">
        <w:rPr>
          <w:rFonts w:asciiTheme="minorHAnsi" w:hAnsiTheme="minorHAnsi" w:cstheme="minorHAnsi"/>
          <w:sz w:val="22"/>
          <w:szCs w:val="22"/>
        </w:rPr>
        <w:t xml:space="preserve">distributions that reflect </w:t>
      </w:r>
      <w:r w:rsidR="000C7580">
        <w:rPr>
          <w:rFonts w:asciiTheme="minorHAnsi" w:hAnsiTheme="minorHAnsi" w:cstheme="minorHAnsi"/>
          <w:sz w:val="22"/>
          <w:szCs w:val="22"/>
        </w:rPr>
        <w:t xml:space="preserve">accumulated </w:t>
      </w:r>
      <w:r w:rsidR="00A27792">
        <w:rPr>
          <w:rFonts w:asciiTheme="minorHAnsi" w:hAnsiTheme="minorHAnsi" w:cstheme="minorHAnsi"/>
          <w:sz w:val="22"/>
          <w:szCs w:val="22"/>
        </w:rPr>
        <w:t>earnings</w:t>
      </w:r>
      <w:r w:rsidR="004A63F5">
        <w:rPr>
          <w:rFonts w:asciiTheme="minorHAnsi" w:hAnsiTheme="minorHAnsi" w:cstheme="minorHAnsi"/>
          <w:sz w:val="22"/>
          <w:szCs w:val="22"/>
        </w:rPr>
        <w:t xml:space="preserve"> </w:t>
      </w:r>
      <w:r w:rsidR="008871F0">
        <w:rPr>
          <w:rFonts w:asciiTheme="minorHAnsi" w:hAnsiTheme="minorHAnsi" w:cstheme="minorHAnsi"/>
          <w:sz w:val="22"/>
          <w:szCs w:val="22"/>
        </w:rPr>
        <w:t xml:space="preserve">or </w:t>
      </w:r>
      <w:r w:rsidR="00036BC8">
        <w:rPr>
          <w:rFonts w:asciiTheme="minorHAnsi" w:hAnsiTheme="minorHAnsi" w:cstheme="minorHAnsi"/>
          <w:sz w:val="22"/>
          <w:szCs w:val="22"/>
        </w:rPr>
        <w:t xml:space="preserve">a </w:t>
      </w:r>
      <w:r w:rsidR="008871F0">
        <w:rPr>
          <w:rFonts w:asciiTheme="minorHAnsi" w:hAnsiTheme="minorHAnsi" w:cstheme="minorHAnsi"/>
          <w:sz w:val="22"/>
          <w:szCs w:val="22"/>
        </w:rPr>
        <w:t xml:space="preserve">return of </w:t>
      </w:r>
      <w:r w:rsidR="008871F0" w:rsidRPr="00425802">
        <w:rPr>
          <w:rFonts w:asciiTheme="minorHAnsi" w:hAnsiTheme="minorHAnsi" w:cstheme="minorHAnsi"/>
          <w:sz w:val="22"/>
          <w:szCs w:val="22"/>
        </w:rPr>
        <w:t xml:space="preserve">equity. </w:t>
      </w:r>
      <w:r w:rsidR="00BB76D8" w:rsidRPr="00425802">
        <w:rPr>
          <w:rFonts w:asciiTheme="minorHAnsi" w:hAnsiTheme="minorHAnsi" w:cstheme="minorHAnsi"/>
          <w:sz w:val="22"/>
          <w:szCs w:val="22"/>
        </w:rPr>
        <w:t xml:space="preserve">When a reporting entity receives income that reflects accumulated earnings, the reporting entity </w:t>
      </w:r>
      <w:r w:rsidR="00C079A6" w:rsidRPr="00425802">
        <w:rPr>
          <w:rFonts w:asciiTheme="minorHAnsi" w:hAnsiTheme="minorHAnsi" w:cstheme="minorHAnsi"/>
          <w:sz w:val="22"/>
          <w:szCs w:val="22"/>
        </w:rPr>
        <w:t xml:space="preserve">would </w:t>
      </w:r>
      <w:r w:rsidR="000721A3" w:rsidRPr="00425802">
        <w:rPr>
          <w:rFonts w:asciiTheme="minorHAnsi" w:hAnsiTheme="minorHAnsi" w:cstheme="minorHAnsi"/>
          <w:sz w:val="22"/>
          <w:szCs w:val="22"/>
        </w:rPr>
        <w:t xml:space="preserve">reduce the BACV with a corresponding entry to reduce the previously recognized unrealized </w:t>
      </w:r>
      <w:r w:rsidR="00450837" w:rsidRPr="00425802">
        <w:rPr>
          <w:rFonts w:asciiTheme="minorHAnsi" w:hAnsiTheme="minorHAnsi" w:cstheme="minorHAnsi"/>
          <w:sz w:val="22"/>
          <w:szCs w:val="22"/>
        </w:rPr>
        <w:t xml:space="preserve">valuation increase (gain), </w:t>
      </w:r>
      <w:r w:rsidR="00C079A6" w:rsidRPr="00425802">
        <w:rPr>
          <w:rFonts w:asciiTheme="minorHAnsi" w:hAnsiTheme="minorHAnsi" w:cstheme="minorHAnsi"/>
          <w:sz w:val="22"/>
          <w:szCs w:val="22"/>
        </w:rPr>
        <w:t>reflecting undistributed accumulated earnings</w:t>
      </w:r>
      <w:r w:rsidR="009A263A" w:rsidRPr="00425802">
        <w:rPr>
          <w:rFonts w:asciiTheme="minorHAnsi" w:hAnsiTheme="minorHAnsi" w:cstheme="minorHAnsi"/>
          <w:sz w:val="22"/>
          <w:szCs w:val="22"/>
        </w:rPr>
        <w:t>. The entity would then reflect the income received as investment income</w:t>
      </w:r>
      <w:r w:rsidR="00C079A6" w:rsidRPr="00425802">
        <w:rPr>
          <w:rFonts w:asciiTheme="minorHAnsi" w:hAnsiTheme="minorHAnsi" w:cstheme="minorHAnsi"/>
          <w:sz w:val="22"/>
          <w:szCs w:val="22"/>
        </w:rPr>
        <w:t xml:space="preserve">. </w:t>
      </w:r>
      <w:r w:rsidR="00036BC8" w:rsidRPr="00425802">
        <w:rPr>
          <w:rFonts w:asciiTheme="minorHAnsi" w:hAnsiTheme="minorHAnsi" w:cstheme="minorHAnsi"/>
          <w:sz w:val="22"/>
          <w:szCs w:val="22"/>
        </w:rPr>
        <w:t>When</w:t>
      </w:r>
      <w:r w:rsidR="00036BC8">
        <w:rPr>
          <w:rFonts w:asciiTheme="minorHAnsi" w:hAnsiTheme="minorHAnsi" w:cstheme="minorHAnsi"/>
          <w:sz w:val="22"/>
          <w:szCs w:val="22"/>
        </w:rPr>
        <w:t xml:space="preserve"> a reporting entity receives a distribution that reflects a return of </w:t>
      </w:r>
      <w:r w:rsidR="00BA2133">
        <w:rPr>
          <w:rFonts w:asciiTheme="minorHAnsi" w:hAnsiTheme="minorHAnsi" w:cstheme="minorHAnsi"/>
          <w:sz w:val="22"/>
          <w:szCs w:val="22"/>
        </w:rPr>
        <w:t xml:space="preserve">equity, they would reduce the reported book/adjusted value of the investment, with no recognition </w:t>
      </w:r>
      <w:r w:rsidR="00E445CC">
        <w:rPr>
          <w:rFonts w:asciiTheme="minorHAnsi" w:hAnsiTheme="minorHAnsi" w:cstheme="minorHAnsi"/>
          <w:sz w:val="22"/>
          <w:szCs w:val="22"/>
        </w:rPr>
        <w:t xml:space="preserve">of </w:t>
      </w:r>
      <w:r w:rsidR="008144C1">
        <w:rPr>
          <w:rFonts w:asciiTheme="minorHAnsi" w:hAnsiTheme="minorHAnsi" w:cstheme="minorHAnsi"/>
          <w:sz w:val="22"/>
          <w:szCs w:val="22"/>
        </w:rPr>
        <w:t xml:space="preserve">investment income or </w:t>
      </w:r>
      <w:r w:rsidR="00BA2133">
        <w:rPr>
          <w:rFonts w:asciiTheme="minorHAnsi" w:hAnsiTheme="minorHAnsi" w:cstheme="minorHAnsi"/>
          <w:sz w:val="22"/>
          <w:szCs w:val="22"/>
        </w:rPr>
        <w:t xml:space="preserve">gain or loss. </w:t>
      </w:r>
      <w:r w:rsidR="009A7046">
        <w:rPr>
          <w:rFonts w:asciiTheme="minorHAnsi" w:hAnsiTheme="minorHAnsi" w:cstheme="minorHAnsi"/>
          <w:sz w:val="22"/>
          <w:szCs w:val="22"/>
        </w:rPr>
        <w:t xml:space="preserve">Of the </w:t>
      </w:r>
      <w:r w:rsidR="00AC03A2">
        <w:rPr>
          <w:rFonts w:asciiTheme="minorHAnsi" w:hAnsiTheme="minorHAnsi" w:cstheme="minorHAnsi"/>
          <w:sz w:val="22"/>
          <w:szCs w:val="22"/>
        </w:rPr>
        <w:t xml:space="preserve">2,441 investments captured in the 2024 report, </w:t>
      </w:r>
      <w:r w:rsidR="0064393D">
        <w:rPr>
          <w:rFonts w:asciiTheme="minorHAnsi" w:hAnsiTheme="minorHAnsi" w:cstheme="minorHAnsi"/>
          <w:sz w:val="22"/>
          <w:szCs w:val="22"/>
        </w:rPr>
        <w:t>365</w:t>
      </w:r>
      <w:r w:rsidR="009C2672">
        <w:rPr>
          <w:rFonts w:asciiTheme="minorHAnsi" w:hAnsiTheme="minorHAnsi" w:cstheme="minorHAnsi"/>
          <w:sz w:val="22"/>
          <w:szCs w:val="22"/>
        </w:rPr>
        <w:t xml:space="preserve"> </w:t>
      </w:r>
      <w:r w:rsidR="00AC03A2">
        <w:rPr>
          <w:rFonts w:asciiTheme="minorHAnsi" w:hAnsiTheme="minorHAnsi" w:cstheme="minorHAnsi"/>
          <w:sz w:val="22"/>
          <w:szCs w:val="22"/>
        </w:rPr>
        <w:t>reported positive investment income on Schedule BA</w:t>
      </w:r>
      <w:r w:rsidR="002B673F">
        <w:rPr>
          <w:rFonts w:asciiTheme="minorHAnsi" w:hAnsiTheme="minorHAnsi" w:cstheme="minorHAnsi"/>
          <w:sz w:val="22"/>
          <w:szCs w:val="22"/>
        </w:rPr>
        <w:t xml:space="preserve">. </w:t>
      </w:r>
      <w:r w:rsidR="0054472F">
        <w:rPr>
          <w:rFonts w:asciiTheme="minorHAnsi" w:hAnsiTheme="minorHAnsi" w:cstheme="minorHAnsi"/>
          <w:sz w:val="22"/>
          <w:szCs w:val="22"/>
        </w:rPr>
        <w:t xml:space="preserve">(This is not </w:t>
      </w:r>
      <w:r w:rsidR="00ED3895">
        <w:rPr>
          <w:rFonts w:asciiTheme="minorHAnsi" w:hAnsiTheme="minorHAnsi" w:cstheme="minorHAnsi"/>
          <w:sz w:val="22"/>
          <w:szCs w:val="22"/>
        </w:rPr>
        <w:t xml:space="preserve">considered unusual </w:t>
      </w:r>
      <w:r w:rsidR="0054472F">
        <w:rPr>
          <w:rFonts w:asciiTheme="minorHAnsi" w:hAnsiTheme="minorHAnsi" w:cstheme="minorHAnsi"/>
          <w:sz w:val="22"/>
          <w:szCs w:val="22"/>
        </w:rPr>
        <w:t xml:space="preserve">as it is possible that the </w:t>
      </w:r>
      <w:r w:rsidR="00272C20">
        <w:rPr>
          <w:rFonts w:asciiTheme="minorHAnsi" w:hAnsiTheme="minorHAnsi" w:cstheme="minorHAnsi"/>
          <w:sz w:val="22"/>
          <w:szCs w:val="22"/>
        </w:rPr>
        <w:t xml:space="preserve">newly acquired </w:t>
      </w:r>
      <w:r w:rsidR="0054472F">
        <w:rPr>
          <w:rFonts w:asciiTheme="minorHAnsi" w:hAnsiTheme="minorHAnsi" w:cstheme="minorHAnsi"/>
          <w:sz w:val="22"/>
          <w:szCs w:val="22"/>
        </w:rPr>
        <w:t xml:space="preserve">SSAP No. 48 investments did not provide distributions.) </w:t>
      </w:r>
      <w:r w:rsidR="0054472F" w:rsidRPr="0037712B">
        <w:rPr>
          <w:rFonts w:asciiTheme="minorHAnsi" w:hAnsiTheme="minorHAnsi" w:cstheme="minorHAnsi"/>
          <w:sz w:val="22"/>
          <w:szCs w:val="22"/>
          <w:u w:val="single"/>
        </w:rPr>
        <w:t xml:space="preserve">However, what </w:t>
      </w:r>
      <w:r w:rsidR="00AC03A2" w:rsidRPr="0037712B">
        <w:rPr>
          <w:rFonts w:asciiTheme="minorHAnsi" w:hAnsiTheme="minorHAnsi" w:cstheme="minorHAnsi"/>
          <w:sz w:val="22"/>
          <w:szCs w:val="22"/>
          <w:u w:val="single"/>
        </w:rPr>
        <w:t xml:space="preserve">NAIC staff found interesting </w:t>
      </w:r>
      <w:r w:rsidR="0054472F" w:rsidRPr="0037712B">
        <w:rPr>
          <w:rFonts w:asciiTheme="minorHAnsi" w:hAnsiTheme="minorHAnsi" w:cstheme="minorHAnsi"/>
          <w:sz w:val="22"/>
          <w:szCs w:val="22"/>
          <w:u w:val="single"/>
        </w:rPr>
        <w:t xml:space="preserve">was </w:t>
      </w:r>
      <w:r w:rsidR="00AC03A2" w:rsidRPr="0037712B">
        <w:rPr>
          <w:rFonts w:asciiTheme="minorHAnsi" w:hAnsiTheme="minorHAnsi" w:cstheme="minorHAnsi"/>
          <w:sz w:val="22"/>
          <w:szCs w:val="22"/>
          <w:u w:val="single"/>
        </w:rPr>
        <w:t xml:space="preserve">that </w:t>
      </w:r>
      <w:r w:rsidR="009C2672" w:rsidRPr="0037712B">
        <w:rPr>
          <w:rFonts w:asciiTheme="minorHAnsi" w:hAnsiTheme="minorHAnsi" w:cstheme="minorHAnsi"/>
          <w:sz w:val="22"/>
          <w:szCs w:val="22"/>
          <w:u w:val="single"/>
        </w:rPr>
        <w:t>15</w:t>
      </w:r>
      <w:r w:rsidR="0090683E" w:rsidRPr="0037712B">
        <w:rPr>
          <w:rFonts w:asciiTheme="minorHAnsi" w:hAnsiTheme="minorHAnsi" w:cstheme="minorHAnsi"/>
          <w:sz w:val="22"/>
          <w:szCs w:val="22"/>
          <w:u w:val="single"/>
        </w:rPr>
        <w:t xml:space="preserve">3 entities reported a negative amount as “investment income” in </w:t>
      </w:r>
      <w:r w:rsidR="00272C20" w:rsidRPr="0037712B">
        <w:rPr>
          <w:rFonts w:asciiTheme="minorHAnsi" w:hAnsiTheme="minorHAnsi" w:cstheme="minorHAnsi"/>
          <w:sz w:val="22"/>
          <w:szCs w:val="22"/>
          <w:u w:val="single"/>
        </w:rPr>
        <w:t>Schedule BA</w:t>
      </w:r>
      <w:r w:rsidR="0090683E">
        <w:rPr>
          <w:rFonts w:asciiTheme="minorHAnsi" w:hAnsiTheme="minorHAnsi" w:cstheme="minorHAnsi"/>
          <w:sz w:val="22"/>
          <w:szCs w:val="22"/>
        </w:rPr>
        <w:t xml:space="preserve">. </w:t>
      </w:r>
      <w:r w:rsidR="0090683E" w:rsidRPr="00661039">
        <w:rPr>
          <w:rFonts w:asciiTheme="minorHAnsi" w:hAnsiTheme="minorHAnsi" w:cstheme="minorHAnsi"/>
          <w:sz w:val="22"/>
          <w:szCs w:val="22"/>
          <w:u w:val="single"/>
        </w:rPr>
        <w:t xml:space="preserve">NAIC staff would find industry information beneficial </w:t>
      </w:r>
      <w:r w:rsidR="00661039" w:rsidRPr="00661039">
        <w:rPr>
          <w:rFonts w:asciiTheme="minorHAnsi" w:hAnsiTheme="minorHAnsi" w:cstheme="minorHAnsi"/>
          <w:sz w:val="22"/>
          <w:szCs w:val="22"/>
          <w:u w:val="single"/>
        </w:rPr>
        <w:t>to help explain how a negative investment income would be reported</w:t>
      </w:r>
      <w:r w:rsidR="001C39DD">
        <w:rPr>
          <w:rFonts w:asciiTheme="minorHAnsi" w:hAnsiTheme="minorHAnsi" w:cstheme="minorHAnsi"/>
          <w:sz w:val="22"/>
          <w:szCs w:val="22"/>
          <w:u w:val="single"/>
        </w:rPr>
        <w:t xml:space="preserve"> and what this reflects</w:t>
      </w:r>
      <w:r w:rsidR="00661039" w:rsidRPr="00661039">
        <w:rPr>
          <w:rFonts w:asciiTheme="minorHAnsi" w:hAnsiTheme="minorHAnsi" w:cstheme="minorHAnsi"/>
          <w:sz w:val="22"/>
          <w:szCs w:val="22"/>
          <w:u w:val="single"/>
        </w:rPr>
        <w:t>.</w:t>
      </w:r>
      <w:r w:rsidR="00661039">
        <w:rPr>
          <w:rFonts w:asciiTheme="minorHAnsi" w:hAnsiTheme="minorHAnsi" w:cstheme="minorHAnsi"/>
          <w:sz w:val="22"/>
          <w:szCs w:val="22"/>
        </w:rPr>
        <w:t xml:space="preserve"> </w:t>
      </w:r>
      <w:r w:rsidR="00AF4D56">
        <w:rPr>
          <w:rFonts w:asciiTheme="minorHAnsi" w:hAnsiTheme="minorHAnsi" w:cstheme="minorHAnsi"/>
          <w:sz w:val="22"/>
          <w:szCs w:val="22"/>
        </w:rPr>
        <w:t xml:space="preserve">The instructions are explicit that amounts that reflect a return of capital should not be captured within the investment income column. </w:t>
      </w:r>
    </w:p>
    <w:p w14:paraId="1E451F70" w14:textId="77777777" w:rsidR="00BA2133" w:rsidRDefault="00BA2133" w:rsidP="00327477">
      <w:pPr>
        <w:pStyle w:val="BodyTextIndent"/>
        <w:spacing w:after="0"/>
        <w:ind w:left="0"/>
        <w:jc w:val="both"/>
        <w:rPr>
          <w:rFonts w:asciiTheme="minorHAnsi" w:hAnsiTheme="minorHAnsi" w:cstheme="minorHAnsi"/>
          <w:sz w:val="22"/>
          <w:szCs w:val="22"/>
        </w:rPr>
      </w:pPr>
    </w:p>
    <w:p w14:paraId="46C8ECD9" w14:textId="6575A75C" w:rsidR="00BA2133" w:rsidRDefault="00D92450" w:rsidP="00327477">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Reporting entities shall recognize an unrealized loss when the </w:t>
      </w:r>
      <w:r w:rsidR="007943BC">
        <w:rPr>
          <w:rFonts w:asciiTheme="minorHAnsi" w:hAnsiTheme="minorHAnsi" w:cstheme="minorHAnsi"/>
          <w:sz w:val="22"/>
          <w:szCs w:val="22"/>
        </w:rPr>
        <w:t xml:space="preserve">equity value of the investment </w:t>
      </w:r>
      <w:r w:rsidR="00AA79F7">
        <w:rPr>
          <w:rFonts w:asciiTheme="minorHAnsi" w:hAnsiTheme="minorHAnsi" w:cstheme="minorHAnsi"/>
          <w:sz w:val="22"/>
          <w:szCs w:val="22"/>
        </w:rPr>
        <w:t>declines to the point that</w:t>
      </w:r>
      <w:r w:rsidR="00CB60A7">
        <w:rPr>
          <w:rFonts w:asciiTheme="minorHAnsi" w:hAnsiTheme="minorHAnsi" w:cstheme="minorHAnsi"/>
          <w:sz w:val="22"/>
          <w:szCs w:val="22"/>
        </w:rPr>
        <w:t xml:space="preserve"> all previous unrealized equity gains</w:t>
      </w:r>
      <w:r w:rsidR="00AA79F7">
        <w:rPr>
          <w:rFonts w:asciiTheme="minorHAnsi" w:hAnsiTheme="minorHAnsi" w:cstheme="minorHAnsi"/>
          <w:sz w:val="22"/>
          <w:szCs w:val="22"/>
        </w:rPr>
        <w:t xml:space="preserve"> have been eliminated</w:t>
      </w:r>
      <w:r w:rsidR="007943BC">
        <w:rPr>
          <w:rFonts w:asciiTheme="minorHAnsi" w:hAnsiTheme="minorHAnsi" w:cstheme="minorHAnsi"/>
          <w:sz w:val="22"/>
          <w:szCs w:val="22"/>
        </w:rPr>
        <w:t xml:space="preserve">. </w:t>
      </w:r>
      <w:r w:rsidR="007C78B8">
        <w:rPr>
          <w:rFonts w:asciiTheme="minorHAnsi" w:hAnsiTheme="minorHAnsi" w:cstheme="minorHAnsi"/>
          <w:sz w:val="22"/>
          <w:szCs w:val="22"/>
        </w:rPr>
        <w:t xml:space="preserve">Recognition of realized losses only </w:t>
      </w:r>
      <w:r w:rsidR="005568C8">
        <w:rPr>
          <w:rFonts w:asciiTheme="minorHAnsi" w:hAnsiTheme="minorHAnsi" w:cstheme="minorHAnsi"/>
          <w:sz w:val="22"/>
          <w:szCs w:val="22"/>
        </w:rPr>
        <w:t>occurs</w:t>
      </w:r>
      <w:r w:rsidR="007C78B8">
        <w:rPr>
          <w:rFonts w:asciiTheme="minorHAnsi" w:hAnsiTheme="minorHAnsi" w:cstheme="minorHAnsi"/>
          <w:sz w:val="22"/>
          <w:szCs w:val="22"/>
        </w:rPr>
        <w:t xml:space="preserve"> when </w:t>
      </w:r>
      <w:r w:rsidR="00C259D0">
        <w:rPr>
          <w:rFonts w:asciiTheme="minorHAnsi" w:hAnsiTheme="minorHAnsi" w:cstheme="minorHAnsi"/>
          <w:sz w:val="22"/>
          <w:szCs w:val="22"/>
        </w:rPr>
        <w:t xml:space="preserve">a </w:t>
      </w:r>
      <w:r w:rsidR="007C78B8">
        <w:rPr>
          <w:rFonts w:asciiTheme="minorHAnsi" w:hAnsiTheme="minorHAnsi" w:cstheme="minorHAnsi"/>
          <w:sz w:val="22"/>
          <w:szCs w:val="22"/>
        </w:rPr>
        <w:t xml:space="preserve">decline in value </w:t>
      </w:r>
      <w:r w:rsidR="005568C8">
        <w:rPr>
          <w:rFonts w:asciiTheme="minorHAnsi" w:hAnsiTheme="minorHAnsi" w:cstheme="minorHAnsi"/>
          <w:sz w:val="22"/>
          <w:szCs w:val="22"/>
        </w:rPr>
        <w:t>is</w:t>
      </w:r>
      <w:r w:rsidR="007C78B8">
        <w:rPr>
          <w:rFonts w:asciiTheme="minorHAnsi" w:hAnsiTheme="minorHAnsi" w:cstheme="minorHAnsi"/>
          <w:sz w:val="22"/>
          <w:szCs w:val="22"/>
        </w:rPr>
        <w:t xml:space="preserve"> other-than-temporary, or the entity </w:t>
      </w:r>
      <w:r w:rsidR="00B61964">
        <w:rPr>
          <w:rFonts w:asciiTheme="minorHAnsi" w:hAnsiTheme="minorHAnsi" w:cstheme="minorHAnsi"/>
          <w:sz w:val="22"/>
          <w:szCs w:val="22"/>
        </w:rPr>
        <w:t>sells</w:t>
      </w:r>
      <w:r w:rsidR="00A9055E">
        <w:rPr>
          <w:rFonts w:asciiTheme="minorHAnsi" w:hAnsiTheme="minorHAnsi" w:cstheme="minorHAnsi"/>
          <w:sz w:val="22"/>
          <w:szCs w:val="22"/>
        </w:rPr>
        <w:t xml:space="preserve"> the investment at a loss. </w:t>
      </w:r>
      <w:r w:rsidR="00BA7EF2">
        <w:rPr>
          <w:rFonts w:asciiTheme="minorHAnsi" w:hAnsiTheme="minorHAnsi" w:cstheme="minorHAnsi"/>
          <w:sz w:val="22"/>
          <w:szCs w:val="22"/>
        </w:rPr>
        <w:t xml:space="preserve">Although it is common in most SSAPs to indicate that an OTTI shall be considered to have occurred when an entity has decided to sell an investment when the fair value is below the reported value, that is not specifically noted in SSAP No. 48. </w:t>
      </w:r>
    </w:p>
    <w:p w14:paraId="40EA57FA" w14:textId="77777777" w:rsidR="00317BD8" w:rsidRDefault="00317BD8" w:rsidP="00327477">
      <w:pPr>
        <w:pStyle w:val="BodyTextIndent"/>
        <w:spacing w:after="0"/>
        <w:ind w:left="0"/>
        <w:jc w:val="both"/>
        <w:rPr>
          <w:rFonts w:asciiTheme="minorHAnsi" w:hAnsiTheme="minorHAnsi" w:cstheme="minorHAnsi"/>
          <w:sz w:val="22"/>
          <w:szCs w:val="22"/>
        </w:rPr>
      </w:pPr>
    </w:p>
    <w:p w14:paraId="55FCB5C8" w14:textId="479BE619" w:rsidR="00317BD8" w:rsidRDefault="00317BD8" w:rsidP="00327477">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Returning to the data that was reviewed for 2024 acquisitions, </w:t>
      </w:r>
      <w:r w:rsidR="0017455B">
        <w:rPr>
          <w:rFonts w:asciiTheme="minorHAnsi" w:hAnsiTheme="minorHAnsi" w:cstheme="minorHAnsi"/>
          <w:sz w:val="22"/>
          <w:szCs w:val="22"/>
        </w:rPr>
        <w:t xml:space="preserve">over 700 (approx. 31%) were reported with an unrealized valuation </w:t>
      </w:r>
      <w:r w:rsidR="00E3222C">
        <w:rPr>
          <w:rFonts w:asciiTheme="minorHAnsi" w:hAnsiTheme="minorHAnsi" w:cstheme="minorHAnsi"/>
          <w:sz w:val="22"/>
          <w:szCs w:val="22"/>
        </w:rPr>
        <w:t>decline</w:t>
      </w:r>
      <w:r w:rsidR="0017455B">
        <w:rPr>
          <w:rFonts w:asciiTheme="minorHAnsi" w:hAnsiTheme="minorHAnsi" w:cstheme="minorHAnsi"/>
          <w:sz w:val="22"/>
          <w:szCs w:val="22"/>
        </w:rPr>
        <w:t xml:space="preserve"> as of year-end 2024. </w:t>
      </w:r>
      <w:r w:rsidR="003B03BF">
        <w:rPr>
          <w:rFonts w:asciiTheme="minorHAnsi" w:hAnsiTheme="minorHAnsi" w:cstheme="minorHAnsi"/>
          <w:sz w:val="22"/>
          <w:szCs w:val="22"/>
        </w:rPr>
        <w:t xml:space="preserve">As previously noted, it is hard to tell the cause of the unrealized </w:t>
      </w:r>
      <w:r w:rsidR="00032C8F">
        <w:rPr>
          <w:rFonts w:asciiTheme="minorHAnsi" w:hAnsiTheme="minorHAnsi" w:cstheme="minorHAnsi"/>
          <w:sz w:val="22"/>
          <w:szCs w:val="22"/>
        </w:rPr>
        <w:lastRenderedPageBreak/>
        <w:t>decline</w:t>
      </w:r>
      <w:r w:rsidR="003B03BF">
        <w:rPr>
          <w:rFonts w:asciiTheme="minorHAnsi" w:hAnsiTheme="minorHAnsi" w:cstheme="minorHAnsi"/>
          <w:sz w:val="22"/>
          <w:szCs w:val="22"/>
        </w:rPr>
        <w:t xml:space="preserve"> </w:t>
      </w:r>
      <w:r w:rsidR="0015363B">
        <w:rPr>
          <w:rFonts w:asciiTheme="minorHAnsi" w:hAnsiTheme="minorHAnsi" w:cstheme="minorHAnsi"/>
          <w:sz w:val="22"/>
          <w:szCs w:val="22"/>
        </w:rPr>
        <w:t xml:space="preserve">from the information reported. In many instances, the reported </w:t>
      </w:r>
      <w:r w:rsidR="0033374E">
        <w:rPr>
          <w:rFonts w:asciiTheme="minorHAnsi" w:hAnsiTheme="minorHAnsi" w:cstheme="minorHAnsi"/>
          <w:sz w:val="22"/>
          <w:szCs w:val="22"/>
        </w:rPr>
        <w:t xml:space="preserve">year-end </w:t>
      </w:r>
      <w:r w:rsidR="0015363B">
        <w:rPr>
          <w:rFonts w:asciiTheme="minorHAnsi" w:hAnsiTheme="minorHAnsi" w:cstheme="minorHAnsi"/>
          <w:sz w:val="22"/>
          <w:szCs w:val="22"/>
        </w:rPr>
        <w:t xml:space="preserve">BACV </w:t>
      </w:r>
      <w:r w:rsidR="00C51D8A">
        <w:rPr>
          <w:rFonts w:asciiTheme="minorHAnsi" w:hAnsiTheme="minorHAnsi" w:cstheme="minorHAnsi"/>
          <w:sz w:val="22"/>
          <w:szCs w:val="22"/>
        </w:rPr>
        <w:t xml:space="preserve">is greater than original cost (which would indicate an unrealized gain) or the reported BACV is unchanged from acquisition. </w:t>
      </w:r>
      <w:r w:rsidR="00EB0501">
        <w:rPr>
          <w:rFonts w:asciiTheme="minorHAnsi" w:hAnsiTheme="minorHAnsi" w:cstheme="minorHAnsi"/>
          <w:sz w:val="22"/>
          <w:szCs w:val="22"/>
        </w:rPr>
        <w:t xml:space="preserve">Potentially, the </w:t>
      </w:r>
      <w:r w:rsidR="001F1B93">
        <w:rPr>
          <w:rFonts w:asciiTheme="minorHAnsi" w:hAnsiTheme="minorHAnsi" w:cstheme="minorHAnsi"/>
          <w:sz w:val="22"/>
          <w:szCs w:val="22"/>
        </w:rPr>
        <w:t xml:space="preserve">amounts could </w:t>
      </w:r>
      <w:r w:rsidR="009373FE">
        <w:rPr>
          <w:rFonts w:asciiTheme="minorHAnsi" w:hAnsiTheme="minorHAnsi" w:cstheme="minorHAnsi"/>
          <w:sz w:val="22"/>
          <w:szCs w:val="22"/>
        </w:rPr>
        <w:t>reflect</w:t>
      </w:r>
      <w:r w:rsidR="001F1B93">
        <w:rPr>
          <w:rFonts w:asciiTheme="minorHAnsi" w:hAnsiTheme="minorHAnsi" w:cstheme="minorHAnsi"/>
          <w:sz w:val="22"/>
          <w:szCs w:val="22"/>
        </w:rPr>
        <w:t xml:space="preserve"> the amortization of positive goodwill, but NAIC staff does not believe that is </w:t>
      </w:r>
      <w:r w:rsidR="00321FC3">
        <w:rPr>
          <w:rFonts w:asciiTheme="minorHAnsi" w:hAnsiTheme="minorHAnsi" w:cstheme="minorHAnsi"/>
          <w:sz w:val="22"/>
          <w:szCs w:val="22"/>
        </w:rPr>
        <w:t>likely in most instances given the size of the reported unrealized loss</w:t>
      </w:r>
      <w:r w:rsidR="009373FE">
        <w:rPr>
          <w:rFonts w:asciiTheme="minorHAnsi" w:hAnsiTheme="minorHAnsi" w:cstheme="minorHAnsi"/>
          <w:sz w:val="22"/>
          <w:szCs w:val="22"/>
        </w:rPr>
        <w:t xml:space="preserve"> reported in the first year of acquisition. </w:t>
      </w:r>
      <w:r w:rsidR="00CD7798" w:rsidRPr="00CD7798">
        <w:rPr>
          <w:rFonts w:asciiTheme="minorHAnsi" w:hAnsiTheme="minorHAnsi" w:cstheme="minorHAnsi"/>
          <w:sz w:val="22"/>
          <w:szCs w:val="22"/>
          <w:u w:val="single"/>
        </w:rPr>
        <w:t xml:space="preserve">NAIC staff would find industry information beneficial to help explain the cause / calculation </w:t>
      </w:r>
      <w:r w:rsidR="0082547F">
        <w:rPr>
          <w:rFonts w:asciiTheme="minorHAnsi" w:hAnsiTheme="minorHAnsi" w:cstheme="minorHAnsi"/>
          <w:sz w:val="22"/>
          <w:szCs w:val="22"/>
          <w:u w:val="single"/>
        </w:rPr>
        <w:t xml:space="preserve">showing </w:t>
      </w:r>
      <w:r w:rsidR="00CD7798" w:rsidRPr="00CD7798">
        <w:rPr>
          <w:rFonts w:asciiTheme="minorHAnsi" w:hAnsiTheme="minorHAnsi" w:cstheme="minorHAnsi"/>
          <w:sz w:val="22"/>
          <w:szCs w:val="22"/>
          <w:u w:val="single"/>
        </w:rPr>
        <w:t xml:space="preserve">unrealized </w:t>
      </w:r>
      <w:r w:rsidR="00160FB3">
        <w:rPr>
          <w:rFonts w:asciiTheme="minorHAnsi" w:hAnsiTheme="minorHAnsi" w:cstheme="minorHAnsi"/>
          <w:sz w:val="22"/>
          <w:szCs w:val="22"/>
          <w:u w:val="single"/>
        </w:rPr>
        <w:t>valuation declines (</w:t>
      </w:r>
      <w:r w:rsidR="00CD7798" w:rsidRPr="00CD7798">
        <w:rPr>
          <w:rFonts w:asciiTheme="minorHAnsi" w:hAnsiTheme="minorHAnsi" w:cstheme="minorHAnsi"/>
          <w:sz w:val="22"/>
          <w:szCs w:val="22"/>
          <w:u w:val="single"/>
        </w:rPr>
        <w:t>losses</w:t>
      </w:r>
      <w:r w:rsidR="00160FB3">
        <w:rPr>
          <w:rFonts w:asciiTheme="minorHAnsi" w:hAnsiTheme="minorHAnsi" w:cstheme="minorHAnsi"/>
          <w:sz w:val="22"/>
          <w:szCs w:val="22"/>
          <w:u w:val="single"/>
        </w:rPr>
        <w:t>)</w:t>
      </w:r>
      <w:r w:rsidR="00CD7798" w:rsidRPr="00CD7798">
        <w:rPr>
          <w:rFonts w:asciiTheme="minorHAnsi" w:hAnsiTheme="minorHAnsi" w:cstheme="minorHAnsi"/>
          <w:sz w:val="22"/>
          <w:szCs w:val="22"/>
          <w:u w:val="single"/>
        </w:rPr>
        <w:t xml:space="preserve"> on Schedule BA</w:t>
      </w:r>
      <w:r w:rsidR="00243158">
        <w:rPr>
          <w:rFonts w:asciiTheme="minorHAnsi" w:hAnsiTheme="minorHAnsi" w:cstheme="minorHAnsi"/>
          <w:sz w:val="22"/>
          <w:szCs w:val="22"/>
          <w:u w:val="single"/>
        </w:rPr>
        <w:t xml:space="preserve">, particularly </w:t>
      </w:r>
      <w:r w:rsidR="00645407">
        <w:rPr>
          <w:rFonts w:asciiTheme="minorHAnsi" w:hAnsiTheme="minorHAnsi" w:cstheme="minorHAnsi"/>
          <w:sz w:val="22"/>
          <w:szCs w:val="22"/>
          <w:u w:val="single"/>
        </w:rPr>
        <w:t>when the reported</w:t>
      </w:r>
      <w:r w:rsidR="00243158">
        <w:rPr>
          <w:rFonts w:asciiTheme="minorHAnsi" w:hAnsiTheme="minorHAnsi" w:cstheme="minorHAnsi"/>
          <w:sz w:val="22"/>
          <w:szCs w:val="22"/>
          <w:u w:val="single"/>
        </w:rPr>
        <w:t xml:space="preserve"> BACV is greater than the acquisition cost</w:t>
      </w:r>
      <w:r w:rsidR="00CD7798" w:rsidRPr="00CD7798">
        <w:rPr>
          <w:rFonts w:asciiTheme="minorHAnsi" w:hAnsiTheme="minorHAnsi" w:cstheme="minorHAnsi"/>
          <w:sz w:val="22"/>
          <w:szCs w:val="22"/>
          <w:u w:val="single"/>
        </w:rPr>
        <w:t>.</w:t>
      </w:r>
      <w:r w:rsidR="00332DAA">
        <w:rPr>
          <w:rFonts w:asciiTheme="minorHAnsi" w:hAnsiTheme="minorHAnsi" w:cstheme="minorHAnsi"/>
          <w:sz w:val="22"/>
          <w:szCs w:val="22"/>
          <w:u w:val="single"/>
        </w:rPr>
        <w:t xml:space="preserve"> </w:t>
      </w:r>
      <w:r w:rsidR="0055118D" w:rsidRPr="0055118D">
        <w:rPr>
          <w:rFonts w:asciiTheme="minorHAnsi" w:hAnsiTheme="minorHAnsi" w:cstheme="minorHAnsi"/>
          <w:sz w:val="22"/>
          <w:szCs w:val="22"/>
        </w:rPr>
        <w:t xml:space="preserve">For the data reviewed, </w:t>
      </w:r>
      <w:r w:rsidR="00452C6E">
        <w:rPr>
          <w:rFonts w:asciiTheme="minorHAnsi" w:hAnsiTheme="minorHAnsi" w:cstheme="minorHAnsi"/>
          <w:sz w:val="22"/>
          <w:szCs w:val="22"/>
        </w:rPr>
        <w:t>six</w:t>
      </w:r>
      <w:r w:rsidR="0055118D" w:rsidRPr="0055118D">
        <w:rPr>
          <w:rFonts w:asciiTheme="minorHAnsi" w:hAnsiTheme="minorHAnsi" w:cstheme="minorHAnsi"/>
          <w:sz w:val="22"/>
          <w:szCs w:val="22"/>
        </w:rPr>
        <w:t xml:space="preserve"> instances of a current year OTTI were reported on the schedule.</w:t>
      </w:r>
      <w:r w:rsidR="0055118D">
        <w:rPr>
          <w:rFonts w:asciiTheme="minorHAnsi" w:hAnsiTheme="minorHAnsi" w:cstheme="minorHAnsi"/>
          <w:sz w:val="22"/>
          <w:szCs w:val="22"/>
          <w:u w:val="single"/>
        </w:rPr>
        <w:t xml:space="preserve"> </w:t>
      </w:r>
    </w:p>
    <w:p w14:paraId="6105A7F8" w14:textId="77777777" w:rsidR="00A96029" w:rsidRDefault="00A96029" w:rsidP="00327477">
      <w:pPr>
        <w:pStyle w:val="BodyTextIndent"/>
        <w:spacing w:after="0"/>
        <w:ind w:left="0"/>
        <w:jc w:val="both"/>
        <w:rPr>
          <w:rFonts w:asciiTheme="minorHAnsi" w:hAnsiTheme="minorHAnsi" w:cstheme="minorHAnsi"/>
          <w:sz w:val="22"/>
          <w:szCs w:val="22"/>
        </w:rPr>
      </w:pPr>
    </w:p>
    <w:p w14:paraId="7D16CAFE" w14:textId="5EC791E8" w:rsidR="0022198F" w:rsidRDefault="0022198F" w:rsidP="00174352">
      <w:pPr>
        <w:pStyle w:val="BodyTextIndent"/>
        <w:numPr>
          <w:ilvl w:val="0"/>
          <w:numId w:val="13"/>
        </w:numPr>
        <w:spacing w:after="0"/>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SSAP No. 48 </w:t>
      </w:r>
      <w:r w:rsidR="00B3779C">
        <w:rPr>
          <w:rFonts w:asciiTheme="minorHAnsi" w:hAnsiTheme="minorHAnsi" w:cstheme="minorHAnsi"/>
          <w:b/>
          <w:bCs/>
          <w:sz w:val="22"/>
          <w:szCs w:val="22"/>
          <w:u w:val="single"/>
        </w:rPr>
        <w:t>Ownership Percentage and Related Party Codes</w:t>
      </w:r>
    </w:p>
    <w:p w14:paraId="28E03A40" w14:textId="331EA50F" w:rsidR="008B59E7" w:rsidRDefault="00B3779C" w:rsidP="008026DC">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In the review of the </w:t>
      </w:r>
      <w:r w:rsidR="00425D65">
        <w:rPr>
          <w:rFonts w:asciiTheme="minorHAnsi" w:hAnsiTheme="minorHAnsi" w:cstheme="minorHAnsi"/>
          <w:sz w:val="22"/>
          <w:szCs w:val="22"/>
        </w:rPr>
        <w:t xml:space="preserve">2024 data, </w:t>
      </w:r>
      <w:r w:rsidR="00336C26">
        <w:rPr>
          <w:rFonts w:asciiTheme="minorHAnsi" w:hAnsiTheme="minorHAnsi" w:cstheme="minorHAnsi"/>
          <w:sz w:val="22"/>
          <w:szCs w:val="22"/>
        </w:rPr>
        <w:t>NAIC staff noted many instances in which the reporting entity identified a related party code of “6</w:t>
      </w:r>
      <w:r w:rsidR="00002FDA">
        <w:rPr>
          <w:rFonts w:asciiTheme="minorHAnsi" w:hAnsiTheme="minorHAnsi" w:cstheme="minorHAnsi"/>
          <w:sz w:val="22"/>
          <w:szCs w:val="22"/>
        </w:rPr>
        <w:t xml:space="preserve"> – No Related Party Relationship” in situations in which the </w:t>
      </w:r>
      <w:r w:rsidR="00645407">
        <w:rPr>
          <w:rFonts w:asciiTheme="minorHAnsi" w:hAnsiTheme="minorHAnsi" w:cstheme="minorHAnsi"/>
          <w:sz w:val="22"/>
          <w:szCs w:val="22"/>
        </w:rPr>
        <w:t xml:space="preserve">reporting entity’s </w:t>
      </w:r>
      <w:r w:rsidR="00002FDA">
        <w:rPr>
          <w:rFonts w:asciiTheme="minorHAnsi" w:hAnsiTheme="minorHAnsi" w:cstheme="minorHAnsi"/>
          <w:sz w:val="22"/>
          <w:szCs w:val="22"/>
        </w:rPr>
        <w:t xml:space="preserve">percentage of ownership </w:t>
      </w:r>
      <w:r w:rsidR="00645407">
        <w:rPr>
          <w:rFonts w:asciiTheme="minorHAnsi" w:hAnsiTheme="minorHAnsi" w:cstheme="minorHAnsi"/>
          <w:sz w:val="22"/>
          <w:szCs w:val="22"/>
        </w:rPr>
        <w:t xml:space="preserve">of the SSAP No. 48 investment </w:t>
      </w:r>
      <w:r w:rsidR="00002FDA">
        <w:rPr>
          <w:rFonts w:asciiTheme="minorHAnsi" w:hAnsiTheme="minorHAnsi" w:cstheme="minorHAnsi"/>
          <w:sz w:val="22"/>
          <w:szCs w:val="22"/>
        </w:rPr>
        <w:t xml:space="preserve">was greater than 10%. </w:t>
      </w:r>
      <w:r w:rsidR="00EB4303">
        <w:rPr>
          <w:rFonts w:asciiTheme="minorHAnsi" w:hAnsiTheme="minorHAnsi" w:cstheme="minorHAnsi"/>
          <w:sz w:val="22"/>
          <w:szCs w:val="22"/>
        </w:rPr>
        <w:t xml:space="preserve">Of these, there were 19 instances in which the ownership was 100%, </w:t>
      </w:r>
      <w:r w:rsidR="008F0FD8">
        <w:rPr>
          <w:rFonts w:asciiTheme="minorHAnsi" w:hAnsiTheme="minorHAnsi" w:cstheme="minorHAnsi"/>
          <w:sz w:val="22"/>
          <w:szCs w:val="22"/>
        </w:rPr>
        <w:t xml:space="preserve">20 instances where the ownership percentage was between 80-100%, and 31 instances in which the ownership percentage was between 50%-80%. </w:t>
      </w:r>
      <w:r w:rsidR="00D765F6">
        <w:rPr>
          <w:rFonts w:asciiTheme="minorHAnsi" w:hAnsiTheme="minorHAnsi" w:cstheme="minorHAnsi"/>
          <w:sz w:val="22"/>
          <w:szCs w:val="22"/>
        </w:rPr>
        <w:t xml:space="preserve">Under the provisions of SSAP No. 48 for determining “minor” </w:t>
      </w:r>
      <w:r w:rsidR="002C6895">
        <w:rPr>
          <w:rFonts w:asciiTheme="minorHAnsi" w:hAnsiTheme="minorHAnsi" w:cstheme="minorHAnsi"/>
          <w:sz w:val="22"/>
          <w:szCs w:val="22"/>
        </w:rPr>
        <w:t xml:space="preserve">(less than 10% or lacks control) </w:t>
      </w:r>
      <w:r w:rsidR="00D765F6">
        <w:rPr>
          <w:rFonts w:asciiTheme="minorHAnsi" w:hAnsiTheme="minorHAnsi" w:cstheme="minorHAnsi"/>
          <w:sz w:val="22"/>
          <w:szCs w:val="22"/>
        </w:rPr>
        <w:t xml:space="preserve">as well as the SSAP No. 25 </w:t>
      </w:r>
      <w:r w:rsidR="00FA2755">
        <w:rPr>
          <w:rFonts w:asciiTheme="minorHAnsi" w:hAnsiTheme="minorHAnsi" w:cstheme="minorHAnsi"/>
          <w:sz w:val="22"/>
          <w:szCs w:val="22"/>
        </w:rPr>
        <w:t xml:space="preserve">guidance in determining a related party relationship, these </w:t>
      </w:r>
      <w:r w:rsidR="002C6895">
        <w:rPr>
          <w:rFonts w:asciiTheme="minorHAnsi" w:hAnsiTheme="minorHAnsi" w:cstheme="minorHAnsi"/>
          <w:sz w:val="22"/>
          <w:szCs w:val="22"/>
        </w:rPr>
        <w:t xml:space="preserve">investments with more than 10% reporting entity ownership </w:t>
      </w:r>
      <w:r w:rsidR="00E92F96">
        <w:rPr>
          <w:rFonts w:asciiTheme="minorHAnsi" w:hAnsiTheme="minorHAnsi" w:cstheme="minorHAnsi"/>
          <w:sz w:val="22"/>
          <w:szCs w:val="22"/>
        </w:rPr>
        <w:t xml:space="preserve">reflect </w:t>
      </w:r>
      <w:r w:rsidR="002C6895">
        <w:rPr>
          <w:rFonts w:asciiTheme="minorHAnsi" w:hAnsiTheme="minorHAnsi" w:cstheme="minorHAnsi"/>
          <w:sz w:val="22"/>
          <w:szCs w:val="22"/>
        </w:rPr>
        <w:t>a</w:t>
      </w:r>
      <w:r w:rsidR="00E92F96">
        <w:rPr>
          <w:rFonts w:asciiTheme="minorHAnsi" w:hAnsiTheme="minorHAnsi" w:cstheme="minorHAnsi"/>
          <w:sz w:val="22"/>
          <w:szCs w:val="22"/>
        </w:rPr>
        <w:t xml:space="preserve"> related party relationship</w:t>
      </w:r>
      <w:r w:rsidR="00FA2755">
        <w:rPr>
          <w:rFonts w:asciiTheme="minorHAnsi" w:hAnsiTheme="minorHAnsi" w:cstheme="minorHAnsi"/>
          <w:sz w:val="22"/>
          <w:szCs w:val="22"/>
        </w:rPr>
        <w:t xml:space="preserve">. </w:t>
      </w:r>
      <w:r w:rsidR="00DD55F3">
        <w:rPr>
          <w:rFonts w:asciiTheme="minorHAnsi" w:hAnsiTheme="minorHAnsi" w:cstheme="minorHAnsi"/>
          <w:sz w:val="22"/>
          <w:szCs w:val="22"/>
        </w:rPr>
        <w:t xml:space="preserve">Although the criteria may not be met for “control” and affiliation, </w:t>
      </w:r>
      <w:r w:rsidR="00311452">
        <w:rPr>
          <w:rFonts w:asciiTheme="minorHAnsi" w:hAnsiTheme="minorHAnsi" w:cstheme="minorHAnsi"/>
          <w:sz w:val="22"/>
          <w:szCs w:val="22"/>
        </w:rPr>
        <w:t xml:space="preserve">it seems that </w:t>
      </w:r>
      <w:r w:rsidR="008B7E0F">
        <w:rPr>
          <w:rFonts w:asciiTheme="minorHAnsi" w:hAnsiTheme="minorHAnsi" w:cstheme="minorHAnsi"/>
          <w:sz w:val="22"/>
          <w:szCs w:val="22"/>
        </w:rPr>
        <w:t xml:space="preserve">at a minimum, </w:t>
      </w:r>
      <w:r w:rsidR="002C6895">
        <w:rPr>
          <w:rFonts w:asciiTheme="minorHAnsi" w:hAnsiTheme="minorHAnsi" w:cstheme="minorHAnsi"/>
          <w:sz w:val="22"/>
          <w:szCs w:val="22"/>
        </w:rPr>
        <w:t xml:space="preserve">related party </w:t>
      </w:r>
      <w:r w:rsidR="00311452">
        <w:rPr>
          <w:rFonts w:asciiTheme="minorHAnsi" w:hAnsiTheme="minorHAnsi" w:cstheme="minorHAnsi"/>
          <w:sz w:val="22"/>
          <w:szCs w:val="22"/>
        </w:rPr>
        <w:t>code</w:t>
      </w:r>
      <w:r w:rsidR="00BE0D35">
        <w:rPr>
          <w:rFonts w:asciiTheme="minorHAnsi" w:hAnsiTheme="minorHAnsi" w:cstheme="minorHAnsi"/>
          <w:sz w:val="22"/>
          <w:szCs w:val="22"/>
        </w:rPr>
        <w:t>s 2-</w:t>
      </w:r>
      <w:r w:rsidR="005E472C">
        <w:rPr>
          <w:rFonts w:asciiTheme="minorHAnsi" w:hAnsiTheme="minorHAnsi" w:cstheme="minorHAnsi"/>
          <w:sz w:val="22"/>
          <w:szCs w:val="22"/>
        </w:rPr>
        <w:t>5</w:t>
      </w:r>
      <w:r w:rsidR="00BE0D35">
        <w:rPr>
          <w:rFonts w:asciiTheme="minorHAnsi" w:hAnsiTheme="minorHAnsi" w:cstheme="minorHAnsi"/>
          <w:sz w:val="22"/>
          <w:szCs w:val="22"/>
        </w:rPr>
        <w:t xml:space="preserve"> </w:t>
      </w:r>
      <w:r w:rsidR="00AA79F7">
        <w:rPr>
          <w:rFonts w:asciiTheme="minorHAnsi" w:hAnsiTheme="minorHAnsi" w:cstheme="minorHAnsi"/>
          <w:sz w:val="22"/>
          <w:szCs w:val="22"/>
        </w:rPr>
        <w:t xml:space="preserve">(shown below) </w:t>
      </w:r>
      <w:r w:rsidR="00BE0D35">
        <w:rPr>
          <w:rFonts w:asciiTheme="minorHAnsi" w:hAnsiTheme="minorHAnsi" w:cstheme="minorHAnsi"/>
          <w:sz w:val="22"/>
          <w:szCs w:val="22"/>
        </w:rPr>
        <w:t xml:space="preserve">would be applicable based on what is held within the SSAP No. 48 investment: </w:t>
      </w:r>
    </w:p>
    <w:p w14:paraId="00594009" w14:textId="77777777" w:rsidR="00BE0D35" w:rsidRDefault="00BE0D35" w:rsidP="008026DC">
      <w:pPr>
        <w:pStyle w:val="BodyTextIndent"/>
        <w:spacing w:after="0"/>
        <w:ind w:left="0"/>
        <w:jc w:val="both"/>
        <w:rPr>
          <w:rFonts w:asciiTheme="minorHAnsi" w:hAnsiTheme="minorHAnsi" w:cstheme="minorHAnsi"/>
          <w:sz w:val="22"/>
          <w:szCs w:val="22"/>
        </w:rPr>
      </w:pPr>
    </w:p>
    <w:p w14:paraId="70F39BC5" w14:textId="5D09413B" w:rsidR="00844F2F" w:rsidRPr="001B3D84" w:rsidRDefault="00844F2F" w:rsidP="00E00E43">
      <w:pPr>
        <w:pStyle w:val="BodyTextIndent"/>
        <w:numPr>
          <w:ilvl w:val="0"/>
          <w:numId w:val="10"/>
        </w:numPr>
        <w:spacing w:after="0"/>
        <w:jc w:val="both"/>
        <w:rPr>
          <w:rFonts w:asciiTheme="minorHAnsi" w:hAnsiTheme="minorHAnsi" w:cstheme="minorHAnsi"/>
          <w:sz w:val="22"/>
          <w:szCs w:val="22"/>
        </w:rPr>
      </w:pPr>
      <w:r w:rsidRPr="001B3D84">
        <w:rPr>
          <w:rFonts w:asciiTheme="minorHAnsi" w:hAnsiTheme="minorHAnsi" w:cstheme="minorHAnsi"/>
          <w:sz w:val="22"/>
          <w:szCs w:val="22"/>
        </w:rPr>
        <w:t xml:space="preserve">Direct loan or direct investment (excluding securitizations) in a related party, for which the related party represents a direct credit exposure. </w:t>
      </w:r>
    </w:p>
    <w:p w14:paraId="72964EC8" w14:textId="77777777" w:rsidR="00844F2F" w:rsidRPr="001B3D84" w:rsidRDefault="00844F2F" w:rsidP="001B3D84">
      <w:pPr>
        <w:pStyle w:val="BodyTextIndent"/>
        <w:spacing w:after="0"/>
        <w:ind w:left="720"/>
        <w:jc w:val="both"/>
        <w:rPr>
          <w:rFonts w:asciiTheme="minorHAnsi" w:hAnsiTheme="minorHAnsi" w:cstheme="minorHAnsi"/>
          <w:sz w:val="22"/>
          <w:szCs w:val="22"/>
        </w:rPr>
      </w:pPr>
    </w:p>
    <w:p w14:paraId="7BC304A2" w14:textId="1CF43016" w:rsidR="00844F2F" w:rsidRPr="001B3D84" w:rsidRDefault="00844F2F" w:rsidP="00E00E43">
      <w:pPr>
        <w:pStyle w:val="BodyTextIndent"/>
        <w:numPr>
          <w:ilvl w:val="0"/>
          <w:numId w:val="10"/>
        </w:numPr>
        <w:spacing w:after="0"/>
        <w:jc w:val="both"/>
        <w:rPr>
          <w:rFonts w:asciiTheme="minorHAnsi" w:hAnsiTheme="minorHAnsi" w:cstheme="minorHAnsi"/>
          <w:sz w:val="22"/>
          <w:szCs w:val="22"/>
        </w:rPr>
      </w:pPr>
      <w:r w:rsidRPr="001B3D84">
        <w:rPr>
          <w:rFonts w:asciiTheme="minorHAnsi" w:hAnsiTheme="minorHAnsi" w:cstheme="minorHAnsi"/>
          <w:sz w:val="22"/>
          <w:szCs w:val="22"/>
        </w:rPr>
        <w:t xml:space="preserve">Securitization or similar investment vehicles such as mutual funds, limited partnerships and limited liability companies involving a relationship with a related party as sponsor, originator, manager, servicer, or other similar influential role and for which 50% or more of the underlying collateral represents investments in or direct credit exposure to related parties. </w:t>
      </w:r>
    </w:p>
    <w:p w14:paraId="233B6E24" w14:textId="77777777" w:rsidR="00844F2F" w:rsidRPr="001B3D84" w:rsidRDefault="00844F2F" w:rsidP="001B3D84">
      <w:pPr>
        <w:pStyle w:val="BodyTextIndent"/>
        <w:spacing w:after="0"/>
        <w:ind w:left="720"/>
        <w:jc w:val="both"/>
        <w:rPr>
          <w:rFonts w:asciiTheme="minorHAnsi" w:hAnsiTheme="minorHAnsi" w:cstheme="minorHAnsi"/>
          <w:sz w:val="22"/>
          <w:szCs w:val="22"/>
        </w:rPr>
      </w:pPr>
    </w:p>
    <w:p w14:paraId="3F74291B" w14:textId="5EE583D9" w:rsidR="00844F2F" w:rsidRPr="001B3D84" w:rsidRDefault="00844F2F" w:rsidP="00E00E43">
      <w:pPr>
        <w:pStyle w:val="BodyTextIndent"/>
        <w:numPr>
          <w:ilvl w:val="0"/>
          <w:numId w:val="10"/>
        </w:numPr>
        <w:spacing w:after="0"/>
        <w:jc w:val="both"/>
        <w:rPr>
          <w:rFonts w:asciiTheme="minorHAnsi" w:hAnsiTheme="minorHAnsi" w:cstheme="minorHAnsi"/>
          <w:sz w:val="22"/>
          <w:szCs w:val="22"/>
        </w:rPr>
      </w:pPr>
      <w:r w:rsidRPr="001B3D84">
        <w:rPr>
          <w:rFonts w:asciiTheme="minorHAnsi" w:hAnsiTheme="minorHAnsi" w:cstheme="minorHAnsi"/>
          <w:sz w:val="22"/>
          <w:szCs w:val="22"/>
        </w:rPr>
        <w:t xml:space="preserve">Securitization or similar investment vehicles such as mutual funds, limited partnerships and limited liability companies involving a relationship with a related party as sponsor, originator, manager, servicer or other similar influential role and for which less than 50% (including 0%) of the underlying collateral represents investments in or direct credit exposure to related parties. </w:t>
      </w:r>
    </w:p>
    <w:p w14:paraId="1F77E031" w14:textId="77777777" w:rsidR="00844F2F" w:rsidRPr="001B3D84" w:rsidRDefault="00844F2F" w:rsidP="001B3D84">
      <w:pPr>
        <w:pStyle w:val="BodyTextIndent"/>
        <w:spacing w:after="0"/>
        <w:ind w:left="720"/>
        <w:jc w:val="both"/>
        <w:rPr>
          <w:rFonts w:asciiTheme="minorHAnsi" w:hAnsiTheme="minorHAnsi" w:cstheme="minorHAnsi"/>
          <w:sz w:val="22"/>
          <w:szCs w:val="22"/>
        </w:rPr>
      </w:pPr>
    </w:p>
    <w:p w14:paraId="43ADCFDE" w14:textId="25FFFD17" w:rsidR="00844F2F" w:rsidRPr="001B3D84" w:rsidRDefault="00844F2F" w:rsidP="00E00E43">
      <w:pPr>
        <w:pStyle w:val="BodyTextIndent"/>
        <w:numPr>
          <w:ilvl w:val="0"/>
          <w:numId w:val="10"/>
        </w:numPr>
        <w:spacing w:after="0"/>
        <w:jc w:val="both"/>
        <w:rPr>
          <w:rFonts w:asciiTheme="minorHAnsi" w:hAnsiTheme="minorHAnsi" w:cstheme="minorHAnsi"/>
          <w:sz w:val="22"/>
          <w:szCs w:val="22"/>
        </w:rPr>
      </w:pPr>
      <w:r w:rsidRPr="001B3D84">
        <w:rPr>
          <w:rFonts w:asciiTheme="minorHAnsi" w:hAnsiTheme="minorHAnsi" w:cstheme="minorHAnsi"/>
          <w:sz w:val="22"/>
          <w:szCs w:val="22"/>
        </w:rPr>
        <w:t xml:space="preserve">Securitization or similar investment vehicles such as mutual funds, limited partnerships and limited liability companies in which the structure reflects an in-substance related party transaction but does not involve a relationship with a related party as sponsor, originator, manager, servicer or other similar influential role. </w:t>
      </w:r>
    </w:p>
    <w:p w14:paraId="3740755F" w14:textId="77777777" w:rsidR="00844F2F" w:rsidRPr="001B3D84" w:rsidRDefault="00844F2F" w:rsidP="001B3D84">
      <w:pPr>
        <w:pStyle w:val="BodyTextIndent"/>
        <w:spacing w:after="0"/>
        <w:ind w:left="720"/>
        <w:jc w:val="both"/>
        <w:rPr>
          <w:rFonts w:asciiTheme="minorHAnsi" w:hAnsiTheme="minorHAnsi" w:cstheme="minorHAnsi"/>
          <w:sz w:val="22"/>
          <w:szCs w:val="22"/>
        </w:rPr>
      </w:pPr>
    </w:p>
    <w:p w14:paraId="3A384021" w14:textId="689D2C5A" w:rsidR="00844F2F" w:rsidRPr="001B3D84" w:rsidRDefault="00844F2F" w:rsidP="00E00E43">
      <w:pPr>
        <w:pStyle w:val="BodyTextIndent"/>
        <w:numPr>
          <w:ilvl w:val="0"/>
          <w:numId w:val="10"/>
        </w:numPr>
        <w:spacing w:after="0"/>
        <w:jc w:val="both"/>
        <w:rPr>
          <w:rFonts w:asciiTheme="minorHAnsi" w:hAnsiTheme="minorHAnsi" w:cstheme="minorHAnsi"/>
          <w:sz w:val="22"/>
          <w:szCs w:val="22"/>
        </w:rPr>
      </w:pPr>
      <w:r w:rsidRPr="001B3D84">
        <w:rPr>
          <w:rFonts w:asciiTheme="minorHAnsi" w:hAnsiTheme="minorHAnsi" w:cstheme="minorHAnsi"/>
          <w:sz w:val="22"/>
          <w:szCs w:val="22"/>
        </w:rPr>
        <w:t xml:space="preserve">The investment is identified as related party, but the role of the related party represents a different arrangement than the options provided in choices 1-4. </w:t>
      </w:r>
    </w:p>
    <w:p w14:paraId="11945CAD" w14:textId="77777777" w:rsidR="00844F2F" w:rsidRPr="001B3D84" w:rsidRDefault="00844F2F" w:rsidP="001B3D84">
      <w:pPr>
        <w:pStyle w:val="BodyTextIndent"/>
        <w:spacing w:after="0"/>
        <w:ind w:left="720"/>
        <w:jc w:val="both"/>
        <w:rPr>
          <w:rFonts w:asciiTheme="minorHAnsi" w:hAnsiTheme="minorHAnsi" w:cstheme="minorHAnsi"/>
          <w:sz w:val="22"/>
          <w:szCs w:val="22"/>
        </w:rPr>
      </w:pPr>
    </w:p>
    <w:p w14:paraId="5D143E88" w14:textId="70BB6018" w:rsidR="00BE0D35" w:rsidRPr="001B3D84" w:rsidRDefault="00844F2F" w:rsidP="00E00E43">
      <w:pPr>
        <w:pStyle w:val="BodyTextIndent"/>
        <w:numPr>
          <w:ilvl w:val="0"/>
          <w:numId w:val="10"/>
        </w:numPr>
        <w:spacing w:after="0"/>
        <w:jc w:val="both"/>
        <w:rPr>
          <w:rFonts w:asciiTheme="minorHAnsi" w:hAnsiTheme="minorHAnsi" w:cstheme="minorHAnsi"/>
          <w:sz w:val="22"/>
          <w:szCs w:val="22"/>
        </w:rPr>
      </w:pPr>
      <w:r w:rsidRPr="001B3D84">
        <w:rPr>
          <w:rFonts w:asciiTheme="minorHAnsi" w:hAnsiTheme="minorHAnsi" w:cstheme="minorHAnsi"/>
          <w:sz w:val="22"/>
          <w:szCs w:val="22"/>
        </w:rPr>
        <w:t>The investment does not involve a related party.</w:t>
      </w:r>
    </w:p>
    <w:p w14:paraId="2F168E3B" w14:textId="77777777" w:rsidR="00BE0D35" w:rsidRPr="00B3779C" w:rsidRDefault="00BE0D35" w:rsidP="008026DC">
      <w:pPr>
        <w:pStyle w:val="BodyTextIndent"/>
        <w:spacing w:after="0"/>
        <w:ind w:left="0"/>
        <w:jc w:val="both"/>
        <w:rPr>
          <w:rFonts w:asciiTheme="minorHAnsi" w:hAnsiTheme="minorHAnsi" w:cstheme="minorHAnsi"/>
          <w:sz w:val="22"/>
          <w:szCs w:val="22"/>
        </w:rPr>
      </w:pPr>
    </w:p>
    <w:p w14:paraId="1EA88CC4" w14:textId="515FB2DE" w:rsidR="00AC2009" w:rsidRDefault="002B0661" w:rsidP="00AC2009">
      <w:pPr>
        <w:pStyle w:val="BodyTextIndent"/>
        <w:spacing w:after="0"/>
        <w:ind w:left="0"/>
        <w:jc w:val="both"/>
        <w:rPr>
          <w:rFonts w:asciiTheme="minorHAnsi" w:hAnsiTheme="minorHAnsi" w:cstheme="minorHAnsi"/>
          <w:sz w:val="22"/>
          <w:szCs w:val="22"/>
          <w:u w:val="single"/>
        </w:rPr>
      </w:pPr>
      <w:r w:rsidRPr="00CD7798">
        <w:rPr>
          <w:rFonts w:asciiTheme="minorHAnsi" w:hAnsiTheme="minorHAnsi" w:cstheme="minorHAnsi"/>
          <w:sz w:val="22"/>
          <w:szCs w:val="22"/>
          <w:u w:val="single"/>
        </w:rPr>
        <w:t xml:space="preserve">NAIC staff </w:t>
      </w:r>
      <w:r>
        <w:rPr>
          <w:rFonts w:asciiTheme="minorHAnsi" w:hAnsiTheme="minorHAnsi" w:cstheme="minorHAnsi"/>
          <w:sz w:val="22"/>
          <w:szCs w:val="22"/>
          <w:u w:val="single"/>
        </w:rPr>
        <w:t>would welcome feedback from industry on dynamics</w:t>
      </w:r>
      <w:r w:rsidR="00403002">
        <w:rPr>
          <w:rFonts w:asciiTheme="minorHAnsi" w:hAnsiTheme="minorHAnsi" w:cstheme="minorHAnsi"/>
          <w:sz w:val="22"/>
          <w:szCs w:val="22"/>
          <w:u w:val="single"/>
        </w:rPr>
        <w:t xml:space="preserve"> or interpretations that were used to support a related party code of 6</w:t>
      </w:r>
      <w:r w:rsidR="008449B6">
        <w:rPr>
          <w:rFonts w:asciiTheme="minorHAnsi" w:hAnsiTheme="minorHAnsi" w:cstheme="minorHAnsi"/>
          <w:sz w:val="22"/>
          <w:szCs w:val="22"/>
          <w:u w:val="single"/>
        </w:rPr>
        <w:t xml:space="preserve">, particularly when the reporting entity owns the entire, or majority interest, of the investment structure. </w:t>
      </w:r>
    </w:p>
    <w:p w14:paraId="2C2BF1B9" w14:textId="77777777" w:rsidR="008449B6" w:rsidRDefault="008449B6" w:rsidP="00AC2009">
      <w:pPr>
        <w:pStyle w:val="BodyTextIndent"/>
        <w:spacing w:after="0"/>
        <w:ind w:left="0"/>
        <w:jc w:val="both"/>
        <w:rPr>
          <w:rFonts w:asciiTheme="minorHAnsi" w:hAnsiTheme="minorHAnsi" w:cstheme="minorHAnsi"/>
          <w:sz w:val="22"/>
          <w:szCs w:val="22"/>
        </w:rPr>
      </w:pPr>
    </w:p>
    <w:p w14:paraId="50A56175" w14:textId="586EB647" w:rsidR="00BA40D6" w:rsidRPr="00A54018" w:rsidRDefault="002A1316" w:rsidP="00937619">
      <w:pPr>
        <w:rPr>
          <w:rFonts w:asciiTheme="minorHAnsi" w:hAnsiTheme="minorHAnsi" w:cstheme="minorHAnsi"/>
          <w:b/>
          <w:sz w:val="22"/>
          <w:szCs w:val="22"/>
        </w:rPr>
      </w:pPr>
      <w:r w:rsidRPr="00A54018">
        <w:rPr>
          <w:rFonts w:asciiTheme="minorHAnsi" w:hAnsiTheme="minorHAnsi" w:cstheme="minorHAnsi"/>
          <w:b/>
          <w:sz w:val="22"/>
          <w:szCs w:val="22"/>
        </w:rPr>
        <w:t>Existing Authoritative Literature:</w:t>
      </w:r>
      <w:r w:rsidR="00296E66" w:rsidRPr="00A54018">
        <w:rPr>
          <w:rFonts w:asciiTheme="minorHAnsi" w:hAnsiTheme="minorHAnsi" w:cstheme="minorHAnsi"/>
          <w:b/>
          <w:sz w:val="22"/>
          <w:szCs w:val="22"/>
        </w:rPr>
        <w:t xml:space="preserve"> </w:t>
      </w:r>
    </w:p>
    <w:p w14:paraId="702CEB93" w14:textId="77777777" w:rsidR="001D7122" w:rsidRPr="00A54018" w:rsidRDefault="001D7122" w:rsidP="00937619">
      <w:pPr>
        <w:rPr>
          <w:rFonts w:asciiTheme="minorHAnsi" w:hAnsiTheme="minorHAnsi" w:cstheme="minorHAnsi"/>
          <w:b/>
          <w:sz w:val="22"/>
          <w:szCs w:val="22"/>
        </w:rPr>
      </w:pPr>
    </w:p>
    <w:p w14:paraId="1FAF2D2C" w14:textId="07E0F15E" w:rsidR="00AE05FE" w:rsidRPr="00A54018" w:rsidRDefault="00AE05FE" w:rsidP="00785128">
      <w:pPr>
        <w:jc w:val="both"/>
        <w:rPr>
          <w:rFonts w:asciiTheme="minorHAnsi" w:hAnsiTheme="minorHAnsi" w:cstheme="minorHAnsi"/>
          <w:b/>
          <w:sz w:val="22"/>
          <w:szCs w:val="22"/>
          <w:u w:val="single"/>
        </w:rPr>
      </w:pPr>
      <w:r w:rsidRPr="00A54018">
        <w:rPr>
          <w:rFonts w:asciiTheme="minorHAnsi" w:hAnsiTheme="minorHAnsi" w:cstheme="minorHAnsi"/>
          <w:b/>
          <w:sz w:val="22"/>
          <w:szCs w:val="22"/>
          <w:u w:val="single"/>
        </w:rPr>
        <w:t xml:space="preserve">SSAP References: </w:t>
      </w:r>
    </w:p>
    <w:p w14:paraId="4FE65544" w14:textId="77777777" w:rsidR="00137F32" w:rsidRPr="00A54018" w:rsidRDefault="00137F32" w:rsidP="00137F32">
      <w:pPr>
        <w:pStyle w:val="ListParagraph"/>
        <w:rPr>
          <w:rFonts w:asciiTheme="minorHAnsi" w:hAnsiTheme="minorHAnsi" w:cstheme="minorHAnsi"/>
          <w:b/>
          <w:sz w:val="22"/>
          <w:szCs w:val="22"/>
        </w:rPr>
      </w:pPr>
    </w:p>
    <w:p w14:paraId="41E8CC09" w14:textId="6050D343" w:rsidR="001B3BCF" w:rsidRPr="00FD0DBA" w:rsidRDefault="00EB1497" w:rsidP="00E00E43">
      <w:pPr>
        <w:pStyle w:val="ListParagraph"/>
        <w:numPr>
          <w:ilvl w:val="0"/>
          <w:numId w:val="5"/>
        </w:numPr>
        <w:ind w:left="360"/>
        <w:jc w:val="both"/>
        <w:rPr>
          <w:rFonts w:asciiTheme="minorHAnsi" w:hAnsiTheme="minorHAnsi" w:cstheme="minorHAnsi"/>
          <w:b/>
          <w:sz w:val="22"/>
          <w:szCs w:val="22"/>
        </w:rPr>
      </w:pPr>
      <w:r>
        <w:rPr>
          <w:rFonts w:asciiTheme="minorHAnsi" w:hAnsiTheme="minorHAnsi" w:cstheme="minorHAnsi"/>
          <w:b/>
          <w:i/>
          <w:sz w:val="22"/>
          <w:szCs w:val="22"/>
        </w:rPr>
        <w:t>SSAP No. 48</w:t>
      </w:r>
      <w:r w:rsidR="00F47596">
        <w:rPr>
          <w:rFonts w:asciiTheme="minorHAnsi" w:hAnsiTheme="minorHAnsi" w:cstheme="minorHAnsi"/>
          <w:b/>
          <w:i/>
          <w:sz w:val="22"/>
          <w:szCs w:val="22"/>
        </w:rPr>
        <w:t xml:space="preserve">—Joint Ventures, Partnerships and Limited Liability Companies </w:t>
      </w:r>
    </w:p>
    <w:p w14:paraId="0B454E6E" w14:textId="5B3F6EFE" w:rsidR="00FD0DBA" w:rsidRPr="009E2D35" w:rsidRDefault="004B48B8" w:rsidP="00FD0DBA">
      <w:pPr>
        <w:pStyle w:val="ListParagraph"/>
        <w:ind w:left="360"/>
        <w:jc w:val="both"/>
        <w:rPr>
          <w:bCs/>
          <w:iCs/>
          <w:sz w:val="22"/>
          <w:szCs w:val="22"/>
        </w:rPr>
      </w:pPr>
      <w:r w:rsidRPr="009E2D35">
        <w:rPr>
          <w:bCs/>
          <w:iCs/>
          <w:sz w:val="22"/>
          <w:szCs w:val="22"/>
        </w:rPr>
        <w:t xml:space="preserve">Although the entire SSAP may be subject to review, key noted references include: </w:t>
      </w:r>
    </w:p>
    <w:p w14:paraId="5A3A470F" w14:textId="77777777" w:rsidR="00477D7B" w:rsidRPr="009E2D35" w:rsidRDefault="00477D7B" w:rsidP="00FD0DBA">
      <w:pPr>
        <w:pStyle w:val="ListParagraph"/>
        <w:ind w:left="360"/>
        <w:jc w:val="both"/>
        <w:rPr>
          <w:bCs/>
          <w:iCs/>
          <w:sz w:val="22"/>
          <w:szCs w:val="22"/>
        </w:rPr>
      </w:pPr>
    </w:p>
    <w:p w14:paraId="0F1FCAC3" w14:textId="356A2D50" w:rsidR="00477D7B" w:rsidRPr="009E2D35" w:rsidRDefault="00477D7B" w:rsidP="00594431">
      <w:pPr>
        <w:pStyle w:val="ListContinue"/>
        <w:numPr>
          <w:ilvl w:val="0"/>
          <w:numId w:val="10"/>
        </w:numPr>
        <w:rPr>
          <w:szCs w:val="22"/>
        </w:rPr>
      </w:pPr>
      <w:r w:rsidRPr="009E2D35">
        <w:rPr>
          <w:b/>
          <w:bCs/>
          <w:szCs w:val="22"/>
        </w:rPr>
        <w:t>Investments in these ventures, except for joint ventures, partnerships and limited liability companies with a minor ownership interest</w:t>
      </w:r>
      <w:r w:rsidRPr="009E2D35">
        <w:rPr>
          <w:rStyle w:val="FootnoteReference"/>
          <w:b/>
          <w:bCs/>
          <w:szCs w:val="22"/>
        </w:rPr>
        <w:footnoteReference w:id="2"/>
      </w:r>
      <w:r w:rsidRPr="009E2D35">
        <w:rPr>
          <w:b/>
          <w:bCs/>
          <w:szCs w:val="22"/>
        </w:rPr>
        <w:t xml:space="preserve">, shall be reported using an equity method as defined in </w:t>
      </w:r>
      <w:r w:rsidRPr="009E2D35">
        <w:rPr>
          <w:b/>
          <w:bCs/>
          <w:i/>
          <w:iCs/>
          <w:szCs w:val="22"/>
        </w:rPr>
        <w:t>SSAP No. 97—Investments in Subsidiary, Controlled and Affiliated Entities</w:t>
      </w:r>
      <w:r w:rsidRPr="009E2D35">
        <w:rPr>
          <w:b/>
          <w:bCs/>
          <w:szCs w:val="22"/>
        </w:rPr>
        <w:t>, paragraphs 8.b.i. through 8.b.iv.</w:t>
      </w:r>
      <w:r w:rsidRPr="009E2D35">
        <w:rPr>
          <w:szCs w:val="22"/>
        </w:rPr>
        <w:t xml:space="preserve"> </w:t>
      </w:r>
      <w:bookmarkStart w:id="1" w:name="_Hlk532217353"/>
      <w:r w:rsidRPr="009E2D35">
        <w:rPr>
          <w:szCs w:val="22"/>
        </w:rPr>
        <w:t>(The equity method calculation may result with a negative valuation of the investment; therefore, the SSAP No. 97 equity method calculation shall occur regardless of whether the investment is supported by an audit and the reporting entity will nonadmit the investment.) A reporting entity whose shares of losses in a SSAP No. 48 entity exceeds its investment in the SSAP No. 48 entity shall disclose the information required by SSAP No. 97, paragraph 35.a.</w:t>
      </w:r>
      <w:bookmarkEnd w:id="1"/>
    </w:p>
    <w:p w14:paraId="1760779B" w14:textId="047F4828" w:rsidR="00464084" w:rsidRPr="009E2D35" w:rsidRDefault="00464084" w:rsidP="00464084">
      <w:pPr>
        <w:pStyle w:val="ListContinue"/>
        <w:ind w:left="1080"/>
        <w:rPr>
          <w:i/>
          <w:iCs/>
          <w:szCs w:val="22"/>
        </w:rPr>
      </w:pPr>
      <w:r w:rsidRPr="009E2D35">
        <w:rPr>
          <w:i/>
          <w:iCs/>
          <w:szCs w:val="22"/>
        </w:rPr>
        <w:t xml:space="preserve">(Paragraph 8 skipped – addresses a change in fiscal year for the SSAP No. 48 investment.) </w:t>
      </w:r>
    </w:p>
    <w:p w14:paraId="43366B49" w14:textId="147763BF" w:rsidR="00477D7B" w:rsidRPr="009E2D35" w:rsidRDefault="00477D7B" w:rsidP="00464084">
      <w:pPr>
        <w:pStyle w:val="ListContinue"/>
        <w:numPr>
          <w:ilvl w:val="0"/>
          <w:numId w:val="17"/>
        </w:numPr>
        <w:rPr>
          <w:szCs w:val="22"/>
        </w:rPr>
      </w:pPr>
      <w:r w:rsidRPr="009E2D35">
        <w:rPr>
          <w:b/>
          <w:bCs/>
          <w:szCs w:val="22"/>
        </w:rPr>
        <w:t xml:space="preserve">Joint ventures, partnerships and </w:t>
      </w:r>
      <w:r w:rsidRPr="009E2D35">
        <w:rPr>
          <w:b/>
          <w:bCs/>
          <w:iCs/>
          <w:szCs w:val="22"/>
        </w:rPr>
        <w:t>limited liability companies in which the entity has a minor ownership interest (i.e., less than 10%) or lacks control as stipulated in paragraphs 16 and 17, shall be recorded based on the underlying audited U.S. GAAP equity of the investee.</w:t>
      </w:r>
      <w:r w:rsidRPr="009E2D35">
        <w:rPr>
          <w:iCs/>
          <w:szCs w:val="22"/>
        </w:rPr>
        <w:t xml:space="preserve"> The investment shall be nonadmitted if the audited financial statements include substantial doubt about the entity’s ability to continue as a going concern. Additionally, the investment shall be nonadmitted on the basis/contents of the audit opinion as detailed in paragraph 21 of SSAP No. 97.</w:t>
      </w:r>
    </w:p>
    <w:p w14:paraId="4F62CD7B" w14:textId="3B6C4AA6" w:rsidR="005420DD" w:rsidRPr="009E2D35" w:rsidRDefault="005420DD" w:rsidP="005420DD">
      <w:pPr>
        <w:pStyle w:val="ListContinue"/>
        <w:ind w:left="1080"/>
        <w:rPr>
          <w:i/>
          <w:iCs/>
          <w:szCs w:val="22"/>
        </w:rPr>
      </w:pPr>
      <w:r w:rsidRPr="009E2D35">
        <w:rPr>
          <w:i/>
          <w:iCs/>
          <w:szCs w:val="22"/>
        </w:rPr>
        <w:t xml:space="preserve">(Paragraph 10 includes options </w:t>
      </w:r>
      <w:r w:rsidR="00227483" w:rsidRPr="009E2D35">
        <w:rPr>
          <w:i/>
          <w:iCs/>
          <w:szCs w:val="22"/>
        </w:rPr>
        <w:t>for other audited sources of verification if US GAAP audit financials are not available, e.g., audited foreign GAAP,</w:t>
      </w:r>
      <w:r w:rsidR="00B02051" w:rsidRPr="009E2D35">
        <w:rPr>
          <w:i/>
          <w:iCs/>
          <w:szCs w:val="22"/>
        </w:rPr>
        <w:t xml:space="preserve"> audited IFRS, Audited US tax basis. It is not duplicated for brevity.) </w:t>
      </w:r>
    </w:p>
    <w:p w14:paraId="220ED20F" w14:textId="7C8B9AEC" w:rsidR="005420DD" w:rsidRPr="009E2D35" w:rsidRDefault="005420DD" w:rsidP="005420DD">
      <w:pPr>
        <w:pStyle w:val="ListContinue"/>
        <w:numPr>
          <w:ilvl w:val="0"/>
          <w:numId w:val="16"/>
        </w:numPr>
        <w:rPr>
          <w:b/>
          <w:bCs/>
          <w:iCs/>
          <w:szCs w:val="22"/>
        </w:rPr>
      </w:pPr>
      <w:r w:rsidRPr="009E2D35">
        <w:rPr>
          <w:b/>
          <w:bCs/>
          <w:iCs/>
          <w:szCs w:val="22"/>
        </w:rPr>
        <w:t xml:space="preserve">The </w:t>
      </w:r>
      <w:r w:rsidRPr="009E2D35">
        <w:rPr>
          <w:b/>
          <w:bCs/>
          <w:szCs w:val="22"/>
        </w:rPr>
        <w:t>amount</w:t>
      </w:r>
      <w:r w:rsidRPr="009E2D35">
        <w:rPr>
          <w:b/>
          <w:bCs/>
          <w:iCs/>
          <w:szCs w:val="22"/>
        </w:rPr>
        <w:t xml:space="preserve"> to be recorded shall be defined as the initial investment in an investee at cost (as defined in paragraph 3 of </w:t>
      </w:r>
      <w:r w:rsidRPr="009E2D35">
        <w:rPr>
          <w:b/>
          <w:bCs/>
          <w:i/>
          <w:iCs/>
          <w:szCs w:val="22"/>
        </w:rPr>
        <w:t>SSAP No. 68—Business Combinations and Goodwill</w:t>
      </w:r>
      <w:r w:rsidRPr="009E2D35">
        <w:rPr>
          <w:b/>
          <w:bCs/>
          <w:iCs/>
          <w:szCs w:val="22"/>
        </w:rPr>
        <w:t xml:space="preserve">) plus subsequent capital contributions to the investee. The carrying amount of the investment shall be adjusted for the amortization of the basis difference (difference between the cost and the underlying </w:t>
      </w:r>
      <w:r w:rsidRPr="009E2D35">
        <w:rPr>
          <w:b/>
          <w:bCs/>
          <w:szCs w:val="22"/>
        </w:rPr>
        <w:t xml:space="preserve">U.S. </w:t>
      </w:r>
      <w:r w:rsidRPr="009E2D35">
        <w:rPr>
          <w:b/>
          <w:bCs/>
          <w:iCs/>
          <w:szCs w:val="22"/>
        </w:rPr>
        <w:t>GAAP equity), as well as to recognize the reporting entity’s share of: (i) the audited U.S. GAAP basis earnings or losses of the investee after the date of acquisition, adjusted for any distributions received, or (ii) if audited U.S. GAAP basis financial statements of the investee are not available, the earnings or losses of the investee after the date of acquisition, adjusted for any distributions received, based on either one of the valuation methodologies allowed under paragraphs 10.a. or 10.b. A reporting entity’s share of adjustments, excluding changes in capital contributions to the investee, that are recorded directly to the investee’s stockholders’ equity shall also be recorded as adjustments to the carrying value of the investment with an offsetting amount recorded to unrealized capital gains and losses on investments.</w:t>
      </w:r>
    </w:p>
    <w:p w14:paraId="2D9D4FBC" w14:textId="21EE0170" w:rsidR="005420DD" w:rsidRPr="009E2D35" w:rsidRDefault="005420DD" w:rsidP="005420DD">
      <w:pPr>
        <w:pStyle w:val="ListContinue"/>
        <w:numPr>
          <w:ilvl w:val="0"/>
          <w:numId w:val="16"/>
        </w:numPr>
        <w:rPr>
          <w:szCs w:val="22"/>
        </w:rPr>
      </w:pPr>
      <w:r w:rsidRPr="009E2D35">
        <w:rPr>
          <w:b/>
          <w:bCs/>
          <w:szCs w:val="22"/>
        </w:rPr>
        <w:t xml:space="preserve">Entities may recognize their investment in joint ventures, partnerships, and limited liability companies in which the entity has a minor ownership interest based on an unaudited basis for investment determination (i.e., foreign GAAP, IFRS, or tax basis as allowed under paragraph 10) if annual audited information is not complete as of the annual statement filing deadline. The </w:t>
      </w:r>
      <w:r w:rsidRPr="009E2D35">
        <w:rPr>
          <w:b/>
          <w:bCs/>
          <w:szCs w:val="22"/>
        </w:rPr>
        <w:lastRenderedPageBreak/>
        <w:t>recorded investment shall be adjusted for annual audit adjustments, if any, as soon as annual audited information is available.</w:t>
      </w:r>
      <w:r w:rsidRPr="009E2D35">
        <w:rPr>
          <w:szCs w:val="22"/>
        </w:rPr>
        <w:t xml:space="preserve"> If financial statements of an investee are not sufficiently timely for the reporting entity to apply an equity method to the investee’s current results of operations, the reporting entity shall record its share of the earnings or losses of an investee from the most recent available financial statements. A lag in reporting shall be consistent from period to period.</w:t>
      </w:r>
    </w:p>
    <w:p w14:paraId="55F33C35" w14:textId="2A9EBB0D" w:rsidR="00EB1497" w:rsidRPr="009E2D35" w:rsidRDefault="00EB1497" w:rsidP="00E00E43">
      <w:pPr>
        <w:pStyle w:val="ListParagraph"/>
        <w:numPr>
          <w:ilvl w:val="0"/>
          <w:numId w:val="5"/>
        </w:numPr>
        <w:ind w:left="360"/>
        <w:jc w:val="both"/>
        <w:rPr>
          <w:b/>
          <w:bCs/>
          <w:i/>
          <w:iCs/>
          <w:sz w:val="22"/>
          <w:szCs w:val="22"/>
        </w:rPr>
      </w:pPr>
      <w:r w:rsidRPr="009E2D35">
        <w:rPr>
          <w:b/>
          <w:bCs/>
          <w:i/>
          <w:iCs/>
          <w:sz w:val="22"/>
          <w:szCs w:val="22"/>
        </w:rPr>
        <w:t>SSAP No. 68</w:t>
      </w:r>
      <w:r w:rsidR="00EE60E2" w:rsidRPr="009E2D35">
        <w:rPr>
          <w:b/>
          <w:bCs/>
          <w:i/>
          <w:iCs/>
          <w:sz w:val="22"/>
          <w:szCs w:val="22"/>
        </w:rPr>
        <w:t>—Business Combinations and Goodwill</w:t>
      </w:r>
    </w:p>
    <w:p w14:paraId="2EB5EDBD" w14:textId="77777777" w:rsidR="002B249B" w:rsidRPr="009E2D35" w:rsidRDefault="002B249B" w:rsidP="002B249B">
      <w:pPr>
        <w:pStyle w:val="ListParagraph"/>
        <w:ind w:left="360"/>
        <w:jc w:val="both"/>
        <w:rPr>
          <w:b/>
          <w:bCs/>
          <w:i/>
          <w:iCs/>
          <w:sz w:val="22"/>
          <w:szCs w:val="22"/>
        </w:rPr>
      </w:pPr>
    </w:p>
    <w:p w14:paraId="79856D44" w14:textId="33DD43D9" w:rsidR="002B249B" w:rsidRPr="009E2D35" w:rsidRDefault="002B249B" w:rsidP="002B249B">
      <w:pPr>
        <w:pStyle w:val="ListContinue"/>
        <w:numPr>
          <w:ilvl w:val="0"/>
          <w:numId w:val="18"/>
        </w:numPr>
        <w:rPr>
          <w:szCs w:val="22"/>
        </w:rPr>
      </w:pPr>
      <w:r w:rsidRPr="009E2D35">
        <w:rPr>
          <w:szCs w:val="22"/>
        </w:rPr>
        <w:t xml:space="preserve">This statement establishes statutory accounting principles for business combinations. It addresses: (a) accounting for purchases of subsidiary, controlled and affiliated (SCA) investments (defined in </w:t>
      </w:r>
      <w:r w:rsidRPr="009E2D35">
        <w:rPr>
          <w:i/>
          <w:iCs/>
          <w:szCs w:val="22"/>
        </w:rPr>
        <w:t>SSAP No. 97—Investments in Subsidiary, Controlled and Affiliated Entities</w:t>
      </w:r>
      <w:r w:rsidRPr="009E2D35">
        <w:rPr>
          <w:szCs w:val="22"/>
        </w:rPr>
        <w:t>); (</w:t>
      </w:r>
      <w:r w:rsidRPr="009E2D35">
        <w:rPr>
          <w:b/>
          <w:bCs/>
          <w:szCs w:val="22"/>
        </w:rPr>
        <w:t xml:space="preserve">b) accounting for purchases of partnerships, joint ventures, and limited liability companies (defined in </w:t>
      </w:r>
      <w:r w:rsidRPr="009E2D35">
        <w:rPr>
          <w:b/>
          <w:bCs/>
          <w:i/>
          <w:szCs w:val="22"/>
        </w:rPr>
        <w:t>SSAP No. 48—Joint Ventures, Partnerships and Limited Liability Companies</w:t>
      </w:r>
      <w:r w:rsidRPr="009E2D35">
        <w:rPr>
          <w:b/>
          <w:bCs/>
          <w:szCs w:val="22"/>
        </w:rPr>
        <w:t>);</w:t>
      </w:r>
      <w:r w:rsidRPr="009E2D35">
        <w:rPr>
          <w:szCs w:val="22"/>
        </w:rPr>
        <w:t xml:space="preserve"> (c) accounting for goodwill; and (d) accounting for mergers. This statement does not include guidance for stock of an affiliated company received as a capital contribution, rather than through a purchase. Stock received as a capital contribution is addressed by </w:t>
      </w:r>
      <w:r w:rsidRPr="009E2D35">
        <w:rPr>
          <w:i/>
          <w:iCs/>
          <w:szCs w:val="22"/>
        </w:rPr>
        <w:t>SSAP No. 25—</w:t>
      </w:r>
      <w:r w:rsidRPr="009E2D35">
        <w:rPr>
          <w:i/>
          <w:szCs w:val="22"/>
        </w:rPr>
        <w:t>Affiliates and Other Related Parties</w:t>
      </w:r>
      <w:r w:rsidRPr="009E2D35">
        <w:rPr>
          <w:szCs w:val="22"/>
        </w:rPr>
        <w:t>,</w:t>
      </w:r>
      <w:r w:rsidRPr="009E2D35">
        <w:rPr>
          <w:i/>
          <w:szCs w:val="22"/>
        </w:rPr>
        <w:t xml:space="preserve"> </w:t>
      </w:r>
      <w:r w:rsidRPr="009E2D35">
        <w:rPr>
          <w:i/>
          <w:iCs/>
          <w:szCs w:val="22"/>
        </w:rPr>
        <w:t>SSAP No. 95—Nonmonetary Transactions</w:t>
      </w:r>
      <w:r w:rsidRPr="009E2D35">
        <w:rPr>
          <w:iCs/>
          <w:szCs w:val="22"/>
        </w:rPr>
        <w:t>,</w:t>
      </w:r>
      <w:r w:rsidRPr="009E2D35">
        <w:rPr>
          <w:i/>
          <w:iCs/>
          <w:szCs w:val="22"/>
        </w:rPr>
        <w:t xml:space="preserve"> </w:t>
      </w:r>
      <w:r w:rsidRPr="009E2D35">
        <w:rPr>
          <w:iCs/>
          <w:szCs w:val="22"/>
        </w:rPr>
        <w:t xml:space="preserve">or </w:t>
      </w:r>
      <w:r w:rsidRPr="009E2D35">
        <w:rPr>
          <w:szCs w:val="22"/>
        </w:rPr>
        <w:t>SSAP No. 97</w:t>
      </w:r>
      <w:r w:rsidRPr="009E2D35">
        <w:rPr>
          <w:i/>
          <w:szCs w:val="22"/>
        </w:rPr>
        <w:t xml:space="preserve">, </w:t>
      </w:r>
      <w:r w:rsidRPr="009E2D35">
        <w:rPr>
          <w:szCs w:val="22"/>
        </w:rPr>
        <w:t>based on the details of each transaction</w:t>
      </w:r>
      <w:r w:rsidRPr="009E2D35">
        <w:rPr>
          <w:i/>
          <w:szCs w:val="22"/>
        </w:rPr>
        <w:t>.</w:t>
      </w:r>
      <w:r w:rsidRPr="009E2D35">
        <w:rPr>
          <w:szCs w:val="22"/>
        </w:rPr>
        <w:t xml:space="preserve"> The statutory purchase method within </w:t>
      </w:r>
      <w:r w:rsidRPr="009E2D35">
        <w:rPr>
          <w:iCs/>
          <w:szCs w:val="22"/>
        </w:rPr>
        <w:t>this statement</w:t>
      </w:r>
      <w:r w:rsidRPr="009E2D35">
        <w:rPr>
          <w:szCs w:val="22"/>
        </w:rPr>
        <w:t xml:space="preserve"> is not applicable for stock received as a capital contribution.</w:t>
      </w:r>
    </w:p>
    <w:p w14:paraId="302416D2" w14:textId="77777777" w:rsidR="00573CA7" w:rsidRPr="009E2D35" w:rsidRDefault="00573CA7" w:rsidP="009E2D35">
      <w:pPr>
        <w:pStyle w:val="Heading3"/>
        <w:ind w:left="720"/>
        <w:rPr>
          <w:rFonts w:ascii="Times New Roman" w:hAnsi="Times New Roman" w:cs="Times New Roman"/>
          <w:sz w:val="22"/>
          <w:szCs w:val="22"/>
        </w:rPr>
      </w:pPr>
      <w:bookmarkStart w:id="2" w:name="_Toc187410526"/>
      <w:r w:rsidRPr="009E2D35">
        <w:rPr>
          <w:rFonts w:ascii="Times New Roman" w:hAnsi="Times New Roman" w:cs="Times New Roman"/>
          <w:sz w:val="22"/>
          <w:szCs w:val="22"/>
        </w:rPr>
        <w:t>Statutory Purchases of SCA Investments</w:t>
      </w:r>
      <w:bookmarkEnd w:id="2"/>
    </w:p>
    <w:p w14:paraId="738C36F3" w14:textId="3397E3B3" w:rsidR="00573CA7" w:rsidRPr="009E2D35" w:rsidRDefault="00573CA7" w:rsidP="00573CA7">
      <w:pPr>
        <w:pStyle w:val="ListContinue"/>
        <w:numPr>
          <w:ilvl w:val="0"/>
          <w:numId w:val="19"/>
        </w:numPr>
        <w:rPr>
          <w:szCs w:val="22"/>
        </w:rPr>
      </w:pPr>
      <w:r w:rsidRPr="009E2D35">
        <w:rPr>
          <w:szCs w:val="22"/>
        </w:rPr>
        <w:t>The statutory purchase method of accounting is defined as accounting for a business combination as the acquisition of one entity by another. It shall be used for all purchases of SCA entities including partnerships, joint ventures, and limited liability companies. The acquiring reporting entity shall record its investment at cost. Cost is defined as the sum of: (a) any cash payment, (b) the fair value of other assets distributed, (c) the fair value of any liabilities assumed, and (d) any direct costs of the acquisition.</w:t>
      </w:r>
      <w:r w:rsidRPr="009E2D35">
        <w:rPr>
          <w:szCs w:val="22"/>
          <w:vertAlign w:val="superscript"/>
        </w:rPr>
        <w:t>(INT 00-28)</w:t>
      </w:r>
      <w:r w:rsidRPr="009E2D35">
        <w:rPr>
          <w:szCs w:val="22"/>
        </w:rPr>
        <w:t xml:space="preserve"> Contingent consideration issued in a purchase business combination that is embedded in a security or that is in the form of a separate financial instrument shall be recorded by the issuer at fair value at the acquisition date.</w:t>
      </w:r>
    </w:p>
    <w:p w14:paraId="6524FF1D" w14:textId="25B82EE8" w:rsidR="00573CA7" w:rsidRPr="009E2D35" w:rsidRDefault="00573CA7" w:rsidP="00573CA7">
      <w:pPr>
        <w:pStyle w:val="ListContinue"/>
        <w:numPr>
          <w:ilvl w:val="0"/>
          <w:numId w:val="19"/>
        </w:numPr>
        <w:rPr>
          <w:szCs w:val="22"/>
        </w:rPr>
      </w:pPr>
      <w:r w:rsidRPr="009E2D35">
        <w:rPr>
          <w:b/>
          <w:bCs/>
          <w:szCs w:val="22"/>
        </w:rPr>
        <w:t xml:space="preserve">For those acquired SCA entities </w:t>
      </w:r>
      <w:r w:rsidRPr="009E2D35">
        <w:rPr>
          <w:b/>
          <w:bCs/>
          <w:snapToGrid w:val="0"/>
          <w:szCs w:val="22"/>
          <w:lang w:val="en-GB"/>
        </w:rPr>
        <w:t xml:space="preserve">accounted for in accordance with paragraphs 8.b.i., 8.b.ii., 8.b.iii. or </w:t>
      </w:r>
      <w:proofErr w:type="gramStart"/>
      <w:r w:rsidRPr="009E2D35">
        <w:rPr>
          <w:b/>
          <w:bCs/>
          <w:snapToGrid w:val="0"/>
          <w:szCs w:val="22"/>
          <w:lang w:val="en-GB"/>
        </w:rPr>
        <w:t>8</w:t>
      </w:r>
      <w:proofErr w:type="gramEnd"/>
      <w:r w:rsidRPr="009E2D35">
        <w:rPr>
          <w:b/>
          <w:bCs/>
          <w:snapToGrid w:val="0"/>
          <w:szCs w:val="22"/>
          <w:lang w:val="en-GB"/>
        </w:rPr>
        <w:t>.b.</w:t>
      </w:r>
      <w:r w:rsidR="002B673F">
        <w:rPr>
          <w:b/>
          <w:bCs/>
          <w:snapToGrid w:val="0"/>
          <w:szCs w:val="22"/>
          <w:lang w:val="en-GB"/>
        </w:rPr>
        <w:t xml:space="preserve"> </w:t>
      </w:r>
      <w:r w:rsidRPr="009E2D35">
        <w:rPr>
          <w:b/>
          <w:bCs/>
          <w:snapToGrid w:val="0"/>
          <w:szCs w:val="22"/>
          <w:lang w:val="en-GB"/>
        </w:rPr>
        <w:t>iv. of SSAP No. 97, and joint venture, partnership or limited liability company entities accounted for in accordance with paragraph 9 of SSAP No. 48, goodwill is defined as the difference between the cost of acquiring the entity and the reporting entity’s share of the book value of the acquired entity.  When the cost of the acquired entity is greater than the reporting entity’s share of the book value, positive goodwill exists</w:t>
      </w:r>
      <w:r w:rsidR="00EB6F01" w:rsidRPr="009E2D35">
        <w:rPr>
          <w:b/>
          <w:bCs/>
          <w:snapToGrid w:val="0"/>
          <w:szCs w:val="22"/>
          <w:lang w:val="en-GB"/>
        </w:rPr>
        <w:t xml:space="preserve">. </w:t>
      </w:r>
      <w:r w:rsidRPr="009E2D35">
        <w:rPr>
          <w:b/>
          <w:bCs/>
          <w:snapToGrid w:val="0"/>
          <w:szCs w:val="22"/>
          <w:lang w:val="en-GB"/>
        </w:rPr>
        <w:t>When the cost of the acquired entity is less than the reporting entity’s share of the book value, negative goodwill exists.</w:t>
      </w:r>
      <w:r w:rsidRPr="009E2D35">
        <w:rPr>
          <w:snapToGrid w:val="0"/>
          <w:szCs w:val="22"/>
          <w:lang w:val="en-GB"/>
        </w:rPr>
        <w:t xml:space="preserve"> Goodwill resulting from assumption reinsurance shall </w:t>
      </w:r>
      <w:proofErr w:type="gramStart"/>
      <w:r w:rsidRPr="009E2D35">
        <w:rPr>
          <w:snapToGrid w:val="0"/>
          <w:szCs w:val="22"/>
          <w:lang w:val="en-GB"/>
        </w:rPr>
        <w:t>be recorded</w:t>
      </w:r>
      <w:proofErr w:type="gramEnd"/>
      <w:r w:rsidRPr="009E2D35">
        <w:rPr>
          <w:snapToGrid w:val="0"/>
          <w:szCs w:val="22"/>
          <w:lang w:val="en-GB"/>
        </w:rPr>
        <w:t xml:space="preserve"> as a separate write-in for other-than-invested assets. All other goodwill shall </w:t>
      </w:r>
      <w:proofErr w:type="gramStart"/>
      <w:r w:rsidRPr="009E2D35">
        <w:rPr>
          <w:snapToGrid w:val="0"/>
          <w:szCs w:val="22"/>
          <w:lang w:val="en-GB"/>
        </w:rPr>
        <w:t>be reported</w:t>
      </w:r>
      <w:proofErr w:type="gramEnd"/>
      <w:r w:rsidRPr="009E2D35">
        <w:rPr>
          <w:snapToGrid w:val="0"/>
          <w:szCs w:val="22"/>
          <w:lang w:val="en-GB"/>
        </w:rPr>
        <w:t xml:space="preserve"> in the carrying value of the investment.</w:t>
      </w:r>
    </w:p>
    <w:p w14:paraId="37480C6F" w14:textId="692D84C5" w:rsidR="00602468" w:rsidRPr="009E2D35" w:rsidRDefault="00602468" w:rsidP="00602468">
      <w:pPr>
        <w:pStyle w:val="ListContinue"/>
        <w:numPr>
          <w:ilvl w:val="0"/>
          <w:numId w:val="20"/>
        </w:numPr>
        <w:rPr>
          <w:szCs w:val="22"/>
        </w:rPr>
      </w:pPr>
      <w:r w:rsidRPr="009E2D35">
        <w:rPr>
          <w:szCs w:val="22"/>
        </w:rPr>
        <w:t>Positive goodwill recorded under the statutory purchase method of accounting shall be admitted subject to the following limitation: Positive goodwill from all sources, including life, accident and health, and deposit-type assumption reinsurance and goodwill resulting from the acquisition of an SCA by the insurance reporting entity that is reported on the SCA’s financial statements (resulting from the application of pushdown accounting), is limited in the aggregate to 10% of the acquiring</w:t>
      </w:r>
      <w:r w:rsidRPr="009E2D35">
        <w:rPr>
          <w:rStyle w:val="FootnoteReference"/>
          <w:szCs w:val="22"/>
        </w:rPr>
        <w:footnoteReference w:id="3"/>
      </w:r>
      <w:r w:rsidRPr="009E2D35">
        <w:rPr>
          <w:szCs w:val="22"/>
        </w:rPr>
        <w:t xml:space="preserve"> entity’s capital and surplus as required to be shown on the statutory balance sheet of the reporting entity for its most recently filed statement with the domiciliary state commissioner adjusted to exclude any net positive goodwill, EDP equipment and operating system software, and net deferred tax</w:t>
      </w:r>
      <w:r w:rsidRPr="009E2D35">
        <w:rPr>
          <w:szCs w:val="22"/>
          <w14:shadow w14:blurRad="50800" w14:dist="38100" w14:dir="2700000" w14:sx="100000" w14:sy="100000" w14:kx="0" w14:ky="0" w14:algn="tl">
            <w14:srgbClr w14:val="000000">
              <w14:alpha w14:val="60000"/>
            </w14:srgbClr>
          </w14:shadow>
        </w:rPr>
        <w:t xml:space="preserve"> </w:t>
      </w:r>
      <w:r w:rsidRPr="009E2D35">
        <w:rPr>
          <w:szCs w:val="22"/>
        </w:rPr>
        <w:t xml:space="preserve">assets. Additionally, all positive goodwill </w:t>
      </w:r>
      <w:r w:rsidRPr="009E2D35">
        <w:rPr>
          <w:szCs w:val="22"/>
        </w:rPr>
        <w:lastRenderedPageBreak/>
        <w:t>shall be nonadmitted when the underlying investment in the SCA or partnership, joint venture and limited liability company is nonadmitted</w:t>
      </w:r>
      <w:r w:rsidRPr="009E2D35">
        <w:rPr>
          <w:rStyle w:val="FootnoteReference"/>
          <w:szCs w:val="22"/>
        </w:rPr>
        <w:footnoteReference w:id="4"/>
      </w:r>
      <w:r w:rsidRPr="009E2D35">
        <w:rPr>
          <w:szCs w:val="22"/>
        </w:rPr>
        <w:t>. When negative goodwill exists, it shall be recorded as a contra-asset.</w:t>
      </w:r>
    </w:p>
    <w:p w14:paraId="6211D4CA" w14:textId="0DB14275" w:rsidR="00602468" w:rsidRPr="009E2D35" w:rsidRDefault="00602468" w:rsidP="00602468">
      <w:pPr>
        <w:pStyle w:val="ListContinue"/>
        <w:numPr>
          <w:ilvl w:val="0"/>
          <w:numId w:val="20"/>
        </w:numPr>
        <w:rPr>
          <w:szCs w:val="22"/>
        </w:rPr>
      </w:pPr>
      <w:r w:rsidRPr="009E2D35">
        <w:rPr>
          <w:b/>
          <w:bCs/>
          <w:szCs w:val="22"/>
        </w:rPr>
        <w:t>Positive or negative goodwill resulting from the purchase of an SCA, joint venture, partnership or limited liability company shall be amortized to unrealized capital gains and losses on investments over the period in which the acquiring entity benefits economically, not to exceed 10 years.</w:t>
      </w:r>
      <w:r w:rsidRPr="009E2D35">
        <w:rPr>
          <w:szCs w:val="22"/>
        </w:rPr>
        <w:t xml:space="preserve"> Positive or negative goodwill resulting from life, accident and health, and deposit-type assumption reinsurance shall be amortized to operations as a component of general insurance expenses over the period in which the assuming entity benefits economically, not to exceed 10 years. Goodwill shall be evaluated separately for each transaction.</w:t>
      </w:r>
      <w:r w:rsidRPr="009E2D35">
        <w:rPr>
          <w:szCs w:val="22"/>
          <w:vertAlign w:val="superscript"/>
        </w:rPr>
        <w:t>(INT 01-18)</w:t>
      </w:r>
    </w:p>
    <w:p w14:paraId="340E1CC3" w14:textId="11E6A179" w:rsidR="00FF1DF6" w:rsidRPr="009E2D35" w:rsidRDefault="00FF1DF6" w:rsidP="00FF1DF6">
      <w:pPr>
        <w:pStyle w:val="ListParagraph"/>
        <w:numPr>
          <w:ilvl w:val="0"/>
          <w:numId w:val="5"/>
        </w:numPr>
        <w:ind w:left="360"/>
        <w:jc w:val="both"/>
        <w:rPr>
          <w:b/>
          <w:bCs/>
          <w:i/>
          <w:iCs/>
          <w:sz w:val="22"/>
          <w:szCs w:val="22"/>
        </w:rPr>
      </w:pPr>
      <w:r w:rsidRPr="009E2D35">
        <w:rPr>
          <w:b/>
          <w:bCs/>
          <w:i/>
          <w:iCs/>
          <w:sz w:val="22"/>
          <w:szCs w:val="22"/>
        </w:rPr>
        <w:t>SSAP No. 97—Investments in Subsidiary, Controlled and Affiliated Entities</w:t>
      </w:r>
    </w:p>
    <w:p w14:paraId="7B059C50" w14:textId="77777777" w:rsidR="00FF1DF6" w:rsidRPr="009E2D35" w:rsidRDefault="00FF1DF6" w:rsidP="00FF1DF6">
      <w:pPr>
        <w:jc w:val="both"/>
        <w:rPr>
          <w:b/>
          <w:bCs/>
          <w:i/>
          <w:iCs/>
          <w:sz w:val="22"/>
          <w:szCs w:val="22"/>
        </w:rPr>
      </w:pPr>
    </w:p>
    <w:p w14:paraId="1C324743" w14:textId="371EDEAA" w:rsidR="00073DD3" w:rsidRPr="009E2D35" w:rsidRDefault="00073DD3" w:rsidP="00073DD3">
      <w:pPr>
        <w:pStyle w:val="ListNumber"/>
        <w:numPr>
          <w:ilvl w:val="0"/>
          <w:numId w:val="23"/>
        </w:numPr>
        <w:spacing w:after="220"/>
        <w:jc w:val="both"/>
        <w:rPr>
          <w:sz w:val="22"/>
          <w:szCs w:val="22"/>
        </w:rPr>
      </w:pPr>
      <w:r w:rsidRPr="009E2D35">
        <w:rPr>
          <w:sz w:val="22"/>
          <w:szCs w:val="22"/>
        </w:rPr>
        <w:t>For investments in entities recorded on an equity method (paragraph 8.b.i. through 8.b.iv.), the amount to be recorded at acquisition shall be defined as the initial investment in an investee at cost as defined in SSAP No. 68, paragraph 3, adjusted to exclude any investments in an investee’s preferred stock and/or surplus notes</w:t>
      </w:r>
      <w:r w:rsidRPr="009E2D35">
        <w:rPr>
          <w:rStyle w:val="FootnoteReference"/>
          <w:sz w:val="22"/>
          <w:szCs w:val="22"/>
        </w:rPr>
        <w:footnoteReference w:id="5"/>
      </w:r>
      <w:r w:rsidRPr="009E2D35">
        <w:rPr>
          <w:sz w:val="22"/>
          <w:szCs w:val="22"/>
        </w:rPr>
        <w:t>. This guidance shall be followed for initial investments as well as subsequent investments in the investee.</w:t>
      </w:r>
    </w:p>
    <w:p w14:paraId="4FE49687" w14:textId="6503DAF4" w:rsidR="00073DD3" w:rsidRPr="009E2D35" w:rsidRDefault="00073DD3" w:rsidP="00073DD3">
      <w:pPr>
        <w:pStyle w:val="ListNumber"/>
        <w:numPr>
          <w:ilvl w:val="0"/>
          <w:numId w:val="23"/>
        </w:numPr>
        <w:spacing w:after="220"/>
        <w:jc w:val="both"/>
        <w:rPr>
          <w:sz w:val="22"/>
          <w:szCs w:val="22"/>
        </w:rPr>
      </w:pPr>
      <w:r w:rsidRPr="009E2D35">
        <w:rPr>
          <w:b/>
          <w:bCs/>
          <w:sz w:val="22"/>
          <w:szCs w:val="22"/>
        </w:rPr>
        <w:t>For investments in entities recorded on an equity method (paragraph 8.b.i. through 8.b.iv.) after the date of acquisition, the investment amount shall be 1) adjusted for the amortization of statutory goodwill as defined in SSAP No. 68, and 2) adjusted, with a corresponding unrealized gain or loss, for the reporting entity’s share of undistributed earnings and losses of the investee (net of dividends declared</w:t>
      </w:r>
      <w:r w:rsidRPr="009E2D35">
        <w:rPr>
          <w:b/>
          <w:bCs/>
          <w:sz w:val="22"/>
          <w:szCs w:val="22"/>
          <w:vertAlign w:val="superscript"/>
        </w:rPr>
        <w:footnoteReference w:id="6"/>
      </w:r>
      <w:r w:rsidRPr="009E2D35">
        <w:rPr>
          <w:b/>
          <w:bCs/>
          <w:sz w:val="22"/>
          <w:szCs w:val="22"/>
        </w:rPr>
        <w:t>).</w:t>
      </w:r>
      <w:r w:rsidRPr="009E2D35">
        <w:rPr>
          <w:sz w:val="22"/>
          <w:szCs w:val="22"/>
        </w:rPr>
        <w:t xml:space="preserve"> (This results in a reduction of the investment amount when dividends declared are </w:t>
      </w:r>
      <w:proofErr w:type="gramStart"/>
      <w:r w:rsidRPr="009E2D35">
        <w:rPr>
          <w:sz w:val="22"/>
          <w:szCs w:val="22"/>
        </w:rPr>
        <w:t>in excess of</w:t>
      </w:r>
      <w:proofErr w:type="gramEnd"/>
      <w:r w:rsidRPr="009E2D35">
        <w:rPr>
          <w:sz w:val="22"/>
          <w:szCs w:val="22"/>
        </w:rPr>
        <w:t xml:space="preserve"> the undistributed accumulated earnings attributable to the investee.) The following additional adjustment, based on the equity method applied for the investment, shall also be made:</w:t>
      </w:r>
    </w:p>
    <w:p w14:paraId="0F6F93EF" w14:textId="77777777" w:rsidR="00073DD3" w:rsidRPr="009E2D35" w:rsidRDefault="00073DD3" w:rsidP="00073DD3">
      <w:pPr>
        <w:pStyle w:val="ListNumber"/>
        <w:numPr>
          <w:ilvl w:val="0"/>
          <w:numId w:val="22"/>
        </w:numPr>
        <w:spacing w:after="220"/>
        <w:ind w:left="1440" w:hanging="720"/>
        <w:jc w:val="both"/>
        <w:rPr>
          <w:sz w:val="22"/>
          <w:szCs w:val="22"/>
        </w:rPr>
      </w:pPr>
      <w:r w:rsidRPr="009E2D35">
        <w:rPr>
          <w:sz w:val="22"/>
          <w:szCs w:val="22"/>
        </w:rPr>
        <w:t xml:space="preserve">For investments in scope of paragraph 8.b.i. (based on audited statutory equity) the investment amount shall be adjusted for the reporting entity’s share of the change in special surplus funds, other than special surplus funds and unassigned funds (surplus), as defined in </w:t>
      </w:r>
      <w:r w:rsidRPr="009E2D35">
        <w:rPr>
          <w:i/>
          <w:iCs/>
          <w:sz w:val="22"/>
          <w:szCs w:val="22"/>
        </w:rPr>
        <w:t>SSAP No. 72</w:t>
      </w:r>
      <w:r w:rsidRPr="009E2D35">
        <w:rPr>
          <w:sz w:val="22"/>
          <w:szCs w:val="22"/>
        </w:rPr>
        <w:t>—</w:t>
      </w:r>
      <w:r w:rsidRPr="009E2D35">
        <w:rPr>
          <w:i/>
          <w:sz w:val="22"/>
          <w:szCs w:val="22"/>
        </w:rPr>
        <w:t>Surplus and Quasi-Reorganizations</w:t>
      </w:r>
      <w:r w:rsidRPr="009E2D35">
        <w:rPr>
          <w:sz w:val="22"/>
          <w:szCs w:val="22"/>
        </w:rPr>
        <w:t>. Additionally, the investment amount shall be adjusted, with a corresponding unrealized gain or loss, for the reporting entity’s share of other changes in the investee's surplus (e.g., the change in the investee’s nonadmitted assets);</w:t>
      </w:r>
    </w:p>
    <w:p w14:paraId="468AF7F6" w14:textId="77777777" w:rsidR="00073DD3" w:rsidRPr="007F2E09" w:rsidRDefault="00073DD3" w:rsidP="00073DD3">
      <w:pPr>
        <w:pStyle w:val="ListNumber"/>
        <w:numPr>
          <w:ilvl w:val="0"/>
          <w:numId w:val="22"/>
        </w:numPr>
        <w:spacing w:after="220"/>
        <w:ind w:left="1440" w:hanging="720"/>
        <w:jc w:val="both"/>
      </w:pPr>
      <w:r w:rsidRPr="009E2D35">
        <w:rPr>
          <w:sz w:val="22"/>
          <w:szCs w:val="22"/>
        </w:rPr>
        <w:t>For investments in scope of paragraphs 8.b.ii., 8.b.iii. and 8.b.iv. (underlying audited GAAP equity), the investment amount shall be adjusted for the reporting entity’s share of adjustments recorded directly to the investee’s stockholder’s equity under GAAP, with a corresponding entry to unrealized gain or loss. For investments in scope of paragraphs 8.b.ii. and 8.b.iv. (underlying audited GAAP with limited statutory adjustments), the</w:t>
      </w:r>
      <w:r w:rsidRPr="00AC6ECF">
        <w:rPr>
          <w:szCs w:val="22"/>
        </w:rPr>
        <w:t xml:space="preserve"> investment amount shall also be adjusted in accordance with paragraph 9.</w:t>
      </w:r>
    </w:p>
    <w:p w14:paraId="4B18F067" w14:textId="74D091C6" w:rsidR="00EE60E2" w:rsidRPr="00BC62F1" w:rsidRDefault="00EE60E2" w:rsidP="00E00E43">
      <w:pPr>
        <w:pStyle w:val="ListParagraph"/>
        <w:numPr>
          <w:ilvl w:val="0"/>
          <w:numId w:val="5"/>
        </w:numPr>
        <w:ind w:left="360"/>
        <w:jc w:val="both"/>
        <w:rPr>
          <w:rFonts w:asciiTheme="minorHAnsi" w:hAnsiTheme="minorHAnsi" w:cstheme="minorHAnsi"/>
          <w:b/>
          <w:bCs/>
          <w:sz w:val="22"/>
          <w:szCs w:val="22"/>
        </w:rPr>
      </w:pPr>
      <w:r w:rsidRPr="00BC62F1">
        <w:rPr>
          <w:rFonts w:asciiTheme="minorHAnsi" w:hAnsiTheme="minorHAnsi" w:cstheme="minorHAnsi"/>
          <w:b/>
          <w:bCs/>
          <w:sz w:val="22"/>
          <w:szCs w:val="22"/>
        </w:rPr>
        <w:t xml:space="preserve">Schedule BA, Part 1 </w:t>
      </w:r>
      <w:r w:rsidR="00B30EAB" w:rsidRPr="00BC62F1">
        <w:rPr>
          <w:rFonts w:asciiTheme="minorHAnsi" w:hAnsiTheme="minorHAnsi" w:cstheme="minorHAnsi"/>
          <w:b/>
          <w:bCs/>
          <w:sz w:val="22"/>
          <w:szCs w:val="22"/>
        </w:rPr>
        <w:t>&amp; Part 2</w:t>
      </w:r>
      <w:r w:rsidRPr="00BC62F1">
        <w:rPr>
          <w:rFonts w:asciiTheme="minorHAnsi" w:hAnsiTheme="minorHAnsi" w:cstheme="minorHAnsi"/>
          <w:b/>
          <w:bCs/>
          <w:sz w:val="22"/>
          <w:szCs w:val="22"/>
        </w:rPr>
        <w:t xml:space="preserve">– Date Originally Acquired </w:t>
      </w:r>
    </w:p>
    <w:p w14:paraId="6009CE4E" w14:textId="77777777" w:rsidR="00E1091C" w:rsidRDefault="00E1091C" w:rsidP="00E1091C">
      <w:pPr>
        <w:pStyle w:val="ListParagraph"/>
        <w:rPr>
          <w:rFonts w:asciiTheme="minorHAnsi" w:hAnsiTheme="minorHAnsi" w:cstheme="minorHAnsi"/>
          <w:sz w:val="22"/>
          <w:szCs w:val="22"/>
        </w:rPr>
      </w:pPr>
    </w:p>
    <w:p w14:paraId="62D6B048" w14:textId="669DCC96" w:rsidR="00A0255A" w:rsidRDefault="00A0255A" w:rsidP="00E1091C">
      <w:pPr>
        <w:pStyle w:val="ListParagraph"/>
        <w:rPr>
          <w:rFonts w:asciiTheme="minorHAnsi" w:hAnsiTheme="minorHAnsi" w:cstheme="minorHAnsi"/>
          <w:sz w:val="22"/>
          <w:szCs w:val="22"/>
        </w:rPr>
      </w:pPr>
      <w:r>
        <w:rPr>
          <w:rFonts w:asciiTheme="minorHAnsi" w:hAnsiTheme="minorHAnsi" w:cstheme="minorHAnsi"/>
          <w:sz w:val="22"/>
          <w:szCs w:val="22"/>
        </w:rPr>
        <w:t xml:space="preserve">Schedule BA – Part 1 </w:t>
      </w:r>
    </w:p>
    <w:p w14:paraId="20863238" w14:textId="35765728" w:rsidR="00A0255A" w:rsidRDefault="00A0255A" w:rsidP="00E1091C">
      <w:pPr>
        <w:pStyle w:val="ListParagraph"/>
        <w:rPr>
          <w:rFonts w:asciiTheme="minorHAnsi" w:hAnsiTheme="minorHAnsi" w:cstheme="minorHAnsi"/>
          <w:sz w:val="22"/>
          <w:szCs w:val="22"/>
        </w:rPr>
      </w:pPr>
      <w:r w:rsidRPr="00A0255A">
        <w:rPr>
          <w:rFonts w:asciiTheme="minorHAnsi" w:hAnsiTheme="minorHAnsi" w:cstheme="minorHAnsi"/>
          <w:sz w:val="22"/>
          <w:szCs w:val="22"/>
        </w:rPr>
        <w:lastRenderedPageBreak/>
        <w:t>Column 8 – Date Originally Acquired State the date the investment was originally acquired.</w:t>
      </w:r>
    </w:p>
    <w:p w14:paraId="7E047AB9" w14:textId="77777777" w:rsidR="00A0255A" w:rsidRDefault="00A0255A" w:rsidP="00E1091C">
      <w:pPr>
        <w:pStyle w:val="ListParagraph"/>
        <w:rPr>
          <w:rFonts w:asciiTheme="minorHAnsi" w:hAnsiTheme="minorHAnsi" w:cstheme="minorHAnsi"/>
          <w:sz w:val="22"/>
          <w:szCs w:val="22"/>
        </w:rPr>
      </w:pPr>
    </w:p>
    <w:p w14:paraId="6F6AFB49" w14:textId="7E3BC652" w:rsidR="00FD4858" w:rsidRDefault="00FD4858" w:rsidP="00E1091C">
      <w:pPr>
        <w:pStyle w:val="ListParagraph"/>
        <w:rPr>
          <w:rFonts w:asciiTheme="minorHAnsi" w:hAnsiTheme="minorHAnsi" w:cstheme="minorHAnsi"/>
          <w:sz w:val="22"/>
          <w:szCs w:val="22"/>
        </w:rPr>
      </w:pPr>
      <w:r>
        <w:rPr>
          <w:rFonts w:asciiTheme="minorHAnsi" w:hAnsiTheme="minorHAnsi" w:cstheme="minorHAnsi"/>
          <w:sz w:val="22"/>
          <w:szCs w:val="22"/>
        </w:rPr>
        <w:t>Schedule – Part 2</w:t>
      </w:r>
    </w:p>
    <w:p w14:paraId="4B499D93" w14:textId="76A7A52B" w:rsidR="00A0255A" w:rsidRPr="00A54018" w:rsidRDefault="00FD4858" w:rsidP="00E1091C">
      <w:pPr>
        <w:pStyle w:val="ListParagraph"/>
        <w:rPr>
          <w:rFonts w:asciiTheme="minorHAnsi" w:hAnsiTheme="minorHAnsi" w:cstheme="minorHAnsi"/>
          <w:sz w:val="22"/>
          <w:szCs w:val="22"/>
        </w:rPr>
      </w:pPr>
      <w:r w:rsidRPr="00FD4858">
        <w:rPr>
          <w:rFonts w:asciiTheme="minorHAnsi" w:hAnsiTheme="minorHAnsi" w:cstheme="minorHAnsi"/>
          <w:sz w:val="22"/>
          <w:szCs w:val="22"/>
        </w:rPr>
        <w:t>Column 6 – Date Originally Acquired State the date the investment was originally acquired.</w:t>
      </w:r>
    </w:p>
    <w:p w14:paraId="0FDC7984" w14:textId="77777777" w:rsidR="00922A71" w:rsidRPr="00A54018" w:rsidRDefault="00922A71" w:rsidP="00937619">
      <w:pPr>
        <w:rPr>
          <w:rFonts w:asciiTheme="minorHAnsi" w:hAnsiTheme="minorHAnsi" w:cstheme="minorHAnsi"/>
          <w:b/>
          <w:sz w:val="22"/>
          <w:szCs w:val="22"/>
        </w:rPr>
      </w:pPr>
    </w:p>
    <w:p w14:paraId="74290148" w14:textId="0A9B4DC9" w:rsidR="00991517" w:rsidRDefault="00991517" w:rsidP="00B30CA0">
      <w:pPr>
        <w:pStyle w:val="BodyText2"/>
        <w:rPr>
          <w:rFonts w:asciiTheme="minorHAnsi" w:hAnsiTheme="minorHAnsi" w:cstheme="minorHAnsi"/>
          <w:b w:val="0"/>
          <w:bCs w:val="0"/>
          <w:szCs w:val="22"/>
        </w:rPr>
      </w:pPr>
      <w:r w:rsidRPr="00A54018">
        <w:rPr>
          <w:rFonts w:asciiTheme="minorHAnsi" w:hAnsiTheme="minorHAnsi" w:cstheme="minorHAnsi"/>
          <w:szCs w:val="22"/>
        </w:rPr>
        <w:t xml:space="preserve">Activity to Date (issues previously addressed by the Working Group, Emerging Accounting Issues (E) Working Group, SEC, FASB, other State Departments of Insurance or other NAIC groups): </w:t>
      </w:r>
      <w:r w:rsidR="00AF7722" w:rsidRPr="00E25A9A">
        <w:rPr>
          <w:rFonts w:asciiTheme="minorHAnsi" w:hAnsiTheme="minorHAnsi" w:cstheme="minorHAnsi"/>
          <w:b w:val="0"/>
          <w:bCs w:val="0"/>
          <w:szCs w:val="22"/>
        </w:rPr>
        <w:t>Hist</w:t>
      </w:r>
      <w:r w:rsidR="00AF7722" w:rsidRPr="00AF7722">
        <w:rPr>
          <w:rFonts w:asciiTheme="minorHAnsi" w:hAnsiTheme="minorHAnsi" w:cstheme="minorHAnsi"/>
          <w:b w:val="0"/>
          <w:bCs w:val="0"/>
          <w:szCs w:val="22"/>
        </w:rPr>
        <w:t>orical agenda item 2013-36: Investment Classification Project</w:t>
      </w:r>
      <w:r w:rsidR="00AF7722">
        <w:rPr>
          <w:rFonts w:asciiTheme="minorHAnsi" w:hAnsiTheme="minorHAnsi" w:cstheme="minorHAnsi"/>
          <w:b w:val="0"/>
          <w:bCs w:val="0"/>
          <w:szCs w:val="22"/>
        </w:rPr>
        <w:t xml:space="preserve"> </w:t>
      </w:r>
      <w:r w:rsidR="0073287F">
        <w:rPr>
          <w:rFonts w:asciiTheme="minorHAnsi" w:hAnsiTheme="minorHAnsi" w:cstheme="minorHAnsi"/>
          <w:b w:val="0"/>
          <w:bCs w:val="0"/>
          <w:szCs w:val="22"/>
        </w:rPr>
        <w:t xml:space="preserve">identified </w:t>
      </w:r>
      <w:proofErr w:type="gramStart"/>
      <w:r w:rsidR="0073287F">
        <w:rPr>
          <w:rFonts w:asciiTheme="minorHAnsi" w:hAnsiTheme="minorHAnsi" w:cstheme="minorHAnsi"/>
          <w:b w:val="0"/>
          <w:bCs w:val="0"/>
          <w:szCs w:val="22"/>
        </w:rPr>
        <w:t>a number of</w:t>
      </w:r>
      <w:proofErr w:type="gramEnd"/>
      <w:r w:rsidR="0073287F">
        <w:rPr>
          <w:rFonts w:asciiTheme="minorHAnsi" w:hAnsiTheme="minorHAnsi" w:cstheme="minorHAnsi"/>
          <w:b w:val="0"/>
          <w:bCs w:val="0"/>
          <w:szCs w:val="22"/>
        </w:rPr>
        <w:t xml:space="preserve"> investment-related topics to be reviewed and considered</w:t>
      </w:r>
      <w:r w:rsidR="002B673F">
        <w:rPr>
          <w:rFonts w:asciiTheme="minorHAnsi" w:hAnsiTheme="minorHAnsi" w:cstheme="minorHAnsi"/>
          <w:b w:val="0"/>
          <w:bCs w:val="0"/>
          <w:szCs w:val="22"/>
        </w:rPr>
        <w:t xml:space="preserve">. </w:t>
      </w:r>
      <w:r w:rsidR="00AF7722" w:rsidRPr="00AF7722">
        <w:rPr>
          <w:rFonts w:asciiTheme="minorHAnsi" w:hAnsiTheme="minorHAnsi" w:cstheme="minorHAnsi"/>
          <w:b w:val="0"/>
          <w:bCs w:val="0"/>
          <w:szCs w:val="22"/>
        </w:rPr>
        <w:t>Although SSAP No. 48 was identified for review within that project, a review of SSAP No. 48 has yet to be completed.</w:t>
      </w:r>
    </w:p>
    <w:p w14:paraId="1C794BEB" w14:textId="77777777" w:rsidR="00E25A9A" w:rsidRPr="00A54018" w:rsidRDefault="00E25A9A" w:rsidP="00B30CA0">
      <w:pPr>
        <w:pStyle w:val="BodyText2"/>
        <w:rPr>
          <w:rFonts w:asciiTheme="minorHAnsi" w:hAnsiTheme="minorHAnsi" w:cstheme="minorHAnsi"/>
          <w:szCs w:val="22"/>
        </w:rPr>
      </w:pPr>
    </w:p>
    <w:p w14:paraId="1A7C9804" w14:textId="37F353B2" w:rsidR="002A1316" w:rsidRPr="00A54018" w:rsidRDefault="002A1316" w:rsidP="00B30CA0">
      <w:pPr>
        <w:pStyle w:val="BodyText"/>
        <w:rPr>
          <w:rFonts w:asciiTheme="minorHAnsi" w:hAnsiTheme="minorHAnsi" w:cstheme="minorHAnsi"/>
          <w:b/>
          <w:sz w:val="22"/>
          <w:szCs w:val="22"/>
        </w:rPr>
      </w:pPr>
      <w:r w:rsidRPr="00A54018">
        <w:rPr>
          <w:rFonts w:asciiTheme="minorHAnsi" w:hAnsiTheme="minorHAnsi" w:cstheme="minorHAnsi"/>
          <w:b/>
          <w:sz w:val="22"/>
          <w:szCs w:val="22"/>
        </w:rPr>
        <w:t xml:space="preserve">Information or </w:t>
      </w:r>
      <w:r w:rsidR="00DF407B" w:rsidRPr="00A54018">
        <w:rPr>
          <w:rFonts w:asciiTheme="minorHAnsi" w:hAnsiTheme="minorHAnsi" w:cstheme="minorHAnsi"/>
          <w:b/>
          <w:sz w:val="22"/>
          <w:szCs w:val="22"/>
        </w:rPr>
        <w:t>i</w:t>
      </w:r>
      <w:r w:rsidRPr="00A54018">
        <w:rPr>
          <w:rFonts w:asciiTheme="minorHAnsi" w:hAnsiTheme="minorHAnsi" w:cstheme="minorHAnsi"/>
          <w:b/>
          <w:sz w:val="22"/>
          <w:szCs w:val="22"/>
        </w:rPr>
        <w:t xml:space="preserve">ssues (included in </w:t>
      </w:r>
      <w:r w:rsidRPr="00A54018">
        <w:rPr>
          <w:rFonts w:asciiTheme="minorHAnsi" w:hAnsiTheme="minorHAnsi" w:cstheme="minorHAnsi"/>
          <w:b/>
          <w:i/>
          <w:sz w:val="22"/>
          <w:szCs w:val="22"/>
        </w:rPr>
        <w:t>Description of Issue</w:t>
      </w:r>
      <w:r w:rsidRPr="00A54018">
        <w:rPr>
          <w:rFonts w:asciiTheme="minorHAnsi" w:hAnsiTheme="minorHAnsi" w:cstheme="minorHAnsi"/>
          <w:b/>
          <w:sz w:val="22"/>
          <w:szCs w:val="22"/>
        </w:rPr>
        <w:t xml:space="preserve">) not previously contemplated by the </w:t>
      </w:r>
      <w:r w:rsidR="00004652" w:rsidRPr="00A54018">
        <w:rPr>
          <w:rFonts w:asciiTheme="minorHAnsi" w:hAnsiTheme="minorHAnsi" w:cstheme="minorHAnsi"/>
          <w:b/>
          <w:sz w:val="22"/>
          <w:szCs w:val="22"/>
        </w:rPr>
        <w:t>Working Group</w:t>
      </w:r>
      <w:r w:rsidRPr="00A54018">
        <w:rPr>
          <w:rFonts w:asciiTheme="minorHAnsi" w:hAnsiTheme="minorHAnsi" w:cstheme="minorHAnsi"/>
          <w:b/>
          <w:sz w:val="22"/>
          <w:szCs w:val="22"/>
        </w:rPr>
        <w:t>:</w:t>
      </w:r>
    </w:p>
    <w:p w14:paraId="38E08ED2" w14:textId="77777777" w:rsidR="002A1316" w:rsidRDefault="00FE7FAA" w:rsidP="00B30CA0">
      <w:pPr>
        <w:pStyle w:val="BodyText"/>
        <w:rPr>
          <w:rFonts w:asciiTheme="minorHAnsi" w:hAnsiTheme="minorHAnsi" w:cstheme="minorHAnsi"/>
          <w:sz w:val="22"/>
          <w:szCs w:val="22"/>
        </w:rPr>
      </w:pPr>
      <w:r w:rsidRPr="00A54018">
        <w:rPr>
          <w:rFonts w:asciiTheme="minorHAnsi" w:hAnsiTheme="minorHAnsi" w:cstheme="minorHAnsi"/>
          <w:sz w:val="22"/>
          <w:szCs w:val="22"/>
        </w:rPr>
        <w:t>None</w:t>
      </w:r>
    </w:p>
    <w:p w14:paraId="6D6F0460" w14:textId="77777777" w:rsidR="00783139" w:rsidRPr="00A54018" w:rsidRDefault="00783139" w:rsidP="00B30CA0">
      <w:pPr>
        <w:pStyle w:val="BodyText"/>
        <w:rPr>
          <w:rFonts w:asciiTheme="minorHAnsi" w:hAnsiTheme="minorHAnsi" w:cstheme="minorHAnsi"/>
          <w:sz w:val="22"/>
          <w:szCs w:val="22"/>
        </w:rPr>
      </w:pPr>
    </w:p>
    <w:p w14:paraId="70213B4E" w14:textId="4B3051E9" w:rsidR="00490996" w:rsidRPr="00A54018" w:rsidRDefault="00490996" w:rsidP="00490996">
      <w:pPr>
        <w:pStyle w:val="Default"/>
        <w:rPr>
          <w:rFonts w:asciiTheme="minorHAnsi" w:hAnsiTheme="minorHAnsi" w:cstheme="minorHAnsi"/>
          <w:sz w:val="22"/>
          <w:szCs w:val="22"/>
        </w:rPr>
      </w:pPr>
      <w:r w:rsidRPr="00A54018">
        <w:rPr>
          <w:rFonts w:asciiTheme="minorHAnsi" w:hAnsiTheme="minorHAnsi" w:cstheme="minorHAnsi"/>
          <w:b/>
          <w:sz w:val="22"/>
          <w:szCs w:val="22"/>
        </w:rPr>
        <w:t>Convergence with International Financial Reporting Standards (IFRS):</w:t>
      </w:r>
      <w:r w:rsidR="002408D3" w:rsidRPr="00A54018">
        <w:rPr>
          <w:rFonts w:asciiTheme="minorHAnsi" w:hAnsiTheme="minorHAnsi" w:cstheme="minorHAnsi"/>
          <w:b/>
          <w:sz w:val="22"/>
          <w:szCs w:val="22"/>
        </w:rPr>
        <w:t xml:space="preserve"> </w:t>
      </w:r>
      <w:r w:rsidR="002408D3" w:rsidRPr="00A54018">
        <w:rPr>
          <w:rFonts w:asciiTheme="minorHAnsi" w:hAnsiTheme="minorHAnsi" w:cstheme="minorHAnsi"/>
          <w:sz w:val="22"/>
          <w:szCs w:val="22"/>
        </w:rPr>
        <w:t>N</w:t>
      </w:r>
      <w:r w:rsidR="006E0775" w:rsidRPr="00A54018">
        <w:rPr>
          <w:rFonts w:asciiTheme="minorHAnsi" w:hAnsiTheme="minorHAnsi" w:cstheme="minorHAnsi"/>
          <w:sz w:val="22"/>
          <w:szCs w:val="22"/>
        </w:rPr>
        <w:t>/</w:t>
      </w:r>
      <w:r w:rsidR="002408D3" w:rsidRPr="00A54018">
        <w:rPr>
          <w:rFonts w:asciiTheme="minorHAnsi" w:hAnsiTheme="minorHAnsi" w:cstheme="minorHAnsi"/>
          <w:sz w:val="22"/>
          <w:szCs w:val="22"/>
        </w:rPr>
        <w:t>A</w:t>
      </w:r>
    </w:p>
    <w:p w14:paraId="61C563F4" w14:textId="77777777" w:rsidR="00E30DBE" w:rsidRPr="00A54018" w:rsidRDefault="00E30DBE" w:rsidP="00490996">
      <w:pPr>
        <w:pStyle w:val="Default"/>
        <w:rPr>
          <w:rFonts w:asciiTheme="minorHAnsi" w:hAnsiTheme="minorHAnsi" w:cstheme="minorHAnsi"/>
          <w:sz w:val="22"/>
          <w:szCs w:val="22"/>
        </w:rPr>
      </w:pPr>
    </w:p>
    <w:p w14:paraId="5557637B" w14:textId="33A9AB14" w:rsidR="00237383" w:rsidRPr="00A54018" w:rsidRDefault="00711CBA" w:rsidP="004E2BB9">
      <w:pPr>
        <w:pStyle w:val="BodyText2"/>
        <w:rPr>
          <w:rFonts w:asciiTheme="minorHAnsi" w:hAnsiTheme="minorHAnsi" w:cstheme="minorHAnsi"/>
          <w:i/>
          <w:szCs w:val="22"/>
        </w:rPr>
      </w:pPr>
      <w:r w:rsidRPr="00A54018">
        <w:rPr>
          <w:rFonts w:asciiTheme="minorHAnsi" w:hAnsiTheme="minorHAnsi" w:cstheme="minorHAnsi"/>
          <w:i/>
          <w:szCs w:val="22"/>
        </w:rPr>
        <w:t xml:space="preserve">Staff </w:t>
      </w:r>
      <w:r w:rsidR="002A1316" w:rsidRPr="00A54018">
        <w:rPr>
          <w:rFonts w:asciiTheme="minorHAnsi" w:hAnsiTheme="minorHAnsi" w:cstheme="minorHAnsi"/>
          <w:i/>
          <w:szCs w:val="22"/>
        </w:rPr>
        <w:t>Recommendation:</w:t>
      </w:r>
      <w:r w:rsidR="004128F1" w:rsidRPr="00A54018">
        <w:rPr>
          <w:rFonts w:asciiTheme="minorHAnsi" w:hAnsiTheme="minorHAnsi" w:cstheme="minorHAnsi"/>
          <w:i/>
          <w:szCs w:val="22"/>
        </w:rPr>
        <w:t xml:space="preserve"> </w:t>
      </w:r>
    </w:p>
    <w:p w14:paraId="52A29D8D" w14:textId="187459DF" w:rsidR="0071048F" w:rsidRDefault="00283A7D" w:rsidP="00EB1497">
      <w:pPr>
        <w:jc w:val="both"/>
        <w:rPr>
          <w:rFonts w:asciiTheme="minorHAnsi" w:hAnsiTheme="minorHAnsi" w:cstheme="minorHAnsi"/>
          <w:b/>
          <w:sz w:val="22"/>
          <w:szCs w:val="22"/>
        </w:rPr>
      </w:pPr>
      <w:r w:rsidRPr="00A54018">
        <w:rPr>
          <w:rFonts w:asciiTheme="minorHAnsi" w:hAnsiTheme="minorHAnsi" w:cstheme="minorHAnsi"/>
          <w:b/>
          <w:sz w:val="22"/>
          <w:szCs w:val="22"/>
        </w:rPr>
        <w:t xml:space="preserve">NAIC staff recommend that </w:t>
      </w:r>
      <w:r w:rsidR="008F26AC" w:rsidRPr="00A54018">
        <w:rPr>
          <w:rFonts w:asciiTheme="minorHAnsi" w:hAnsiTheme="minorHAnsi" w:cstheme="minorHAnsi"/>
          <w:b/>
          <w:sz w:val="22"/>
          <w:szCs w:val="22"/>
        </w:rPr>
        <w:t>the S</w:t>
      </w:r>
      <w:r w:rsidR="00570BB8" w:rsidRPr="00A54018">
        <w:rPr>
          <w:rFonts w:asciiTheme="minorHAnsi" w:hAnsiTheme="minorHAnsi" w:cstheme="minorHAnsi"/>
          <w:b/>
          <w:sz w:val="22"/>
          <w:szCs w:val="22"/>
        </w:rPr>
        <w:t xml:space="preserve">tatutory Accounting Practices (E) Working Group move this item to the </w:t>
      </w:r>
      <w:r w:rsidR="00B019E6" w:rsidRPr="00B019E6">
        <w:rPr>
          <w:rFonts w:asciiTheme="minorHAnsi" w:hAnsiTheme="minorHAnsi" w:cstheme="minorHAnsi"/>
          <w:b/>
          <w:sz w:val="22"/>
          <w:szCs w:val="22"/>
        </w:rPr>
        <w:t xml:space="preserve">active listing </w:t>
      </w:r>
      <w:r w:rsidR="003E1C83">
        <w:rPr>
          <w:rFonts w:asciiTheme="minorHAnsi" w:hAnsiTheme="minorHAnsi" w:cstheme="minorHAnsi"/>
          <w:b/>
          <w:sz w:val="22"/>
          <w:szCs w:val="22"/>
        </w:rPr>
        <w:t xml:space="preserve">initially </w:t>
      </w:r>
      <w:r w:rsidR="00B019E6" w:rsidRPr="00B019E6">
        <w:rPr>
          <w:rFonts w:asciiTheme="minorHAnsi" w:hAnsiTheme="minorHAnsi" w:cstheme="minorHAnsi"/>
          <w:b/>
          <w:sz w:val="22"/>
          <w:szCs w:val="22"/>
        </w:rPr>
        <w:t>categorized as</w:t>
      </w:r>
      <w:r w:rsidR="003E1C83">
        <w:rPr>
          <w:rFonts w:asciiTheme="minorHAnsi" w:hAnsiTheme="minorHAnsi" w:cstheme="minorHAnsi"/>
          <w:b/>
          <w:sz w:val="22"/>
          <w:szCs w:val="22"/>
        </w:rPr>
        <w:t xml:space="preserve"> a SAP Clarification, with </w:t>
      </w:r>
      <w:r w:rsidR="0027522F">
        <w:rPr>
          <w:rFonts w:asciiTheme="minorHAnsi" w:hAnsiTheme="minorHAnsi" w:cstheme="minorHAnsi"/>
          <w:b/>
          <w:sz w:val="22"/>
          <w:szCs w:val="22"/>
        </w:rPr>
        <w:t xml:space="preserve">an initial exposure and </w:t>
      </w:r>
      <w:r w:rsidR="003E1C83">
        <w:rPr>
          <w:rFonts w:asciiTheme="minorHAnsi" w:hAnsiTheme="minorHAnsi" w:cstheme="minorHAnsi"/>
          <w:b/>
          <w:sz w:val="22"/>
          <w:szCs w:val="22"/>
        </w:rPr>
        <w:t xml:space="preserve">request for feedback on </w:t>
      </w:r>
      <w:r w:rsidR="00287BFF">
        <w:rPr>
          <w:rFonts w:asciiTheme="minorHAnsi" w:hAnsiTheme="minorHAnsi" w:cstheme="minorHAnsi"/>
          <w:b/>
          <w:sz w:val="22"/>
          <w:szCs w:val="22"/>
        </w:rPr>
        <w:t>noted</w:t>
      </w:r>
      <w:r w:rsidR="00AE4DDE">
        <w:rPr>
          <w:rFonts w:asciiTheme="minorHAnsi" w:hAnsiTheme="minorHAnsi" w:cstheme="minorHAnsi"/>
          <w:b/>
          <w:sz w:val="22"/>
          <w:szCs w:val="22"/>
        </w:rPr>
        <w:t xml:space="preserve"> aspects</w:t>
      </w:r>
      <w:r w:rsidR="00D82704">
        <w:rPr>
          <w:rFonts w:asciiTheme="minorHAnsi" w:hAnsiTheme="minorHAnsi" w:cstheme="minorHAnsi"/>
          <w:b/>
          <w:sz w:val="22"/>
          <w:szCs w:val="22"/>
        </w:rPr>
        <w:t xml:space="preserve"> and the extent of a SSAP No. 48 review</w:t>
      </w:r>
      <w:r w:rsidR="00E64BD5">
        <w:rPr>
          <w:rFonts w:asciiTheme="minorHAnsi" w:hAnsiTheme="minorHAnsi" w:cstheme="minorHAnsi"/>
          <w:b/>
          <w:sz w:val="22"/>
          <w:szCs w:val="22"/>
        </w:rPr>
        <w:t>. Consideration as to whether revisions reflect SAP Clarifications or new SAP Concept</w:t>
      </w:r>
      <w:r w:rsidR="00D82704">
        <w:rPr>
          <w:rFonts w:asciiTheme="minorHAnsi" w:hAnsiTheme="minorHAnsi" w:cstheme="minorHAnsi"/>
          <w:b/>
          <w:sz w:val="22"/>
          <w:szCs w:val="22"/>
        </w:rPr>
        <w:t>s</w:t>
      </w:r>
      <w:r w:rsidR="00E64BD5">
        <w:rPr>
          <w:rFonts w:asciiTheme="minorHAnsi" w:hAnsiTheme="minorHAnsi" w:cstheme="minorHAnsi"/>
          <w:b/>
          <w:sz w:val="22"/>
          <w:szCs w:val="22"/>
        </w:rPr>
        <w:t xml:space="preserve"> can be reassessed once </w:t>
      </w:r>
      <w:r w:rsidR="00287BFF">
        <w:rPr>
          <w:rFonts w:asciiTheme="minorHAnsi" w:hAnsiTheme="minorHAnsi" w:cstheme="minorHAnsi"/>
          <w:b/>
          <w:sz w:val="22"/>
          <w:szCs w:val="22"/>
        </w:rPr>
        <w:t>extent of review and potential revisions</w:t>
      </w:r>
      <w:r w:rsidR="00591EE4">
        <w:rPr>
          <w:rFonts w:asciiTheme="minorHAnsi" w:hAnsiTheme="minorHAnsi" w:cstheme="minorHAnsi"/>
          <w:b/>
          <w:sz w:val="22"/>
          <w:szCs w:val="22"/>
        </w:rPr>
        <w:t xml:space="preserve"> are further considered. </w:t>
      </w:r>
    </w:p>
    <w:p w14:paraId="0CA106E5" w14:textId="77777777" w:rsidR="002D745A" w:rsidRDefault="002D745A" w:rsidP="00EB1497">
      <w:pPr>
        <w:jc w:val="both"/>
        <w:rPr>
          <w:rFonts w:asciiTheme="minorHAnsi" w:hAnsiTheme="minorHAnsi" w:cstheme="minorHAnsi"/>
          <w:b/>
          <w:sz w:val="22"/>
          <w:szCs w:val="22"/>
        </w:rPr>
      </w:pPr>
    </w:p>
    <w:p w14:paraId="5715EC0B" w14:textId="5422A09D" w:rsidR="00206DC5" w:rsidRDefault="00287BFF" w:rsidP="00EB1497">
      <w:pPr>
        <w:jc w:val="both"/>
        <w:rPr>
          <w:rFonts w:asciiTheme="minorHAnsi" w:hAnsiTheme="minorHAnsi" w:cstheme="minorHAnsi"/>
          <w:b/>
          <w:sz w:val="22"/>
          <w:szCs w:val="22"/>
        </w:rPr>
      </w:pPr>
      <w:r>
        <w:rPr>
          <w:rFonts w:asciiTheme="minorHAnsi" w:hAnsiTheme="minorHAnsi" w:cstheme="minorHAnsi"/>
          <w:b/>
          <w:sz w:val="22"/>
          <w:szCs w:val="22"/>
        </w:rPr>
        <w:t xml:space="preserve">Ultimately, this agenda item proposes a review of several </w:t>
      </w:r>
      <w:r w:rsidR="0070294D">
        <w:rPr>
          <w:rFonts w:asciiTheme="minorHAnsi" w:hAnsiTheme="minorHAnsi" w:cstheme="minorHAnsi"/>
          <w:b/>
          <w:sz w:val="22"/>
          <w:szCs w:val="22"/>
        </w:rPr>
        <w:t xml:space="preserve">SSAP No. 48 </w:t>
      </w:r>
      <w:r>
        <w:rPr>
          <w:rFonts w:asciiTheme="minorHAnsi" w:hAnsiTheme="minorHAnsi" w:cstheme="minorHAnsi"/>
          <w:b/>
          <w:sz w:val="22"/>
          <w:szCs w:val="22"/>
        </w:rPr>
        <w:t>concepts</w:t>
      </w:r>
      <w:r w:rsidR="002D745A">
        <w:rPr>
          <w:rFonts w:asciiTheme="minorHAnsi" w:hAnsiTheme="minorHAnsi" w:cstheme="minorHAnsi"/>
          <w:b/>
          <w:sz w:val="22"/>
          <w:szCs w:val="22"/>
        </w:rPr>
        <w:t xml:space="preserve">, and how they are applied, </w:t>
      </w:r>
      <w:r>
        <w:rPr>
          <w:rFonts w:asciiTheme="minorHAnsi" w:hAnsiTheme="minorHAnsi" w:cstheme="minorHAnsi"/>
          <w:b/>
          <w:sz w:val="22"/>
          <w:szCs w:val="22"/>
        </w:rPr>
        <w:t xml:space="preserve">to ensure intended guidance is clear and consistently applied. This review is in line with a </w:t>
      </w:r>
      <w:r w:rsidR="00931551">
        <w:rPr>
          <w:rFonts w:asciiTheme="minorHAnsi" w:hAnsiTheme="minorHAnsi" w:cstheme="minorHAnsi"/>
          <w:b/>
          <w:sz w:val="22"/>
          <w:szCs w:val="22"/>
        </w:rPr>
        <w:t xml:space="preserve">historical agenda item, </w:t>
      </w:r>
      <w:r w:rsidR="00640F2B">
        <w:rPr>
          <w:rFonts w:asciiTheme="minorHAnsi" w:hAnsiTheme="minorHAnsi" w:cstheme="minorHAnsi"/>
          <w:b/>
          <w:sz w:val="22"/>
          <w:szCs w:val="22"/>
        </w:rPr>
        <w:t>Ref #</w:t>
      </w:r>
      <w:r w:rsidR="001E714F">
        <w:rPr>
          <w:rFonts w:asciiTheme="minorHAnsi" w:hAnsiTheme="minorHAnsi" w:cstheme="minorHAnsi"/>
          <w:b/>
          <w:sz w:val="22"/>
          <w:szCs w:val="22"/>
        </w:rPr>
        <w:t xml:space="preserve">2013-36 - </w:t>
      </w:r>
      <w:r w:rsidR="00B75BF3">
        <w:rPr>
          <w:rFonts w:asciiTheme="minorHAnsi" w:hAnsiTheme="minorHAnsi" w:cstheme="minorHAnsi"/>
          <w:b/>
          <w:sz w:val="22"/>
          <w:szCs w:val="22"/>
        </w:rPr>
        <w:t>Investment Classification Project</w:t>
      </w:r>
      <w:r w:rsidR="001E714F">
        <w:rPr>
          <w:rFonts w:asciiTheme="minorHAnsi" w:hAnsiTheme="minorHAnsi" w:cstheme="minorHAnsi"/>
          <w:b/>
          <w:sz w:val="22"/>
          <w:szCs w:val="22"/>
        </w:rPr>
        <w:t xml:space="preserve">, </w:t>
      </w:r>
      <w:r>
        <w:rPr>
          <w:rFonts w:asciiTheme="minorHAnsi" w:hAnsiTheme="minorHAnsi" w:cstheme="minorHAnsi"/>
          <w:b/>
          <w:sz w:val="22"/>
          <w:szCs w:val="22"/>
        </w:rPr>
        <w:t xml:space="preserve">which </w:t>
      </w:r>
      <w:r w:rsidR="00D82704">
        <w:rPr>
          <w:rFonts w:asciiTheme="minorHAnsi" w:hAnsiTheme="minorHAnsi" w:cstheme="minorHAnsi"/>
          <w:b/>
          <w:sz w:val="22"/>
          <w:szCs w:val="22"/>
        </w:rPr>
        <w:t xml:space="preserve">was </w:t>
      </w:r>
      <w:r w:rsidR="006B2674">
        <w:rPr>
          <w:rFonts w:asciiTheme="minorHAnsi" w:hAnsiTheme="minorHAnsi" w:cstheme="minorHAnsi"/>
          <w:b/>
          <w:sz w:val="22"/>
          <w:szCs w:val="22"/>
        </w:rPr>
        <w:t>undertaken</w:t>
      </w:r>
      <w:r w:rsidR="00640F2B">
        <w:rPr>
          <w:rFonts w:asciiTheme="minorHAnsi" w:hAnsiTheme="minorHAnsi" w:cstheme="minorHAnsi"/>
          <w:b/>
          <w:sz w:val="22"/>
          <w:szCs w:val="22"/>
        </w:rPr>
        <w:t xml:space="preserve"> to review the investment SSAPs</w:t>
      </w:r>
      <w:r w:rsidR="002C21DA">
        <w:rPr>
          <w:rFonts w:asciiTheme="minorHAnsi" w:hAnsiTheme="minorHAnsi" w:cstheme="minorHAnsi"/>
          <w:b/>
          <w:sz w:val="22"/>
          <w:szCs w:val="22"/>
        </w:rPr>
        <w:t xml:space="preserve">, including SSAP No. 48. However, </w:t>
      </w:r>
      <w:r w:rsidR="005968AD">
        <w:rPr>
          <w:rFonts w:asciiTheme="minorHAnsi" w:hAnsiTheme="minorHAnsi" w:cstheme="minorHAnsi"/>
          <w:b/>
          <w:sz w:val="22"/>
          <w:szCs w:val="22"/>
        </w:rPr>
        <w:t>after completion of numerous revisions (pre</w:t>
      </w:r>
      <w:r w:rsidR="006B2674">
        <w:rPr>
          <w:rFonts w:asciiTheme="minorHAnsi" w:hAnsiTheme="minorHAnsi" w:cstheme="minorHAnsi"/>
          <w:b/>
          <w:sz w:val="22"/>
          <w:szCs w:val="22"/>
        </w:rPr>
        <w:t>-</w:t>
      </w:r>
      <w:r w:rsidR="005968AD">
        <w:rPr>
          <w:rFonts w:asciiTheme="minorHAnsi" w:hAnsiTheme="minorHAnsi" w:cstheme="minorHAnsi"/>
          <w:b/>
          <w:sz w:val="22"/>
          <w:szCs w:val="22"/>
        </w:rPr>
        <w:t xml:space="preserve">bond project), the agenda item was closed, with a note that future revisions under the project would be captured in new agenda items to allow for easier tracking. </w:t>
      </w:r>
      <w:r w:rsidR="006B2674">
        <w:rPr>
          <w:rFonts w:asciiTheme="minorHAnsi" w:hAnsiTheme="minorHAnsi" w:cstheme="minorHAnsi"/>
          <w:b/>
          <w:sz w:val="22"/>
          <w:szCs w:val="22"/>
        </w:rPr>
        <w:t>A review of SSAP No. 48</w:t>
      </w:r>
      <w:r w:rsidR="00D82704">
        <w:rPr>
          <w:rFonts w:asciiTheme="minorHAnsi" w:hAnsiTheme="minorHAnsi" w:cstheme="minorHAnsi"/>
          <w:b/>
          <w:sz w:val="22"/>
          <w:szCs w:val="22"/>
        </w:rPr>
        <w:t xml:space="preserve">, although originally identified, </w:t>
      </w:r>
      <w:r w:rsidR="006B2674">
        <w:rPr>
          <w:rFonts w:asciiTheme="minorHAnsi" w:hAnsiTheme="minorHAnsi" w:cstheme="minorHAnsi"/>
          <w:b/>
          <w:sz w:val="22"/>
          <w:szCs w:val="22"/>
        </w:rPr>
        <w:t xml:space="preserve">was not completed under that project. </w:t>
      </w:r>
    </w:p>
    <w:p w14:paraId="716B029A" w14:textId="77777777" w:rsidR="00BA7A6B" w:rsidRDefault="00BA7A6B" w:rsidP="00EB1497">
      <w:pPr>
        <w:jc w:val="both"/>
        <w:rPr>
          <w:rFonts w:asciiTheme="minorHAnsi" w:hAnsiTheme="minorHAnsi" w:cstheme="minorHAnsi"/>
          <w:b/>
          <w:sz w:val="22"/>
          <w:szCs w:val="22"/>
        </w:rPr>
      </w:pPr>
    </w:p>
    <w:p w14:paraId="5AFB1846" w14:textId="0DB24B6B" w:rsidR="00BA7A6B" w:rsidRDefault="00BA7A6B" w:rsidP="00EB1497">
      <w:pPr>
        <w:jc w:val="both"/>
        <w:rPr>
          <w:rFonts w:asciiTheme="minorHAnsi" w:hAnsiTheme="minorHAnsi" w:cstheme="minorHAnsi"/>
          <w:b/>
          <w:sz w:val="22"/>
          <w:szCs w:val="22"/>
        </w:rPr>
      </w:pPr>
      <w:r>
        <w:rPr>
          <w:rFonts w:asciiTheme="minorHAnsi" w:hAnsiTheme="minorHAnsi" w:cstheme="minorHAnsi"/>
          <w:b/>
          <w:sz w:val="22"/>
          <w:szCs w:val="22"/>
        </w:rPr>
        <w:t>The agenda item includes a discussion and summary of several items noted within SSAP No. 48</w:t>
      </w:r>
      <w:r w:rsidR="00927F8E">
        <w:rPr>
          <w:rFonts w:asciiTheme="minorHAnsi" w:hAnsiTheme="minorHAnsi" w:cstheme="minorHAnsi"/>
          <w:b/>
          <w:sz w:val="22"/>
          <w:szCs w:val="22"/>
        </w:rPr>
        <w:t xml:space="preserve">, originating from inquiries </w:t>
      </w:r>
      <w:r w:rsidR="00FA1D51">
        <w:rPr>
          <w:rFonts w:asciiTheme="minorHAnsi" w:hAnsiTheme="minorHAnsi" w:cstheme="minorHAnsi"/>
          <w:b/>
          <w:sz w:val="22"/>
          <w:szCs w:val="22"/>
        </w:rPr>
        <w:t>into</w:t>
      </w:r>
      <w:r w:rsidR="00927F8E">
        <w:rPr>
          <w:rFonts w:asciiTheme="minorHAnsi" w:hAnsiTheme="minorHAnsi" w:cstheme="minorHAnsi"/>
          <w:b/>
          <w:sz w:val="22"/>
          <w:szCs w:val="22"/>
        </w:rPr>
        <w:t xml:space="preserve"> the potential for day-one ga</w:t>
      </w:r>
      <w:r w:rsidR="00DC4DC9">
        <w:rPr>
          <w:rFonts w:asciiTheme="minorHAnsi" w:hAnsiTheme="minorHAnsi" w:cstheme="minorHAnsi"/>
          <w:b/>
          <w:sz w:val="22"/>
          <w:szCs w:val="22"/>
        </w:rPr>
        <w:t>ins when acquiring investments at a discount</w:t>
      </w:r>
      <w:r>
        <w:rPr>
          <w:rFonts w:asciiTheme="minorHAnsi" w:hAnsiTheme="minorHAnsi" w:cstheme="minorHAnsi"/>
          <w:b/>
          <w:sz w:val="22"/>
          <w:szCs w:val="22"/>
        </w:rPr>
        <w:t xml:space="preserve">. </w:t>
      </w:r>
      <w:r w:rsidR="00CA21F7">
        <w:rPr>
          <w:rFonts w:asciiTheme="minorHAnsi" w:hAnsiTheme="minorHAnsi" w:cstheme="minorHAnsi"/>
          <w:b/>
          <w:sz w:val="22"/>
          <w:szCs w:val="22"/>
        </w:rPr>
        <w:t>After exposure, and assessing the comments on how guidance is applied, t</w:t>
      </w:r>
      <w:r w:rsidR="00381DBC">
        <w:rPr>
          <w:rFonts w:asciiTheme="minorHAnsi" w:hAnsiTheme="minorHAnsi" w:cstheme="minorHAnsi"/>
          <w:b/>
          <w:sz w:val="22"/>
          <w:szCs w:val="22"/>
        </w:rPr>
        <w:t xml:space="preserve">he Working Group can decide to provide individual responses to the various items for limited revisions, or can direct NAIC staff to undertake a </w:t>
      </w:r>
      <w:r w:rsidR="00DC4DC9">
        <w:rPr>
          <w:rFonts w:asciiTheme="minorHAnsi" w:hAnsiTheme="minorHAnsi" w:cstheme="minorHAnsi"/>
          <w:b/>
          <w:sz w:val="22"/>
          <w:szCs w:val="22"/>
        </w:rPr>
        <w:t xml:space="preserve">more </w:t>
      </w:r>
      <w:r w:rsidR="00381DBC">
        <w:rPr>
          <w:rFonts w:asciiTheme="minorHAnsi" w:hAnsiTheme="minorHAnsi" w:cstheme="minorHAnsi"/>
          <w:b/>
          <w:sz w:val="22"/>
          <w:szCs w:val="22"/>
        </w:rPr>
        <w:t xml:space="preserve">comprehensive review of the accounting guidance and reporting </w:t>
      </w:r>
      <w:r w:rsidR="00F30366">
        <w:rPr>
          <w:rFonts w:asciiTheme="minorHAnsi" w:hAnsiTheme="minorHAnsi" w:cstheme="minorHAnsi"/>
          <w:b/>
          <w:sz w:val="22"/>
          <w:szCs w:val="22"/>
        </w:rPr>
        <w:t>requirements for SSAP No. 48 investments:</w:t>
      </w:r>
    </w:p>
    <w:p w14:paraId="116F2441" w14:textId="77777777" w:rsidR="00CA21F7" w:rsidRDefault="00CA21F7" w:rsidP="00EB1497">
      <w:pPr>
        <w:jc w:val="both"/>
        <w:rPr>
          <w:rFonts w:asciiTheme="minorHAnsi" w:hAnsiTheme="minorHAnsi" w:cstheme="minorHAnsi"/>
          <w:b/>
          <w:sz w:val="22"/>
          <w:szCs w:val="22"/>
        </w:rPr>
      </w:pPr>
    </w:p>
    <w:p w14:paraId="633319BD" w14:textId="037330A2" w:rsidR="00CA21F7" w:rsidRDefault="00CA21F7" w:rsidP="00EB1497">
      <w:pPr>
        <w:jc w:val="both"/>
        <w:rPr>
          <w:rFonts w:asciiTheme="minorHAnsi" w:hAnsiTheme="minorHAnsi" w:cstheme="minorHAnsi"/>
          <w:b/>
          <w:sz w:val="22"/>
          <w:szCs w:val="22"/>
        </w:rPr>
      </w:pPr>
      <w:r>
        <w:rPr>
          <w:rFonts w:asciiTheme="minorHAnsi" w:hAnsiTheme="minorHAnsi" w:cstheme="minorHAnsi"/>
          <w:b/>
          <w:sz w:val="22"/>
          <w:szCs w:val="22"/>
        </w:rPr>
        <w:t xml:space="preserve">Specific Items for Exposure / Discussion: </w:t>
      </w:r>
    </w:p>
    <w:p w14:paraId="418A6F2F" w14:textId="77777777" w:rsidR="00645F92" w:rsidRDefault="00645F92" w:rsidP="00EB1497">
      <w:pPr>
        <w:jc w:val="both"/>
        <w:rPr>
          <w:rFonts w:asciiTheme="minorHAnsi" w:hAnsiTheme="minorHAnsi" w:cstheme="minorHAnsi"/>
          <w:b/>
          <w:sz w:val="22"/>
          <w:szCs w:val="22"/>
        </w:rPr>
      </w:pPr>
    </w:p>
    <w:p w14:paraId="293D2045" w14:textId="0D11DD9B" w:rsidR="00FE04D6" w:rsidRPr="004E71ED" w:rsidRDefault="005D548D" w:rsidP="005D548D">
      <w:pPr>
        <w:pStyle w:val="ListParagraph"/>
        <w:numPr>
          <w:ilvl w:val="0"/>
          <w:numId w:val="11"/>
        </w:numPr>
        <w:jc w:val="both"/>
        <w:rPr>
          <w:rFonts w:asciiTheme="minorHAnsi" w:hAnsiTheme="minorHAnsi" w:cstheme="minorHAnsi"/>
          <w:sz w:val="22"/>
          <w:szCs w:val="22"/>
          <w:u w:val="single"/>
        </w:rPr>
      </w:pPr>
      <w:r w:rsidRPr="005D548D">
        <w:rPr>
          <w:rFonts w:asciiTheme="minorHAnsi" w:hAnsiTheme="minorHAnsi" w:cstheme="minorHAnsi"/>
          <w:b/>
          <w:bCs/>
          <w:sz w:val="22"/>
          <w:szCs w:val="22"/>
          <w:u w:val="single"/>
        </w:rPr>
        <w:t xml:space="preserve">Timing of Recognition of Equity Value </w:t>
      </w:r>
      <w:r w:rsidR="00884DD8">
        <w:rPr>
          <w:rFonts w:asciiTheme="minorHAnsi" w:hAnsiTheme="minorHAnsi" w:cstheme="minorHAnsi"/>
          <w:b/>
          <w:bCs/>
          <w:sz w:val="22"/>
          <w:szCs w:val="22"/>
          <w:u w:val="single"/>
        </w:rPr>
        <w:t>Increases and Decreases</w:t>
      </w:r>
      <w:r w:rsidRPr="005D548D">
        <w:rPr>
          <w:rFonts w:asciiTheme="minorHAnsi" w:hAnsiTheme="minorHAnsi" w:cstheme="minorHAnsi"/>
          <w:b/>
          <w:bCs/>
          <w:sz w:val="22"/>
          <w:szCs w:val="22"/>
          <w:u w:val="single"/>
        </w:rPr>
        <w:t xml:space="preserve"> </w:t>
      </w:r>
      <w:r w:rsidR="008D01C3" w:rsidRPr="002A358A">
        <w:rPr>
          <w:rFonts w:asciiTheme="minorHAnsi" w:hAnsiTheme="minorHAnsi" w:cstheme="minorHAnsi"/>
          <w:b/>
          <w:bCs/>
          <w:sz w:val="22"/>
          <w:szCs w:val="22"/>
        </w:rPr>
        <w:t>–</w:t>
      </w:r>
      <w:r w:rsidRPr="002A358A">
        <w:rPr>
          <w:rFonts w:asciiTheme="minorHAnsi" w:hAnsiTheme="minorHAnsi" w:cstheme="minorHAnsi"/>
          <w:b/>
          <w:bCs/>
          <w:sz w:val="22"/>
          <w:szCs w:val="22"/>
        </w:rPr>
        <w:t xml:space="preserve"> </w:t>
      </w:r>
      <w:r w:rsidR="00AB1B5B" w:rsidRPr="002A358A">
        <w:rPr>
          <w:rFonts w:asciiTheme="minorHAnsi" w:hAnsiTheme="minorHAnsi" w:cstheme="minorHAnsi"/>
          <w:b/>
          <w:bCs/>
          <w:sz w:val="22"/>
          <w:szCs w:val="22"/>
        </w:rPr>
        <w:t xml:space="preserve">Feedback is recommended on </w:t>
      </w:r>
      <w:r w:rsidR="00FE04D6" w:rsidRPr="002A358A">
        <w:rPr>
          <w:rFonts w:asciiTheme="minorHAnsi" w:hAnsiTheme="minorHAnsi" w:cstheme="minorHAnsi"/>
          <w:b/>
          <w:bCs/>
          <w:sz w:val="22"/>
          <w:szCs w:val="22"/>
        </w:rPr>
        <w:t>how equity changes are reflected</w:t>
      </w:r>
      <w:r w:rsidR="00BF1653" w:rsidRPr="002A358A">
        <w:rPr>
          <w:rFonts w:asciiTheme="minorHAnsi" w:hAnsiTheme="minorHAnsi" w:cstheme="minorHAnsi"/>
          <w:b/>
          <w:bCs/>
          <w:sz w:val="22"/>
          <w:szCs w:val="22"/>
        </w:rPr>
        <w:t xml:space="preserve"> </w:t>
      </w:r>
      <w:r w:rsidR="00322BB8" w:rsidRPr="002A358A">
        <w:rPr>
          <w:rFonts w:asciiTheme="minorHAnsi" w:hAnsiTheme="minorHAnsi" w:cstheme="minorHAnsi"/>
          <w:b/>
          <w:bCs/>
          <w:sz w:val="22"/>
          <w:szCs w:val="22"/>
        </w:rPr>
        <w:t xml:space="preserve">per industry’s application </w:t>
      </w:r>
      <w:r w:rsidR="00BF1653" w:rsidRPr="002A358A">
        <w:rPr>
          <w:rFonts w:asciiTheme="minorHAnsi" w:hAnsiTheme="minorHAnsi" w:cstheme="minorHAnsi"/>
          <w:b/>
          <w:bCs/>
          <w:sz w:val="22"/>
          <w:szCs w:val="22"/>
        </w:rPr>
        <w:t>(prior to audited support) and if changes are needed to the guidance</w:t>
      </w:r>
      <w:r w:rsidR="00910736" w:rsidRPr="002A358A">
        <w:rPr>
          <w:rFonts w:asciiTheme="minorHAnsi" w:hAnsiTheme="minorHAnsi" w:cstheme="minorHAnsi"/>
          <w:b/>
          <w:bCs/>
          <w:sz w:val="22"/>
          <w:szCs w:val="22"/>
        </w:rPr>
        <w:t xml:space="preserve"> to clarify </w:t>
      </w:r>
      <w:r w:rsidR="00BF1653" w:rsidRPr="002A358A">
        <w:rPr>
          <w:rFonts w:asciiTheme="minorHAnsi" w:hAnsiTheme="minorHAnsi" w:cstheme="minorHAnsi"/>
          <w:b/>
          <w:bCs/>
          <w:sz w:val="22"/>
          <w:szCs w:val="22"/>
        </w:rPr>
        <w:t xml:space="preserve">application and </w:t>
      </w:r>
      <w:r w:rsidR="007365F5" w:rsidRPr="002A358A">
        <w:rPr>
          <w:rFonts w:asciiTheme="minorHAnsi" w:hAnsiTheme="minorHAnsi" w:cstheme="minorHAnsi"/>
          <w:b/>
          <w:bCs/>
          <w:sz w:val="22"/>
          <w:szCs w:val="22"/>
        </w:rPr>
        <w:t>improve reported information</w:t>
      </w:r>
      <w:r w:rsidR="002B673F">
        <w:rPr>
          <w:rFonts w:asciiTheme="minorHAnsi" w:hAnsiTheme="minorHAnsi" w:cstheme="minorHAnsi"/>
          <w:b/>
          <w:bCs/>
          <w:sz w:val="22"/>
          <w:szCs w:val="22"/>
        </w:rPr>
        <w:t>.</w:t>
      </w:r>
      <w:r w:rsidR="002B673F">
        <w:rPr>
          <w:rFonts w:asciiTheme="minorHAnsi" w:hAnsiTheme="minorHAnsi" w:cstheme="minorHAnsi"/>
          <w:b/>
          <w:bCs/>
          <w:sz w:val="22"/>
          <w:szCs w:val="22"/>
          <w:u w:val="single"/>
        </w:rPr>
        <w:t xml:space="preserve"> </w:t>
      </w:r>
    </w:p>
    <w:p w14:paraId="406960C7" w14:textId="77777777" w:rsidR="004E71ED" w:rsidRPr="004E71ED" w:rsidRDefault="004E71ED" w:rsidP="004E71ED">
      <w:pPr>
        <w:pStyle w:val="ListParagraph"/>
        <w:rPr>
          <w:rFonts w:asciiTheme="minorHAnsi" w:hAnsiTheme="minorHAnsi" w:cstheme="minorHAnsi"/>
          <w:sz w:val="22"/>
          <w:szCs w:val="22"/>
          <w:u w:val="single"/>
        </w:rPr>
      </w:pPr>
    </w:p>
    <w:p w14:paraId="30AB8DBD" w14:textId="7D51BFAE" w:rsidR="004E71ED" w:rsidRPr="00910736" w:rsidRDefault="00E07228" w:rsidP="00FD0DBA">
      <w:pPr>
        <w:pStyle w:val="ListParagraph"/>
        <w:numPr>
          <w:ilvl w:val="1"/>
          <w:numId w:val="11"/>
        </w:numPr>
        <w:ind w:left="720" w:hanging="270"/>
        <w:jc w:val="both"/>
        <w:rPr>
          <w:rFonts w:asciiTheme="minorHAnsi" w:hAnsiTheme="minorHAnsi" w:cstheme="minorHAnsi"/>
          <w:sz w:val="22"/>
          <w:szCs w:val="22"/>
        </w:rPr>
      </w:pPr>
      <w:r>
        <w:rPr>
          <w:rFonts w:asciiTheme="minorHAnsi" w:hAnsiTheme="minorHAnsi" w:cstheme="minorHAnsi"/>
          <w:sz w:val="22"/>
          <w:szCs w:val="22"/>
        </w:rPr>
        <w:t xml:space="preserve">Consideration could be given </w:t>
      </w:r>
      <w:r w:rsidR="00F77053">
        <w:rPr>
          <w:rFonts w:asciiTheme="minorHAnsi" w:hAnsiTheme="minorHAnsi" w:cstheme="minorHAnsi"/>
          <w:sz w:val="22"/>
          <w:szCs w:val="22"/>
        </w:rPr>
        <w:t>to</w:t>
      </w:r>
      <w:r w:rsidR="004E71ED" w:rsidRPr="00910736">
        <w:rPr>
          <w:rFonts w:asciiTheme="minorHAnsi" w:hAnsiTheme="minorHAnsi" w:cstheme="minorHAnsi"/>
          <w:sz w:val="22"/>
          <w:szCs w:val="22"/>
        </w:rPr>
        <w:t xml:space="preserve"> clarify the intent for audited support prior to the recognition of any equity changes or clarification as to industry practice, in which equity changes are reflected when known</w:t>
      </w:r>
      <w:r w:rsidR="007169EE">
        <w:rPr>
          <w:rFonts w:asciiTheme="minorHAnsi" w:hAnsiTheme="minorHAnsi" w:cstheme="minorHAnsi"/>
          <w:sz w:val="22"/>
          <w:szCs w:val="22"/>
        </w:rPr>
        <w:t xml:space="preserve"> (e.g., when the SSAP No. 48 entity provides updated reports)</w:t>
      </w:r>
      <w:r w:rsidR="004E71ED" w:rsidRPr="00910736">
        <w:rPr>
          <w:rFonts w:asciiTheme="minorHAnsi" w:hAnsiTheme="minorHAnsi" w:cstheme="minorHAnsi"/>
          <w:sz w:val="22"/>
          <w:szCs w:val="22"/>
        </w:rPr>
        <w:t xml:space="preserve">, with a “true-up” to the audited financial statements once available. </w:t>
      </w:r>
    </w:p>
    <w:p w14:paraId="0047E1FC" w14:textId="77777777" w:rsidR="0003678D" w:rsidRPr="00910736" w:rsidRDefault="0003678D" w:rsidP="009878C1">
      <w:pPr>
        <w:pStyle w:val="ListParagraph"/>
        <w:ind w:left="1080"/>
        <w:jc w:val="both"/>
        <w:rPr>
          <w:rFonts w:asciiTheme="minorHAnsi" w:hAnsiTheme="minorHAnsi" w:cstheme="minorHAnsi"/>
          <w:sz w:val="22"/>
          <w:szCs w:val="22"/>
        </w:rPr>
      </w:pPr>
    </w:p>
    <w:p w14:paraId="7AEF7D43" w14:textId="73948054" w:rsidR="0003678D" w:rsidRPr="00910736" w:rsidRDefault="004652C4" w:rsidP="009878C1">
      <w:pPr>
        <w:pStyle w:val="ListParagraph"/>
        <w:numPr>
          <w:ilvl w:val="1"/>
          <w:numId w:val="11"/>
        </w:numPr>
        <w:ind w:left="720"/>
        <w:jc w:val="both"/>
        <w:rPr>
          <w:rFonts w:asciiTheme="minorHAnsi" w:hAnsiTheme="minorHAnsi" w:cstheme="minorHAnsi"/>
          <w:sz w:val="22"/>
          <w:szCs w:val="22"/>
        </w:rPr>
      </w:pPr>
      <w:r>
        <w:rPr>
          <w:rFonts w:asciiTheme="minorHAnsi" w:hAnsiTheme="minorHAnsi" w:cstheme="minorHAnsi"/>
          <w:sz w:val="22"/>
          <w:szCs w:val="22"/>
        </w:rPr>
        <w:t xml:space="preserve">This item also inquires whether </w:t>
      </w:r>
      <w:r w:rsidR="0003678D" w:rsidRPr="00910736">
        <w:rPr>
          <w:rFonts w:asciiTheme="minorHAnsi" w:hAnsiTheme="minorHAnsi" w:cstheme="minorHAnsi"/>
          <w:sz w:val="22"/>
          <w:szCs w:val="22"/>
        </w:rPr>
        <w:t>additional Schedule BA information (perhaps via electronic columns</w:t>
      </w:r>
      <w:r w:rsidR="00263590" w:rsidRPr="00910736">
        <w:rPr>
          <w:rFonts w:asciiTheme="minorHAnsi" w:hAnsiTheme="minorHAnsi" w:cstheme="minorHAnsi"/>
          <w:sz w:val="22"/>
          <w:szCs w:val="22"/>
        </w:rPr>
        <w:t>)</w:t>
      </w:r>
      <w:r w:rsidR="00CC7F9C" w:rsidRPr="00910736">
        <w:rPr>
          <w:rFonts w:asciiTheme="minorHAnsi" w:hAnsiTheme="minorHAnsi" w:cstheme="minorHAnsi"/>
          <w:sz w:val="22"/>
          <w:szCs w:val="22"/>
        </w:rPr>
        <w:t xml:space="preserve"> </w:t>
      </w:r>
      <w:r w:rsidR="00263590">
        <w:rPr>
          <w:rFonts w:asciiTheme="minorHAnsi" w:hAnsiTheme="minorHAnsi" w:cstheme="minorHAnsi"/>
          <w:sz w:val="22"/>
          <w:szCs w:val="22"/>
        </w:rPr>
        <w:t xml:space="preserve">that </w:t>
      </w:r>
      <w:r w:rsidR="00CC7F9C" w:rsidRPr="00910736">
        <w:rPr>
          <w:rFonts w:asciiTheme="minorHAnsi" w:hAnsiTheme="minorHAnsi" w:cstheme="minorHAnsi"/>
          <w:sz w:val="22"/>
          <w:szCs w:val="22"/>
        </w:rPr>
        <w:t xml:space="preserve">identifies the date of the last audited financial statement, when that information was received, and the </w:t>
      </w:r>
      <w:r w:rsidR="00CC7F9C" w:rsidRPr="00910736">
        <w:rPr>
          <w:rFonts w:asciiTheme="minorHAnsi" w:hAnsiTheme="minorHAnsi" w:cstheme="minorHAnsi"/>
          <w:sz w:val="22"/>
          <w:szCs w:val="22"/>
        </w:rPr>
        <w:lastRenderedPageBreak/>
        <w:t xml:space="preserve">audited equity value at that time, </w:t>
      </w:r>
      <w:r>
        <w:rPr>
          <w:rFonts w:asciiTheme="minorHAnsi" w:hAnsiTheme="minorHAnsi" w:cstheme="minorHAnsi"/>
          <w:sz w:val="22"/>
          <w:szCs w:val="22"/>
        </w:rPr>
        <w:t xml:space="preserve">would </w:t>
      </w:r>
      <w:r w:rsidR="00692BA9" w:rsidRPr="00910736">
        <w:rPr>
          <w:rFonts w:asciiTheme="minorHAnsi" w:hAnsiTheme="minorHAnsi" w:cstheme="minorHAnsi"/>
          <w:sz w:val="22"/>
          <w:szCs w:val="22"/>
        </w:rPr>
        <w:t>be beneficial</w:t>
      </w:r>
      <w:r w:rsidR="00E22C72">
        <w:rPr>
          <w:rFonts w:asciiTheme="minorHAnsi" w:hAnsiTheme="minorHAnsi" w:cstheme="minorHAnsi"/>
          <w:sz w:val="22"/>
          <w:szCs w:val="22"/>
        </w:rPr>
        <w:t>.</w:t>
      </w:r>
      <w:r w:rsidR="00692BA9" w:rsidRPr="00910736">
        <w:rPr>
          <w:rFonts w:asciiTheme="minorHAnsi" w:hAnsiTheme="minorHAnsi" w:cstheme="minorHAnsi"/>
          <w:sz w:val="22"/>
          <w:szCs w:val="22"/>
        </w:rPr>
        <w:t xml:space="preserve"> </w:t>
      </w:r>
      <w:r>
        <w:rPr>
          <w:rFonts w:asciiTheme="minorHAnsi" w:hAnsiTheme="minorHAnsi" w:cstheme="minorHAnsi"/>
          <w:sz w:val="22"/>
          <w:szCs w:val="22"/>
        </w:rPr>
        <w:t>For example, i</w:t>
      </w:r>
      <w:r w:rsidR="00692BA9" w:rsidRPr="00910736">
        <w:rPr>
          <w:rFonts w:asciiTheme="minorHAnsi" w:hAnsiTheme="minorHAnsi" w:cstheme="minorHAnsi"/>
          <w:sz w:val="22"/>
          <w:szCs w:val="22"/>
        </w:rPr>
        <w:t xml:space="preserve">t could assist in </w:t>
      </w:r>
      <w:r w:rsidR="001C110B">
        <w:rPr>
          <w:rFonts w:asciiTheme="minorHAnsi" w:hAnsiTheme="minorHAnsi" w:cstheme="minorHAnsi"/>
          <w:sz w:val="22"/>
          <w:szCs w:val="22"/>
        </w:rPr>
        <w:t xml:space="preserve">verifying that the </w:t>
      </w:r>
      <w:r w:rsidR="00263590">
        <w:rPr>
          <w:rFonts w:asciiTheme="minorHAnsi" w:hAnsiTheme="minorHAnsi" w:cstheme="minorHAnsi"/>
          <w:sz w:val="22"/>
          <w:szCs w:val="22"/>
        </w:rPr>
        <w:t>BACV</w:t>
      </w:r>
      <w:r w:rsidR="001C110B">
        <w:rPr>
          <w:rFonts w:asciiTheme="minorHAnsi" w:hAnsiTheme="minorHAnsi" w:cstheme="minorHAnsi"/>
          <w:sz w:val="22"/>
          <w:szCs w:val="22"/>
        </w:rPr>
        <w:t xml:space="preserve"> has audited support and </w:t>
      </w:r>
      <w:r w:rsidR="00692BA9" w:rsidRPr="00910736">
        <w:rPr>
          <w:rFonts w:asciiTheme="minorHAnsi" w:hAnsiTheme="minorHAnsi" w:cstheme="minorHAnsi"/>
          <w:sz w:val="22"/>
          <w:szCs w:val="22"/>
        </w:rPr>
        <w:t xml:space="preserve">identifying significant equity changes </w:t>
      </w:r>
      <w:r w:rsidR="00A51709" w:rsidRPr="00910736">
        <w:rPr>
          <w:rFonts w:asciiTheme="minorHAnsi" w:hAnsiTheme="minorHAnsi" w:cstheme="minorHAnsi"/>
          <w:sz w:val="22"/>
          <w:szCs w:val="22"/>
        </w:rPr>
        <w:t>from</w:t>
      </w:r>
      <w:r w:rsidR="00692BA9" w:rsidRPr="00910736">
        <w:rPr>
          <w:rFonts w:asciiTheme="minorHAnsi" w:hAnsiTheme="minorHAnsi" w:cstheme="minorHAnsi"/>
          <w:sz w:val="22"/>
          <w:szCs w:val="22"/>
        </w:rPr>
        <w:t xml:space="preserve"> the last audit</w:t>
      </w:r>
      <w:r w:rsidR="00910736" w:rsidRPr="00910736">
        <w:rPr>
          <w:rFonts w:asciiTheme="minorHAnsi" w:hAnsiTheme="minorHAnsi" w:cstheme="minorHAnsi"/>
          <w:sz w:val="22"/>
          <w:szCs w:val="22"/>
        </w:rPr>
        <w:t xml:space="preserve">. </w:t>
      </w:r>
    </w:p>
    <w:p w14:paraId="290BBD6D" w14:textId="77777777" w:rsidR="00FE04D6" w:rsidRPr="00FE04D6" w:rsidRDefault="00FE04D6" w:rsidP="00FE04D6">
      <w:pPr>
        <w:pStyle w:val="ListParagraph"/>
        <w:rPr>
          <w:rFonts w:asciiTheme="minorHAnsi" w:hAnsiTheme="minorHAnsi" w:cstheme="minorHAnsi"/>
          <w:b/>
          <w:bCs/>
          <w:sz w:val="22"/>
          <w:szCs w:val="22"/>
          <w:u w:val="single"/>
        </w:rPr>
      </w:pPr>
    </w:p>
    <w:p w14:paraId="74BA5421" w14:textId="7AF74900" w:rsidR="007D1680" w:rsidRDefault="007D1680" w:rsidP="007D1680">
      <w:pPr>
        <w:pStyle w:val="ListParagraph"/>
        <w:numPr>
          <w:ilvl w:val="0"/>
          <w:numId w:val="11"/>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Acquisition of SSAP No. 48 Investments at a Discount with Negative Goodwill</w:t>
      </w:r>
      <w:r w:rsidR="00E142FF">
        <w:rPr>
          <w:rFonts w:asciiTheme="minorHAnsi" w:hAnsiTheme="minorHAnsi" w:cstheme="minorHAnsi"/>
          <w:b/>
          <w:bCs/>
          <w:sz w:val="22"/>
          <w:szCs w:val="22"/>
          <w:u w:val="single"/>
        </w:rPr>
        <w:t xml:space="preserve"> </w:t>
      </w:r>
      <w:r w:rsidR="00E142FF" w:rsidRPr="002A358A">
        <w:rPr>
          <w:rFonts w:asciiTheme="minorHAnsi" w:hAnsiTheme="minorHAnsi" w:cstheme="minorHAnsi"/>
          <w:b/>
          <w:bCs/>
          <w:sz w:val="22"/>
          <w:szCs w:val="22"/>
        </w:rPr>
        <w:t xml:space="preserve">– Feedback is recommended on the application of the goodwill guidance (positive and negative) for SSAP No. 48 items </w:t>
      </w:r>
      <w:r w:rsidR="00F86609" w:rsidRPr="002A358A">
        <w:rPr>
          <w:rFonts w:asciiTheme="minorHAnsi" w:hAnsiTheme="minorHAnsi" w:cstheme="minorHAnsi"/>
          <w:b/>
          <w:bCs/>
          <w:sz w:val="22"/>
          <w:szCs w:val="22"/>
        </w:rPr>
        <w:t xml:space="preserve">and if there </w:t>
      </w:r>
      <w:r w:rsidR="0046051D" w:rsidRPr="002A358A">
        <w:rPr>
          <w:rFonts w:asciiTheme="minorHAnsi" w:hAnsiTheme="minorHAnsi" w:cstheme="minorHAnsi"/>
          <w:b/>
          <w:bCs/>
          <w:sz w:val="22"/>
          <w:szCs w:val="22"/>
        </w:rPr>
        <w:t>are</w:t>
      </w:r>
      <w:r w:rsidR="00F86609" w:rsidRPr="002A358A">
        <w:rPr>
          <w:rFonts w:asciiTheme="minorHAnsi" w:hAnsiTheme="minorHAnsi" w:cstheme="minorHAnsi"/>
          <w:b/>
          <w:bCs/>
          <w:sz w:val="22"/>
          <w:szCs w:val="22"/>
        </w:rPr>
        <w:t xml:space="preserve"> adequate reporting o</w:t>
      </w:r>
      <w:r w:rsidR="00D2595D">
        <w:rPr>
          <w:rFonts w:asciiTheme="minorHAnsi" w:hAnsiTheme="minorHAnsi" w:cstheme="minorHAnsi"/>
          <w:b/>
          <w:bCs/>
          <w:sz w:val="22"/>
          <w:szCs w:val="22"/>
        </w:rPr>
        <w:t xml:space="preserve">n Schedule BA to identify the </w:t>
      </w:r>
      <w:r w:rsidR="00F86609" w:rsidRPr="002A358A">
        <w:rPr>
          <w:rFonts w:asciiTheme="minorHAnsi" w:hAnsiTheme="minorHAnsi" w:cstheme="minorHAnsi"/>
          <w:b/>
          <w:bCs/>
          <w:sz w:val="22"/>
          <w:szCs w:val="22"/>
        </w:rPr>
        <w:t xml:space="preserve">goodwill </w:t>
      </w:r>
      <w:r w:rsidR="00D2595D">
        <w:rPr>
          <w:rFonts w:asciiTheme="minorHAnsi" w:hAnsiTheme="minorHAnsi" w:cstheme="minorHAnsi"/>
          <w:b/>
          <w:bCs/>
          <w:sz w:val="22"/>
          <w:szCs w:val="22"/>
        </w:rPr>
        <w:t>impact</w:t>
      </w:r>
      <w:r w:rsidR="00F86609" w:rsidRPr="002A358A">
        <w:rPr>
          <w:rFonts w:asciiTheme="minorHAnsi" w:hAnsiTheme="minorHAnsi" w:cstheme="minorHAnsi"/>
          <w:b/>
          <w:bCs/>
          <w:sz w:val="22"/>
          <w:szCs w:val="22"/>
        </w:rPr>
        <w:t>.</w:t>
      </w:r>
      <w:r w:rsidR="00F86609">
        <w:rPr>
          <w:rFonts w:asciiTheme="minorHAnsi" w:hAnsiTheme="minorHAnsi" w:cstheme="minorHAnsi"/>
          <w:b/>
          <w:bCs/>
          <w:sz w:val="22"/>
          <w:szCs w:val="22"/>
          <w:u w:val="single"/>
        </w:rPr>
        <w:t xml:space="preserve"> </w:t>
      </w:r>
    </w:p>
    <w:p w14:paraId="1452920B" w14:textId="77777777" w:rsidR="00E142FF" w:rsidRDefault="00E142FF" w:rsidP="00E142FF">
      <w:pPr>
        <w:jc w:val="both"/>
        <w:rPr>
          <w:rFonts w:asciiTheme="minorHAnsi" w:hAnsiTheme="minorHAnsi" w:cstheme="minorHAnsi"/>
          <w:b/>
          <w:bCs/>
          <w:sz w:val="22"/>
          <w:szCs w:val="22"/>
          <w:u w:val="single"/>
        </w:rPr>
      </w:pPr>
    </w:p>
    <w:p w14:paraId="4FAEE855" w14:textId="000BC05B" w:rsidR="00DA51F7" w:rsidRPr="00910736" w:rsidRDefault="00DA51F7" w:rsidP="009878C1">
      <w:pPr>
        <w:pStyle w:val="ListParagraph"/>
        <w:numPr>
          <w:ilvl w:val="1"/>
          <w:numId w:val="11"/>
        </w:numPr>
        <w:ind w:left="720"/>
        <w:jc w:val="both"/>
        <w:rPr>
          <w:rFonts w:asciiTheme="minorHAnsi" w:hAnsiTheme="minorHAnsi" w:cstheme="minorHAnsi"/>
          <w:sz w:val="22"/>
          <w:szCs w:val="22"/>
        </w:rPr>
      </w:pPr>
      <w:r>
        <w:rPr>
          <w:rFonts w:asciiTheme="minorHAnsi" w:hAnsiTheme="minorHAnsi" w:cstheme="minorHAnsi"/>
          <w:sz w:val="22"/>
          <w:szCs w:val="22"/>
        </w:rPr>
        <w:t>As detailed within, under the existing guidance, reporting entities shall not immediate</w:t>
      </w:r>
      <w:r w:rsidR="00D47B3B">
        <w:rPr>
          <w:rFonts w:asciiTheme="minorHAnsi" w:hAnsiTheme="minorHAnsi" w:cstheme="minorHAnsi"/>
          <w:sz w:val="22"/>
          <w:szCs w:val="22"/>
        </w:rPr>
        <w:t xml:space="preserve">ly recognize an increase </w:t>
      </w:r>
      <w:r w:rsidR="00BB6D05">
        <w:rPr>
          <w:rFonts w:asciiTheme="minorHAnsi" w:hAnsiTheme="minorHAnsi" w:cstheme="minorHAnsi"/>
          <w:sz w:val="22"/>
          <w:szCs w:val="22"/>
        </w:rPr>
        <w:t>in</w:t>
      </w:r>
      <w:r w:rsidR="00D47B3B">
        <w:rPr>
          <w:rFonts w:asciiTheme="minorHAnsi" w:hAnsiTheme="minorHAnsi" w:cstheme="minorHAnsi"/>
          <w:sz w:val="22"/>
          <w:szCs w:val="22"/>
        </w:rPr>
        <w:t xml:space="preserve"> equity value if acquiring a SSAP No. 48 item at a discount. Rather, negative goodwill shall be recognized, and that goodwill should be amortized to unrealized gain over </w:t>
      </w:r>
      <w:r w:rsidR="007275A4">
        <w:rPr>
          <w:rFonts w:asciiTheme="minorHAnsi" w:hAnsiTheme="minorHAnsi" w:cstheme="minorHAnsi"/>
          <w:sz w:val="22"/>
          <w:szCs w:val="22"/>
        </w:rPr>
        <w:t xml:space="preserve">when the acquiring entity benefits economically, not to exceed </w:t>
      </w:r>
      <w:r w:rsidR="00D47B3B">
        <w:rPr>
          <w:rFonts w:asciiTheme="minorHAnsi" w:hAnsiTheme="minorHAnsi" w:cstheme="minorHAnsi"/>
          <w:sz w:val="22"/>
          <w:szCs w:val="22"/>
        </w:rPr>
        <w:t xml:space="preserve">10 years. </w:t>
      </w:r>
      <w:r w:rsidR="00360804">
        <w:rPr>
          <w:rFonts w:asciiTheme="minorHAnsi" w:hAnsiTheme="minorHAnsi" w:cstheme="minorHAnsi"/>
          <w:sz w:val="22"/>
          <w:szCs w:val="22"/>
        </w:rPr>
        <w:t xml:space="preserve">(Also noting that the guidance does </w:t>
      </w:r>
      <w:r w:rsidR="00BB3D41">
        <w:rPr>
          <w:rFonts w:asciiTheme="minorHAnsi" w:hAnsiTheme="minorHAnsi" w:cstheme="minorHAnsi"/>
          <w:sz w:val="22"/>
          <w:szCs w:val="22"/>
        </w:rPr>
        <w:t xml:space="preserve">not </w:t>
      </w:r>
      <w:r w:rsidR="00360804">
        <w:rPr>
          <w:rFonts w:asciiTheme="minorHAnsi" w:hAnsiTheme="minorHAnsi" w:cstheme="minorHAnsi"/>
          <w:sz w:val="22"/>
          <w:szCs w:val="22"/>
        </w:rPr>
        <w:t xml:space="preserve">mandate a minimum amortization timeframe for negative goodwill.) </w:t>
      </w:r>
      <w:r w:rsidR="00BB63CA">
        <w:rPr>
          <w:rFonts w:asciiTheme="minorHAnsi" w:hAnsiTheme="minorHAnsi" w:cstheme="minorHAnsi"/>
          <w:sz w:val="22"/>
          <w:szCs w:val="22"/>
        </w:rPr>
        <w:t xml:space="preserve">Comments </w:t>
      </w:r>
      <w:r w:rsidR="00AA5971">
        <w:rPr>
          <w:rFonts w:asciiTheme="minorHAnsi" w:hAnsiTheme="minorHAnsi" w:cstheme="minorHAnsi"/>
          <w:sz w:val="22"/>
          <w:szCs w:val="22"/>
        </w:rPr>
        <w:t>are</w:t>
      </w:r>
      <w:r w:rsidR="00BB63CA">
        <w:rPr>
          <w:rFonts w:asciiTheme="minorHAnsi" w:hAnsiTheme="minorHAnsi" w:cstheme="minorHAnsi"/>
          <w:sz w:val="22"/>
          <w:szCs w:val="22"/>
        </w:rPr>
        <w:t xml:space="preserve"> requested on this guidance and whether modifications or clarifications are needed.</w:t>
      </w:r>
    </w:p>
    <w:p w14:paraId="0413E88A" w14:textId="77777777" w:rsidR="00DA51F7" w:rsidRPr="00910736" w:rsidRDefault="00DA51F7" w:rsidP="009878C1">
      <w:pPr>
        <w:pStyle w:val="ListParagraph"/>
        <w:ind w:left="1080"/>
        <w:jc w:val="both"/>
        <w:rPr>
          <w:rFonts w:asciiTheme="minorHAnsi" w:hAnsiTheme="minorHAnsi" w:cstheme="minorHAnsi"/>
          <w:sz w:val="22"/>
          <w:szCs w:val="22"/>
        </w:rPr>
      </w:pPr>
    </w:p>
    <w:p w14:paraId="0ACC9994" w14:textId="56006980" w:rsidR="00DA51F7" w:rsidRPr="00910736" w:rsidRDefault="00ED0FB2" w:rsidP="009878C1">
      <w:pPr>
        <w:pStyle w:val="ListParagraph"/>
        <w:numPr>
          <w:ilvl w:val="1"/>
          <w:numId w:val="11"/>
        </w:numPr>
        <w:ind w:left="720"/>
        <w:jc w:val="both"/>
        <w:rPr>
          <w:rFonts w:asciiTheme="minorHAnsi" w:hAnsiTheme="minorHAnsi" w:cstheme="minorHAnsi"/>
          <w:sz w:val="22"/>
          <w:szCs w:val="22"/>
        </w:rPr>
      </w:pPr>
      <w:r>
        <w:rPr>
          <w:rFonts w:asciiTheme="minorHAnsi" w:hAnsiTheme="minorHAnsi" w:cstheme="minorHAnsi"/>
          <w:sz w:val="22"/>
          <w:szCs w:val="22"/>
        </w:rPr>
        <w:t xml:space="preserve">Also as detailed within, it does not appear that </w:t>
      </w:r>
      <w:r w:rsidR="00192F37">
        <w:rPr>
          <w:rFonts w:asciiTheme="minorHAnsi" w:hAnsiTheme="minorHAnsi" w:cstheme="minorHAnsi"/>
          <w:sz w:val="22"/>
          <w:szCs w:val="22"/>
        </w:rPr>
        <w:t>there is a</w:t>
      </w:r>
      <w:r w:rsidR="00722044">
        <w:rPr>
          <w:rFonts w:asciiTheme="minorHAnsi" w:hAnsiTheme="minorHAnsi" w:cstheme="minorHAnsi"/>
          <w:sz w:val="22"/>
          <w:szCs w:val="22"/>
        </w:rPr>
        <w:t xml:space="preserve"> </w:t>
      </w:r>
      <w:r w:rsidR="00192F37">
        <w:rPr>
          <w:rFonts w:asciiTheme="minorHAnsi" w:hAnsiTheme="minorHAnsi" w:cstheme="minorHAnsi"/>
          <w:sz w:val="22"/>
          <w:szCs w:val="22"/>
        </w:rPr>
        <w:t xml:space="preserve">way to identify whether a SSAP No. 48 item was acquired at a premium or discount on </w:t>
      </w:r>
      <w:r w:rsidR="00722044">
        <w:rPr>
          <w:rFonts w:asciiTheme="minorHAnsi" w:hAnsiTheme="minorHAnsi" w:cstheme="minorHAnsi"/>
          <w:sz w:val="22"/>
          <w:szCs w:val="22"/>
        </w:rPr>
        <w:t>Schedule BA</w:t>
      </w:r>
      <w:r w:rsidR="00192F37">
        <w:rPr>
          <w:rFonts w:asciiTheme="minorHAnsi" w:hAnsiTheme="minorHAnsi" w:cstheme="minorHAnsi"/>
          <w:sz w:val="22"/>
          <w:szCs w:val="22"/>
        </w:rPr>
        <w:t xml:space="preserve"> and if there is unamortized goodwill. Feedback is required on whether this information would be beneficial for inclusion. </w:t>
      </w:r>
      <w:r w:rsidR="00946A58">
        <w:rPr>
          <w:rFonts w:asciiTheme="minorHAnsi" w:hAnsiTheme="minorHAnsi" w:cstheme="minorHAnsi"/>
          <w:sz w:val="22"/>
          <w:szCs w:val="22"/>
        </w:rPr>
        <w:t xml:space="preserve">Feedback is requested on modifying the Schedule BA information, so this information can be </w:t>
      </w:r>
      <w:r w:rsidR="00E753C0">
        <w:rPr>
          <w:rFonts w:asciiTheme="minorHAnsi" w:hAnsiTheme="minorHAnsi" w:cstheme="minorHAnsi"/>
          <w:sz w:val="22"/>
          <w:szCs w:val="22"/>
        </w:rPr>
        <w:t>reported more transparently</w:t>
      </w:r>
      <w:r w:rsidR="00946A58">
        <w:rPr>
          <w:rFonts w:asciiTheme="minorHAnsi" w:hAnsiTheme="minorHAnsi" w:cstheme="minorHAnsi"/>
          <w:sz w:val="22"/>
          <w:szCs w:val="22"/>
        </w:rPr>
        <w:t>.</w:t>
      </w:r>
    </w:p>
    <w:p w14:paraId="555DF043" w14:textId="77777777" w:rsidR="00AE4DDE" w:rsidRDefault="00AE4DDE" w:rsidP="00EB1497">
      <w:pPr>
        <w:jc w:val="both"/>
        <w:rPr>
          <w:rFonts w:asciiTheme="minorHAnsi" w:hAnsiTheme="minorHAnsi" w:cstheme="minorHAnsi"/>
          <w:b/>
          <w:sz w:val="22"/>
          <w:szCs w:val="22"/>
        </w:rPr>
      </w:pPr>
    </w:p>
    <w:p w14:paraId="1454A785" w14:textId="15527732" w:rsidR="003620C6" w:rsidRDefault="003620C6" w:rsidP="00D40BF5">
      <w:pPr>
        <w:pStyle w:val="ListParagraph"/>
        <w:numPr>
          <w:ilvl w:val="0"/>
          <w:numId w:val="11"/>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Application of Goodwill and Goodwill Disclosures </w:t>
      </w:r>
      <w:r w:rsidR="000B74C0" w:rsidRPr="005A1805">
        <w:rPr>
          <w:rFonts w:asciiTheme="minorHAnsi" w:hAnsiTheme="minorHAnsi" w:cstheme="minorHAnsi"/>
          <w:b/>
          <w:bCs/>
          <w:sz w:val="22"/>
          <w:szCs w:val="22"/>
        </w:rPr>
        <w:t xml:space="preserve">– Feedback is requested regarding the lack of </w:t>
      </w:r>
      <w:r w:rsidR="007A0989">
        <w:rPr>
          <w:rFonts w:asciiTheme="minorHAnsi" w:hAnsiTheme="minorHAnsi" w:cstheme="minorHAnsi"/>
          <w:b/>
          <w:bCs/>
          <w:sz w:val="22"/>
          <w:szCs w:val="22"/>
        </w:rPr>
        <w:t xml:space="preserve">SSAP No. 68 </w:t>
      </w:r>
      <w:r w:rsidR="006370DC" w:rsidRPr="005A1805">
        <w:rPr>
          <w:rFonts w:asciiTheme="minorHAnsi" w:hAnsiTheme="minorHAnsi" w:cstheme="minorHAnsi"/>
          <w:b/>
          <w:bCs/>
          <w:sz w:val="22"/>
          <w:szCs w:val="22"/>
        </w:rPr>
        <w:t xml:space="preserve">disclosures involving goodwill for SSAP No. 48 investments and whether the goodwill from these acquisitions should be captured with the other goodwill disclosures. </w:t>
      </w:r>
      <w:r w:rsidR="005A1805" w:rsidRPr="005A1805">
        <w:rPr>
          <w:rFonts w:asciiTheme="minorHAnsi" w:hAnsiTheme="minorHAnsi" w:cstheme="minorHAnsi"/>
          <w:b/>
          <w:bCs/>
          <w:sz w:val="22"/>
          <w:szCs w:val="22"/>
        </w:rPr>
        <w:t xml:space="preserve">Without inclusion in </w:t>
      </w:r>
      <w:r w:rsidR="00FA2822">
        <w:rPr>
          <w:rFonts w:asciiTheme="minorHAnsi" w:hAnsiTheme="minorHAnsi" w:cstheme="minorHAnsi"/>
          <w:b/>
          <w:bCs/>
          <w:sz w:val="22"/>
          <w:szCs w:val="22"/>
        </w:rPr>
        <w:t xml:space="preserve">the </w:t>
      </w:r>
      <w:r w:rsidR="005A1805" w:rsidRPr="005A1805">
        <w:rPr>
          <w:rFonts w:asciiTheme="minorHAnsi" w:hAnsiTheme="minorHAnsi" w:cstheme="minorHAnsi"/>
          <w:b/>
          <w:bCs/>
          <w:sz w:val="22"/>
          <w:szCs w:val="22"/>
        </w:rPr>
        <w:t>SSAP No. 48</w:t>
      </w:r>
      <w:r w:rsidR="00FA2822">
        <w:rPr>
          <w:rFonts w:asciiTheme="minorHAnsi" w:hAnsiTheme="minorHAnsi" w:cstheme="minorHAnsi"/>
          <w:b/>
          <w:bCs/>
          <w:sz w:val="22"/>
          <w:szCs w:val="22"/>
        </w:rPr>
        <w:t xml:space="preserve"> disclosures</w:t>
      </w:r>
      <w:r w:rsidR="005A1805" w:rsidRPr="005A1805">
        <w:rPr>
          <w:rFonts w:asciiTheme="minorHAnsi" w:hAnsiTheme="minorHAnsi" w:cstheme="minorHAnsi"/>
          <w:b/>
          <w:bCs/>
          <w:sz w:val="22"/>
          <w:szCs w:val="22"/>
        </w:rPr>
        <w:t>, the goodwill from these acquisitions is likely not being subject to admittance limitations or being used to calculate the adjusted capital and surplus for other thresholds (e.g., IMR admittance).</w:t>
      </w:r>
      <w:r w:rsidR="005A1805">
        <w:rPr>
          <w:rFonts w:asciiTheme="minorHAnsi" w:hAnsiTheme="minorHAnsi" w:cstheme="minorHAnsi"/>
          <w:b/>
          <w:bCs/>
          <w:sz w:val="22"/>
          <w:szCs w:val="22"/>
          <w:u w:val="single"/>
        </w:rPr>
        <w:t xml:space="preserve"> </w:t>
      </w:r>
    </w:p>
    <w:p w14:paraId="4C09A0CE" w14:textId="77777777" w:rsidR="00E6464A" w:rsidRDefault="00E6464A" w:rsidP="00E6464A">
      <w:pPr>
        <w:pStyle w:val="ListParagraph"/>
        <w:jc w:val="both"/>
        <w:rPr>
          <w:rFonts w:asciiTheme="minorHAnsi" w:hAnsiTheme="minorHAnsi" w:cstheme="minorHAnsi"/>
          <w:b/>
          <w:bCs/>
          <w:sz w:val="22"/>
          <w:szCs w:val="22"/>
          <w:u w:val="single"/>
        </w:rPr>
      </w:pPr>
    </w:p>
    <w:p w14:paraId="0EAB6346" w14:textId="76FD5DC5" w:rsidR="003620C6" w:rsidRDefault="003620C6" w:rsidP="002079C2">
      <w:pPr>
        <w:pStyle w:val="ListParagraph"/>
        <w:numPr>
          <w:ilvl w:val="1"/>
          <w:numId w:val="11"/>
        </w:numPr>
        <w:jc w:val="both"/>
        <w:rPr>
          <w:rFonts w:asciiTheme="minorHAnsi" w:hAnsiTheme="minorHAnsi" w:cstheme="minorHAnsi"/>
          <w:sz w:val="22"/>
          <w:szCs w:val="22"/>
        </w:rPr>
      </w:pPr>
      <w:r>
        <w:rPr>
          <w:rFonts w:asciiTheme="minorHAnsi" w:hAnsiTheme="minorHAnsi" w:cstheme="minorHAnsi"/>
          <w:sz w:val="22"/>
          <w:szCs w:val="22"/>
        </w:rPr>
        <w:t xml:space="preserve">Although the guidance in SSAP No. 68, paragraph </w:t>
      </w:r>
      <w:r w:rsidR="00D87A55">
        <w:rPr>
          <w:rFonts w:asciiTheme="minorHAnsi" w:hAnsiTheme="minorHAnsi" w:cstheme="minorHAnsi"/>
          <w:sz w:val="22"/>
          <w:szCs w:val="22"/>
        </w:rPr>
        <w:t>4, is</w:t>
      </w:r>
      <w:r>
        <w:rPr>
          <w:rFonts w:asciiTheme="minorHAnsi" w:hAnsiTheme="minorHAnsi" w:cstheme="minorHAnsi"/>
          <w:sz w:val="22"/>
          <w:szCs w:val="22"/>
        </w:rPr>
        <w:t xml:space="preserve"> explicit that all SSAP No. 48 entities are subject to goodwill, there is a question whether  acquisitions of SSAP No. 48 investments are following the guidance and are captured in the goodwill disclosures. </w:t>
      </w:r>
    </w:p>
    <w:p w14:paraId="600C329E" w14:textId="77777777" w:rsidR="003620C6" w:rsidRDefault="003620C6" w:rsidP="003620C6">
      <w:pPr>
        <w:pStyle w:val="BodyTextIndent"/>
        <w:spacing w:after="0"/>
        <w:ind w:left="0"/>
        <w:jc w:val="both"/>
        <w:rPr>
          <w:rFonts w:asciiTheme="minorHAnsi" w:hAnsiTheme="minorHAnsi" w:cstheme="minorHAnsi"/>
          <w:sz w:val="22"/>
          <w:szCs w:val="22"/>
        </w:rPr>
      </w:pPr>
    </w:p>
    <w:p w14:paraId="4EFECE75" w14:textId="0F6A1882" w:rsidR="003620C6" w:rsidRDefault="00F91F18" w:rsidP="002079C2">
      <w:pPr>
        <w:pStyle w:val="ListParagraph"/>
        <w:numPr>
          <w:ilvl w:val="1"/>
          <w:numId w:val="11"/>
        </w:numPr>
        <w:jc w:val="both"/>
        <w:rPr>
          <w:rFonts w:asciiTheme="minorHAnsi" w:hAnsiTheme="minorHAnsi" w:cstheme="minorHAnsi"/>
          <w:sz w:val="22"/>
          <w:szCs w:val="22"/>
        </w:rPr>
      </w:pPr>
      <w:r>
        <w:rPr>
          <w:rFonts w:asciiTheme="minorHAnsi" w:hAnsiTheme="minorHAnsi" w:cstheme="minorHAnsi"/>
          <w:sz w:val="22"/>
          <w:szCs w:val="22"/>
        </w:rPr>
        <w:t xml:space="preserve">Consideration can be given to expanding the SSAP No. 48 disclosures to ensure clarity on how the goodwill from these acquisitions should be reported. </w:t>
      </w:r>
    </w:p>
    <w:p w14:paraId="20435066" w14:textId="77777777" w:rsidR="003620C6" w:rsidRDefault="003620C6" w:rsidP="003620C6">
      <w:pPr>
        <w:pStyle w:val="BodyTextIndent"/>
        <w:spacing w:after="0"/>
        <w:ind w:left="766"/>
        <w:jc w:val="both"/>
        <w:rPr>
          <w:rFonts w:asciiTheme="minorHAnsi" w:hAnsiTheme="minorHAnsi" w:cstheme="minorHAnsi"/>
          <w:sz w:val="22"/>
          <w:szCs w:val="22"/>
        </w:rPr>
      </w:pPr>
    </w:p>
    <w:p w14:paraId="5D2FFE5B" w14:textId="05ACCD38" w:rsidR="002B277F" w:rsidRPr="002B277F" w:rsidRDefault="005156C0" w:rsidP="005156C0">
      <w:pPr>
        <w:pStyle w:val="ListParagraph"/>
        <w:numPr>
          <w:ilvl w:val="0"/>
          <w:numId w:val="11"/>
        </w:numPr>
        <w:jc w:val="both"/>
        <w:rPr>
          <w:rFonts w:asciiTheme="minorHAnsi" w:hAnsiTheme="minorHAnsi" w:cstheme="minorHAnsi"/>
          <w:b/>
          <w:sz w:val="22"/>
          <w:szCs w:val="22"/>
        </w:rPr>
      </w:pPr>
      <w:r>
        <w:rPr>
          <w:rFonts w:asciiTheme="minorHAnsi" w:hAnsiTheme="minorHAnsi" w:cstheme="minorHAnsi"/>
          <w:b/>
          <w:bCs/>
          <w:sz w:val="22"/>
          <w:szCs w:val="22"/>
          <w:u w:val="single"/>
        </w:rPr>
        <w:t>SSAP No. 48</w:t>
      </w:r>
      <w:r w:rsidRPr="00AB1B5B">
        <w:rPr>
          <w:rFonts w:asciiTheme="minorHAnsi" w:hAnsiTheme="minorHAnsi" w:cstheme="minorHAnsi"/>
          <w:b/>
          <w:bCs/>
          <w:sz w:val="22"/>
          <w:szCs w:val="22"/>
          <w:u w:val="single"/>
        </w:rPr>
        <w:t xml:space="preserve"> – </w:t>
      </w:r>
      <w:r>
        <w:rPr>
          <w:rFonts w:asciiTheme="minorHAnsi" w:hAnsiTheme="minorHAnsi" w:cstheme="minorHAnsi"/>
          <w:b/>
          <w:bCs/>
          <w:sz w:val="22"/>
          <w:szCs w:val="22"/>
          <w:u w:val="single"/>
        </w:rPr>
        <w:t>Reference to “Basis Difference</w:t>
      </w:r>
      <w:r w:rsidRPr="00AB1B5B">
        <w:rPr>
          <w:rFonts w:asciiTheme="minorHAnsi" w:hAnsiTheme="minorHAnsi" w:cstheme="minorHAnsi"/>
          <w:b/>
          <w:bCs/>
          <w:sz w:val="22"/>
          <w:szCs w:val="22"/>
          <w:u w:val="single"/>
        </w:rPr>
        <w:t>”</w:t>
      </w:r>
      <w:r w:rsidRPr="00366E9B">
        <w:rPr>
          <w:rFonts w:asciiTheme="minorHAnsi" w:hAnsiTheme="minorHAnsi" w:cstheme="minorHAnsi"/>
          <w:sz w:val="22"/>
          <w:szCs w:val="22"/>
        </w:rPr>
        <w:t xml:space="preserve"> </w:t>
      </w:r>
      <w:r>
        <w:rPr>
          <w:rFonts w:asciiTheme="minorHAnsi" w:hAnsiTheme="minorHAnsi" w:cstheme="minorHAnsi"/>
          <w:sz w:val="22"/>
          <w:szCs w:val="22"/>
        </w:rPr>
        <w:t>–</w:t>
      </w:r>
      <w:r w:rsidRPr="00366E9B">
        <w:rPr>
          <w:rFonts w:asciiTheme="minorHAnsi" w:hAnsiTheme="minorHAnsi" w:cstheme="minorHAnsi"/>
          <w:sz w:val="22"/>
          <w:szCs w:val="22"/>
        </w:rPr>
        <w:t xml:space="preserve"> </w:t>
      </w:r>
      <w:r w:rsidR="00BC6B28">
        <w:rPr>
          <w:rFonts w:asciiTheme="minorHAnsi" w:hAnsiTheme="minorHAnsi" w:cstheme="minorHAnsi"/>
          <w:b/>
          <w:bCs/>
          <w:sz w:val="22"/>
          <w:szCs w:val="22"/>
        </w:rPr>
        <w:t>To ensure consistency in interpretation and application, this</w:t>
      </w:r>
      <w:r w:rsidRPr="004B6592">
        <w:rPr>
          <w:rFonts w:asciiTheme="minorHAnsi" w:hAnsiTheme="minorHAnsi" w:cstheme="minorHAnsi"/>
          <w:b/>
          <w:bCs/>
          <w:sz w:val="22"/>
          <w:szCs w:val="22"/>
        </w:rPr>
        <w:t xml:space="preserve"> agenda item proposes </w:t>
      </w:r>
      <w:r w:rsidR="00BC6B28">
        <w:rPr>
          <w:rFonts w:asciiTheme="minorHAnsi" w:hAnsiTheme="minorHAnsi" w:cstheme="minorHAnsi"/>
          <w:b/>
          <w:bCs/>
          <w:sz w:val="22"/>
          <w:szCs w:val="22"/>
        </w:rPr>
        <w:t xml:space="preserve">consideration of </w:t>
      </w:r>
      <w:r w:rsidRPr="004B6592">
        <w:rPr>
          <w:rFonts w:asciiTheme="minorHAnsi" w:hAnsiTheme="minorHAnsi" w:cstheme="minorHAnsi"/>
          <w:b/>
          <w:bCs/>
          <w:sz w:val="22"/>
          <w:szCs w:val="22"/>
        </w:rPr>
        <w:t xml:space="preserve">minor revisions to replace the term “basis difference” </w:t>
      </w:r>
      <w:r w:rsidR="00BC6B28">
        <w:rPr>
          <w:rFonts w:asciiTheme="minorHAnsi" w:hAnsiTheme="minorHAnsi" w:cstheme="minorHAnsi"/>
          <w:b/>
          <w:bCs/>
          <w:sz w:val="22"/>
          <w:szCs w:val="22"/>
        </w:rPr>
        <w:t>in SSAP No. 48, paragraph 11</w:t>
      </w:r>
      <w:r w:rsidR="006A610F">
        <w:rPr>
          <w:rFonts w:asciiTheme="minorHAnsi" w:hAnsiTheme="minorHAnsi" w:cstheme="minorHAnsi"/>
          <w:b/>
          <w:bCs/>
          <w:sz w:val="22"/>
          <w:szCs w:val="22"/>
        </w:rPr>
        <w:t xml:space="preserve">, </w:t>
      </w:r>
      <w:r w:rsidRPr="004B6592">
        <w:rPr>
          <w:rFonts w:asciiTheme="minorHAnsi" w:hAnsiTheme="minorHAnsi" w:cstheme="minorHAnsi"/>
          <w:b/>
          <w:bCs/>
          <w:sz w:val="22"/>
          <w:szCs w:val="22"/>
        </w:rPr>
        <w:t xml:space="preserve">with goodwill. </w:t>
      </w:r>
    </w:p>
    <w:p w14:paraId="00B7DD35" w14:textId="77777777" w:rsidR="002B277F" w:rsidRDefault="002B277F" w:rsidP="002B277F">
      <w:pPr>
        <w:pStyle w:val="ListParagraph"/>
        <w:jc w:val="both"/>
        <w:rPr>
          <w:rFonts w:asciiTheme="minorHAnsi" w:hAnsiTheme="minorHAnsi" w:cstheme="minorHAnsi"/>
          <w:b/>
          <w:bCs/>
          <w:sz w:val="22"/>
          <w:szCs w:val="22"/>
          <w:u w:val="single"/>
        </w:rPr>
      </w:pPr>
    </w:p>
    <w:p w14:paraId="0A7C0D42" w14:textId="0E3A1A7B" w:rsidR="005156C0" w:rsidRPr="006A610F" w:rsidRDefault="005156C0" w:rsidP="006A610F">
      <w:pPr>
        <w:pStyle w:val="ListParagraph"/>
        <w:numPr>
          <w:ilvl w:val="1"/>
          <w:numId w:val="11"/>
        </w:numPr>
        <w:jc w:val="both"/>
        <w:rPr>
          <w:rFonts w:asciiTheme="minorHAnsi" w:hAnsiTheme="minorHAnsi" w:cstheme="minorHAnsi"/>
          <w:sz w:val="22"/>
          <w:szCs w:val="22"/>
        </w:rPr>
      </w:pPr>
      <w:r>
        <w:rPr>
          <w:rFonts w:asciiTheme="minorHAnsi" w:hAnsiTheme="minorHAnsi" w:cstheme="minorHAnsi"/>
          <w:sz w:val="22"/>
          <w:szCs w:val="22"/>
        </w:rPr>
        <w:t xml:space="preserve"> </w:t>
      </w:r>
      <w:r w:rsidR="006A610F">
        <w:rPr>
          <w:rFonts w:asciiTheme="minorHAnsi" w:hAnsiTheme="minorHAnsi" w:cstheme="minorHAnsi"/>
          <w:sz w:val="22"/>
          <w:szCs w:val="22"/>
        </w:rPr>
        <w:t>The term</w:t>
      </w:r>
      <w:r w:rsidR="000F5BE6">
        <w:rPr>
          <w:rFonts w:asciiTheme="minorHAnsi" w:hAnsiTheme="minorHAnsi" w:cstheme="minorHAnsi"/>
          <w:sz w:val="22"/>
          <w:szCs w:val="22"/>
        </w:rPr>
        <w:t xml:space="preserve"> </w:t>
      </w:r>
      <w:r w:rsidR="004B6592">
        <w:rPr>
          <w:rFonts w:asciiTheme="minorHAnsi" w:hAnsiTheme="minorHAnsi" w:cstheme="minorHAnsi"/>
          <w:sz w:val="22"/>
          <w:szCs w:val="22"/>
        </w:rPr>
        <w:t xml:space="preserve">“basis difference” is </w:t>
      </w:r>
      <w:r w:rsidR="000F5BE6">
        <w:rPr>
          <w:rFonts w:asciiTheme="minorHAnsi" w:hAnsiTheme="minorHAnsi" w:cstheme="minorHAnsi"/>
          <w:sz w:val="22"/>
          <w:szCs w:val="22"/>
        </w:rPr>
        <w:t xml:space="preserve">not a statutory accounting concept, there is nothing in SAP that </w:t>
      </w:r>
      <w:r w:rsidR="002F3F47">
        <w:rPr>
          <w:rFonts w:asciiTheme="minorHAnsi" w:hAnsiTheme="minorHAnsi" w:cstheme="minorHAnsi"/>
          <w:sz w:val="22"/>
          <w:szCs w:val="22"/>
        </w:rPr>
        <w:t xml:space="preserve">explains this </w:t>
      </w:r>
      <w:r w:rsidR="000D01E0">
        <w:rPr>
          <w:rFonts w:asciiTheme="minorHAnsi" w:hAnsiTheme="minorHAnsi" w:cstheme="minorHAnsi"/>
          <w:sz w:val="22"/>
          <w:szCs w:val="22"/>
        </w:rPr>
        <w:t>term</w:t>
      </w:r>
      <w:r w:rsidR="002F3F47">
        <w:rPr>
          <w:rFonts w:asciiTheme="minorHAnsi" w:hAnsiTheme="minorHAnsi" w:cstheme="minorHAnsi"/>
          <w:sz w:val="22"/>
          <w:szCs w:val="22"/>
        </w:rPr>
        <w:t xml:space="preserve"> or establishes the amortization timeframe. As i</w:t>
      </w:r>
      <w:r w:rsidR="006A610F">
        <w:rPr>
          <w:rFonts w:asciiTheme="minorHAnsi" w:hAnsiTheme="minorHAnsi" w:cstheme="minorHAnsi"/>
          <w:sz w:val="22"/>
          <w:szCs w:val="22"/>
        </w:rPr>
        <w:t xml:space="preserve">ts reference intends to </w:t>
      </w:r>
      <w:r w:rsidR="00FC0628">
        <w:rPr>
          <w:rFonts w:asciiTheme="minorHAnsi" w:hAnsiTheme="minorHAnsi" w:cstheme="minorHAnsi"/>
          <w:sz w:val="22"/>
          <w:szCs w:val="22"/>
        </w:rPr>
        <w:t>reflect</w:t>
      </w:r>
      <w:r w:rsidR="002F3F47">
        <w:rPr>
          <w:rFonts w:asciiTheme="minorHAnsi" w:hAnsiTheme="minorHAnsi" w:cstheme="minorHAnsi"/>
          <w:sz w:val="22"/>
          <w:szCs w:val="22"/>
        </w:rPr>
        <w:t xml:space="preserve"> goodwill, </w:t>
      </w:r>
      <w:r w:rsidR="004B6592">
        <w:rPr>
          <w:rFonts w:asciiTheme="minorHAnsi" w:hAnsiTheme="minorHAnsi" w:cstheme="minorHAnsi"/>
          <w:sz w:val="22"/>
          <w:szCs w:val="22"/>
        </w:rPr>
        <w:t>that</w:t>
      </w:r>
      <w:r w:rsidR="002F3F47">
        <w:rPr>
          <w:rFonts w:asciiTheme="minorHAnsi" w:hAnsiTheme="minorHAnsi" w:cstheme="minorHAnsi"/>
          <w:sz w:val="22"/>
          <w:szCs w:val="22"/>
        </w:rPr>
        <w:t xml:space="preserve"> </w:t>
      </w:r>
      <w:r w:rsidR="004B6592">
        <w:rPr>
          <w:rFonts w:asciiTheme="minorHAnsi" w:hAnsiTheme="minorHAnsi" w:cstheme="minorHAnsi"/>
          <w:sz w:val="22"/>
          <w:szCs w:val="22"/>
        </w:rPr>
        <w:t>term/</w:t>
      </w:r>
      <w:r w:rsidR="002F3F47">
        <w:rPr>
          <w:rFonts w:asciiTheme="minorHAnsi" w:hAnsiTheme="minorHAnsi" w:cstheme="minorHAnsi"/>
          <w:sz w:val="22"/>
          <w:szCs w:val="22"/>
        </w:rPr>
        <w:t>guidance should</w:t>
      </w:r>
      <w:r w:rsidR="000D01E0">
        <w:rPr>
          <w:rFonts w:asciiTheme="minorHAnsi" w:hAnsiTheme="minorHAnsi" w:cstheme="minorHAnsi"/>
          <w:sz w:val="22"/>
          <w:szCs w:val="22"/>
        </w:rPr>
        <w:t xml:space="preserve"> be utilized</w:t>
      </w:r>
      <w:r w:rsidR="006A610F">
        <w:rPr>
          <w:rFonts w:asciiTheme="minorHAnsi" w:hAnsiTheme="minorHAnsi" w:cstheme="minorHAnsi"/>
          <w:sz w:val="22"/>
          <w:szCs w:val="22"/>
        </w:rPr>
        <w:t xml:space="preserve"> to prevent confusion / </w:t>
      </w:r>
      <w:r w:rsidR="00FC0628">
        <w:rPr>
          <w:rFonts w:asciiTheme="minorHAnsi" w:hAnsiTheme="minorHAnsi" w:cstheme="minorHAnsi"/>
          <w:sz w:val="22"/>
          <w:szCs w:val="22"/>
        </w:rPr>
        <w:t xml:space="preserve">inconsistent </w:t>
      </w:r>
      <w:r w:rsidR="006A610F">
        <w:rPr>
          <w:rFonts w:asciiTheme="minorHAnsi" w:hAnsiTheme="minorHAnsi" w:cstheme="minorHAnsi"/>
          <w:sz w:val="22"/>
          <w:szCs w:val="22"/>
        </w:rPr>
        <w:t>misapplication.</w:t>
      </w:r>
      <w:r w:rsidR="000D01E0">
        <w:rPr>
          <w:rFonts w:asciiTheme="minorHAnsi" w:hAnsiTheme="minorHAnsi" w:cstheme="minorHAnsi"/>
          <w:sz w:val="22"/>
          <w:szCs w:val="22"/>
        </w:rPr>
        <w:t xml:space="preserve"> </w:t>
      </w:r>
    </w:p>
    <w:p w14:paraId="4BC31CA3" w14:textId="77777777" w:rsidR="00AE4DDE" w:rsidRPr="00A54018" w:rsidRDefault="00AE4DDE" w:rsidP="00EB1497">
      <w:pPr>
        <w:jc w:val="both"/>
        <w:rPr>
          <w:rFonts w:asciiTheme="minorHAnsi" w:hAnsiTheme="minorHAnsi" w:cstheme="minorHAnsi"/>
          <w:i/>
          <w:sz w:val="22"/>
          <w:szCs w:val="22"/>
        </w:rPr>
      </w:pPr>
    </w:p>
    <w:p w14:paraId="77165244" w14:textId="1F4D0265" w:rsidR="00FE24AE" w:rsidRPr="008F7740" w:rsidRDefault="00FE24AE" w:rsidP="00FE24AE">
      <w:pPr>
        <w:pStyle w:val="BodyTextIndent"/>
        <w:numPr>
          <w:ilvl w:val="0"/>
          <w:numId w:val="11"/>
        </w:numPr>
        <w:spacing w:after="0"/>
        <w:jc w:val="both"/>
        <w:rPr>
          <w:rFonts w:asciiTheme="minorHAnsi" w:hAnsiTheme="minorHAnsi" w:cstheme="minorHAnsi"/>
          <w:b/>
          <w:bCs/>
          <w:sz w:val="22"/>
          <w:szCs w:val="22"/>
          <w:u w:val="single"/>
        </w:rPr>
      </w:pPr>
      <w:r w:rsidRPr="008F7740">
        <w:rPr>
          <w:rFonts w:asciiTheme="minorHAnsi" w:hAnsiTheme="minorHAnsi" w:cstheme="minorHAnsi"/>
          <w:b/>
          <w:bCs/>
          <w:sz w:val="22"/>
          <w:szCs w:val="22"/>
          <w:u w:val="single"/>
        </w:rPr>
        <w:t xml:space="preserve">SSAP No. 48 Negative Investment Income and Impairment Assessment </w:t>
      </w:r>
      <w:r w:rsidR="005F3BC9" w:rsidRPr="008F7740">
        <w:rPr>
          <w:rFonts w:asciiTheme="minorHAnsi" w:hAnsiTheme="minorHAnsi" w:cstheme="minorHAnsi"/>
          <w:b/>
          <w:bCs/>
          <w:sz w:val="22"/>
          <w:szCs w:val="22"/>
        </w:rPr>
        <w:t>–</w:t>
      </w:r>
      <w:r w:rsidRPr="008F7740">
        <w:rPr>
          <w:rFonts w:asciiTheme="minorHAnsi" w:hAnsiTheme="minorHAnsi" w:cstheme="minorHAnsi"/>
          <w:b/>
          <w:bCs/>
          <w:sz w:val="22"/>
          <w:szCs w:val="22"/>
        </w:rPr>
        <w:t xml:space="preserve"> </w:t>
      </w:r>
      <w:r w:rsidR="005F3BC9" w:rsidRPr="008F7740">
        <w:rPr>
          <w:rFonts w:asciiTheme="minorHAnsi" w:hAnsiTheme="minorHAnsi" w:cstheme="minorHAnsi"/>
          <w:b/>
          <w:bCs/>
          <w:sz w:val="22"/>
          <w:szCs w:val="22"/>
        </w:rPr>
        <w:t>Feedback is requested on what generates negative investment income reported on Schedule BA</w:t>
      </w:r>
      <w:r w:rsidR="00427544" w:rsidRPr="008F7740">
        <w:rPr>
          <w:rFonts w:asciiTheme="minorHAnsi" w:hAnsiTheme="minorHAnsi" w:cstheme="minorHAnsi"/>
          <w:b/>
          <w:bCs/>
          <w:sz w:val="22"/>
          <w:szCs w:val="22"/>
        </w:rPr>
        <w:t xml:space="preserve"> as well as information on what causes an unrealized loss reporting dynamic</w:t>
      </w:r>
      <w:r w:rsidR="00C1205B" w:rsidRPr="008F7740">
        <w:rPr>
          <w:rFonts w:asciiTheme="minorHAnsi" w:hAnsiTheme="minorHAnsi" w:cstheme="minorHAnsi"/>
          <w:b/>
          <w:bCs/>
          <w:sz w:val="22"/>
          <w:szCs w:val="22"/>
        </w:rPr>
        <w:t>, especially</w:t>
      </w:r>
      <w:r w:rsidR="00427544" w:rsidRPr="008F7740">
        <w:rPr>
          <w:rFonts w:asciiTheme="minorHAnsi" w:hAnsiTheme="minorHAnsi" w:cstheme="minorHAnsi"/>
          <w:b/>
          <w:bCs/>
          <w:sz w:val="22"/>
          <w:szCs w:val="22"/>
        </w:rPr>
        <w:t xml:space="preserve"> when BACV is greater than original cost.</w:t>
      </w:r>
      <w:r w:rsidR="00427544" w:rsidRPr="008F7740">
        <w:rPr>
          <w:rFonts w:asciiTheme="minorHAnsi" w:hAnsiTheme="minorHAnsi" w:cstheme="minorHAnsi"/>
          <w:b/>
          <w:bCs/>
          <w:sz w:val="22"/>
          <w:szCs w:val="22"/>
          <w:u w:val="single"/>
        </w:rPr>
        <w:t xml:space="preserve"> </w:t>
      </w:r>
    </w:p>
    <w:p w14:paraId="2384FBC1" w14:textId="77777777" w:rsidR="00427544" w:rsidRPr="008F7740" w:rsidRDefault="00427544" w:rsidP="00427544">
      <w:pPr>
        <w:pStyle w:val="ListParagraph"/>
        <w:rPr>
          <w:rFonts w:asciiTheme="minorHAnsi" w:hAnsiTheme="minorHAnsi" w:cstheme="minorHAnsi"/>
          <w:b/>
          <w:bCs/>
          <w:sz w:val="22"/>
          <w:szCs w:val="22"/>
          <w:u w:val="single"/>
        </w:rPr>
      </w:pPr>
    </w:p>
    <w:p w14:paraId="45CCB2DE" w14:textId="204EE7FE" w:rsidR="0037712B" w:rsidRPr="008F7740" w:rsidRDefault="00DC215B" w:rsidP="00DC215B">
      <w:pPr>
        <w:pStyle w:val="ListParagraph"/>
        <w:numPr>
          <w:ilvl w:val="1"/>
          <w:numId w:val="11"/>
        </w:numPr>
        <w:jc w:val="both"/>
        <w:rPr>
          <w:rFonts w:asciiTheme="minorHAnsi" w:hAnsiTheme="minorHAnsi" w:cstheme="minorHAnsi"/>
          <w:sz w:val="22"/>
          <w:szCs w:val="22"/>
        </w:rPr>
      </w:pPr>
      <w:r w:rsidRPr="008F7740">
        <w:rPr>
          <w:rFonts w:asciiTheme="minorHAnsi" w:hAnsiTheme="minorHAnsi" w:cstheme="minorHAnsi"/>
          <w:sz w:val="22"/>
          <w:szCs w:val="22"/>
        </w:rPr>
        <w:t xml:space="preserve">As discussed within, </w:t>
      </w:r>
      <w:r w:rsidR="006F4073" w:rsidRPr="008F7740">
        <w:rPr>
          <w:rFonts w:asciiTheme="minorHAnsi" w:hAnsiTheme="minorHAnsi" w:cstheme="minorHAnsi"/>
          <w:sz w:val="22"/>
          <w:szCs w:val="22"/>
        </w:rPr>
        <w:t xml:space="preserve">from a review of the 2024 data (limited to 2024 acquisitions), </w:t>
      </w:r>
      <w:proofErr w:type="gramStart"/>
      <w:r w:rsidR="006F4073" w:rsidRPr="008F7740">
        <w:rPr>
          <w:rFonts w:asciiTheme="minorHAnsi" w:hAnsiTheme="minorHAnsi" w:cstheme="minorHAnsi"/>
          <w:sz w:val="22"/>
          <w:szCs w:val="22"/>
        </w:rPr>
        <w:t>a number of</w:t>
      </w:r>
      <w:proofErr w:type="gramEnd"/>
      <w:r w:rsidR="006F4073" w:rsidRPr="008F7740">
        <w:rPr>
          <w:rFonts w:asciiTheme="minorHAnsi" w:hAnsiTheme="minorHAnsi" w:cstheme="minorHAnsi"/>
          <w:sz w:val="22"/>
          <w:szCs w:val="22"/>
        </w:rPr>
        <w:t xml:space="preserve"> SSAP No. 48 investments </w:t>
      </w:r>
      <w:r w:rsidR="00F974A1" w:rsidRPr="008F7740">
        <w:rPr>
          <w:rFonts w:asciiTheme="minorHAnsi" w:hAnsiTheme="minorHAnsi" w:cstheme="minorHAnsi"/>
          <w:sz w:val="22"/>
          <w:szCs w:val="22"/>
        </w:rPr>
        <w:t xml:space="preserve">were </w:t>
      </w:r>
      <w:r w:rsidR="00576C78" w:rsidRPr="008F7740">
        <w:rPr>
          <w:rFonts w:asciiTheme="minorHAnsi" w:hAnsiTheme="minorHAnsi" w:cstheme="minorHAnsi"/>
          <w:sz w:val="22"/>
          <w:szCs w:val="22"/>
        </w:rPr>
        <w:t xml:space="preserve">reported </w:t>
      </w:r>
      <w:r w:rsidR="00D625FD" w:rsidRPr="008F7740">
        <w:rPr>
          <w:rFonts w:asciiTheme="minorHAnsi" w:hAnsiTheme="minorHAnsi" w:cstheme="minorHAnsi"/>
          <w:sz w:val="22"/>
          <w:szCs w:val="22"/>
        </w:rPr>
        <w:t>with negative investment income</w:t>
      </w:r>
      <w:r w:rsidR="00BA1FE4" w:rsidRPr="008F7740">
        <w:rPr>
          <w:rFonts w:asciiTheme="minorHAnsi" w:hAnsiTheme="minorHAnsi" w:cstheme="minorHAnsi"/>
          <w:sz w:val="22"/>
          <w:szCs w:val="22"/>
        </w:rPr>
        <w:t xml:space="preserve"> (Schedule BA – Column 20</w:t>
      </w:r>
      <w:r w:rsidR="00F4439D">
        <w:rPr>
          <w:rFonts w:asciiTheme="minorHAnsi" w:hAnsiTheme="minorHAnsi" w:cstheme="minorHAnsi"/>
          <w:sz w:val="22"/>
          <w:szCs w:val="22"/>
        </w:rPr>
        <w:t>. Comments are requested</w:t>
      </w:r>
      <w:r w:rsidR="0037712B" w:rsidRPr="008F7740">
        <w:rPr>
          <w:rFonts w:asciiTheme="minorHAnsi" w:hAnsiTheme="minorHAnsi" w:cstheme="minorHAnsi"/>
          <w:sz w:val="22"/>
          <w:szCs w:val="22"/>
        </w:rPr>
        <w:t xml:space="preserve"> help explain how a negative investment income would be reported and what </w:t>
      </w:r>
      <w:r w:rsidR="00BA1FE4" w:rsidRPr="008F7740">
        <w:rPr>
          <w:rFonts w:asciiTheme="minorHAnsi" w:hAnsiTheme="minorHAnsi" w:cstheme="minorHAnsi"/>
          <w:sz w:val="22"/>
          <w:szCs w:val="22"/>
        </w:rPr>
        <w:t>it</w:t>
      </w:r>
      <w:r w:rsidR="0037712B" w:rsidRPr="008F7740">
        <w:rPr>
          <w:rFonts w:asciiTheme="minorHAnsi" w:hAnsiTheme="minorHAnsi" w:cstheme="minorHAnsi"/>
          <w:sz w:val="22"/>
          <w:szCs w:val="22"/>
        </w:rPr>
        <w:t xml:space="preserve"> reflects. The instructions are explicit that amounts that reflect a return of capital should not be captured within the investment income column. </w:t>
      </w:r>
    </w:p>
    <w:p w14:paraId="536BB361" w14:textId="77777777" w:rsidR="00E80FBA" w:rsidRPr="008F7740" w:rsidRDefault="00E80FBA" w:rsidP="00E80FBA">
      <w:pPr>
        <w:pStyle w:val="ListParagraph"/>
        <w:ind w:left="1080"/>
        <w:jc w:val="both"/>
        <w:rPr>
          <w:rFonts w:asciiTheme="minorHAnsi" w:hAnsiTheme="minorHAnsi" w:cstheme="minorHAnsi"/>
          <w:sz w:val="22"/>
          <w:szCs w:val="22"/>
        </w:rPr>
      </w:pPr>
    </w:p>
    <w:p w14:paraId="48C1D01A" w14:textId="2715546C" w:rsidR="00E80FBA" w:rsidRPr="008F7740" w:rsidRDefault="00120C72" w:rsidP="00DC215B">
      <w:pPr>
        <w:pStyle w:val="ListParagraph"/>
        <w:numPr>
          <w:ilvl w:val="1"/>
          <w:numId w:val="11"/>
        </w:numPr>
        <w:jc w:val="both"/>
        <w:rPr>
          <w:rFonts w:asciiTheme="minorHAnsi" w:hAnsiTheme="minorHAnsi" w:cstheme="minorHAnsi"/>
          <w:sz w:val="22"/>
          <w:szCs w:val="22"/>
        </w:rPr>
      </w:pPr>
      <w:r w:rsidRPr="008F7740">
        <w:rPr>
          <w:rFonts w:asciiTheme="minorHAnsi" w:hAnsiTheme="minorHAnsi" w:cstheme="minorHAnsi"/>
          <w:sz w:val="22"/>
          <w:szCs w:val="22"/>
        </w:rPr>
        <w:t xml:space="preserve">Further, from a review of the data, there are questions as to the reporting of unrealized </w:t>
      </w:r>
      <w:r w:rsidR="00D87A55">
        <w:rPr>
          <w:rFonts w:asciiTheme="minorHAnsi" w:hAnsiTheme="minorHAnsi" w:cstheme="minorHAnsi"/>
          <w:sz w:val="22"/>
          <w:szCs w:val="22"/>
        </w:rPr>
        <w:t>valuation decreases</w:t>
      </w:r>
      <w:r w:rsidRPr="008F7740">
        <w:rPr>
          <w:rFonts w:asciiTheme="minorHAnsi" w:hAnsiTheme="minorHAnsi" w:cstheme="minorHAnsi"/>
          <w:sz w:val="22"/>
          <w:szCs w:val="22"/>
        </w:rPr>
        <w:t xml:space="preserve">, </w:t>
      </w:r>
      <w:r w:rsidR="00A61400" w:rsidRPr="008F7740">
        <w:rPr>
          <w:rFonts w:asciiTheme="minorHAnsi" w:hAnsiTheme="minorHAnsi" w:cstheme="minorHAnsi"/>
          <w:sz w:val="22"/>
          <w:szCs w:val="22"/>
        </w:rPr>
        <w:t xml:space="preserve">as often the BACV is greater than original cost (which would indicate an unrealized </w:t>
      </w:r>
      <w:r w:rsidR="00D87A55">
        <w:rPr>
          <w:rFonts w:asciiTheme="minorHAnsi" w:hAnsiTheme="minorHAnsi" w:cstheme="minorHAnsi"/>
          <w:sz w:val="22"/>
          <w:szCs w:val="22"/>
        </w:rPr>
        <w:t>increase/</w:t>
      </w:r>
      <w:r w:rsidR="00A61400" w:rsidRPr="008F7740">
        <w:rPr>
          <w:rFonts w:asciiTheme="minorHAnsi" w:hAnsiTheme="minorHAnsi" w:cstheme="minorHAnsi"/>
          <w:sz w:val="22"/>
          <w:szCs w:val="22"/>
        </w:rPr>
        <w:t xml:space="preserve">gain) or the reported BACV is unchanged from acquisition. </w:t>
      </w:r>
      <w:r w:rsidR="00C71481" w:rsidRPr="008F7740">
        <w:rPr>
          <w:rFonts w:asciiTheme="minorHAnsi" w:hAnsiTheme="minorHAnsi" w:cstheme="minorHAnsi"/>
          <w:sz w:val="22"/>
          <w:szCs w:val="22"/>
        </w:rPr>
        <w:t xml:space="preserve">Although this could reflect positive goodwill, it was noted to be unlikely given the size of the reported unrealized </w:t>
      </w:r>
      <w:r w:rsidR="00160FB3">
        <w:rPr>
          <w:rFonts w:asciiTheme="minorHAnsi" w:hAnsiTheme="minorHAnsi" w:cstheme="minorHAnsi"/>
          <w:sz w:val="22"/>
          <w:szCs w:val="22"/>
        </w:rPr>
        <w:t xml:space="preserve">declines </w:t>
      </w:r>
      <w:r w:rsidR="00C71481" w:rsidRPr="008F7740">
        <w:rPr>
          <w:rFonts w:asciiTheme="minorHAnsi" w:hAnsiTheme="minorHAnsi" w:cstheme="minorHAnsi"/>
          <w:sz w:val="22"/>
          <w:szCs w:val="22"/>
        </w:rPr>
        <w:t xml:space="preserve">in the first year of acquisition. </w:t>
      </w:r>
      <w:r w:rsidR="00C270B2">
        <w:rPr>
          <w:rFonts w:asciiTheme="minorHAnsi" w:hAnsiTheme="minorHAnsi" w:cstheme="minorHAnsi"/>
          <w:sz w:val="22"/>
          <w:szCs w:val="22"/>
        </w:rPr>
        <w:t>Comments are requested</w:t>
      </w:r>
      <w:r w:rsidR="00C71481" w:rsidRPr="008F7740">
        <w:rPr>
          <w:rFonts w:asciiTheme="minorHAnsi" w:hAnsiTheme="minorHAnsi" w:cstheme="minorHAnsi"/>
          <w:sz w:val="22"/>
          <w:szCs w:val="22"/>
        </w:rPr>
        <w:t xml:space="preserve"> to help explain the cause </w:t>
      </w:r>
      <w:r w:rsidR="00C04645">
        <w:rPr>
          <w:rFonts w:asciiTheme="minorHAnsi" w:hAnsiTheme="minorHAnsi" w:cstheme="minorHAnsi"/>
          <w:sz w:val="22"/>
          <w:szCs w:val="22"/>
        </w:rPr>
        <w:t>and</w:t>
      </w:r>
      <w:r w:rsidR="00C71481" w:rsidRPr="008F7740">
        <w:rPr>
          <w:rFonts w:asciiTheme="minorHAnsi" w:hAnsiTheme="minorHAnsi" w:cstheme="minorHAnsi"/>
          <w:sz w:val="22"/>
          <w:szCs w:val="22"/>
        </w:rPr>
        <w:t xml:space="preserve"> calculation of the reported unrealized </w:t>
      </w:r>
      <w:r w:rsidR="00D87A55">
        <w:rPr>
          <w:rFonts w:asciiTheme="minorHAnsi" w:hAnsiTheme="minorHAnsi" w:cstheme="minorHAnsi"/>
          <w:sz w:val="22"/>
          <w:szCs w:val="22"/>
        </w:rPr>
        <w:t>declines</w:t>
      </w:r>
      <w:r w:rsidR="00B06C83">
        <w:rPr>
          <w:rFonts w:asciiTheme="minorHAnsi" w:hAnsiTheme="minorHAnsi" w:cstheme="minorHAnsi"/>
          <w:sz w:val="22"/>
          <w:szCs w:val="22"/>
        </w:rPr>
        <w:t xml:space="preserve"> (</w:t>
      </w:r>
      <w:r w:rsidR="00C71481" w:rsidRPr="008F7740">
        <w:rPr>
          <w:rFonts w:asciiTheme="minorHAnsi" w:hAnsiTheme="minorHAnsi" w:cstheme="minorHAnsi"/>
          <w:sz w:val="22"/>
          <w:szCs w:val="22"/>
        </w:rPr>
        <w:t>losses</w:t>
      </w:r>
      <w:r w:rsidR="00B06C83">
        <w:rPr>
          <w:rFonts w:asciiTheme="minorHAnsi" w:hAnsiTheme="minorHAnsi" w:cstheme="minorHAnsi"/>
          <w:sz w:val="22"/>
          <w:szCs w:val="22"/>
        </w:rPr>
        <w:t>)</w:t>
      </w:r>
      <w:r w:rsidR="00C71481" w:rsidRPr="008F7740">
        <w:rPr>
          <w:rFonts w:asciiTheme="minorHAnsi" w:hAnsiTheme="minorHAnsi" w:cstheme="minorHAnsi"/>
          <w:sz w:val="22"/>
          <w:szCs w:val="22"/>
        </w:rPr>
        <w:t xml:space="preserve">, particularly when the reported BACV is greater than acquisition cost. </w:t>
      </w:r>
    </w:p>
    <w:p w14:paraId="58F6D06E" w14:textId="77777777" w:rsidR="0037712B" w:rsidRPr="006317D4" w:rsidRDefault="0037712B" w:rsidP="00E80FBA">
      <w:pPr>
        <w:pStyle w:val="BodyTextIndent"/>
        <w:spacing w:after="0"/>
        <w:ind w:left="720"/>
        <w:jc w:val="both"/>
        <w:rPr>
          <w:rFonts w:asciiTheme="minorHAnsi" w:hAnsiTheme="minorHAnsi" w:cstheme="minorHAnsi"/>
          <w:sz w:val="22"/>
          <w:szCs w:val="22"/>
          <w:highlight w:val="lightGray"/>
        </w:rPr>
      </w:pPr>
    </w:p>
    <w:p w14:paraId="1897E5CA" w14:textId="0C130848" w:rsidR="001F4316" w:rsidRPr="001F4316" w:rsidRDefault="000C7CB0" w:rsidP="000C7CB0">
      <w:pPr>
        <w:pStyle w:val="ListParagraph"/>
        <w:numPr>
          <w:ilvl w:val="0"/>
          <w:numId w:val="11"/>
        </w:numPr>
        <w:jc w:val="both"/>
        <w:rPr>
          <w:rFonts w:asciiTheme="minorHAnsi" w:hAnsiTheme="minorHAnsi" w:cstheme="minorHAnsi"/>
          <w:sz w:val="22"/>
          <w:szCs w:val="22"/>
        </w:rPr>
      </w:pPr>
      <w:r w:rsidRPr="000C7CB0">
        <w:rPr>
          <w:rFonts w:asciiTheme="minorHAnsi" w:hAnsiTheme="minorHAnsi" w:cstheme="minorHAnsi"/>
          <w:b/>
          <w:bCs/>
          <w:sz w:val="22"/>
          <w:szCs w:val="22"/>
          <w:u w:val="single"/>
        </w:rPr>
        <w:t>SSAP No. 48 Ownership Percentage and Related Party Codes</w:t>
      </w:r>
      <w:r w:rsidRPr="001F4316">
        <w:rPr>
          <w:rFonts w:asciiTheme="minorHAnsi" w:hAnsiTheme="minorHAnsi" w:cstheme="minorHAnsi"/>
          <w:b/>
          <w:bCs/>
          <w:sz w:val="22"/>
          <w:szCs w:val="22"/>
        </w:rPr>
        <w:t xml:space="preserve"> – </w:t>
      </w:r>
      <w:r w:rsidR="001F4316" w:rsidRPr="001F4316">
        <w:rPr>
          <w:rFonts w:asciiTheme="minorHAnsi" w:hAnsiTheme="minorHAnsi" w:cstheme="minorHAnsi"/>
          <w:b/>
          <w:bCs/>
          <w:sz w:val="22"/>
          <w:szCs w:val="22"/>
        </w:rPr>
        <w:t>Feedback</w:t>
      </w:r>
      <w:r w:rsidRPr="001F4316">
        <w:rPr>
          <w:rFonts w:asciiTheme="minorHAnsi" w:hAnsiTheme="minorHAnsi" w:cstheme="minorHAnsi"/>
          <w:b/>
          <w:bCs/>
          <w:sz w:val="22"/>
          <w:szCs w:val="22"/>
        </w:rPr>
        <w:t xml:space="preserve"> is requested on how related party codes are being used</w:t>
      </w:r>
      <w:r w:rsidR="001F4316" w:rsidRPr="001F4316">
        <w:rPr>
          <w:rFonts w:asciiTheme="minorHAnsi" w:hAnsiTheme="minorHAnsi" w:cstheme="minorHAnsi"/>
          <w:b/>
          <w:bCs/>
          <w:sz w:val="22"/>
          <w:szCs w:val="22"/>
        </w:rPr>
        <w:t xml:space="preserve"> as many instances have been noted where the entity has a significant majority ownership (50% or higher) and the reported code is a “6 – No Related Party Relationship.” </w:t>
      </w:r>
    </w:p>
    <w:p w14:paraId="2037D948" w14:textId="77777777" w:rsidR="001F4316" w:rsidRDefault="001F4316" w:rsidP="001F4316">
      <w:pPr>
        <w:pStyle w:val="ListParagraph"/>
        <w:ind w:left="360"/>
        <w:jc w:val="both"/>
        <w:rPr>
          <w:rFonts w:asciiTheme="minorHAnsi" w:hAnsiTheme="minorHAnsi" w:cstheme="minorHAnsi"/>
          <w:b/>
          <w:bCs/>
          <w:sz w:val="22"/>
          <w:szCs w:val="22"/>
          <w:u w:val="single"/>
        </w:rPr>
      </w:pPr>
    </w:p>
    <w:p w14:paraId="019654B4" w14:textId="0838EDE2" w:rsidR="000C7CB0" w:rsidRPr="000C7CB0" w:rsidRDefault="000C7CB0" w:rsidP="001F4316">
      <w:pPr>
        <w:pStyle w:val="ListParagraph"/>
        <w:numPr>
          <w:ilvl w:val="1"/>
          <w:numId w:val="11"/>
        </w:numPr>
        <w:jc w:val="both"/>
        <w:rPr>
          <w:rFonts w:asciiTheme="minorHAnsi" w:hAnsiTheme="minorHAnsi" w:cstheme="minorHAnsi"/>
          <w:sz w:val="22"/>
          <w:szCs w:val="22"/>
        </w:rPr>
      </w:pPr>
      <w:r w:rsidRPr="000C7CB0">
        <w:rPr>
          <w:rFonts w:asciiTheme="minorHAnsi" w:hAnsiTheme="minorHAnsi" w:cstheme="minorHAnsi"/>
          <w:sz w:val="22"/>
          <w:szCs w:val="22"/>
        </w:rPr>
        <w:t>Under the provisions of SSAP No. 48 for determining “minor” (less than 10% or lacks control) as well as the SSAP No. 25 guidance in determining a related party relationship, these investments with more than 10% reporting entity ownership reflect a related party relationship. Although the criteria may not be met for “control” and affiliation, it seems that at a minimum, related party codes 2-5 would be applicable based on what is held within the SSAP No. 48 investment</w:t>
      </w:r>
      <w:r w:rsidR="002D07EB">
        <w:rPr>
          <w:rFonts w:asciiTheme="minorHAnsi" w:hAnsiTheme="minorHAnsi" w:cstheme="minorHAnsi"/>
          <w:sz w:val="22"/>
          <w:szCs w:val="22"/>
        </w:rPr>
        <w:t>.</w:t>
      </w:r>
      <w:r w:rsidRPr="000C7CB0">
        <w:rPr>
          <w:rFonts w:asciiTheme="minorHAnsi" w:hAnsiTheme="minorHAnsi" w:cstheme="minorHAnsi"/>
          <w:sz w:val="22"/>
          <w:szCs w:val="22"/>
        </w:rPr>
        <w:t xml:space="preserve"> </w:t>
      </w:r>
    </w:p>
    <w:p w14:paraId="526ED426" w14:textId="77777777" w:rsidR="000C7CB0" w:rsidRPr="008F7740" w:rsidRDefault="000C7CB0" w:rsidP="000C7CB0">
      <w:pPr>
        <w:pStyle w:val="ListParagraph"/>
        <w:ind w:left="1080"/>
        <w:jc w:val="both"/>
        <w:rPr>
          <w:rFonts w:asciiTheme="minorHAnsi" w:hAnsiTheme="minorHAnsi" w:cstheme="minorHAnsi"/>
          <w:sz w:val="22"/>
          <w:szCs w:val="22"/>
        </w:rPr>
      </w:pPr>
    </w:p>
    <w:p w14:paraId="7234E10A" w14:textId="4219B28E" w:rsidR="004D7317" w:rsidRPr="008F7740" w:rsidRDefault="004D7317" w:rsidP="004D7317">
      <w:pPr>
        <w:pStyle w:val="ListParagraph"/>
        <w:numPr>
          <w:ilvl w:val="0"/>
          <w:numId w:val="11"/>
        </w:numPr>
        <w:jc w:val="both"/>
        <w:rPr>
          <w:rFonts w:asciiTheme="minorHAnsi" w:hAnsiTheme="minorHAnsi" w:cstheme="minorHAnsi"/>
          <w:b/>
          <w:sz w:val="22"/>
          <w:szCs w:val="22"/>
        </w:rPr>
      </w:pPr>
      <w:r w:rsidRPr="008F7740">
        <w:rPr>
          <w:rFonts w:asciiTheme="minorHAnsi" w:hAnsiTheme="minorHAnsi" w:cstheme="minorHAnsi"/>
          <w:b/>
          <w:bCs/>
          <w:sz w:val="22"/>
          <w:szCs w:val="22"/>
          <w:u w:val="single"/>
        </w:rPr>
        <w:t>Schedule BA Column – “Date Originally Acquired”</w:t>
      </w:r>
      <w:r w:rsidRPr="008F7740">
        <w:rPr>
          <w:rFonts w:asciiTheme="minorHAnsi" w:hAnsiTheme="minorHAnsi" w:cstheme="minorHAnsi"/>
          <w:sz w:val="22"/>
          <w:szCs w:val="22"/>
        </w:rPr>
        <w:t xml:space="preserve"> - To ensure consistency in reporting, this agenda item proposes consideration of blanks reporting revisions to clarify the “date originally acquired” on Part 1 to identify that it should not be updated to reflect additional interests / funding towards an existing investment. For Schedule BA, Part 2, consideration will be given towards minor revisions to specifically address how to report subsequent additions.</w:t>
      </w:r>
    </w:p>
    <w:p w14:paraId="537CD824" w14:textId="77777777" w:rsidR="00D82763" w:rsidRPr="00A54018" w:rsidRDefault="00D82763" w:rsidP="00C168E5">
      <w:pPr>
        <w:jc w:val="both"/>
        <w:rPr>
          <w:rFonts w:asciiTheme="minorHAnsi" w:hAnsiTheme="minorHAnsi" w:cstheme="minorHAnsi"/>
          <w:b/>
          <w:sz w:val="22"/>
          <w:szCs w:val="22"/>
        </w:rPr>
      </w:pPr>
    </w:p>
    <w:p w14:paraId="1A885CEA" w14:textId="22F1D79F" w:rsidR="00711CBA" w:rsidRDefault="00711CBA" w:rsidP="00711CBA">
      <w:pPr>
        <w:pStyle w:val="BodyText2"/>
        <w:rPr>
          <w:rFonts w:asciiTheme="minorHAnsi" w:hAnsiTheme="minorHAnsi" w:cstheme="minorHAnsi"/>
          <w:b w:val="0"/>
          <w:szCs w:val="22"/>
        </w:rPr>
      </w:pPr>
      <w:r w:rsidRPr="00A54018">
        <w:rPr>
          <w:rFonts w:asciiTheme="minorHAnsi" w:hAnsiTheme="minorHAnsi" w:cstheme="minorHAnsi"/>
          <w:szCs w:val="22"/>
        </w:rPr>
        <w:t xml:space="preserve">Staff Review Completed by: </w:t>
      </w:r>
      <w:r w:rsidRPr="00A54018">
        <w:rPr>
          <w:rFonts w:asciiTheme="minorHAnsi" w:hAnsiTheme="minorHAnsi" w:cstheme="minorHAnsi"/>
          <w:b w:val="0"/>
          <w:szCs w:val="22"/>
        </w:rPr>
        <w:t>Julie Gann, NAIC Staff—</w:t>
      </w:r>
      <w:r w:rsidR="00E368B5">
        <w:rPr>
          <w:rFonts w:asciiTheme="minorHAnsi" w:hAnsiTheme="minorHAnsi" w:cstheme="minorHAnsi"/>
          <w:b w:val="0"/>
          <w:szCs w:val="22"/>
        </w:rPr>
        <w:t>September</w:t>
      </w:r>
      <w:r w:rsidR="008F26AC" w:rsidRPr="00A54018">
        <w:rPr>
          <w:rFonts w:asciiTheme="minorHAnsi" w:hAnsiTheme="minorHAnsi" w:cstheme="minorHAnsi"/>
          <w:b w:val="0"/>
          <w:szCs w:val="22"/>
        </w:rPr>
        <w:t xml:space="preserve"> 2025</w:t>
      </w:r>
    </w:p>
    <w:p w14:paraId="25881857" w14:textId="77777777" w:rsidR="00C50800" w:rsidRDefault="00C50800" w:rsidP="00711CBA">
      <w:pPr>
        <w:pStyle w:val="BodyText2"/>
        <w:rPr>
          <w:rFonts w:asciiTheme="minorHAnsi" w:hAnsiTheme="minorHAnsi" w:cstheme="minorHAnsi"/>
          <w:b w:val="0"/>
          <w:szCs w:val="22"/>
        </w:rPr>
      </w:pPr>
    </w:p>
    <w:p w14:paraId="0E11F66B" w14:textId="77777777" w:rsidR="00700C9D" w:rsidRPr="0010199A" w:rsidRDefault="00700C9D" w:rsidP="00700C9D">
      <w:pPr>
        <w:pStyle w:val="BodyText2"/>
        <w:rPr>
          <w:rFonts w:asciiTheme="minorHAnsi" w:hAnsiTheme="minorHAnsi" w:cstheme="minorHAnsi"/>
          <w:bCs w:val="0"/>
          <w:szCs w:val="22"/>
        </w:rPr>
      </w:pPr>
      <w:r w:rsidRPr="0010199A">
        <w:rPr>
          <w:rFonts w:asciiTheme="minorHAnsi" w:hAnsiTheme="minorHAnsi" w:cstheme="minorHAnsi"/>
          <w:bCs w:val="0"/>
          <w:szCs w:val="22"/>
        </w:rPr>
        <w:t>Status:</w:t>
      </w:r>
    </w:p>
    <w:p w14:paraId="2299AF4E" w14:textId="290444BA" w:rsidR="00C50800" w:rsidRPr="00A54018" w:rsidRDefault="00700C9D" w:rsidP="00700C9D">
      <w:pPr>
        <w:pStyle w:val="BodyText2"/>
        <w:rPr>
          <w:rFonts w:asciiTheme="minorHAnsi" w:hAnsiTheme="minorHAnsi" w:cstheme="minorHAnsi"/>
          <w:b w:val="0"/>
          <w:szCs w:val="22"/>
        </w:rPr>
      </w:pPr>
      <w:r>
        <w:rPr>
          <w:rFonts w:asciiTheme="minorHAnsi" w:hAnsiTheme="minorHAnsi" w:cstheme="minorHAnsi"/>
          <w:b w:val="0"/>
          <w:szCs w:val="22"/>
        </w:rPr>
        <w:t xml:space="preserve">On December 9, 2025, the Statutory Accounting </w:t>
      </w:r>
      <w:r w:rsidR="00FF4FC9">
        <w:rPr>
          <w:rFonts w:asciiTheme="minorHAnsi" w:hAnsiTheme="minorHAnsi" w:cstheme="minorHAnsi"/>
          <w:b w:val="0"/>
          <w:szCs w:val="22"/>
        </w:rPr>
        <w:t xml:space="preserve">Principles </w:t>
      </w:r>
      <w:r>
        <w:rPr>
          <w:rFonts w:asciiTheme="minorHAnsi" w:hAnsiTheme="minorHAnsi" w:cstheme="minorHAnsi"/>
          <w:b w:val="0"/>
          <w:szCs w:val="22"/>
        </w:rPr>
        <w:t xml:space="preserve">(E) Working Group exposed this agenda item </w:t>
      </w:r>
      <w:r w:rsidR="00981392">
        <w:rPr>
          <w:rFonts w:asciiTheme="minorHAnsi" w:hAnsiTheme="minorHAnsi" w:cstheme="minorHAnsi"/>
          <w:b w:val="0"/>
          <w:szCs w:val="22"/>
        </w:rPr>
        <w:t>with a request for fe</w:t>
      </w:r>
      <w:r w:rsidRPr="00700C9D">
        <w:rPr>
          <w:rFonts w:asciiTheme="minorHAnsi" w:hAnsiTheme="minorHAnsi" w:cstheme="minorHAnsi"/>
          <w:b w:val="0"/>
          <w:szCs w:val="22"/>
        </w:rPr>
        <w:t xml:space="preserve">edback on </w:t>
      </w:r>
      <w:r w:rsidR="00981392">
        <w:rPr>
          <w:rFonts w:asciiTheme="minorHAnsi" w:hAnsiTheme="minorHAnsi" w:cstheme="minorHAnsi"/>
          <w:b w:val="0"/>
          <w:szCs w:val="22"/>
        </w:rPr>
        <w:t xml:space="preserve">the above </w:t>
      </w:r>
      <w:r w:rsidRPr="00700C9D">
        <w:rPr>
          <w:rFonts w:asciiTheme="minorHAnsi" w:hAnsiTheme="minorHAnsi" w:cstheme="minorHAnsi"/>
          <w:b w:val="0"/>
          <w:szCs w:val="22"/>
        </w:rPr>
        <w:t>noted aspects</w:t>
      </w:r>
      <w:r w:rsidR="0067408F">
        <w:rPr>
          <w:rFonts w:asciiTheme="minorHAnsi" w:hAnsiTheme="minorHAnsi" w:cstheme="minorHAnsi"/>
          <w:b w:val="0"/>
          <w:szCs w:val="22"/>
        </w:rPr>
        <w:t xml:space="preserve"> and the application of </w:t>
      </w:r>
      <w:r w:rsidR="00A7466C">
        <w:rPr>
          <w:rFonts w:asciiTheme="minorHAnsi" w:hAnsiTheme="minorHAnsi" w:cstheme="minorHAnsi"/>
          <w:b w:val="0"/>
          <w:szCs w:val="22"/>
        </w:rPr>
        <w:t>existing guidance</w:t>
      </w:r>
      <w:r>
        <w:rPr>
          <w:rFonts w:asciiTheme="minorHAnsi" w:hAnsiTheme="minorHAnsi" w:cstheme="minorHAnsi"/>
          <w:b w:val="0"/>
          <w:szCs w:val="22"/>
        </w:rPr>
        <w:t>.</w:t>
      </w:r>
    </w:p>
    <w:p w14:paraId="5FD3BF15" w14:textId="77777777" w:rsidR="00E00CC8" w:rsidRPr="00A54018" w:rsidRDefault="00E00CC8" w:rsidP="00711CBA">
      <w:pPr>
        <w:pStyle w:val="BodyText2"/>
        <w:rPr>
          <w:rFonts w:asciiTheme="minorHAnsi" w:hAnsiTheme="minorHAnsi" w:cstheme="minorHAnsi"/>
          <w:b w:val="0"/>
          <w:szCs w:val="22"/>
        </w:rPr>
      </w:pPr>
    </w:p>
    <w:p w14:paraId="68BD6302" w14:textId="0BF684C6" w:rsidR="00340D1B" w:rsidRPr="00A54018" w:rsidRDefault="002A1316" w:rsidP="00EF4925">
      <w:pPr>
        <w:rPr>
          <w:rFonts w:asciiTheme="minorHAnsi" w:hAnsiTheme="minorHAnsi" w:cstheme="minorHAnsi"/>
          <w:sz w:val="16"/>
          <w:szCs w:val="16"/>
        </w:rPr>
      </w:pPr>
      <w:r w:rsidRPr="00A54018">
        <w:rPr>
          <w:rFonts w:asciiTheme="minorHAnsi" w:hAnsiTheme="minorHAnsi" w:cstheme="minorHAnsi"/>
          <w:sz w:val="16"/>
          <w:szCs w:val="16"/>
        </w:rPr>
        <w:fldChar w:fldCharType="begin"/>
      </w:r>
      <w:r w:rsidRPr="00A54018">
        <w:rPr>
          <w:rFonts w:asciiTheme="minorHAnsi" w:hAnsiTheme="minorHAnsi" w:cstheme="minorHAnsi"/>
          <w:sz w:val="16"/>
          <w:szCs w:val="16"/>
        </w:rPr>
        <w:instrText xml:space="preserve"> FILENAME \p </w:instrText>
      </w:r>
      <w:r w:rsidRPr="00A54018">
        <w:rPr>
          <w:rFonts w:asciiTheme="minorHAnsi" w:hAnsiTheme="minorHAnsi" w:cstheme="minorHAnsi"/>
          <w:sz w:val="16"/>
          <w:szCs w:val="16"/>
        </w:rPr>
        <w:fldChar w:fldCharType="separate"/>
      </w:r>
      <w:r w:rsidR="00C50800">
        <w:rPr>
          <w:rFonts w:asciiTheme="minorHAnsi" w:hAnsiTheme="minorHAnsi" w:cstheme="minorHAnsi"/>
          <w:noProof/>
          <w:sz w:val="16"/>
          <w:szCs w:val="16"/>
        </w:rPr>
        <w:t>https://naiconline.sharepoint.com/teams/FRSStatutoryAccounting/National Meetings/A. National Meeting Materials/2025/12-9-25 Fall National Meeting/Exposures/25-26 - Equity Changes.docx</w:t>
      </w:r>
      <w:r w:rsidRPr="00A54018">
        <w:rPr>
          <w:rFonts w:asciiTheme="minorHAnsi" w:hAnsiTheme="minorHAnsi" w:cstheme="minorHAnsi"/>
          <w:sz w:val="16"/>
          <w:szCs w:val="16"/>
        </w:rPr>
        <w:fldChar w:fldCharType="end"/>
      </w:r>
    </w:p>
    <w:sectPr w:rsidR="00340D1B" w:rsidRPr="00A54018"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9058" w14:textId="77777777" w:rsidR="00EA2312" w:rsidRDefault="00EA2312">
      <w:r>
        <w:separator/>
      </w:r>
    </w:p>
  </w:endnote>
  <w:endnote w:type="continuationSeparator" w:id="0">
    <w:p w14:paraId="1312172F" w14:textId="77777777" w:rsidR="00EA2312" w:rsidRDefault="00EA2312">
      <w:r>
        <w:continuationSeparator/>
      </w:r>
    </w:p>
  </w:endnote>
  <w:endnote w:type="continuationNotice" w:id="1">
    <w:p w14:paraId="5B9194D3" w14:textId="77777777" w:rsidR="00EA2312" w:rsidRDefault="00EA2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77376F4C" w:rsidR="006D3A59" w:rsidRDefault="006D3A59" w:rsidP="00DF407B">
    <w:pPr>
      <w:pStyle w:val="Footer"/>
      <w:tabs>
        <w:tab w:val="clear" w:pos="4320"/>
        <w:tab w:val="center" w:pos="5040"/>
      </w:tabs>
      <w:rPr>
        <w:sz w:val="20"/>
      </w:rPr>
    </w:pPr>
    <w:r w:rsidRPr="00A54018">
      <w:rPr>
        <w:rFonts w:asciiTheme="minorHAnsi" w:hAnsiTheme="minorHAnsi" w:cstheme="minorHAnsi"/>
        <w:sz w:val="20"/>
      </w:rPr>
      <w:t xml:space="preserve">© </w:t>
    </w:r>
    <w:r w:rsidR="005B478B" w:rsidRPr="00A54018">
      <w:rPr>
        <w:rFonts w:asciiTheme="minorHAnsi" w:hAnsiTheme="minorHAnsi" w:cstheme="minorHAnsi"/>
        <w:sz w:val="20"/>
      </w:rPr>
      <w:t>20</w:t>
    </w:r>
    <w:r w:rsidR="00CA4E49" w:rsidRPr="00A54018">
      <w:rPr>
        <w:rFonts w:asciiTheme="minorHAnsi" w:hAnsiTheme="minorHAnsi" w:cstheme="minorHAnsi"/>
        <w:sz w:val="20"/>
      </w:rPr>
      <w:t>2</w:t>
    </w:r>
    <w:r w:rsidR="00072F21" w:rsidRPr="00A54018">
      <w:rPr>
        <w:rFonts w:asciiTheme="minorHAnsi" w:hAnsiTheme="minorHAnsi" w:cstheme="minorHAnsi"/>
        <w:sz w:val="20"/>
      </w:rPr>
      <w:t>5</w:t>
    </w:r>
    <w:r w:rsidRPr="00A54018">
      <w:rPr>
        <w:rFonts w:asciiTheme="minorHAnsi" w:hAnsiTheme="minorHAnsi" w:cstheme="minorHAnsi"/>
        <w:sz w:val="20"/>
      </w:rPr>
      <w:t xml:space="preserve"> National Association of Insurance Commissioners</w:t>
    </w:r>
    <w:r w:rsidR="00DF407B" w:rsidRPr="00A54018">
      <w:rPr>
        <w:rFonts w:asciiTheme="minorHAnsi" w:hAnsiTheme="minorHAnsi" w:cstheme="minorHAnsi"/>
        <w:sz w:val="20"/>
      </w:rPr>
      <w:tab/>
    </w:r>
    <w:r w:rsidRPr="00A54018">
      <w:rPr>
        <w:rStyle w:val="PageNumber"/>
        <w:rFonts w:asciiTheme="minorHAnsi" w:hAnsiTheme="minorHAnsi" w:cstheme="minorHAnsi"/>
        <w:sz w:val="20"/>
      </w:rPr>
      <w:fldChar w:fldCharType="begin"/>
    </w:r>
    <w:r w:rsidRPr="00A54018">
      <w:rPr>
        <w:rStyle w:val="PageNumber"/>
        <w:rFonts w:asciiTheme="minorHAnsi" w:hAnsiTheme="minorHAnsi" w:cstheme="minorHAnsi"/>
        <w:sz w:val="20"/>
      </w:rPr>
      <w:instrText xml:space="preserve"> PAGE </w:instrText>
    </w:r>
    <w:r w:rsidRPr="00A54018">
      <w:rPr>
        <w:rStyle w:val="PageNumber"/>
        <w:rFonts w:asciiTheme="minorHAnsi" w:hAnsiTheme="minorHAnsi" w:cstheme="minorHAnsi"/>
        <w:sz w:val="20"/>
      </w:rPr>
      <w:fldChar w:fldCharType="separate"/>
    </w:r>
    <w:r w:rsidR="00626EC0" w:rsidRPr="00A54018">
      <w:rPr>
        <w:rStyle w:val="PageNumber"/>
        <w:rFonts w:asciiTheme="minorHAnsi" w:hAnsiTheme="minorHAnsi" w:cstheme="minorHAnsi"/>
        <w:sz w:val="20"/>
      </w:rPr>
      <w:t>2</w:t>
    </w:r>
    <w:r w:rsidRPr="00A54018">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D395" w14:textId="77777777" w:rsidR="00EA2312" w:rsidRDefault="00EA2312">
      <w:r>
        <w:separator/>
      </w:r>
    </w:p>
  </w:footnote>
  <w:footnote w:type="continuationSeparator" w:id="0">
    <w:p w14:paraId="4735F454" w14:textId="77777777" w:rsidR="00EA2312" w:rsidRDefault="00EA2312">
      <w:r>
        <w:continuationSeparator/>
      </w:r>
    </w:p>
  </w:footnote>
  <w:footnote w:type="continuationNotice" w:id="1">
    <w:p w14:paraId="04DD5435" w14:textId="77777777" w:rsidR="00EA2312" w:rsidRDefault="00EA2312"/>
  </w:footnote>
  <w:footnote w:id="2">
    <w:p w14:paraId="19BE9894" w14:textId="77777777" w:rsidR="00477D7B" w:rsidRPr="00FF1D68" w:rsidRDefault="00477D7B" w:rsidP="00477D7B">
      <w:pPr>
        <w:pStyle w:val="FootnoteText"/>
        <w:spacing w:after="180"/>
        <w:jc w:val="both"/>
        <w:rPr>
          <w:sz w:val="18"/>
          <w:szCs w:val="18"/>
        </w:rPr>
      </w:pPr>
      <w:r w:rsidRPr="00FF1D68">
        <w:rPr>
          <w:rStyle w:val="FootnoteReference"/>
          <w:sz w:val="18"/>
          <w:szCs w:val="18"/>
        </w:rPr>
        <w:footnoteRef/>
      </w:r>
      <w:r w:rsidRPr="00FF1D68">
        <w:rPr>
          <w:sz w:val="18"/>
          <w:szCs w:val="18"/>
        </w:rPr>
        <w:t xml:space="preserve"> With the identification of whether the reporting entity has a minor ownership interest, reporting entities must also identify whether the investment is a related</w:t>
      </w:r>
      <w:r>
        <w:rPr>
          <w:sz w:val="18"/>
          <w:szCs w:val="18"/>
        </w:rPr>
        <w:t>-</w:t>
      </w:r>
      <w:r w:rsidRPr="00FF1D68">
        <w:rPr>
          <w:sz w:val="18"/>
          <w:szCs w:val="18"/>
        </w:rPr>
        <w:t xml:space="preserve">party transaction. Pursuant to the concepts reflected in </w:t>
      </w:r>
      <w:r w:rsidRPr="00FF1D68">
        <w:rPr>
          <w:i/>
          <w:iCs/>
          <w:sz w:val="18"/>
          <w:szCs w:val="18"/>
        </w:rPr>
        <w:t>SSAP No. 25—Affiliates and Other Related Parties</w:t>
      </w:r>
      <w:r w:rsidRPr="00FF1D68">
        <w:rPr>
          <w:sz w:val="18"/>
          <w:szCs w:val="18"/>
        </w:rPr>
        <w:t>, consideration shall be given to the substance of the transaction and the parties whose action or performance materially impacts the insurance reporting entity holding the security. For example, if the underlying assets within a SSAP No. 48 entity represent assets issued by an affiliate, then the SSAP No. 48 entity shall be considered a related party (affiliate) investment, with the transaction subject to the accounting and reporting provisions of SSAP No. 25. As identified in SSAP No. 25, it is erroneous to conclude that the inclusion of a non-related intermediary, or the presence of non-related assets in a structure predominantly comprised of related party investments, eliminates the requirement to identify and assess the investment transaction as a related party arrangement.</w:t>
      </w:r>
    </w:p>
  </w:footnote>
  <w:footnote w:id="3">
    <w:p w14:paraId="611D3ABF" w14:textId="77777777" w:rsidR="00602468" w:rsidRDefault="00602468" w:rsidP="00602468">
      <w:pPr>
        <w:pStyle w:val="FootnoteText"/>
        <w:spacing w:after="120"/>
      </w:pPr>
      <w:r>
        <w:rPr>
          <w:rStyle w:val="FootnoteReference"/>
        </w:rPr>
        <w:footnoteRef/>
      </w:r>
      <w:r>
        <w:t xml:space="preserve"> </w:t>
      </w:r>
      <w:r w:rsidRPr="0013486E">
        <w:rPr>
          <w:sz w:val="18"/>
          <w:szCs w:val="18"/>
        </w:rPr>
        <w:t>The “acquiring” entity is intended to reflect the insurance reporting entity that reports the investment resulting in goodwill. The goodwill limitation test shall be completed at the individual reporting company level.</w:t>
      </w:r>
    </w:p>
  </w:footnote>
  <w:footnote w:id="4">
    <w:p w14:paraId="3963AAC5" w14:textId="77777777" w:rsidR="00602468" w:rsidRDefault="00602468" w:rsidP="00602468">
      <w:pPr>
        <w:pStyle w:val="FootnoteText"/>
        <w:jc w:val="both"/>
      </w:pPr>
      <w:r>
        <w:rPr>
          <w:rStyle w:val="FootnoteReference"/>
        </w:rPr>
        <w:footnoteRef/>
      </w:r>
      <w:r>
        <w:t xml:space="preserve"> </w:t>
      </w:r>
      <w:r w:rsidRPr="0013486E">
        <w:rPr>
          <w:sz w:val="18"/>
          <w:szCs w:val="18"/>
        </w:rPr>
        <w:t xml:space="preserve">This includes, but is not limited to, situations in which the investment is nonadmitted as the audited financial statements for the SCA, joint venture, partnership or limited liability company includes substantial doubt on the entity’s ability to continue as a going concern, or on the basis/contents of the audit opinion pursuant to paragraph </w:t>
      </w:r>
      <w:r>
        <w:rPr>
          <w:sz w:val="18"/>
          <w:szCs w:val="18"/>
        </w:rPr>
        <w:t>21</w:t>
      </w:r>
      <w:r w:rsidRPr="0013486E">
        <w:rPr>
          <w:sz w:val="18"/>
          <w:szCs w:val="18"/>
        </w:rPr>
        <w:t xml:space="preserve"> of SSAP No. 97.</w:t>
      </w:r>
    </w:p>
  </w:footnote>
  <w:footnote w:id="5">
    <w:p w14:paraId="5C5784C9" w14:textId="77777777" w:rsidR="00073DD3" w:rsidRDefault="00073DD3" w:rsidP="00073DD3">
      <w:pPr>
        <w:pStyle w:val="FootnoteText"/>
        <w:spacing w:after="180"/>
        <w:jc w:val="both"/>
      </w:pPr>
      <w:r>
        <w:rPr>
          <w:rStyle w:val="FootnoteReference"/>
        </w:rPr>
        <w:footnoteRef/>
      </w:r>
      <w:r>
        <w:t xml:space="preserve"> </w:t>
      </w:r>
      <w:r w:rsidRPr="00AC6ECF">
        <w:rPr>
          <w:sz w:val="18"/>
          <w:szCs w:val="18"/>
        </w:rPr>
        <w:t xml:space="preserve">The guidance in paragraphs </w:t>
      </w:r>
      <w:r>
        <w:rPr>
          <w:sz w:val="18"/>
          <w:szCs w:val="18"/>
        </w:rPr>
        <w:t>28-32</w:t>
      </w:r>
      <w:r w:rsidRPr="00AC6ECF">
        <w:rPr>
          <w:sz w:val="18"/>
          <w:szCs w:val="18"/>
        </w:rPr>
        <w:t xml:space="preserve"> shall be applied for the separate reporting of preferred stock and surplus notes</w:t>
      </w:r>
      <w:r>
        <w:rPr>
          <w:sz w:val="18"/>
          <w:szCs w:val="18"/>
        </w:rPr>
        <w:t>.</w:t>
      </w:r>
    </w:p>
  </w:footnote>
  <w:footnote w:id="6">
    <w:p w14:paraId="248E0CDB" w14:textId="77777777" w:rsidR="00073DD3" w:rsidRDefault="00073DD3" w:rsidP="00073DD3">
      <w:pPr>
        <w:pStyle w:val="FootnoteText"/>
        <w:jc w:val="both"/>
      </w:pPr>
      <w:r>
        <w:rPr>
          <w:rStyle w:val="FootnoteReference"/>
        </w:rPr>
        <w:footnoteRef/>
      </w:r>
      <w:r>
        <w:t xml:space="preserve"> </w:t>
      </w:r>
      <w:r w:rsidRPr="00AC6ECF">
        <w:rPr>
          <w:sz w:val="18"/>
          <w:szCs w:val="18"/>
        </w:rPr>
        <w:t>Dividends are recognized in investment income when declared.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995D" w14:textId="259D6BCE" w:rsidR="00C97BE7" w:rsidRPr="00A54018" w:rsidRDefault="00C97BE7">
    <w:pPr>
      <w:pStyle w:val="Header"/>
      <w:jc w:val="right"/>
      <w:rPr>
        <w:rFonts w:asciiTheme="minorHAnsi" w:hAnsiTheme="minorHAnsi" w:cstheme="minorHAnsi"/>
        <w:b/>
        <w:sz w:val="20"/>
      </w:rPr>
    </w:pPr>
  </w:p>
  <w:p w14:paraId="14FEED1A" w14:textId="6DEB2FED" w:rsidR="006D3A59" w:rsidRPr="00A54018" w:rsidRDefault="006D3A59">
    <w:pPr>
      <w:pStyle w:val="Header"/>
      <w:jc w:val="right"/>
      <w:rPr>
        <w:rFonts w:asciiTheme="minorHAnsi" w:hAnsiTheme="minorHAnsi" w:cstheme="minorHAnsi"/>
        <w:sz w:val="20"/>
      </w:rPr>
    </w:pPr>
    <w:r w:rsidRPr="00A54018">
      <w:rPr>
        <w:rFonts w:asciiTheme="minorHAnsi" w:hAnsiTheme="minorHAnsi" w:cstheme="minorHAnsi"/>
        <w:sz w:val="20"/>
      </w:rPr>
      <w:t>Ref #</w:t>
    </w:r>
    <w:r w:rsidR="00EA089E" w:rsidRPr="00A54018">
      <w:rPr>
        <w:rFonts w:asciiTheme="minorHAnsi" w:hAnsiTheme="minorHAnsi" w:cstheme="minorHAnsi"/>
        <w:sz w:val="20"/>
      </w:rPr>
      <w:t>2025-</w:t>
    </w:r>
    <w:r w:rsidR="00131ABF">
      <w:rPr>
        <w:rFonts w:asciiTheme="minorHAnsi" w:hAnsiTheme="minorHAnsi" w:cstheme="minorHAnsi"/>
        <w:bCs/>
        <w:sz w:val="20"/>
      </w:rPr>
      <w:t>26</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03E021D"/>
    <w:multiLevelType w:val="hybridMultilevel"/>
    <w:tmpl w:val="9FEA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522E7"/>
    <w:multiLevelType w:val="hybridMultilevel"/>
    <w:tmpl w:val="79AE8784"/>
    <w:lvl w:ilvl="0" w:tplc="50EE1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BB2BD4"/>
    <w:multiLevelType w:val="hybridMultilevel"/>
    <w:tmpl w:val="2EAE3930"/>
    <w:lvl w:ilvl="0" w:tplc="7AEAC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D443A"/>
    <w:multiLevelType w:val="hybridMultilevel"/>
    <w:tmpl w:val="B07C0DB4"/>
    <w:lvl w:ilvl="0" w:tplc="0409000F">
      <w:start w:val="1"/>
      <w:numFmt w:val="decimal"/>
      <w:lvlText w:val="%1."/>
      <w:lvlJc w:val="left"/>
      <w:pPr>
        <w:ind w:left="766" w:hanging="360"/>
      </w:pPr>
      <w:rPr>
        <w:rFont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7" w15:restartNumberingAfterBreak="0">
    <w:nsid w:val="21382972"/>
    <w:multiLevelType w:val="hybridMultilevel"/>
    <w:tmpl w:val="03A63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88558A"/>
    <w:multiLevelType w:val="hybridMultilevel"/>
    <w:tmpl w:val="2CD431B8"/>
    <w:lvl w:ilvl="0" w:tplc="D8FAAD20">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39282F"/>
    <w:multiLevelType w:val="hybridMultilevel"/>
    <w:tmpl w:val="256613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FA5261"/>
    <w:multiLevelType w:val="hybridMultilevel"/>
    <w:tmpl w:val="1CEE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7C4A"/>
    <w:multiLevelType w:val="hybridMultilevel"/>
    <w:tmpl w:val="74C06D04"/>
    <w:lvl w:ilvl="0" w:tplc="DC66C9E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543888"/>
    <w:multiLevelType w:val="hybridMultilevel"/>
    <w:tmpl w:val="6352B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07B91"/>
    <w:multiLevelType w:val="hybridMultilevel"/>
    <w:tmpl w:val="8F008976"/>
    <w:lvl w:ilvl="0" w:tplc="F2CE8560">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E2E27"/>
    <w:multiLevelType w:val="hybridMultilevel"/>
    <w:tmpl w:val="4996615C"/>
    <w:lvl w:ilvl="0" w:tplc="B742F842">
      <w:start w:val="13"/>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BE3ABC"/>
    <w:multiLevelType w:val="hybridMultilevel"/>
    <w:tmpl w:val="37AEA120"/>
    <w:lvl w:ilvl="0" w:tplc="04090015">
      <w:start w:val="1"/>
      <w:numFmt w:val="upperLetter"/>
      <w:lvlText w:val="%1."/>
      <w:lvlJc w:val="left"/>
      <w:pPr>
        <w:ind w:left="360" w:hanging="360"/>
      </w:pPr>
      <w:rPr>
        <w:rFonts w:hint="default"/>
        <w:b/>
        <w:bCs/>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E82E9E"/>
    <w:multiLevelType w:val="hybridMultilevel"/>
    <w:tmpl w:val="61D47656"/>
    <w:lvl w:ilvl="0" w:tplc="5798EBCE">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E535A"/>
    <w:multiLevelType w:val="hybridMultilevel"/>
    <w:tmpl w:val="BE5A213A"/>
    <w:lvl w:ilvl="0" w:tplc="E3D0254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F1FC9"/>
    <w:multiLevelType w:val="hybridMultilevel"/>
    <w:tmpl w:val="580893E2"/>
    <w:lvl w:ilvl="0" w:tplc="BD7CD610">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922C7B"/>
    <w:multiLevelType w:val="hybridMultilevel"/>
    <w:tmpl w:val="62C225A6"/>
    <w:lvl w:ilvl="0" w:tplc="249A6B9E">
      <w:start w:val="7"/>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2231DD"/>
    <w:multiLevelType w:val="singleLevel"/>
    <w:tmpl w:val="F490F9AC"/>
    <w:lvl w:ilvl="0">
      <w:start w:val="1"/>
      <w:numFmt w:val="decimal"/>
      <w:lvlText w:val="%1."/>
      <w:legacy w:legacy="1" w:legacySpace="0" w:legacyIndent="720"/>
      <w:lvlJc w:val="left"/>
      <w:rPr>
        <w:rFonts w:ascii="Times New Roman" w:hAnsi="Times New Roman" w:cs="Times New Roman" w:hint="default"/>
        <w:sz w:val="22"/>
        <w:szCs w:val="22"/>
      </w:rPr>
    </w:lvl>
  </w:abstractNum>
  <w:abstractNum w:abstractNumId="21" w15:restartNumberingAfterBreak="0">
    <w:nsid w:val="7DBD7FC0"/>
    <w:multiLevelType w:val="hybridMultilevel"/>
    <w:tmpl w:val="66986EA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9017550">
    <w:abstractNumId w:val="14"/>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989944080">
    <w:abstractNumId w:val="12"/>
  </w:num>
  <w:num w:numId="6" w16cid:durableId="1882017092">
    <w:abstractNumId w:val="3"/>
  </w:num>
  <w:num w:numId="7" w16cid:durableId="1647396245">
    <w:abstractNumId w:val="10"/>
  </w:num>
  <w:num w:numId="8" w16cid:durableId="1528253868">
    <w:abstractNumId w:val="9"/>
  </w:num>
  <w:num w:numId="9" w16cid:durableId="361326394">
    <w:abstractNumId w:val="6"/>
  </w:num>
  <w:num w:numId="10" w16cid:durableId="1104617698">
    <w:abstractNumId w:val="4"/>
  </w:num>
  <w:num w:numId="11" w16cid:durableId="1874491146">
    <w:abstractNumId w:val="15"/>
  </w:num>
  <w:num w:numId="12" w16cid:durableId="1191408928">
    <w:abstractNumId w:val="7"/>
  </w:num>
  <w:num w:numId="13" w16cid:durableId="391513256">
    <w:abstractNumId w:val="11"/>
  </w:num>
  <w:num w:numId="14" w16cid:durableId="1087267932">
    <w:abstractNumId w:val="8"/>
  </w:num>
  <w:num w:numId="15" w16cid:durableId="1791704546">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6" w16cid:durableId="2041590656">
    <w:abstractNumId w:val="16"/>
  </w:num>
  <w:num w:numId="17" w16cid:durableId="557085712">
    <w:abstractNumId w:val="13"/>
  </w:num>
  <w:num w:numId="18" w16cid:durableId="1482770834">
    <w:abstractNumId w:val="5"/>
  </w:num>
  <w:num w:numId="19" w16cid:durableId="1096898878">
    <w:abstractNumId w:val="17"/>
  </w:num>
  <w:num w:numId="20" w16cid:durableId="286358485">
    <w:abstractNumId w:val="19"/>
  </w:num>
  <w:num w:numId="21" w16cid:durableId="1180318076">
    <w:abstractNumId w:val="20"/>
  </w:num>
  <w:num w:numId="22" w16cid:durableId="855507399">
    <w:abstractNumId w:val="21"/>
  </w:num>
  <w:num w:numId="23" w16cid:durableId="1540237750">
    <w:abstractNumId w:val="18"/>
  </w:num>
  <w:num w:numId="24" w16cid:durableId="95074046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203"/>
    <w:rsid w:val="0000167A"/>
    <w:rsid w:val="00001D36"/>
    <w:rsid w:val="00001D90"/>
    <w:rsid w:val="00002559"/>
    <w:rsid w:val="000027E1"/>
    <w:rsid w:val="00002FDA"/>
    <w:rsid w:val="00004652"/>
    <w:rsid w:val="0000489A"/>
    <w:rsid w:val="000050DD"/>
    <w:rsid w:val="00005689"/>
    <w:rsid w:val="00005F0A"/>
    <w:rsid w:val="00006508"/>
    <w:rsid w:val="000069A7"/>
    <w:rsid w:val="00006E6E"/>
    <w:rsid w:val="00006FF9"/>
    <w:rsid w:val="00007006"/>
    <w:rsid w:val="00007627"/>
    <w:rsid w:val="00007A74"/>
    <w:rsid w:val="00010B3B"/>
    <w:rsid w:val="000130E2"/>
    <w:rsid w:val="000138D5"/>
    <w:rsid w:val="00013BBC"/>
    <w:rsid w:val="00014577"/>
    <w:rsid w:val="000153CC"/>
    <w:rsid w:val="00015830"/>
    <w:rsid w:val="00016091"/>
    <w:rsid w:val="000161FE"/>
    <w:rsid w:val="00016321"/>
    <w:rsid w:val="00016A2B"/>
    <w:rsid w:val="000170A4"/>
    <w:rsid w:val="000171E3"/>
    <w:rsid w:val="0001788D"/>
    <w:rsid w:val="000179BF"/>
    <w:rsid w:val="00017FFB"/>
    <w:rsid w:val="00020E4B"/>
    <w:rsid w:val="00021028"/>
    <w:rsid w:val="0002106C"/>
    <w:rsid w:val="00021079"/>
    <w:rsid w:val="000210E2"/>
    <w:rsid w:val="00021C5C"/>
    <w:rsid w:val="0002240D"/>
    <w:rsid w:val="00023391"/>
    <w:rsid w:val="000238DA"/>
    <w:rsid w:val="00023E5B"/>
    <w:rsid w:val="0002470F"/>
    <w:rsid w:val="00025317"/>
    <w:rsid w:val="00025817"/>
    <w:rsid w:val="00026441"/>
    <w:rsid w:val="000273C2"/>
    <w:rsid w:val="000273D7"/>
    <w:rsid w:val="000276A4"/>
    <w:rsid w:val="00027A72"/>
    <w:rsid w:val="000301A7"/>
    <w:rsid w:val="000303F0"/>
    <w:rsid w:val="000309E6"/>
    <w:rsid w:val="00030E84"/>
    <w:rsid w:val="00031340"/>
    <w:rsid w:val="00031DC0"/>
    <w:rsid w:val="00031EDF"/>
    <w:rsid w:val="00032C8F"/>
    <w:rsid w:val="000337E3"/>
    <w:rsid w:val="0003404E"/>
    <w:rsid w:val="000340AB"/>
    <w:rsid w:val="000349B5"/>
    <w:rsid w:val="00034B2F"/>
    <w:rsid w:val="0003553F"/>
    <w:rsid w:val="000356FD"/>
    <w:rsid w:val="000357DE"/>
    <w:rsid w:val="00035960"/>
    <w:rsid w:val="000360CE"/>
    <w:rsid w:val="000361C6"/>
    <w:rsid w:val="0003637A"/>
    <w:rsid w:val="00036422"/>
    <w:rsid w:val="0003678D"/>
    <w:rsid w:val="0003687B"/>
    <w:rsid w:val="00036933"/>
    <w:rsid w:val="00036BC8"/>
    <w:rsid w:val="0003748A"/>
    <w:rsid w:val="00037C4E"/>
    <w:rsid w:val="00037EB2"/>
    <w:rsid w:val="00040782"/>
    <w:rsid w:val="00040C83"/>
    <w:rsid w:val="00041131"/>
    <w:rsid w:val="0004310E"/>
    <w:rsid w:val="0004316D"/>
    <w:rsid w:val="00043358"/>
    <w:rsid w:val="00043ADE"/>
    <w:rsid w:val="00043BC8"/>
    <w:rsid w:val="00044A18"/>
    <w:rsid w:val="00045077"/>
    <w:rsid w:val="00046033"/>
    <w:rsid w:val="000460CD"/>
    <w:rsid w:val="000463EA"/>
    <w:rsid w:val="00046A18"/>
    <w:rsid w:val="00047A25"/>
    <w:rsid w:val="00047EE2"/>
    <w:rsid w:val="00050373"/>
    <w:rsid w:val="00050942"/>
    <w:rsid w:val="00052548"/>
    <w:rsid w:val="000533CC"/>
    <w:rsid w:val="00053670"/>
    <w:rsid w:val="00053C91"/>
    <w:rsid w:val="00053F7A"/>
    <w:rsid w:val="00054D98"/>
    <w:rsid w:val="00054FF9"/>
    <w:rsid w:val="00055811"/>
    <w:rsid w:val="00055D8C"/>
    <w:rsid w:val="00056814"/>
    <w:rsid w:val="000579B6"/>
    <w:rsid w:val="00057CF4"/>
    <w:rsid w:val="000604F6"/>
    <w:rsid w:val="000608A6"/>
    <w:rsid w:val="000609D3"/>
    <w:rsid w:val="00060B48"/>
    <w:rsid w:val="00060CD6"/>
    <w:rsid w:val="00061004"/>
    <w:rsid w:val="00062300"/>
    <w:rsid w:val="000623F9"/>
    <w:rsid w:val="00062770"/>
    <w:rsid w:val="000632AA"/>
    <w:rsid w:val="00063CEA"/>
    <w:rsid w:val="00064BC7"/>
    <w:rsid w:val="00065350"/>
    <w:rsid w:val="00065373"/>
    <w:rsid w:val="00065E91"/>
    <w:rsid w:val="0006644D"/>
    <w:rsid w:val="0006663C"/>
    <w:rsid w:val="00066F1D"/>
    <w:rsid w:val="00067232"/>
    <w:rsid w:val="000675CC"/>
    <w:rsid w:val="00067DE5"/>
    <w:rsid w:val="00070094"/>
    <w:rsid w:val="000709E0"/>
    <w:rsid w:val="00070A86"/>
    <w:rsid w:val="00071194"/>
    <w:rsid w:val="00071500"/>
    <w:rsid w:val="00071560"/>
    <w:rsid w:val="00071609"/>
    <w:rsid w:val="00071709"/>
    <w:rsid w:val="000720AF"/>
    <w:rsid w:val="000721A3"/>
    <w:rsid w:val="000724D6"/>
    <w:rsid w:val="0007286C"/>
    <w:rsid w:val="00072B52"/>
    <w:rsid w:val="00072F21"/>
    <w:rsid w:val="00073865"/>
    <w:rsid w:val="00073BD7"/>
    <w:rsid w:val="00073C19"/>
    <w:rsid w:val="00073DD3"/>
    <w:rsid w:val="00073E68"/>
    <w:rsid w:val="00073EEB"/>
    <w:rsid w:val="00074135"/>
    <w:rsid w:val="000744B9"/>
    <w:rsid w:val="00074DCF"/>
    <w:rsid w:val="000750B1"/>
    <w:rsid w:val="0007588B"/>
    <w:rsid w:val="00075A6D"/>
    <w:rsid w:val="000763C3"/>
    <w:rsid w:val="000770F7"/>
    <w:rsid w:val="00077B4F"/>
    <w:rsid w:val="00077B6F"/>
    <w:rsid w:val="00081D34"/>
    <w:rsid w:val="000822AC"/>
    <w:rsid w:val="000827EF"/>
    <w:rsid w:val="0008310D"/>
    <w:rsid w:val="00083C5F"/>
    <w:rsid w:val="00083E9E"/>
    <w:rsid w:val="0008475C"/>
    <w:rsid w:val="00084786"/>
    <w:rsid w:val="00085065"/>
    <w:rsid w:val="000851DB"/>
    <w:rsid w:val="000851ED"/>
    <w:rsid w:val="0008523F"/>
    <w:rsid w:val="00085251"/>
    <w:rsid w:val="000856B0"/>
    <w:rsid w:val="000856DF"/>
    <w:rsid w:val="00085F3C"/>
    <w:rsid w:val="000865F6"/>
    <w:rsid w:val="0008672F"/>
    <w:rsid w:val="00086D4C"/>
    <w:rsid w:val="00087568"/>
    <w:rsid w:val="00087733"/>
    <w:rsid w:val="00090B8E"/>
    <w:rsid w:val="00090F49"/>
    <w:rsid w:val="00091380"/>
    <w:rsid w:val="000915B5"/>
    <w:rsid w:val="00091D47"/>
    <w:rsid w:val="000922CC"/>
    <w:rsid w:val="000923E8"/>
    <w:rsid w:val="00092527"/>
    <w:rsid w:val="00092614"/>
    <w:rsid w:val="0009286F"/>
    <w:rsid w:val="00092D78"/>
    <w:rsid w:val="0009306F"/>
    <w:rsid w:val="0009360D"/>
    <w:rsid w:val="00093997"/>
    <w:rsid w:val="00093FEE"/>
    <w:rsid w:val="000942B0"/>
    <w:rsid w:val="0009439F"/>
    <w:rsid w:val="00094644"/>
    <w:rsid w:val="00094931"/>
    <w:rsid w:val="00095668"/>
    <w:rsid w:val="000956B9"/>
    <w:rsid w:val="000957DA"/>
    <w:rsid w:val="000958CD"/>
    <w:rsid w:val="00095929"/>
    <w:rsid w:val="00095A12"/>
    <w:rsid w:val="0009627E"/>
    <w:rsid w:val="000967FA"/>
    <w:rsid w:val="00096A9C"/>
    <w:rsid w:val="00096B0D"/>
    <w:rsid w:val="00097320"/>
    <w:rsid w:val="00097D1E"/>
    <w:rsid w:val="000A0E4D"/>
    <w:rsid w:val="000A198F"/>
    <w:rsid w:val="000A1AE1"/>
    <w:rsid w:val="000A1F32"/>
    <w:rsid w:val="000A322E"/>
    <w:rsid w:val="000A338D"/>
    <w:rsid w:val="000A367A"/>
    <w:rsid w:val="000A36E8"/>
    <w:rsid w:val="000A3C51"/>
    <w:rsid w:val="000A3E6D"/>
    <w:rsid w:val="000A3E79"/>
    <w:rsid w:val="000A4686"/>
    <w:rsid w:val="000A4BCD"/>
    <w:rsid w:val="000A58BA"/>
    <w:rsid w:val="000A711B"/>
    <w:rsid w:val="000A7381"/>
    <w:rsid w:val="000A745C"/>
    <w:rsid w:val="000A7CBA"/>
    <w:rsid w:val="000B05B5"/>
    <w:rsid w:val="000B1BA0"/>
    <w:rsid w:val="000B2CC5"/>
    <w:rsid w:val="000B34A8"/>
    <w:rsid w:val="000B4270"/>
    <w:rsid w:val="000B4849"/>
    <w:rsid w:val="000B4A29"/>
    <w:rsid w:val="000B5684"/>
    <w:rsid w:val="000B5A9C"/>
    <w:rsid w:val="000B5ADA"/>
    <w:rsid w:val="000B5B00"/>
    <w:rsid w:val="000B5FC9"/>
    <w:rsid w:val="000B6268"/>
    <w:rsid w:val="000B7179"/>
    <w:rsid w:val="000B72D4"/>
    <w:rsid w:val="000B74C0"/>
    <w:rsid w:val="000C07C7"/>
    <w:rsid w:val="000C11B3"/>
    <w:rsid w:val="000C1AD7"/>
    <w:rsid w:val="000C1EFD"/>
    <w:rsid w:val="000C21F0"/>
    <w:rsid w:val="000C2D7A"/>
    <w:rsid w:val="000C3045"/>
    <w:rsid w:val="000C38CF"/>
    <w:rsid w:val="000C38E3"/>
    <w:rsid w:val="000C3938"/>
    <w:rsid w:val="000C4240"/>
    <w:rsid w:val="000C453A"/>
    <w:rsid w:val="000C483B"/>
    <w:rsid w:val="000C5EA8"/>
    <w:rsid w:val="000C61ED"/>
    <w:rsid w:val="000C6895"/>
    <w:rsid w:val="000C6981"/>
    <w:rsid w:val="000C6D7E"/>
    <w:rsid w:val="000C6EE3"/>
    <w:rsid w:val="000C7580"/>
    <w:rsid w:val="000C7CB0"/>
    <w:rsid w:val="000C7D35"/>
    <w:rsid w:val="000D01E0"/>
    <w:rsid w:val="000D045D"/>
    <w:rsid w:val="000D0AE1"/>
    <w:rsid w:val="000D1226"/>
    <w:rsid w:val="000D18EB"/>
    <w:rsid w:val="000D2AD3"/>
    <w:rsid w:val="000D2DB3"/>
    <w:rsid w:val="000D2E77"/>
    <w:rsid w:val="000D3008"/>
    <w:rsid w:val="000D4363"/>
    <w:rsid w:val="000D4576"/>
    <w:rsid w:val="000D4C9F"/>
    <w:rsid w:val="000D4D5B"/>
    <w:rsid w:val="000D577C"/>
    <w:rsid w:val="000D6AE8"/>
    <w:rsid w:val="000D6CB3"/>
    <w:rsid w:val="000D718E"/>
    <w:rsid w:val="000D74B1"/>
    <w:rsid w:val="000E03B4"/>
    <w:rsid w:val="000E09FA"/>
    <w:rsid w:val="000E0BF8"/>
    <w:rsid w:val="000E0CCF"/>
    <w:rsid w:val="000E0F04"/>
    <w:rsid w:val="000E1131"/>
    <w:rsid w:val="000E16CA"/>
    <w:rsid w:val="000E199F"/>
    <w:rsid w:val="000E3325"/>
    <w:rsid w:val="000E41AC"/>
    <w:rsid w:val="000E43C8"/>
    <w:rsid w:val="000E4751"/>
    <w:rsid w:val="000E48F7"/>
    <w:rsid w:val="000E69A9"/>
    <w:rsid w:val="000E6BDE"/>
    <w:rsid w:val="000E7588"/>
    <w:rsid w:val="000F17DA"/>
    <w:rsid w:val="000F20C9"/>
    <w:rsid w:val="000F229E"/>
    <w:rsid w:val="000F2751"/>
    <w:rsid w:val="000F2D67"/>
    <w:rsid w:val="000F2DEE"/>
    <w:rsid w:val="000F5114"/>
    <w:rsid w:val="000F5B54"/>
    <w:rsid w:val="000F5BE6"/>
    <w:rsid w:val="000F5D26"/>
    <w:rsid w:val="000F5D84"/>
    <w:rsid w:val="000F5EBA"/>
    <w:rsid w:val="000F6124"/>
    <w:rsid w:val="000F6CD4"/>
    <w:rsid w:val="000F72D5"/>
    <w:rsid w:val="000F7388"/>
    <w:rsid w:val="000F74B4"/>
    <w:rsid w:val="000F79D9"/>
    <w:rsid w:val="000F7BCD"/>
    <w:rsid w:val="001007D0"/>
    <w:rsid w:val="001007FC"/>
    <w:rsid w:val="00100949"/>
    <w:rsid w:val="00101699"/>
    <w:rsid w:val="0010170F"/>
    <w:rsid w:val="001017BB"/>
    <w:rsid w:val="001025BD"/>
    <w:rsid w:val="00102900"/>
    <w:rsid w:val="00102963"/>
    <w:rsid w:val="00104063"/>
    <w:rsid w:val="00104188"/>
    <w:rsid w:val="00105D74"/>
    <w:rsid w:val="001063D1"/>
    <w:rsid w:val="001068EE"/>
    <w:rsid w:val="001077A1"/>
    <w:rsid w:val="00110259"/>
    <w:rsid w:val="0011091C"/>
    <w:rsid w:val="00110932"/>
    <w:rsid w:val="00111698"/>
    <w:rsid w:val="0011253D"/>
    <w:rsid w:val="001127D9"/>
    <w:rsid w:val="001127F5"/>
    <w:rsid w:val="001129B9"/>
    <w:rsid w:val="00112A59"/>
    <w:rsid w:val="00112C39"/>
    <w:rsid w:val="001134BB"/>
    <w:rsid w:val="00113CC8"/>
    <w:rsid w:val="00114295"/>
    <w:rsid w:val="00115EB6"/>
    <w:rsid w:val="00115EF5"/>
    <w:rsid w:val="0011602D"/>
    <w:rsid w:val="0011635B"/>
    <w:rsid w:val="001164E6"/>
    <w:rsid w:val="00117566"/>
    <w:rsid w:val="0012023E"/>
    <w:rsid w:val="00120AF2"/>
    <w:rsid w:val="00120C72"/>
    <w:rsid w:val="0012174E"/>
    <w:rsid w:val="00121CA7"/>
    <w:rsid w:val="001220FD"/>
    <w:rsid w:val="0012330E"/>
    <w:rsid w:val="001234D7"/>
    <w:rsid w:val="00123B24"/>
    <w:rsid w:val="00124719"/>
    <w:rsid w:val="00124880"/>
    <w:rsid w:val="001248B2"/>
    <w:rsid w:val="00124A9F"/>
    <w:rsid w:val="00125301"/>
    <w:rsid w:val="001254D3"/>
    <w:rsid w:val="00125B29"/>
    <w:rsid w:val="00126C0A"/>
    <w:rsid w:val="001274BF"/>
    <w:rsid w:val="0012752E"/>
    <w:rsid w:val="001275E3"/>
    <w:rsid w:val="00127660"/>
    <w:rsid w:val="001277DE"/>
    <w:rsid w:val="0012799E"/>
    <w:rsid w:val="00127F29"/>
    <w:rsid w:val="001317A6"/>
    <w:rsid w:val="00131ABF"/>
    <w:rsid w:val="00131FC5"/>
    <w:rsid w:val="0013246B"/>
    <w:rsid w:val="00133530"/>
    <w:rsid w:val="00133830"/>
    <w:rsid w:val="0013439A"/>
    <w:rsid w:val="001345CD"/>
    <w:rsid w:val="0013539B"/>
    <w:rsid w:val="001353F3"/>
    <w:rsid w:val="001357DC"/>
    <w:rsid w:val="0013586B"/>
    <w:rsid w:val="00135ADE"/>
    <w:rsid w:val="00135EC4"/>
    <w:rsid w:val="001365A9"/>
    <w:rsid w:val="00137E60"/>
    <w:rsid w:val="00137F32"/>
    <w:rsid w:val="00140B0D"/>
    <w:rsid w:val="00140E6B"/>
    <w:rsid w:val="00142381"/>
    <w:rsid w:val="001428F7"/>
    <w:rsid w:val="001430CC"/>
    <w:rsid w:val="001436FC"/>
    <w:rsid w:val="00144189"/>
    <w:rsid w:val="001449AE"/>
    <w:rsid w:val="00144CA3"/>
    <w:rsid w:val="001452F9"/>
    <w:rsid w:val="00145730"/>
    <w:rsid w:val="00145963"/>
    <w:rsid w:val="00145CE3"/>
    <w:rsid w:val="001462DE"/>
    <w:rsid w:val="001463B5"/>
    <w:rsid w:val="0014655D"/>
    <w:rsid w:val="00146BED"/>
    <w:rsid w:val="0015179A"/>
    <w:rsid w:val="00151EF4"/>
    <w:rsid w:val="001521F7"/>
    <w:rsid w:val="00152550"/>
    <w:rsid w:val="00152C06"/>
    <w:rsid w:val="001531BB"/>
    <w:rsid w:val="001534E4"/>
    <w:rsid w:val="0015363B"/>
    <w:rsid w:val="00154012"/>
    <w:rsid w:val="0015429C"/>
    <w:rsid w:val="001547FD"/>
    <w:rsid w:val="0015560C"/>
    <w:rsid w:val="0015579F"/>
    <w:rsid w:val="00155A96"/>
    <w:rsid w:val="00156489"/>
    <w:rsid w:val="00156F15"/>
    <w:rsid w:val="00157985"/>
    <w:rsid w:val="001579D2"/>
    <w:rsid w:val="00160161"/>
    <w:rsid w:val="00160306"/>
    <w:rsid w:val="00160362"/>
    <w:rsid w:val="001607ED"/>
    <w:rsid w:val="00160FB3"/>
    <w:rsid w:val="00161888"/>
    <w:rsid w:val="00161964"/>
    <w:rsid w:val="00161979"/>
    <w:rsid w:val="00162876"/>
    <w:rsid w:val="00162D21"/>
    <w:rsid w:val="00163734"/>
    <w:rsid w:val="0016377E"/>
    <w:rsid w:val="0016464E"/>
    <w:rsid w:val="00164657"/>
    <w:rsid w:val="00164F93"/>
    <w:rsid w:val="001653C5"/>
    <w:rsid w:val="00165430"/>
    <w:rsid w:val="00165EC9"/>
    <w:rsid w:val="00165EFA"/>
    <w:rsid w:val="00166423"/>
    <w:rsid w:val="00166CB6"/>
    <w:rsid w:val="00167224"/>
    <w:rsid w:val="00170450"/>
    <w:rsid w:val="00170A9B"/>
    <w:rsid w:val="00171928"/>
    <w:rsid w:val="00171B9B"/>
    <w:rsid w:val="00171ED1"/>
    <w:rsid w:val="00172377"/>
    <w:rsid w:val="0017261A"/>
    <w:rsid w:val="00172BE2"/>
    <w:rsid w:val="00172EA1"/>
    <w:rsid w:val="0017345A"/>
    <w:rsid w:val="00173F9B"/>
    <w:rsid w:val="00173FD3"/>
    <w:rsid w:val="00174079"/>
    <w:rsid w:val="00174352"/>
    <w:rsid w:val="0017455B"/>
    <w:rsid w:val="00174704"/>
    <w:rsid w:val="001755F9"/>
    <w:rsid w:val="00175E41"/>
    <w:rsid w:val="00175E8C"/>
    <w:rsid w:val="0017686F"/>
    <w:rsid w:val="00176AB2"/>
    <w:rsid w:val="0017719A"/>
    <w:rsid w:val="0018056F"/>
    <w:rsid w:val="00180D76"/>
    <w:rsid w:val="00181059"/>
    <w:rsid w:val="00181BAC"/>
    <w:rsid w:val="0018256B"/>
    <w:rsid w:val="00183813"/>
    <w:rsid w:val="00183E0E"/>
    <w:rsid w:val="00184144"/>
    <w:rsid w:val="001847B5"/>
    <w:rsid w:val="0018548A"/>
    <w:rsid w:val="00185A85"/>
    <w:rsid w:val="00185AC2"/>
    <w:rsid w:val="00185E5E"/>
    <w:rsid w:val="001863F4"/>
    <w:rsid w:val="00186635"/>
    <w:rsid w:val="0018762A"/>
    <w:rsid w:val="0019095E"/>
    <w:rsid w:val="001928F2"/>
    <w:rsid w:val="00192F37"/>
    <w:rsid w:val="00193099"/>
    <w:rsid w:val="001936A1"/>
    <w:rsid w:val="001940C0"/>
    <w:rsid w:val="0019505A"/>
    <w:rsid w:val="0019521A"/>
    <w:rsid w:val="00195ED8"/>
    <w:rsid w:val="0019637C"/>
    <w:rsid w:val="001971F3"/>
    <w:rsid w:val="001972B7"/>
    <w:rsid w:val="001974C3"/>
    <w:rsid w:val="00197766"/>
    <w:rsid w:val="00197D01"/>
    <w:rsid w:val="001A0335"/>
    <w:rsid w:val="001A07A7"/>
    <w:rsid w:val="001A0EA7"/>
    <w:rsid w:val="001A12E2"/>
    <w:rsid w:val="001A14BC"/>
    <w:rsid w:val="001A181E"/>
    <w:rsid w:val="001A217A"/>
    <w:rsid w:val="001A24FF"/>
    <w:rsid w:val="001A256D"/>
    <w:rsid w:val="001A26FA"/>
    <w:rsid w:val="001A27B3"/>
    <w:rsid w:val="001A365C"/>
    <w:rsid w:val="001A3CC0"/>
    <w:rsid w:val="001A3E01"/>
    <w:rsid w:val="001A46C6"/>
    <w:rsid w:val="001A4DEC"/>
    <w:rsid w:val="001A7437"/>
    <w:rsid w:val="001A78DE"/>
    <w:rsid w:val="001A7A1A"/>
    <w:rsid w:val="001B0A3B"/>
    <w:rsid w:val="001B0A9B"/>
    <w:rsid w:val="001B1546"/>
    <w:rsid w:val="001B1586"/>
    <w:rsid w:val="001B16DB"/>
    <w:rsid w:val="001B1B27"/>
    <w:rsid w:val="001B1F96"/>
    <w:rsid w:val="001B23C1"/>
    <w:rsid w:val="001B24C9"/>
    <w:rsid w:val="001B28A0"/>
    <w:rsid w:val="001B3138"/>
    <w:rsid w:val="001B3438"/>
    <w:rsid w:val="001B3BCF"/>
    <w:rsid w:val="001B3D84"/>
    <w:rsid w:val="001B555F"/>
    <w:rsid w:val="001B5588"/>
    <w:rsid w:val="001B56BB"/>
    <w:rsid w:val="001B57A9"/>
    <w:rsid w:val="001B5E08"/>
    <w:rsid w:val="001B5EB5"/>
    <w:rsid w:val="001B66FE"/>
    <w:rsid w:val="001B6926"/>
    <w:rsid w:val="001B7A5C"/>
    <w:rsid w:val="001B7B34"/>
    <w:rsid w:val="001B7BD6"/>
    <w:rsid w:val="001B7F04"/>
    <w:rsid w:val="001C0939"/>
    <w:rsid w:val="001C110B"/>
    <w:rsid w:val="001C111B"/>
    <w:rsid w:val="001C122A"/>
    <w:rsid w:val="001C18AB"/>
    <w:rsid w:val="001C2D47"/>
    <w:rsid w:val="001C2E2A"/>
    <w:rsid w:val="001C2E72"/>
    <w:rsid w:val="001C3392"/>
    <w:rsid w:val="001C36AB"/>
    <w:rsid w:val="001C39DD"/>
    <w:rsid w:val="001C3EB4"/>
    <w:rsid w:val="001C4CB0"/>
    <w:rsid w:val="001C531E"/>
    <w:rsid w:val="001C53D4"/>
    <w:rsid w:val="001C54ED"/>
    <w:rsid w:val="001C58EC"/>
    <w:rsid w:val="001C5D44"/>
    <w:rsid w:val="001C5EB9"/>
    <w:rsid w:val="001C654E"/>
    <w:rsid w:val="001C6B2F"/>
    <w:rsid w:val="001C6BD4"/>
    <w:rsid w:val="001C7081"/>
    <w:rsid w:val="001C70EA"/>
    <w:rsid w:val="001C72FA"/>
    <w:rsid w:val="001C733B"/>
    <w:rsid w:val="001C7A03"/>
    <w:rsid w:val="001C7DA4"/>
    <w:rsid w:val="001D143D"/>
    <w:rsid w:val="001D2A3D"/>
    <w:rsid w:val="001D3288"/>
    <w:rsid w:val="001D3338"/>
    <w:rsid w:val="001D33C1"/>
    <w:rsid w:val="001D345E"/>
    <w:rsid w:val="001D37C2"/>
    <w:rsid w:val="001D444C"/>
    <w:rsid w:val="001D64CF"/>
    <w:rsid w:val="001D64DC"/>
    <w:rsid w:val="001D65BD"/>
    <w:rsid w:val="001D6692"/>
    <w:rsid w:val="001D7122"/>
    <w:rsid w:val="001D7D1B"/>
    <w:rsid w:val="001E0012"/>
    <w:rsid w:val="001E0ACD"/>
    <w:rsid w:val="001E1595"/>
    <w:rsid w:val="001E2692"/>
    <w:rsid w:val="001E403F"/>
    <w:rsid w:val="001E4A9B"/>
    <w:rsid w:val="001E4B2C"/>
    <w:rsid w:val="001E4E46"/>
    <w:rsid w:val="001E4ECA"/>
    <w:rsid w:val="001E4F3E"/>
    <w:rsid w:val="001E5002"/>
    <w:rsid w:val="001E54BA"/>
    <w:rsid w:val="001E56AF"/>
    <w:rsid w:val="001E589B"/>
    <w:rsid w:val="001E6237"/>
    <w:rsid w:val="001E6551"/>
    <w:rsid w:val="001E6ED3"/>
    <w:rsid w:val="001E714F"/>
    <w:rsid w:val="001E7723"/>
    <w:rsid w:val="001E7AD4"/>
    <w:rsid w:val="001F008E"/>
    <w:rsid w:val="001F0DF5"/>
    <w:rsid w:val="001F0E42"/>
    <w:rsid w:val="001F17A1"/>
    <w:rsid w:val="001F19EA"/>
    <w:rsid w:val="001F1B93"/>
    <w:rsid w:val="001F1BB2"/>
    <w:rsid w:val="001F1DDC"/>
    <w:rsid w:val="001F2518"/>
    <w:rsid w:val="001F292F"/>
    <w:rsid w:val="001F2EA0"/>
    <w:rsid w:val="001F2F64"/>
    <w:rsid w:val="001F3C28"/>
    <w:rsid w:val="001F3CF4"/>
    <w:rsid w:val="001F3CF6"/>
    <w:rsid w:val="001F3FCB"/>
    <w:rsid w:val="001F4316"/>
    <w:rsid w:val="001F4498"/>
    <w:rsid w:val="001F46EB"/>
    <w:rsid w:val="001F4BF6"/>
    <w:rsid w:val="001F4C3C"/>
    <w:rsid w:val="001F55EC"/>
    <w:rsid w:val="001F5742"/>
    <w:rsid w:val="001F62D5"/>
    <w:rsid w:val="001F6466"/>
    <w:rsid w:val="001F6D50"/>
    <w:rsid w:val="001F7300"/>
    <w:rsid w:val="001F7653"/>
    <w:rsid w:val="001F7CCD"/>
    <w:rsid w:val="00200007"/>
    <w:rsid w:val="00200367"/>
    <w:rsid w:val="002014DA"/>
    <w:rsid w:val="0020153F"/>
    <w:rsid w:val="002018A8"/>
    <w:rsid w:val="002028B1"/>
    <w:rsid w:val="002033E6"/>
    <w:rsid w:val="0020360B"/>
    <w:rsid w:val="00203FF7"/>
    <w:rsid w:val="002046F5"/>
    <w:rsid w:val="0020476B"/>
    <w:rsid w:val="00205279"/>
    <w:rsid w:val="00205C99"/>
    <w:rsid w:val="00206D75"/>
    <w:rsid w:val="00206DC5"/>
    <w:rsid w:val="00206F7C"/>
    <w:rsid w:val="002079C2"/>
    <w:rsid w:val="00207C52"/>
    <w:rsid w:val="00207E1D"/>
    <w:rsid w:val="00211892"/>
    <w:rsid w:val="00213009"/>
    <w:rsid w:val="002134AF"/>
    <w:rsid w:val="002134DC"/>
    <w:rsid w:val="002141B3"/>
    <w:rsid w:val="00214219"/>
    <w:rsid w:val="00214E55"/>
    <w:rsid w:val="00214EC7"/>
    <w:rsid w:val="00215053"/>
    <w:rsid w:val="002156C3"/>
    <w:rsid w:val="00215B42"/>
    <w:rsid w:val="00215D99"/>
    <w:rsid w:val="002160E3"/>
    <w:rsid w:val="002164C1"/>
    <w:rsid w:val="00216D66"/>
    <w:rsid w:val="002179B4"/>
    <w:rsid w:val="00220626"/>
    <w:rsid w:val="002211AE"/>
    <w:rsid w:val="0022198F"/>
    <w:rsid w:val="00221D96"/>
    <w:rsid w:val="00222368"/>
    <w:rsid w:val="002225B6"/>
    <w:rsid w:val="00222789"/>
    <w:rsid w:val="00222AE7"/>
    <w:rsid w:val="002230F8"/>
    <w:rsid w:val="00223B02"/>
    <w:rsid w:val="0022415E"/>
    <w:rsid w:val="00224222"/>
    <w:rsid w:val="00224583"/>
    <w:rsid w:val="002249C7"/>
    <w:rsid w:val="00224A27"/>
    <w:rsid w:val="00224B9C"/>
    <w:rsid w:val="00224D49"/>
    <w:rsid w:val="00225297"/>
    <w:rsid w:val="002252B4"/>
    <w:rsid w:val="00225762"/>
    <w:rsid w:val="00225B29"/>
    <w:rsid w:val="00225EC6"/>
    <w:rsid w:val="00225ECD"/>
    <w:rsid w:val="00226BEF"/>
    <w:rsid w:val="00226EA0"/>
    <w:rsid w:val="00226FBD"/>
    <w:rsid w:val="00227483"/>
    <w:rsid w:val="002276F4"/>
    <w:rsid w:val="0022790F"/>
    <w:rsid w:val="00227A42"/>
    <w:rsid w:val="00227D28"/>
    <w:rsid w:val="00230D50"/>
    <w:rsid w:val="002312D4"/>
    <w:rsid w:val="002313AC"/>
    <w:rsid w:val="00231B56"/>
    <w:rsid w:val="00231BED"/>
    <w:rsid w:val="00232036"/>
    <w:rsid w:val="00232446"/>
    <w:rsid w:val="00232640"/>
    <w:rsid w:val="002327E7"/>
    <w:rsid w:val="00233CCF"/>
    <w:rsid w:val="00233D96"/>
    <w:rsid w:val="00234312"/>
    <w:rsid w:val="00234A44"/>
    <w:rsid w:val="00234AB2"/>
    <w:rsid w:val="00234DE3"/>
    <w:rsid w:val="00235312"/>
    <w:rsid w:val="00235CA5"/>
    <w:rsid w:val="0023721F"/>
    <w:rsid w:val="0023724F"/>
    <w:rsid w:val="00237383"/>
    <w:rsid w:val="002376FD"/>
    <w:rsid w:val="00237939"/>
    <w:rsid w:val="002379E9"/>
    <w:rsid w:val="00237B49"/>
    <w:rsid w:val="00237E7E"/>
    <w:rsid w:val="00240272"/>
    <w:rsid w:val="00240725"/>
    <w:rsid w:val="002408D3"/>
    <w:rsid w:val="00240C5C"/>
    <w:rsid w:val="00240D4E"/>
    <w:rsid w:val="002410C7"/>
    <w:rsid w:val="00241145"/>
    <w:rsid w:val="00241671"/>
    <w:rsid w:val="00241B60"/>
    <w:rsid w:val="0024206E"/>
    <w:rsid w:val="00242209"/>
    <w:rsid w:val="002422BF"/>
    <w:rsid w:val="002425A2"/>
    <w:rsid w:val="00242984"/>
    <w:rsid w:val="00243158"/>
    <w:rsid w:val="002436E7"/>
    <w:rsid w:val="00244916"/>
    <w:rsid w:val="00244950"/>
    <w:rsid w:val="00245074"/>
    <w:rsid w:val="002465DC"/>
    <w:rsid w:val="00246FF7"/>
    <w:rsid w:val="002470D2"/>
    <w:rsid w:val="002477DE"/>
    <w:rsid w:val="00247B30"/>
    <w:rsid w:val="00247D09"/>
    <w:rsid w:val="00247FD1"/>
    <w:rsid w:val="002513DC"/>
    <w:rsid w:val="00251FA4"/>
    <w:rsid w:val="00252846"/>
    <w:rsid w:val="00253116"/>
    <w:rsid w:val="00253C3F"/>
    <w:rsid w:val="00254901"/>
    <w:rsid w:val="002550D9"/>
    <w:rsid w:val="00255485"/>
    <w:rsid w:val="002557C2"/>
    <w:rsid w:val="00255882"/>
    <w:rsid w:val="0025590C"/>
    <w:rsid w:val="00256398"/>
    <w:rsid w:val="00256464"/>
    <w:rsid w:val="00256AF9"/>
    <w:rsid w:val="00256E80"/>
    <w:rsid w:val="00257308"/>
    <w:rsid w:val="00257793"/>
    <w:rsid w:val="002579DD"/>
    <w:rsid w:val="00257A99"/>
    <w:rsid w:val="00257E8C"/>
    <w:rsid w:val="00260C0E"/>
    <w:rsid w:val="00261085"/>
    <w:rsid w:val="002611A7"/>
    <w:rsid w:val="00261273"/>
    <w:rsid w:val="00261603"/>
    <w:rsid w:val="00261A24"/>
    <w:rsid w:val="00261C0A"/>
    <w:rsid w:val="00261DC7"/>
    <w:rsid w:val="00262AC4"/>
    <w:rsid w:val="00263590"/>
    <w:rsid w:val="00264256"/>
    <w:rsid w:val="002642A9"/>
    <w:rsid w:val="00264551"/>
    <w:rsid w:val="00264693"/>
    <w:rsid w:val="00264896"/>
    <w:rsid w:val="002648C6"/>
    <w:rsid w:val="00264BF2"/>
    <w:rsid w:val="00264C7A"/>
    <w:rsid w:val="002651B3"/>
    <w:rsid w:val="00265D23"/>
    <w:rsid w:val="00266BBB"/>
    <w:rsid w:val="0026769A"/>
    <w:rsid w:val="00267C95"/>
    <w:rsid w:val="002700C2"/>
    <w:rsid w:val="00270422"/>
    <w:rsid w:val="00270CE4"/>
    <w:rsid w:val="002715B5"/>
    <w:rsid w:val="00271EEF"/>
    <w:rsid w:val="002728B3"/>
    <w:rsid w:val="0027292D"/>
    <w:rsid w:val="00272C20"/>
    <w:rsid w:val="002732D9"/>
    <w:rsid w:val="0027391B"/>
    <w:rsid w:val="00274005"/>
    <w:rsid w:val="002744C4"/>
    <w:rsid w:val="00274E9C"/>
    <w:rsid w:val="0027522F"/>
    <w:rsid w:val="0027541F"/>
    <w:rsid w:val="0027560E"/>
    <w:rsid w:val="00275BC0"/>
    <w:rsid w:val="00276399"/>
    <w:rsid w:val="002766DB"/>
    <w:rsid w:val="00276BCD"/>
    <w:rsid w:val="002771F4"/>
    <w:rsid w:val="00280495"/>
    <w:rsid w:val="00280A4C"/>
    <w:rsid w:val="0028233C"/>
    <w:rsid w:val="002828C1"/>
    <w:rsid w:val="00282A8D"/>
    <w:rsid w:val="00282F22"/>
    <w:rsid w:val="00282FEA"/>
    <w:rsid w:val="00283711"/>
    <w:rsid w:val="00283A7D"/>
    <w:rsid w:val="0028409C"/>
    <w:rsid w:val="002848CD"/>
    <w:rsid w:val="00285BC3"/>
    <w:rsid w:val="00286D1B"/>
    <w:rsid w:val="00287A96"/>
    <w:rsid w:val="00287BFF"/>
    <w:rsid w:val="00287EFC"/>
    <w:rsid w:val="002917DF"/>
    <w:rsid w:val="002917FA"/>
    <w:rsid w:val="00291B72"/>
    <w:rsid w:val="00291D71"/>
    <w:rsid w:val="00292517"/>
    <w:rsid w:val="00292B34"/>
    <w:rsid w:val="00292B37"/>
    <w:rsid w:val="00293119"/>
    <w:rsid w:val="0029395D"/>
    <w:rsid w:val="00294082"/>
    <w:rsid w:val="00294337"/>
    <w:rsid w:val="0029443E"/>
    <w:rsid w:val="00294999"/>
    <w:rsid w:val="002949A2"/>
    <w:rsid w:val="00294FE6"/>
    <w:rsid w:val="00295430"/>
    <w:rsid w:val="00295F1F"/>
    <w:rsid w:val="00296403"/>
    <w:rsid w:val="00296B86"/>
    <w:rsid w:val="00296CF0"/>
    <w:rsid w:val="00296E66"/>
    <w:rsid w:val="00297A6D"/>
    <w:rsid w:val="00297AF4"/>
    <w:rsid w:val="002A005B"/>
    <w:rsid w:val="002A08EC"/>
    <w:rsid w:val="002A0EB5"/>
    <w:rsid w:val="002A1316"/>
    <w:rsid w:val="002A2CC3"/>
    <w:rsid w:val="002A2F16"/>
    <w:rsid w:val="002A358A"/>
    <w:rsid w:val="002A3BC1"/>
    <w:rsid w:val="002A3C09"/>
    <w:rsid w:val="002A429D"/>
    <w:rsid w:val="002A44FE"/>
    <w:rsid w:val="002A4793"/>
    <w:rsid w:val="002A4E9D"/>
    <w:rsid w:val="002A567E"/>
    <w:rsid w:val="002A5793"/>
    <w:rsid w:val="002A601C"/>
    <w:rsid w:val="002A6BDC"/>
    <w:rsid w:val="002A6CB4"/>
    <w:rsid w:val="002A7A5F"/>
    <w:rsid w:val="002B0661"/>
    <w:rsid w:val="002B0F32"/>
    <w:rsid w:val="002B12A6"/>
    <w:rsid w:val="002B1B31"/>
    <w:rsid w:val="002B1BE3"/>
    <w:rsid w:val="002B1F0E"/>
    <w:rsid w:val="002B249B"/>
    <w:rsid w:val="002B2657"/>
    <w:rsid w:val="002B277F"/>
    <w:rsid w:val="002B30D5"/>
    <w:rsid w:val="002B5AC1"/>
    <w:rsid w:val="002B5E40"/>
    <w:rsid w:val="002B5F94"/>
    <w:rsid w:val="002B6039"/>
    <w:rsid w:val="002B673F"/>
    <w:rsid w:val="002B6A28"/>
    <w:rsid w:val="002B70ED"/>
    <w:rsid w:val="002B7397"/>
    <w:rsid w:val="002B750A"/>
    <w:rsid w:val="002B7DF6"/>
    <w:rsid w:val="002C00B2"/>
    <w:rsid w:val="002C0F5D"/>
    <w:rsid w:val="002C1115"/>
    <w:rsid w:val="002C19E2"/>
    <w:rsid w:val="002C21DA"/>
    <w:rsid w:val="002C2216"/>
    <w:rsid w:val="002C2278"/>
    <w:rsid w:val="002C28C6"/>
    <w:rsid w:val="002C2B63"/>
    <w:rsid w:val="002C3317"/>
    <w:rsid w:val="002C353E"/>
    <w:rsid w:val="002C3A5D"/>
    <w:rsid w:val="002C3AB1"/>
    <w:rsid w:val="002C46C4"/>
    <w:rsid w:val="002C4E61"/>
    <w:rsid w:val="002C4EF1"/>
    <w:rsid w:val="002C5BE7"/>
    <w:rsid w:val="002C5CBA"/>
    <w:rsid w:val="002C6171"/>
    <w:rsid w:val="002C666A"/>
    <w:rsid w:val="002C6895"/>
    <w:rsid w:val="002C6C0A"/>
    <w:rsid w:val="002C6EC5"/>
    <w:rsid w:val="002C7C73"/>
    <w:rsid w:val="002D0028"/>
    <w:rsid w:val="002D0116"/>
    <w:rsid w:val="002D0149"/>
    <w:rsid w:val="002D07EB"/>
    <w:rsid w:val="002D0A6C"/>
    <w:rsid w:val="002D1510"/>
    <w:rsid w:val="002D162A"/>
    <w:rsid w:val="002D1DEE"/>
    <w:rsid w:val="002D2218"/>
    <w:rsid w:val="002D240B"/>
    <w:rsid w:val="002D2620"/>
    <w:rsid w:val="002D2A06"/>
    <w:rsid w:val="002D2C3F"/>
    <w:rsid w:val="002D2EA1"/>
    <w:rsid w:val="002D30A9"/>
    <w:rsid w:val="002D310B"/>
    <w:rsid w:val="002D3298"/>
    <w:rsid w:val="002D3588"/>
    <w:rsid w:val="002D3F8A"/>
    <w:rsid w:val="002D414D"/>
    <w:rsid w:val="002D55DD"/>
    <w:rsid w:val="002D59F5"/>
    <w:rsid w:val="002D5B28"/>
    <w:rsid w:val="002D5BF7"/>
    <w:rsid w:val="002D60DF"/>
    <w:rsid w:val="002D70E6"/>
    <w:rsid w:val="002D7357"/>
    <w:rsid w:val="002D745A"/>
    <w:rsid w:val="002D7F2B"/>
    <w:rsid w:val="002E0453"/>
    <w:rsid w:val="002E057E"/>
    <w:rsid w:val="002E07AA"/>
    <w:rsid w:val="002E0B81"/>
    <w:rsid w:val="002E10B8"/>
    <w:rsid w:val="002E1519"/>
    <w:rsid w:val="002E1631"/>
    <w:rsid w:val="002E17D0"/>
    <w:rsid w:val="002E199B"/>
    <w:rsid w:val="002E255B"/>
    <w:rsid w:val="002E26C9"/>
    <w:rsid w:val="002E2AC9"/>
    <w:rsid w:val="002E3197"/>
    <w:rsid w:val="002E321B"/>
    <w:rsid w:val="002E3A7B"/>
    <w:rsid w:val="002E3FF0"/>
    <w:rsid w:val="002E4AD9"/>
    <w:rsid w:val="002E535F"/>
    <w:rsid w:val="002E575E"/>
    <w:rsid w:val="002E5CC6"/>
    <w:rsid w:val="002E5DCE"/>
    <w:rsid w:val="002E6D01"/>
    <w:rsid w:val="002E702D"/>
    <w:rsid w:val="002E7901"/>
    <w:rsid w:val="002E7B61"/>
    <w:rsid w:val="002E7D3E"/>
    <w:rsid w:val="002F0509"/>
    <w:rsid w:val="002F055F"/>
    <w:rsid w:val="002F05F4"/>
    <w:rsid w:val="002F0D79"/>
    <w:rsid w:val="002F1EBF"/>
    <w:rsid w:val="002F201B"/>
    <w:rsid w:val="002F2935"/>
    <w:rsid w:val="002F2EA2"/>
    <w:rsid w:val="002F2FF3"/>
    <w:rsid w:val="002F3F47"/>
    <w:rsid w:val="002F5772"/>
    <w:rsid w:val="002F5819"/>
    <w:rsid w:val="002F5D54"/>
    <w:rsid w:val="002F5EAD"/>
    <w:rsid w:val="002F6FF9"/>
    <w:rsid w:val="00300EA4"/>
    <w:rsid w:val="0030135B"/>
    <w:rsid w:val="00301A1C"/>
    <w:rsid w:val="00302526"/>
    <w:rsid w:val="00302917"/>
    <w:rsid w:val="00302A97"/>
    <w:rsid w:val="00302D28"/>
    <w:rsid w:val="003035BF"/>
    <w:rsid w:val="00303C3C"/>
    <w:rsid w:val="0030494E"/>
    <w:rsid w:val="003049AF"/>
    <w:rsid w:val="00304B36"/>
    <w:rsid w:val="00304CEC"/>
    <w:rsid w:val="0030546C"/>
    <w:rsid w:val="0030560B"/>
    <w:rsid w:val="00305EFE"/>
    <w:rsid w:val="00306D32"/>
    <w:rsid w:val="00306E13"/>
    <w:rsid w:val="003075B9"/>
    <w:rsid w:val="00307C30"/>
    <w:rsid w:val="00311452"/>
    <w:rsid w:val="003123F2"/>
    <w:rsid w:val="003124BA"/>
    <w:rsid w:val="00312502"/>
    <w:rsid w:val="003137D2"/>
    <w:rsid w:val="003137DB"/>
    <w:rsid w:val="00313B11"/>
    <w:rsid w:val="00313CD2"/>
    <w:rsid w:val="00313FB8"/>
    <w:rsid w:val="003148E8"/>
    <w:rsid w:val="0031532A"/>
    <w:rsid w:val="00315348"/>
    <w:rsid w:val="003157BB"/>
    <w:rsid w:val="003157DB"/>
    <w:rsid w:val="0031580D"/>
    <w:rsid w:val="00315880"/>
    <w:rsid w:val="00315D2C"/>
    <w:rsid w:val="00316044"/>
    <w:rsid w:val="003170AF"/>
    <w:rsid w:val="00317369"/>
    <w:rsid w:val="00317BD8"/>
    <w:rsid w:val="00317D79"/>
    <w:rsid w:val="00320713"/>
    <w:rsid w:val="00320933"/>
    <w:rsid w:val="00320CFF"/>
    <w:rsid w:val="00321421"/>
    <w:rsid w:val="0032153F"/>
    <w:rsid w:val="00321DE0"/>
    <w:rsid w:val="00321FC3"/>
    <w:rsid w:val="00322BB8"/>
    <w:rsid w:val="00322D53"/>
    <w:rsid w:val="00323DFF"/>
    <w:rsid w:val="003245DA"/>
    <w:rsid w:val="00324997"/>
    <w:rsid w:val="00324AC2"/>
    <w:rsid w:val="00325660"/>
    <w:rsid w:val="003259E2"/>
    <w:rsid w:val="003260BD"/>
    <w:rsid w:val="00326374"/>
    <w:rsid w:val="00326416"/>
    <w:rsid w:val="00326637"/>
    <w:rsid w:val="003266E0"/>
    <w:rsid w:val="00326D84"/>
    <w:rsid w:val="00327340"/>
    <w:rsid w:val="00327477"/>
    <w:rsid w:val="00327CB8"/>
    <w:rsid w:val="00330EF0"/>
    <w:rsid w:val="0033156D"/>
    <w:rsid w:val="0033165C"/>
    <w:rsid w:val="003320DF"/>
    <w:rsid w:val="00332557"/>
    <w:rsid w:val="003325E9"/>
    <w:rsid w:val="00332A8E"/>
    <w:rsid w:val="00332DAA"/>
    <w:rsid w:val="0033374E"/>
    <w:rsid w:val="00333FC0"/>
    <w:rsid w:val="00334255"/>
    <w:rsid w:val="0033438C"/>
    <w:rsid w:val="00335F40"/>
    <w:rsid w:val="003360E6"/>
    <w:rsid w:val="0033620A"/>
    <w:rsid w:val="0033648B"/>
    <w:rsid w:val="00336C26"/>
    <w:rsid w:val="00336E07"/>
    <w:rsid w:val="003371CB"/>
    <w:rsid w:val="00337372"/>
    <w:rsid w:val="00337695"/>
    <w:rsid w:val="00337CC1"/>
    <w:rsid w:val="0034083B"/>
    <w:rsid w:val="00340B5E"/>
    <w:rsid w:val="00340C0C"/>
    <w:rsid w:val="00340C82"/>
    <w:rsid w:val="00340D1B"/>
    <w:rsid w:val="003415C3"/>
    <w:rsid w:val="00341674"/>
    <w:rsid w:val="00341D67"/>
    <w:rsid w:val="00341EAF"/>
    <w:rsid w:val="00342210"/>
    <w:rsid w:val="00342CB7"/>
    <w:rsid w:val="003432D3"/>
    <w:rsid w:val="003434F6"/>
    <w:rsid w:val="0034372A"/>
    <w:rsid w:val="0034395E"/>
    <w:rsid w:val="00343FFC"/>
    <w:rsid w:val="00344C6C"/>
    <w:rsid w:val="0034523B"/>
    <w:rsid w:val="0034544B"/>
    <w:rsid w:val="003455FF"/>
    <w:rsid w:val="003461E0"/>
    <w:rsid w:val="003462AC"/>
    <w:rsid w:val="0034667C"/>
    <w:rsid w:val="003467BC"/>
    <w:rsid w:val="00347374"/>
    <w:rsid w:val="00347681"/>
    <w:rsid w:val="00350A0B"/>
    <w:rsid w:val="00350E1D"/>
    <w:rsid w:val="00350E20"/>
    <w:rsid w:val="00351158"/>
    <w:rsid w:val="003512B1"/>
    <w:rsid w:val="00351688"/>
    <w:rsid w:val="00351B97"/>
    <w:rsid w:val="00352550"/>
    <w:rsid w:val="003526AE"/>
    <w:rsid w:val="0035281A"/>
    <w:rsid w:val="00352E14"/>
    <w:rsid w:val="003537C4"/>
    <w:rsid w:val="00353B38"/>
    <w:rsid w:val="00355A60"/>
    <w:rsid w:val="00355DAD"/>
    <w:rsid w:val="0035609F"/>
    <w:rsid w:val="003564DD"/>
    <w:rsid w:val="003570EA"/>
    <w:rsid w:val="00357190"/>
    <w:rsid w:val="00357FFA"/>
    <w:rsid w:val="00360049"/>
    <w:rsid w:val="00360172"/>
    <w:rsid w:val="0036046D"/>
    <w:rsid w:val="00360804"/>
    <w:rsid w:val="003619CF"/>
    <w:rsid w:val="003620C6"/>
    <w:rsid w:val="00362AF8"/>
    <w:rsid w:val="003633AF"/>
    <w:rsid w:val="00363566"/>
    <w:rsid w:val="00364CF6"/>
    <w:rsid w:val="00364E3D"/>
    <w:rsid w:val="00365141"/>
    <w:rsid w:val="00365F34"/>
    <w:rsid w:val="00366154"/>
    <w:rsid w:val="0036648C"/>
    <w:rsid w:val="003668CA"/>
    <w:rsid w:val="00366E9B"/>
    <w:rsid w:val="003672EC"/>
    <w:rsid w:val="003675EC"/>
    <w:rsid w:val="00367BBB"/>
    <w:rsid w:val="00367F7A"/>
    <w:rsid w:val="00367F9C"/>
    <w:rsid w:val="003708DD"/>
    <w:rsid w:val="00370E1C"/>
    <w:rsid w:val="00371899"/>
    <w:rsid w:val="0037204C"/>
    <w:rsid w:val="003725D2"/>
    <w:rsid w:val="00372CA1"/>
    <w:rsid w:val="00372DDB"/>
    <w:rsid w:val="00372F6F"/>
    <w:rsid w:val="003735D9"/>
    <w:rsid w:val="00373BF9"/>
    <w:rsid w:val="00373D0A"/>
    <w:rsid w:val="0037483C"/>
    <w:rsid w:val="0037566E"/>
    <w:rsid w:val="0037579B"/>
    <w:rsid w:val="00375A23"/>
    <w:rsid w:val="00376450"/>
    <w:rsid w:val="00376683"/>
    <w:rsid w:val="00376842"/>
    <w:rsid w:val="00376C2F"/>
    <w:rsid w:val="00376CFC"/>
    <w:rsid w:val="00376FCE"/>
    <w:rsid w:val="0037712B"/>
    <w:rsid w:val="00377A90"/>
    <w:rsid w:val="00377D50"/>
    <w:rsid w:val="00377D94"/>
    <w:rsid w:val="00380568"/>
    <w:rsid w:val="00380CDF"/>
    <w:rsid w:val="00381C5E"/>
    <w:rsid w:val="00381DBC"/>
    <w:rsid w:val="00382F63"/>
    <w:rsid w:val="00383C0C"/>
    <w:rsid w:val="00383D51"/>
    <w:rsid w:val="00383D70"/>
    <w:rsid w:val="003849E8"/>
    <w:rsid w:val="00384A51"/>
    <w:rsid w:val="00384D12"/>
    <w:rsid w:val="00385476"/>
    <w:rsid w:val="00385587"/>
    <w:rsid w:val="00386458"/>
    <w:rsid w:val="00386747"/>
    <w:rsid w:val="00386BD4"/>
    <w:rsid w:val="00386D4C"/>
    <w:rsid w:val="003870EC"/>
    <w:rsid w:val="003901C2"/>
    <w:rsid w:val="00390C8B"/>
    <w:rsid w:val="00390D99"/>
    <w:rsid w:val="00391518"/>
    <w:rsid w:val="00392353"/>
    <w:rsid w:val="003926B1"/>
    <w:rsid w:val="00392764"/>
    <w:rsid w:val="003928B3"/>
    <w:rsid w:val="00392CEB"/>
    <w:rsid w:val="003935A4"/>
    <w:rsid w:val="00393A65"/>
    <w:rsid w:val="00394216"/>
    <w:rsid w:val="003945AD"/>
    <w:rsid w:val="003947D5"/>
    <w:rsid w:val="00395419"/>
    <w:rsid w:val="00395BF8"/>
    <w:rsid w:val="0039600A"/>
    <w:rsid w:val="00396170"/>
    <w:rsid w:val="00396836"/>
    <w:rsid w:val="00396B13"/>
    <w:rsid w:val="00396F93"/>
    <w:rsid w:val="003970A2"/>
    <w:rsid w:val="00397FB4"/>
    <w:rsid w:val="003A0B67"/>
    <w:rsid w:val="003A1B7B"/>
    <w:rsid w:val="003A2496"/>
    <w:rsid w:val="003A274A"/>
    <w:rsid w:val="003A29F7"/>
    <w:rsid w:val="003A2D8D"/>
    <w:rsid w:val="003A3E88"/>
    <w:rsid w:val="003A4AF4"/>
    <w:rsid w:val="003A4EB1"/>
    <w:rsid w:val="003A5964"/>
    <w:rsid w:val="003A6148"/>
    <w:rsid w:val="003A63F2"/>
    <w:rsid w:val="003A670B"/>
    <w:rsid w:val="003A6A86"/>
    <w:rsid w:val="003B03BF"/>
    <w:rsid w:val="003B0FD5"/>
    <w:rsid w:val="003B12DE"/>
    <w:rsid w:val="003B17C0"/>
    <w:rsid w:val="003B1E6F"/>
    <w:rsid w:val="003B33EB"/>
    <w:rsid w:val="003B354A"/>
    <w:rsid w:val="003B3567"/>
    <w:rsid w:val="003B3F47"/>
    <w:rsid w:val="003B47FB"/>
    <w:rsid w:val="003B4A81"/>
    <w:rsid w:val="003B5EC4"/>
    <w:rsid w:val="003B5F0D"/>
    <w:rsid w:val="003B6907"/>
    <w:rsid w:val="003B787D"/>
    <w:rsid w:val="003B7E8A"/>
    <w:rsid w:val="003B7FF4"/>
    <w:rsid w:val="003C07B6"/>
    <w:rsid w:val="003C145B"/>
    <w:rsid w:val="003C14D0"/>
    <w:rsid w:val="003C1708"/>
    <w:rsid w:val="003C174C"/>
    <w:rsid w:val="003C27BF"/>
    <w:rsid w:val="003C2C1C"/>
    <w:rsid w:val="003C337D"/>
    <w:rsid w:val="003C33DF"/>
    <w:rsid w:val="003C37A3"/>
    <w:rsid w:val="003C3FC8"/>
    <w:rsid w:val="003C410E"/>
    <w:rsid w:val="003C57EA"/>
    <w:rsid w:val="003C5B2A"/>
    <w:rsid w:val="003C7250"/>
    <w:rsid w:val="003C73D7"/>
    <w:rsid w:val="003C784D"/>
    <w:rsid w:val="003C7957"/>
    <w:rsid w:val="003C7A01"/>
    <w:rsid w:val="003C7A17"/>
    <w:rsid w:val="003D0323"/>
    <w:rsid w:val="003D0569"/>
    <w:rsid w:val="003D05BE"/>
    <w:rsid w:val="003D19A1"/>
    <w:rsid w:val="003D2302"/>
    <w:rsid w:val="003D27DC"/>
    <w:rsid w:val="003D29CA"/>
    <w:rsid w:val="003D2F2D"/>
    <w:rsid w:val="003D3B62"/>
    <w:rsid w:val="003D3BF0"/>
    <w:rsid w:val="003D4420"/>
    <w:rsid w:val="003D497D"/>
    <w:rsid w:val="003D5059"/>
    <w:rsid w:val="003D5212"/>
    <w:rsid w:val="003D5451"/>
    <w:rsid w:val="003D58F1"/>
    <w:rsid w:val="003D5A51"/>
    <w:rsid w:val="003D608C"/>
    <w:rsid w:val="003D6928"/>
    <w:rsid w:val="003D6E6E"/>
    <w:rsid w:val="003D6F9C"/>
    <w:rsid w:val="003D6FD5"/>
    <w:rsid w:val="003D7031"/>
    <w:rsid w:val="003D790C"/>
    <w:rsid w:val="003D7C55"/>
    <w:rsid w:val="003D7DC1"/>
    <w:rsid w:val="003E008D"/>
    <w:rsid w:val="003E026F"/>
    <w:rsid w:val="003E02E7"/>
    <w:rsid w:val="003E0392"/>
    <w:rsid w:val="003E03A6"/>
    <w:rsid w:val="003E0702"/>
    <w:rsid w:val="003E094C"/>
    <w:rsid w:val="003E11B2"/>
    <w:rsid w:val="003E16E5"/>
    <w:rsid w:val="003E1C83"/>
    <w:rsid w:val="003E23A7"/>
    <w:rsid w:val="003E28CF"/>
    <w:rsid w:val="003E3652"/>
    <w:rsid w:val="003E3D37"/>
    <w:rsid w:val="003E4272"/>
    <w:rsid w:val="003E5116"/>
    <w:rsid w:val="003E52E5"/>
    <w:rsid w:val="003E53BD"/>
    <w:rsid w:val="003E55EF"/>
    <w:rsid w:val="003E57F2"/>
    <w:rsid w:val="003E5884"/>
    <w:rsid w:val="003E6B43"/>
    <w:rsid w:val="003E6C7E"/>
    <w:rsid w:val="003E6DD2"/>
    <w:rsid w:val="003E6F51"/>
    <w:rsid w:val="003E7060"/>
    <w:rsid w:val="003E7A25"/>
    <w:rsid w:val="003E7C86"/>
    <w:rsid w:val="003F007E"/>
    <w:rsid w:val="003F051B"/>
    <w:rsid w:val="003F0893"/>
    <w:rsid w:val="003F08CA"/>
    <w:rsid w:val="003F0CB9"/>
    <w:rsid w:val="003F172F"/>
    <w:rsid w:val="003F1D31"/>
    <w:rsid w:val="003F2B28"/>
    <w:rsid w:val="003F325D"/>
    <w:rsid w:val="003F366D"/>
    <w:rsid w:val="003F4038"/>
    <w:rsid w:val="003F40C1"/>
    <w:rsid w:val="003F41B9"/>
    <w:rsid w:val="003F4634"/>
    <w:rsid w:val="003F47DF"/>
    <w:rsid w:val="003F4831"/>
    <w:rsid w:val="003F4A75"/>
    <w:rsid w:val="003F4ACC"/>
    <w:rsid w:val="003F50F9"/>
    <w:rsid w:val="003F572C"/>
    <w:rsid w:val="003F5A47"/>
    <w:rsid w:val="003F5F67"/>
    <w:rsid w:val="003F6829"/>
    <w:rsid w:val="003F71EC"/>
    <w:rsid w:val="003F744B"/>
    <w:rsid w:val="003F74A8"/>
    <w:rsid w:val="003F78A5"/>
    <w:rsid w:val="003F7FB3"/>
    <w:rsid w:val="003F7FCB"/>
    <w:rsid w:val="0040031F"/>
    <w:rsid w:val="0040067F"/>
    <w:rsid w:val="0040093D"/>
    <w:rsid w:val="004010BB"/>
    <w:rsid w:val="00401202"/>
    <w:rsid w:val="00401313"/>
    <w:rsid w:val="004014F9"/>
    <w:rsid w:val="00401529"/>
    <w:rsid w:val="004018EA"/>
    <w:rsid w:val="004028C1"/>
    <w:rsid w:val="00403002"/>
    <w:rsid w:val="0040337C"/>
    <w:rsid w:val="00403632"/>
    <w:rsid w:val="00404002"/>
    <w:rsid w:val="004041BB"/>
    <w:rsid w:val="004044C1"/>
    <w:rsid w:val="00405053"/>
    <w:rsid w:val="0040516D"/>
    <w:rsid w:val="00406670"/>
    <w:rsid w:val="00406784"/>
    <w:rsid w:val="00406974"/>
    <w:rsid w:val="00406F8C"/>
    <w:rsid w:val="00407C84"/>
    <w:rsid w:val="0041029C"/>
    <w:rsid w:val="004107EC"/>
    <w:rsid w:val="00410839"/>
    <w:rsid w:val="004108E7"/>
    <w:rsid w:val="00410F4D"/>
    <w:rsid w:val="00411269"/>
    <w:rsid w:val="004116EB"/>
    <w:rsid w:val="00412614"/>
    <w:rsid w:val="004128F1"/>
    <w:rsid w:val="00413A34"/>
    <w:rsid w:val="00414676"/>
    <w:rsid w:val="004146C7"/>
    <w:rsid w:val="00414BDC"/>
    <w:rsid w:val="00414EAE"/>
    <w:rsid w:val="00416BC2"/>
    <w:rsid w:val="004177DE"/>
    <w:rsid w:val="004201DC"/>
    <w:rsid w:val="00420A2E"/>
    <w:rsid w:val="00421277"/>
    <w:rsid w:val="00421554"/>
    <w:rsid w:val="00421692"/>
    <w:rsid w:val="004228F5"/>
    <w:rsid w:val="00422CB8"/>
    <w:rsid w:val="004231A3"/>
    <w:rsid w:val="00423392"/>
    <w:rsid w:val="00423E9D"/>
    <w:rsid w:val="00424399"/>
    <w:rsid w:val="004243A7"/>
    <w:rsid w:val="00424570"/>
    <w:rsid w:val="004250B1"/>
    <w:rsid w:val="004254EC"/>
    <w:rsid w:val="00425802"/>
    <w:rsid w:val="00425B6A"/>
    <w:rsid w:val="00425D65"/>
    <w:rsid w:val="00426456"/>
    <w:rsid w:val="00426919"/>
    <w:rsid w:val="00426F7F"/>
    <w:rsid w:val="00427544"/>
    <w:rsid w:val="00427673"/>
    <w:rsid w:val="004302C9"/>
    <w:rsid w:val="0043188F"/>
    <w:rsid w:val="004320C1"/>
    <w:rsid w:val="004321C7"/>
    <w:rsid w:val="004326F0"/>
    <w:rsid w:val="00432A1F"/>
    <w:rsid w:val="00432BB5"/>
    <w:rsid w:val="00433E0D"/>
    <w:rsid w:val="00433E1D"/>
    <w:rsid w:val="00434207"/>
    <w:rsid w:val="00434395"/>
    <w:rsid w:val="0043440C"/>
    <w:rsid w:val="00434711"/>
    <w:rsid w:val="0043487A"/>
    <w:rsid w:val="00434970"/>
    <w:rsid w:val="00434B3E"/>
    <w:rsid w:val="00434F70"/>
    <w:rsid w:val="00434F98"/>
    <w:rsid w:val="00435281"/>
    <w:rsid w:val="0043591A"/>
    <w:rsid w:val="004359E1"/>
    <w:rsid w:val="00435DAC"/>
    <w:rsid w:val="00436716"/>
    <w:rsid w:val="00436721"/>
    <w:rsid w:val="00436AD8"/>
    <w:rsid w:val="00437C60"/>
    <w:rsid w:val="0044022E"/>
    <w:rsid w:val="00440B42"/>
    <w:rsid w:val="00440F52"/>
    <w:rsid w:val="004418C2"/>
    <w:rsid w:val="00441F52"/>
    <w:rsid w:val="004420CA"/>
    <w:rsid w:val="004431D9"/>
    <w:rsid w:val="00443381"/>
    <w:rsid w:val="00443DAE"/>
    <w:rsid w:val="00444785"/>
    <w:rsid w:val="00444798"/>
    <w:rsid w:val="0044533B"/>
    <w:rsid w:val="004455D8"/>
    <w:rsid w:val="00445B07"/>
    <w:rsid w:val="00446244"/>
    <w:rsid w:val="0044688D"/>
    <w:rsid w:val="00447456"/>
    <w:rsid w:val="004475A4"/>
    <w:rsid w:val="0044761E"/>
    <w:rsid w:val="004504C3"/>
    <w:rsid w:val="0045055A"/>
    <w:rsid w:val="00450837"/>
    <w:rsid w:val="00450D0E"/>
    <w:rsid w:val="00450D5E"/>
    <w:rsid w:val="004516AB"/>
    <w:rsid w:val="00452103"/>
    <w:rsid w:val="00452842"/>
    <w:rsid w:val="00452C6E"/>
    <w:rsid w:val="004530A2"/>
    <w:rsid w:val="0045395B"/>
    <w:rsid w:val="00454273"/>
    <w:rsid w:val="004547BC"/>
    <w:rsid w:val="004548DD"/>
    <w:rsid w:val="004554D2"/>
    <w:rsid w:val="00455588"/>
    <w:rsid w:val="004555D2"/>
    <w:rsid w:val="0045639A"/>
    <w:rsid w:val="00456EC8"/>
    <w:rsid w:val="00457093"/>
    <w:rsid w:val="00457EC9"/>
    <w:rsid w:val="004600B3"/>
    <w:rsid w:val="0046051D"/>
    <w:rsid w:val="00460C95"/>
    <w:rsid w:val="00460C9D"/>
    <w:rsid w:val="00460EAE"/>
    <w:rsid w:val="00461A68"/>
    <w:rsid w:val="004623DC"/>
    <w:rsid w:val="00462C30"/>
    <w:rsid w:val="00462DA2"/>
    <w:rsid w:val="00463138"/>
    <w:rsid w:val="00463E5B"/>
    <w:rsid w:val="00463E98"/>
    <w:rsid w:val="00464084"/>
    <w:rsid w:val="00464103"/>
    <w:rsid w:val="004646D6"/>
    <w:rsid w:val="004648C4"/>
    <w:rsid w:val="004652C4"/>
    <w:rsid w:val="004654AD"/>
    <w:rsid w:val="004654C3"/>
    <w:rsid w:val="00465572"/>
    <w:rsid w:val="00465CB1"/>
    <w:rsid w:val="00466170"/>
    <w:rsid w:val="004662AE"/>
    <w:rsid w:val="00466BBF"/>
    <w:rsid w:val="00466D26"/>
    <w:rsid w:val="004673C8"/>
    <w:rsid w:val="0046757B"/>
    <w:rsid w:val="00470446"/>
    <w:rsid w:val="00470E92"/>
    <w:rsid w:val="00471735"/>
    <w:rsid w:val="00471924"/>
    <w:rsid w:val="004723D7"/>
    <w:rsid w:val="004726AA"/>
    <w:rsid w:val="00473168"/>
    <w:rsid w:val="00473E83"/>
    <w:rsid w:val="0047439B"/>
    <w:rsid w:val="0047523A"/>
    <w:rsid w:val="004757DE"/>
    <w:rsid w:val="00475905"/>
    <w:rsid w:val="00475942"/>
    <w:rsid w:val="004772E2"/>
    <w:rsid w:val="004774AD"/>
    <w:rsid w:val="00477519"/>
    <w:rsid w:val="00477720"/>
    <w:rsid w:val="00477B19"/>
    <w:rsid w:val="00477D7B"/>
    <w:rsid w:val="00480119"/>
    <w:rsid w:val="00480491"/>
    <w:rsid w:val="0048080F"/>
    <w:rsid w:val="004812C5"/>
    <w:rsid w:val="004813F4"/>
    <w:rsid w:val="00481B00"/>
    <w:rsid w:val="00481C54"/>
    <w:rsid w:val="00481F98"/>
    <w:rsid w:val="00481FF7"/>
    <w:rsid w:val="004821B5"/>
    <w:rsid w:val="004821F6"/>
    <w:rsid w:val="0048232A"/>
    <w:rsid w:val="004829CD"/>
    <w:rsid w:val="004833B9"/>
    <w:rsid w:val="004833F3"/>
    <w:rsid w:val="004836C4"/>
    <w:rsid w:val="0048371C"/>
    <w:rsid w:val="00483AEC"/>
    <w:rsid w:val="004845CD"/>
    <w:rsid w:val="0048488F"/>
    <w:rsid w:val="00484BD5"/>
    <w:rsid w:val="00484CB7"/>
    <w:rsid w:val="00485666"/>
    <w:rsid w:val="00485DFF"/>
    <w:rsid w:val="004860F9"/>
    <w:rsid w:val="00486129"/>
    <w:rsid w:val="004861C6"/>
    <w:rsid w:val="0048680B"/>
    <w:rsid w:val="00486D2D"/>
    <w:rsid w:val="004873FE"/>
    <w:rsid w:val="0048752D"/>
    <w:rsid w:val="00487C04"/>
    <w:rsid w:val="00487F8E"/>
    <w:rsid w:val="00490434"/>
    <w:rsid w:val="00490856"/>
    <w:rsid w:val="00490996"/>
    <w:rsid w:val="00490F38"/>
    <w:rsid w:val="00491EC3"/>
    <w:rsid w:val="004926D5"/>
    <w:rsid w:val="00492C89"/>
    <w:rsid w:val="00492CB0"/>
    <w:rsid w:val="00492FFA"/>
    <w:rsid w:val="00493369"/>
    <w:rsid w:val="0049353F"/>
    <w:rsid w:val="00493782"/>
    <w:rsid w:val="004939FD"/>
    <w:rsid w:val="00493D94"/>
    <w:rsid w:val="004947FF"/>
    <w:rsid w:val="00494B30"/>
    <w:rsid w:val="004953BB"/>
    <w:rsid w:val="00495439"/>
    <w:rsid w:val="00495D3E"/>
    <w:rsid w:val="00496687"/>
    <w:rsid w:val="0049733D"/>
    <w:rsid w:val="00497532"/>
    <w:rsid w:val="00497761"/>
    <w:rsid w:val="00497B6F"/>
    <w:rsid w:val="00497F4E"/>
    <w:rsid w:val="004A06DD"/>
    <w:rsid w:val="004A0CC0"/>
    <w:rsid w:val="004A131D"/>
    <w:rsid w:val="004A166E"/>
    <w:rsid w:val="004A23C7"/>
    <w:rsid w:val="004A25B6"/>
    <w:rsid w:val="004A3544"/>
    <w:rsid w:val="004A35A2"/>
    <w:rsid w:val="004A47CB"/>
    <w:rsid w:val="004A4BBF"/>
    <w:rsid w:val="004A4F25"/>
    <w:rsid w:val="004A52CF"/>
    <w:rsid w:val="004A5353"/>
    <w:rsid w:val="004A5CC4"/>
    <w:rsid w:val="004A5F17"/>
    <w:rsid w:val="004A6307"/>
    <w:rsid w:val="004A63F5"/>
    <w:rsid w:val="004A764B"/>
    <w:rsid w:val="004A79D8"/>
    <w:rsid w:val="004B0045"/>
    <w:rsid w:val="004B0875"/>
    <w:rsid w:val="004B0D50"/>
    <w:rsid w:val="004B1375"/>
    <w:rsid w:val="004B17DD"/>
    <w:rsid w:val="004B3031"/>
    <w:rsid w:val="004B379A"/>
    <w:rsid w:val="004B38C2"/>
    <w:rsid w:val="004B3F4D"/>
    <w:rsid w:val="004B41AD"/>
    <w:rsid w:val="004B48B8"/>
    <w:rsid w:val="004B4AD1"/>
    <w:rsid w:val="004B4AE6"/>
    <w:rsid w:val="004B51B6"/>
    <w:rsid w:val="004B57D9"/>
    <w:rsid w:val="004B58DF"/>
    <w:rsid w:val="004B5C26"/>
    <w:rsid w:val="004B6592"/>
    <w:rsid w:val="004B6878"/>
    <w:rsid w:val="004B6B93"/>
    <w:rsid w:val="004B7024"/>
    <w:rsid w:val="004B7385"/>
    <w:rsid w:val="004B7AC8"/>
    <w:rsid w:val="004B7C1B"/>
    <w:rsid w:val="004C1990"/>
    <w:rsid w:val="004C1E0B"/>
    <w:rsid w:val="004C1F17"/>
    <w:rsid w:val="004C2367"/>
    <w:rsid w:val="004C2B99"/>
    <w:rsid w:val="004C3D12"/>
    <w:rsid w:val="004C3D19"/>
    <w:rsid w:val="004C45A3"/>
    <w:rsid w:val="004C49B1"/>
    <w:rsid w:val="004C69C3"/>
    <w:rsid w:val="004C6D63"/>
    <w:rsid w:val="004C742B"/>
    <w:rsid w:val="004C7B2E"/>
    <w:rsid w:val="004D0463"/>
    <w:rsid w:val="004D049D"/>
    <w:rsid w:val="004D08C4"/>
    <w:rsid w:val="004D125C"/>
    <w:rsid w:val="004D1520"/>
    <w:rsid w:val="004D1782"/>
    <w:rsid w:val="004D2900"/>
    <w:rsid w:val="004D3025"/>
    <w:rsid w:val="004D3588"/>
    <w:rsid w:val="004D37EE"/>
    <w:rsid w:val="004D389A"/>
    <w:rsid w:val="004D39DC"/>
    <w:rsid w:val="004D39F4"/>
    <w:rsid w:val="004D4855"/>
    <w:rsid w:val="004D4966"/>
    <w:rsid w:val="004D4AFC"/>
    <w:rsid w:val="004D4E28"/>
    <w:rsid w:val="004D4EEF"/>
    <w:rsid w:val="004D696F"/>
    <w:rsid w:val="004D722F"/>
    <w:rsid w:val="004D7317"/>
    <w:rsid w:val="004E08D5"/>
    <w:rsid w:val="004E1EAF"/>
    <w:rsid w:val="004E2BB9"/>
    <w:rsid w:val="004E3B7D"/>
    <w:rsid w:val="004E4B26"/>
    <w:rsid w:val="004E4FFB"/>
    <w:rsid w:val="004E71ED"/>
    <w:rsid w:val="004E74E7"/>
    <w:rsid w:val="004F066D"/>
    <w:rsid w:val="004F08F5"/>
    <w:rsid w:val="004F0AD8"/>
    <w:rsid w:val="004F0EF3"/>
    <w:rsid w:val="004F1AB7"/>
    <w:rsid w:val="004F1EC2"/>
    <w:rsid w:val="004F2894"/>
    <w:rsid w:val="004F2DB0"/>
    <w:rsid w:val="004F4FB9"/>
    <w:rsid w:val="004F5274"/>
    <w:rsid w:val="004F630A"/>
    <w:rsid w:val="004F6FC8"/>
    <w:rsid w:val="004F7B4C"/>
    <w:rsid w:val="00501004"/>
    <w:rsid w:val="005018F6"/>
    <w:rsid w:val="00501CAC"/>
    <w:rsid w:val="00501D63"/>
    <w:rsid w:val="00503CDA"/>
    <w:rsid w:val="00504D25"/>
    <w:rsid w:val="00505166"/>
    <w:rsid w:val="005055B4"/>
    <w:rsid w:val="00505BF6"/>
    <w:rsid w:val="005064A5"/>
    <w:rsid w:val="00506ABB"/>
    <w:rsid w:val="00507048"/>
    <w:rsid w:val="00507496"/>
    <w:rsid w:val="00507684"/>
    <w:rsid w:val="005078AD"/>
    <w:rsid w:val="00507B2D"/>
    <w:rsid w:val="00507B8A"/>
    <w:rsid w:val="00510381"/>
    <w:rsid w:val="005104FD"/>
    <w:rsid w:val="005105AF"/>
    <w:rsid w:val="00510979"/>
    <w:rsid w:val="00510AFB"/>
    <w:rsid w:val="00510D31"/>
    <w:rsid w:val="0051121F"/>
    <w:rsid w:val="005112A2"/>
    <w:rsid w:val="00511976"/>
    <w:rsid w:val="00511A4C"/>
    <w:rsid w:val="00512C45"/>
    <w:rsid w:val="005131DD"/>
    <w:rsid w:val="005141C7"/>
    <w:rsid w:val="00514434"/>
    <w:rsid w:val="00515505"/>
    <w:rsid w:val="005156A2"/>
    <w:rsid w:val="005156C0"/>
    <w:rsid w:val="00517070"/>
    <w:rsid w:val="00517340"/>
    <w:rsid w:val="00517F39"/>
    <w:rsid w:val="0052035A"/>
    <w:rsid w:val="00520EED"/>
    <w:rsid w:val="00520FE2"/>
    <w:rsid w:val="00521089"/>
    <w:rsid w:val="00521100"/>
    <w:rsid w:val="00521FF1"/>
    <w:rsid w:val="00522062"/>
    <w:rsid w:val="005220EC"/>
    <w:rsid w:val="00523870"/>
    <w:rsid w:val="00524707"/>
    <w:rsid w:val="005253FA"/>
    <w:rsid w:val="00525525"/>
    <w:rsid w:val="00525721"/>
    <w:rsid w:val="00525A97"/>
    <w:rsid w:val="00525CD4"/>
    <w:rsid w:val="00527563"/>
    <w:rsid w:val="00527CA1"/>
    <w:rsid w:val="00527DAD"/>
    <w:rsid w:val="00527E6B"/>
    <w:rsid w:val="0053011F"/>
    <w:rsid w:val="0053046B"/>
    <w:rsid w:val="00530771"/>
    <w:rsid w:val="00531194"/>
    <w:rsid w:val="00531B2A"/>
    <w:rsid w:val="0053202B"/>
    <w:rsid w:val="00532057"/>
    <w:rsid w:val="00532095"/>
    <w:rsid w:val="005320F6"/>
    <w:rsid w:val="00532748"/>
    <w:rsid w:val="00532E28"/>
    <w:rsid w:val="005331BE"/>
    <w:rsid w:val="005333D5"/>
    <w:rsid w:val="005337D3"/>
    <w:rsid w:val="005338B9"/>
    <w:rsid w:val="00533AB7"/>
    <w:rsid w:val="00533D32"/>
    <w:rsid w:val="00534AD7"/>
    <w:rsid w:val="00535A9E"/>
    <w:rsid w:val="00535E58"/>
    <w:rsid w:val="00535F14"/>
    <w:rsid w:val="005364FC"/>
    <w:rsid w:val="0053790C"/>
    <w:rsid w:val="00540095"/>
    <w:rsid w:val="00540262"/>
    <w:rsid w:val="005408B8"/>
    <w:rsid w:val="00540C64"/>
    <w:rsid w:val="00540DB9"/>
    <w:rsid w:val="00540DFB"/>
    <w:rsid w:val="00541212"/>
    <w:rsid w:val="0054152D"/>
    <w:rsid w:val="0054164B"/>
    <w:rsid w:val="0054209F"/>
    <w:rsid w:val="005420DD"/>
    <w:rsid w:val="00542162"/>
    <w:rsid w:val="005426C0"/>
    <w:rsid w:val="005434C7"/>
    <w:rsid w:val="00543CE4"/>
    <w:rsid w:val="00543E8E"/>
    <w:rsid w:val="0054472F"/>
    <w:rsid w:val="005457A1"/>
    <w:rsid w:val="00547E79"/>
    <w:rsid w:val="00550E60"/>
    <w:rsid w:val="00550ED4"/>
    <w:rsid w:val="005510E1"/>
    <w:rsid w:val="0055118D"/>
    <w:rsid w:val="005516FA"/>
    <w:rsid w:val="00551C32"/>
    <w:rsid w:val="00551E8F"/>
    <w:rsid w:val="00552112"/>
    <w:rsid w:val="00552337"/>
    <w:rsid w:val="005523CB"/>
    <w:rsid w:val="0055259F"/>
    <w:rsid w:val="00552C82"/>
    <w:rsid w:val="00552DF0"/>
    <w:rsid w:val="0055313D"/>
    <w:rsid w:val="00553720"/>
    <w:rsid w:val="00554170"/>
    <w:rsid w:val="00555983"/>
    <w:rsid w:val="00555C10"/>
    <w:rsid w:val="005568C8"/>
    <w:rsid w:val="005569F5"/>
    <w:rsid w:val="00556A68"/>
    <w:rsid w:val="00556C68"/>
    <w:rsid w:val="00556D61"/>
    <w:rsid w:val="00557258"/>
    <w:rsid w:val="0055736B"/>
    <w:rsid w:val="00560EA7"/>
    <w:rsid w:val="00560F52"/>
    <w:rsid w:val="0056125F"/>
    <w:rsid w:val="0056166F"/>
    <w:rsid w:val="00561C45"/>
    <w:rsid w:val="0056241D"/>
    <w:rsid w:val="00562444"/>
    <w:rsid w:val="00562D61"/>
    <w:rsid w:val="005636B1"/>
    <w:rsid w:val="00563AE1"/>
    <w:rsid w:val="00564023"/>
    <w:rsid w:val="005654AA"/>
    <w:rsid w:val="00565D5A"/>
    <w:rsid w:val="00566491"/>
    <w:rsid w:val="00567177"/>
    <w:rsid w:val="00567974"/>
    <w:rsid w:val="005700DE"/>
    <w:rsid w:val="005700E1"/>
    <w:rsid w:val="005702D0"/>
    <w:rsid w:val="005705DF"/>
    <w:rsid w:val="0057078A"/>
    <w:rsid w:val="00570BB8"/>
    <w:rsid w:val="005736B2"/>
    <w:rsid w:val="00573CA7"/>
    <w:rsid w:val="00573FEF"/>
    <w:rsid w:val="00574267"/>
    <w:rsid w:val="00574355"/>
    <w:rsid w:val="0057472B"/>
    <w:rsid w:val="00574D5A"/>
    <w:rsid w:val="0057575E"/>
    <w:rsid w:val="00576C78"/>
    <w:rsid w:val="00577038"/>
    <w:rsid w:val="0057782D"/>
    <w:rsid w:val="0057797B"/>
    <w:rsid w:val="00577A01"/>
    <w:rsid w:val="005819AE"/>
    <w:rsid w:val="0058211A"/>
    <w:rsid w:val="005822D6"/>
    <w:rsid w:val="00582362"/>
    <w:rsid w:val="00582366"/>
    <w:rsid w:val="00583161"/>
    <w:rsid w:val="00583A47"/>
    <w:rsid w:val="00585849"/>
    <w:rsid w:val="00585F82"/>
    <w:rsid w:val="00587096"/>
    <w:rsid w:val="0058721A"/>
    <w:rsid w:val="00587B38"/>
    <w:rsid w:val="00587B3E"/>
    <w:rsid w:val="00587E39"/>
    <w:rsid w:val="00590645"/>
    <w:rsid w:val="00590AF2"/>
    <w:rsid w:val="00591C9B"/>
    <w:rsid w:val="00591EE4"/>
    <w:rsid w:val="005924E8"/>
    <w:rsid w:val="005928E4"/>
    <w:rsid w:val="00592C2C"/>
    <w:rsid w:val="00592CD1"/>
    <w:rsid w:val="00592D13"/>
    <w:rsid w:val="00592D7D"/>
    <w:rsid w:val="00592E63"/>
    <w:rsid w:val="005932AF"/>
    <w:rsid w:val="00593360"/>
    <w:rsid w:val="0059433C"/>
    <w:rsid w:val="0059440E"/>
    <w:rsid w:val="00594431"/>
    <w:rsid w:val="005949DA"/>
    <w:rsid w:val="005968AD"/>
    <w:rsid w:val="0059797A"/>
    <w:rsid w:val="005A01EB"/>
    <w:rsid w:val="005A0AE4"/>
    <w:rsid w:val="005A0EEB"/>
    <w:rsid w:val="005A102E"/>
    <w:rsid w:val="005A1732"/>
    <w:rsid w:val="005A1805"/>
    <w:rsid w:val="005A1CAA"/>
    <w:rsid w:val="005A1DA0"/>
    <w:rsid w:val="005A259E"/>
    <w:rsid w:val="005A2E55"/>
    <w:rsid w:val="005A3051"/>
    <w:rsid w:val="005A359A"/>
    <w:rsid w:val="005A4C31"/>
    <w:rsid w:val="005A5258"/>
    <w:rsid w:val="005A60A4"/>
    <w:rsid w:val="005A6231"/>
    <w:rsid w:val="005A6325"/>
    <w:rsid w:val="005A6538"/>
    <w:rsid w:val="005A7693"/>
    <w:rsid w:val="005A77E0"/>
    <w:rsid w:val="005B06E3"/>
    <w:rsid w:val="005B0952"/>
    <w:rsid w:val="005B09E2"/>
    <w:rsid w:val="005B16C6"/>
    <w:rsid w:val="005B17F6"/>
    <w:rsid w:val="005B2237"/>
    <w:rsid w:val="005B23C2"/>
    <w:rsid w:val="005B25A3"/>
    <w:rsid w:val="005B3975"/>
    <w:rsid w:val="005B3FDE"/>
    <w:rsid w:val="005B4292"/>
    <w:rsid w:val="005B437A"/>
    <w:rsid w:val="005B43C4"/>
    <w:rsid w:val="005B450D"/>
    <w:rsid w:val="005B478B"/>
    <w:rsid w:val="005B5116"/>
    <w:rsid w:val="005B5A99"/>
    <w:rsid w:val="005B5B45"/>
    <w:rsid w:val="005B604D"/>
    <w:rsid w:val="005B6119"/>
    <w:rsid w:val="005B6F6C"/>
    <w:rsid w:val="005C0185"/>
    <w:rsid w:val="005C0F76"/>
    <w:rsid w:val="005C14B9"/>
    <w:rsid w:val="005C193C"/>
    <w:rsid w:val="005C2018"/>
    <w:rsid w:val="005C22EC"/>
    <w:rsid w:val="005C2407"/>
    <w:rsid w:val="005C3263"/>
    <w:rsid w:val="005C3866"/>
    <w:rsid w:val="005C3999"/>
    <w:rsid w:val="005C49BA"/>
    <w:rsid w:val="005C5145"/>
    <w:rsid w:val="005C5BA5"/>
    <w:rsid w:val="005C5FF2"/>
    <w:rsid w:val="005C6C44"/>
    <w:rsid w:val="005C729E"/>
    <w:rsid w:val="005C7AFD"/>
    <w:rsid w:val="005D0007"/>
    <w:rsid w:val="005D00FB"/>
    <w:rsid w:val="005D0451"/>
    <w:rsid w:val="005D09B0"/>
    <w:rsid w:val="005D0A5E"/>
    <w:rsid w:val="005D1ACA"/>
    <w:rsid w:val="005D1E87"/>
    <w:rsid w:val="005D2E74"/>
    <w:rsid w:val="005D3717"/>
    <w:rsid w:val="005D3B90"/>
    <w:rsid w:val="005D3D8B"/>
    <w:rsid w:val="005D485A"/>
    <w:rsid w:val="005D4D5B"/>
    <w:rsid w:val="005D548D"/>
    <w:rsid w:val="005D5552"/>
    <w:rsid w:val="005D59B5"/>
    <w:rsid w:val="005D6643"/>
    <w:rsid w:val="005D666D"/>
    <w:rsid w:val="005D67D5"/>
    <w:rsid w:val="005D69F5"/>
    <w:rsid w:val="005D6AE9"/>
    <w:rsid w:val="005D6FBB"/>
    <w:rsid w:val="005D7E72"/>
    <w:rsid w:val="005E14EF"/>
    <w:rsid w:val="005E153A"/>
    <w:rsid w:val="005E15E0"/>
    <w:rsid w:val="005E196C"/>
    <w:rsid w:val="005E196F"/>
    <w:rsid w:val="005E2B31"/>
    <w:rsid w:val="005E2F8D"/>
    <w:rsid w:val="005E3001"/>
    <w:rsid w:val="005E3A76"/>
    <w:rsid w:val="005E4225"/>
    <w:rsid w:val="005E472C"/>
    <w:rsid w:val="005E4D29"/>
    <w:rsid w:val="005E4D4E"/>
    <w:rsid w:val="005E504B"/>
    <w:rsid w:val="005E52E5"/>
    <w:rsid w:val="005E5995"/>
    <w:rsid w:val="005E5C57"/>
    <w:rsid w:val="005E607D"/>
    <w:rsid w:val="005E60BE"/>
    <w:rsid w:val="005E639D"/>
    <w:rsid w:val="005E6611"/>
    <w:rsid w:val="005E6846"/>
    <w:rsid w:val="005E692A"/>
    <w:rsid w:val="005E769F"/>
    <w:rsid w:val="005F0006"/>
    <w:rsid w:val="005F017E"/>
    <w:rsid w:val="005F01CF"/>
    <w:rsid w:val="005F033F"/>
    <w:rsid w:val="005F17EB"/>
    <w:rsid w:val="005F1F7B"/>
    <w:rsid w:val="005F2609"/>
    <w:rsid w:val="005F27C1"/>
    <w:rsid w:val="005F376A"/>
    <w:rsid w:val="005F3BC9"/>
    <w:rsid w:val="005F3DA0"/>
    <w:rsid w:val="005F3DE7"/>
    <w:rsid w:val="005F422E"/>
    <w:rsid w:val="005F6555"/>
    <w:rsid w:val="005F668E"/>
    <w:rsid w:val="005F66D4"/>
    <w:rsid w:val="005F6885"/>
    <w:rsid w:val="005F6E66"/>
    <w:rsid w:val="005F7A75"/>
    <w:rsid w:val="005F7BA2"/>
    <w:rsid w:val="005F7F96"/>
    <w:rsid w:val="005F7FE8"/>
    <w:rsid w:val="0060002E"/>
    <w:rsid w:val="00600564"/>
    <w:rsid w:val="006007DC"/>
    <w:rsid w:val="00600F76"/>
    <w:rsid w:val="006011DC"/>
    <w:rsid w:val="00601238"/>
    <w:rsid w:val="006014FD"/>
    <w:rsid w:val="00602468"/>
    <w:rsid w:val="006024CC"/>
    <w:rsid w:val="00603C66"/>
    <w:rsid w:val="00605517"/>
    <w:rsid w:val="0060558C"/>
    <w:rsid w:val="00605860"/>
    <w:rsid w:val="006069E1"/>
    <w:rsid w:val="00606F6E"/>
    <w:rsid w:val="00610914"/>
    <w:rsid w:val="00611D7D"/>
    <w:rsid w:val="0061244C"/>
    <w:rsid w:val="006124C3"/>
    <w:rsid w:val="00612694"/>
    <w:rsid w:val="006129EB"/>
    <w:rsid w:val="00612B11"/>
    <w:rsid w:val="00612D9B"/>
    <w:rsid w:val="006130B6"/>
    <w:rsid w:val="00613C23"/>
    <w:rsid w:val="00613DD7"/>
    <w:rsid w:val="006143EE"/>
    <w:rsid w:val="00614B62"/>
    <w:rsid w:val="00615345"/>
    <w:rsid w:val="00615514"/>
    <w:rsid w:val="006158F7"/>
    <w:rsid w:val="00615A92"/>
    <w:rsid w:val="00615BA5"/>
    <w:rsid w:val="00615CD4"/>
    <w:rsid w:val="00616FF1"/>
    <w:rsid w:val="00617004"/>
    <w:rsid w:val="006176C9"/>
    <w:rsid w:val="00617D5C"/>
    <w:rsid w:val="00620BA5"/>
    <w:rsid w:val="00621033"/>
    <w:rsid w:val="00621779"/>
    <w:rsid w:val="006220AE"/>
    <w:rsid w:val="006224F6"/>
    <w:rsid w:val="006229E3"/>
    <w:rsid w:val="00623E2A"/>
    <w:rsid w:val="006240C3"/>
    <w:rsid w:val="00624528"/>
    <w:rsid w:val="00624801"/>
    <w:rsid w:val="006249AB"/>
    <w:rsid w:val="00624C7E"/>
    <w:rsid w:val="00624E04"/>
    <w:rsid w:val="00624FC3"/>
    <w:rsid w:val="00625DFF"/>
    <w:rsid w:val="00626012"/>
    <w:rsid w:val="00626152"/>
    <w:rsid w:val="00626786"/>
    <w:rsid w:val="00626DB0"/>
    <w:rsid w:val="00626EC0"/>
    <w:rsid w:val="0063023E"/>
    <w:rsid w:val="00630368"/>
    <w:rsid w:val="00630644"/>
    <w:rsid w:val="006306D5"/>
    <w:rsid w:val="00630CCC"/>
    <w:rsid w:val="0063120A"/>
    <w:rsid w:val="0063142F"/>
    <w:rsid w:val="006317D4"/>
    <w:rsid w:val="00631F59"/>
    <w:rsid w:val="006321A7"/>
    <w:rsid w:val="0063252B"/>
    <w:rsid w:val="006333AF"/>
    <w:rsid w:val="0063383E"/>
    <w:rsid w:val="00633872"/>
    <w:rsid w:val="00633C35"/>
    <w:rsid w:val="0063456C"/>
    <w:rsid w:val="00634598"/>
    <w:rsid w:val="0063507B"/>
    <w:rsid w:val="006354C5"/>
    <w:rsid w:val="00635BAD"/>
    <w:rsid w:val="00635BCA"/>
    <w:rsid w:val="00635D04"/>
    <w:rsid w:val="00635D48"/>
    <w:rsid w:val="00635DC4"/>
    <w:rsid w:val="006360DF"/>
    <w:rsid w:val="006364D1"/>
    <w:rsid w:val="006364DD"/>
    <w:rsid w:val="00636566"/>
    <w:rsid w:val="006368CB"/>
    <w:rsid w:val="006370DC"/>
    <w:rsid w:val="00637252"/>
    <w:rsid w:val="0063760B"/>
    <w:rsid w:val="00637A7B"/>
    <w:rsid w:val="00637C40"/>
    <w:rsid w:val="00637D44"/>
    <w:rsid w:val="00640801"/>
    <w:rsid w:val="0064084A"/>
    <w:rsid w:val="00640B70"/>
    <w:rsid w:val="00640F2B"/>
    <w:rsid w:val="00640FD6"/>
    <w:rsid w:val="006413EB"/>
    <w:rsid w:val="0064182B"/>
    <w:rsid w:val="00641A09"/>
    <w:rsid w:val="00642512"/>
    <w:rsid w:val="00642D60"/>
    <w:rsid w:val="00643562"/>
    <w:rsid w:val="006436F7"/>
    <w:rsid w:val="0064393D"/>
    <w:rsid w:val="006448AD"/>
    <w:rsid w:val="006452A2"/>
    <w:rsid w:val="00645407"/>
    <w:rsid w:val="006455BD"/>
    <w:rsid w:val="00645782"/>
    <w:rsid w:val="006459F6"/>
    <w:rsid w:val="00645D0D"/>
    <w:rsid w:val="00645F92"/>
    <w:rsid w:val="006463F5"/>
    <w:rsid w:val="00646FD7"/>
    <w:rsid w:val="006471DA"/>
    <w:rsid w:val="00647B47"/>
    <w:rsid w:val="00647BB4"/>
    <w:rsid w:val="006502FC"/>
    <w:rsid w:val="00650594"/>
    <w:rsid w:val="006514EB"/>
    <w:rsid w:val="00651BBE"/>
    <w:rsid w:val="00651D38"/>
    <w:rsid w:val="00651F3B"/>
    <w:rsid w:val="006524A2"/>
    <w:rsid w:val="006537B9"/>
    <w:rsid w:val="00653B49"/>
    <w:rsid w:val="00653E79"/>
    <w:rsid w:val="00653F63"/>
    <w:rsid w:val="00654185"/>
    <w:rsid w:val="006542A2"/>
    <w:rsid w:val="006543A8"/>
    <w:rsid w:val="00654938"/>
    <w:rsid w:val="00655125"/>
    <w:rsid w:val="00655819"/>
    <w:rsid w:val="00655CD1"/>
    <w:rsid w:val="006563BA"/>
    <w:rsid w:val="00657210"/>
    <w:rsid w:val="006577F6"/>
    <w:rsid w:val="00661039"/>
    <w:rsid w:val="006611D9"/>
    <w:rsid w:val="006613EB"/>
    <w:rsid w:val="006621B6"/>
    <w:rsid w:val="00663BA9"/>
    <w:rsid w:val="00663FD7"/>
    <w:rsid w:val="006641E0"/>
    <w:rsid w:val="006641E5"/>
    <w:rsid w:val="0066429D"/>
    <w:rsid w:val="00664E47"/>
    <w:rsid w:val="00664F6B"/>
    <w:rsid w:val="006654EF"/>
    <w:rsid w:val="00665E45"/>
    <w:rsid w:val="00665E46"/>
    <w:rsid w:val="00665F6E"/>
    <w:rsid w:val="00666129"/>
    <w:rsid w:val="00666825"/>
    <w:rsid w:val="00666A33"/>
    <w:rsid w:val="00667110"/>
    <w:rsid w:val="006705B3"/>
    <w:rsid w:val="00671704"/>
    <w:rsid w:val="0067177B"/>
    <w:rsid w:val="00671966"/>
    <w:rsid w:val="00671C73"/>
    <w:rsid w:val="00672E50"/>
    <w:rsid w:val="00673349"/>
    <w:rsid w:val="00673523"/>
    <w:rsid w:val="00673BB6"/>
    <w:rsid w:val="0067408F"/>
    <w:rsid w:val="006740EB"/>
    <w:rsid w:val="006744B1"/>
    <w:rsid w:val="00675140"/>
    <w:rsid w:val="0067514B"/>
    <w:rsid w:val="00675686"/>
    <w:rsid w:val="00675EFB"/>
    <w:rsid w:val="00675F6F"/>
    <w:rsid w:val="00676116"/>
    <w:rsid w:val="00676489"/>
    <w:rsid w:val="00676981"/>
    <w:rsid w:val="00676A9F"/>
    <w:rsid w:val="00676E34"/>
    <w:rsid w:val="00677498"/>
    <w:rsid w:val="006775A0"/>
    <w:rsid w:val="006775DC"/>
    <w:rsid w:val="00677A50"/>
    <w:rsid w:val="00677D75"/>
    <w:rsid w:val="006800D0"/>
    <w:rsid w:val="00680661"/>
    <w:rsid w:val="00680723"/>
    <w:rsid w:val="00680BF1"/>
    <w:rsid w:val="006810F7"/>
    <w:rsid w:val="00681DFC"/>
    <w:rsid w:val="006828FD"/>
    <w:rsid w:val="00682D65"/>
    <w:rsid w:val="00683286"/>
    <w:rsid w:val="00683BD8"/>
    <w:rsid w:val="00683C56"/>
    <w:rsid w:val="006843D7"/>
    <w:rsid w:val="00684437"/>
    <w:rsid w:val="006849BA"/>
    <w:rsid w:val="00684F36"/>
    <w:rsid w:val="006850E8"/>
    <w:rsid w:val="006857B6"/>
    <w:rsid w:val="00685FF4"/>
    <w:rsid w:val="0068633A"/>
    <w:rsid w:val="00686433"/>
    <w:rsid w:val="0068643A"/>
    <w:rsid w:val="006865A8"/>
    <w:rsid w:val="00686677"/>
    <w:rsid w:val="00686E0C"/>
    <w:rsid w:val="00690138"/>
    <w:rsid w:val="006903CF"/>
    <w:rsid w:val="00690FEC"/>
    <w:rsid w:val="00691286"/>
    <w:rsid w:val="0069225B"/>
    <w:rsid w:val="006924B7"/>
    <w:rsid w:val="00692586"/>
    <w:rsid w:val="0069258E"/>
    <w:rsid w:val="006926A3"/>
    <w:rsid w:val="00692BA9"/>
    <w:rsid w:val="0069381D"/>
    <w:rsid w:val="00693971"/>
    <w:rsid w:val="00693C13"/>
    <w:rsid w:val="006948DE"/>
    <w:rsid w:val="00694A6C"/>
    <w:rsid w:val="006950F1"/>
    <w:rsid w:val="00695431"/>
    <w:rsid w:val="006957BA"/>
    <w:rsid w:val="00695B08"/>
    <w:rsid w:val="00695BDD"/>
    <w:rsid w:val="00695DBD"/>
    <w:rsid w:val="0069621E"/>
    <w:rsid w:val="006962A8"/>
    <w:rsid w:val="0069783B"/>
    <w:rsid w:val="00697D85"/>
    <w:rsid w:val="006A0162"/>
    <w:rsid w:val="006A0A01"/>
    <w:rsid w:val="006A0D36"/>
    <w:rsid w:val="006A0FE3"/>
    <w:rsid w:val="006A11EF"/>
    <w:rsid w:val="006A1322"/>
    <w:rsid w:val="006A1CC1"/>
    <w:rsid w:val="006A28E1"/>
    <w:rsid w:val="006A30D8"/>
    <w:rsid w:val="006A3438"/>
    <w:rsid w:val="006A388D"/>
    <w:rsid w:val="006A3A65"/>
    <w:rsid w:val="006A3EDF"/>
    <w:rsid w:val="006A47F5"/>
    <w:rsid w:val="006A4CC2"/>
    <w:rsid w:val="006A5F4A"/>
    <w:rsid w:val="006A610F"/>
    <w:rsid w:val="006A62CF"/>
    <w:rsid w:val="006B07E4"/>
    <w:rsid w:val="006B080F"/>
    <w:rsid w:val="006B0EFF"/>
    <w:rsid w:val="006B2674"/>
    <w:rsid w:val="006B2756"/>
    <w:rsid w:val="006B28B6"/>
    <w:rsid w:val="006B2A29"/>
    <w:rsid w:val="006B2DA8"/>
    <w:rsid w:val="006B341C"/>
    <w:rsid w:val="006B363F"/>
    <w:rsid w:val="006B36AE"/>
    <w:rsid w:val="006B37DD"/>
    <w:rsid w:val="006B4174"/>
    <w:rsid w:val="006B4CB5"/>
    <w:rsid w:val="006B5EEC"/>
    <w:rsid w:val="006B6289"/>
    <w:rsid w:val="006B654A"/>
    <w:rsid w:val="006B6C8C"/>
    <w:rsid w:val="006B6D7F"/>
    <w:rsid w:val="006B763A"/>
    <w:rsid w:val="006B76E4"/>
    <w:rsid w:val="006B7876"/>
    <w:rsid w:val="006B7893"/>
    <w:rsid w:val="006C09B1"/>
    <w:rsid w:val="006C0B67"/>
    <w:rsid w:val="006C109E"/>
    <w:rsid w:val="006C157C"/>
    <w:rsid w:val="006C1F48"/>
    <w:rsid w:val="006C250D"/>
    <w:rsid w:val="006C3F7E"/>
    <w:rsid w:val="006C5221"/>
    <w:rsid w:val="006C5CDA"/>
    <w:rsid w:val="006C6B7A"/>
    <w:rsid w:val="006C7387"/>
    <w:rsid w:val="006C7431"/>
    <w:rsid w:val="006C7DA7"/>
    <w:rsid w:val="006D12E9"/>
    <w:rsid w:val="006D14CF"/>
    <w:rsid w:val="006D1659"/>
    <w:rsid w:val="006D19A4"/>
    <w:rsid w:val="006D289D"/>
    <w:rsid w:val="006D2FB1"/>
    <w:rsid w:val="006D3A59"/>
    <w:rsid w:val="006D3CA5"/>
    <w:rsid w:val="006D41DD"/>
    <w:rsid w:val="006D47BB"/>
    <w:rsid w:val="006D50AB"/>
    <w:rsid w:val="006D54BF"/>
    <w:rsid w:val="006D5BF1"/>
    <w:rsid w:val="006D5DCA"/>
    <w:rsid w:val="006D7A8E"/>
    <w:rsid w:val="006D7E68"/>
    <w:rsid w:val="006E0007"/>
    <w:rsid w:val="006E02D3"/>
    <w:rsid w:val="006E03A7"/>
    <w:rsid w:val="006E0775"/>
    <w:rsid w:val="006E0B41"/>
    <w:rsid w:val="006E0DDF"/>
    <w:rsid w:val="006E1224"/>
    <w:rsid w:val="006E1900"/>
    <w:rsid w:val="006E25CA"/>
    <w:rsid w:val="006E27AE"/>
    <w:rsid w:val="006E2E80"/>
    <w:rsid w:val="006E317D"/>
    <w:rsid w:val="006E3AFA"/>
    <w:rsid w:val="006E3CAA"/>
    <w:rsid w:val="006E3FA0"/>
    <w:rsid w:val="006E5494"/>
    <w:rsid w:val="006E55BE"/>
    <w:rsid w:val="006E5948"/>
    <w:rsid w:val="006E6565"/>
    <w:rsid w:val="006E65E0"/>
    <w:rsid w:val="006E694F"/>
    <w:rsid w:val="006E6AA0"/>
    <w:rsid w:val="006E75A7"/>
    <w:rsid w:val="006E786F"/>
    <w:rsid w:val="006E7F80"/>
    <w:rsid w:val="006F02BA"/>
    <w:rsid w:val="006F088C"/>
    <w:rsid w:val="006F124E"/>
    <w:rsid w:val="006F193A"/>
    <w:rsid w:val="006F1B13"/>
    <w:rsid w:val="006F280C"/>
    <w:rsid w:val="006F288F"/>
    <w:rsid w:val="006F2963"/>
    <w:rsid w:val="006F4073"/>
    <w:rsid w:val="006F45D3"/>
    <w:rsid w:val="006F4E58"/>
    <w:rsid w:val="006F5CA0"/>
    <w:rsid w:val="006F6194"/>
    <w:rsid w:val="006F656C"/>
    <w:rsid w:val="006F7917"/>
    <w:rsid w:val="006F7985"/>
    <w:rsid w:val="006F7D5B"/>
    <w:rsid w:val="007001C9"/>
    <w:rsid w:val="00700679"/>
    <w:rsid w:val="00700970"/>
    <w:rsid w:val="00700C9D"/>
    <w:rsid w:val="00701A81"/>
    <w:rsid w:val="007025CA"/>
    <w:rsid w:val="0070294D"/>
    <w:rsid w:val="00702BF6"/>
    <w:rsid w:val="00703B6C"/>
    <w:rsid w:val="00703CCF"/>
    <w:rsid w:val="007042DD"/>
    <w:rsid w:val="007043A1"/>
    <w:rsid w:val="0070446D"/>
    <w:rsid w:val="00704ED4"/>
    <w:rsid w:val="00706B68"/>
    <w:rsid w:val="00706F84"/>
    <w:rsid w:val="0070701C"/>
    <w:rsid w:val="007072F8"/>
    <w:rsid w:val="007079E8"/>
    <w:rsid w:val="00707FA4"/>
    <w:rsid w:val="0071027F"/>
    <w:rsid w:val="0071048F"/>
    <w:rsid w:val="007109B2"/>
    <w:rsid w:val="00710E42"/>
    <w:rsid w:val="00710E47"/>
    <w:rsid w:val="00711335"/>
    <w:rsid w:val="00711390"/>
    <w:rsid w:val="00711CBA"/>
    <w:rsid w:val="007122D0"/>
    <w:rsid w:val="007125A4"/>
    <w:rsid w:val="007127F2"/>
    <w:rsid w:val="00712BFC"/>
    <w:rsid w:val="00713259"/>
    <w:rsid w:val="0071344D"/>
    <w:rsid w:val="0071395A"/>
    <w:rsid w:val="00714005"/>
    <w:rsid w:val="00714FDF"/>
    <w:rsid w:val="007155C3"/>
    <w:rsid w:val="00715743"/>
    <w:rsid w:val="0071581E"/>
    <w:rsid w:val="007169EE"/>
    <w:rsid w:val="00720339"/>
    <w:rsid w:val="00721522"/>
    <w:rsid w:val="00722044"/>
    <w:rsid w:val="00722560"/>
    <w:rsid w:val="0072331C"/>
    <w:rsid w:val="007247FF"/>
    <w:rsid w:val="007250D9"/>
    <w:rsid w:val="00725177"/>
    <w:rsid w:val="0072525D"/>
    <w:rsid w:val="007254B5"/>
    <w:rsid w:val="007257CB"/>
    <w:rsid w:val="00725B41"/>
    <w:rsid w:val="007260AB"/>
    <w:rsid w:val="007261B6"/>
    <w:rsid w:val="00726441"/>
    <w:rsid w:val="007266D1"/>
    <w:rsid w:val="0072699B"/>
    <w:rsid w:val="007275A4"/>
    <w:rsid w:val="00727D72"/>
    <w:rsid w:val="007306B9"/>
    <w:rsid w:val="00731800"/>
    <w:rsid w:val="00731ADC"/>
    <w:rsid w:val="0073287F"/>
    <w:rsid w:val="007329A4"/>
    <w:rsid w:val="00732DD8"/>
    <w:rsid w:val="0073318F"/>
    <w:rsid w:val="007334F3"/>
    <w:rsid w:val="00733FF1"/>
    <w:rsid w:val="0073484C"/>
    <w:rsid w:val="00734E48"/>
    <w:rsid w:val="00735335"/>
    <w:rsid w:val="007354A3"/>
    <w:rsid w:val="00735524"/>
    <w:rsid w:val="00735620"/>
    <w:rsid w:val="007365F5"/>
    <w:rsid w:val="00736729"/>
    <w:rsid w:val="007367DE"/>
    <w:rsid w:val="007367FE"/>
    <w:rsid w:val="0073714B"/>
    <w:rsid w:val="00740788"/>
    <w:rsid w:val="00740B03"/>
    <w:rsid w:val="007410DF"/>
    <w:rsid w:val="00741193"/>
    <w:rsid w:val="0074143D"/>
    <w:rsid w:val="00742088"/>
    <w:rsid w:val="00742132"/>
    <w:rsid w:val="00742262"/>
    <w:rsid w:val="007423CA"/>
    <w:rsid w:val="00742608"/>
    <w:rsid w:val="007426FD"/>
    <w:rsid w:val="007429E0"/>
    <w:rsid w:val="00742D9D"/>
    <w:rsid w:val="0074346D"/>
    <w:rsid w:val="007439D3"/>
    <w:rsid w:val="00743B1D"/>
    <w:rsid w:val="00744239"/>
    <w:rsid w:val="00744919"/>
    <w:rsid w:val="00744F9B"/>
    <w:rsid w:val="00745976"/>
    <w:rsid w:val="00745A7E"/>
    <w:rsid w:val="00746146"/>
    <w:rsid w:val="0074616C"/>
    <w:rsid w:val="007470B3"/>
    <w:rsid w:val="00747296"/>
    <w:rsid w:val="00747C3E"/>
    <w:rsid w:val="00750460"/>
    <w:rsid w:val="0075051D"/>
    <w:rsid w:val="00750A93"/>
    <w:rsid w:val="00750C76"/>
    <w:rsid w:val="00751364"/>
    <w:rsid w:val="00751DD7"/>
    <w:rsid w:val="00752E15"/>
    <w:rsid w:val="00752F73"/>
    <w:rsid w:val="0075399F"/>
    <w:rsid w:val="00753C4E"/>
    <w:rsid w:val="00753D57"/>
    <w:rsid w:val="00753DEB"/>
    <w:rsid w:val="007540BC"/>
    <w:rsid w:val="00754101"/>
    <w:rsid w:val="00754630"/>
    <w:rsid w:val="00754CBF"/>
    <w:rsid w:val="00755974"/>
    <w:rsid w:val="00755ABB"/>
    <w:rsid w:val="00755B3F"/>
    <w:rsid w:val="00755C05"/>
    <w:rsid w:val="00755F72"/>
    <w:rsid w:val="007560FA"/>
    <w:rsid w:val="0075697C"/>
    <w:rsid w:val="00756AE3"/>
    <w:rsid w:val="00756D58"/>
    <w:rsid w:val="00756F66"/>
    <w:rsid w:val="00756FA4"/>
    <w:rsid w:val="007574AB"/>
    <w:rsid w:val="00757B4B"/>
    <w:rsid w:val="0076099C"/>
    <w:rsid w:val="00761255"/>
    <w:rsid w:val="00761440"/>
    <w:rsid w:val="007615CE"/>
    <w:rsid w:val="0076328B"/>
    <w:rsid w:val="007636F5"/>
    <w:rsid w:val="00764374"/>
    <w:rsid w:val="007646F6"/>
    <w:rsid w:val="00765EB7"/>
    <w:rsid w:val="007668C6"/>
    <w:rsid w:val="00766A99"/>
    <w:rsid w:val="00766B60"/>
    <w:rsid w:val="007704B7"/>
    <w:rsid w:val="0077079C"/>
    <w:rsid w:val="00770F8A"/>
    <w:rsid w:val="0077134D"/>
    <w:rsid w:val="0077147D"/>
    <w:rsid w:val="0077171C"/>
    <w:rsid w:val="00771D95"/>
    <w:rsid w:val="0077209F"/>
    <w:rsid w:val="00772579"/>
    <w:rsid w:val="00772931"/>
    <w:rsid w:val="00772CFF"/>
    <w:rsid w:val="00772EE5"/>
    <w:rsid w:val="00773508"/>
    <w:rsid w:val="00773755"/>
    <w:rsid w:val="00773844"/>
    <w:rsid w:val="0077434D"/>
    <w:rsid w:val="00774EEB"/>
    <w:rsid w:val="0077549A"/>
    <w:rsid w:val="00775992"/>
    <w:rsid w:val="007761CA"/>
    <w:rsid w:val="007763F5"/>
    <w:rsid w:val="0077658A"/>
    <w:rsid w:val="007767B8"/>
    <w:rsid w:val="007774AA"/>
    <w:rsid w:val="007776E8"/>
    <w:rsid w:val="00777EC3"/>
    <w:rsid w:val="00777F0E"/>
    <w:rsid w:val="007805DF"/>
    <w:rsid w:val="00780965"/>
    <w:rsid w:val="00781AFE"/>
    <w:rsid w:val="0078202C"/>
    <w:rsid w:val="00782A29"/>
    <w:rsid w:val="00783139"/>
    <w:rsid w:val="00783D3A"/>
    <w:rsid w:val="00783E3D"/>
    <w:rsid w:val="00783E94"/>
    <w:rsid w:val="007848D1"/>
    <w:rsid w:val="00784B85"/>
    <w:rsid w:val="00784B94"/>
    <w:rsid w:val="00784BE5"/>
    <w:rsid w:val="00784C74"/>
    <w:rsid w:val="00785128"/>
    <w:rsid w:val="00785D0C"/>
    <w:rsid w:val="00785DAE"/>
    <w:rsid w:val="00787A71"/>
    <w:rsid w:val="00792699"/>
    <w:rsid w:val="00793CF4"/>
    <w:rsid w:val="007940E3"/>
    <w:rsid w:val="007943BC"/>
    <w:rsid w:val="007944F1"/>
    <w:rsid w:val="007948C8"/>
    <w:rsid w:val="00794B02"/>
    <w:rsid w:val="00794B81"/>
    <w:rsid w:val="007951DF"/>
    <w:rsid w:val="007955A7"/>
    <w:rsid w:val="007957F8"/>
    <w:rsid w:val="00795898"/>
    <w:rsid w:val="00796353"/>
    <w:rsid w:val="00796BA4"/>
    <w:rsid w:val="00796CC0"/>
    <w:rsid w:val="00797347"/>
    <w:rsid w:val="00797805"/>
    <w:rsid w:val="00797BCD"/>
    <w:rsid w:val="00797BFF"/>
    <w:rsid w:val="007A0710"/>
    <w:rsid w:val="007A0989"/>
    <w:rsid w:val="007A0BF4"/>
    <w:rsid w:val="007A1BA8"/>
    <w:rsid w:val="007A336C"/>
    <w:rsid w:val="007A360B"/>
    <w:rsid w:val="007A3870"/>
    <w:rsid w:val="007A4030"/>
    <w:rsid w:val="007A417C"/>
    <w:rsid w:val="007A4280"/>
    <w:rsid w:val="007A4636"/>
    <w:rsid w:val="007A48FF"/>
    <w:rsid w:val="007A5CBA"/>
    <w:rsid w:val="007A627D"/>
    <w:rsid w:val="007A6402"/>
    <w:rsid w:val="007A6AA7"/>
    <w:rsid w:val="007A6F4C"/>
    <w:rsid w:val="007A7078"/>
    <w:rsid w:val="007A72ED"/>
    <w:rsid w:val="007A7323"/>
    <w:rsid w:val="007A7E1E"/>
    <w:rsid w:val="007A7FBD"/>
    <w:rsid w:val="007B05E1"/>
    <w:rsid w:val="007B0757"/>
    <w:rsid w:val="007B08A0"/>
    <w:rsid w:val="007B1CAB"/>
    <w:rsid w:val="007B245F"/>
    <w:rsid w:val="007B255E"/>
    <w:rsid w:val="007B2841"/>
    <w:rsid w:val="007B2EE0"/>
    <w:rsid w:val="007B3184"/>
    <w:rsid w:val="007B4554"/>
    <w:rsid w:val="007B4A97"/>
    <w:rsid w:val="007B4B5F"/>
    <w:rsid w:val="007B508A"/>
    <w:rsid w:val="007B547D"/>
    <w:rsid w:val="007B6577"/>
    <w:rsid w:val="007B6716"/>
    <w:rsid w:val="007B6FE0"/>
    <w:rsid w:val="007B7385"/>
    <w:rsid w:val="007B7BC1"/>
    <w:rsid w:val="007B7E2A"/>
    <w:rsid w:val="007B7E6B"/>
    <w:rsid w:val="007C0D89"/>
    <w:rsid w:val="007C131F"/>
    <w:rsid w:val="007C1E90"/>
    <w:rsid w:val="007C2698"/>
    <w:rsid w:val="007C275C"/>
    <w:rsid w:val="007C2E3F"/>
    <w:rsid w:val="007C304B"/>
    <w:rsid w:val="007C3BDB"/>
    <w:rsid w:val="007C3C48"/>
    <w:rsid w:val="007C3CA2"/>
    <w:rsid w:val="007C423E"/>
    <w:rsid w:val="007C5894"/>
    <w:rsid w:val="007C6578"/>
    <w:rsid w:val="007C6DF7"/>
    <w:rsid w:val="007C6F6C"/>
    <w:rsid w:val="007C7365"/>
    <w:rsid w:val="007C77BF"/>
    <w:rsid w:val="007C78B8"/>
    <w:rsid w:val="007C7C17"/>
    <w:rsid w:val="007C7FA5"/>
    <w:rsid w:val="007D0379"/>
    <w:rsid w:val="007D0700"/>
    <w:rsid w:val="007D0A7F"/>
    <w:rsid w:val="007D0EF0"/>
    <w:rsid w:val="007D15C5"/>
    <w:rsid w:val="007D1680"/>
    <w:rsid w:val="007D2109"/>
    <w:rsid w:val="007D2DE7"/>
    <w:rsid w:val="007D3122"/>
    <w:rsid w:val="007D31F0"/>
    <w:rsid w:val="007D3867"/>
    <w:rsid w:val="007D3DE1"/>
    <w:rsid w:val="007D4563"/>
    <w:rsid w:val="007D47A2"/>
    <w:rsid w:val="007D4D98"/>
    <w:rsid w:val="007D4F31"/>
    <w:rsid w:val="007D5270"/>
    <w:rsid w:val="007D54B1"/>
    <w:rsid w:val="007D583E"/>
    <w:rsid w:val="007D5A22"/>
    <w:rsid w:val="007D5B9D"/>
    <w:rsid w:val="007D610E"/>
    <w:rsid w:val="007D6CBE"/>
    <w:rsid w:val="007D7C7C"/>
    <w:rsid w:val="007E0131"/>
    <w:rsid w:val="007E0631"/>
    <w:rsid w:val="007E0669"/>
    <w:rsid w:val="007E1DC8"/>
    <w:rsid w:val="007E2B02"/>
    <w:rsid w:val="007E2B49"/>
    <w:rsid w:val="007E2EA2"/>
    <w:rsid w:val="007E36AA"/>
    <w:rsid w:val="007E3C1B"/>
    <w:rsid w:val="007E466D"/>
    <w:rsid w:val="007E473B"/>
    <w:rsid w:val="007E47E9"/>
    <w:rsid w:val="007E4C14"/>
    <w:rsid w:val="007E4EA8"/>
    <w:rsid w:val="007E50A9"/>
    <w:rsid w:val="007E5590"/>
    <w:rsid w:val="007E581A"/>
    <w:rsid w:val="007E68DB"/>
    <w:rsid w:val="007E7BE4"/>
    <w:rsid w:val="007E7DC7"/>
    <w:rsid w:val="007E7E34"/>
    <w:rsid w:val="007F02C7"/>
    <w:rsid w:val="007F04C5"/>
    <w:rsid w:val="007F053B"/>
    <w:rsid w:val="007F0BCA"/>
    <w:rsid w:val="007F134F"/>
    <w:rsid w:val="007F1389"/>
    <w:rsid w:val="007F2559"/>
    <w:rsid w:val="007F2CCB"/>
    <w:rsid w:val="007F2D4D"/>
    <w:rsid w:val="007F344C"/>
    <w:rsid w:val="007F3B9E"/>
    <w:rsid w:val="007F4118"/>
    <w:rsid w:val="007F49B5"/>
    <w:rsid w:val="007F5DAE"/>
    <w:rsid w:val="007F5F46"/>
    <w:rsid w:val="007F6F99"/>
    <w:rsid w:val="007F6FB7"/>
    <w:rsid w:val="007F7255"/>
    <w:rsid w:val="007F7F6A"/>
    <w:rsid w:val="00800033"/>
    <w:rsid w:val="008003E2"/>
    <w:rsid w:val="0080099B"/>
    <w:rsid w:val="00801388"/>
    <w:rsid w:val="008013D2"/>
    <w:rsid w:val="008018F1"/>
    <w:rsid w:val="00801DC1"/>
    <w:rsid w:val="008026DC"/>
    <w:rsid w:val="00802DAB"/>
    <w:rsid w:val="008030B6"/>
    <w:rsid w:val="0080337F"/>
    <w:rsid w:val="0080352D"/>
    <w:rsid w:val="0080375E"/>
    <w:rsid w:val="00803B71"/>
    <w:rsid w:val="00804813"/>
    <w:rsid w:val="00804B1D"/>
    <w:rsid w:val="0080591C"/>
    <w:rsid w:val="00806FC1"/>
    <w:rsid w:val="008071D9"/>
    <w:rsid w:val="008073B7"/>
    <w:rsid w:val="00807EE5"/>
    <w:rsid w:val="008100E8"/>
    <w:rsid w:val="00810590"/>
    <w:rsid w:val="00811EB7"/>
    <w:rsid w:val="00812028"/>
    <w:rsid w:val="0081267B"/>
    <w:rsid w:val="00812A19"/>
    <w:rsid w:val="008134D5"/>
    <w:rsid w:val="0081375B"/>
    <w:rsid w:val="008144C1"/>
    <w:rsid w:val="00815284"/>
    <w:rsid w:val="008155E1"/>
    <w:rsid w:val="00815A37"/>
    <w:rsid w:val="00816774"/>
    <w:rsid w:val="00816F35"/>
    <w:rsid w:val="0081702F"/>
    <w:rsid w:val="0081712C"/>
    <w:rsid w:val="0081775B"/>
    <w:rsid w:val="00817E79"/>
    <w:rsid w:val="00820B44"/>
    <w:rsid w:val="00821B11"/>
    <w:rsid w:val="00822FCE"/>
    <w:rsid w:val="008230CE"/>
    <w:rsid w:val="008236BC"/>
    <w:rsid w:val="0082374D"/>
    <w:rsid w:val="008243EF"/>
    <w:rsid w:val="00824BE5"/>
    <w:rsid w:val="00824F76"/>
    <w:rsid w:val="0082547F"/>
    <w:rsid w:val="00826345"/>
    <w:rsid w:val="0082757A"/>
    <w:rsid w:val="00827FA5"/>
    <w:rsid w:val="008300A1"/>
    <w:rsid w:val="00832B2C"/>
    <w:rsid w:val="0083381C"/>
    <w:rsid w:val="008340B6"/>
    <w:rsid w:val="0083446E"/>
    <w:rsid w:val="008345C2"/>
    <w:rsid w:val="008348E9"/>
    <w:rsid w:val="00835055"/>
    <w:rsid w:val="00835248"/>
    <w:rsid w:val="008356DC"/>
    <w:rsid w:val="00835A2B"/>
    <w:rsid w:val="00835ACF"/>
    <w:rsid w:val="00835AD1"/>
    <w:rsid w:val="00835CB9"/>
    <w:rsid w:val="00835E8A"/>
    <w:rsid w:val="00836A5D"/>
    <w:rsid w:val="00836D80"/>
    <w:rsid w:val="008370D9"/>
    <w:rsid w:val="0084009E"/>
    <w:rsid w:val="008403CE"/>
    <w:rsid w:val="008404FD"/>
    <w:rsid w:val="00840562"/>
    <w:rsid w:val="00841337"/>
    <w:rsid w:val="00841A6F"/>
    <w:rsid w:val="00841D05"/>
    <w:rsid w:val="008424D9"/>
    <w:rsid w:val="0084259D"/>
    <w:rsid w:val="008426C3"/>
    <w:rsid w:val="00842A9D"/>
    <w:rsid w:val="00842C79"/>
    <w:rsid w:val="00843266"/>
    <w:rsid w:val="0084330C"/>
    <w:rsid w:val="008435B1"/>
    <w:rsid w:val="00843822"/>
    <w:rsid w:val="00843A29"/>
    <w:rsid w:val="00843C17"/>
    <w:rsid w:val="00844474"/>
    <w:rsid w:val="00844627"/>
    <w:rsid w:val="008449B6"/>
    <w:rsid w:val="00844A4C"/>
    <w:rsid w:val="00844F2F"/>
    <w:rsid w:val="00845DCA"/>
    <w:rsid w:val="008462CB"/>
    <w:rsid w:val="00846AC1"/>
    <w:rsid w:val="00850106"/>
    <w:rsid w:val="008502DE"/>
    <w:rsid w:val="008511CE"/>
    <w:rsid w:val="00851C1F"/>
    <w:rsid w:val="0085224D"/>
    <w:rsid w:val="00852D42"/>
    <w:rsid w:val="008530DA"/>
    <w:rsid w:val="00853120"/>
    <w:rsid w:val="008539FE"/>
    <w:rsid w:val="00853A6E"/>
    <w:rsid w:val="008541AD"/>
    <w:rsid w:val="00854996"/>
    <w:rsid w:val="00854A73"/>
    <w:rsid w:val="00854ACF"/>
    <w:rsid w:val="00854DC7"/>
    <w:rsid w:val="00855553"/>
    <w:rsid w:val="008559CC"/>
    <w:rsid w:val="00856223"/>
    <w:rsid w:val="0085728C"/>
    <w:rsid w:val="0086047F"/>
    <w:rsid w:val="00860685"/>
    <w:rsid w:val="00860C80"/>
    <w:rsid w:val="00860D0C"/>
    <w:rsid w:val="00861947"/>
    <w:rsid w:val="00862236"/>
    <w:rsid w:val="00862915"/>
    <w:rsid w:val="0086294C"/>
    <w:rsid w:val="00862A86"/>
    <w:rsid w:val="00862BFE"/>
    <w:rsid w:val="00862FE4"/>
    <w:rsid w:val="008630BD"/>
    <w:rsid w:val="00863561"/>
    <w:rsid w:val="008642AC"/>
    <w:rsid w:val="00864A10"/>
    <w:rsid w:val="00864A4B"/>
    <w:rsid w:val="00864D4B"/>
    <w:rsid w:val="00864D9B"/>
    <w:rsid w:val="0086559C"/>
    <w:rsid w:val="00865936"/>
    <w:rsid w:val="00865E7C"/>
    <w:rsid w:val="00866287"/>
    <w:rsid w:val="00866A69"/>
    <w:rsid w:val="008672D9"/>
    <w:rsid w:val="00867601"/>
    <w:rsid w:val="00867B79"/>
    <w:rsid w:val="00867DB1"/>
    <w:rsid w:val="00867DB8"/>
    <w:rsid w:val="0087018E"/>
    <w:rsid w:val="0087034D"/>
    <w:rsid w:val="008705B4"/>
    <w:rsid w:val="008706E4"/>
    <w:rsid w:val="00870F11"/>
    <w:rsid w:val="00871328"/>
    <w:rsid w:val="008713CE"/>
    <w:rsid w:val="00871992"/>
    <w:rsid w:val="00871AB6"/>
    <w:rsid w:val="008720D7"/>
    <w:rsid w:val="008724B2"/>
    <w:rsid w:val="008727CE"/>
    <w:rsid w:val="008729CD"/>
    <w:rsid w:val="00872D23"/>
    <w:rsid w:val="00874B55"/>
    <w:rsid w:val="00874D08"/>
    <w:rsid w:val="0087572A"/>
    <w:rsid w:val="008758B4"/>
    <w:rsid w:val="00876671"/>
    <w:rsid w:val="0087681C"/>
    <w:rsid w:val="008769D5"/>
    <w:rsid w:val="00876DB0"/>
    <w:rsid w:val="008772F1"/>
    <w:rsid w:val="00880244"/>
    <w:rsid w:val="008803A0"/>
    <w:rsid w:val="00880510"/>
    <w:rsid w:val="00881374"/>
    <w:rsid w:val="00881A83"/>
    <w:rsid w:val="00881E6D"/>
    <w:rsid w:val="008826C1"/>
    <w:rsid w:val="0088416F"/>
    <w:rsid w:val="00884420"/>
    <w:rsid w:val="00884937"/>
    <w:rsid w:val="00884A13"/>
    <w:rsid w:val="00884DD8"/>
    <w:rsid w:val="0088568E"/>
    <w:rsid w:val="00885FA5"/>
    <w:rsid w:val="00886137"/>
    <w:rsid w:val="00886499"/>
    <w:rsid w:val="008869A6"/>
    <w:rsid w:val="00886C92"/>
    <w:rsid w:val="00886F04"/>
    <w:rsid w:val="0088704E"/>
    <w:rsid w:val="0088714C"/>
    <w:rsid w:val="008871F0"/>
    <w:rsid w:val="008875C5"/>
    <w:rsid w:val="008877D2"/>
    <w:rsid w:val="00890669"/>
    <w:rsid w:val="008909C4"/>
    <w:rsid w:val="00890B3D"/>
    <w:rsid w:val="00890B7A"/>
    <w:rsid w:val="00890DAB"/>
    <w:rsid w:val="0089117F"/>
    <w:rsid w:val="008925AF"/>
    <w:rsid w:val="00892B43"/>
    <w:rsid w:val="008930C3"/>
    <w:rsid w:val="00893310"/>
    <w:rsid w:val="00893424"/>
    <w:rsid w:val="00893514"/>
    <w:rsid w:val="00893899"/>
    <w:rsid w:val="00893B21"/>
    <w:rsid w:val="0089462D"/>
    <w:rsid w:val="00894739"/>
    <w:rsid w:val="00894A43"/>
    <w:rsid w:val="008950CB"/>
    <w:rsid w:val="008950CF"/>
    <w:rsid w:val="00895295"/>
    <w:rsid w:val="0089556B"/>
    <w:rsid w:val="00895780"/>
    <w:rsid w:val="00895863"/>
    <w:rsid w:val="008959A5"/>
    <w:rsid w:val="00895F8C"/>
    <w:rsid w:val="00896B2A"/>
    <w:rsid w:val="00896E22"/>
    <w:rsid w:val="00896E95"/>
    <w:rsid w:val="00896FFA"/>
    <w:rsid w:val="008972B7"/>
    <w:rsid w:val="00897724"/>
    <w:rsid w:val="00897A4E"/>
    <w:rsid w:val="008A0179"/>
    <w:rsid w:val="008A0C03"/>
    <w:rsid w:val="008A163E"/>
    <w:rsid w:val="008A4396"/>
    <w:rsid w:val="008A44B9"/>
    <w:rsid w:val="008A45C1"/>
    <w:rsid w:val="008A4A43"/>
    <w:rsid w:val="008A4E0B"/>
    <w:rsid w:val="008A516F"/>
    <w:rsid w:val="008A58E5"/>
    <w:rsid w:val="008A5D7F"/>
    <w:rsid w:val="008A5E85"/>
    <w:rsid w:val="008A7112"/>
    <w:rsid w:val="008A71B5"/>
    <w:rsid w:val="008A74D9"/>
    <w:rsid w:val="008B00A5"/>
    <w:rsid w:val="008B0C0F"/>
    <w:rsid w:val="008B0D6C"/>
    <w:rsid w:val="008B10D5"/>
    <w:rsid w:val="008B1772"/>
    <w:rsid w:val="008B1A23"/>
    <w:rsid w:val="008B1B8B"/>
    <w:rsid w:val="008B1ECB"/>
    <w:rsid w:val="008B25F8"/>
    <w:rsid w:val="008B268E"/>
    <w:rsid w:val="008B2844"/>
    <w:rsid w:val="008B317D"/>
    <w:rsid w:val="008B3368"/>
    <w:rsid w:val="008B34B6"/>
    <w:rsid w:val="008B3604"/>
    <w:rsid w:val="008B3A54"/>
    <w:rsid w:val="008B3F3B"/>
    <w:rsid w:val="008B42A2"/>
    <w:rsid w:val="008B4DF7"/>
    <w:rsid w:val="008B4E46"/>
    <w:rsid w:val="008B5373"/>
    <w:rsid w:val="008B5634"/>
    <w:rsid w:val="008B58BB"/>
    <w:rsid w:val="008B59E7"/>
    <w:rsid w:val="008B6AD2"/>
    <w:rsid w:val="008B7294"/>
    <w:rsid w:val="008B7E0F"/>
    <w:rsid w:val="008C0015"/>
    <w:rsid w:val="008C1128"/>
    <w:rsid w:val="008C1F5F"/>
    <w:rsid w:val="008C26E4"/>
    <w:rsid w:val="008C3427"/>
    <w:rsid w:val="008C3A60"/>
    <w:rsid w:val="008C3EF4"/>
    <w:rsid w:val="008C471E"/>
    <w:rsid w:val="008C4CAB"/>
    <w:rsid w:val="008C59AA"/>
    <w:rsid w:val="008C5EBE"/>
    <w:rsid w:val="008C689D"/>
    <w:rsid w:val="008C718A"/>
    <w:rsid w:val="008C7D4B"/>
    <w:rsid w:val="008D01C3"/>
    <w:rsid w:val="008D0812"/>
    <w:rsid w:val="008D0DB1"/>
    <w:rsid w:val="008D14F5"/>
    <w:rsid w:val="008D236E"/>
    <w:rsid w:val="008D24E4"/>
    <w:rsid w:val="008D272C"/>
    <w:rsid w:val="008D2835"/>
    <w:rsid w:val="008D2CF6"/>
    <w:rsid w:val="008D3076"/>
    <w:rsid w:val="008D364A"/>
    <w:rsid w:val="008D3694"/>
    <w:rsid w:val="008D385C"/>
    <w:rsid w:val="008D391A"/>
    <w:rsid w:val="008D4C52"/>
    <w:rsid w:val="008D5077"/>
    <w:rsid w:val="008D52E8"/>
    <w:rsid w:val="008D5578"/>
    <w:rsid w:val="008D55D5"/>
    <w:rsid w:val="008D56A3"/>
    <w:rsid w:val="008D56BD"/>
    <w:rsid w:val="008D5987"/>
    <w:rsid w:val="008D5CDD"/>
    <w:rsid w:val="008D6373"/>
    <w:rsid w:val="008D6923"/>
    <w:rsid w:val="008D6A00"/>
    <w:rsid w:val="008D6BF6"/>
    <w:rsid w:val="008D71D1"/>
    <w:rsid w:val="008D76B4"/>
    <w:rsid w:val="008D7A3C"/>
    <w:rsid w:val="008D7CC4"/>
    <w:rsid w:val="008D7D16"/>
    <w:rsid w:val="008E04D1"/>
    <w:rsid w:val="008E05C1"/>
    <w:rsid w:val="008E1424"/>
    <w:rsid w:val="008E1747"/>
    <w:rsid w:val="008E295F"/>
    <w:rsid w:val="008E3A56"/>
    <w:rsid w:val="008E3AF7"/>
    <w:rsid w:val="008E3B25"/>
    <w:rsid w:val="008E3CAD"/>
    <w:rsid w:val="008E3E91"/>
    <w:rsid w:val="008E47E1"/>
    <w:rsid w:val="008E4D77"/>
    <w:rsid w:val="008E5E1F"/>
    <w:rsid w:val="008E6E2C"/>
    <w:rsid w:val="008F0751"/>
    <w:rsid w:val="008F0837"/>
    <w:rsid w:val="008F0BEB"/>
    <w:rsid w:val="008F0F93"/>
    <w:rsid w:val="008F0FD8"/>
    <w:rsid w:val="008F1391"/>
    <w:rsid w:val="008F1505"/>
    <w:rsid w:val="008F1EB5"/>
    <w:rsid w:val="008F20BB"/>
    <w:rsid w:val="008F2190"/>
    <w:rsid w:val="008F26AC"/>
    <w:rsid w:val="008F2A84"/>
    <w:rsid w:val="008F2AFB"/>
    <w:rsid w:val="008F2E7F"/>
    <w:rsid w:val="008F357E"/>
    <w:rsid w:val="008F4310"/>
    <w:rsid w:val="008F486A"/>
    <w:rsid w:val="008F5023"/>
    <w:rsid w:val="008F549F"/>
    <w:rsid w:val="008F5632"/>
    <w:rsid w:val="008F570E"/>
    <w:rsid w:val="008F5AFD"/>
    <w:rsid w:val="008F60C8"/>
    <w:rsid w:val="008F629E"/>
    <w:rsid w:val="008F639B"/>
    <w:rsid w:val="008F70A2"/>
    <w:rsid w:val="008F725C"/>
    <w:rsid w:val="008F7552"/>
    <w:rsid w:val="008F7740"/>
    <w:rsid w:val="00901B96"/>
    <w:rsid w:val="0090228C"/>
    <w:rsid w:val="00902494"/>
    <w:rsid w:val="009029A1"/>
    <w:rsid w:val="00902C92"/>
    <w:rsid w:val="009034C1"/>
    <w:rsid w:val="00903AD5"/>
    <w:rsid w:val="00905118"/>
    <w:rsid w:val="0090535A"/>
    <w:rsid w:val="00905512"/>
    <w:rsid w:val="00905CFE"/>
    <w:rsid w:val="00905E72"/>
    <w:rsid w:val="00906612"/>
    <w:rsid w:val="0090683E"/>
    <w:rsid w:val="00907075"/>
    <w:rsid w:val="00907248"/>
    <w:rsid w:val="009072B6"/>
    <w:rsid w:val="009074CE"/>
    <w:rsid w:val="0090777D"/>
    <w:rsid w:val="0090784B"/>
    <w:rsid w:val="00907FCA"/>
    <w:rsid w:val="009106D7"/>
    <w:rsid w:val="00910736"/>
    <w:rsid w:val="0091075B"/>
    <w:rsid w:val="00910E71"/>
    <w:rsid w:val="0091120D"/>
    <w:rsid w:val="0091183B"/>
    <w:rsid w:val="00911869"/>
    <w:rsid w:val="00911D85"/>
    <w:rsid w:val="00913294"/>
    <w:rsid w:val="0091344B"/>
    <w:rsid w:val="00913B98"/>
    <w:rsid w:val="00913FF7"/>
    <w:rsid w:val="00915AE8"/>
    <w:rsid w:val="00915B2D"/>
    <w:rsid w:val="00915B53"/>
    <w:rsid w:val="00915C27"/>
    <w:rsid w:val="00915E3F"/>
    <w:rsid w:val="00916D44"/>
    <w:rsid w:val="009173DE"/>
    <w:rsid w:val="00917C0D"/>
    <w:rsid w:val="009201D8"/>
    <w:rsid w:val="0092196B"/>
    <w:rsid w:val="0092199B"/>
    <w:rsid w:val="00921ECF"/>
    <w:rsid w:val="00921FC1"/>
    <w:rsid w:val="00922784"/>
    <w:rsid w:val="00922951"/>
    <w:rsid w:val="00922A71"/>
    <w:rsid w:val="00922D45"/>
    <w:rsid w:val="00923154"/>
    <w:rsid w:val="009232A2"/>
    <w:rsid w:val="0092447B"/>
    <w:rsid w:val="009245FA"/>
    <w:rsid w:val="009249B4"/>
    <w:rsid w:val="00924FC3"/>
    <w:rsid w:val="00925CB7"/>
    <w:rsid w:val="00925E80"/>
    <w:rsid w:val="009264A0"/>
    <w:rsid w:val="0092705E"/>
    <w:rsid w:val="009277E0"/>
    <w:rsid w:val="00927AB5"/>
    <w:rsid w:val="00927EFD"/>
    <w:rsid w:val="00927F8E"/>
    <w:rsid w:val="00930308"/>
    <w:rsid w:val="00930E48"/>
    <w:rsid w:val="00931150"/>
    <w:rsid w:val="0093115A"/>
    <w:rsid w:val="00931551"/>
    <w:rsid w:val="009319C5"/>
    <w:rsid w:val="00931B77"/>
    <w:rsid w:val="00931CF3"/>
    <w:rsid w:val="0093260C"/>
    <w:rsid w:val="009328B6"/>
    <w:rsid w:val="00932EBA"/>
    <w:rsid w:val="0093314D"/>
    <w:rsid w:val="00934041"/>
    <w:rsid w:val="0093410E"/>
    <w:rsid w:val="0093422C"/>
    <w:rsid w:val="00934BFF"/>
    <w:rsid w:val="0093617B"/>
    <w:rsid w:val="0093686F"/>
    <w:rsid w:val="009373FE"/>
    <w:rsid w:val="009373FF"/>
    <w:rsid w:val="00937619"/>
    <w:rsid w:val="009376D3"/>
    <w:rsid w:val="0093796E"/>
    <w:rsid w:val="00937991"/>
    <w:rsid w:val="009400BB"/>
    <w:rsid w:val="009402A5"/>
    <w:rsid w:val="009408A4"/>
    <w:rsid w:val="00940970"/>
    <w:rsid w:val="00940993"/>
    <w:rsid w:val="009409DA"/>
    <w:rsid w:val="00940BF7"/>
    <w:rsid w:val="009416AF"/>
    <w:rsid w:val="00941E22"/>
    <w:rsid w:val="009420A3"/>
    <w:rsid w:val="009422D7"/>
    <w:rsid w:val="00942659"/>
    <w:rsid w:val="0094267A"/>
    <w:rsid w:val="00942F1B"/>
    <w:rsid w:val="009430E3"/>
    <w:rsid w:val="009435A8"/>
    <w:rsid w:val="00943B14"/>
    <w:rsid w:val="00943B70"/>
    <w:rsid w:val="00943FEF"/>
    <w:rsid w:val="00944989"/>
    <w:rsid w:val="0094520E"/>
    <w:rsid w:val="00945531"/>
    <w:rsid w:val="00945887"/>
    <w:rsid w:val="00945A52"/>
    <w:rsid w:val="009462E3"/>
    <w:rsid w:val="00946733"/>
    <w:rsid w:val="0094681B"/>
    <w:rsid w:val="00946870"/>
    <w:rsid w:val="00946A58"/>
    <w:rsid w:val="00947048"/>
    <w:rsid w:val="00947693"/>
    <w:rsid w:val="00947A49"/>
    <w:rsid w:val="0095045D"/>
    <w:rsid w:val="009505EC"/>
    <w:rsid w:val="009506A7"/>
    <w:rsid w:val="0095098D"/>
    <w:rsid w:val="00951324"/>
    <w:rsid w:val="00951959"/>
    <w:rsid w:val="00951EA4"/>
    <w:rsid w:val="00951EBC"/>
    <w:rsid w:val="00951F38"/>
    <w:rsid w:val="00952A97"/>
    <w:rsid w:val="009530A2"/>
    <w:rsid w:val="00953B80"/>
    <w:rsid w:val="0095413B"/>
    <w:rsid w:val="009542AD"/>
    <w:rsid w:val="00955090"/>
    <w:rsid w:val="00955E89"/>
    <w:rsid w:val="00957780"/>
    <w:rsid w:val="00957BE9"/>
    <w:rsid w:val="0096003A"/>
    <w:rsid w:val="009604FB"/>
    <w:rsid w:val="00960852"/>
    <w:rsid w:val="00961427"/>
    <w:rsid w:val="009624DD"/>
    <w:rsid w:val="009628D2"/>
    <w:rsid w:val="009628D5"/>
    <w:rsid w:val="009629D3"/>
    <w:rsid w:val="009629D5"/>
    <w:rsid w:val="00962E6F"/>
    <w:rsid w:val="009632B9"/>
    <w:rsid w:val="0096331C"/>
    <w:rsid w:val="0096349C"/>
    <w:rsid w:val="0096428F"/>
    <w:rsid w:val="009642D3"/>
    <w:rsid w:val="009643E6"/>
    <w:rsid w:val="00964E89"/>
    <w:rsid w:val="00965336"/>
    <w:rsid w:val="00965A5A"/>
    <w:rsid w:val="00966B8E"/>
    <w:rsid w:val="00966EF1"/>
    <w:rsid w:val="009673CB"/>
    <w:rsid w:val="0096760F"/>
    <w:rsid w:val="00970BA9"/>
    <w:rsid w:val="009718F5"/>
    <w:rsid w:val="00971B7B"/>
    <w:rsid w:val="00972A11"/>
    <w:rsid w:val="00973189"/>
    <w:rsid w:val="009735BF"/>
    <w:rsid w:val="00973B33"/>
    <w:rsid w:val="00973BD3"/>
    <w:rsid w:val="00973E90"/>
    <w:rsid w:val="00974DB6"/>
    <w:rsid w:val="00976038"/>
    <w:rsid w:val="0097603F"/>
    <w:rsid w:val="009767F7"/>
    <w:rsid w:val="00976B70"/>
    <w:rsid w:val="00976D34"/>
    <w:rsid w:val="00977124"/>
    <w:rsid w:val="00977371"/>
    <w:rsid w:val="009774F6"/>
    <w:rsid w:val="00977E27"/>
    <w:rsid w:val="00980638"/>
    <w:rsid w:val="00980AB6"/>
    <w:rsid w:val="00981042"/>
    <w:rsid w:val="00981108"/>
    <w:rsid w:val="00981260"/>
    <w:rsid w:val="00981392"/>
    <w:rsid w:val="00981578"/>
    <w:rsid w:val="0098198D"/>
    <w:rsid w:val="00981F36"/>
    <w:rsid w:val="0098238E"/>
    <w:rsid w:val="009829E9"/>
    <w:rsid w:val="009831A7"/>
    <w:rsid w:val="009832BA"/>
    <w:rsid w:val="009835F9"/>
    <w:rsid w:val="00983668"/>
    <w:rsid w:val="00983C33"/>
    <w:rsid w:val="00983CFE"/>
    <w:rsid w:val="00984ABE"/>
    <w:rsid w:val="00984FA6"/>
    <w:rsid w:val="009856E8"/>
    <w:rsid w:val="009857ED"/>
    <w:rsid w:val="0098632A"/>
    <w:rsid w:val="009864F1"/>
    <w:rsid w:val="0098693F"/>
    <w:rsid w:val="009878C1"/>
    <w:rsid w:val="00987A66"/>
    <w:rsid w:val="009905FD"/>
    <w:rsid w:val="009905FE"/>
    <w:rsid w:val="009908D8"/>
    <w:rsid w:val="00990F83"/>
    <w:rsid w:val="0099129A"/>
    <w:rsid w:val="009912BD"/>
    <w:rsid w:val="009913E2"/>
    <w:rsid w:val="00991517"/>
    <w:rsid w:val="00991C25"/>
    <w:rsid w:val="00991D68"/>
    <w:rsid w:val="00992327"/>
    <w:rsid w:val="0099274B"/>
    <w:rsid w:val="00992946"/>
    <w:rsid w:val="00992C6C"/>
    <w:rsid w:val="00992FE0"/>
    <w:rsid w:val="009935B0"/>
    <w:rsid w:val="009943AF"/>
    <w:rsid w:val="00994505"/>
    <w:rsid w:val="00994724"/>
    <w:rsid w:val="00994A55"/>
    <w:rsid w:val="00994E61"/>
    <w:rsid w:val="0099530A"/>
    <w:rsid w:val="0099551F"/>
    <w:rsid w:val="009958F7"/>
    <w:rsid w:val="009960D6"/>
    <w:rsid w:val="009965E3"/>
    <w:rsid w:val="009968C2"/>
    <w:rsid w:val="00997D39"/>
    <w:rsid w:val="00997FF7"/>
    <w:rsid w:val="009A029C"/>
    <w:rsid w:val="009A02C9"/>
    <w:rsid w:val="009A09CC"/>
    <w:rsid w:val="009A118F"/>
    <w:rsid w:val="009A166D"/>
    <w:rsid w:val="009A1AA8"/>
    <w:rsid w:val="009A1C7B"/>
    <w:rsid w:val="009A1F6D"/>
    <w:rsid w:val="009A1F97"/>
    <w:rsid w:val="009A263A"/>
    <w:rsid w:val="009A3DEA"/>
    <w:rsid w:val="009A3F0E"/>
    <w:rsid w:val="009A3FD0"/>
    <w:rsid w:val="009A40CA"/>
    <w:rsid w:val="009A4808"/>
    <w:rsid w:val="009A4C4E"/>
    <w:rsid w:val="009A5335"/>
    <w:rsid w:val="009A5409"/>
    <w:rsid w:val="009A5D4F"/>
    <w:rsid w:val="009A6727"/>
    <w:rsid w:val="009A6BEA"/>
    <w:rsid w:val="009A7046"/>
    <w:rsid w:val="009A769C"/>
    <w:rsid w:val="009B0207"/>
    <w:rsid w:val="009B0306"/>
    <w:rsid w:val="009B0DC2"/>
    <w:rsid w:val="009B18B1"/>
    <w:rsid w:val="009B20EB"/>
    <w:rsid w:val="009B35A0"/>
    <w:rsid w:val="009B3806"/>
    <w:rsid w:val="009B38B6"/>
    <w:rsid w:val="009B3903"/>
    <w:rsid w:val="009B39D9"/>
    <w:rsid w:val="009B4600"/>
    <w:rsid w:val="009B4F08"/>
    <w:rsid w:val="009B5063"/>
    <w:rsid w:val="009B5800"/>
    <w:rsid w:val="009B5E36"/>
    <w:rsid w:val="009B6661"/>
    <w:rsid w:val="009B6C91"/>
    <w:rsid w:val="009B7CB1"/>
    <w:rsid w:val="009B7E23"/>
    <w:rsid w:val="009C05A5"/>
    <w:rsid w:val="009C0601"/>
    <w:rsid w:val="009C0782"/>
    <w:rsid w:val="009C07FA"/>
    <w:rsid w:val="009C10A6"/>
    <w:rsid w:val="009C112E"/>
    <w:rsid w:val="009C16A0"/>
    <w:rsid w:val="009C19DD"/>
    <w:rsid w:val="009C1C3C"/>
    <w:rsid w:val="009C1F16"/>
    <w:rsid w:val="009C22EE"/>
    <w:rsid w:val="009C23A2"/>
    <w:rsid w:val="009C2672"/>
    <w:rsid w:val="009C3661"/>
    <w:rsid w:val="009C3994"/>
    <w:rsid w:val="009C440D"/>
    <w:rsid w:val="009C46B1"/>
    <w:rsid w:val="009C50B8"/>
    <w:rsid w:val="009C5A23"/>
    <w:rsid w:val="009C5C6D"/>
    <w:rsid w:val="009C655A"/>
    <w:rsid w:val="009C66F2"/>
    <w:rsid w:val="009C6AEF"/>
    <w:rsid w:val="009C6C69"/>
    <w:rsid w:val="009C702B"/>
    <w:rsid w:val="009C7E94"/>
    <w:rsid w:val="009D0C90"/>
    <w:rsid w:val="009D0DC7"/>
    <w:rsid w:val="009D0E0E"/>
    <w:rsid w:val="009D1435"/>
    <w:rsid w:val="009D1F72"/>
    <w:rsid w:val="009D23D4"/>
    <w:rsid w:val="009D3006"/>
    <w:rsid w:val="009D3F2E"/>
    <w:rsid w:val="009D4150"/>
    <w:rsid w:val="009D449A"/>
    <w:rsid w:val="009D4679"/>
    <w:rsid w:val="009D47A8"/>
    <w:rsid w:val="009D495D"/>
    <w:rsid w:val="009D4D6F"/>
    <w:rsid w:val="009D531A"/>
    <w:rsid w:val="009D5993"/>
    <w:rsid w:val="009D5A68"/>
    <w:rsid w:val="009D600D"/>
    <w:rsid w:val="009D62F0"/>
    <w:rsid w:val="009D6794"/>
    <w:rsid w:val="009D7CED"/>
    <w:rsid w:val="009E0420"/>
    <w:rsid w:val="009E05A5"/>
    <w:rsid w:val="009E06CC"/>
    <w:rsid w:val="009E079F"/>
    <w:rsid w:val="009E0FE6"/>
    <w:rsid w:val="009E1470"/>
    <w:rsid w:val="009E1FC7"/>
    <w:rsid w:val="009E29D3"/>
    <w:rsid w:val="009E2B36"/>
    <w:rsid w:val="009E2D35"/>
    <w:rsid w:val="009E3B83"/>
    <w:rsid w:val="009E4493"/>
    <w:rsid w:val="009E44B4"/>
    <w:rsid w:val="009E4E7A"/>
    <w:rsid w:val="009E4FAD"/>
    <w:rsid w:val="009E4FF1"/>
    <w:rsid w:val="009E563F"/>
    <w:rsid w:val="009E572A"/>
    <w:rsid w:val="009E67FD"/>
    <w:rsid w:val="009E6A06"/>
    <w:rsid w:val="009E71FE"/>
    <w:rsid w:val="009E77B9"/>
    <w:rsid w:val="009E77D6"/>
    <w:rsid w:val="009E78EC"/>
    <w:rsid w:val="009F21BC"/>
    <w:rsid w:val="009F3531"/>
    <w:rsid w:val="009F3853"/>
    <w:rsid w:val="009F417D"/>
    <w:rsid w:val="009F4AD8"/>
    <w:rsid w:val="009F52FC"/>
    <w:rsid w:val="009F5833"/>
    <w:rsid w:val="009F5C8C"/>
    <w:rsid w:val="009F5F0A"/>
    <w:rsid w:val="009F664B"/>
    <w:rsid w:val="009F6705"/>
    <w:rsid w:val="009F6728"/>
    <w:rsid w:val="009F7239"/>
    <w:rsid w:val="00A00073"/>
    <w:rsid w:val="00A014C7"/>
    <w:rsid w:val="00A01800"/>
    <w:rsid w:val="00A01F35"/>
    <w:rsid w:val="00A023AC"/>
    <w:rsid w:val="00A0255A"/>
    <w:rsid w:val="00A02699"/>
    <w:rsid w:val="00A03E31"/>
    <w:rsid w:val="00A04C3E"/>
    <w:rsid w:val="00A055BC"/>
    <w:rsid w:val="00A0563E"/>
    <w:rsid w:val="00A05DF1"/>
    <w:rsid w:val="00A05E0F"/>
    <w:rsid w:val="00A06100"/>
    <w:rsid w:val="00A063F5"/>
    <w:rsid w:val="00A06B59"/>
    <w:rsid w:val="00A07E71"/>
    <w:rsid w:val="00A101B3"/>
    <w:rsid w:val="00A10247"/>
    <w:rsid w:val="00A111E1"/>
    <w:rsid w:val="00A11226"/>
    <w:rsid w:val="00A11487"/>
    <w:rsid w:val="00A11581"/>
    <w:rsid w:val="00A11650"/>
    <w:rsid w:val="00A1180F"/>
    <w:rsid w:val="00A11E12"/>
    <w:rsid w:val="00A127A2"/>
    <w:rsid w:val="00A127AF"/>
    <w:rsid w:val="00A12B4C"/>
    <w:rsid w:val="00A12EAA"/>
    <w:rsid w:val="00A138D3"/>
    <w:rsid w:val="00A13952"/>
    <w:rsid w:val="00A13954"/>
    <w:rsid w:val="00A13B37"/>
    <w:rsid w:val="00A13DDF"/>
    <w:rsid w:val="00A143EC"/>
    <w:rsid w:val="00A14511"/>
    <w:rsid w:val="00A145CF"/>
    <w:rsid w:val="00A1484B"/>
    <w:rsid w:val="00A15740"/>
    <w:rsid w:val="00A15B69"/>
    <w:rsid w:val="00A15D42"/>
    <w:rsid w:val="00A15EA4"/>
    <w:rsid w:val="00A169D5"/>
    <w:rsid w:val="00A20204"/>
    <w:rsid w:val="00A202AF"/>
    <w:rsid w:val="00A20771"/>
    <w:rsid w:val="00A20916"/>
    <w:rsid w:val="00A209A5"/>
    <w:rsid w:val="00A21560"/>
    <w:rsid w:val="00A2177E"/>
    <w:rsid w:val="00A21C84"/>
    <w:rsid w:val="00A21D7C"/>
    <w:rsid w:val="00A225CE"/>
    <w:rsid w:val="00A2264E"/>
    <w:rsid w:val="00A23833"/>
    <w:rsid w:val="00A23C33"/>
    <w:rsid w:val="00A2485D"/>
    <w:rsid w:val="00A24B51"/>
    <w:rsid w:val="00A24E09"/>
    <w:rsid w:val="00A26908"/>
    <w:rsid w:val="00A2755A"/>
    <w:rsid w:val="00A27792"/>
    <w:rsid w:val="00A2785E"/>
    <w:rsid w:val="00A302DD"/>
    <w:rsid w:val="00A313D8"/>
    <w:rsid w:val="00A320DC"/>
    <w:rsid w:val="00A32296"/>
    <w:rsid w:val="00A32433"/>
    <w:rsid w:val="00A32AF9"/>
    <w:rsid w:val="00A330B4"/>
    <w:rsid w:val="00A33723"/>
    <w:rsid w:val="00A339E0"/>
    <w:rsid w:val="00A3456C"/>
    <w:rsid w:val="00A34ED4"/>
    <w:rsid w:val="00A358C9"/>
    <w:rsid w:val="00A36090"/>
    <w:rsid w:val="00A3609F"/>
    <w:rsid w:val="00A367EC"/>
    <w:rsid w:val="00A36EE3"/>
    <w:rsid w:val="00A370D9"/>
    <w:rsid w:val="00A374F2"/>
    <w:rsid w:val="00A376D7"/>
    <w:rsid w:val="00A3787A"/>
    <w:rsid w:val="00A37984"/>
    <w:rsid w:val="00A37CE1"/>
    <w:rsid w:val="00A37FFB"/>
    <w:rsid w:val="00A40E7A"/>
    <w:rsid w:val="00A41912"/>
    <w:rsid w:val="00A422CF"/>
    <w:rsid w:val="00A43293"/>
    <w:rsid w:val="00A436C1"/>
    <w:rsid w:val="00A43890"/>
    <w:rsid w:val="00A43AF0"/>
    <w:rsid w:val="00A45893"/>
    <w:rsid w:val="00A45921"/>
    <w:rsid w:val="00A46466"/>
    <w:rsid w:val="00A46675"/>
    <w:rsid w:val="00A47542"/>
    <w:rsid w:val="00A477E0"/>
    <w:rsid w:val="00A47C96"/>
    <w:rsid w:val="00A50DD7"/>
    <w:rsid w:val="00A50F30"/>
    <w:rsid w:val="00A51709"/>
    <w:rsid w:val="00A51A76"/>
    <w:rsid w:val="00A51C62"/>
    <w:rsid w:val="00A52225"/>
    <w:rsid w:val="00A532E4"/>
    <w:rsid w:val="00A533DF"/>
    <w:rsid w:val="00A53498"/>
    <w:rsid w:val="00A53F2A"/>
    <w:rsid w:val="00A54018"/>
    <w:rsid w:val="00A541A3"/>
    <w:rsid w:val="00A543D8"/>
    <w:rsid w:val="00A549AA"/>
    <w:rsid w:val="00A5641E"/>
    <w:rsid w:val="00A5713C"/>
    <w:rsid w:val="00A6050D"/>
    <w:rsid w:val="00A60B3D"/>
    <w:rsid w:val="00A61400"/>
    <w:rsid w:val="00A635F3"/>
    <w:rsid w:val="00A63EB3"/>
    <w:rsid w:val="00A64505"/>
    <w:rsid w:val="00A64DF6"/>
    <w:rsid w:val="00A666EC"/>
    <w:rsid w:val="00A66825"/>
    <w:rsid w:val="00A66EFE"/>
    <w:rsid w:val="00A67011"/>
    <w:rsid w:val="00A67593"/>
    <w:rsid w:val="00A676CB"/>
    <w:rsid w:val="00A6777B"/>
    <w:rsid w:val="00A67E67"/>
    <w:rsid w:val="00A70E0E"/>
    <w:rsid w:val="00A7139A"/>
    <w:rsid w:val="00A7178F"/>
    <w:rsid w:val="00A718C7"/>
    <w:rsid w:val="00A71E8B"/>
    <w:rsid w:val="00A7206A"/>
    <w:rsid w:val="00A721AD"/>
    <w:rsid w:val="00A7353B"/>
    <w:rsid w:val="00A73B16"/>
    <w:rsid w:val="00A73CCD"/>
    <w:rsid w:val="00A73CFD"/>
    <w:rsid w:val="00A73DA1"/>
    <w:rsid w:val="00A744C8"/>
    <w:rsid w:val="00A7466C"/>
    <w:rsid w:val="00A746C2"/>
    <w:rsid w:val="00A74C50"/>
    <w:rsid w:val="00A751C4"/>
    <w:rsid w:val="00A752CB"/>
    <w:rsid w:val="00A75B4E"/>
    <w:rsid w:val="00A76017"/>
    <w:rsid w:val="00A776A0"/>
    <w:rsid w:val="00A77915"/>
    <w:rsid w:val="00A77F8C"/>
    <w:rsid w:val="00A77FB8"/>
    <w:rsid w:val="00A808F3"/>
    <w:rsid w:val="00A80A1B"/>
    <w:rsid w:val="00A81431"/>
    <w:rsid w:val="00A816B9"/>
    <w:rsid w:val="00A818A1"/>
    <w:rsid w:val="00A8194F"/>
    <w:rsid w:val="00A8236B"/>
    <w:rsid w:val="00A8257F"/>
    <w:rsid w:val="00A82615"/>
    <w:rsid w:val="00A82676"/>
    <w:rsid w:val="00A82C39"/>
    <w:rsid w:val="00A839D4"/>
    <w:rsid w:val="00A83B2E"/>
    <w:rsid w:val="00A83D24"/>
    <w:rsid w:val="00A8401D"/>
    <w:rsid w:val="00A84321"/>
    <w:rsid w:val="00A846F4"/>
    <w:rsid w:val="00A85083"/>
    <w:rsid w:val="00A85E56"/>
    <w:rsid w:val="00A86189"/>
    <w:rsid w:val="00A8625B"/>
    <w:rsid w:val="00A86776"/>
    <w:rsid w:val="00A87022"/>
    <w:rsid w:val="00A872DB"/>
    <w:rsid w:val="00A9055E"/>
    <w:rsid w:val="00A906EA"/>
    <w:rsid w:val="00A90BD1"/>
    <w:rsid w:val="00A914A2"/>
    <w:rsid w:val="00A91818"/>
    <w:rsid w:val="00A924FB"/>
    <w:rsid w:val="00A92505"/>
    <w:rsid w:val="00A92C59"/>
    <w:rsid w:val="00A92E24"/>
    <w:rsid w:val="00A93042"/>
    <w:rsid w:val="00A93479"/>
    <w:rsid w:val="00A93A5D"/>
    <w:rsid w:val="00A93E69"/>
    <w:rsid w:val="00A94424"/>
    <w:rsid w:val="00A947B1"/>
    <w:rsid w:val="00A9489C"/>
    <w:rsid w:val="00A94A31"/>
    <w:rsid w:val="00A94F3D"/>
    <w:rsid w:val="00A9546C"/>
    <w:rsid w:val="00A96029"/>
    <w:rsid w:val="00A968DD"/>
    <w:rsid w:val="00A96B28"/>
    <w:rsid w:val="00A96C1A"/>
    <w:rsid w:val="00A9777B"/>
    <w:rsid w:val="00A97E6A"/>
    <w:rsid w:val="00A97F03"/>
    <w:rsid w:val="00AA1DC0"/>
    <w:rsid w:val="00AA1E60"/>
    <w:rsid w:val="00AA1F0F"/>
    <w:rsid w:val="00AA20A6"/>
    <w:rsid w:val="00AA27BF"/>
    <w:rsid w:val="00AA2DC4"/>
    <w:rsid w:val="00AA314F"/>
    <w:rsid w:val="00AA3885"/>
    <w:rsid w:val="00AA4328"/>
    <w:rsid w:val="00AA44D2"/>
    <w:rsid w:val="00AA4AC0"/>
    <w:rsid w:val="00AA4C48"/>
    <w:rsid w:val="00AA5971"/>
    <w:rsid w:val="00AA6691"/>
    <w:rsid w:val="00AA797C"/>
    <w:rsid w:val="00AA79F7"/>
    <w:rsid w:val="00AA7D41"/>
    <w:rsid w:val="00AA7E88"/>
    <w:rsid w:val="00AB024B"/>
    <w:rsid w:val="00AB067E"/>
    <w:rsid w:val="00AB0B83"/>
    <w:rsid w:val="00AB19C1"/>
    <w:rsid w:val="00AB1B5B"/>
    <w:rsid w:val="00AB1D9C"/>
    <w:rsid w:val="00AB2770"/>
    <w:rsid w:val="00AB2A95"/>
    <w:rsid w:val="00AB2C33"/>
    <w:rsid w:val="00AB2E86"/>
    <w:rsid w:val="00AB33D2"/>
    <w:rsid w:val="00AB35C0"/>
    <w:rsid w:val="00AB3DA6"/>
    <w:rsid w:val="00AB4073"/>
    <w:rsid w:val="00AB485B"/>
    <w:rsid w:val="00AB4F87"/>
    <w:rsid w:val="00AB5295"/>
    <w:rsid w:val="00AB6304"/>
    <w:rsid w:val="00AB699B"/>
    <w:rsid w:val="00AB6EF7"/>
    <w:rsid w:val="00AB6F7F"/>
    <w:rsid w:val="00AB7034"/>
    <w:rsid w:val="00AB7939"/>
    <w:rsid w:val="00AC03A2"/>
    <w:rsid w:val="00AC052F"/>
    <w:rsid w:val="00AC05E3"/>
    <w:rsid w:val="00AC0691"/>
    <w:rsid w:val="00AC0993"/>
    <w:rsid w:val="00AC129D"/>
    <w:rsid w:val="00AC1349"/>
    <w:rsid w:val="00AC14AF"/>
    <w:rsid w:val="00AC15FC"/>
    <w:rsid w:val="00AC2009"/>
    <w:rsid w:val="00AC26B7"/>
    <w:rsid w:val="00AC2825"/>
    <w:rsid w:val="00AC28E2"/>
    <w:rsid w:val="00AC2AA4"/>
    <w:rsid w:val="00AC31F6"/>
    <w:rsid w:val="00AC3709"/>
    <w:rsid w:val="00AC3AF2"/>
    <w:rsid w:val="00AC3BD1"/>
    <w:rsid w:val="00AC3CB4"/>
    <w:rsid w:val="00AC50C2"/>
    <w:rsid w:val="00AC50DC"/>
    <w:rsid w:val="00AC6007"/>
    <w:rsid w:val="00AC6B73"/>
    <w:rsid w:val="00AC6ED3"/>
    <w:rsid w:val="00AC74EB"/>
    <w:rsid w:val="00AC7BA0"/>
    <w:rsid w:val="00AC7D79"/>
    <w:rsid w:val="00AC7DCC"/>
    <w:rsid w:val="00AD0AD5"/>
    <w:rsid w:val="00AD2376"/>
    <w:rsid w:val="00AD26BE"/>
    <w:rsid w:val="00AD2CE8"/>
    <w:rsid w:val="00AD2E0C"/>
    <w:rsid w:val="00AD32B8"/>
    <w:rsid w:val="00AD334A"/>
    <w:rsid w:val="00AD3B2D"/>
    <w:rsid w:val="00AD3D8D"/>
    <w:rsid w:val="00AD42BC"/>
    <w:rsid w:val="00AD45B0"/>
    <w:rsid w:val="00AD4D9F"/>
    <w:rsid w:val="00AD50B2"/>
    <w:rsid w:val="00AD5AA8"/>
    <w:rsid w:val="00AD6318"/>
    <w:rsid w:val="00AD6CC6"/>
    <w:rsid w:val="00AD6EF6"/>
    <w:rsid w:val="00AE01FD"/>
    <w:rsid w:val="00AE05FE"/>
    <w:rsid w:val="00AE18E0"/>
    <w:rsid w:val="00AE27CE"/>
    <w:rsid w:val="00AE34CE"/>
    <w:rsid w:val="00AE3D2A"/>
    <w:rsid w:val="00AE491D"/>
    <w:rsid w:val="00AE4D9C"/>
    <w:rsid w:val="00AE4DDE"/>
    <w:rsid w:val="00AE50C7"/>
    <w:rsid w:val="00AE582A"/>
    <w:rsid w:val="00AE5C51"/>
    <w:rsid w:val="00AE6149"/>
    <w:rsid w:val="00AE6399"/>
    <w:rsid w:val="00AE6512"/>
    <w:rsid w:val="00AE6930"/>
    <w:rsid w:val="00AE6B09"/>
    <w:rsid w:val="00AE6CE3"/>
    <w:rsid w:val="00AE72EF"/>
    <w:rsid w:val="00AE73A6"/>
    <w:rsid w:val="00AE74CF"/>
    <w:rsid w:val="00AE7AB9"/>
    <w:rsid w:val="00AE7D31"/>
    <w:rsid w:val="00AF020E"/>
    <w:rsid w:val="00AF04E3"/>
    <w:rsid w:val="00AF0514"/>
    <w:rsid w:val="00AF07B0"/>
    <w:rsid w:val="00AF0D44"/>
    <w:rsid w:val="00AF0DA9"/>
    <w:rsid w:val="00AF1002"/>
    <w:rsid w:val="00AF1172"/>
    <w:rsid w:val="00AF12FD"/>
    <w:rsid w:val="00AF14C1"/>
    <w:rsid w:val="00AF17F1"/>
    <w:rsid w:val="00AF1B49"/>
    <w:rsid w:val="00AF1D21"/>
    <w:rsid w:val="00AF1EFD"/>
    <w:rsid w:val="00AF3375"/>
    <w:rsid w:val="00AF397A"/>
    <w:rsid w:val="00AF3AB6"/>
    <w:rsid w:val="00AF3B44"/>
    <w:rsid w:val="00AF3DB4"/>
    <w:rsid w:val="00AF4369"/>
    <w:rsid w:val="00AF480B"/>
    <w:rsid w:val="00AF4D56"/>
    <w:rsid w:val="00AF4E99"/>
    <w:rsid w:val="00AF60A9"/>
    <w:rsid w:val="00AF678C"/>
    <w:rsid w:val="00AF69CE"/>
    <w:rsid w:val="00AF6D29"/>
    <w:rsid w:val="00AF7722"/>
    <w:rsid w:val="00B000E3"/>
    <w:rsid w:val="00B008C7"/>
    <w:rsid w:val="00B00A40"/>
    <w:rsid w:val="00B00C43"/>
    <w:rsid w:val="00B019E6"/>
    <w:rsid w:val="00B01F58"/>
    <w:rsid w:val="00B02051"/>
    <w:rsid w:val="00B02A14"/>
    <w:rsid w:val="00B02ACB"/>
    <w:rsid w:val="00B03397"/>
    <w:rsid w:val="00B033B4"/>
    <w:rsid w:val="00B03725"/>
    <w:rsid w:val="00B03767"/>
    <w:rsid w:val="00B037A6"/>
    <w:rsid w:val="00B04148"/>
    <w:rsid w:val="00B0468C"/>
    <w:rsid w:val="00B046C2"/>
    <w:rsid w:val="00B04AB1"/>
    <w:rsid w:val="00B05613"/>
    <w:rsid w:val="00B05CD3"/>
    <w:rsid w:val="00B06409"/>
    <w:rsid w:val="00B06C83"/>
    <w:rsid w:val="00B06CD4"/>
    <w:rsid w:val="00B1007F"/>
    <w:rsid w:val="00B10C19"/>
    <w:rsid w:val="00B115EB"/>
    <w:rsid w:val="00B116AC"/>
    <w:rsid w:val="00B11B6F"/>
    <w:rsid w:val="00B11C2C"/>
    <w:rsid w:val="00B11C65"/>
    <w:rsid w:val="00B11DE8"/>
    <w:rsid w:val="00B1396A"/>
    <w:rsid w:val="00B1422E"/>
    <w:rsid w:val="00B14460"/>
    <w:rsid w:val="00B1451D"/>
    <w:rsid w:val="00B148E1"/>
    <w:rsid w:val="00B14A9F"/>
    <w:rsid w:val="00B14B67"/>
    <w:rsid w:val="00B14C00"/>
    <w:rsid w:val="00B14E33"/>
    <w:rsid w:val="00B15041"/>
    <w:rsid w:val="00B15193"/>
    <w:rsid w:val="00B153E7"/>
    <w:rsid w:val="00B1560D"/>
    <w:rsid w:val="00B15F05"/>
    <w:rsid w:val="00B164E9"/>
    <w:rsid w:val="00B16DC5"/>
    <w:rsid w:val="00B170E9"/>
    <w:rsid w:val="00B171C9"/>
    <w:rsid w:val="00B17C62"/>
    <w:rsid w:val="00B20513"/>
    <w:rsid w:val="00B20D7E"/>
    <w:rsid w:val="00B20E2A"/>
    <w:rsid w:val="00B221BC"/>
    <w:rsid w:val="00B2223F"/>
    <w:rsid w:val="00B22DE0"/>
    <w:rsid w:val="00B22E16"/>
    <w:rsid w:val="00B2337B"/>
    <w:rsid w:val="00B23C54"/>
    <w:rsid w:val="00B24058"/>
    <w:rsid w:val="00B25018"/>
    <w:rsid w:val="00B250CD"/>
    <w:rsid w:val="00B252EB"/>
    <w:rsid w:val="00B2584E"/>
    <w:rsid w:val="00B25868"/>
    <w:rsid w:val="00B25E9F"/>
    <w:rsid w:val="00B26A7C"/>
    <w:rsid w:val="00B26A82"/>
    <w:rsid w:val="00B26D19"/>
    <w:rsid w:val="00B273E8"/>
    <w:rsid w:val="00B27580"/>
    <w:rsid w:val="00B30B66"/>
    <w:rsid w:val="00B30CA0"/>
    <w:rsid w:val="00B30EAB"/>
    <w:rsid w:val="00B31403"/>
    <w:rsid w:val="00B31438"/>
    <w:rsid w:val="00B32610"/>
    <w:rsid w:val="00B32B1A"/>
    <w:rsid w:val="00B32FAE"/>
    <w:rsid w:val="00B3337E"/>
    <w:rsid w:val="00B333EA"/>
    <w:rsid w:val="00B33674"/>
    <w:rsid w:val="00B336AA"/>
    <w:rsid w:val="00B337EC"/>
    <w:rsid w:val="00B33F92"/>
    <w:rsid w:val="00B3538F"/>
    <w:rsid w:val="00B35982"/>
    <w:rsid w:val="00B35BCC"/>
    <w:rsid w:val="00B360AF"/>
    <w:rsid w:val="00B360F8"/>
    <w:rsid w:val="00B361B8"/>
    <w:rsid w:val="00B361EA"/>
    <w:rsid w:val="00B36263"/>
    <w:rsid w:val="00B362EC"/>
    <w:rsid w:val="00B363DC"/>
    <w:rsid w:val="00B36A3D"/>
    <w:rsid w:val="00B37116"/>
    <w:rsid w:val="00B3779C"/>
    <w:rsid w:val="00B403AF"/>
    <w:rsid w:val="00B40452"/>
    <w:rsid w:val="00B40C2B"/>
    <w:rsid w:val="00B4187B"/>
    <w:rsid w:val="00B42034"/>
    <w:rsid w:val="00B42230"/>
    <w:rsid w:val="00B434D2"/>
    <w:rsid w:val="00B4378F"/>
    <w:rsid w:val="00B437A5"/>
    <w:rsid w:val="00B437F3"/>
    <w:rsid w:val="00B43971"/>
    <w:rsid w:val="00B43D99"/>
    <w:rsid w:val="00B4432B"/>
    <w:rsid w:val="00B44ED0"/>
    <w:rsid w:val="00B45582"/>
    <w:rsid w:val="00B4666D"/>
    <w:rsid w:val="00B46EBD"/>
    <w:rsid w:val="00B47232"/>
    <w:rsid w:val="00B472B5"/>
    <w:rsid w:val="00B472BC"/>
    <w:rsid w:val="00B47585"/>
    <w:rsid w:val="00B4760E"/>
    <w:rsid w:val="00B476ED"/>
    <w:rsid w:val="00B50F97"/>
    <w:rsid w:val="00B51A76"/>
    <w:rsid w:val="00B51CB8"/>
    <w:rsid w:val="00B51ECA"/>
    <w:rsid w:val="00B51FB4"/>
    <w:rsid w:val="00B52FFC"/>
    <w:rsid w:val="00B5304C"/>
    <w:rsid w:val="00B556CC"/>
    <w:rsid w:val="00B55784"/>
    <w:rsid w:val="00B560BD"/>
    <w:rsid w:val="00B564A0"/>
    <w:rsid w:val="00B564C0"/>
    <w:rsid w:val="00B566F0"/>
    <w:rsid w:val="00B56BFE"/>
    <w:rsid w:val="00B5744A"/>
    <w:rsid w:val="00B57F88"/>
    <w:rsid w:val="00B60F20"/>
    <w:rsid w:val="00B61964"/>
    <w:rsid w:val="00B619B4"/>
    <w:rsid w:val="00B62396"/>
    <w:rsid w:val="00B62A82"/>
    <w:rsid w:val="00B63489"/>
    <w:rsid w:val="00B638CB"/>
    <w:rsid w:val="00B646A4"/>
    <w:rsid w:val="00B646B0"/>
    <w:rsid w:val="00B64F41"/>
    <w:rsid w:val="00B654C4"/>
    <w:rsid w:val="00B65766"/>
    <w:rsid w:val="00B65D2A"/>
    <w:rsid w:val="00B668A5"/>
    <w:rsid w:val="00B67298"/>
    <w:rsid w:val="00B673F6"/>
    <w:rsid w:val="00B6752F"/>
    <w:rsid w:val="00B67CF3"/>
    <w:rsid w:val="00B7091E"/>
    <w:rsid w:val="00B70D5A"/>
    <w:rsid w:val="00B71444"/>
    <w:rsid w:val="00B715E5"/>
    <w:rsid w:val="00B71AA1"/>
    <w:rsid w:val="00B72158"/>
    <w:rsid w:val="00B728B1"/>
    <w:rsid w:val="00B72D64"/>
    <w:rsid w:val="00B74397"/>
    <w:rsid w:val="00B74E4F"/>
    <w:rsid w:val="00B758C4"/>
    <w:rsid w:val="00B75BF3"/>
    <w:rsid w:val="00B7622F"/>
    <w:rsid w:val="00B768A6"/>
    <w:rsid w:val="00B77731"/>
    <w:rsid w:val="00B77772"/>
    <w:rsid w:val="00B80398"/>
    <w:rsid w:val="00B8166D"/>
    <w:rsid w:val="00B8191E"/>
    <w:rsid w:val="00B81B00"/>
    <w:rsid w:val="00B81DFE"/>
    <w:rsid w:val="00B824B7"/>
    <w:rsid w:val="00B82997"/>
    <w:rsid w:val="00B82C9C"/>
    <w:rsid w:val="00B833AB"/>
    <w:rsid w:val="00B83D79"/>
    <w:rsid w:val="00B8447A"/>
    <w:rsid w:val="00B8480F"/>
    <w:rsid w:val="00B84DC1"/>
    <w:rsid w:val="00B85778"/>
    <w:rsid w:val="00B86868"/>
    <w:rsid w:val="00B871D0"/>
    <w:rsid w:val="00B87CFA"/>
    <w:rsid w:val="00B902CA"/>
    <w:rsid w:val="00B906F9"/>
    <w:rsid w:val="00B9071C"/>
    <w:rsid w:val="00B90D62"/>
    <w:rsid w:val="00B90E5E"/>
    <w:rsid w:val="00B90F08"/>
    <w:rsid w:val="00B91172"/>
    <w:rsid w:val="00B911E2"/>
    <w:rsid w:val="00B913ED"/>
    <w:rsid w:val="00B918A8"/>
    <w:rsid w:val="00B92198"/>
    <w:rsid w:val="00B92336"/>
    <w:rsid w:val="00B9259C"/>
    <w:rsid w:val="00B9269E"/>
    <w:rsid w:val="00B93047"/>
    <w:rsid w:val="00B93150"/>
    <w:rsid w:val="00B9394A"/>
    <w:rsid w:val="00B93D09"/>
    <w:rsid w:val="00B93DDD"/>
    <w:rsid w:val="00B93E65"/>
    <w:rsid w:val="00B94C2C"/>
    <w:rsid w:val="00B952C6"/>
    <w:rsid w:val="00B9545A"/>
    <w:rsid w:val="00B954A5"/>
    <w:rsid w:val="00B9563C"/>
    <w:rsid w:val="00B957B3"/>
    <w:rsid w:val="00B976F7"/>
    <w:rsid w:val="00B97C7C"/>
    <w:rsid w:val="00BA00D0"/>
    <w:rsid w:val="00BA01B7"/>
    <w:rsid w:val="00BA06B0"/>
    <w:rsid w:val="00BA18E8"/>
    <w:rsid w:val="00BA19EB"/>
    <w:rsid w:val="00BA1FE4"/>
    <w:rsid w:val="00BA2133"/>
    <w:rsid w:val="00BA3233"/>
    <w:rsid w:val="00BA3259"/>
    <w:rsid w:val="00BA3D65"/>
    <w:rsid w:val="00BA40D6"/>
    <w:rsid w:val="00BA4C76"/>
    <w:rsid w:val="00BA56D7"/>
    <w:rsid w:val="00BA57BE"/>
    <w:rsid w:val="00BA5ED9"/>
    <w:rsid w:val="00BA5FB9"/>
    <w:rsid w:val="00BA62D2"/>
    <w:rsid w:val="00BA69E6"/>
    <w:rsid w:val="00BA6B79"/>
    <w:rsid w:val="00BA6BC1"/>
    <w:rsid w:val="00BA6D8A"/>
    <w:rsid w:val="00BA72DA"/>
    <w:rsid w:val="00BA7476"/>
    <w:rsid w:val="00BA79A3"/>
    <w:rsid w:val="00BA7A6B"/>
    <w:rsid w:val="00BA7EF2"/>
    <w:rsid w:val="00BB01EE"/>
    <w:rsid w:val="00BB091B"/>
    <w:rsid w:val="00BB0F66"/>
    <w:rsid w:val="00BB14A2"/>
    <w:rsid w:val="00BB14DF"/>
    <w:rsid w:val="00BB1B2F"/>
    <w:rsid w:val="00BB35EF"/>
    <w:rsid w:val="00BB3631"/>
    <w:rsid w:val="00BB3838"/>
    <w:rsid w:val="00BB3B86"/>
    <w:rsid w:val="00BB3D41"/>
    <w:rsid w:val="00BB44BD"/>
    <w:rsid w:val="00BB4524"/>
    <w:rsid w:val="00BB476F"/>
    <w:rsid w:val="00BB4D5B"/>
    <w:rsid w:val="00BB5939"/>
    <w:rsid w:val="00BB5D66"/>
    <w:rsid w:val="00BB6008"/>
    <w:rsid w:val="00BB6030"/>
    <w:rsid w:val="00BB63CA"/>
    <w:rsid w:val="00BB6C25"/>
    <w:rsid w:val="00BB6D05"/>
    <w:rsid w:val="00BB76D8"/>
    <w:rsid w:val="00BB7ACF"/>
    <w:rsid w:val="00BC09D7"/>
    <w:rsid w:val="00BC0EA8"/>
    <w:rsid w:val="00BC1236"/>
    <w:rsid w:val="00BC12BD"/>
    <w:rsid w:val="00BC161B"/>
    <w:rsid w:val="00BC1765"/>
    <w:rsid w:val="00BC1A66"/>
    <w:rsid w:val="00BC1D8C"/>
    <w:rsid w:val="00BC2230"/>
    <w:rsid w:val="00BC2237"/>
    <w:rsid w:val="00BC299A"/>
    <w:rsid w:val="00BC3625"/>
    <w:rsid w:val="00BC3D55"/>
    <w:rsid w:val="00BC4B54"/>
    <w:rsid w:val="00BC4CC4"/>
    <w:rsid w:val="00BC4F09"/>
    <w:rsid w:val="00BC5354"/>
    <w:rsid w:val="00BC54E2"/>
    <w:rsid w:val="00BC5F72"/>
    <w:rsid w:val="00BC6142"/>
    <w:rsid w:val="00BC62F1"/>
    <w:rsid w:val="00BC63BB"/>
    <w:rsid w:val="00BC6B28"/>
    <w:rsid w:val="00BC6EDE"/>
    <w:rsid w:val="00BC7F25"/>
    <w:rsid w:val="00BD0C92"/>
    <w:rsid w:val="00BD19A5"/>
    <w:rsid w:val="00BD208B"/>
    <w:rsid w:val="00BD2571"/>
    <w:rsid w:val="00BD2972"/>
    <w:rsid w:val="00BD2D41"/>
    <w:rsid w:val="00BD2D6A"/>
    <w:rsid w:val="00BD2F5B"/>
    <w:rsid w:val="00BD3E44"/>
    <w:rsid w:val="00BD3F83"/>
    <w:rsid w:val="00BD41A7"/>
    <w:rsid w:val="00BD4316"/>
    <w:rsid w:val="00BD4F0C"/>
    <w:rsid w:val="00BD5385"/>
    <w:rsid w:val="00BD5539"/>
    <w:rsid w:val="00BD596C"/>
    <w:rsid w:val="00BD59D5"/>
    <w:rsid w:val="00BD5FF0"/>
    <w:rsid w:val="00BD6447"/>
    <w:rsid w:val="00BD6469"/>
    <w:rsid w:val="00BD676A"/>
    <w:rsid w:val="00BD6DA7"/>
    <w:rsid w:val="00BD7205"/>
    <w:rsid w:val="00BE0988"/>
    <w:rsid w:val="00BE0D35"/>
    <w:rsid w:val="00BE13E0"/>
    <w:rsid w:val="00BE1620"/>
    <w:rsid w:val="00BE1CD3"/>
    <w:rsid w:val="00BE2319"/>
    <w:rsid w:val="00BE2541"/>
    <w:rsid w:val="00BE2758"/>
    <w:rsid w:val="00BE2A96"/>
    <w:rsid w:val="00BE2ACD"/>
    <w:rsid w:val="00BE2C9D"/>
    <w:rsid w:val="00BE352D"/>
    <w:rsid w:val="00BE376A"/>
    <w:rsid w:val="00BE41BB"/>
    <w:rsid w:val="00BE4ADE"/>
    <w:rsid w:val="00BE51D5"/>
    <w:rsid w:val="00BE525C"/>
    <w:rsid w:val="00BE5786"/>
    <w:rsid w:val="00BE60A9"/>
    <w:rsid w:val="00BE6A11"/>
    <w:rsid w:val="00BE775E"/>
    <w:rsid w:val="00BE794A"/>
    <w:rsid w:val="00BF0936"/>
    <w:rsid w:val="00BF0A89"/>
    <w:rsid w:val="00BF0D03"/>
    <w:rsid w:val="00BF138D"/>
    <w:rsid w:val="00BF1653"/>
    <w:rsid w:val="00BF181C"/>
    <w:rsid w:val="00BF1A55"/>
    <w:rsid w:val="00BF1C22"/>
    <w:rsid w:val="00BF1F70"/>
    <w:rsid w:val="00BF20B2"/>
    <w:rsid w:val="00BF36F4"/>
    <w:rsid w:val="00BF38F1"/>
    <w:rsid w:val="00BF3B51"/>
    <w:rsid w:val="00BF3BF5"/>
    <w:rsid w:val="00BF3D15"/>
    <w:rsid w:val="00BF4176"/>
    <w:rsid w:val="00BF436C"/>
    <w:rsid w:val="00BF49F1"/>
    <w:rsid w:val="00BF4EBD"/>
    <w:rsid w:val="00BF4F88"/>
    <w:rsid w:val="00BF54AE"/>
    <w:rsid w:val="00BF5A2C"/>
    <w:rsid w:val="00BF5C4F"/>
    <w:rsid w:val="00BF724E"/>
    <w:rsid w:val="00BF7273"/>
    <w:rsid w:val="00BF73EE"/>
    <w:rsid w:val="00BF7CDE"/>
    <w:rsid w:val="00C000EC"/>
    <w:rsid w:val="00C00338"/>
    <w:rsid w:val="00C00345"/>
    <w:rsid w:val="00C005E9"/>
    <w:rsid w:val="00C00918"/>
    <w:rsid w:val="00C00AF6"/>
    <w:rsid w:val="00C00B21"/>
    <w:rsid w:val="00C00C2D"/>
    <w:rsid w:val="00C02345"/>
    <w:rsid w:val="00C028FC"/>
    <w:rsid w:val="00C03376"/>
    <w:rsid w:val="00C0435F"/>
    <w:rsid w:val="00C04645"/>
    <w:rsid w:val="00C048E4"/>
    <w:rsid w:val="00C04FA0"/>
    <w:rsid w:val="00C051DB"/>
    <w:rsid w:val="00C05C54"/>
    <w:rsid w:val="00C060DB"/>
    <w:rsid w:val="00C0715D"/>
    <w:rsid w:val="00C071B3"/>
    <w:rsid w:val="00C07408"/>
    <w:rsid w:val="00C075F1"/>
    <w:rsid w:val="00C077E7"/>
    <w:rsid w:val="00C079A6"/>
    <w:rsid w:val="00C07B46"/>
    <w:rsid w:val="00C07CB0"/>
    <w:rsid w:val="00C103C8"/>
    <w:rsid w:val="00C10E60"/>
    <w:rsid w:val="00C114BE"/>
    <w:rsid w:val="00C118ED"/>
    <w:rsid w:val="00C1205B"/>
    <w:rsid w:val="00C12356"/>
    <w:rsid w:val="00C123A6"/>
    <w:rsid w:val="00C12465"/>
    <w:rsid w:val="00C12CAD"/>
    <w:rsid w:val="00C12F14"/>
    <w:rsid w:val="00C13866"/>
    <w:rsid w:val="00C13884"/>
    <w:rsid w:val="00C13A29"/>
    <w:rsid w:val="00C13C4C"/>
    <w:rsid w:val="00C14708"/>
    <w:rsid w:val="00C14BC1"/>
    <w:rsid w:val="00C14C3F"/>
    <w:rsid w:val="00C161B2"/>
    <w:rsid w:val="00C16425"/>
    <w:rsid w:val="00C167B8"/>
    <w:rsid w:val="00C168E5"/>
    <w:rsid w:val="00C16944"/>
    <w:rsid w:val="00C16A5B"/>
    <w:rsid w:val="00C17761"/>
    <w:rsid w:val="00C17A80"/>
    <w:rsid w:val="00C20273"/>
    <w:rsid w:val="00C2056D"/>
    <w:rsid w:val="00C20B47"/>
    <w:rsid w:val="00C20EE7"/>
    <w:rsid w:val="00C21603"/>
    <w:rsid w:val="00C218A5"/>
    <w:rsid w:val="00C22169"/>
    <w:rsid w:val="00C22209"/>
    <w:rsid w:val="00C22584"/>
    <w:rsid w:val="00C236C0"/>
    <w:rsid w:val="00C24DDA"/>
    <w:rsid w:val="00C259D0"/>
    <w:rsid w:val="00C26106"/>
    <w:rsid w:val="00C26B65"/>
    <w:rsid w:val="00C26B71"/>
    <w:rsid w:val="00C26F99"/>
    <w:rsid w:val="00C270B2"/>
    <w:rsid w:val="00C27794"/>
    <w:rsid w:val="00C27CA7"/>
    <w:rsid w:val="00C30352"/>
    <w:rsid w:val="00C309EF"/>
    <w:rsid w:val="00C313BD"/>
    <w:rsid w:val="00C31420"/>
    <w:rsid w:val="00C31F17"/>
    <w:rsid w:val="00C3226C"/>
    <w:rsid w:val="00C32A43"/>
    <w:rsid w:val="00C334D6"/>
    <w:rsid w:val="00C33C58"/>
    <w:rsid w:val="00C34501"/>
    <w:rsid w:val="00C347E4"/>
    <w:rsid w:val="00C35993"/>
    <w:rsid w:val="00C36075"/>
    <w:rsid w:val="00C3623A"/>
    <w:rsid w:val="00C36DA7"/>
    <w:rsid w:val="00C37181"/>
    <w:rsid w:val="00C37AC2"/>
    <w:rsid w:val="00C37C8D"/>
    <w:rsid w:val="00C37DC4"/>
    <w:rsid w:val="00C40BEA"/>
    <w:rsid w:val="00C4133A"/>
    <w:rsid w:val="00C41909"/>
    <w:rsid w:val="00C41B1A"/>
    <w:rsid w:val="00C41DFE"/>
    <w:rsid w:val="00C42486"/>
    <w:rsid w:val="00C426FD"/>
    <w:rsid w:val="00C43343"/>
    <w:rsid w:val="00C43446"/>
    <w:rsid w:val="00C43628"/>
    <w:rsid w:val="00C437CC"/>
    <w:rsid w:val="00C440AC"/>
    <w:rsid w:val="00C44C42"/>
    <w:rsid w:val="00C44D05"/>
    <w:rsid w:val="00C4510F"/>
    <w:rsid w:val="00C452BD"/>
    <w:rsid w:val="00C45452"/>
    <w:rsid w:val="00C463BD"/>
    <w:rsid w:val="00C473DC"/>
    <w:rsid w:val="00C47406"/>
    <w:rsid w:val="00C5033B"/>
    <w:rsid w:val="00C5036C"/>
    <w:rsid w:val="00C5061E"/>
    <w:rsid w:val="00C50800"/>
    <w:rsid w:val="00C50EA1"/>
    <w:rsid w:val="00C512E0"/>
    <w:rsid w:val="00C51487"/>
    <w:rsid w:val="00C517E8"/>
    <w:rsid w:val="00C51D46"/>
    <w:rsid w:val="00C51D8A"/>
    <w:rsid w:val="00C52BF3"/>
    <w:rsid w:val="00C53443"/>
    <w:rsid w:val="00C5382D"/>
    <w:rsid w:val="00C53A3F"/>
    <w:rsid w:val="00C5431B"/>
    <w:rsid w:val="00C54362"/>
    <w:rsid w:val="00C5437C"/>
    <w:rsid w:val="00C54519"/>
    <w:rsid w:val="00C55988"/>
    <w:rsid w:val="00C5659B"/>
    <w:rsid w:val="00C56871"/>
    <w:rsid w:val="00C56D11"/>
    <w:rsid w:val="00C56F15"/>
    <w:rsid w:val="00C57131"/>
    <w:rsid w:val="00C5725D"/>
    <w:rsid w:val="00C572A2"/>
    <w:rsid w:val="00C573D8"/>
    <w:rsid w:val="00C57771"/>
    <w:rsid w:val="00C57948"/>
    <w:rsid w:val="00C61212"/>
    <w:rsid w:val="00C613C0"/>
    <w:rsid w:val="00C6210A"/>
    <w:rsid w:val="00C624BA"/>
    <w:rsid w:val="00C634DE"/>
    <w:rsid w:val="00C63770"/>
    <w:rsid w:val="00C63A17"/>
    <w:rsid w:val="00C63C3B"/>
    <w:rsid w:val="00C640EF"/>
    <w:rsid w:val="00C6430F"/>
    <w:rsid w:val="00C64438"/>
    <w:rsid w:val="00C64543"/>
    <w:rsid w:val="00C648D4"/>
    <w:rsid w:val="00C64E29"/>
    <w:rsid w:val="00C651DB"/>
    <w:rsid w:val="00C6544D"/>
    <w:rsid w:val="00C6564B"/>
    <w:rsid w:val="00C65ED8"/>
    <w:rsid w:val="00C66143"/>
    <w:rsid w:val="00C66177"/>
    <w:rsid w:val="00C667E1"/>
    <w:rsid w:val="00C66D18"/>
    <w:rsid w:val="00C674AE"/>
    <w:rsid w:val="00C67BB2"/>
    <w:rsid w:val="00C70489"/>
    <w:rsid w:val="00C712B4"/>
    <w:rsid w:val="00C71413"/>
    <w:rsid w:val="00C71424"/>
    <w:rsid w:val="00C71481"/>
    <w:rsid w:val="00C71C2C"/>
    <w:rsid w:val="00C73252"/>
    <w:rsid w:val="00C7373A"/>
    <w:rsid w:val="00C75512"/>
    <w:rsid w:val="00C757A8"/>
    <w:rsid w:val="00C757D3"/>
    <w:rsid w:val="00C761EF"/>
    <w:rsid w:val="00C7688B"/>
    <w:rsid w:val="00C77502"/>
    <w:rsid w:val="00C77C33"/>
    <w:rsid w:val="00C77D77"/>
    <w:rsid w:val="00C77DD6"/>
    <w:rsid w:val="00C8049C"/>
    <w:rsid w:val="00C8063E"/>
    <w:rsid w:val="00C80A05"/>
    <w:rsid w:val="00C80DE8"/>
    <w:rsid w:val="00C80E34"/>
    <w:rsid w:val="00C825CF"/>
    <w:rsid w:val="00C82709"/>
    <w:rsid w:val="00C829D8"/>
    <w:rsid w:val="00C830E9"/>
    <w:rsid w:val="00C845FB"/>
    <w:rsid w:val="00C848BA"/>
    <w:rsid w:val="00C85210"/>
    <w:rsid w:val="00C85452"/>
    <w:rsid w:val="00C85813"/>
    <w:rsid w:val="00C85CB4"/>
    <w:rsid w:val="00C85D4B"/>
    <w:rsid w:val="00C85FE2"/>
    <w:rsid w:val="00C86D6C"/>
    <w:rsid w:val="00C87376"/>
    <w:rsid w:val="00C87DFC"/>
    <w:rsid w:val="00C9002D"/>
    <w:rsid w:val="00C9066D"/>
    <w:rsid w:val="00C908CF"/>
    <w:rsid w:val="00C90BD5"/>
    <w:rsid w:val="00C91CEC"/>
    <w:rsid w:val="00C92A90"/>
    <w:rsid w:val="00C93A91"/>
    <w:rsid w:val="00C9527B"/>
    <w:rsid w:val="00C9550A"/>
    <w:rsid w:val="00C95811"/>
    <w:rsid w:val="00C96482"/>
    <w:rsid w:val="00C9654C"/>
    <w:rsid w:val="00C96603"/>
    <w:rsid w:val="00C96C1C"/>
    <w:rsid w:val="00C96D4B"/>
    <w:rsid w:val="00C97BE7"/>
    <w:rsid w:val="00CA0132"/>
    <w:rsid w:val="00CA08C4"/>
    <w:rsid w:val="00CA0A5F"/>
    <w:rsid w:val="00CA0FF6"/>
    <w:rsid w:val="00CA115B"/>
    <w:rsid w:val="00CA21F7"/>
    <w:rsid w:val="00CA30D9"/>
    <w:rsid w:val="00CA320C"/>
    <w:rsid w:val="00CA32B4"/>
    <w:rsid w:val="00CA3787"/>
    <w:rsid w:val="00CA39BF"/>
    <w:rsid w:val="00CA3A18"/>
    <w:rsid w:val="00CA4E49"/>
    <w:rsid w:val="00CA569A"/>
    <w:rsid w:val="00CA6632"/>
    <w:rsid w:val="00CA6E06"/>
    <w:rsid w:val="00CA7310"/>
    <w:rsid w:val="00CA76CC"/>
    <w:rsid w:val="00CA79EC"/>
    <w:rsid w:val="00CA7C1D"/>
    <w:rsid w:val="00CB0FCA"/>
    <w:rsid w:val="00CB1277"/>
    <w:rsid w:val="00CB12D9"/>
    <w:rsid w:val="00CB13E1"/>
    <w:rsid w:val="00CB248F"/>
    <w:rsid w:val="00CB2654"/>
    <w:rsid w:val="00CB290D"/>
    <w:rsid w:val="00CB2CD7"/>
    <w:rsid w:val="00CB31E1"/>
    <w:rsid w:val="00CB394F"/>
    <w:rsid w:val="00CB3DFD"/>
    <w:rsid w:val="00CB3E9B"/>
    <w:rsid w:val="00CB503B"/>
    <w:rsid w:val="00CB56FB"/>
    <w:rsid w:val="00CB5700"/>
    <w:rsid w:val="00CB5817"/>
    <w:rsid w:val="00CB5A4B"/>
    <w:rsid w:val="00CB5AC8"/>
    <w:rsid w:val="00CB60A7"/>
    <w:rsid w:val="00CB6AC2"/>
    <w:rsid w:val="00CB6B8E"/>
    <w:rsid w:val="00CB6BBC"/>
    <w:rsid w:val="00CB7CFA"/>
    <w:rsid w:val="00CC068A"/>
    <w:rsid w:val="00CC1887"/>
    <w:rsid w:val="00CC22CB"/>
    <w:rsid w:val="00CC23D1"/>
    <w:rsid w:val="00CC2CD1"/>
    <w:rsid w:val="00CC2EF8"/>
    <w:rsid w:val="00CC3292"/>
    <w:rsid w:val="00CC35E1"/>
    <w:rsid w:val="00CC51ED"/>
    <w:rsid w:val="00CC53AA"/>
    <w:rsid w:val="00CC5B83"/>
    <w:rsid w:val="00CC5CE3"/>
    <w:rsid w:val="00CC6D21"/>
    <w:rsid w:val="00CC6FC7"/>
    <w:rsid w:val="00CC7F14"/>
    <w:rsid w:val="00CC7F9C"/>
    <w:rsid w:val="00CD0D56"/>
    <w:rsid w:val="00CD11DC"/>
    <w:rsid w:val="00CD1B7B"/>
    <w:rsid w:val="00CD2834"/>
    <w:rsid w:val="00CD2CE4"/>
    <w:rsid w:val="00CD2E6D"/>
    <w:rsid w:val="00CD316F"/>
    <w:rsid w:val="00CD4114"/>
    <w:rsid w:val="00CD478A"/>
    <w:rsid w:val="00CD4A87"/>
    <w:rsid w:val="00CD4AD9"/>
    <w:rsid w:val="00CD5413"/>
    <w:rsid w:val="00CD5A72"/>
    <w:rsid w:val="00CD6589"/>
    <w:rsid w:val="00CD7087"/>
    <w:rsid w:val="00CD73AB"/>
    <w:rsid w:val="00CD7798"/>
    <w:rsid w:val="00CE07B1"/>
    <w:rsid w:val="00CE0B00"/>
    <w:rsid w:val="00CE0B23"/>
    <w:rsid w:val="00CE29C9"/>
    <w:rsid w:val="00CE2C52"/>
    <w:rsid w:val="00CE2CF9"/>
    <w:rsid w:val="00CE3974"/>
    <w:rsid w:val="00CE3B76"/>
    <w:rsid w:val="00CE5027"/>
    <w:rsid w:val="00CE5D4C"/>
    <w:rsid w:val="00CE62C5"/>
    <w:rsid w:val="00CE6FB3"/>
    <w:rsid w:val="00CE7513"/>
    <w:rsid w:val="00CE7FAF"/>
    <w:rsid w:val="00CE7FF9"/>
    <w:rsid w:val="00CF0073"/>
    <w:rsid w:val="00CF0368"/>
    <w:rsid w:val="00CF06A7"/>
    <w:rsid w:val="00CF1777"/>
    <w:rsid w:val="00CF1A89"/>
    <w:rsid w:val="00CF291A"/>
    <w:rsid w:val="00CF298C"/>
    <w:rsid w:val="00CF2BCF"/>
    <w:rsid w:val="00CF2F7A"/>
    <w:rsid w:val="00CF3629"/>
    <w:rsid w:val="00CF3750"/>
    <w:rsid w:val="00CF3837"/>
    <w:rsid w:val="00CF3C10"/>
    <w:rsid w:val="00CF3DD5"/>
    <w:rsid w:val="00CF4680"/>
    <w:rsid w:val="00CF51A5"/>
    <w:rsid w:val="00CF55A3"/>
    <w:rsid w:val="00CF573F"/>
    <w:rsid w:val="00CF6365"/>
    <w:rsid w:val="00CF64F9"/>
    <w:rsid w:val="00CF66E4"/>
    <w:rsid w:val="00CF6B9E"/>
    <w:rsid w:val="00CF6E43"/>
    <w:rsid w:val="00CF6F4E"/>
    <w:rsid w:val="00CF732E"/>
    <w:rsid w:val="00CF73D1"/>
    <w:rsid w:val="00D004C3"/>
    <w:rsid w:val="00D0059E"/>
    <w:rsid w:val="00D00FF1"/>
    <w:rsid w:val="00D01058"/>
    <w:rsid w:val="00D0122E"/>
    <w:rsid w:val="00D01993"/>
    <w:rsid w:val="00D02351"/>
    <w:rsid w:val="00D023D9"/>
    <w:rsid w:val="00D02A07"/>
    <w:rsid w:val="00D036C2"/>
    <w:rsid w:val="00D03750"/>
    <w:rsid w:val="00D03992"/>
    <w:rsid w:val="00D03EC6"/>
    <w:rsid w:val="00D044C0"/>
    <w:rsid w:val="00D049B8"/>
    <w:rsid w:val="00D051A0"/>
    <w:rsid w:val="00D05306"/>
    <w:rsid w:val="00D05744"/>
    <w:rsid w:val="00D05A33"/>
    <w:rsid w:val="00D05B9D"/>
    <w:rsid w:val="00D05D89"/>
    <w:rsid w:val="00D06250"/>
    <w:rsid w:val="00D064EE"/>
    <w:rsid w:val="00D06CAD"/>
    <w:rsid w:val="00D0793D"/>
    <w:rsid w:val="00D079E7"/>
    <w:rsid w:val="00D10E21"/>
    <w:rsid w:val="00D11021"/>
    <w:rsid w:val="00D11369"/>
    <w:rsid w:val="00D11916"/>
    <w:rsid w:val="00D12B2A"/>
    <w:rsid w:val="00D139CC"/>
    <w:rsid w:val="00D13E79"/>
    <w:rsid w:val="00D140D3"/>
    <w:rsid w:val="00D15189"/>
    <w:rsid w:val="00D152C8"/>
    <w:rsid w:val="00D166E8"/>
    <w:rsid w:val="00D16FFE"/>
    <w:rsid w:val="00D177B8"/>
    <w:rsid w:val="00D17E22"/>
    <w:rsid w:val="00D20A7C"/>
    <w:rsid w:val="00D20AD2"/>
    <w:rsid w:val="00D20F3B"/>
    <w:rsid w:val="00D21513"/>
    <w:rsid w:val="00D218B9"/>
    <w:rsid w:val="00D21F6B"/>
    <w:rsid w:val="00D2237D"/>
    <w:rsid w:val="00D22FC7"/>
    <w:rsid w:val="00D2316C"/>
    <w:rsid w:val="00D23BEE"/>
    <w:rsid w:val="00D24409"/>
    <w:rsid w:val="00D2477C"/>
    <w:rsid w:val="00D2500E"/>
    <w:rsid w:val="00D2595D"/>
    <w:rsid w:val="00D26B06"/>
    <w:rsid w:val="00D26D75"/>
    <w:rsid w:val="00D26F17"/>
    <w:rsid w:val="00D273BD"/>
    <w:rsid w:val="00D278E5"/>
    <w:rsid w:val="00D27F58"/>
    <w:rsid w:val="00D31727"/>
    <w:rsid w:val="00D31858"/>
    <w:rsid w:val="00D318A5"/>
    <w:rsid w:val="00D31A22"/>
    <w:rsid w:val="00D32928"/>
    <w:rsid w:val="00D3333F"/>
    <w:rsid w:val="00D3354C"/>
    <w:rsid w:val="00D33BD5"/>
    <w:rsid w:val="00D34D6A"/>
    <w:rsid w:val="00D34F58"/>
    <w:rsid w:val="00D34FC4"/>
    <w:rsid w:val="00D35BE2"/>
    <w:rsid w:val="00D36060"/>
    <w:rsid w:val="00D360D8"/>
    <w:rsid w:val="00D36138"/>
    <w:rsid w:val="00D36F21"/>
    <w:rsid w:val="00D3718A"/>
    <w:rsid w:val="00D378FB"/>
    <w:rsid w:val="00D37CF1"/>
    <w:rsid w:val="00D37F01"/>
    <w:rsid w:val="00D403D9"/>
    <w:rsid w:val="00D40BF5"/>
    <w:rsid w:val="00D4163F"/>
    <w:rsid w:val="00D417F5"/>
    <w:rsid w:val="00D421E7"/>
    <w:rsid w:val="00D424A5"/>
    <w:rsid w:val="00D430A2"/>
    <w:rsid w:val="00D4377C"/>
    <w:rsid w:val="00D43BB1"/>
    <w:rsid w:val="00D43C47"/>
    <w:rsid w:val="00D4433E"/>
    <w:rsid w:val="00D445D9"/>
    <w:rsid w:val="00D458CD"/>
    <w:rsid w:val="00D46554"/>
    <w:rsid w:val="00D47B3B"/>
    <w:rsid w:val="00D47F0E"/>
    <w:rsid w:val="00D506C4"/>
    <w:rsid w:val="00D5090D"/>
    <w:rsid w:val="00D51795"/>
    <w:rsid w:val="00D51A35"/>
    <w:rsid w:val="00D51F35"/>
    <w:rsid w:val="00D51F76"/>
    <w:rsid w:val="00D522C5"/>
    <w:rsid w:val="00D52C59"/>
    <w:rsid w:val="00D52F09"/>
    <w:rsid w:val="00D5344A"/>
    <w:rsid w:val="00D53A38"/>
    <w:rsid w:val="00D53F37"/>
    <w:rsid w:val="00D5415A"/>
    <w:rsid w:val="00D541CF"/>
    <w:rsid w:val="00D54255"/>
    <w:rsid w:val="00D543F9"/>
    <w:rsid w:val="00D54CDE"/>
    <w:rsid w:val="00D55D98"/>
    <w:rsid w:val="00D55EFE"/>
    <w:rsid w:val="00D562F8"/>
    <w:rsid w:val="00D56A84"/>
    <w:rsid w:val="00D57356"/>
    <w:rsid w:val="00D57545"/>
    <w:rsid w:val="00D57F1D"/>
    <w:rsid w:val="00D600D0"/>
    <w:rsid w:val="00D61743"/>
    <w:rsid w:val="00D617D4"/>
    <w:rsid w:val="00D6192A"/>
    <w:rsid w:val="00D623B2"/>
    <w:rsid w:val="00D625FD"/>
    <w:rsid w:val="00D62BDD"/>
    <w:rsid w:val="00D62EBF"/>
    <w:rsid w:val="00D63406"/>
    <w:rsid w:val="00D63A0A"/>
    <w:rsid w:val="00D642CC"/>
    <w:rsid w:val="00D669DB"/>
    <w:rsid w:val="00D67D44"/>
    <w:rsid w:val="00D70222"/>
    <w:rsid w:val="00D704B8"/>
    <w:rsid w:val="00D70B60"/>
    <w:rsid w:val="00D714B6"/>
    <w:rsid w:val="00D71580"/>
    <w:rsid w:val="00D71F4A"/>
    <w:rsid w:val="00D720CB"/>
    <w:rsid w:val="00D72695"/>
    <w:rsid w:val="00D72C39"/>
    <w:rsid w:val="00D733A2"/>
    <w:rsid w:val="00D73422"/>
    <w:rsid w:val="00D73934"/>
    <w:rsid w:val="00D73A66"/>
    <w:rsid w:val="00D742A7"/>
    <w:rsid w:val="00D747EB"/>
    <w:rsid w:val="00D74BE8"/>
    <w:rsid w:val="00D75A53"/>
    <w:rsid w:val="00D765F6"/>
    <w:rsid w:val="00D77884"/>
    <w:rsid w:val="00D779AA"/>
    <w:rsid w:val="00D80098"/>
    <w:rsid w:val="00D80D65"/>
    <w:rsid w:val="00D80D74"/>
    <w:rsid w:val="00D80DEB"/>
    <w:rsid w:val="00D80EFC"/>
    <w:rsid w:val="00D80FC7"/>
    <w:rsid w:val="00D81054"/>
    <w:rsid w:val="00D81713"/>
    <w:rsid w:val="00D82704"/>
    <w:rsid w:val="00D82763"/>
    <w:rsid w:val="00D827B9"/>
    <w:rsid w:val="00D82A79"/>
    <w:rsid w:val="00D82E87"/>
    <w:rsid w:val="00D833B7"/>
    <w:rsid w:val="00D837AF"/>
    <w:rsid w:val="00D83EA4"/>
    <w:rsid w:val="00D8622C"/>
    <w:rsid w:val="00D867A0"/>
    <w:rsid w:val="00D8700D"/>
    <w:rsid w:val="00D87125"/>
    <w:rsid w:val="00D87A55"/>
    <w:rsid w:val="00D9017B"/>
    <w:rsid w:val="00D90546"/>
    <w:rsid w:val="00D90E1A"/>
    <w:rsid w:val="00D9168B"/>
    <w:rsid w:val="00D91948"/>
    <w:rsid w:val="00D91B03"/>
    <w:rsid w:val="00D91EA1"/>
    <w:rsid w:val="00D92450"/>
    <w:rsid w:val="00D924B0"/>
    <w:rsid w:val="00D924D4"/>
    <w:rsid w:val="00D92F0C"/>
    <w:rsid w:val="00D93229"/>
    <w:rsid w:val="00D9349B"/>
    <w:rsid w:val="00D93EF4"/>
    <w:rsid w:val="00D941DE"/>
    <w:rsid w:val="00D94799"/>
    <w:rsid w:val="00D9479C"/>
    <w:rsid w:val="00D9483B"/>
    <w:rsid w:val="00D94F15"/>
    <w:rsid w:val="00D9607E"/>
    <w:rsid w:val="00D9626C"/>
    <w:rsid w:val="00D96707"/>
    <w:rsid w:val="00D9762D"/>
    <w:rsid w:val="00DA0394"/>
    <w:rsid w:val="00DA0E3E"/>
    <w:rsid w:val="00DA1405"/>
    <w:rsid w:val="00DA1602"/>
    <w:rsid w:val="00DA1C46"/>
    <w:rsid w:val="00DA28FE"/>
    <w:rsid w:val="00DA2D07"/>
    <w:rsid w:val="00DA3AB5"/>
    <w:rsid w:val="00DA40B1"/>
    <w:rsid w:val="00DA4B56"/>
    <w:rsid w:val="00DA51F7"/>
    <w:rsid w:val="00DA533B"/>
    <w:rsid w:val="00DA5963"/>
    <w:rsid w:val="00DA5D6C"/>
    <w:rsid w:val="00DA734B"/>
    <w:rsid w:val="00DA757A"/>
    <w:rsid w:val="00DA7B5B"/>
    <w:rsid w:val="00DA7C22"/>
    <w:rsid w:val="00DB06A7"/>
    <w:rsid w:val="00DB08E7"/>
    <w:rsid w:val="00DB130C"/>
    <w:rsid w:val="00DB14ED"/>
    <w:rsid w:val="00DB2C38"/>
    <w:rsid w:val="00DB2F46"/>
    <w:rsid w:val="00DB3066"/>
    <w:rsid w:val="00DB306A"/>
    <w:rsid w:val="00DB3EEE"/>
    <w:rsid w:val="00DB4C97"/>
    <w:rsid w:val="00DB5182"/>
    <w:rsid w:val="00DB53CB"/>
    <w:rsid w:val="00DB5A99"/>
    <w:rsid w:val="00DB63F7"/>
    <w:rsid w:val="00DB6DB0"/>
    <w:rsid w:val="00DB6E3C"/>
    <w:rsid w:val="00DB7369"/>
    <w:rsid w:val="00DC06FF"/>
    <w:rsid w:val="00DC071A"/>
    <w:rsid w:val="00DC121B"/>
    <w:rsid w:val="00DC1DBB"/>
    <w:rsid w:val="00DC1E39"/>
    <w:rsid w:val="00DC2041"/>
    <w:rsid w:val="00DC2097"/>
    <w:rsid w:val="00DC215B"/>
    <w:rsid w:val="00DC2458"/>
    <w:rsid w:val="00DC26E2"/>
    <w:rsid w:val="00DC2C44"/>
    <w:rsid w:val="00DC2D14"/>
    <w:rsid w:val="00DC32DF"/>
    <w:rsid w:val="00DC3CFA"/>
    <w:rsid w:val="00DC3FBB"/>
    <w:rsid w:val="00DC4699"/>
    <w:rsid w:val="00DC4B2F"/>
    <w:rsid w:val="00DC4DC9"/>
    <w:rsid w:val="00DC4FC8"/>
    <w:rsid w:val="00DC5476"/>
    <w:rsid w:val="00DC5AF5"/>
    <w:rsid w:val="00DC5C49"/>
    <w:rsid w:val="00DC6127"/>
    <w:rsid w:val="00DC67B5"/>
    <w:rsid w:val="00DC6C1F"/>
    <w:rsid w:val="00DC711E"/>
    <w:rsid w:val="00DC75CA"/>
    <w:rsid w:val="00DC79C5"/>
    <w:rsid w:val="00DD09CF"/>
    <w:rsid w:val="00DD0C12"/>
    <w:rsid w:val="00DD176A"/>
    <w:rsid w:val="00DD2444"/>
    <w:rsid w:val="00DD378D"/>
    <w:rsid w:val="00DD39D2"/>
    <w:rsid w:val="00DD509C"/>
    <w:rsid w:val="00DD50D3"/>
    <w:rsid w:val="00DD5350"/>
    <w:rsid w:val="00DD55F3"/>
    <w:rsid w:val="00DD5C67"/>
    <w:rsid w:val="00DD5FAD"/>
    <w:rsid w:val="00DD60F4"/>
    <w:rsid w:val="00DD633E"/>
    <w:rsid w:val="00DD6733"/>
    <w:rsid w:val="00DD6AF6"/>
    <w:rsid w:val="00DD7038"/>
    <w:rsid w:val="00DD777C"/>
    <w:rsid w:val="00DD77FD"/>
    <w:rsid w:val="00DD78D2"/>
    <w:rsid w:val="00DD7C82"/>
    <w:rsid w:val="00DE01AB"/>
    <w:rsid w:val="00DE01B6"/>
    <w:rsid w:val="00DE01B9"/>
    <w:rsid w:val="00DE047F"/>
    <w:rsid w:val="00DE0BFD"/>
    <w:rsid w:val="00DE0F3E"/>
    <w:rsid w:val="00DE0F8F"/>
    <w:rsid w:val="00DE1441"/>
    <w:rsid w:val="00DE1753"/>
    <w:rsid w:val="00DE1ADC"/>
    <w:rsid w:val="00DE1FBF"/>
    <w:rsid w:val="00DE1FCD"/>
    <w:rsid w:val="00DE2B0B"/>
    <w:rsid w:val="00DE2C8B"/>
    <w:rsid w:val="00DE3563"/>
    <w:rsid w:val="00DE3F17"/>
    <w:rsid w:val="00DE4777"/>
    <w:rsid w:val="00DE4BEA"/>
    <w:rsid w:val="00DE4F81"/>
    <w:rsid w:val="00DE506F"/>
    <w:rsid w:val="00DE57A3"/>
    <w:rsid w:val="00DE57D4"/>
    <w:rsid w:val="00DE5CF7"/>
    <w:rsid w:val="00DE7226"/>
    <w:rsid w:val="00DE7452"/>
    <w:rsid w:val="00DE7AB4"/>
    <w:rsid w:val="00DE7EAD"/>
    <w:rsid w:val="00DF0D7B"/>
    <w:rsid w:val="00DF2331"/>
    <w:rsid w:val="00DF2782"/>
    <w:rsid w:val="00DF2A91"/>
    <w:rsid w:val="00DF2BBE"/>
    <w:rsid w:val="00DF2BF6"/>
    <w:rsid w:val="00DF2C33"/>
    <w:rsid w:val="00DF31CA"/>
    <w:rsid w:val="00DF3565"/>
    <w:rsid w:val="00DF3749"/>
    <w:rsid w:val="00DF407B"/>
    <w:rsid w:val="00DF487F"/>
    <w:rsid w:val="00DF4D17"/>
    <w:rsid w:val="00DF55D4"/>
    <w:rsid w:val="00DF5874"/>
    <w:rsid w:val="00DF620C"/>
    <w:rsid w:val="00DF6EB1"/>
    <w:rsid w:val="00DF6F05"/>
    <w:rsid w:val="00DF711E"/>
    <w:rsid w:val="00DF7F12"/>
    <w:rsid w:val="00E0074F"/>
    <w:rsid w:val="00E00CC8"/>
    <w:rsid w:val="00E00E43"/>
    <w:rsid w:val="00E01062"/>
    <w:rsid w:val="00E010F0"/>
    <w:rsid w:val="00E01EB9"/>
    <w:rsid w:val="00E024EF"/>
    <w:rsid w:val="00E02827"/>
    <w:rsid w:val="00E02D39"/>
    <w:rsid w:val="00E03105"/>
    <w:rsid w:val="00E031FF"/>
    <w:rsid w:val="00E03EEE"/>
    <w:rsid w:val="00E049A4"/>
    <w:rsid w:val="00E053E9"/>
    <w:rsid w:val="00E058C6"/>
    <w:rsid w:val="00E05911"/>
    <w:rsid w:val="00E07228"/>
    <w:rsid w:val="00E077F0"/>
    <w:rsid w:val="00E078FA"/>
    <w:rsid w:val="00E07AA3"/>
    <w:rsid w:val="00E07EC3"/>
    <w:rsid w:val="00E1036C"/>
    <w:rsid w:val="00E1091C"/>
    <w:rsid w:val="00E1180E"/>
    <w:rsid w:val="00E11A63"/>
    <w:rsid w:val="00E11CDE"/>
    <w:rsid w:val="00E1268C"/>
    <w:rsid w:val="00E12AB3"/>
    <w:rsid w:val="00E1311E"/>
    <w:rsid w:val="00E136A0"/>
    <w:rsid w:val="00E13AA1"/>
    <w:rsid w:val="00E1416C"/>
    <w:rsid w:val="00E142FF"/>
    <w:rsid w:val="00E14A73"/>
    <w:rsid w:val="00E14E2D"/>
    <w:rsid w:val="00E1522A"/>
    <w:rsid w:val="00E15CC6"/>
    <w:rsid w:val="00E15D68"/>
    <w:rsid w:val="00E166CC"/>
    <w:rsid w:val="00E16F0C"/>
    <w:rsid w:val="00E17828"/>
    <w:rsid w:val="00E17A88"/>
    <w:rsid w:val="00E17C03"/>
    <w:rsid w:val="00E2026E"/>
    <w:rsid w:val="00E204C5"/>
    <w:rsid w:val="00E204D3"/>
    <w:rsid w:val="00E20956"/>
    <w:rsid w:val="00E211ED"/>
    <w:rsid w:val="00E22C72"/>
    <w:rsid w:val="00E22CD2"/>
    <w:rsid w:val="00E2304B"/>
    <w:rsid w:val="00E23547"/>
    <w:rsid w:val="00E23CEE"/>
    <w:rsid w:val="00E23DF5"/>
    <w:rsid w:val="00E24010"/>
    <w:rsid w:val="00E244CA"/>
    <w:rsid w:val="00E2462E"/>
    <w:rsid w:val="00E24BDF"/>
    <w:rsid w:val="00E25A9A"/>
    <w:rsid w:val="00E25B38"/>
    <w:rsid w:val="00E265A8"/>
    <w:rsid w:val="00E265C5"/>
    <w:rsid w:val="00E2688F"/>
    <w:rsid w:val="00E26ADB"/>
    <w:rsid w:val="00E26D78"/>
    <w:rsid w:val="00E276EF"/>
    <w:rsid w:val="00E27DE9"/>
    <w:rsid w:val="00E3076A"/>
    <w:rsid w:val="00E30ACC"/>
    <w:rsid w:val="00E30C78"/>
    <w:rsid w:val="00E30DBE"/>
    <w:rsid w:val="00E313BF"/>
    <w:rsid w:val="00E31568"/>
    <w:rsid w:val="00E31CC1"/>
    <w:rsid w:val="00E31CF5"/>
    <w:rsid w:val="00E3222C"/>
    <w:rsid w:val="00E32251"/>
    <w:rsid w:val="00E32786"/>
    <w:rsid w:val="00E35433"/>
    <w:rsid w:val="00E35449"/>
    <w:rsid w:val="00E355A8"/>
    <w:rsid w:val="00E357A1"/>
    <w:rsid w:val="00E36010"/>
    <w:rsid w:val="00E36570"/>
    <w:rsid w:val="00E365D4"/>
    <w:rsid w:val="00E3671B"/>
    <w:rsid w:val="00E368B5"/>
    <w:rsid w:val="00E3700F"/>
    <w:rsid w:val="00E379C4"/>
    <w:rsid w:val="00E37FC2"/>
    <w:rsid w:val="00E406AD"/>
    <w:rsid w:val="00E407EB"/>
    <w:rsid w:val="00E40BBC"/>
    <w:rsid w:val="00E4121B"/>
    <w:rsid w:val="00E4172A"/>
    <w:rsid w:val="00E41C99"/>
    <w:rsid w:val="00E43DE3"/>
    <w:rsid w:val="00E445CC"/>
    <w:rsid w:val="00E449B1"/>
    <w:rsid w:val="00E44E37"/>
    <w:rsid w:val="00E44F9D"/>
    <w:rsid w:val="00E453A1"/>
    <w:rsid w:val="00E45689"/>
    <w:rsid w:val="00E45EA4"/>
    <w:rsid w:val="00E50207"/>
    <w:rsid w:val="00E50375"/>
    <w:rsid w:val="00E5134C"/>
    <w:rsid w:val="00E515C7"/>
    <w:rsid w:val="00E51745"/>
    <w:rsid w:val="00E51ECD"/>
    <w:rsid w:val="00E51FEF"/>
    <w:rsid w:val="00E522C2"/>
    <w:rsid w:val="00E52419"/>
    <w:rsid w:val="00E5247F"/>
    <w:rsid w:val="00E5252D"/>
    <w:rsid w:val="00E52AFF"/>
    <w:rsid w:val="00E53125"/>
    <w:rsid w:val="00E53E5E"/>
    <w:rsid w:val="00E53F3F"/>
    <w:rsid w:val="00E53FD0"/>
    <w:rsid w:val="00E54239"/>
    <w:rsid w:val="00E544EA"/>
    <w:rsid w:val="00E549F6"/>
    <w:rsid w:val="00E54B54"/>
    <w:rsid w:val="00E54D05"/>
    <w:rsid w:val="00E55DC3"/>
    <w:rsid w:val="00E567BC"/>
    <w:rsid w:val="00E56BF7"/>
    <w:rsid w:val="00E56CA8"/>
    <w:rsid w:val="00E572E4"/>
    <w:rsid w:val="00E57813"/>
    <w:rsid w:val="00E57922"/>
    <w:rsid w:val="00E57B54"/>
    <w:rsid w:val="00E60882"/>
    <w:rsid w:val="00E611CC"/>
    <w:rsid w:val="00E6144C"/>
    <w:rsid w:val="00E61724"/>
    <w:rsid w:val="00E62367"/>
    <w:rsid w:val="00E62788"/>
    <w:rsid w:val="00E63FD9"/>
    <w:rsid w:val="00E64438"/>
    <w:rsid w:val="00E645DC"/>
    <w:rsid w:val="00E6464A"/>
    <w:rsid w:val="00E646AA"/>
    <w:rsid w:val="00E64857"/>
    <w:rsid w:val="00E64BD5"/>
    <w:rsid w:val="00E64FEA"/>
    <w:rsid w:val="00E6560A"/>
    <w:rsid w:val="00E66321"/>
    <w:rsid w:val="00E66575"/>
    <w:rsid w:val="00E6662D"/>
    <w:rsid w:val="00E66672"/>
    <w:rsid w:val="00E67BE6"/>
    <w:rsid w:val="00E67D87"/>
    <w:rsid w:val="00E7029D"/>
    <w:rsid w:val="00E70615"/>
    <w:rsid w:val="00E708FB"/>
    <w:rsid w:val="00E70959"/>
    <w:rsid w:val="00E70A81"/>
    <w:rsid w:val="00E7201B"/>
    <w:rsid w:val="00E720D5"/>
    <w:rsid w:val="00E737EF"/>
    <w:rsid w:val="00E73AFD"/>
    <w:rsid w:val="00E744E0"/>
    <w:rsid w:val="00E74791"/>
    <w:rsid w:val="00E74C08"/>
    <w:rsid w:val="00E74C17"/>
    <w:rsid w:val="00E74F8F"/>
    <w:rsid w:val="00E753C0"/>
    <w:rsid w:val="00E75C6A"/>
    <w:rsid w:val="00E762E3"/>
    <w:rsid w:val="00E76F26"/>
    <w:rsid w:val="00E77874"/>
    <w:rsid w:val="00E77ACF"/>
    <w:rsid w:val="00E80615"/>
    <w:rsid w:val="00E8082C"/>
    <w:rsid w:val="00E80E7E"/>
    <w:rsid w:val="00E80F92"/>
    <w:rsid w:val="00E80FBA"/>
    <w:rsid w:val="00E812EF"/>
    <w:rsid w:val="00E8199F"/>
    <w:rsid w:val="00E82CD7"/>
    <w:rsid w:val="00E82DB2"/>
    <w:rsid w:val="00E836CB"/>
    <w:rsid w:val="00E84C41"/>
    <w:rsid w:val="00E85E6A"/>
    <w:rsid w:val="00E86035"/>
    <w:rsid w:val="00E86AA2"/>
    <w:rsid w:val="00E87019"/>
    <w:rsid w:val="00E87941"/>
    <w:rsid w:val="00E87F0C"/>
    <w:rsid w:val="00E901BE"/>
    <w:rsid w:val="00E9068E"/>
    <w:rsid w:val="00E90A65"/>
    <w:rsid w:val="00E91028"/>
    <w:rsid w:val="00E916D6"/>
    <w:rsid w:val="00E91A1D"/>
    <w:rsid w:val="00E9295D"/>
    <w:rsid w:val="00E92F96"/>
    <w:rsid w:val="00E93D82"/>
    <w:rsid w:val="00E93FDE"/>
    <w:rsid w:val="00E95325"/>
    <w:rsid w:val="00E95824"/>
    <w:rsid w:val="00E978F3"/>
    <w:rsid w:val="00E97B41"/>
    <w:rsid w:val="00E97E4B"/>
    <w:rsid w:val="00E97EAC"/>
    <w:rsid w:val="00EA089E"/>
    <w:rsid w:val="00EA12CC"/>
    <w:rsid w:val="00EA142E"/>
    <w:rsid w:val="00EA2312"/>
    <w:rsid w:val="00EA2736"/>
    <w:rsid w:val="00EA2B9C"/>
    <w:rsid w:val="00EA3679"/>
    <w:rsid w:val="00EA3CB8"/>
    <w:rsid w:val="00EA3DB8"/>
    <w:rsid w:val="00EA43E1"/>
    <w:rsid w:val="00EA4413"/>
    <w:rsid w:val="00EA4ECC"/>
    <w:rsid w:val="00EA4F52"/>
    <w:rsid w:val="00EA5668"/>
    <w:rsid w:val="00EA5BBE"/>
    <w:rsid w:val="00EA5E41"/>
    <w:rsid w:val="00EA6B75"/>
    <w:rsid w:val="00EA6C28"/>
    <w:rsid w:val="00EA7019"/>
    <w:rsid w:val="00EA74C7"/>
    <w:rsid w:val="00EA7C16"/>
    <w:rsid w:val="00EB0501"/>
    <w:rsid w:val="00EB0668"/>
    <w:rsid w:val="00EB1497"/>
    <w:rsid w:val="00EB22BF"/>
    <w:rsid w:val="00EB26D9"/>
    <w:rsid w:val="00EB2878"/>
    <w:rsid w:val="00EB2D6E"/>
    <w:rsid w:val="00EB2E95"/>
    <w:rsid w:val="00EB2EF5"/>
    <w:rsid w:val="00EB3593"/>
    <w:rsid w:val="00EB3C3D"/>
    <w:rsid w:val="00EB3D14"/>
    <w:rsid w:val="00EB3F4C"/>
    <w:rsid w:val="00EB4049"/>
    <w:rsid w:val="00EB4303"/>
    <w:rsid w:val="00EB445E"/>
    <w:rsid w:val="00EB485B"/>
    <w:rsid w:val="00EB53C7"/>
    <w:rsid w:val="00EB66D5"/>
    <w:rsid w:val="00EB6F01"/>
    <w:rsid w:val="00EB6F88"/>
    <w:rsid w:val="00EB7148"/>
    <w:rsid w:val="00EB7259"/>
    <w:rsid w:val="00EC0C14"/>
    <w:rsid w:val="00EC13CB"/>
    <w:rsid w:val="00EC15C1"/>
    <w:rsid w:val="00EC1A5B"/>
    <w:rsid w:val="00EC2482"/>
    <w:rsid w:val="00EC2C53"/>
    <w:rsid w:val="00EC37FE"/>
    <w:rsid w:val="00EC3EDE"/>
    <w:rsid w:val="00EC4638"/>
    <w:rsid w:val="00EC5295"/>
    <w:rsid w:val="00EC5731"/>
    <w:rsid w:val="00EC5BBE"/>
    <w:rsid w:val="00EC6182"/>
    <w:rsid w:val="00EC61F1"/>
    <w:rsid w:val="00EC6940"/>
    <w:rsid w:val="00EC7098"/>
    <w:rsid w:val="00EC7441"/>
    <w:rsid w:val="00EC7959"/>
    <w:rsid w:val="00EC7B07"/>
    <w:rsid w:val="00EC7F15"/>
    <w:rsid w:val="00ED0D78"/>
    <w:rsid w:val="00ED0FB2"/>
    <w:rsid w:val="00ED10E5"/>
    <w:rsid w:val="00ED1564"/>
    <w:rsid w:val="00ED1B02"/>
    <w:rsid w:val="00ED2A69"/>
    <w:rsid w:val="00ED2B31"/>
    <w:rsid w:val="00ED2E2A"/>
    <w:rsid w:val="00ED3895"/>
    <w:rsid w:val="00ED4B22"/>
    <w:rsid w:val="00ED4B3B"/>
    <w:rsid w:val="00ED4D4F"/>
    <w:rsid w:val="00ED518A"/>
    <w:rsid w:val="00ED63B2"/>
    <w:rsid w:val="00ED673F"/>
    <w:rsid w:val="00ED6A5E"/>
    <w:rsid w:val="00ED70E1"/>
    <w:rsid w:val="00ED74F9"/>
    <w:rsid w:val="00EE01B3"/>
    <w:rsid w:val="00EE03F8"/>
    <w:rsid w:val="00EE0CA6"/>
    <w:rsid w:val="00EE0CDD"/>
    <w:rsid w:val="00EE1324"/>
    <w:rsid w:val="00EE19DD"/>
    <w:rsid w:val="00EE2663"/>
    <w:rsid w:val="00EE365F"/>
    <w:rsid w:val="00EE410E"/>
    <w:rsid w:val="00EE47DB"/>
    <w:rsid w:val="00EE4CC2"/>
    <w:rsid w:val="00EE52C1"/>
    <w:rsid w:val="00EE5479"/>
    <w:rsid w:val="00EE5A07"/>
    <w:rsid w:val="00EE5DD7"/>
    <w:rsid w:val="00EE5FF9"/>
    <w:rsid w:val="00EE60E2"/>
    <w:rsid w:val="00EE6778"/>
    <w:rsid w:val="00EE6992"/>
    <w:rsid w:val="00EE702E"/>
    <w:rsid w:val="00EE7266"/>
    <w:rsid w:val="00EE733A"/>
    <w:rsid w:val="00EF03F0"/>
    <w:rsid w:val="00EF0927"/>
    <w:rsid w:val="00EF1E72"/>
    <w:rsid w:val="00EF2BCB"/>
    <w:rsid w:val="00EF2FDB"/>
    <w:rsid w:val="00EF32D3"/>
    <w:rsid w:val="00EF373C"/>
    <w:rsid w:val="00EF417A"/>
    <w:rsid w:val="00EF4361"/>
    <w:rsid w:val="00EF4533"/>
    <w:rsid w:val="00EF4925"/>
    <w:rsid w:val="00EF4958"/>
    <w:rsid w:val="00EF4B29"/>
    <w:rsid w:val="00EF4B8B"/>
    <w:rsid w:val="00EF5178"/>
    <w:rsid w:val="00EF54C1"/>
    <w:rsid w:val="00EF5D17"/>
    <w:rsid w:val="00EF5DE9"/>
    <w:rsid w:val="00EF60D9"/>
    <w:rsid w:val="00EF702B"/>
    <w:rsid w:val="00EF720B"/>
    <w:rsid w:val="00EF7299"/>
    <w:rsid w:val="00EF732C"/>
    <w:rsid w:val="00EF7869"/>
    <w:rsid w:val="00F002BC"/>
    <w:rsid w:val="00F01AF3"/>
    <w:rsid w:val="00F02353"/>
    <w:rsid w:val="00F02672"/>
    <w:rsid w:val="00F02D14"/>
    <w:rsid w:val="00F03DC4"/>
    <w:rsid w:val="00F04DC1"/>
    <w:rsid w:val="00F04F9A"/>
    <w:rsid w:val="00F05B92"/>
    <w:rsid w:val="00F05F13"/>
    <w:rsid w:val="00F06BCB"/>
    <w:rsid w:val="00F0781F"/>
    <w:rsid w:val="00F07836"/>
    <w:rsid w:val="00F10B23"/>
    <w:rsid w:val="00F11AF1"/>
    <w:rsid w:val="00F11B9E"/>
    <w:rsid w:val="00F11EC1"/>
    <w:rsid w:val="00F1216B"/>
    <w:rsid w:val="00F127DB"/>
    <w:rsid w:val="00F12A57"/>
    <w:rsid w:val="00F12AFF"/>
    <w:rsid w:val="00F12C23"/>
    <w:rsid w:val="00F13099"/>
    <w:rsid w:val="00F134FA"/>
    <w:rsid w:val="00F13601"/>
    <w:rsid w:val="00F140AC"/>
    <w:rsid w:val="00F1459F"/>
    <w:rsid w:val="00F155D9"/>
    <w:rsid w:val="00F15897"/>
    <w:rsid w:val="00F1648F"/>
    <w:rsid w:val="00F16EDB"/>
    <w:rsid w:val="00F174CB"/>
    <w:rsid w:val="00F1752A"/>
    <w:rsid w:val="00F179AD"/>
    <w:rsid w:val="00F17D04"/>
    <w:rsid w:val="00F17E30"/>
    <w:rsid w:val="00F2086D"/>
    <w:rsid w:val="00F21062"/>
    <w:rsid w:val="00F2182F"/>
    <w:rsid w:val="00F21B38"/>
    <w:rsid w:val="00F2279C"/>
    <w:rsid w:val="00F22962"/>
    <w:rsid w:val="00F229D7"/>
    <w:rsid w:val="00F22B6F"/>
    <w:rsid w:val="00F23206"/>
    <w:rsid w:val="00F234B6"/>
    <w:rsid w:val="00F2397F"/>
    <w:rsid w:val="00F23DC6"/>
    <w:rsid w:val="00F24024"/>
    <w:rsid w:val="00F24027"/>
    <w:rsid w:val="00F24687"/>
    <w:rsid w:val="00F249B2"/>
    <w:rsid w:val="00F24AB5"/>
    <w:rsid w:val="00F24E1B"/>
    <w:rsid w:val="00F250C1"/>
    <w:rsid w:val="00F256A9"/>
    <w:rsid w:val="00F25DA2"/>
    <w:rsid w:val="00F27294"/>
    <w:rsid w:val="00F27BF5"/>
    <w:rsid w:val="00F27C75"/>
    <w:rsid w:val="00F30087"/>
    <w:rsid w:val="00F30366"/>
    <w:rsid w:val="00F3075D"/>
    <w:rsid w:val="00F30771"/>
    <w:rsid w:val="00F31367"/>
    <w:rsid w:val="00F31980"/>
    <w:rsid w:val="00F319D3"/>
    <w:rsid w:val="00F32BC8"/>
    <w:rsid w:val="00F32DFE"/>
    <w:rsid w:val="00F33A8B"/>
    <w:rsid w:val="00F33DC0"/>
    <w:rsid w:val="00F33DD9"/>
    <w:rsid w:val="00F33FE8"/>
    <w:rsid w:val="00F349CB"/>
    <w:rsid w:val="00F34A6D"/>
    <w:rsid w:val="00F35B69"/>
    <w:rsid w:val="00F35BF4"/>
    <w:rsid w:val="00F35CD3"/>
    <w:rsid w:val="00F35CDD"/>
    <w:rsid w:val="00F35DC4"/>
    <w:rsid w:val="00F360E8"/>
    <w:rsid w:val="00F36D97"/>
    <w:rsid w:val="00F373F1"/>
    <w:rsid w:val="00F377C0"/>
    <w:rsid w:val="00F37EB7"/>
    <w:rsid w:val="00F400A2"/>
    <w:rsid w:val="00F404EB"/>
    <w:rsid w:val="00F406D7"/>
    <w:rsid w:val="00F408E7"/>
    <w:rsid w:val="00F415DB"/>
    <w:rsid w:val="00F4231F"/>
    <w:rsid w:val="00F42363"/>
    <w:rsid w:val="00F42F59"/>
    <w:rsid w:val="00F43271"/>
    <w:rsid w:val="00F43516"/>
    <w:rsid w:val="00F43768"/>
    <w:rsid w:val="00F43A77"/>
    <w:rsid w:val="00F4439D"/>
    <w:rsid w:val="00F444D8"/>
    <w:rsid w:val="00F4522C"/>
    <w:rsid w:val="00F45A88"/>
    <w:rsid w:val="00F45D51"/>
    <w:rsid w:val="00F4655E"/>
    <w:rsid w:val="00F4656F"/>
    <w:rsid w:val="00F46855"/>
    <w:rsid w:val="00F47552"/>
    <w:rsid w:val="00F47596"/>
    <w:rsid w:val="00F50384"/>
    <w:rsid w:val="00F50952"/>
    <w:rsid w:val="00F50E87"/>
    <w:rsid w:val="00F51343"/>
    <w:rsid w:val="00F515F2"/>
    <w:rsid w:val="00F516B7"/>
    <w:rsid w:val="00F5198C"/>
    <w:rsid w:val="00F52664"/>
    <w:rsid w:val="00F52BE1"/>
    <w:rsid w:val="00F531EE"/>
    <w:rsid w:val="00F537D0"/>
    <w:rsid w:val="00F53E3E"/>
    <w:rsid w:val="00F54842"/>
    <w:rsid w:val="00F54884"/>
    <w:rsid w:val="00F55072"/>
    <w:rsid w:val="00F555B0"/>
    <w:rsid w:val="00F55C3F"/>
    <w:rsid w:val="00F55F5E"/>
    <w:rsid w:val="00F5674A"/>
    <w:rsid w:val="00F57561"/>
    <w:rsid w:val="00F57D1A"/>
    <w:rsid w:val="00F60419"/>
    <w:rsid w:val="00F60437"/>
    <w:rsid w:val="00F6183B"/>
    <w:rsid w:val="00F61892"/>
    <w:rsid w:val="00F61F65"/>
    <w:rsid w:val="00F622AE"/>
    <w:rsid w:val="00F63553"/>
    <w:rsid w:val="00F63E60"/>
    <w:rsid w:val="00F64F27"/>
    <w:rsid w:val="00F6501D"/>
    <w:rsid w:val="00F65191"/>
    <w:rsid w:val="00F6527B"/>
    <w:rsid w:val="00F65346"/>
    <w:rsid w:val="00F65AC4"/>
    <w:rsid w:val="00F66268"/>
    <w:rsid w:val="00F6630A"/>
    <w:rsid w:val="00F66A62"/>
    <w:rsid w:val="00F66E11"/>
    <w:rsid w:val="00F66E20"/>
    <w:rsid w:val="00F67487"/>
    <w:rsid w:val="00F678D9"/>
    <w:rsid w:val="00F67ABD"/>
    <w:rsid w:val="00F706F3"/>
    <w:rsid w:val="00F7193E"/>
    <w:rsid w:val="00F72224"/>
    <w:rsid w:val="00F723F1"/>
    <w:rsid w:val="00F72502"/>
    <w:rsid w:val="00F7270E"/>
    <w:rsid w:val="00F735E0"/>
    <w:rsid w:val="00F73B0E"/>
    <w:rsid w:val="00F73E1A"/>
    <w:rsid w:val="00F7468A"/>
    <w:rsid w:val="00F7595C"/>
    <w:rsid w:val="00F75E0D"/>
    <w:rsid w:val="00F75F47"/>
    <w:rsid w:val="00F75F52"/>
    <w:rsid w:val="00F76175"/>
    <w:rsid w:val="00F767A3"/>
    <w:rsid w:val="00F76F3B"/>
    <w:rsid w:val="00F77053"/>
    <w:rsid w:val="00F771FF"/>
    <w:rsid w:val="00F77215"/>
    <w:rsid w:val="00F77253"/>
    <w:rsid w:val="00F773E6"/>
    <w:rsid w:val="00F7759F"/>
    <w:rsid w:val="00F7768C"/>
    <w:rsid w:val="00F77990"/>
    <w:rsid w:val="00F77C81"/>
    <w:rsid w:val="00F77F1A"/>
    <w:rsid w:val="00F80016"/>
    <w:rsid w:val="00F80030"/>
    <w:rsid w:val="00F80733"/>
    <w:rsid w:val="00F814E0"/>
    <w:rsid w:val="00F816D0"/>
    <w:rsid w:val="00F8196C"/>
    <w:rsid w:val="00F819C9"/>
    <w:rsid w:val="00F81E13"/>
    <w:rsid w:val="00F8228D"/>
    <w:rsid w:val="00F82DB4"/>
    <w:rsid w:val="00F832A8"/>
    <w:rsid w:val="00F854C3"/>
    <w:rsid w:val="00F858B9"/>
    <w:rsid w:val="00F86289"/>
    <w:rsid w:val="00F86584"/>
    <w:rsid w:val="00F86609"/>
    <w:rsid w:val="00F8746A"/>
    <w:rsid w:val="00F878B4"/>
    <w:rsid w:val="00F91823"/>
    <w:rsid w:val="00F91F18"/>
    <w:rsid w:val="00F93088"/>
    <w:rsid w:val="00F935F1"/>
    <w:rsid w:val="00F94838"/>
    <w:rsid w:val="00F94B28"/>
    <w:rsid w:val="00F94DCB"/>
    <w:rsid w:val="00F95A33"/>
    <w:rsid w:val="00F96507"/>
    <w:rsid w:val="00F96F0B"/>
    <w:rsid w:val="00F974A1"/>
    <w:rsid w:val="00F976C4"/>
    <w:rsid w:val="00F97748"/>
    <w:rsid w:val="00F97A8B"/>
    <w:rsid w:val="00FA0200"/>
    <w:rsid w:val="00FA0CD9"/>
    <w:rsid w:val="00FA0FFD"/>
    <w:rsid w:val="00FA1296"/>
    <w:rsid w:val="00FA1412"/>
    <w:rsid w:val="00FA1D51"/>
    <w:rsid w:val="00FA218F"/>
    <w:rsid w:val="00FA2755"/>
    <w:rsid w:val="00FA2822"/>
    <w:rsid w:val="00FA2A15"/>
    <w:rsid w:val="00FA2EEF"/>
    <w:rsid w:val="00FA3DEB"/>
    <w:rsid w:val="00FA4493"/>
    <w:rsid w:val="00FA46AC"/>
    <w:rsid w:val="00FA4764"/>
    <w:rsid w:val="00FA4F2C"/>
    <w:rsid w:val="00FA5A50"/>
    <w:rsid w:val="00FA6326"/>
    <w:rsid w:val="00FA6401"/>
    <w:rsid w:val="00FA6BE9"/>
    <w:rsid w:val="00FA70D7"/>
    <w:rsid w:val="00FA7393"/>
    <w:rsid w:val="00FA7CA8"/>
    <w:rsid w:val="00FB0E37"/>
    <w:rsid w:val="00FB112E"/>
    <w:rsid w:val="00FB18FF"/>
    <w:rsid w:val="00FB1A68"/>
    <w:rsid w:val="00FB1B57"/>
    <w:rsid w:val="00FB1B8F"/>
    <w:rsid w:val="00FB2F82"/>
    <w:rsid w:val="00FB325B"/>
    <w:rsid w:val="00FB3594"/>
    <w:rsid w:val="00FB3826"/>
    <w:rsid w:val="00FB3A70"/>
    <w:rsid w:val="00FB3A87"/>
    <w:rsid w:val="00FB3D97"/>
    <w:rsid w:val="00FB3EA1"/>
    <w:rsid w:val="00FB4077"/>
    <w:rsid w:val="00FB40AD"/>
    <w:rsid w:val="00FB445C"/>
    <w:rsid w:val="00FB4894"/>
    <w:rsid w:val="00FB54F0"/>
    <w:rsid w:val="00FB61C3"/>
    <w:rsid w:val="00FB741E"/>
    <w:rsid w:val="00FB77BF"/>
    <w:rsid w:val="00FB78A7"/>
    <w:rsid w:val="00FB7DAE"/>
    <w:rsid w:val="00FC035F"/>
    <w:rsid w:val="00FC0628"/>
    <w:rsid w:val="00FC0E66"/>
    <w:rsid w:val="00FC178B"/>
    <w:rsid w:val="00FC1875"/>
    <w:rsid w:val="00FC1A46"/>
    <w:rsid w:val="00FC2B27"/>
    <w:rsid w:val="00FC2DCE"/>
    <w:rsid w:val="00FC2ECB"/>
    <w:rsid w:val="00FC2F44"/>
    <w:rsid w:val="00FC30EB"/>
    <w:rsid w:val="00FC3E39"/>
    <w:rsid w:val="00FC43BF"/>
    <w:rsid w:val="00FC4417"/>
    <w:rsid w:val="00FC4540"/>
    <w:rsid w:val="00FC4EDA"/>
    <w:rsid w:val="00FC572E"/>
    <w:rsid w:val="00FC5928"/>
    <w:rsid w:val="00FC613B"/>
    <w:rsid w:val="00FC63A0"/>
    <w:rsid w:val="00FC69F6"/>
    <w:rsid w:val="00FC7140"/>
    <w:rsid w:val="00FC719F"/>
    <w:rsid w:val="00FC71A8"/>
    <w:rsid w:val="00FC7951"/>
    <w:rsid w:val="00FC7CCB"/>
    <w:rsid w:val="00FD01B4"/>
    <w:rsid w:val="00FD0DBA"/>
    <w:rsid w:val="00FD0F43"/>
    <w:rsid w:val="00FD1187"/>
    <w:rsid w:val="00FD1260"/>
    <w:rsid w:val="00FD1A71"/>
    <w:rsid w:val="00FD1A9C"/>
    <w:rsid w:val="00FD1FC8"/>
    <w:rsid w:val="00FD22C0"/>
    <w:rsid w:val="00FD2A1A"/>
    <w:rsid w:val="00FD2B4F"/>
    <w:rsid w:val="00FD2FEE"/>
    <w:rsid w:val="00FD381D"/>
    <w:rsid w:val="00FD39D8"/>
    <w:rsid w:val="00FD3C94"/>
    <w:rsid w:val="00FD3FB8"/>
    <w:rsid w:val="00FD4038"/>
    <w:rsid w:val="00FD431E"/>
    <w:rsid w:val="00FD44E3"/>
    <w:rsid w:val="00FD4858"/>
    <w:rsid w:val="00FD4AF9"/>
    <w:rsid w:val="00FD543B"/>
    <w:rsid w:val="00FD635D"/>
    <w:rsid w:val="00FD68C2"/>
    <w:rsid w:val="00FD6BAE"/>
    <w:rsid w:val="00FD6FBB"/>
    <w:rsid w:val="00FD7296"/>
    <w:rsid w:val="00FD7317"/>
    <w:rsid w:val="00FD74BC"/>
    <w:rsid w:val="00FD768C"/>
    <w:rsid w:val="00FD7F59"/>
    <w:rsid w:val="00FE00E6"/>
    <w:rsid w:val="00FE0176"/>
    <w:rsid w:val="00FE04D6"/>
    <w:rsid w:val="00FE08FC"/>
    <w:rsid w:val="00FE0A89"/>
    <w:rsid w:val="00FE1AF1"/>
    <w:rsid w:val="00FE205F"/>
    <w:rsid w:val="00FE23A1"/>
    <w:rsid w:val="00FE2427"/>
    <w:rsid w:val="00FE24AE"/>
    <w:rsid w:val="00FE3555"/>
    <w:rsid w:val="00FE356F"/>
    <w:rsid w:val="00FE3FFD"/>
    <w:rsid w:val="00FE4788"/>
    <w:rsid w:val="00FE48CD"/>
    <w:rsid w:val="00FE4A36"/>
    <w:rsid w:val="00FE4E79"/>
    <w:rsid w:val="00FE5E03"/>
    <w:rsid w:val="00FE6335"/>
    <w:rsid w:val="00FE64E1"/>
    <w:rsid w:val="00FE6510"/>
    <w:rsid w:val="00FE72BC"/>
    <w:rsid w:val="00FE73E3"/>
    <w:rsid w:val="00FE7FAA"/>
    <w:rsid w:val="00FF0118"/>
    <w:rsid w:val="00FF020C"/>
    <w:rsid w:val="00FF08A4"/>
    <w:rsid w:val="00FF1017"/>
    <w:rsid w:val="00FF15A5"/>
    <w:rsid w:val="00FF1DF6"/>
    <w:rsid w:val="00FF23A0"/>
    <w:rsid w:val="00FF2813"/>
    <w:rsid w:val="00FF3073"/>
    <w:rsid w:val="00FF31D1"/>
    <w:rsid w:val="00FF3F8D"/>
    <w:rsid w:val="00FF3F9C"/>
    <w:rsid w:val="00FF4026"/>
    <w:rsid w:val="00FF4181"/>
    <w:rsid w:val="00FF435F"/>
    <w:rsid w:val="00FF4954"/>
    <w:rsid w:val="00FF4CF8"/>
    <w:rsid w:val="00FF4FC9"/>
    <w:rsid w:val="00FF526F"/>
    <w:rsid w:val="00FF5DA5"/>
    <w:rsid w:val="00FF5EEC"/>
    <w:rsid w:val="00FF5FC5"/>
    <w:rsid w:val="00FF616D"/>
    <w:rsid w:val="00FF6463"/>
    <w:rsid w:val="00FF68C7"/>
    <w:rsid w:val="00FF6E70"/>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BCA1C0CE-39C2-4518-AC39-03CF75AD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138">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0C559AC6-BD1B-4893-B22B-D5BC2DEE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7609</TotalTime>
  <Pages>13</Pages>
  <Words>7412</Words>
  <Characters>40755</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48071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332</cp:revision>
  <cp:lastPrinted>2025-09-23T20:20:00Z</cp:lastPrinted>
  <dcterms:created xsi:type="dcterms:W3CDTF">2025-09-18T18:11:00Z</dcterms:created>
  <dcterms:modified xsi:type="dcterms:W3CDTF">2025-12-11T18:23:00Z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docLang">
    <vt:lpwstr>en</vt:lpwstr>
  </property>
</Properties>
</file>