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FFA3" w14:textId="77777777" w:rsidR="008A7F4A" w:rsidRDefault="008A7F4A" w:rsidP="008A7F4A">
      <w:pPr>
        <w:jc w:val="center"/>
        <w:rPr>
          <w:rFonts w:ascii="Times New Roman" w:hAnsi="Times New Roman" w:cs="Times New Roman"/>
          <w:b/>
          <w:bCs/>
          <w:sz w:val="24"/>
          <w:szCs w:val="24"/>
        </w:rPr>
      </w:pPr>
      <w:r>
        <w:rPr>
          <w:rFonts w:ascii="Times New Roman" w:hAnsi="Times New Roman" w:cs="Times New Roman"/>
          <w:b/>
          <w:bCs/>
          <w:sz w:val="24"/>
          <w:szCs w:val="24"/>
        </w:rPr>
        <w:t>VM-22 PBR: Requirements for Principle-Based Reserves for Non-Variable Annuities</w:t>
      </w:r>
    </w:p>
    <w:p w14:paraId="5535D380" w14:textId="77777777" w:rsidR="008A7F4A" w:rsidRDefault="008A7F4A" w:rsidP="008A7F4A">
      <w:pPr>
        <w:pBdr>
          <w:top w:val="single" w:sz="4" w:space="1" w:color="auto"/>
          <w:left w:val="single" w:sz="4" w:space="4" w:color="auto"/>
          <w:bottom w:val="single" w:sz="4" w:space="1" w:color="auto"/>
          <w:right w:val="single" w:sz="4" w:space="4" w:color="auto"/>
        </w:pBdr>
        <w:rPr>
          <w:rFonts w:ascii="Times New Roman" w:hAnsi="Times New Roman" w:cs="Times New Roman"/>
          <w:color w:val="002060"/>
        </w:rPr>
      </w:pPr>
      <w:r>
        <w:rPr>
          <w:rFonts w:ascii="Times New Roman" w:hAnsi="Times New Roman" w:cs="Times New Roman"/>
          <w:color w:val="002060"/>
          <w:u w:val="single"/>
        </w:rPr>
        <w:t>Drafting Overview</w:t>
      </w:r>
      <w:r>
        <w:rPr>
          <w:rFonts w:ascii="Times New Roman" w:hAnsi="Times New Roman" w:cs="Times New Roman"/>
          <w:color w:val="002060"/>
        </w:rPr>
        <w:t>: This document is the ARCWG-proposed draft Valuation Manual wording for VM-22 PBR for non-variable annuities. The edits reflected in this draft are made in association with the recommendations in the Annuity Reserves Work Group-proposed VM-22 presentation, exposed by the VM-22 Subgroup in October 2020. Each section shows editorial mark-ups compared to existing VM-20 or VM-21 wording, which is included as a draft note at the beginning of each section (with the only exceptions being Sections 1 and 2 that do not contain mark-ups to existing Valuation Manual wording).</w:t>
      </w:r>
    </w:p>
    <w:sdt>
      <w:sdtPr>
        <w:rPr>
          <w:rFonts w:ascii="Times New Roman" w:eastAsiaTheme="minorHAnsi" w:hAnsi="Times New Roman" w:cs="Times New Roman"/>
          <w:color w:val="auto"/>
          <w:sz w:val="22"/>
          <w:szCs w:val="22"/>
        </w:rPr>
        <w:id w:val="1990196742"/>
        <w:docPartObj>
          <w:docPartGallery w:val="Table of Contents"/>
          <w:docPartUnique/>
        </w:docPartObj>
      </w:sdtPr>
      <w:sdtEndPr/>
      <w:sdtContent>
        <w:p w14:paraId="0CFFB3B0" w14:textId="77777777" w:rsidR="008A7F4A" w:rsidRDefault="008A7F4A" w:rsidP="008A7F4A">
          <w:pPr>
            <w:pStyle w:val="TOCHeading"/>
            <w:rPr>
              <w:rFonts w:ascii="Times New Roman" w:hAnsi="Times New Roman" w:cs="Times New Roman"/>
              <w:sz w:val="22"/>
              <w:szCs w:val="22"/>
            </w:rPr>
          </w:pPr>
          <w:r>
            <w:rPr>
              <w:rFonts w:ascii="Times New Roman" w:hAnsi="Times New Roman" w:cs="Times New Roman"/>
              <w:sz w:val="22"/>
              <w:szCs w:val="22"/>
            </w:rPr>
            <w:t>Table of Contents</w:t>
          </w:r>
        </w:p>
        <w:p w14:paraId="489D26C7" w14:textId="77777777" w:rsidR="008A7F4A" w:rsidRDefault="008A7F4A" w:rsidP="008A7F4A">
          <w:pPr>
            <w:pStyle w:val="TOC1"/>
          </w:pPr>
          <w:r>
            <w:fldChar w:fldCharType="begin"/>
          </w:r>
          <w:r>
            <w:instrText xml:space="preserve"> TOC \o "1-3" \h \z \u </w:instrText>
          </w:r>
          <w:r>
            <w:fldChar w:fldCharType="separate"/>
          </w:r>
          <w:hyperlink r:id="rId8" w:anchor="_Toc77242124" w:history="1">
            <w:r>
              <w:rPr>
                <w:rStyle w:val="Hyperlink"/>
              </w:rPr>
              <w:t>Section 1: Background</w:t>
            </w:r>
            <w:r>
              <w:rPr>
                <w:rStyle w:val="Hyperlink"/>
                <w:webHidden/>
              </w:rPr>
              <w:tab/>
            </w:r>
            <w:r>
              <w:rPr>
                <w:rStyle w:val="Hyperlink"/>
              </w:rPr>
              <w:fldChar w:fldCharType="begin"/>
            </w:r>
            <w:r>
              <w:rPr>
                <w:rStyle w:val="Hyperlink"/>
                <w:webHidden/>
              </w:rPr>
              <w:instrText xml:space="preserve"> PAGEREF _Toc77242124 \h </w:instrText>
            </w:r>
            <w:r>
              <w:rPr>
                <w:rStyle w:val="Hyperlink"/>
              </w:rPr>
            </w:r>
            <w:r>
              <w:rPr>
                <w:rStyle w:val="Hyperlink"/>
              </w:rPr>
              <w:fldChar w:fldCharType="separate"/>
            </w:r>
            <w:r>
              <w:rPr>
                <w:rStyle w:val="Hyperlink"/>
                <w:webHidden/>
              </w:rPr>
              <w:t>4</w:t>
            </w:r>
            <w:r>
              <w:rPr>
                <w:rStyle w:val="Hyperlink"/>
              </w:rPr>
              <w:fldChar w:fldCharType="end"/>
            </w:r>
          </w:hyperlink>
        </w:p>
        <w:p w14:paraId="4FE570D7" w14:textId="77777777" w:rsidR="008A7F4A" w:rsidRDefault="00431E1C" w:rsidP="008A7F4A">
          <w:pPr>
            <w:pStyle w:val="TOC2"/>
          </w:pPr>
          <w:hyperlink r:id="rId9" w:anchor="_Toc77242125" w:history="1">
            <w:r w:rsidR="008A7F4A">
              <w:rPr>
                <w:rStyle w:val="Hyperlink"/>
              </w:rPr>
              <w:t>A.</w:t>
            </w:r>
            <w:r w:rsidR="008A7F4A">
              <w:rPr>
                <w:rStyle w:val="Hyperlink"/>
              </w:rPr>
              <w:tab/>
              <w:t>Purpose</w:t>
            </w:r>
            <w:r w:rsidR="008A7F4A">
              <w:rPr>
                <w:rStyle w:val="Hyperlink"/>
                <w:webHidden/>
              </w:rPr>
              <w:tab/>
            </w:r>
            <w:r w:rsidR="008A7F4A">
              <w:rPr>
                <w:rStyle w:val="Hyperlink"/>
              </w:rPr>
              <w:fldChar w:fldCharType="begin"/>
            </w:r>
            <w:r w:rsidR="008A7F4A">
              <w:rPr>
                <w:rStyle w:val="Hyperlink"/>
                <w:webHidden/>
              </w:rPr>
              <w:instrText xml:space="preserve"> PAGEREF _Toc77242125 \h </w:instrText>
            </w:r>
            <w:r w:rsidR="008A7F4A">
              <w:rPr>
                <w:rStyle w:val="Hyperlink"/>
              </w:rPr>
            </w:r>
            <w:r w:rsidR="008A7F4A">
              <w:rPr>
                <w:rStyle w:val="Hyperlink"/>
              </w:rPr>
              <w:fldChar w:fldCharType="separate"/>
            </w:r>
            <w:r w:rsidR="008A7F4A">
              <w:rPr>
                <w:rStyle w:val="Hyperlink"/>
                <w:webHidden/>
              </w:rPr>
              <w:t>4</w:t>
            </w:r>
            <w:r w:rsidR="008A7F4A">
              <w:rPr>
                <w:rStyle w:val="Hyperlink"/>
              </w:rPr>
              <w:fldChar w:fldCharType="end"/>
            </w:r>
          </w:hyperlink>
        </w:p>
        <w:p w14:paraId="3026CC10" w14:textId="77777777" w:rsidR="008A7F4A" w:rsidRDefault="00431E1C" w:rsidP="008A7F4A">
          <w:pPr>
            <w:pStyle w:val="TOC2"/>
          </w:pPr>
          <w:hyperlink r:id="rId10" w:anchor="_Toc77242126" w:history="1">
            <w:r w:rsidR="008A7F4A">
              <w:rPr>
                <w:rStyle w:val="Hyperlink"/>
              </w:rPr>
              <w:t>B.</w:t>
            </w:r>
            <w:r w:rsidR="008A7F4A">
              <w:rPr>
                <w:rStyle w:val="Hyperlink"/>
              </w:rPr>
              <w:tab/>
              <w:t>Principles</w:t>
            </w:r>
            <w:r w:rsidR="008A7F4A">
              <w:rPr>
                <w:rStyle w:val="Hyperlink"/>
                <w:webHidden/>
              </w:rPr>
              <w:tab/>
            </w:r>
            <w:r w:rsidR="008A7F4A">
              <w:rPr>
                <w:rStyle w:val="Hyperlink"/>
              </w:rPr>
              <w:fldChar w:fldCharType="begin"/>
            </w:r>
            <w:r w:rsidR="008A7F4A">
              <w:rPr>
                <w:rStyle w:val="Hyperlink"/>
                <w:webHidden/>
              </w:rPr>
              <w:instrText xml:space="preserve"> PAGEREF _Toc77242126 \h </w:instrText>
            </w:r>
            <w:r w:rsidR="008A7F4A">
              <w:rPr>
                <w:rStyle w:val="Hyperlink"/>
              </w:rPr>
            </w:r>
            <w:r w:rsidR="008A7F4A">
              <w:rPr>
                <w:rStyle w:val="Hyperlink"/>
              </w:rPr>
              <w:fldChar w:fldCharType="separate"/>
            </w:r>
            <w:r w:rsidR="008A7F4A">
              <w:rPr>
                <w:rStyle w:val="Hyperlink"/>
                <w:webHidden/>
              </w:rPr>
              <w:t>4</w:t>
            </w:r>
            <w:r w:rsidR="008A7F4A">
              <w:rPr>
                <w:rStyle w:val="Hyperlink"/>
              </w:rPr>
              <w:fldChar w:fldCharType="end"/>
            </w:r>
          </w:hyperlink>
        </w:p>
        <w:p w14:paraId="5B6F4120" w14:textId="77777777" w:rsidR="008A7F4A" w:rsidRDefault="00431E1C" w:rsidP="008A7F4A">
          <w:pPr>
            <w:pStyle w:val="TOC2"/>
          </w:pPr>
          <w:hyperlink r:id="rId11" w:anchor="_Toc77242127" w:history="1">
            <w:r w:rsidR="008A7F4A">
              <w:rPr>
                <w:rStyle w:val="Hyperlink"/>
              </w:rPr>
              <w:t>C.</w:t>
            </w:r>
            <w:r w:rsidR="008A7F4A">
              <w:rPr>
                <w:rStyle w:val="Hyperlink"/>
              </w:rPr>
              <w:tab/>
              <w:t>Risks Reflected</w:t>
            </w:r>
            <w:r w:rsidR="008A7F4A">
              <w:rPr>
                <w:rStyle w:val="Hyperlink"/>
                <w:webHidden/>
              </w:rPr>
              <w:tab/>
            </w:r>
            <w:r w:rsidR="008A7F4A">
              <w:rPr>
                <w:rStyle w:val="Hyperlink"/>
              </w:rPr>
              <w:fldChar w:fldCharType="begin"/>
            </w:r>
            <w:r w:rsidR="008A7F4A">
              <w:rPr>
                <w:rStyle w:val="Hyperlink"/>
                <w:webHidden/>
              </w:rPr>
              <w:instrText xml:space="preserve"> PAGEREF _Toc77242127 \h </w:instrText>
            </w:r>
            <w:r w:rsidR="008A7F4A">
              <w:rPr>
                <w:rStyle w:val="Hyperlink"/>
              </w:rPr>
            </w:r>
            <w:r w:rsidR="008A7F4A">
              <w:rPr>
                <w:rStyle w:val="Hyperlink"/>
              </w:rPr>
              <w:fldChar w:fldCharType="separate"/>
            </w:r>
            <w:r w:rsidR="008A7F4A">
              <w:rPr>
                <w:rStyle w:val="Hyperlink"/>
                <w:webHidden/>
              </w:rPr>
              <w:t>5</w:t>
            </w:r>
            <w:r w:rsidR="008A7F4A">
              <w:rPr>
                <w:rStyle w:val="Hyperlink"/>
              </w:rPr>
              <w:fldChar w:fldCharType="end"/>
            </w:r>
          </w:hyperlink>
        </w:p>
        <w:p w14:paraId="5622551F" w14:textId="77777777" w:rsidR="008A7F4A" w:rsidRDefault="00431E1C" w:rsidP="008A7F4A">
          <w:pPr>
            <w:pStyle w:val="TOC2"/>
          </w:pPr>
          <w:hyperlink r:id="rId12" w:anchor="_Toc77242128" w:history="1">
            <w:r w:rsidR="008A7F4A">
              <w:rPr>
                <w:rStyle w:val="Hyperlink"/>
              </w:rPr>
              <w:t>D.</w:t>
            </w:r>
            <w:r w:rsidR="008A7F4A">
              <w:rPr>
                <w:rStyle w:val="Hyperlink"/>
              </w:rPr>
              <w:tab/>
              <w:t>Specific Definitions for VM-22</w:t>
            </w:r>
            <w:r w:rsidR="008A7F4A">
              <w:rPr>
                <w:rStyle w:val="Hyperlink"/>
                <w:webHidden/>
              </w:rPr>
              <w:tab/>
            </w:r>
            <w:r w:rsidR="008A7F4A">
              <w:rPr>
                <w:rStyle w:val="Hyperlink"/>
              </w:rPr>
              <w:fldChar w:fldCharType="begin"/>
            </w:r>
            <w:r w:rsidR="008A7F4A">
              <w:rPr>
                <w:rStyle w:val="Hyperlink"/>
                <w:webHidden/>
              </w:rPr>
              <w:instrText xml:space="preserve"> PAGEREF _Toc77242128 \h </w:instrText>
            </w:r>
            <w:r w:rsidR="008A7F4A">
              <w:rPr>
                <w:rStyle w:val="Hyperlink"/>
              </w:rPr>
            </w:r>
            <w:r w:rsidR="008A7F4A">
              <w:rPr>
                <w:rStyle w:val="Hyperlink"/>
              </w:rPr>
              <w:fldChar w:fldCharType="separate"/>
            </w:r>
            <w:r w:rsidR="008A7F4A">
              <w:rPr>
                <w:rStyle w:val="Hyperlink"/>
                <w:webHidden/>
              </w:rPr>
              <w:t>7</w:t>
            </w:r>
            <w:r w:rsidR="008A7F4A">
              <w:rPr>
                <w:rStyle w:val="Hyperlink"/>
              </w:rPr>
              <w:fldChar w:fldCharType="end"/>
            </w:r>
          </w:hyperlink>
        </w:p>
        <w:p w14:paraId="7E2860B2" w14:textId="77777777" w:rsidR="008A7F4A" w:rsidRDefault="00431E1C" w:rsidP="008A7F4A">
          <w:pPr>
            <w:pStyle w:val="TOC1"/>
          </w:pPr>
          <w:hyperlink r:id="rId13" w:anchor="_Toc77242129" w:history="1">
            <w:r w:rsidR="008A7F4A">
              <w:rPr>
                <w:rStyle w:val="Hyperlink"/>
              </w:rPr>
              <w:t>Section 2:  Scope and Effective Date</w:t>
            </w:r>
            <w:r w:rsidR="008A7F4A">
              <w:rPr>
                <w:rStyle w:val="Hyperlink"/>
                <w:webHidden/>
              </w:rPr>
              <w:tab/>
            </w:r>
            <w:r w:rsidR="008A7F4A">
              <w:rPr>
                <w:rStyle w:val="Hyperlink"/>
              </w:rPr>
              <w:fldChar w:fldCharType="begin"/>
            </w:r>
            <w:r w:rsidR="008A7F4A">
              <w:rPr>
                <w:rStyle w:val="Hyperlink"/>
                <w:webHidden/>
              </w:rPr>
              <w:instrText xml:space="preserve"> PAGEREF _Toc77242129 \h </w:instrText>
            </w:r>
            <w:r w:rsidR="008A7F4A">
              <w:rPr>
                <w:rStyle w:val="Hyperlink"/>
              </w:rPr>
            </w:r>
            <w:r w:rsidR="008A7F4A">
              <w:rPr>
                <w:rStyle w:val="Hyperlink"/>
              </w:rPr>
              <w:fldChar w:fldCharType="separate"/>
            </w:r>
            <w:r w:rsidR="008A7F4A">
              <w:rPr>
                <w:rStyle w:val="Hyperlink"/>
                <w:webHidden/>
              </w:rPr>
              <w:t>11</w:t>
            </w:r>
            <w:r w:rsidR="008A7F4A">
              <w:rPr>
                <w:rStyle w:val="Hyperlink"/>
              </w:rPr>
              <w:fldChar w:fldCharType="end"/>
            </w:r>
          </w:hyperlink>
        </w:p>
        <w:p w14:paraId="6E129614" w14:textId="77777777" w:rsidR="008A7F4A" w:rsidRDefault="00431E1C" w:rsidP="008A7F4A">
          <w:pPr>
            <w:pStyle w:val="TOC2"/>
          </w:pPr>
          <w:hyperlink r:id="rId14" w:anchor="_Toc77242130" w:history="1">
            <w:r w:rsidR="008A7F4A">
              <w:rPr>
                <w:rStyle w:val="Hyperlink"/>
              </w:rPr>
              <w:t>A.</w:t>
            </w:r>
            <w:r w:rsidR="008A7F4A">
              <w:rPr>
                <w:rStyle w:val="Hyperlink"/>
              </w:rPr>
              <w:tab/>
              <w:t>Scope</w:t>
            </w:r>
            <w:r w:rsidR="008A7F4A">
              <w:rPr>
                <w:rStyle w:val="Hyperlink"/>
                <w:webHidden/>
              </w:rPr>
              <w:tab/>
            </w:r>
            <w:r w:rsidR="008A7F4A">
              <w:rPr>
                <w:rStyle w:val="Hyperlink"/>
              </w:rPr>
              <w:fldChar w:fldCharType="begin"/>
            </w:r>
            <w:r w:rsidR="008A7F4A">
              <w:rPr>
                <w:rStyle w:val="Hyperlink"/>
                <w:webHidden/>
              </w:rPr>
              <w:instrText xml:space="preserve"> PAGEREF _Toc77242130 \h </w:instrText>
            </w:r>
            <w:r w:rsidR="008A7F4A">
              <w:rPr>
                <w:rStyle w:val="Hyperlink"/>
              </w:rPr>
            </w:r>
            <w:r w:rsidR="008A7F4A">
              <w:rPr>
                <w:rStyle w:val="Hyperlink"/>
              </w:rPr>
              <w:fldChar w:fldCharType="separate"/>
            </w:r>
            <w:r w:rsidR="008A7F4A">
              <w:rPr>
                <w:rStyle w:val="Hyperlink"/>
                <w:webHidden/>
              </w:rPr>
              <w:t>11</w:t>
            </w:r>
            <w:r w:rsidR="008A7F4A">
              <w:rPr>
                <w:rStyle w:val="Hyperlink"/>
              </w:rPr>
              <w:fldChar w:fldCharType="end"/>
            </w:r>
          </w:hyperlink>
        </w:p>
        <w:p w14:paraId="5A148290" w14:textId="77777777" w:rsidR="008A7F4A" w:rsidRDefault="00431E1C" w:rsidP="008A7F4A">
          <w:pPr>
            <w:pStyle w:val="TOC2"/>
          </w:pPr>
          <w:hyperlink r:id="rId15" w:anchor="_Toc77242131" w:history="1">
            <w:r w:rsidR="008A7F4A">
              <w:rPr>
                <w:rStyle w:val="Hyperlink"/>
              </w:rPr>
              <w:t>B.</w:t>
            </w:r>
            <w:r w:rsidR="008A7F4A">
              <w:rPr>
                <w:rStyle w:val="Hyperlink"/>
              </w:rPr>
              <w:tab/>
              <w:t>Effective Date &amp; Transition</w:t>
            </w:r>
            <w:r w:rsidR="008A7F4A">
              <w:rPr>
                <w:rStyle w:val="Hyperlink"/>
                <w:webHidden/>
              </w:rPr>
              <w:tab/>
            </w:r>
            <w:r w:rsidR="008A7F4A">
              <w:rPr>
                <w:rStyle w:val="Hyperlink"/>
              </w:rPr>
              <w:fldChar w:fldCharType="begin"/>
            </w:r>
            <w:r w:rsidR="008A7F4A">
              <w:rPr>
                <w:rStyle w:val="Hyperlink"/>
                <w:webHidden/>
              </w:rPr>
              <w:instrText xml:space="preserve"> PAGEREF _Toc77242131 \h </w:instrText>
            </w:r>
            <w:r w:rsidR="008A7F4A">
              <w:rPr>
                <w:rStyle w:val="Hyperlink"/>
              </w:rPr>
            </w:r>
            <w:r w:rsidR="008A7F4A">
              <w:rPr>
                <w:rStyle w:val="Hyperlink"/>
              </w:rPr>
              <w:fldChar w:fldCharType="separate"/>
            </w:r>
            <w:r w:rsidR="008A7F4A">
              <w:rPr>
                <w:rStyle w:val="Hyperlink"/>
                <w:webHidden/>
              </w:rPr>
              <w:t>11</w:t>
            </w:r>
            <w:r w:rsidR="008A7F4A">
              <w:rPr>
                <w:rStyle w:val="Hyperlink"/>
              </w:rPr>
              <w:fldChar w:fldCharType="end"/>
            </w:r>
          </w:hyperlink>
        </w:p>
        <w:p w14:paraId="5FE1AD8B" w14:textId="77777777" w:rsidR="008A7F4A" w:rsidRDefault="00431E1C" w:rsidP="008A7F4A">
          <w:pPr>
            <w:pStyle w:val="TOC1"/>
          </w:pPr>
          <w:hyperlink r:id="rId16" w:anchor="_Toc77242132" w:history="1">
            <w:r w:rsidR="008A7F4A">
              <w:rPr>
                <w:rStyle w:val="Hyperlink"/>
              </w:rPr>
              <w:t>Section 3: Reserve Methodology</w:t>
            </w:r>
            <w:r w:rsidR="008A7F4A">
              <w:rPr>
                <w:rStyle w:val="Hyperlink"/>
                <w:webHidden/>
              </w:rPr>
              <w:tab/>
            </w:r>
            <w:r w:rsidR="008A7F4A">
              <w:rPr>
                <w:rStyle w:val="Hyperlink"/>
              </w:rPr>
              <w:fldChar w:fldCharType="begin"/>
            </w:r>
            <w:r w:rsidR="008A7F4A">
              <w:rPr>
                <w:rStyle w:val="Hyperlink"/>
                <w:webHidden/>
              </w:rPr>
              <w:instrText xml:space="preserve"> PAGEREF _Toc77242132 \h </w:instrText>
            </w:r>
            <w:r w:rsidR="008A7F4A">
              <w:rPr>
                <w:rStyle w:val="Hyperlink"/>
              </w:rPr>
            </w:r>
            <w:r w:rsidR="008A7F4A">
              <w:rPr>
                <w:rStyle w:val="Hyperlink"/>
              </w:rPr>
              <w:fldChar w:fldCharType="separate"/>
            </w:r>
            <w:r w:rsidR="008A7F4A">
              <w:rPr>
                <w:rStyle w:val="Hyperlink"/>
                <w:webHidden/>
              </w:rPr>
              <w:t>13</w:t>
            </w:r>
            <w:r w:rsidR="008A7F4A">
              <w:rPr>
                <w:rStyle w:val="Hyperlink"/>
              </w:rPr>
              <w:fldChar w:fldCharType="end"/>
            </w:r>
          </w:hyperlink>
        </w:p>
        <w:p w14:paraId="6FCBA887" w14:textId="77777777" w:rsidR="008A7F4A" w:rsidRDefault="00431E1C" w:rsidP="008A7F4A">
          <w:pPr>
            <w:pStyle w:val="TOC2"/>
          </w:pPr>
          <w:hyperlink r:id="rId17" w:anchor="_Toc77242133" w:history="1">
            <w:r w:rsidR="008A7F4A">
              <w:rPr>
                <w:rStyle w:val="Hyperlink"/>
              </w:rPr>
              <w:t>A. Aggregate Reserve</w:t>
            </w:r>
            <w:r w:rsidR="008A7F4A">
              <w:rPr>
                <w:rStyle w:val="Hyperlink"/>
                <w:webHidden/>
              </w:rPr>
              <w:tab/>
            </w:r>
            <w:r w:rsidR="008A7F4A">
              <w:rPr>
                <w:rStyle w:val="Hyperlink"/>
              </w:rPr>
              <w:fldChar w:fldCharType="begin"/>
            </w:r>
            <w:r w:rsidR="008A7F4A">
              <w:rPr>
                <w:rStyle w:val="Hyperlink"/>
                <w:webHidden/>
              </w:rPr>
              <w:instrText xml:space="preserve"> PAGEREF _Toc77242133 \h </w:instrText>
            </w:r>
            <w:r w:rsidR="008A7F4A">
              <w:rPr>
                <w:rStyle w:val="Hyperlink"/>
              </w:rPr>
            </w:r>
            <w:r w:rsidR="008A7F4A">
              <w:rPr>
                <w:rStyle w:val="Hyperlink"/>
              </w:rPr>
              <w:fldChar w:fldCharType="separate"/>
            </w:r>
            <w:r w:rsidR="008A7F4A">
              <w:rPr>
                <w:rStyle w:val="Hyperlink"/>
                <w:webHidden/>
              </w:rPr>
              <w:t>13</w:t>
            </w:r>
            <w:r w:rsidR="008A7F4A">
              <w:rPr>
                <w:rStyle w:val="Hyperlink"/>
              </w:rPr>
              <w:fldChar w:fldCharType="end"/>
            </w:r>
          </w:hyperlink>
        </w:p>
        <w:p w14:paraId="730D269F" w14:textId="77777777" w:rsidR="008A7F4A" w:rsidRDefault="00431E1C" w:rsidP="008A7F4A">
          <w:pPr>
            <w:pStyle w:val="TOC2"/>
          </w:pPr>
          <w:hyperlink r:id="rId18" w:anchor="_Toc77242134" w:history="1">
            <w:r w:rsidR="008A7F4A">
              <w:rPr>
                <w:rStyle w:val="Hyperlink"/>
              </w:rPr>
              <w:t>B. Impact of Reinsurance Ceded</w:t>
            </w:r>
            <w:r w:rsidR="008A7F4A">
              <w:rPr>
                <w:rStyle w:val="Hyperlink"/>
                <w:webHidden/>
              </w:rPr>
              <w:tab/>
            </w:r>
            <w:r w:rsidR="008A7F4A">
              <w:rPr>
                <w:rStyle w:val="Hyperlink"/>
              </w:rPr>
              <w:fldChar w:fldCharType="begin"/>
            </w:r>
            <w:r w:rsidR="008A7F4A">
              <w:rPr>
                <w:rStyle w:val="Hyperlink"/>
                <w:webHidden/>
              </w:rPr>
              <w:instrText xml:space="preserve"> PAGEREF _Toc77242134 \h </w:instrText>
            </w:r>
            <w:r w:rsidR="008A7F4A">
              <w:rPr>
                <w:rStyle w:val="Hyperlink"/>
              </w:rPr>
            </w:r>
            <w:r w:rsidR="008A7F4A">
              <w:rPr>
                <w:rStyle w:val="Hyperlink"/>
              </w:rPr>
              <w:fldChar w:fldCharType="separate"/>
            </w:r>
            <w:r w:rsidR="008A7F4A">
              <w:rPr>
                <w:rStyle w:val="Hyperlink"/>
                <w:webHidden/>
              </w:rPr>
              <w:t>13</w:t>
            </w:r>
            <w:r w:rsidR="008A7F4A">
              <w:rPr>
                <w:rStyle w:val="Hyperlink"/>
              </w:rPr>
              <w:fldChar w:fldCharType="end"/>
            </w:r>
          </w:hyperlink>
        </w:p>
        <w:p w14:paraId="5A8F8B09" w14:textId="77777777" w:rsidR="008A7F4A" w:rsidRDefault="00431E1C" w:rsidP="008A7F4A">
          <w:pPr>
            <w:pStyle w:val="TOC2"/>
          </w:pPr>
          <w:hyperlink r:id="rId19" w:anchor="_Toc77242135" w:history="1">
            <w:r w:rsidR="008A7F4A">
              <w:rPr>
                <w:rStyle w:val="Hyperlink"/>
              </w:rPr>
              <w:t>C. To Be Determined</w:t>
            </w:r>
            <w:r w:rsidR="008A7F4A">
              <w:rPr>
                <w:rStyle w:val="Hyperlink"/>
                <w:webHidden/>
              </w:rPr>
              <w:tab/>
            </w:r>
            <w:r w:rsidR="008A7F4A">
              <w:rPr>
                <w:rStyle w:val="Hyperlink"/>
              </w:rPr>
              <w:fldChar w:fldCharType="begin"/>
            </w:r>
            <w:r w:rsidR="008A7F4A">
              <w:rPr>
                <w:rStyle w:val="Hyperlink"/>
                <w:webHidden/>
              </w:rPr>
              <w:instrText xml:space="preserve"> PAGEREF _Toc77242135 \h </w:instrText>
            </w:r>
            <w:r w:rsidR="008A7F4A">
              <w:rPr>
                <w:rStyle w:val="Hyperlink"/>
              </w:rPr>
            </w:r>
            <w:r w:rsidR="008A7F4A">
              <w:rPr>
                <w:rStyle w:val="Hyperlink"/>
              </w:rPr>
              <w:fldChar w:fldCharType="separate"/>
            </w:r>
            <w:r w:rsidR="008A7F4A">
              <w:rPr>
                <w:rStyle w:val="Hyperlink"/>
                <w:webHidden/>
              </w:rPr>
              <w:t>13</w:t>
            </w:r>
            <w:r w:rsidR="008A7F4A">
              <w:rPr>
                <w:rStyle w:val="Hyperlink"/>
              </w:rPr>
              <w:fldChar w:fldCharType="end"/>
            </w:r>
          </w:hyperlink>
        </w:p>
        <w:p w14:paraId="4FD5BA0D" w14:textId="77777777" w:rsidR="008A7F4A" w:rsidRDefault="00431E1C" w:rsidP="008A7F4A">
          <w:pPr>
            <w:pStyle w:val="TOC2"/>
          </w:pPr>
          <w:hyperlink r:id="rId20" w:anchor="_Toc77242136" w:history="1">
            <w:r w:rsidR="008A7F4A">
              <w:rPr>
                <w:rStyle w:val="Hyperlink"/>
              </w:rPr>
              <w:t>D. The Stochastic Reserve</w:t>
            </w:r>
            <w:r w:rsidR="008A7F4A">
              <w:rPr>
                <w:rStyle w:val="Hyperlink"/>
                <w:webHidden/>
              </w:rPr>
              <w:tab/>
            </w:r>
            <w:r w:rsidR="008A7F4A">
              <w:rPr>
                <w:rStyle w:val="Hyperlink"/>
              </w:rPr>
              <w:fldChar w:fldCharType="begin"/>
            </w:r>
            <w:r w:rsidR="008A7F4A">
              <w:rPr>
                <w:rStyle w:val="Hyperlink"/>
                <w:webHidden/>
              </w:rPr>
              <w:instrText xml:space="preserve"> PAGEREF _Toc77242136 \h </w:instrText>
            </w:r>
            <w:r w:rsidR="008A7F4A">
              <w:rPr>
                <w:rStyle w:val="Hyperlink"/>
              </w:rPr>
            </w:r>
            <w:r w:rsidR="008A7F4A">
              <w:rPr>
                <w:rStyle w:val="Hyperlink"/>
              </w:rPr>
              <w:fldChar w:fldCharType="separate"/>
            </w:r>
            <w:r w:rsidR="008A7F4A">
              <w:rPr>
                <w:rStyle w:val="Hyperlink"/>
                <w:webHidden/>
              </w:rPr>
              <w:t>13</w:t>
            </w:r>
            <w:r w:rsidR="008A7F4A">
              <w:rPr>
                <w:rStyle w:val="Hyperlink"/>
              </w:rPr>
              <w:fldChar w:fldCharType="end"/>
            </w:r>
          </w:hyperlink>
        </w:p>
        <w:p w14:paraId="554F6022" w14:textId="77777777" w:rsidR="008A7F4A" w:rsidRDefault="00431E1C" w:rsidP="008A7F4A">
          <w:pPr>
            <w:pStyle w:val="TOC2"/>
          </w:pPr>
          <w:hyperlink r:id="rId21" w:anchor="_Toc77242137" w:history="1">
            <w:r w:rsidR="008A7F4A">
              <w:rPr>
                <w:rStyle w:val="Hyperlink"/>
              </w:rPr>
              <w:t>E. Exclusion Test</w:t>
            </w:r>
            <w:r w:rsidR="008A7F4A">
              <w:rPr>
                <w:rStyle w:val="Hyperlink"/>
                <w:webHidden/>
              </w:rPr>
              <w:tab/>
            </w:r>
            <w:r w:rsidR="008A7F4A">
              <w:rPr>
                <w:rStyle w:val="Hyperlink"/>
              </w:rPr>
              <w:fldChar w:fldCharType="begin"/>
            </w:r>
            <w:r w:rsidR="008A7F4A">
              <w:rPr>
                <w:rStyle w:val="Hyperlink"/>
                <w:webHidden/>
              </w:rPr>
              <w:instrText xml:space="preserve"> PAGEREF _Toc77242137 \h </w:instrText>
            </w:r>
            <w:r w:rsidR="008A7F4A">
              <w:rPr>
                <w:rStyle w:val="Hyperlink"/>
              </w:rPr>
            </w:r>
            <w:r w:rsidR="008A7F4A">
              <w:rPr>
                <w:rStyle w:val="Hyperlink"/>
              </w:rPr>
              <w:fldChar w:fldCharType="separate"/>
            </w:r>
            <w:r w:rsidR="008A7F4A">
              <w:rPr>
                <w:rStyle w:val="Hyperlink"/>
                <w:webHidden/>
              </w:rPr>
              <w:t>14</w:t>
            </w:r>
            <w:r w:rsidR="008A7F4A">
              <w:rPr>
                <w:rStyle w:val="Hyperlink"/>
              </w:rPr>
              <w:fldChar w:fldCharType="end"/>
            </w:r>
          </w:hyperlink>
        </w:p>
        <w:p w14:paraId="6127E944" w14:textId="77777777" w:rsidR="008A7F4A" w:rsidRDefault="00431E1C" w:rsidP="008A7F4A">
          <w:pPr>
            <w:pStyle w:val="TOC2"/>
          </w:pPr>
          <w:hyperlink r:id="rId22" w:anchor="_Toc77242138" w:history="1">
            <w:r w:rsidR="008A7F4A">
              <w:rPr>
                <w:rStyle w:val="Hyperlink"/>
              </w:rPr>
              <w:t>F. Allocation of the Aggregate Reserve to Contracts</w:t>
            </w:r>
            <w:r w:rsidR="008A7F4A">
              <w:rPr>
                <w:rStyle w:val="Hyperlink"/>
                <w:webHidden/>
              </w:rPr>
              <w:tab/>
            </w:r>
            <w:r w:rsidR="008A7F4A">
              <w:rPr>
                <w:rStyle w:val="Hyperlink"/>
              </w:rPr>
              <w:fldChar w:fldCharType="begin"/>
            </w:r>
            <w:r w:rsidR="008A7F4A">
              <w:rPr>
                <w:rStyle w:val="Hyperlink"/>
                <w:webHidden/>
              </w:rPr>
              <w:instrText xml:space="preserve"> PAGEREF _Toc77242138 \h </w:instrText>
            </w:r>
            <w:r w:rsidR="008A7F4A">
              <w:rPr>
                <w:rStyle w:val="Hyperlink"/>
              </w:rPr>
            </w:r>
            <w:r w:rsidR="008A7F4A">
              <w:rPr>
                <w:rStyle w:val="Hyperlink"/>
              </w:rPr>
              <w:fldChar w:fldCharType="separate"/>
            </w:r>
            <w:r w:rsidR="008A7F4A">
              <w:rPr>
                <w:rStyle w:val="Hyperlink"/>
                <w:webHidden/>
              </w:rPr>
              <w:t>14</w:t>
            </w:r>
            <w:r w:rsidR="008A7F4A">
              <w:rPr>
                <w:rStyle w:val="Hyperlink"/>
              </w:rPr>
              <w:fldChar w:fldCharType="end"/>
            </w:r>
          </w:hyperlink>
        </w:p>
        <w:p w14:paraId="532CCBA4" w14:textId="77777777" w:rsidR="008A7F4A" w:rsidRDefault="00431E1C" w:rsidP="008A7F4A">
          <w:pPr>
            <w:pStyle w:val="TOC2"/>
          </w:pPr>
          <w:hyperlink r:id="rId23" w:anchor="_Toc77242139" w:history="1">
            <w:r w:rsidR="008A7F4A">
              <w:rPr>
                <w:rStyle w:val="Hyperlink"/>
              </w:rPr>
              <w:t>G.</w:t>
            </w:r>
            <w:r w:rsidR="008A7F4A">
              <w:rPr>
                <w:rStyle w:val="Hyperlink"/>
              </w:rPr>
              <w:tab/>
              <w:t>Prudent Estimate Assumptions:</w:t>
            </w:r>
            <w:r w:rsidR="008A7F4A">
              <w:rPr>
                <w:rStyle w:val="Hyperlink"/>
                <w:webHidden/>
              </w:rPr>
              <w:tab/>
            </w:r>
            <w:r w:rsidR="008A7F4A">
              <w:rPr>
                <w:rStyle w:val="Hyperlink"/>
              </w:rPr>
              <w:fldChar w:fldCharType="begin"/>
            </w:r>
            <w:r w:rsidR="008A7F4A">
              <w:rPr>
                <w:rStyle w:val="Hyperlink"/>
                <w:webHidden/>
              </w:rPr>
              <w:instrText xml:space="preserve"> PAGEREF _Toc77242139 \h </w:instrText>
            </w:r>
            <w:r w:rsidR="008A7F4A">
              <w:rPr>
                <w:rStyle w:val="Hyperlink"/>
              </w:rPr>
            </w:r>
            <w:r w:rsidR="008A7F4A">
              <w:rPr>
                <w:rStyle w:val="Hyperlink"/>
              </w:rPr>
              <w:fldChar w:fldCharType="separate"/>
            </w:r>
            <w:r w:rsidR="008A7F4A">
              <w:rPr>
                <w:rStyle w:val="Hyperlink"/>
                <w:webHidden/>
              </w:rPr>
              <w:t>14</w:t>
            </w:r>
            <w:r w:rsidR="008A7F4A">
              <w:rPr>
                <w:rStyle w:val="Hyperlink"/>
              </w:rPr>
              <w:fldChar w:fldCharType="end"/>
            </w:r>
          </w:hyperlink>
        </w:p>
        <w:p w14:paraId="788D28AB" w14:textId="77777777" w:rsidR="008A7F4A" w:rsidRDefault="00431E1C" w:rsidP="008A7F4A">
          <w:pPr>
            <w:pStyle w:val="TOC1"/>
          </w:pPr>
          <w:hyperlink r:id="rId24" w:anchor="_Toc77242140" w:history="1">
            <w:r w:rsidR="008A7F4A">
              <w:rPr>
                <w:rStyle w:val="Hyperlink"/>
              </w:rPr>
              <w:t>Section 4: Determination of Stochastic Reserve</w:t>
            </w:r>
            <w:r w:rsidR="008A7F4A">
              <w:rPr>
                <w:rStyle w:val="Hyperlink"/>
                <w:webHidden/>
              </w:rPr>
              <w:tab/>
            </w:r>
            <w:r w:rsidR="008A7F4A">
              <w:rPr>
                <w:rStyle w:val="Hyperlink"/>
              </w:rPr>
              <w:fldChar w:fldCharType="begin"/>
            </w:r>
            <w:r w:rsidR="008A7F4A">
              <w:rPr>
                <w:rStyle w:val="Hyperlink"/>
                <w:webHidden/>
              </w:rPr>
              <w:instrText xml:space="preserve"> PAGEREF _Toc77242140 \h </w:instrText>
            </w:r>
            <w:r w:rsidR="008A7F4A">
              <w:rPr>
                <w:rStyle w:val="Hyperlink"/>
              </w:rPr>
            </w:r>
            <w:r w:rsidR="008A7F4A">
              <w:rPr>
                <w:rStyle w:val="Hyperlink"/>
              </w:rPr>
              <w:fldChar w:fldCharType="separate"/>
            </w:r>
            <w:r w:rsidR="008A7F4A">
              <w:rPr>
                <w:rStyle w:val="Hyperlink"/>
                <w:webHidden/>
              </w:rPr>
              <w:t>16</w:t>
            </w:r>
            <w:r w:rsidR="008A7F4A">
              <w:rPr>
                <w:rStyle w:val="Hyperlink"/>
              </w:rPr>
              <w:fldChar w:fldCharType="end"/>
            </w:r>
          </w:hyperlink>
        </w:p>
        <w:p w14:paraId="5A5E1D02" w14:textId="77777777" w:rsidR="008A7F4A" w:rsidRDefault="00431E1C" w:rsidP="008A7F4A">
          <w:pPr>
            <w:pStyle w:val="TOC2"/>
          </w:pPr>
          <w:hyperlink r:id="rId25" w:anchor="_Toc77242141" w:history="1">
            <w:r w:rsidR="008A7F4A">
              <w:rPr>
                <w:rStyle w:val="Hyperlink"/>
              </w:rPr>
              <w:t>A.</w:t>
            </w:r>
            <w:r w:rsidR="008A7F4A">
              <w:rPr>
                <w:rStyle w:val="Hyperlink"/>
              </w:rPr>
              <w:tab/>
              <w:t>Projection of Accumulated Deficiencies</w:t>
            </w:r>
            <w:r w:rsidR="008A7F4A">
              <w:rPr>
                <w:rStyle w:val="Hyperlink"/>
                <w:webHidden/>
              </w:rPr>
              <w:tab/>
            </w:r>
            <w:r w:rsidR="008A7F4A">
              <w:rPr>
                <w:rStyle w:val="Hyperlink"/>
              </w:rPr>
              <w:fldChar w:fldCharType="begin"/>
            </w:r>
            <w:r w:rsidR="008A7F4A">
              <w:rPr>
                <w:rStyle w:val="Hyperlink"/>
                <w:webHidden/>
              </w:rPr>
              <w:instrText xml:space="preserve"> PAGEREF _Toc77242141 \h </w:instrText>
            </w:r>
            <w:r w:rsidR="008A7F4A">
              <w:rPr>
                <w:rStyle w:val="Hyperlink"/>
              </w:rPr>
            </w:r>
            <w:r w:rsidR="008A7F4A">
              <w:rPr>
                <w:rStyle w:val="Hyperlink"/>
              </w:rPr>
              <w:fldChar w:fldCharType="separate"/>
            </w:r>
            <w:r w:rsidR="008A7F4A">
              <w:rPr>
                <w:rStyle w:val="Hyperlink"/>
                <w:webHidden/>
              </w:rPr>
              <w:t>16</w:t>
            </w:r>
            <w:r w:rsidR="008A7F4A">
              <w:rPr>
                <w:rStyle w:val="Hyperlink"/>
              </w:rPr>
              <w:fldChar w:fldCharType="end"/>
            </w:r>
          </w:hyperlink>
        </w:p>
        <w:p w14:paraId="678BBD5A" w14:textId="77777777" w:rsidR="008A7F4A" w:rsidRDefault="00431E1C" w:rsidP="008A7F4A">
          <w:pPr>
            <w:pStyle w:val="TOC2"/>
          </w:pPr>
          <w:hyperlink r:id="rId26" w:anchor="_Toc77242142" w:history="1">
            <w:r w:rsidR="008A7F4A">
              <w:rPr>
                <w:rStyle w:val="Hyperlink"/>
              </w:rPr>
              <w:t>B.</w:t>
            </w:r>
            <w:r w:rsidR="008A7F4A">
              <w:rPr>
                <w:rStyle w:val="Hyperlink"/>
              </w:rPr>
              <w:tab/>
              <w:t>Determination of Scenario Reserve</w:t>
            </w:r>
            <w:r w:rsidR="008A7F4A">
              <w:rPr>
                <w:rStyle w:val="Hyperlink"/>
                <w:webHidden/>
              </w:rPr>
              <w:tab/>
            </w:r>
            <w:r w:rsidR="008A7F4A">
              <w:rPr>
                <w:rStyle w:val="Hyperlink"/>
              </w:rPr>
              <w:fldChar w:fldCharType="begin"/>
            </w:r>
            <w:r w:rsidR="008A7F4A">
              <w:rPr>
                <w:rStyle w:val="Hyperlink"/>
                <w:webHidden/>
              </w:rPr>
              <w:instrText xml:space="preserve"> PAGEREF _Toc77242142 \h </w:instrText>
            </w:r>
            <w:r w:rsidR="008A7F4A">
              <w:rPr>
                <w:rStyle w:val="Hyperlink"/>
              </w:rPr>
            </w:r>
            <w:r w:rsidR="008A7F4A">
              <w:rPr>
                <w:rStyle w:val="Hyperlink"/>
              </w:rPr>
              <w:fldChar w:fldCharType="separate"/>
            </w:r>
            <w:r w:rsidR="008A7F4A">
              <w:rPr>
                <w:rStyle w:val="Hyperlink"/>
                <w:webHidden/>
              </w:rPr>
              <w:t>20</w:t>
            </w:r>
            <w:r w:rsidR="008A7F4A">
              <w:rPr>
                <w:rStyle w:val="Hyperlink"/>
              </w:rPr>
              <w:fldChar w:fldCharType="end"/>
            </w:r>
          </w:hyperlink>
        </w:p>
        <w:p w14:paraId="76EC078C" w14:textId="77777777" w:rsidR="008A7F4A" w:rsidRDefault="00431E1C" w:rsidP="008A7F4A">
          <w:pPr>
            <w:pStyle w:val="TOC2"/>
          </w:pPr>
          <w:hyperlink r:id="rId27" w:anchor="_Toc77242143" w:history="1">
            <w:r w:rsidR="008A7F4A">
              <w:rPr>
                <w:rStyle w:val="Hyperlink"/>
              </w:rPr>
              <w:t>C.</w:t>
            </w:r>
            <w:r w:rsidR="008A7F4A">
              <w:rPr>
                <w:rStyle w:val="Hyperlink"/>
              </w:rPr>
              <w:tab/>
              <w:t>Projection Scenarios</w:t>
            </w:r>
            <w:r w:rsidR="008A7F4A">
              <w:rPr>
                <w:rStyle w:val="Hyperlink"/>
                <w:webHidden/>
              </w:rPr>
              <w:tab/>
            </w:r>
            <w:r w:rsidR="008A7F4A">
              <w:rPr>
                <w:rStyle w:val="Hyperlink"/>
              </w:rPr>
              <w:fldChar w:fldCharType="begin"/>
            </w:r>
            <w:r w:rsidR="008A7F4A">
              <w:rPr>
                <w:rStyle w:val="Hyperlink"/>
                <w:webHidden/>
              </w:rPr>
              <w:instrText xml:space="preserve"> PAGEREF _Toc77242143 \h </w:instrText>
            </w:r>
            <w:r w:rsidR="008A7F4A">
              <w:rPr>
                <w:rStyle w:val="Hyperlink"/>
              </w:rPr>
            </w:r>
            <w:r w:rsidR="008A7F4A">
              <w:rPr>
                <w:rStyle w:val="Hyperlink"/>
              </w:rPr>
              <w:fldChar w:fldCharType="separate"/>
            </w:r>
            <w:r w:rsidR="008A7F4A">
              <w:rPr>
                <w:rStyle w:val="Hyperlink"/>
                <w:webHidden/>
              </w:rPr>
              <w:t>21</w:t>
            </w:r>
            <w:r w:rsidR="008A7F4A">
              <w:rPr>
                <w:rStyle w:val="Hyperlink"/>
              </w:rPr>
              <w:fldChar w:fldCharType="end"/>
            </w:r>
          </w:hyperlink>
        </w:p>
        <w:p w14:paraId="57EA8E9A" w14:textId="77777777" w:rsidR="008A7F4A" w:rsidRDefault="00431E1C" w:rsidP="008A7F4A">
          <w:pPr>
            <w:pStyle w:val="TOC2"/>
          </w:pPr>
          <w:hyperlink r:id="rId28" w:anchor="_Toc77242144" w:history="1">
            <w:r w:rsidR="008A7F4A">
              <w:rPr>
                <w:rStyle w:val="Hyperlink"/>
              </w:rPr>
              <w:t>D.</w:t>
            </w:r>
            <w:r w:rsidR="008A7F4A">
              <w:rPr>
                <w:rStyle w:val="Hyperlink"/>
              </w:rPr>
              <w:tab/>
              <w:t>Projection of Assets</w:t>
            </w:r>
            <w:r w:rsidR="008A7F4A">
              <w:rPr>
                <w:rStyle w:val="Hyperlink"/>
                <w:webHidden/>
              </w:rPr>
              <w:tab/>
            </w:r>
            <w:r w:rsidR="008A7F4A">
              <w:rPr>
                <w:rStyle w:val="Hyperlink"/>
              </w:rPr>
              <w:fldChar w:fldCharType="begin"/>
            </w:r>
            <w:r w:rsidR="008A7F4A">
              <w:rPr>
                <w:rStyle w:val="Hyperlink"/>
                <w:webHidden/>
              </w:rPr>
              <w:instrText xml:space="preserve"> PAGEREF _Toc77242144 \h </w:instrText>
            </w:r>
            <w:r w:rsidR="008A7F4A">
              <w:rPr>
                <w:rStyle w:val="Hyperlink"/>
              </w:rPr>
            </w:r>
            <w:r w:rsidR="008A7F4A">
              <w:rPr>
                <w:rStyle w:val="Hyperlink"/>
              </w:rPr>
              <w:fldChar w:fldCharType="separate"/>
            </w:r>
            <w:r w:rsidR="008A7F4A">
              <w:rPr>
                <w:rStyle w:val="Hyperlink"/>
                <w:webHidden/>
              </w:rPr>
              <w:t>22</w:t>
            </w:r>
            <w:r w:rsidR="008A7F4A">
              <w:rPr>
                <w:rStyle w:val="Hyperlink"/>
              </w:rPr>
              <w:fldChar w:fldCharType="end"/>
            </w:r>
          </w:hyperlink>
        </w:p>
        <w:p w14:paraId="5C6D96D1" w14:textId="77777777" w:rsidR="008A7F4A" w:rsidRDefault="00431E1C" w:rsidP="008A7F4A">
          <w:pPr>
            <w:pStyle w:val="TOC2"/>
          </w:pPr>
          <w:hyperlink r:id="rId29" w:anchor="_Toc77242145" w:history="1">
            <w:r w:rsidR="008A7F4A">
              <w:rPr>
                <w:rStyle w:val="Hyperlink"/>
              </w:rPr>
              <w:t>E.</w:t>
            </w:r>
            <w:r w:rsidR="008A7F4A">
              <w:rPr>
                <w:rStyle w:val="Hyperlink"/>
              </w:rPr>
              <w:tab/>
            </w:r>
            <w:r w:rsidR="008A7F4A">
              <w:rPr>
                <w:rStyle w:val="Hyperlink"/>
                <w:rFonts w:eastAsiaTheme="minorHAnsi"/>
              </w:rPr>
              <w:t>Projection of Annuitization Benefits</w:t>
            </w:r>
            <w:r w:rsidR="008A7F4A">
              <w:rPr>
                <w:rStyle w:val="Hyperlink"/>
                <w:webHidden/>
              </w:rPr>
              <w:tab/>
            </w:r>
            <w:r w:rsidR="008A7F4A">
              <w:rPr>
                <w:rStyle w:val="Hyperlink"/>
              </w:rPr>
              <w:fldChar w:fldCharType="begin"/>
            </w:r>
            <w:r w:rsidR="008A7F4A">
              <w:rPr>
                <w:rStyle w:val="Hyperlink"/>
                <w:webHidden/>
              </w:rPr>
              <w:instrText xml:space="preserve"> PAGEREF _Toc77242145 \h </w:instrText>
            </w:r>
            <w:r w:rsidR="008A7F4A">
              <w:rPr>
                <w:rStyle w:val="Hyperlink"/>
              </w:rPr>
            </w:r>
            <w:r w:rsidR="008A7F4A">
              <w:rPr>
                <w:rStyle w:val="Hyperlink"/>
              </w:rPr>
              <w:fldChar w:fldCharType="separate"/>
            </w:r>
            <w:r w:rsidR="008A7F4A">
              <w:rPr>
                <w:rStyle w:val="Hyperlink"/>
                <w:webHidden/>
              </w:rPr>
              <w:t>25</w:t>
            </w:r>
            <w:r w:rsidR="008A7F4A">
              <w:rPr>
                <w:rStyle w:val="Hyperlink"/>
              </w:rPr>
              <w:fldChar w:fldCharType="end"/>
            </w:r>
          </w:hyperlink>
        </w:p>
        <w:p w14:paraId="733FA6D7" w14:textId="77777777" w:rsidR="008A7F4A" w:rsidRDefault="00431E1C" w:rsidP="008A7F4A">
          <w:pPr>
            <w:pStyle w:val="TOC2"/>
          </w:pPr>
          <w:hyperlink r:id="rId30" w:anchor="_Toc77242146" w:history="1">
            <w:r w:rsidR="008A7F4A">
              <w:rPr>
                <w:rStyle w:val="Hyperlink"/>
              </w:rPr>
              <w:t>F.</w:t>
            </w:r>
            <w:r w:rsidR="008A7F4A">
              <w:rPr>
                <w:rStyle w:val="Hyperlink"/>
              </w:rPr>
              <w:tab/>
              <w:t>Frequency of Projection and Time Horizon</w:t>
            </w:r>
            <w:r w:rsidR="008A7F4A">
              <w:rPr>
                <w:rStyle w:val="Hyperlink"/>
                <w:webHidden/>
              </w:rPr>
              <w:tab/>
            </w:r>
            <w:r w:rsidR="008A7F4A">
              <w:rPr>
                <w:rStyle w:val="Hyperlink"/>
              </w:rPr>
              <w:fldChar w:fldCharType="begin"/>
            </w:r>
            <w:r w:rsidR="008A7F4A">
              <w:rPr>
                <w:rStyle w:val="Hyperlink"/>
                <w:webHidden/>
              </w:rPr>
              <w:instrText xml:space="preserve"> PAGEREF _Toc77242146 \h </w:instrText>
            </w:r>
            <w:r w:rsidR="008A7F4A">
              <w:rPr>
                <w:rStyle w:val="Hyperlink"/>
              </w:rPr>
            </w:r>
            <w:r w:rsidR="008A7F4A">
              <w:rPr>
                <w:rStyle w:val="Hyperlink"/>
              </w:rPr>
              <w:fldChar w:fldCharType="separate"/>
            </w:r>
            <w:r w:rsidR="008A7F4A">
              <w:rPr>
                <w:rStyle w:val="Hyperlink"/>
                <w:webHidden/>
              </w:rPr>
              <w:t>25</w:t>
            </w:r>
            <w:r w:rsidR="008A7F4A">
              <w:rPr>
                <w:rStyle w:val="Hyperlink"/>
              </w:rPr>
              <w:fldChar w:fldCharType="end"/>
            </w:r>
          </w:hyperlink>
        </w:p>
        <w:p w14:paraId="6BF07AEB" w14:textId="77777777" w:rsidR="008A7F4A" w:rsidRDefault="00431E1C" w:rsidP="008A7F4A">
          <w:pPr>
            <w:pStyle w:val="TOC2"/>
          </w:pPr>
          <w:hyperlink r:id="rId31" w:anchor="_Toc77242147" w:history="1">
            <w:r w:rsidR="008A7F4A">
              <w:rPr>
                <w:rStyle w:val="Hyperlink"/>
              </w:rPr>
              <w:t>G.</w:t>
            </w:r>
            <w:r w:rsidR="008A7F4A">
              <w:rPr>
                <w:rStyle w:val="Hyperlink"/>
              </w:rPr>
              <w:tab/>
              <w:t>Compliance with ASOPs</w:t>
            </w:r>
            <w:r w:rsidR="008A7F4A">
              <w:rPr>
                <w:rStyle w:val="Hyperlink"/>
                <w:webHidden/>
              </w:rPr>
              <w:tab/>
            </w:r>
            <w:r w:rsidR="008A7F4A">
              <w:rPr>
                <w:rStyle w:val="Hyperlink"/>
              </w:rPr>
              <w:fldChar w:fldCharType="begin"/>
            </w:r>
            <w:r w:rsidR="008A7F4A">
              <w:rPr>
                <w:rStyle w:val="Hyperlink"/>
                <w:webHidden/>
              </w:rPr>
              <w:instrText xml:space="preserve"> PAGEREF _Toc77242147 \h </w:instrText>
            </w:r>
            <w:r w:rsidR="008A7F4A">
              <w:rPr>
                <w:rStyle w:val="Hyperlink"/>
              </w:rPr>
            </w:r>
            <w:r w:rsidR="008A7F4A">
              <w:rPr>
                <w:rStyle w:val="Hyperlink"/>
              </w:rPr>
              <w:fldChar w:fldCharType="separate"/>
            </w:r>
            <w:r w:rsidR="008A7F4A">
              <w:rPr>
                <w:rStyle w:val="Hyperlink"/>
                <w:webHidden/>
              </w:rPr>
              <w:t>25</w:t>
            </w:r>
            <w:r w:rsidR="008A7F4A">
              <w:rPr>
                <w:rStyle w:val="Hyperlink"/>
              </w:rPr>
              <w:fldChar w:fldCharType="end"/>
            </w:r>
          </w:hyperlink>
        </w:p>
        <w:p w14:paraId="03A86A1C" w14:textId="77777777" w:rsidR="008A7F4A" w:rsidRDefault="00431E1C" w:rsidP="008A7F4A">
          <w:pPr>
            <w:pStyle w:val="TOC1"/>
          </w:pPr>
          <w:hyperlink r:id="rId32" w:anchor="_Toc77242148" w:history="1">
            <w:r w:rsidR="008A7F4A">
              <w:rPr>
                <w:rStyle w:val="Hyperlink"/>
              </w:rPr>
              <w:t>Section 5: Reinsurance Ceded and Assumed</w:t>
            </w:r>
            <w:r w:rsidR="008A7F4A">
              <w:rPr>
                <w:rStyle w:val="Hyperlink"/>
                <w:webHidden/>
              </w:rPr>
              <w:tab/>
            </w:r>
            <w:r w:rsidR="008A7F4A">
              <w:rPr>
                <w:rStyle w:val="Hyperlink"/>
              </w:rPr>
              <w:fldChar w:fldCharType="begin"/>
            </w:r>
            <w:r w:rsidR="008A7F4A">
              <w:rPr>
                <w:rStyle w:val="Hyperlink"/>
                <w:webHidden/>
              </w:rPr>
              <w:instrText xml:space="preserve"> PAGEREF _Toc77242148 \h </w:instrText>
            </w:r>
            <w:r w:rsidR="008A7F4A">
              <w:rPr>
                <w:rStyle w:val="Hyperlink"/>
              </w:rPr>
            </w:r>
            <w:r w:rsidR="008A7F4A">
              <w:rPr>
                <w:rStyle w:val="Hyperlink"/>
              </w:rPr>
              <w:fldChar w:fldCharType="separate"/>
            </w:r>
            <w:r w:rsidR="008A7F4A">
              <w:rPr>
                <w:rStyle w:val="Hyperlink"/>
                <w:webHidden/>
              </w:rPr>
              <w:t>27</w:t>
            </w:r>
            <w:r w:rsidR="008A7F4A">
              <w:rPr>
                <w:rStyle w:val="Hyperlink"/>
              </w:rPr>
              <w:fldChar w:fldCharType="end"/>
            </w:r>
          </w:hyperlink>
        </w:p>
        <w:p w14:paraId="6EFB5477" w14:textId="77777777" w:rsidR="008A7F4A" w:rsidRDefault="00431E1C" w:rsidP="008A7F4A">
          <w:pPr>
            <w:pStyle w:val="TOC2"/>
          </w:pPr>
          <w:hyperlink r:id="rId33" w:anchor="_Toc77242149" w:history="1">
            <w:r w:rsidR="008A7F4A">
              <w:rPr>
                <w:rStyle w:val="Hyperlink"/>
              </w:rPr>
              <w:t>A. Treatment of Reinsurance Ceded in the Aggregate Reserve</w:t>
            </w:r>
            <w:r w:rsidR="008A7F4A">
              <w:rPr>
                <w:rStyle w:val="Hyperlink"/>
                <w:webHidden/>
              </w:rPr>
              <w:tab/>
            </w:r>
            <w:r w:rsidR="008A7F4A">
              <w:rPr>
                <w:rStyle w:val="Hyperlink"/>
              </w:rPr>
              <w:fldChar w:fldCharType="begin"/>
            </w:r>
            <w:r w:rsidR="008A7F4A">
              <w:rPr>
                <w:rStyle w:val="Hyperlink"/>
                <w:webHidden/>
              </w:rPr>
              <w:instrText xml:space="preserve"> PAGEREF _Toc77242149 \h </w:instrText>
            </w:r>
            <w:r w:rsidR="008A7F4A">
              <w:rPr>
                <w:rStyle w:val="Hyperlink"/>
              </w:rPr>
            </w:r>
            <w:r w:rsidR="008A7F4A">
              <w:rPr>
                <w:rStyle w:val="Hyperlink"/>
              </w:rPr>
              <w:fldChar w:fldCharType="separate"/>
            </w:r>
            <w:r w:rsidR="008A7F4A">
              <w:rPr>
                <w:rStyle w:val="Hyperlink"/>
                <w:webHidden/>
              </w:rPr>
              <w:t>27</w:t>
            </w:r>
            <w:r w:rsidR="008A7F4A">
              <w:rPr>
                <w:rStyle w:val="Hyperlink"/>
              </w:rPr>
              <w:fldChar w:fldCharType="end"/>
            </w:r>
          </w:hyperlink>
        </w:p>
        <w:p w14:paraId="3AE43E16" w14:textId="77777777" w:rsidR="008A7F4A" w:rsidRDefault="00431E1C" w:rsidP="008A7F4A">
          <w:pPr>
            <w:pStyle w:val="TOC1"/>
          </w:pPr>
          <w:hyperlink r:id="rId34" w:anchor="_Toc77242150" w:history="1">
            <w:r w:rsidR="008A7F4A">
              <w:rPr>
                <w:rStyle w:val="Hyperlink"/>
              </w:rPr>
              <w:t>Section 6: To Be Determined</w:t>
            </w:r>
            <w:r w:rsidR="008A7F4A">
              <w:rPr>
                <w:rStyle w:val="Hyperlink"/>
                <w:webHidden/>
              </w:rPr>
              <w:tab/>
            </w:r>
            <w:r w:rsidR="008A7F4A">
              <w:rPr>
                <w:rStyle w:val="Hyperlink"/>
              </w:rPr>
              <w:fldChar w:fldCharType="begin"/>
            </w:r>
            <w:r w:rsidR="008A7F4A">
              <w:rPr>
                <w:rStyle w:val="Hyperlink"/>
                <w:webHidden/>
              </w:rPr>
              <w:instrText xml:space="preserve"> PAGEREF _Toc77242150 \h </w:instrText>
            </w:r>
            <w:r w:rsidR="008A7F4A">
              <w:rPr>
                <w:rStyle w:val="Hyperlink"/>
              </w:rPr>
            </w:r>
            <w:r w:rsidR="008A7F4A">
              <w:rPr>
                <w:rStyle w:val="Hyperlink"/>
              </w:rPr>
              <w:fldChar w:fldCharType="separate"/>
            </w:r>
            <w:r w:rsidR="008A7F4A">
              <w:rPr>
                <w:rStyle w:val="Hyperlink"/>
                <w:webHidden/>
              </w:rPr>
              <w:t>29</w:t>
            </w:r>
            <w:r w:rsidR="008A7F4A">
              <w:rPr>
                <w:rStyle w:val="Hyperlink"/>
              </w:rPr>
              <w:fldChar w:fldCharType="end"/>
            </w:r>
          </w:hyperlink>
        </w:p>
        <w:p w14:paraId="612E9859" w14:textId="77777777" w:rsidR="008A7F4A" w:rsidRDefault="00431E1C" w:rsidP="008A7F4A">
          <w:pPr>
            <w:pStyle w:val="TOC1"/>
          </w:pPr>
          <w:hyperlink r:id="rId35" w:anchor="_Toc77242151" w:history="1">
            <w:r w:rsidR="008A7F4A">
              <w:rPr>
                <w:rStyle w:val="Hyperlink"/>
              </w:rPr>
              <w:t>Section 7: Exclusion Testing</w:t>
            </w:r>
            <w:r w:rsidR="008A7F4A">
              <w:rPr>
                <w:rStyle w:val="Hyperlink"/>
                <w:webHidden/>
              </w:rPr>
              <w:tab/>
            </w:r>
            <w:r w:rsidR="008A7F4A">
              <w:rPr>
                <w:rStyle w:val="Hyperlink"/>
              </w:rPr>
              <w:fldChar w:fldCharType="begin"/>
            </w:r>
            <w:r w:rsidR="008A7F4A">
              <w:rPr>
                <w:rStyle w:val="Hyperlink"/>
                <w:webHidden/>
              </w:rPr>
              <w:instrText xml:space="preserve"> PAGEREF _Toc77242151 \h </w:instrText>
            </w:r>
            <w:r w:rsidR="008A7F4A">
              <w:rPr>
                <w:rStyle w:val="Hyperlink"/>
              </w:rPr>
            </w:r>
            <w:r w:rsidR="008A7F4A">
              <w:rPr>
                <w:rStyle w:val="Hyperlink"/>
              </w:rPr>
              <w:fldChar w:fldCharType="separate"/>
            </w:r>
            <w:r w:rsidR="008A7F4A">
              <w:rPr>
                <w:rStyle w:val="Hyperlink"/>
                <w:webHidden/>
              </w:rPr>
              <w:t>30</w:t>
            </w:r>
            <w:r w:rsidR="008A7F4A">
              <w:rPr>
                <w:rStyle w:val="Hyperlink"/>
              </w:rPr>
              <w:fldChar w:fldCharType="end"/>
            </w:r>
          </w:hyperlink>
        </w:p>
        <w:p w14:paraId="53977DAD" w14:textId="77777777" w:rsidR="008A7F4A" w:rsidRDefault="00431E1C" w:rsidP="008A7F4A">
          <w:pPr>
            <w:pStyle w:val="TOC2"/>
          </w:pPr>
          <w:hyperlink r:id="rId36" w:anchor="_Toc77242152" w:history="1">
            <w:r w:rsidR="008A7F4A">
              <w:rPr>
                <w:rStyle w:val="Hyperlink"/>
              </w:rPr>
              <w:t>A. Stochastic Exclusion Test Requirement Overview</w:t>
            </w:r>
            <w:r w:rsidR="008A7F4A">
              <w:rPr>
                <w:rStyle w:val="Hyperlink"/>
                <w:webHidden/>
              </w:rPr>
              <w:tab/>
            </w:r>
            <w:r w:rsidR="008A7F4A">
              <w:rPr>
                <w:rStyle w:val="Hyperlink"/>
              </w:rPr>
              <w:fldChar w:fldCharType="begin"/>
            </w:r>
            <w:r w:rsidR="008A7F4A">
              <w:rPr>
                <w:rStyle w:val="Hyperlink"/>
                <w:webHidden/>
              </w:rPr>
              <w:instrText xml:space="preserve"> PAGEREF _Toc77242152 \h </w:instrText>
            </w:r>
            <w:r w:rsidR="008A7F4A">
              <w:rPr>
                <w:rStyle w:val="Hyperlink"/>
              </w:rPr>
            </w:r>
            <w:r w:rsidR="008A7F4A">
              <w:rPr>
                <w:rStyle w:val="Hyperlink"/>
              </w:rPr>
              <w:fldChar w:fldCharType="separate"/>
            </w:r>
            <w:r w:rsidR="008A7F4A">
              <w:rPr>
                <w:rStyle w:val="Hyperlink"/>
                <w:webHidden/>
              </w:rPr>
              <w:t>30</w:t>
            </w:r>
            <w:r w:rsidR="008A7F4A">
              <w:rPr>
                <w:rStyle w:val="Hyperlink"/>
              </w:rPr>
              <w:fldChar w:fldCharType="end"/>
            </w:r>
          </w:hyperlink>
        </w:p>
        <w:p w14:paraId="75BD2C89" w14:textId="77777777" w:rsidR="008A7F4A" w:rsidRDefault="00431E1C" w:rsidP="008A7F4A">
          <w:pPr>
            <w:pStyle w:val="TOC2"/>
          </w:pPr>
          <w:hyperlink r:id="rId37" w:anchor="_Toc77242153" w:history="1">
            <w:r w:rsidR="008A7F4A">
              <w:rPr>
                <w:rStyle w:val="Hyperlink"/>
              </w:rPr>
              <w:t>B.</w:t>
            </w:r>
            <w:r w:rsidR="008A7F4A">
              <w:rPr>
                <w:rStyle w:val="Hyperlink"/>
              </w:rPr>
              <w:tab/>
              <w:t>Types of Stochastic Exclusion Tests</w:t>
            </w:r>
            <w:r w:rsidR="008A7F4A">
              <w:rPr>
                <w:rStyle w:val="Hyperlink"/>
                <w:webHidden/>
              </w:rPr>
              <w:tab/>
            </w:r>
            <w:r w:rsidR="008A7F4A">
              <w:rPr>
                <w:rStyle w:val="Hyperlink"/>
              </w:rPr>
              <w:fldChar w:fldCharType="begin"/>
            </w:r>
            <w:r w:rsidR="008A7F4A">
              <w:rPr>
                <w:rStyle w:val="Hyperlink"/>
                <w:webHidden/>
              </w:rPr>
              <w:instrText xml:space="preserve"> PAGEREF _Toc77242153 \h </w:instrText>
            </w:r>
            <w:r w:rsidR="008A7F4A">
              <w:rPr>
                <w:rStyle w:val="Hyperlink"/>
              </w:rPr>
            </w:r>
            <w:r w:rsidR="008A7F4A">
              <w:rPr>
                <w:rStyle w:val="Hyperlink"/>
              </w:rPr>
              <w:fldChar w:fldCharType="separate"/>
            </w:r>
            <w:r w:rsidR="008A7F4A">
              <w:rPr>
                <w:rStyle w:val="Hyperlink"/>
                <w:webHidden/>
              </w:rPr>
              <w:t>30</w:t>
            </w:r>
            <w:r w:rsidR="008A7F4A">
              <w:rPr>
                <w:rStyle w:val="Hyperlink"/>
              </w:rPr>
              <w:fldChar w:fldCharType="end"/>
            </w:r>
          </w:hyperlink>
        </w:p>
        <w:p w14:paraId="75628A0A" w14:textId="77777777" w:rsidR="008A7F4A" w:rsidRDefault="00431E1C" w:rsidP="008A7F4A">
          <w:pPr>
            <w:pStyle w:val="TOC2"/>
          </w:pPr>
          <w:hyperlink r:id="rId38" w:anchor="_Toc77242154" w:history="1">
            <w:r w:rsidR="008A7F4A">
              <w:rPr>
                <w:rStyle w:val="Hyperlink"/>
              </w:rPr>
              <w:t>C.</w:t>
            </w:r>
            <w:r w:rsidR="008A7F4A">
              <w:rPr>
                <w:rStyle w:val="Hyperlink"/>
              </w:rPr>
              <w:tab/>
              <w:t>Stochastic Exclusion Ratio Test</w:t>
            </w:r>
            <w:r w:rsidR="008A7F4A">
              <w:rPr>
                <w:rStyle w:val="Hyperlink"/>
                <w:webHidden/>
              </w:rPr>
              <w:tab/>
            </w:r>
            <w:r w:rsidR="008A7F4A">
              <w:rPr>
                <w:rStyle w:val="Hyperlink"/>
              </w:rPr>
              <w:fldChar w:fldCharType="begin"/>
            </w:r>
            <w:r w:rsidR="008A7F4A">
              <w:rPr>
                <w:rStyle w:val="Hyperlink"/>
                <w:webHidden/>
              </w:rPr>
              <w:instrText xml:space="preserve"> PAGEREF _Toc77242154 \h </w:instrText>
            </w:r>
            <w:r w:rsidR="008A7F4A">
              <w:rPr>
                <w:rStyle w:val="Hyperlink"/>
              </w:rPr>
            </w:r>
            <w:r w:rsidR="008A7F4A">
              <w:rPr>
                <w:rStyle w:val="Hyperlink"/>
              </w:rPr>
              <w:fldChar w:fldCharType="separate"/>
            </w:r>
            <w:r w:rsidR="008A7F4A">
              <w:rPr>
                <w:rStyle w:val="Hyperlink"/>
                <w:webHidden/>
              </w:rPr>
              <w:t>31</w:t>
            </w:r>
            <w:r w:rsidR="008A7F4A">
              <w:rPr>
                <w:rStyle w:val="Hyperlink"/>
              </w:rPr>
              <w:fldChar w:fldCharType="end"/>
            </w:r>
          </w:hyperlink>
        </w:p>
        <w:p w14:paraId="60568EA7" w14:textId="77777777" w:rsidR="008A7F4A" w:rsidRDefault="00431E1C" w:rsidP="008A7F4A">
          <w:pPr>
            <w:pStyle w:val="TOC2"/>
          </w:pPr>
          <w:hyperlink r:id="rId39" w:anchor="_Toc77242155" w:history="1">
            <w:r w:rsidR="008A7F4A">
              <w:rPr>
                <w:rStyle w:val="Hyperlink"/>
              </w:rPr>
              <w:t>D.</w:t>
            </w:r>
            <w:r w:rsidR="008A7F4A">
              <w:rPr>
                <w:rStyle w:val="Hyperlink"/>
              </w:rPr>
              <w:tab/>
              <w:t>Stochastic Exclusion Demonstration Test</w:t>
            </w:r>
            <w:r w:rsidR="008A7F4A">
              <w:rPr>
                <w:rStyle w:val="Hyperlink"/>
                <w:webHidden/>
              </w:rPr>
              <w:tab/>
            </w:r>
            <w:r w:rsidR="008A7F4A">
              <w:rPr>
                <w:rStyle w:val="Hyperlink"/>
              </w:rPr>
              <w:fldChar w:fldCharType="begin"/>
            </w:r>
            <w:r w:rsidR="008A7F4A">
              <w:rPr>
                <w:rStyle w:val="Hyperlink"/>
                <w:webHidden/>
              </w:rPr>
              <w:instrText xml:space="preserve"> PAGEREF _Toc77242155 \h </w:instrText>
            </w:r>
            <w:r w:rsidR="008A7F4A">
              <w:rPr>
                <w:rStyle w:val="Hyperlink"/>
              </w:rPr>
            </w:r>
            <w:r w:rsidR="008A7F4A">
              <w:rPr>
                <w:rStyle w:val="Hyperlink"/>
              </w:rPr>
              <w:fldChar w:fldCharType="separate"/>
            </w:r>
            <w:r w:rsidR="008A7F4A">
              <w:rPr>
                <w:rStyle w:val="Hyperlink"/>
                <w:webHidden/>
              </w:rPr>
              <w:t>33</w:t>
            </w:r>
            <w:r w:rsidR="008A7F4A">
              <w:rPr>
                <w:rStyle w:val="Hyperlink"/>
              </w:rPr>
              <w:fldChar w:fldCharType="end"/>
            </w:r>
          </w:hyperlink>
        </w:p>
        <w:p w14:paraId="73AB8198" w14:textId="77777777" w:rsidR="008A7F4A" w:rsidRDefault="00431E1C" w:rsidP="008A7F4A">
          <w:pPr>
            <w:pStyle w:val="TOC2"/>
          </w:pPr>
          <w:hyperlink r:id="rId40" w:anchor="_Toc77242156" w:history="1">
            <w:r w:rsidR="008A7F4A">
              <w:rPr>
                <w:rStyle w:val="Hyperlink"/>
              </w:rPr>
              <w:t>E.</w:t>
            </w:r>
            <w:r w:rsidR="008A7F4A">
              <w:rPr>
                <w:rStyle w:val="Hyperlink"/>
              </w:rPr>
              <w:tab/>
              <w:t>Deterministic Certification Option</w:t>
            </w:r>
            <w:r w:rsidR="008A7F4A">
              <w:rPr>
                <w:rStyle w:val="Hyperlink"/>
                <w:webHidden/>
              </w:rPr>
              <w:tab/>
            </w:r>
            <w:r w:rsidR="008A7F4A">
              <w:rPr>
                <w:rStyle w:val="Hyperlink"/>
              </w:rPr>
              <w:fldChar w:fldCharType="begin"/>
            </w:r>
            <w:r w:rsidR="008A7F4A">
              <w:rPr>
                <w:rStyle w:val="Hyperlink"/>
                <w:webHidden/>
              </w:rPr>
              <w:instrText xml:space="preserve"> PAGEREF _Toc77242156 \h </w:instrText>
            </w:r>
            <w:r w:rsidR="008A7F4A">
              <w:rPr>
                <w:rStyle w:val="Hyperlink"/>
              </w:rPr>
            </w:r>
            <w:r w:rsidR="008A7F4A">
              <w:rPr>
                <w:rStyle w:val="Hyperlink"/>
              </w:rPr>
              <w:fldChar w:fldCharType="separate"/>
            </w:r>
            <w:r w:rsidR="008A7F4A">
              <w:rPr>
                <w:rStyle w:val="Hyperlink"/>
                <w:webHidden/>
              </w:rPr>
              <w:t>34</w:t>
            </w:r>
            <w:r w:rsidR="008A7F4A">
              <w:rPr>
                <w:rStyle w:val="Hyperlink"/>
              </w:rPr>
              <w:fldChar w:fldCharType="end"/>
            </w:r>
          </w:hyperlink>
        </w:p>
        <w:p w14:paraId="159797C3" w14:textId="77777777" w:rsidR="008A7F4A" w:rsidRDefault="00431E1C" w:rsidP="008A7F4A">
          <w:pPr>
            <w:pStyle w:val="TOC1"/>
          </w:pPr>
          <w:hyperlink r:id="rId41" w:anchor="_Toc77242157" w:history="1">
            <w:r w:rsidR="008A7F4A">
              <w:rPr>
                <w:rStyle w:val="Hyperlink"/>
              </w:rPr>
              <w:t>Section 8: To Be Determined (Scenario Generation for VM-21)</w:t>
            </w:r>
            <w:r w:rsidR="008A7F4A">
              <w:rPr>
                <w:rStyle w:val="Hyperlink"/>
                <w:webHidden/>
              </w:rPr>
              <w:tab/>
            </w:r>
            <w:r w:rsidR="008A7F4A">
              <w:rPr>
                <w:rStyle w:val="Hyperlink"/>
              </w:rPr>
              <w:fldChar w:fldCharType="begin"/>
            </w:r>
            <w:r w:rsidR="008A7F4A">
              <w:rPr>
                <w:rStyle w:val="Hyperlink"/>
                <w:webHidden/>
              </w:rPr>
              <w:instrText xml:space="preserve"> PAGEREF _Toc77242157 \h </w:instrText>
            </w:r>
            <w:r w:rsidR="008A7F4A">
              <w:rPr>
                <w:rStyle w:val="Hyperlink"/>
              </w:rPr>
            </w:r>
            <w:r w:rsidR="008A7F4A">
              <w:rPr>
                <w:rStyle w:val="Hyperlink"/>
              </w:rPr>
              <w:fldChar w:fldCharType="separate"/>
            </w:r>
            <w:r w:rsidR="008A7F4A">
              <w:rPr>
                <w:rStyle w:val="Hyperlink"/>
                <w:webHidden/>
              </w:rPr>
              <w:t>36</w:t>
            </w:r>
            <w:r w:rsidR="008A7F4A">
              <w:rPr>
                <w:rStyle w:val="Hyperlink"/>
              </w:rPr>
              <w:fldChar w:fldCharType="end"/>
            </w:r>
          </w:hyperlink>
        </w:p>
        <w:p w14:paraId="73A5CAE9" w14:textId="77777777" w:rsidR="008A7F4A" w:rsidRDefault="00431E1C" w:rsidP="008A7F4A">
          <w:pPr>
            <w:pStyle w:val="TOC1"/>
          </w:pPr>
          <w:hyperlink r:id="rId42" w:anchor="_Toc77242158" w:history="1">
            <w:r w:rsidR="008A7F4A">
              <w:rPr>
                <w:rStyle w:val="Hyperlink"/>
              </w:rPr>
              <w:t>Section 9: Modeling Hedges under a Future Hedging Strategy</w:t>
            </w:r>
            <w:r w:rsidR="008A7F4A">
              <w:rPr>
                <w:rStyle w:val="Hyperlink"/>
                <w:webHidden/>
              </w:rPr>
              <w:tab/>
            </w:r>
            <w:r w:rsidR="008A7F4A">
              <w:rPr>
                <w:rStyle w:val="Hyperlink"/>
              </w:rPr>
              <w:fldChar w:fldCharType="begin"/>
            </w:r>
            <w:r w:rsidR="008A7F4A">
              <w:rPr>
                <w:rStyle w:val="Hyperlink"/>
                <w:webHidden/>
              </w:rPr>
              <w:instrText xml:space="preserve"> PAGEREF _Toc77242158 \h </w:instrText>
            </w:r>
            <w:r w:rsidR="008A7F4A">
              <w:rPr>
                <w:rStyle w:val="Hyperlink"/>
              </w:rPr>
            </w:r>
            <w:r w:rsidR="008A7F4A">
              <w:rPr>
                <w:rStyle w:val="Hyperlink"/>
              </w:rPr>
              <w:fldChar w:fldCharType="separate"/>
            </w:r>
            <w:r w:rsidR="008A7F4A">
              <w:rPr>
                <w:rStyle w:val="Hyperlink"/>
                <w:webHidden/>
              </w:rPr>
              <w:t>37</w:t>
            </w:r>
            <w:r w:rsidR="008A7F4A">
              <w:rPr>
                <w:rStyle w:val="Hyperlink"/>
              </w:rPr>
              <w:fldChar w:fldCharType="end"/>
            </w:r>
          </w:hyperlink>
        </w:p>
        <w:p w14:paraId="3A6639E4" w14:textId="77777777" w:rsidR="008A7F4A" w:rsidRDefault="00431E1C" w:rsidP="008A7F4A">
          <w:pPr>
            <w:pStyle w:val="TOC2"/>
          </w:pPr>
          <w:hyperlink r:id="rId43" w:anchor="_Toc77242159" w:history="1">
            <w:r w:rsidR="008A7F4A">
              <w:rPr>
                <w:rStyle w:val="Hyperlink"/>
              </w:rPr>
              <w:t>A. Initial Considerations</w:t>
            </w:r>
            <w:r w:rsidR="008A7F4A">
              <w:rPr>
                <w:rStyle w:val="Hyperlink"/>
                <w:webHidden/>
              </w:rPr>
              <w:tab/>
            </w:r>
            <w:r w:rsidR="008A7F4A">
              <w:rPr>
                <w:rStyle w:val="Hyperlink"/>
              </w:rPr>
              <w:fldChar w:fldCharType="begin"/>
            </w:r>
            <w:r w:rsidR="008A7F4A">
              <w:rPr>
                <w:rStyle w:val="Hyperlink"/>
                <w:webHidden/>
              </w:rPr>
              <w:instrText xml:space="preserve"> PAGEREF _Toc77242159 \h </w:instrText>
            </w:r>
            <w:r w:rsidR="008A7F4A">
              <w:rPr>
                <w:rStyle w:val="Hyperlink"/>
              </w:rPr>
            </w:r>
            <w:r w:rsidR="008A7F4A">
              <w:rPr>
                <w:rStyle w:val="Hyperlink"/>
              </w:rPr>
              <w:fldChar w:fldCharType="separate"/>
            </w:r>
            <w:r w:rsidR="008A7F4A">
              <w:rPr>
                <w:rStyle w:val="Hyperlink"/>
                <w:webHidden/>
              </w:rPr>
              <w:t>37</w:t>
            </w:r>
            <w:r w:rsidR="008A7F4A">
              <w:rPr>
                <w:rStyle w:val="Hyperlink"/>
              </w:rPr>
              <w:fldChar w:fldCharType="end"/>
            </w:r>
          </w:hyperlink>
        </w:p>
        <w:p w14:paraId="7EC7B35F" w14:textId="77777777" w:rsidR="008A7F4A" w:rsidRDefault="00431E1C" w:rsidP="008A7F4A">
          <w:pPr>
            <w:pStyle w:val="TOC2"/>
          </w:pPr>
          <w:hyperlink r:id="rId44" w:anchor="_Toc77242160" w:history="1">
            <w:r w:rsidR="008A7F4A">
              <w:rPr>
                <w:rStyle w:val="Hyperlink"/>
              </w:rPr>
              <w:t>B.</w:t>
            </w:r>
            <w:r w:rsidR="008A7F4A">
              <w:rPr>
                <w:rStyle w:val="Hyperlink"/>
              </w:rPr>
              <w:tab/>
              <w:t>Modeling Approaches</w:t>
            </w:r>
            <w:r w:rsidR="008A7F4A">
              <w:rPr>
                <w:rStyle w:val="Hyperlink"/>
                <w:webHidden/>
              </w:rPr>
              <w:tab/>
            </w:r>
            <w:r w:rsidR="008A7F4A">
              <w:rPr>
                <w:rStyle w:val="Hyperlink"/>
              </w:rPr>
              <w:fldChar w:fldCharType="begin"/>
            </w:r>
            <w:r w:rsidR="008A7F4A">
              <w:rPr>
                <w:rStyle w:val="Hyperlink"/>
                <w:webHidden/>
              </w:rPr>
              <w:instrText xml:space="preserve"> PAGEREF _Toc77242160 \h </w:instrText>
            </w:r>
            <w:r w:rsidR="008A7F4A">
              <w:rPr>
                <w:rStyle w:val="Hyperlink"/>
              </w:rPr>
            </w:r>
            <w:r w:rsidR="008A7F4A">
              <w:rPr>
                <w:rStyle w:val="Hyperlink"/>
              </w:rPr>
              <w:fldChar w:fldCharType="separate"/>
            </w:r>
            <w:r w:rsidR="008A7F4A">
              <w:rPr>
                <w:rStyle w:val="Hyperlink"/>
                <w:webHidden/>
              </w:rPr>
              <w:t>37</w:t>
            </w:r>
            <w:r w:rsidR="008A7F4A">
              <w:rPr>
                <w:rStyle w:val="Hyperlink"/>
              </w:rPr>
              <w:fldChar w:fldCharType="end"/>
            </w:r>
          </w:hyperlink>
        </w:p>
        <w:p w14:paraId="4E3931A8" w14:textId="77777777" w:rsidR="008A7F4A" w:rsidRDefault="00431E1C" w:rsidP="008A7F4A">
          <w:pPr>
            <w:pStyle w:val="TOC2"/>
          </w:pPr>
          <w:hyperlink r:id="rId45" w:anchor="_Toc77242161" w:history="1">
            <w:r w:rsidR="008A7F4A">
              <w:rPr>
                <w:rStyle w:val="Hyperlink"/>
              </w:rPr>
              <w:t>C.</w:t>
            </w:r>
            <w:r w:rsidR="008A7F4A">
              <w:rPr>
                <w:rStyle w:val="Hyperlink"/>
              </w:rPr>
              <w:tab/>
              <w:t>Calculation of Stochastic Reserve (Reported)</w:t>
            </w:r>
            <w:r w:rsidR="008A7F4A">
              <w:rPr>
                <w:rStyle w:val="Hyperlink"/>
                <w:webHidden/>
              </w:rPr>
              <w:tab/>
            </w:r>
            <w:r w:rsidR="008A7F4A">
              <w:rPr>
                <w:rStyle w:val="Hyperlink"/>
              </w:rPr>
              <w:fldChar w:fldCharType="begin"/>
            </w:r>
            <w:r w:rsidR="008A7F4A">
              <w:rPr>
                <w:rStyle w:val="Hyperlink"/>
                <w:webHidden/>
              </w:rPr>
              <w:instrText xml:space="preserve"> PAGEREF _Toc77242161 \h </w:instrText>
            </w:r>
            <w:r w:rsidR="008A7F4A">
              <w:rPr>
                <w:rStyle w:val="Hyperlink"/>
              </w:rPr>
            </w:r>
            <w:r w:rsidR="008A7F4A">
              <w:rPr>
                <w:rStyle w:val="Hyperlink"/>
              </w:rPr>
              <w:fldChar w:fldCharType="separate"/>
            </w:r>
            <w:r w:rsidR="008A7F4A">
              <w:rPr>
                <w:rStyle w:val="Hyperlink"/>
                <w:webHidden/>
              </w:rPr>
              <w:t>38</w:t>
            </w:r>
            <w:r w:rsidR="008A7F4A">
              <w:rPr>
                <w:rStyle w:val="Hyperlink"/>
              </w:rPr>
              <w:fldChar w:fldCharType="end"/>
            </w:r>
          </w:hyperlink>
        </w:p>
        <w:p w14:paraId="0332D479" w14:textId="77777777" w:rsidR="008A7F4A" w:rsidRDefault="00431E1C" w:rsidP="008A7F4A">
          <w:pPr>
            <w:pStyle w:val="TOC2"/>
          </w:pPr>
          <w:hyperlink r:id="rId46" w:anchor="_Toc77242162" w:history="1">
            <w:r w:rsidR="008A7F4A">
              <w:rPr>
                <w:rStyle w:val="Hyperlink"/>
              </w:rPr>
              <w:t>D.</w:t>
            </w:r>
            <w:r w:rsidR="008A7F4A">
              <w:rPr>
                <w:rStyle w:val="Hyperlink"/>
              </w:rPr>
              <w:tab/>
              <w:t>Specific Considerations and Requirements</w:t>
            </w:r>
            <w:r w:rsidR="008A7F4A">
              <w:rPr>
                <w:rStyle w:val="Hyperlink"/>
                <w:webHidden/>
              </w:rPr>
              <w:tab/>
            </w:r>
            <w:r w:rsidR="008A7F4A">
              <w:rPr>
                <w:rStyle w:val="Hyperlink"/>
              </w:rPr>
              <w:fldChar w:fldCharType="begin"/>
            </w:r>
            <w:r w:rsidR="008A7F4A">
              <w:rPr>
                <w:rStyle w:val="Hyperlink"/>
                <w:webHidden/>
              </w:rPr>
              <w:instrText xml:space="preserve"> PAGEREF _Toc77242162 \h </w:instrText>
            </w:r>
            <w:r w:rsidR="008A7F4A">
              <w:rPr>
                <w:rStyle w:val="Hyperlink"/>
              </w:rPr>
            </w:r>
            <w:r w:rsidR="008A7F4A">
              <w:rPr>
                <w:rStyle w:val="Hyperlink"/>
              </w:rPr>
              <w:fldChar w:fldCharType="separate"/>
            </w:r>
            <w:r w:rsidR="008A7F4A">
              <w:rPr>
                <w:rStyle w:val="Hyperlink"/>
                <w:webHidden/>
              </w:rPr>
              <w:t>40</w:t>
            </w:r>
            <w:r w:rsidR="008A7F4A">
              <w:rPr>
                <w:rStyle w:val="Hyperlink"/>
              </w:rPr>
              <w:fldChar w:fldCharType="end"/>
            </w:r>
          </w:hyperlink>
        </w:p>
        <w:p w14:paraId="500DE2A6" w14:textId="77777777" w:rsidR="008A7F4A" w:rsidRDefault="00431E1C" w:rsidP="008A7F4A">
          <w:pPr>
            <w:pStyle w:val="TOC1"/>
          </w:pPr>
          <w:hyperlink r:id="rId47" w:anchor="_Toc77242163" w:history="1">
            <w:r w:rsidR="008A7F4A">
              <w:rPr>
                <w:rStyle w:val="Hyperlink"/>
              </w:rPr>
              <w:t>Section 10: Guidance and Requirements for Setting Contract Holder Behavior Prudent Estimate Assumptions</w:t>
            </w:r>
            <w:r w:rsidR="008A7F4A">
              <w:rPr>
                <w:rStyle w:val="Hyperlink"/>
                <w:webHidden/>
              </w:rPr>
              <w:tab/>
            </w:r>
            <w:r w:rsidR="008A7F4A">
              <w:rPr>
                <w:rStyle w:val="Hyperlink"/>
              </w:rPr>
              <w:fldChar w:fldCharType="begin"/>
            </w:r>
            <w:r w:rsidR="008A7F4A">
              <w:rPr>
                <w:rStyle w:val="Hyperlink"/>
                <w:webHidden/>
              </w:rPr>
              <w:instrText xml:space="preserve"> PAGEREF _Toc77242163 \h </w:instrText>
            </w:r>
            <w:r w:rsidR="008A7F4A">
              <w:rPr>
                <w:rStyle w:val="Hyperlink"/>
              </w:rPr>
            </w:r>
            <w:r w:rsidR="008A7F4A">
              <w:rPr>
                <w:rStyle w:val="Hyperlink"/>
              </w:rPr>
              <w:fldChar w:fldCharType="separate"/>
            </w:r>
            <w:r w:rsidR="008A7F4A">
              <w:rPr>
                <w:rStyle w:val="Hyperlink"/>
                <w:webHidden/>
              </w:rPr>
              <w:t>43</w:t>
            </w:r>
            <w:r w:rsidR="008A7F4A">
              <w:rPr>
                <w:rStyle w:val="Hyperlink"/>
              </w:rPr>
              <w:fldChar w:fldCharType="end"/>
            </w:r>
          </w:hyperlink>
        </w:p>
        <w:p w14:paraId="3FBCD917" w14:textId="77777777" w:rsidR="008A7F4A" w:rsidRDefault="00431E1C" w:rsidP="008A7F4A">
          <w:pPr>
            <w:pStyle w:val="TOC2"/>
          </w:pPr>
          <w:hyperlink r:id="rId48" w:anchor="_Toc77242164" w:history="1">
            <w:r w:rsidR="008A7F4A">
              <w:rPr>
                <w:rStyle w:val="Hyperlink"/>
              </w:rPr>
              <w:t>A.</w:t>
            </w:r>
            <w:r w:rsidR="008A7F4A">
              <w:rPr>
                <w:rStyle w:val="Hyperlink"/>
              </w:rPr>
              <w:tab/>
              <w:t>General</w:t>
            </w:r>
            <w:r w:rsidR="008A7F4A">
              <w:rPr>
                <w:rStyle w:val="Hyperlink"/>
                <w:webHidden/>
              </w:rPr>
              <w:tab/>
            </w:r>
            <w:r w:rsidR="008A7F4A">
              <w:rPr>
                <w:rStyle w:val="Hyperlink"/>
              </w:rPr>
              <w:fldChar w:fldCharType="begin"/>
            </w:r>
            <w:r w:rsidR="008A7F4A">
              <w:rPr>
                <w:rStyle w:val="Hyperlink"/>
                <w:webHidden/>
              </w:rPr>
              <w:instrText xml:space="preserve"> PAGEREF _Toc77242164 \h </w:instrText>
            </w:r>
            <w:r w:rsidR="008A7F4A">
              <w:rPr>
                <w:rStyle w:val="Hyperlink"/>
              </w:rPr>
            </w:r>
            <w:r w:rsidR="008A7F4A">
              <w:rPr>
                <w:rStyle w:val="Hyperlink"/>
              </w:rPr>
              <w:fldChar w:fldCharType="separate"/>
            </w:r>
            <w:r w:rsidR="008A7F4A">
              <w:rPr>
                <w:rStyle w:val="Hyperlink"/>
                <w:webHidden/>
              </w:rPr>
              <w:t>43</w:t>
            </w:r>
            <w:r w:rsidR="008A7F4A">
              <w:rPr>
                <w:rStyle w:val="Hyperlink"/>
              </w:rPr>
              <w:fldChar w:fldCharType="end"/>
            </w:r>
          </w:hyperlink>
        </w:p>
        <w:p w14:paraId="4AE12F95" w14:textId="77777777" w:rsidR="008A7F4A" w:rsidRDefault="00431E1C" w:rsidP="008A7F4A">
          <w:pPr>
            <w:pStyle w:val="TOC2"/>
          </w:pPr>
          <w:hyperlink r:id="rId49" w:anchor="_Toc77242165" w:history="1">
            <w:r w:rsidR="008A7F4A">
              <w:rPr>
                <w:rStyle w:val="Hyperlink"/>
              </w:rPr>
              <w:t>B.</w:t>
            </w:r>
            <w:r w:rsidR="008A7F4A">
              <w:rPr>
                <w:rStyle w:val="Hyperlink"/>
              </w:rPr>
              <w:tab/>
              <w:t>Aggregate vs. Individual Margins</w:t>
            </w:r>
            <w:r w:rsidR="008A7F4A">
              <w:rPr>
                <w:rStyle w:val="Hyperlink"/>
                <w:webHidden/>
              </w:rPr>
              <w:tab/>
            </w:r>
            <w:r w:rsidR="008A7F4A">
              <w:rPr>
                <w:rStyle w:val="Hyperlink"/>
              </w:rPr>
              <w:fldChar w:fldCharType="begin"/>
            </w:r>
            <w:r w:rsidR="008A7F4A">
              <w:rPr>
                <w:rStyle w:val="Hyperlink"/>
                <w:webHidden/>
              </w:rPr>
              <w:instrText xml:space="preserve"> PAGEREF _Toc77242165 \h </w:instrText>
            </w:r>
            <w:r w:rsidR="008A7F4A">
              <w:rPr>
                <w:rStyle w:val="Hyperlink"/>
              </w:rPr>
            </w:r>
            <w:r w:rsidR="008A7F4A">
              <w:rPr>
                <w:rStyle w:val="Hyperlink"/>
              </w:rPr>
              <w:fldChar w:fldCharType="separate"/>
            </w:r>
            <w:r w:rsidR="008A7F4A">
              <w:rPr>
                <w:rStyle w:val="Hyperlink"/>
                <w:webHidden/>
              </w:rPr>
              <w:t>43</w:t>
            </w:r>
            <w:r w:rsidR="008A7F4A">
              <w:rPr>
                <w:rStyle w:val="Hyperlink"/>
              </w:rPr>
              <w:fldChar w:fldCharType="end"/>
            </w:r>
          </w:hyperlink>
        </w:p>
        <w:p w14:paraId="3BEB3402" w14:textId="77777777" w:rsidR="008A7F4A" w:rsidRDefault="00431E1C" w:rsidP="008A7F4A">
          <w:pPr>
            <w:pStyle w:val="TOC2"/>
          </w:pPr>
          <w:hyperlink r:id="rId50" w:anchor="_Toc77242166" w:history="1">
            <w:r w:rsidR="008A7F4A">
              <w:rPr>
                <w:rStyle w:val="Hyperlink"/>
              </w:rPr>
              <w:t>C.</w:t>
            </w:r>
            <w:r w:rsidR="008A7F4A">
              <w:rPr>
                <w:rStyle w:val="Hyperlink"/>
              </w:rPr>
              <w:tab/>
              <w:t>Sensitivity Testing</w:t>
            </w:r>
            <w:r w:rsidR="008A7F4A">
              <w:rPr>
                <w:rStyle w:val="Hyperlink"/>
                <w:webHidden/>
              </w:rPr>
              <w:tab/>
            </w:r>
            <w:r w:rsidR="008A7F4A">
              <w:rPr>
                <w:rStyle w:val="Hyperlink"/>
              </w:rPr>
              <w:fldChar w:fldCharType="begin"/>
            </w:r>
            <w:r w:rsidR="008A7F4A">
              <w:rPr>
                <w:rStyle w:val="Hyperlink"/>
                <w:webHidden/>
              </w:rPr>
              <w:instrText xml:space="preserve"> PAGEREF _Toc77242166 \h </w:instrText>
            </w:r>
            <w:r w:rsidR="008A7F4A">
              <w:rPr>
                <w:rStyle w:val="Hyperlink"/>
              </w:rPr>
            </w:r>
            <w:r w:rsidR="008A7F4A">
              <w:rPr>
                <w:rStyle w:val="Hyperlink"/>
              </w:rPr>
              <w:fldChar w:fldCharType="separate"/>
            </w:r>
            <w:r w:rsidR="008A7F4A">
              <w:rPr>
                <w:rStyle w:val="Hyperlink"/>
                <w:webHidden/>
              </w:rPr>
              <w:t>44</w:t>
            </w:r>
            <w:r w:rsidR="008A7F4A">
              <w:rPr>
                <w:rStyle w:val="Hyperlink"/>
              </w:rPr>
              <w:fldChar w:fldCharType="end"/>
            </w:r>
          </w:hyperlink>
        </w:p>
        <w:p w14:paraId="4936F224" w14:textId="77777777" w:rsidR="008A7F4A" w:rsidRDefault="00431E1C" w:rsidP="008A7F4A">
          <w:pPr>
            <w:pStyle w:val="TOC2"/>
          </w:pPr>
          <w:hyperlink r:id="rId51" w:anchor="_Toc77242167" w:history="1">
            <w:r w:rsidR="008A7F4A">
              <w:rPr>
                <w:rStyle w:val="Hyperlink"/>
              </w:rPr>
              <w:t>D.</w:t>
            </w:r>
            <w:r w:rsidR="008A7F4A">
              <w:rPr>
                <w:rStyle w:val="Hyperlink"/>
              </w:rPr>
              <w:tab/>
              <w:t>Specific Considerations and Requirements</w:t>
            </w:r>
            <w:r w:rsidR="008A7F4A">
              <w:rPr>
                <w:rStyle w:val="Hyperlink"/>
                <w:webHidden/>
              </w:rPr>
              <w:tab/>
            </w:r>
            <w:r w:rsidR="008A7F4A">
              <w:rPr>
                <w:rStyle w:val="Hyperlink"/>
              </w:rPr>
              <w:fldChar w:fldCharType="begin"/>
            </w:r>
            <w:r w:rsidR="008A7F4A">
              <w:rPr>
                <w:rStyle w:val="Hyperlink"/>
                <w:webHidden/>
              </w:rPr>
              <w:instrText xml:space="preserve"> PAGEREF _Toc77242167 \h </w:instrText>
            </w:r>
            <w:r w:rsidR="008A7F4A">
              <w:rPr>
                <w:rStyle w:val="Hyperlink"/>
              </w:rPr>
            </w:r>
            <w:r w:rsidR="008A7F4A">
              <w:rPr>
                <w:rStyle w:val="Hyperlink"/>
              </w:rPr>
              <w:fldChar w:fldCharType="separate"/>
            </w:r>
            <w:r w:rsidR="008A7F4A">
              <w:rPr>
                <w:rStyle w:val="Hyperlink"/>
                <w:webHidden/>
              </w:rPr>
              <w:t>44</w:t>
            </w:r>
            <w:r w:rsidR="008A7F4A">
              <w:rPr>
                <w:rStyle w:val="Hyperlink"/>
              </w:rPr>
              <w:fldChar w:fldCharType="end"/>
            </w:r>
          </w:hyperlink>
        </w:p>
        <w:p w14:paraId="5BF41882" w14:textId="77777777" w:rsidR="008A7F4A" w:rsidRDefault="00431E1C" w:rsidP="008A7F4A">
          <w:pPr>
            <w:pStyle w:val="TOC2"/>
          </w:pPr>
          <w:hyperlink r:id="rId52" w:anchor="_Toc77242168" w:history="1">
            <w:r w:rsidR="008A7F4A">
              <w:rPr>
                <w:rStyle w:val="Hyperlink"/>
              </w:rPr>
              <w:t>E.</w:t>
            </w:r>
            <w:r w:rsidR="008A7F4A">
              <w:rPr>
                <w:rStyle w:val="Hyperlink"/>
              </w:rPr>
              <w:tab/>
              <w:t>Dynamic Assumptions</w:t>
            </w:r>
            <w:r w:rsidR="008A7F4A">
              <w:rPr>
                <w:rStyle w:val="Hyperlink"/>
                <w:webHidden/>
              </w:rPr>
              <w:tab/>
            </w:r>
            <w:r w:rsidR="008A7F4A">
              <w:rPr>
                <w:rStyle w:val="Hyperlink"/>
              </w:rPr>
              <w:fldChar w:fldCharType="begin"/>
            </w:r>
            <w:r w:rsidR="008A7F4A">
              <w:rPr>
                <w:rStyle w:val="Hyperlink"/>
                <w:webHidden/>
              </w:rPr>
              <w:instrText xml:space="preserve"> PAGEREF _Toc77242168 \h </w:instrText>
            </w:r>
            <w:r w:rsidR="008A7F4A">
              <w:rPr>
                <w:rStyle w:val="Hyperlink"/>
              </w:rPr>
            </w:r>
            <w:r w:rsidR="008A7F4A">
              <w:rPr>
                <w:rStyle w:val="Hyperlink"/>
              </w:rPr>
              <w:fldChar w:fldCharType="separate"/>
            </w:r>
            <w:r w:rsidR="008A7F4A">
              <w:rPr>
                <w:rStyle w:val="Hyperlink"/>
                <w:webHidden/>
              </w:rPr>
              <w:t>46</w:t>
            </w:r>
            <w:r w:rsidR="008A7F4A">
              <w:rPr>
                <w:rStyle w:val="Hyperlink"/>
              </w:rPr>
              <w:fldChar w:fldCharType="end"/>
            </w:r>
          </w:hyperlink>
        </w:p>
        <w:p w14:paraId="3E5D0D5E" w14:textId="77777777" w:rsidR="008A7F4A" w:rsidRDefault="00431E1C" w:rsidP="008A7F4A">
          <w:pPr>
            <w:pStyle w:val="TOC2"/>
          </w:pPr>
          <w:hyperlink r:id="rId53" w:anchor="_Toc77242169" w:history="1">
            <w:r w:rsidR="008A7F4A">
              <w:rPr>
                <w:rStyle w:val="Hyperlink"/>
              </w:rPr>
              <w:t>F.</w:t>
            </w:r>
            <w:r w:rsidR="008A7F4A">
              <w:rPr>
                <w:rStyle w:val="Hyperlink"/>
              </w:rPr>
              <w:tab/>
              <w:t>Consistency with the CTE Level</w:t>
            </w:r>
            <w:r w:rsidR="008A7F4A">
              <w:rPr>
                <w:rStyle w:val="Hyperlink"/>
                <w:webHidden/>
              </w:rPr>
              <w:tab/>
            </w:r>
            <w:r w:rsidR="008A7F4A">
              <w:rPr>
                <w:rStyle w:val="Hyperlink"/>
              </w:rPr>
              <w:fldChar w:fldCharType="begin"/>
            </w:r>
            <w:r w:rsidR="008A7F4A">
              <w:rPr>
                <w:rStyle w:val="Hyperlink"/>
                <w:webHidden/>
              </w:rPr>
              <w:instrText xml:space="preserve"> PAGEREF _Toc77242169 \h </w:instrText>
            </w:r>
            <w:r w:rsidR="008A7F4A">
              <w:rPr>
                <w:rStyle w:val="Hyperlink"/>
              </w:rPr>
            </w:r>
            <w:r w:rsidR="008A7F4A">
              <w:rPr>
                <w:rStyle w:val="Hyperlink"/>
              </w:rPr>
              <w:fldChar w:fldCharType="separate"/>
            </w:r>
            <w:r w:rsidR="008A7F4A">
              <w:rPr>
                <w:rStyle w:val="Hyperlink"/>
                <w:webHidden/>
              </w:rPr>
              <w:t>47</w:t>
            </w:r>
            <w:r w:rsidR="008A7F4A">
              <w:rPr>
                <w:rStyle w:val="Hyperlink"/>
              </w:rPr>
              <w:fldChar w:fldCharType="end"/>
            </w:r>
          </w:hyperlink>
        </w:p>
        <w:p w14:paraId="12D69655" w14:textId="77777777" w:rsidR="008A7F4A" w:rsidRDefault="00431E1C" w:rsidP="008A7F4A">
          <w:pPr>
            <w:pStyle w:val="TOC2"/>
          </w:pPr>
          <w:hyperlink r:id="rId54" w:anchor="_Toc77242170" w:history="1">
            <w:r w:rsidR="008A7F4A">
              <w:rPr>
                <w:rStyle w:val="Hyperlink"/>
              </w:rPr>
              <w:t>G.</w:t>
            </w:r>
            <w:r w:rsidR="008A7F4A">
              <w:rPr>
                <w:rStyle w:val="Hyperlink"/>
              </w:rPr>
              <w:tab/>
              <w:t>Additional Considerations and Requirements for Assumptions Applicable to Guaranteed  Living Benefits</w:t>
            </w:r>
            <w:r w:rsidR="008A7F4A">
              <w:rPr>
                <w:rStyle w:val="Hyperlink"/>
                <w:webHidden/>
              </w:rPr>
              <w:tab/>
            </w:r>
            <w:r w:rsidR="008A7F4A">
              <w:rPr>
                <w:rStyle w:val="Hyperlink"/>
              </w:rPr>
              <w:fldChar w:fldCharType="begin"/>
            </w:r>
            <w:r w:rsidR="008A7F4A">
              <w:rPr>
                <w:rStyle w:val="Hyperlink"/>
                <w:webHidden/>
              </w:rPr>
              <w:instrText xml:space="preserve"> PAGEREF _Toc77242170 \h </w:instrText>
            </w:r>
            <w:r w:rsidR="008A7F4A">
              <w:rPr>
                <w:rStyle w:val="Hyperlink"/>
              </w:rPr>
            </w:r>
            <w:r w:rsidR="008A7F4A">
              <w:rPr>
                <w:rStyle w:val="Hyperlink"/>
              </w:rPr>
              <w:fldChar w:fldCharType="separate"/>
            </w:r>
            <w:r w:rsidR="008A7F4A">
              <w:rPr>
                <w:rStyle w:val="Hyperlink"/>
                <w:webHidden/>
              </w:rPr>
              <w:t>47</w:t>
            </w:r>
            <w:r w:rsidR="008A7F4A">
              <w:rPr>
                <w:rStyle w:val="Hyperlink"/>
              </w:rPr>
              <w:fldChar w:fldCharType="end"/>
            </w:r>
          </w:hyperlink>
        </w:p>
        <w:p w14:paraId="4D5203C9" w14:textId="77777777" w:rsidR="008A7F4A" w:rsidRDefault="00431E1C" w:rsidP="008A7F4A">
          <w:pPr>
            <w:pStyle w:val="TOC2"/>
          </w:pPr>
          <w:hyperlink r:id="rId55" w:anchor="_Toc77242171" w:history="1">
            <w:r w:rsidR="008A7F4A">
              <w:rPr>
                <w:rStyle w:val="Hyperlink"/>
              </w:rPr>
              <w:t>H.</w:t>
            </w:r>
            <w:r w:rsidR="008A7F4A">
              <w:rPr>
                <w:rStyle w:val="Hyperlink"/>
              </w:rPr>
              <w:tab/>
              <w:t>Policy Loans</w:t>
            </w:r>
            <w:r w:rsidR="008A7F4A">
              <w:rPr>
                <w:rStyle w:val="Hyperlink"/>
                <w:webHidden/>
              </w:rPr>
              <w:tab/>
            </w:r>
            <w:r w:rsidR="008A7F4A">
              <w:rPr>
                <w:rStyle w:val="Hyperlink"/>
              </w:rPr>
              <w:fldChar w:fldCharType="begin"/>
            </w:r>
            <w:r w:rsidR="008A7F4A">
              <w:rPr>
                <w:rStyle w:val="Hyperlink"/>
                <w:webHidden/>
              </w:rPr>
              <w:instrText xml:space="preserve"> PAGEREF _Toc77242171 \h </w:instrText>
            </w:r>
            <w:r w:rsidR="008A7F4A">
              <w:rPr>
                <w:rStyle w:val="Hyperlink"/>
              </w:rPr>
            </w:r>
            <w:r w:rsidR="008A7F4A">
              <w:rPr>
                <w:rStyle w:val="Hyperlink"/>
              </w:rPr>
              <w:fldChar w:fldCharType="separate"/>
            </w:r>
            <w:r w:rsidR="008A7F4A">
              <w:rPr>
                <w:rStyle w:val="Hyperlink"/>
                <w:webHidden/>
              </w:rPr>
              <w:t>48</w:t>
            </w:r>
            <w:r w:rsidR="008A7F4A">
              <w:rPr>
                <w:rStyle w:val="Hyperlink"/>
              </w:rPr>
              <w:fldChar w:fldCharType="end"/>
            </w:r>
          </w:hyperlink>
        </w:p>
        <w:p w14:paraId="5E6805BE" w14:textId="77777777" w:rsidR="008A7F4A" w:rsidRDefault="00431E1C" w:rsidP="008A7F4A">
          <w:pPr>
            <w:pStyle w:val="TOC2"/>
          </w:pPr>
          <w:hyperlink r:id="rId56" w:anchor="_Toc77242172" w:history="1">
            <w:r w:rsidR="008A7F4A">
              <w:rPr>
                <w:rStyle w:val="Hyperlink"/>
              </w:rPr>
              <w:t>I.</w:t>
            </w:r>
            <w:r w:rsidR="008A7F4A">
              <w:rPr>
                <w:rStyle w:val="Hyperlink"/>
              </w:rPr>
              <w:tab/>
              <w:t>Non-Guaranteed Elements</w:t>
            </w:r>
            <w:r w:rsidR="008A7F4A">
              <w:rPr>
                <w:rStyle w:val="Hyperlink"/>
                <w:webHidden/>
              </w:rPr>
              <w:tab/>
            </w:r>
            <w:r w:rsidR="008A7F4A">
              <w:rPr>
                <w:rStyle w:val="Hyperlink"/>
              </w:rPr>
              <w:fldChar w:fldCharType="begin"/>
            </w:r>
            <w:r w:rsidR="008A7F4A">
              <w:rPr>
                <w:rStyle w:val="Hyperlink"/>
                <w:webHidden/>
              </w:rPr>
              <w:instrText xml:space="preserve"> PAGEREF _Toc77242172 \h </w:instrText>
            </w:r>
            <w:r w:rsidR="008A7F4A">
              <w:rPr>
                <w:rStyle w:val="Hyperlink"/>
              </w:rPr>
            </w:r>
            <w:r w:rsidR="008A7F4A">
              <w:rPr>
                <w:rStyle w:val="Hyperlink"/>
              </w:rPr>
              <w:fldChar w:fldCharType="separate"/>
            </w:r>
            <w:r w:rsidR="008A7F4A">
              <w:rPr>
                <w:rStyle w:val="Hyperlink"/>
                <w:webHidden/>
              </w:rPr>
              <w:t>48</w:t>
            </w:r>
            <w:r w:rsidR="008A7F4A">
              <w:rPr>
                <w:rStyle w:val="Hyperlink"/>
              </w:rPr>
              <w:fldChar w:fldCharType="end"/>
            </w:r>
          </w:hyperlink>
        </w:p>
        <w:p w14:paraId="57B12E0D" w14:textId="77777777" w:rsidR="008A7F4A" w:rsidRDefault="00431E1C" w:rsidP="008A7F4A">
          <w:pPr>
            <w:pStyle w:val="TOC1"/>
          </w:pPr>
          <w:hyperlink r:id="rId57" w:anchor="_Toc77242173" w:history="1">
            <w:r w:rsidR="008A7F4A">
              <w:rPr>
                <w:rStyle w:val="Hyperlink"/>
              </w:rPr>
              <w:t>Section 11: Guidance and Requirements for Setting Prudent Estimate Mortality Assumptions</w:t>
            </w:r>
            <w:r w:rsidR="008A7F4A">
              <w:rPr>
                <w:rStyle w:val="Hyperlink"/>
                <w:webHidden/>
              </w:rPr>
              <w:tab/>
            </w:r>
            <w:r w:rsidR="008A7F4A">
              <w:rPr>
                <w:rStyle w:val="Hyperlink"/>
              </w:rPr>
              <w:fldChar w:fldCharType="begin"/>
            </w:r>
            <w:r w:rsidR="008A7F4A">
              <w:rPr>
                <w:rStyle w:val="Hyperlink"/>
                <w:webHidden/>
              </w:rPr>
              <w:instrText xml:space="preserve"> PAGEREF _Toc77242173 \h </w:instrText>
            </w:r>
            <w:r w:rsidR="008A7F4A">
              <w:rPr>
                <w:rStyle w:val="Hyperlink"/>
              </w:rPr>
            </w:r>
            <w:r w:rsidR="008A7F4A">
              <w:rPr>
                <w:rStyle w:val="Hyperlink"/>
              </w:rPr>
              <w:fldChar w:fldCharType="separate"/>
            </w:r>
            <w:r w:rsidR="008A7F4A">
              <w:rPr>
                <w:rStyle w:val="Hyperlink"/>
                <w:webHidden/>
              </w:rPr>
              <w:t>51</w:t>
            </w:r>
            <w:r w:rsidR="008A7F4A">
              <w:rPr>
                <w:rStyle w:val="Hyperlink"/>
              </w:rPr>
              <w:fldChar w:fldCharType="end"/>
            </w:r>
          </w:hyperlink>
        </w:p>
        <w:p w14:paraId="4340955E" w14:textId="77777777" w:rsidR="008A7F4A" w:rsidRDefault="00431E1C" w:rsidP="008A7F4A">
          <w:pPr>
            <w:pStyle w:val="TOC2"/>
          </w:pPr>
          <w:hyperlink r:id="rId58" w:anchor="_Toc77242174" w:history="1">
            <w:r w:rsidR="008A7F4A">
              <w:rPr>
                <w:rStyle w:val="Hyperlink"/>
              </w:rPr>
              <w:t>A.</w:t>
            </w:r>
            <w:r w:rsidR="008A7F4A">
              <w:rPr>
                <w:rStyle w:val="Hyperlink"/>
              </w:rPr>
              <w:tab/>
              <w:t>Overview</w:t>
            </w:r>
            <w:r w:rsidR="008A7F4A">
              <w:rPr>
                <w:rStyle w:val="Hyperlink"/>
                <w:webHidden/>
              </w:rPr>
              <w:tab/>
            </w:r>
            <w:r w:rsidR="008A7F4A">
              <w:rPr>
                <w:rStyle w:val="Hyperlink"/>
              </w:rPr>
              <w:fldChar w:fldCharType="begin"/>
            </w:r>
            <w:r w:rsidR="008A7F4A">
              <w:rPr>
                <w:rStyle w:val="Hyperlink"/>
                <w:webHidden/>
              </w:rPr>
              <w:instrText xml:space="preserve"> PAGEREF _Toc77242174 \h </w:instrText>
            </w:r>
            <w:r w:rsidR="008A7F4A">
              <w:rPr>
                <w:rStyle w:val="Hyperlink"/>
              </w:rPr>
            </w:r>
            <w:r w:rsidR="008A7F4A">
              <w:rPr>
                <w:rStyle w:val="Hyperlink"/>
              </w:rPr>
              <w:fldChar w:fldCharType="separate"/>
            </w:r>
            <w:r w:rsidR="008A7F4A">
              <w:rPr>
                <w:rStyle w:val="Hyperlink"/>
                <w:webHidden/>
              </w:rPr>
              <w:t>51</w:t>
            </w:r>
            <w:r w:rsidR="008A7F4A">
              <w:rPr>
                <w:rStyle w:val="Hyperlink"/>
              </w:rPr>
              <w:fldChar w:fldCharType="end"/>
            </w:r>
          </w:hyperlink>
        </w:p>
        <w:p w14:paraId="1FAF1F87" w14:textId="77777777" w:rsidR="008A7F4A" w:rsidRDefault="00431E1C" w:rsidP="008A7F4A">
          <w:pPr>
            <w:pStyle w:val="TOC2"/>
          </w:pPr>
          <w:hyperlink r:id="rId59" w:anchor="_Toc77242175" w:history="1">
            <w:r w:rsidR="008A7F4A">
              <w:rPr>
                <w:rStyle w:val="Hyperlink"/>
              </w:rPr>
              <w:t>B.</w:t>
            </w:r>
            <w:r w:rsidR="008A7F4A">
              <w:rPr>
                <w:rStyle w:val="Hyperlink"/>
              </w:rPr>
              <w:tab/>
              <w:t>Determination of Expected Mortality Curves</w:t>
            </w:r>
            <w:r w:rsidR="008A7F4A">
              <w:rPr>
                <w:rStyle w:val="Hyperlink"/>
                <w:webHidden/>
              </w:rPr>
              <w:tab/>
            </w:r>
            <w:r w:rsidR="008A7F4A">
              <w:rPr>
                <w:rStyle w:val="Hyperlink"/>
              </w:rPr>
              <w:fldChar w:fldCharType="begin"/>
            </w:r>
            <w:r w:rsidR="008A7F4A">
              <w:rPr>
                <w:rStyle w:val="Hyperlink"/>
                <w:webHidden/>
              </w:rPr>
              <w:instrText xml:space="preserve"> PAGEREF _Toc77242175 \h </w:instrText>
            </w:r>
            <w:r w:rsidR="008A7F4A">
              <w:rPr>
                <w:rStyle w:val="Hyperlink"/>
              </w:rPr>
            </w:r>
            <w:r w:rsidR="008A7F4A">
              <w:rPr>
                <w:rStyle w:val="Hyperlink"/>
              </w:rPr>
              <w:fldChar w:fldCharType="separate"/>
            </w:r>
            <w:r w:rsidR="008A7F4A">
              <w:rPr>
                <w:rStyle w:val="Hyperlink"/>
                <w:webHidden/>
              </w:rPr>
              <w:t>52</w:t>
            </w:r>
            <w:r w:rsidR="008A7F4A">
              <w:rPr>
                <w:rStyle w:val="Hyperlink"/>
              </w:rPr>
              <w:fldChar w:fldCharType="end"/>
            </w:r>
          </w:hyperlink>
        </w:p>
        <w:p w14:paraId="1C59327F" w14:textId="77777777" w:rsidR="008A7F4A" w:rsidRDefault="00431E1C" w:rsidP="008A7F4A">
          <w:pPr>
            <w:pStyle w:val="TOC2"/>
          </w:pPr>
          <w:hyperlink r:id="rId60" w:anchor="_Toc77242176" w:history="1">
            <w:r w:rsidR="008A7F4A">
              <w:rPr>
                <w:rStyle w:val="Hyperlink"/>
              </w:rPr>
              <w:t>C.</w:t>
            </w:r>
            <w:r w:rsidR="008A7F4A">
              <w:rPr>
                <w:rStyle w:val="Hyperlink"/>
              </w:rPr>
              <w:tab/>
              <w:t>Adjustment for Credibility to Determine Prudent Estimate Mortality</w:t>
            </w:r>
            <w:r w:rsidR="008A7F4A">
              <w:rPr>
                <w:rStyle w:val="Hyperlink"/>
                <w:webHidden/>
              </w:rPr>
              <w:tab/>
            </w:r>
            <w:r w:rsidR="008A7F4A">
              <w:rPr>
                <w:rStyle w:val="Hyperlink"/>
              </w:rPr>
              <w:fldChar w:fldCharType="begin"/>
            </w:r>
            <w:r w:rsidR="008A7F4A">
              <w:rPr>
                <w:rStyle w:val="Hyperlink"/>
                <w:webHidden/>
              </w:rPr>
              <w:instrText xml:space="preserve"> PAGEREF _Toc77242176 \h </w:instrText>
            </w:r>
            <w:r w:rsidR="008A7F4A">
              <w:rPr>
                <w:rStyle w:val="Hyperlink"/>
              </w:rPr>
            </w:r>
            <w:r w:rsidR="008A7F4A">
              <w:rPr>
                <w:rStyle w:val="Hyperlink"/>
              </w:rPr>
              <w:fldChar w:fldCharType="separate"/>
            </w:r>
            <w:r w:rsidR="008A7F4A">
              <w:rPr>
                <w:rStyle w:val="Hyperlink"/>
                <w:webHidden/>
              </w:rPr>
              <w:t>55</w:t>
            </w:r>
            <w:r w:rsidR="008A7F4A">
              <w:rPr>
                <w:rStyle w:val="Hyperlink"/>
              </w:rPr>
              <w:fldChar w:fldCharType="end"/>
            </w:r>
          </w:hyperlink>
        </w:p>
        <w:p w14:paraId="24F2EB4F" w14:textId="77777777" w:rsidR="008A7F4A" w:rsidRDefault="00431E1C" w:rsidP="008A7F4A">
          <w:pPr>
            <w:pStyle w:val="TOC2"/>
          </w:pPr>
          <w:hyperlink r:id="rId61" w:anchor="_Toc77242177" w:history="1">
            <w:r w:rsidR="008A7F4A">
              <w:rPr>
                <w:rStyle w:val="Hyperlink"/>
              </w:rPr>
              <w:t>D.</w:t>
            </w:r>
            <w:r w:rsidR="008A7F4A">
              <w:rPr>
                <w:rStyle w:val="Hyperlink"/>
              </w:rPr>
              <w:tab/>
              <w:t>Future Mortality Improvement</w:t>
            </w:r>
            <w:r w:rsidR="008A7F4A">
              <w:rPr>
                <w:rStyle w:val="Hyperlink"/>
                <w:webHidden/>
              </w:rPr>
              <w:tab/>
            </w:r>
            <w:r w:rsidR="008A7F4A">
              <w:rPr>
                <w:rStyle w:val="Hyperlink"/>
              </w:rPr>
              <w:fldChar w:fldCharType="begin"/>
            </w:r>
            <w:r w:rsidR="008A7F4A">
              <w:rPr>
                <w:rStyle w:val="Hyperlink"/>
                <w:webHidden/>
              </w:rPr>
              <w:instrText xml:space="preserve"> PAGEREF _Toc77242177 \h </w:instrText>
            </w:r>
            <w:r w:rsidR="008A7F4A">
              <w:rPr>
                <w:rStyle w:val="Hyperlink"/>
              </w:rPr>
            </w:r>
            <w:r w:rsidR="008A7F4A">
              <w:rPr>
                <w:rStyle w:val="Hyperlink"/>
              </w:rPr>
              <w:fldChar w:fldCharType="separate"/>
            </w:r>
            <w:r w:rsidR="008A7F4A">
              <w:rPr>
                <w:rStyle w:val="Hyperlink"/>
                <w:webHidden/>
              </w:rPr>
              <w:t>56</w:t>
            </w:r>
            <w:r w:rsidR="008A7F4A">
              <w:rPr>
                <w:rStyle w:val="Hyperlink"/>
              </w:rPr>
              <w:fldChar w:fldCharType="end"/>
            </w:r>
          </w:hyperlink>
        </w:p>
        <w:p w14:paraId="1639FFE2" w14:textId="77777777" w:rsidR="008A7F4A" w:rsidRDefault="00431E1C" w:rsidP="008A7F4A">
          <w:pPr>
            <w:pStyle w:val="TOC1"/>
          </w:pPr>
          <w:hyperlink r:id="rId62" w:anchor="_Toc77242178" w:history="1">
            <w:r w:rsidR="008A7F4A">
              <w:rPr>
                <w:rStyle w:val="Hyperlink"/>
              </w:rPr>
              <w:t>Section 12: Allocation of Aggregate Reserves to the Contract Level</w:t>
            </w:r>
            <w:r w:rsidR="008A7F4A">
              <w:rPr>
                <w:rStyle w:val="Hyperlink"/>
                <w:webHidden/>
              </w:rPr>
              <w:tab/>
            </w:r>
            <w:r w:rsidR="008A7F4A">
              <w:rPr>
                <w:rStyle w:val="Hyperlink"/>
              </w:rPr>
              <w:fldChar w:fldCharType="begin"/>
            </w:r>
            <w:r w:rsidR="008A7F4A">
              <w:rPr>
                <w:rStyle w:val="Hyperlink"/>
                <w:webHidden/>
              </w:rPr>
              <w:instrText xml:space="preserve"> PAGEREF _Toc77242178 \h </w:instrText>
            </w:r>
            <w:r w:rsidR="008A7F4A">
              <w:rPr>
                <w:rStyle w:val="Hyperlink"/>
              </w:rPr>
            </w:r>
            <w:r w:rsidR="008A7F4A">
              <w:rPr>
                <w:rStyle w:val="Hyperlink"/>
              </w:rPr>
              <w:fldChar w:fldCharType="separate"/>
            </w:r>
            <w:r w:rsidR="008A7F4A">
              <w:rPr>
                <w:rStyle w:val="Hyperlink"/>
                <w:webHidden/>
              </w:rPr>
              <w:t>57</w:t>
            </w:r>
            <w:r w:rsidR="008A7F4A">
              <w:rPr>
                <w:rStyle w:val="Hyperlink"/>
              </w:rPr>
              <w:fldChar w:fldCharType="end"/>
            </w:r>
          </w:hyperlink>
        </w:p>
        <w:p w14:paraId="4A1A2DD5" w14:textId="77777777" w:rsidR="008A7F4A" w:rsidRDefault="00431E1C" w:rsidP="008A7F4A">
          <w:pPr>
            <w:pStyle w:val="TOC1"/>
          </w:pPr>
          <w:hyperlink r:id="rId63" w:anchor="_Toc77242179" w:history="1">
            <w:r w:rsidR="008A7F4A">
              <w:rPr>
                <w:rStyle w:val="Hyperlink"/>
              </w:rPr>
              <w:t>Section 13: Statutory Maximum Valuation Interest Rates for Income Annuity Formulaic Reserves</w:t>
            </w:r>
            <w:r w:rsidR="008A7F4A">
              <w:rPr>
                <w:rStyle w:val="Hyperlink"/>
                <w:webHidden/>
              </w:rPr>
              <w:tab/>
            </w:r>
            <w:r w:rsidR="008A7F4A">
              <w:rPr>
                <w:rStyle w:val="Hyperlink"/>
              </w:rPr>
              <w:fldChar w:fldCharType="begin"/>
            </w:r>
            <w:r w:rsidR="008A7F4A">
              <w:rPr>
                <w:rStyle w:val="Hyperlink"/>
                <w:webHidden/>
              </w:rPr>
              <w:instrText xml:space="preserve"> PAGEREF _Toc77242179 \h </w:instrText>
            </w:r>
            <w:r w:rsidR="008A7F4A">
              <w:rPr>
                <w:rStyle w:val="Hyperlink"/>
              </w:rPr>
            </w:r>
            <w:r w:rsidR="008A7F4A">
              <w:rPr>
                <w:rStyle w:val="Hyperlink"/>
              </w:rPr>
              <w:fldChar w:fldCharType="separate"/>
            </w:r>
            <w:r w:rsidR="008A7F4A">
              <w:rPr>
                <w:rStyle w:val="Hyperlink"/>
                <w:webHidden/>
              </w:rPr>
              <w:t>60</w:t>
            </w:r>
            <w:r w:rsidR="008A7F4A">
              <w:rPr>
                <w:rStyle w:val="Hyperlink"/>
              </w:rPr>
              <w:fldChar w:fldCharType="end"/>
            </w:r>
          </w:hyperlink>
        </w:p>
        <w:p w14:paraId="695D2F13" w14:textId="77777777" w:rsidR="008A7F4A" w:rsidRDefault="00431E1C" w:rsidP="008A7F4A">
          <w:pPr>
            <w:pStyle w:val="TOC3"/>
            <w:rPr>
              <w:rFonts w:ascii="Times New Roman" w:hAnsi="Times New Roman"/>
              <w:noProof/>
            </w:rPr>
          </w:pPr>
          <w:hyperlink r:id="rId64" w:anchor="_Toc77242180" w:history="1">
            <w:r w:rsidR="008A7F4A">
              <w:rPr>
                <w:rStyle w:val="Hyperlink"/>
                <w:rFonts w:ascii="Times New Roman" w:hAnsi="Times New Roman"/>
                <w:noProof/>
              </w:rPr>
              <w:t>A. Purpose and Scope</w:t>
            </w:r>
            <w:r w:rsidR="008A7F4A">
              <w:rPr>
                <w:rStyle w:val="Hyperlink"/>
                <w:rFonts w:ascii="Times New Roman" w:hAnsi="Times New Roman"/>
                <w:noProof/>
                <w:webHidden/>
              </w:rPr>
              <w:tab/>
            </w:r>
            <w:r w:rsidR="008A7F4A">
              <w:rPr>
                <w:rStyle w:val="Hyperlink"/>
              </w:rPr>
              <w:fldChar w:fldCharType="begin"/>
            </w:r>
            <w:r w:rsidR="008A7F4A">
              <w:rPr>
                <w:rStyle w:val="Hyperlink"/>
                <w:rFonts w:ascii="Times New Roman" w:hAnsi="Times New Roman"/>
                <w:noProof/>
                <w:webHidden/>
              </w:rPr>
              <w:instrText xml:space="preserve"> PAGEREF _Toc77242180 \h </w:instrText>
            </w:r>
            <w:r w:rsidR="008A7F4A">
              <w:rPr>
                <w:rStyle w:val="Hyperlink"/>
              </w:rPr>
            </w:r>
            <w:r w:rsidR="008A7F4A">
              <w:rPr>
                <w:rStyle w:val="Hyperlink"/>
              </w:rPr>
              <w:fldChar w:fldCharType="separate"/>
            </w:r>
            <w:r w:rsidR="008A7F4A">
              <w:rPr>
                <w:rStyle w:val="Hyperlink"/>
                <w:rFonts w:ascii="Times New Roman" w:hAnsi="Times New Roman"/>
                <w:noProof/>
                <w:webHidden/>
              </w:rPr>
              <w:t>60</w:t>
            </w:r>
            <w:r w:rsidR="008A7F4A">
              <w:rPr>
                <w:rStyle w:val="Hyperlink"/>
              </w:rPr>
              <w:fldChar w:fldCharType="end"/>
            </w:r>
          </w:hyperlink>
        </w:p>
        <w:p w14:paraId="36E3DEEB" w14:textId="77777777" w:rsidR="008A7F4A" w:rsidRDefault="00431E1C" w:rsidP="008A7F4A">
          <w:pPr>
            <w:pStyle w:val="TOC3"/>
            <w:rPr>
              <w:rFonts w:ascii="Times New Roman" w:hAnsi="Times New Roman"/>
              <w:noProof/>
            </w:rPr>
          </w:pPr>
          <w:hyperlink r:id="rId65" w:anchor="_Toc77242181" w:history="1">
            <w:r w:rsidR="008A7F4A">
              <w:rPr>
                <w:rStyle w:val="Hyperlink"/>
                <w:rFonts w:ascii="Times New Roman" w:hAnsi="Times New Roman"/>
                <w:noProof/>
              </w:rPr>
              <w:t>B. Definitions</w:t>
            </w:r>
            <w:r w:rsidR="008A7F4A">
              <w:rPr>
                <w:rStyle w:val="Hyperlink"/>
                <w:rFonts w:ascii="Times New Roman" w:hAnsi="Times New Roman"/>
                <w:noProof/>
                <w:webHidden/>
              </w:rPr>
              <w:tab/>
            </w:r>
            <w:r w:rsidR="008A7F4A">
              <w:rPr>
                <w:rStyle w:val="Hyperlink"/>
              </w:rPr>
              <w:fldChar w:fldCharType="begin"/>
            </w:r>
            <w:r w:rsidR="008A7F4A">
              <w:rPr>
                <w:rStyle w:val="Hyperlink"/>
                <w:rFonts w:ascii="Times New Roman" w:hAnsi="Times New Roman"/>
                <w:noProof/>
                <w:webHidden/>
              </w:rPr>
              <w:instrText xml:space="preserve"> PAGEREF _Toc77242181 \h </w:instrText>
            </w:r>
            <w:r w:rsidR="008A7F4A">
              <w:rPr>
                <w:rStyle w:val="Hyperlink"/>
              </w:rPr>
            </w:r>
            <w:r w:rsidR="008A7F4A">
              <w:rPr>
                <w:rStyle w:val="Hyperlink"/>
              </w:rPr>
              <w:fldChar w:fldCharType="separate"/>
            </w:r>
            <w:r w:rsidR="008A7F4A">
              <w:rPr>
                <w:rStyle w:val="Hyperlink"/>
                <w:rFonts w:ascii="Times New Roman" w:hAnsi="Times New Roman"/>
                <w:noProof/>
                <w:webHidden/>
              </w:rPr>
              <w:t>61</w:t>
            </w:r>
            <w:r w:rsidR="008A7F4A">
              <w:rPr>
                <w:rStyle w:val="Hyperlink"/>
              </w:rPr>
              <w:fldChar w:fldCharType="end"/>
            </w:r>
          </w:hyperlink>
        </w:p>
        <w:p w14:paraId="5EEBB03D" w14:textId="77777777" w:rsidR="008A7F4A" w:rsidRDefault="00431E1C" w:rsidP="008A7F4A">
          <w:pPr>
            <w:pStyle w:val="TOC3"/>
            <w:rPr>
              <w:rFonts w:ascii="Times New Roman" w:hAnsi="Times New Roman"/>
              <w:noProof/>
            </w:rPr>
          </w:pPr>
          <w:hyperlink r:id="rId66" w:anchor="_Toc77242182" w:history="1">
            <w:r w:rsidR="008A7F4A">
              <w:rPr>
                <w:rStyle w:val="Hyperlink"/>
                <w:rFonts w:ascii="Times New Roman" w:eastAsiaTheme="minorHAnsi" w:hAnsi="Times New Roman"/>
                <w:noProof/>
              </w:rPr>
              <w:t>C. Determination of the Statutory Maximum Valuation Interest Rate</w:t>
            </w:r>
            <w:r w:rsidR="008A7F4A">
              <w:rPr>
                <w:rStyle w:val="Hyperlink"/>
                <w:rFonts w:ascii="Times New Roman" w:hAnsi="Times New Roman"/>
                <w:noProof/>
                <w:webHidden/>
              </w:rPr>
              <w:tab/>
            </w:r>
            <w:r w:rsidR="008A7F4A">
              <w:rPr>
                <w:rStyle w:val="Hyperlink"/>
              </w:rPr>
              <w:fldChar w:fldCharType="begin"/>
            </w:r>
            <w:r w:rsidR="008A7F4A">
              <w:rPr>
                <w:rStyle w:val="Hyperlink"/>
                <w:rFonts w:ascii="Times New Roman" w:hAnsi="Times New Roman"/>
                <w:noProof/>
                <w:webHidden/>
              </w:rPr>
              <w:instrText xml:space="preserve"> PAGEREF _Toc77242182 \h </w:instrText>
            </w:r>
            <w:r w:rsidR="008A7F4A">
              <w:rPr>
                <w:rStyle w:val="Hyperlink"/>
              </w:rPr>
            </w:r>
            <w:r w:rsidR="008A7F4A">
              <w:rPr>
                <w:rStyle w:val="Hyperlink"/>
              </w:rPr>
              <w:fldChar w:fldCharType="separate"/>
            </w:r>
            <w:r w:rsidR="008A7F4A">
              <w:rPr>
                <w:rStyle w:val="Hyperlink"/>
                <w:rFonts w:ascii="Times New Roman" w:hAnsi="Times New Roman"/>
                <w:noProof/>
                <w:webHidden/>
              </w:rPr>
              <w:t>62</w:t>
            </w:r>
            <w:r w:rsidR="008A7F4A">
              <w:rPr>
                <w:rStyle w:val="Hyperlink"/>
              </w:rPr>
              <w:fldChar w:fldCharType="end"/>
            </w:r>
          </w:hyperlink>
        </w:p>
        <w:p w14:paraId="12D51052" w14:textId="77777777" w:rsidR="008A7F4A" w:rsidRDefault="00431E1C" w:rsidP="008A7F4A">
          <w:pPr>
            <w:pStyle w:val="TOC1"/>
          </w:pPr>
          <w:hyperlink r:id="rId67" w:anchor="_Toc77242183" w:history="1">
            <w:r w:rsidR="008A7F4A">
              <w:rPr>
                <w:rStyle w:val="Hyperlink"/>
              </w:rPr>
              <w:t>Valuation Manual Section II. Reserve Requirements</w:t>
            </w:r>
            <w:r w:rsidR="008A7F4A">
              <w:rPr>
                <w:rStyle w:val="Hyperlink"/>
                <w:webHidden/>
              </w:rPr>
              <w:tab/>
            </w:r>
            <w:r w:rsidR="008A7F4A">
              <w:rPr>
                <w:rStyle w:val="Hyperlink"/>
              </w:rPr>
              <w:fldChar w:fldCharType="begin"/>
            </w:r>
            <w:r w:rsidR="008A7F4A">
              <w:rPr>
                <w:rStyle w:val="Hyperlink"/>
                <w:webHidden/>
              </w:rPr>
              <w:instrText xml:space="preserve"> PAGEREF _Toc77242183 \h </w:instrText>
            </w:r>
            <w:r w:rsidR="008A7F4A">
              <w:rPr>
                <w:rStyle w:val="Hyperlink"/>
              </w:rPr>
            </w:r>
            <w:r w:rsidR="008A7F4A">
              <w:rPr>
                <w:rStyle w:val="Hyperlink"/>
              </w:rPr>
              <w:fldChar w:fldCharType="separate"/>
            </w:r>
            <w:r w:rsidR="008A7F4A">
              <w:rPr>
                <w:rStyle w:val="Hyperlink"/>
                <w:webHidden/>
              </w:rPr>
              <w:t>71</w:t>
            </w:r>
            <w:r w:rsidR="008A7F4A">
              <w:rPr>
                <w:rStyle w:val="Hyperlink"/>
              </w:rPr>
              <w:fldChar w:fldCharType="end"/>
            </w:r>
          </w:hyperlink>
        </w:p>
        <w:p w14:paraId="12DFCC72" w14:textId="77777777" w:rsidR="008A7F4A" w:rsidRDefault="00431E1C" w:rsidP="008A7F4A">
          <w:pPr>
            <w:pStyle w:val="TOC1"/>
          </w:pPr>
          <w:hyperlink r:id="rId68" w:anchor="_Toc77242184" w:history="1">
            <w:r w:rsidR="008A7F4A">
              <w:rPr>
                <w:rStyle w:val="Hyperlink"/>
              </w:rPr>
              <w:t>Subsection 2: Annuity Products</w:t>
            </w:r>
            <w:r w:rsidR="008A7F4A">
              <w:rPr>
                <w:rStyle w:val="Hyperlink"/>
                <w:webHidden/>
              </w:rPr>
              <w:tab/>
            </w:r>
            <w:r w:rsidR="008A7F4A">
              <w:rPr>
                <w:rStyle w:val="Hyperlink"/>
              </w:rPr>
              <w:fldChar w:fldCharType="begin"/>
            </w:r>
            <w:r w:rsidR="008A7F4A">
              <w:rPr>
                <w:rStyle w:val="Hyperlink"/>
                <w:webHidden/>
              </w:rPr>
              <w:instrText xml:space="preserve"> PAGEREF _Toc77242184 \h </w:instrText>
            </w:r>
            <w:r w:rsidR="008A7F4A">
              <w:rPr>
                <w:rStyle w:val="Hyperlink"/>
              </w:rPr>
            </w:r>
            <w:r w:rsidR="008A7F4A">
              <w:rPr>
                <w:rStyle w:val="Hyperlink"/>
              </w:rPr>
              <w:fldChar w:fldCharType="separate"/>
            </w:r>
            <w:r w:rsidR="008A7F4A">
              <w:rPr>
                <w:rStyle w:val="Hyperlink"/>
                <w:webHidden/>
              </w:rPr>
              <w:t>71</w:t>
            </w:r>
            <w:r w:rsidR="008A7F4A">
              <w:rPr>
                <w:rStyle w:val="Hyperlink"/>
              </w:rPr>
              <w:fldChar w:fldCharType="end"/>
            </w:r>
          </w:hyperlink>
        </w:p>
        <w:p w14:paraId="2EB2DCCD" w14:textId="77777777" w:rsidR="008A7F4A" w:rsidRDefault="00431E1C" w:rsidP="008A7F4A">
          <w:pPr>
            <w:pStyle w:val="TOC1"/>
          </w:pPr>
          <w:hyperlink r:id="rId69" w:anchor="_Toc77242185" w:history="1">
            <w:r w:rsidR="008A7F4A">
              <w:rPr>
                <w:rStyle w:val="Hyperlink"/>
              </w:rPr>
              <w:t>Subsection 6: Riders and Supplemental Benefits</w:t>
            </w:r>
            <w:r w:rsidR="008A7F4A">
              <w:rPr>
                <w:rStyle w:val="Hyperlink"/>
                <w:webHidden/>
              </w:rPr>
              <w:tab/>
            </w:r>
            <w:r w:rsidR="008A7F4A">
              <w:rPr>
                <w:rStyle w:val="Hyperlink"/>
              </w:rPr>
              <w:fldChar w:fldCharType="begin"/>
            </w:r>
            <w:r w:rsidR="008A7F4A">
              <w:rPr>
                <w:rStyle w:val="Hyperlink"/>
                <w:webHidden/>
              </w:rPr>
              <w:instrText xml:space="preserve"> PAGEREF _Toc77242185 \h </w:instrText>
            </w:r>
            <w:r w:rsidR="008A7F4A">
              <w:rPr>
                <w:rStyle w:val="Hyperlink"/>
              </w:rPr>
            </w:r>
            <w:r w:rsidR="008A7F4A">
              <w:rPr>
                <w:rStyle w:val="Hyperlink"/>
              </w:rPr>
              <w:fldChar w:fldCharType="separate"/>
            </w:r>
            <w:r w:rsidR="008A7F4A">
              <w:rPr>
                <w:rStyle w:val="Hyperlink"/>
                <w:webHidden/>
              </w:rPr>
              <w:t>72</w:t>
            </w:r>
            <w:r w:rsidR="008A7F4A">
              <w:rPr>
                <w:rStyle w:val="Hyperlink"/>
              </w:rPr>
              <w:fldChar w:fldCharType="end"/>
            </w:r>
          </w:hyperlink>
        </w:p>
        <w:p w14:paraId="1ECD5E78" w14:textId="77777777" w:rsidR="008A7F4A" w:rsidRDefault="008A7F4A" w:rsidP="008A7F4A">
          <w:pPr>
            <w:rPr>
              <w:rFonts w:ascii="Times New Roman" w:hAnsi="Times New Roman" w:cs="Times New Roman"/>
              <w:b/>
              <w:bCs/>
              <w:noProof/>
            </w:rPr>
          </w:pPr>
          <w:r>
            <w:fldChar w:fldCharType="end"/>
          </w:r>
        </w:p>
      </w:sdtContent>
    </w:sdt>
    <w:p w14:paraId="47ADEBB3" w14:textId="77777777" w:rsidR="008A7F4A" w:rsidRDefault="008A7F4A" w:rsidP="008A7F4A">
      <w:pPr>
        <w:pStyle w:val="Heading1"/>
        <w:rPr>
          <w:rFonts w:ascii="Times New Roman" w:hAnsi="Times New Roman" w:cs="Times New Roman"/>
          <w:sz w:val="24"/>
          <w:szCs w:val="24"/>
        </w:rPr>
      </w:pPr>
      <w:bookmarkStart w:id="0" w:name="_Toc77242124"/>
      <w:r>
        <w:rPr>
          <w:rFonts w:ascii="Times New Roman" w:hAnsi="Times New Roman" w:cs="Times New Roman"/>
          <w:sz w:val="24"/>
          <w:szCs w:val="24"/>
        </w:rPr>
        <w:lastRenderedPageBreak/>
        <w:t>Section 1: Background</w:t>
      </w:r>
      <w:bookmarkEnd w:id="0"/>
    </w:p>
    <w:p w14:paraId="7637FE27" w14:textId="77777777" w:rsidR="008A7F4A" w:rsidRDefault="008A7F4A" w:rsidP="008A7F4A">
      <w:pPr>
        <w:spacing w:after="0"/>
      </w:pPr>
    </w:p>
    <w:p w14:paraId="5D1E0CFC" w14:textId="77777777" w:rsidR="008A7F4A" w:rsidRDefault="008A7F4A" w:rsidP="00745C9A">
      <w:pPr>
        <w:pStyle w:val="Heading2"/>
        <w:numPr>
          <w:ilvl w:val="0"/>
          <w:numId w:val="75"/>
        </w:numPr>
        <w:rPr>
          <w:rFonts w:ascii="Times New Roman" w:hAnsi="Times New Roman" w:cs="Times New Roman"/>
          <w:sz w:val="22"/>
          <w:szCs w:val="22"/>
        </w:rPr>
      </w:pPr>
      <w:bookmarkStart w:id="1" w:name="_Toc77242125"/>
      <w:r>
        <w:rPr>
          <w:rFonts w:ascii="Times New Roman" w:hAnsi="Times New Roman" w:cs="Times New Roman"/>
          <w:sz w:val="22"/>
          <w:szCs w:val="22"/>
        </w:rPr>
        <w:t>Purpose</w:t>
      </w:r>
      <w:bookmarkEnd w:id="1"/>
    </w:p>
    <w:p w14:paraId="64E51243" w14:textId="77777777" w:rsidR="008A7F4A" w:rsidRDefault="008A7F4A" w:rsidP="008A7F4A">
      <w:pPr>
        <w:spacing w:after="0"/>
      </w:pPr>
    </w:p>
    <w:p w14:paraId="42FA71B3" w14:textId="77777777" w:rsidR="008A7F4A" w:rsidRDefault="008A7F4A" w:rsidP="008A7F4A">
      <w:pPr>
        <w:pStyle w:val="ListParagraph"/>
        <w:spacing w:after="220" w:line="240" w:lineRule="auto"/>
        <w:ind w:left="1080"/>
        <w:jc w:val="both"/>
        <w:rPr>
          <w:rFonts w:ascii="Times New Roman" w:eastAsia="Calibri" w:hAnsi="Times New Roman" w:cs="Times New Roman"/>
        </w:rPr>
      </w:pPr>
      <w:r>
        <w:rPr>
          <w:rFonts w:ascii="Times New Roman" w:eastAsia="Times New Roman" w:hAnsi="Times New Roman" w:cs="Times New Roman"/>
        </w:rPr>
        <w:t xml:space="preserve">These requirements establish the minimum reserve valuation standard for non-variable annuity contracts as defined in Section 2.A and issued on or after </w:t>
      </w:r>
      <w:commentRangeStart w:id="2"/>
      <w:r>
        <w:rPr>
          <w:rFonts w:ascii="Times New Roman" w:eastAsia="Times New Roman" w:hAnsi="Times New Roman" w:cs="Times New Roman"/>
        </w:rPr>
        <w:t>1/1/2024</w:t>
      </w:r>
      <w:commentRangeEnd w:id="2"/>
      <w:r w:rsidR="00E734E3">
        <w:rPr>
          <w:rStyle w:val="CommentReference"/>
        </w:rPr>
        <w:commentReference w:id="2"/>
      </w:r>
      <w:r>
        <w:rPr>
          <w:rFonts w:ascii="Times New Roman" w:eastAsia="Times New Roman" w:hAnsi="Times New Roman" w:cs="Times New Roman"/>
        </w:rPr>
        <w:t>. For all contracts encompassed by the Scope, t</w:t>
      </w:r>
      <w:r>
        <w:rPr>
          <w:rFonts w:ascii="Times New Roman" w:eastAsia="Calibri" w:hAnsi="Times New Roman" w:cs="Times New Roman"/>
        </w:rPr>
        <w:t xml:space="preserve">hese requirements constitute the Commissioners </w:t>
      </w:r>
      <w:r>
        <w:rPr>
          <w:rFonts w:ascii="Times New Roman" w:eastAsia="Times New Roman" w:hAnsi="Times New Roman" w:cs="Times New Roman"/>
        </w:rPr>
        <w:t xml:space="preserve">Annuity </w:t>
      </w:r>
      <w:r>
        <w:rPr>
          <w:rFonts w:ascii="Times New Roman" w:eastAsia="Calibri" w:hAnsi="Times New Roman" w:cs="Times New Roman"/>
        </w:rPr>
        <w:t>Reserve Valuation Method (</w:t>
      </w:r>
      <w:r>
        <w:rPr>
          <w:rFonts w:ascii="Times New Roman" w:eastAsia="Times New Roman" w:hAnsi="Times New Roman" w:cs="Times New Roman"/>
        </w:rPr>
        <w:t>CARVM</w:t>
      </w:r>
      <w:r>
        <w:rPr>
          <w:rFonts w:ascii="Times New Roman" w:eastAsia="Calibri" w:hAnsi="Times New Roman" w:cs="Times New Roman"/>
        </w:rPr>
        <w:t xml:space="preserve">) and, for certain contracts, the Commissioners Reserve Valuation Method (CRVM). </w:t>
      </w:r>
    </w:p>
    <w:p w14:paraId="1CE8C64F" w14:textId="77777777" w:rsidR="008A7F4A" w:rsidRDefault="008A7F4A" w:rsidP="008A7F4A">
      <w:pPr>
        <w:pStyle w:val="ListParagraph"/>
        <w:spacing w:after="220" w:line="240" w:lineRule="auto"/>
        <w:ind w:left="1080"/>
        <w:jc w:val="both"/>
        <w:rPr>
          <w:rFonts w:ascii="Times New Roman" w:eastAsia="Times New Roman" w:hAnsi="Times New Roman" w:cs="Times New Roman"/>
        </w:rPr>
      </w:pPr>
    </w:p>
    <w:p w14:paraId="290C75DB" w14:textId="77777777" w:rsidR="008A7F4A" w:rsidRDefault="008A7F4A" w:rsidP="008A7F4A">
      <w:pPr>
        <w:pStyle w:val="ListParagraph"/>
        <w:pBdr>
          <w:top w:val="single" w:sz="4" w:space="1" w:color="auto"/>
          <w:left w:val="single" w:sz="4" w:space="4" w:color="auto"/>
          <w:bottom w:val="single" w:sz="4" w:space="1" w:color="auto"/>
          <w:right w:val="single" w:sz="4" w:space="4" w:color="auto"/>
        </w:pBdr>
        <w:spacing w:after="0" w:line="240" w:lineRule="auto"/>
        <w:ind w:left="1080"/>
        <w:jc w:val="both"/>
        <w:rPr>
          <w:rFonts w:ascii="Times New Roman" w:eastAsia="Times New Roman" w:hAnsi="Times New Roman" w:cs="Times New Roman"/>
        </w:rPr>
      </w:pPr>
      <w:commentRangeStart w:id="3"/>
      <w:r>
        <w:rPr>
          <w:rFonts w:ascii="Times New Roman" w:eastAsia="Times New Roman" w:hAnsi="Times New Roman" w:cs="Times New Roman"/>
          <w:b/>
          <w:bCs/>
        </w:rPr>
        <w:t>Guidance Note</w:t>
      </w:r>
      <w:commentRangeEnd w:id="3"/>
      <w:r w:rsidR="002017AF">
        <w:rPr>
          <w:rStyle w:val="CommentReference"/>
        </w:rPr>
        <w:commentReference w:id="3"/>
      </w:r>
      <w:r>
        <w:rPr>
          <w:rFonts w:ascii="Times New Roman" w:eastAsia="Times New Roman" w:hAnsi="Times New Roman" w:cs="Times New Roman"/>
          <w:b/>
          <w:bCs/>
        </w:rPr>
        <w:t xml:space="preserve">: </w:t>
      </w:r>
      <w:r>
        <w:rPr>
          <w:rFonts w:ascii="Times New Roman" w:eastAsia="Times New Roman" w:hAnsi="Times New Roman" w:cs="Times New Roman"/>
        </w:rPr>
        <w:t>CRVM requirements apply to some group pension contracts.</w:t>
      </w:r>
    </w:p>
    <w:p w14:paraId="5E120C07" w14:textId="77777777" w:rsidR="008A7F4A" w:rsidRDefault="008A7F4A" w:rsidP="008A7F4A">
      <w:pPr>
        <w:pStyle w:val="Heading2"/>
        <w:ind w:left="1080"/>
        <w:rPr>
          <w:rFonts w:ascii="Times New Roman" w:hAnsi="Times New Roman" w:cs="Times New Roman"/>
          <w:sz w:val="22"/>
          <w:szCs w:val="22"/>
        </w:rPr>
      </w:pPr>
    </w:p>
    <w:p w14:paraId="75644E98" w14:textId="77777777" w:rsidR="008A7F4A" w:rsidRDefault="008A7F4A" w:rsidP="00745C9A">
      <w:pPr>
        <w:pStyle w:val="Heading2"/>
        <w:numPr>
          <w:ilvl w:val="0"/>
          <w:numId w:val="75"/>
        </w:numPr>
        <w:rPr>
          <w:rFonts w:ascii="Times New Roman" w:hAnsi="Times New Roman" w:cs="Times New Roman"/>
          <w:sz w:val="22"/>
          <w:szCs w:val="22"/>
        </w:rPr>
      </w:pPr>
      <w:bookmarkStart w:id="4" w:name="_Toc77242126"/>
      <w:r>
        <w:rPr>
          <w:rFonts w:ascii="Times New Roman" w:hAnsi="Times New Roman" w:cs="Times New Roman"/>
          <w:sz w:val="22"/>
          <w:szCs w:val="22"/>
        </w:rPr>
        <w:t>Principles</w:t>
      </w:r>
      <w:bookmarkEnd w:id="4"/>
    </w:p>
    <w:p w14:paraId="24280632" w14:textId="77777777" w:rsidR="008A7F4A" w:rsidRDefault="008A7F4A" w:rsidP="008A7F4A">
      <w:pPr>
        <w:pStyle w:val="Heading2"/>
        <w:rPr>
          <w:rFonts w:ascii="Times New Roman" w:hAnsi="Times New Roman" w:cs="Times New Roman"/>
          <w:sz w:val="22"/>
          <w:szCs w:val="22"/>
        </w:rPr>
      </w:pPr>
    </w:p>
    <w:p w14:paraId="2E827213" w14:textId="77777777" w:rsidR="008A7F4A" w:rsidRDefault="008A7F4A" w:rsidP="008A7F4A">
      <w:pPr>
        <w:pStyle w:val="ListParagraph"/>
        <w:spacing w:after="220"/>
        <w:ind w:left="1080"/>
        <w:jc w:val="both"/>
        <w:rPr>
          <w:rFonts w:ascii="Times New Roman" w:eastAsia="Times New Roman" w:hAnsi="Times New Roman" w:cs="Times New Roman"/>
        </w:rPr>
      </w:pPr>
      <w:r>
        <w:rPr>
          <w:rFonts w:ascii="Times New Roman" w:eastAsia="Times New Roman" w:hAnsi="Times New Roman" w:cs="Times New Roman"/>
        </w:rPr>
        <w:t>The projection methodology used to calculate the stochastic reserve</w:t>
      </w:r>
      <w:r>
        <w:rPr>
          <w:rFonts w:ascii="Times New Roman" w:eastAsia="Times New Roman" w:hAnsi="Times New Roman"/>
        </w:rPr>
        <w:t xml:space="preserve"> </w:t>
      </w:r>
      <w:r>
        <w:rPr>
          <w:rFonts w:ascii="Times New Roman" w:eastAsia="Times New Roman" w:hAnsi="Times New Roman" w:cs="Times New Roman"/>
        </w:rPr>
        <w:t xml:space="preserve">is based on the following set of principles. These principles should be followed when interpreting and applying the methodology in these requirements and analyzing the resulting </w:t>
      </w:r>
      <w:commentRangeStart w:id="5"/>
      <w:r>
        <w:rPr>
          <w:rFonts w:ascii="Times New Roman" w:eastAsia="Times New Roman" w:hAnsi="Times New Roman" w:cs="Times New Roman"/>
        </w:rPr>
        <w:t>reserves</w:t>
      </w:r>
      <w:commentRangeEnd w:id="5"/>
      <w:r w:rsidR="002017AF">
        <w:rPr>
          <w:rStyle w:val="CommentReference"/>
        </w:rPr>
        <w:commentReference w:id="5"/>
      </w:r>
      <w:r>
        <w:rPr>
          <w:rFonts w:ascii="Times New Roman" w:eastAsia="Times New Roman" w:hAnsi="Times New Roman" w:cs="Times New Roman"/>
        </w:rPr>
        <w:t>.</w:t>
      </w:r>
    </w:p>
    <w:p w14:paraId="5D5F086F" w14:textId="77777777" w:rsidR="008A7F4A" w:rsidRDefault="008A7F4A" w:rsidP="008A7F4A">
      <w:pPr>
        <w:pStyle w:val="ListParagraph"/>
        <w:spacing w:after="220"/>
        <w:ind w:left="1080"/>
        <w:jc w:val="both"/>
        <w:rPr>
          <w:rFonts w:ascii="Times New Roman" w:eastAsia="Times New Roman" w:hAnsi="Times New Roman" w:cs="Times New Roman"/>
        </w:rPr>
      </w:pPr>
    </w:p>
    <w:p w14:paraId="21D379BF" w14:textId="77777777" w:rsidR="008A7F4A" w:rsidRDefault="008A7F4A" w:rsidP="008A7F4A">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Pr>
          <w:rFonts w:ascii="Times New Roman" w:eastAsia="Times New Roman" w:hAnsi="Times New Roman" w:cs="Times New Roman"/>
          <w:b/>
          <w:bCs/>
        </w:rPr>
        <w:t xml:space="preserve">Guidance Note: </w:t>
      </w:r>
      <w:r>
        <w:rPr>
          <w:rFonts w:ascii="Times New Roman" w:eastAsia="Times New Roman" w:hAnsi="Times New Roman" w:cs="Times New Roman"/>
        </w:rPr>
        <w:t>The principles should be considered in their entirety, and it is required that companies meet these principles with respect to those contracts that fall within the scope of these requirements and are in force as of the valuation date to which these requirements are applied.</w:t>
      </w:r>
    </w:p>
    <w:p w14:paraId="48F24BAF" w14:textId="77777777" w:rsidR="008A7F4A" w:rsidRDefault="008A7F4A" w:rsidP="008A7F4A">
      <w:pPr>
        <w:pStyle w:val="ListParagraph"/>
        <w:spacing w:after="220"/>
        <w:ind w:left="1080"/>
        <w:jc w:val="both"/>
        <w:rPr>
          <w:rFonts w:ascii="Times New Roman" w:eastAsia="Times New Roman" w:hAnsi="Times New Roman" w:cs="Times New Roman"/>
          <w:b/>
          <w:bCs/>
        </w:rPr>
      </w:pPr>
    </w:p>
    <w:p w14:paraId="124E545D" w14:textId="77777777" w:rsidR="008A7F4A" w:rsidRDefault="008A7F4A" w:rsidP="008A7F4A">
      <w:pPr>
        <w:pStyle w:val="ListParagraph"/>
        <w:spacing w:after="220"/>
        <w:ind w:left="1080"/>
        <w:jc w:val="both"/>
        <w:rPr>
          <w:rFonts w:ascii="Times New Roman" w:eastAsia="Times New Roman" w:hAnsi="Times New Roman" w:cs="Times New Roman"/>
        </w:rPr>
      </w:pPr>
      <w:r>
        <w:rPr>
          <w:rFonts w:ascii="Times New Roman" w:eastAsia="Times New Roman" w:hAnsi="Times New Roman" w:cs="Times New Roman"/>
          <w:b/>
          <w:bCs/>
        </w:rPr>
        <w:t xml:space="preserve">Principle 1: </w:t>
      </w:r>
      <w:r>
        <w:rPr>
          <w:rFonts w:ascii="Times New Roman" w:eastAsia="Times New Roman" w:hAnsi="Times New Roman" w:cs="Times New Roman"/>
        </w:rPr>
        <w:t xml:space="preserve">The objective of the approach used to determine the stochastic reserve is to quantify the </w:t>
      </w:r>
      <w:proofErr w:type="gramStart"/>
      <w:r>
        <w:rPr>
          <w:rFonts w:ascii="Times New Roman" w:eastAsia="Times New Roman" w:hAnsi="Times New Roman" w:cs="Times New Roman"/>
        </w:rPr>
        <w:t>amount</w:t>
      </w:r>
      <w:proofErr w:type="gramEnd"/>
      <w:r>
        <w:rPr>
          <w:rFonts w:ascii="Times New Roman" w:eastAsia="Times New Roman" w:hAnsi="Times New Roman" w:cs="Times New Roman"/>
        </w:rPr>
        <w:t xml:space="preserve"> of statutory reserves needed by the company to be able to meet contractual obligations in light of the risks to which the company is exposed with an element of conservatism consistent with statutory reporting objectives.</w:t>
      </w:r>
    </w:p>
    <w:p w14:paraId="62073AD1" w14:textId="77777777" w:rsidR="008A7F4A" w:rsidRDefault="008A7F4A" w:rsidP="008A7F4A">
      <w:pPr>
        <w:pStyle w:val="ListParagraph"/>
        <w:spacing w:after="220"/>
        <w:ind w:left="1080"/>
        <w:jc w:val="both"/>
        <w:rPr>
          <w:rFonts w:ascii="Times New Roman" w:eastAsia="Times New Roman" w:hAnsi="Times New Roman" w:cs="Times New Roman"/>
        </w:rPr>
      </w:pPr>
    </w:p>
    <w:p w14:paraId="4A684542" w14:textId="77777777" w:rsidR="008A7F4A" w:rsidRDefault="008A7F4A" w:rsidP="008A7F4A">
      <w:pPr>
        <w:pStyle w:val="ListParagraph"/>
        <w:spacing w:after="220"/>
        <w:ind w:left="1080"/>
        <w:jc w:val="both"/>
        <w:rPr>
          <w:rFonts w:ascii="Times New Roman" w:eastAsia="Times New Roman" w:hAnsi="Times New Roman" w:cs="Times New Roman"/>
        </w:rPr>
      </w:pPr>
      <w:r>
        <w:rPr>
          <w:rFonts w:ascii="Times New Roman" w:eastAsia="Times New Roman" w:hAnsi="Times New Roman" w:cs="Times New Roman"/>
          <w:b/>
          <w:bCs/>
        </w:rPr>
        <w:t xml:space="preserve">Principle 2: </w:t>
      </w:r>
      <w:r>
        <w:rPr>
          <w:rFonts w:ascii="Times New Roman" w:eastAsia="Times New Roman" w:hAnsi="Times New Roman" w:cs="Times New Roman"/>
        </w:rPr>
        <w:t xml:space="preserve">The calculation of the stochastic reserve is based on the results derived from an analysis of asset and liability cash flows produced by the application of a stochastic cash-flow model to equity return and interest rate scenarios. For each scenario, the greatest present value of accumulated deficiency is calculated. The analysis reflects prudent estimate assumptions for deterministic variables and is performed in aggregate (subject to limitations related to contractual provisions) to allow the natural offset of risks within a given scenario. The methodology uses a projected total cash flow analysis by including all projected income, benefit, and expense items related to the business in the model and sets the stochastic reserve at a degree of confidence using the CTE measure applied to the set of scenario specific greatest present values of accumulated deficiencies that is deemed to be reasonably conservative over the span of economic </w:t>
      </w:r>
      <w:commentRangeStart w:id="6"/>
      <w:r>
        <w:rPr>
          <w:rFonts w:ascii="Times New Roman" w:eastAsia="Times New Roman" w:hAnsi="Times New Roman" w:cs="Times New Roman"/>
        </w:rPr>
        <w:t>cycles</w:t>
      </w:r>
      <w:commentRangeEnd w:id="6"/>
      <w:r w:rsidR="002017AF">
        <w:rPr>
          <w:rStyle w:val="CommentReference"/>
        </w:rPr>
        <w:commentReference w:id="6"/>
      </w:r>
      <w:r>
        <w:rPr>
          <w:rFonts w:ascii="Times New Roman" w:eastAsia="Times New Roman" w:hAnsi="Times New Roman" w:cs="Times New Roman"/>
        </w:rPr>
        <w:t>.</w:t>
      </w:r>
    </w:p>
    <w:p w14:paraId="1D35CCF2" w14:textId="77777777" w:rsidR="008A7F4A" w:rsidRDefault="008A7F4A" w:rsidP="008A7F4A">
      <w:pPr>
        <w:pStyle w:val="ListParagraph"/>
        <w:spacing w:after="220"/>
        <w:ind w:left="1080"/>
        <w:jc w:val="both"/>
        <w:rPr>
          <w:rFonts w:ascii="Times New Roman" w:eastAsia="Times New Roman" w:hAnsi="Times New Roman" w:cs="Times New Roman"/>
          <w:b/>
          <w:bCs/>
        </w:rPr>
      </w:pPr>
    </w:p>
    <w:p w14:paraId="34041CD5" w14:textId="77777777" w:rsidR="008A7F4A" w:rsidRDefault="008A7F4A" w:rsidP="008A7F4A">
      <w:pPr>
        <w:pStyle w:val="ListParagraph"/>
        <w:spacing w:after="220"/>
        <w:ind w:left="1080"/>
        <w:jc w:val="both"/>
        <w:rPr>
          <w:rFonts w:ascii="Times New Roman" w:eastAsia="Times New Roman" w:hAnsi="Times New Roman" w:cs="Times New Roman"/>
        </w:rPr>
      </w:pPr>
      <w:r>
        <w:rPr>
          <w:rFonts w:ascii="Times New Roman" w:eastAsia="Times New Roman" w:hAnsi="Times New Roman" w:cs="Times New Roman"/>
          <w:b/>
          <w:bCs/>
        </w:rPr>
        <w:t xml:space="preserve">Principle 3: </w:t>
      </w:r>
      <w:r>
        <w:rPr>
          <w:rFonts w:ascii="Times New Roman" w:eastAsia="Times New Roman" w:hAnsi="Times New Roman" w:cs="Times New Roman"/>
        </w:rPr>
        <w:t xml:space="preserve">The implementation of a model involves decisions about the experience assumptions and the modeling techniques to be used in measuring the risks to which the company is exposed. Generally, assumptions are to be based on the conservative end of the confidence interval. The choice of a conservative estimate for each assumption may result in a distorted measure of the total risk. Conceptually, the choice of assumptions and the modeling decisions should be made so that </w:t>
      </w:r>
      <w:proofErr w:type="gramStart"/>
      <w:r>
        <w:rPr>
          <w:rFonts w:ascii="Times New Roman" w:eastAsia="Times New Roman" w:hAnsi="Times New Roman" w:cs="Times New Roman"/>
        </w:rPr>
        <w:t>the final result</w:t>
      </w:r>
      <w:proofErr w:type="gramEnd"/>
      <w:r>
        <w:rPr>
          <w:rFonts w:ascii="Times New Roman" w:eastAsia="Times New Roman" w:hAnsi="Times New Roman" w:cs="Times New Roman"/>
        </w:rPr>
        <w:t xml:space="preserve"> approximates what would be obtained for the </w:t>
      </w:r>
      <w:r>
        <w:rPr>
          <w:rFonts w:ascii="Times New Roman" w:eastAsia="Times New Roman" w:hAnsi="Times New Roman" w:cs="Times New Roman"/>
        </w:rPr>
        <w:lastRenderedPageBreak/>
        <w:t xml:space="preserve">stochastic reserve at the required CTE level if it were possible to calculate results over the joint distribution of all future outcomes. In applying this concept to the actual calculation of the stochastic reserve, the company should be guided by evolving practice and expanding knowledge base in the measurement and management of </w:t>
      </w:r>
      <w:commentRangeStart w:id="7"/>
      <w:r>
        <w:rPr>
          <w:rFonts w:ascii="Times New Roman" w:eastAsia="Times New Roman" w:hAnsi="Times New Roman" w:cs="Times New Roman"/>
        </w:rPr>
        <w:t>risk</w:t>
      </w:r>
      <w:commentRangeEnd w:id="7"/>
      <w:r w:rsidR="002017AF">
        <w:rPr>
          <w:rStyle w:val="CommentReference"/>
        </w:rPr>
        <w:commentReference w:id="7"/>
      </w:r>
      <w:r>
        <w:rPr>
          <w:rFonts w:ascii="Times New Roman" w:eastAsia="Times New Roman" w:hAnsi="Times New Roman" w:cs="Times New Roman"/>
        </w:rPr>
        <w:t>.</w:t>
      </w:r>
    </w:p>
    <w:p w14:paraId="1CD2E4B5" w14:textId="77777777" w:rsidR="008A7F4A" w:rsidRDefault="008A7F4A" w:rsidP="008A7F4A">
      <w:pPr>
        <w:pStyle w:val="ListParagraph"/>
        <w:spacing w:after="220"/>
        <w:ind w:left="1080"/>
        <w:jc w:val="both"/>
        <w:rPr>
          <w:rFonts w:ascii="Times New Roman" w:eastAsia="Times New Roman" w:hAnsi="Times New Roman" w:cs="Times New Roman"/>
          <w:highlight w:val="yellow"/>
        </w:rPr>
      </w:pPr>
    </w:p>
    <w:p w14:paraId="619CB89C" w14:textId="77777777" w:rsidR="008A7F4A" w:rsidRDefault="008A7F4A" w:rsidP="008A7F4A">
      <w:pPr>
        <w:pStyle w:val="ListParagraph"/>
        <w:pBdr>
          <w:top w:val="single" w:sz="4" w:space="1" w:color="auto"/>
          <w:left w:val="single" w:sz="4" w:space="0" w:color="auto"/>
          <w:bottom w:val="single" w:sz="4" w:space="0" w:color="auto"/>
          <w:right w:val="single" w:sz="4" w:space="4" w:color="auto"/>
        </w:pBdr>
        <w:spacing w:after="220"/>
        <w:ind w:left="1080"/>
        <w:jc w:val="both"/>
        <w:rPr>
          <w:rFonts w:ascii="Times New Roman" w:eastAsia="Times New Roman" w:hAnsi="Times New Roman" w:cs="Times New Roman"/>
        </w:rPr>
      </w:pPr>
      <w:r>
        <w:rPr>
          <w:rFonts w:ascii="Times New Roman" w:eastAsia="Times New Roman" w:hAnsi="Times New Roman" w:cs="Times New Roman"/>
          <w:b/>
          <w:bCs/>
        </w:rPr>
        <w:t xml:space="preserve">Guidance Note: </w:t>
      </w:r>
      <w:r>
        <w:rPr>
          <w:rFonts w:ascii="Times New Roman" w:eastAsia="Times New Roman" w:hAnsi="Times New Roman" w:cs="Times New Roman"/>
        </w:rPr>
        <w:t>The intent of Principle 3 is to describe the conceptual framework for setting assumptions. Section 10 provides the requirements and guidance for setting contract holder behavior assumptions and includes alternatives to this framework if the company is unable to fully apply this principle.</w:t>
      </w:r>
    </w:p>
    <w:p w14:paraId="5463361A" w14:textId="77777777" w:rsidR="008A7F4A" w:rsidRDefault="008A7F4A" w:rsidP="008A7F4A">
      <w:pPr>
        <w:pStyle w:val="ListParagraph"/>
        <w:spacing w:after="220"/>
        <w:ind w:left="1080"/>
        <w:jc w:val="both"/>
        <w:rPr>
          <w:rFonts w:ascii="Times New Roman" w:eastAsia="Times New Roman" w:hAnsi="Times New Roman" w:cs="Times New Roman"/>
          <w:b/>
          <w:bCs/>
        </w:rPr>
      </w:pPr>
    </w:p>
    <w:p w14:paraId="7D1F5FD4" w14:textId="77777777" w:rsidR="008A7F4A" w:rsidRDefault="008A7F4A" w:rsidP="008A7F4A">
      <w:pPr>
        <w:pStyle w:val="ListParagraph"/>
        <w:spacing w:after="220"/>
        <w:ind w:left="1080"/>
        <w:jc w:val="both"/>
        <w:rPr>
          <w:rFonts w:ascii="Times New Roman" w:eastAsia="Times New Roman" w:hAnsi="Times New Roman" w:cs="Times New Roman"/>
        </w:rPr>
      </w:pPr>
      <w:r>
        <w:rPr>
          <w:rFonts w:ascii="Times New Roman" w:eastAsia="Times New Roman" w:hAnsi="Times New Roman" w:cs="Times New Roman"/>
          <w:b/>
          <w:bCs/>
        </w:rPr>
        <w:t xml:space="preserve">Principle 4: </w:t>
      </w:r>
      <w:r>
        <w:rPr>
          <w:rFonts w:ascii="Times New Roman" w:eastAsia="Times New Roman" w:hAnsi="Times New Roman"/>
        </w:rPr>
        <w:t xml:space="preserve">While a stochastic cash-flow model attempts to include all real-world risks relevant to the objective of the stochastic cash-flow model and relationships among the risks, it will still contain limitations because it is only a model. The calculation of the stochastic reserve is based on the results derived from the application of the stochastic cash-flow model to scenarios, while the actual statutory reserve needs of the company arise from the risks to which the company is (or will be) </w:t>
      </w:r>
      <w:proofErr w:type="gramStart"/>
      <w:r>
        <w:rPr>
          <w:rFonts w:ascii="Times New Roman" w:eastAsia="Times New Roman" w:hAnsi="Times New Roman"/>
        </w:rPr>
        <w:t>exposed in reality</w:t>
      </w:r>
      <w:proofErr w:type="gramEnd"/>
      <w:r>
        <w:rPr>
          <w:rFonts w:ascii="Times New Roman" w:eastAsia="Times New Roman" w:hAnsi="Times New Roman"/>
        </w:rPr>
        <w:t>. Any disconnect between the model and reality should be reflected in setting prudent estimate assumptions to the extent not addressed by other means.</w:t>
      </w:r>
    </w:p>
    <w:p w14:paraId="37AC46CC" w14:textId="77777777" w:rsidR="008A7F4A" w:rsidRDefault="008A7F4A" w:rsidP="008A7F4A">
      <w:pPr>
        <w:pStyle w:val="ListParagraph"/>
        <w:ind w:left="1080"/>
        <w:rPr>
          <w:rFonts w:ascii="Times New Roman" w:eastAsia="Times New Roman" w:hAnsi="Times New Roman" w:cs="Times New Roman"/>
          <w:b/>
          <w:bCs/>
          <w:highlight w:val="yellow"/>
        </w:rPr>
      </w:pPr>
    </w:p>
    <w:p w14:paraId="6724C079" w14:textId="77777777" w:rsidR="008A7F4A" w:rsidRDefault="008A7F4A" w:rsidP="008A7F4A">
      <w:pPr>
        <w:pStyle w:val="ListParagraph"/>
        <w:ind w:left="1080"/>
        <w:rPr>
          <w:rFonts w:ascii="Times New Roman" w:eastAsia="Times New Roman" w:hAnsi="Times New Roman"/>
        </w:rPr>
      </w:pPr>
      <w:r>
        <w:rPr>
          <w:rFonts w:ascii="Times New Roman" w:eastAsia="Times New Roman" w:hAnsi="Times New Roman" w:cs="Times New Roman"/>
          <w:b/>
          <w:bCs/>
        </w:rPr>
        <w:t>Principle 5:</w:t>
      </w:r>
      <w:r>
        <w:rPr>
          <w:rFonts w:ascii="Times New Roman" w:eastAsia="Times New Roman" w:hAnsi="Times New Roman" w:cs="Times New Roman"/>
        </w:rPr>
        <w:t xml:space="preserve"> </w:t>
      </w:r>
      <w:r>
        <w:rPr>
          <w:rFonts w:ascii="Times New Roman" w:eastAsia="Times New Roman" w:hAnsi="Times New Roman"/>
        </w:rPr>
        <w:t xml:space="preserve">Neither a cash-flow scenario model nor a method based on factors calibrated to the results of a cash-flow scenario model can completely quantify a company’s exposure to risk. A model attempts to represent reality but will always remain an approximation thereto and, hence, uncertainty in future experience is an important consideration when determining the stochastic reserve. </w:t>
      </w:r>
      <w:commentRangeStart w:id="8"/>
      <w:r>
        <w:rPr>
          <w:rFonts w:ascii="Times New Roman" w:eastAsia="Times New Roman" w:hAnsi="Times New Roman"/>
        </w:rPr>
        <w:t>Therefore,</w:t>
      </w:r>
      <w:commentRangeEnd w:id="8"/>
      <w:r w:rsidR="002017AF">
        <w:rPr>
          <w:rStyle w:val="CommentReference"/>
        </w:rPr>
        <w:commentReference w:id="8"/>
      </w:r>
      <w:r>
        <w:rPr>
          <w:rFonts w:ascii="Times New Roman" w:eastAsia="Times New Roman" w:hAnsi="Times New Roman"/>
        </w:rPr>
        <w:t xml:space="preserve"> the use of assumptions, methods, models, risk management strategies (e.g., hedging), derivative instruments, structured </w:t>
      </w:r>
      <w:proofErr w:type="gramStart"/>
      <w:r>
        <w:rPr>
          <w:rFonts w:ascii="Times New Roman" w:eastAsia="Times New Roman" w:hAnsi="Times New Roman"/>
        </w:rPr>
        <w:t>investments</w:t>
      </w:r>
      <w:proofErr w:type="gramEnd"/>
      <w:r>
        <w:rPr>
          <w:rFonts w:ascii="Times New Roman" w:eastAsia="Times New Roman" w:hAnsi="Times New Roman"/>
        </w:rPr>
        <w:t xml:space="preserve"> or any other risk transfer arrangements (such as reinsurance) that serve solely to reduce the calculated stochastic reserve without also reducing risk on scenarios similar to those used in the actual cash-flow modeling are inconsistent with these principles. The use of assumptions and risk management strategies should be appropriate to the business and not merely constructed to exploit “foreknowledge” of the components of the required methodology.</w:t>
      </w:r>
    </w:p>
    <w:p w14:paraId="07F8BCEC" w14:textId="77777777" w:rsidR="008A7F4A" w:rsidRDefault="008A7F4A" w:rsidP="008A7F4A">
      <w:pPr>
        <w:pStyle w:val="ListParagraph"/>
        <w:spacing w:after="0"/>
        <w:ind w:left="1080"/>
        <w:rPr>
          <w:rFonts w:ascii="Times New Roman" w:eastAsia="Times New Roman" w:hAnsi="Times New Roman" w:cs="Times New Roman"/>
          <w:color w:val="365F91" w:themeColor="accent1" w:themeShade="BF"/>
        </w:rPr>
      </w:pPr>
    </w:p>
    <w:p w14:paraId="6C7470D7" w14:textId="77777777" w:rsidR="008A7F4A" w:rsidRDefault="008A7F4A" w:rsidP="00745C9A">
      <w:pPr>
        <w:pStyle w:val="Heading2"/>
        <w:numPr>
          <w:ilvl w:val="0"/>
          <w:numId w:val="75"/>
        </w:numPr>
        <w:spacing w:before="0"/>
        <w:rPr>
          <w:rFonts w:ascii="Times New Roman" w:hAnsi="Times New Roman" w:cs="Times New Roman"/>
          <w:color w:val="000000" w:themeColor="text1"/>
          <w:sz w:val="22"/>
          <w:szCs w:val="22"/>
        </w:rPr>
      </w:pPr>
      <w:bookmarkStart w:id="9" w:name="_Toc77242127"/>
      <w:commentRangeStart w:id="10"/>
      <w:r>
        <w:rPr>
          <w:rFonts w:ascii="Times New Roman" w:hAnsi="Times New Roman" w:cs="Times New Roman"/>
          <w:color w:val="000000" w:themeColor="text1"/>
          <w:sz w:val="22"/>
          <w:szCs w:val="22"/>
        </w:rPr>
        <w:t>Risks Reflected</w:t>
      </w:r>
      <w:bookmarkEnd w:id="9"/>
      <w:r>
        <w:rPr>
          <w:rFonts w:ascii="Times New Roman" w:hAnsi="Times New Roman" w:cs="Times New Roman"/>
          <w:color w:val="000000" w:themeColor="text1"/>
          <w:sz w:val="22"/>
          <w:szCs w:val="22"/>
        </w:rPr>
        <w:t xml:space="preserve"> </w:t>
      </w:r>
      <w:commentRangeEnd w:id="10"/>
      <w:r w:rsidR="002017AF">
        <w:rPr>
          <w:rStyle w:val="CommentReference"/>
          <w:rFonts w:asciiTheme="minorHAnsi" w:eastAsiaTheme="minorHAnsi" w:hAnsiTheme="minorHAnsi" w:cstheme="minorBidi"/>
          <w:color w:val="auto"/>
        </w:rPr>
        <w:commentReference w:id="10"/>
      </w:r>
    </w:p>
    <w:p w14:paraId="4A19D068" w14:textId="77777777" w:rsidR="008A7F4A" w:rsidRDefault="008A7F4A" w:rsidP="008A7F4A">
      <w:pPr>
        <w:spacing w:after="0"/>
      </w:pPr>
    </w:p>
    <w:p w14:paraId="5B5CF9A0" w14:textId="77777777" w:rsidR="008A7F4A" w:rsidRDefault="008A7F4A" w:rsidP="008A7F4A">
      <w:pPr>
        <w:spacing w:after="220"/>
        <w:ind w:left="1440" w:hanging="7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The risks reflected in the calculation of reserves under these requirements arise from actual or potential events or activities that are both:</w:t>
      </w:r>
    </w:p>
    <w:p w14:paraId="18E152C8" w14:textId="77777777" w:rsidR="008A7F4A" w:rsidRDefault="008A7F4A" w:rsidP="008A7F4A">
      <w:pPr>
        <w:spacing w:after="220"/>
        <w:ind w:left="216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Directly related to the contracts falling under the scope of these requirements or their supporting assets; and</w:t>
      </w:r>
    </w:p>
    <w:p w14:paraId="17318C77" w14:textId="77777777" w:rsidR="008A7F4A" w:rsidRDefault="008A7F4A" w:rsidP="008A7F4A">
      <w:pPr>
        <w:spacing w:after="220"/>
        <w:ind w:left="2160" w:hanging="72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Capable of materially affecting the reserve.</w:t>
      </w:r>
    </w:p>
    <w:p w14:paraId="62E6617C" w14:textId="77777777" w:rsidR="008A7F4A" w:rsidRDefault="008A7F4A" w:rsidP="008A7F4A">
      <w:pPr>
        <w:spacing w:after="220"/>
        <w:ind w:left="1440" w:hanging="72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Categories and examples of risks reflected in the reserve calculations include, but are not necessarily limited to:</w:t>
      </w:r>
    </w:p>
    <w:p w14:paraId="3B36AAFD" w14:textId="77777777" w:rsidR="008A7F4A" w:rsidRDefault="008A7F4A" w:rsidP="008A7F4A">
      <w:pPr>
        <w:spacing w:after="220"/>
        <w:ind w:left="216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Asset risks</w:t>
      </w:r>
    </w:p>
    <w:p w14:paraId="3B4A76B0"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t>Credit risks (e.g., default or rating downgrades).</w:t>
      </w:r>
    </w:p>
    <w:p w14:paraId="32B8226B"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lastRenderedPageBreak/>
        <w:t>ii.</w:t>
      </w:r>
      <w:r>
        <w:rPr>
          <w:rFonts w:ascii="Times New Roman" w:eastAsia="Times New Roman" w:hAnsi="Times New Roman" w:cs="Times New Roman"/>
        </w:rPr>
        <w:tab/>
        <w:t>Commercial mortgage loan roll-over rates (roll-over of bullet loans).</w:t>
      </w:r>
    </w:p>
    <w:p w14:paraId="5D0D2C99" w14:textId="77777777" w:rsidR="008A7F4A" w:rsidRDefault="008A7F4A" w:rsidP="008A7F4A">
      <w:pPr>
        <w:tabs>
          <w:tab w:val="left" w:pos="180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t>Uncertainty in the timing or duration of asset cash flows (e.g., shortening (prepayment risk) and lengthening (extension risk)).</w:t>
      </w:r>
    </w:p>
    <w:p w14:paraId="5D74DF98" w14:textId="77777777" w:rsidR="008A7F4A" w:rsidRDefault="008A7F4A" w:rsidP="008A7F4A">
      <w:pPr>
        <w:tabs>
          <w:tab w:val="left" w:pos="180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iv.</w:t>
      </w:r>
      <w:r>
        <w:rPr>
          <w:rFonts w:ascii="Times New Roman" w:eastAsia="Times New Roman" w:hAnsi="Times New Roman" w:cs="Times New Roman"/>
        </w:rPr>
        <w:tab/>
        <w:t>Performance of equities, real estate, and Schedule BA assets.</w:t>
      </w:r>
    </w:p>
    <w:p w14:paraId="67B2A747" w14:textId="77777777" w:rsidR="008A7F4A" w:rsidRDefault="008A7F4A" w:rsidP="008A7F4A">
      <w:pPr>
        <w:tabs>
          <w:tab w:val="left" w:pos="180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rPr>
        <w:tab/>
        <w:t xml:space="preserve">Call risk on callable assets. </w:t>
      </w:r>
    </w:p>
    <w:p w14:paraId="4BC83F8F"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rPr>
        <w:tab/>
        <w:t>Separate account fund performance.</w:t>
      </w:r>
    </w:p>
    <w:p w14:paraId="5C3B38F3" w14:textId="77777777" w:rsidR="008A7F4A" w:rsidRDefault="008A7F4A" w:rsidP="008A7F4A">
      <w:pPr>
        <w:tabs>
          <w:tab w:val="left" w:pos="180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vii.</w:t>
      </w:r>
      <w:r>
        <w:rPr>
          <w:rFonts w:ascii="Times New Roman" w:eastAsia="Times New Roman" w:hAnsi="Times New Roman" w:cs="Times New Roman"/>
        </w:rPr>
        <w:tab/>
        <w:t>Risk associated with hedge instrument (includes basis, gap, price, parameter estimation risks, and variation in assumptions).</w:t>
      </w:r>
    </w:p>
    <w:p w14:paraId="6704A09C" w14:textId="77777777" w:rsidR="008A7F4A" w:rsidRDefault="008A7F4A" w:rsidP="008A7F4A">
      <w:pPr>
        <w:tabs>
          <w:tab w:val="left" w:pos="1800"/>
          <w:tab w:val="left" w:pos="226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viii.</w:t>
      </w:r>
      <w:r>
        <w:rPr>
          <w:rFonts w:ascii="Times New Roman" w:eastAsia="Times New Roman" w:hAnsi="Times New Roman" w:cs="Times New Roman"/>
        </w:rPr>
        <w:tab/>
        <w:t>Currency risk.</w:t>
      </w:r>
    </w:p>
    <w:p w14:paraId="379274D0" w14:textId="77777777" w:rsidR="008A7F4A" w:rsidRDefault="008A7F4A" w:rsidP="008A7F4A">
      <w:pPr>
        <w:tabs>
          <w:tab w:val="left" w:pos="2260"/>
        </w:tabs>
        <w:spacing w:after="220"/>
        <w:ind w:left="2160" w:hanging="72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Liability risks</w:t>
      </w:r>
    </w:p>
    <w:p w14:paraId="089817DF"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t>Reinsurer default, impairment, or rating downgrade known to have occurred before or on the valuation date.</w:t>
      </w:r>
    </w:p>
    <w:p w14:paraId="4DD8845A"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t>Mortality/longevity, persistency/lapse, partial withdrawal, and premium payment risks.</w:t>
      </w:r>
    </w:p>
    <w:p w14:paraId="065A4F55"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t>Utilization risk associated with guaranteed living benefits.</w:t>
      </w:r>
    </w:p>
    <w:p w14:paraId="51A2332A"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iv.</w:t>
      </w:r>
      <w:r>
        <w:rPr>
          <w:rFonts w:ascii="Times New Roman" w:eastAsia="Times New Roman" w:hAnsi="Times New Roman" w:cs="Times New Roman"/>
        </w:rPr>
        <w:tab/>
        <w:t>Anticipated mortality trends based on observed patterns of mortality improvement or deterioration, where permitted.</w:t>
      </w:r>
    </w:p>
    <w:p w14:paraId="5691B071"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rPr>
        <w:tab/>
        <w:t>Annuitization risks.</w:t>
      </w:r>
    </w:p>
    <w:p w14:paraId="2E2AC541"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rPr>
        <w:tab/>
        <w:t>Additional premium dump-ins or deposits (high interest rate guarantees in low interest rate environments).</w:t>
      </w:r>
    </w:p>
    <w:p w14:paraId="39DE1F29"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vii.</w:t>
      </w:r>
      <w:r>
        <w:rPr>
          <w:rFonts w:ascii="Times New Roman" w:eastAsia="Times New Roman" w:hAnsi="Times New Roman" w:cs="Times New Roman"/>
        </w:rPr>
        <w:tab/>
        <w:t>Applicable expense risks, including fluctuation maintenance expenses directly attributable to the business, future commission expenses, and expense inflation/growth.</w:t>
      </w:r>
    </w:p>
    <w:p w14:paraId="195E4BDA" w14:textId="77777777" w:rsidR="008A7F4A" w:rsidRDefault="008A7F4A" w:rsidP="008A7F4A">
      <w:pPr>
        <w:spacing w:after="220"/>
        <w:ind w:left="2160" w:hanging="720"/>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Combination risks</w:t>
      </w:r>
    </w:p>
    <w:p w14:paraId="5190A982"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r>
      <w:commentRangeStart w:id="11"/>
      <w:r>
        <w:rPr>
          <w:rFonts w:ascii="Times New Roman" w:eastAsia="Times New Roman" w:hAnsi="Times New Roman" w:cs="Times New Roman"/>
        </w:rPr>
        <w:t>Risks</w:t>
      </w:r>
      <w:commentRangeEnd w:id="11"/>
      <w:r w:rsidR="002017AF">
        <w:rPr>
          <w:rStyle w:val="CommentReference"/>
        </w:rPr>
        <w:commentReference w:id="11"/>
      </w:r>
      <w:r>
        <w:rPr>
          <w:rFonts w:ascii="Times New Roman" w:eastAsia="Times New Roman" w:hAnsi="Times New Roman" w:cs="Times New Roman"/>
        </w:rPr>
        <w:t xml:space="preserve"> modeled in the company’s risk assessment processes that are related to the contracts, as described above.</w:t>
      </w:r>
    </w:p>
    <w:p w14:paraId="35C3CCB9" w14:textId="77777777" w:rsidR="008A7F4A" w:rsidRDefault="008A7F4A" w:rsidP="008A7F4A">
      <w:pPr>
        <w:tabs>
          <w:tab w:val="left" w:pos="298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t>Disintermediation risk (including such risk related to payment of surrender or partial withdrawal benefits).</w:t>
      </w:r>
    </w:p>
    <w:p w14:paraId="3391AFA6" w14:textId="77777777" w:rsidR="008A7F4A" w:rsidRDefault="008A7F4A" w:rsidP="008A7F4A">
      <w:pPr>
        <w:tabs>
          <w:tab w:val="left" w:pos="298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t>Risks associated with revenue-sharing income.</w:t>
      </w:r>
    </w:p>
    <w:p w14:paraId="770C2FFE" w14:textId="77777777" w:rsidR="008A7F4A" w:rsidRDefault="008A7F4A" w:rsidP="008A7F4A">
      <w:pPr>
        <w:spacing w:after="220"/>
        <w:ind w:left="2250" w:hanging="720"/>
        <w:jc w:val="both"/>
        <w:rPr>
          <w:rFonts w:ascii="Times New Roman" w:eastAsia="Times New Roman" w:hAnsi="Times New Roman"/>
        </w:rPr>
      </w:pPr>
      <w:commentRangeStart w:id="12"/>
      <w:r>
        <w:rPr>
          <w:rFonts w:ascii="Times New Roman" w:eastAsia="Times New Roman" w:hAnsi="Times New Roman" w:cs="Times New Roman"/>
        </w:rPr>
        <w:t>3.</w:t>
      </w:r>
      <w:commentRangeEnd w:id="12"/>
      <w:r w:rsidR="002017AF">
        <w:rPr>
          <w:rStyle w:val="CommentReference"/>
        </w:rPr>
        <w:commentReference w:id="12"/>
      </w:r>
      <w:r>
        <w:rPr>
          <w:rFonts w:ascii="Times New Roman" w:eastAsia="Times New Roman" w:hAnsi="Times New Roman" w:cs="Times New Roman"/>
        </w:rPr>
        <w:tab/>
        <w:t>The risks not necessarily reflected in the calculation of reserves under these requirements are:</w:t>
      </w:r>
    </w:p>
    <w:p w14:paraId="299A286C" w14:textId="77777777" w:rsidR="008A7F4A" w:rsidRDefault="008A7F4A" w:rsidP="008A7F4A">
      <w:pPr>
        <w:spacing w:after="220"/>
        <w:ind w:left="2160" w:hanging="720"/>
        <w:jc w:val="both"/>
        <w:rPr>
          <w:rFonts w:ascii="Times New Roman" w:eastAsia="Times New Roman" w:hAnsi="Times New Roman" w:cs="Times New Roman"/>
        </w:rPr>
      </w:pPr>
      <w:r>
        <w:rPr>
          <w:rFonts w:ascii="Times New Roman" w:eastAsia="Times New Roman" w:hAnsi="Times New Roman" w:cs="Times New Roman"/>
        </w:rPr>
        <w:lastRenderedPageBreak/>
        <w:t>a.</w:t>
      </w:r>
      <w:r>
        <w:rPr>
          <w:rFonts w:ascii="Times New Roman" w:eastAsia="Times New Roman" w:hAnsi="Times New Roman" w:cs="Times New Roman"/>
        </w:rPr>
        <w:tab/>
        <w:t>Those not associated with the policies or contracts being valued, or their supporting assets.</w:t>
      </w:r>
    </w:p>
    <w:p w14:paraId="1A0D8889" w14:textId="77777777" w:rsidR="008A7F4A" w:rsidRDefault="008A7F4A" w:rsidP="008A7F4A">
      <w:pPr>
        <w:spacing w:after="220"/>
        <w:ind w:left="2160" w:hanging="72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Determined to not be capable of materially affecting the reserve.</w:t>
      </w:r>
    </w:p>
    <w:p w14:paraId="143BA652" w14:textId="77777777" w:rsidR="008A7F4A" w:rsidRDefault="008A7F4A" w:rsidP="008A7F4A">
      <w:pPr>
        <w:spacing w:after="220"/>
        <w:ind w:left="1440" w:hanging="720"/>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Categories and examples of risks not reflected in the reserve calculations include, but are not necessarily limited to:</w:t>
      </w:r>
    </w:p>
    <w:p w14:paraId="4F685441" w14:textId="77777777" w:rsidR="008A7F4A" w:rsidRDefault="008A7F4A" w:rsidP="008A7F4A">
      <w:pPr>
        <w:spacing w:after="220"/>
        <w:ind w:left="2160" w:hanging="72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 xml:space="preserve">Asset risks </w:t>
      </w:r>
    </w:p>
    <w:p w14:paraId="707531DA"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t>Liquidity risks associated with sudden and significant levels of withdrawals and surrenders.</w:t>
      </w:r>
    </w:p>
    <w:p w14:paraId="5B067C25" w14:textId="77777777" w:rsidR="008A7F4A" w:rsidRDefault="008A7F4A" w:rsidP="008A7F4A">
      <w:pPr>
        <w:spacing w:after="220"/>
        <w:ind w:left="2160" w:hanging="72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Liability risks</w:t>
      </w:r>
    </w:p>
    <w:p w14:paraId="22D56C56"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t>Reinsurer default, impairment or rating downgrade occurring after the valuation date.</w:t>
      </w:r>
    </w:p>
    <w:p w14:paraId="70A9F15C"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t>Catastrophic events (e.g., epidemics or terrorist events).</w:t>
      </w:r>
    </w:p>
    <w:p w14:paraId="429D599F"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t>Major breakthroughs in life extension technology that have not yet fundamentally altered recently observed mortality experience.</w:t>
      </w:r>
    </w:p>
    <w:p w14:paraId="298404B3"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iv.</w:t>
      </w:r>
      <w:r>
        <w:rPr>
          <w:rFonts w:ascii="Times New Roman" w:eastAsia="Times New Roman" w:hAnsi="Times New Roman" w:cs="Times New Roman"/>
        </w:rPr>
        <w:tab/>
      </w:r>
      <w:commentRangeStart w:id="13"/>
      <w:r>
        <w:rPr>
          <w:rFonts w:ascii="Times New Roman" w:eastAsia="Times New Roman" w:hAnsi="Times New Roman" w:cs="Times New Roman"/>
        </w:rPr>
        <w:t>Significant</w:t>
      </w:r>
      <w:commentRangeEnd w:id="13"/>
      <w:r w:rsidR="002017AF">
        <w:rPr>
          <w:rStyle w:val="CommentReference"/>
        </w:rPr>
        <w:commentReference w:id="13"/>
      </w:r>
      <w:r>
        <w:rPr>
          <w:rFonts w:ascii="Times New Roman" w:eastAsia="Times New Roman" w:hAnsi="Times New Roman" w:cs="Times New Roman"/>
        </w:rPr>
        <w:t xml:space="preserve"> future reserve increases as an unfavorable scenario is realized.</w:t>
      </w:r>
    </w:p>
    <w:p w14:paraId="48B51BFF" w14:textId="77777777" w:rsidR="008A7F4A" w:rsidRDefault="008A7F4A" w:rsidP="008A7F4A">
      <w:pPr>
        <w:spacing w:after="220"/>
        <w:ind w:left="2160" w:hanging="720"/>
        <w:jc w:val="both"/>
        <w:rPr>
          <w:rFonts w:ascii="Times New Roman" w:eastAsia="Times New Roman" w:hAnsi="Times New Roman" w:cs="Times New Roman"/>
        </w:rPr>
      </w:pPr>
      <w:commentRangeStart w:id="14"/>
      <w:r>
        <w:rPr>
          <w:rFonts w:ascii="Times New Roman" w:eastAsia="Times New Roman" w:hAnsi="Times New Roman" w:cs="Times New Roman"/>
        </w:rPr>
        <w:t>c.</w:t>
      </w:r>
      <w:commentRangeEnd w:id="14"/>
      <w:r w:rsidR="002017AF">
        <w:rPr>
          <w:rStyle w:val="CommentReference"/>
        </w:rPr>
        <w:commentReference w:id="14"/>
      </w:r>
      <w:r>
        <w:rPr>
          <w:rFonts w:ascii="Times New Roman" w:eastAsia="Times New Roman" w:hAnsi="Times New Roman" w:cs="Times New Roman"/>
        </w:rPr>
        <w:tab/>
        <w:t>General business risks</w:t>
      </w:r>
    </w:p>
    <w:p w14:paraId="66FFDEB9"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t>Deterioration of reputation.</w:t>
      </w:r>
    </w:p>
    <w:p w14:paraId="01105E4A"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t xml:space="preserve">Future changes in anticipated experience (reparameterization in the case of stochastic processes), which would be triggered </w:t>
      </w:r>
      <w:proofErr w:type="gramStart"/>
      <w:r>
        <w:rPr>
          <w:rFonts w:ascii="Times New Roman" w:eastAsia="Times New Roman" w:hAnsi="Times New Roman" w:cs="Times New Roman"/>
        </w:rPr>
        <w:t>if and when</w:t>
      </w:r>
      <w:proofErr w:type="gramEnd"/>
      <w:r>
        <w:rPr>
          <w:rFonts w:ascii="Times New Roman" w:eastAsia="Times New Roman" w:hAnsi="Times New Roman" w:cs="Times New Roman"/>
        </w:rPr>
        <w:t xml:space="preserve"> adverse modeled outcomes were to actually occur.</w:t>
      </w:r>
    </w:p>
    <w:p w14:paraId="6BFDF2C1"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t>Poor management performance.</w:t>
      </w:r>
    </w:p>
    <w:p w14:paraId="0856C6F6"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iv.</w:t>
      </w:r>
      <w:r>
        <w:rPr>
          <w:rFonts w:ascii="Times New Roman" w:eastAsia="Times New Roman" w:hAnsi="Times New Roman" w:cs="Times New Roman"/>
        </w:rPr>
        <w:tab/>
        <w:t>The expense risks associated with fluctuating amounts of new business.</w:t>
      </w:r>
    </w:p>
    <w:p w14:paraId="041B7927"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rPr>
        <w:tab/>
        <w:t>Risks associated with future economic viability of the company.</w:t>
      </w:r>
    </w:p>
    <w:p w14:paraId="2D037FF9" w14:textId="77777777" w:rsidR="008A7F4A" w:rsidRDefault="008A7F4A" w:rsidP="008A7F4A">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rPr>
        <w:tab/>
        <w:t>Moral hazards.</w:t>
      </w:r>
    </w:p>
    <w:p w14:paraId="7A512CC6" w14:textId="77777777" w:rsidR="008A7F4A" w:rsidRDefault="008A7F4A" w:rsidP="008A7F4A">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vii.</w:t>
      </w:r>
      <w:r>
        <w:rPr>
          <w:rFonts w:ascii="Times New Roman" w:eastAsia="Times New Roman" w:hAnsi="Times New Roman" w:cs="Times New Roman"/>
        </w:rPr>
        <w:tab/>
        <w:t>Fraud and theft.</w:t>
      </w:r>
    </w:p>
    <w:p w14:paraId="172FA669" w14:textId="77777777" w:rsidR="008A7F4A" w:rsidRDefault="008A7F4A" w:rsidP="008A7F4A">
      <w:pPr>
        <w:spacing w:after="0"/>
        <w:ind w:left="2880" w:hanging="720"/>
        <w:jc w:val="both"/>
        <w:rPr>
          <w:rFonts w:ascii="Times New Roman" w:eastAsia="Times New Roman" w:hAnsi="Times New Roman" w:cs="Times New Roman"/>
        </w:rPr>
      </w:pPr>
    </w:p>
    <w:p w14:paraId="1A0FD500" w14:textId="77777777" w:rsidR="008A7F4A" w:rsidRDefault="008A7F4A" w:rsidP="00745C9A">
      <w:pPr>
        <w:pStyle w:val="Heading2"/>
        <w:numPr>
          <w:ilvl w:val="0"/>
          <w:numId w:val="75"/>
        </w:numPr>
        <w:spacing w:before="0"/>
        <w:rPr>
          <w:rFonts w:ascii="Times New Roman" w:hAnsi="Times New Roman" w:cs="Times New Roman"/>
          <w:sz w:val="22"/>
          <w:szCs w:val="22"/>
        </w:rPr>
      </w:pPr>
      <w:bookmarkStart w:id="15" w:name="_Toc77242128"/>
      <w:commentRangeStart w:id="16"/>
      <w:r>
        <w:rPr>
          <w:rFonts w:ascii="Times New Roman" w:hAnsi="Times New Roman" w:cs="Times New Roman"/>
          <w:sz w:val="22"/>
          <w:szCs w:val="22"/>
        </w:rPr>
        <w:t>Specific Definitions for VM-22</w:t>
      </w:r>
      <w:bookmarkEnd w:id="15"/>
      <w:commentRangeEnd w:id="16"/>
      <w:r w:rsidR="002017AF">
        <w:rPr>
          <w:rStyle w:val="CommentReference"/>
          <w:rFonts w:asciiTheme="minorHAnsi" w:eastAsiaTheme="minorHAnsi" w:hAnsiTheme="minorHAnsi" w:cstheme="minorBidi"/>
          <w:color w:val="auto"/>
        </w:rPr>
        <w:commentReference w:id="16"/>
      </w:r>
    </w:p>
    <w:p w14:paraId="6C6B2615" w14:textId="77777777" w:rsidR="008A7F4A" w:rsidRDefault="008A7F4A" w:rsidP="008A7F4A">
      <w:pPr>
        <w:spacing w:after="0"/>
        <w:ind w:left="720"/>
        <w:rPr>
          <w:rFonts w:ascii="Times New Roman" w:hAnsi="Times New Roman" w:cs="Times New Roman"/>
          <w:i/>
          <w:iCs/>
        </w:rPr>
      </w:pPr>
    </w:p>
    <w:p w14:paraId="65A0DF99" w14:textId="77777777" w:rsidR="008A7F4A" w:rsidRDefault="008A7F4A" w:rsidP="008A7F4A">
      <w:pPr>
        <w:spacing w:after="0"/>
        <w:ind w:left="720"/>
        <w:rPr>
          <w:rFonts w:ascii="Times New Roman" w:hAnsi="Times New Roman" w:cs="Times New Roman"/>
        </w:rPr>
      </w:pPr>
      <w:r>
        <w:rPr>
          <w:rFonts w:ascii="Times New Roman" w:hAnsi="Times New Roman" w:cs="Times New Roman"/>
          <w:b/>
          <w:bCs/>
        </w:rPr>
        <w:t>Buffer Annuity</w:t>
      </w:r>
    </w:p>
    <w:p w14:paraId="67AEE70B" w14:textId="77777777" w:rsidR="008A7F4A" w:rsidRDefault="008A7F4A" w:rsidP="008A7F4A">
      <w:pPr>
        <w:spacing w:after="0"/>
        <w:ind w:left="720"/>
        <w:rPr>
          <w:rFonts w:ascii="Times New Roman" w:hAnsi="Times New Roman" w:cs="Times New Roman"/>
        </w:rPr>
      </w:pPr>
      <w:r>
        <w:rPr>
          <w:rFonts w:ascii="Times New Roman" w:hAnsi="Times New Roman" w:cs="Times New Roman"/>
        </w:rPr>
        <w:t xml:space="preserve">Interchangeable term for Registered Index-Linked Annuity (RILA). See definition for Registered Index-Linked Annuity below. </w:t>
      </w:r>
    </w:p>
    <w:p w14:paraId="3BE27181" w14:textId="77777777" w:rsidR="008A7F4A" w:rsidRDefault="008A7F4A" w:rsidP="008A7F4A">
      <w:pPr>
        <w:spacing w:after="0"/>
        <w:ind w:left="720"/>
        <w:rPr>
          <w:rFonts w:ascii="Times New Roman" w:hAnsi="Times New Roman" w:cs="Times New Roman"/>
        </w:rPr>
      </w:pPr>
    </w:p>
    <w:p w14:paraId="792939E7" w14:textId="77777777" w:rsidR="008A7F4A" w:rsidRDefault="008A7F4A" w:rsidP="008A7F4A">
      <w:pPr>
        <w:spacing w:after="0"/>
        <w:ind w:left="720"/>
        <w:rPr>
          <w:rFonts w:ascii="Times New Roman" w:hAnsi="Times New Roman" w:cs="Times New Roman"/>
          <w:b/>
          <w:bCs/>
        </w:rPr>
      </w:pPr>
      <w:r>
        <w:rPr>
          <w:rFonts w:ascii="Times New Roman" w:hAnsi="Times New Roman" w:cs="Times New Roman"/>
          <w:b/>
          <w:bCs/>
        </w:rPr>
        <w:t>Deferred Income Annuity </w:t>
      </w:r>
      <w:commentRangeStart w:id="17"/>
      <w:r>
        <w:rPr>
          <w:rFonts w:ascii="Times New Roman" w:hAnsi="Times New Roman" w:cs="Times New Roman"/>
          <w:b/>
          <w:bCs/>
        </w:rPr>
        <w:t>(DIA)</w:t>
      </w:r>
      <w:commentRangeEnd w:id="17"/>
      <w:r w:rsidR="00164FCE">
        <w:rPr>
          <w:rStyle w:val="CommentReference"/>
        </w:rPr>
        <w:commentReference w:id="17"/>
      </w:r>
    </w:p>
    <w:p w14:paraId="3D9F3D2B" w14:textId="77777777" w:rsidR="008A7F4A" w:rsidRDefault="008A7F4A" w:rsidP="008A7F4A">
      <w:pPr>
        <w:spacing w:after="0"/>
        <w:ind w:left="720"/>
        <w:rPr>
          <w:rFonts w:ascii="Times New Roman" w:hAnsi="Times New Roman" w:cs="Times New Roman"/>
          <w:b/>
          <w:bCs/>
        </w:rPr>
      </w:pPr>
      <w:r>
        <w:rPr>
          <w:rFonts w:ascii="Times New Roman" w:hAnsi="Times New Roman" w:cs="Times New Roman"/>
        </w:rPr>
        <w:lastRenderedPageBreak/>
        <w:t>An annuity which guarantees a periodic payment for the life of the annuitant or a term certain andpayments begin one year or later after (or from) the issue date if the contract holder survives to a predetermined future age.</w:t>
      </w:r>
    </w:p>
    <w:p w14:paraId="20FA63FA" w14:textId="77777777" w:rsidR="008A7F4A" w:rsidRDefault="008A7F4A" w:rsidP="008A7F4A">
      <w:pPr>
        <w:spacing w:after="0"/>
        <w:rPr>
          <w:rFonts w:ascii="Times New Roman" w:hAnsi="Times New Roman" w:cs="Times New Roman"/>
          <w:b/>
          <w:bCs/>
        </w:rPr>
      </w:pPr>
    </w:p>
    <w:p w14:paraId="40DA40FE" w14:textId="77777777" w:rsidR="008A7F4A" w:rsidRDefault="008A7F4A" w:rsidP="008A7F4A">
      <w:pPr>
        <w:spacing w:after="0"/>
        <w:ind w:left="720"/>
        <w:rPr>
          <w:rFonts w:ascii="Times New Roman" w:hAnsi="Times New Roman" w:cs="Times New Roman"/>
        </w:rPr>
      </w:pPr>
      <w:r>
        <w:rPr>
          <w:rFonts w:ascii="Times New Roman" w:hAnsi="Times New Roman" w:cs="Times New Roman"/>
          <w:b/>
          <w:bCs/>
        </w:rPr>
        <w:t>Fixed Indexed Annuity </w:t>
      </w:r>
      <w:commentRangeStart w:id="18"/>
      <w:r>
        <w:rPr>
          <w:rFonts w:ascii="Times New Roman" w:hAnsi="Times New Roman" w:cs="Times New Roman"/>
          <w:b/>
          <w:bCs/>
        </w:rPr>
        <w:t>(FIA)</w:t>
      </w:r>
      <w:commentRangeEnd w:id="18"/>
      <w:r w:rsidR="00164FCE">
        <w:rPr>
          <w:rStyle w:val="CommentReference"/>
        </w:rPr>
        <w:commentReference w:id="18"/>
      </w:r>
    </w:p>
    <w:p w14:paraId="0FFC1B94" w14:textId="77777777" w:rsidR="008A7F4A" w:rsidRDefault="008A7F4A" w:rsidP="008A7F4A">
      <w:pPr>
        <w:spacing w:after="0"/>
        <w:ind w:left="720"/>
        <w:rPr>
          <w:rFonts w:ascii="Times New Roman" w:hAnsi="Times New Roman" w:cs="Times New Roman"/>
        </w:rPr>
      </w:pPr>
      <w:r>
        <w:rPr>
          <w:rFonts w:ascii="Times New Roman" w:hAnsi="Times New Roman" w:cs="Times New Roman"/>
        </w:rPr>
        <w:t>An annuity with an account value where the contract holder has the option for a portion or </w:t>
      </w:r>
      <w:proofErr w:type="gramStart"/>
      <w:r>
        <w:rPr>
          <w:rFonts w:ascii="Times New Roman" w:hAnsi="Times New Roman" w:cs="Times New Roman"/>
        </w:rPr>
        <w:t>all of</w:t>
      </w:r>
      <w:proofErr w:type="gramEnd"/>
      <w:r>
        <w:rPr>
          <w:rFonts w:ascii="Times New Roman" w:hAnsi="Times New Roman" w:cs="Times New Roman"/>
        </w:rPr>
        <w:t> </w:t>
      </w:r>
    </w:p>
    <w:p w14:paraId="55BAC54C" w14:textId="77777777" w:rsidR="008A7F4A" w:rsidRDefault="008A7F4A" w:rsidP="008A7F4A">
      <w:pPr>
        <w:spacing w:after="0"/>
        <w:ind w:left="720"/>
        <w:rPr>
          <w:rFonts w:ascii="Times New Roman" w:hAnsi="Times New Roman" w:cs="Times New Roman"/>
        </w:rPr>
      </w:pPr>
      <w:r>
        <w:rPr>
          <w:rFonts w:ascii="Times New Roman" w:hAnsi="Times New Roman" w:cs="Times New Roman"/>
        </w:rPr>
        <w:t xml:space="preserve">the account value to grow at a rate linked to an external index, typically with guaranteed principal. </w:t>
      </w:r>
    </w:p>
    <w:p w14:paraId="792FC7DA" w14:textId="77777777" w:rsidR="008A7F4A" w:rsidRDefault="008A7F4A" w:rsidP="008A7F4A">
      <w:pPr>
        <w:spacing w:after="0"/>
        <w:ind w:left="720"/>
        <w:rPr>
          <w:rFonts w:ascii="Times New Roman" w:hAnsi="Times New Roman" w:cs="Times New Roman"/>
        </w:rPr>
      </w:pPr>
    </w:p>
    <w:p w14:paraId="3912EED5" w14:textId="77777777" w:rsidR="008A7F4A" w:rsidRDefault="008A7F4A" w:rsidP="008A7F4A">
      <w:pPr>
        <w:spacing w:after="0"/>
        <w:ind w:left="720"/>
        <w:rPr>
          <w:rFonts w:ascii="Times New Roman" w:hAnsi="Times New Roman" w:cs="Times New Roman"/>
        </w:rPr>
      </w:pPr>
      <w:r>
        <w:rPr>
          <w:rFonts w:ascii="Times New Roman" w:hAnsi="Times New Roman" w:cs="Times New Roman"/>
        </w:rPr>
        <w:t>F</w:t>
      </w:r>
      <w:r>
        <w:rPr>
          <w:rFonts w:ascii="Times New Roman" w:hAnsi="Times New Roman" w:cs="Times New Roman"/>
          <w:b/>
          <w:bCs/>
        </w:rPr>
        <w:t>lexible Premium Deferred Annuity (FPDA)</w:t>
      </w:r>
      <w:r>
        <w:rPr>
          <w:rFonts w:ascii="Times New Roman" w:hAnsi="Times New Roman" w:cs="Times New Roman"/>
        </w:rPr>
        <w:t xml:space="preserve"> An annuity with an account value established with a premium amount but allows for additional </w:t>
      </w:r>
    </w:p>
    <w:p w14:paraId="266125F1" w14:textId="77777777" w:rsidR="008A7F4A" w:rsidRDefault="008A7F4A" w:rsidP="008A7F4A">
      <w:pPr>
        <w:spacing w:after="0"/>
        <w:ind w:left="720"/>
        <w:rPr>
          <w:rFonts w:ascii="Times New Roman" w:hAnsi="Times New Roman" w:cs="Times New Roman"/>
        </w:rPr>
      </w:pPr>
      <w:r>
        <w:rPr>
          <w:rFonts w:ascii="Times New Roman" w:hAnsi="Times New Roman" w:cs="Times New Roman"/>
        </w:rPr>
        <w:t>deposits to be paid into the annuity over time, resulting in an increase to the account value. The contract also</w:t>
      </w:r>
      <w:r>
        <w:t xml:space="preserve"> </w:t>
      </w:r>
      <w:r>
        <w:rPr>
          <w:rFonts w:ascii="Times New Roman" w:hAnsi="Times New Roman" w:cs="Times New Roman"/>
        </w:rPr>
        <w:t>has a guaranteed interest rate during the accumulation phase and has guaranteed mortality and interest rates applicable at the time of conversion to the payout phase.</w:t>
      </w:r>
    </w:p>
    <w:p w14:paraId="77F949BE" w14:textId="77777777" w:rsidR="008A7F4A" w:rsidRDefault="008A7F4A" w:rsidP="008A7F4A">
      <w:pPr>
        <w:spacing w:after="0"/>
        <w:ind w:left="720"/>
        <w:rPr>
          <w:rFonts w:ascii="Times New Roman" w:hAnsi="Times New Roman" w:cs="Times New Roman"/>
        </w:rPr>
      </w:pPr>
    </w:p>
    <w:p w14:paraId="318EEAE5" w14:textId="77777777" w:rsidR="008A7F4A" w:rsidRDefault="008A7F4A" w:rsidP="008A7F4A">
      <w:pPr>
        <w:spacing w:after="0"/>
        <w:ind w:left="720"/>
        <w:rPr>
          <w:rFonts w:ascii="Times New Roman" w:hAnsi="Times New Roman" w:cs="Times New Roman"/>
          <w:b/>
          <w:bCs/>
        </w:rPr>
      </w:pPr>
      <w:r>
        <w:rPr>
          <w:rFonts w:ascii="Times New Roman" w:hAnsi="Times New Roman" w:cs="Times New Roman"/>
          <w:b/>
          <w:bCs/>
        </w:rPr>
        <w:t>Funding Agreement</w:t>
      </w:r>
    </w:p>
    <w:p w14:paraId="52D62A2F" w14:textId="77777777" w:rsidR="008A7F4A" w:rsidRDefault="008A7F4A" w:rsidP="008A7F4A">
      <w:pPr>
        <w:spacing w:after="0"/>
        <w:ind w:left="720"/>
        <w:rPr>
          <w:rFonts w:ascii="Times New Roman" w:hAnsi="Times New Roman" w:cs="Times New Roman"/>
        </w:rPr>
      </w:pPr>
      <w:r>
        <w:rPr>
          <w:rFonts w:ascii="Times New Roman" w:hAnsi="Times New Roman" w:cs="Times New Roman"/>
        </w:rPr>
        <w:t>A contract issued to an institutional investor (domestic and international non</w:t>
      </w:r>
      <w:r>
        <w:rPr>
          <w:rFonts w:ascii="Cambria Math" w:hAnsi="Cambria Math" w:cs="Cambria Math"/>
        </w:rPr>
        <w:t>‐</w:t>
      </w:r>
      <w:r>
        <w:rPr>
          <w:rFonts w:ascii="Times New Roman" w:hAnsi="Times New Roman" w:cs="Times New Roman"/>
        </w:rPr>
        <w:t xml:space="preserve">qualified fixed income investors) that provides fixed or floating interest rate guarantees. </w:t>
      </w:r>
    </w:p>
    <w:p w14:paraId="7D1D227D" w14:textId="77777777" w:rsidR="008A7F4A" w:rsidRDefault="008A7F4A" w:rsidP="008A7F4A">
      <w:pPr>
        <w:spacing w:after="0"/>
        <w:ind w:left="720"/>
        <w:rPr>
          <w:rFonts w:ascii="Times New Roman" w:hAnsi="Times New Roman" w:cs="Times New Roman"/>
          <w:b/>
          <w:bCs/>
        </w:rPr>
      </w:pPr>
    </w:p>
    <w:p w14:paraId="61C1184F" w14:textId="77777777" w:rsidR="008A7F4A" w:rsidRDefault="008A7F4A" w:rsidP="008A7F4A">
      <w:pPr>
        <w:spacing w:after="0"/>
        <w:ind w:left="720"/>
        <w:rPr>
          <w:rFonts w:ascii="Times New Roman" w:hAnsi="Times New Roman" w:cs="Times New Roman"/>
          <w:b/>
          <w:bCs/>
        </w:rPr>
      </w:pPr>
      <w:r>
        <w:rPr>
          <w:rFonts w:ascii="Times New Roman" w:hAnsi="Times New Roman" w:cs="Times New Roman"/>
          <w:b/>
          <w:bCs/>
        </w:rPr>
        <w:t>Guaranteed Investment Contract (GIC)</w:t>
      </w:r>
    </w:p>
    <w:p w14:paraId="47CE7520" w14:textId="77777777" w:rsidR="008A7F4A" w:rsidRDefault="008A7F4A" w:rsidP="008A7F4A">
      <w:pPr>
        <w:spacing w:after="0"/>
        <w:ind w:left="720"/>
        <w:rPr>
          <w:rFonts w:ascii="Times New Roman" w:hAnsi="Times New Roman" w:cs="Times New Roman"/>
        </w:rPr>
      </w:pPr>
      <w:r>
        <w:rPr>
          <w:rFonts w:ascii="Times New Roman" w:hAnsi="Times New Roman" w:cs="Times New Roman"/>
        </w:rPr>
        <w:t>Insurance contract typically issued to a retirement plan (defined contribution) under which the </w:t>
      </w:r>
    </w:p>
    <w:p w14:paraId="56703214" w14:textId="77777777" w:rsidR="008A7F4A" w:rsidRDefault="008A7F4A" w:rsidP="008A7F4A">
      <w:pPr>
        <w:spacing w:after="0"/>
        <w:ind w:left="720"/>
        <w:rPr>
          <w:rFonts w:ascii="Times New Roman" w:hAnsi="Times New Roman" w:cs="Times New Roman"/>
        </w:rPr>
      </w:pPr>
      <w:r>
        <w:rPr>
          <w:rFonts w:ascii="Times New Roman" w:hAnsi="Times New Roman" w:cs="Times New Roman"/>
        </w:rPr>
        <w:t>insurer accepts a deposit (or series of deposits) from the purchaser and guarantees to pay a </w:t>
      </w:r>
    </w:p>
    <w:p w14:paraId="293E00DC" w14:textId="77777777" w:rsidR="008A7F4A" w:rsidRDefault="008A7F4A" w:rsidP="008A7F4A">
      <w:pPr>
        <w:spacing w:after="0"/>
        <w:ind w:left="720"/>
        <w:rPr>
          <w:rFonts w:ascii="Times New Roman" w:hAnsi="Times New Roman" w:cs="Times New Roman"/>
        </w:rPr>
      </w:pPr>
      <w:r>
        <w:rPr>
          <w:rFonts w:ascii="Times New Roman" w:hAnsi="Times New Roman" w:cs="Times New Roman"/>
        </w:rPr>
        <w:t>specified interest rate on the funds deposited during a specified </w:t>
      </w:r>
      <w:proofErr w:type="gramStart"/>
      <w:r>
        <w:rPr>
          <w:rFonts w:ascii="Times New Roman" w:hAnsi="Times New Roman" w:cs="Times New Roman"/>
        </w:rPr>
        <w:t>period of time</w:t>
      </w:r>
      <w:proofErr w:type="gramEnd"/>
      <w:r>
        <w:rPr>
          <w:rFonts w:ascii="Times New Roman" w:hAnsi="Times New Roman" w:cs="Times New Roman"/>
        </w:rPr>
        <w:t xml:space="preserve">. </w:t>
      </w:r>
    </w:p>
    <w:p w14:paraId="4AB3B85C" w14:textId="77777777" w:rsidR="008A7F4A" w:rsidRDefault="008A7F4A" w:rsidP="008A7F4A">
      <w:pPr>
        <w:spacing w:after="0"/>
        <w:ind w:left="720"/>
        <w:rPr>
          <w:rFonts w:ascii="Times New Roman" w:hAnsi="Times New Roman" w:cs="Times New Roman"/>
          <w:b/>
          <w:bCs/>
        </w:rPr>
      </w:pPr>
    </w:p>
    <w:p w14:paraId="6BB4835A" w14:textId="77777777" w:rsidR="008A7F4A" w:rsidRDefault="008A7F4A" w:rsidP="008A7F4A">
      <w:pPr>
        <w:spacing w:after="0"/>
        <w:ind w:left="720"/>
        <w:rPr>
          <w:rFonts w:ascii="Times New Roman" w:hAnsi="Times New Roman" w:cs="Times New Roman"/>
          <w:b/>
          <w:bCs/>
        </w:rPr>
      </w:pPr>
      <w:r>
        <w:rPr>
          <w:rFonts w:ascii="Times New Roman" w:hAnsi="Times New Roman" w:cs="Times New Roman"/>
          <w:b/>
          <w:bCs/>
        </w:rPr>
        <w:t>Index Credit Hedge Margin</w:t>
      </w:r>
    </w:p>
    <w:p w14:paraId="071FFD0C" w14:textId="77777777" w:rsidR="008A7F4A" w:rsidRDefault="008A7F4A" w:rsidP="008A7F4A">
      <w:pPr>
        <w:spacing w:after="0"/>
        <w:ind w:left="720"/>
        <w:rPr>
          <w:rFonts w:ascii="Times New Roman" w:hAnsi="Times New Roman" w:cs="Times New Roman"/>
        </w:rPr>
      </w:pPr>
      <w:r>
        <w:rPr>
          <w:rFonts w:ascii="Times New Roman" w:hAnsi="Times New Roman" w:cs="Times New Roman"/>
        </w:rPr>
        <w:t>A margin capturing the risk of inefficiencies in the company’s hedging program supporting index credits. This includes basis risk, persistency risk, and the risk associated with modeling decisions and simplifications. It also includes any uncertainty of costs associated with managing the hedging program and changes due to investment and management decisions.</w:t>
      </w:r>
    </w:p>
    <w:p w14:paraId="713B77D1" w14:textId="77777777" w:rsidR="008A7F4A" w:rsidRDefault="008A7F4A" w:rsidP="008A7F4A">
      <w:pPr>
        <w:spacing w:after="0"/>
        <w:ind w:left="720"/>
        <w:rPr>
          <w:rFonts w:ascii="Times New Roman" w:hAnsi="Times New Roman" w:cs="Times New Roman"/>
          <w:b/>
          <w:bCs/>
        </w:rPr>
      </w:pPr>
    </w:p>
    <w:p w14:paraId="1170918D" w14:textId="77777777" w:rsidR="008A7F4A" w:rsidRDefault="008A7F4A" w:rsidP="008A7F4A">
      <w:pPr>
        <w:spacing w:after="0"/>
        <w:ind w:left="720"/>
        <w:rPr>
          <w:rFonts w:ascii="Times New Roman" w:hAnsi="Times New Roman" w:cs="Times New Roman"/>
        </w:rPr>
      </w:pPr>
      <w:r>
        <w:rPr>
          <w:rFonts w:ascii="Times New Roman" w:hAnsi="Times New Roman" w:cs="Times New Roman"/>
          <w:b/>
          <w:bCs/>
        </w:rPr>
        <w:t>Index Credit</w:t>
      </w:r>
    </w:p>
    <w:p w14:paraId="268C952E" w14:textId="77777777" w:rsidR="008A7F4A" w:rsidRDefault="008A7F4A" w:rsidP="008A7F4A">
      <w:pPr>
        <w:spacing w:after="0"/>
        <w:ind w:left="720"/>
        <w:rPr>
          <w:rFonts w:ascii="Times New Roman" w:hAnsi="Times New Roman" w:cs="Times New Roman"/>
        </w:rPr>
      </w:pPr>
      <w:r>
        <w:rPr>
          <w:rFonts w:ascii="Times New Roman" w:hAnsi="Times New Roman" w:cs="Times New Roman"/>
        </w:rPr>
        <w:t>Any interest credit, multiplier, factor, bonus, charge reduction, or other enhancement to policy values that is linked to an index or indices. Amounts credited to the policy resulting from a floor on an index account are included.</w:t>
      </w:r>
    </w:p>
    <w:p w14:paraId="7A43E012" w14:textId="77777777" w:rsidR="008A7F4A" w:rsidRDefault="008A7F4A" w:rsidP="008A7F4A">
      <w:pPr>
        <w:spacing w:after="0"/>
        <w:ind w:left="720"/>
        <w:rPr>
          <w:rFonts w:ascii="Times New Roman" w:hAnsi="Times New Roman" w:cs="Times New Roman"/>
          <w:b/>
          <w:bCs/>
        </w:rPr>
      </w:pPr>
    </w:p>
    <w:p w14:paraId="18F814FE" w14:textId="77777777" w:rsidR="008A7F4A" w:rsidRDefault="008A7F4A" w:rsidP="008A7F4A">
      <w:pPr>
        <w:spacing w:after="0"/>
        <w:ind w:left="720"/>
        <w:rPr>
          <w:rFonts w:ascii="Times New Roman" w:hAnsi="Times New Roman" w:cs="Times New Roman"/>
          <w:b/>
          <w:bCs/>
        </w:rPr>
      </w:pPr>
      <w:r>
        <w:rPr>
          <w:rFonts w:ascii="Times New Roman" w:hAnsi="Times New Roman" w:cs="Times New Roman"/>
          <w:b/>
          <w:bCs/>
        </w:rPr>
        <w:t>Index Crediting Strategy</w:t>
      </w:r>
    </w:p>
    <w:p w14:paraId="004A10E5" w14:textId="77777777" w:rsidR="008A7F4A" w:rsidRDefault="008A7F4A" w:rsidP="008A7F4A">
      <w:pPr>
        <w:spacing w:after="0"/>
        <w:ind w:left="720"/>
        <w:rPr>
          <w:rFonts w:ascii="Times New Roman" w:hAnsi="Times New Roman" w:cs="Times New Roman"/>
          <w:u w:val="single"/>
        </w:rPr>
      </w:pPr>
      <w:r>
        <w:rPr>
          <w:rFonts w:ascii="Times New Roman" w:hAnsi="Times New Roman" w:cs="Times New Roman"/>
          <w:u w:val="single"/>
        </w:rPr>
        <w:t>The strategy defined in a contract to determine index credits for a contract. This refers to underlying index, index parameters, date, timing, and other elements of the crediting method.</w:t>
      </w:r>
    </w:p>
    <w:p w14:paraId="3476D2A5" w14:textId="77777777" w:rsidR="008A7F4A" w:rsidRDefault="008A7F4A" w:rsidP="008A7F4A">
      <w:pPr>
        <w:spacing w:after="0"/>
        <w:ind w:left="720"/>
        <w:rPr>
          <w:rFonts w:ascii="Times New Roman" w:hAnsi="Times New Roman" w:cs="Times New Roman"/>
          <w:u w:val="single"/>
        </w:rPr>
      </w:pPr>
    </w:p>
    <w:p w14:paraId="4D7BD949" w14:textId="77777777" w:rsidR="008A7F4A" w:rsidRDefault="008A7F4A" w:rsidP="008A7F4A">
      <w:pPr>
        <w:spacing w:after="0"/>
        <w:ind w:left="720"/>
        <w:rPr>
          <w:rFonts w:ascii="Times New Roman" w:hAnsi="Times New Roman" w:cs="Times New Roman"/>
          <w:b/>
          <w:bCs/>
        </w:rPr>
      </w:pPr>
      <w:r>
        <w:rPr>
          <w:rFonts w:ascii="Times New Roman" w:hAnsi="Times New Roman" w:cs="Times New Roman"/>
          <w:b/>
          <w:bCs/>
        </w:rPr>
        <w:t xml:space="preserve">Index </w:t>
      </w:r>
      <w:commentRangeStart w:id="19"/>
      <w:r>
        <w:rPr>
          <w:rFonts w:ascii="Times New Roman" w:hAnsi="Times New Roman" w:cs="Times New Roman"/>
          <w:b/>
          <w:bCs/>
        </w:rPr>
        <w:t>Parameter</w:t>
      </w:r>
      <w:commentRangeEnd w:id="19"/>
      <w:r w:rsidR="00164FCE">
        <w:rPr>
          <w:rStyle w:val="CommentReference"/>
        </w:rPr>
        <w:commentReference w:id="19"/>
      </w:r>
    </w:p>
    <w:p w14:paraId="234BA97A" w14:textId="77777777" w:rsidR="008A7F4A" w:rsidRDefault="008A7F4A" w:rsidP="008A7F4A">
      <w:pPr>
        <w:spacing w:after="0"/>
        <w:ind w:left="720"/>
        <w:rPr>
          <w:rFonts w:ascii="Times New Roman" w:hAnsi="Times New Roman" w:cs="Times New Roman"/>
          <w:u w:val="single"/>
        </w:rPr>
      </w:pPr>
      <w:r>
        <w:rPr>
          <w:rFonts w:ascii="Times New Roman" w:hAnsi="Times New Roman" w:cs="Times New Roman"/>
          <w:u w:val="single"/>
        </w:rPr>
        <w:t>Cap, floor, participation rate, spreads, or other features describing how the contract utilizes the index.</w:t>
      </w:r>
    </w:p>
    <w:p w14:paraId="28B16CA3" w14:textId="77777777" w:rsidR="008A7F4A" w:rsidRDefault="008A7F4A" w:rsidP="008A7F4A">
      <w:pPr>
        <w:spacing w:after="0"/>
        <w:ind w:left="720"/>
        <w:rPr>
          <w:rFonts w:ascii="Times New Roman" w:hAnsi="Times New Roman" w:cs="Times New Roman"/>
          <w:b/>
          <w:bCs/>
        </w:rPr>
      </w:pPr>
    </w:p>
    <w:p w14:paraId="39A16F59" w14:textId="77777777" w:rsidR="008A7F4A" w:rsidRDefault="008A7F4A" w:rsidP="008A7F4A">
      <w:pPr>
        <w:spacing w:after="0"/>
        <w:ind w:left="720"/>
        <w:rPr>
          <w:rFonts w:ascii="Times New Roman" w:hAnsi="Times New Roman" w:cs="Times New Roman"/>
          <w:b/>
          <w:bCs/>
        </w:rPr>
      </w:pPr>
      <w:r>
        <w:rPr>
          <w:rFonts w:ascii="Times New Roman" w:hAnsi="Times New Roman" w:cs="Times New Roman"/>
          <w:b/>
          <w:bCs/>
        </w:rPr>
        <w:t xml:space="preserve">Longevity </w:t>
      </w:r>
      <w:commentRangeStart w:id="20"/>
      <w:r>
        <w:rPr>
          <w:rFonts w:ascii="Times New Roman" w:hAnsi="Times New Roman" w:cs="Times New Roman"/>
          <w:b/>
          <w:bCs/>
        </w:rPr>
        <w:t>Reinsurance</w:t>
      </w:r>
      <w:commentRangeEnd w:id="20"/>
      <w:r w:rsidR="00164FCE">
        <w:rPr>
          <w:rStyle w:val="CommentReference"/>
        </w:rPr>
        <w:commentReference w:id="20"/>
      </w:r>
    </w:p>
    <w:p w14:paraId="013983C6" w14:textId="77777777" w:rsidR="008A7F4A" w:rsidRDefault="008A7F4A" w:rsidP="008A7F4A">
      <w:pPr>
        <w:spacing w:after="0"/>
        <w:ind w:left="720"/>
        <w:rPr>
          <w:rFonts w:ascii="Times New Roman" w:hAnsi="Times New Roman" w:cs="Times New Roman"/>
        </w:rPr>
      </w:pPr>
      <w:r>
        <w:rPr>
          <w:rFonts w:ascii="Times New Roman" w:hAnsi="Times New Roman" w:cs="Times New Roman"/>
        </w:rPr>
        <w:t xml:space="preserve">An agreement, typically a reinsurance arrangement covering one or more group or individual annuity contracts, under which an insurance company assumes the longevity risk associated with </w:t>
      </w:r>
      <w:r>
        <w:rPr>
          <w:rFonts w:ascii="Times New Roman" w:hAnsi="Times New Roman" w:cs="Times New Roman"/>
        </w:rPr>
        <w:lastRenderedPageBreak/>
        <w:t>periodic payments made to specified annuitants under one or more immediate or deferred payout annuity contracts. A common example is participants in one or more underlying retirement plans. </w:t>
      </w:r>
    </w:p>
    <w:p w14:paraId="1680FFA0" w14:textId="77777777" w:rsidR="008A7F4A" w:rsidRDefault="008A7F4A" w:rsidP="008A7F4A">
      <w:pPr>
        <w:spacing w:after="0"/>
        <w:ind w:left="720"/>
        <w:rPr>
          <w:rFonts w:ascii="Times New Roman" w:hAnsi="Times New Roman" w:cs="Times New Roman"/>
        </w:rPr>
      </w:pPr>
    </w:p>
    <w:p w14:paraId="6DDB558B" w14:textId="77777777" w:rsidR="008A7F4A" w:rsidRDefault="008A7F4A" w:rsidP="008A7F4A">
      <w:pPr>
        <w:spacing w:after="0"/>
        <w:ind w:left="720"/>
        <w:rPr>
          <w:rFonts w:ascii="Times New Roman" w:hAnsi="Times New Roman" w:cs="Times New Roman"/>
        </w:rPr>
      </w:pPr>
      <w:r>
        <w:rPr>
          <w:rFonts w:ascii="Times New Roman" w:hAnsi="Times New Roman" w:cs="Times New Roman"/>
        </w:rPr>
        <w:t xml:space="preserve">Typically, the reinsurer pays a portion of the actual benefits due to the underlying annuitants (or, in some cases, a pre-agreed amount per annuitant), while the ceding insurance company retains the assets supporting the reinsured annuity payments and pays periodic, ongoing premiums to the  reinsurer over the expected lifetime of benefits paid to the specified annuitants. Such agreements may contain net settlement provisions such that only one party makes ongoing cash payments in a particular period. Under these agreements, longevity risk may be transferred on either a permanent basis or for a prespecified </w:t>
      </w:r>
      <w:proofErr w:type="gramStart"/>
      <w:r>
        <w:rPr>
          <w:rFonts w:ascii="Times New Roman" w:hAnsi="Times New Roman" w:cs="Times New Roman"/>
        </w:rPr>
        <w:t>period of time</w:t>
      </w:r>
      <w:proofErr w:type="gramEnd"/>
      <w:r>
        <w:rPr>
          <w:rFonts w:ascii="Times New Roman" w:hAnsi="Times New Roman" w:cs="Times New Roman"/>
        </w:rPr>
        <w:t>, and these agreements may or may not permit early termination.</w:t>
      </w:r>
    </w:p>
    <w:p w14:paraId="126DB896" w14:textId="77777777" w:rsidR="008A7F4A" w:rsidRDefault="008A7F4A" w:rsidP="008A7F4A">
      <w:pPr>
        <w:spacing w:after="0"/>
        <w:ind w:left="720"/>
        <w:rPr>
          <w:rFonts w:ascii="Times New Roman" w:hAnsi="Times New Roman" w:cs="Times New Roman"/>
        </w:rPr>
      </w:pPr>
    </w:p>
    <w:p w14:paraId="164F10C3" w14:textId="77777777" w:rsidR="008A7F4A" w:rsidRDefault="008A7F4A" w:rsidP="008A7F4A">
      <w:pPr>
        <w:spacing w:after="0"/>
        <w:ind w:left="720"/>
        <w:rPr>
          <w:rFonts w:ascii="Times New Roman" w:hAnsi="Times New Roman" w:cs="Times New Roman"/>
        </w:rPr>
      </w:pPr>
      <w:r>
        <w:rPr>
          <w:rFonts w:ascii="Times New Roman" w:hAnsi="Times New Roman" w:cs="Times New Roman"/>
        </w:rPr>
        <w:t xml:space="preserve">Agreements which are not treated as reinsurance under Statement of Statutory Accounting Principles (SSAP) No. 61R are not included in this definition. </w:t>
      </w:r>
      <w:proofErr w:type="gramStart"/>
      <w:r>
        <w:rPr>
          <w:rFonts w:ascii="Times New Roman" w:hAnsi="Times New Roman" w:cs="Times New Roman"/>
        </w:rPr>
        <w:t>In particular, contracts</w:t>
      </w:r>
      <w:proofErr w:type="gramEnd"/>
      <w:r>
        <w:rPr>
          <w:rFonts w:ascii="Times New Roman" w:hAnsi="Times New Roman" w:cs="Times New Roman"/>
        </w:rPr>
        <w:t xml:space="preserve"> under which payments are made based on the aggregate mortality experience of a population of lives which are not covered by an underlying group or individual annuity contract (e.g., mortality index-based longevity swaps) are not included in this definition.</w:t>
      </w:r>
    </w:p>
    <w:p w14:paraId="7242BA24" w14:textId="77777777" w:rsidR="008A7F4A" w:rsidRDefault="008A7F4A" w:rsidP="008A7F4A">
      <w:pPr>
        <w:spacing w:after="0"/>
        <w:ind w:left="720"/>
        <w:rPr>
          <w:rFonts w:ascii="Times New Roman" w:hAnsi="Times New Roman" w:cs="Times New Roman"/>
          <w:b/>
          <w:bCs/>
        </w:rPr>
      </w:pPr>
    </w:p>
    <w:p w14:paraId="04EBE4DA" w14:textId="77777777" w:rsidR="008A7F4A" w:rsidRDefault="008A7F4A" w:rsidP="008A7F4A">
      <w:pPr>
        <w:spacing w:after="0"/>
        <w:ind w:left="720"/>
        <w:rPr>
          <w:rFonts w:ascii="Times New Roman" w:hAnsi="Times New Roman" w:cs="Times New Roman"/>
          <w:b/>
          <w:bCs/>
        </w:rPr>
      </w:pPr>
      <w:r>
        <w:rPr>
          <w:rFonts w:ascii="Times New Roman" w:hAnsi="Times New Roman" w:cs="Times New Roman"/>
          <w:b/>
          <w:bCs/>
        </w:rPr>
        <w:t>Market Value Adjustment (MVA) Annuity</w:t>
      </w:r>
    </w:p>
    <w:p w14:paraId="68B736B7" w14:textId="77777777" w:rsidR="008A7F4A" w:rsidRDefault="008A7F4A" w:rsidP="008A7F4A">
      <w:pPr>
        <w:spacing w:after="0"/>
        <w:ind w:left="720"/>
        <w:rPr>
          <w:rFonts w:ascii="Times New Roman" w:hAnsi="Times New Roman" w:cs="Times New Roman"/>
        </w:rPr>
      </w:pPr>
      <w:r>
        <w:rPr>
          <w:rFonts w:ascii="Times New Roman" w:hAnsi="Times New Roman" w:cs="Times New Roman"/>
        </w:rPr>
        <w:t>An annuity with an account value where withdrawals and full surrenders are subject to </w:t>
      </w:r>
    </w:p>
    <w:p w14:paraId="57BAFB2C" w14:textId="77777777" w:rsidR="008A7F4A" w:rsidRDefault="008A7F4A" w:rsidP="008A7F4A">
      <w:pPr>
        <w:spacing w:after="0"/>
        <w:ind w:left="720"/>
        <w:rPr>
          <w:rFonts w:ascii="Times New Roman" w:hAnsi="Times New Roman" w:cs="Times New Roman"/>
        </w:rPr>
      </w:pPr>
      <w:r>
        <w:rPr>
          <w:rFonts w:ascii="Times New Roman" w:hAnsi="Times New Roman" w:cs="Times New Roman"/>
        </w:rPr>
        <w:t>adjustments based on interest rates or index returns at the time of withdrawal/surrender. There could be ceilings and floors on the amount of the market-value adjustment.</w:t>
      </w:r>
    </w:p>
    <w:p w14:paraId="3B42A804" w14:textId="77777777" w:rsidR="008A7F4A" w:rsidRDefault="008A7F4A" w:rsidP="008A7F4A">
      <w:pPr>
        <w:spacing w:after="0"/>
        <w:ind w:left="720"/>
        <w:rPr>
          <w:rFonts w:ascii="Times New Roman" w:hAnsi="Times New Roman" w:cs="Times New Roman"/>
          <w:b/>
          <w:bCs/>
        </w:rPr>
      </w:pPr>
    </w:p>
    <w:p w14:paraId="073483EA" w14:textId="77777777" w:rsidR="008A7F4A" w:rsidRDefault="008A7F4A" w:rsidP="008A7F4A">
      <w:pPr>
        <w:spacing w:after="0"/>
        <w:ind w:left="720"/>
        <w:rPr>
          <w:rFonts w:ascii="Times New Roman" w:hAnsi="Times New Roman" w:cs="Times New Roman"/>
          <w:b/>
          <w:bCs/>
        </w:rPr>
      </w:pPr>
      <w:r>
        <w:rPr>
          <w:rFonts w:ascii="Times New Roman" w:hAnsi="Times New Roman" w:cs="Times New Roman"/>
          <w:b/>
          <w:bCs/>
        </w:rPr>
        <w:t>Modified Guaranteed Annuity </w:t>
      </w:r>
      <w:commentRangeStart w:id="21"/>
      <w:r>
        <w:rPr>
          <w:rFonts w:ascii="Times New Roman" w:hAnsi="Times New Roman" w:cs="Times New Roman"/>
          <w:b/>
          <w:bCs/>
        </w:rPr>
        <w:t>(MGA)</w:t>
      </w:r>
      <w:commentRangeEnd w:id="21"/>
      <w:r w:rsidR="004445E0">
        <w:rPr>
          <w:rStyle w:val="CommentReference"/>
        </w:rPr>
        <w:commentReference w:id="21"/>
      </w:r>
    </w:p>
    <w:p w14:paraId="04B54F0D" w14:textId="77777777" w:rsidR="008A7F4A" w:rsidRDefault="008A7F4A" w:rsidP="008A7F4A">
      <w:pPr>
        <w:spacing w:after="0"/>
        <w:ind w:left="720"/>
        <w:rPr>
          <w:rFonts w:ascii="Times New Roman" w:hAnsi="Times New Roman" w:cs="Times New Roman"/>
        </w:rPr>
      </w:pPr>
      <w:r>
        <w:rPr>
          <w:rFonts w:ascii="Times New Roman" w:hAnsi="Times New Roman" w:cs="Times New Roman"/>
        </w:rPr>
        <w:t>A type of market</w:t>
      </w:r>
      <w:r>
        <w:rPr>
          <w:rFonts w:ascii="Cambria Math" w:hAnsi="Cambria Math" w:cs="Cambria Math"/>
        </w:rPr>
        <w:t>‐</w:t>
      </w:r>
      <w:r>
        <w:rPr>
          <w:rFonts w:ascii="Times New Roman" w:hAnsi="Times New Roman" w:cs="Times New Roman"/>
        </w:rPr>
        <w:t xml:space="preserve">value adjusted annuity contract where the underlying assets are held in an insurance company separate account and the value of which are guaranteed if held for specified periods of time. </w:t>
      </w:r>
      <w:r>
        <w:t xml:space="preserve"> </w:t>
      </w:r>
      <w:r>
        <w:rPr>
          <w:rFonts w:ascii="Times New Roman" w:hAnsi="Times New Roman" w:cs="Times New Roman"/>
        </w:rPr>
        <w:t>The contract contains nonforfeiture values that are based upon a market-value adjustment formula if held for shorter periods.</w:t>
      </w:r>
    </w:p>
    <w:p w14:paraId="3AA64B30" w14:textId="77777777" w:rsidR="008A7F4A" w:rsidRDefault="008A7F4A" w:rsidP="008A7F4A">
      <w:pPr>
        <w:spacing w:after="0"/>
        <w:ind w:left="720"/>
        <w:rPr>
          <w:rFonts w:ascii="Times New Roman" w:hAnsi="Times New Roman" w:cs="Times New Roman"/>
          <w:b/>
          <w:bCs/>
        </w:rPr>
      </w:pPr>
    </w:p>
    <w:p w14:paraId="189F4363" w14:textId="77777777" w:rsidR="008A7F4A" w:rsidRDefault="008A7F4A" w:rsidP="008A7F4A">
      <w:pPr>
        <w:keepNext/>
        <w:spacing w:after="0"/>
        <w:ind w:left="720"/>
        <w:rPr>
          <w:rFonts w:ascii="Times New Roman" w:hAnsi="Times New Roman" w:cs="Times New Roman"/>
        </w:rPr>
      </w:pPr>
      <w:r>
        <w:rPr>
          <w:rFonts w:ascii="Times New Roman" w:hAnsi="Times New Roman" w:cs="Times New Roman"/>
          <w:b/>
          <w:bCs/>
        </w:rPr>
        <w:t>Multiple Year Guaranteed Annuity (MYGA)</w:t>
      </w:r>
    </w:p>
    <w:p w14:paraId="30E8E35D" w14:textId="77777777" w:rsidR="008A7F4A" w:rsidRDefault="008A7F4A" w:rsidP="008A7F4A">
      <w:pPr>
        <w:keepNext/>
        <w:spacing w:after="0"/>
        <w:ind w:left="720"/>
        <w:rPr>
          <w:rFonts w:ascii="Times New Roman" w:hAnsi="Times New Roman" w:cs="Times New Roman"/>
        </w:rPr>
      </w:pPr>
      <w:r>
        <w:rPr>
          <w:rFonts w:ascii="Times New Roman" w:hAnsi="Times New Roman" w:cs="Times New Roman"/>
        </w:rPr>
        <w:t>A type of fixed annuity that provides a pre-determined and contractually guaranteed interest rate for specified periods of time, after which there is typically an annual reset or renewal of a multiple year guarantee period.</w:t>
      </w:r>
    </w:p>
    <w:p w14:paraId="71673BAD" w14:textId="77777777" w:rsidR="008A7F4A" w:rsidRDefault="008A7F4A" w:rsidP="008A7F4A">
      <w:pPr>
        <w:spacing w:after="0"/>
        <w:ind w:left="720"/>
        <w:rPr>
          <w:rFonts w:ascii="Times New Roman" w:hAnsi="Times New Roman" w:cs="Times New Roman"/>
          <w:b/>
          <w:bCs/>
        </w:rPr>
      </w:pPr>
    </w:p>
    <w:p w14:paraId="20695456" w14:textId="77777777" w:rsidR="008A7F4A" w:rsidRDefault="008A7F4A" w:rsidP="008A7F4A">
      <w:pPr>
        <w:spacing w:after="0"/>
        <w:ind w:left="720"/>
        <w:rPr>
          <w:rFonts w:ascii="Times New Roman" w:hAnsi="Times New Roman" w:cs="Times New Roman"/>
        </w:rPr>
      </w:pPr>
      <w:r>
        <w:rPr>
          <w:rFonts w:ascii="Times New Roman" w:hAnsi="Times New Roman" w:cs="Times New Roman"/>
          <w:b/>
          <w:bCs/>
        </w:rPr>
        <w:t>Pension Risk Transfer (PRT) </w:t>
      </w:r>
      <w:commentRangeStart w:id="22"/>
      <w:r>
        <w:rPr>
          <w:rFonts w:ascii="Times New Roman" w:hAnsi="Times New Roman" w:cs="Times New Roman"/>
          <w:b/>
          <w:bCs/>
        </w:rPr>
        <w:t>Annuity</w:t>
      </w:r>
      <w:commentRangeEnd w:id="22"/>
      <w:r w:rsidR="004445E0">
        <w:rPr>
          <w:rStyle w:val="CommentReference"/>
        </w:rPr>
        <w:commentReference w:id="22"/>
      </w:r>
      <w:r>
        <w:rPr>
          <w:rFonts w:ascii="Times New Roman" w:hAnsi="Times New Roman" w:cs="Times New Roman"/>
        </w:rPr>
        <w:t xml:space="preserve"> </w:t>
      </w:r>
    </w:p>
    <w:p w14:paraId="03D51DB8" w14:textId="77777777" w:rsidR="008A7F4A" w:rsidRDefault="008A7F4A" w:rsidP="008A7F4A">
      <w:pPr>
        <w:spacing w:after="0"/>
        <w:ind w:left="720"/>
        <w:rPr>
          <w:rFonts w:ascii="Times New Roman" w:hAnsi="Times New Roman" w:cs="Times New Roman"/>
        </w:rPr>
      </w:pPr>
      <w:r>
        <w:rPr>
          <w:rFonts w:ascii="Times New Roman" w:hAnsi="Times New Roman" w:cs="Times New Roman"/>
        </w:rPr>
        <w:t xml:space="preserve">An annuity, typically a group contract or reinsurance agreement, issued by an insurance company providing periodic payments to annuitants receiving immediate or deferred benefits from one or more retirement plans.  Typically, the insurance company holds the assets supporting the benefits, which may be held in the general or separate </w:t>
      </w:r>
      <w:proofErr w:type="gramStart"/>
      <w:r>
        <w:rPr>
          <w:rFonts w:ascii="Times New Roman" w:hAnsi="Times New Roman" w:cs="Times New Roman"/>
        </w:rPr>
        <w:t>account, and</w:t>
      </w:r>
      <w:proofErr w:type="gramEnd"/>
      <w:r>
        <w:rPr>
          <w:rFonts w:ascii="Times New Roman" w:hAnsi="Times New Roman" w:cs="Times New Roman"/>
        </w:rPr>
        <w:t xml:space="preserve"> retains not only longevity risk but also asset risks (e.g., credit risk and reinvestment risk).  </w:t>
      </w:r>
    </w:p>
    <w:p w14:paraId="21E1D158" w14:textId="77777777" w:rsidR="008A7F4A" w:rsidRDefault="008A7F4A" w:rsidP="008A7F4A">
      <w:pPr>
        <w:spacing w:after="0"/>
        <w:ind w:left="720"/>
        <w:rPr>
          <w:rFonts w:ascii="Times New Roman" w:hAnsi="Times New Roman" w:cs="Times New Roman"/>
          <w:b/>
          <w:bCs/>
        </w:rPr>
      </w:pPr>
    </w:p>
    <w:p w14:paraId="6F28EAF7" w14:textId="77777777" w:rsidR="008A7F4A" w:rsidRDefault="008A7F4A" w:rsidP="008A7F4A">
      <w:pPr>
        <w:spacing w:after="0"/>
        <w:ind w:left="720"/>
        <w:rPr>
          <w:rFonts w:ascii="Times New Roman" w:hAnsi="Times New Roman" w:cs="Times New Roman"/>
        </w:rPr>
      </w:pPr>
      <w:r>
        <w:rPr>
          <w:rFonts w:ascii="Times New Roman" w:hAnsi="Times New Roman" w:cs="Times New Roman"/>
          <w:b/>
          <w:bCs/>
        </w:rPr>
        <w:t xml:space="preserve">Registered Index-Linked Annuity </w:t>
      </w:r>
      <w:commentRangeStart w:id="23"/>
      <w:r>
        <w:rPr>
          <w:rFonts w:ascii="Times New Roman" w:hAnsi="Times New Roman" w:cs="Times New Roman"/>
          <w:b/>
          <w:bCs/>
        </w:rPr>
        <w:t>(RILA)</w:t>
      </w:r>
      <w:commentRangeEnd w:id="23"/>
      <w:r w:rsidR="004445E0">
        <w:rPr>
          <w:rStyle w:val="CommentReference"/>
        </w:rPr>
        <w:commentReference w:id="23"/>
      </w:r>
    </w:p>
    <w:p w14:paraId="0FCB094F" w14:textId="77777777" w:rsidR="008A7F4A" w:rsidRDefault="008A7F4A" w:rsidP="008A7F4A">
      <w:pPr>
        <w:spacing w:after="0"/>
        <w:ind w:left="720"/>
        <w:rPr>
          <w:rFonts w:ascii="Times New Roman" w:hAnsi="Times New Roman" w:cs="Times New Roman"/>
        </w:rPr>
      </w:pPr>
      <w:r>
        <w:rPr>
          <w:rFonts w:ascii="Times New Roman" w:hAnsi="Times New Roman" w:cs="Times New Roman"/>
        </w:rPr>
        <w:t>An annuity with an account value where the contract holder has the option for a portion or </w:t>
      </w:r>
      <w:proofErr w:type="gramStart"/>
      <w:r>
        <w:rPr>
          <w:rFonts w:ascii="Times New Roman" w:hAnsi="Times New Roman" w:cs="Times New Roman"/>
        </w:rPr>
        <w:t>all of</w:t>
      </w:r>
      <w:proofErr w:type="gramEnd"/>
      <w:r>
        <w:rPr>
          <w:rFonts w:ascii="Times New Roman" w:hAnsi="Times New Roman" w:cs="Times New Roman"/>
        </w:rPr>
        <w:t> </w:t>
      </w:r>
    </w:p>
    <w:p w14:paraId="7B30CDAC" w14:textId="77777777" w:rsidR="008A7F4A" w:rsidRDefault="008A7F4A" w:rsidP="008A7F4A">
      <w:pPr>
        <w:spacing w:after="0"/>
        <w:ind w:left="720"/>
        <w:rPr>
          <w:rFonts w:ascii="Times New Roman" w:hAnsi="Times New Roman" w:cs="Times New Roman"/>
        </w:rPr>
      </w:pPr>
      <w:r>
        <w:rPr>
          <w:rFonts w:ascii="Times New Roman" w:hAnsi="Times New Roman" w:cs="Times New Roman"/>
        </w:rPr>
        <w:t xml:space="preserve">the account value to grow at a rate linked to an external index, </w:t>
      </w:r>
      <w:proofErr w:type="gramStart"/>
      <w:r>
        <w:rPr>
          <w:rFonts w:ascii="Times New Roman" w:hAnsi="Times New Roman" w:cs="Times New Roman"/>
        </w:rPr>
        <w:t>similar to</w:t>
      </w:r>
      <w:proofErr w:type="gramEnd"/>
      <w:r>
        <w:rPr>
          <w:rFonts w:ascii="Times New Roman" w:hAnsi="Times New Roman" w:cs="Times New Roman"/>
        </w:rPr>
        <w:t xml:space="preserve"> a Fixed Indexed Annuity, but with downside risk exposure that may not guarantee full principal repayment. These contracts may include a cap on upside </w:t>
      </w:r>
      <w:proofErr w:type="gramStart"/>
      <w:r>
        <w:rPr>
          <w:rFonts w:ascii="Times New Roman" w:hAnsi="Times New Roman" w:cs="Times New Roman"/>
        </w:rPr>
        <w:t>returns, and</w:t>
      </w:r>
      <w:proofErr w:type="gramEnd"/>
      <w:r>
        <w:rPr>
          <w:rFonts w:ascii="Times New Roman" w:hAnsi="Times New Roman" w:cs="Times New Roman"/>
        </w:rPr>
        <w:t xml:space="preserve"> may also include a floor on downside returns which may be below zero percent.</w:t>
      </w:r>
    </w:p>
    <w:p w14:paraId="1A4F459C" w14:textId="77777777" w:rsidR="008A7F4A" w:rsidRDefault="008A7F4A" w:rsidP="008A7F4A">
      <w:pPr>
        <w:spacing w:after="0"/>
        <w:ind w:left="720"/>
        <w:rPr>
          <w:rFonts w:ascii="Times New Roman" w:hAnsi="Times New Roman" w:cs="Times New Roman"/>
          <w:b/>
          <w:bCs/>
        </w:rPr>
      </w:pPr>
    </w:p>
    <w:p w14:paraId="6E2E2A8A" w14:textId="77777777" w:rsidR="008A7F4A" w:rsidRDefault="008A7F4A" w:rsidP="008A7F4A">
      <w:pPr>
        <w:spacing w:after="0"/>
        <w:ind w:left="720"/>
        <w:rPr>
          <w:rFonts w:ascii="Times New Roman" w:hAnsi="Times New Roman" w:cs="Times New Roman"/>
          <w:b/>
          <w:bCs/>
        </w:rPr>
      </w:pPr>
      <w:r>
        <w:rPr>
          <w:rFonts w:ascii="Times New Roman" w:hAnsi="Times New Roman" w:cs="Times New Roman"/>
          <w:b/>
          <w:bCs/>
        </w:rPr>
        <w:t>Single Premium Immediate Annuity </w:t>
      </w:r>
      <w:commentRangeStart w:id="24"/>
      <w:r>
        <w:rPr>
          <w:rFonts w:ascii="Times New Roman" w:hAnsi="Times New Roman" w:cs="Times New Roman"/>
          <w:b/>
          <w:bCs/>
        </w:rPr>
        <w:t>(SPIA)</w:t>
      </w:r>
      <w:commentRangeEnd w:id="24"/>
      <w:r w:rsidR="00164FCE">
        <w:rPr>
          <w:rStyle w:val="CommentReference"/>
        </w:rPr>
        <w:commentReference w:id="24"/>
      </w:r>
    </w:p>
    <w:p w14:paraId="7C22EB29" w14:textId="77777777" w:rsidR="008A7F4A" w:rsidRDefault="008A7F4A" w:rsidP="008A7F4A">
      <w:pPr>
        <w:spacing w:after="0"/>
        <w:ind w:left="720"/>
        <w:rPr>
          <w:rFonts w:ascii="Times New Roman" w:hAnsi="Times New Roman" w:cs="Times New Roman"/>
        </w:rPr>
      </w:pPr>
      <w:r>
        <w:rPr>
          <w:rFonts w:ascii="Times New Roman" w:hAnsi="Times New Roman" w:cs="Times New Roman"/>
        </w:rPr>
        <w:t>An annuity purchased with a single premium amount which guarantees a periodic payment for the</w:t>
      </w:r>
    </w:p>
    <w:p w14:paraId="62A48DFC" w14:textId="77777777" w:rsidR="008A7F4A" w:rsidRDefault="008A7F4A" w:rsidP="008A7F4A">
      <w:pPr>
        <w:spacing w:after="0"/>
        <w:ind w:left="720"/>
        <w:rPr>
          <w:rFonts w:ascii="Times New Roman" w:hAnsi="Times New Roman" w:cs="Times New Roman"/>
        </w:rPr>
      </w:pPr>
      <w:r>
        <w:rPr>
          <w:rFonts w:ascii="Times New Roman" w:hAnsi="Times New Roman" w:cs="Times New Roman"/>
        </w:rPr>
        <w:t>life of the annuitant or a term certain and payments begin within one year after (or from) the issuedate.</w:t>
      </w:r>
    </w:p>
    <w:p w14:paraId="5DE7F3C2" w14:textId="77777777" w:rsidR="008A7F4A" w:rsidRDefault="008A7F4A" w:rsidP="008A7F4A">
      <w:pPr>
        <w:spacing w:after="0"/>
        <w:ind w:left="720"/>
        <w:rPr>
          <w:rFonts w:ascii="Times New Roman" w:hAnsi="Times New Roman" w:cs="Times New Roman"/>
          <w:b/>
          <w:bCs/>
        </w:rPr>
      </w:pPr>
    </w:p>
    <w:p w14:paraId="267F32F1" w14:textId="77777777" w:rsidR="008A7F4A" w:rsidRDefault="008A7F4A" w:rsidP="008A7F4A">
      <w:pPr>
        <w:spacing w:after="0"/>
        <w:ind w:left="720"/>
        <w:rPr>
          <w:rFonts w:ascii="Times New Roman" w:hAnsi="Times New Roman" w:cs="Times New Roman"/>
        </w:rPr>
      </w:pPr>
      <w:r>
        <w:rPr>
          <w:rFonts w:ascii="Times New Roman" w:hAnsi="Times New Roman" w:cs="Times New Roman"/>
          <w:b/>
          <w:bCs/>
        </w:rPr>
        <w:t>Single Premium Deferred Annuity (SPDA)</w:t>
      </w:r>
      <w:r>
        <w:rPr>
          <w:rFonts w:ascii="Times New Roman" w:hAnsi="Times New Roman" w:cs="Times New Roman"/>
        </w:rPr>
        <w:t xml:space="preserve"> An annuity with an account value established with a single premium amount that grows with a </w:t>
      </w:r>
    </w:p>
    <w:p w14:paraId="78D21CBE" w14:textId="77777777" w:rsidR="008A7F4A" w:rsidRDefault="008A7F4A" w:rsidP="008A7F4A">
      <w:pPr>
        <w:spacing w:after="0"/>
        <w:ind w:left="720"/>
        <w:rPr>
          <w:rFonts w:ascii="Times New Roman" w:hAnsi="Times New Roman" w:cs="Times New Roman"/>
        </w:rPr>
      </w:pPr>
      <w:r>
        <w:rPr>
          <w:rFonts w:ascii="Times New Roman" w:hAnsi="Times New Roman" w:cs="Times New Roman"/>
        </w:rPr>
        <w:t>guaranteed interest rate during the accumulation phase and has guaranteed mortality and interest</w:t>
      </w:r>
    </w:p>
    <w:p w14:paraId="2FA59305" w14:textId="77777777" w:rsidR="008A7F4A" w:rsidRDefault="008A7F4A" w:rsidP="008A7F4A">
      <w:pPr>
        <w:spacing w:after="0"/>
        <w:ind w:left="720"/>
        <w:rPr>
          <w:rFonts w:ascii="Times New Roman" w:hAnsi="Times New Roman" w:cs="Times New Roman"/>
          <w:b/>
          <w:bCs/>
        </w:rPr>
      </w:pPr>
      <w:r>
        <w:rPr>
          <w:rFonts w:ascii="Times New Roman" w:hAnsi="Times New Roman" w:cs="Times New Roman"/>
        </w:rPr>
        <w:t>rates applicable at the time of conversion to the payout phase. May also include cases where the premium is accepted for a limited amount of time early in the contract life, such as only in the first duration.</w:t>
      </w:r>
    </w:p>
    <w:p w14:paraId="7E05F32A" w14:textId="77777777" w:rsidR="008A7F4A" w:rsidRDefault="008A7F4A" w:rsidP="008A7F4A">
      <w:pPr>
        <w:spacing w:after="0"/>
        <w:rPr>
          <w:rFonts w:ascii="Times New Roman" w:hAnsi="Times New Roman" w:cs="Times New Roman"/>
          <w:b/>
          <w:bCs/>
        </w:rPr>
      </w:pPr>
    </w:p>
    <w:p w14:paraId="454E95FB" w14:textId="77777777" w:rsidR="008A7F4A" w:rsidRDefault="008A7F4A" w:rsidP="008A7F4A">
      <w:pPr>
        <w:spacing w:after="0"/>
        <w:ind w:left="720"/>
        <w:rPr>
          <w:rFonts w:ascii="Times New Roman" w:hAnsi="Times New Roman" w:cs="Times New Roman"/>
          <w:b/>
          <w:bCs/>
        </w:rPr>
      </w:pPr>
      <w:r>
        <w:rPr>
          <w:rFonts w:ascii="Times New Roman" w:hAnsi="Times New Roman" w:cs="Times New Roman"/>
          <w:b/>
          <w:bCs/>
        </w:rPr>
        <w:t>Stable Value Contract</w:t>
      </w:r>
    </w:p>
    <w:p w14:paraId="72DCA49C" w14:textId="77777777" w:rsidR="008A7F4A" w:rsidRDefault="008A7F4A" w:rsidP="008A7F4A">
      <w:pPr>
        <w:spacing w:after="0"/>
        <w:ind w:left="720"/>
        <w:rPr>
          <w:rFonts w:ascii="Times New Roman" w:hAnsi="Times New Roman" w:cs="Times New Roman"/>
        </w:rPr>
      </w:pPr>
      <w:r>
        <w:rPr>
          <w:rFonts w:ascii="Times New Roman" w:hAnsi="Times New Roman" w:cs="Times New Roman"/>
        </w:rPr>
        <w:t>A contract that provides limited investment guarantees, typically preserving principal while crediting steady, positive returns and protecting against losses or declines in yield. Underlying asset portfolios typically consist of fixed income securities, which may sit in the insurer’s general account, a separate account, or in a third-party trust. These contracts often support defined contribution or defined benefit retirement plan liabilities.</w:t>
      </w:r>
    </w:p>
    <w:p w14:paraId="15A3DA21" w14:textId="77777777" w:rsidR="008A7F4A" w:rsidRDefault="008A7F4A" w:rsidP="008A7F4A">
      <w:pPr>
        <w:spacing w:after="0"/>
        <w:ind w:left="720"/>
        <w:rPr>
          <w:rFonts w:ascii="Times New Roman" w:hAnsi="Times New Roman" w:cs="Times New Roman"/>
          <w:b/>
          <w:bCs/>
        </w:rPr>
      </w:pPr>
    </w:p>
    <w:p w14:paraId="49F3D55E" w14:textId="77777777" w:rsidR="008A7F4A" w:rsidRDefault="008A7F4A" w:rsidP="008A7F4A">
      <w:pPr>
        <w:spacing w:after="0"/>
        <w:ind w:left="720"/>
        <w:rPr>
          <w:rFonts w:ascii="Times New Roman" w:hAnsi="Times New Roman" w:cs="Times New Roman"/>
        </w:rPr>
      </w:pPr>
      <w:r>
        <w:rPr>
          <w:rFonts w:ascii="Times New Roman" w:hAnsi="Times New Roman" w:cs="Times New Roman"/>
          <w:b/>
          <w:bCs/>
        </w:rPr>
        <w:t>Structured Settlement Contract </w:t>
      </w:r>
      <w:commentRangeStart w:id="25"/>
      <w:r>
        <w:rPr>
          <w:rFonts w:ascii="Times New Roman" w:hAnsi="Times New Roman" w:cs="Times New Roman"/>
          <w:b/>
          <w:bCs/>
        </w:rPr>
        <w:t>(SSC)</w:t>
      </w:r>
      <w:commentRangeEnd w:id="25"/>
      <w:r w:rsidR="004445E0">
        <w:rPr>
          <w:rStyle w:val="CommentReference"/>
        </w:rPr>
        <w:commentReference w:id="25"/>
      </w:r>
      <w:r>
        <w:rPr>
          <w:rFonts w:ascii="Times New Roman" w:hAnsi="Times New Roman" w:cs="Times New Roman"/>
        </w:rPr>
        <w:t xml:space="preserve"> </w:t>
      </w:r>
    </w:p>
    <w:p w14:paraId="2A4D4586" w14:textId="77777777" w:rsidR="008A7F4A" w:rsidRDefault="008A7F4A" w:rsidP="008A7F4A">
      <w:pPr>
        <w:spacing w:after="0"/>
        <w:ind w:left="720"/>
        <w:rPr>
          <w:rFonts w:ascii="Times New Roman" w:hAnsi="Times New Roman" w:cs="Times New Roman"/>
        </w:rPr>
      </w:pPr>
      <w:r>
        <w:rPr>
          <w:rFonts w:ascii="Times New Roman" w:hAnsi="Times New Roman" w:cs="Times New Roman"/>
        </w:rPr>
        <w:t>A contract that provides periodic benefits and is purchased with a single premium amount stemming from various types of claims pertaining to court settlements or out</w:t>
      </w:r>
      <w:r>
        <w:rPr>
          <w:rFonts w:ascii="Cambria Math" w:hAnsi="Cambria Math" w:cs="Cambria Math"/>
        </w:rPr>
        <w:t>‐</w:t>
      </w:r>
      <w:r>
        <w:rPr>
          <w:rFonts w:ascii="Times New Roman" w:hAnsi="Times New Roman" w:cs="Times New Roman"/>
        </w:rPr>
        <w:t>of</w:t>
      </w:r>
      <w:r>
        <w:rPr>
          <w:rFonts w:ascii="Cambria Math" w:hAnsi="Cambria Math" w:cs="Cambria Math"/>
        </w:rPr>
        <w:t>‐</w:t>
      </w:r>
      <w:r>
        <w:rPr>
          <w:rFonts w:ascii="Times New Roman" w:hAnsi="Times New Roman" w:cs="Times New Roman"/>
        </w:rPr>
        <w:t>court settlements from tort actions arising from accidents, medical malpractice, and other causes. Adverse mortality is typically expected for these contracts.</w:t>
      </w:r>
    </w:p>
    <w:p w14:paraId="7170FF5E" w14:textId="77777777" w:rsidR="008A7F4A" w:rsidRDefault="008A7F4A" w:rsidP="008A7F4A">
      <w:pPr>
        <w:spacing w:after="0"/>
        <w:ind w:left="720"/>
        <w:rPr>
          <w:rFonts w:ascii="Times New Roman" w:hAnsi="Times New Roman" w:cs="Times New Roman"/>
        </w:rPr>
      </w:pPr>
    </w:p>
    <w:p w14:paraId="1701A340" w14:textId="77777777" w:rsidR="008A7F4A" w:rsidRDefault="008A7F4A" w:rsidP="008A7F4A">
      <w:pPr>
        <w:spacing w:after="0"/>
        <w:ind w:left="720"/>
        <w:rPr>
          <w:rFonts w:ascii="Times New Roman" w:hAnsi="Times New Roman" w:cs="Times New Roman"/>
        </w:rPr>
      </w:pPr>
      <w:r>
        <w:rPr>
          <w:rFonts w:ascii="Times New Roman" w:hAnsi="Times New Roman" w:cs="Times New Roman"/>
          <w:b/>
          <w:bCs/>
          <w:u w:val="single"/>
        </w:rPr>
        <w:t>Synthetic GIC</w:t>
      </w:r>
    </w:p>
    <w:p w14:paraId="34E08985" w14:textId="77777777" w:rsidR="008A7F4A" w:rsidRDefault="008A7F4A" w:rsidP="008A7F4A">
      <w:pPr>
        <w:spacing w:after="0"/>
        <w:ind w:left="720"/>
        <w:rPr>
          <w:rFonts w:ascii="Times New Roman" w:hAnsi="Times New Roman" w:cs="Times New Roman"/>
          <w:b/>
          <w:bCs/>
        </w:rPr>
      </w:pPr>
      <w:r>
        <w:rPr>
          <w:rFonts w:ascii="Times New Roman" w:hAnsi="Times New Roman" w:cs="Times New Roman"/>
        </w:rPr>
        <w:t>Contract that simulates the performance of a traditional GIC through a wrapper, swap, or other financial instruments, with the main difference being that the assets are owned by the policyholder or plan trust.</w:t>
      </w:r>
    </w:p>
    <w:p w14:paraId="250880CB" w14:textId="77777777" w:rsidR="008A7F4A" w:rsidRDefault="008A7F4A" w:rsidP="008A7F4A">
      <w:pPr>
        <w:spacing w:after="0"/>
        <w:ind w:left="720"/>
        <w:rPr>
          <w:rFonts w:ascii="Times New Roman" w:hAnsi="Times New Roman" w:cs="Times New Roman"/>
        </w:rPr>
      </w:pPr>
      <w:r>
        <w:rPr>
          <w:rFonts w:ascii="Times New Roman" w:hAnsi="Times New Roman" w:cs="Times New Roman"/>
          <w:b/>
          <w:bCs/>
        </w:rPr>
        <w:t>Term Certain Payout Annuity</w:t>
      </w:r>
    </w:p>
    <w:p w14:paraId="5241BE8B" w14:textId="77777777" w:rsidR="008A7F4A" w:rsidRDefault="008A7F4A" w:rsidP="008A7F4A">
      <w:pPr>
        <w:spacing w:after="0"/>
        <w:ind w:left="720"/>
        <w:rPr>
          <w:rFonts w:ascii="Times New Roman" w:hAnsi="Times New Roman" w:cs="Times New Roman"/>
        </w:rPr>
      </w:pPr>
      <w:r>
        <w:rPr>
          <w:rFonts w:ascii="Times New Roman" w:hAnsi="Times New Roman" w:cs="Times New Roman"/>
        </w:rPr>
        <w:t>A contract issued, which offers guaranteed periodic payments for a specified </w:t>
      </w:r>
      <w:proofErr w:type="gramStart"/>
      <w:r>
        <w:rPr>
          <w:rFonts w:ascii="Times New Roman" w:hAnsi="Times New Roman" w:cs="Times New Roman"/>
        </w:rPr>
        <w:t>period of time</w:t>
      </w:r>
      <w:proofErr w:type="gramEnd"/>
      <w:r>
        <w:rPr>
          <w:rFonts w:ascii="Times New Roman" w:hAnsi="Times New Roman" w:cs="Times New Roman"/>
        </w:rPr>
        <w:t>, not contingent upon mortality or morbidity of the annuitant.</w:t>
      </w:r>
    </w:p>
    <w:p w14:paraId="3F37A952" w14:textId="77777777" w:rsidR="008A7F4A" w:rsidRDefault="008A7F4A" w:rsidP="008A7F4A">
      <w:pPr>
        <w:spacing w:after="0"/>
        <w:ind w:left="720"/>
        <w:rPr>
          <w:rFonts w:ascii="Times New Roman" w:hAnsi="Times New Roman" w:cs="Times New Roman"/>
          <w:b/>
          <w:bCs/>
        </w:rPr>
      </w:pPr>
    </w:p>
    <w:p w14:paraId="55678BED" w14:textId="77777777" w:rsidR="008A7F4A" w:rsidRDefault="008A7F4A" w:rsidP="008A7F4A">
      <w:pPr>
        <w:spacing w:after="0"/>
        <w:ind w:left="720"/>
        <w:rPr>
          <w:rFonts w:ascii="Times New Roman" w:hAnsi="Times New Roman" w:cs="Times New Roman"/>
        </w:rPr>
      </w:pPr>
      <w:r>
        <w:rPr>
          <w:rFonts w:ascii="Times New Roman" w:hAnsi="Times New Roman" w:cs="Times New Roman"/>
          <w:b/>
          <w:bCs/>
        </w:rPr>
        <w:t>Two</w:t>
      </w:r>
      <w:r>
        <w:rPr>
          <w:rFonts w:ascii="Cambria Math" w:hAnsi="Cambria Math" w:cs="Cambria Math"/>
          <w:b/>
          <w:bCs/>
        </w:rPr>
        <w:t>‐</w:t>
      </w:r>
      <w:r>
        <w:rPr>
          <w:rFonts w:ascii="Times New Roman" w:hAnsi="Times New Roman" w:cs="Times New Roman"/>
          <w:b/>
          <w:bCs/>
        </w:rPr>
        <w:t xml:space="preserve">Tiered Annuity </w:t>
      </w:r>
    </w:p>
    <w:p w14:paraId="006FD479" w14:textId="77777777" w:rsidR="008A7F4A" w:rsidRDefault="008A7F4A" w:rsidP="008A7F4A">
      <w:pPr>
        <w:spacing w:after="0"/>
        <w:ind w:left="720"/>
        <w:rPr>
          <w:rFonts w:ascii="Times New Roman" w:hAnsi="Times New Roman" w:cs="Times New Roman"/>
        </w:rPr>
      </w:pPr>
      <w:r>
        <w:rPr>
          <w:rFonts w:ascii="Times New Roman" w:hAnsi="Times New Roman" w:cs="Times New Roman"/>
        </w:rPr>
        <w:t xml:space="preserve">A deferred annuity with two tiers of account values. One, with a higher accumulation interest rate, is only available for annuitization or death. The other typically contains a lower accumulation interest </w:t>
      </w:r>
      <w:proofErr w:type="gramStart"/>
      <w:r>
        <w:rPr>
          <w:rFonts w:ascii="Times New Roman" w:hAnsi="Times New Roman" w:cs="Times New Roman"/>
        </w:rPr>
        <w:t>rate, and</w:t>
      </w:r>
      <w:proofErr w:type="gramEnd"/>
      <w:r>
        <w:rPr>
          <w:rFonts w:ascii="Times New Roman" w:hAnsi="Times New Roman" w:cs="Times New Roman"/>
        </w:rPr>
        <w:t xml:space="preserve"> is only available upon surrender.</w:t>
      </w:r>
    </w:p>
    <w:p w14:paraId="5D36E379" w14:textId="77777777" w:rsidR="008A7F4A" w:rsidRDefault="008A7F4A" w:rsidP="008A7F4A">
      <w:pPr>
        <w:spacing w:after="0"/>
        <w:ind w:left="720"/>
        <w:rPr>
          <w:rFonts w:ascii="Times New Roman" w:hAnsi="Times New Roman" w:cs="Times New Roman"/>
        </w:rPr>
      </w:pPr>
    </w:p>
    <w:p w14:paraId="1DC177AC" w14:textId="77777777" w:rsidR="008A7F4A" w:rsidRDefault="008A7F4A" w:rsidP="008A7F4A">
      <w:pPr>
        <w:spacing w:after="0"/>
        <w:ind w:left="720"/>
        <w:rPr>
          <w:rFonts w:ascii="Times New Roman" w:hAnsi="Times New Roman" w:cs="Times New Roman"/>
        </w:rPr>
      </w:pPr>
    </w:p>
    <w:p w14:paraId="2218B0D7" w14:textId="77777777" w:rsidR="008A7F4A" w:rsidRDefault="008A7F4A" w:rsidP="008A7F4A">
      <w:pPr>
        <w:spacing w:after="0"/>
        <w:ind w:left="720"/>
        <w:rPr>
          <w:rFonts w:ascii="Times New Roman" w:hAnsi="Times New Roman" w:cs="Times New Roman"/>
        </w:rPr>
      </w:pPr>
    </w:p>
    <w:p w14:paraId="2844FA27" w14:textId="77777777" w:rsidR="008A7F4A" w:rsidRDefault="008A7F4A" w:rsidP="008A7F4A">
      <w:pPr>
        <w:rPr>
          <w:rFonts w:ascii="Times New Roman" w:eastAsiaTheme="majorEastAsia" w:hAnsi="Times New Roman" w:cs="Times New Roman"/>
          <w:color w:val="365F91" w:themeColor="accent1" w:themeShade="BF"/>
          <w:sz w:val="24"/>
          <w:szCs w:val="24"/>
        </w:rPr>
      </w:pPr>
      <w:r>
        <w:rPr>
          <w:rFonts w:ascii="Times New Roman" w:hAnsi="Times New Roman" w:cs="Times New Roman"/>
          <w:sz w:val="24"/>
          <w:szCs w:val="24"/>
        </w:rPr>
        <w:br w:type="page"/>
      </w:r>
    </w:p>
    <w:p w14:paraId="793D8008" w14:textId="77777777" w:rsidR="008A7F4A" w:rsidRDefault="008A7F4A" w:rsidP="008A7F4A">
      <w:pPr>
        <w:pStyle w:val="Heading1"/>
        <w:rPr>
          <w:rFonts w:ascii="Times New Roman" w:hAnsi="Times New Roman" w:cs="Times New Roman"/>
          <w:sz w:val="24"/>
          <w:szCs w:val="24"/>
        </w:rPr>
      </w:pPr>
      <w:bookmarkStart w:id="26" w:name="_Toc77242129"/>
      <w:r>
        <w:rPr>
          <w:rFonts w:ascii="Times New Roman" w:hAnsi="Times New Roman" w:cs="Times New Roman"/>
          <w:sz w:val="24"/>
          <w:szCs w:val="24"/>
        </w:rPr>
        <w:lastRenderedPageBreak/>
        <w:t xml:space="preserve">Section 2:  Scope and </w:t>
      </w:r>
      <w:commentRangeStart w:id="27"/>
      <w:r>
        <w:rPr>
          <w:rFonts w:ascii="Times New Roman" w:hAnsi="Times New Roman" w:cs="Times New Roman"/>
          <w:sz w:val="24"/>
          <w:szCs w:val="24"/>
        </w:rPr>
        <w:t>Effective Date</w:t>
      </w:r>
      <w:bookmarkEnd w:id="26"/>
      <w:commentRangeEnd w:id="27"/>
      <w:r w:rsidR="004445E0">
        <w:rPr>
          <w:rStyle w:val="CommentReference"/>
          <w:rFonts w:asciiTheme="minorHAnsi" w:eastAsiaTheme="minorHAnsi" w:hAnsiTheme="minorHAnsi" w:cstheme="minorBidi"/>
          <w:color w:val="auto"/>
        </w:rPr>
        <w:commentReference w:id="27"/>
      </w:r>
    </w:p>
    <w:p w14:paraId="4765B941" w14:textId="77777777" w:rsidR="008A7F4A" w:rsidRDefault="008A7F4A" w:rsidP="008A7F4A">
      <w:pPr>
        <w:spacing w:after="0"/>
      </w:pPr>
    </w:p>
    <w:p w14:paraId="2480C051" w14:textId="77777777" w:rsidR="008A7F4A" w:rsidRDefault="008A7F4A" w:rsidP="00745C9A">
      <w:pPr>
        <w:pStyle w:val="Heading2"/>
        <w:numPr>
          <w:ilvl w:val="0"/>
          <w:numId w:val="76"/>
        </w:numPr>
        <w:rPr>
          <w:rFonts w:ascii="Times New Roman" w:hAnsi="Times New Roman" w:cs="Times New Roman"/>
          <w:sz w:val="22"/>
          <w:szCs w:val="22"/>
        </w:rPr>
      </w:pPr>
      <w:bookmarkStart w:id="28" w:name="_Toc77242130"/>
      <w:commentRangeStart w:id="29"/>
      <w:r>
        <w:rPr>
          <w:rFonts w:ascii="Times New Roman" w:hAnsi="Times New Roman" w:cs="Times New Roman"/>
          <w:sz w:val="22"/>
          <w:szCs w:val="22"/>
        </w:rPr>
        <w:t>Scope</w:t>
      </w:r>
      <w:bookmarkEnd w:id="28"/>
      <w:commentRangeEnd w:id="29"/>
      <w:r w:rsidR="007E7250">
        <w:rPr>
          <w:rStyle w:val="CommentReference"/>
          <w:rFonts w:asciiTheme="minorHAnsi" w:eastAsiaTheme="minorHAnsi" w:hAnsiTheme="minorHAnsi" w:cstheme="minorBidi"/>
          <w:color w:val="auto"/>
        </w:rPr>
        <w:commentReference w:id="29"/>
      </w:r>
    </w:p>
    <w:p w14:paraId="7A5EA4C3" w14:textId="77777777" w:rsidR="008A7F4A" w:rsidRDefault="008A7F4A" w:rsidP="008A7F4A">
      <w:pPr>
        <w:spacing w:after="0"/>
      </w:pPr>
    </w:p>
    <w:p w14:paraId="1BE3B5AB" w14:textId="77777777" w:rsidR="008A7F4A" w:rsidRDefault="008A7F4A" w:rsidP="008A7F4A">
      <w:pPr>
        <w:spacing w:after="220" w:line="240" w:lineRule="auto"/>
        <w:ind w:left="1440" w:hanging="720"/>
        <w:rPr>
          <w:rFonts w:ascii="Times New Roman" w:eastAsia="Times New Roman" w:hAnsi="Times New Roman" w:cs="Times New Roman"/>
        </w:rPr>
      </w:pPr>
      <w:r>
        <w:rPr>
          <w:rFonts w:ascii="Times New Roman" w:eastAsia="Times New Roman" w:hAnsi="Times New Roman" w:cs="Times New Roman"/>
        </w:rPr>
        <w:tab/>
        <w:t xml:space="preserve">Subject to the requirements of this VM-22 are annuity contracts, </w:t>
      </w:r>
      <w:proofErr w:type="gramStart"/>
      <w:r>
        <w:rPr>
          <w:rFonts w:ascii="Times New Roman" w:eastAsia="Times New Roman" w:hAnsi="Times New Roman" w:cs="Times New Roman"/>
        </w:rPr>
        <w:t>certificates</w:t>
      </w:r>
      <w:proofErr w:type="gramEnd"/>
      <w:r>
        <w:rPr>
          <w:rFonts w:ascii="Times New Roman" w:eastAsia="Times New Roman" w:hAnsi="Times New Roman" w:cs="Times New Roman"/>
        </w:rPr>
        <w:t xml:space="preserve"> and contract features, whether group or individual, including both life contingent and term-certain-only, directly written or assumed through reinsurance issued on or after 1/1/2024, with the exception of contracts or benefits listed below.</w:t>
      </w:r>
    </w:p>
    <w:p w14:paraId="09BD1919" w14:textId="77777777" w:rsidR="008A7F4A" w:rsidRDefault="008A7F4A" w:rsidP="008A7F4A">
      <w:pPr>
        <w:spacing w:after="220" w:line="240" w:lineRule="auto"/>
        <w:ind w:left="1440"/>
        <w:rPr>
          <w:rFonts w:ascii="Times New Roman" w:eastAsia="Times New Roman" w:hAnsi="Times New Roman" w:cs="Times New Roman"/>
        </w:rPr>
      </w:pPr>
      <w:r>
        <w:rPr>
          <w:rFonts w:ascii="Times New Roman" w:eastAsia="Times New Roman" w:hAnsi="Times New Roman" w:cs="Times New Roman"/>
        </w:rPr>
        <w:t>Products out of scope include:</w:t>
      </w:r>
    </w:p>
    <w:p w14:paraId="36787B7F" w14:textId="77777777" w:rsidR="008A7F4A" w:rsidRDefault="008A7F4A" w:rsidP="00745C9A">
      <w:pPr>
        <w:pStyle w:val="ListParagraph"/>
        <w:numPr>
          <w:ilvl w:val="0"/>
          <w:numId w:val="77"/>
        </w:numPr>
        <w:spacing w:after="220" w:line="240" w:lineRule="auto"/>
        <w:ind w:left="1800"/>
        <w:rPr>
          <w:rFonts w:ascii="Times New Roman" w:eastAsia="Times New Roman" w:hAnsi="Times New Roman" w:cs="Times New Roman"/>
        </w:rPr>
      </w:pPr>
      <w:r>
        <w:rPr>
          <w:rFonts w:ascii="Times New Roman" w:eastAsia="Times New Roman" w:hAnsi="Times New Roman" w:cs="Times New Roman"/>
        </w:rPr>
        <w:t xml:space="preserve">Contracts or benefits that are subject to VM-21 (such as variable annuities, RILAs, buffer annuities, and structured annuities)  </w:t>
      </w:r>
    </w:p>
    <w:p w14:paraId="47267F71" w14:textId="77777777" w:rsidR="008A7F4A" w:rsidRDefault="008A7F4A" w:rsidP="00745C9A">
      <w:pPr>
        <w:pStyle w:val="ListParagraph"/>
        <w:numPr>
          <w:ilvl w:val="0"/>
          <w:numId w:val="77"/>
        </w:numPr>
        <w:spacing w:after="220" w:line="240" w:lineRule="auto"/>
        <w:ind w:left="1800"/>
        <w:rPr>
          <w:rFonts w:ascii="Times New Roman" w:eastAsia="Times New Roman" w:hAnsi="Times New Roman" w:cs="Times New Roman"/>
        </w:rPr>
      </w:pPr>
      <w:r>
        <w:rPr>
          <w:rFonts w:ascii="Times New Roman" w:eastAsia="Times New Roman" w:hAnsi="Times New Roman" w:cs="Times New Roman"/>
        </w:rPr>
        <w:t>GICs</w:t>
      </w:r>
    </w:p>
    <w:p w14:paraId="2AF3F6C2" w14:textId="77777777" w:rsidR="008A7F4A" w:rsidRDefault="008A7F4A" w:rsidP="00745C9A">
      <w:pPr>
        <w:pStyle w:val="ListParagraph"/>
        <w:numPr>
          <w:ilvl w:val="0"/>
          <w:numId w:val="77"/>
        </w:numPr>
        <w:spacing w:after="220" w:line="240" w:lineRule="auto"/>
        <w:ind w:left="1800"/>
        <w:rPr>
          <w:rFonts w:ascii="Times New Roman" w:eastAsia="Times New Roman" w:hAnsi="Times New Roman" w:cs="Times New Roman"/>
        </w:rPr>
      </w:pPr>
      <w:r>
        <w:rPr>
          <w:rFonts w:ascii="Times New Roman" w:eastAsia="Times New Roman" w:hAnsi="Times New Roman" w:cs="Times New Roman"/>
        </w:rPr>
        <w:t>Synthetic GICs</w:t>
      </w:r>
    </w:p>
    <w:p w14:paraId="6C4E28BF" w14:textId="77777777" w:rsidR="008A7F4A" w:rsidRDefault="008A7F4A" w:rsidP="00745C9A">
      <w:pPr>
        <w:pStyle w:val="ListParagraph"/>
        <w:numPr>
          <w:ilvl w:val="0"/>
          <w:numId w:val="77"/>
        </w:numPr>
        <w:spacing w:after="220" w:line="240" w:lineRule="auto"/>
        <w:ind w:left="1800"/>
        <w:rPr>
          <w:rFonts w:ascii="Times New Roman" w:eastAsia="Times New Roman" w:hAnsi="Times New Roman" w:cs="Times New Roman"/>
        </w:rPr>
      </w:pPr>
      <w:r>
        <w:rPr>
          <w:rFonts w:ascii="Times New Roman" w:eastAsia="Times New Roman" w:hAnsi="Times New Roman" w:cs="Times New Roman"/>
        </w:rPr>
        <w:t>Stable Value Contracts</w:t>
      </w:r>
    </w:p>
    <w:p w14:paraId="0D7E110A" w14:textId="77777777" w:rsidR="008A7F4A" w:rsidRDefault="008A7F4A" w:rsidP="00745C9A">
      <w:pPr>
        <w:pStyle w:val="ListParagraph"/>
        <w:numPr>
          <w:ilvl w:val="0"/>
          <w:numId w:val="77"/>
        </w:numPr>
        <w:spacing w:after="220" w:line="240" w:lineRule="auto"/>
        <w:ind w:left="1800"/>
        <w:rPr>
          <w:rFonts w:ascii="Times New Roman" w:eastAsia="Times New Roman" w:hAnsi="Times New Roman" w:cs="Times New Roman"/>
        </w:rPr>
      </w:pPr>
      <w:r>
        <w:rPr>
          <w:rFonts w:ascii="Times New Roman" w:eastAsia="Times New Roman" w:hAnsi="Times New Roman" w:cs="Times New Roman"/>
        </w:rPr>
        <w:t xml:space="preserve">Funding Agreements </w:t>
      </w:r>
    </w:p>
    <w:p w14:paraId="3860649B" w14:textId="77777777" w:rsidR="008A7F4A" w:rsidRDefault="008A7F4A" w:rsidP="008A7F4A">
      <w:pPr>
        <w:pStyle w:val="Default"/>
        <w:ind w:left="1440"/>
        <w:rPr>
          <w:rFonts w:eastAsia="Times New Roman"/>
          <w:bCs/>
          <w:sz w:val="22"/>
          <w:szCs w:val="22"/>
        </w:rPr>
      </w:pPr>
      <w:r>
        <w:rPr>
          <w:rFonts w:eastAsia="Times New Roman"/>
          <w:bCs/>
          <w:sz w:val="22"/>
          <w:szCs w:val="22"/>
        </w:rPr>
        <w:t>Products in scope of VM-22 include fixed annuities which consist of, but are not limited to, the following the list:</w:t>
      </w:r>
    </w:p>
    <w:p w14:paraId="65005C15" w14:textId="77777777" w:rsidR="008A7F4A" w:rsidRDefault="008A7F4A" w:rsidP="008A7F4A">
      <w:pPr>
        <w:pStyle w:val="Default"/>
        <w:rPr>
          <w:rFonts w:eastAsia="Times New Roman"/>
          <w:b/>
          <w:sz w:val="22"/>
          <w:szCs w:val="22"/>
        </w:rPr>
      </w:pPr>
    </w:p>
    <w:p w14:paraId="59D9804C" w14:textId="77777777" w:rsidR="008A7F4A" w:rsidRDefault="008A7F4A" w:rsidP="00745C9A">
      <w:pPr>
        <w:pStyle w:val="Default"/>
        <w:numPr>
          <w:ilvl w:val="2"/>
          <w:numId w:val="78"/>
        </w:numPr>
        <w:ind w:left="1800"/>
        <w:rPr>
          <w:rFonts w:eastAsia="Times New Roman"/>
          <w:b/>
          <w:sz w:val="22"/>
          <w:szCs w:val="22"/>
        </w:rPr>
      </w:pPr>
      <w:r>
        <w:rPr>
          <w:rFonts w:eastAsia="Times New Roman"/>
          <w:b/>
          <w:sz w:val="22"/>
          <w:szCs w:val="22"/>
        </w:rPr>
        <w:t xml:space="preserve">Account Value Based Annuities </w:t>
      </w:r>
    </w:p>
    <w:p w14:paraId="081BC851" w14:textId="77777777" w:rsidR="008A7F4A" w:rsidRDefault="008A7F4A" w:rsidP="00745C9A">
      <w:pPr>
        <w:pStyle w:val="Default"/>
        <w:numPr>
          <w:ilvl w:val="3"/>
          <w:numId w:val="78"/>
        </w:numPr>
        <w:ind w:left="2520"/>
        <w:rPr>
          <w:rFonts w:eastAsia="Times New Roman"/>
          <w:bCs/>
          <w:sz w:val="22"/>
          <w:szCs w:val="22"/>
        </w:rPr>
      </w:pPr>
      <w:r>
        <w:rPr>
          <w:rFonts w:eastAsia="Times New Roman"/>
          <w:bCs/>
          <w:sz w:val="22"/>
          <w:szCs w:val="22"/>
        </w:rPr>
        <w:t xml:space="preserve">Deferred Annuities (SPDA &amp; FPDA) </w:t>
      </w:r>
    </w:p>
    <w:p w14:paraId="2CE083B3" w14:textId="77777777" w:rsidR="008A7F4A" w:rsidRDefault="008A7F4A" w:rsidP="00745C9A">
      <w:pPr>
        <w:pStyle w:val="Default"/>
        <w:numPr>
          <w:ilvl w:val="3"/>
          <w:numId w:val="78"/>
        </w:numPr>
        <w:ind w:left="2520"/>
        <w:rPr>
          <w:rFonts w:eastAsia="Times New Roman"/>
          <w:bCs/>
          <w:sz w:val="22"/>
          <w:szCs w:val="22"/>
        </w:rPr>
      </w:pPr>
      <w:r>
        <w:rPr>
          <w:rFonts w:eastAsia="Times New Roman"/>
          <w:bCs/>
          <w:sz w:val="22"/>
          <w:szCs w:val="22"/>
        </w:rPr>
        <w:t>Multi</w:t>
      </w:r>
      <w:r>
        <w:rPr>
          <w:rFonts w:ascii="Cambria Math" w:eastAsia="Times New Roman" w:hAnsi="Cambria Math" w:cs="Cambria Math"/>
          <w:bCs/>
          <w:sz w:val="22"/>
          <w:szCs w:val="22"/>
        </w:rPr>
        <w:t>‐</w:t>
      </w:r>
      <w:r>
        <w:rPr>
          <w:rFonts w:eastAsia="Times New Roman"/>
          <w:bCs/>
          <w:sz w:val="22"/>
          <w:szCs w:val="22"/>
        </w:rPr>
        <w:t>Year Guarantee Annuities (MYGA)</w:t>
      </w:r>
    </w:p>
    <w:p w14:paraId="3C292D50" w14:textId="77777777" w:rsidR="008A7F4A" w:rsidRDefault="008A7F4A" w:rsidP="00745C9A">
      <w:pPr>
        <w:pStyle w:val="Default"/>
        <w:numPr>
          <w:ilvl w:val="3"/>
          <w:numId w:val="78"/>
        </w:numPr>
        <w:ind w:left="2520"/>
        <w:rPr>
          <w:rFonts w:eastAsia="Times New Roman"/>
          <w:bCs/>
          <w:sz w:val="22"/>
          <w:szCs w:val="22"/>
        </w:rPr>
      </w:pPr>
      <w:r>
        <w:rPr>
          <w:rFonts w:eastAsia="Times New Roman"/>
          <w:bCs/>
          <w:sz w:val="22"/>
          <w:szCs w:val="22"/>
        </w:rPr>
        <w:t>Fixed Indexed Annuities (FIA)</w:t>
      </w:r>
    </w:p>
    <w:p w14:paraId="12BC3440" w14:textId="77777777" w:rsidR="008A7F4A" w:rsidRDefault="008A7F4A" w:rsidP="00745C9A">
      <w:pPr>
        <w:pStyle w:val="Default"/>
        <w:numPr>
          <w:ilvl w:val="3"/>
          <w:numId w:val="78"/>
        </w:numPr>
        <w:ind w:left="2520"/>
        <w:rPr>
          <w:rFonts w:eastAsia="Times New Roman"/>
          <w:bCs/>
          <w:sz w:val="22"/>
          <w:szCs w:val="22"/>
        </w:rPr>
      </w:pPr>
      <w:r>
        <w:rPr>
          <w:rFonts w:eastAsia="Times New Roman"/>
          <w:bCs/>
          <w:sz w:val="22"/>
          <w:szCs w:val="22"/>
        </w:rPr>
        <w:t xml:space="preserve">Market‐Value Adjustments (MVA) </w:t>
      </w:r>
    </w:p>
    <w:p w14:paraId="592D3B16" w14:textId="77777777" w:rsidR="008A7F4A" w:rsidRDefault="008A7F4A" w:rsidP="00745C9A">
      <w:pPr>
        <w:pStyle w:val="Default"/>
        <w:numPr>
          <w:ilvl w:val="3"/>
          <w:numId w:val="78"/>
        </w:numPr>
        <w:ind w:left="2520"/>
        <w:rPr>
          <w:rFonts w:eastAsia="Times New Roman"/>
          <w:bCs/>
          <w:sz w:val="22"/>
          <w:szCs w:val="22"/>
        </w:rPr>
      </w:pPr>
      <w:r>
        <w:rPr>
          <w:rFonts w:eastAsia="Times New Roman"/>
          <w:bCs/>
          <w:sz w:val="22"/>
          <w:szCs w:val="22"/>
        </w:rPr>
        <w:t xml:space="preserve">Two‐tiered Annuities </w:t>
      </w:r>
    </w:p>
    <w:p w14:paraId="3740B1E7" w14:textId="77777777" w:rsidR="008A7F4A" w:rsidRDefault="008A7F4A" w:rsidP="00745C9A">
      <w:pPr>
        <w:pStyle w:val="Default"/>
        <w:numPr>
          <w:ilvl w:val="3"/>
          <w:numId w:val="78"/>
        </w:numPr>
        <w:ind w:left="2520"/>
        <w:rPr>
          <w:rFonts w:eastAsia="Times New Roman"/>
          <w:bCs/>
          <w:sz w:val="22"/>
          <w:szCs w:val="22"/>
        </w:rPr>
      </w:pPr>
      <w:r>
        <w:rPr>
          <w:rFonts w:eastAsia="Times New Roman"/>
          <w:bCs/>
          <w:sz w:val="22"/>
          <w:szCs w:val="22"/>
        </w:rPr>
        <w:t>Guarantees/Benefits/Riders on Fixed Annuity Contracts</w:t>
      </w:r>
    </w:p>
    <w:p w14:paraId="47F5CEDF" w14:textId="77777777" w:rsidR="008A7F4A" w:rsidRDefault="008A7F4A" w:rsidP="008A7F4A">
      <w:pPr>
        <w:pStyle w:val="Default"/>
        <w:ind w:left="1080"/>
        <w:rPr>
          <w:rFonts w:eastAsia="Times New Roman"/>
          <w:b/>
          <w:sz w:val="22"/>
          <w:szCs w:val="22"/>
        </w:rPr>
      </w:pPr>
    </w:p>
    <w:p w14:paraId="3C0E26B1" w14:textId="77777777" w:rsidR="008A7F4A" w:rsidRDefault="008A7F4A" w:rsidP="00745C9A">
      <w:pPr>
        <w:pStyle w:val="Default"/>
        <w:numPr>
          <w:ilvl w:val="2"/>
          <w:numId w:val="78"/>
        </w:numPr>
        <w:ind w:left="1800"/>
        <w:rPr>
          <w:rFonts w:eastAsia="Times New Roman"/>
          <w:b/>
          <w:sz w:val="22"/>
          <w:szCs w:val="22"/>
        </w:rPr>
      </w:pPr>
      <w:r>
        <w:rPr>
          <w:rFonts w:eastAsia="Times New Roman"/>
          <w:b/>
          <w:sz w:val="22"/>
          <w:szCs w:val="22"/>
        </w:rPr>
        <w:t>Payout Annuities</w:t>
      </w:r>
    </w:p>
    <w:p w14:paraId="05EF1A70" w14:textId="77777777" w:rsidR="008A7F4A" w:rsidRDefault="008A7F4A" w:rsidP="00745C9A">
      <w:pPr>
        <w:pStyle w:val="Default"/>
        <w:numPr>
          <w:ilvl w:val="3"/>
          <w:numId w:val="78"/>
        </w:numPr>
        <w:ind w:left="2520"/>
        <w:rPr>
          <w:rFonts w:eastAsia="Times New Roman"/>
          <w:bCs/>
          <w:sz w:val="22"/>
          <w:szCs w:val="22"/>
        </w:rPr>
      </w:pPr>
      <w:r>
        <w:rPr>
          <w:rFonts w:eastAsia="Times New Roman"/>
          <w:bCs/>
          <w:sz w:val="22"/>
          <w:szCs w:val="22"/>
        </w:rPr>
        <w:t xml:space="preserve">Single Premium Immediate Annuities (SPIA) </w:t>
      </w:r>
    </w:p>
    <w:p w14:paraId="40D5EEC3" w14:textId="77777777" w:rsidR="008A7F4A" w:rsidRDefault="008A7F4A" w:rsidP="00745C9A">
      <w:pPr>
        <w:pStyle w:val="Default"/>
        <w:numPr>
          <w:ilvl w:val="3"/>
          <w:numId w:val="78"/>
        </w:numPr>
        <w:ind w:left="2520"/>
        <w:rPr>
          <w:rFonts w:eastAsia="Times New Roman"/>
          <w:bCs/>
          <w:sz w:val="22"/>
          <w:szCs w:val="22"/>
        </w:rPr>
      </w:pPr>
      <w:r>
        <w:rPr>
          <w:rFonts w:eastAsia="Times New Roman"/>
          <w:bCs/>
          <w:sz w:val="22"/>
          <w:szCs w:val="22"/>
        </w:rPr>
        <w:t>Deferred Income Annuities (DIA)</w:t>
      </w:r>
    </w:p>
    <w:p w14:paraId="6A3591E5" w14:textId="77777777" w:rsidR="008A7F4A" w:rsidRDefault="008A7F4A" w:rsidP="00745C9A">
      <w:pPr>
        <w:pStyle w:val="Default"/>
        <w:numPr>
          <w:ilvl w:val="3"/>
          <w:numId w:val="78"/>
        </w:numPr>
        <w:ind w:left="2520"/>
        <w:rPr>
          <w:rFonts w:eastAsia="Times New Roman"/>
          <w:bCs/>
          <w:sz w:val="22"/>
          <w:szCs w:val="22"/>
        </w:rPr>
      </w:pPr>
      <w:r>
        <w:rPr>
          <w:rFonts w:eastAsia="Times New Roman"/>
          <w:bCs/>
          <w:sz w:val="22"/>
          <w:szCs w:val="22"/>
        </w:rPr>
        <w:t>Term Certain Payout Annuity</w:t>
      </w:r>
    </w:p>
    <w:p w14:paraId="242ADCFA" w14:textId="77777777" w:rsidR="008A7F4A" w:rsidRDefault="008A7F4A" w:rsidP="00745C9A">
      <w:pPr>
        <w:pStyle w:val="Default"/>
        <w:numPr>
          <w:ilvl w:val="3"/>
          <w:numId w:val="78"/>
        </w:numPr>
        <w:ind w:left="2520"/>
        <w:rPr>
          <w:rFonts w:eastAsia="Times New Roman"/>
          <w:bCs/>
          <w:sz w:val="22"/>
          <w:szCs w:val="22"/>
        </w:rPr>
      </w:pPr>
      <w:r>
        <w:rPr>
          <w:rFonts w:eastAsia="Times New Roman"/>
          <w:bCs/>
          <w:sz w:val="22"/>
          <w:szCs w:val="22"/>
        </w:rPr>
        <w:t xml:space="preserve">Pension Risk Transfer Annuities (PRT) </w:t>
      </w:r>
    </w:p>
    <w:p w14:paraId="1B6C340C" w14:textId="77777777" w:rsidR="008A7F4A" w:rsidRDefault="008A7F4A" w:rsidP="00745C9A">
      <w:pPr>
        <w:pStyle w:val="Default"/>
        <w:numPr>
          <w:ilvl w:val="3"/>
          <w:numId w:val="78"/>
        </w:numPr>
        <w:ind w:left="2520"/>
        <w:rPr>
          <w:rFonts w:eastAsia="Times New Roman"/>
          <w:bCs/>
          <w:sz w:val="22"/>
          <w:szCs w:val="22"/>
        </w:rPr>
      </w:pPr>
      <w:r>
        <w:rPr>
          <w:rFonts w:eastAsia="Times New Roman"/>
          <w:bCs/>
          <w:sz w:val="22"/>
          <w:szCs w:val="22"/>
        </w:rPr>
        <w:t>Structured Settlement Contracts (SSC)</w:t>
      </w:r>
    </w:p>
    <w:p w14:paraId="21155FF1" w14:textId="77777777" w:rsidR="008A7F4A" w:rsidRDefault="008A7F4A" w:rsidP="00745C9A">
      <w:pPr>
        <w:pStyle w:val="Default"/>
        <w:numPr>
          <w:ilvl w:val="3"/>
          <w:numId w:val="78"/>
        </w:numPr>
        <w:ind w:left="2520"/>
        <w:rPr>
          <w:rFonts w:eastAsia="Times New Roman"/>
          <w:bCs/>
          <w:sz w:val="22"/>
          <w:szCs w:val="22"/>
        </w:rPr>
      </w:pPr>
      <w:r>
        <w:rPr>
          <w:rFonts w:eastAsia="Times New Roman"/>
          <w:bCs/>
          <w:sz w:val="22"/>
          <w:szCs w:val="22"/>
        </w:rPr>
        <w:t>Longevity Reinsurance</w:t>
      </w:r>
    </w:p>
    <w:p w14:paraId="4C0E6123" w14:textId="77777777" w:rsidR="008A7F4A" w:rsidRDefault="008A7F4A" w:rsidP="008A7F4A">
      <w:pPr>
        <w:pStyle w:val="Default"/>
        <w:ind w:left="1440"/>
        <w:rPr>
          <w:rFonts w:eastAsia="Times New Roman"/>
          <w:b/>
          <w:sz w:val="22"/>
          <w:szCs w:val="22"/>
        </w:rPr>
      </w:pPr>
    </w:p>
    <w:p w14:paraId="5EB16B95" w14:textId="77777777" w:rsidR="008A7F4A" w:rsidRDefault="008A7F4A" w:rsidP="008A7F4A">
      <w:pPr>
        <w:pStyle w:val="Default"/>
        <w:ind w:left="1440"/>
        <w:rPr>
          <w:sz w:val="22"/>
          <w:szCs w:val="22"/>
        </w:rPr>
      </w:pPr>
      <w:commentRangeStart w:id="30"/>
      <w:r>
        <w:rPr>
          <w:sz w:val="22"/>
          <w:szCs w:val="22"/>
        </w:rPr>
        <w:t>The</w:t>
      </w:r>
      <w:commentRangeEnd w:id="30"/>
      <w:r w:rsidR="007E7250">
        <w:rPr>
          <w:rStyle w:val="CommentReference"/>
          <w:rFonts w:asciiTheme="minorHAnsi" w:hAnsiTheme="minorHAnsi" w:cstheme="minorBidi"/>
          <w:color w:val="auto"/>
        </w:rPr>
        <w:commentReference w:id="30"/>
      </w:r>
      <w:r>
        <w:rPr>
          <w:sz w:val="22"/>
          <w:szCs w:val="22"/>
        </w:rPr>
        <w:t xml:space="preserve"> company may elect to exclude one or more groups of contracts from the </w:t>
      </w:r>
      <w:r>
        <w:rPr>
          <w:bCs/>
          <w:sz w:val="22"/>
          <w:szCs w:val="22"/>
        </w:rPr>
        <w:t>stochastic reserve</w:t>
      </w:r>
      <w:r>
        <w:rPr>
          <w:sz w:val="22"/>
          <w:szCs w:val="22"/>
        </w:rPr>
        <w:t xml:space="preserve"> calculation in certain situations, pursuant to the exclusion test requirements defined in Section 3.E of VM-22. </w:t>
      </w:r>
    </w:p>
    <w:p w14:paraId="5779143C" w14:textId="77777777" w:rsidR="008A7F4A" w:rsidRDefault="008A7F4A" w:rsidP="008A7F4A">
      <w:pPr>
        <w:pStyle w:val="Default"/>
        <w:rPr>
          <w:sz w:val="22"/>
          <w:szCs w:val="22"/>
        </w:rPr>
      </w:pPr>
    </w:p>
    <w:p w14:paraId="5B0A2B38" w14:textId="77777777" w:rsidR="008A7F4A" w:rsidRDefault="008A7F4A" w:rsidP="00745C9A">
      <w:pPr>
        <w:pStyle w:val="Heading2"/>
        <w:numPr>
          <w:ilvl w:val="0"/>
          <w:numId w:val="76"/>
        </w:numPr>
        <w:rPr>
          <w:rFonts w:ascii="Times New Roman" w:hAnsi="Times New Roman" w:cs="Times New Roman"/>
          <w:sz w:val="22"/>
          <w:szCs w:val="22"/>
        </w:rPr>
      </w:pPr>
      <w:bookmarkStart w:id="31" w:name="_Toc77242131"/>
      <w:r>
        <w:rPr>
          <w:rFonts w:ascii="Times New Roman" w:hAnsi="Times New Roman" w:cs="Times New Roman"/>
          <w:sz w:val="22"/>
          <w:szCs w:val="22"/>
        </w:rPr>
        <w:t>Effective Date &amp; Transition</w:t>
      </w:r>
      <w:bookmarkEnd w:id="31"/>
      <w:r>
        <w:rPr>
          <w:rFonts w:ascii="Times New Roman" w:hAnsi="Times New Roman" w:cs="Times New Roman"/>
          <w:sz w:val="22"/>
          <w:szCs w:val="22"/>
        </w:rPr>
        <w:t xml:space="preserve"> </w:t>
      </w:r>
    </w:p>
    <w:p w14:paraId="3028F2FD" w14:textId="77777777" w:rsidR="008A7F4A" w:rsidRDefault="008A7F4A" w:rsidP="008A7F4A">
      <w:pPr>
        <w:pStyle w:val="ListParagraph"/>
        <w:rPr>
          <w:rFonts w:ascii="Times New Roman" w:eastAsia="Times New Roman" w:hAnsi="Times New Roman" w:cs="Times New Roman"/>
        </w:rPr>
      </w:pPr>
    </w:p>
    <w:p w14:paraId="2DFEA01D" w14:textId="77777777" w:rsidR="008A7F4A" w:rsidRDefault="008A7F4A" w:rsidP="008A7F4A">
      <w:pPr>
        <w:pStyle w:val="ListParagraph"/>
        <w:rPr>
          <w:rFonts w:ascii="Times New Roman" w:eastAsia="Times New Roman" w:hAnsi="Times New Roman" w:cs="Times New Roman"/>
          <w:b/>
        </w:rPr>
      </w:pPr>
      <w:r>
        <w:rPr>
          <w:rFonts w:ascii="Times New Roman" w:eastAsia="Times New Roman" w:hAnsi="Times New Roman" w:cs="Times New Roman"/>
          <w:b/>
        </w:rPr>
        <w:t>Effective Date</w:t>
      </w:r>
    </w:p>
    <w:p w14:paraId="1C5147F6" w14:textId="77777777" w:rsidR="008A7F4A" w:rsidRDefault="008A7F4A" w:rsidP="008A7F4A">
      <w:pPr>
        <w:pStyle w:val="ListParagraph"/>
        <w:rPr>
          <w:rFonts w:ascii="Times New Roman" w:eastAsia="Times New Roman" w:hAnsi="Times New Roman" w:cs="Times New Roman"/>
          <w:b/>
        </w:rPr>
      </w:pPr>
    </w:p>
    <w:p w14:paraId="75427085" w14:textId="77777777" w:rsidR="008A7F4A" w:rsidRDefault="008A7F4A" w:rsidP="008A7F4A">
      <w:pPr>
        <w:pStyle w:val="ListParagraph"/>
        <w:rPr>
          <w:rFonts w:ascii="Times New Roman" w:eastAsia="Times New Roman" w:hAnsi="Times New Roman" w:cs="Times New Roman"/>
          <w:b/>
        </w:rPr>
      </w:pPr>
      <w:r>
        <w:rPr>
          <w:rFonts w:ascii="Times New Roman" w:eastAsia="Times New Roman" w:hAnsi="Times New Roman" w:cs="Times New Roman"/>
        </w:rPr>
        <w:t>These requirements apply for valuation dates on or after January 1, 2024.</w:t>
      </w:r>
    </w:p>
    <w:p w14:paraId="10E39B73" w14:textId="77777777" w:rsidR="008A7F4A" w:rsidRDefault="008A7F4A" w:rsidP="008A7F4A">
      <w:pPr>
        <w:pStyle w:val="ListParagraph"/>
        <w:rPr>
          <w:rFonts w:ascii="Times New Roman" w:eastAsia="Times New Roman" w:hAnsi="Times New Roman" w:cs="Times New Roman"/>
        </w:rPr>
      </w:pPr>
    </w:p>
    <w:p w14:paraId="06CF4B72" w14:textId="77777777" w:rsidR="008A7F4A" w:rsidRDefault="008A7F4A" w:rsidP="008A7F4A">
      <w:pPr>
        <w:pStyle w:val="ListParagraph"/>
        <w:rPr>
          <w:rFonts w:ascii="Times New Roman" w:eastAsia="Times New Roman" w:hAnsi="Times New Roman" w:cs="Times New Roman"/>
          <w:b/>
        </w:rPr>
      </w:pPr>
      <w:r>
        <w:rPr>
          <w:rFonts w:ascii="Times New Roman" w:eastAsia="Times New Roman" w:hAnsi="Times New Roman" w:cs="Times New Roman"/>
          <w:b/>
        </w:rPr>
        <w:t>Transition</w:t>
      </w:r>
    </w:p>
    <w:p w14:paraId="598DFE86" w14:textId="77777777" w:rsidR="008A7F4A" w:rsidRDefault="008A7F4A" w:rsidP="008A7F4A">
      <w:pPr>
        <w:pStyle w:val="Default"/>
        <w:spacing w:after="220"/>
        <w:ind w:left="720"/>
        <w:jc w:val="both"/>
        <w:rPr>
          <w:sz w:val="22"/>
          <w:szCs w:val="22"/>
        </w:rPr>
      </w:pPr>
      <w:r>
        <w:rPr>
          <w:sz w:val="22"/>
          <w:szCs w:val="22"/>
        </w:rPr>
        <w:t xml:space="preserve">A company may elect to establish minimum reserves pursuant to applicable requirements in VM-A and VM-C for business otherwise subject to VM-22 PBR requirements and issued during the </w:t>
      </w:r>
      <w:r>
        <w:rPr>
          <w:sz w:val="22"/>
          <w:szCs w:val="22"/>
        </w:rPr>
        <w:lastRenderedPageBreak/>
        <w:t xml:space="preserve">first three years following the effective date of </w:t>
      </w:r>
      <w:r>
        <w:rPr>
          <w:iCs/>
          <w:sz w:val="22"/>
          <w:szCs w:val="22"/>
        </w:rPr>
        <w:t>VM-22 PBR</w:t>
      </w:r>
      <w:r>
        <w:rPr>
          <w:sz w:val="22"/>
          <w:szCs w:val="22"/>
        </w:rPr>
        <w:t>. If a company during the three years elects to apply VM-22 PBR to a block of such business, then a company must continue to apply the requirements of VM-22 PBR for future issues of this business. Irrespective of the transition date, a company shall apply VM-22 PBR requirements to applicable blocks of business on a prospective basis starting at least three years after the effective date.</w:t>
      </w:r>
    </w:p>
    <w:p w14:paraId="376A37AB" w14:textId="77777777" w:rsidR="008A7F4A" w:rsidRDefault="008A7F4A" w:rsidP="008A7F4A">
      <w:pPr>
        <w:rPr>
          <w:rFonts w:ascii="Times New Roman" w:hAnsi="Times New Roman" w:cs="Times New Roman"/>
          <w:color w:val="000000"/>
        </w:rPr>
      </w:pPr>
      <w:r>
        <w:br w:type="page"/>
      </w:r>
    </w:p>
    <w:p w14:paraId="00E65E90" w14:textId="77777777" w:rsidR="008A7F4A" w:rsidRDefault="008A7F4A" w:rsidP="008A7F4A">
      <w:pPr>
        <w:pStyle w:val="Heading1"/>
        <w:spacing w:line="240" w:lineRule="auto"/>
        <w:rPr>
          <w:sz w:val="24"/>
          <w:szCs w:val="24"/>
        </w:rPr>
      </w:pPr>
      <w:bookmarkStart w:id="32" w:name="_Toc77242132"/>
      <w:r>
        <w:rPr>
          <w:sz w:val="24"/>
          <w:szCs w:val="24"/>
        </w:rPr>
        <w:lastRenderedPageBreak/>
        <w:t>Section 3: Reserve Methodology</w:t>
      </w:r>
      <w:bookmarkEnd w:id="32"/>
    </w:p>
    <w:p w14:paraId="20C659B6"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746C52B6" w14:textId="77777777" w:rsidR="008A7F4A" w:rsidRDefault="008A7F4A" w:rsidP="008A7F4A">
      <w:pPr>
        <w:pStyle w:val="Heading2"/>
        <w:rPr>
          <w:sz w:val="22"/>
          <w:szCs w:val="22"/>
        </w:rPr>
      </w:pPr>
      <w:bookmarkStart w:id="33" w:name="_Toc77242133"/>
      <w:r>
        <w:rPr>
          <w:sz w:val="22"/>
          <w:szCs w:val="22"/>
        </w:rPr>
        <w:t>A. Aggregate Reserve</w:t>
      </w:r>
      <w:bookmarkEnd w:id="33"/>
      <w:r>
        <w:rPr>
          <w:sz w:val="22"/>
          <w:szCs w:val="22"/>
        </w:rPr>
        <w:t xml:space="preserve"> </w:t>
      </w:r>
    </w:p>
    <w:p w14:paraId="7AAE1347"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03267678"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aggregate reserve for contracts falling within the scope of these requirements shall equal the stochastic reserve (following the requirements of Section 4) less any applicable PIMR for all contracts not valued under</w:t>
      </w:r>
      <w:r>
        <w:rPr>
          <w:rFonts w:ascii="Calibri" w:eastAsia="Times New Roman" w:hAnsi="Calibri"/>
        </w:rPr>
        <w:t xml:space="preserve"> </w:t>
      </w:r>
      <w:r>
        <w:rPr>
          <w:rFonts w:ascii="Times New Roman" w:eastAsia="Times New Roman" w:hAnsi="Times New Roman" w:cs="Times New Roman"/>
        </w:rPr>
        <w:t>applicable requirements in VM-A and VM-C</w:t>
      </w:r>
      <w:r>
        <w:rPr>
          <w:rFonts w:ascii="Times New Roman" w:hAnsi="Times New Roman" w:cs="Times New Roman"/>
          <w:color w:val="000000"/>
        </w:rPr>
        <w:t xml:space="preserve">, plus the reserve for any contracts valued under </w:t>
      </w:r>
      <w:r>
        <w:rPr>
          <w:rFonts w:ascii="Times New Roman" w:eastAsia="Times New Roman" w:hAnsi="Times New Roman" w:cs="Times New Roman"/>
        </w:rPr>
        <w:t>applicable requirements in VM-A and VM-C</w:t>
      </w:r>
      <w:r>
        <w:rPr>
          <w:rFonts w:ascii="Times New Roman" w:hAnsi="Times New Roman" w:cs="Times New Roman"/>
          <w:color w:val="000000"/>
        </w:rPr>
        <w:t xml:space="preserve">. </w:t>
      </w:r>
    </w:p>
    <w:p w14:paraId="759B8DD1"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6B9C7BEB" w14:textId="77777777" w:rsidR="008A7F4A"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Guidance Note</w:t>
      </w:r>
      <w:r>
        <w:rPr>
          <w:rFonts w:ascii="Times New Roman" w:hAnsi="Times New Roman" w:cs="Times New Roman"/>
        </w:rPr>
        <w:t>: Contracts valued under applicable requirements in VM-A and VM-C are ones that pass the exclusion test and elect to not model PBR stochastic reserves, per the requirements in Section 3.E.</w:t>
      </w:r>
    </w:p>
    <w:p w14:paraId="6D4AD3FD"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6AB38738" w14:textId="77777777" w:rsidR="008A7F4A" w:rsidRDefault="008A7F4A" w:rsidP="008A7F4A">
      <w:pPr>
        <w:pStyle w:val="Heading2"/>
        <w:rPr>
          <w:sz w:val="22"/>
          <w:szCs w:val="22"/>
        </w:rPr>
      </w:pPr>
      <w:bookmarkStart w:id="34" w:name="_Toc77242134"/>
      <w:r>
        <w:rPr>
          <w:sz w:val="22"/>
          <w:szCs w:val="22"/>
        </w:rPr>
        <w:t xml:space="preserve">B. Impact of Reinsurance </w:t>
      </w:r>
      <w:commentRangeStart w:id="35"/>
      <w:r>
        <w:rPr>
          <w:sz w:val="22"/>
          <w:szCs w:val="22"/>
        </w:rPr>
        <w:t>Ceded</w:t>
      </w:r>
      <w:bookmarkEnd w:id="34"/>
      <w:r>
        <w:rPr>
          <w:sz w:val="22"/>
          <w:szCs w:val="22"/>
        </w:rPr>
        <w:t xml:space="preserve"> </w:t>
      </w:r>
      <w:commentRangeEnd w:id="35"/>
      <w:r w:rsidR="007E7250">
        <w:rPr>
          <w:rStyle w:val="CommentReference"/>
          <w:rFonts w:asciiTheme="minorHAnsi" w:eastAsiaTheme="minorHAnsi" w:hAnsiTheme="minorHAnsi" w:cstheme="minorBidi"/>
          <w:color w:val="auto"/>
        </w:rPr>
        <w:commentReference w:id="35"/>
      </w:r>
    </w:p>
    <w:p w14:paraId="0457685B"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284B2BF3"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All components in the aggregate reserve shall be determined post-reinsurance ceded, that is net of any reinsurance cash flows arising from treaties that meet the statutory requirements that allow the treaty to be accounted for as reinsurance. A pre-reinsurance ceded reserve also needs to be determined by ignoring all reinsurance cash flows (costs and benefits) in the reserve calculation. </w:t>
      </w:r>
    </w:p>
    <w:p w14:paraId="66E1C84A"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7ECDB5DE" w14:textId="77777777" w:rsidR="008A7F4A" w:rsidRDefault="008A7F4A" w:rsidP="008A7F4A">
      <w:pPr>
        <w:pStyle w:val="Heading2"/>
        <w:rPr>
          <w:sz w:val="22"/>
          <w:szCs w:val="22"/>
        </w:rPr>
      </w:pPr>
      <w:bookmarkStart w:id="36" w:name="_Toc77242135"/>
      <w:r>
        <w:rPr>
          <w:sz w:val="22"/>
          <w:szCs w:val="22"/>
        </w:rPr>
        <w:t>C. To Be Determined</w:t>
      </w:r>
      <w:bookmarkEnd w:id="36"/>
      <w:r>
        <w:rPr>
          <w:sz w:val="22"/>
          <w:szCs w:val="22"/>
        </w:rPr>
        <w:t xml:space="preserve"> </w:t>
      </w:r>
    </w:p>
    <w:p w14:paraId="34C6F092"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p>
    <w:p w14:paraId="4F07F2AC"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7EF57DF5" w14:textId="77777777" w:rsidR="008A7F4A" w:rsidRDefault="008A7F4A" w:rsidP="008A7F4A">
      <w:pPr>
        <w:pStyle w:val="Heading2"/>
        <w:rPr>
          <w:sz w:val="22"/>
          <w:szCs w:val="22"/>
        </w:rPr>
      </w:pPr>
      <w:bookmarkStart w:id="37" w:name="_Toc77242136"/>
      <w:r>
        <w:rPr>
          <w:sz w:val="22"/>
          <w:szCs w:val="22"/>
        </w:rPr>
        <w:t>D. The Stochastic Reserve</w:t>
      </w:r>
      <w:bookmarkEnd w:id="37"/>
      <w:r>
        <w:rPr>
          <w:sz w:val="22"/>
          <w:szCs w:val="22"/>
        </w:rPr>
        <w:t xml:space="preserve"> </w:t>
      </w:r>
    </w:p>
    <w:p w14:paraId="2AEE192A" w14:textId="77777777" w:rsidR="008A7F4A" w:rsidRDefault="008A7F4A" w:rsidP="008A7F4A">
      <w:pPr>
        <w:spacing w:after="0"/>
      </w:pPr>
    </w:p>
    <w:p w14:paraId="0B482F29" w14:textId="77777777" w:rsidR="008A7F4A" w:rsidRDefault="008A7F4A" w:rsidP="00745C9A">
      <w:pPr>
        <w:pStyle w:val="ListParagraph"/>
        <w:numPr>
          <w:ilvl w:val="0"/>
          <w:numId w:val="79"/>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stochastic reserve shall be determined based on asset and liability projections for the contracts falling within the scope of these requirements, excluding those contracts valued using the </w:t>
      </w:r>
      <w:r>
        <w:rPr>
          <w:rFonts w:ascii="Times New Roman" w:hAnsi="Times New Roman" w:cs="Times New Roman"/>
        </w:rPr>
        <w:t>methodology pursuant to</w:t>
      </w:r>
      <w:r>
        <w:rPr>
          <w:rFonts w:ascii="Times New Roman" w:hAnsi="Times New Roman" w:cs="Times New Roman"/>
          <w:color w:val="000000"/>
        </w:rPr>
        <w:t xml:space="preserve"> </w:t>
      </w:r>
      <w:r>
        <w:rPr>
          <w:rFonts w:ascii="Times New Roman" w:eastAsia="Times New Roman" w:hAnsi="Times New Roman" w:cs="Times New Roman"/>
        </w:rPr>
        <w:t>applicable requirements in VM-A and VM-C</w:t>
      </w:r>
      <w:r>
        <w:rPr>
          <w:rFonts w:ascii="Times New Roman" w:hAnsi="Times New Roman" w:cs="Times New Roman"/>
          <w:color w:val="000000"/>
        </w:rPr>
        <w:t xml:space="preserve">, over a broad range of stochastically generated projection scenarios described in Section 8 and using prudent estimate assumptions as required in Section 3.F herein. </w:t>
      </w:r>
    </w:p>
    <w:p w14:paraId="6B45F5A2" w14:textId="77777777" w:rsidR="008A7F4A" w:rsidRDefault="008A7F4A" w:rsidP="008A7F4A">
      <w:pPr>
        <w:pStyle w:val="ListParagraph"/>
        <w:autoSpaceDE w:val="0"/>
        <w:autoSpaceDN w:val="0"/>
        <w:adjustRightInd w:val="0"/>
        <w:spacing w:after="0" w:line="240" w:lineRule="auto"/>
        <w:rPr>
          <w:rFonts w:ascii="Times New Roman" w:hAnsi="Times New Roman" w:cs="Times New Roman"/>
          <w:color w:val="000000"/>
        </w:rPr>
      </w:pPr>
    </w:p>
    <w:p w14:paraId="75ED3B77" w14:textId="77777777" w:rsidR="008A7F4A" w:rsidRDefault="008A7F4A" w:rsidP="00745C9A">
      <w:pPr>
        <w:pStyle w:val="ListParagraph"/>
        <w:numPr>
          <w:ilvl w:val="0"/>
          <w:numId w:val="79"/>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stochastic reserve amount for any group of contracts shall be determined as CTE70 of the scenario reserves following the requirements of Section 4, </w:t>
      </w:r>
      <w:proofErr w:type="gramStart"/>
      <w:r>
        <w:rPr>
          <w:rFonts w:ascii="Times New Roman" w:hAnsi="Times New Roman" w:cs="Times New Roman"/>
          <w:color w:val="000000"/>
        </w:rPr>
        <w:t>with the exception of</w:t>
      </w:r>
      <w:proofErr w:type="gramEnd"/>
      <w:r>
        <w:rPr>
          <w:rFonts w:ascii="Times New Roman" w:hAnsi="Times New Roman" w:cs="Times New Roman"/>
          <w:color w:val="000000"/>
        </w:rPr>
        <w:t xml:space="preserve"> groups of contracts for which a company elects the Deterministic Certification Option in Section 7.E, which shall be determined as the scenario reserve following the requirements of Section 4.</w:t>
      </w:r>
    </w:p>
    <w:p w14:paraId="290F2890" w14:textId="77777777" w:rsidR="008A7F4A" w:rsidRDefault="008A7F4A" w:rsidP="008A7F4A">
      <w:pPr>
        <w:pStyle w:val="ListParagraph"/>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p>
    <w:p w14:paraId="4593D82E" w14:textId="77777777" w:rsidR="008A7F4A" w:rsidRDefault="008A7F4A" w:rsidP="00745C9A">
      <w:pPr>
        <w:pStyle w:val="ListParagraph"/>
        <w:numPr>
          <w:ilvl w:val="0"/>
          <w:numId w:val="79"/>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reserve may be determined in aggregate across various groups of contracts as a single model segment when determining the stochastic reserve if the business and risks are not managed separately or are part of the same integrated risk management program. Aggregation is permitted if a resulting group of contracts (or model segment) follows the listed principles:</w:t>
      </w:r>
    </w:p>
    <w:p w14:paraId="53D93B92" w14:textId="77777777" w:rsidR="008A7F4A" w:rsidRDefault="008A7F4A" w:rsidP="008A7F4A">
      <w:pPr>
        <w:autoSpaceDE w:val="0"/>
        <w:autoSpaceDN w:val="0"/>
        <w:adjustRightInd w:val="0"/>
        <w:spacing w:after="0" w:line="240" w:lineRule="auto"/>
        <w:rPr>
          <w:rFonts w:ascii="Times New Roman" w:hAnsi="Times New Roman" w:cs="Times New Roman"/>
          <w:i/>
          <w:iCs/>
          <w:color w:val="000000"/>
          <w:u w:val="single"/>
        </w:rPr>
      </w:pPr>
    </w:p>
    <w:p w14:paraId="4FCF283B" w14:textId="77777777" w:rsidR="008A7F4A" w:rsidRDefault="008A7F4A" w:rsidP="008A7F4A">
      <w:pPr>
        <w:autoSpaceDE w:val="0"/>
        <w:autoSpaceDN w:val="0"/>
        <w:adjustRightInd w:val="0"/>
        <w:spacing w:after="0" w:line="240" w:lineRule="auto"/>
        <w:ind w:left="1080" w:hanging="360"/>
        <w:rPr>
          <w:rFonts w:ascii="Times New Roman" w:hAnsi="Times New Roman" w:cs="Times New Roman"/>
          <w:color w:val="000000"/>
        </w:rPr>
      </w:pPr>
      <w:r>
        <w:rPr>
          <w:rFonts w:ascii="Times New Roman" w:hAnsi="Times New Roman" w:cs="Times New Roman"/>
          <w:color w:val="000000"/>
        </w:rPr>
        <w:t xml:space="preserve">a. </w:t>
      </w:r>
      <w:r>
        <w:rPr>
          <w:rFonts w:ascii="Times New Roman" w:hAnsi="Times New Roman" w:cs="Times New Roman"/>
          <w:color w:val="000000"/>
        </w:rPr>
        <w:tab/>
        <w:t>Aggregate in a manner that is consistent with the company’s risk management strategy and reflects the likelihood of any change in risk offsets that could arise from shifts between product types, and</w:t>
      </w:r>
    </w:p>
    <w:p w14:paraId="59473141" w14:textId="77777777" w:rsidR="008A7F4A" w:rsidRDefault="008A7F4A" w:rsidP="008A7F4A">
      <w:pPr>
        <w:pStyle w:val="ListParagraph"/>
        <w:autoSpaceDE w:val="0"/>
        <w:autoSpaceDN w:val="0"/>
        <w:adjustRightInd w:val="0"/>
        <w:spacing w:after="0" w:line="240" w:lineRule="auto"/>
        <w:ind w:left="1080"/>
        <w:rPr>
          <w:rStyle w:val="CommentReference"/>
          <w:sz w:val="22"/>
          <w:szCs w:val="22"/>
        </w:rPr>
      </w:pPr>
    </w:p>
    <w:p w14:paraId="1B3971F1" w14:textId="77777777" w:rsidR="008A7F4A" w:rsidRDefault="008A7F4A" w:rsidP="00745C9A">
      <w:pPr>
        <w:pStyle w:val="ListParagraph"/>
        <w:numPr>
          <w:ilvl w:val="0"/>
          <w:numId w:val="80"/>
        </w:numPr>
        <w:autoSpaceDE w:val="0"/>
        <w:autoSpaceDN w:val="0"/>
        <w:adjustRightInd w:val="0"/>
        <w:spacing w:after="0" w:line="240" w:lineRule="auto"/>
        <w:ind w:left="1080"/>
      </w:pPr>
      <w:r>
        <w:rPr>
          <w:rFonts w:ascii="Times New Roman" w:hAnsi="Times New Roman" w:cs="Times New Roman"/>
          <w:color w:val="000000"/>
        </w:rPr>
        <w:t>Using prudent actuarial judgement, consider the following elements when aggregating groups of contracts: whether groups of contracts are part of the same portfolio (or different portfolios that interact), same integrated risk management system, administered/managed together</w:t>
      </w:r>
    </w:p>
    <w:p w14:paraId="05D4F08A"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551C8445" w14:textId="77777777" w:rsidR="008A7F4A" w:rsidRDefault="008A7F4A" w:rsidP="008A7F4A">
      <w:pPr>
        <w:autoSpaceDE w:val="0"/>
        <w:autoSpaceDN w:val="0"/>
        <w:adjustRightInd w:val="0"/>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4. </w:t>
      </w:r>
      <w:r>
        <w:rPr>
          <w:rFonts w:ascii="Times New Roman" w:hAnsi="Times New Roman" w:cs="Times New Roman"/>
          <w:color w:val="000000"/>
        </w:rPr>
        <w:tab/>
        <w:t xml:space="preserve">Do not aggregate groups of contracts for which the company elects to use the </w:t>
      </w:r>
      <w:commentRangeStart w:id="38"/>
      <w:r>
        <w:rPr>
          <w:rFonts w:ascii="Times New Roman" w:hAnsi="Times New Roman" w:cs="Times New Roman"/>
          <w:color w:val="000000"/>
        </w:rPr>
        <w:t>Deterministic Certification Option</w:t>
      </w:r>
      <w:commentRangeEnd w:id="38"/>
      <w:r w:rsidR="007E7250">
        <w:rPr>
          <w:rStyle w:val="CommentReference"/>
        </w:rPr>
        <w:commentReference w:id="38"/>
      </w:r>
      <w:r>
        <w:rPr>
          <w:rFonts w:ascii="Times New Roman" w:hAnsi="Times New Roman" w:cs="Times New Roman"/>
          <w:color w:val="000000"/>
        </w:rPr>
        <w:t xml:space="preserve"> in Section 7.E with any groups of contracts that do not use such option.</w:t>
      </w:r>
    </w:p>
    <w:p w14:paraId="420B365D"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43316BD2" w14:textId="77777777" w:rsidR="008A7F4A" w:rsidRDefault="008A7F4A" w:rsidP="008A7F4A">
      <w:pPr>
        <w:autoSpaceDE w:val="0"/>
        <w:autoSpaceDN w:val="0"/>
        <w:adjustRightInd w:val="0"/>
        <w:spacing w:after="0" w:line="240" w:lineRule="auto"/>
        <w:ind w:left="720" w:hanging="360"/>
        <w:rPr>
          <w:rFonts w:ascii="Times New Roman" w:hAnsi="Times New Roman" w:cs="Times New Roman"/>
          <w:color w:val="000000"/>
        </w:rPr>
      </w:pPr>
      <w:r>
        <w:rPr>
          <w:rFonts w:ascii="Times New Roman" w:hAnsi="Times New Roman" w:cs="Times New Roman"/>
          <w:color w:val="000000"/>
        </w:rPr>
        <w:lastRenderedPageBreak/>
        <w:t xml:space="preserve">5. </w:t>
      </w:r>
      <w:r>
        <w:rPr>
          <w:rFonts w:ascii="Times New Roman" w:hAnsi="Times New Roman" w:cs="Times New Roman"/>
          <w:color w:val="000000"/>
        </w:rPr>
        <w:tab/>
        <w:t xml:space="preserve">To the extent that these limits on aggregation result in more than one model segment, the stochastic reserve shall equal the sum of the stochastic reserve amounts computed for each model segment and scenario reserve amounts computed for each model segment for which the company elects to use the Deterministic Certification Option in Section 7.E. </w:t>
      </w:r>
    </w:p>
    <w:p w14:paraId="5A022F8E"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20E73361" w14:textId="77777777" w:rsidR="008A7F4A" w:rsidRDefault="008A7F4A" w:rsidP="008A7F4A">
      <w:pPr>
        <w:pStyle w:val="Heading2"/>
        <w:rPr>
          <w:sz w:val="22"/>
          <w:szCs w:val="22"/>
        </w:rPr>
      </w:pPr>
      <w:bookmarkStart w:id="39" w:name="_Toc77242137"/>
      <w:r>
        <w:rPr>
          <w:sz w:val="22"/>
          <w:szCs w:val="22"/>
        </w:rPr>
        <w:t>E. Exclusion Test</w:t>
      </w:r>
      <w:bookmarkEnd w:id="39"/>
      <w:r>
        <w:rPr>
          <w:sz w:val="22"/>
          <w:szCs w:val="22"/>
        </w:rPr>
        <w:t xml:space="preserve"> </w:t>
      </w:r>
    </w:p>
    <w:p w14:paraId="60AACD14" w14:textId="77777777" w:rsidR="008A7F4A" w:rsidRDefault="008A7F4A" w:rsidP="008A7F4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
    <w:p w14:paraId="138A64FD" w14:textId="77777777" w:rsidR="008A7F4A" w:rsidRDefault="008A7F4A" w:rsidP="00745C9A">
      <w:pPr>
        <w:pStyle w:val="ListParagraph"/>
        <w:numPr>
          <w:ilvl w:val="0"/>
          <w:numId w:val="81"/>
        </w:numPr>
        <w:autoSpaceDE w:val="0"/>
        <w:autoSpaceDN w:val="0"/>
        <w:adjustRightInd w:val="0"/>
        <w:spacing w:after="0" w:line="240" w:lineRule="auto"/>
        <w:rPr>
          <w:rFonts w:ascii="Times New Roman" w:hAnsi="Times New Roman" w:cs="Times New Roman"/>
        </w:rPr>
      </w:pPr>
      <w:commentRangeStart w:id="40"/>
      <w:r>
        <w:rPr>
          <w:rFonts w:ascii="Times New Roman" w:hAnsi="Times New Roman" w:cs="Times New Roman"/>
        </w:rPr>
        <w:t>To</w:t>
      </w:r>
      <w:commentRangeEnd w:id="40"/>
      <w:r w:rsidR="007E7250">
        <w:rPr>
          <w:rStyle w:val="CommentReference"/>
        </w:rPr>
        <w:commentReference w:id="40"/>
      </w:r>
      <w:r>
        <w:rPr>
          <w:rFonts w:ascii="Times New Roman" w:hAnsi="Times New Roman" w:cs="Times New Roman"/>
        </w:rPr>
        <w:t xml:space="preserve"> the extent that certain groups of contracts pass one of the defined stochastic exclusion tests in Section 7.B, these groups of contracts may be valued using the methodology pursuant to</w:t>
      </w:r>
      <w:r>
        <w:rPr>
          <w:rFonts w:ascii="Times New Roman" w:hAnsi="Times New Roman" w:cs="Times New Roman"/>
          <w:color w:val="000000"/>
        </w:rPr>
        <w:t xml:space="preserve"> </w:t>
      </w:r>
      <w:r>
        <w:rPr>
          <w:rFonts w:ascii="Times New Roman" w:eastAsia="Times New Roman" w:hAnsi="Times New Roman" w:cs="Times New Roman"/>
        </w:rPr>
        <w:t>applicable requirements in VM-A and VM-C, with the statutory maximum valuation rate for immediate annuities specified in Section 13</w:t>
      </w:r>
      <w:r>
        <w:rPr>
          <w:rFonts w:ascii="Times New Roman" w:hAnsi="Times New Roman" w:cs="Times New Roman"/>
        </w:rPr>
        <w:t>.</w:t>
      </w:r>
    </w:p>
    <w:p w14:paraId="3F5106E4" w14:textId="77777777" w:rsidR="008A7F4A" w:rsidRDefault="008A7F4A" w:rsidP="008A7F4A">
      <w:pPr>
        <w:pStyle w:val="ListParagraph"/>
        <w:autoSpaceDE w:val="0"/>
        <w:autoSpaceDN w:val="0"/>
        <w:adjustRightInd w:val="0"/>
        <w:spacing w:after="0" w:line="240" w:lineRule="auto"/>
        <w:rPr>
          <w:rFonts w:ascii="Times New Roman" w:hAnsi="Times New Roman" w:cs="Times New Roman"/>
        </w:rPr>
      </w:pPr>
    </w:p>
    <w:p w14:paraId="22822F86" w14:textId="77777777" w:rsidR="008A7F4A" w:rsidRDefault="008A7F4A" w:rsidP="00745C9A">
      <w:pPr>
        <w:pStyle w:val="ListParagraph"/>
        <w:numPr>
          <w:ilvl w:val="1"/>
          <w:numId w:val="8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For dividend-paying contracts, a dividend liability shall be established upon following requirements in VM-A and VM-C, </w:t>
      </w:r>
      <w:r>
        <w:rPr>
          <w:rFonts w:ascii="Times New Roman" w:eastAsia="Times New Roman" w:hAnsi="Times New Roman" w:cs="Times New Roman"/>
        </w:rPr>
        <w:t>as described above,</w:t>
      </w:r>
      <w:r>
        <w:rPr>
          <w:rFonts w:ascii="Times New Roman" w:hAnsi="Times New Roman" w:cs="Times New Roman"/>
        </w:rPr>
        <w:t xml:space="preserve"> for the base contract. </w:t>
      </w:r>
    </w:p>
    <w:p w14:paraId="7765E139" w14:textId="77777777" w:rsidR="008A7F4A" w:rsidRDefault="008A7F4A" w:rsidP="008A7F4A">
      <w:pPr>
        <w:autoSpaceDE w:val="0"/>
        <w:autoSpaceDN w:val="0"/>
        <w:adjustRightInd w:val="0"/>
        <w:spacing w:after="0" w:line="240" w:lineRule="auto"/>
        <w:rPr>
          <w:rFonts w:ascii="Times New Roman" w:hAnsi="Times New Roman" w:cs="Times New Roman"/>
        </w:rPr>
      </w:pPr>
    </w:p>
    <w:p w14:paraId="1A7E34BB" w14:textId="77777777" w:rsidR="008A7F4A"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rPr>
      </w:pPr>
      <w:commentRangeStart w:id="41"/>
      <w:r>
        <w:rPr>
          <w:rFonts w:ascii="Times New Roman" w:hAnsi="Times New Roman" w:cs="Times New Roman"/>
          <w:b/>
          <w:bCs/>
        </w:rPr>
        <w:t>Guidance Note</w:t>
      </w:r>
      <w:commentRangeEnd w:id="41"/>
      <w:r w:rsidR="007E7250">
        <w:rPr>
          <w:rStyle w:val="CommentReference"/>
        </w:rPr>
        <w:commentReference w:id="41"/>
      </w:r>
      <w:r>
        <w:rPr>
          <w:rFonts w:ascii="Times New Roman" w:hAnsi="Times New Roman" w:cs="Times New Roman"/>
        </w:rPr>
        <w:t>: The intention of contracts that pass the stochastic exclusion test is to provide the option to value contracts under VM-A and VM-C. This may apply to pre-PBR CARVM requirements in accordance with Actuarial Guideline XXXIII (AG33) methodology with type A, B, C rates for SPIAs issued before 2018; AG33 methodology with pre-PBR VM-22 rates for SPIAs issued on/after 2018; Actuarial Guideline XXXV (AG35) pre-PBR methodology for Fixed Indexed Annuities; and AG33 methodology (with interest rate updates for modernization initiatives on new contracts) for non-SPIAs.</w:t>
      </w:r>
    </w:p>
    <w:p w14:paraId="76B9A87F" w14:textId="77777777" w:rsidR="008A7F4A" w:rsidRDefault="008A7F4A" w:rsidP="008A7F4A">
      <w:pPr>
        <w:autoSpaceDE w:val="0"/>
        <w:autoSpaceDN w:val="0"/>
        <w:adjustRightInd w:val="0"/>
        <w:spacing w:after="0" w:line="240" w:lineRule="auto"/>
        <w:rPr>
          <w:rFonts w:ascii="Times New Roman" w:hAnsi="Times New Roman" w:cs="Times New Roman"/>
        </w:rPr>
      </w:pPr>
    </w:p>
    <w:p w14:paraId="4B8203AD" w14:textId="77777777" w:rsidR="008A7F4A" w:rsidRDefault="008A7F4A" w:rsidP="00745C9A">
      <w:pPr>
        <w:pStyle w:val="ListParagraph"/>
        <w:numPr>
          <w:ilvl w:val="0"/>
          <w:numId w:val="81"/>
        </w:numPr>
        <w:autoSpaceDE w:val="0"/>
        <w:autoSpaceDN w:val="0"/>
        <w:adjustRightInd w:val="0"/>
        <w:spacing w:after="0" w:line="240" w:lineRule="auto"/>
        <w:rPr>
          <w:rFonts w:ascii="Times New Roman" w:hAnsi="Times New Roman" w:cs="Times New Roman"/>
        </w:rPr>
      </w:pPr>
      <w:commentRangeStart w:id="42"/>
      <w:r>
        <w:rPr>
          <w:rFonts w:ascii="Times New Roman" w:hAnsi="Times New Roman" w:cs="Times New Roman"/>
        </w:rPr>
        <w:t>The</w:t>
      </w:r>
      <w:commentRangeEnd w:id="42"/>
      <w:r w:rsidR="007E7250">
        <w:rPr>
          <w:rStyle w:val="CommentReference"/>
        </w:rPr>
        <w:commentReference w:id="42"/>
      </w:r>
      <w:r>
        <w:rPr>
          <w:rFonts w:ascii="Times New Roman" w:hAnsi="Times New Roman" w:cs="Times New Roman"/>
        </w:rPr>
        <w:t xml:space="preserve"> approach for grouping contracts when performing the exclusion tests should follow the same principles that underlie the aggregation approach for model segments discussed for Stochastic Reserves in Section D above.</w:t>
      </w:r>
    </w:p>
    <w:p w14:paraId="55D3E148" w14:textId="77777777" w:rsidR="008A7F4A" w:rsidRDefault="008A7F4A" w:rsidP="008A7F4A">
      <w:pPr>
        <w:autoSpaceDE w:val="0"/>
        <w:autoSpaceDN w:val="0"/>
        <w:adjustRightInd w:val="0"/>
        <w:spacing w:after="0" w:line="240" w:lineRule="auto"/>
        <w:rPr>
          <w:rFonts w:ascii="Times New Roman" w:hAnsi="Times New Roman" w:cs="Times New Roman"/>
        </w:rPr>
      </w:pPr>
    </w:p>
    <w:p w14:paraId="3C767467" w14:textId="77777777" w:rsidR="008A7F4A" w:rsidRDefault="008A7F4A" w:rsidP="008A7F4A">
      <w:pPr>
        <w:pStyle w:val="Heading2"/>
        <w:rPr>
          <w:sz w:val="22"/>
          <w:szCs w:val="22"/>
        </w:rPr>
      </w:pPr>
      <w:bookmarkStart w:id="43" w:name="_Toc77242138"/>
      <w:r>
        <w:rPr>
          <w:sz w:val="22"/>
          <w:szCs w:val="22"/>
        </w:rPr>
        <w:t xml:space="preserve">F. </w:t>
      </w:r>
      <w:commentRangeStart w:id="44"/>
      <w:r>
        <w:rPr>
          <w:sz w:val="22"/>
          <w:szCs w:val="22"/>
        </w:rPr>
        <w:t>Allocation</w:t>
      </w:r>
      <w:commentRangeEnd w:id="44"/>
      <w:r w:rsidR="007E7250">
        <w:rPr>
          <w:rStyle w:val="CommentReference"/>
          <w:rFonts w:asciiTheme="minorHAnsi" w:eastAsiaTheme="minorHAnsi" w:hAnsiTheme="minorHAnsi" w:cstheme="minorBidi"/>
          <w:color w:val="auto"/>
        </w:rPr>
        <w:commentReference w:id="44"/>
      </w:r>
      <w:r>
        <w:rPr>
          <w:sz w:val="22"/>
          <w:szCs w:val="22"/>
        </w:rPr>
        <w:t xml:space="preserve"> of the Aggregate Reserve to Contracts</w:t>
      </w:r>
      <w:bookmarkEnd w:id="43"/>
      <w:r>
        <w:rPr>
          <w:sz w:val="22"/>
          <w:szCs w:val="22"/>
        </w:rPr>
        <w:t xml:space="preserve"> </w:t>
      </w:r>
    </w:p>
    <w:p w14:paraId="275C66D1" w14:textId="77777777" w:rsidR="008A7F4A" w:rsidRDefault="008A7F4A" w:rsidP="008A7F4A">
      <w:pPr>
        <w:autoSpaceDE w:val="0"/>
        <w:autoSpaceDN w:val="0"/>
        <w:adjustRightInd w:val="0"/>
        <w:spacing w:after="0" w:line="240" w:lineRule="auto"/>
        <w:rPr>
          <w:rFonts w:ascii="Times New Roman" w:hAnsi="Times New Roman" w:cs="Times New Roman"/>
        </w:rPr>
      </w:pPr>
    </w:p>
    <w:p w14:paraId="1EE119C6" w14:textId="77777777" w:rsidR="008A7F4A" w:rsidRDefault="008A7F4A" w:rsidP="008A7F4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The aggregate reserve shall be allocated to the contracts falling within the scope of these requirements using the method outlined in Section 12. </w:t>
      </w:r>
    </w:p>
    <w:p w14:paraId="3CA67D19" w14:textId="77777777" w:rsidR="008A7F4A" w:rsidRDefault="008A7F4A" w:rsidP="008A7F4A">
      <w:pPr>
        <w:autoSpaceDE w:val="0"/>
        <w:autoSpaceDN w:val="0"/>
        <w:adjustRightInd w:val="0"/>
        <w:spacing w:after="0" w:line="240" w:lineRule="auto"/>
        <w:rPr>
          <w:rFonts w:ascii="Times New Roman" w:hAnsi="Times New Roman" w:cs="Times New Roman"/>
        </w:rPr>
      </w:pPr>
    </w:p>
    <w:p w14:paraId="5A19FC73" w14:textId="77777777" w:rsidR="008A7F4A" w:rsidRDefault="008A7F4A" w:rsidP="00745C9A">
      <w:pPr>
        <w:pStyle w:val="Heading2"/>
        <w:numPr>
          <w:ilvl w:val="2"/>
          <w:numId w:val="82"/>
        </w:numPr>
        <w:ind w:left="270" w:hanging="270"/>
      </w:pPr>
      <w:bookmarkStart w:id="45" w:name="_Toc77242139"/>
      <w:commentRangeStart w:id="46"/>
      <w:r>
        <w:rPr>
          <w:sz w:val="22"/>
          <w:szCs w:val="22"/>
        </w:rPr>
        <w:t>Prudent</w:t>
      </w:r>
      <w:commentRangeEnd w:id="46"/>
      <w:r w:rsidR="007E7250">
        <w:rPr>
          <w:rStyle w:val="CommentReference"/>
          <w:rFonts w:asciiTheme="minorHAnsi" w:eastAsiaTheme="minorHAnsi" w:hAnsiTheme="minorHAnsi" w:cstheme="minorBidi"/>
          <w:color w:val="auto"/>
        </w:rPr>
        <w:commentReference w:id="46"/>
      </w:r>
      <w:r>
        <w:rPr>
          <w:sz w:val="22"/>
          <w:szCs w:val="22"/>
        </w:rPr>
        <w:t xml:space="preserve"> Estimate Assumptions</w:t>
      </w:r>
      <w:r>
        <w:t>:</w:t>
      </w:r>
      <w:bookmarkEnd w:id="45"/>
    </w:p>
    <w:p w14:paraId="31F6B5D9" w14:textId="77777777" w:rsidR="008A7F4A" w:rsidRDefault="008A7F4A" w:rsidP="008A7F4A">
      <w:pPr>
        <w:pStyle w:val="ListParagraph"/>
        <w:rPr>
          <w:rFonts w:ascii="Times New Roman" w:hAnsi="Times New Roman"/>
          <w:color w:val="FF0000"/>
        </w:rPr>
      </w:pPr>
    </w:p>
    <w:p w14:paraId="60AB1927" w14:textId="77777777" w:rsidR="008A7F4A" w:rsidRDefault="008A7F4A" w:rsidP="00745C9A">
      <w:pPr>
        <w:pStyle w:val="ListParagraph"/>
        <w:numPr>
          <w:ilvl w:val="0"/>
          <w:numId w:val="83"/>
        </w:numPr>
        <w:spacing w:after="160" w:line="256" w:lineRule="auto"/>
        <w:ind w:left="1440" w:hanging="720"/>
        <w:rPr>
          <w:rFonts w:ascii="Times New Roman" w:hAnsi="Times New Roman"/>
          <w:color w:val="FF0000"/>
        </w:rPr>
      </w:pPr>
      <w:r>
        <w:rPr>
          <w:rFonts w:ascii="Times New Roman" w:eastAsia="Times New Roman" w:hAnsi="Times New Roman"/>
        </w:rPr>
        <w:t>With respect to the Stochastic Reserve in Section 3.C, the company shall establish the prudent estimate assumption for each risk factor in compliance with the requirements in Section 12 of Model #820 and must periodically review and update the assumptions as appropriate in accordance with these requirements.</w:t>
      </w:r>
    </w:p>
    <w:p w14:paraId="1EF0C669" w14:textId="77777777" w:rsidR="008A7F4A" w:rsidRDefault="008A7F4A" w:rsidP="008A7F4A">
      <w:pPr>
        <w:pStyle w:val="ListParagraph"/>
        <w:ind w:left="1080" w:hanging="720"/>
        <w:rPr>
          <w:rFonts w:ascii="Times New Roman" w:hAnsi="Times New Roman"/>
          <w:color w:val="FF0000"/>
        </w:rPr>
      </w:pPr>
    </w:p>
    <w:p w14:paraId="15F86A70" w14:textId="77777777" w:rsidR="008A7F4A" w:rsidRDefault="008A7F4A" w:rsidP="00745C9A">
      <w:pPr>
        <w:pStyle w:val="ListParagraph"/>
        <w:numPr>
          <w:ilvl w:val="0"/>
          <w:numId w:val="83"/>
        </w:numPr>
        <w:spacing w:after="160" w:line="256" w:lineRule="auto"/>
        <w:ind w:left="1440" w:hanging="720"/>
        <w:rPr>
          <w:rFonts w:ascii="Times New Roman" w:hAnsi="Times New Roman"/>
          <w:color w:val="FF0000"/>
        </w:rPr>
      </w:pPr>
      <w:r>
        <w:rPr>
          <w:rFonts w:ascii="Times New Roman" w:eastAsia="Times New Roman" w:hAnsi="Times New Roman"/>
        </w:rPr>
        <w:t xml:space="preserve">The qualified actuary, to whom responsibility for this group of </w:t>
      </w:r>
      <w:r>
        <w:rPr>
          <w:rFonts w:ascii="Times New Roman" w:hAnsi="Times New Roman" w:cs="Times New Roman"/>
        </w:rPr>
        <w:t>contracts</w:t>
      </w:r>
      <w:r>
        <w:rPr>
          <w:rFonts w:ascii="Times New Roman" w:eastAsia="Times New Roman" w:hAnsi="Times New Roman"/>
        </w:rPr>
        <w:t xml:space="preserve"> is assigned, shall annually review relevant emerging experience for the purpose of assessing the appropriateness of the anticipated experience assumption. </w:t>
      </w:r>
      <w:commentRangeStart w:id="47"/>
      <w:r>
        <w:rPr>
          <w:rFonts w:ascii="Times New Roman" w:eastAsia="Times New Roman" w:hAnsi="Times New Roman"/>
        </w:rPr>
        <w:t>If the results of statistical testing</w:t>
      </w:r>
      <w:commentRangeEnd w:id="47"/>
      <w:r w:rsidR="007E7250">
        <w:rPr>
          <w:rStyle w:val="CommentReference"/>
        </w:rPr>
        <w:commentReference w:id="47"/>
      </w:r>
      <w:r>
        <w:rPr>
          <w:rFonts w:ascii="Times New Roman" w:eastAsia="Times New Roman" w:hAnsi="Times New Roman"/>
        </w:rPr>
        <w:t xml:space="preserve"> or other testing indicate that previously anticipated experience for a given factor is inadequate, then the qualified actuary shall set a new, adequate, anticipated experience assumption for the factor.</w:t>
      </w:r>
    </w:p>
    <w:p w14:paraId="7617F851" w14:textId="77777777" w:rsidR="008A7F4A" w:rsidRDefault="008A7F4A" w:rsidP="008A7F4A">
      <w:pPr>
        <w:pStyle w:val="ListParagraph"/>
        <w:rPr>
          <w:rFonts w:ascii="Times New Roman" w:hAnsi="Times New Roman"/>
          <w:color w:val="FF0000"/>
        </w:rPr>
      </w:pPr>
    </w:p>
    <w:p w14:paraId="109E2D05" w14:textId="77777777" w:rsidR="008A7F4A" w:rsidRDefault="008A7F4A" w:rsidP="00745C9A">
      <w:pPr>
        <w:pStyle w:val="ListParagraph"/>
        <w:numPr>
          <w:ilvl w:val="0"/>
          <w:numId w:val="83"/>
        </w:numPr>
        <w:spacing w:after="160" w:line="256" w:lineRule="auto"/>
        <w:ind w:left="1440" w:hanging="720"/>
        <w:rPr>
          <w:rFonts w:ascii="Times New Roman" w:hAnsi="Times New Roman" w:cs="Times New Roman"/>
        </w:rPr>
      </w:pPr>
      <w:r>
        <w:rPr>
          <w:rFonts w:ascii="Times New Roman" w:hAnsi="Times New Roman"/>
        </w:rPr>
        <w:t>To determine the prudent estimate assumptions, the stochastic reserve shall also follow the requirements in Sections 4 and 9 for asset assumptions, Section 10 for policyholder behavior assumptions, and Section 11 for mortality assumptions.</w:t>
      </w:r>
      <w:r>
        <w:rPr>
          <w:rFonts w:ascii="Times New Roman" w:hAnsi="Times New Roman" w:cs="Times New Roman"/>
        </w:rPr>
        <w:t xml:space="preserve"> </w:t>
      </w:r>
    </w:p>
    <w:p w14:paraId="1F31DA62" w14:textId="77777777" w:rsidR="008A7F4A" w:rsidRDefault="008A7F4A" w:rsidP="008A7F4A">
      <w:pPr>
        <w:autoSpaceDE w:val="0"/>
        <w:autoSpaceDN w:val="0"/>
        <w:adjustRightInd w:val="0"/>
        <w:spacing w:after="0" w:line="240" w:lineRule="auto"/>
        <w:rPr>
          <w:rFonts w:ascii="Times New Roman" w:hAnsi="Times New Roman" w:cs="Times New Roman"/>
        </w:rPr>
      </w:pPr>
    </w:p>
    <w:p w14:paraId="5693929B" w14:textId="77777777" w:rsidR="008A7F4A" w:rsidRDefault="008A7F4A" w:rsidP="008A7F4A">
      <w:pPr>
        <w:rPr>
          <w:rFonts w:ascii="Times New Roman" w:hAnsi="Times New Roman" w:cs="Times New Roman"/>
        </w:rPr>
      </w:pPr>
    </w:p>
    <w:p w14:paraId="766C1634" w14:textId="77777777" w:rsidR="008A7F4A" w:rsidRDefault="008A7F4A" w:rsidP="008A7F4A">
      <w:pPr>
        <w:rPr>
          <w:rFonts w:ascii="Times New Roman" w:hAnsi="Times New Roman" w:cs="Times New Roman"/>
        </w:rPr>
      </w:pPr>
      <w:r>
        <w:rPr>
          <w:rFonts w:ascii="Times New Roman" w:hAnsi="Times New Roman" w:cs="Times New Roman"/>
        </w:rPr>
        <w:lastRenderedPageBreak/>
        <w:br w:type="page"/>
      </w:r>
    </w:p>
    <w:p w14:paraId="2B9CB730" w14:textId="77777777" w:rsidR="008A7F4A" w:rsidRDefault="008A7F4A" w:rsidP="008A7F4A">
      <w:pPr>
        <w:rPr>
          <w:rFonts w:ascii="Times New Roman" w:hAnsi="Times New Roman" w:cs="Times New Roman"/>
        </w:rPr>
      </w:pPr>
    </w:p>
    <w:p w14:paraId="362C6E4D" w14:textId="77777777" w:rsidR="008A7F4A" w:rsidRDefault="008A7F4A" w:rsidP="008A7F4A">
      <w:pPr>
        <w:pStyle w:val="Heading1"/>
        <w:spacing w:line="240" w:lineRule="auto"/>
        <w:rPr>
          <w:sz w:val="24"/>
          <w:szCs w:val="24"/>
        </w:rPr>
      </w:pPr>
      <w:bookmarkStart w:id="48" w:name="_Toc77242140"/>
      <w:r>
        <w:rPr>
          <w:sz w:val="24"/>
          <w:szCs w:val="24"/>
        </w:rPr>
        <w:t>Section 4: Determination of Stochastic Reserve</w:t>
      </w:r>
      <w:bookmarkEnd w:id="48"/>
    </w:p>
    <w:p w14:paraId="61904CD9" w14:textId="77777777" w:rsidR="008A7F4A" w:rsidRDefault="008A7F4A" w:rsidP="008A7F4A">
      <w:pPr>
        <w:pStyle w:val="Heading2"/>
        <w:ind w:left="720"/>
        <w:rPr>
          <w:sz w:val="22"/>
          <w:szCs w:val="22"/>
        </w:rPr>
      </w:pPr>
    </w:p>
    <w:p w14:paraId="77E1089B" w14:textId="77777777" w:rsidR="008A7F4A" w:rsidRDefault="008A7F4A" w:rsidP="00745C9A">
      <w:pPr>
        <w:pStyle w:val="Heading2"/>
        <w:numPr>
          <w:ilvl w:val="0"/>
          <w:numId w:val="84"/>
        </w:numPr>
        <w:rPr>
          <w:sz w:val="22"/>
          <w:szCs w:val="22"/>
        </w:rPr>
      </w:pPr>
      <w:bookmarkStart w:id="49" w:name="_Toc77242141"/>
      <w:r>
        <w:rPr>
          <w:sz w:val="22"/>
          <w:szCs w:val="22"/>
        </w:rPr>
        <w:t>Projection of Accumulated Deficiencies</w:t>
      </w:r>
      <w:bookmarkEnd w:id="49"/>
    </w:p>
    <w:p w14:paraId="0F14121B" w14:textId="77777777" w:rsidR="008A7F4A" w:rsidRDefault="008A7F4A" w:rsidP="008A7F4A">
      <w:pPr>
        <w:spacing w:after="0"/>
        <w:rPr>
          <w:rFonts w:ascii="Times" w:eastAsia="Times New Roman" w:hAnsi="Times" w:cs="Times New Roman"/>
        </w:rPr>
      </w:pPr>
    </w:p>
    <w:p w14:paraId="10074996" w14:textId="77777777" w:rsidR="008A7F4A" w:rsidRDefault="008A7F4A" w:rsidP="00745C9A">
      <w:pPr>
        <w:pStyle w:val="ListParagraph"/>
        <w:numPr>
          <w:ilvl w:val="0"/>
          <w:numId w:val="85"/>
        </w:numPr>
        <w:spacing w:after="0" w:line="240" w:lineRule="auto"/>
        <w:ind w:left="1440" w:hanging="720"/>
        <w:rPr>
          <w:rFonts w:ascii="Times" w:eastAsia="Times New Roman" w:hAnsi="Times" w:cs="Times New Roman"/>
        </w:rPr>
      </w:pPr>
      <w:r>
        <w:rPr>
          <w:rFonts w:ascii="Times" w:eastAsia="Times New Roman" w:hAnsi="Times" w:cs="Times New Roman"/>
        </w:rPr>
        <w:t xml:space="preserve">General Description of Projection </w:t>
      </w:r>
    </w:p>
    <w:p w14:paraId="029EC6AE" w14:textId="77777777" w:rsidR="008A7F4A" w:rsidRDefault="008A7F4A" w:rsidP="008A7F4A">
      <w:pPr>
        <w:pStyle w:val="ListParagraph"/>
        <w:rPr>
          <w:rFonts w:ascii="Times" w:eastAsia="Times New Roman" w:hAnsi="Times" w:cs="Times New Roman"/>
        </w:rPr>
      </w:pPr>
    </w:p>
    <w:p w14:paraId="2038A3C1" w14:textId="77777777" w:rsidR="008A7F4A" w:rsidRDefault="008A7F4A" w:rsidP="008A7F4A">
      <w:pPr>
        <w:pStyle w:val="ListParagraph"/>
        <w:ind w:left="1440"/>
        <w:jc w:val="both"/>
        <w:rPr>
          <w:rFonts w:ascii="Times New Roman" w:hAnsi="Times New Roman" w:cs="Times New Roman"/>
        </w:rPr>
      </w:pPr>
      <w:r>
        <w:rPr>
          <w:rFonts w:ascii="Times" w:eastAsia="Times New Roman" w:hAnsi="Times" w:cs="Times New Roman"/>
        </w:rPr>
        <w:t>The projection of accumulated deficiencies shall be made ignoring federal income tax in both cash flows and discount rates, and it shall reflect the dynamics of the expected cash flows for the entire group of contracts, reflecting all product features, including any guarantees provided under the contracts using prudent estimate liability assumptions defined in Sections 10 and 11 and asset assumptions defined in Section 4.D</w:t>
      </w:r>
      <w:r>
        <w:rPr>
          <w:rFonts w:ascii="Times New Roman" w:eastAsia="Times New Roman" w:hAnsi="Times New Roman" w:cs="Times New Roman"/>
        </w:rPr>
        <w:t xml:space="preserve">. </w:t>
      </w:r>
      <w:r>
        <w:rPr>
          <w:rFonts w:ascii="Times New Roman" w:hAnsi="Times New Roman" w:cs="Times New Roman"/>
        </w:rPr>
        <w:t>The company shall project cash flows including the following:</w:t>
      </w:r>
    </w:p>
    <w:p w14:paraId="37EEF2D7" w14:textId="77777777" w:rsidR="008A7F4A" w:rsidRDefault="008A7F4A" w:rsidP="008A7F4A">
      <w:pPr>
        <w:pStyle w:val="ListParagraph"/>
        <w:ind w:left="1440"/>
        <w:jc w:val="both"/>
        <w:rPr>
          <w:rFonts w:ascii="Times New Roman" w:hAnsi="Times New Roman" w:cs="Times New Roman"/>
          <w:sz w:val="12"/>
          <w:szCs w:val="12"/>
        </w:rPr>
      </w:pPr>
    </w:p>
    <w:p w14:paraId="64E6F6C6" w14:textId="77777777" w:rsidR="008A7F4A" w:rsidRDefault="008A7F4A" w:rsidP="00745C9A">
      <w:pPr>
        <w:pStyle w:val="ListParagraph"/>
        <w:numPr>
          <w:ilvl w:val="0"/>
          <w:numId w:val="86"/>
        </w:numPr>
        <w:ind w:hanging="720"/>
        <w:jc w:val="both"/>
        <w:rPr>
          <w:rFonts w:ascii="Times" w:eastAsia="Times New Roman" w:hAnsi="Times" w:cs="Times New Roman"/>
        </w:rPr>
      </w:pPr>
      <w:r>
        <w:rPr>
          <w:rFonts w:ascii="Times" w:eastAsia="Times New Roman" w:hAnsi="Times" w:cs="Times New Roman"/>
        </w:rPr>
        <w:t>Revenues received by the company including gross premiums received from the policyholder (including any due premiums as of the projected start date).</w:t>
      </w:r>
    </w:p>
    <w:p w14:paraId="0B95ED83" w14:textId="77777777" w:rsidR="008A7F4A" w:rsidRDefault="008A7F4A" w:rsidP="008A7F4A">
      <w:pPr>
        <w:pStyle w:val="ListParagraph"/>
        <w:ind w:left="2160"/>
        <w:jc w:val="both"/>
        <w:rPr>
          <w:rFonts w:ascii="Times" w:eastAsia="Times New Roman" w:hAnsi="Times" w:cs="Times New Roman"/>
          <w:sz w:val="12"/>
          <w:szCs w:val="12"/>
        </w:rPr>
      </w:pPr>
    </w:p>
    <w:p w14:paraId="11C57D6E" w14:textId="77777777" w:rsidR="008A7F4A" w:rsidRDefault="008A7F4A" w:rsidP="00745C9A">
      <w:pPr>
        <w:pStyle w:val="ListParagraph"/>
        <w:numPr>
          <w:ilvl w:val="0"/>
          <w:numId w:val="86"/>
        </w:numPr>
        <w:ind w:hanging="720"/>
        <w:jc w:val="both"/>
        <w:rPr>
          <w:rFonts w:ascii="Times" w:eastAsia="Times New Roman" w:hAnsi="Times" w:cs="Times New Roman"/>
        </w:rPr>
      </w:pPr>
      <w:r>
        <w:rPr>
          <w:rFonts w:ascii="Times" w:eastAsia="Times New Roman" w:hAnsi="Times" w:cs="Times New Roman"/>
        </w:rPr>
        <w:t>All material benefits projected to be paid to policyholders—including, but not limited to, death claims, surrender benefits and withdrawal benefits—reflecting the impact of all guarantees and adjusted to take into account amounts projected to be charged to account values on general account business. Any guarantees, in addition to market value adjustments assessed on projected withdrawals or surrenders, shall be taken into account.</w:t>
      </w:r>
    </w:p>
    <w:p w14:paraId="60699956" w14:textId="77777777" w:rsidR="008A7F4A" w:rsidRDefault="008A7F4A" w:rsidP="008A7F4A">
      <w:pPr>
        <w:pBdr>
          <w:top w:val="single" w:sz="4" w:space="1" w:color="auto"/>
          <w:left w:val="single" w:sz="4" w:space="4" w:color="auto"/>
          <w:bottom w:val="single" w:sz="4" w:space="1" w:color="auto"/>
          <w:right w:val="single" w:sz="4" w:space="4" w:color="auto"/>
        </w:pBdr>
        <w:ind w:left="1440"/>
        <w:jc w:val="both"/>
        <w:rPr>
          <w:rFonts w:ascii="Times" w:eastAsia="Times New Roman" w:hAnsi="Times" w:cs="Times New Roman"/>
        </w:rPr>
      </w:pPr>
      <w:commentRangeStart w:id="50"/>
      <w:r>
        <w:rPr>
          <w:rFonts w:ascii="Times" w:eastAsia="Times New Roman" w:hAnsi="Times" w:cs="Times New Roman"/>
          <w:b/>
          <w:bCs/>
        </w:rPr>
        <w:t>Guidance</w:t>
      </w:r>
      <w:commentRangeEnd w:id="50"/>
      <w:r w:rsidR="007E7250">
        <w:rPr>
          <w:rStyle w:val="CommentReference"/>
        </w:rPr>
        <w:commentReference w:id="50"/>
      </w:r>
      <w:r>
        <w:rPr>
          <w:rFonts w:ascii="Times" w:eastAsia="Times New Roman" w:hAnsi="Times" w:cs="Times New Roman"/>
          <w:b/>
          <w:bCs/>
        </w:rPr>
        <w:t xml:space="preserve"> Note:</w:t>
      </w:r>
      <w:r>
        <w:rPr>
          <w:rFonts w:ascii="Times" w:eastAsia="Times New Roman" w:hAnsi="Times" w:cs="Times New Roman"/>
        </w:rPr>
        <w:t xml:space="preserve"> Amounts charged to account values on general account business are not revenue; examples include rider charges and expense charges.</w:t>
      </w:r>
    </w:p>
    <w:p w14:paraId="4E2C50CF" w14:textId="77777777" w:rsidR="008A7F4A" w:rsidRDefault="008A7F4A" w:rsidP="00745C9A">
      <w:pPr>
        <w:pStyle w:val="ListParagraph"/>
        <w:numPr>
          <w:ilvl w:val="0"/>
          <w:numId w:val="86"/>
        </w:numPr>
        <w:ind w:hanging="720"/>
        <w:jc w:val="both"/>
        <w:rPr>
          <w:rFonts w:ascii="Times" w:eastAsia="Times New Roman" w:hAnsi="Times" w:cs="Times New Roman"/>
        </w:rPr>
      </w:pPr>
      <w:r>
        <w:rPr>
          <w:rFonts w:ascii="Times" w:eastAsia="Times New Roman" w:hAnsi="Times" w:cs="Times New Roman"/>
        </w:rPr>
        <w:t>Non-Guaranteed Elements (NGE) cash flows as described in Section 10.J.</w:t>
      </w:r>
    </w:p>
    <w:p w14:paraId="1524E381" w14:textId="77777777" w:rsidR="008A7F4A" w:rsidRDefault="008A7F4A" w:rsidP="008A7F4A">
      <w:pPr>
        <w:pStyle w:val="ListParagraph"/>
        <w:ind w:left="2160"/>
        <w:jc w:val="both"/>
        <w:rPr>
          <w:rFonts w:ascii="Times" w:eastAsia="Times New Roman" w:hAnsi="Times" w:cs="Times New Roman"/>
          <w:sz w:val="12"/>
          <w:szCs w:val="12"/>
        </w:rPr>
      </w:pPr>
    </w:p>
    <w:p w14:paraId="43387839" w14:textId="77777777" w:rsidR="008A7F4A" w:rsidRDefault="008A7F4A" w:rsidP="00745C9A">
      <w:pPr>
        <w:pStyle w:val="ListParagraph"/>
        <w:numPr>
          <w:ilvl w:val="0"/>
          <w:numId w:val="86"/>
        </w:numPr>
        <w:ind w:hanging="720"/>
        <w:jc w:val="both"/>
        <w:rPr>
          <w:rFonts w:ascii="Times" w:eastAsia="Times New Roman" w:hAnsi="Times" w:cs="Times New Roman"/>
        </w:rPr>
      </w:pPr>
      <w:r>
        <w:rPr>
          <w:rFonts w:ascii="Times" w:eastAsia="Times New Roman" w:hAnsi="Times" w:cs="Times New Roman"/>
        </w:rPr>
        <w:t>Insurance company expenses (including overhead and investment expense), commissions, contractual fees and charges, and revenue-sharing income received by the company (net of applicable expenses).</w:t>
      </w:r>
    </w:p>
    <w:p w14:paraId="6868EA90" w14:textId="77777777" w:rsidR="008A7F4A" w:rsidRDefault="008A7F4A" w:rsidP="008A7F4A">
      <w:pPr>
        <w:pStyle w:val="ListParagraph"/>
        <w:ind w:left="2160"/>
        <w:jc w:val="both"/>
        <w:rPr>
          <w:rFonts w:ascii="Times" w:eastAsia="Times New Roman" w:hAnsi="Times" w:cs="Times New Roman"/>
          <w:sz w:val="12"/>
          <w:szCs w:val="12"/>
        </w:rPr>
      </w:pPr>
    </w:p>
    <w:p w14:paraId="1BFB7792" w14:textId="77777777" w:rsidR="008A7F4A" w:rsidRDefault="008A7F4A" w:rsidP="00745C9A">
      <w:pPr>
        <w:pStyle w:val="ListParagraph"/>
        <w:numPr>
          <w:ilvl w:val="0"/>
          <w:numId w:val="86"/>
        </w:numPr>
        <w:ind w:hanging="720"/>
        <w:jc w:val="both"/>
        <w:rPr>
          <w:rFonts w:ascii="Times" w:eastAsia="Times New Roman" w:hAnsi="Times" w:cs="Times New Roman"/>
        </w:rPr>
      </w:pPr>
      <w:r>
        <w:rPr>
          <w:rFonts w:ascii="Times" w:eastAsia="Times New Roman" w:hAnsi="Times" w:cs="Times New Roman"/>
        </w:rPr>
        <w:t>Net cash flows associated with any reinsurance.</w:t>
      </w:r>
    </w:p>
    <w:p w14:paraId="1926ED0A" w14:textId="77777777" w:rsidR="008A7F4A" w:rsidRDefault="008A7F4A" w:rsidP="008A7F4A">
      <w:pPr>
        <w:pStyle w:val="ListParagraph"/>
        <w:ind w:left="2160"/>
        <w:jc w:val="both"/>
        <w:rPr>
          <w:rFonts w:ascii="Times" w:eastAsia="Times New Roman" w:hAnsi="Times" w:cs="Times New Roman"/>
          <w:sz w:val="12"/>
          <w:szCs w:val="12"/>
        </w:rPr>
      </w:pPr>
    </w:p>
    <w:p w14:paraId="056059AD" w14:textId="77777777" w:rsidR="008A7F4A" w:rsidRDefault="008A7F4A" w:rsidP="00745C9A">
      <w:pPr>
        <w:pStyle w:val="ListParagraph"/>
        <w:numPr>
          <w:ilvl w:val="0"/>
          <w:numId w:val="86"/>
        </w:numPr>
        <w:ind w:hanging="720"/>
        <w:jc w:val="both"/>
        <w:rPr>
          <w:rFonts w:ascii="Times" w:eastAsia="Times New Roman" w:hAnsi="Times" w:cs="Times New Roman"/>
        </w:rPr>
      </w:pPr>
      <w:r>
        <w:rPr>
          <w:rFonts w:ascii="Times" w:eastAsia="Times New Roman" w:hAnsi="Times" w:cs="Times New Roman"/>
        </w:rPr>
        <w:t>Cash flows from hedging instruments as described in Section 4.A.4.</w:t>
      </w:r>
    </w:p>
    <w:p w14:paraId="5C5CE86F" w14:textId="77777777" w:rsidR="008A7F4A" w:rsidRDefault="008A7F4A" w:rsidP="008A7F4A">
      <w:pPr>
        <w:pStyle w:val="ListParagraph"/>
        <w:ind w:left="2160"/>
        <w:jc w:val="both"/>
        <w:rPr>
          <w:rFonts w:ascii="Times" w:eastAsia="Times New Roman" w:hAnsi="Times" w:cs="Times New Roman"/>
          <w:sz w:val="12"/>
          <w:szCs w:val="12"/>
        </w:rPr>
      </w:pPr>
    </w:p>
    <w:p w14:paraId="734DD911" w14:textId="77777777" w:rsidR="008A7F4A" w:rsidRDefault="008A7F4A" w:rsidP="00745C9A">
      <w:pPr>
        <w:pStyle w:val="ListParagraph"/>
        <w:numPr>
          <w:ilvl w:val="0"/>
          <w:numId w:val="86"/>
        </w:numPr>
        <w:ind w:hanging="720"/>
        <w:jc w:val="both"/>
        <w:rPr>
          <w:rFonts w:ascii="Times" w:eastAsia="Times New Roman" w:hAnsi="Times" w:cs="Times New Roman"/>
        </w:rPr>
      </w:pPr>
      <w:r>
        <w:rPr>
          <w:rFonts w:ascii="Times" w:eastAsia="Times New Roman" w:hAnsi="Times" w:cs="Times New Roman"/>
        </w:rPr>
        <w:t>Cash receipts or disbursements associated with invested assets (other than policy loans) as described in Section 4.D.4, including investment income, realized capital gains and losses, principal repayments, asset default costs, investment expenses, asset prepayments, and asset sales.</w:t>
      </w:r>
    </w:p>
    <w:p w14:paraId="0C8D4CDA" w14:textId="77777777" w:rsidR="008A7F4A" w:rsidRDefault="008A7F4A" w:rsidP="008A7F4A">
      <w:pPr>
        <w:pStyle w:val="ListParagraph"/>
        <w:ind w:left="2160" w:hanging="720"/>
        <w:rPr>
          <w:rFonts w:ascii="Times New Roman" w:hAnsi="Times New Roman" w:cs="Times New Roman"/>
          <w:sz w:val="12"/>
          <w:szCs w:val="12"/>
        </w:rPr>
      </w:pPr>
    </w:p>
    <w:p w14:paraId="23C9FB6C" w14:textId="77777777" w:rsidR="008A7F4A" w:rsidRDefault="008A7F4A" w:rsidP="00745C9A">
      <w:pPr>
        <w:pStyle w:val="ListParagraph"/>
        <w:numPr>
          <w:ilvl w:val="0"/>
          <w:numId w:val="86"/>
        </w:numPr>
        <w:ind w:hanging="720"/>
        <w:jc w:val="both"/>
        <w:rPr>
          <w:rFonts w:ascii="Times New Roman" w:hAnsi="Times New Roman" w:cs="Times New Roman"/>
        </w:rPr>
      </w:pPr>
      <w:r>
        <w:rPr>
          <w:rFonts w:ascii="Times New Roman" w:hAnsi="Times New Roman" w:cs="Times New Roman"/>
        </w:rPr>
        <w:t xml:space="preserve">If modeled explicitly, cash flows related to policy loans as described in Section 10.I.2, including interest income, new loan payments and principal repayments. </w:t>
      </w:r>
    </w:p>
    <w:p w14:paraId="16BF28DE" w14:textId="77777777" w:rsidR="008A7F4A" w:rsidRDefault="008A7F4A" w:rsidP="008A7F4A">
      <w:pPr>
        <w:pStyle w:val="ListParagraph"/>
        <w:rPr>
          <w:rFonts w:ascii="Times New Roman" w:hAnsi="Times New Roman" w:cs="Times New Roman"/>
        </w:rPr>
      </w:pPr>
    </w:p>
    <w:p w14:paraId="3E8F7CD4" w14:textId="77777777" w:rsidR="008A7F4A" w:rsidRDefault="008A7F4A" w:rsidP="008A7F4A">
      <w:pPr>
        <w:pStyle w:val="ListParagraph"/>
        <w:pBdr>
          <w:top w:val="single" w:sz="4" w:space="1" w:color="auto"/>
          <w:left w:val="single" w:sz="4" w:space="4" w:color="auto"/>
          <w:bottom w:val="single" w:sz="4" w:space="1" w:color="auto"/>
          <w:right w:val="single" w:sz="4" w:space="4" w:color="auto"/>
        </w:pBdr>
        <w:ind w:left="1440"/>
        <w:jc w:val="both"/>
        <w:rPr>
          <w:rFonts w:ascii="Times New Roman" w:hAnsi="Times New Roman" w:cs="Times New Roman"/>
        </w:rPr>
      </w:pPr>
      <w:r>
        <w:rPr>
          <w:rFonts w:ascii="Times New Roman" w:hAnsi="Times New Roman" w:cs="Times New Roman"/>
          <w:b/>
          <w:bCs/>
        </w:rPr>
        <w:t>Guidance Note:</w:t>
      </w:r>
      <w:r>
        <w:rPr>
          <w:rFonts w:ascii="Times New Roman" w:hAnsi="Times New Roman" w:cs="Times New Roman"/>
        </w:rPr>
        <w:t xml:space="preserve"> Future net policy loan cash flows </w:t>
      </w:r>
      <w:proofErr w:type="gramStart"/>
      <w:r>
        <w:rPr>
          <w:rFonts w:ascii="Times New Roman" w:hAnsi="Times New Roman" w:cs="Times New Roman"/>
        </w:rPr>
        <w:t>include:</w:t>
      </w:r>
      <w:proofErr w:type="gramEnd"/>
      <w:r>
        <w:rPr>
          <w:rFonts w:ascii="Times New Roman" w:hAnsi="Times New Roman" w:cs="Times New Roman"/>
        </w:rPr>
        <w:t xml:space="preserve"> policy loan interest paid in cash plus repayments of policy loan principal, including repayments occurring at death or surrender (note that the future benefits in Section 4.A.1.b are before consideration of policy </w:t>
      </w:r>
      <w:r>
        <w:rPr>
          <w:rFonts w:ascii="Times New Roman" w:hAnsi="Times New Roman" w:cs="Times New Roman"/>
        </w:rPr>
        <w:lastRenderedPageBreak/>
        <w:t xml:space="preserve">loans), less additional policy loan principal (but excluding policy loan interest that is added to the policy loan principal balance). </w:t>
      </w:r>
    </w:p>
    <w:p w14:paraId="21B4A2FD" w14:textId="77777777" w:rsidR="008A7F4A" w:rsidRDefault="008A7F4A" w:rsidP="008A7F4A">
      <w:pPr>
        <w:pStyle w:val="ListParagraph"/>
        <w:ind w:left="0"/>
        <w:jc w:val="both"/>
        <w:rPr>
          <w:rFonts w:ascii="Times" w:eastAsia="Times New Roman" w:hAnsi="Times" w:cs="Times New Roman"/>
        </w:rPr>
      </w:pPr>
    </w:p>
    <w:p w14:paraId="29DD92D0" w14:textId="77777777" w:rsidR="008A7F4A" w:rsidRDefault="008A7F4A" w:rsidP="00745C9A">
      <w:pPr>
        <w:pStyle w:val="ListParagraph"/>
        <w:numPr>
          <w:ilvl w:val="0"/>
          <w:numId w:val="85"/>
        </w:numPr>
        <w:spacing w:after="0" w:line="240" w:lineRule="auto"/>
        <w:ind w:left="1440" w:hanging="720"/>
        <w:rPr>
          <w:rFonts w:ascii="Times" w:eastAsia="Times New Roman" w:hAnsi="Times" w:cs="Times New Roman"/>
        </w:rPr>
      </w:pPr>
      <w:r>
        <w:rPr>
          <w:rFonts w:ascii="Times" w:eastAsia="Times New Roman" w:hAnsi="Times" w:cs="Times New Roman"/>
        </w:rPr>
        <w:t>Grouping of Index Crediting Strategies</w:t>
      </w:r>
    </w:p>
    <w:p w14:paraId="3455F34E" w14:textId="77777777" w:rsidR="008A7F4A" w:rsidRDefault="008A7F4A" w:rsidP="008A7F4A">
      <w:pPr>
        <w:pStyle w:val="ListParagraph"/>
        <w:spacing w:after="0" w:line="240" w:lineRule="auto"/>
        <w:ind w:left="1440"/>
        <w:rPr>
          <w:rFonts w:ascii="Times New Roman" w:eastAsia="Times New Roman" w:hAnsi="Times New Roman" w:cs="Times New Roman"/>
        </w:rPr>
      </w:pPr>
    </w:p>
    <w:p w14:paraId="6063C496" w14:textId="77777777" w:rsidR="008A7F4A" w:rsidRDefault="008A7F4A" w:rsidP="008A7F4A">
      <w:pPr>
        <w:pStyle w:val="Default"/>
        <w:ind w:left="1440"/>
        <w:jc w:val="both"/>
        <w:rPr>
          <w:rFonts w:eastAsia="Times New Roman"/>
          <w:color w:val="auto"/>
          <w:sz w:val="22"/>
          <w:szCs w:val="22"/>
        </w:rPr>
      </w:pPr>
      <w:commentRangeStart w:id="51"/>
      <w:r>
        <w:rPr>
          <w:rFonts w:eastAsia="Times New Roman"/>
          <w:color w:val="auto"/>
          <w:sz w:val="22"/>
          <w:szCs w:val="22"/>
        </w:rPr>
        <w:t xml:space="preserve">Index crediting </w:t>
      </w:r>
      <w:commentRangeEnd w:id="51"/>
      <w:r w:rsidR="005E0ACF">
        <w:rPr>
          <w:rStyle w:val="CommentReference"/>
          <w:rFonts w:asciiTheme="minorHAnsi" w:hAnsiTheme="minorHAnsi" w:cstheme="minorBidi"/>
          <w:color w:val="auto"/>
        </w:rPr>
        <w:commentReference w:id="51"/>
      </w:r>
      <w:r>
        <w:rPr>
          <w:rFonts w:eastAsia="Times New Roman"/>
          <w:color w:val="auto"/>
          <w:sz w:val="22"/>
          <w:szCs w:val="22"/>
        </w:rPr>
        <w:t xml:space="preserve">strategies may be grouped for modeling using an approach that recognizes the investment guidelines and objectives of each index crediting strategy. In assigning each index crediting strategy to a grouping for projection purposes, the fundamental characteristics of the index crediting strategy shall be reflected, and the parameters shall have the appropriate relationship to the stochastically generated projection scenarios described in Section 8. The grouping shall reflect characteristics of the efficient frontier (i.e., returns generally cannot be increased without assuming additional risk). </w:t>
      </w:r>
    </w:p>
    <w:p w14:paraId="6E7992BE" w14:textId="77777777" w:rsidR="008A7F4A" w:rsidRDefault="008A7F4A" w:rsidP="008A7F4A">
      <w:pPr>
        <w:pStyle w:val="Default"/>
        <w:ind w:left="1440"/>
        <w:jc w:val="both"/>
        <w:rPr>
          <w:rFonts w:eastAsia="Times New Roman"/>
          <w:color w:val="auto"/>
          <w:sz w:val="22"/>
          <w:szCs w:val="22"/>
        </w:rPr>
      </w:pPr>
    </w:p>
    <w:p w14:paraId="48FF8493" w14:textId="77777777" w:rsidR="008A7F4A" w:rsidRDefault="008A7F4A" w:rsidP="008A7F4A">
      <w:pPr>
        <w:pStyle w:val="ListParagraph"/>
        <w:ind w:left="1440"/>
        <w:jc w:val="both"/>
        <w:rPr>
          <w:rFonts w:ascii="Times" w:eastAsia="Times New Roman" w:hAnsi="Times" w:cs="Times New Roman"/>
        </w:rPr>
      </w:pPr>
      <w:r>
        <w:rPr>
          <w:rFonts w:ascii="Times New Roman" w:eastAsia="Times New Roman" w:hAnsi="Times New Roman" w:cs="Times New Roman"/>
        </w:rPr>
        <w:t>Index accounts sharing similar index crediting strategies may also be grouped for modeling to an appropriately</w:t>
      </w:r>
      <w:r>
        <w:rPr>
          <w:rFonts w:ascii="Times" w:eastAsia="Times New Roman" w:hAnsi="Times" w:cs="Times New Roman"/>
        </w:rPr>
        <w:t xml:space="preserve"> crafted proxy strategy normally expressed as a linear combination of recognized market indices, sub-</w:t>
      </w:r>
      <w:proofErr w:type="gramStart"/>
      <w:r>
        <w:rPr>
          <w:rFonts w:ascii="Times" w:eastAsia="Times New Roman" w:hAnsi="Times" w:cs="Times New Roman"/>
        </w:rPr>
        <w:t>indices</w:t>
      </w:r>
      <w:proofErr w:type="gramEnd"/>
      <w:r>
        <w:rPr>
          <w:rFonts w:ascii="Times" w:eastAsia="Times New Roman" w:hAnsi="Times" w:cs="Times New Roman"/>
        </w:rPr>
        <w:t xml:space="preserve"> or funds, in order to develop the investment return paths and associated interest crediting. Each index crediting strategy’s specific risk characteristics, associated index parameters, and relationship to the stochastically generated scenarios in Section 8 should be considered before grouping or assigning to a proxy strategy. Grouping and/or development of a proxy strategy may not be done in a manner that intentionally understates the resulting reserve. </w:t>
      </w:r>
    </w:p>
    <w:p w14:paraId="0D8DD77E" w14:textId="77777777" w:rsidR="008A7F4A" w:rsidRDefault="008A7F4A" w:rsidP="00745C9A">
      <w:pPr>
        <w:pStyle w:val="ListParagraph"/>
        <w:numPr>
          <w:ilvl w:val="0"/>
          <w:numId w:val="85"/>
        </w:numPr>
        <w:spacing w:after="0" w:line="240" w:lineRule="auto"/>
        <w:ind w:left="1440" w:hanging="720"/>
        <w:jc w:val="both"/>
        <w:rPr>
          <w:rFonts w:ascii="Times" w:eastAsia="Times New Roman" w:hAnsi="Times" w:cs="Times New Roman"/>
        </w:rPr>
      </w:pPr>
      <w:r>
        <w:rPr>
          <w:rFonts w:ascii="Times" w:eastAsia="Times New Roman" w:hAnsi="Times" w:cs="Times New Roman"/>
        </w:rPr>
        <w:t xml:space="preserve">Model Cells </w:t>
      </w:r>
    </w:p>
    <w:p w14:paraId="1590B952" w14:textId="77777777" w:rsidR="008A7F4A" w:rsidRDefault="008A7F4A" w:rsidP="008A7F4A">
      <w:pPr>
        <w:pStyle w:val="ListParagraph"/>
        <w:jc w:val="both"/>
        <w:rPr>
          <w:rFonts w:ascii="Times" w:eastAsia="Times New Roman" w:hAnsi="Times" w:cs="Times New Roman"/>
        </w:rPr>
      </w:pPr>
    </w:p>
    <w:p w14:paraId="6C222945" w14:textId="77777777" w:rsidR="008A7F4A" w:rsidRDefault="008A7F4A" w:rsidP="008A7F4A">
      <w:pPr>
        <w:pStyle w:val="ListParagraph"/>
        <w:ind w:left="1440"/>
        <w:jc w:val="both"/>
        <w:rPr>
          <w:rFonts w:ascii="Times" w:eastAsia="Times New Roman" w:hAnsi="Times" w:cs="Times New Roman"/>
        </w:rPr>
      </w:pPr>
      <w:r>
        <w:rPr>
          <w:rFonts w:ascii="Times" w:eastAsia="Times New Roman" w:hAnsi="Times" w:cs="Times New Roman"/>
        </w:rPr>
        <w:t xml:space="preserve">Projections may be performed for each contract in force on the date of valuation or by assigning contracts into representative cells of model plans using all characteristics and criteria having a material impact on the size of the reserve. Assigning contracts to model cells may not be done in a manner that intentionally understates the resulting reserve. </w:t>
      </w:r>
    </w:p>
    <w:p w14:paraId="75963BE4" w14:textId="77777777" w:rsidR="008A7F4A" w:rsidRDefault="008A7F4A" w:rsidP="008A7F4A">
      <w:pPr>
        <w:pStyle w:val="ListParagraph"/>
        <w:spacing w:after="0"/>
        <w:ind w:left="1440"/>
        <w:jc w:val="both"/>
        <w:rPr>
          <w:rFonts w:ascii="Times" w:eastAsia="Times New Roman" w:hAnsi="Times" w:cs="Times New Roman"/>
        </w:rPr>
      </w:pPr>
    </w:p>
    <w:p w14:paraId="1F849589" w14:textId="77777777" w:rsidR="008A7F4A" w:rsidRDefault="008A7F4A" w:rsidP="008A7F4A">
      <w:pPr>
        <w:spacing w:after="220"/>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commentRangeStart w:id="52"/>
      <w:r>
        <w:rPr>
          <w:rFonts w:ascii="Times New Roman" w:eastAsia="Times New Roman" w:hAnsi="Times New Roman"/>
        </w:rPr>
        <w:t>Modeling of Hedges</w:t>
      </w:r>
      <w:commentRangeEnd w:id="52"/>
      <w:r w:rsidR="005E0ACF">
        <w:rPr>
          <w:rStyle w:val="CommentReference"/>
        </w:rPr>
        <w:commentReference w:id="52"/>
      </w:r>
    </w:p>
    <w:p w14:paraId="3C697E6A" w14:textId="77777777" w:rsidR="008A7F4A" w:rsidRDefault="008A7F4A" w:rsidP="008A7F4A">
      <w:pPr>
        <w:spacing w:after="220"/>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 xml:space="preserve">For a company that does not have a </w:t>
      </w:r>
      <w:commentRangeStart w:id="53"/>
      <w:r>
        <w:rPr>
          <w:rFonts w:ascii="Times New Roman" w:eastAsia="Times New Roman" w:hAnsi="Times New Roman"/>
        </w:rPr>
        <w:t xml:space="preserve">future hedging program </w:t>
      </w:r>
      <w:commentRangeEnd w:id="53"/>
      <w:r w:rsidR="005E0ACF">
        <w:rPr>
          <w:rStyle w:val="CommentReference"/>
        </w:rPr>
        <w:commentReference w:id="53"/>
      </w:r>
      <w:r>
        <w:rPr>
          <w:rFonts w:ascii="Times New Roman" w:eastAsia="Times New Roman" w:hAnsi="Times New Roman"/>
        </w:rPr>
        <w:t>tied directly to the contracts falling under the scope of VM-22 stochastic reserve requirements:</w:t>
      </w:r>
    </w:p>
    <w:p w14:paraId="36237396" w14:textId="77777777" w:rsidR="008A7F4A" w:rsidRDefault="008A7F4A" w:rsidP="008A7F4A">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The company shall not consider the cash flows from any future hedge purchases or any rebalancing of existing hedge assets in its modeling.</w:t>
      </w:r>
    </w:p>
    <w:p w14:paraId="09161B7C" w14:textId="77777777" w:rsidR="008A7F4A" w:rsidRDefault="008A7F4A" w:rsidP="008A7F4A">
      <w:pPr>
        <w:spacing w:after="220"/>
        <w:ind w:left="2880" w:hanging="720"/>
        <w:jc w:val="both"/>
        <w:rPr>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Existing hedging instruments that are currently held by the company in support of the contracts falling under the scope of these requirements shall be included in the starting assets. The hedge assets may then be considered in one of two ways:</w:t>
      </w:r>
    </w:p>
    <w:p w14:paraId="30291D4B" w14:textId="77777777" w:rsidR="008A7F4A" w:rsidRDefault="008A7F4A" w:rsidP="008A7F4A">
      <w:pPr>
        <w:widowControl w:val="0"/>
        <w:numPr>
          <w:ilvl w:val="0"/>
          <w:numId w:val="14"/>
        </w:numPr>
        <w:tabs>
          <w:tab w:val="left" w:pos="2880"/>
        </w:tabs>
        <w:spacing w:after="220" w:line="240" w:lineRule="auto"/>
        <w:ind w:left="3600" w:hanging="720"/>
        <w:jc w:val="both"/>
        <w:rPr>
          <w:rFonts w:ascii="Times New Roman" w:eastAsia="Times New Roman" w:hAnsi="Times New Roman"/>
          <w:color w:val="E36C0A" w:themeColor="accent6" w:themeShade="BF"/>
        </w:rPr>
      </w:pPr>
      <w:r>
        <w:rPr>
          <w:rFonts w:ascii="Times New Roman" w:eastAsia="Times New Roman" w:hAnsi="Times New Roman"/>
        </w:rPr>
        <w:t>Include the asset cash flows from any contractual payments and maturity values in the projection model; or</w:t>
      </w:r>
    </w:p>
    <w:p w14:paraId="34559765" w14:textId="77777777" w:rsidR="008A7F4A" w:rsidRDefault="008A7F4A" w:rsidP="008A7F4A">
      <w:pPr>
        <w:widowControl w:val="0"/>
        <w:numPr>
          <w:ilvl w:val="0"/>
          <w:numId w:val="15"/>
        </w:numPr>
        <w:spacing w:line="240" w:lineRule="auto"/>
        <w:ind w:left="3600" w:hanging="720"/>
        <w:jc w:val="both"/>
        <w:rPr>
          <w:rFonts w:ascii="Times New Roman" w:eastAsia="Times New Roman" w:hAnsi="Times New Roman"/>
          <w:color w:val="E36C0A" w:themeColor="accent6" w:themeShade="BF"/>
        </w:rPr>
      </w:pPr>
      <w:r>
        <w:rPr>
          <w:rFonts w:ascii="Times New Roman" w:eastAsia="Times New Roman" w:hAnsi="Times New Roman"/>
        </w:rPr>
        <w:t xml:space="preserve">No hedge positions—in which case the hedge positions held on the valuation date are replaced with cash and/or other general account assets in an amount equal to the aggregate market value of these hedge positions. </w:t>
      </w:r>
    </w:p>
    <w:p w14:paraId="529DCCAA" w14:textId="77777777" w:rsidR="008A7F4A" w:rsidRDefault="008A7F4A" w:rsidP="008A7F4A">
      <w:pPr>
        <w:pBdr>
          <w:top w:val="single" w:sz="4" w:space="1" w:color="auto"/>
          <w:left w:val="single" w:sz="4" w:space="4" w:color="auto"/>
          <w:bottom w:val="single" w:sz="4" w:space="1" w:color="auto"/>
          <w:right w:val="single" w:sz="4" w:space="4" w:color="auto"/>
        </w:pBdr>
        <w:spacing w:after="120"/>
        <w:ind w:left="720"/>
        <w:jc w:val="both"/>
        <w:rPr>
          <w:rFonts w:ascii="Times New Roman" w:eastAsia="Times New Roman" w:hAnsi="Times New Roman"/>
        </w:rPr>
      </w:pPr>
      <w:r>
        <w:rPr>
          <w:rFonts w:ascii="Times New Roman" w:eastAsia="Times New Roman" w:hAnsi="Times New Roman"/>
          <w:b/>
        </w:rPr>
        <w:lastRenderedPageBreak/>
        <w:t>Guidance Note:</w:t>
      </w:r>
      <w:r>
        <w:rPr>
          <w:rFonts w:ascii="Times New Roman" w:eastAsia="Times New Roman" w:hAnsi="Times New Roman"/>
        </w:rPr>
        <w:t> If the hedge positions held on the valuation date are replaced with cash, then as with any other cash, such amounts may then be invested following the company’s investment strategy.</w:t>
      </w:r>
    </w:p>
    <w:p w14:paraId="0AC180D5" w14:textId="77777777" w:rsidR="008A7F4A" w:rsidRDefault="008A7F4A" w:rsidP="008A7F4A">
      <w:pPr>
        <w:spacing w:after="220"/>
        <w:ind w:left="2250"/>
        <w:jc w:val="both"/>
        <w:rPr>
          <w:rFonts w:ascii="Times New Roman" w:eastAsia="Times New Roman" w:hAnsi="Times New Roman"/>
        </w:rPr>
      </w:pPr>
      <w:r>
        <w:rPr>
          <w:rFonts w:ascii="Times New Roman" w:eastAsia="Times New Roman" w:hAnsi="Times New Roman"/>
        </w:rPr>
        <w:t>A company may switch from method a) to method b) at any time, but it may only change from b) to a) with the approval of the domiciliary commissioner.</w:t>
      </w:r>
    </w:p>
    <w:p w14:paraId="3C783482" w14:textId="77777777" w:rsidR="008A7F4A" w:rsidRDefault="008A7F4A" w:rsidP="008A7F4A">
      <w:pPr>
        <w:spacing w:after="220"/>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For a company that has a future hedging program tied directly to the contracts falling under the scope of VM-22 stochastic reserve requirements:</w:t>
      </w:r>
    </w:p>
    <w:p w14:paraId="6A8343DA" w14:textId="77777777" w:rsidR="008A7F4A" w:rsidRDefault="008A7F4A" w:rsidP="008A7F4A">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 xml:space="preserve">For a hedging program with hedge payoffs that offset interest credits associated with indexed interest strategies (indexed interest credits): </w:t>
      </w:r>
    </w:p>
    <w:p w14:paraId="48CF0039" w14:textId="77777777" w:rsidR="008A7F4A" w:rsidRDefault="008A7F4A" w:rsidP="008A7F4A">
      <w:pPr>
        <w:spacing w:after="220"/>
        <w:ind w:left="360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In modeling cash flows, the company shall include the cash flows from future hedge purchases or any rebalancing of existing hedge assets that are intended solely to offset interest credits to policyholders</w:t>
      </w:r>
    </w:p>
    <w:p w14:paraId="4848787A" w14:textId="77777777" w:rsidR="008A7F4A" w:rsidRDefault="008A7F4A" w:rsidP="008A7F4A">
      <w:pPr>
        <w:spacing w:after="220"/>
        <w:ind w:left="360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 xml:space="preserve">Existing hedging instruments that are currently held by the company for this purpose in support of the contracts falling under the scope of these requirements shall be included in the starting assets. Existing hedging instruments that are currently held by the company for </w:t>
      </w:r>
      <w:commentRangeStart w:id="54"/>
      <w:r>
        <w:rPr>
          <w:rFonts w:ascii="Times New Roman" w:eastAsia="Times New Roman" w:hAnsi="Times New Roman"/>
        </w:rPr>
        <w:t xml:space="preserve">any other purpose </w:t>
      </w:r>
      <w:commentRangeEnd w:id="54"/>
      <w:r w:rsidR="005E0ACF">
        <w:rPr>
          <w:rStyle w:val="CommentReference"/>
        </w:rPr>
        <w:commentReference w:id="54"/>
      </w:r>
      <w:r>
        <w:rPr>
          <w:rFonts w:ascii="Times New Roman" w:eastAsia="Times New Roman" w:hAnsi="Times New Roman"/>
        </w:rPr>
        <w:t xml:space="preserve">should be modeled consistently with the requirements of Section </w:t>
      </w:r>
      <w:proofErr w:type="gramStart"/>
      <w:r>
        <w:rPr>
          <w:rFonts w:ascii="Times New Roman" w:eastAsia="Times New Roman" w:hAnsi="Times New Roman"/>
        </w:rPr>
        <w:t>4.A.4.a</w:t>
      </w:r>
      <w:proofErr w:type="gramEnd"/>
      <w:r>
        <w:rPr>
          <w:rFonts w:ascii="Times New Roman" w:eastAsia="Times New Roman" w:hAnsi="Times New Roman"/>
        </w:rPr>
        <w:t>.ii.</w:t>
      </w:r>
    </w:p>
    <w:p w14:paraId="1F42BE22" w14:textId="77777777" w:rsidR="008A7F4A" w:rsidRDefault="008A7F4A" w:rsidP="008A7F4A">
      <w:pPr>
        <w:spacing w:after="220"/>
        <w:ind w:left="3600" w:hanging="720"/>
        <w:jc w:val="both"/>
        <w:rPr>
          <w:rFonts w:ascii="Times New Roman" w:eastAsia="Times New Roman" w:hAnsi="Times New Roman"/>
        </w:rPr>
      </w:pPr>
      <w:commentRangeStart w:id="55"/>
      <w:r>
        <w:rPr>
          <w:rFonts w:ascii="Times New Roman" w:eastAsia="Times New Roman" w:hAnsi="Times New Roman"/>
        </w:rPr>
        <w:t>c)</w:t>
      </w:r>
      <w:commentRangeEnd w:id="55"/>
      <w:r w:rsidR="005E0ACF">
        <w:rPr>
          <w:rStyle w:val="CommentReference"/>
        </w:rPr>
        <w:commentReference w:id="55"/>
      </w:r>
      <w:r>
        <w:rPr>
          <w:rFonts w:ascii="Times New Roman" w:eastAsia="Times New Roman" w:hAnsi="Times New Roman"/>
        </w:rPr>
        <w:tab/>
        <w:t>An Index Credit Hedge Margin for these instruments shall be reflected by reducing index interest credit hedge payoffs by a margin multiple that shall be justified by sufficient and credible company experience and be no less than [X%] multiplicatively of the interest credited. In the absence of sufficient and credible company experience, a margin of [Y%] shall be assumed. There is no cap on the index credit hedge margin if company experience indicates actual error is greater than [Y%]. It is permissible to substitute stress-testing for sufficient and credible experience if such stress-testing comprehensively considers a robust range of future market conditions.</w:t>
      </w:r>
    </w:p>
    <w:p w14:paraId="5E84E1B6" w14:textId="77777777" w:rsidR="008A7F4A" w:rsidRDefault="008A7F4A" w:rsidP="008A7F4A">
      <w:pPr>
        <w:spacing w:after="220"/>
        <w:ind w:left="2880" w:hanging="72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For a company that hedges any contractual obligation or risks other than indexed interest credits, the detailed requirements for the modeling of hedges are defined in Section 9. The following requirements do not supersede the detailed requirements.</w:t>
      </w:r>
    </w:p>
    <w:p w14:paraId="2AD3E846" w14:textId="77777777" w:rsidR="008A7F4A" w:rsidRDefault="008A7F4A" w:rsidP="008A7F4A">
      <w:pPr>
        <w:spacing w:after="220"/>
        <w:ind w:left="360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ab/>
        <w:t xml:space="preserve">The appropriate costs and benefits of hedging instruments that are currently held by the company in support of the contracts falling under the scope of these requirements shall be included in the projections used in the determination of the stochastic reserve. </w:t>
      </w:r>
    </w:p>
    <w:p w14:paraId="1E828126" w14:textId="77777777" w:rsidR="008A7F4A" w:rsidRDefault="008A7F4A" w:rsidP="008A7F4A">
      <w:pPr>
        <w:spacing w:after="220"/>
        <w:ind w:left="3600" w:hanging="720"/>
        <w:jc w:val="both"/>
        <w:rPr>
          <w:rFonts w:ascii="Times New Roman" w:eastAsia="Times New Roman" w:hAnsi="Times New Roman"/>
        </w:rPr>
      </w:pPr>
      <w:r>
        <w:rPr>
          <w:rFonts w:ascii="Times New Roman" w:eastAsia="Times New Roman" w:hAnsi="Times New Roman"/>
        </w:rPr>
        <w:t xml:space="preserve">b) </w:t>
      </w:r>
      <w:r>
        <w:rPr>
          <w:rFonts w:ascii="Times New Roman" w:eastAsia="Times New Roman" w:hAnsi="Times New Roman"/>
        </w:rPr>
        <w:tab/>
        <w:t xml:space="preserve">The projections shall </w:t>
      </w:r>
      <w:proofErr w:type="gramStart"/>
      <w:r>
        <w:rPr>
          <w:rFonts w:ascii="Times New Roman" w:eastAsia="Times New Roman" w:hAnsi="Times New Roman"/>
        </w:rPr>
        <w:t>take into account</w:t>
      </w:r>
      <w:proofErr w:type="gramEnd"/>
      <w:r>
        <w:rPr>
          <w:rFonts w:ascii="Times New Roman" w:eastAsia="Times New Roman" w:hAnsi="Times New Roman"/>
        </w:rPr>
        <w:t xml:space="preserve"> the appropriate costs and benefits of hedge positions expected to be held in the future. </w:t>
      </w:r>
      <w:r>
        <w:rPr>
          <w:rFonts w:ascii="Times New Roman" w:eastAsia="Times New Roman" w:hAnsi="Times New Roman"/>
        </w:rPr>
        <w:lastRenderedPageBreak/>
        <w:t xml:space="preserve">Because models do not always accurately portray the results of hedge programs, the company shall, through </w:t>
      </w:r>
      <w:proofErr w:type="gramStart"/>
      <w:r>
        <w:rPr>
          <w:rFonts w:ascii="Times New Roman" w:eastAsia="Times New Roman" w:hAnsi="Times New Roman"/>
        </w:rPr>
        <w:t>back-testing</w:t>
      </w:r>
      <w:proofErr w:type="gramEnd"/>
      <w:r>
        <w:rPr>
          <w:rFonts w:ascii="Times New Roman" w:eastAsia="Times New Roman" w:hAnsi="Times New Roman"/>
        </w:rPr>
        <w:t xml:space="preserve"> and other means, assess the accuracy of the hedge modeling. The company shall determine a stochastic reserve as the weighted average of two CTE values; first, a CTE70 (“best efforts”) representing the company’s projection of all of the hedge cash flows, including future hedge purchases, and a second CTE70 (“adjusted”) which shall use only hedge assets held by the company on the valuation date and only future hedge purchases associated with indexed interest credited. These are discussed in greater detail in Section 9. </w:t>
      </w:r>
    </w:p>
    <w:p w14:paraId="0FA15FBB" w14:textId="77777777" w:rsidR="008A7F4A" w:rsidRDefault="008A7F4A" w:rsidP="008A7F4A">
      <w:pPr>
        <w:spacing w:after="220"/>
        <w:ind w:left="3600" w:hanging="720"/>
        <w:jc w:val="both"/>
        <w:rPr>
          <w:rFonts w:ascii="Times New Roman" w:eastAsia="Times New Roman" w:hAnsi="Times New Roman"/>
        </w:rPr>
      </w:pPr>
      <w:commentRangeStart w:id="56"/>
      <w:r>
        <w:rPr>
          <w:rFonts w:ascii="Times New Roman" w:eastAsia="Times New Roman" w:hAnsi="Times New Roman"/>
        </w:rPr>
        <w:t>c)</w:t>
      </w:r>
      <w:commentRangeEnd w:id="56"/>
      <w:r w:rsidR="005E0ACF">
        <w:rPr>
          <w:rStyle w:val="CommentReference"/>
        </w:rPr>
        <w:commentReference w:id="56"/>
      </w:r>
      <w:r>
        <w:rPr>
          <w:rFonts w:ascii="Times New Roman" w:eastAsia="Times New Roman" w:hAnsi="Times New Roman"/>
        </w:rPr>
        <w:tab/>
        <w:t>Consistent with Section 4.A.4.b.i., the index credit hedge margin for instruments associated with indexed interest credited shall be reflected by reducing hedge payoffs by a margin multiple as defined in Section 4.A.4.b.i.c).</w:t>
      </w:r>
    </w:p>
    <w:p w14:paraId="3CE24301" w14:textId="77777777" w:rsidR="008A7F4A" w:rsidRDefault="008A7F4A" w:rsidP="008A7F4A">
      <w:pPr>
        <w:tabs>
          <w:tab w:val="left" w:pos="1540"/>
        </w:tabs>
        <w:spacing w:after="220"/>
        <w:ind w:left="3600" w:hanging="720"/>
        <w:jc w:val="both"/>
        <w:rPr>
          <w:rFonts w:ascii="Times New Roman" w:eastAsia="Times New Roman" w:hAnsi="Times New Roman"/>
        </w:rPr>
      </w:pPr>
      <w:r>
        <w:rPr>
          <w:rFonts w:ascii="Times New Roman" w:eastAsia="Times New Roman" w:hAnsi="Times New Roman"/>
        </w:rPr>
        <w:t>d)</w:t>
      </w:r>
      <w:r>
        <w:rPr>
          <w:rFonts w:ascii="Times New Roman" w:eastAsia="Times New Roman" w:hAnsi="Times New Roman"/>
        </w:rPr>
        <w:tab/>
        <w:t>The use of products not falling under the scope of these requirements as a hedge shall not be recognized in the determination of accumulated deficiencies.</w:t>
      </w:r>
    </w:p>
    <w:p w14:paraId="4F314E6F" w14:textId="77777777" w:rsidR="008A7F4A" w:rsidRDefault="008A7F4A" w:rsidP="008A7F4A">
      <w:pPr>
        <w:pBdr>
          <w:top w:val="single" w:sz="4" w:space="1" w:color="auto"/>
          <w:left w:val="single" w:sz="4" w:space="4" w:color="auto"/>
          <w:bottom w:val="single" w:sz="4" w:space="1" w:color="auto"/>
          <w:right w:val="single" w:sz="4" w:space="4" w:color="auto"/>
        </w:pBdr>
        <w:spacing w:after="0"/>
        <w:ind w:left="720"/>
        <w:jc w:val="both"/>
        <w:rPr>
          <w:rFonts w:ascii="Times New Roman" w:eastAsia="Times New Roman" w:hAnsi="Times New Roman"/>
        </w:rPr>
      </w:pPr>
      <w:r>
        <w:rPr>
          <w:rFonts w:ascii="Times New Roman" w:eastAsia="Times New Roman" w:hAnsi="Times New Roman"/>
          <w:b/>
        </w:rPr>
        <w:t>Guidance Note:</w:t>
      </w:r>
      <w:r>
        <w:rPr>
          <w:rFonts w:ascii="Times New Roman" w:eastAsia="Times New Roman" w:hAnsi="Times New Roman"/>
        </w:rPr>
        <w:t xml:space="preserve"> Section 4.A.4.b.i is intended to address common situations for products with index crediting strategies where the company only hedges index credits or clearly separates index credit hedging from other hedging. In this case the hedge positions are considered similarly to other fixed income assets supporting the contracts, and a margin is reflected rather than modeling using a CTE70 adjusted run with no future hedge purchases. If a company has a more comprehensive hedge strategy combining index credits, guaranteed benefit, and other risks (e.g., full fair value or economic hedging), an appropriate and documented bifurcation method should be used in the application of sections 4.A.4.b.i and 4.A.4.b.ii above for the hedge modeling and justification. Such bifurcation methods may quantify the specific risk exposure attributable to index credit liabilities versus other liabilities such as guaranteed living </w:t>
      </w:r>
      <w:proofErr w:type="gramStart"/>
      <w:r>
        <w:rPr>
          <w:rFonts w:ascii="Times New Roman" w:eastAsia="Times New Roman" w:hAnsi="Times New Roman"/>
        </w:rPr>
        <w:t>benefits, and</w:t>
      </w:r>
      <w:proofErr w:type="gramEnd"/>
      <w:r>
        <w:rPr>
          <w:rFonts w:ascii="Times New Roman" w:eastAsia="Times New Roman" w:hAnsi="Times New Roman"/>
        </w:rPr>
        <w:t xml:space="preserve"> apply such for the basis for allocation.</w:t>
      </w:r>
    </w:p>
    <w:p w14:paraId="319AE6B2" w14:textId="77777777" w:rsidR="008A7F4A" w:rsidRDefault="008A7F4A" w:rsidP="008A7F4A">
      <w:pPr>
        <w:pStyle w:val="ListParagraph"/>
        <w:ind w:left="0"/>
        <w:jc w:val="both"/>
        <w:rPr>
          <w:rFonts w:ascii="Times" w:eastAsia="Times New Roman" w:hAnsi="Times" w:cs="Times New Roman"/>
          <w:b/>
        </w:rPr>
      </w:pPr>
    </w:p>
    <w:p w14:paraId="1E91037F" w14:textId="77777777" w:rsidR="008A7F4A" w:rsidRDefault="008A7F4A" w:rsidP="008A7F4A">
      <w:pPr>
        <w:pStyle w:val="ListParagraph"/>
        <w:pBdr>
          <w:top w:val="single" w:sz="4" w:space="1" w:color="auto"/>
          <w:left w:val="single" w:sz="4" w:space="4" w:color="auto"/>
          <w:bottom w:val="single" w:sz="4" w:space="1" w:color="auto"/>
          <w:right w:val="single" w:sz="4" w:space="4" w:color="auto"/>
        </w:pBdr>
        <w:ind w:left="0"/>
        <w:jc w:val="both"/>
        <w:rPr>
          <w:rFonts w:ascii="Times" w:eastAsia="Times New Roman" w:hAnsi="Times" w:cs="Times New Roman"/>
        </w:rPr>
      </w:pPr>
      <w:r>
        <w:rPr>
          <w:rFonts w:ascii="Times" w:eastAsia="Times New Roman" w:hAnsi="Times" w:cs="Times New Roman"/>
          <w:b/>
        </w:rPr>
        <w:t>Guidance Note:</w:t>
      </w:r>
      <w:r>
        <w:rPr>
          <w:rFonts w:ascii="Times" w:eastAsia="Times New Roman" w:hAnsi="Times" w:cs="Times New Roman"/>
        </w:rPr>
        <w:t xml:space="preserve"> The requirements of Section 4.A.4 govern the determination of reserves for annuity contracts and do not supersede any statutes, laws or regulations of any state or jurisdiction related to the use of derivative instruments for hedging purposes and should not be used in determining whether a company is permitted to use such instruments in any state or jurisdiction. </w:t>
      </w:r>
    </w:p>
    <w:p w14:paraId="3C3FE7E5" w14:textId="77777777" w:rsidR="008A7F4A" w:rsidRDefault="008A7F4A" w:rsidP="008A7F4A">
      <w:pPr>
        <w:pStyle w:val="ListParagraph"/>
        <w:spacing w:after="0" w:line="240" w:lineRule="auto"/>
        <w:jc w:val="both"/>
        <w:rPr>
          <w:rFonts w:ascii="Times" w:eastAsia="Times New Roman" w:hAnsi="Times" w:cs="Times New Roman"/>
        </w:rPr>
      </w:pPr>
    </w:p>
    <w:p w14:paraId="7AAFFDFA" w14:textId="77777777" w:rsidR="008A7F4A" w:rsidRDefault="008A7F4A" w:rsidP="00745C9A">
      <w:pPr>
        <w:pStyle w:val="ListParagraph"/>
        <w:numPr>
          <w:ilvl w:val="0"/>
          <w:numId w:val="87"/>
        </w:numPr>
        <w:spacing w:after="0" w:line="240" w:lineRule="auto"/>
        <w:jc w:val="both"/>
        <w:rPr>
          <w:rFonts w:ascii="Times" w:eastAsia="Times New Roman" w:hAnsi="Times" w:cs="Times New Roman"/>
        </w:rPr>
      </w:pPr>
      <w:commentRangeStart w:id="57"/>
      <w:r>
        <w:rPr>
          <w:rFonts w:ascii="Times" w:eastAsia="Times New Roman" w:hAnsi="Times" w:cs="Times New Roman"/>
        </w:rPr>
        <w:t>Revenue Sharing</w:t>
      </w:r>
      <w:commentRangeEnd w:id="57"/>
      <w:r w:rsidR="005E0ACF">
        <w:rPr>
          <w:rStyle w:val="CommentReference"/>
        </w:rPr>
        <w:commentReference w:id="57"/>
      </w:r>
    </w:p>
    <w:p w14:paraId="4CAF4C17" w14:textId="77777777" w:rsidR="008A7F4A" w:rsidRDefault="008A7F4A" w:rsidP="008A7F4A">
      <w:pPr>
        <w:pStyle w:val="ListParagraph"/>
        <w:spacing w:after="0" w:line="240" w:lineRule="auto"/>
        <w:jc w:val="both"/>
        <w:rPr>
          <w:rFonts w:ascii="Times" w:eastAsia="Times New Roman" w:hAnsi="Times" w:cs="Times New Roman"/>
        </w:rPr>
      </w:pPr>
    </w:p>
    <w:p w14:paraId="7C06FA53" w14:textId="77777777" w:rsidR="008A7F4A" w:rsidRDefault="008A7F4A" w:rsidP="008A7F4A">
      <w:pPr>
        <w:ind w:left="1440"/>
        <w:jc w:val="both"/>
        <w:rPr>
          <w:rFonts w:ascii="Times" w:eastAsia="Times New Roman" w:hAnsi="Times" w:cs="Times New Roman"/>
        </w:rPr>
      </w:pPr>
      <w:r>
        <w:rPr>
          <w:rFonts w:ascii="Times" w:eastAsia="Times New Roman" w:hAnsi="Times" w:cs="Times New Roman"/>
        </w:rPr>
        <w:t xml:space="preserve">If applicable, projections of accumulated deficiencies may include income from projected future revenue sharing, net of applicable projected expenses (net revenue-sharing income) if each of the  requirements set forth in VM 21 Section 4.A.5 are met. </w:t>
      </w:r>
    </w:p>
    <w:p w14:paraId="32BE388A" w14:textId="77777777" w:rsidR="008A7F4A" w:rsidRDefault="008A7F4A" w:rsidP="00745C9A">
      <w:pPr>
        <w:pStyle w:val="ListParagraph"/>
        <w:numPr>
          <w:ilvl w:val="0"/>
          <w:numId w:val="87"/>
        </w:numPr>
        <w:spacing w:after="0" w:line="240" w:lineRule="auto"/>
        <w:ind w:left="1440" w:hanging="720"/>
        <w:rPr>
          <w:rFonts w:ascii="Times" w:eastAsia="Times New Roman" w:hAnsi="Times" w:cs="Times New Roman"/>
        </w:rPr>
      </w:pPr>
      <w:r>
        <w:rPr>
          <w:rFonts w:ascii="Times" w:eastAsia="Times New Roman" w:hAnsi="Times" w:cs="Times New Roman"/>
        </w:rPr>
        <w:t xml:space="preserve">Length of Projections </w:t>
      </w:r>
    </w:p>
    <w:p w14:paraId="468BDFAC" w14:textId="77777777" w:rsidR="008A7F4A" w:rsidRDefault="008A7F4A" w:rsidP="008A7F4A">
      <w:pPr>
        <w:pStyle w:val="ListParagraph"/>
        <w:ind w:left="1440"/>
        <w:jc w:val="both"/>
        <w:rPr>
          <w:rFonts w:ascii="Times" w:eastAsia="Times New Roman" w:hAnsi="Times" w:cs="Times New Roman"/>
        </w:rPr>
      </w:pPr>
    </w:p>
    <w:p w14:paraId="7F10A5A5" w14:textId="77777777" w:rsidR="008A7F4A" w:rsidRDefault="008A7F4A" w:rsidP="008A7F4A">
      <w:pPr>
        <w:pStyle w:val="ListParagraph"/>
        <w:ind w:left="1440"/>
        <w:jc w:val="both"/>
        <w:rPr>
          <w:rFonts w:ascii="Times" w:eastAsia="Times New Roman" w:hAnsi="Times" w:cs="Times New Roman"/>
        </w:rPr>
      </w:pPr>
      <w:r>
        <w:rPr>
          <w:rFonts w:ascii="Times" w:eastAsia="Times New Roman" w:hAnsi="Times" w:cs="Times New Roman"/>
        </w:rPr>
        <w:t xml:space="preserve">Projections of accumulated deficiencies shall be run for as many future years as needed so that no materially greater reserve value would result from longer projection periods. </w:t>
      </w:r>
    </w:p>
    <w:p w14:paraId="3CAF94D1" w14:textId="77777777" w:rsidR="008A7F4A" w:rsidRDefault="008A7F4A" w:rsidP="008A7F4A">
      <w:pPr>
        <w:pStyle w:val="ListParagraph"/>
        <w:ind w:left="1440"/>
        <w:jc w:val="both"/>
        <w:rPr>
          <w:rFonts w:ascii="Times" w:eastAsia="Times New Roman" w:hAnsi="Times" w:cs="Times New Roman"/>
        </w:rPr>
      </w:pPr>
    </w:p>
    <w:p w14:paraId="36ECE2BA" w14:textId="77777777" w:rsidR="008A7F4A" w:rsidRDefault="008A7F4A" w:rsidP="00745C9A">
      <w:pPr>
        <w:pStyle w:val="ListParagraph"/>
        <w:numPr>
          <w:ilvl w:val="0"/>
          <w:numId w:val="87"/>
        </w:numPr>
        <w:spacing w:after="0" w:line="240" w:lineRule="auto"/>
        <w:ind w:left="1440" w:hanging="720"/>
        <w:jc w:val="both"/>
        <w:rPr>
          <w:rFonts w:ascii="Times" w:eastAsia="Times New Roman" w:hAnsi="Times" w:cs="Times New Roman"/>
        </w:rPr>
      </w:pPr>
      <w:r>
        <w:rPr>
          <w:rFonts w:ascii="Times" w:eastAsia="Times New Roman" w:hAnsi="Times" w:cs="Times New Roman"/>
        </w:rPr>
        <w:lastRenderedPageBreak/>
        <w:t xml:space="preserve">Interest Maintenance Reserve (IMR) </w:t>
      </w:r>
    </w:p>
    <w:p w14:paraId="38C2DA61" w14:textId="77777777" w:rsidR="008A7F4A" w:rsidRDefault="008A7F4A" w:rsidP="008A7F4A">
      <w:pPr>
        <w:pStyle w:val="ListParagraph"/>
        <w:ind w:left="2880"/>
        <w:jc w:val="both"/>
        <w:rPr>
          <w:rFonts w:ascii="Times" w:eastAsia="Times New Roman" w:hAnsi="Times" w:cs="Times New Roman"/>
        </w:rPr>
      </w:pPr>
    </w:p>
    <w:p w14:paraId="264088CA" w14:textId="77777777" w:rsidR="008A7F4A" w:rsidRDefault="008A7F4A" w:rsidP="008A7F4A">
      <w:pPr>
        <w:pStyle w:val="ListParagraph"/>
        <w:ind w:left="1440"/>
        <w:jc w:val="both"/>
        <w:rPr>
          <w:rFonts w:ascii="Times" w:eastAsia="Times New Roman" w:hAnsi="Times" w:cs="Times New Roman"/>
        </w:rPr>
      </w:pPr>
      <w:r>
        <w:rPr>
          <w:rFonts w:ascii="Times" w:eastAsia="Times New Roman" w:hAnsi="Times" w:cs="Times New Roman"/>
        </w:rPr>
        <w:t xml:space="preserve">The IMR shall be handled consistently with the treatment in the company’s cash flow testing, and the amounts should be adjusted to a pre-tax basis. </w:t>
      </w:r>
    </w:p>
    <w:p w14:paraId="14CC8726" w14:textId="77777777" w:rsidR="008A7F4A" w:rsidRDefault="008A7F4A" w:rsidP="008A7F4A">
      <w:pPr>
        <w:pStyle w:val="ListParagraph"/>
        <w:spacing w:after="0"/>
        <w:ind w:left="2880"/>
        <w:rPr>
          <w:rFonts w:ascii="Times" w:eastAsia="Times New Roman" w:hAnsi="Times" w:cs="Times New Roman"/>
        </w:rPr>
      </w:pPr>
    </w:p>
    <w:p w14:paraId="05698783" w14:textId="77777777" w:rsidR="008A7F4A" w:rsidRDefault="008A7F4A" w:rsidP="00745C9A">
      <w:pPr>
        <w:pStyle w:val="Heading2"/>
        <w:numPr>
          <w:ilvl w:val="0"/>
          <w:numId w:val="84"/>
        </w:numPr>
        <w:rPr>
          <w:sz w:val="22"/>
          <w:szCs w:val="22"/>
        </w:rPr>
      </w:pPr>
      <w:bookmarkStart w:id="58" w:name="_Toc77242142"/>
      <w:r>
        <w:rPr>
          <w:sz w:val="22"/>
          <w:szCs w:val="22"/>
        </w:rPr>
        <w:t>Determination of Scenario Reserve</w:t>
      </w:r>
      <w:bookmarkEnd w:id="58"/>
      <w:r>
        <w:rPr>
          <w:sz w:val="22"/>
          <w:szCs w:val="22"/>
        </w:rPr>
        <w:t xml:space="preserve"> </w:t>
      </w:r>
    </w:p>
    <w:p w14:paraId="3C8063BD" w14:textId="77777777" w:rsidR="008A7F4A" w:rsidRDefault="008A7F4A" w:rsidP="008A7F4A">
      <w:pPr>
        <w:pStyle w:val="ListParagraph"/>
        <w:jc w:val="both"/>
        <w:rPr>
          <w:rFonts w:ascii="Times" w:eastAsia="Times New Roman" w:hAnsi="Times" w:cs="Times New Roman"/>
        </w:rPr>
      </w:pPr>
    </w:p>
    <w:p w14:paraId="247F1783" w14:textId="77777777" w:rsidR="008A7F4A" w:rsidRDefault="008A7F4A" w:rsidP="00745C9A">
      <w:pPr>
        <w:pStyle w:val="ListParagraph"/>
        <w:numPr>
          <w:ilvl w:val="2"/>
          <w:numId w:val="88"/>
        </w:numPr>
        <w:spacing w:after="0" w:line="240" w:lineRule="auto"/>
        <w:ind w:left="1440" w:hanging="720"/>
        <w:jc w:val="both"/>
        <w:rPr>
          <w:rFonts w:ascii="Times" w:eastAsia="Times New Roman" w:hAnsi="Times" w:cs="Times New Roman"/>
        </w:rPr>
      </w:pPr>
      <w:commentRangeStart w:id="59"/>
      <w:r>
        <w:rPr>
          <w:rFonts w:ascii="Times" w:eastAsia="Times New Roman" w:hAnsi="Times" w:cs="Times New Roman"/>
        </w:rPr>
        <w:t>For</w:t>
      </w:r>
      <w:commentRangeEnd w:id="59"/>
      <w:r w:rsidR="005E0ACF">
        <w:rPr>
          <w:rStyle w:val="CommentReference"/>
        </w:rPr>
        <w:commentReference w:id="59"/>
      </w:r>
      <w:r>
        <w:rPr>
          <w:rFonts w:ascii="Times" w:eastAsia="Times New Roman" w:hAnsi="Times" w:cs="Times New Roman"/>
        </w:rPr>
        <w:t xml:space="preserve"> a given scenario, the scenario reserve shall be determined using one of two methods described below:</w:t>
      </w:r>
    </w:p>
    <w:p w14:paraId="3AB5CBDD" w14:textId="77777777" w:rsidR="008A7F4A" w:rsidRDefault="008A7F4A" w:rsidP="008A7F4A">
      <w:pPr>
        <w:pStyle w:val="ListParagraph"/>
        <w:ind w:left="2880"/>
        <w:jc w:val="both"/>
        <w:rPr>
          <w:rFonts w:ascii="Times" w:eastAsia="Times New Roman" w:hAnsi="Times" w:cs="Times New Roman"/>
        </w:rPr>
      </w:pPr>
    </w:p>
    <w:p w14:paraId="6B5ABDDE" w14:textId="77777777" w:rsidR="008A7F4A" w:rsidRDefault="008A7F4A" w:rsidP="00745C9A">
      <w:pPr>
        <w:pStyle w:val="ListParagraph"/>
        <w:numPr>
          <w:ilvl w:val="1"/>
          <w:numId w:val="89"/>
        </w:numPr>
        <w:spacing w:after="0" w:line="240" w:lineRule="auto"/>
        <w:ind w:left="2160" w:hanging="720"/>
        <w:jc w:val="both"/>
        <w:rPr>
          <w:rFonts w:ascii="Times" w:eastAsia="Times New Roman" w:hAnsi="Times" w:cs="Times New Roman"/>
        </w:rPr>
      </w:pPr>
      <w:r>
        <w:rPr>
          <w:rFonts w:ascii="Times" w:eastAsia="Times New Roman" w:hAnsi="Times" w:cs="Times New Roman"/>
        </w:rPr>
        <w:t>The starting asset amount plus the greatest present value, as of the projection start date, of the projected accumulated deficiencies; or</w:t>
      </w:r>
    </w:p>
    <w:p w14:paraId="1332CCA9" w14:textId="77777777" w:rsidR="008A7F4A" w:rsidRDefault="008A7F4A" w:rsidP="008A7F4A">
      <w:pPr>
        <w:pStyle w:val="ListParagraph"/>
        <w:spacing w:after="0" w:line="240" w:lineRule="auto"/>
        <w:ind w:left="2160"/>
        <w:jc w:val="both"/>
        <w:rPr>
          <w:rFonts w:ascii="Times" w:eastAsia="Times New Roman" w:hAnsi="Times" w:cs="Times New Roman"/>
        </w:rPr>
      </w:pPr>
    </w:p>
    <w:p w14:paraId="1EE22F29" w14:textId="77777777" w:rsidR="008A7F4A" w:rsidRDefault="008A7F4A" w:rsidP="008A7F4A">
      <w:pPr>
        <w:pBdr>
          <w:top w:val="single" w:sz="4" w:space="1" w:color="auto"/>
          <w:left w:val="single" w:sz="4" w:space="4" w:color="auto"/>
          <w:bottom w:val="single" w:sz="4" w:space="1" w:color="auto"/>
          <w:right w:val="single" w:sz="4" w:space="4" w:color="auto"/>
        </w:pBdr>
        <w:jc w:val="both"/>
        <w:rPr>
          <w:rFonts w:ascii="Times" w:eastAsia="Times New Roman" w:hAnsi="Times" w:cs="Times New Roman"/>
        </w:rPr>
      </w:pPr>
      <w:r>
        <w:rPr>
          <w:rFonts w:ascii="Times" w:eastAsia="Times New Roman" w:hAnsi="Times" w:cs="Times New Roman"/>
          <w:b/>
        </w:rPr>
        <w:t>Guidance Note</w:t>
      </w:r>
      <w:r>
        <w:rPr>
          <w:rFonts w:ascii="Times" w:eastAsia="Times New Roman" w:hAnsi="Times" w:cs="Times New Roman"/>
        </w:rPr>
        <w:t>: The greatest present value of accumulated deficiencies can be negative.</w:t>
      </w:r>
    </w:p>
    <w:p w14:paraId="66380179" w14:textId="77777777" w:rsidR="008A7F4A" w:rsidRDefault="008A7F4A" w:rsidP="00745C9A">
      <w:pPr>
        <w:pStyle w:val="ListParagraph"/>
        <w:numPr>
          <w:ilvl w:val="1"/>
          <w:numId w:val="89"/>
        </w:numPr>
        <w:spacing w:after="0" w:line="240" w:lineRule="auto"/>
        <w:ind w:left="2160" w:hanging="720"/>
        <w:jc w:val="both"/>
        <w:rPr>
          <w:rFonts w:ascii="Times" w:eastAsia="Times New Roman" w:hAnsi="Times" w:cs="Times New Roman"/>
        </w:rPr>
      </w:pPr>
      <w:r>
        <w:rPr>
          <w:rFonts w:ascii="Times" w:eastAsia="Times New Roman" w:hAnsi="Times" w:cs="Times New Roman"/>
        </w:rPr>
        <w:t xml:space="preserve">The direct iteration method, where the scenario reserve is determined by solving </w:t>
      </w:r>
      <w:proofErr w:type="gramStart"/>
      <w:r>
        <w:rPr>
          <w:rFonts w:ascii="Times" w:eastAsia="Times New Roman" w:hAnsi="Times" w:cs="Times New Roman"/>
        </w:rPr>
        <w:t>for the amount of</w:t>
      </w:r>
      <w:proofErr w:type="gramEnd"/>
      <w:r>
        <w:rPr>
          <w:rFonts w:ascii="Times" w:eastAsia="Times New Roman" w:hAnsi="Times" w:cs="Times New Roman"/>
        </w:rPr>
        <w:t xml:space="preserve"> starting assets which, when projected along with all contract cash flows, result in the </w:t>
      </w:r>
      <w:proofErr w:type="spellStart"/>
      <w:r>
        <w:rPr>
          <w:rFonts w:ascii="Times" w:eastAsia="Times New Roman" w:hAnsi="Times" w:cs="Times New Roman"/>
        </w:rPr>
        <w:t>defeasement</w:t>
      </w:r>
      <w:proofErr w:type="spellEnd"/>
      <w:r>
        <w:rPr>
          <w:rFonts w:ascii="Times" w:eastAsia="Times New Roman" w:hAnsi="Times" w:cs="Times New Roman"/>
        </w:rPr>
        <w:t xml:space="preserve"> of all projected future benefits and expenses at the end of the projection horizon with no positive accumulated deficiencies at the end of any projection year during the projection period. </w:t>
      </w:r>
    </w:p>
    <w:p w14:paraId="0D9D6709" w14:textId="77777777" w:rsidR="008A7F4A" w:rsidRDefault="008A7F4A" w:rsidP="008A7F4A">
      <w:pPr>
        <w:spacing w:after="0"/>
        <w:ind w:left="720"/>
        <w:jc w:val="both"/>
        <w:rPr>
          <w:rFonts w:ascii="Times" w:eastAsia="Times New Roman" w:hAnsi="Times" w:cs="Times New Roman"/>
        </w:rPr>
      </w:pPr>
    </w:p>
    <w:p w14:paraId="6A868335" w14:textId="77777777" w:rsidR="008A7F4A" w:rsidRDefault="008A7F4A" w:rsidP="008A7F4A">
      <w:pPr>
        <w:ind w:left="1530"/>
        <w:jc w:val="both"/>
        <w:rPr>
          <w:rFonts w:ascii="Times" w:eastAsia="Times New Roman" w:hAnsi="Times" w:cs="Times New Roman"/>
        </w:rPr>
      </w:pPr>
      <w:r>
        <w:rPr>
          <w:rFonts w:ascii="Times" w:eastAsia="Times New Roman" w:hAnsi="Times" w:cs="Times New Roman"/>
        </w:rPr>
        <w:t xml:space="preserve">The scenario reserve for any given scenario shall not be less than the cash surrender value in aggregate on the valuation date for the group of contracts modeled in the projection. </w:t>
      </w:r>
    </w:p>
    <w:p w14:paraId="45647846" w14:textId="77777777" w:rsidR="008A7F4A" w:rsidRDefault="008A7F4A" w:rsidP="008A7F4A">
      <w:pPr>
        <w:pStyle w:val="ListParagraph"/>
        <w:ind w:left="2880"/>
        <w:jc w:val="both"/>
        <w:rPr>
          <w:rFonts w:ascii="Times" w:eastAsia="Times New Roman" w:hAnsi="Times" w:cs="Times New Roman"/>
        </w:rPr>
      </w:pPr>
    </w:p>
    <w:p w14:paraId="3A66DE1C" w14:textId="77777777" w:rsidR="008A7F4A" w:rsidRDefault="008A7F4A" w:rsidP="00745C9A">
      <w:pPr>
        <w:pStyle w:val="ListParagraph"/>
        <w:numPr>
          <w:ilvl w:val="2"/>
          <w:numId w:val="88"/>
        </w:numPr>
        <w:spacing w:after="0" w:line="240" w:lineRule="auto"/>
        <w:ind w:left="1440" w:hanging="720"/>
        <w:jc w:val="both"/>
        <w:rPr>
          <w:rFonts w:ascii="Times" w:eastAsia="Times New Roman" w:hAnsi="Times" w:cs="Times New Roman"/>
        </w:rPr>
      </w:pPr>
      <w:r>
        <w:rPr>
          <w:rFonts w:ascii="Times" w:eastAsia="Times New Roman" w:hAnsi="Times" w:cs="Times New Roman"/>
        </w:rPr>
        <w:t xml:space="preserve">Discount Rates </w:t>
      </w:r>
    </w:p>
    <w:p w14:paraId="1763B95B" w14:textId="77777777" w:rsidR="008A7F4A" w:rsidRDefault="008A7F4A" w:rsidP="008A7F4A">
      <w:pPr>
        <w:spacing w:after="0"/>
        <w:ind w:left="1440"/>
        <w:jc w:val="both"/>
        <w:rPr>
          <w:rFonts w:ascii="Times" w:eastAsia="Times New Roman" w:hAnsi="Times" w:cs="Times New Roman"/>
        </w:rPr>
      </w:pPr>
    </w:p>
    <w:p w14:paraId="67CAA216" w14:textId="77777777" w:rsidR="008A7F4A" w:rsidRDefault="008A7F4A" w:rsidP="008A7F4A">
      <w:pPr>
        <w:spacing w:after="0"/>
        <w:ind w:left="1440"/>
        <w:jc w:val="both"/>
        <w:rPr>
          <w:rFonts w:ascii="Times" w:eastAsia="Times New Roman" w:hAnsi="Times" w:cs="Times New Roman"/>
        </w:rPr>
      </w:pPr>
      <w:r>
        <w:rPr>
          <w:rFonts w:ascii="Times" w:eastAsia="Times New Roman" w:hAnsi="Times" w:cs="Times New Roman"/>
        </w:rPr>
        <w:t xml:space="preserve">In determining the scenario reserve, unless using the direct iteration method pursuant to Section 4.B.1.b, the accumulated deficiencies shall be discounted at the NAER on additional assets, as defined in Section 4.B.3. </w:t>
      </w:r>
    </w:p>
    <w:p w14:paraId="63B91183" w14:textId="77777777" w:rsidR="008A7F4A" w:rsidRDefault="008A7F4A" w:rsidP="008A7F4A">
      <w:pPr>
        <w:spacing w:after="0"/>
        <w:jc w:val="both"/>
        <w:rPr>
          <w:rFonts w:ascii="Times" w:eastAsia="Times New Roman" w:hAnsi="Times" w:cs="Times New Roman"/>
        </w:rPr>
      </w:pPr>
    </w:p>
    <w:p w14:paraId="4DE1C188" w14:textId="77777777" w:rsidR="008A7F4A" w:rsidRDefault="008A7F4A" w:rsidP="00745C9A">
      <w:pPr>
        <w:pStyle w:val="ListParagraph"/>
        <w:numPr>
          <w:ilvl w:val="2"/>
          <w:numId w:val="88"/>
        </w:numPr>
        <w:spacing w:after="0" w:line="240" w:lineRule="auto"/>
        <w:ind w:left="1440" w:hanging="720"/>
        <w:jc w:val="both"/>
        <w:rPr>
          <w:rFonts w:ascii="Times" w:eastAsia="Times New Roman" w:hAnsi="Times" w:cs="Times New Roman"/>
        </w:rPr>
      </w:pPr>
      <w:r>
        <w:rPr>
          <w:rFonts w:ascii="Times" w:eastAsia="Times New Roman" w:hAnsi="Times" w:cs="Times New Roman"/>
        </w:rPr>
        <w:t xml:space="preserve">Determination of NAER on Additional Invested Asset Portfolio </w:t>
      </w:r>
    </w:p>
    <w:p w14:paraId="68CA4A4E" w14:textId="77777777" w:rsidR="008A7F4A" w:rsidRDefault="008A7F4A" w:rsidP="008A7F4A">
      <w:pPr>
        <w:pStyle w:val="ListParagraph"/>
        <w:ind w:left="4140"/>
        <w:jc w:val="both"/>
        <w:rPr>
          <w:rFonts w:ascii="Times" w:eastAsia="Times New Roman" w:hAnsi="Times" w:cs="Times New Roman"/>
        </w:rPr>
      </w:pPr>
    </w:p>
    <w:p w14:paraId="3391929D" w14:textId="77777777" w:rsidR="008A7F4A" w:rsidRDefault="008A7F4A" w:rsidP="00745C9A">
      <w:pPr>
        <w:pStyle w:val="ListParagraph"/>
        <w:numPr>
          <w:ilvl w:val="0"/>
          <w:numId w:val="90"/>
        </w:numPr>
        <w:spacing w:after="0" w:line="240" w:lineRule="auto"/>
        <w:ind w:left="2160" w:hanging="720"/>
        <w:jc w:val="both"/>
        <w:rPr>
          <w:rFonts w:ascii="Times" w:eastAsia="Times New Roman" w:hAnsi="Times" w:cs="Times New Roman"/>
        </w:rPr>
      </w:pPr>
      <w:commentRangeStart w:id="60"/>
      <w:r>
        <w:rPr>
          <w:rFonts w:ascii="Times" w:eastAsia="Times New Roman" w:hAnsi="Times" w:cs="Times New Roman"/>
        </w:rPr>
        <w:t>The</w:t>
      </w:r>
      <w:commentRangeEnd w:id="60"/>
      <w:r w:rsidR="005E0ACF">
        <w:rPr>
          <w:rStyle w:val="CommentReference"/>
        </w:rPr>
        <w:commentReference w:id="60"/>
      </w:r>
      <w:r>
        <w:rPr>
          <w:rFonts w:ascii="Times" w:eastAsia="Times New Roman" w:hAnsi="Times" w:cs="Times New Roman"/>
        </w:rPr>
        <w:t xml:space="preserv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(i) General Account assets available to the company on the valuation date that do not constitute part of the starting asset portfolio; and (ii) cash assets. </w:t>
      </w:r>
    </w:p>
    <w:p w14:paraId="72B269AC" w14:textId="77777777" w:rsidR="008A7F4A" w:rsidRDefault="008A7F4A" w:rsidP="008A7F4A">
      <w:pPr>
        <w:pStyle w:val="ListParagraph"/>
        <w:spacing w:after="0" w:line="240" w:lineRule="auto"/>
        <w:ind w:left="2160"/>
        <w:jc w:val="both"/>
        <w:rPr>
          <w:rFonts w:ascii="Times" w:eastAsia="Times New Roman" w:hAnsi="Times" w:cs="Times New Roman"/>
        </w:rPr>
      </w:pPr>
    </w:p>
    <w:p w14:paraId="418CE71E" w14:textId="77777777" w:rsidR="008A7F4A" w:rsidRDefault="008A7F4A" w:rsidP="008A7F4A">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Pr>
          <w:rFonts w:ascii="Times" w:eastAsia="Times New Roman" w:hAnsi="Times" w:cs="Times New Roman"/>
          <w:b/>
        </w:rPr>
        <w:t>Guidance Note:</w:t>
      </w:r>
    </w:p>
    <w:p w14:paraId="558B38A6" w14:textId="77777777" w:rsidR="008A7F4A" w:rsidRDefault="008A7F4A" w:rsidP="008A7F4A">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59090E79" w14:textId="77777777" w:rsidR="008A7F4A" w:rsidRDefault="008A7F4A" w:rsidP="008A7F4A">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Pr>
          <w:rFonts w:ascii="Times" w:eastAsia="Times New Roman" w:hAnsi="Times" w:cs="Times New Roman"/>
        </w:rPr>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w:t>
      </w:r>
    </w:p>
    <w:p w14:paraId="4B7D0D73" w14:textId="77777777" w:rsidR="008A7F4A" w:rsidRDefault="008A7F4A" w:rsidP="008A7F4A">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1779D849" w14:textId="77777777" w:rsidR="008A7F4A" w:rsidRDefault="008A7F4A" w:rsidP="008A7F4A">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Pr>
          <w:rFonts w:ascii="Times" w:eastAsia="Times New Roman" w:hAnsi="Times" w:cs="Times New Roman"/>
        </w:rPr>
        <w:t>It is assumed that the accumulated deficiencies for this scenario projection are known.</w:t>
      </w:r>
    </w:p>
    <w:p w14:paraId="386B2463" w14:textId="77777777" w:rsidR="008A7F4A" w:rsidRDefault="008A7F4A" w:rsidP="008A7F4A">
      <w:pPr>
        <w:pStyle w:val="ListParagraph"/>
        <w:spacing w:after="0" w:line="240" w:lineRule="auto"/>
        <w:ind w:left="2160"/>
        <w:jc w:val="both"/>
        <w:rPr>
          <w:rFonts w:ascii="Times" w:eastAsia="Times New Roman" w:hAnsi="Times" w:cs="Times New Roman"/>
        </w:rPr>
      </w:pPr>
    </w:p>
    <w:p w14:paraId="015FC8D4" w14:textId="77777777" w:rsidR="008A7F4A" w:rsidRDefault="008A7F4A" w:rsidP="00745C9A">
      <w:pPr>
        <w:pStyle w:val="ListParagraph"/>
        <w:numPr>
          <w:ilvl w:val="0"/>
          <w:numId w:val="90"/>
        </w:numPr>
        <w:spacing w:after="0" w:line="240" w:lineRule="auto"/>
        <w:ind w:left="2160" w:hanging="720"/>
        <w:jc w:val="both"/>
        <w:rPr>
          <w:rFonts w:ascii="Times" w:eastAsia="Times New Roman" w:hAnsi="Times" w:cs="Times New Roman"/>
        </w:rPr>
      </w:pPr>
      <w:r>
        <w:rPr>
          <w:rFonts w:ascii="Times" w:eastAsia="Times New Roman" w:hAnsi="Times" w:cs="Times New Roman"/>
        </w:rPr>
        <w:t xml:space="preserve">To determine the NAER on additional invested assets for a given scenario: </w:t>
      </w:r>
    </w:p>
    <w:p w14:paraId="52A81ED8" w14:textId="77777777" w:rsidR="008A7F4A" w:rsidRDefault="008A7F4A" w:rsidP="008A7F4A">
      <w:pPr>
        <w:pStyle w:val="ListParagraph"/>
        <w:ind w:left="2160"/>
        <w:jc w:val="both"/>
        <w:rPr>
          <w:rFonts w:ascii="Times" w:eastAsia="Times New Roman" w:hAnsi="Times" w:cs="Times New Roman"/>
        </w:rPr>
      </w:pPr>
    </w:p>
    <w:p w14:paraId="16B4164B" w14:textId="77777777" w:rsidR="008A7F4A" w:rsidRDefault="008A7F4A" w:rsidP="00745C9A">
      <w:pPr>
        <w:pStyle w:val="ListParagraph"/>
        <w:numPr>
          <w:ilvl w:val="0"/>
          <w:numId w:val="91"/>
        </w:numPr>
        <w:spacing w:after="0" w:line="240" w:lineRule="auto"/>
        <w:ind w:left="2880" w:hanging="720"/>
        <w:jc w:val="both"/>
        <w:rPr>
          <w:rFonts w:ascii="Times" w:eastAsia="Times New Roman" w:hAnsi="Times" w:cs="Times New Roman"/>
        </w:rPr>
      </w:pPr>
      <w:r>
        <w:rPr>
          <w:rFonts w:ascii="Times" w:eastAsia="Times New Roman" w:hAnsi="Times" w:cs="Times New Roman"/>
        </w:rPr>
        <w:t xml:space="preserve">Project the additional invested asset portfolio as of the valuation date to the end of the projection period, </w:t>
      </w:r>
    </w:p>
    <w:p w14:paraId="15C807AD" w14:textId="77777777" w:rsidR="008A7F4A" w:rsidRDefault="008A7F4A" w:rsidP="008A7F4A">
      <w:pPr>
        <w:pStyle w:val="ListParagraph"/>
        <w:ind w:left="2520"/>
        <w:jc w:val="both"/>
        <w:rPr>
          <w:rFonts w:ascii="Times" w:eastAsia="Times New Roman" w:hAnsi="Times" w:cs="Times New Roman"/>
        </w:rPr>
      </w:pPr>
    </w:p>
    <w:p w14:paraId="35DB35D0" w14:textId="77777777" w:rsidR="008A7F4A" w:rsidRDefault="008A7F4A" w:rsidP="00745C9A">
      <w:pPr>
        <w:pStyle w:val="ListParagraph"/>
        <w:numPr>
          <w:ilvl w:val="0"/>
          <w:numId w:val="92"/>
        </w:numPr>
        <w:spacing w:after="0" w:line="240" w:lineRule="auto"/>
        <w:ind w:left="3600" w:hanging="720"/>
        <w:jc w:val="both"/>
        <w:rPr>
          <w:rFonts w:ascii="Times" w:eastAsia="Times New Roman" w:hAnsi="Times" w:cs="Times New Roman"/>
        </w:rPr>
      </w:pPr>
      <w:r>
        <w:rPr>
          <w:rFonts w:ascii="Times" w:eastAsia="Times New Roman" w:hAnsi="Times" w:cs="Times New Roman"/>
        </w:rPr>
        <w:t xml:space="preserve">Investing any cash in the portfolio and reinvesting all investment proceeds using the company’s investment policy. </w:t>
      </w:r>
    </w:p>
    <w:p w14:paraId="35AC4EB8" w14:textId="77777777" w:rsidR="008A7F4A" w:rsidRDefault="008A7F4A" w:rsidP="008A7F4A">
      <w:pPr>
        <w:pStyle w:val="ListParagraph"/>
        <w:ind w:left="3600" w:hanging="720"/>
        <w:jc w:val="both"/>
        <w:rPr>
          <w:rFonts w:ascii="Times" w:eastAsia="Times New Roman" w:hAnsi="Times" w:cs="Times New Roman"/>
        </w:rPr>
      </w:pPr>
    </w:p>
    <w:p w14:paraId="2E54C0BC" w14:textId="77777777" w:rsidR="008A7F4A" w:rsidRDefault="008A7F4A" w:rsidP="00745C9A">
      <w:pPr>
        <w:pStyle w:val="ListParagraph"/>
        <w:numPr>
          <w:ilvl w:val="0"/>
          <w:numId w:val="92"/>
        </w:numPr>
        <w:spacing w:after="0" w:line="240" w:lineRule="auto"/>
        <w:ind w:left="3600" w:hanging="720"/>
        <w:jc w:val="both"/>
        <w:rPr>
          <w:rFonts w:ascii="Times" w:eastAsia="Times New Roman" w:hAnsi="Times" w:cs="Times New Roman"/>
        </w:rPr>
      </w:pPr>
      <w:r>
        <w:rPr>
          <w:rFonts w:ascii="Times" w:eastAsia="Times New Roman" w:hAnsi="Times" w:cs="Times New Roman"/>
        </w:rPr>
        <w:t>Excluding any liability cash flows.</w:t>
      </w:r>
    </w:p>
    <w:p w14:paraId="0472C89D" w14:textId="77777777" w:rsidR="008A7F4A" w:rsidRDefault="008A7F4A" w:rsidP="008A7F4A">
      <w:pPr>
        <w:ind w:left="3600" w:hanging="720"/>
        <w:jc w:val="both"/>
        <w:rPr>
          <w:rFonts w:ascii="Times" w:eastAsia="Times New Roman" w:hAnsi="Times" w:cs="Times New Roman"/>
        </w:rPr>
      </w:pPr>
    </w:p>
    <w:p w14:paraId="4286DA1E" w14:textId="77777777" w:rsidR="008A7F4A" w:rsidRDefault="008A7F4A" w:rsidP="00745C9A">
      <w:pPr>
        <w:pStyle w:val="ListParagraph"/>
        <w:numPr>
          <w:ilvl w:val="0"/>
          <w:numId w:val="92"/>
        </w:numPr>
        <w:spacing w:after="0" w:line="240" w:lineRule="auto"/>
        <w:ind w:left="3600" w:hanging="720"/>
        <w:jc w:val="both"/>
        <w:rPr>
          <w:rFonts w:ascii="Times" w:eastAsia="Times New Roman" w:hAnsi="Times" w:cs="Times New Roman"/>
        </w:rPr>
      </w:pPr>
      <w:r>
        <w:rPr>
          <w:rFonts w:ascii="Times" w:eastAsia="Times New Roman" w:hAnsi="Times" w:cs="Times New Roman"/>
        </w:rPr>
        <w:t xml:space="preserve">Incorporating the appropriate returns, </w:t>
      </w:r>
      <w:proofErr w:type="gramStart"/>
      <w:r>
        <w:rPr>
          <w:rFonts w:ascii="Times" w:eastAsia="Times New Roman" w:hAnsi="Times" w:cs="Times New Roman"/>
        </w:rPr>
        <w:t>defaults</w:t>
      </w:r>
      <w:proofErr w:type="gramEnd"/>
      <w:r>
        <w:rPr>
          <w:rFonts w:ascii="Times" w:eastAsia="Times New Roman" w:hAnsi="Times" w:cs="Times New Roman"/>
        </w:rPr>
        <w:t xml:space="preserve"> and investment expenses for the given scenario.</w:t>
      </w:r>
    </w:p>
    <w:p w14:paraId="4A6A9BBF" w14:textId="77777777" w:rsidR="008A7F4A" w:rsidRDefault="008A7F4A" w:rsidP="008A7F4A">
      <w:pPr>
        <w:spacing w:after="0"/>
        <w:jc w:val="both"/>
        <w:rPr>
          <w:rFonts w:ascii="Times" w:eastAsia="Times New Roman" w:hAnsi="Times" w:cs="Times New Roman"/>
        </w:rPr>
      </w:pPr>
    </w:p>
    <w:p w14:paraId="76E5C8F9" w14:textId="77777777" w:rsidR="008A7F4A" w:rsidRDefault="008A7F4A" w:rsidP="00745C9A">
      <w:pPr>
        <w:pStyle w:val="ListParagraph"/>
        <w:numPr>
          <w:ilvl w:val="0"/>
          <w:numId w:val="91"/>
        </w:numPr>
        <w:spacing w:after="0" w:line="240" w:lineRule="auto"/>
        <w:ind w:left="2880" w:hanging="720"/>
        <w:jc w:val="both"/>
        <w:rPr>
          <w:rFonts w:ascii="Times" w:eastAsia="Times New Roman" w:hAnsi="Times" w:cs="Times New Roman"/>
        </w:rPr>
      </w:pPr>
      <w:r>
        <w:rPr>
          <w:rFonts w:ascii="Times" w:eastAsia="Times New Roman" w:hAnsi="Times" w:cs="Times New Roman"/>
        </w:rPr>
        <w:t xml:space="preserve">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 </w:t>
      </w:r>
    </w:p>
    <w:p w14:paraId="685BE972" w14:textId="77777777" w:rsidR="008A7F4A" w:rsidRDefault="008A7F4A" w:rsidP="008A7F4A">
      <w:pPr>
        <w:pStyle w:val="ListParagraph"/>
        <w:ind w:left="2880"/>
        <w:jc w:val="both"/>
        <w:rPr>
          <w:rFonts w:ascii="Times" w:eastAsia="Times New Roman" w:hAnsi="Times" w:cs="Times New Roman"/>
        </w:rPr>
      </w:pPr>
    </w:p>
    <w:p w14:paraId="2917B752" w14:textId="77777777" w:rsidR="008A7F4A" w:rsidRDefault="008A7F4A" w:rsidP="00745C9A">
      <w:pPr>
        <w:pStyle w:val="ListParagraph"/>
        <w:numPr>
          <w:ilvl w:val="0"/>
          <w:numId w:val="91"/>
        </w:numPr>
        <w:spacing w:after="0" w:line="240" w:lineRule="auto"/>
        <w:ind w:left="2880" w:hanging="720"/>
        <w:jc w:val="both"/>
        <w:rPr>
          <w:rFonts w:ascii="Times" w:eastAsia="Times New Roman" w:hAnsi="Times" w:cs="Times New Roman"/>
        </w:rPr>
      </w:pPr>
      <w:r>
        <w:rPr>
          <w:rFonts w:ascii="Times" w:eastAsia="Times New Roman" w:hAnsi="Times" w:cs="Times New Roman"/>
        </w:rPr>
        <w:t xml:space="preserve">Determine a vector of annual earned rates that replicates the growth in the additional invested asset portfolio from the valuation date to the end of the projection period for the scenario. This vector will be the NAER for the given scenario. </w:t>
      </w:r>
    </w:p>
    <w:p w14:paraId="0DE096C4" w14:textId="77777777" w:rsidR="008A7F4A" w:rsidRDefault="008A7F4A" w:rsidP="008A7F4A">
      <w:pPr>
        <w:pStyle w:val="ListParagraph"/>
        <w:rPr>
          <w:rFonts w:ascii="Times" w:eastAsia="Times New Roman" w:hAnsi="Times" w:cs="Times New Roman"/>
        </w:rPr>
      </w:pPr>
    </w:p>
    <w:p w14:paraId="7C0485BC" w14:textId="77777777" w:rsidR="008A7F4A" w:rsidRDefault="008A7F4A" w:rsidP="00745C9A">
      <w:pPr>
        <w:pStyle w:val="ListParagraph"/>
        <w:numPr>
          <w:ilvl w:val="0"/>
          <w:numId w:val="91"/>
        </w:numPr>
        <w:spacing w:after="0" w:line="240" w:lineRule="auto"/>
        <w:ind w:left="2880" w:hanging="720"/>
        <w:jc w:val="both"/>
        <w:rPr>
          <w:rFonts w:ascii="Times" w:eastAsia="Times New Roman" w:hAnsi="Times" w:cs="Times New Roman"/>
        </w:rPr>
      </w:pPr>
      <w:r>
        <w:rPr>
          <w:rFonts w:ascii="Times" w:eastAsia="Times New Roman" w:hAnsi="Times" w:cs="Times New Roman"/>
        </w:rPr>
        <w:t xml:space="preserve">If the depletion of assets within the projection results in an unreasonably high negative NAER upon borrowing, the NAER may be set to the assumed cost of borrowing associated with each projected </w:t>
      </w:r>
      <w:proofErr w:type="gramStart"/>
      <w:r>
        <w:rPr>
          <w:rFonts w:ascii="Times" w:eastAsia="Times New Roman" w:hAnsi="Times" w:cs="Times New Roman"/>
        </w:rPr>
        <w:t>time period</w:t>
      </w:r>
      <w:proofErr w:type="gramEnd"/>
      <w:r>
        <w:rPr>
          <w:rFonts w:ascii="Times" w:eastAsia="Times New Roman" w:hAnsi="Times" w:cs="Times New Roman"/>
        </w:rPr>
        <w:t>, in accordance with Section 4.D.3.c, as a safe harbor.</w:t>
      </w:r>
    </w:p>
    <w:p w14:paraId="548B87C3" w14:textId="77777777" w:rsidR="008A7F4A" w:rsidRDefault="008A7F4A" w:rsidP="008A7F4A">
      <w:pPr>
        <w:spacing w:after="0"/>
        <w:jc w:val="both"/>
        <w:rPr>
          <w:rFonts w:ascii="Times" w:eastAsia="Times New Roman" w:hAnsi="Times" w:cs="Times New Roman"/>
        </w:rPr>
      </w:pPr>
    </w:p>
    <w:p w14:paraId="07E43775" w14:textId="77777777" w:rsidR="008A7F4A" w:rsidRDefault="008A7F4A" w:rsidP="008A7F4A">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Pr>
          <w:rFonts w:ascii="Times" w:eastAsia="Times New Roman" w:hAnsi="Times" w:cs="Times New Roman"/>
          <w:b/>
        </w:rPr>
        <w:t>Guidance Note:</w:t>
      </w:r>
      <w:r>
        <w:rPr>
          <w:rFonts w:ascii="Times" w:eastAsia="Times New Roman" w:hAnsi="Times" w:cs="Times New Roman"/>
        </w:rPr>
        <w:t xml:space="preserve"> There are multiple ways to select the additional invested asset portfolio at the valuation date. Similarly, there are multiple ways to determine the earned rate vector. The company shall be consistent in its choice of methods, from one valuation to the next. </w:t>
      </w:r>
    </w:p>
    <w:p w14:paraId="59304165" w14:textId="77777777" w:rsidR="008A7F4A" w:rsidRDefault="008A7F4A" w:rsidP="008A7F4A">
      <w:pPr>
        <w:pStyle w:val="ListParagraph"/>
        <w:spacing w:after="0" w:line="240" w:lineRule="auto"/>
        <w:ind w:left="1440"/>
        <w:jc w:val="both"/>
        <w:rPr>
          <w:rFonts w:ascii="Times" w:eastAsia="Times New Roman" w:hAnsi="Times" w:cs="Times New Roman"/>
        </w:rPr>
      </w:pPr>
    </w:p>
    <w:p w14:paraId="2B499AE1" w14:textId="77777777" w:rsidR="008A7F4A" w:rsidRDefault="008A7F4A" w:rsidP="008A7F4A">
      <w:pPr>
        <w:pStyle w:val="Heading2"/>
        <w:rPr>
          <w:sz w:val="22"/>
          <w:szCs w:val="22"/>
        </w:rPr>
      </w:pPr>
      <w:bookmarkStart w:id="61" w:name="_Toc77242143"/>
      <w:r>
        <w:rPr>
          <w:sz w:val="22"/>
          <w:szCs w:val="22"/>
        </w:rPr>
        <w:t>C.</w:t>
      </w:r>
      <w:r>
        <w:rPr>
          <w:sz w:val="22"/>
          <w:szCs w:val="22"/>
        </w:rPr>
        <w:tab/>
        <w:t>Projection Scenarios</w:t>
      </w:r>
      <w:bookmarkEnd w:id="61"/>
    </w:p>
    <w:p w14:paraId="41C785C0" w14:textId="77777777" w:rsidR="008A7F4A" w:rsidRDefault="008A7F4A" w:rsidP="008A7F4A">
      <w:pPr>
        <w:pStyle w:val="ListParagraph"/>
        <w:spacing w:after="0" w:line="240" w:lineRule="auto"/>
        <w:ind w:left="1440"/>
        <w:jc w:val="both"/>
        <w:rPr>
          <w:rFonts w:ascii="Times" w:eastAsia="Times New Roman" w:hAnsi="Times" w:cs="Times New Roman"/>
        </w:rPr>
      </w:pPr>
    </w:p>
    <w:p w14:paraId="1E62F2B0" w14:textId="77777777" w:rsidR="008A7F4A" w:rsidRDefault="008A7F4A" w:rsidP="00745C9A">
      <w:pPr>
        <w:pStyle w:val="ListParagraph"/>
        <w:numPr>
          <w:ilvl w:val="2"/>
          <w:numId w:val="90"/>
        </w:numPr>
        <w:spacing w:after="0" w:line="240" w:lineRule="auto"/>
        <w:ind w:left="1440" w:hanging="720"/>
        <w:jc w:val="both"/>
        <w:rPr>
          <w:rFonts w:ascii="Times" w:eastAsia="Times New Roman" w:hAnsi="Times" w:cs="Times New Roman"/>
        </w:rPr>
      </w:pPr>
      <w:r>
        <w:rPr>
          <w:rFonts w:ascii="Times" w:eastAsia="Times New Roman" w:hAnsi="Times" w:cs="Times New Roman"/>
        </w:rPr>
        <w:t xml:space="preserve">Number of Scenarios </w:t>
      </w:r>
    </w:p>
    <w:p w14:paraId="55051EE8" w14:textId="77777777" w:rsidR="008A7F4A" w:rsidRDefault="008A7F4A" w:rsidP="008A7F4A">
      <w:pPr>
        <w:pStyle w:val="ListParagraph"/>
        <w:ind w:left="1080"/>
        <w:jc w:val="both"/>
        <w:rPr>
          <w:rFonts w:ascii="Times" w:eastAsia="Times New Roman" w:hAnsi="Times" w:cs="Times New Roman"/>
        </w:rPr>
      </w:pPr>
    </w:p>
    <w:p w14:paraId="407F835F" w14:textId="77777777" w:rsidR="008A7F4A" w:rsidRDefault="008A7F4A" w:rsidP="008A7F4A">
      <w:pPr>
        <w:pStyle w:val="ListParagraph"/>
        <w:ind w:left="1440"/>
        <w:jc w:val="both"/>
        <w:rPr>
          <w:rFonts w:ascii="Times" w:eastAsia="Times New Roman" w:hAnsi="Times" w:cs="Times New Roman"/>
        </w:rPr>
      </w:pPr>
      <w:r>
        <w:rPr>
          <w:rFonts w:ascii="Times" w:eastAsia="Times New Roman" w:hAnsi="Times" w:cs="Times New Roman"/>
        </w:rPr>
        <w:t xml:space="preserve">The number of scenarios for which the scenario reserve shall be computed shall be the responsibility of the company, and it shall </w:t>
      </w:r>
      <w:proofErr w:type="gramStart"/>
      <w:r>
        <w:rPr>
          <w:rFonts w:ascii="Times" w:eastAsia="Times New Roman" w:hAnsi="Times" w:cs="Times New Roman"/>
        </w:rPr>
        <w:t>be considered to be</w:t>
      </w:r>
      <w:proofErr w:type="gramEnd"/>
      <w:r>
        <w:rPr>
          <w:rFonts w:ascii="Times" w:eastAsia="Times New Roman" w:hAnsi="Times" w:cs="Times New Roman"/>
        </w:rPr>
        <w:t xml:space="preserve"> sufficient if any resulting understatement in the stochastic reserve, as compared with that resulting from running additional scenarios, is not material. </w:t>
      </w:r>
    </w:p>
    <w:p w14:paraId="76DFAC39" w14:textId="77777777" w:rsidR="008A7F4A" w:rsidRDefault="008A7F4A" w:rsidP="008A7F4A">
      <w:pPr>
        <w:pStyle w:val="ListParagraph"/>
        <w:ind w:left="4140"/>
        <w:jc w:val="both"/>
        <w:rPr>
          <w:rFonts w:ascii="Times" w:eastAsia="Times New Roman" w:hAnsi="Times" w:cs="Times New Roman"/>
        </w:rPr>
      </w:pPr>
    </w:p>
    <w:p w14:paraId="7DDF094E" w14:textId="77777777" w:rsidR="008A7F4A" w:rsidRDefault="008A7F4A" w:rsidP="00745C9A">
      <w:pPr>
        <w:pStyle w:val="ListParagraph"/>
        <w:numPr>
          <w:ilvl w:val="2"/>
          <w:numId w:val="90"/>
        </w:numPr>
        <w:spacing w:after="0" w:line="240" w:lineRule="auto"/>
        <w:ind w:left="1440" w:hanging="720"/>
        <w:jc w:val="both"/>
        <w:rPr>
          <w:rFonts w:ascii="Times" w:eastAsia="Times New Roman" w:hAnsi="Times" w:cs="Times New Roman"/>
        </w:rPr>
      </w:pPr>
      <w:r>
        <w:rPr>
          <w:rFonts w:ascii="Times" w:eastAsia="Times New Roman" w:hAnsi="Times" w:cs="Times New Roman"/>
        </w:rPr>
        <w:t xml:space="preserve">Economic Scenario Generation </w:t>
      </w:r>
    </w:p>
    <w:p w14:paraId="7074E640" w14:textId="77777777" w:rsidR="008A7F4A" w:rsidRDefault="008A7F4A" w:rsidP="008A7F4A">
      <w:pPr>
        <w:spacing w:after="0"/>
        <w:ind w:left="1440"/>
        <w:jc w:val="both"/>
        <w:rPr>
          <w:rFonts w:ascii="Times" w:eastAsia="Times New Roman" w:hAnsi="Times" w:cs="Times New Roman"/>
        </w:rPr>
      </w:pPr>
    </w:p>
    <w:p w14:paraId="4FB21B43" w14:textId="77777777" w:rsidR="008A7F4A" w:rsidRDefault="008A7F4A" w:rsidP="008A7F4A">
      <w:pPr>
        <w:spacing w:after="0"/>
        <w:ind w:left="1440"/>
        <w:jc w:val="both"/>
        <w:rPr>
          <w:rFonts w:ascii="Times" w:eastAsia="Times New Roman" w:hAnsi="Times" w:cs="Times New Roman"/>
        </w:rPr>
      </w:pPr>
      <w:r>
        <w:rPr>
          <w:rFonts w:ascii="Times" w:eastAsia="Times New Roman" w:hAnsi="Times" w:cs="Times New Roman"/>
        </w:rPr>
        <w:t xml:space="preserve">Treasury Department interest rate curves, as well as investment return paths for index funds, equities, and fixed income assets shall be determined on a stochastic basis using the methodology described in Section 8. If the company uses a proprietary generator to develop scenarios, the company shall demonstrate that the resulting scenarios meet the requirements described in Section 8. </w:t>
      </w:r>
    </w:p>
    <w:p w14:paraId="7ECCB679" w14:textId="77777777" w:rsidR="008A7F4A" w:rsidRDefault="008A7F4A" w:rsidP="008A7F4A">
      <w:pPr>
        <w:spacing w:after="0"/>
        <w:jc w:val="both"/>
        <w:rPr>
          <w:rFonts w:ascii="Times" w:eastAsia="Times New Roman" w:hAnsi="Times" w:cs="Times New Roman"/>
        </w:rPr>
      </w:pPr>
    </w:p>
    <w:p w14:paraId="0E8137B2" w14:textId="77777777" w:rsidR="008A7F4A" w:rsidRDefault="008A7F4A" w:rsidP="00745C9A">
      <w:pPr>
        <w:pStyle w:val="Heading2"/>
        <w:numPr>
          <w:ilvl w:val="0"/>
          <w:numId w:val="93"/>
        </w:numPr>
        <w:rPr>
          <w:sz w:val="22"/>
          <w:szCs w:val="22"/>
        </w:rPr>
      </w:pPr>
      <w:bookmarkStart w:id="62" w:name="_Toc77242144"/>
      <w:r>
        <w:rPr>
          <w:sz w:val="22"/>
          <w:szCs w:val="22"/>
        </w:rPr>
        <w:lastRenderedPageBreak/>
        <w:t>Projection of Assets</w:t>
      </w:r>
      <w:bookmarkEnd w:id="62"/>
      <w:r>
        <w:rPr>
          <w:sz w:val="22"/>
          <w:szCs w:val="22"/>
        </w:rPr>
        <w:t xml:space="preserve"> </w:t>
      </w:r>
    </w:p>
    <w:p w14:paraId="0E426555" w14:textId="77777777" w:rsidR="008A7F4A" w:rsidRDefault="008A7F4A" w:rsidP="008A7F4A">
      <w:pPr>
        <w:pStyle w:val="ListParagraph"/>
        <w:ind w:left="360"/>
        <w:jc w:val="both"/>
        <w:rPr>
          <w:rFonts w:ascii="Times" w:eastAsia="Times New Roman" w:hAnsi="Times" w:cs="Times New Roman"/>
        </w:rPr>
      </w:pPr>
    </w:p>
    <w:p w14:paraId="2436342A" w14:textId="77777777" w:rsidR="008A7F4A" w:rsidRDefault="008A7F4A" w:rsidP="00745C9A">
      <w:pPr>
        <w:pStyle w:val="ListParagraph"/>
        <w:numPr>
          <w:ilvl w:val="0"/>
          <w:numId w:val="94"/>
        </w:numPr>
        <w:spacing w:after="0" w:line="240" w:lineRule="auto"/>
        <w:ind w:left="1440" w:hanging="720"/>
        <w:jc w:val="both"/>
        <w:rPr>
          <w:rFonts w:ascii="Times" w:eastAsia="Times New Roman" w:hAnsi="Times" w:cs="Times New Roman"/>
        </w:rPr>
      </w:pPr>
      <w:r>
        <w:rPr>
          <w:rFonts w:ascii="Times" w:eastAsia="Times New Roman" w:hAnsi="Times" w:cs="Times New Roman"/>
        </w:rPr>
        <w:t xml:space="preserve">Starting Asset Amount </w:t>
      </w:r>
    </w:p>
    <w:p w14:paraId="4E7BF145" w14:textId="77777777" w:rsidR="008A7F4A" w:rsidRDefault="008A7F4A" w:rsidP="008A7F4A">
      <w:pPr>
        <w:pStyle w:val="ListParagraph"/>
        <w:ind w:left="1440"/>
        <w:jc w:val="both"/>
        <w:rPr>
          <w:rFonts w:ascii="Times" w:eastAsia="Times New Roman" w:hAnsi="Times" w:cs="Times New Roman"/>
        </w:rPr>
      </w:pPr>
    </w:p>
    <w:p w14:paraId="03E3BEE2" w14:textId="77777777" w:rsidR="008A7F4A" w:rsidRDefault="008A7F4A" w:rsidP="00745C9A">
      <w:pPr>
        <w:pStyle w:val="ListParagraph"/>
        <w:numPr>
          <w:ilvl w:val="1"/>
          <w:numId w:val="94"/>
        </w:numPr>
        <w:spacing w:after="0" w:line="240" w:lineRule="auto"/>
        <w:ind w:left="2160" w:hanging="720"/>
        <w:jc w:val="both"/>
        <w:rPr>
          <w:rFonts w:ascii="Times" w:eastAsia="Times New Roman" w:hAnsi="Times" w:cs="Times New Roman"/>
        </w:rPr>
      </w:pPr>
      <w:r>
        <w:rPr>
          <w:rFonts w:ascii="Times" w:eastAsia="Times New Roman" w:hAnsi="Times" w:cs="Times New Roman"/>
        </w:rPr>
        <w:t xml:space="preserve">For the projections of accumulated deficiencies, the value of assets at the start of the projection shall be set equal to the approximate value of statutory reserves at the start of the projection plus the allocated amount of PIMR attributable to the assets selected. Assets shall be valued consistently with their annual statement values. The amount of such asset values shall equal the sum of the following items, all as of the start of the projection: </w:t>
      </w:r>
    </w:p>
    <w:p w14:paraId="531E9D45" w14:textId="77777777" w:rsidR="008A7F4A" w:rsidRDefault="008A7F4A" w:rsidP="008A7F4A">
      <w:pPr>
        <w:pStyle w:val="ListParagraph"/>
        <w:ind w:left="2880"/>
        <w:jc w:val="both"/>
        <w:rPr>
          <w:rFonts w:ascii="Times" w:eastAsia="Times New Roman" w:hAnsi="Times" w:cs="Times New Roman"/>
        </w:rPr>
      </w:pPr>
    </w:p>
    <w:p w14:paraId="5884509C"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Any hedge instruments held in support of the contracts being valued; and</w:t>
      </w:r>
    </w:p>
    <w:p w14:paraId="671543C4" w14:textId="77777777" w:rsidR="008A7F4A" w:rsidRDefault="008A7F4A" w:rsidP="008A7F4A">
      <w:pPr>
        <w:jc w:val="both"/>
        <w:rPr>
          <w:rFonts w:ascii="Times" w:eastAsia="Times New Roman" w:hAnsi="Times" w:cs="Times New Roman"/>
        </w:rPr>
      </w:pPr>
    </w:p>
    <w:p w14:paraId="35D5A0E7"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 xml:space="preserve">An amount of assets held in the general account equal to the approximate value of statutory reserves as of the start of the projections less the amount in (i). </w:t>
      </w:r>
    </w:p>
    <w:p w14:paraId="5F8A8A91" w14:textId="77777777" w:rsidR="008A7F4A" w:rsidRDefault="008A7F4A" w:rsidP="008A7F4A">
      <w:pPr>
        <w:jc w:val="both"/>
        <w:rPr>
          <w:rFonts w:ascii="Times" w:eastAsia="Times New Roman" w:hAnsi="Times" w:cs="Times New Roman"/>
        </w:rPr>
      </w:pPr>
    </w:p>
    <w:p w14:paraId="60F2D5E8" w14:textId="77777777" w:rsidR="008A7F4A" w:rsidRDefault="008A7F4A" w:rsidP="00745C9A">
      <w:pPr>
        <w:pStyle w:val="ListParagraph"/>
        <w:numPr>
          <w:ilvl w:val="1"/>
          <w:numId w:val="94"/>
        </w:numPr>
        <w:spacing w:after="0" w:line="240" w:lineRule="auto"/>
        <w:ind w:left="2160" w:hanging="720"/>
        <w:jc w:val="both"/>
        <w:rPr>
          <w:rFonts w:ascii="Times" w:eastAsia="Times New Roman" w:hAnsi="Times" w:cs="Times New Roman"/>
        </w:rPr>
      </w:pPr>
      <w:r>
        <w:rPr>
          <w:rFonts w:ascii="Times" w:eastAsia="Times New Roman" w:hAnsi="Times" w:cs="Times New Roman"/>
        </w:rPr>
        <w:t>If the amount of initial general account assets is negative, the model should reflect a projected interest expense. General account assets chosen for use as described above shall be selected on a consistent basis from one reserve valuation hereunder to the next.</w:t>
      </w:r>
    </w:p>
    <w:p w14:paraId="5F052170" w14:textId="77777777" w:rsidR="008A7F4A" w:rsidRDefault="008A7F4A" w:rsidP="008A7F4A">
      <w:pPr>
        <w:pStyle w:val="ListParagraph"/>
        <w:spacing w:after="0" w:line="240" w:lineRule="auto"/>
        <w:ind w:left="1440"/>
        <w:jc w:val="both"/>
        <w:rPr>
          <w:rFonts w:ascii="Times" w:eastAsia="Times New Roman" w:hAnsi="Times" w:cs="Times New Roman"/>
        </w:rPr>
      </w:pPr>
    </w:p>
    <w:p w14:paraId="62E09EB3" w14:textId="77777777" w:rsidR="008A7F4A" w:rsidRDefault="008A7F4A" w:rsidP="00745C9A">
      <w:pPr>
        <w:pStyle w:val="ListParagraph"/>
        <w:numPr>
          <w:ilvl w:val="0"/>
          <w:numId w:val="94"/>
        </w:numPr>
        <w:spacing w:after="0" w:line="240" w:lineRule="auto"/>
        <w:ind w:left="1440" w:hanging="720"/>
        <w:jc w:val="both"/>
        <w:rPr>
          <w:rFonts w:ascii="Times" w:eastAsia="Times New Roman" w:hAnsi="Times" w:cs="Times New Roman"/>
        </w:rPr>
      </w:pPr>
      <w:r>
        <w:rPr>
          <w:rFonts w:ascii="Times" w:eastAsia="Times New Roman" w:hAnsi="Times" w:cs="Times New Roman"/>
        </w:rPr>
        <w:t xml:space="preserve">Valuation of Projected Assets </w:t>
      </w:r>
    </w:p>
    <w:p w14:paraId="5E353123" w14:textId="77777777" w:rsidR="008A7F4A" w:rsidRDefault="008A7F4A" w:rsidP="008A7F4A">
      <w:pPr>
        <w:pStyle w:val="ListParagraph"/>
        <w:jc w:val="both"/>
        <w:rPr>
          <w:rFonts w:ascii="Times" w:eastAsia="Times New Roman" w:hAnsi="Times" w:cs="Times New Roman"/>
        </w:rPr>
      </w:pPr>
    </w:p>
    <w:p w14:paraId="39AAEC13" w14:textId="77777777" w:rsidR="008A7F4A" w:rsidRDefault="008A7F4A" w:rsidP="008A7F4A">
      <w:pPr>
        <w:pStyle w:val="ListParagraph"/>
        <w:ind w:left="1440"/>
        <w:jc w:val="both"/>
        <w:rPr>
          <w:rFonts w:ascii="Times" w:eastAsia="Times New Roman" w:hAnsi="Times" w:cs="Times New Roman"/>
        </w:rPr>
      </w:pPr>
      <w:r>
        <w:rPr>
          <w:rFonts w:ascii="Times" w:eastAsia="Times New Roman" w:hAnsi="Times" w:cs="Times New Roman"/>
        </w:rPr>
        <w:t>For purposes of determining the projected accumulated deficiencies, the value of projected assets shall be determined in a manner consistent with their value at the start of the projection. For assets assumed to be purchased during a projection, the value shall be determined in a manner consistent with the value of assets at the start of the projection that have similar investment characteristics. However, for derivative instruments that are used in hedging and are not assumed to be sold during a particular projection interval, the company may account for them at an amortized cost in an appropriate manner elected by the company.</w:t>
      </w:r>
    </w:p>
    <w:p w14:paraId="6D2F5F01" w14:textId="77777777" w:rsidR="008A7F4A" w:rsidRDefault="008A7F4A" w:rsidP="008A7F4A">
      <w:pPr>
        <w:pStyle w:val="ListParagraph"/>
        <w:ind w:left="1440"/>
        <w:jc w:val="both"/>
        <w:rPr>
          <w:rFonts w:ascii="Times" w:eastAsia="Times New Roman" w:hAnsi="Times" w:cs="Times New Roman"/>
        </w:rPr>
      </w:pPr>
    </w:p>
    <w:p w14:paraId="4D5C9BDA" w14:textId="77777777" w:rsidR="008A7F4A" w:rsidRDefault="008A7F4A" w:rsidP="008A7F4A">
      <w:pPr>
        <w:pStyle w:val="ListParagraph"/>
        <w:pBdr>
          <w:top w:val="single" w:sz="4" w:space="1" w:color="auto"/>
          <w:left w:val="single" w:sz="4" w:space="4" w:color="auto"/>
          <w:bottom w:val="single" w:sz="4" w:space="1" w:color="auto"/>
          <w:right w:val="single" w:sz="4" w:space="4" w:color="auto"/>
          <w:between w:val="single" w:sz="4" w:space="1" w:color="auto"/>
        </w:pBdr>
        <w:ind w:left="0"/>
        <w:jc w:val="both"/>
        <w:rPr>
          <w:rFonts w:ascii="Times" w:eastAsia="Times New Roman" w:hAnsi="Times" w:cs="Times New Roman"/>
        </w:rPr>
      </w:pPr>
      <w:r>
        <w:rPr>
          <w:rFonts w:ascii="Times" w:eastAsia="Times New Roman" w:hAnsi="Times" w:cs="Times New Roman"/>
          <w:b/>
        </w:rPr>
        <w:t>Guidance Note</w:t>
      </w:r>
      <w:r>
        <w:rPr>
          <w:rFonts w:ascii="Times" w:eastAsia="Times New Roman" w:hAnsi="Times" w:cs="Times New Roman"/>
        </w:rPr>
        <w:t>: Accounting for hedge assets should recognize any methodology prescribed by a company’s state of domicile.</w:t>
      </w:r>
    </w:p>
    <w:p w14:paraId="74D3E903" w14:textId="77777777" w:rsidR="008A7F4A" w:rsidRDefault="008A7F4A" w:rsidP="008A7F4A">
      <w:pPr>
        <w:pStyle w:val="ListParagraph"/>
        <w:jc w:val="both"/>
        <w:rPr>
          <w:rFonts w:ascii="Times" w:eastAsia="Times New Roman" w:hAnsi="Times" w:cs="Times New Roman"/>
        </w:rPr>
      </w:pPr>
    </w:p>
    <w:p w14:paraId="009F0ABC" w14:textId="77777777" w:rsidR="008A7F4A" w:rsidRDefault="008A7F4A" w:rsidP="00745C9A">
      <w:pPr>
        <w:pStyle w:val="ListParagraph"/>
        <w:numPr>
          <w:ilvl w:val="0"/>
          <w:numId w:val="94"/>
        </w:numPr>
        <w:spacing w:after="0" w:line="240" w:lineRule="auto"/>
        <w:ind w:left="1440" w:hanging="720"/>
        <w:jc w:val="both"/>
        <w:rPr>
          <w:rFonts w:ascii="Times" w:eastAsia="Times New Roman" w:hAnsi="Times" w:cs="Times New Roman"/>
        </w:rPr>
      </w:pPr>
      <w:r>
        <w:rPr>
          <w:rFonts w:ascii="Times" w:eastAsia="Times New Roman" w:hAnsi="Times" w:cs="Times New Roman"/>
        </w:rPr>
        <w:t xml:space="preserve">General Account Assets </w:t>
      </w:r>
    </w:p>
    <w:p w14:paraId="706B7E79" w14:textId="77777777" w:rsidR="008A7F4A" w:rsidRDefault="008A7F4A" w:rsidP="008A7F4A">
      <w:pPr>
        <w:pStyle w:val="ListParagraph"/>
        <w:jc w:val="both"/>
        <w:rPr>
          <w:rFonts w:ascii="Times" w:eastAsia="Times New Roman" w:hAnsi="Times" w:cs="Times New Roman"/>
        </w:rPr>
      </w:pPr>
    </w:p>
    <w:p w14:paraId="66DFE04A" w14:textId="77777777" w:rsidR="008A7F4A" w:rsidRDefault="008A7F4A" w:rsidP="00745C9A">
      <w:pPr>
        <w:pStyle w:val="ListParagraph"/>
        <w:numPr>
          <w:ilvl w:val="1"/>
          <w:numId w:val="94"/>
        </w:numPr>
        <w:spacing w:after="0" w:line="240" w:lineRule="auto"/>
        <w:ind w:left="2160" w:hanging="720"/>
        <w:jc w:val="both"/>
        <w:rPr>
          <w:rFonts w:ascii="Times" w:eastAsia="Times New Roman" w:hAnsi="Times" w:cs="Times New Roman"/>
        </w:rPr>
      </w:pPr>
      <w:r>
        <w:rPr>
          <w:rFonts w:ascii="Times" w:eastAsia="Times New Roman" w:hAnsi="Times" w:cs="Times New Roman"/>
        </w:rPr>
        <w:t>General account assets shall be projected, net of projected defaults, using assumed investment returns consistent with their book value and expected to be realized in future periods as of the date of valuation. Initial assets that mature during the projection and positive cash flows projected for future periods shall be invested in a manner that is representative of and consistent with the company’s investment policy, subject to the following requirements:</w:t>
      </w:r>
    </w:p>
    <w:p w14:paraId="35AC77AF" w14:textId="77777777" w:rsidR="008A7F4A" w:rsidRDefault="008A7F4A" w:rsidP="008A7F4A">
      <w:pPr>
        <w:pStyle w:val="ListParagraph"/>
        <w:ind w:left="2160"/>
        <w:jc w:val="both"/>
        <w:rPr>
          <w:rFonts w:ascii="Times" w:eastAsia="Times New Roman" w:hAnsi="Times" w:cs="Times New Roman"/>
        </w:rPr>
      </w:pPr>
    </w:p>
    <w:p w14:paraId="347857A1"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 xml:space="preserve">The final maturities and cash flow structures of assets purchased in the model, such as the patterns of gross investment income and principal repayments or a fixed or floating rate interest basis, shall be determined by the company as part of the model </w:t>
      </w:r>
      <w:proofErr w:type="gramStart"/>
      <w:r>
        <w:rPr>
          <w:rFonts w:ascii="Times" w:eastAsia="Times New Roman" w:hAnsi="Times" w:cs="Times New Roman"/>
        </w:rPr>
        <w:t>representation;</w:t>
      </w:r>
      <w:proofErr w:type="gramEnd"/>
    </w:p>
    <w:p w14:paraId="07C69A47" w14:textId="77777777" w:rsidR="008A7F4A" w:rsidRDefault="008A7F4A" w:rsidP="008A7F4A">
      <w:pPr>
        <w:pStyle w:val="ListParagraph"/>
        <w:ind w:left="2880" w:hanging="720"/>
        <w:jc w:val="both"/>
        <w:rPr>
          <w:rFonts w:ascii="Times" w:eastAsia="Times New Roman" w:hAnsi="Times" w:cs="Times New Roman"/>
        </w:rPr>
      </w:pPr>
    </w:p>
    <w:p w14:paraId="691940A6"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 xml:space="preserve">The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w:t>
      </w:r>
      <w:proofErr w:type="gramStart"/>
      <w:r>
        <w:rPr>
          <w:rFonts w:ascii="Times" w:eastAsia="Times New Roman" w:hAnsi="Times" w:cs="Times New Roman"/>
        </w:rPr>
        <w:t>below;</w:t>
      </w:r>
      <w:proofErr w:type="gramEnd"/>
    </w:p>
    <w:p w14:paraId="08D21C9D" w14:textId="77777777" w:rsidR="008A7F4A" w:rsidRDefault="008A7F4A" w:rsidP="008A7F4A">
      <w:pPr>
        <w:spacing w:after="0"/>
        <w:ind w:left="2880" w:hanging="720"/>
        <w:jc w:val="both"/>
        <w:rPr>
          <w:rFonts w:ascii="Times" w:eastAsia="Times New Roman" w:hAnsi="Times" w:cs="Times New Roman"/>
        </w:rPr>
      </w:pPr>
    </w:p>
    <w:p w14:paraId="7FA0739F"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 xml:space="preserve">For purchases of public non-callable corporate bonds, follow the requirements defined in VM-20 Sections 7.E, 7.F and 9.F. The prescribed spreads reflect current market conditions as of the model start date and grade to long-term conditions based on historical data at the start of projection year </w:t>
      </w:r>
      <w:proofErr w:type="gramStart"/>
      <w:r>
        <w:rPr>
          <w:rFonts w:ascii="Times" w:eastAsia="Times New Roman" w:hAnsi="Times" w:cs="Times New Roman"/>
        </w:rPr>
        <w:t>four;</w:t>
      </w:r>
      <w:proofErr w:type="gramEnd"/>
    </w:p>
    <w:p w14:paraId="49808AA1" w14:textId="77777777" w:rsidR="008A7F4A" w:rsidRDefault="008A7F4A" w:rsidP="008A7F4A">
      <w:pPr>
        <w:spacing w:after="0"/>
        <w:ind w:left="2880" w:hanging="720"/>
        <w:jc w:val="both"/>
        <w:rPr>
          <w:rFonts w:ascii="Times" w:eastAsia="Times New Roman" w:hAnsi="Times" w:cs="Times New Roman"/>
        </w:rPr>
      </w:pPr>
    </w:p>
    <w:p w14:paraId="635323AB"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 xml:space="preserve">For transactions of derivative instruments associated with fixed income investments, reflect the prescribed assumptions in VM-20 Section 9.F for interest rate swap </w:t>
      </w:r>
      <w:proofErr w:type="gramStart"/>
      <w:r>
        <w:rPr>
          <w:rFonts w:ascii="Times" w:eastAsia="Times New Roman" w:hAnsi="Times" w:cs="Times New Roman"/>
        </w:rPr>
        <w:t>spreads;</w:t>
      </w:r>
      <w:proofErr w:type="gramEnd"/>
      <w:r>
        <w:rPr>
          <w:rFonts w:ascii="Times" w:eastAsia="Times New Roman" w:hAnsi="Times" w:cs="Times New Roman"/>
        </w:rPr>
        <w:t xml:space="preserve"> </w:t>
      </w:r>
    </w:p>
    <w:p w14:paraId="078C4784" w14:textId="77777777" w:rsidR="008A7F4A" w:rsidRDefault="008A7F4A" w:rsidP="008A7F4A">
      <w:pPr>
        <w:spacing w:after="0"/>
        <w:ind w:left="2880" w:hanging="720"/>
        <w:jc w:val="both"/>
        <w:rPr>
          <w:rFonts w:ascii="Times" w:eastAsia="Times New Roman" w:hAnsi="Times" w:cs="Times New Roman"/>
        </w:rPr>
      </w:pPr>
    </w:p>
    <w:p w14:paraId="2BA0581D"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 xml:space="preserve">For purchases of other fixed income investments, if included in the model investment strategy, set assumed gross asset spreads over U.S. Treasuries in a manner that is consistent with, and results in reasonable relationships to, the prescribed spreads for public non-callable corporate bonds and interest rate swaps. </w:t>
      </w:r>
    </w:p>
    <w:p w14:paraId="41611D1D" w14:textId="77777777" w:rsidR="008A7F4A" w:rsidRDefault="008A7F4A" w:rsidP="008A7F4A">
      <w:pPr>
        <w:pStyle w:val="ListParagraph"/>
        <w:ind w:left="2880" w:hanging="720"/>
        <w:jc w:val="both"/>
        <w:rPr>
          <w:rFonts w:ascii="Times" w:eastAsia="Times New Roman" w:hAnsi="Times" w:cs="Times New Roman"/>
        </w:rPr>
      </w:pPr>
    </w:p>
    <w:p w14:paraId="45A6AD70" w14:textId="77777777" w:rsidR="008A7F4A" w:rsidRDefault="008A7F4A" w:rsidP="00745C9A">
      <w:pPr>
        <w:pStyle w:val="ListParagraph"/>
        <w:numPr>
          <w:ilvl w:val="1"/>
          <w:numId w:val="94"/>
        </w:numPr>
        <w:spacing w:after="0" w:line="240" w:lineRule="auto"/>
        <w:ind w:left="2160" w:hanging="720"/>
        <w:jc w:val="both"/>
        <w:rPr>
          <w:rFonts w:ascii="Times" w:eastAsia="Times New Roman" w:hAnsi="Times" w:cs="Times New Roman"/>
        </w:rPr>
      </w:pPr>
      <w:r>
        <w:rPr>
          <w:rFonts w:ascii="Times" w:eastAsia="Times New Roman" w:hAnsi="Times" w:cs="Times New Roman"/>
        </w:rPr>
        <w:t>Notwithstanding the above requirements, the model investment strategy and any non-prescribed asset spreads shall be adjusted as necessary so that the aggregate reserve is not less than that which would be obtained by substituting an alternative investment strategy in which all fixed income reinvestment assets are public non-callable corporate bonds with gross asset spreads, asset default costs, and investment expenses by projection year that are consistent with a credit quality blend of:</w:t>
      </w:r>
    </w:p>
    <w:p w14:paraId="26587B9A" w14:textId="77777777" w:rsidR="008A7F4A" w:rsidRDefault="008A7F4A" w:rsidP="008A7F4A">
      <w:pPr>
        <w:pStyle w:val="ListParagraph"/>
        <w:ind w:left="2160"/>
        <w:jc w:val="both"/>
        <w:rPr>
          <w:rFonts w:ascii="Times" w:eastAsia="Times New Roman" w:hAnsi="Times" w:cs="Times New Roman"/>
        </w:rPr>
      </w:pPr>
    </w:p>
    <w:p w14:paraId="2B8A9B96"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5% Treasury</w:t>
      </w:r>
    </w:p>
    <w:p w14:paraId="7F7F9EC2" w14:textId="77777777" w:rsidR="008A7F4A" w:rsidRDefault="008A7F4A" w:rsidP="008A7F4A">
      <w:pPr>
        <w:pStyle w:val="ListParagraph"/>
        <w:ind w:left="2880"/>
        <w:jc w:val="both"/>
        <w:rPr>
          <w:rFonts w:ascii="Times" w:eastAsia="Times New Roman" w:hAnsi="Times" w:cs="Times New Roman"/>
        </w:rPr>
      </w:pPr>
    </w:p>
    <w:p w14:paraId="5DFA6D70"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15% PBR credit rating 3 (Aa2/AA)</w:t>
      </w:r>
    </w:p>
    <w:p w14:paraId="6B45505B" w14:textId="77777777" w:rsidR="008A7F4A" w:rsidRDefault="008A7F4A" w:rsidP="008A7F4A">
      <w:pPr>
        <w:jc w:val="both"/>
        <w:rPr>
          <w:rFonts w:ascii="Times" w:eastAsia="Times New Roman" w:hAnsi="Times" w:cs="Times New Roman"/>
        </w:rPr>
      </w:pPr>
    </w:p>
    <w:p w14:paraId="5D2897C3"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40% PBR credit rating 6 (A2/A)</w:t>
      </w:r>
    </w:p>
    <w:p w14:paraId="7952F279" w14:textId="77777777" w:rsidR="008A7F4A" w:rsidRDefault="008A7F4A" w:rsidP="008A7F4A">
      <w:pPr>
        <w:jc w:val="both"/>
        <w:rPr>
          <w:rFonts w:ascii="Times" w:eastAsia="Times New Roman" w:hAnsi="Times" w:cs="Times New Roman"/>
        </w:rPr>
      </w:pPr>
    </w:p>
    <w:p w14:paraId="7E2CF59A"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40% PBR credit rating 9 (Baa/BBB)</w:t>
      </w:r>
    </w:p>
    <w:p w14:paraId="1DD719A5" w14:textId="77777777" w:rsidR="008A7F4A" w:rsidRDefault="008A7F4A" w:rsidP="008A7F4A">
      <w:pPr>
        <w:pStyle w:val="ListParagraph"/>
        <w:ind w:left="2160" w:hanging="720"/>
        <w:jc w:val="both"/>
        <w:rPr>
          <w:rFonts w:ascii="Times" w:eastAsia="Times New Roman" w:hAnsi="Times" w:cs="Times New Roman"/>
        </w:rPr>
      </w:pPr>
    </w:p>
    <w:p w14:paraId="5FFF9CCA" w14:textId="77777777" w:rsidR="008A7F4A" w:rsidRDefault="008A7F4A" w:rsidP="00745C9A">
      <w:pPr>
        <w:pStyle w:val="ListParagraph"/>
        <w:numPr>
          <w:ilvl w:val="1"/>
          <w:numId w:val="94"/>
        </w:numPr>
        <w:ind w:left="2160" w:hanging="720"/>
        <w:jc w:val="both"/>
      </w:pPr>
      <w:r>
        <w:rPr>
          <w:rFonts w:ascii="Times" w:eastAsia="Times New Roman" w:hAnsi="Times" w:cs="Times New Roman"/>
        </w:rPr>
        <w:t xml:space="preserve">Any disinvestment shall be modeled in a manner that is consistent with the company’s investment policy and that reflects the company’s cost of borrowing where applicable, provided that the assumed cost of borrowing is not lower than the rate at which positive cash flows are reinvested in the same </w:t>
      </w:r>
      <w:proofErr w:type="gramStart"/>
      <w:r>
        <w:rPr>
          <w:rFonts w:ascii="Times" w:eastAsia="Times New Roman" w:hAnsi="Times" w:cs="Times New Roman"/>
        </w:rPr>
        <w:t>time period</w:t>
      </w:r>
      <w:proofErr w:type="gramEnd"/>
      <w:r>
        <w:rPr>
          <w:rFonts w:ascii="Times" w:eastAsia="Times New Roman" w:hAnsi="Times" w:cs="Times New Roman"/>
        </w:rPr>
        <w:t>, taking into account duration, ratings, and other attributes of the borrowing mechanism.  Gross asset spreads used in computing market values of assets sold in the model shall be consistent with, but not necessarily the same as, the gross asset spreads in Section 4.D.4.a.ii and Section 4.D.4.a.iv, recognizing that initial assets that mature during the projection may have different characteristics than modeled reinvestment assets.</w:t>
      </w:r>
    </w:p>
    <w:p w14:paraId="6C2EE705" w14:textId="77777777" w:rsidR="008A7F4A" w:rsidRDefault="008A7F4A" w:rsidP="008A7F4A">
      <w:pPr>
        <w:pStyle w:val="ListParagraph"/>
        <w:ind w:left="2160"/>
        <w:jc w:val="both"/>
        <w:rPr>
          <w:rFonts w:ascii="Times" w:eastAsia="Times New Roman" w:hAnsi="Times" w:cs="Times New Roman"/>
        </w:rPr>
      </w:pPr>
    </w:p>
    <w:p w14:paraId="5E618B66" w14:textId="77777777" w:rsidR="008A7F4A" w:rsidRDefault="008A7F4A" w:rsidP="008A7F4A">
      <w:pPr>
        <w:pStyle w:val="ListParagraph"/>
        <w:pBdr>
          <w:top w:val="single" w:sz="4" w:space="1" w:color="auto"/>
          <w:left w:val="single" w:sz="4" w:space="4" w:color="auto"/>
          <w:bottom w:val="single" w:sz="4" w:space="1" w:color="auto"/>
          <w:right w:val="single" w:sz="4" w:space="4" w:color="auto"/>
        </w:pBdr>
        <w:ind w:left="0"/>
        <w:jc w:val="both"/>
        <w:rPr>
          <w:rFonts w:ascii="Times" w:eastAsia="Times New Roman" w:hAnsi="Times" w:cs="Times New Roman"/>
        </w:rPr>
      </w:pPr>
      <w:r>
        <w:rPr>
          <w:rFonts w:ascii="Times" w:eastAsia="Times New Roman" w:hAnsi="Times" w:cs="Times New Roman"/>
          <w:b/>
        </w:rPr>
        <w:t>Guidance Note:</w:t>
      </w:r>
      <w:r>
        <w:rPr>
          <w:rFonts w:ascii="Times" w:eastAsia="Times New Roman" w:hAnsi="Times" w:cs="Times New Roman"/>
        </w:rPr>
        <w:t xml:space="preserve"> This limitation is being referred to Life Actuarial (A) Task Force for review. The simple language above “provided that the assumed cost of borrowing is not lower than the rate at which positive cash flows are reinvested in the same time period” is not intended to impose a literal requirement. It is intended to reflect a general concept to prevent excessively optimistic borrowing assumptions. It is recognized that borrowing parameters and rules can be complicated, such that modeling limitations may not allow for literal compliance, in every time step, </w:t>
      </w:r>
      <w:proofErr w:type="gramStart"/>
      <w:r>
        <w:rPr>
          <w:rFonts w:ascii="Times" w:eastAsia="Times New Roman" w:hAnsi="Times" w:cs="Times New Roman"/>
        </w:rPr>
        <w:t>as long as</w:t>
      </w:r>
      <w:proofErr w:type="gramEnd"/>
      <w:r>
        <w:rPr>
          <w:rFonts w:ascii="Times" w:eastAsia="Times New Roman" w:hAnsi="Times" w:cs="Times New Roman"/>
        </w:rPr>
        <w:t xml:space="preserve"> the reserve is not materially affected. However, if the company is unable to fully apply this restriction, prudence dictates that a company shall not allow borrowing assumptions to materially reduce the reserve.</w:t>
      </w:r>
    </w:p>
    <w:p w14:paraId="5F2DA723" w14:textId="77777777" w:rsidR="008A7F4A" w:rsidRDefault="008A7F4A" w:rsidP="008A7F4A">
      <w:pPr>
        <w:pStyle w:val="ListParagraph"/>
        <w:ind w:left="1440"/>
        <w:jc w:val="both"/>
        <w:rPr>
          <w:rFonts w:ascii="Times" w:eastAsia="Times New Roman" w:hAnsi="Times" w:cs="Times New Roman"/>
        </w:rPr>
      </w:pPr>
    </w:p>
    <w:p w14:paraId="7571D6CF" w14:textId="77777777" w:rsidR="008A7F4A" w:rsidRDefault="008A7F4A" w:rsidP="00745C9A">
      <w:pPr>
        <w:pStyle w:val="ListParagraph"/>
        <w:numPr>
          <w:ilvl w:val="0"/>
          <w:numId w:val="94"/>
        </w:numPr>
        <w:spacing w:after="0" w:line="240" w:lineRule="auto"/>
        <w:ind w:left="1440" w:hanging="720"/>
        <w:jc w:val="both"/>
        <w:rPr>
          <w:rFonts w:ascii="Times" w:eastAsia="Times New Roman" w:hAnsi="Times" w:cs="Times New Roman"/>
        </w:rPr>
      </w:pPr>
      <w:r>
        <w:rPr>
          <w:rFonts w:ascii="Times" w:eastAsia="Times New Roman" w:hAnsi="Times" w:cs="Times New Roman"/>
        </w:rPr>
        <w:t>Cash Flows from Invested Assets</w:t>
      </w:r>
    </w:p>
    <w:p w14:paraId="2B4AAF06" w14:textId="77777777" w:rsidR="008A7F4A" w:rsidRDefault="008A7F4A" w:rsidP="008A7F4A">
      <w:pPr>
        <w:pStyle w:val="ListParagraph"/>
        <w:jc w:val="both"/>
        <w:rPr>
          <w:rFonts w:ascii="Times" w:eastAsia="Times New Roman" w:hAnsi="Times" w:cs="Times New Roman"/>
        </w:rPr>
      </w:pPr>
    </w:p>
    <w:p w14:paraId="6B293B57" w14:textId="77777777" w:rsidR="008A7F4A" w:rsidRDefault="008A7F4A" w:rsidP="00745C9A">
      <w:pPr>
        <w:pStyle w:val="ListParagraph"/>
        <w:numPr>
          <w:ilvl w:val="1"/>
          <w:numId w:val="94"/>
        </w:numPr>
        <w:spacing w:after="0" w:line="240" w:lineRule="auto"/>
        <w:ind w:left="2160" w:hanging="720"/>
        <w:jc w:val="both"/>
        <w:rPr>
          <w:rFonts w:ascii="Times" w:eastAsia="Times New Roman" w:hAnsi="Times" w:cs="Times New Roman"/>
        </w:rPr>
      </w:pPr>
      <w:r>
        <w:rPr>
          <w:rFonts w:ascii="Times" w:eastAsia="Times New Roman" w:hAnsi="Times" w:cs="Times New Roman"/>
        </w:rPr>
        <w:t xml:space="preserve">Cash flows from general account fixed income assets, including starting and reinvestment assets, shall be reflected in the projection as follows: </w:t>
      </w:r>
    </w:p>
    <w:p w14:paraId="27D6615B" w14:textId="77777777" w:rsidR="008A7F4A" w:rsidRDefault="008A7F4A" w:rsidP="008A7F4A">
      <w:pPr>
        <w:pStyle w:val="ListParagraph"/>
        <w:ind w:left="2160"/>
        <w:jc w:val="both"/>
        <w:rPr>
          <w:rFonts w:ascii="Times" w:eastAsia="Times New Roman" w:hAnsi="Times" w:cs="Times New Roman"/>
        </w:rPr>
      </w:pPr>
    </w:p>
    <w:p w14:paraId="6661B77F"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Model gross investment income and principal repayments in accordance with the contractual provisions of each asset and in a manner consistent with each scenario.</w:t>
      </w:r>
    </w:p>
    <w:p w14:paraId="4DC9825D" w14:textId="77777777" w:rsidR="008A7F4A" w:rsidRDefault="008A7F4A" w:rsidP="008A7F4A">
      <w:pPr>
        <w:pStyle w:val="ListParagraph"/>
        <w:ind w:left="2880" w:hanging="720"/>
        <w:jc w:val="both"/>
        <w:rPr>
          <w:rFonts w:ascii="Times" w:eastAsia="Times New Roman" w:hAnsi="Times" w:cs="Times New Roman"/>
        </w:rPr>
      </w:pPr>
    </w:p>
    <w:p w14:paraId="469B13F5"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Reflect asset default costs as prescribed in VM-20 Section 9.F and anticipated investment expenses through deductions to the gross investment income.</w:t>
      </w:r>
    </w:p>
    <w:p w14:paraId="4659869B" w14:textId="77777777" w:rsidR="008A7F4A" w:rsidRDefault="008A7F4A" w:rsidP="008A7F4A">
      <w:pPr>
        <w:pStyle w:val="ListParagraph"/>
        <w:ind w:left="2880" w:hanging="720"/>
        <w:jc w:val="both"/>
        <w:rPr>
          <w:rFonts w:ascii="Times" w:eastAsia="Times New Roman" w:hAnsi="Times" w:cs="Times New Roman"/>
        </w:rPr>
      </w:pPr>
    </w:p>
    <w:p w14:paraId="738DB1A9"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Model the proceeds arising from modeled asset sales and determine the portion representing any realized capital gains and losses.</w:t>
      </w:r>
    </w:p>
    <w:p w14:paraId="1DE599EE" w14:textId="77777777" w:rsidR="008A7F4A" w:rsidRDefault="008A7F4A" w:rsidP="008A7F4A">
      <w:pPr>
        <w:pStyle w:val="ListParagraph"/>
        <w:ind w:left="2880" w:hanging="720"/>
        <w:jc w:val="both"/>
        <w:rPr>
          <w:rFonts w:ascii="Times" w:eastAsia="Times New Roman" w:hAnsi="Times" w:cs="Times New Roman"/>
        </w:rPr>
      </w:pPr>
    </w:p>
    <w:p w14:paraId="0C4F0AEB"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Reflect any uncertainty in the timing and amounts of asset cash flows related to the paths of interest rates, equity returns or other economic values directly in the projection of asset cash flows. Asset defaults are not subject to this requirement, since asset default assumptions must be determined by the prescribed method in VM-20 Sections 7.E, 7.F and 9.F.</w:t>
      </w:r>
    </w:p>
    <w:p w14:paraId="4F628979" w14:textId="77777777" w:rsidR="008A7F4A" w:rsidRDefault="008A7F4A" w:rsidP="008A7F4A">
      <w:pPr>
        <w:pStyle w:val="ListParagraph"/>
        <w:ind w:left="2160"/>
        <w:jc w:val="both"/>
        <w:rPr>
          <w:rFonts w:ascii="Times" w:eastAsia="Times New Roman" w:hAnsi="Times" w:cs="Times New Roman"/>
        </w:rPr>
      </w:pPr>
    </w:p>
    <w:p w14:paraId="1240D854" w14:textId="77777777" w:rsidR="008A7F4A" w:rsidRDefault="008A7F4A" w:rsidP="00745C9A">
      <w:pPr>
        <w:pStyle w:val="ListParagraph"/>
        <w:numPr>
          <w:ilvl w:val="1"/>
          <w:numId w:val="94"/>
        </w:numPr>
        <w:spacing w:after="0" w:line="240" w:lineRule="auto"/>
        <w:ind w:left="2160" w:hanging="720"/>
        <w:jc w:val="both"/>
        <w:rPr>
          <w:rFonts w:ascii="Times" w:eastAsia="Times New Roman" w:hAnsi="Times" w:cs="Times New Roman"/>
        </w:rPr>
      </w:pPr>
      <w:commentRangeStart w:id="63"/>
      <w:r>
        <w:rPr>
          <w:rFonts w:ascii="Times" w:eastAsia="Times New Roman" w:hAnsi="Times" w:cs="Times New Roman"/>
        </w:rPr>
        <w:t>Cash</w:t>
      </w:r>
      <w:commentRangeEnd w:id="63"/>
      <w:r w:rsidR="00687D10">
        <w:rPr>
          <w:rStyle w:val="CommentReference"/>
        </w:rPr>
        <w:commentReference w:id="63"/>
      </w:r>
      <w:r>
        <w:rPr>
          <w:rFonts w:ascii="Times" w:eastAsia="Times New Roman" w:hAnsi="Times" w:cs="Times New Roman"/>
        </w:rPr>
        <w:t xml:space="preserve"> flows from general account index funds and equity assets—i.e., non-fixed income assets having substantial volatility of returns, such as common stocks and real estate— including starting and reinvestment assets, shall be reflected in the projection as follows:</w:t>
      </w:r>
    </w:p>
    <w:p w14:paraId="5CB7BB2C" w14:textId="77777777" w:rsidR="008A7F4A" w:rsidRDefault="008A7F4A" w:rsidP="008A7F4A">
      <w:pPr>
        <w:pStyle w:val="ListParagraph"/>
        <w:ind w:left="1440"/>
        <w:jc w:val="both"/>
        <w:rPr>
          <w:rFonts w:ascii="Times" w:eastAsia="Times New Roman" w:hAnsi="Times" w:cs="Times New Roman"/>
        </w:rPr>
      </w:pPr>
    </w:p>
    <w:p w14:paraId="0F946AB8"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Determine the grouping for asset categories and the allocation of specific assets to each category in a manner that is consistent with that used for index crediting strategies, as discussed in Section 4.A.2.</w:t>
      </w:r>
    </w:p>
    <w:p w14:paraId="4BCEBF41" w14:textId="77777777" w:rsidR="008A7F4A" w:rsidRDefault="008A7F4A" w:rsidP="008A7F4A">
      <w:pPr>
        <w:pStyle w:val="ListParagraph"/>
        <w:ind w:left="2880" w:hanging="720"/>
        <w:jc w:val="both"/>
        <w:rPr>
          <w:rFonts w:ascii="Times" w:eastAsia="Times New Roman" w:hAnsi="Times" w:cs="Times New Roman"/>
        </w:rPr>
      </w:pPr>
    </w:p>
    <w:p w14:paraId="558BF31C" w14:textId="77777777" w:rsidR="008A7F4A" w:rsidRDefault="008A7F4A" w:rsidP="00745C9A">
      <w:pPr>
        <w:pStyle w:val="ListParagraph"/>
        <w:numPr>
          <w:ilvl w:val="2"/>
          <w:numId w:val="94"/>
        </w:numPr>
        <w:spacing w:after="0" w:line="240" w:lineRule="auto"/>
        <w:ind w:left="2880" w:hanging="720"/>
        <w:jc w:val="both"/>
        <w:rPr>
          <w:rFonts w:ascii="Times" w:eastAsia="Times New Roman" w:hAnsi="Times" w:cs="Times New Roman"/>
        </w:rPr>
      </w:pPr>
      <w:r>
        <w:rPr>
          <w:rFonts w:ascii="Times" w:eastAsia="Times New Roman" w:hAnsi="Times" w:cs="Times New Roman"/>
        </w:rPr>
        <w:t>Project the gross investment return including realized and unrealized capital gains in a manner that is consistent with the stochastically generated scenarios.</w:t>
      </w:r>
    </w:p>
    <w:p w14:paraId="74FA527C" w14:textId="77777777" w:rsidR="008A7F4A" w:rsidRDefault="008A7F4A" w:rsidP="008A7F4A">
      <w:pPr>
        <w:ind w:left="2880" w:hanging="720"/>
        <w:jc w:val="both"/>
        <w:rPr>
          <w:rFonts w:ascii="Times" w:eastAsia="Times New Roman" w:hAnsi="Times" w:cs="Times New Roman"/>
        </w:rPr>
      </w:pPr>
    </w:p>
    <w:p w14:paraId="423B4CAB" w14:textId="77777777" w:rsidR="008A7F4A" w:rsidRDefault="008A7F4A" w:rsidP="00745C9A">
      <w:pPr>
        <w:pStyle w:val="ListParagraph"/>
        <w:numPr>
          <w:ilvl w:val="2"/>
          <w:numId w:val="94"/>
        </w:numPr>
        <w:spacing w:after="0" w:line="240" w:lineRule="auto"/>
        <w:ind w:left="2880" w:hanging="720"/>
        <w:jc w:val="both"/>
        <w:rPr>
          <w:rFonts w:ascii="Times New Roman" w:eastAsia="Times New Roman" w:hAnsi="Times New Roman" w:cs="Times New Roman"/>
        </w:rPr>
      </w:pPr>
      <w:r>
        <w:rPr>
          <w:rFonts w:ascii="Times" w:eastAsia="Times New Roman" w:hAnsi="Times" w:cs="Times New Roman"/>
        </w:rPr>
        <w:t>Model the timing of an asset sale in a manner that is consistent with the investment policy of the company for that type of asset. Reflect expenses through a deduction to the gross investment return using prudent estimate assumptions.</w:t>
      </w:r>
    </w:p>
    <w:p w14:paraId="77F90C11" w14:textId="77777777" w:rsidR="008A7F4A" w:rsidRDefault="008A7F4A" w:rsidP="008A7F4A">
      <w:pPr>
        <w:spacing w:after="0"/>
        <w:jc w:val="both"/>
        <w:rPr>
          <w:rFonts w:ascii="Times New Roman" w:eastAsia="Times New Roman" w:hAnsi="Times New Roman" w:cs="Times New Roman"/>
        </w:rPr>
      </w:pPr>
    </w:p>
    <w:p w14:paraId="2850E11D" w14:textId="77777777" w:rsidR="008A7F4A" w:rsidRDefault="008A7F4A" w:rsidP="00745C9A">
      <w:pPr>
        <w:pStyle w:val="ListParagraph"/>
        <w:numPr>
          <w:ilvl w:val="1"/>
          <w:numId w:val="94"/>
        </w:numPr>
        <w:spacing w:after="0" w:line="240" w:lineRule="auto"/>
        <w:ind w:left="2160" w:hanging="720"/>
        <w:jc w:val="both"/>
        <w:rPr>
          <w:rFonts w:ascii="Times New Roman" w:eastAsia="Times New Roman" w:hAnsi="Times New Roman" w:cs="Times New Roman"/>
        </w:rPr>
      </w:pPr>
      <w:r>
        <w:rPr>
          <w:rFonts w:ascii="Times New Roman" w:hAnsi="Times New Roman" w:cs="Times New Roman"/>
        </w:rPr>
        <w:lastRenderedPageBreak/>
        <w:t>Cash flows for each projection interval for policy loan assets shall follow the requirements in Section 10.I.</w:t>
      </w:r>
    </w:p>
    <w:p w14:paraId="41D8CF9B" w14:textId="77777777" w:rsidR="008A7F4A" w:rsidRDefault="008A7F4A" w:rsidP="008A7F4A">
      <w:pPr>
        <w:spacing w:after="0" w:line="240" w:lineRule="auto"/>
        <w:jc w:val="both"/>
        <w:rPr>
          <w:rFonts w:ascii="Times New Roman" w:eastAsia="Times New Roman" w:hAnsi="Times New Roman" w:cs="Times New Roman"/>
        </w:rPr>
      </w:pPr>
    </w:p>
    <w:p w14:paraId="35A13E62" w14:textId="77777777" w:rsidR="008A7F4A" w:rsidRDefault="008A7F4A" w:rsidP="00745C9A">
      <w:pPr>
        <w:pStyle w:val="ListParagraph"/>
        <w:numPr>
          <w:ilvl w:val="0"/>
          <w:numId w:val="93"/>
        </w:numPr>
        <w:spacing w:after="0" w:line="240" w:lineRule="auto"/>
        <w:jc w:val="both"/>
        <w:rPr>
          <w:rFonts w:ascii="Times" w:eastAsia="Times New Roman" w:hAnsi="Times" w:cs="Times New Roman"/>
        </w:rPr>
      </w:pPr>
      <w:bookmarkStart w:id="64" w:name="_Toc77242145"/>
      <w:r>
        <w:rPr>
          <w:rStyle w:val="Heading2Char"/>
          <w:rFonts w:eastAsiaTheme="minorHAnsi"/>
        </w:rPr>
        <w:t>Projection of Annuitization Benefits</w:t>
      </w:r>
      <w:bookmarkEnd w:id="64"/>
      <w:r>
        <w:rPr>
          <w:rFonts w:ascii="Times" w:eastAsia="Times New Roman" w:hAnsi="Times" w:cs="Times New Roman"/>
        </w:rPr>
        <w:t xml:space="preserve"> </w:t>
      </w:r>
    </w:p>
    <w:p w14:paraId="05E2FD9D" w14:textId="77777777" w:rsidR="008A7F4A" w:rsidRDefault="008A7F4A" w:rsidP="008A7F4A">
      <w:pPr>
        <w:spacing w:after="0" w:line="240" w:lineRule="auto"/>
        <w:jc w:val="both"/>
        <w:rPr>
          <w:rFonts w:ascii="Times" w:eastAsia="Times New Roman" w:hAnsi="Times" w:cs="Times New Roman"/>
        </w:rPr>
      </w:pPr>
    </w:p>
    <w:p w14:paraId="70281280" w14:textId="77777777" w:rsidR="008A7F4A" w:rsidRDefault="008A7F4A" w:rsidP="00745C9A">
      <w:pPr>
        <w:pStyle w:val="ListParagraph"/>
        <w:numPr>
          <w:ilvl w:val="3"/>
          <w:numId w:val="94"/>
        </w:numPr>
        <w:spacing w:after="0" w:line="240" w:lineRule="auto"/>
        <w:ind w:left="1440" w:hanging="720"/>
        <w:jc w:val="both"/>
        <w:rPr>
          <w:rFonts w:ascii="Times" w:eastAsia="Times New Roman" w:hAnsi="Times" w:cs="Times New Roman"/>
        </w:rPr>
      </w:pPr>
      <w:r>
        <w:rPr>
          <w:rFonts w:ascii="Times" w:eastAsia="Times New Roman" w:hAnsi="Times" w:cs="Times New Roman"/>
        </w:rPr>
        <w:t>Assumed Annuitization Purchase Rates</w:t>
      </w:r>
    </w:p>
    <w:p w14:paraId="4C5AA79E" w14:textId="77777777" w:rsidR="008A7F4A" w:rsidRDefault="008A7F4A" w:rsidP="008A7F4A">
      <w:pPr>
        <w:pStyle w:val="ListParagraph"/>
        <w:ind w:left="2880"/>
        <w:jc w:val="both"/>
        <w:rPr>
          <w:rFonts w:ascii="Times" w:eastAsia="Times New Roman" w:hAnsi="Times" w:cs="Times New Roman"/>
        </w:rPr>
      </w:pPr>
    </w:p>
    <w:p w14:paraId="4CDD40A0" w14:textId="77777777" w:rsidR="008A7F4A" w:rsidRDefault="008A7F4A" w:rsidP="00745C9A">
      <w:pPr>
        <w:pStyle w:val="ListParagraph"/>
        <w:numPr>
          <w:ilvl w:val="0"/>
          <w:numId w:val="95"/>
        </w:numPr>
        <w:spacing w:after="0" w:line="240" w:lineRule="auto"/>
        <w:ind w:hanging="720"/>
        <w:jc w:val="both"/>
        <w:rPr>
          <w:rFonts w:ascii="Times" w:eastAsia="Times New Roman" w:hAnsi="Times" w:cs="Times New Roman"/>
        </w:rPr>
      </w:pPr>
      <w:r>
        <w:rPr>
          <w:rFonts w:ascii="Times" w:eastAsia="Times New Roman" w:hAnsi="Times" w:cs="Times New Roman"/>
        </w:rPr>
        <w:t>For payouts specified at issue (such as single premium immediate annuities, deferred income annuities, and certain structured settlements), such payout rates shall reflect the payout rate specified in the contract.</w:t>
      </w:r>
    </w:p>
    <w:p w14:paraId="5F050700" w14:textId="77777777" w:rsidR="008A7F4A" w:rsidRDefault="008A7F4A" w:rsidP="008A7F4A">
      <w:pPr>
        <w:pStyle w:val="ListParagraph"/>
        <w:ind w:left="2160"/>
        <w:jc w:val="both"/>
        <w:rPr>
          <w:rFonts w:ascii="Times" w:eastAsia="Times New Roman" w:hAnsi="Times" w:cs="Times New Roman"/>
        </w:rPr>
      </w:pPr>
    </w:p>
    <w:p w14:paraId="5EEA72C6" w14:textId="77777777" w:rsidR="008A7F4A" w:rsidRDefault="008A7F4A" w:rsidP="00745C9A">
      <w:pPr>
        <w:pStyle w:val="ListParagraph"/>
        <w:numPr>
          <w:ilvl w:val="0"/>
          <w:numId w:val="95"/>
        </w:numPr>
        <w:spacing w:after="0" w:line="240" w:lineRule="auto"/>
        <w:ind w:hanging="720"/>
        <w:jc w:val="both"/>
        <w:rPr>
          <w:rFonts w:ascii="Times" w:eastAsia="Times New Roman" w:hAnsi="Times" w:cs="Times New Roman"/>
        </w:rPr>
      </w:pPr>
      <w:commentRangeStart w:id="65"/>
      <w:r>
        <w:rPr>
          <w:rFonts w:ascii="Times" w:eastAsia="Times New Roman" w:hAnsi="Times" w:cs="Times New Roman"/>
        </w:rPr>
        <w:t>For</w:t>
      </w:r>
      <w:commentRangeEnd w:id="65"/>
      <w:r w:rsidR="00687D10">
        <w:rPr>
          <w:rStyle w:val="CommentReference"/>
        </w:rPr>
        <w:commentReference w:id="65"/>
      </w:r>
      <w:r>
        <w:rPr>
          <w:rFonts w:ascii="Times" w:eastAsia="Times New Roman" w:hAnsi="Times" w:cs="Times New Roman"/>
        </w:rPr>
        <w:t xml:space="preserve"> purposes of projecting future elective annuitization benefits and withdrawal amounts from GMWBs, the projected annuitization purchase rates shall be determined assuming that market interest rates available at the time of election are the interest rates used to project general account assets, as determined in Section 4.D.4. In contrast, for payouts specified at issue, the payout rates modeled should be consistent with those specified in the contract.</w:t>
      </w:r>
    </w:p>
    <w:p w14:paraId="634205B9" w14:textId="77777777" w:rsidR="008A7F4A" w:rsidRDefault="008A7F4A" w:rsidP="008A7F4A">
      <w:pPr>
        <w:pStyle w:val="ListParagraph"/>
        <w:ind w:left="2880"/>
        <w:jc w:val="both"/>
        <w:rPr>
          <w:rFonts w:ascii="Times" w:eastAsia="Times New Roman" w:hAnsi="Times" w:cs="Times New Roman"/>
        </w:rPr>
      </w:pPr>
    </w:p>
    <w:p w14:paraId="76E26458" w14:textId="77777777" w:rsidR="008A7F4A" w:rsidRDefault="008A7F4A" w:rsidP="00745C9A">
      <w:pPr>
        <w:pStyle w:val="ListParagraph"/>
        <w:numPr>
          <w:ilvl w:val="3"/>
          <w:numId w:val="94"/>
        </w:numPr>
        <w:spacing w:after="0" w:line="240" w:lineRule="auto"/>
        <w:ind w:left="1440" w:hanging="720"/>
        <w:jc w:val="both"/>
        <w:rPr>
          <w:rFonts w:ascii="Times" w:eastAsia="Times New Roman" w:hAnsi="Times" w:cs="Times New Roman"/>
        </w:rPr>
      </w:pPr>
      <w:r>
        <w:rPr>
          <w:rFonts w:ascii="Times" w:eastAsia="Times New Roman" w:hAnsi="Times" w:cs="Times New Roman"/>
        </w:rPr>
        <w:t>Projected Election of GMIBs, GMWBs and Other Annuitization Options</w:t>
      </w:r>
    </w:p>
    <w:p w14:paraId="66307183" w14:textId="77777777" w:rsidR="008A7F4A" w:rsidRDefault="008A7F4A" w:rsidP="008A7F4A">
      <w:pPr>
        <w:pStyle w:val="ListParagraph"/>
        <w:spacing w:after="0"/>
        <w:ind w:left="1440"/>
        <w:jc w:val="both"/>
        <w:rPr>
          <w:rFonts w:ascii="Times" w:eastAsia="Times New Roman" w:hAnsi="Times" w:cs="Times New Roman"/>
        </w:rPr>
      </w:pPr>
    </w:p>
    <w:p w14:paraId="6B7F9E02" w14:textId="77777777" w:rsidR="008A7F4A" w:rsidRDefault="008A7F4A" w:rsidP="008A7F4A">
      <w:pPr>
        <w:pStyle w:val="ListParagraph"/>
        <w:spacing w:after="0"/>
        <w:ind w:left="2880"/>
        <w:jc w:val="both"/>
        <w:rPr>
          <w:rFonts w:ascii="Times" w:eastAsia="Times New Roman" w:hAnsi="Times" w:cs="Times New Roman"/>
        </w:rPr>
      </w:pPr>
      <w:r>
        <w:rPr>
          <w:rFonts w:ascii="Times New Roman" w:eastAsia="Times New Roman" w:hAnsi="Times New Roman" w:cs="Times New Roman"/>
        </w:rPr>
        <w:t xml:space="preserve">For contracts projected to elect future annuitization options (including annuitizations stemming from the election of a GMIB) or for projections of GMWB benefits once the account value has been depleted, the </w:t>
      </w:r>
      <w:commentRangeStart w:id="66"/>
      <w:r>
        <w:rPr>
          <w:rFonts w:ascii="Times New Roman" w:eastAsia="Times New Roman" w:hAnsi="Times New Roman" w:cs="Times New Roman"/>
        </w:rPr>
        <w:t xml:space="preserve">projections may assume </w:t>
      </w:r>
      <w:commentRangeEnd w:id="66"/>
      <w:r w:rsidR="00687D10">
        <w:rPr>
          <w:rStyle w:val="CommentReference"/>
        </w:rPr>
        <w:commentReference w:id="66"/>
      </w:r>
      <w:r>
        <w:rPr>
          <w:rFonts w:ascii="Times New Roman" w:hAnsi="Times New Roman" w:cs="Times New Roman"/>
        </w:rPr>
        <w:t>the contract will stay in force, the projected periodic payments are paid, and the associated maintenance expenses are incurred.</w:t>
      </w:r>
    </w:p>
    <w:p w14:paraId="19DD9064" w14:textId="77777777" w:rsidR="008A7F4A" w:rsidRDefault="008A7F4A" w:rsidP="00745C9A">
      <w:pPr>
        <w:pStyle w:val="Heading2"/>
        <w:numPr>
          <w:ilvl w:val="0"/>
          <w:numId w:val="93"/>
        </w:numPr>
        <w:rPr>
          <w:sz w:val="22"/>
          <w:szCs w:val="22"/>
        </w:rPr>
      </w:pPr>
      <w:bookmarkStart w:id="67" w:name="_Toc77242146"/>
      <w:r>
        <w:rPr>
          <w:sz w:val="22"/>
          <w:szCs w:val="22"/>
        </w:rPr>
        <w:t>Frequency of Projection and Time Horizon</w:t>
      </w:r>
      <w:bookmarkEnd w:id="67"/>
    </w:p>
    <w:p w14:paraId="63F901E6" w14:textId="77777777" w:rsidR="008A7F4A" w:rsidRDefault="008A7F4A" w:rsidP="008A7F4A">
      <w:pPr>
        <w:pStyle w:val="ListParagraph"/>
        <w:ind w:left="360"/>
        <w:jc w:val="both"/>
        <w:rPr>
          <w:rFonts w:ascii="Times" w:eastAsia="Times New Roman" w:hAnsi="Times" w:cs="Times New Roman"/>
        </w:rPr>
      </w:pPr>
    </w:p>
    <w:p w14:paraId="62CACFE3" w14:textId="77777777" w:rsidR="008A7F4A" w:rsidRDefault="008A7F4A" w:rsidP="00745C9A">
      <w:pPr>
        <w:pStyle w:val="ListParagraph"/>
        <w:numPr>
          <w:ilvl w:val="0"/>
          <w:numId w:val="96"/>
        </w:numPr>
        <w:spacing w:after="0" w:line="240" w:lineRule="auto"/>
        <w:ind w:left="1440" w:hanging="720"/>
        <w:jc w:val="both"/>
        <w:rPr>
          <w:rFonts w:ascii="Times" w:eastAsia="Times New Roman" w:hAnsi="Times" w:cs="Times New Roman"/>
        </w:rPr>
      </w:pPr>
      <w:r>
        <w:rPr>
          <w:rFonts w:ascii="Times" w:eastAsia="Times New Roman" w:hAnsi="Times" w:cs="Times New Roman"/>
        </w:rPr>
        <w:t>Use of an annual cash-flow frequency (“timestep”) is generally acceptable for benefits/features that are not sensitive to projection frequency. The lack of sensitivity to projection frequency should be validated by testing wherein the company should determine that the use of a more frequent—i.e., shorter—time step does not materially increase reserves. A more frequent time increment should always be used when the product features are sensitive to projection period frequency.</w:t>
      </w:r>
    </w:p>
    <w:p w14:paraId="1996108F" w14:textId="77777777" w:rsidR="008A7F4A" w:rsidRDefault="008A7F4A" w:rsidP="008A7F4A">
      <w:pPr>
        <w:pStyle w:val="ListParagraph"/>
        <w:ind w:left="1440" w:hanging="720"/>
        <w:jc w:val="both"/>
        <w:rPr>
          <w:rFonts w:ascii="Times" w:eastAsia="Times New Roman" w:hAnsi="Times" w:cs="Times New Roman"/>
        </w:rPr>
      </w:pPr>
    </w:p>
    <w:p w14:paraId="2D05F04D" w14:textId="77777777" w:rsidR="008A7F4A" w:rsidRDefault="008A7F4A" w:rsidP="00745C9A">
      <w:pPr>
        <w:pStyle w:val="ListParagraph"/>
        <w:numPr>
          <w:ilvl w:val="0"/>
          <w:numId w:val="96"/>
        </w:numPr>
        <w:spacing w:after="0" w:line="240" w:lineRule="auto"/>
        <w:ind w:left="1440" w:hanging="720"/>
        <w:jc w:val="both"/>
        <w:rPr>
          <w:rFonts w:ascii="Times" w:eastAsia="Times New Roman" w:hAnsi="Times" w:cs="Times New Roman"/>
        </w:rPr>
      </w:pPr>
      <w:r>
        <w:rPr>
          <w:rFonts w:ascii="Times" w:eastAsia="Times New Roman" w:hAnsi="Times" w:cs="Times New Roman"/>
        </w:rPr>
        <w:t xml:space="preserve">Care must be taken in simulating fee income and expenses when using an annual time step. It is also important that the frequency of the investment return model be linked appropriately to the projection horizon in the liability model. In particular, the horizon should be sufficiently long </w:t>
      </w:r>
      <w:proofErr w:type="gramStart"/>
      <w:r>
        <w:rPr>
          <w:rFonts w:ascii="Times" w:eastAsia="Times New Roman" w:hAnsi="Times" w:cs="Times New Roman"/>
        </w:rPr>
        <w:t>so as to</w:t>
      </w:r>
      <w:proofErr w:type="gramEnd"/>
      <w:r>
        <w:rPr>
          <w:rFonts w:ascii="Times" w:eastAsia="Times New Roman" w:hAnsi="Times" w:cs="Times New Roman"/>
        </w:rPr>
        <w:t xml:space="preserve"> capture the vast majority of costs (on a present value basis) from the scenarios. </w:t>
      </w:r>
    </w:p>
    <w:p w14:paraId="57E09635" w14:textId="77777777" w:rsidR="008A7F4A" w:rsidRDefault="008A7F4A" w:rsidP="008A7F4A">
      <w:pPr>
        <w:spacing w:after="0"/>
        <w:jc w:val="both"/>
        <w:rPr>
          <w:rFonts w:ascii="Times" w:eastAsia="Times New Roman" w:hAnsi="Times" w:cs="Times New Roman"/>
        </w:rPr>
      </w:pPr>
    </w:p>
    <w:p w14:paraId="5DEF6018" w14:textId="77777777" w:rsidR="008A7F4A" w:rsidRDefault="008A7F4A" w:rsidP="008A7F4A">
      <w:pPr>
        <w:pStyle w:val="ListParagraph"/>
        <w:pBdr>
          <w:top w:val="single" w:sz="4" w:space="1" w:color="auto"/>
          <w:left w:val="single" w:sz="4" w:space="4" w:color="auto"/>
          <w:bottom w:val="single" w:sz="4" w:space="1" w:color="auto"/>
          <w:right w:val="single" w:sz="4" w:space="4" w:color="auto"/>
        </w:pBdr>
        <w:ind w:left="1440"/>
        <w:jc w:val="both"/>
        <w:rPr>
          <w:rFonts w:ascii="Times" w:eastAsia="Times New Roman" w:hAnsi="Times" w:cs="Times New Roman"/>
        </w:rPr>
      </w:pPr>
      <w:r>
        <w:rPr>
          <w:rFonts w:ascii="Times" w:eastAsia="Times New Roman" w:hAnsi="Times" w:cs="Times New Roman"/>
          <w:b/>
        </w:rPr>
        <w:t>Guidance Note:</w:t>
      </w:r>
      <w:r>
        <w:rPr>
          <w:rFonts w:ascii="Times" w:eastAsia="Times New Roman" w:hAnsi="Times" w:cs="Times New Roman"/>
        </w:rPr>
        <w:t xml:space="preserve"> As a general guide, the forecast horizon should not be less than 20 years. </w:t>
      </w:r>
    </w:p>
    <w:p w14:paraId="434667B0" w14:textId="77777777" w:rsidR="008A7F4A" w:rsidRDefault="008A7F4A" w:rsidP="008A7F4A">
      <w:pPr>
        <w:pStyle w:val="ListParagraph"/>
        <w:spacing w:after="0"/>
        <w:jc w:val="both"/>
        <w:rPr>
          <w:rFonts w:ascii="Times" w:eastAsia="Times New Roman" w:hAnsi="Times" w:cs="Times New Roman"/>
        </w:rPr>
      </w:pPr>
    </w:p>
    <w:p w14:paraId="7F04A526" w14:textId="77777777" w:rsidR="008A7F4A" w:rsidRDefault="008A7F4A" w:rsidP="00745C9A">
      <w:pPr>
        <w:pStyle w:val="Heading2"/>
        <w:numPr>
          <w:ilvl w:val="0"/>
          <w:numId w:val="93"/>
        </w:numPr>
        <w:rPr>
          <w:sz w:val="22"/>
          <w:szCs w:val="22"/>
        </w:rPr>
      </w:pPr>
      <w:bookmarkStart w:id="68" w:name="_Toc77242147"/>
      <w:r>
        <w:rPr>
          <w:sz w:val="22"/>
          <w:szCs w:val="22"/>
        </w:rPr>
        <w:t>Compliance with ASOPs</w:t>
      </w:r>
      <w:bookmarkEnd w:id="68"/>
      <w:r>
        <w:rPr>
          <w:sz w:val="22"/>
          <w:szCs w:val="22"/>
        </w:rPr>
        <w:t xml:space="preserve"> </w:t>
      </w:r>
    </w:p>
    <w:p w14:paraId="70409751" w14:textId="77777777" w:rsidR="008A7F4A" w:rsidRDefault="008A7F4A" w:rsidP="008A7F4A">
      <w:pPr>
        <w:pStyle w:val="ListParagraph"/>
        <w:ind w:left="360"/>
        <w:jc w:val="both"/>
        <w:rPr>
          <w:rFonts w:ascii="Times" w:eastAsia="Times New Roman" w:hAnsi="Times" w:cs="Times New Roman"/>
        </w:rPr>
      </w:pPr>
    </w:p>
    <w:p w14:paraId="78F9E9A5" w14:textId="77777777" w:rsidR="008A7F4A" w:rsidRDefault="008A7F4A" w:rsidP="008A7F4A">
      <w:pPr>
        <w:pStyle w:val="ListParagraph"/>
        <w:jc w:val="both"/>
        <w:rPr>
          <w:rFonts w:ascii="Times" w:eastAsia="Times New Roman" w:hAnsi="Times" w:cs="Times New Roman"/>
        </w:rPr>
      </w:pPr>
      <w:r>
        <w:rPr>
          <w:rFonts w:ascii="Times" w:eastAsia="Times New Roman" w:hAnsi="Times" w:cs="Times New Roman"/>
        </w:rPr>
        <w:t xml:space="preserve">When determining a stochastic reserve, the analysis shall conform to the ASOPs as promulgated from time to time by the ASB. </w:t>
      </w:r>
    </w:p>
    <w:p w14:paraId="26855C73" w14:textId="77777777" w:rsidR="008A7F4A" w:rsidRDefault="008A7F4A" w:rsidP="008A7F4A">
      <w:pPr>
        <w:pStyle w:val="ListParagraph"/>
        <w:jc w:val="both"/>
        <w:rPr>
          <w:rFonts w:ascii="Times" w:eastAsia="Times New Roman" w:hAnsi="Times" w:cs="Times New Roman"/>
        </w:rPr>
      </w:pPr>
    </w:p>
    <w:p w14:paraId="653864D8" w14:textId="77777777" w:rsidR="008A7F4A" w:rsidRDefault="008A7F4A" w:rsidP="008A7F4A">
      <w:pPr>
        <w:pStyle w:val="ListParagraph"/>
        <w:jc w:val="both"/>
        <w:rPr>
          <w:rFonts w:ascii="Times" w:eastAsia="Times New Roman" w:hAnsi="Times" w:cs="Times New Roman"/>
        </w:rPr>
      </w:pPr>
      <w:r>
        <w:rPr>
          <w:rFonts w:ascii="Times" w:eastAsia="Times New Roman" w:hAnsi="Times" w:cs="Times New Roman"/>
        </w:rPr>
        <w:lastRenderedPageBreak/>
        <w:t xml:space="preserve">Under these requirements, an actuary will make various determinations, </w:t>
      </w:r>
      <w:proofErr w:type="gramStart"/>
      <w:r>
        <w:rPr>
          <w:rFonts w:ascii="Times" w:eastAsia="Times New Roman" w:hAnsi="Times" w:cs="Times New Roman"/>
        </w:rPr>
        <w:t>verifications</w:t>
      </w:r>
      <w:proofErr w:type="gramEnd"/>
      <w:r>
        <w:rPr>
          <w:rFonts w:ascii="Times" w:eastAsia="Times New Roman" w:hAnsi="Times" w:cs="Times New Roman"/>
        </w:rPr>
        <w:t xml:space="preserve"> and certifications. The company shall provide the actuary with the necessary information sufficient to permit the actuary to fulfill the responsibilities set forth in these requirements and responsibilities arising from each applicable ASOP.</w:t>
      </w:r>
    </w:p>
    <w:p w14:paraId="3F818DBB" w14:textId="77777777" w:rsidR="008A7F4A" w:rsidRDefault="008A7F4A" w:rsidP="008A7F4A">
      <w:pPr>
        <w:jc w:val="both"/>
      </w:pPr>
    </w:p>
    <w:p w14:paraId="682721E9" w14:textId="77777777" w:rsidR="008A7F4A" w:rsidRDefault="008A7F4A" w:rsidP="008A7F4A">
      <w:r>
        <w:br w:type="page"/>
      </w:r>
    </w:p>
    <w:p w14:paraId="404CE5D3" w14:textId="77777777" w:rsidR="008A7F4A" w:rsidRDefault="008A7F4A" w:rsidP="008A7F4A">
      <w:pPr>
        <w:pStyle w:val="Heading1"/>
        <w:spacing w:line="240" w:lineRule="auto"/>
        <w:rPr>
          <w:sz w:val="24"/>
          <w:szCs w:val="24"/>
        </w:rPr>
      </w:pPr>
      <w:bookmarkStart w:id="69" w:name="_Toc77242148"/>
      <w:r>
        <w:rPr>
          <w:sz w:val="24"/>
          <w:szCs w:val="24"/>
        </w:rPr>
        <w:lastRenderedPageBreak/>
        <w:t xml:space="preserve">Section 5: </w:t>
      </w:r>
      <w:commentRangeStart w:id="70"/>
      <w:r>
        <w:rPr>
          <w:sz w:val="24"/>
          <w:szCs w:val="24"/>
        </w:rPr>
        <w:t>Reinsurance Ceded and Assumed</w:t>
      </w:r>
      <w:bookmarkEnd w:id="69"/>
      <w:commentRangeEnd w:id="70"/>
      <w:r w:rsidR="00687D10">
        <w:rPr>
          <w:rStyle w:val="CommentReference"/>
          <w:rFonts w:asciiTheme="minorHAnsi" w:eastAsiaTheme="minorHAnsi" w:hAnsiTheme="minorHAnsi" w:cstheme="minorBidi"/>
          <w:color w:val="auto"/>
        </w:rPr>
        <w:commentReference w:id="70"/>
      </w:r>
    </w:p>
    <w:p w14:paraId="6119A4FE"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2FDBA035" w14:textId="77777777" w:rsidR="008A7F4A" w:rsidRDefault="008A7F4A" w:rsidP="008A7F4A">
      <w:pPr>
        <w:pStyle w:val="Heading2"/>
        <w:rPr>
          <w:sz w:val="22"/>
          <w:szCs w:val="22"/>
        </w:rPr>
      </w:pPr>
      <w:bookmarkStart w:id="71" w:name="_Toc77242149"/>
      <w:r>
        <w:rPr>
          <w:sz w:val="22"/>
          <w:szCs w:val="22"/>
        </w:rPr>
        <w:t>A. Treatment of Reinsurance Ceded in the Aggregate Reserve</w:t>
      </w:r>
      <w:bookmarkEnd w:id="71"/>
      <w:r>
        <w:rPr>
          <w:sz w:val="22"/>
          <w:szCs w:val="22"/>
        </w:rPr>
        <w:t xml:space="preserve"> </w:t>
      </w:r>
    </w:p>
    <w:p w14:paraId="179DD55E" w14:textId="77777777" w:rsidR="008A7F4A" w:rsidRDefault="008A7F4A" w:rsidP="00745C9A">
      <w:pPr>
        <w:numPr>
          <w:ilvl w:val="0"/>
          <w:numId w:val="97"/>
        </w:numPr>
        <w:autoSpaceDE w:val="0"/>
        <w:autoSpaceDN w:val="0"/>
        <w:adjustRightInd w:val="0"/>
        <w:spacing w:after="0" w:line="240" w:lineRule="auto"/>
        <w:rPr>
          <w:rFonts w:ascii="Times New Roman" w:hAnsi="Times New Roman" w:cs="Times New Roman"/>
          <w:color w:val="000000"/>
        </w:rPr>
      </w:pPr>
    </w:p>
    <w:p w14:paraId="1D0F2EE6" w14:textId="77777777" w:rsidR="008A7F4A" w:rsidRDefault="008A7F4A" w:rsidP="00745C9A">
      <w:pPr>
        <w:numPr>
          <w:ilvl w:val="0"/>
          <w:numId w:val="97"/>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 Aggregate Reserve Pre- and Post-Reinsurance Ceded</w:t>
      </w:r>
    </w:p>
    <w:p w14:paraId="6A86E66C"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5442B844"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As noted in Section 3.B, the aggregate reserve is determined both pre-reinsurance </w:t>
      </w:r>
      <w:proofErr w:type="gramStart"/>
      <w:r>
        <w:rPr>
          <w:rFonts w:ascii="Times New Roman" w:hAnsi="Times New Roman" w:cs="Times New Roman"/>
          <w:color w:val="000000"/>
        </w:rPr>
        <w:t>ceded</w:t>
      </w:r>
      <w:proofErr w:type="gramEnd"/>
      <w:r>
        <w:rPr>
          <w:rFonts w:ascii="Times New Roman" w:hAnsi="Times New Roman" w:cs="Times New Roman"/>
          <w:color w:val="000000"/>
        </w:rPr>
        <w:t xml:space="preserve"> and post-reinsurance ceded. Therefore, it is necessary to determine the components needed to determine the aggregate reserve—i.e., the stochastic reserve and/or the reserve amount valued using requirements in VM-A and VM-C, as applicable—on both bases. Sections 5.A.2 and  5.A.3 discuss adjustments to inputs necessary to determine these components on both a post-reinsurance ceded and a pre-reinsurance ceded basis. Note that due allowance for reasonable approximations may be used where appropriate. </w:t>
      </w:r>
    </w:p>
    <w:p w14:paraId="1EA3EC49"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11AC6F5C"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 Stochastic Reserve </w:t>
      </w:r>
    </w:p>
    <w:p w14:paraId="1F38D0CD"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61AEFAAC" w14:textId="77777777" w:rsidR="008A7F4A" w:rsidRDefault="008A7F4A" w:rsidP="00745C9A">
      <w:pPr>
        <w:pStyle w:val="ListParagraph"/>
        <w:numPr>
          <w:ilvl w:val="0"/>
          <w:numId w:val="98"/>
        </w:num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 order to</w:t>
      </w:r>
      <w:proofErr w:type="gramEnd"/>
      <w:r>
        <w:rPr>
          <w:rFonts w:ascii="Times New Roman" w:hAnsi="Times New Roman" w:cs="Times New Roman"/>
          <w:color w:val="000000"/>
        </w:rPr>
        <w:t xml:space="preserve"> determine the aggregate reserve post-reinsurance ceded, accumulated deficiencies, scenario reserves, and the resulting stochastic reserve shall be determined reflecting the effects of reinsurance treaties that meet the statutory requirements that would allow the treaty to be accounted for as reinsurance within statutory accounting. This involves including, where appropriate, all projected reinsurance premiums or other costs and all reinsurance recoveries, where the reinsurance cash flows reflect all the provisions in the reinsurance agreement, using prudent estimate assumptions. </w:t>
      </w:r>
    </w:p>
    <w:p w14:paraId="10D38D27" w14:textId="77777777" w:rsidR="008A7F4A" w:rsidRDefault="008A7F4A" w:rsidP="008A7F4A">
      <w:pPr>
        <w:pStyle w:val="ListParagraph"/>
        <w:autoSpaceDE w:val="0"/>
        <w:autoSpaceDN w:val="0"/>
        <w:adjustRightInd w:val="0"/>
        <w:spacing w:after="0" w:line="240" w:lineRule="auto"/>
        <w:rPr>
          <w:rFonts w:ascii="Times New Roman" w:hAnsi="Times New Roman" w:cs="Times New Roman"/>
          <w:color w:val="000000"/>
        </w:rPr>
      </w:pPr>
    </w:p>
    <w:p w14:paraId="1EDABD87" w14:textId="77777777" w:rsidR="008A7F4A" w:rsidRDefault="008A7F4A" w:rsidP="00745C9A">
      <w:pPr>
        <w:pStyle w:val="ListParagraph"/>
        <w:numPr>
          <w:ilvl w:val="1"/>
          <w:numId w:val="98"/>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All significant terms and provisions within reinsurance treaties shall be reflected. In addition, it shall be assumed that each party is knowledgeable about the treaty provisions and will exercise them to their advantage.</w:t>
      </w:r>
    </w:p>
    <w:p w14:paraId="48A5ABE6" w14:textId="77777777" w:rsidR="008A7F4A" w:rsidRDefault="008A7F4A" w:rsidP="008A7F4A">
      <w:pPr>
        <w:pStyle w:val="ListParagraph"/>
        <w:spacing w:after="0"/>
        <w:rPr>
          <w:rFonts w:ascii="Times New Roman" w:hAnsi="Times New Roman" w:cs="Times New Roman"/>
          <w:color w:val="000000"/>
        </w:rPr>
      </w:pPr>
    </w:p>
    <w:p w14:paraId="16C077D0" w14:textId="77777777" w:rsidR="008A7F4A"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Pr>
          <w:rFonts w:ascii="Times New Roman" w:hAnsi="Times New Roman" w:cs="Times New Roman"/>
          <w:b/>
          <w:bCs/>
          <w:color w:val="000000"/>
        </w:rPr>
        <w:t>Guidance Note:</w:t>
      </w:r>
      <w:r>
        <w:rPr>
          <w:rFonts w:ascii="Times New Roman" w:hAnsi="Times New Roman" w:cs="Times New Roman"/>
          <w:color w:val="000000"/>
        </w:rPr>
        <w:t xml:space="preserve"> Renegotiation of the treaty upon the expiration of an experience refund provision or at any other time shall not be assumed if such would be beneficial to the company and not beneficial to the counterparty. This is applicable to both the ceding party and assuming party within a reinsurance arrangement.</w:t>
      </w:r>
    </w:p>
    <w:p w14:paraId="70C1378F"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3F7D505A" w14:textId="77777777" w:rsidR="008A7F4A" w:rsidRDefault="008A7F4A" w:rsidP="00745C9A">
      <w:pPr>
        <w:pStyle w:val="ListParagraph"/>
        <w:numPr>
          <w:ilvl w:val="1"/>
          <w:numId w:val="98"/>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If the company has knowledge that a counterparty is financially impaired, the company shall establish a margin for the risk of default by the counterparty. In the absence of knowledge that the counterparty is financially impaired, the company is not required to establish a margin for the risk of default by the counterparty.</w:t>
      </w:r>
    </w:p>
    <w:p w14:paraId="458059A6" w14:textId="77777777" w:rsidR="008A7F4A" w:rsidRDefault="008A7F4A" w:rsidP="008A7F4A">
      <w:pPr>
        <w:pStyle w:val="ListParagraph"/>
        <w:rPr>
          <w:rFonts w:ascii="Times New Roman" w:hAnsi="Times New Roman" w:cs="Times New Roman"/>
          <w:color w:val="000000"/>
        </w:rPr>
      </w:pPr>
    </w:p>
    <w:p w14:paraId="67FBFDAF" w14:textId="77777777" w:rsidR="008A7F4A" w:rsidRDefault="008A7F4A" w:rsidP="00745C9A">
      <w:pPr>
        <w:pStyle w:val="ListParagraph"/>
        <w:numPr>
          <w:ilvl w:val="1"/>
          <w:numId w:val="98"/>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company shall include the cash flows from a reinsurance agreement or amendment in calculating the aggregate reserve if such qualifies for credit in compliance with Appendix A-791 of the Accounting Practices and Procedures Manual. If a reinsurance agreement or amendment does not qualify for credit for reinsurance but treating the reinsurance agreement or amendment as if it did so qualify would result in a reduction to the company’s surplus, then the company shall increase the minimum reserve by the absolute value of such reductions in surplus.</w:t>
      </w:r>
    </w:p>
    <w:p w14:paraId="49400E3F" w14:textId="77777777" w:rsidR="008A7F4A" w:rsidRDefault="008A7F4A" w:rsidP="008A7F4A">
      <w:pPr>
        <w:pStyle w:val="ListParagraph"/>
        <w:autoSpaceDE w:val="0"/>
        <w:autoSpaceDN w:val="0"/>
        <w:adjustRightInd w:val="0"/>
        <w:spacing w:after="0" w:line="240" w:lineRule="auto"/>
        <w:rPr>
          <w:rFonts w:ascii="Times New Roman" w:hAnsi="Times New Roman" w:cs="Times New Roman"/>
          <w:color w:val="000000"/>
        </w:rPr>
      </w:pPr>
    </w:p>
    <w:p w14:paraId="396F6167" w14:textId="77777777" w:rsidR="008A7F4A" w:rsidRDefault="008A7F4A" w:rsidP="00745C9A">
      <w:pPr>
        <w:pStyle w:val="ListParagraph"/>
        <w:numPr>
          <w:ilvl w:val="0"/>
          <w:numId w:val="98"/>
        </w:num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 order to</w:t>
      </w:r>
      <w:proofErr w:type="gramEnd"/>
      <w:r>
        <w:rPr>
          <w:rFonts w:ascii="Times New Roman" w:hAnsi="Times New Roman" w:cs="Times New Roman"/>
          <w:color w:val="000000"/>
        </w:rPr>
        <w:t xml:space="preserve"> determine the stochastic reserve on a pre-reinsurance ceded basis, accumulated deficiencies, scenario reserves, and the resulting stochastic reserve shall be determined ignoring the effects of reinsurance ceded within the projections. Different approaches may be used to determine the starting assets on the ceded portion of the contracts, dependent upon the characteristics of a given treaty: </w:t>
      </w:r>
    </w:p>
    <w:p w14:paraId="00F87015"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55F089EE" w14:textId="77777777" w:rsidR="008A7F4A" w:rsidRDefault="008A7F4A" w:rsidP="00745C9A">
      <w:pPr>
        <w:pStyle w:val="ListParagraph"/>
        <w:numPr>
          <w:ilvl w:val="1"/>
          <w:numId w:val="98"/>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For a standard coinsurance treaty, where the assets supporting the ceded liabilities were transferred to the assuming reinsurer, one acceptable approach involves a projection </w:t>
      </w:r>
      <w:r>
        <w:rPr>
          <w:rFonts w:ascii="Times New Roman" w:hAnsi="Times New Roman" w:cs="Times New Roman"/>
          <w:color w:val="000000"/>
        </w:rPr>
        <w:lastRenderedPageBreak/>
        <w:t xml:space="preserve">based on using starting assets on the ceded portion of the policies that are </w:t>
      </w:r>
      <w:proofErr w:type="gramStart"/>
      <w:r>
        <w:rPr>
          <w:rFonts w:ascii="Times New Roman" w:hAnsi="Times New Roman" w:cs="Times New Roman"/>
          <w:color w:val="000000"/>
        </w:rPr>
        <w:t>similar to</w:t>
      </w:r>
      <w:proofErr w:type="gramEnd"/>
      <w:r>
        <w:rPr>
          <w:rFonts w:ascii="Times New Roman" w:hAnsi="Times New Roman" w:cs="Times New Roman"/>
          <w:color w:val="000000"/>
        </w:rPr>
        <w:t xml:space="preserve"> those supporting the retained portion of the ceded policies or supporting similar types of policies. Scaling up each asset supporting the retained portion of the contract is also an acceptable method. </w:t>
      </w:r>
    </w:p>
    <w:p w14:paraId="07E84110" w14:textId="77777777" w:rsidR="008A7F4A" w:rsidRDefault="008A7F4A" w:rsidP="008A7F4A">
      <w:pPr>
        <w:autoSpaceDE w:val="0"/>
        <w:autoSpaceDN w:val="0"/>
        <w:adjustRightInd w:val="0"/>
        <w:spacing w:after="0" w:line="240" w:lineRule="auto"/>
        <w:ind w:left="360"/>
        <w:rPr>
          <w:rFonts w:ascii="Times New Roman" w:hAnsi="Times New Roman" w:cs="Times New Roman"/>
          <w:color w:val="000000"/>
        </w:rPr>
      </w:pPr>
    </w:p>
    <w:p w14:paraId="7414BA55" w14:textId="77777777" w:rsidR="008A7F4A"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Pr>
          <w:rFonts w:ascii="Times New Roman" w:hAnsi="Times New Roman" w:cs="Times New Roman"/>
          <w:b/>
          <w:bCs/>
          <w:color w:val="000000"/>
        </w:rPr>
        <w:t xml:space="preserve">Guidance Note: </w:t>
      </w:r>
      <w:r>
        <w:rPr>
          <w:rFonts w:ascii="Times New Roman" w:hAnsi="Times New Roman" w:cs="Times New Roman"/>
          <w:color w:val="000000"/>
        </w:rPr>
        <w:t xml:space="preserve">For standard pro rata insurance treaties (does not include experience refunds), where allocated expenses are </w:t>
      </w:r>
      <w:proofErr w:type="gramStart"/>
      <w:r>
        <w:rPr>
          <w:rFonts w:ascii="Times New Roman" w:hAnsi="Times New Roman" w:cs="Times New Roman"/>
          <w:color w:val="000000"/>
        </w:rPr>
        <w:t>similar to</w:t>
      </w:r>
      <w:proofErr w:type="gramEnd"/>
      <w:r>
        <w:rPr>
          <w:rFonts w:ascii="Times New Roman" w:hAnsi="Times New Roman" w:cs="Times New Roman"/>
          <w:color w:val="000000"/>
        </w:rPr>
        <w:t xml:space="preserve"> the renewal expense allowance, reflecting the quota share applied to the present value of future reinsurance cash flows pertaining to the reinsured block of business may be considered as a possible approach to determine the ceded reserves. </w:t>
      </w:r>
    </w:p>
    <w:p w14:paraId="5A3D3F92"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7ABCA511" w14:textId="77777777" w:rsidR="008A7F4A" w:rsidRDefault="008A7F4A" w:rsidP="00745C9A">
      <w:pPr>
        <w:pStyle w:val="ListParagraph"/>
        <w:numPr>
          <w:ilvl w:val="1"/>
          <w:numId w:val="98"/>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Alternatively, a treaty may contain an identifiable portfolio of assets associated with the ceded liabilities. This could be the case for several forms of reinsurance: funds withheld coinsurance; modified coinsurance; coinsurance with a trust. To the extent these assets would be available to the cedant, an acceptable approach could involve modeling this portfolio of assets. To the extent that these assets were insufficient to </w:t>
      </w:r>
      <w:proofErr w:type="spellStart"/>
      <w:r>
        <w:rPr>
          <w:rFonts w:ascii="Times New Roman" w:hAnsi="Times New Roman" w:cs="Times New Roman"/>
          <w:color w:val="000000"/>
        </w:rPr>
        <w:t>defease</w:t>
      </w:r>
      <w:proofErr w:type="spellEnd"/>
      <w:r>
        <w:rPr>
          <w:rFonts w:ascii="Times New Roman" w:hAnsi="Times New Roman" w:cs="Times New Roman"/>
          <w:color w:val="000000"/>
        </w:rPr>
        <w:t xml:space="preserve"> the ceded liabilities, the modeling would partially default to the approach discussed for a standard coinsurance treaty. To the extent these assets exceeded what might be needed to </w:t>
      </w:r>
      <w:proofErr w:type="spellStart"/>
      <w:r>
        <w:rPr>
          <w:rFonts w:ascii="Times New Roman" w:hAnsi="Times New Roman" w:cs="Times New Roman"/>
          <w:color w:val="000000"/>
        </w:rPr>
        <w:t>defease</w:t>
      </w:r>
      <w:proofErr w:type="spellEnd"/>
      <w:r>
        <w:rPr>
          <w:rFonts w:ascii="Times New Roman" w:hAnsi="Times New Roman" w:cs="Times New Roman"/>
          <w:color w:val="000000"/>
        </w:rPr>
        <w:t xml:space="preserve"> the ceded liabilities (perhaps an over collateralization requirement in a trust), the inclusion of such assets shall be limited.</w:t>
      </w:r>
    </w:p>
    <w:p w14:paraId="321585FF"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7EC2552F" w14:textId="77777777" w:rsidR="008A7F4A"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Pr>
          <w:rFonts w:ascii="Times New Roman" w:hAnsi="Times New Roman" w:cs="Times New Roman"/>
          <w:b/>
          <w:bCs/>
          <w:color w:val="000000"/>
        </w:rPr>
        <w:t xml:space="preserve">Guidance Note: </w:t>
      </w:r>
      <w:r>
        <w:rPr>
          <w:rFonts w:ascii="Times New Roman" w:hAnsi="Times New Roman" w:cs="Times New Roman"/>
          <w:color w:val="000000"/>
        </w:rPr>
        <w:t xml:space="preserve">Section 3.5.2 in ASOP No. 52, </w:t>
      </w:r>
      <w:r>
        <w:rPr>
          <w:rFonts w:ascii="Times New Roman" w:hAnsi="Times New Roman" w:cs="Times New Roman"/>
          <w:i/>
          <w:iCs/>
          <w:color w:val="000000"/>
        </w:rPr>
        <w:t>Principle-Based Reserves for Life Products under the NAIC Valuation Manual,</w:t>
      </w:r>
      <w:r>
        <w:rPr>
          <w:rFonts w:ascii="Times New Roman" w:hAnsi="Times New Roman" w:cs="Times New Roman"/>
          <w:color w:val="000000"/>
        </w:rPr>
        <w:t xml:space="preserve"> provides possible methods for constructing a hypothetical pre-reinsurance asset portfolio, if necessary, for purposes of the pre-reinsurance reserve calculation.</w:t>
      </w:r>
    </w:p>
    <w:p w14:paraId="004AEC35" w14:textId="77777777" w:rsidR="008A7F4A" w:rsidRDefault="008A7F4A" w:rsidP="008A7F4A">
      <w:pPr>
        <w:autoSpaceDE w:val="0"/>
        <w:autoSpaceDN w:val="0"/>
        <w:adjustRightInd w:val="0"/>
        <w:spacing w:after="0" w:line="240" w:lineRule="auto"/>
        <w:ind w:left="720" w:hanging="360"/>
        <w:rPr>
          <w:rFonts w:ascii="Times New Roman" w:hAnsi="Times New Roman" w:cs="Times New Roman"/>
          <w:color w:val="000000"/>
        </w:rPr>
      </w:pPr>
    </w:p>
    <w:p w14:paraId="555451BE" w14:textId="77777777" w:rsidR="008A7F4A" w:rsidRDefault="008A7F4A" w:rsidP="008A7F4A">
      <w:pPr>
        <w:autoSpaceDE w:val="0"/>
        <w:autoSpaceDN w:val="0"/>
        <w:adjustRightInd w:val="0"/>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c. </w:t>
      </w:r>
      <w:r>
        <w:rPr>
          <w:rFonts w:ascii="Times New Roman" w:hAnsi="Times New Roman" w:cs="Times New Roman"/>
          <w:color w:val="000000"/>
        </w:rPr>
        <w:tab/>
        <w:t>An assuming company shall use assumptions to project cash flows to and from ceding companies that reflect the assuming company’s experience for the business segment to which the reinsured policies belong and reflect the terms of the reinsurance agreement.</w:t>
      </w:r>
    </w:p>
    <w:p w14:paraId="1ED0D179"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4C00E2F4"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3. Reserve Determined Upon Passing the Exclusion Test </w:t>
      </w:r>
    </w:p>
    <w:p w14:paraId="590F75DE"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4129AD93"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If a company passes the stochastic exclusion test and elects to use a methodology pursuant to applicable Sections VM-A and VM-C, as allowed in Section 3.E, it is important to note that the methodology produces reserves on a pre-reinsurance ceded basis. Therefore, the reserve must be adjusted for any reinsurance ceded accordingly. In addition, reserves valued under applicable Sections in VM-A and VM-C, unadjusted for reinsurance, shall be applied to the contracts falling under the scope of these requirements to determine the aggregate reserve prior to reinsurance.</w:t>
      </w:r>
    </w:p>
    <w:p w14:paraId="76F4B7C4"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253AD277"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It should be noted that the pre-reinsurance and post-reinsurance reserves may result in different outcomes for the exclusion test. </w:t>
      </w:r>
      <w:proofErr w:type="gramStart"/>
      <w:r>
        <w:rPr>
          <w:rFonts w:ascii="Times New Roman" w:hAnsi="Times New Roman" w:cs="Times New Roman"/>
          <w:color w:val="000000"/>
        </w:rPr>
        <w:t>In particular, it</w:t>
      </w:r>
      <w:proofErr w:type="gramEnd"/>
      <w:r>
        <w:rPr>
          <w:rFonts w:ascii="Times New Roman" w:hAnsi="Times New Roman" w:cs="Times New Roman"/>
          <w:color w:val="000000"/>
        </w:rPr>
        <w:t xml:space="preserve"> is possible that the pre-reinsurance reserves would pass the relevant exclusion test (and allow the use of VM-A and VM-C) while the post-reinsurance reserves might not.</w:t>
      </w:r>
    </w:p>
    <w:p w14:paraId="5CA8E73C"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56BBD7FD"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4. To Be Determined</w:t>
      </w:r>
    </w:p>
    <w:p w14:paraId="7F59F406"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r>
        <w:br w:type="page"/>
      </w:r>
    </w:p>
    <w:p w14:paraId="38F398B2" w14:textId="77777777" w:rsidR="008A7F4A" w:rsidRDefault="008A7F4A" w:rsidP="008A7F4A">
      <w:pPr>
        <w:pStyle w:val="Heading1"/>
        <w:rPr>
          <w:sz w:val="24"/>
          <w:szCs w:val="24"/>
        </w:rPr>
      </w:pPr>
      <w:bookmarkStart w:id="72" w:name="_Toc77242150"/>
      <w:r>
        <w:rPr>
          <w:sz w:val="24"/>
          <w:szCs w:val="24"/>
        </w:rPr>
        <w:lastRenderedPageBreak/>
        <w:t>Section 6: To Be Determined</w:t>
      </w:r>
      <w:bookmarkEnd w:id="72"/>
    </w:p>
    <w:p w14:paraId="7435AAB8" w14:textId="77777777" w:rsidR="008A7F4A" w:rsidRDefault="008A7F4A" w:rsidP="008A7F4A"/>
    <w:p w14:paraId="49E34EAD" w14:textId="77777777" w:rsidR="008A7F4A" w:rsidRDefault="008A7F4A" w:rsidP="008A7F4A">
      <w:r>
        <w:br w:type="page"/>
      </w:r>
    </w:p>
    <w:p w14:paraId="304E2A2D" w14:textId="77777777" w:rsidR="008A7F4A" w:rsidRDefault="008A7F4A" w:rsidP="008A7F4A">
      <w:pPr>
        <w:pStyle w:val="Heading1"/>
        <w:spacing w:line="240" w:lineRule="auto"/>
        <w:rPr>
          <w:sz w:val="24"/>
          <w:szCs w:val="24"/>
        </w:rPr>
      </w:pPr>
      <w:bookmarkStart w:id="73" w:name="_Toc77242151"/>
      <w:r>
        <w:rPr>
          <w:sz w:val="24"/>
          <w:szCs w:val="24"/>
        </w:rPr>
        <w:lastRenderedPageBreak/>
        <w:t>Section 7: Exclusion Testing</w:t>
      </w:r>
      <w:bookmarkEnd w:id="73"/>
    </w:p>
    <w:p w14:paraId="41B4C655"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4F297761" w14:textId="77777777" w:rsidR="008A7F4A" w:rsidRDefault="008A7F4A" w:rsidP="008A7F4A">
      <w:pPr>
        <w:pStyle w:val="Heading2"/>
        <w:rPr>
          <w:sz w:val="22"/>
          <w:szCs w:val="22"/>
        </w:rPr>
      </w:pPr>
      <w:bookmarkStart w:id="74" w:name="_Toc77242152"/>
      <w:r>
        <w:rPr>
          <w:sz w:val="22"/>
          <w:szCs w:val="22"/>
        </w:rPr>
        <w:t>A. Stochastic Exclusion Test Requirement Overview</w:t>
      </w:r>
      <w:bookmarkEnd w:id="74"/>
    </w:p>
    <w:p w14:paraId="04D5AF8A" w14:textId="77777777" w:rsidR="008A7F4A" w:rsidRDefault="008A7F4A" w:rsidP="008A7F4A">
      <w:pPr>
        <w:spacing w:after="0"/>
      </w:pPr>
    </w:p>
    <w:p w14:paraId="14BBF8CF" w14:textId="77777777" w:rsidR="008A7F4A" w:rsidRDefault="008A7F4A" w:rsidP="00745C9A">
      <w:pPr>
        <w:numPr>
          <w:ilvl w:val="0"/>
          <w:numId w:val="99"/>
        </w:numPr>
        <w:spacing w:after="220" w:line="240" w:lineRule="auto"/>
        <w:ind w:left="720" w:hanging="360"/>
        <w:rPr>
          <w:rFonts w:ascii="Times New Roman" w:eastAsia="Times New Roman" w:hAnsi="Times New Roman" w:cs="Times New Roman"/>
        </w:rPr>
      </w:pPr>
      <w:r>
        <w:rPr>
          <w:rFonts w:ascii="Times New Roman" w:eastAsia="Times New Roman" w:hAnsi="Times New Roman" w:cs="Times New Roman"/>
        </w:rPr>
        <w:t>The company may elect to exclude one or more groups of contracts from the stochastic reserve calculation if the stochastic exclusion test (SET) is satisfied for that group of contracts. The company has the option to calculate or not calculate the SET.</w:t>
      </w:r>
    </w:p>
    <w:p w14:paraId="0A44CF1B" w14:textId="77777777" w:rsidR="008A7F4A" w:rsidRDefault="008A7F4A" w:rsidP="00745C9A">
      <w:pPr>
        <w:numPr>
          <w:ilvl w:val="1"/>
          <w:numId w:val="99"/>
        </w:numPr>
        <w:spacing w:after="220" w:line="240" w:lineRule="auto"/>
        <w:rPr>
          <w:rFonts w:ascii="Times New Roman" w:eastAsia="Times New Roman" w:hAnsi="Times New Roman" w:cs="Times New Roman"/>
        </w:rPr>
      </w:pPr>
      <w:r>
        <w:rPr>
          <w:rFonts w:ascii="Times New Roman" w:eastAsia="Times New Roman" w:hAnsi="Times New Roman" w:cs="Times New Roman"/>
        </w:rPr>
        <w:t>If the company does not elect to calculate the SET for one or more groups of contracts, or the company calculates the SET and fails the test for such groups of contracts, the reserve methodology described in Section 4 shall be used for calculating the aggregate reserve for those groups of contracts.</w:t>
      </w:r>
    </w:p>
    <w:p w14:paraId="0CC9F13D" w14:textId="77777777" w:rsidR="008A7F4A" w:rsidRDefault="008A7F4A" w:rsidP="00745C9A">
      <w:pPr>
        <w:numPr>
          <w:ilvl w:val="1"/>
          <w:numId w:val="99"/>
        </w:numPr>
        <w:spacing w:after="220" w:line="240" w:lineRule="auto"/>
        <w:rPr>
          <w:rFonts w:ascii="Times New Roman" w:eastAsia="Times New Roman" w:hAnsi="Times New Roman" w:cs="Times New Roman"/>
        </w:rPr>
      </w:pPr>
      <w:r>
        <w:rPr>
          <w:rFonts w:ascii="Times New Roman" w:eastAsia="Times New Roman" w:hAnsi="Times New Roman" w:cs="Times New Roman"/>
        </w:rPr>
        <w:t xml:space="preserve">If the company elects to calculate the SET for one or more groups of contracts, and passes the test for such groups of contracts, then the company shall choose </w:t>
      </w:r>
      <w:proofErr w:type="gramStart"/>
      <w:r>
        <w:rPr>
          <w:rFonts w:ascii="Times New Roman" w:eastAsia="Times New Roman" w:hAnsi="Times New Roman" w:cs="Times New Roman"/>
        </w:rPr>
        <w:t>whether or not</w:t>
      </w:r>
      <w:proofErr w:type="gramEnd"/>
      <w:r>
        <w:rPr>
          <w:rFonts w:ascii="Times New Roman" w:eastAsia="Times New Roman" w:hAnsi="Times New Roman" w:cs="Times New Roman"/>
        </w:rPr>
        <w:t xml:space="preserve"> to use the reserve methodology described in Section 4 for those groups of contracts. If the reserve methodology described in Section 4 is not used for one or more groups of contracts, then the company shall use the reserve methodology pursuant to applicable requirements in VM-A and VM-C to calculate the aggregate reserve for those groups of contracts.</w:t>
      </w:r>
    </w:p>
    <w:p w14:paraId="3A386E01" w14:textId="77777777" w:rsidR="008A7F4A" w:rsidRDefault="008A7F4A" w:rsidP="00745C9A">
      <w:pPr>
        <w:numPr>
          <w:ilvl w:val="1"/>
          <w:numId w:val="99"/>
        </w:numPr>
        <w:spacing w:after="220" w:line="240" w:lineRule="auto"/>
        <w:rPr>
          <w:rFonts w:ascii="Times New Roman" w:eastAsia="Times New Roman" w:hAnsi="Times New Roman" w:cs="Times New Roman"/>
        </w:rPr>
      </w:pPr>
      <w:r>
        <w:rPr>
          <w:rFonts w:ascii="Times New Roman" w:eastAsia="Times New Roman" w:hAnsi="Times New Roman" w:cs="Times New Roman"/>
        </w:rPr>
        <w:t xml:space="preserve">A company may not exclude a group of contracts from the stochastic reserve requirements if there are one or more future hedging programs associated with the contracts, </w:t>
      </w:r>
      <w:proofErr w:type="gramStart"/>
      <w:r>
        <w:rPr>
          <w:rFonts w:ascii="Times New Roman" w:eastAsia="Times New Roman" w:hAnsi="Times New Roman" w:cs="Times New Roman"/>
        </w:rPr>
        <w:t>with the exception of</w:t>
      </w:r>
      <w:proofErr w:type="gramEnd"/>
      <w:r>
        <w:rPr>
          <w:rFonts w:ascii="Times New Roman" w:eastAsia="Times New Roman" w:hAnsi="Times New Roman" w:cs="Times New Roman"/>
        </w:rPr>
        <w:t xml:space="preserve"> hedging programs solely supporting index credits as described in Section 9.A.1.</w:t>
      </w:r>
    </w:p>
    <w:p w14:paraId="21E0E2B9" w14:textId="77777777" w:rsidR="008A7F4A" w:rsidRDefault="008A7F4A" w:rsidP="00745C9A">
      <w:pPr>
        <w:pStyle w:val="Heading2"/>
        <w:numPr>
          <w:ilvl w:val="0"/>
          <w:numId w:val="89"/>
        </w:numPr>
        <w:rPr>
          <w:sz w:val="22"/>
          <w:szCs w:val="22"/>
        </w:rPr>
      </w:pPr>
      <w:bookmarkStart w:id="75" w:name="_Toc77242153"/>
      <w:r>
        <w:rPr>
          <w:sz w:val="22"/>
          <w:szCs w:val="22"/>
        </w:rPr>
        <w:t>Types of Stochastic Exclusion Tests</w:t>
      </w:r>
      <w:bookmarkEnd w:id="75"/>
    </w:p>
    <w:p w14:paraId="4B669C30" w14:textId="77777777" w:rsidR="008A7F4A" w:rsidRDefault="008A7F4A" w:rsidP="008A7F4A">
      <w:pPr>
        <w:spacing w:after="0"/>
      </w:pPr>
    </w:p>
    <w:p w14:paraId="3A82B421" w14:textId="77777777" w:rsidR="008A7F4A" w:rsidRDefault="008A7F4A" w:rsidP="008A7F4A">
      <w:pPr>
        <w:spacing w:after="220" w:line="240" w:lineRule="auto"/>
        <w:ind w:left="360"/>
        <w:rPr>
          <w:rFonts w:ascii="Times New Roman" w:hAnsi="Times New Roman" w:cs="Times New Roman"/>
        </w:rPr>
      </w:pPr>
      <w:r>
        <w:rPr>
          <w:rFonts w:ascii="Times New Roman" w:hAnsi="Times New Roman" w:cs="Times New Roman"/>
        </w:rPr>
        <w:t>Groups of contracts pass the SET if one of the following is met:</w:t>
      </w:r>
    </w:p>
    <w:p w14:paraId="434535E6" w14:textId="77777777" w:rsidR="008A7F4A" w:rsidRDefault="008A7F4A" w:rsidP="00745C9A">
      <w:pPr>
        <w:numPr>
          <w:ilvl w:val="0"/>
          <w:numId w:val="100"/>
        </w:numPr>
        <w:spacing w:after="220" w:line="240" w:lineRule="auto"/>
        <w:rPr>
          <w:rFonts w:ascii="Times New Roman" w:hAnsi="Times New Roman" w:cs="Times New Roman"/>
        </w:rPr>
      </w:pPr>
      <w:r>
        <w:rPr>
          <w:rFonts w:ascii="Times New Roman" w:hAnsi="Times New Roman" w:cs="Times New Roman"/>
        </w:rPr>
        <w:t xml:space="preserve">Stochastic Exclusion Ratio Test (SERT)—Annually the company demonstrates that the groups of contracts pass the SERT defined in </w:t>
      </w:r>
      <w:r>
        <w:rPr>
          <w:rFonts w:ascii="Times New Roman" w:eastAsia="Times New Roman" w:hAnsi="Times New Roman" w:cs="Times New Roman"/>
        </w:rPr>
        <w:t>Section 7.C</w:t>
      </w:r>
      <w:r>
        <w:rPr>
          <w:rFonts w:ascii="Times New Roman" w:hAnsi="Times New Roman" w:cs="Times New Roman"/>
        </w:rPr>
        <w:t>.</w:t>
      </w:r>
    </w:p>
    <w:p w14:paraId="51317F36" w14:textId="77777777" w:rsidR="008A7F4A" w:rsidRDefault="008A7F4A" w:rsidP="00745C9A">
      <w:pPr>
        <w:numPr>
          <w:ilvl w:val="0"/>
          <w:numId w:val="100"/>
        </w:numPr>
        <w:spacing w:after="220" w:line="240" w:lineRule="auto"/>
        <w:rPr>
          <w:rFonts w:ascii="Times New Roman" w:hAnsi="Times New Roman" w:cs="Times New Roman"/>
        </w:rPr>
      </w:pPr>
      <w:r>
        <w:rPr>
          <w:rFonts w:ascii="Times New Roman" w:hAnsi="Times New Roman" w:cs="Times New Roman"/>
        </w:rPr>
        <w:t xml:space="preserve">Stochastic Exclusion Demonstration Test—In the first year and at least once every three calendar years thereafter, the company provides a demonstration in the PBR Actuarial Report as specified in </w:t>
      </w:r>
      <w:r>
        <w:rPr>
          <w:rFonts w:ascii="Times New Roman" w:eastAsia="Times New Roman" w:hAnsi="Times New Roman" w:cs="Times New Roman"/>
        </w:rPr>
        <w:t>Section 7.D</w:t>
      </w:r>
      <w:r>
        <w:rPr>
          <w:rFonts w:ascii="Times New Roman" w:hAnsi="Times New Roman" w:cs="Times New Roman"/>
        </w:rPr>
        <w:t>.</w:t>
      </w:r>
    </w:p>
    <w:p w14:paraId="72EA1F78" w14:textId="77777777" w:rsidR="008A7F4A" w:rsidRDefault="008A7F4A" w:rsidP="00745C9A">
      <w:pPr>
        <w:numPr>
          <w:ilvl w:val="0"/>
          <w:numId w:val="100"/>
        </w:numPr>
        <w:spacing w:after="220" w:line="240" w:lineRule="auto"/>
        <w:rPr>
          <w:rFonts w:ascii="Times New Roman" w:hAnsi="Times New Roman" w:cs="Times New Roman"/>
        </w:rPr>
      </w:pPr>
      <w:commentRangeStart w:id="76"/>
      <w:r>
        <w:rPr>
          <w:rFonts w:ascii="Times New Roman" w:hAnsi="Times New Roman" w:cs="Times New Roman"/>
        </w:rPr>
        <w:t>SET</w:t>
      </w:r>
      <w:commentRangeEnd w:id="76"/>
      <w:r w:rsidR="00687D10">
        <w:rPr>
          <w:rStyle w:val="CommentReference"/>
        </w:rPr>
        <w:commentReference w:id="76"/>
      </w:r>
      <w:r>
        <w:rPr>
          <w:rFonts w:ascii="Times New Roman" w:hAnsi="Times New Roman" w:cs="Times New Roman"/>
        </w:rPr>
        <w:t xml:space="preserve"> Certification Method—For groups of contracts </w:t>
      </w:r>
      <w:r>
        <w:rPr>
          <w:rFonts w:ascii="Times New Roman" w:eastAsia="Times New Roman" w:hAnsi="Times New Roman" w:cs="Times New Roman"/>
        </w:rPr>
        <w:t>that do not have guaranteed living benefits, future hedging programs,</w:t>
      </w:r>
      <w:r>
        <w:rPr>
          <w:rFonts w:ascii="Times New Roman" w:hAnsi="Times New Roman" w:cs="Times New Roman"/>
        </w:rPr>
        <w:t xml:space="preserve"> or </w:t>
      </w:r>
      <w:r>
        <w:rPr>
          <w:rFonts w:ascii="Times New Roman" w:eastAsia="Times New Roman" w:hAnsi="Times New Roman" w:cs="Times New Roman"/>
        </w:rPr>
        <w:t>pension risk transfer business</w:t>
      </w:r>
      <w:r>
        <w:rPr>
          <w:rFonts w:ascii="Times New Roman" w:hAnsi="Times New Roman" w:cs="Times New Roman"/>
        </w:rPr>
        <w:t xml:space="preserve"> in the first year and at least every third calendar year thereafter, the company provides a certification by a qualified actuary that the group of contracts is not subject to material aggregate risk levels across interest rate risk</w:t>
      </w:r>
      <w:r>
        <w:rPr>
          <w:rFonts w:ascii="Times New Roman" w:eastAsia="Times New Roman" w:hAnsi="Times New Roman" w:cs="Times New Roman"/>
        </w:rPr>
        <w:t>, longevity risk, or</w:t>
      </w:r>
      <w:r>
        <w:rPr>
          <w:rFonts w:ascii="Times New Roman" w:hAnsi="Times New Roman" w:cs="Times New Roman"/>
        </w:rPr>
        <w:t xml:space="preserve"> asset return volatility risk (i.e., the risk on non-fixed-income investments having substantial volatility of returns, such as common stocks and real estate investments). The company shall provide the certification and documentation supporting the certification to the commissioner upon request.</w:t>
      </w:r>
    </w:p>
    <w:p w14:paraId="1AC62B2B" w14:textId="77777777" w:rsidR="008A7F4A" w:rsidRDefault="008A7F4A" w:rsidP="008A7F4A">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Pr>
          <w:rFonts w:ascii="Times New Roman" w:hAnsi="Times New Roman" w:cs="Times New Roman"/>
          <w:b/>
        </w:rPr>
        <w:t xml:space="preserve">Guidance Note: </w:t>
      </w:r>
      <w:r>
        <w:rPr>
          <w:rFonts w:ascii="Times New Roman" w:hAnsi="Times New Roman" w:cs="Times New Roman"/>
        </w:rPr>
        <w:t xml:space="preserve">The qualified actuary should develop documentation to support the actuarial certification that presents his or her analysis clearly and in detail sufficient for another actuary to understand the analysis and reasons for the actuary’s conclusion that the group of contracts is not subject to material </w:t>
      </w:r>
      <w:r>
        <w:rPr>
          <w:rFonts w:ascii="Times New Roman" w:eastAsia="Times New Roman" w:hAnsi="Times New Roman" w:cs="Times New Roman"/>
        </w:rPr>
        <w:t>interest rate risk, longevity risk, or asset return volatility risk</w:t>
      </w:r>
      <w:r>
        <w:rPr>
          <w:rFonts w:ascii="Times New Roman" w:hAnsi="Times New Roman" w:cs="Times New Roman"/>
        </w:rPr>
        <w:t>. Examples of methods a qualified actuary could use to support the actuarial certification include, but are not limited to:</w:t>
      </w:r>
    </w:p>
    <w:p w14:paraId="3F72CBBD" w14:textId="77777777" w:rsidR="008A7F4A" w:rsidRDefault="008A7F4A" w:rsidP="00745C9A">
      <w:pPr>
        <w:pStyle w:val="ListParagraph"/>
        <w:numPr>
          <w:ilvl w:val="1"/>
          <w:numId w:val="89"/>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Pr>
          <w:rFonts w:ascii="Times New Roman" w:hAnsi="Times New Roman" w:cs="Times New Roman"/>
        </w:rPr>
        <w:lastRenderedPageBreak/>
        <w:t xml:space="preserve">A demonstration that </w:t>
      </w:r>
      <w:r>
        <w:rPr>
          <w:rFonts w:ascii="Times New Roman" w:eastAsia="Times New Roman" w:hAnsi="Times New Roman" w:cs="Times New Roman"/>
        </w:rPr>
        <w:t>using requirements under VM-A and VM-C</w:t>
      </w:r>
      <w:r>
        <w:rPr>
          <w:rFonts w:ascii="Times New Roman" w:hAnsi="Times New Roman" w:cs="Times New Roman"/>
        </w:rPr>
        <w:t xml:space="preserve"> for the group of contracts calculated are at least as great as the assets required to support the group of contracts using the company’s cash-flow testing model under each of the 16 scenarios identified in </w:t>
      </w:r>
      <w:r>
        <w:rPr>
          <w:rFonts w:ascii="Times New Roman" w:eastAsia="Times New Roman" w:hAnsi="Times New Roman" w:cs="Times New Roman"/>
        </w:rPr>
        <w:t>this section</w:t>
      </w:r>
      <w:r>
        <w:rPr>
          <w:rFonts w:ascii="Times New Roman" w:hAnsi="Times New Roman" w:cs="Times New Roman"/>
        </w:rPr>
        <w:t xml:space="preserve"> or alternatively each of the New York seven scenarios.</w:t>
      </w:r>
    </w:p>
    <w:p w14:paraId="31FEF790" w14:textId="77777777" w:rsidR="008A7F4A" w:rsidRDefault="008A7F4A" w:rsidP="008A7F4A">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1D6C2A5A" w14:textId="77777777" w:rsidR="008A7F4A" w:rsidRDefault="008A7F4A" w:rsidP="00745C9A">
      <w:pPr>
        <w:pStyle w:val="ListParagraph"/>
        <w:numPr>
          <w:ilvl w:val="1"/>
          <w:numId w:val="89"/>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Pr>
          <w:rFonts w:ascii="Times New Roman" w:hAnsi="Times New Roman" w:cs="Times New Roman"/>
        </w:rPr>
        <w:t xml:space="preserve">A demonstration that the group of contracts passed the SERT within 36 months prior to the valuation date and the company has not had a material change in its interest rate risk. </w:t>
      </w:r>
    </w:p>
    <w:p w14:paraId="59A18CC5" w14:textId="77777777" w:rsidR="008A7F4A" w:rsidRDefault="008A7F4A" w:rsidP="008A7F4A">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25A245BF" w14:textId="77777777" w:rsidR="008A7F4A" w:rsidRDefault="008A7F4A" w:rsidP="00745C9A">
      <w:pPr>
        <w:pStyle w:val="ListParagraph"/>
        <w:numPr>
          <w:ilvl w:val="1"/>
          <w:numId w:val="89"/>
        </w:numPr>
        <w:pBdr>
          <w:top w:val="single" w:sz="4" w:space="1" w:color="auto"/>
          <w:left w:val="single" w:sz="4" w:space="4" w:color="auto"/>
          <w:bottom w:val="single" w:sz="4" w:space="1" w:color="auto"/>
          <w:right w:val="single" w:sz="4" w:space="4" w:color="auto"/>
        </w:pBdr>
        <w:spacing w:after="220"/>
        <w:rPr>
          <w:rFonts w:ascii="Times New Roman" w:hAnsi="Times New Roman" w:cs="Times New Roman"/>
        </w:rPr>
      </w:pPr>
      <w:r>
        <w:rPr>
          <w:rFonts w:ascii="Times New Roman" w:hAnsi="Times New Roman" w:cs="Times New Roman"/>
        </w:rPr>
        <w:t>A qualitative risk assessment of the group of contracts that concludes that the group of contracts does not have material interest rate risk or asset return volatility. Such assessment would include an analysis of product guarantees, the company’s non-guaranteed elements (NGEs) policy, assets backing the group of contracts and the company’s investment strategy.</w:t>
      </w:r>
    </w:p>
    <w:p w14:paraId="5D5A849B" w14:textId="77777777" w:rsidR="008A7F4A" w:rsidRDefault="008A7F4A" w:rsidP="00745C9A">
      <w:pPr>
        <w:pStyle w:val="Heading2"/>
        <w:numPr>
          <w:ilvl w:val="0"/>
          <w:numId w:val="89"/>
        </w:numPr>
        <w:rPr>
          <w:sz w:val="22"/>
          <w:szCs w:val="22"/>
        </w:rPr>
      </w:pPr>
      <w:bookmarkStart w:id="77" w:name="_Toc77242154"/>
      <w:r>
        <w:rPr>
          <w:sz w:val="22"/>
          <w:szCs w:val="22"/>
        </w:rPr>
        <w:t>Stochastic Exclusion Ratio Test</w:t>
      </w:r>
      <w:bookmarkEnd w:id="77"/>
    </w:p>
    <w:p w14:paraId="749E0E70" w14:textId="77777777" w:rsidR="008A7F4A" w:rsidRDefault="008A7F4A" w:rsidP="008A7F4A">
      <w:pPr>
        <w:spacing w:after="0"/>
      </w:pPr>
    </w:p>
    <w:p w14:paraId="6E9CE09C" w14:textId="77777777" w:rsidR="008A7F4A" w:rsidRDefault="008A7F4A" w:rsidP="008A7F4A">
      <w:pPr>
        <w:spacing w:after="220"/>
        <w:ind w:left="144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r>
      <w:commentRangeStart w:id="78"/>
      <w:proofErr w:type="gramStart"/>
      <w:r>
        <w:rPr>
          <w:rFonts w:ascii="Times New Roman" w:hAnsi="Times New Roman" w:cs="Times New Roman"/>
        </w:rPr>
        <w:t>In order to</w:t>
      </w:r>
      <w:proofErr w:type="gramEnd"/>
      <w:r>
        <w:rPr>
          <w:rFonts w:ascii="Times New Roman" w:hAnsi="Times New Roman" w:cs="Times New Roman"/>
        </w:rPr>
        <w:t xml:space="preserve"> </w:t>
      </w:r>
      <w:commentRangeEnd w:id="78"/>
      <w:r w:rsidR="00687D10">
        <w:rPr>
          <w:rStyle w:val="CommentReference"/>
        </w:rPr>
        <w:commentReference w:id="78"/>
      </w:r>
      <w:r>
        <w:rPr>
          <w:rFonts w:ascii="Times New Roman" w:hAnsi="Times New Roman" w:cs="Times New Roman"/>
        </w:rPr>
        <w:t xml:space="preserve">exclude a group of contracts from the stochastic reserve requirements under </w:t>
      </w:r>
      <w:r>
        <w:rPr>
          <w:rFonts w:ascii="Times New Roman" w:eastAsia="Times New Roman" w:hAnsi="Times New Roman" w:cs="Times New Roman"/>
        </w:rPr>
        <w:t>the stochastic exclusion ratio test (SERT),</w:t>
      </w:r>
      <w:r>
        <w:rPr>
          <w:rFonts w:ascii="Times New Roman" w:hAnsi="Times New Roman" w:cs="Times New Roman"/>
        </w:rPr>
        <w:t xml:space="preserve"> a company shall demonstrate that the ratio of (b–a)/</w:t>
      </w:r>
      <w:r>
        <w:rPr>
          <w:rFonts w:ascii="Times New Roman" w:eastAsia="Times New Roman" w:hAnsi="Times New Roman" w:cs="Times New Roman"/>
        </w:rPr>
        <w:t>a</w:t>
      </w:r>
      <w:r>
        <w:rPr>
          <w:rFonts w:ascii="Times New Roman" w:hAnsi="Times New Roman" w:cs="Times New Roman"/>
        </w:rPr>
        <w:t xml:space="preserve"> is less than </w:t>
      </w:r>
      <w:r>
        <w:rPr>
          <w:rFonts w:ascii="Times New Roman" w:eastAsia="Times New Roman" w:hAnsi="Times New Roman" w:cs="Times New Roman"/>
          <w:highlight w:val="yellow"/>
        </w:rPr>
        <w:t>[x]</w:t>
      </w:r>
      <w:r>
        <w:rPr>
          <w:rFonts w:ascii="Times New Roman" w:eastAsia="Times New Roman" w:hAnsi="Times New Roman" w:cs="Times New Roman"/>
        </w:rPr>
        <w:t>%</w:t>
      </w:r>
      <w:r>
        <w:rPr>
          <w:rFonts w:ascii="Times New Roman" w:hAnsi="Times New Roman" w:cs="Times New Roman"/>
        </w:rPr>
        <w:t xml:space="preserve"> where:</w:t>
      </w:r>
    </w:p>
    <w:p w14:paraId="1361BFAE" w14:textId="77777777" w:rsidR="008A7F4A" w:rsidRDefault="008A7F4A" w:rsidP="008A7F4A">
      <w:pPr>
        <w:spacing w:after="220"/>
        <w:ind w:left="180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a = the adjusted </w:t>
      </w:r>
      <w:r>
        <w:rPr>
          <w:rFonts w:ascii="Times New Roman" w:eastAsia="Times New Roman" w:hAnsi="Times New Roman" w:cs="Times New Roman"/>
        </w:rPr>
        <w:t xml:space="preserve">scenario </w:t>
      </w:r>
      <w:r>
        <w:rPr>
          <w:rFonts w:ascii="Times New Roman" w:hAnsi="Times New Roman" w:cs="Times New Roman"/>
        </w:rPr>
        <w:t>reserve described in P</w:t>
      </w:r>
      <w:r>
        <w:rPr>
          <w:rFonts w:ascii="Times New Roman" w:eastAsia="Times New Roman" w:hAnsi="Times New Roman" w:cs="Times New Roman"/>
        </w:rPr>
        <w:t xml:space="preserve">aragraph </w:t>
      </w:r>
      <w:r>
        <w:rPr>
          <w:rFonts w:ascii="Times New Roman" w:hAnsi="Times New Roman" w:cs="Times New Roman"/>
        </w:rPr>
        <w:t>C.</w:t>
      </w:r>
      <w:r>
        <w:rPr>
          <w:rFonts w:ascii="Times New Roman" w:eastAsia="Times New Roman" w:hAnsi="Times New Roman" w:cs="Times New Roman"/>
        </w:rPr>
        <w:t>2.a.i below</w:t>
      </w:r>
      <w:r>
        <w:rPr>
          <w:rFonts w:ascii="Times New Roman" w:hAnsi="Times New Roman" w:cs="Times New Roman"/>
        </w:rPr>
        <w:t xml:space="preserve"> using economic scenario 9, the baseline economic scenario, as described in Appendix 1.E</w:t>
      </w:r>
      <w:r>
        <w:rPr>
          <w:rFonts w:ascii="Times New Roman" w:eastAsia="Times New Roman" w:hAnsi="Times New Roman" w:cs="Times New Roman"/>
        </w:rPr>
        <w:t xml:space="preserve"> of VM-20</w:t>
      </w:r>
      <w:r>
        <w:rPr>
          <w:rFonts w:ascii="Times New Roman" w:hAnsi="Times New Roman" w:cs="Times New Roman"/>
        </w:rPr>
        <w:t>.</w:t>
      </w:r>
    </w:p>
    <w:p w14:paraId="28032531" w14:textId="77777777" w:rsidR="008A7F4A" w:rsidRDefault="008A7F4A" w:rsidP="008A7F4A">
      <w:pPr>
        <w:spacing w:after="220"/>
        <w:ind w:left="180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b = the largest adjusted </w:t>
      </w:r>
      <w:r>
        <w:rPr>
          <w:rFonts w:ascii="Times New Roman" w:eastAsia="Times New Roman" w:hAnsi="Times New Roman" w:cs="Times New Roman"/>
        </w:rPr>
        <w:t>scenario</w:t>
      </w:r>
      <w:r>
        <w:rPr>
          <w:rFonts w:ascii="Times New Roman" w:hAnsi="Times New Roman" w:cs="Times New Roman"/>
        </w:rPr>
        <w:t xml:space="preserve"> reserve described in </w:t>
      </w:r>
      <w:r>
        <w:rPr>
          <w:rFonts w:ascii="Times New Roman" w:eastAsia="Times New Roman" w:hAnsi="Times New Roman" w:cs="Times New Roman"/>
        </w:rPr>
        <w:t>Paragraph C.2.b below</w:t>
      </w:r>
      <w:r>
        <w:rPr>
          <w:rFonts w:ascii="Times New Roman" w:hAnsi="Times New Roman" w:cs="Times New Roman"/>
        </w:rPr>
        <w:t xml:space="preserve"> under any of the other </w:t>
      </w:r>
      <w:r>
        <w:rPr>
          <w:rFonts w:ascii="Times New Roman" w:eastAsia="Times New Roman" w:hAnsi="Times New Roman" w:cs="Times New Roman"/>
        </w:rPr>
        <w:t>15</w:t>
      </w:r>
      <w:r>
        <w:rPr>
          <w:rFonts w:ascii="Times New Roman" w:hAnsi="Times New Roman" w:cs="Times New Roman"/>
        </w:rPr>
        <w:t xml:space="preserve"> economic scenarios described in Appendix 1.E</w:t>
      </w:r>
      <w:r>
        <w:rPr>
          <w:rFonts w:ascii="Times New Roman" w:eastAsia="Times New Roman" w:hAnsi="Times New Roman" w:cs="Times New Roman"/>
        </w:rPr>
        <w:t xml:space="preserve"> of VM-20 under both </w:t>
      </w:r>
      <w:r>
        <w:rPr>
          <w:rFonts w:ascii="Times New Roman" w:eastAsia="Times New Roman" w:hAnsi="Times New Roman" w:cs="Times New Roman"/>
          <w:highlight w:val="yellow"/>
        </w:rPr>
        <w:t>[95]</w:t>
      </w:r>
      <w:r>
        <w:rPr>
          <w:rFonts w:ascii="Times New Roman" w:eastAsia="Times New Roman" w:hAnsi="Times New Roman" w:cs="Times New Roman"/>
        </w:rPr>
        <w:t xml:space="preserve">% and </w:t>
      </w:r>
      <w:r>
        <w:rPr>
          <w:rFonts w:ascii="Times New Roman" w:eastAsia="Times New Roman" w:hAnsi="Times New Roman" w:cs="Times New Roman"/>
          <w:highlight w:val="yellow"/>
        </w:rPr>
        <w:t xml:space="preserve"> [105]</w:t>
      </w:r>
      <w:r>
        <w:rPr>
          <w:rFonts w:ascii="Times New Roman" w:eastAsia="Times New Roman" w:hAnsi="Times New Roman" w:cs="Times New Roman"/>
        </w:rPr>
        <w:t>%</w:t>
      </w:r>
      <w:r>
        <w:rPr>
          <w:rFonts w:ascii="Times New Roman" w:hAnsi="Times New Roman" w:cs="Times New Roman"/>
        </w:rPr>
        <w:t xml:space="preserve"> of</w:t>
      </w:r>
      <w:r>
        <w:rPr>
          <w:rFonts w:ascii="Times New Roman" w:eastAsia="Times New Roman" w:hAnsi="Times New Roman" w:cs="Times New Roman"/>
        </w:rPr>
        <w:t xml:space="preserve"> anticipated experience mortality excluding margins.</w:t>
      </w:r>
      <w:r>
        <w:rPr>
          <w:rFonts w:ascii="Times New Roman" w:hAnsi="Times New Roman" w:cs="Times New Roman"/>
        </w:rPr>
        <w:t xml:space="preserve"> </w:t>
      </w:r>
    </w:p>
    <w:p w14:paraId="1BB69E5F" w14:textId="77777777" w:rsidR="008A7F4A" w:rsidRDefault="008A7F4A" w:rsidP="008A7F4A">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Pr>
          <w:rFonts w:ascii="Times New Roman" w:hAnsi="Times New Roman" w:cs="Times New Roman"/>
          <w:b/>
        </w:rPr>
        <w:t>Guidance Note:</w:t>
      </w:r>
      <w:r>
        <w:rPr>
          <w:rFonts w:ascii="Times New Roman" w:hAnsi="Times New Roman" w:cs="Times New Roman"/>
        </w:rPr>
        <w:t xml:space="preserve"> Note that the numerator should be the largest adjusted scenario reserve for scenarios other than the baseline economic scenario, minus the adjusted scenario reserve for the baseline economic scenario. This is not necessarily the same as the biggest difference from the adjusted scenario reserve for the baseline economic scenario, or the absolute value of the biggest difference from the adjusted scenario reserve for the baseline economic scenario, both of which could lead to an incorrect test result.</w:t>
      </w:r>
    </w:p>
    <w:p w14:paraId="47E6669F" w14:textId="77777777" w:rsidR="008A7F4A" w:rsidRDefault="008A7F4A" w:rsidP="008A7F4A">
      <w:pPr>
        <w:spacing w:after="220"/>
        <w:ind w:left="144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In calculating the ratio in </w:t>
      </w:r>
      <w:r>
        <w:rPr>
          <w:rFonts w:ascii="Times New Roman" w:eastAsia="Times New Roman" w:hAnsi="Times New Roman" w:cs="Times New Roman"/>
        </w:rPr>
        <w:t>subsection (1)</w:t>
      </w:r>
      <w:r>
        <w:rPr>
          <w:rFonts w:ascii="Times New Roman" w:hAnsi="Times New Roman" w:cs="Times New Roman"/>
        </w:rPr>
        <w:t xml:space="preserve"> above:</w:t>
      </w:r>
    </w:p>
    <w:p w14:paraId="6CFBBFDF" w14:textId="77777777" w:rsidR="008A7F4A" w:rsidRDefault="008A7F4A" w:rsidP="008A7F4A">
      <w:pPr>
        <w:spacing w:after="220"/>
        <w:ind w:left="180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The company shall calculate an adjusted </w:t>
      </w:r>
      <w:r>
        <w:rPr>
          <w:rFonts w:ascii="Times New Roman" w:eastAsia="Times New Roman" w:hAnsi="Times New Roman" w:cs="Times New Roman"/>
        </w:rPr>
        <w:t>scenario</w:t>
      </w:r>
      <w:r>
        <w:rPr>
          <w:rFonts w:ascii="Times New Roman" w:hAnsi="Times New Roman" w:cs="Times New Roman"/>
        </w:rPr>
        <w:t xml:space="preserve"> reserve for the group of contracts for the 16 scenarios that is equal to either (i) or (ii) below:</w:t>
      </w:r>
    </w:p>
    <w:p w14:paraId="10FCAD40" w14:textId="77777777" w:rsidR="008A7F4A" w:rsidRDefault="008A7F4A" w:rsidP="00745C9A">
      <w:pPr>
        <w:pStyle w:val="ListParagraph"/>
        <w:widowControl w:val="0"/>
        <w:numPr>
          <w:ilvl w:val="4"/>
          <w:numId w:val="101"/>
        </w:numPr>
        <w:spacing w:after="220" w:line="240" w:lineRule="auto"/>
        <w:ind w:left="2160"/>
        <w:rPr>
          <w:rFonts w:ascii="Times New Roman" w:hAnsi="Times New Roman" w:cs="Times New Roman"/>
        </w:rPr>
      </w:pPr>
      <w:r>
        <w:rPr>
          <w:rFonts w:ascii="Times New Roman" w:hAnsi="Times New Roman" w:cs="Times New Roman"/>
        </w:rPr>
        <w:t xml:space="preserve">The </w:t>
      </w:r>
      <w:r>
        <w:rPr>
          <w:rFonts w:ascii="Times New Roman" w:eastAsia="Times New Roman" w:hAnsi="Times New Roman" w:cs="Times New Roman"/>
        </w:rPr>
        <w:t>scenario</w:t>
      </w:r>
      <w:r>
        <w:rPr>
          <w:rFonts w:ascii="Times New Roman" w:hAnsi="Times New Roman" w:cs="Times New Roman"/>
        </w:rPr>
        <w:t xml:space="preserve"> reserve defined in Section 4, but with the following differences:</w:t>
      </w:r>
    </w:p>
    <w:p w14:paraId="488F1EA1" w14:textId="77777777" w:rsidR="008A7F4A" w:rsidRDefault="008A7F4A" w:rsidP="00745C9A">
      <w:pPr>
        <w:pStyle w:val="ListParagraph"/>
        <w:widowControl w:val="0"/>
        <w:numPr>
          <w:ilvl w:val="0"/>
          <w:numId w:val="102"/>
        </w:numPr>
        <w:spacing w:after="220" w:line="240" w:lineRule="auto"/>
        <w:ind w:left="2520"/>
        <w:rPr>
          <w:rFonts w:ascii="Times New Roman" w:hAnsi="Times New Roman" w:cs="Times New Roman"/>
        </w:rPr>
      </w:pPr>
      <w:r>
        <w:rPr>
          <w:rFonts w:ascii="Times New Roman" w:hAnsi="Times New Roman" w:cs="Times New Roman"/>
        </w:rPr>
        <w:t>Using anticipated experience assumptions with no margins</w:t>
      </w:r>
      <w:r>
        <w:rPr>
          <w:rFonts w:ascii="Times New Roman" w:eastAsia="Times New Roman" w:hAnsi="Times New Roman" w:cs="Times New Roman"/>
        </w:rPr>
        <w:t xml:space="preserve">, </w:t>
      </w:r>
      <w:proofErr w:type="gramStart"/>
      <w:r>
        <w:rPr>
          <w:rFonts w:ascii="Times New Roman" w:eastAsia="Times New Roman" w:hAnsi="Times New Roman" w:cs="Times New Roman"/>
        </w:rPr>
        <w:t>with the exception of</w:t>
      </w:r>
      <w:proofErr w:type="gramEnd"/>
      <w:r>
        <w:rPr>
          <w:rFonts w:ascii="Times New Roman" w:eastAsia="Times New Roman" w:hAnsi="Times New Roman" w:cs="Times New Roman"/>
        </w:rPr>
        <w:t xml:space="preserve"> mortality factors described in Paragraph C.1.b of this section</w:t>
      </w:r>
      <w:r>
        <w:rPr>
          <w:rFonts w:ascii="Times New Roman" w:hAnsi="Times New Roman" w:cs="Times New Roman"/>
        </w:rPr>
        <w:t>.</w:t>
      </w:r>
    </w:p>
    <w:p w14:paraId="3596F10A" w14:textId="77777777" w:rsidR="008A7F4A" w:rsidRDefault="008A7F4A" w:rsidP="00745C9A">
      <w:pPr>
        <w:numPr>
          <w:ilvl w:val="0"/>
          <w:numId w:val="102"/>
        </w:numPr>
        <w:spacing w:after="220" w:line="240" w:lineRule="auto"/>
        <w:ind w:left="2520"/>
        <w:rPr>
          <w:rFonts w:ascii="Times New Roman" w:hAnsi="Times New Roman" w:cs="Times New Roman"/>
        </w:rPr>
      </w:pPr>
      <w:r>
        <w:rPr>
          <w:rFonts w:ascii="Times New Roman" w:hAnsi="Times New Roman" w:cs="Times New Roman"/>
        </w:rPr>
        <w:t>Using the interest rates and equity return assumptions specific to each scenario.</w:t>
      </w:r>
    </w:p>
    <w:p w14:paraId="7AA9CB58" w14:textId="77777777" w:rsidR="008A7F4A" w:rsidRDefault="008A7F4A" w:rsidP="00745C9A">
      <w:pPr>
        <w:numPr>
          <w:ilvl w:val="0"/>
          <w:numId w:val="102"/>
        </w:numPr>
        <w:spacing w:after="220" w:line="240" w:lineRule="auto"/>
        <w:ind w:left="2520"/>
        <w:rPr>
          <w:rFonts w:ascii="Times New Roman" w:hAnsi="Times New Roman" w:cs="Times New Roman"/>
        </w:rPr>
      </w:pPr>
      <w:r>
        <w:rPr>
          <w:rFonts w:ascii="Times New Roman" w:hAnsi="Times New Roman" w:cs="Times New Roman"/>
        </w:rPr>
        <w:t xml:space="preserve">Using NAER and discount rates defined in Section 4 specific to each scenario to discount the cash flows. </w:t>
      </w:r>
    </w:p>
    <w:p w14:paraId="5EEAF071" w14:textId="77777777" w:rsidR="008A7F4A" w:rsidRDefault="008A7F4A" w:rsidP="00745C9A">
      <w:pPr>
        <w:numPr>
          <w:ilvl w:val="0"/>
          <w:numId w:val="102"/>
        </w:numPr>
        <w:spacing w:after="220" w:line="240" w:lineRule="auto"/>
        <w:ind w:left="2520"/>
        <w:rPr>
          <w:rFonts w:ascii="Times New Roman" w:hAnsi="Times New Roman" w:cs="Times New Roman"/>
        </w:rPr>
      </w:pPr>
      <w:r>
        <w:rPr>
          <w:rFonts w:ascii="Times New Roman" w:hAnsi="Times New Roman" w:cs="Times New Roman"/>
        </w:rPr>
        <w:lastRenderedPageBreak/>
        <w:t>Shall reflect future mortality improvement in line with anticipated experience assumptions.</w:t>
      </w:r>
    </w:p>
    <w:p w14:paraId="76171A74" w14:textId="77777777" w:rsidR="008A7F4A" w:rsidRDefault="008A7F4A" w:rsidP="00745C9A">
      <w:pPr>
        <w:numPr>
          <w:ilvl w:val="0"/>
          <w:numId w:val="102"/>
        </w:numPr>
        <w:spacing w:after="220" w:line="240" w:lineRule="auto"/>
        <w:ind w:left="2520"/>
        <w:rPr>
          <w:rFonts w:ascii="Times New Roman" w:hAnsi="Times New Roman" w:cs="Times New Roman"/>
        </w:rPr>
      </w:pPr>
      <w:r>
        <w:rPr>
          <w:rFonts w:ascii="Times New Roman" w:hAnsi="Times New Roman" w:cs="Times New Roman"/>
        </w:rPr>
        <w:t>Shall not reflect correlation between longevity and economic risks.</w:t>
      </w:r>
    </w:p>
    <w:p w14:paraId="6F5EDA8F" w14:textId="77777777" w:rsidR="008A7F4A" w:rsidRDefault="008A7F4A" w:rsidP="008A7F4A">
      <w:pPr>
        <w:spacing w:after="220"/>
        <w:ind w:left="2160" w:hanging="360"/>
        <w:rPr>
          <w:rFonts w:ascii="Times New Roman" w:hAnsi="Times New Roman" w:cs="Times New Roman"/>
        </w:rPr>
      </w:pPr>
      <w:r>
        <w:rPr>
          <w:rFonts w:ascii="Times New Roman" w:hAnsi="Times New Roman" w:cs="Times New Roman"/>
        </w:rPr>
        <w:t>ii.</w:t>
      </w:r>
      <w:r>
        <w:rPr>
          <w:rFonts w:ascii="Times New Roman" w:hAnsi="Times New Roman" w:cs="Times New Roman"/>
        </w:rPr>
        <w:tab/>
        <w:t>The gross premium reserve developed from the cash flows from the company’s asset adequacy analysis models, using the experience assumptions of the company’s cash-flow analysis, but with the following differences:</w:t>
      </w:r>
    </w:p>
    <w:p w14:paraId="24F39B0F" w14:textId="77777777" w:rsidR="008A7F4A" w:rsidRDefault="008A7F4A" w:rsidP="008A7F4A">
      <w:pPr>
        <w:spacing w:after="220"/>
        <w:ind w:left="252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Using the interest rates and equity return assumptions specific to each scenario. </w:t>
      </w:r>
    </w:p>
    <w:p w14:paraId="309052B6" w14:textId="77777777" w:rsidR="008A7F4A" w:rsidRDefault="008A7F4A" w:rsidP="008A7F4A">
      <w:pPr>
        <w:spacing w:after="220"/>
        <w:ind w:left="2520" w:hanging="360"/>
        <w:rPr>
          <w:rFonts w:ascii="Times New Roman" w:eastAsia="Times New Roman" w:hAnsi="Times New Roman" w:cs="Times New Roman"/>
        </w:rPr>
      </w:pPr>
      <w:r>
        <w:rPr>
          <w:rFonts w:ascii="Times New Roman" w:hAnsi="Times New Roman" w:cs="Times New Roman"/>
        </w:rPr>
        <w:t>b)</w:t>
      </w:r>
      <w:r>
        <w:rPr>
          <w:rFonts w:ascii="Times New Roman" w:hAnsi="Times New Roman" w:cs="Times New Roman"/>
        </w:rPr>
        <w:tab/>
        <w:t xml:space="preserve">Using the </w:t>
      </w:r>
      <w:r>
        <w:rPr>
          <w:rFonts w:ascii="Times New Roman" w:eastAsia="Times New Roman" w:hAnsi="Times New Roman" w:cs="Times New Roman"/>
        </w:rPr>
        <w:t>mortality scalars described in Paragraph C.1.b of this section.</w:t>
      </w:r>
    </w:p>
    <w:p w14:paraId="2BC1D5CD" w14:textId="77777777" w:rsidR="008A7F4A" w:rsidRDefault="008A7F4A" w:rsidP="008A7F4A">
      <w:pPr>
        <w:spacing w:after="220"/>
        <w:ind w:left="2520" w:hanging="360"/>
        <w:rPr>
          <w:rFonts w:ascii="Times New Roman" w:hAnsi="Times New Roman" w:cs="Times New Roman"/>
        </w:rPr>
      </w:pPr>
      <w:r>
        <w:rPr>
          <w:rFonts w:ascii="Times New Roman" w:eastAsia="Times New Roman" w:hAnsi="Times New Roman" w:cs="Times New Roman"/>
        </w:rPr>
        <w:t xml:space="preserve">c)   Using the </w:t>
      </w:r>
      <w:r>
        <w:rPr>
          <w:rFonts w:ascii="Times New Roman" w:hAnsi="Times New Roman" w:cs="Times New Roman"/>
        </w:rPr>
        <w:t xml:space="preserve">methodology to determine NAER and discount rates defined in Section </w:t>
      </w:r>
      <w:r>
        <w:rPr>
          <w:rFonts w:ascii="Times New Roman" w:eastAsia="Times New Roman" w:hAnsi="Times New Roman" w:cs="Times New Roman"/>
        </w:rPr>
        <w:t>4</w:t>
      </w:r>
      <w:r>
        <w:rPr>
          <w:rFonts w:ascii="Times New Roman" w:hAnsi="Times New Roman" w:cs="Times New Roman"/>
        </w:rPr>
        <w:t xml:space="preserve"> specific to each scenario to discount the cash </w:t>
      </w:r>
      <w:proofErr w:type="gramStart"/>
      <w:r>
        <w:rPr>
          <w:rFonts w:ascii="Times New Roman" w:hAnsi="Times New Roman" w:cs="Times New Roman"/>
        </w:rPr>
        <w:t>flows, but</w:t>
      </w:r>
      <w:proofErr w:type="gramEnd"/>
      <w:r>
        <w:rPr>
          <w:rFonts w:ascii="Times New Roman" w:hAnsi="Times New Roman" w:cs="Times New Roman"/>
        </w:rPr>
        <w:t xml:space="preserve"> using the company’s cash-flow testing assumptions for default costs and reinvestment earnings.</w:t>
      </w:r>
    </w:p>
    <w:p w14:paraId="4633F077" w14:textId="77777777" w:rsidR="008A7F4A" w:rsidRDefault="008A7F4A" w:rsidP="008A7F4A">
      <w:pPr>
        <w:pStyle w:val="NoSpacing"/>
        <w:spacing w:after="220"/>
        <w:ind w:left="1800" w:hanging="360"/>
        <w:rPr>
          <w:rFonts w:ascii="Times New Roman" w:hAnsi="Times New Roman"/>
        </w:rPr>
      </w:pPr>
      <w:r>
        <w:rPr>
          <w:rFonts w:ascii="Times New Roman" w:hAnsi="Times New Roman"/>
        </w:rPr>
        <w:t>b.</w:t>
      </w:r>
      <w:r>
        <w:rPr>
          <w:rFonts w:ascii="Times New Roman" w:hAnsi="Times New Roman"/>
        </w:rPr>
        <w:tab/>
        <w:t xml:space="preserve">The company shall use the most current 16 </w:t>
      </w:r>
      <w:r>
        <w:rPr>
          <w:rFonts w:ascii="Times New Roman" w:hAnsi="Times New Roman"/>
          <w:position w:val="1"/>
        </w:rPr>
        <w:t xml:space="preserve">economic scenarios </w:t>
      </w:r>
      <w:r>
        <w:rPr>
          <w:rFonts w:ascii="Times New Roman" w:hAnsi="Times New Roman"/>
          <w:position w:val="-1"/>
        </w:rPr>
        <w:t>published by the NAIC. The</w:t>
      </w:r>
      <w:r>
        <w:rPr>
          <w:rFonts w:ascii="Times New Roman" w:hAnsi="Times New Roman"/>
          <w:position w:val="1"/>
        </w:rPr>
        <w:t xml:space="preserve"> </w:t>
      </w:r>
      <w:r>
        <w:rPr>
          <w:rFonts w:ascii="Times New Roman" w:hAnsi="Times New Roman"/>
          <w:position w:val="-1"/>
        </w:rPr>
        <w:t>methodology for creating these</w:t>
      </w:r>
      <w:r>
        <w:rPr>
          <w:rFonts w:ascii="Times New Roman" w:hAnsi="Times New Roman"/>
          <w:position w:val="1"/>
        </w:rPr>
        <w:t xml:space="preserve"> </w:t>
      </w:r>
      <w:r>
        <w:rPr>
          <w:rFonts w:ascii="Times New Roman" w:hAnsi="Times New Roman"/>
          <w:position w:val="-1"/>
        </w:rPr>
        <w:t>scenarios can be found in Appendix 1 of VM-20</w:t>
      </w:r>
      <w:r>
        <w:rPr>
          <w:rFonts w:ascii="Times New Roman" w:hAnsi="Times New Roman"/>
          <w:color w:val="000000"/>
          <w:position w:val="-1"/>
        </w:rPr>
        <w:t>.</w:t>
      </w:r>
    </w:p>
    <w:p w14:paraId="519CDAA6" w14:textId="77777777" w:rsidR="008A7F4A" w:rsidRDefault="008A7F4A" w:rsidP="008A7F4A">
      <w:pPr>
        <w:spacing w:after="220"/>
        <w:ind w:left="180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The company shall use assumptions within each scenario that are dynamically adjusted as appropriate for consistency with each tested scenario.</w:t>
      </w:r>
    </w:p>
    <w:p w14:paraId="097CEED8" w14:textId="77777777" w:rsidR="008A7F4A" w:rsidRDefault="008A7F4A" w:rsidP="008A7F4A">
      <w:pPr>
        <w:spacing w:after="220"/>
        <w:ind w:left="1800" w:hanging="360"/>
        <w:rPr>
          <w:rFonts w:ascii="Times New Roman" w:hAnsi="Times New Roman" w:cs="Times New Roman"/>
        </w:rPr>
      </w:pPr>
      <w:commentRangeStart w:id="79"/>
      <w:r>
        <w:rPr>
          <w:rFonts w:ascii="Times New Roman" w:hAnsi="Times New Roman" w:cs="Times New Roman"/>
        </w:rPr>
        <w:t>d.</w:t>
      </w:r>
      <w:commentRangeEnd w:id="79"/>
      <w:r w:rsidR="00687D10">
        <w:rPr>
          <w:rStyle w:val="CommentReference"/>
        </w:rPr>
        <w:commentReference w:id="79"/>
      </w:r>
      <w:r>
        <w:rPr>
          <w:rFonts w:ascii="Times New Roman" w:hAnsi="Times New Roman" w:cs="Times New Roman"/>
        </w:rPr>
        <w:tab/>
        <w:t>The company may not group together contract types with significantly different risk profiles for purposes of calculating this ratio.</w:t>
      </w:r>
    </w:p>
    <w:p w14:paraId="18E39476" w14:textId="77777777" w:rsidR="008A7F4A" w:rsidRDefault="008A7F4A" w:rsidP="008A7F4A">
      <w:pPr>
        <w:spacing w:after="220"/>
        <w:ind w:left="1800" w:hanging="360"/>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hAnsi="Times New Roman" w:cs="Times New Roman"/>
        </w:rPr>
        <w:t xml:space="preserve">If the </w:t>
      </w:r>
      <w:r>
        <w:rPr>
          <w:rFonts w:ascii="Times New Roman" w:eastAsia="Times New Roman" w:hAnsi="Times New Roman" w:cs="Times New Roman"/>
        </w:rPr>
        <w:t>company has reinsurance arrangements that are pro rata coinsurance and do not materially impact the interest rate risk, longevity risk, or asset return volatility in the contract, then the company may elect to not conduct the exclusion test under a pre-reinsurance-</w:t>
      </w:r>
      <w:proofErr w:type="spellStart"/>
      <w:r>
        <w:rPr>
          <w:rFonts w:ascii="Times New Roman" w:eastAsia="Times New Roman" w:hAnsi="Times New Roman" w:cs="Times New Roman"/>
        </w:rPr>
        <w:t>ceded</w:t>
      </w:r>
      <w:proofErr w:type="spellEnd"/>
      <w:r>
        <w:rPr>
          <w:rFonts w:ascii="Times New Roman" w:eastAsia="Times New Roman" w:hAnsi="Times New Roman" w:cs="Times New Roman"/>
        </w:rPr>
        <w:t xml:space="preserve"> basis upon determining the pre-reinsurance reserve-</w:t>
      </w:r>
      <w:proofErr w:type="spellStart"/>
      <w:r>
        <w:rPr>
          <w:rFonts w:ascii="Times New Roman" w:eastAsia="Times New Roman" w:hAnsi="Times New Roman" w:cs="Times New Roman"/>
        </w:rPr>
        <w:t>ceded</w:t>
      </w:r>
      <w:proofErr w:type="spellEnd"/>
      <w:r>
        <w:rPr>
          <w:rFonts w:ascii="Times New Roman" w:eastAsia="Times New Roman" w:hAnsi="Times New Roman" w:cs="Times New Roman"/>
        </w:rPr>
        <w:t xml:space="preserve"> aggregate reserve.</w:t>
      </w:r>
    </w:p>
    <w:p w14:paraId="6DC32AFC" w14:textId="77777777" w:rsidR="008A7F4A" w:rsidRDefault="008A7F4A" w:rsidP="008A7F4A">
      <w:pPr>
        <w:autoSpaceDE w:val="0"/>
        <w:autoSpaceDN w:val="0"/>
        <w:adjustRightInd w:val="0"/>
        <w:spacing w:after="220"/>
        <w:ind w:left="1440" w:hanging="360"/>
        <w:rPr>
          <w:rFonts w:ascii="Times New Roman" w:hAnsi="Times New Roman" w:cs="Times New Roman"/>
        </w:rPr>
      </w:pPr>
      <w:commentRangeStart w:id="80"/>
      <w:r>
        <w:rPr>
          <w:rFonts w:ascii="Times New Roman" w:hAnsi="Times New Roman" w:cs="Times New Roman"/>
        </w:rPr>
        <w:t>3.</w:t>
      </w:r>
      <w:commentRangeEnd w:id="80"/>
      <w:r w:rsidR="00687D10">
        <w:rPr>
          <w:rStyle w:val="CommentReference"/>
        </w:rPr>
        <w:commentReference w:id="80"/>
      </w:r>
      <w:r>
        <w:rPr>
          <w:rFonts w:ascii="Times New Roman" w:hAnsi="Times New Roman" w:cs="Times New Roman"/>
        </w:rPr>
        <w:t xml:space="preserve"> </w:t>
      </w:r>
      <w:r>
        <w:rPr>
          <w:rFonts w:ascii="Times New Roman" w:hAnsi="Times New Roman" w:cs="Times New Roman"/>
        </w:rPr>
        <w:tab/>
        <w:t xml:space="preserve">If the ratio calculated in this section is less than </w:t>
      </w:r>
      <w:r>
        <w:rPr>
          <w:rFonts w:ascii="Times New Roman" w:hAnsi="Times New Roman" w:cs="Times New Roman"/>
          <w:highlight w:val="yellow"/>
        </w:rPr>
        <w:t>[x]</w:t>
      </w:r>
      <w:r>
        <w:rPr>
          <w:rFonts w:ascii="Times New Roman" w:hAnsi="Times New Roman" w:cs="Times New Roman"/>
        </w:rPr>
        <w:t xml:space="preserve">% pre-non-proportional </w:t>
      </w:r>
      <w:proofErr w:type="gramStart"/>
      <w:r>
        <w:rPr>
          <w:rFonts w:ascii="Times New Roman" w:hAnsi="Times New Roman" w:cs="Times New Roman"/>
        </w:rPr>
        <w:t>reinsurance, but</w:t>
      </w:r>
      <w:proofErr w:type="gramEnd"/>
      <w:r>
        <w:rPr>
          <w:rFonts w:ascii="Times New Roman" w:hAnsi="Times New Roman" w:cs="Times New Roman"/>
        </w:rPr>
        <w:t xml:space="preserve"> is greater than </w:t>
      </w:r>
      <w:r>
        <w:rPr>
          <w:rFonts w:ascii="Times New Roman" w:hAnsi="Times New Roman" w:cs="Times New Roman"/>
          <w:highlight w:val="yellow"/>
        </w:rPr>
        <w:t>[x]</w:t>
      </w:r>
      <w:r>
        <w:rPr>
          <w:rFonts w:ascii="Times New Roman" w:hAnsi="Times New Roman" w:cs="Times New Roman"/>
        </w:rPr>
        <w:t xml:space="preserve">% post-non-proportional reinsurance, the group of contracts will still pass the SERT if the company can demonstrate that the sensitivity of the adjusted scenario reserve to economic scenarios is comparable pre- and post-non-proportional reinsurance. </w:t>
      </w:r>
    </w:p>
    <w:p w14:paraId="7355079F" w14:textId="77777777" w:rsidR="008A7F4A" w:rsidRDefault="008A7F4A" w:rsidP="008A7F4A">
      <w:pPr>
        <w:autoSpaceDE w:val="0"/>
        <w:autoSpaceDN w:val="0"/>
        <w:adjustRightInd w:val="0"/>
        <w:spacing w:after="220"/>
        <w:ind w:left="180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An example of an acceptable demonstration: </w:t>
      </w:r>
    </w:p>
    <w:p w14:paraId="20124531" w14:textId="77777777" w:rsidR="008A7F4A" w:rsidRDefault="008A7F4A" w:rsidP="008A7F4A">
      <w:pPr>
        <w:autoSpaceDE w:val="0"/>
        <w:autoSpaceDN w:val="0"/>
        <w:adjustRightInd w:val="0"/>
        <w:spacing w:after="220"/>
        <w:ind w:left="2160" w:hanging="360"/>
        <w:rPr>
          <w:rFonts w:ascii="Times New Roman" w:hAnsi="Times New Roman" w:cs="Times New Roman"/>
        </w:rPr>
      </w:pPr>
      <w:r>
        <w:rPr>
          <w:rFonts w:ascii="Times New Roman" w:hAnsi="Times New Roman" w:cs="Times New Roman"/>
        </w:rPr>
        <w:t>i.</w:t>
      </w:r>
      <w:r>
        <w:rPr>
          <w:rFonts w:ascii="Times New Roman" w:hAnsi="Times New Roman" w:cs="Times New Roman"/>
        </w:rPr>
        <w:tab/>
        <w:t xml:space="preserve">For convenience in notation • SERT = the ratio (b–a)/a defined in Section 7.C.1 above </w:t>
      </w:r>
    </w:p>
    <w:p w14:paraId="77F527F6" w14:textId="77777777" w:rsidR="008A7F4A" w:rsidRDefault="008A7F4A" w:rsidP="008A7F4A">
      <w:pPr>
        <w:autoSpaceDE w:val="0"/>
        <w:autoSpaceDN w:val="0"/>
        <w:adjustRightInd w:val="0"/>
        <w:spacing w:after="220"/>
        <w:ind w:left="252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t>The pre-non-proportional reinsurance results are “gross of non-proportional,” with a subscript “</w:t>
      </w:r>
      <w:proofErr w:type="spellStart"/>
      <w:r>
        <w:rPr>
          <w:rFonts w:ascii="Times New Roman" w:hAnsi="Times New Roman" w:cs="Times New Roman"/>
        </w:rPr>
        <w:t>gn</w:t>
      </w:r>
      <w:proofErr w:type="spellEnd"/>
      <w:r>
        <w:rPr>
          <w:rFonts w:ascii="Times New Roman" w:hAnsi="Times New Roman" w:cs="Times New Roman"/>
        </w:rPr>
        <w:t xml:space="preserve">,” so denoted </w:t>
      </w:r>
      <w:proofErr w:type="spellStart"/>
      <w:r>
        <w:rPr>
          <w:rFonts w:ascii="Times New Roman" w:hAnsi="Times New Roman" w:cs="Times New Roman"/>
        </w:rPr>
        <w:t>SERT</w:t>
      </w:r>
      <w:r>
        <w:rPr>
          <w:rFonts w:ascii="Times New Roman" w:hAnsi="Times New Roman" w:cs="Times New Roman"/>
          <w:vertAlign w:val="subscript"/>
        </w:rPr>
        <w:t>gn</w:t>
      </w:r>
      <w:proofErr w:type="spellEnd"/>
      <w:r>
        <w:rPr>
          <w:rFonts w:ascii="Times New Roman" w:hAnsi="Times New Roman" w:cs="Times New Roman"/>
        </w:rPr>
        <w:t xml:space="preserve"> </w:t>
      </w:r>
    </w:p>
    <w:p w14:paraId="130B0D4B" w14:textId="77777777" w:rsidR="008A7F4A" w:rsidRDefault="008A7F4A" w:rsidP="008A7F4A">
      <w:pPr>
        <w:autoSpaceDE w:val="0"/>
        <w:autoSpaceDN w:val="0"/>
        <w:adjustRightInd w:val="0"/>
        <w:spacing w:after="220"/>
        <w:ind w:left="252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The post-non-proportional results are “net of non-proportional,” with subscript “</w:t>
      </w:r>
      <w:proofErr w:type="spellStart"/>
      <w:r>
        <w:rPr>
          <w:rFonts w:ascii="Times New Roman" w:hAnsi="Times New Roman" w:cs="Times New Roman"/>
        </w:rPr>
        <w:t>nn</w:t>
      </w:r>
      <w:proofErr w:type="spellEnd"/>
      <w:r>
        <w:rPr>
          <w:rFonts w:ascii="Times New Roman" w:hAnsi="Times New Roman" w:cs="Times New Roman"/>
        </w:rPr>
        <w:t xml:space="preserve">,” so denoted </w:t>
      </w:r>
      <w:proofErr w:type="spellStart"/>
      <w:r>
        <w:rPr>
          <w:rFonts w:ascii="Times New Roman" w:hAnsi="Times New Roman" w:cs="Times New Roman"/>
        </w:rPr>
        <w:t>SERT</w:t>
      </w:r>
      <w:r>
        <w:rPr>
          <w:rFonts w:ascii="Times New Roman" w:hAnsi="Times New Roman" w:cs="Times New Roman"/>
          <w:vertAlign w:val="subscript"/>
        </w:rPr>
        <w:t>nn</w:t>
      </w:r>
      <w:proofErr w:type="spellEnd"/>
      <w:r>
        <w:rPr>
          <w:rFonts w:ascii="Times New Roman" w:hAnsi="Times New Roman" w:cs="Times New Roman"/>
        </w:rPr>
        <w:t xml:space="preserve"> </w:t>
      </w:r>
    </w:p>
    <w:p w14:paraId="2A09B2B7" w14:textId="77777777" w:rsidR="008A7F4A" w:rsidRDefault="008A7F4A" w:rsidP="008A7F4A">
      <w:pPr>
        <w:autoSpaceDE w:val="0"/>
        <w:autoSpaceDN w:val="0"/>
        <w:adjustRightInd w:val="0"/>
        <w:spacing w:after="220"/>
        <w:ind w:left="2160" w:hanging="360"/>
        <w:rPr>
          <w:rFonts w:ascii="Times New Roman" w:hAnsi="Times New Roman" w:cs="Times New Roman"/>
        </w:rPr>
      </w:pPr>
      <w:r>
        <w:rPr>
          <w:rFonts w:ascii="Times New Roman" w:hAnsi="Times New Roman" w:cs="Times New Roman"/>
        </w:rPr>
        <w:lastRenderedPageBreak/>
        <w:t>ii.</w:t>
      </w:r>
      <w:r>
        <w:rPr>
          <w:rFonts w:ascii="Times New Roman" w:hAnsi="Times New Roman" w:cs="Times New Roman"/>
        </w:rPr>
        <w:tab/>
        <w:t xml:space="preserve">If a block of business being tested is subject to one or more non-proportional reinsurance cessions as well as other forms of reinsurance, such as pro rata coinsurance, take “gross of non-proportional” to mean net of all </w:t>
      </w:r>
      <w:proofErr w:type="spellStart"/>
      <w:r>
        <w:rPr>
          <w:rFonts w:ascii="Times New Roman" w:hAnsi="Times New Roman" w:cs="Times New Roman"/>
        </w:rPr>
        <w:t>prorata</w:t>
      </w:r>
      <w:proofErr w:type="spellEnd"/>
      <w:r>
        <w:rPr>
          <w:rFonts w:ascii="Times New Roman" w:hAnsi="Times New Roman" w:cs="Times New Roman"/>
        </w:rPr>
        <w:t xml:space="preserve"> reinsurance but ignoring the non-proportional contract(s), and “net of non-proportional” to mean net of </w:t>
      </w:r>
      <w:r>
        <w:rPr>
          <w:rFonts w:ascii="Times New Roman" w:hAnsi="Times New Roman" w:cs="Times New Roman"/>
          <w:i/>
        </w:rPr>
        <w:t xml:space="preserve">all </w:t>
      </w:r>
      <w:r>
        <w:rPr>
          <w:rFonts w:ascii="Times New Roman" w:hAnsi="Times New Roman" w:cs="Times New Roman"/>
        </w:rPr>
        <w:t xml:space="preserve">reinsurance contracts. That is, treat non-proportional reinsurance as the last reinsurance in, and compute certain values below with and without that last component. </w:t>
      </w:r>
    </w:p>
    <w:p w14:paraId="5119E05C" w14:textId="77777777" w:rsidR="008A7F4A" w:rsidRDefault="008A7F4A" w:rsidP="008A7F4A">
      <w:pPr>
        <w:autoSpaceDE w:val="0"/>
        <w:autoSpaceDN w:val="0"/>
        <w:adjustRightInd w:val="0"/>
        <w:spacing w:after="220"/>
        <w:ind w:left="2160" w:hanging="360"/>
        <w:rPr>
          <w:rFonts w:ascii="Times New Roman" w:hAnsi="Times New Roman" w:cs="Times New Roman"/>
        </w:rPr>
      </w:pPr>
      <w:commentRangeStart w:id="81"/>
      <w:r>
        <w:rPr>
          <w:rFonts w:ascii="Times New Roman" w:hAnsi="Times New Roman" w:cs="Times New Roman"/>
        </w:rPr>
        <w:t>iii.</w:t>
      </w:r>
      <w:commentRangeEnd w:id="81"/>
      <w:r w:rsidR="00687D10">
        <w:rPr>
          <w:rStyle w:val="CommentReference"/>
        </w:rPr>
        <w:commentReference w:id="81"/>
      </w:r>
      <w:r>
        <w:rPr>
          <w:rFonts w:ascii="Times New Roman" w:hAnsi="Times New Roman" w:cs="Times New Roman"/>
        </w:rPr>
        <w:tab/>
        <w:t xml:space="preserve">So, if </w:t>
      </w:r>
      <w:proofErr w:type="spellStart"/>
      <w:r>
        <w:rPr>
          <w:rFonts w:ascii="Times New Roman" w:hAnsi="Times New Roman" w:cs="Times New Roman"/>
        </w:rPr>
        <w:t>SERT</w:t>
      </w:r>
      <w:r>
        <w:rPr>
          <w:rFonts w:ascii="Times New Roman" w:hAnsi="Times New Roman" w:cs="Times New Roman"/>
          <w:vertAlign w:val="subscript"/>
        </w:rPr>
        <w:t>gn</w:t>
      </w:r>
      <w:proofErr w:type="spellEnd"/>
      <w:r>
        <w:rPr>
          <w:rFonts w:ascii="Times New Roman" w:hAnsi="Times New Roman" w:cs="Times New Roman"/>
        </w:rPr>
        <w:t xml:space="preserve"> ≤ </w:t>
      </w:r>
      <w:r>
        <w:rPr>
          <w:rFonts w:ascii="Times New Roman" w:hAnsi="Times New Roman" w:cs="Times New Roman"/>
          <w:highlight w:val="yellow"/>
        </w:rPr>
        <w:t>[x]</w:t>
      </w:r>
      <w:r>
        <w:rPr>
          <w:rFonts w:ascii="Times New Roman" w:hAnsi="Times New Roman" w:cs="Times New Roman"/>
        </w:rPr>
        <w:t xml:space="preserve"> but </w:t>
      </w:r>
      <w:proofErr w:type="spellStart"/>
      <w:r>
        <w:rPr>
          <w:rFonts w:ascii="Times New Roman" w:hAnsi="Times New Roman" w:cs="Times New Roman"/>
        </w:rPr>
        <w:t>SERT</w:t>
      </w:r>
      <w:r>
        <w:rPr>
          <w:rFonts w:ascii="Times New Roman" w:hAnsi="Times New Roman" w:cs="Times New Roman"/>
          <w:vertAlign w:val="subscript"/>
        </w:rPr>
        <w:t>nn</w:t>
      </w:r>
      <w:proofErr w:type="spellEnd"/>
      <w:r>
        <w:rPr>
          <w:rFonts w:ascii="Times New Roman" w:hAnsi="Times New Roman" w:cs="Times New Roman"/>
        </w:rPr>
        <w:t xml:space="preserve"> &gt; </w:t>
      </w:r>
      <w:r>
        <w:rPr>
          <w:rFonts w:ascii="Times New Roman" w:hAnsi="Times New Roman" w:cs="Times New Roman"/>
          <w:highlight w:val="yellow"/>
        </w:rPr>
        <w:t>[x]</w:t>
      </w:r>
      <w:r>
        <w:rPr>
          <w:rFonts w:ascii="Times New Roman" w:hAnsi="Times New Roman" w:cs="Times New Roman"/>
        </w:rPr>
        <w:t xml:space="preserve">, then compute the largest percent increase in reserve (LPIR) = (b–a)/a, both “gross of non-proportional” and “net of non-proportional.” </w:t>
      </w:r>
    </w:p>
    <w:p w14:paraId="68C10701" w14:textId="77777777" w:rsidR="008A7F4A" w:rsidRDefault="008A7F4A" w:rsidP="008A7F4A">
      <w:pPr>
        <w:autoSpaceDE w:val="0"/>
        <w:autoSpaceDN w:val="0"/>
        <w:adjustRightInd w:val="0"/>
        <w:spacing w:after="220"/>
        <w:ind w:left="2160"/>
        <w:rPr>
          <w:rFonts w:ascii="Times New Roman" w:hAnsi="Times New Roman" w:cs="Times New Roman"/>
        </w:rPr>
      </w:pPr>
      <w:proofErr w:type="spellStart"/>
      <w:r>
        <w:rPr>
          <w:rFonts w:ascii="Times New Roman" w:hAnsi="Times New Roman" w:cs="Times New Roman"/>
        </w:rPr>
        <w:t>LPIR</w:t>
      </w:r>
      <w:r>
        <w:rPr>
          <w:rFonts w:ascii="Times New Roman" w:hAnsi="Times New Roman" w:cs="Times New Roman"/>
          <w:vertAlign w:val="subscript"/>
        </w:rPr>
        <w:t>gn</w:t>
      </w:r>
      <w:proofErr w:type="spellEnd"/>
      <w:r>
        <w:rPr>
          <w:rFonts w:ascii="Times New Roman" w:hAnsi="Times New Roman" w:cs="Times New Roman"/>
        </w:rPr>
        <w:t xml:space="preserve"> = (</w:t>
      </w:r>
      <w:proofErr w:type="spellStart"/>
      <w:r>
        <w:rPr>
          <w:rFonts w:ascii="Times New Roman" w:hAnsi="Times New Roman" w:cs="Times New Roman"/>
        </w:rPr>
        <w:t>b</w:t>
      </w:r>
      <w:r>
        <w:rPr>
          <w:rFonts w:ascii="Times New Roman" w:hAnsi="Times New Roman" w:cs="Times New Roman"/>
          <w:vertAlign w:val="subscript"/>
        </w:rPr>
        <w:t>gy</w:t>
      </w:r>
      <w:proofErr w:type="spellEnd"/>
      <w:r>
        <w:rPr>
          <w:rFonts w:ascii="Times New Roman" w:hAnsi="Times New Roman" w:cs="Times New Roman"/>
        </w:rPr>
        <w:t xml:space="preserve"> – </w:t>
      </w:r>
      <w:proofErr w:type="spellStart"/>
      <w:r>
        <w:rPr>
          <w:rFonts w:ascii="Times New Roman" w:hAnsi="Times New Roman" w:cs="Times New Roman"/>
        </w:rPr>
        <w:t>a</w:t>
      </w:r>
      <w:r>
        <w:rPr>
          <w:rFonts w:ascii="Times New Roman" w:hAnsi="Times New Roman" w:cs="Times New Roman"/>
          <w:vertAlign w:val="subscript"/>
        </w:rPr>
        <w:t>gy</w:t>
      </w:r>
      <w:proofErr w:type="spellEnd"/>
      <w:r>
        <w:rPr>
          <w:rFonts w:ascii="Times New Roman" w:hAnsi="Times New Roman" w:cs="Times New Roman"/>
        </w:rPr>
        <w:t>)/</w:t>
      </w:r>
      <w:proofErr w:type="spellStart"/>
      <w:r>
        <w:rPr>
          <w:rFonts w:ascii="Times New Roman" w:hAnsi="Times New Roman" w:cs="Times New Roman"/>
        </w:rPr>
        <w:t>a</w:t>
      </w:r>
      <w:r>
        <w:rPr>
          <w:rFonts w:ascii="Times New Roman" w:hAnsi="Times New Roman" w:cs="Times New Roman"/>
          <w:vertAlign w:val="subscript"/>
        </w:rPr>
        <w:t>gn</w:t>
      </w:r>
      <w:proofErr w:type="spellEnd"/>
      <w:r>
        <w:rPr>
          <w:rFonts w:ascii="Times New Roman" w:hAnsi="Times New Roman" w:cs="Times New Roman"/>
        </w:rPr>
        <w:t xml:space="preserve"> </w:t>
      </w:r>
    </w:p>
    <w:p w14:paraId="5036AC8B" w14:textId="77777777" w:rsidR="008A7F4A" w:rsidRDefault="008A7F4A" w:rsidP="008A7F4A">
      <w:pPr>
        <w:autoSpaceDE w:val="0"/>
        <w:autoSpaceDN w:val="0"/>
        <w:adjustRightInd w:val="0"/>
        <w:spacing w:after="220"/>
        <w:ind w:left="2160"/>
        <w:rPr>
          <w:rFonts w:ascii="Times New Roman" w:hAnsi="Times New Roman" w:cs="Times New Roman"/>
        </w:rPr>
      </w:pPr>
      <w:proofErr w:type="spellStart"/>
      <w:r>
        <w:rPr>
          <w:rFonts w:ascii="Times New Roman" w:hAnsi="Times New Roman" w:cs="Times New Roman"/>
        </w:rPr>
        <w:t>LPIR</w:t>
      </w:r>
      <w:r>
        <w:rPr>
          <w:rFonts w:ascii="Times New Roman" w:hAnsi="Times New Roman" w:cs="Times New Roman"/>
          <w:vertAlign w:val="subscript"/>
        </w:rPr>
        <w:t>nn</w:t>
      </w:r>
      <w:proofErr w:type="spellEnd"/>
      <w:r>
        <w:rPr>
          <w:rFonts w:ascii="Times New Roman" w:hAnsi="Times New Roman" w:cs="Times New Roman"/>
        </w:rPr>
        <w:t xml:space="preserve"> = (</w:t>
      </w:r>
      <w:proofErr w:type="spellStart"/>
      <w:r>
        <w:rPr>
          <w:rFonts w:ascii="Times New Roman" w:hAnsi="Times New Roman" w:cs="Times New Roman"/>
        </w:rPr>
        <w:t>b</w:t>
      </w:r>
      <w:r>
        <w:rPr>
          <w:rFonts w:ascii="Times New Roman" w:hAnsi="Times New Roman" w:cs="Times New Roman"/>
          <w:vertAlign w:val="subscript"/>
        </w:rPr>
        <w:t>ny</w:t>
      </w:r>
      <w:proofErr w:type="spellEnd"/>
      <w:r>
        <w:rPr>
          <w:rFonts w:ascii="Times New Roman" w:hAnsi="Times New Roman" w:cs="Times New Roman"/>
        </w:rPr>
        <w:t xml:space="preserve"> – a</w:t>
      </w:r>
      <w:r>
        <w:rPr>
          <w:rFonts w:ascii="Times New Roman" w:hAnsi="Times New Roman" w:cs="Times New Roman"/>
          <w:vertAlign w:val="subscript"/>
        </w:rPr>
        <w:t>ny</w:t>
      </w:r>
      <w:r>
        <w:rPr>
          <w:rFonts w:ascii="Times New Roman" w:hAnsi="Times New Roman" w:cs="Times New Roman"/>
        </w:rPr>
        <w:t>)/</w:t>
      </w:r>
      <w:proofErr w:type="spellStart"/>
      <w:r>
        <w:rPr>
          <w:rFonts w:ascii="Times New Roman" w:hAnsi="Times New Roman" w:cs="Times New Roman"/>
        </w:rPr>
        <w:t>a</w:t>
      </w:r>
      <w:r>
        <w:rPr>
          <w:rFonts w:ascii="Times New Roman" w:hAnsi="Times New Roman" w:cs="Times New Roman"/>
          <w:vertAlign w:val="subscript"/>
        </w:rPr>
        <w:t>nn</w:t>
      </w:r>
      <w:proofErr w:type="spellEnd"/>
      <w:r>
        <w:rPr>
          <w:rFonts w:ascii="Times New Roman" w:hAnsi="Times New Roman" w:cs="Times New Roman"/>
        </w:rPr>
        <w:t xml:space="preserve"> </w:t>
      </w:r>
    </w:p>
    <w:p w14:paraId="5C864203" w14:textId="77777777" w:rsidR="008A7F4A" w:rsidRDefault="008A7F4A" w:rsidP="008A7F4A">
      <w:pPr>
        <w:autoSpaceDE w:val="0"/>
        <w:autoSpaceDN w:val="0"/>
        <w:adjustRightInd w:val="0"/>
        <w:spacing w:after="220"/>
        <w:ind w:left="2160"/>
        <w:rPr>
          <w:rFonts w:ascii="Times New Roman" w:hAnsi="Times New Roman" w:cs="Times New Roman"/>
        </w:rPr>
      </w:pPr>
      <w:r>
        <w:rPr>
          <w:rFonts w:ascii="Times New Roman" w:hAnsi="Times New Roman" w:cs="Times New Roman"/>
        </w:rPr>
        <w:t xml:space="preserve">Note that the scenario underlying </w:t>
      </w:r>
      <w:proofErr w:type="spellStart"/>
      <w:r>
        <w:rPr>
          <w:rFonts w:ascii="Times New Roman" w:hAnsi="Times New Roman" w:cs="Times New Roman"/>
        </w:rPr>
        <w:t>b</w:t>
      </w:r>
      <w:r>
        <w:rPr>
          <w:rFonts w:ascii="Times New Roman" w:hAnsi="Times New Roman" w:cs="Times New Roman"/>
          <w:vertAlign w:val="subscript"/>
        </w:rPr>
        <w:t>gn</w:t>
      </w:r>
      <w:proofErr w:type="spellEnd"/>
      <w:r>
        <w:rPr>
          <w:rFonts w:ascii="Times New Roman" w:hAnsi="Times New Roman" w:cs="Times New Roman"/>
        </w:rPr>
        <w:t xml:space="preserve"> could be different from the scenario underlying </w:t>
      </w:r>
      <w:proofErr w:type="spellStart"/>
      <w:r>
        <w:rPr>
          <w:rFonts w:ascii="Times New Roman" w:hAnsi="Times New Roman" w:cs="Times New Roman"/>
        </w:rPr>
        <w:t>b</w:t>
      </w:r>
      <w:r>
        <w:rPr>
          <w:rFonts w:ascii="Times New Roman" w:hAnsi="Times New Roman" w:cs="Times New Roman"/>
          <w:vertAlign w:val="subscript"/>
        </w:rPr>
        <w:t>nn</w:t>
      </w:r>
      <w:proofErr w:type="spellEnd"/>
      <w:r>
        <w:rPr>
          <w:rFonts w:ascii="Times New Roman" w:hAnsi="Times New Roman" w:cs="Times New Roman"/>
        </w:rPr>
        <w:t xml:space="preserve">. </w:t>
      </w:r>
    </w:p>
    <w:p w14:paraId="259F4E0D" w14:textId="77777777" w:rsidR="008A7F4A" w:rsidRDefault="008A7F4A" w:rsidP="008A7F4A">
      <w:pPr>
        <w:autoSpaceDE w:val="0"/>
        <w:autoSpaceDN w:val="0"/>
        <w:adjustRightInd w:val="0"/>
        <w:spacing w:after="220"/>
        <w:ind w:left="2160"/>
        <w:rPr>
          <w:rFonts w:ascii="Times New Roman" w:hAnsi="Times New Roman" w:cs="Times New Roman"/>
        </w:rPr>
      </w:pPr>
      <w:r>
        <w:rPr>
          <w:rFonts w:ascii="Times New Roman" w:hAnsi="Times New Roman" w:cs="Times New Roman"/>
        </w:rPr>
        <w:t xml:space="preserve">If </w:t>
      </w:r>
      <w:proofErr w:type="spellStart"/>
      <w:r>
        <w:rPr>
          <w:rFonts w:ascii="Times New Roman" w:hAnsi="Times New Roman" w:cs="Times New Roman"/>
        </w:rPr>
        <w:t>SERT</w:t>
      </w:r>
      <w:r>
        <w:rPr>
          <w:rFonts w:ascii="Times New Roman" w:hAnsi="Times New Roman" w:cs="Times New Roman"/>
          <w:vertAlign w:val="subscript"/>
        </w:rPr>
        <w:t>gn</w:t>
      </w:r>
      <w:proofErr w:type="spellEnd"/>
      <w:r>
        <w:rPr>
          <w:rFonts w:ascii="Times New Roman" w:hAnsi="Times New Roman" w:cs="Times New Roman"/>
        </w:rPr>
        <w:t xml:space="preserve"> </w:t>
      </w:r>
      <w:r>
        <w:rPr>
          <w:rFonts w:ascii="Times New Roman" w:hAnsi="Times New Roman" w:cs="Times New Roman"/>
          <w:i/>
          <w:iCs/>
        </w:rPr>
        <w:t xml:space="preserve">× </w:t>
      </w:r>
      <w:proofErr w:type="spellStart"/>
      <w:r>
        <w:rPr>
          <w:rFonts w:ascii="Times New Roman" w:hAnsi="Times New Roman" w:cs="Times New Roman"/>
        </w:rPr>
        <w:t>LPIR</w:t>
      </w:r>
      <w:r>
        <w:rPr>
          <w:rFonts w:ascii="Times New Roman" w:hAnsi="Times New Roman" w:cs="Times New Roman"/>
          <w:vertAlign w:val="subscript"/>
        </w:rPr>
        <w:t>nn</w:t>
      </w:r>
      <w:proofErr w:type="spellEnd"/>
      <w:r>
        <w:rPr>
          <w:rFonts w:ascii="Times New Roman" w:hAnsi="Times New Roman" w:cs="Times New Roman"/>
        </w:rPr>
        <w:t>/</w:t>
      </w:r>
      <w:proofErr w:type="spellStart"/>
      <w:r>
        <w:rPr>
          <w:rFonts w:ascii="Times New Roman" w:hAnsi="Times New Roman" w:cs="Times New Roman"/>
        </w:rPr>
        <w:t>LPIR</w:t>
      </w:r>
      <w:r>
        <w:rPr>
          <w:rFonts w:ascii="Times New Roman" w:hAnsi="Times New Roman" w:cs="Times New Roman"/>
          <w:vertAlign w:val="subscript"/>
        </w:rPr>
        <w:t>gn</w:t>
      </w:r>
      <w:proofErr w:type="spellEnd"/>
      <w:r>
        <w:rPr>
          <w:rFonts w:ascii="Times New Roman" w:hAnsi="Times New Roman" w:cs="Times New Roman"/>
        </w:rPr>
        <w:t xml:space="preserve"> &lt; </w:t>
      </w:r>
      <w:r>
        <w:rPr>
          <w:rFonts w:ascii="Times New Roman" w:hAnsi="Times New Roman" w:cs="Times New Roman"/>
          <w:highlight w:val="yellow"/>
        </w:rPr>
        <w:t>[x]</w:t>
      </w:r>
      <w:r>
        <w:rPr>
          <w:rFonts w:ascii="Times New Roman" w:hAnsi="Times New Roman" w:cs="Times New Roman"/>
        </w:rPr>
        <w:t xml:space="preserve">, then the block of contracts passes the SERT. </w:t>
      </w:r>
    </w:p>
    <w:p w14:paraId="6B81FDD8" w14:textId="77777777" w:rsidR="008A7F4A" w:rsidRDefault="008A7F4A" w:rsidP="008A7F4A">
      <w:pPr>
        <w:autoSpaceDE w:val="0"/>
        <w:autoSpaceDN w:val="0"/>
        <w:adjustRightInd w:val="0"/>
        <w:spacing w:after="220"/>
        <w:ind w:left="180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Another more qualitative approach is to calculate the adjusted scenario reserves for the 16 scenarios both gross and net of reinsurance to demonstrate that there is a similar pattern of sensitivity by scenario. </w:t>
      </w:r>
    </w:p>
    <w:p w14:paraId="74F43F5A" w14:textId="77777777" w:rsidR="008A7F4A" w:rsidRDefault="008A7F4A" w:rsidP="00745C9A">
      <w:pPr>
        <w:numPr>
          <w:ilvl w:val="0"/>
          <w:numId w:val="100"/>
        </w:numPr>
        <w:autoSpaceDE w:val="0"/>
        <w:autoSpaceDN w:val="0"/>
        <w:adjustRightInd w:val="0"/>
        <w:spacing w:after="220" w:line="240" w:lineRule="auto"/>
        <w:rPr>
          <w:rFonts w:ascii="Times New Roman" w:hAnsi="Times New Roman" w:cs="Times New Roman"/>
        </w:rPr>
      </w:pPr>
      <w:r>
        <w:rPr>
          <w:rFonts w:ascii="Times New Roman" w:hAnsi="Times New Roman" w:cs="Times New Roman"/>
        </w:rPr>
        <w:t>The SERT may not be used for a group of contracts if, using the current year’s data, (i) the stochastic exclusion demonstration test defined in Section 7.D had already been attempted using the method in this section and did not pass; or (ii) the qualified actuary had actively undertaken to perform the certification method in this section and concluded that such certification could not legitimately be made.</w:t>
      </w:r>
    </w:p>
    <w:p w14:paraId="592F5183" w14:textId="77777777" w:rsidR="008A7F4A" w:rsidRDefault="008A7F4A" w:rsidP="00745C9A">
      <w:pPr>
        <w:pStyle w:val="Heading2"/>
        <w:numPr>
          <w:ilvl w:val="0"/>
          <w:numId w:val="103"/>
        </w:numPr>
        <w:rPr>
          <w:sz w:val="22"/>
          <w:szCs w:val="22"/>
        </w:rPr>
      </w:pPr>
      <w:bookmarkStart w:id="82" w:name="_Toc77242155"/>
      <w:r>
        <w:rPr>
          <w:sz w:val="22"/>
          <w:szCs w:val="22"/>
        </w:rPr>
        <w:t>Stochastic Exclusion Demonstration Test</w:t>
      </w:r>
      <w:bookmarkEnd w:id="82"/>
    </w:p>
    <w:p w14:paraId="0756E523" w14:textId="77777777" w:rsidR="008A7F4A" w:rsidRDefault="008A7F4A" w:rsidP="008A7F4A">
      <w:pPr>
        <w:spacing w:after="0"/>
      </w:pPr>
    </w:p>
    <w:p w14:paraId="2BA11B53" w14:textId="77777777" w:rsidR="008A7F4A" w:rsidRDefault="008A7F4A" w:rsidP="008A7F4A">
      <w:pPr>
        <w:spacing w:after="220"/>
        <w:ind w:left="144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r>
      <w:proofErr w:type="gramStart"/>
      <w:r>
        <w:rPr>
          <w:rFonts w:ascii="Times New Roman" w:hAnsi="Times New Roman" w:cs="Times New Roman"/>
        </w:rPr>
        <w:t>In order to</w:t>
      </w:r>
      <w:proofErr w:type="gramEnd"/>
      <w:r>
        <w:rPr>
          <w:rFonts w:ascii="Times New Roman" w:hAnsi="Times New Roman" w:cs="Times New Roman"/>
        </w:rPr>
        <w:t xml:space="preserve"> exclude a group of contracts from the stochastic reserve requirements using the methodology </w:t>
      </w:r>
      <w:r>
        <w:rPr>
          <w:rFonts w:ascii="Times New Roman" w:eastAsia="Times New Roman" w:hAnsi="Times New Roman" w:cs="Times New Roman"/>
        </w:rPr>
        <w:t>in this section</w:t>
      </w:r>
      <w:r>
        <w:rPr>
          <w:rFonts w:ascii="Times New Roman" w:hAnsi="Times New Roman" w:cs="Times New Roman"/>
        </w:rPr>
        <w:t>, the company must provide a demonstration in the PBR Actuarial Report in the first year and at least once every three calendar years thereafter that complies with the following:</w:t>
      </w:r>
    </w:p>
    <w:p w14:paraId="5EA20E0D" w14:textId="77777777" w:rsidR="008A7F4A" w:rsidRDefault="008A7F4A" w:rsidP="008A7F4A">
      <w:pPr>
        <w:spacing w:after="220"/>
        <w:ind w:left="1800" w:hanging="360"/>
        <w:rPr>
          <w:rFonts w:ascii="Times New Roman" w:hAnsi="Times New Roman" w:cs="Times New Roman"/>
        </w:rPr>
      </w:pPr>
      <w:commentRangeStart w:id="83"/>
      <w:r>
        <w:rPr>
          <w:rFonts w:ascii="Times New Roman" w:hAnsi="Times New Roman" w:cs="Times New Roman"/>
        </w:rPr>
        <w:t>a.</w:t>
      </w:r>
      <w:commentRangeEnd w:id="83"/>
      <w:r w:rsidR="00687D10">
        <w:rPr>
          <w:rStyle w:val="CommentReference"/>
        </w:rPr>
        <w:commentReference w:id="83"/>
      </w:r>
      <w:r>
        <w:rPr>
          <w:rFonts w:ascii="Times New Roman" w:hAnsi="Times New Roman" w:cs="Times New Roman"/>
        </w:rPr>
        <w:tab/>
        <w:t>The demonstration shall provide a reasonable assurance that if the stochastic reserve was calculated on a stand-alone basis for the group of contracts subject to the stochastic reserve exclusion, the resulting stochastic reserve for those groups of contracts would not be higher than the statutory reserve determined pursuant to the applicable requirements in VM-A and VM-C. The demonstration shall take into account whether changing conditions over the current and two subsequent calendar years would be likely to change the conclusion to exclude the group of contracts from the stochastic reserve requirements.</w:t>
      </w:r>
    </w:p>
    <w:p w14:paraId="0A01ECD5" w14:textId="77777777" w:rsidR="008A7F4A" w:rsidRDefault="008A7F4A" w:rsidP="008A7F4A">
      <w:pPr>
        <w:spacing w:after="220"/>
        <w:ind w:left="180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If, as of the end of any calendar year, the company determines the aggregate reserve for the group of contracts no longer adequately provides for all material risks, the exclusion shall be discontinued, and the company fails the SERT for those contracts.</w:t>
      </w:r>
    </w:p>
    <w:p w14:paraId="06E74E45" w14:textId="77777777" w:rsidR="008A7F4A" w:rsidRDefault="008A7F4A" w:rsidP="008A7F4A">
      <w:pPr>
        <w:spacing w:after="220"/>
        <w:ind w:left="1800" w:hanging="360"/>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ab/>
        <w:t>The demonstration may be based on analysis from a date that precedes the valuation date for the initial year to which it applies if the demonstration includes an explanation of why the use of such a date will not produce a material change in the outcome, as compared to results based on an analysis as of the valuation date.</w:t>
      </w:r>
    </w:p>
    <w:p w14:paraId="72B26AF4" w14:textId="77777777" w:rsidR="008A7F4A" w:rsidRDefault="008A7F4A" w:rsidP="008A7F4A">
      <w:pPr>
        <w:spacing w:after="220"/>
        <w:ind w:left="1800" w:hanging="360"/>
        <w:rPr>
          <w:rFonts w:ascii="Times New Roman" w:hAnsi="Times New Roman" w:cs="Times New Roman"/>
        </w:rPr>
      </w:pPr>
      <w:r>
        <w:rPr>
          <w:rFonts w:ascii="Times New Roman" w:hAnsi="Times New Roman" w:cs="Times New Roman"/>
        </w:rPr>
        <w:t>d.</w:t>
      </w:r>
      <w:r>
        <w:rPr>
          <w:rFonts w:ascii="Times New Roman" w:hAnsi="Times New Roman" w:cs="Times New Roman"/>
        </w:rPr>
        <w:tab/>
        <w:t>The demonstration shall provide an effective evaluation of the residual risk exposure remaining after risk mitigation techniques, such as derivative programs and reinsurance.</w:t>
      </w:r>
    </w:p>
    <w:p w14:paraId="41BE1431" w14:textId="77777777" w:rsidR="008A7F4A" w:rsidRDefault="008A7F4A" w:rsidP="008A7F4A">
      <w:pPr>
        <w:spacing w:after="220"/>
        <w:ind w:left="144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The company may use one of the following or another method acceptable to the insurance commissioner to demonstrate compliance with </w:t>
      </w:r>
      <w:r>
        <w:rPr>
          <w:rFonts w:ascii="Times New Roman" w:eastAsia="Times New Roman" w:hAnsi="Times New Roman" w:cs="Times New Roman"/>
        </w:rPr>
        <w:t>subsection 7.D.1 above</w:t>
      </w:r>
      <w:r>
        <w:rPr>
          <w:rFonts w:ascii="Times New Roman" w:hAnsi="Times New Roman" w:cs="Times New Roman"/>
        </w:rPr>
        <w:t>:</w:t>
      </w:r>
    </w:p>
    <w:p w14:paraId="341977E4" w14:textId="77777777" w:rsidR="008A7F4A" w:rsidRDefault="008A7F4A" w:rsidP="008A7F4A">
      <w:pPr>
        <w:spacing w:after="220"/>
        <w:ind w:left="180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Demonstrate that the </w:t>
      </w:r>
      <w:r>
        <w:rPr>
          <w:rFonts w:ascii="Times New Roman" w:eastAsia="Times New Roman" w:hAnsi="Times New Roman" w:cs="Times New Roman"/>
        </w:rPr>
        <w:t>statutory reserve calculated in accordance with VM-A and VM-C</w:t>
      </w:r>
      <w:r>
        <w:rPr>
          <w:rFonts w:ascii="Times New Roman" w:hAnsi="Times New Roman" w:cs="Times New Roman"/>
        </w:rPr>
        <w:t xml:space="preserve"> is greater than the stochastic reserve calculated on a stand-alone basis.</w:t>
      </w:r>
    </w:p>
    <w:p w14:paraId="5019225F" w14:textId="77777777" w:rsidR="008A7F4A" w:rsidRDefault="008A7F4A" w:rsidP="008A7F4A">
      <w:pPr>
        <w:spacing w:after="220"/>
        <w:ind w:left="180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Demonstrate that the </w:t>
      </w:r>
      <w:r>
        <w:rPr>
          <w:rFonts w:ascii="Times New Roman" w:eastAsia="Times New Roman" w:hAnsi="Times New Roman" w:cs="Times New Roman"/>
        </w:rPr>
        <w:t>statutory reserve calculated in accordance with VM-A and VM-C</w:t>
      </w:r>
      <w:r>
        <w:rPr>
          <w:rFonts w:ascii="Times New Roman" w:hAnsi="Times New Roman" w:cs="Times New Roman"/>
        </w:rPr>
        <w:t xml:space="preserve"> is greater than the scenario reserve that results from each of a sufficient number of adverse deterministic scenarios.</w:t>
      </w:r>
    </w:p>
    <w:p w14:paraId="6F48675B" w14:textId="77777777" w:rsidR="008A7F4A" w:rsidRDefault="008A7F4A" w:rsidP="008A7F4A">
      <w:pPr>
        <w:spacing w:after="220"/>
        <w:ind w:left="180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Demonstrate that the </w:t>
      </w:r>
      <w:r>
        <w:rPr>
          <w:rFonts w:ascii="Times New Roman" w:eastAsia="Times New Roman" w:hAnsi="Times New Roman" w:cs="Times New Roman"/>
        </w:rPr>
        <w:t>statutory reserve calculated in accordance with VM-A and VM-C</w:t>
      </w:r>
      <w:r>
        <w:rPr>
          <w:rFonts w:ascii="Times New Roman" w:hAnsi="Times New Roman" w:cs="Times New Roman"/>
        </w:rPr>
        <w:t xml:space="preserve"> is greater than the stochastic reserve calculated on a stand-alone </w:t>
      </w:r>
      <w:proofErr w:type="gramStart"/>
      <w:r>
        <w:rPr>
          <w:rFonts w:ascii="Times New Roman" w:hAnsi="Times New Roman" w:cs="Times New Roman"/>
        </w:rPr>
        <w:t>basis, but</w:t>
      </w:r>
      <w:proofErr w:type="gramEnd"/>
      <w:r>
        <w:rPr>
          <w:rFonts w:ascii="Times New Roman" w:hAnsi="Times New Roman" w:cs="Times New Roman"/>
        </w:rPr>
        <w:t xml:space="preserve"> using a representative sample of contracts in the stochastic reserve calculations.</w:t>
      </w:r>
    </w:p>
    <w:p w14:paraId="47B20DE3" w14:textId="77777777" w:rsidR="008A7F4A" w:rsidRDefault="008A7F4A" w:rsidP="008A7F4A">
      <w:pPr>
        <w:autoSpaceDE w:val="0"/>
        <w:autoSpaceDN w:val="0"/>
        <w:adjustRightInd w:val="0"/>
        <w:spacing w:after="0" w:line="240" w:lineRule="auto"/>
        <w:ind w:left="1800" w:hanging="360"/>
        <w:rPr>
          <w:rFonts w:ascii="Times New Roman" w:hAnsi="Times New Roman" w:cs="Times New Roman"/>
        </w:rPr>
      </w:pPr>
      <w:r>
        <w:rPr>
          <w:rFonts w:ascii="Times New Roman" w:hAnsi="Times New Roman" w:cs="Times New Roman"/>
        </w:rPr>
        <w:t>d.</w:t>
      </w:r>
      <w:r>
        <w:rPr>
          <w:rFonts w:ascii="Times New Roman" w:hAnsi="Times New Roman" w:cs="Times New Roman"/>
        </w:rPr>
        <w:tab/>
        <w:t xml:space="preserve">Demonstrate that any risk characteristics that would otherwise cause the stochastic reserve calculated on a stand-alone basis to exceed </w:t>
      </w:r>
      <w:r>
        <w:rPr>
          <w:rFonts w:ascii="Times New Roman" w:eastAsia="Times New Roman" w:hAnsi="Times New Roman" w:cs="Times New Roman"/>
        </w:rPr>
        <w:t>the statutory reserve calculated in accordance with VM-A and VM-C</w:t>
      </w:r>
      <w:r>
        <w:rPr>
          <w:rFonts w:ascii="Times New Roman" w:hAnsi="Times New Roman" w:cs="Times New Roman"/>
        </w:rPr>
        <w:t xml:space="preserve">, are not present or have been substantially eliminated through actions such as hedging, investment strategy, reinsurance or passing the risk on to the policyholder by contract provision. </w:t>
      </w:r>
    </w:p>
    <w:p w14:paraId="14CB92D0" w14:textId="77777777" w:rsidR="008A7F4A" w:rsidRDefault="008A7F4A" w:rsidP="008A7F4A">
      <w:pPr>
        <w:spacing w:after="0"/>
        <w:rPr>
          <w:rFonts w:ascii="Times New Roman" w:hAnsi="Times New Roman" w:cs="Times New Roman"/>
        </w:rPr>
      </w:pPr>
    </w:p>
    <w:p w14:paraId="60CBE4C4" w14:textId="77777777" w:rsidR="008A7F4A" w:rsidRDefault="008A7F4A" w:rsidP="00745C9A">
      <w:pPr>
        <w:pStyle w:val="Heading2"/>
        <w:numPr>
          <w:ilvl w:val="0"/>
          <w:numId w:val="104"/>
        </w:numPr>
        <w:spacing w:before="0"/>
        <w:rPr>
          <w:sz w:val="22"/>
          <w:szCs w:val="22"/>
        </w:rPr>
      </w:pPr>
      <w:bookmarkStart w:id="84" w:name="_Toc77242156"/>
      <w:r>
        <w:rPr>
          <w:sz w:val="22"/>
          <w:szCs w:val="22"/>
        </w:rPr>
        <w:t>Deterministic Certification Option</w:t>
      </w:r>
      <w:bookmarkEnd w:id="84"/>
      <w:r>
        <w:rPr>
          <w:sz w:val="22"/>
          <w:szCs w:val="22"/>
        </w:rPr>
        <w:t xml:space="preserve">   </w:t>
      </w:r>
    </w:p>
    <w:p w14:paraId="09141DAE" w14:textId="77777777" w:rsidR="008A7F4A" w:rsidRDefault="008A7F4A" w:rsidP="008A7F4A">
      <w:pPr>
        <w:spacing w:after="0"/>
        <w:ind w:left="1800" w:hanging="360"/>
        <w:rPr>
          <w:rFonts w:ascii="Times New Roman" w:hAnsi="Times New Roman" w:cs="Times New Roman"/>
        </w:rPr>
      </w:pPr>
    </w:p>
    <w:p w14:paraId="63C353F5" w14:textId="77777777" w:rsidR="008A7F4A" w:rsidRDefault="008A7F4A" w:rsidP="008A7F4A">
      <w:pPr>
        <w:ind w:left="180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The company has the option to determine the stochastic reserve for a group of contracts using a single deterministic economic scenario, subject to the following conditions. </w:t>
      </w:r>
    </w:p>
    <w:p w14:paraId="5778BD3D" w14:textId="77777777" w:rsidR="008A7F4A" w:rsidRDefault="008A7F4A" w:rsidP="00745C9A">
      <w:pPr>
        <w:pStyle w:val="ListParagraph"/>
        <w:numPr>
          <w:ilvl w:val="1"/>
          <w:numId w:val="105"/>
        </w:numPr>
        <w:spacing w:after="0"/>
        <w:ind w:left="2160"/>
        <w:rPr>
          <w:rFonts w:ascii="Times New Roman" w:hAnsi="Times New Roman" w:cs="Times New Roman"/>
        </w:rPr>
      </w:pPr>
      <w:r>
        <w:rPr>
          <w:rFonts w:ascii="Times New Roman" w:hAnsi="Times New Roman" w:cs="Times New Roman"/>
        </w:rPr>
        <w:t>The company certifies that economic conditions do not materially influence anticipated contract holder behavior for the group of policies.  Examples of contract holder options that are materially influenced by economic conditions include surrender benefits, recurring premium payments, and guaranteed living benefits.</w:t>
      </w:r>
    </w:p>
    <w:p w14:paraId="4E00A1D4" w14:textId="77777777" w:rsidR="008A7F4A" w:rsidRDefault="008A7F4A" w:rsidP="008A7F4A">
      <w:pPr>
        <w:spacing w:after="0"/>
        <w:ind w:left="1800"/>
        <w:rPr>
          <w:rFonts w:ascii="Times New Roman" w:hAnsi="Times New Roman" w:cs="Times New Roman"/>
        </w:rPr>
      </w:pPr>
    </w:p>
    <w:p w14:paraId="094D2599" w14:textId="77777777" w:rsidR="008A7F4A" w:rsidRDefault="008A7F4A" w:rsidP="00745C9A">
      <w:pPr>
        <w:pStyle w:val="ListParagraph"/>
        <w:numPr>
          <w:ilvl w:val="1"/>
          <w:numId w:val="105"/>
        </w:numPr>
        <w:spacing w:after="0"/>
        <w:ind w:left="2160"/>
        <w:rPr>
          <w:rFonts w:ascii="Times New Roman" w:hAnsi="Times New Roman" w:cs="Times New Roman"/>
        </w:rPr>
      </w:pPr>
      <w:r>
        <w:rPr>
          <w:rFonts w:ascii="Times New Roman" w:hAnsi="Times New Roman" w:cs="Times New Roman"/>
        </w:rPr>
        <w:t>The company certifies that the group of policies is not supported by a reinvestment strategy that contains future hedge purchases.</w:t>
      </w:r>
    </w:p>
    <w:p w14:paraId="6FA8216A" w14:textId="77777777" w:rsidR="008A7F4A" w:rsidRDefault="008A7F4A" w:rsidP="008A7F4A">
      <w:pPr>
        <w:spacing w:after="0"/>
        <w:rPr>
          <w:rFonts w:ascii="Times New Roman" w:hAnsi="Times New Roman" w:cs="Times New Roman"/>
        </w:rPr>
      </w:pPr>
    </w:p>
    <w:p w14:paraId="2016E09D" w14:textId="77777777" w:rsidR="008A7F4A" w:rsidRDefault="008A7F4A" w:rsidP="00745C9A">
      <w:pPr>
        <w:pStyle w:val="ListParagraph"/>
        <w:numPr>
          <w:ilvl w:val="0"/>
          <w:numId w:val="106"/>
        </w:numPr>
        <w:spacing w:after="0"/>
        <w:ind w:left="2160"/>
        <w:rPr>
          <w:rFonts w:ascii="Times New Roman" w:hAnsi="Times New Roman" w:cs="Times New Roman"/>
        </w:rPr>
      </w:pPr>
      <w:r>
        <w:rPr>
          <w:rFonts w:ascii="Times New Roman" w:hAnsi="Times New Roman" w:cs="Times New Roman"/>
        </w:rPr>
        <w:t>The company must perform and disclose results from the stochastic exclusion ratio test following the requirements in Section 7.C, thereby disclosing the scenario reserve volatility across various economic scenarios.</w:t>
      </w:r>
    </w:p>
    <w:p w14:paraId="28B39950" w14:textId="77777777" w:rsidR="008A7F4A" w:rsidRDefault="008A7F4A" w:rsidP="008A7F4A">
      <w:pPr>
        <w:spacing w:after="0"/>
        <w:ind w:left="1800"/>
        <w:rPr>
          <w:rFonts w:ascii="Times New Roman" w:hAnsi="Times New Roman" w:cs="Times New Roman"/>
        </w:rPr>
      </w:pPr>
    </w:p>
    <w:p w14:paraId="0D0D6756" w14:textId="77777777" w:rsidR="008A7F4A" w:rsidRDefault="008A7F4A" w:rsidP="00745C9A">
      <w:pPr>
        <w:pStyle w:val="ListParagraph"/>
        <w:numPr>
          <w:ilvl w:val="0"/>
          <w:numId w:val="106"/>
        </w:numPr>
        <w:spacing w:after="0"/>
        <w:ind w:left="2160"/>
        <w:rPr>
          <w:rFonts w:ascii="Times New Roman" w:hAnsi="Times New Roman" w:cs="Times New Roman"/>
        </w:rPr>
      </w:pPr>
      <w:r>
        <w:rPr>
          <w:rFonts w:ascii="Times New Roman" w:hAnsi="Times New Roman" w:cs="Times New Roman"/>
        </w:rPr>
        <w:lastRenderedPageBreak/>
        <w:t>The company must disclose a description of contracts and associated features in the certification.</w:t>
      </w:r>
    </w:p>
    <w:p w14:paraId="5641F67A" w14:textId="77777777" w:rsidR="008A7F4A" w:rsidRDefault="008A7F4A" w:rsidP="008A7F4A">
      <w:pPr>
        <w:spacing w:after="0"/>
        <w:rPr>
          <w:rFonts w:ascii="Times New Roman" w:hAnsi="Times New Roman" w:cs="Times New Roman"/>
        </w:rPr>
      </w:pPr>
    </w:p>
    <w:p w14:paraId="3B9994EA" w14:textId="77777777" w:rsidR="008A7F4A" w:rsidRDefault="008A7F4A" w:rsidP="008A7F4A">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r>
        <w:rPr>
          <w:rFonts w:ascii="Times New Roman" w:hAnsi="Times New Roman" w:cs="Times New Roman"/>
          <w:highlight w:val="yellow"/>
        </w:rPr>
        <w:t xml:space="preserve">Drafting Note: Consider revisiting Paragraph E.1.c to possibly either require i) falling below a preset threshold for the exclusion ratio test under a </w:t>
      </w:r>
      <w:r>
        <w:rPr>
          <w:rFonts w:ascii="Times New Roman" w:hAnsi="Times New Roman" w:cs="Times New Roman"/>
          <w:highlight w:val="yellow"/>
          <w:u w:val="single"/>
        </w:rPr>
        <w:t>single</w:t>
      </w:r>
      <w:r>
        <w:rPr>
          <w:rFonts w:ascii="Times New Roman" w:hAnsi="Times New Roman" w:cs="Times New Roman"/>
          <w:highlight w:val="yellow"/>
        </w:rPr>
        <w:t xml:space="preserve"> longevity/mortality scenario; or ii) to pass the exclusion test if longevity is not included as part of the ratio test.</w:t>
      </w:r>
    </w:p>
    <w:p w14:paraId="0DF2B2BF" w14:textId="77777777" w:rsidR="008A7F4A" w:rsidRDefault="008A7F4A" w:rsidP="008A7F4A">
      <w:pPr>
        <w:pStyle w:val="ListParagraph"/>
        <w:spacing w:after="0"/>
        <w:rPr>
          <w:rFonts w:ascii="Times New Roman" w:hAnsi="Times New Roman" w:cs="Times New Roman"/>
        </w:rPr>
      </w:pPr>
    </w:p>
    <w:p w14:paraId="32C005C8" w14:textId="77777777" w:rsidR="008A7F4A" w:rsidRDefault="008A7F4A" w:rsidP="00745C9A">
      <w:pPr>
        <w:pStyle w:val="ListParagraph"/>
        <w:numPr>
          <w:ilvl w:val="0"/>
          <w:numId w:val="107"/>
        </w:numPr>
        <w:spacing w:after="0"/>
        <w:ind w:left="1800"/>
        <w:rPr>
          <w:rFonts w:ascii="Times New Roman" w:hAnsi="Times New Roman" w:cs="Times New Roman"/>
        </w:rPr>
      </w:pPr>
      <w:r>
        <w:rPr>
          <w:rFonts w:ascii="Times New Roman" w:hAnsi="Times New Roman" w:cs="Times New Roman"/>
        </w:rPr>
        <w:t xml:space="preserve">The stochastic reserve for the group of contracts under the Deterministic Certification Option is determined as follows: </w:t>
      </w:r>
    </w:p>
    <w:p w14:paraId="0BAA8C92" w14:textId="77777777" w:rsidR="008A7F4A" w:rsidRDefault="008A7F4A" w:rsidP="008A7F4A">
      <w:pPr>
        <w:spacing w:after="0"/>
        <w:ind w:left="1800"/>
        <w:rPr>
          <w:rFonts w:ascii="Times New Roman" w:hAnsi="Times New Roman" w:cs="Times New Roman"/>
        </w:rPr>
      </w:pPr>
    </w:p>
    <w:p w14:paraId="28DF7862" w14:textId="77777777" w:rsidR="008A7F4A" w:rsidRDefault="008A7F4A" w:rsidP="00745C9A">
      <w:pPr>
        <w:pStyle w:val="ListParagraph"/>
        <w:numPr>
          <w:ilvl w:val="0"/>
          <w:numId w:val="108"/>
        </w:numPr>
        <w:spacing w:after="0"/>
        <w:rPr>
          <w:rFonts w:ascii="Times New Roman" w:hAnsi="Times New Roman" w:cs="Times New Roman"/>
        </w:rPr>
      </w:pPr>
      <w:r>
        <w:rPr>
          <w:rFonts w:ascii="Times New Roman" w:hAnsi="Times New Roman" w:cs="Times New Roman"/>
        </w:rPr>
        <w:t>Cash flows are projected in compliance with the applicable requirements in Section 4, Section 5, Section 10, and Section 11 of VM-22 over a single economic scenario (scenario 12 found in Appendix 1 of VM-20).</w:t>
      </w:r>
    </w:p>
    <w:p w14:paraId="201A1C0C" w14:textId="77777777" w:rsidR="008A7F4A" w:rsidRDefault="008A7F4A" w:rsidP="008A7F4A">
      <w:pPr>
        <w:spacing w:after="0"/>
        <w:ind w:left="1800"/>
        <w:rPr>
          <w:rFonts w:ascii="Times New Roman" w:hAnsi="Times New Roman" w:cs="Times New Roman"/>
        </w:rPr>
      </w:pPr>
    </w:p>
    <w:p w14:paraId="24B2C709" w14:textId="77777777" w:rsidR="008A7F4A" w:rsidRDefault="008A7F4A" w:rsidP="00745C9A">
      <w:pPr>
        <w:pStyle w:val="ListParagraph"/>
        <w:numPr>
          <w:ilvl w:val="0"/>
          <w:numId w:val="108"/>
        </w:numPr>
        <w:spacing w:after="0"/>
        <w:rPr>
          <w:rFonts w:ascii="Times New Roman" w:hAnsi="Times New Roman" w:cs="Times New Roman"/>
        </w:rPr>
      </w:pPr>
      <w:r>
        <w:rPr>
          <w:rFonts w:ascii="Times New Roman" w:hAnsi="Times New Roman" w:cs="Times New Roman"/>
        </w:rPr>
        <w:t xml:space="preserve">The stochastic reserve equals the scenario reserve following the requirements for Section 4. </w:t>
      </w:r>
    </w:p>
    <w:p w14:paraId="798A7377" w14:textId="77777777" w:rsidR="008A7F4A" w:rsidRDefault="008A7F4A" w:rsidP="008A7F4A">
      <w:pPr>
        <w:spacing w:after="0"/>
        <w:rPr>
          <w:rFonts w:ascii="Times New Roman" w:hAnsi="Times New Roman" w:cs="Times New Roman"/>
        </w:rPr>
      </w:pPr>
    </w:p>
    <w:p w14:paraId="4F7C9C35" w14:textId="77777777" w:rsidR="008A7F4A" w:rsidRDefault="008A7F4A" w:rsidP="008A7F4A">
      <w:pPr>
        <w:pBdr>
          <w:top w:val="single" w:sz="4" w:space="1" w:color="auto"/>
          <w:left w:val="single" w:sz="4" w:space="4" w:color="auto"/>
          <w:bottom w:val="single" w:sz="4" w:space="1" w:color="auto"/>
          <w:right w:val="single" w:sz="4" w:space="4" w:color="auto"/>
        </w:pBdr>
        <w:ind w:left="720"/>
        <w:rPr>
          <w:rFonts w:ascii="Times New Roman" w:hAnsi="Times New Roman" w:cs="Times New Roman"/>
        </w:rPr>
      </w:pPr>
      <w:r>
        <w:rPr>
          <w:rFonts w:ascii="Times New Roman" w:hAnsi="Times New Roman" w:cs="Times New Roman"/>
          <w:b/>
          <w:bCs/>
        </w:rPr>
        <w:t>Guidance Note</w:t>
      </w:r>
      <w:r>
        <w:rPr>
          <w:rFonts w:ascii="Times New Roman" w:hAnsi="Times New Roman" w:cs="Times New Roman"/>
        </w:rPr>
        <w:t>: The Deterministic Certification Option is intended to provide a non-stochastic option for Single Premium Immediate Annuities (SPIAs) and similar payout annuity products that contain limited or no optionality in the asset and liability cash flow projections.</w:t>
      </w:r>
    </w:p>
    <w:p w14:paraId="7A818061" w14:textId="77777777" w:rsidR="008A7F4A" w:rsidRDefault="008A7F4A" w:rsidP="008A7F4A">
      <w:pPr>
        <w:rPr>
          <w:rFonts w:ascii="Times New Roman" w:hAnsi="Times New Roman" w:cs="Times New Roman"/>
        </w:rPr>
      </w:pPr>
    </w:p>
    <w:p w14:paraId="5527155A" w14:textId="77777777" w:rsidR="008A7F4A" w:rsidRDefault="008A7F4A" w:rsidP="008A7F4A">
      <w:pPr>
        <w:rPr>
          <w:rFonts w:ascii="Times New Roman" w:hAnsi="Times New Roman" w:cs="Times New Roman"/>
        </w:rPr>
      </w:pPr>
      <w:r>
        <w:rPr>
          <w:rFonts w:ascii="Times New Roman" w:hAnsi="Times New Roman" w:cs="Times New Roman"/>
        </w:rPr>
        <w:br w:type="page"/>
      </w:r>
    </w:p>
    <w:p w14:paraId="576B114F" w14:textId="77777777" w:rsidR="008A7F4A" w:rsidRDefault="008A7F4A" w:rsidP="008A7F4A">
      <w:pPr>
        <w:pStyle w:val="Heading1"/>
        <w:rPr>
          <w:sz w:val="24"/>
          <w:szCs w:val="24"/>
        </w:rPr>
      </w:pPr>
      <w:bookmarkStart w:id="85" w:name="_Toc77242157"/>
      <w:r>
        <w:rPr>
          <w:sz w:val="24"/>
          <w:szCs w:val="24"/>
        </w:rPr>
        <w:lastRenderedPageBreak/>
        <w:t>Section 8: To Be Determined (Scenario Generation for VM-21)</w:t>
      </w:r>
      <w:bookmarkEnd w:id="85"/>
    </w:p>
    <w:p w14:paraId="4183E7F4" w14:textId="77777777" w:rsidR="008A7F4A" w:rsidRDefault="008A7F4A" w:rsidP="008A7F4A"/>
    <w:p w14:paraId="7C6656D3" w14:textId="77777777" w:rsidR="008A7F4A" w:rsidRDefault="008A7F4A" w:rsidP="008A7F4A">
      <w:r>
        <w:br w:type="page"/>
      </w:r>
    </w:p>
    <w:p w14:paraId="7D1DDF06" w14:textId="77777777" w:rsidR="008A7F4A" w:rsidRDefault="008A7F4A" w:rsidP="008A7F4A">
      <w:pPr>
        <w:pStyle w:val="Heading1"/>
        <w:spacing w:line="240" w:lineRule="auto"/>
        <w:rPr>
          <w:sz w:val="24"/>
          <w:szCs w:val="24"/>
        </w:rPr>
      </w:pPr>
      <w:bookmarkStart w:id="86" w:name="_Toc77242158"/>
      <w:commentRangeStart w:id="87"/>
      <w:r>
        <w:rPr>
          <w:sz w:val="24"/>
          <w:szCs w:val="24"/>
        </w:rPr>
        <w:lastRenderedPageBreak/>
        <w:t>Section 9</w:t>
      </w:r>
      <w:commentRangeEnd w:id="87"/>
      <w:r w:rsidR="0046475C">
        <w:rPr>
          <w:rStyle w:val="CommentReference"/>
          <w:rFonts w:asciiTheme="minorHAnsi" w:eastAsiaTheme="minorHAnsi" w:hAnsiTheme="minorHAnsi" w:cstheme="minorBidi"/>
          <w:color w:val="auto"/>
        </w:rPr>
        <w:commentReference w:id="87"/>
      </w:r>
      <w:r>
        <w:rPr>
          <w:sz w:val="24"/>
          <w:szCs w:val="24"/>
        </w:rPr>
        <w:t>: Modeling Hedges under a Future Hedging Strategy</w:t>
      </w:r>
      <w:bookmarkEnd w:id="86"/>
    </w:p>
    <w:p w14:paraId="7E01EB7A"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2AB3A2BB" w14:textId="77777777" w:rsidR="008A7F4A" w:rsidRDefault="008A7F4A" w:rsidP="008A7F4A">
      <w:pPr>
        <w:pStyle w:val="Heading2"/>
        <w:rPr>
          <w:sz w:val="22"/>
          <w:szCs w:val="22"/>
        </w:rPr>
      </w:pPr>
      <w:bookmarkStart w:id="88" w:name="_Toc77242159"/>
      <w:r>
        <w:rPr>
          <w:sz w:val="22"/>
          <w:szCs w:val="22"/>
        </w:rPr>
        <w:t>A. Initial Considerations</w:t>
      </w:r>
      <w:bookmarkEnd w:id="88"/>
    </w:p>
    <w:p w14:paraId="487699B4" w14:textId="77777777" w:rsidR="008A7F4A" w:rsidRDefault="008A7F4A" w:rsidP="008A7F4A">
      <w:pPr>
        <w:spacing w:after="0"/>
      </w:pPr>
    </w:p>
    <w:p w14:paraId="08F369F5" w14:textId="77777777" w:rsidR="008A7F4A" w:rsidRDefault="008A7F4A" w:rsidP="008A7F4A">
      <w:pPr>
        <w:spacing w:after="220" w:line="240" w:lineRule="auto"/>
        <w:ind w:left="1440" w:hanging="720"/>
        <w:jc w:val="both"/>
        <w:rPr>
          <w:rFonts w:ascii="Times New Roman" w:eastAsia="Times New Roman" w:hAnsi="Times New Roman"/>
        </w:rPr>
      </w:pPr>
      <w:commentRangeStart w:id="89"/>
      <w:r>
        <w:rPr>
          <w:rFonts w:ascii="Times New Roman" w:eastAsia="Times New Roman" w:hAnsi="Times New Roman"/>
        </w:rPr>
        <w:t>1</w:t>
      </w:r>
      <w:commentRangeEnd w:id="89"/>
      <w:r w:rsidR="0046475C">
        <w:rPr>
          <w:rStyle w:val="CommentReference"/>
        </w:rPr>
        <w:commentReference w:id="89"/>
      </w:r>
      <w:r>
        <w:rPr>
          <w:rFonts w:ascii="Times New Roman" w:eastAsia="Times New Roman" w:hAnsi="Times New Roman"/>
        </w:rPr>
        <w:t>.</w:t>
      </w:r>
      <w:r>
        <w:rPr>
          <w:rFonts w:ascii="Times New Roman" w:eastAsia="Times New Roman" w:hAnsi="Times New Roman"/>
        </w:rPr>
        <w:tab/>
        <w:t>This section applies to modeling of hedges other than situations where the company (a) only hedges index credits, or (b) clearly separates index credit hedging from other hedging. In those situations, the modeling of hedges supporting index credits can be simplified including applying an index credit hedge margin, following the requirements in Section 4.A.4.b.i.</w:t>
      </w:r>
    </w:p>
    <w:p w14:paraId="7D348E21" w14:textId="4C87BD4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 xml:space="preserve">The appropriate costs and benefits of hedging instruments that are currently held by the company in support of the contracts falling under the scope of these requirements shall be included in the calculation of the stochastic reserve, determined in accordance with Section </w:t>
      </w:r>
      <w:r w:rsidR="00590EA5">
        <w:rPr>
          <w:rFonts w:ascii="Times New Roman" w:eastAsia="Times New Roman" w:hAnsi="Times New Roman"/>
        </w:rPr>
        <w:t xml:space="preserve">  </w:t>
      </w:r>
      <w:r>
        <w:rPr>
          <w:rFonts w:ascii="Times New Roman" w:eastAsia="Times New Roman" w:hAnsi="Times New Roman"/>
        </w:rPr>
        <w:t xml:space="preserve">3.D and Section 4.D.  </w:t>
      </w:r>
    </w:p>
    <w:p w14:paraId="643D75AE" w14:textId="77777777" w:rsidR="008A7F4A" w:rsidRDefault="008A7F4A" w:rsidP="008A7F4A">
      <w:pPr>
        <w:spacing w:after="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 xml:space="preserve">The company shall take into account the costs and benefits of hedge positions expected to be held by the company in the future along each scenario. Company management is responsible for developing, documenting, </w:t>
      </w:r>
      <w:proofErr w:type="gramStart"/>
      <w:r>
        <w:rPr>
          <w:rFonts w:ascii="Times New Roman" w:eastAsia="Times New Roman" w:hAnsi="Times New Roman"/>
        </w:rPr>
        <w:t>executing</w:t>
      </w:r>
      <w:proofErr w:type="gramEnd"/>
      <w:r>
        <w:rPr>
          <w:rFonts w:ascii="Times New Roman" w:eastAsia="Times New Roman" w:hAnsi="Times New Roman"/>
        </w:rPr>
        <w:t xml:space="preserve"> and evaluating the investment strategy for future hedge purchases.  </w:t>
      </w:r>
      <w:commentRangeStart w:id="90"/>
      <w:r>
        <w:rPr>
          <w:rFonts w:ascii="Times New Roman" w:eastAsia="Times New Roman" w:hAnsi="Times New Roman"/>
        </w:rPr>
        <w:t>Prior</w:t>
      </w:r>
      <w:commentRangeEnd w:id="90"/>
      <w:r w:rsidR="006D084F">
        <w:rPr>
          <w:rStyle w:val="CommentReference"/>
        </w:rPr>
        <w:commentReference w:id="90"/>
      </w:r>
      <w:r>
        <w:rPr>
          <w:rFonts w:ascii="Times New Roman" w:eastAsia="Times New Roman" w:hAnsi="Times New Roman"/>
        </w:rPr>
        <w:t xml:space="preserve"> to reflection in projections, the strategy for future hedge purposes shall be the actual practice of the company for </w:t>
      </w:r>
      <w:proofErr w:type="gramStart"/>
      <w:r>
        <w:rPr>
          <w:rFonts w:ascii="Times New Roman" w:eastAsia="Times New Roman" w:hAnsi="Times New Roman"/>
        </w:rPr>
        <w:t>a period of time</w:t>
      </w:r>
      <w:proofErr w:type="gramEnd"/>
      <w:r>
        <w:rPr>
          <w:rFonts w:ascii="Times New Roman" w:eastAsia="Times New Roman" w:hAnsi="Times New Roman"/>
        </w:rPr>
        <w:t xml:space="preserve"> not less than [</w:t>
      </w:r>
      <w:r>
        <w:rPr>
          <w:rFonts w:ascii="Times New Roman" w:eastAsia="Times New Roman" w:hAnsi="Times New Roman"/>
          <w:highlight w:val="yellow"/>
        </w:rPr>
        <w:t>6</w:t>
      </w:r>
      <w:r>
        <w:rPr>
          <w:rFonts w:ascii="Times New Roman" w:eastAsia="Times New Roman" w:hAnsi="Times New Roman"/>
        </w:rPr>
        <w:t xml:space="preserve">] months. </w:t>
      </w:r>
    </w:p>
    <w:p w14:paraId="24D8916B" w14:textId="77777777" w:rsidR="008A7F4A" w:rsidRDefault="008A7F4A" w:rsidP="008A7F4A">
      <w:pPr>
        <w:spacing w:after="0" w:line="240" w:lineRule="auto"/>
        <w:ind w:left="1440" w:hanging="720"/>
        <w:jc w:val="both"/>
        <w:rPr>
          <w:rFonts w:ascii="Times New Roman" w:eastAsia="Times New Roman" w:hAnsi="Times New Roman"/>
        </w:rPr>
      </w:pPr>
    </w:p>
    <w:p w14:paraId="234F7D5B"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For this purpose, the investment assets refer to all the assets, including derivatives supporting covered products and guarantees. This also is referred to as the investment portfolio. The investment strategy is the set of all asset holdings at all points in time in all scenarios. The hedging portfolio, which also is referred to as the hedging assets, is a subset of the investment assets. The hedging strategy is the hedging asset holdings at all points in time in all scenarios. There is no attempt to distinguish what is the hedging portfolio and what is the investment portfolio in this section. Nor is the distinction between investment strategy and hedging strategy formally made here. Where necessary to give effect to the intent of this section, the requirements applicable to the hedging portfolio or the hedging strategy are to apply to the overall investment portfolio and investment strategy.</w:t>
      </w:r>
    </w:p>
    <w:p w14:paraId="3B88CA79" w14:textId="77777777" w:rsidR="008A7F4A" w:rsidRDefault="008A7F4A" w:rsidP="008A7F4A">
      <w:pPr>
        <w:spacing w:after="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t>This particularly applies to restrictions on the reasonableness or acceptability of the models that make up the stochastic cash-flow model used to perform the projections, since these restrictions are inherently restrictions on the joint modeling of the hedging and non-hedging portfolio. To give effect to these requirements, they must apply to the overall investment strategy and investment portfolio.</w:t>
      </w:r>
    </w:p>
    <w:p w14:paraId="09CC6990" w14:textId="77777777" w:rsidR="008A7F4A" w:rsidRDefault="008A7F4A" w:rsidP="008A7F4A">
      <w:pPr>
        <w:spacing w:after="0" w:line="240" w:lineRule="auto"/>
        <w:jc w:val="both"/>
        <w:rPr>
          <w:rFonts w:ascii="Times New Roman" w:eastAsia="Times New Roman" w:hAnsi="Times New Roman"/>
        </w:rPr>
      </w:pPr>
    </w:p>
    <w:p w14:paraId="01FA787B" w14:textId="77777777" w:rsidR="008A7F4A" w:rsidRDefault="008A7F4A" w:rsidP="008A7F4A">
      <w:pPr>
        <w:pStyle w:val="Heading2"/>
        <w:rPr>
          <w:sz w:val="22"/>
          <w:szCs w:val="22"/>
        </w:rPr>
      </w:pPr>
      <w:bookmarkStart w:id="91" w:name="_Toc77242160"/>
      <w:r>
        <w:rPr>
          <w:sz w:val="22"/>
          <w:szCs w:val="22"/>
        </w:rPr>
        <w:t>B.</w:t>
      </w:r>
      <w:r>
        <w:rPr>
          <w:sz w:val="22"/>
          <w:szCs w:val="22"/>
        </w:rPr>
        <w:tab/>
        <w:t>Modeling Approaches</w:t>
      </w:r>
      <w:bookmarkEnd w:id="91"/>
    </w:p>
    <w:p w14:paraId="00ECBEE2" w14:textId="77777777" w:rsidR="008A7F4A" w:rsidRDefault="008A7F4A" w:rsidP="008A7F4A">
      <w:pPr>
        <w:spacing w:after="0"/>
      </w:pPr>
    </w:p>
    <w:p w14:paraId="1563A06D"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The analysis of the impact of the hedging strategy on cash flows is typically performed using either one of two types of methods as described below. Although a hedging strategy normally would be expected to reduce risk provisions, the nature of the hedging strategy and the costs to implement the strategy may result in an increase in the amount of the stochastic reserve otherwise calculated.</w:t>
      </w:r>
    </w:p>
    <w:p w14:paraId="2A0E222D"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The fundamental characteristic of the first type of method, referred to as the “explicit method,” is that hedging positions and their resulting cash flows are included in the stochastic cash-flow model used to determine the scenario reserve, as discussed in Section 3.D, for each scenario.</w:t>
      </w:r>
    </w:p>
    <w:p w14:paraId="7B41E1FB"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3.</w:t>
      </w:r>
      <w:r>
        <w:rPr>
          <w:rFonts w:ascii="Times New Roman" w:eastAsia="Times New Roman" w:hAnsi="Times New Roman"/>
        </w:rPr>
        <w:tab/>
        <w:t xml:space="preserve">The fundamental characteristic of the second type of method, referred to as the “implicit method,” is that the effectiveness of the current hedging strategy on future cash flows is evaluated, in part or in whole, outside of the stochastic cash-flow model. </w:t>
      </w:r>
      <w:r>
        <w:rPr>
          <w:rFonts w:ascii="Times New Roman" w:hAnsi="Times New Roman"/>
        </w:rPr>
        <w:t>There are multiple ways that this type of modeling can be implemented.</w:t>
      </w:r>
      <w:r>
        <w:rPr>
          <w:rFonts w:ascii="Times New Roman" w:eastAsia="Times New Roman" w:hAnsi="Times New Roman"/>
        </w:rPr>
        <w:t xml:space="preserve"> In this case, the reduction to the stochastic reserve otherwise calculated should be commensurate with the degree of effectiveness of the hedging strategy in reducing accumulated deficiencies otherwise calculated.</w:t>
      </w:r>
    </w:p>
    <w:p w14:paraId="29875119"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 xml:space="preserve">Regardless of the methodology used by the company, the ultimate effect of the current hedging strategy (including currently held hedge positions) on the stochastic reserve needs to recognize all risks, associated costs, imperfections in the hedges and hedging mismatch tolerances associated with the hedging strategy. The risks include, but are not limited </w:t>
      </w:r>
      <w:proofErr w:type="gramStart"/>
      <w:r>
        <w:rPr>
          <w:rFonts w:ascii="Times New Roman" w:eastAsia="Times New Roman" w:hAnsi="Times New Roman"/>
        </w:rPr>
        <w:t>to:</w:t>
      </w:r>
      <w:proofErr w:type="gramEnd"/>
      <w:r>
        <w:rPr>
          <w:rFonts w:ascii="Times New Roman" w:eastAsia="Times New Roman" w:hAnsi="Times New Roman"/>
        </w:rPr>
        <w:t xml:space="preserve"> basis, gap, price, parameter estimation and variation in assumptions (mortality, persistency, withdrawal, annuitization, etc.). Costs include, but are not limited </w:t>
      </w:r>
      <w:proofErr w:type="gramStart"/>
      <w:r>
        <w:rPr>
          <w:rFonts w:ascii="Times New Roman" w:eastAsia="Times New Roman" w:hAnsi="Times New Roman"/>
        </w:rPr>
        <w:t>to:</w:t>
      </w:r>
      <w:proofErr w:type="gramEnd"/>
      <w:r>
        <w:rPr>
          <w:rFonts w:ascii="Times New Roman" w:eastAsia="Times New Roman" w:hAnsi="Times New Roman"/>
        </w:rPr>
        <w:t xml:space="preserve"> transaction, margin (opportunity costs associated with margin requirements) and administration. In addition, the reduction to the stochastic reserve attributable to the hedging strategy may need to be limited due to the uncertainty associated with the company’s ability to implement the hedging strategy in a timely and effective manner. The level of operational uncertainty varies indirectly with the amount of time that the new or revised strategy has been in effect or mock tested.</w:t>
      </w:r>
    </w:p>
    <w:p w14:paraId="473EE9BF" w14:textId="77777777" w:rsidR="008A7F4A" w:rsidRDefault="008A7F4A" w:rsidP="008A7F4A">
      <w:pPr>
        <w:pStyle w:val="ListParagraph"/>
        <w:pBdr>
          <w:top w:val="single" w:sz="4" w:space="1" w:color="auto"/>
          <w:left w:val="single" w:sz="4" w:space="4" w:color="auto"/>
          <w:bottom w:val="single" w:sz="4" w:space="1" w:color="auto"/>
          <w:right w:val="single" w:sz="4" w:space="4" w:color="auto"/>
        </w:pBdr>
        <w:spacing w:after="220" w:line="240" w:lineRule="auto"/>
        <w:jc w:val="both"/>
        <w:rPr>
          <w:rFonts w:ascii="Times New Roman" w:eastAsia="Times New Roman" w:hAnsi="Times New Roman"/>
        </w:rPr>
      </w:pPr>
      <w:r>
        <w:rPr>
          <w:rFonts w:ascii="Times New Roman" w:eastAsia="Times New Roman" w:hAnsi="Times New Roman"/>
          <w:b/>
        </w:rPr>
        <w:t>Guidance Note:</w:t>
      </w:r>
      <w:r>
        <w:rPr>
          <w:rFonts w:ascii="Times New Roman" w:eastAsia="Times New Roman" w:hAnsi="Times New Roman"/>
        </w:rPr>
        <w:t xml:space="preserve"> No hedging strategy is perfect. A given hedging strategy may eliminate or reduce some but not all risks, transform some risks into others, introduce new risks, or have other imperfections. For example, a delta-only hedging strategy does not adequately hedge the risks measured by the “Greeks” other than delta. </w:t>
      </w:r>
    </w:p>
    <w:p w14:paraId="539A3108"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t>A safe harbor approach is permitted for those companies whose modeled hedge assets comprise only linear instruments not sensitive to implied volatility. For companies with option-based hedge strategies, electing this approach would require representing the option-based portion of the strategy as a delta-rho two-Greek hedge program. The normally modeled option portfolio would be replaced with a set of linear instruments that have the same first-order Greeks as the original option portfolio.</w:t>
      </w:r>
    </w:p>
    <w:p w14:paraId="5D57E848" w14:textId="77777777" w:rsidR="008A7F4A" w:rsidRDefault="008A7F4A" w:rsidP="008A7F4A">
      <w:pPr>
        <w:pStyle w:val="Heading2"/>
        <w:rPr>
          <w:sz w:val="22"/>
          <w:szCs w:val="22"/>
        </w:rPr>
      </w:pPr>
      <w:bookmarkStart w:id="92" w:name="_Toc77242161"/>
      <w:r>
        <w:rPr>
          <w:sz w:val="22"/>
          <w:szCs w:val="22"/>
        </w:rPr>
        <w:t>C.</w:t>
      </w:r>
      <w:r>
        <w:rPr>
          <w:sz w:val="22"/>
          <w:szCs w:val="22"/>
        </w:rPr>
        <w:tab/>
        <w:t>Calculation of Stochastic Reserve (Reported)</w:t>
      </w:r>
      <w:bookmarkEnd w:id="92"/>
    </w:p>
    <w:p w14:paraId="1076ECF9" w14:textId="77777777" w:rsidR="008A7F4A" w:rsidRDefault="008A7F4A" w:rsidP="008A7F4A">
      <w:pPr>
        <w:spacing w:after="0"/>
      </w:pPr>
    </w:p>
    <w:p w14:paraId="3D6DC5A1"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 xml:space="preserve">The company shall calculate CTE70 (best efforts)—the results obtained when the CTE70 is based on incorporating the modeling of hedges (including both currently held and future hedge positions) into the stochastic cash-flow model on a </w:t>
      </w:r>
      <w:proofErr w:type="gramStart"/>
      <w:r>
        <w:rPr>
          <w:rFonts w:ascii="Times New Roman" w:eastAsia="Times New Roman" w:hAnsi="Times New Roman"/>
        </w:rPr>
        <w:t>best efforts</w:t>
      </w:r>
      <w:proofErr w:type="gramEnd"/>
      <w:r>
        <w:rPr>
          <w:rFonts w:ascii="Times New Roman" w:eastAsia="Times New Roman" w:hAnsi="Times New Roman"/>
        </w:rPr>
        <w:t xml:space="preserve"> basis, including all of the factors and assumptions needed to model the hedges (e.g., stochastic implied volatility). The determination of CTE70 (best efforts) may utilize either explicit or implicit modeling techniques.</w:t>
      </w:r>
    </w:p>
    <w:p w14:paraId="37437BAB"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The company shall calculate a CTE70 (adjusted) by recalculating the CTE70 assuming the company has no hedging strategy except those to hedge interest credits and hedge assets held by the company on the valuation date, therefore following the requirements of Section 4.A.4.</w:t>
      </w:r>
      <w:proofErr w:type="gramStart"/>
      <w:r>
        <w:rPr>
          <w:rFonts w:ascii="Times New Roman" w:eastAsia="Times New Roman" w:hAnsi="Times New Roman"/>
        </w:rPr>
        <w:t>a and</w:t>
      </w:r>
      <w:proofErr w:type="gramEnd"/>
      <w:r>
        <w:rPr>
          <w:rFonts w:ascii="Times New Roman" w:eastAsia="Times New Roman" w:hAnsi="Times New Roman"/>
        </w:rPr>
        <w:t xml:space="preserve"> 4.A.4.b.i. </w:t>
      </w:r>
    </w:p>
    <w:p w14:paraId="32EC2238"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Because most models will include at least some approximations or idealistic assumptions, CTE70 (best efforts) may overstate the impact of the hedging strategy. To compensate for potential overstatement of the impact of the hedging strategy, the value for the stochastic reserve is given by:</w:t>
      </w:r>
    </w:p>
    <w:p w14:paraId="27E982AE" w14:textId="77777777" w:rsidR="008A7F4A" w:rsidRDefault="008A7F4A" w:rsidP="008A7F4A">
      <w:pPr>
        <w:spacing w:after="220" w:line="240" w:lineRule="auto"/>
        <w:ind w:left="1440"/>
        <w:jc w:val="both"/>
        <w:rPr>
          <w:rFonts w:ascii="Times New Roman" w:eastAsia="Times New Roman" w:hAnsi="Times New Roman"/>
        </w:rPr>
      </w:pPr>
      <w:r>
        <w:rPr>
          <w:rFonts w:ascii="Times New Roman" w:eastAsia="Times New Roman" w:hAnsi="Times New Roman"/>
        </w:rPr>
        <w:t xml:space="preserve">Stochastic reserve = CTE70 (best efforts) + E </w:t>
      </w:r>
      <w:r>
        <w:rPr>
          <w:rFonts w:ascii="Times New Roman" w:eastAsia="Arial" w:hAnsi="Times New Roman"/>
        </w:rPr>
        <w:t xml:space="preserve">× max[0, </w:t>
      </w:r>
      <w:r>
        <w:rPr>
          <w:rFonts w:ascii="Times New Roman" w:eastAsia="Times New Roman" w:hAnsi="Times New Roman"/>
        </w:rPr>
        <w:t>CTE70 (adjusted) – CTE70 (best efforts)]</w:t>
      </w:r>
    </w:p>
    <w:p w14:paraId="444719DD"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4.</w:t>
      </w:r>
      <w:r>
        <w:rPr>
          <w:rFonts w:ascii="Times New Roman" w:eastAsia="Times New Roman" w:hAnsi="Times New Roman"/>
        </w:rPr>
        <w:tab/>
        <w:t xml:space="preserve">The </w:t>
      </w:r>
      <w:r>
        <w:rPr>
          <w:rFonts w:ascii="Times New Roman" w:hAnsi="Times New Roman"/>
        </w:rPr>
        <w:t xml:space="preserve">company shall specify a </w:t>
      </w:r>
      <w:r>
        <w:rPr>
          <w:rFonts w:ascii="Times New Roman" w:eastAsia="Times New Roman" w:hAnsi="Times New Roman"/>
        </w:rPr>
        <w:t xml:space="preserve">value for </w:t>
      </w:r>
      <w:r>
        <w:rPr>
          <w:rFonts w:ascii="Times New Roman" w:eastAsia="Times New Roman" w:hAnsi="Times New Roman"/>
          <w:i/>
        </w:rPr>
        <w:t xml:space="preserve">E </w:t>
      </w:r>
      <w:r>
        <w:rPr>
          <w:rFonts w:ascii="Times New Roman" w:eastAsia="Times New Roman" w:hAnsi="Times New Roman"/>
        </w:rPr>
        <w:t xml:space="preserve">(the “error factor”) in the </w:t>
      </w:r>
      <w:r>
        <w:rPr>
          <w:rFonts w:ascii="Times New Roman" w:hAnsi="Times New Roman"/>
        </w:rPr>
        <w:t xml:space="preserve">range from 5% to 100% to reflect </w:t>
      </w:r>
      <w:r>
        <w:rPr>
          <w:rFonts w:ascii="Times New Roman" w:eastAsia="Times New Roman" w:hAnsi="Times New Roman"/>
        </w:rPr>
        <w:t xml:space="preserve">the company’s view of the potential error resulting from the level of sophistication of the stochastic cash-flow model and its ability to properly reflect the parameters of the hedging strategy (i.e., the Greeks being covered by the strategy), as well as the associated costs, </w:t>
      </w:r>
      <w:proofErr w:type="gramStart"/>
      <w:r>
        <w:rPr>
          <w:rFonts w:ascii="Times New Roman" w:eastAsia="Times New Roman" w:hAnsi="Times New Roman"/>
        </w:rPr>
        <w:t>risks</w:t>
      </w:r>
      <w:proofErr w:type="gramEnd"/>
      <w:r>
        <w:rPr>
          <w:rFonts w:ascii="Times New Roman" w:eastAsia="Times New Roman" w:hAnsi="Times New Roman"/>
        </w:rPr>
        <w:t xml:space="preserve"> and benefits. The greater the ability of the stochastic model to capture all risks and uncertainties, the lower the value of </w:t>
      </w:r>
      <w:r>
        <w:rPr>
          <w:rFonts w:ascii="Times New Roman" w:eastAsia="Times New Roman" w:hAnsi="Times New Roman"/>
          <w:i/>
        </w:rPr>
        <w:t xml:space="preserve">E. </w:t>
      </w:r>
      <w:r>
        <w:rPr>
          <w:rFonts w:ascii="Times New Roman" w:hAnsi="Times New Roman"/>
        </w:rPr>
        <w:t xml:space="preserve">The value of </w:t>
      </w:r>
      <w:r>
        <w:rPr>
          <w:rFonts w:ascii="Times New Roman" w:hAnsi="Times New Roman"/>
          <w:i/>
        </w:rPr>
        <w:t>E</w:t>
      </w:r>
      <w:r>
        <w:rPr>
          <w:rFonts w:ascii="Times New Roman" w:hAnsi="Times New Roman"/>
        </w:rPr>
        <w:t xml:space="preserve"> may be as low as 5% only if </w:t>
      </w:r>
      <w:r>
        <w:rPr>
          <w:rFonts w:ascii="Times New Roman" w:eastAsia="Times New Roman" w:hAnsi="Times New Roman"/>
        </w:rPr>
        <w:t xml:space="preserve">the model used to determine the CTE70 (best efforts) effectively reflects </w:t>
      </w:r>
      <w:proofErr w:type="gramStart"/>
      <w:r>
        <w:rPr>
          <w:rFonts w:ascii="Times New Roman" w:eastAsia="Times New Roman" w:hAnsi="Times New Roman"/>
        </w:rPr>
        <w:t>all of</w:t>
      </w:r>
      <w:proofErr w:type="gramEnd"/>
      <w:r>
        <w:rPr>
          <w:rFonts w:ascii="Times New Roman" w:eastAsia="Times New Roman" w:hAnsi="Times New Roman"/>
        </w:rPr>
        <w:t xml:space="preserve"> the parameters used in the hedging strategy. If certain economic risks are not hedged, yet the model does not generate scenarios that sufficiently capture those risks, </w:t>
      </w:r>
      <w:r>
        <w:rPr>
          <w:rFonts w:ascii="Times New Roman" w:eastAsia="Times New Roman" w:hAnsi="Times New Roman"/>
          <w:i/>
        </w:rPr>
        <w:t>E</w:t>
      </w:r>
      <w:r>
        <w:rPr>
          <w:rFonts w:ascii="Times New Roman" w:eastAsia="Times New Roman" w:hAnsi="Times New Roman"/>
        </w:rPr>
        <w:t xml:space="preserve"> must be in the higher end of the range, reflecting the greater likelihood of error. Likewise, simplistic hedge cash-flow models shall assume a higher likelihood of error.</w:t>
      </w:r>
    </w:p>
    <w:p w14:paraId="76B80627"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t xml:space="preserve">The company shall conduct a formal back-test, based on an analysis of at least the most recent 12 months, to assess how well the model is able to replicate the hedging strategy in a way that supports the determination of the value used for </w:t>
      </w:r>
      <w:r>
        <w:rPr>
          <w:rFonts w:ascii="Times New Roman" w:eastAsia="Times New Roman" w:hAnsi="Times New Roman"/>
          <w:i/>
        </w:rPr>
        <w:t>E</w:t>
      </w:r>
      <w:r>
        <w:rPr>
          <w:rFonts w:ascii="Times New Roman" w:eastAsia="Times New Roman" w:hAnsi="Times New Roman"/>
        </w:rPr>
        <w:t xml:space="preserve">. </w:t>
      </w:r>
    </w:p>
    <w:p w14:paraId="0CD10254" w14:textId="77777777" w:rsidR="008A7F4A" w:rsidRDefault="008A7F4A" w:rsidP="008A7F4A">
      <w:pPr>
        <w:spacing w:after="220" w:line="240" w:lineRule="auto"/>
        <w:ind w:left="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t>Such a back-test shall involve one of the following analyses:</w:t>
      </w:r>
    </w:p>
    <w:p w14:paraId="4953033E"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 xml:space="preserve">For companies that model hedge cash flows directly (“explicit method”), replace the stochastic scenarios used in calculating the CTE70 (best efforts) with a single scenario that represents the market path that </w:t>
      </w:r>
      <w:proofErr w:type="gramStart"/>
      <w:r>
        <w:rPr>
          <w:rFonts w:ascii="Times New Roman" w:eastAsia="Times New Roman" w:hAnsi="Times New Roman"/>
        </w:rPr>
        <w:t>actually manifested</w:t>
      </w:r>
      <w:proofErr w:type="gramEnd"/>
      <w:r>
        <w:rPr>
          <w:rFonts w:ascii="Times New Roman" w:eastAsia="Times New Roman" w:hAnsi="Times New Roman"/>
        </w:rPr>
        <w:t xml:space="preserve"> over the selected back-testing period and compare the projected hedge asset gains and losses against the actual hedge asset gains and losses – both realized and unrealized – observed over the same time period. For this calculation, the model assumptions may be replaced with parameters that reflect actual experience during the back-testing period. In order to isolate the comparison between the modeled hedge results and actual hedge results for this calculation, the projected liabilities should accurately reflect the actual liabilities throughout the back-testing period; therefore, adjustments that facilitate this accuracy (</w:t>
      </w:r>
      <w:proofErr w:type="gramStart"/>
      <w:r>
        <w:rPr>
          <w:rFonts w:ascii="Times New Roman" w:eastAsia="Times New Roman" w:hAnsi="Times New Roman"/>
        </w:rPr>
        <w:t>e.g.</w:t>
      </w:r>
      <w:proofErr w:type="gramEnd"/>
      <w:r>
        <w:rPr>
          <w:rFonts w:ascii="Times New Roman" w:eastAsia="Times New Roman" w:hAnsi="Times New Roman"/>
        </w:rPr>
        <w:t xml:space="preserve"> reflecting actual experience instead of model assumptions, including new business, etc.) are permissible.</w:t>
      </w:r>
    </w:p>
    <w:p w14:paraId="10B03A3E" w14:textId="77777777" w:rsidR="008A7F4A" w:rsidRDefault="008A7F4A" w:rsidP="008A7F4A">
      <w:pPr>
        <w:spacing w:after="220" w:line="240" w:lineRule="auto"/>
        <w:ind w:left="2160" w:hanging="720"/>
        <w:jc w:val="both"/>
        <w:rPr>
          <w:rFonts w:ascii="Times New Roman" w:hAnsi="Times New Roman"/>
        </w:rPr>
      </w:pPr>
      <w:r>
        <w:rPr>
          <w:rFonts w:ascii="Times New Roman" w:eastAsia="Times New Roman" w:hAnsi="Times New Roman"/>
        </w:rPr>
        <w:tab/>
      </w:r>
      <w:r>
        <w:rPr>
          <w:rFonts w:ascii="Times New Roman" w:hAnsi="Times New Roman"/>
        </w:rPr>
        <w:t>To support the choice of a low value of E, the company should ascertain that the projected hedge asset gains and losses are within close range of 100% (e.g., 80–125%) of the actual hedge asset gains and losses. The company may also support the choice of a low value of E by achieving a high R-squared (e.g., 0.80 or higher) when using a regression analysis technique.</w:t>
      </w:r>
    </w:p>
    <w:p w14:paraId="53B71265"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 xml:space="preserve">For companies that model hedge cash flows implicitly by quantifying the cost and benefit of hedging using the fair value of the hedged item (an “implicit method” or “cost of reinsurance method”), calculate the delta, rho and </w:t>
      </w:r>
      <w:proofErr w:type="spellStart"/>
      <w:r>
        <w:rPr>
          <w:rFonts w:ascii="Times New Roman" w:eastAsia="Times New Roman" w:hAnsi="Times New Roman"/>
        </w:rPr>
        <w:t>vega</w:t>
      </w:r>
      <w:proofErr w:type="spellEnd"/>
      <w:r>
        <w:rPr>
          <w:rFonts w:ascii="Times New Roman" w:eastAsia="Times New Roman" w:hAnsi="Times New Roman"/>
        </w:rPr>
        <w:t xml:space="preserve"> coverage ratios in each month over the selected back-testing period in the following manner:</w:t>
      </w:r>
    </w:p>
    <w:p w14:paraId="31499D89" w14:textId="77777777" w:rsidR="008A7F4A" w:rsidRDefault="008A7F4A" w:rsidP="008A7F4A">
      <w:pPr>
        <w:spacing w:after="220" w:line="240" w:lineRule="auto"/>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Determine the hedge asset gains and losses—both realized and unrealized—incurred over the month attributable to equity, interest rate, and implied volatility movements.</w:t>
      </w:r>
    </w:p>
    <w:p w14:paraId="702D595F" w14:textId="77777777" w:rsidR="008A7F4A" w:rsidRDefault="008A7F4A" w:rsidP="008A7F4A">
      <w:pPr>
        <w:spacing w:after="220" w:line="240" w:lineRule="auto"/>
        <w:ind w:left="2880" w:hanging="720"/>
        <w:jc w:val="both"/>
        <w:rPr>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Determine the change in the fair value of the hedged item over the month attributable to equity, interest rate, and implied volatility movements. The hedged item should be defined in a manner that reflects the proportion of risks hedged (e.g., if a company elects to hedge 50% of a contract’s market risks, it should quantify the fair value of the hedged item as 50% of the fair value of the contract).</w:t>
      </w:r>
    </w:p>
    <w:p w14:paraId="16CA9217" w14:textId="77777777" w:rsidR="008A7F4A" w:rsidRDefault="008A7F4A" w:rsidP="008A7F4A">
      <w:pPr>
        <w:spacing w:after="220" w:line="240" w:lineRule="auto"/>
        <w:ind w:left="2880" w:hanging="720"/>
        <w:jc w:val="both"/>
        <w:rPr>
          <w:rFonts w:ascii="Times New Roman" w:eastAsia="Times New Roman" w:hAnsi="Times New Roman"/>
        </w:rPr>
      </w:pPr>
      <w:r>
        <w:rPr>
          <w:rFonts w:ascii="Times New Roman" w:eastAsia="Times New Roman" w:hAnsi="Times New Roman"/>
        </w:rPr>
        <w:t>iii.</w:t>
      </w:r>
      <w:r>
        <w:rPr>
          <w:rFonts w:ascii="Times New Roman" w:eastAsia="Times New Roman" w:hAnsi="Times New Roman"/>
        </w:rPr>
        <w:tab/>
        <w:t>Calculate the delta coverage ratio as the ratio between (i) and (ii) attributable to equity movements.</w:t>
      </w:r>
    </w:p>
    <w:p w14:paraId="74534A81" w14:textId="77777777" w:rsidR="008A7F4A" w:rsidRDefault="008A7F4A" w:rsidP="008A7F4A">
      <w:pPr>
        <w:spacing w:after="220" w:line="240" w:lineRule="auto"/>
        <w:ind w:left="2880" w:hanging="720"/>
        <w:jc w:val="both"/>
        <w:rPr>
          <w:rFonts w:ascii="Times New Roman" w:eastAsia="Times New Roman" w:hAnsi="Times New Roman"/>
        </w:rPr>
      </w:pPr>
      <w:r>
        <w:rPr>
          <w:rFonts w:ascii="Times New Roman" w:eastAsia="Times New Roman" w:hAnsi="Times New Roman"/>
        </w:rPr>
        <w:lastRenderedPageBreak/>
        <w:t>iv.</w:t>
      </w:r>
      <w:r>
        <w:rPr>
          <w:rFonts w:ascii="Times New Roman" w:eastAsia="Times New Roman" w:hAnsi="Times New Roman"/>
        </w:rPr>
        <w:tab/>
        <w:t>Calculate the rho coverage ratio as the ratio between (i) and (ii) attributable to interest rate movements.</w:t>
      </w:r>
    </w:p>
    <w:p w14:paraId="3A5E2203" w14:textId="77777777" w:rsidR="008A7F4A" w:rsidRDefault="008A7F4A" w:rsidP="008A7F4A">
      <w:pPr>
        <w:spacing w:after="220" w:line="240" w:lineRule="auto"/>
        <w:ind w:left="2880" w:hanging="720"/>
        <w:jc w:val="both"/>
        <w:rPr>
          <w:rFonts w:ascii="Times New Roman" w:eastAsia="Times New Roman" w:hAnsi="Times New Roman"/>
        </w:rPr>
      </w:pPr>
      <w:r>
        <w:rPr>
          <w:rFonts w:ascii="Times New Roman" w:eastAsia="Times New Roman" w:hAnsi="Times New Roman"/>
        </w:rPr>
        <w:t>v.</w:t>
      </w:r>
      <w:r>
        <w:rPr>
          <w:rFonts w:ascii="Times New Roman" w:eastAsia="Times New Roman" w:hAnsi="Times New Roman"/>
        </w:rPr>
        <w:tab/>
        <w:t xml:space="preserve">Calculate the </w:t>
      </w:r>
      <w:proofErr w:type="spellStart"/>
      <w:r>
        <w:rPr>
          <w:rFonts w:ascii="Times New Roman" w:eastAsia="Times New Roman" w:hAnsi="Times New Roman"/>
        </w:rPr>
        <w:t>vega</w:t>
      </w:r>
      <w:proofErr w:type="spellEnd"/>
      <w:r>
        <w:rPr>
          <w:rFonts w:ascii="Times New Roman" w:eastAsia="Times New Roman" w:hAnsi="Times New Roman"/>
        </w:rPr>
        <w:t xml:space="preserve"> coverage ratio as the ratio between (i) and (ii) attributable to implied volatility movements.</w:t>
      </w:r>
    </w:p>
    <w:p w14:paraId="484B9D56" w14:textId="77777777" w:rsidR="008A7F4A" w:rsidRDefault="008A7F4A" w:rsidP="008A7F4A">
      <w:pPr>
        <w:spacing w:after="220" w:line="240" w:lineRule="auto"/>
        <w:ind w:left="2880" w:hanging="720"/>
        <w:jc w:val="both"/>
        <w:rPr>
          <w:rFonts w:ascii="Times New Roman" w:eastAsia="Times New Roman" w:hAnsi="Times New Roman"/>
        </w:rPr>
      </w:pPr>
      <w:r>
        <w:rPr>
          <w:rFonts w:ascii="Times New Roman" w:eastAsia="Times New Roman" w:hAnsi="Times New Roman"/>
        </w:rPr>
        <w:t>vi.</w:t>
      </w:r>
      <w:r>
        <w:rPr>
          <w:rFonts w:ascii="Times New Roman" w:eastAsia="Times New Roman" w:hAnsi="Times New Roman"/>
        </w:rPr>
        <w:tab/>
        <w:t>To support the company’s choice of a low value of E, the company should be able to demonstrate that the delta and rho coverage ratios are both within close range of 100 % (e.g., 80–125%) consistently across the back-testing period.</w:t>
      </w:r>
    </w:p>
    <w:p w14:paraId="17DFDAB0" w14:textId="77777777" w:rsidR="008A7F4A" w:rsidRDefault="008A7F4A" w:rsidP="008A7F4A">
      <w:pPr>
        <w:spacing w:after="220" w:line="240" w:lineRule="auto"/>
        <w:ind w:left="2880" w:hanging="720"/>
        <w:jc w:val="both"/>
        <w:rPr>
          <w:rFonts w:ascii="Times New Roman" w:eastAsia="Times New Roman" w:hAnsi="Times New Roman"/>
        </w:rPr>
      </w:pPr>
      <w:r>
        <w:rPr>
          <w:rFonts w:ascii="Times New Roman" w:eastAsia="Times New Roman" w:hAnsi="Times New Roman"/>
        </w:rPr>
        <w:t>vii.</w:t>
      </w:r>
      <w:r>
        <w:rPr>
          <w:rFonts w:ascii="Times New Roman" w:eastAsia="Times New Roman" w:hAnsi="Times New Roman"/>
        </w:rPr>
        <w:tab/>
        <w:t xml:space="preserve">In addition, the company should be able to demonstrate that the </w:t>
      </w:r>
      <w:proofErr w:type="spellStart"/>
      <w:r>
        <w:rPr>
          <w:rFonts w:ascii="Times New Roman" w:eastAsia="Times New Roman" w:hAnsi="Times New Roman"/>
        </w:rPr>
        <w:t>vega</w:t>
      </w:r>
      <w:proofErr w:type="spellEnd"/>
      <w:r>
        <w:rPr>
          <w:rFonts w:ascii="Times New Roman" w:eastAsia="Times New Roman" w:hAnsi="Times New Roman"/>
        </w:rPr>
        <w:t xml:space="preserve"> coverage ratio is within close range of 100 % </w:t>
      </w:r>
      <w:proofErr w:type="gramStart"/>
      <w:r>
        <w:rPr>
          <w:rFonts w:ascii="Times New Roman" w:eastAsia="Times New Roman" w:hAnsi="Times New Roman"/>
        </w:rPr>
        <w:t>in order to</w:t>
      </w:r>
      <w:proofErr w:type="gramEnd"/>
      <w:r>
        <w:rPr>
          <w:rFonts w:ascii="Times New Roman" w:eastAsia="Times New Roman" w:hAnsi="Times New Roman"/>
        </w:rPr>
        <w:t xml:space="preserve"> use the prevailing implied volatility levels as of the valuation date in quantifying the fair value of the hedged item for the purpose of calculating CTE70 (best efforts). Otherwise, the company shall quantify the fair value of the hedged item for the purpose of calculating CTE70 (best efforts) in a manner consistent with the realized volatility of the scenarios captured in the CTE (best efforts). </w:t>
      </w:r>
    </w:p>
    <w:p w14:paraId="01D561BE"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t>Companies that do not model hedge cash flows explicitly, but that also do not use the implicit method as outlined in Section 9.C.6.b above, shall conduct the formal back-test in a manner that allows the company to clearly illustrate the appropriateness of the selected method for reflecting the cost and benefit of hedging, as well as the value used for E.</w:t>
      </w:r>
    </w:p>
    <w:p w14:paraId="7213544B" w14:textId="77777777" w:rsidR="008A7F4A" w:rsidRDefault="008A7F4A" w:rsidP="008A7F4A">
      <w:pPr>
        <w:spacing w:after="220" w:line="240" w:lineRule="auto"/>
        <w:ind w:left="1440" w:hanging="720"/>
        <w:jc w:val="both"/>
        <w:rPr>
          <w:rFonts w:ascii="Times New Roman" w:hAnsi="Times New Roman"/>
        </w:rPr>
      </w:pPr>
      <w:r>
        <w:rPr>
          <w:rFonts w:ascii="Times New Roman" w:eastAsia="Times New Roman" w:hAnsi="Times New Roman"/>
        </w:rPr>
        <w:t>7.</w:t>
      </w:r>
      <w:r>
        <w:rPr>
          <w:rFonts w:ascii="Times New Roman" w:eastAsia="Times New Roman" w:hAnsi="Times New Roman"/>
        </w:rPr>
        <w:tab/>
        <w:t xml:space="preserve">A company that does not have 12 months of experience to date shall set </w:t>
      </w:r>
      <w:r>
        <w:rPr>
          <w:rFonts w:ascii="Times New Roman" w:hAnsi="Times New Roman"/>
        </w:rPr>
        <w:t xml:space="preserve">E </w:t>
      </w:r>
      <w:r>
        <w:rPr>
          <w:rFonts w:ascii="Times New Roman" w:eastAsia="Times New Roman" w:hAnsi="Times New Roman"/>
        </w:rPr>
        <w:t xml:space="preserve">to a value that reflects the amount of experience available, and the degree and nature of any change to the hedge program. For a material change in strategy, with no history, </w:t>
      </w:r>
      <w:proofErr w:type="spellStart"/>
      <w:r>
        <w:rPr>
          <w:rFonts w:ascii="Times New Roman" w:eastAsia="Times New Roman" w:hAnsi="Times New Roman"/>
        </w:rPr>
        <w:t>E</w:t>
      </w:r>
      <w:proofErr w:type="spellEnd"/>
      <w:r>
        <w:rPr>
          <w:rFonts w:ascii="Times New Roman" w:eastAsia="Times New Roman" w:hAnsi="Times New Roman"/>
        </w:rPr>
        <w:t xml:space="preserve"> should be at least 0.50.  However, E may be lower than 0.50 if some reliable experience is available and/or if the change in strategy is a refinement rather than a substantial change in strategy. </w:t>
      </w:r>
    </w:p>
    <w:p w14:paraId="6A95A9C5" w14:textId="477035DF" w:rsidR="008A7F4A" w:rsidRDefault="008A7F4A" w:rsidP="008A7F4A">
      <w:pPr>
        <w:pStyle w:val="ListParagraph"/>
        <w:ind w:left="360"/>
        <w:rPr>
          <w:rFonts w:ascii="Times New Roman" w:hAnsi="Times New Roman"/>
        </w:rPr>
      </w:pPr>
      <w:r>
        <w:rPr>
          <w:noProof/>
        </w:rPr>
        <mc:AlternateContent>
          <mc:Choice Requires="wps">
            <w:drawing>
              <wp:anchor distT="0" distB="0" distL="114300" distR="114300" simplePos="0" relativeHeight="251663360" behindDoc="0" locked="0" layoutInCell="1" allowOverlap="1" wp14:anchorId="5890851F" wp14:editId="463DAF05">
                <wp:simplePos x="0" y="0"/>
                <wp:positionH relativeFrom="column">
                  <wp:posOffset>350520</wp:posOffset>
                </wp:positionH>
                <wp:positionV relativeFrom="paragraph">
                  <wp:posOffset>64770</wp:posOffset>
                </wp:positionV>
                <wp:extent cx="5951220" cy="2651760"/>
                <wp:effectExtent l="0" t="0" r="1143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1220" cy="2651760"/>
                        </a:xfrm>
                        <a:prstGeom prst="rect">
                          <a:avLst/>
                        </a:prstGeom>
                        <a:solidFill>
                          <a:sysClr val="window" lastClr="FFFFFF"/>
                        </a:solidFill>
                        <a:ln w="6350">
                          <a:solidFill>
                            <a:prstClr val="black"/>
                          </a:solidFill>
                        </a:ln>
                      </wps:spPr>
                      <wps:txbx>
                        <w:txbxContent>
                          <w:p w14:paraId="46FA3841" w14:textId="77777777" w:rsidR="008A7F4A" w:rsidRDefault="008A7F4A" w:rsidP="008A7F4A">
                            <w:pPr>
                              <w:rPr>
                                <w:rFonts w:ascii="Times New Roman" w:hAnsi="Times New Roman"/>
                              </w:rPr>
                            </w:pPr>
                            <w:r>
                              <w:rPr>
                                <w:rFonts w:ascii="Times New Roman" w:hAnsi="Times New Roman"/>
                                <w:b/>
                              </w:rPr>
                              <w:t xml:space="preserve">Guidance Note: </w:t>
                            </w:r>
                            <w:r>
                              <w:rPr>
                                <w:rFonts w:ascii="Times New Roman" w:hAnsi="Times New Roman"/>
                              </w:rPr>
                              <w:t>The following examples are provided as guidance for determining the E factor when there has been a change to the hedge program:</w:t>
                            </w:r>
                          </w:p>
                          <w:p w14:paraId="084CEB8F" w14:textId="77777777" w:rsidR="008A7F4A" w:rsidRDefault="008A7F4A" w:rsidP="00745C9A">
                            <w:pPr>
                              <w:pStyle w:val="ListParagraph"/>
                              <w:widowControl w:val="0"/>
                              <w:numPr>
                                <w:ilvl w:val="0"/>
                                <w:numId w:val="109"/>
                              </w:numPr>
                              <w:autoSpaceDE w:val="0"/>
                              <w:autoSpaceDN w:val="0"/>
                              <w:spacing w:after="0" w:line="240" w:lineRule="auto"/>
                              <w:ind w:left="720"/>
                              <w:rPr>
                                <w:rFonts w:ascii="Times New Roman" w:hAnsi="Times New Roman"/>
                              </w:rPr>
                            </w:pPr>
                            <w:r>
                              <w:rPr>
                                <w:rFonts w:ascii="Times New Roman" w:hAnsi="Times New Roman"/>
                              </w:rPr>
                              <w:t>The error factor should be temporarily large (e.g., ≥ 50%) for substantial changes in hedge methodology (e.g., moving from a fair-value based strategy to a stop-loss strategy) where the company has not been able to provide a meaningful simulation of hedge performance based on the new strategy.</w:t>
                            </w:r>
                          </w:p>
                          <w:p w14:paraId="09F58D8B" w14:textId="77777777" w:rsidR="008A7F4A" w:rsidRDefault="008A7F4A" w:rsidP="008A7F4A">
                            <w:pPr>
                              <w:pStyle w:val="ListParagraph"/>
                              <w:ind w:left="360"/>
                              <w:rPr>
                                <w:rFonts w:ascii="Times New Roman" w:hAnsi="Times New Roman"/>
                              </w:rPr>
                            </w:pPr>
                          </w:p>
                          <w:p w14:paraId="2C43B0A4" w14:textId="77777777" w:rsidR="008A7F4A" w:rsidRDefault="008A7F4A" w:rsidP="00745C9A">
                            <w:pPr>
                              <w:pStyle w:val="ListParagraph"/>
                              <w:widowControl w:val="0"/>
                              <w:numPr>
                                <w:ilvl w:val="0"/>
                                <w:numId w:val="109"/>
                              </w:numPr>
                              <w:autoSpaceDE w:val="0"/>
                              <w:autoSpaceDN w:val="0"/>
                              <w:spacing w:after="0" w:line="240" w:lineRule="auto"/>
                              <w:ind w:left="720"/>
                              <w:rPr>
                                <w:rFonts w:ascii="Times New Roman" w:hAnsi="Times New Roman"/>
                              </w:rPr>
                            </w:pPr>
                            <w:r>
                              <w:rPr>
                                <w:rFonts w:ascii="Times New Roman" w:hAnsi="Times New Roman"/>
                              </w:rPr>
                              <w:t xml:space="preserve">A temporary moderate increase (e.g., 15–30%) in error factor should be used for substantial modifications to hedge programs or modeling where meaningful simulation has not been created (e.g., adding second-order hedging, such as gamma or rate convexity). </w:t>
                            </w:r>
                          </w:p>
                          <w:p w14:paraId="3BDC3E53" w14:textId="77777777" w:rsidR="008A7F4A" w:rsidRDefault="008A7F4A" w:rsidP="008A7F4A">
                            <w:pPr>
                              <w:pStyle w:val="ListParagraph"/>
                              <w:ind w:left="360"/>
                              <w:rPr>
                                <w:rFonts w:ascii="Times New Roman" w:hAnsi="Times New Roman"/>
                              </w:rPr>
                            </w:pPr>
                          </w:p>
                          <w:p w14:paraId="0B4FB937" w14:textId="77777777" w:rsidR="008A7F4A" w:rsidRDefault="008A7F4A" w:rsidP="00745C9A">
                            <w:pPr>
                              <w:pStyle w:val="ListParagraph"/>
                              <w:widowControl w:val="0"/>
                              <w:numPr>
                                <w:ilvl w:val="0"/>
                                <w:numId w:val="109"/>
                              </w:numPr>
                              <w:autoSpaceDE w:val="0"/>
                              <w:autoSpaceDN w:val="0"/>
                              <w:spacing w:after="0" w:line="240" w:lineRule="auto"/>
                              <w:ind w:left="720"/>
                              <w:rPr>
                                <w:rFonts w:ascii="Times New Roman" w:hAnsi="Times New Roman"/>
                              </w:rPr>
                            </w:pPr>
                            <w:r>
                              <w:rPr>
                                <w:rFonts w:ascii="Times New Roman" w:hAnsi="Times New Roman"/>
                              </w:rPr>
                              <w:t>No increase in the error factor may be used for incremental modifications to the hedge strategy (e.g., adding death benefits to a program that previously covered only living benefits, or moving from swaps to Treasury Department futures).</w:t>
                            </w:r>
                          </w:p>
                          <w:p w14:paraId="0C813C44" w14:textId="77777777" w:rsidR="008A7F4A" w:rsidRDefault="008A7F4A" w:rsidP="008A7F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890851F" id="_x0000_t202" coordsize="21600,21600" o:spt="202" path="m,l,21600r21600,l21600,xe">
                <v:stroke joinstyle="miter"/>
                <v:path gradientshapeok="t" o:connecttype="rect"/>
              </v:shapetype>
              <v:shape id="Text Box 3" o:spid="_x0000_s1026" type="#_x0000_t202" style="position:absolute;left:0;text-align:left;margin-left:27.6pt;margin-top:5.1pt;width:468.6pt;height:20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" fillcolor="window" strokeweight=".5pt">
                <v:path arrowok="t"/>
                <v:textbox>
                  <w:txbxContent>
                    <w:p w14:paraId="46FA3841" w14:textId="77777777" w:rsidR="008A7F4A" w:rsidRDefault="008A7F4A" w:rsidP="008A7F4A">
                      <w:pPr>
                        <w:rPr>
                          <w:rFonts w:ascii="Times New Roman" w:hAnsi="Times New Roman"/>
                        </w:rPr>
                      </w:pPr>
                      <w:r>
                        <w:rPr>
                          <w:rFonts w:ascii="Times New Roman" w:hAnsi="Times New Roman"/>
                          <w:b/>
                        </w:rPr>
                        <w:t xml:space="preserve">Guidance Note: </w:t>
                      </w:r>
                      <w:r>
                        <w:rPr>
                          <w:rFonts w:ascii="Times New Roman" w:hAnsi="Times New Roman"/>
                        </w:rPr>
                        <w:t>The following examples are provided as guidance for determining the E factor when there has been a change to the hedge program:</w:t>
                      </w:r>
                    </w:p>
                    <w:p w14:paraId="084CEB8F" w14:textId="77777777" w:rsidR="008A7F4A" w:rsidRDefault="008A7F4A" w:rsidP="00745C9A">
                      <w:pPr>
                        <w:pStyle w:val="ListParagraph"/>
                        <w:widowControl w:val="0"/>
                        <w:numPr>
                          <w:ilvl w:val="0"/>
                          <w:numId w:val="109"/>
                        </w:numPr>
                        <w:autoSpaceDE w:val="0"/>
                        <w:autoSpaceDN w:val="0"/>
                        <w:spacing w:after="0" w:line="240" w:lineRule="auto"/>
                        <w:ind w:left="720"/>
                        <w:rPr>
                          <w:rFonts w:ascii="Times New Roman" w:hAnsi="Times New Roman"/>
                        </w:rPr>
                      </w:pPr>
                      <w:r>
                        <w:rPr>
                          <w:rFonts w:ascii="Times New Roman" w:hAnsi="Times New Roman"/>
                        </w:rPr>
                        <w:t>The error factor should be temporarily large (e.g., ≥ 50%) for substantial changes in hedge methodology (e.g., moving from a fair-value based strategy to a stop-loss strategy) where the company has not been able to provide a meaningful simulation of hedge performance based on the new strategy.</w:t>
                      </w:r>
                    </w:p>
                    <w:p w14:paraId="09F58D8B" w14:textId="77777777" w:rsidR="008A7F4A" w:rsidRDefault="008A7F4A" w:rsidP="008A7F4A">
                      <w:pPr>
                        <w:pStyle w:val="ListParagraph"/>
                        <w:ind w:left="360"/>
                        <w:rPr>
                          <w:rFonts w:ascii="Times New Roman" w:hAnsi="Times New Roman"/>
                        </w:rPr>
                      </w:pPr>
                    </w:p>
                    <w:p w14:paraId="2C43B0A4" w14:textId="77777777" w:rsidR="008A7F4A" w:rsidRDefault="008A7F4A" w:rsidP="00745C9A">
                      <w:pPr>
                        <w:pStyle w:val="ListParagraph"/>
                        <w:widowControl w:val="0"/>
                        <w:numPr>
                          <w:ilvl w:val="0"/>
                          <w:numId w:val="109"/>
                        </w:numPr>
                        <w:autoSpaceDE w:val="0"/>
                        <w:autoSpaceDN w:val="0"/>
                        <w:spacing w:after="0" w:line="240" w:lineRule="auto"/>
                        <w:ind w:left="720"/>
                        <w:rPr>
                          <w:rFonts w:ascii="Times New Roman" w:hAnsi="Times New Roman"/>
                        </w:rPr>
                      </w:pPr>
                      <w:r>
                        <w:rPr>
                          <w:rFonts w:ascii="Times New Roman" w:hAnsi="Times New Roman"/>
                        </w:rPr>
                        <w:t xml:space="preserve">A temporary moderate increase (e.g., 15–30%) in error factor should be used for substantial modifications to hedge programs or modeling where meaningful simulation has not been created (e.g., adding second-order hedging, such as gamma or rate convexity). </w:t>
                      </w:r>
                    </w:p>
                    <w:p w14:paraId="3BDC3E53" w14:textId="77777777" w:rsidR="008A7F4A" w:rsidRDefault="008A7F4A" w:rsidP="008A7F4A">
                      <w:pPr>
                        <w:pStyle w:val="ListParagraph"/>
                        <w:ind w:left="360"/>
                        <w:rPr>
                          <w:rFonts w:ascii="Times New Roman" w:hAnsi="Times New Roman"/>
                        </w:rPr>
                      </w:pPr>
                    </w:p>
                    <w:p w14:paraId="0B4FB937" w14:textId="77777777" w:rsidR="008A7F4A" w:rsidRDefault="008A7F4A" w:rsidP="00745C9A">
                      <w:pPr>
                        <w:pStyle w:val="ListParagraph"/>
                        <w:widowControl w:val="0"/>
                        <w:numPr>
                          <w:ilvl w:val="0"/>
                          <w:numId w:val="109"/>
                        </w:numPr>
                        <w:autoSpaceDE w:val="0"/>
                        <w:autoSpaceDN w:val="0"/>
                        <w:spacing w:after="0" w:line="240" w:lineRule="auto"/>
                        <w:ind w:left="720"/>
                        <w:rPr>
                          <w:rFonts w:ascii="Times New Roman" w:hAnsi="Times New Roman"/>
                        </w:rPr>
                      </w:pPr>
                      <w:r>
                        <w:rPr>
                          <w:rFonts w:ascii="Times New Roman" w:hAnsi="Times New Roman"/>
                        </w:rPr>
                        <w:t>No increase in the error factor may be used for incremental modifications to the hedge strategy (e.g., adding death benefits to a program that previously covered only living benefits, or moving from swaps to Treasury Department futures).</w:t>
                      </w:r>
                    </w:p>
                    <w:p w14:paraId="0C813C44" w14:textId="77777777" w:rsidR="008A7F4A" w:rsidRDefault="008A7F4A" w:rsidP="008A7F4A"/>
                  </w:txbxContent>
                </v:textbox>
              </v:shape>
            </w:pict>
          </mc:Fallback>
        </mc:AlternateContent>
      </w:r>
    </w:p>
    <w:p w14:paraId="0A9EEA53" w14:textId="77777777" w:rsidR="008A7F4A" w:rsidRDefault="008A7F4A" w:rsidP="008A7F4A">
      <w:pPr>
        <w:spacing w:after="220" w:line="240" w:lineRule="auto"/>
        <w:ind w:left="720"/>
        <w:jc w:val="both"/>
        <w:rPr>
          <w:rFonts w:ascii="Times New Roman" w:eastAsia="Times New Roman" w:hAnsi="Times New Roman"/>
        </w:rPr>
      </w:pPr>
    </w:p>
    <w:p w14:paraId="0D901A05" w14:textId="77777777" w:rsidR="008A7F4A" w:rsidRDefault="008A7F4A" w:rsidP="008A7F4A">
      <w:pPr>
        <w:spacing w:after="220" w:line="240" w:lineRule="auto"/>
        <w:ind w:left="720"/>
        <w:jc w:val="both"/>
        <w:rPr>
          <w:rFonts w:ascii="Times New Roman" w:eastAsia="Times New Roman" w:hAnsi="Times New Roman"/>
        </w:rPr>
      </w:pPr>
    </w:p>
    <w:p w14:paraId="6C42D734" w14:textId="77777777" w:rsidR="008A7F4A" w:rsidRDefault="008A7F4A" w:rsidP="008A7F4A">
      <w:pPr>
        <w:spacing w:after="220" w:line="240" w:lineRule="auto"/>
        <w:ind w:left="720"/>
        <w:jc w:val="both"/>
        <w:rPr>
          <w:rFonts w:ascii="Times New Roman" w:eastAsia="Times New Roman" w:hAnsi="Times New Roman"/>
        </w:rPr>
      </w:pPr>
    </w:p>
    <w:p w14:paraId="5B46D83B" w14:textId="77777777" w:rsidR="008A7F4A" w:rsidRDefault="008A7F4A" w:rsidP="008A7F4A">
      <w:pPr>
        <w:spacing w:after="220" w:line="240" w:lineRule="auto"/>
        <w:ind w:left="720"/>
        <w:jc w:val="both"/>
        <w:rPr>
          <w:rFonts w:ascii="Times New Roman" w:eastAsia="Times New Roman" w:hAnsi="Times New Roman"/>
        </w:rPr>
      </w:pPr>
    </w:p>
    <w:p w14:paraId="47E23077" w14:textId="77777777" w:rsidR="008A7F4A" w:rsidRDefault="008A7F4A" w:rsidP="008A7F4A">
      <w:pPr>
        <w:spacing w:after="220" w:line="240" w:lineRule="auto"/>
        <w:ind w:left="720"/>
        <w:jc w:val="both"/>
        <w:rPr>
          <w:rFonts w:ascii="Times New Roman" w:eastAsia="Times New Roman" w:hAnsi="Times New Roman"/>
        </w:rPr>
      </w:pPr>
    </w:p>
    <w:p w14:paraId="4B6A27B0" w14:textId="77777777" w:rsidR="008A7F4A" w:rsidRDefault="008A7F4A" w:rsidP="008A7F4A">
      <w:pPr>
        <w:spacing w:after="220" w:line="240" w:lineRule="auto"/>
        <w:ind w:left="720"/>
        <w:jc w:val="both"/>
        <w:rPr>
          <w:rFonts w:ascii="Times New Roman" w:eastAsia="Times New Roman" w:hAnsi="Times New Roman"/>
        </w:rPr>
      </w:pPr>
    </w:p>
    <w:p w14:paraId="42815857" w14:textId="77777777" w:rsidR="008A7F4A" w:rsidRDefault="008A7F4A" w:rsidP="008A7F4A">
      <w:pPr>
        <w:spacing w:after="220" w:line="240" w:lineRule="auto"/>
        <w:ind w:left="720"/>
        <w:jc w:val="both"/>
        <w:rPr>
          <w:rFonts w:ascii="Times New Roman" w:eastAsia="Times New Roman" w:hAnsi="Times New Roman"/>
        </w:rPr>
      </w:pPr>
    </w:p>
    <w:p w14:paraId="7726CD6E" w14:textId="77777777" w:rsidR="008A7F4A" w:rsidRDefault="008A7F4A" w:rsidP="008A7F4A">
      <w:pPr>
        <w:spacing w:after="220" w:line="240" w:lineRule="auto"/>
        <w:ind w:left="720"/>
        <w:jc w:val="both"/>
        <w:rPr>
          <w:rFonts w:ascii="Times New Roman" w:eastAsia="Times New Roman" w:hAnsi="Times New Roman"/>
        </w:rPr>
      </w:pPr>
    </w:p>
    <w:p w14:paraId="26A3EE46" w14:textId="77777777" w:rsidR="008A7F4A" w:rsidRDefault="008A7F4A" w:rsidP="008A7F4A">
      <w:pPr>
        <w:spacing w:after="0" w:line="240" w:lineRule="auto"/>
        <w:ind w:left="720" w:hanging="720"/>
        <w:jc w:val="both"/>
        <w:rPr>
          <w:rFonts w:ascii="Times New Roman" w:eastAsia="Times New Roman" w:hAnsi="Times New Roman"/>
        </w:rPr>
      </w:pPr>
    </w:p>
    <w:p w14:paraId="79F8A9E6" w14:textId="77777777" w:rsidR="008A7F4A" w:rsidRDefault="008A7F4A" w:rsidP="00745C9A">
      <w:pPr>
        <w:pStyle w:val="Heading2"/>
        <w:numPr>
          <w:ilvl w:val="0"/>
          <w:numId w:val="110"/>
        </w:numPr>
        <w:rPr>
          <w:sz w:val="22"/>
          <w:szCs w:val="22"/>
        </w:rPr>
      </w:pPr>
      <w:bookmarkStart w:id="93" w:name="_Toc77242162"/>
      <w:r>
        <w:rPr>
          <w:sz w:val="22"/>
          <w:szCs w:val="22"/>
        </w:rPr>
        <w:t>Specific Considerations and Requirements</w:t>
      </w:r>
      <w:bookmarkEnd w:id="93"/>
    </w:p>
    <w:p w14:paraId="539ADEC7" w14:textId="77777777" w:rsidR="008A7F4A" w:rsidRDefault="008A7F4A" w:rsidP="008A7F4A">
      <w:pPr>
        <w:spacing w:after="0"/>
      </w:pPr>
    </w:p>
    <w:p w14:paraId="77616CCE"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 xml:space="preserve">As part of the process of choosing a methodology and assumptions for estimating the future effectiveness of the current hedging strategy (including currently held hedge positions) for </w:t>
      </w:r>
      <w:r>
        <w:rPr>
          <w:rFonts w:ascii="Times New Roman" w:eastAsia="Times New Roman" w:hAnsi="Times New Roman"/>
        </w:rPr>
        <w:lastRenderedPageBreak/>
        <w:t>purposes of reducing the stochastic reserve, the company should review actual historical hedging effectiveness. The company shall evaluate the appropriateness of the assumptions on future trading, transaction costs, other elements of the model, the strategy, the mix of business and other items that are likely to result in materially adverse results. This includes an analysis of model assumptions that, when combined with the reliance on the hedging strategy, are likely to result in adverse results relative to those modeled. The parameters and assumptions shall be adjusted (based on testing contingent on the strategy used and other assumptions) to levels that fully reflect the risk based on historical ranges and foreseeable future ranges of the assumptions and parameters. If this is not possible by parameter adjustment, the model shall be modified to reflect them at either anticipated experience or adverse estimates of the parameters.</w:t>
      </w:r>
    </w:p>
    <w:p w14:paraId="6F9805FB" w14:textId="77777777" w:rsidR="008A7F4A" w:rsidRDefault="008A7F4A" w:rsidP="008A7F4A">
      <w:pPr>
        <w:spacing w:after="220" w:line="240" w:lineRule="auto"/>
        <w:ind w:left="1440" w:hanging="720"/>
        <w:jc w:val="both"/>
        <w:rPr>
          <w:rFonts w:ascii="Times New Roman" w:eastAsia="Times New Roman" w:hAnsi="Times New Roman"/>
        </w:rPr>
      </w:pPr>
      <w:commentRangeStart w:id="94"/>
      <w:r>
        <w:rPr>
          <w:rFonts w:ascii="Times New Roman" w:eastAsia="Times New Roman" w:hAnsi="Times New Roman"/>
        </w:rPr>
        <w:t>2.</w:t>
      </w:r>
      <w:commentRangeEnd w:id="94"/>
      <w:r w:rsidR="003F0BF7">
        <w:rPr>
          <w:rStyle w:val="CommentReference"/>
        </w:rPr>
        <w:commentReference w:id="94"/>
      </w:r>
      <w:r>
        <w:rPr>
          <w:rFonts w:ascii="Times New Roman" w:eastAsia="Times New Roman" w:hAnsi="Times New Roman"/>
        </w:rPr>
        <w:tab/>
        <w:t>A discontinuous hedging strategy is a hedging strategy where the relationships between the sensitivities to equity markets and interest rates (commonly referred to as the Greeks) associated with the guaranteed contract holder options embedded in the fixed indexed annuities and other in-scope products and these same sensitivities associated with the hedging assets are subject to material discontinuities. This includes, but is not limited to, a hedging strategy where material hedging assets will be obtained when the fixed indexed annuity account balances reach a predetermined level in relationship to the guarantees. Any hedging strategy, including a delta hedging strategy, can be a discontinuous hedging strategy if implementation of the strategy permits material discontinuities between the sensitivities to equity markets and interest rates associated with the guaranteed contract holder options embedded in the fixed indexed annuities and other in-scope products and these same sensitivities associated with the hedging assets. There may be scenarios that are particularly costly to discontinuous hedging strategies, especially where those result in large discontinuous changes in sensitivities (Greeks) associated with the hedging assets. Where discontinuous hedging strategies contribute materially to a reduction in the stochastic reserve, the company must evaluate the interaction of future trigger definitions and the discontinuous hedging strategy, in addition to the items mentioned in the previous paragraph. This includes an analysis of model assumptions that, when combined with the reliance on the discontinuous hedging strategy, may result in adverse results relative to those modeled.</w:t>
      </w:r>
    </w:p>
    <w:p w14:paraId="362A64CC"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A strategy that has a strong dependence on acquiring hedging assets at specific times that depend on specific values of an index or other market indicators may not be implemented as precisely as planned.</w:t>
      </w:r>
    </w:p>
    <w:p w14:paraId="1369AE45"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The combination of elements of the stochastic cash-flow model—including the initial actual market asset prices, prices for trading at future dates, transaction costs and other assumptions—should be analyzed by the company as to whether the stochastic cash-flow model permits hedging strategies that make money in some scenarios without losing a reasonable amount in some other scenarios. This includes, but is not limited to:</w:t>
      </w:r>
    </w:p>
    <w:p w14:paraId="584F3D78"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Hedging strategies with no initial investment that never lose money in any scenario and in some scenarios make money.</w:t>
      </w:r>
    </w:p>
    <w:p w14:paraId="72F60B78"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Hedging strategies that, with a given amount of initial money, never make less than accumulation at the one-period risk-free rates in any scenario but make more than this in one or more scenarios.</w:t>
      </w:r>
    </w:p>
    <w:p w14:paraId="6422E37E"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t>If the stochastic cash-flow model allows for such situations, the company should be satisfied that the results do not materially rely directly or indirectly on the use of such strategies. If the results do materially rely directly or indirectly on the use of such strategies, the strategies may not be used to reduce the stochastic reserve otherwise calculated.</w:t>
      </w:r>
    </w:p>
    <w:p w14:paraId="297E3E01"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6.</w:t>
      </w:r>
      <w:r>
        <w:rPr>
          <w:rFonts w:ascii="Times New Roman" w:eastAsia="Times New Roman" w:hAnsi="Times New Roman"/>
        </w:rPr>
        <w:tab/>
        <w:t>In addition to the above, the method used to determine prices of financial instruments for trading in scenarios should be compared to actual initial market prices. In addition to comparisons to initial market prices, there should be testing of the pricing models that are used to determine subsequent prices when scenarios involve trading financial instruments. This testing should consider historical relationships. For example, if a method is used where recent volatility in the scenario is one of the determinants of prices for trading in that scenario, then that model should approximate actual historic prices in similar circumstances in history.</w:t>
      </w:r>
    </w:p>
    <w:p w14:paraId="6B1D6F0C" w14:textId="77777777" w:rsidR="008A7F4A" w:rsidRDefault="008A7F4A" w:rsidP="008A7F4A">
      <w:r>
        <w:br w:type="page"/>
      </w:r>
    </w:p>
    <w:p w14:paraId="633A1286" w14:textId="77777777" w:rsidR="008A7F4A" w:rsidRDefault="008A7F4A" w:rsidP="008A7F4A">
      <w:pPr>
        <w:pStyle w:val="Heading1"/>
        <w:spacing w:line="240" w:lineRule="auto"/>
        <w:rPr>
          <w:sz w:val="24"/>
          <w:szCs w:val="24"/>
        </w:rPr>
      </w:pPr>
      <w:bookmarkStart w:id="95" w:name="_Toc77242163"/>
      <w:r>
        <w:rPr>
          <w:sz w:val="24"/>
          <w:szCs w:val="24"/>
        </w:rPr>
        <w:lastRenderedPageBreak/>
        <w:t>Section 10: Guidance and Requirements for Setting Contract Holder Behavior Prudent Estimate Assumptions</w:t>
      </w:r>
      <w:bookmarkEnd w:id="95"/>
    </w:p>
    <w:p w14:paraId="45E57F90"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105B8BD6" w14:textId="77777777" w:rsidR="008A7F4A" w:rsidRDefault="008A7F4A" w:rsidP="008A7F4A">
      <w:pPr>
        <w:pStyle w:val="Heading2"/>
        <w:rPr>
          <w:sz w:val="22"/>
          <w:szCs w:val="22"/>
        </w:rPr>
      </w:pPr>
      <w:bookmarkStart w:id="96" w:name="_Toc77242164"/>
      <w:r>
        <w:rPr>
          <w:sz w:val="22"/>
          <w:szCs w:val="22"/>
        </w:rPr>
        <w:t>A.</w:t>
      </w:r>
      <w:r>
        <w:rPr>
          <w:sz w:val="22"/>
          <w:szCs w:val="22"/>
        </w:rPr>
        <w:tab/>
        <w:t>General</w:t>
      </w:r>
      <w:bookmarkEnd w:id="96"/>
    </w:p>
    <w:p w14:paraId="23104006" w14:textId="77777777" w:rsidR="008A7F4A" w:rsidRDefault="008A7F4A" w:rsidP="008A7F4A">
      <w:pPr>
        <w:spacing w:after="0"/>
      </w:pPr>
    </w:p>
    <w:p w14:paraId="4174F142" w14:textId="77777777" w:rsidR="008A7F4A" w:rsidRDefault="008A7F4A" w:rsidP="008A7F4A">
      <w:pPr>
        <w:spacing w:after="220" w:line="240" w:lineRule="auto"/>
        <w:ind w:left="720"/>
        <w:jc w:val="both"/>
        <w:rPr>
          <w:rFonts w:ascii="Times New Roman" w:eastAsia="Times New Roman" w:hAnsi="Times New Roman"/>
        </w:rPr>
      </w:pPr>
      <w:r>
        <w:rPr>
          <w:rFonts w:ascii="Times New Roman" w:eastAsia="Times New Roman" w:hAnsi="Times New Roman"/>
        </w:rPr>
        <w:t>Contract holder behavior assumptions encompass actions such as lapses, withdrawals, transfers, recurring deposits, benefit utilization, option election, etc. Contract holder behavior is difficult to predict accurately, and variance in behavior assumptions can significantly affect the results. In the absence of relevant and fully credible empirical data, the company should set behavior assumptions as guided by Principle 3 in Section 1.B.</w:t>
      </w:r>
    </w:p>
    <w:p w14:paraId="3E584AF7" w14:textId="77777777" w:rsidR="008A7F4A" w:rsidRDefault="008A7F4A" w:rsidP="008A7F4A">
      <w:pPr>
        <w:spacing w:after="220" w:line="240" w:lineRule="auto"/>
        <w:ind w:left="720"/>
        <w:jc w:val="both"/>
        <w:rPr>
          <w:rFonts w:ascii="Times New Roman" w:eastAsia="Times New Roman" w:hAnsi="Times New Roman"/>
        </w:rPr>
      </w:pPr>
      <w:r>
        <w:rPr>
          <w:rFonts w:ascii="Times New Roman" w:eastAsia="Times New Roman" w:hAnsi="Times New Roman"/>
        </w:rPr>
        <w:t>In setting behavior assumptions, the company should examine, but not be limited by, the following considerations:</w:t>
      </w:r>
    </w:p>
    <w:p w14:paraId="5C40C556" w14:textId="77777777" w:rsidR="008A7F4A" w:rsidRDefault="008A7F4A" w:rsidP="00745C9A">
      <w:pPr>
        <w:pStyle w:val="ListParagraph"/>
        <w:widowControl w:val="0"/>
        <w:numPr>
          <w:ilvl w:val="0"/>
          <w:numId w:val="111"/>
        </w:numPr>
        <w:spacing w:after="220" w:line="240" w:lineRule="auto"/>
        <w:ind w:left="1440" w:hanging="720"/>
        <w:jc w:val="both"/>
        <w:rPr>
          <w:rFonts w:ascii="Times New Roman" w:eastAsia="Times New Roman" w:hAnsi="Times New Roman"/>
        </w:rPr>
      </w:pPr>
      <w:r>
        <w:rPr>
          <w:rFonts w:ascii="Times New Roman" w:eastAsia="Times New Roman" w:hAnsi="Times New Roman"/>
        </w:rPr>
        <w:t>Behavior can vary by product, market, distribution channel, index performance, interest credited (current and guaranteed rates), time/product duration, etc.</w:t>
      </w:r>
    </w:p>
    <w:p w14:paraId="3BDF6BC1" w14:textId="77777777" w:rsidR="008A7F4A" w:rsidRDefault="008A7F4A" w:rsidP="00745C9A">
      <w:pPr>
        <w:pStyle w:val="ListParagraph"/>
        <w:widowControl w:val="0"/>
        <w:numPr>
          <w:ilvl w:val="0"/>
          <w:numId w:val="111"/>
        </w:numPr>
        <w:spacing w:after="220" w:line="240" w:lineRule="auto"/>
        <w:ind w:left="1440" w:hanging="720"/>
        <w:jc w:val="both"/>
        <w:rPr>
          <w:rFonts w:ascii="Times New Roman" w:eastAsia="Times New Roman" w:hAnsi="Times New Roman"/>
        </w:rPr>
      </w:pPr>
      <w:r>
        <w:rPr>
          <w:rFonts w:ascii="Times New Roman" w:eastAsia="Times New Roman" w:hAnsi="Times New Roman"/>
        </w:rPr>
        <w:t>Options embedded in the product may affect behavior.</w:t>
      </w:r>
    </w:p>
    <w:p w14:paraId="05359A17" w14:textId="77777777" w:rsidR="008A7F4A" w:rsidRDefault="008A7F4A" w:rsidP="00745C9A">
      <w:pPr>
        <w:pStyle w:val="ListParagraph"/>
        <w:widowControl w:val="0"/>
        <w:numPr>
          <w:ilvl w:val="0"/>
          <w:numId w:val="111"/>
        </w:numPr>
        <w:spacing w:after="220" w:line="240" w:lineRule="auto"/>
        <w:ind w:left="1440" w:hanging="720"/>
        <w:jc w:val="both"/>
        <w:rPr>
          <w:rFonts w:ascii="Times New Roman" w:eastAsia="Times New Roman" w:hAnsi="Times New Roman"/>
        </w:rPr>
      </w:pPr>
      <w:r>
        <w:rPr>
          <w:rFonts w:ascii="Times New Roman" w:eastAsia="Times New Roman" w:hAnsi="Times New Roman"/>
        </w:rPr>
        <w:t>Utilization of options may be elective or non-elective in nature. Living benefits often are elective, and death benefit options are generally non-elective.</w:t>
      </w:r>
    </w:p>
    <w:p w14:paraId="74652910" w14:textId="77777777" w:rsidR="008A7F4A" w:rsidRDefault="008A7F4A" w:rsidP="00745C9A">
      <w:pPr>
        <w:pStyle w:val="ListParagraph"/>
        <w:widowControl w:val="0"/>
        <w:numPr>
          <w:ilvl w:val="0"/>
          <w:numId w:val="111"/>
        </w:numPr>
        <w:spacing w:after="220" w:line="240" w:lineRule="auto"/>
        <w:ind w:left="1440" w:hanging="720"/>
        <w:jc w:val="both"/>
        <w:rPr>
          <w:rFonts w:ascii="Times New Roman" w:eastAsia="Times New Roman" w:hAnsi="Times New Roman"/>
        </w:rPr>
      </w:pPr>
      <w:r>
        <w:rPr>
          <w:rFonts w:ascii="Times New Roman" w:eastAsia="Times New Roman" w:hAnsi="Times New Roman"/>
        </w:rPr>
        <w:t>Elective contract holder options may be more driven by economic conditions than non-elective options.</w:t>
      </w:r>
    </w:p>
    <w:p w14:paraId="67E53A4E" w14:textId="77777777" w:rsidR="008A7F4A" w:rsidRDefault="008A7F4A" w:rsidP="00745C9A">
      <w:pPr>
        <w:pStyle w:val="ListParagraph"/>
        <w:widowControl w:val="0"/>
        <w:numPr>
          <w:ilvl w:val="0"/>
          <w:numId w:val="111"/>
        </w:numPr>
        <w:spacing w:after="220" w:line="240" w:lineRule="auto"/>
        <w:ind w:left="1440" w:hanging="720"/>
        <w:jc w:val="both"/>
        <w:rPr>
          <w:rFonts w:ascii="Times New Roman" w:eastAsia="Times New Roman" w:hAnsi="Times New Roman"/>
        </w:rPr>
      </w:pPr>
      <w:r>
        <w:rPr>
          <w:rFonts w:ascii="Times New Roman" w:eastAsia="Times New Roman" w:hAnsi="Times New Roman"/>
        </w:rPr>
        <w:t>As the value of a product option increases, there is an increased likelihood that contract holders will behave in a manner that maximizes their financial interest (e.g., lower lapses, higher benefit utilization, etc.).</w:t>
      </w:r>
    </w:p>
    <w:p w14:paraId="5FFAA6F7" w14:textId="77777777" w:rsidR="008A7F4A" w:rsidRDefault="008A7F4A" w:rsidP="00745C9A">
      <w:pPr>
        <w:pStyle w:val="ListParagraph"/>
        <w:widowControl w:val="0"/>
        <w:numPr>
          <w:ilvl w:val="0"/>
          <w:numId w:val="111"/>
        </w:numPr>
        <w:spacing w:after="220" w:line="240" w:lineRule="auto"/>
        <w:ind w:left="1440" w:hanging="720"/>
        <w:jc w:val="both"/>
        <w:rPr>
          <w:rFonts w:ascii="Times New Roman" w:eastAsia="Times New Roman" w:hAnsi="Times New Roman"/>
        </w:rPr>
      </w:pPr>
      <w:r>
        <w:rPr>
          <w:rFonts w:ascii="Times New Roman" w:eastAsia="Times New Roman" w:hAnsi="Times New Roman"/>
        </w:rPr>
        <w:t>Behavior formulas may have both rational and irrational components (irrational behavior is defined as situations where some contract holders may not always act in their best financial interest). The rational component should be dynamic, but the concept of rationality need not be interpreted in strict financial terms and might change over time in response to observed trends in contract holder behavior based on increased or decreased financial efficiency in exercising their contractual options.</w:t>
      </w:r>
    </w:p>
    <w:p w14:paraId="2DE42966" w14:textId="77777777" w:rsidR="008A7F4A" w:rsidRDefault="008A7F4A" w:rsidP="00745C9A">
      <w:pPr>
        <w:pStyle w:val="ListParagraph"/>
        <w:widowControl w:val="0"/>
        <w:numPr>
          <w:ilvl w:val="0"/>
          <w:numId w:val="111"/>
        </w:numPr>
        <w:spacing w:after="220" w:line="240" w:lineRule="auto"/>
        <w:ind w:left="1440" w:hanging="720"/>
        <w:jc w:val="both"/>
        <w:rPr>
          <w:rFonts w:ascii="Times New Roman" w:eastAsia="Times New Roman" w:hAnsi="Times New Roman"/>
        </w:rPr>
      </w:pPr>
      <w:commentRangeStart w:id="97"/>
      <w:r>
        <w:rPr>
          <w:rFonts w:ascii="Times New Roman" w:eastAsia="Times New Roman" w:hAnsi="Times New Roman"/>
        </w:rPr>
        <w:t>Options</w:t>
      </w:r>
      <w:commentRangeEnd w:id="97"/>
      <w:r w:rsidR="00E42815">
        <w:rPr>
          <w:rStyle w:val="CommentReference"/>
        </w:rPr>
        <w:commentReference w:id="97"/>
      </w:r>
      <w:r>
        <w:rPr>
          <w:rFonts w:ascii="Times New Roman" w:eastAsia="Times New Roman" w:hAnsi="Times New Roman"/>
        </w:rPr>
        <w:t xml:space="preserve"> that are ancillary to the primary product features may not be significant drivers of behavior. Whether an option is ancillary to the primary product features depends on many things, such as:</w:t>
      </w:r>
    </w:p>
    <w:p w14:paraId="2514F577"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For what purpose was the product purchased?</w:t>
      </w:r>
    </w:p>
    <w:p w14:paraId="30198DAE"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Is the option elective or non-elective?</w:t>
      </w:r>
    </w:p>
    <w:p w14:paraId="5F5D0F92"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t>Is the value of the option well-known?</w:t>
      </w:r>
    </w:p>
    <w:p w14:paraId="102B3932" w14:textId="77777777" w:rsidR="008A7F4A" w:rsidRDefault="008A7F4A" w:rsidP="00745C9A">
      <w:pPr>
        <w:pStyle w:val="ListParagraph"/>
        <w:widowControl w:val="0"/>
        <w:numPr>
          <w:ilvl w:val="0"/>
          <w:numId w:val="111"/>
        </w:numPr>
        <w:spacing w:after="220" w:line="240" w:lineRule="auto"/>
        <w:ind w:left="1440" w:hanging="720"/>
        <w:jc w:val="both"/>
        <w:rPr>
          <w:rFonts w:ascii="Times New Roman" w:eastAsia="Times New Roman" w:hAnsi="Times New Roman"/>
        </w:rPr>
      </w:pPr>
      <w:r>
        <w:rPr>
          <w:rFonts w:ascii="Times New Roman" w:eastAsia="Times New Roman" w:hAnsi="Times New Roman"/>
        </w:rPr>
        <w:t>External influences may affect behavior.</w:t>
      </w:r>
    </w:p>
    <w:p w14:paraId="653DEEE1" w14:textId="77777777" w:rsidR="008A7F4A" w:rsidRDefault="008A7F4A" w:rsidP="00745C9A">
      <w:pPr>
        <w:pStyle w:val="Heading2"/>
        <w:numPr>
          <w:ilvl w:val="0"/>
          <w:numId w:val="101"/>
        </w:numPr>
        <w:rPr>
          <w:sz w:val="22"/>
          <w:szCs w:val="22"/>
        </w:rPr>
      </w:pPr>
      <w:bookmarkStart w:id="98" w:name="_Toc77242165"/>
      <w:r>
        <w:rPr>
          <w:sz w:val="22"/>
          <w:szCs w:val="22"/>
        </w:rPr>
        <w:t>Aggregate vs. Individual Margins</w:t>
      </w:r>
      <w:bookmarkEnd w:id="98"/>
    </w:p>
    <w:p w14:paraId="14022507" w14:textId="77777777" w:rsidR="008A7F4A" w:rsidRDefault="008A7F4A" w:rsidP="008A7F4A">
      <w:pPr>
        <w:spacing w:after="0"/>
      </w:pPr>
    </w:p>
    <w:p w14:paraId="3153379D"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 xml:space="preserve">Prudent estimate assumptions are developed by applying a margin for uncertainty to the anticipated experience assumption. The issue of whether the level of the margin applied to the anticipated experience assumption is determined in aggregate or independently for </w:t>
      </w:r>
      <w:proofErr w:type="gramStart"/>
      <w:r>
        <w:rPr>
          <w:rFonts w:ascii="Times New Roman" w:eastAsia="Times New Roman" w:hAnsi="Times New Roman"/>
        </w:rPr>
        <w:t>each and every</w:t>
      </w:r>
      <w:proofErr w:type="gramEnd"/>
      <w:r>
        <w:rPr>
          <w:rFonts w:ascii="Times New Roman" w:eastAsia="Times New Roman" w:hAnsi="Times New Roman"/>
        </w:rPr>
        <w:t xml:space="preserve"> behavior assumption is discussed in Principle 3 in Section 1.B.</w:t>
      </w:r>
    </w:p>
    <w:p w14:paraId="6089531B"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 xml:space="preserve">Although this principle discusses the concept of determining the level of margins in aggregate, it notes that the application of this concept shall be guided by evolving practice and expanding knowledge. From a practical standpoint, it may not always be possible to </w:t>
      </w:r>
      <w:r>
        <w:rPr>
          <w:rFonts w:ascii="Times New Roman" w:eastAsia="Times New Roman" w:hAnsi="Times New Roman"/>
        </w:rPr>
        <w:lastRenderedPageBreak/>
        <w:t>completely apply this concept to determine the level of margins in aggregate for all behavior assumptions.</w:t>
      </w:r>
    </w:p>
    <w:p w14:paraId="0F46212E"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Therefore, the company shall determine prudent estimate assumptions independently for each behavior (e.g., mortality, lapses and benefit utilization), using the requirements and guidance in this section and throughout these requirements, unless the company can demonstrate that an appropriate method was used to determine the level of margin in aggregate for two or more behaviors.</w:t>
      </w:r>
    </w:p>
    <w:p w14:paraId="1073AA8B" w14:textId="77777777" w:rsidR="008A7F4A" w:rsidRDefault="008A7F4A" w:rsidP="008A7F4A">
      <w:pPr>
        <w:pStyle w:val="Heading2"/>
        <w:rPr>
          <w:sz w:val="22"/>
          <w:szCs w:val="22"/>
        </w:rPr>
      </w:pPr>
      <w:bookmarkStart w:id="99" w:name="_Toc77242166"/>
      <w:r>
        <w:rPr>
          <w:sz w:val="22"/>
          <w:szCs w:val="22"/>
        </w:rPr>
        <w:t>C.</w:t>
      </w:r>
      <w:r>
        <w:rPr>
          <w:sz w:val="22"/>
          <w:szCs w:val="22"/>
        </w:rPr>
        <w:tab/>
      </w:r>
      <w:commentRangeStart w:id="100"/>
      <w:r>
        <w:rPr>
          <w:sz w:val="22"/>
          <w:szCs w:val="22"/>
        </w:rPr>
        <w:t>Sensitivity Testing</w:t>
      </w:r>
      <w:bookmarkEnd w:id="99"/>
      <w:commentRangeEnd w:id="100"/>
      <w:r w:rsidR="000A2D23">
        <w:rPr>
          <w:rStyle w:val="CommentReference"/>
          <w:rFonts w:asciiTheme="minorHAnsi" w:eastAsiaTheme="minorHAnsi" w:hAnsiTheme="minorHAnsi" w:cstheme="minorBidi"/>
          <w:color w:val="auto"/>
        </w:rPr>
        <w:commentReference w:id="100"/>
      </w:r>
    </w:p>
    <w:p w14:paraId="40625F40" w14:textId="77777777" w:rsidR="008A7F4A" w:rsidRDefault="008A7F4A" w:rsidP="008A7F4A">
      <w:pPr>
        <w:spacing w:after="0"/>
      </w:pPr>
    </w:p>
    <w:p w14:paraId="18ED0267" w14:textId="77777777" w:rsidR="008A7F4A" w:rsidRDefault="008A7F4A" w:rsidP="008A7F4A">
      <w:pPr>
        <w:spacing w:after="0" w:line="240" w:lineRule="auto"/>
        <w:ind w:left="720"/>
        <w:jc w:val="both"/>
        <w:rPr>
          <w:rFonts w:ascii="Times New Roman" w:eastAsia="Times New Roman" w:hAnsi="Times New Roman"/>
        </w:rPr>
      </w:pPr>
      <w:r>
        <w:rPr>
          <w:rFonts w:ascii="Times New Roman" w:eastAsia="Times New Roman" w:hAnsi="Times New Roman"/>
        </w:rPr>
        <w:t xml:space="preserve">The impact of behavior can vary by product, </w:t>
      </w:r>
      <w:proofErr w:type="gramStart"/>
      <w:r>
        <w:rPr>
          <w:rFonts w:ascii="Times New Roman" w:eastAsia="Times New Roman" w:hAnsi="Times New Roman"/>
        </w:rPr>
        <w:t>time period</w:t>
      </w:r>
      <w:proofErr w:type="gramEnd"/>
      <w:r>
        <w:rPr>
          <w:rFonts w:ascii="Times New Roman" w:eastAsia="Times New Roman" w:hAnsi="Times New Roman"/>
        </w:rPr>
        <w:t>, etc. For any assumption that is not prescribed or stochastically modeled,</w:t>
      </w:r>
      <w:r>
        <w:rPr>
          <w:rFonts w:ascii="Times New Roman" w:eastAsia="Times New Roman" w:hAnsi="Times New Roman"/>
          <w:color w:val="FF0000"/>
        </w:rPr>
        <w:t xml:space="preserve"> </w:t>
      </w:r>
      <w:r>
        <w:rPr>
          <w:rFonts w:ascii="Times New Roman" w:eastAsia="Times New Roman" w:hAnsi="Times New Roman"/>
        </w:rPr>
        <w:t>the qualified actuary to whom responsibility for this group of contracts is assigned shall use sensitivity testing to ensure that the assumption is set at the conservative end of the plausible range. The company shall sensitivity test:</w:t>
      </w:r>
    </w:p>
    <w:p w14:paraId="5781EF53" w14:textId="77777777" w:rsidR="008A7F4A" w:rsidRDefault="008A7F4A" w:rsidP="008A7F4A">
      <w:pPr>
        <w:spacing w:after="0" w:line="240" w:lineRule="auto"/>
        <w:ind w:left="720"/>
        <w:jc w:val="both"/>
        <w:rPr>
          <w:rFonts w:ascii="Times New Roman" w:eastAsia="Times New Roman" w:hAnsi="Times New Roman"/>
        </w:rPr>
      </w:pPr>
    </w:p>
    <w:p w14:paraId="2EC72F0D" w14:textId="77777777" w:rsidR="008A7F4A" w:rsidRDefault="008A7F4A" w:rsidP="00745C9A">
      <w:pPr>
        <w:pStyle w:val="ListParagraph"/>
        <w:keepNext/>
        <w:keepLines/>
        <w:numPr>
          <w:ilvl w:val="0"/>
          <w:numId w:val="112"/>
        </w:numPr>
        <w:spacing w:after="220" w:line="240" w:lineRule="auto"/>
        <w:jc w:val="both"/>
        <w:rPr>
          <w:rFonts w:ascii="Times New Roman" w:eastAsia="Times New Roman" w:hAnsi="Times New Roman"/>
        </w:rPr>
      </w:pPr>
      <w:r>
        <w:rPr>
          <w:rFonts w:ascii="Times New Roman" w:eastAsia="Times New Roman" w:hAnsi="Times New Roman"/>
        </w:rPr>
        <w:t>Surrenders.</w:t>
      </w:r>
    </w:p>
    <w:p w14:paraId="2A64CEC8" w14:textId="77777777" w:rsidR="008A7F4A" w:rsidRDefault="008A7F4A" w:rsidP="008A7F4A">
      <w:pPr>
        <w:pStyle w:val="ListParagraph"/>
        <w:keepNext/>
        <w:keepLines/>
        <w:spacing w:after="220" w:line="240" w:lineRule="auto"/>
        <w:ind w:left="1440"/>
        <w:jc w:val="both"/>
        <w:rPr>
          <w:rFonts w:ascii="Times New Roman" w:eastAsia="Times New Roman" w:hAnsi="Times New Roman"/>
        </w:rPr>
      </w:pPr>
    </w:p>
    <w:p w14:paraId="785D85F3" w14:textId="77777777" w:rsidR="008A7F4A" w:rsidRDefault="008A7F4A" w:rsidP="008A7F4A">
      <w:pPr>
        <w:pStyle w:val="ListParagraph"/>
        <w:keepNext/>
        <w:keepLines/>
        <w:tabs>
          <w:tab w:val="left" w:pos="1440"/>
        </w:tabs>
        <w:spacing w:after="220" w:line="240" w:lineRule="auto"/>
        <w:ind w:left="1440"/>
        <w:jc w:val="both"/>
        <w:rPr>
          <w:rFonts w:ascii="Times New Roman" w:eastAsia="Times New Roman" w:hAnsi="Times New Roman"/>
        </w:rPr>
      </w:pPr>
      <w:r>
        <w:rPr>
          <w:rFonts w:ascii="Times New Roman" w:eastAsia="Times New Roman" w:hAnsi="Times New Roman"/>
        </w:rPr>
        <w:t>Partial withdrawals.</w:t>
      </w:r>
    </w:p>
    <w:p w14:paraId="36E8BD6E" w14:textId="77777777" w:rsidR="008A7F4A" w:rsidRDefault="008A7F4A" w:rsidP="00745C9A">
      <w:pPr>
        <w:pStyle w:val="ListParagraph"/>
        <w:keepNext/>
        <w:keepLines/>
        <w:numPr>
          <w:ilvl w:val="0"/>
          <w:numId w:val="112"/>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Benefit utilization.</w:t>
      </w:r>
    </w:p>
    <w:p w14:paraId="19B7EC12" w14:textId="77777777" w:rsidR="008A7F4A" w:rsidRDefault="008A7F4A" w:rsidP="008A7F4A">
      <w:pPr>
        <w:pStyle w:val="ListParagraph"/>
        <w:keepNext/>
        <w:keepLines/>
        <w:tabs>
          <w:tab w:val="left" w:pos="1440"/>
        </w:tabs>
        <w:spacing w:after="220" w:line="240" w:lineRule="auto"/>
        <w:ind w:left="1440"/>
        <w:jc w:val="both"/>
        <w:rPr>
          <w:rFonts w:ascii="Times New Roman" w:eastAsia="Times New Roman" w:hAnsi="Times New Roman"/>
        </w:rPr>
      </w:pPr>
    </w:p>
    <w:p w14:paraId="3FE8307A" w14:textId="77777777" w:rsidR="008A7F4A" w:rsidRDefault="008A7F4A" w:rsidP="00745C9A">
      <w:pPr>
        <w:pStyle w:val="ListParagraph"/>
        <w:keepNext/>
        <w:keepLines/>
        <w:numPr>
          <w:ilvl w:val="0"/>
          <w:numId w:val="112"/>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Other behavior assumptions if relevant to the risks in the product.</w:t>
      </w:r>
    </w:p>
    <w:p w14:paraId="49988C2A" w14:textId="77777777" w:rsidR="008A7F4A" w:rsidRDefault="008A7F4A" w:rsidP="008A7F4A">
      <w:pPr>
        <w:spacing w:after="220" w:line="240" w:lineRule="auto"/>
        <w:ind w:left="720"/>
        <w:jc w:val="both"/>
        <w:rPr>
          <w:rFonts w:ascii="Times New Roman" w:eastAsia="Times New Roman" w:hAnsi="Times New Roman"/>
        </w:rPr>
      </w:pPr>
      <w:r>
        <w:rPr>
          <w:rFonts w:ascii="Times New Roman" w:eastAsia="Times New Roman" w:hAnsi="Times New Roman"/>
        </w:rPr>
        <w:t>Sensitivity testing of assumptions is required and shall be more complex than, for example, base lapse assumption plus or minus X% across all contracts. A more appropriate sensitivity test in this example might be to devise parameters in a dynamic lapse formula to reflect more out-of-the-money contracts lapsing and/or more holders of in-the-money contracts persisting and eventually using the guarantee. The company should apply more caution in setting assumptions for behaviors where testing suggests that stochastic modeling results are sensitive to small changes in such assumptions. For such sensitive behaviors, the company shall use higher margins when the underlying experience is less than fully relevant and credible.</w:t>
      </w:r>
    </w:p>
    <w:p w14:paraId="7C460AE9" w14:textId="77777777" w:rsidR="008A7F4A" w:rsidRDefault="008A7F4A" w:rsidP="008A7F4A">
      <w:pPr>
        <w:pStyle w:val="ListParagraph"/>
        <w:spacing w:after="160" w:line="256" w:lineRule="auto"/>
        <w:rPr>
          <w:rFonts w:ascii="Times New Roman" w:eastAsia="Times New Roman" w:hAnsi="Times New Roman"/>
        </w:rPr>
      </w:pPr>
      <w:r>
        <w:rPr>
          <w:rFonts w:ascii="Times New Roman" w:eastAsia="Times New Roman" w:hAnsi="Times New Roman"/>
        </w:rPr>
        <w:t xml:space="preserve">The company shall examine the results of sensitivity testing to understand the materiality of prudent estimate assumptions on the </w:t>
      </w:r>
      <w:r>
        <w:rPr>
          <w:rFonts w:ascii="Times New Roman" w:eastAsia="Times New Roman" w:hAnsi="Times New Roman"/>
          <w:color w:val="000000"/>
        </w:rPr>
        <w:t>modeled</w:t>
      </w:r>
      <w:r>
        <w:rPr>
          <w:rFonts w:ascii="Times New Roman" w:eastAsia="Times New Roman" w:hAnsi="Times New Roman"/>
        </w:rPr>
        <w:t xml:space="preserve"> reserve. The company shall update the sensitivity tests periodically as appropriate, considering the materiality of the results of the tests. The company may update the tests less frequently when the tests show less sensitivity of the </w:t>
      </w:r>
      <w:r>
        <w:rPr>
          <w:rFonts w:ascii="Times New Roman" w:eastAsia="Times New Roman" w:hAnsi="Times New Roman"/>
          <w:color w:val="000000"/>
        </w:rPr>
        <w:t>modeled</w:t>
      </w:r>
      <w:r>
        <w:rPr>
          <w:rFonts w:ascii="Times New Roman" w:eastAsia="Times New Roman" w:hAnsi="Times New Roman"/>
        </w:rPr>
        <w:t xml:space="preserve"> reserve to changes in the assumptions being tested or the experience is not changing rapidly. Providing there is no material impact on the results of the sensitivity testing, the company may perform sensitivity testing:</w:t>
      </w:r>
    </w:p>
    <w:p w14:paraId="261D7CD0" w14:textId="77777777" w:rsidR="008A7F4A" w:rsidRDefault="008A7F4A" w:rsidP="008A7F4A">
      <w:pPr>
        <w:pStyle w:val="ListParagraph"/>
        <w:spacing w:after="160" w:line="256" w:lineRule="auto"/>
        <w:rPr>
          <w:rFonts w:ascii="Times New Roman" w:hAnsi="Times New Roman"/>
          <w:color w:val="FF0000"/>
        </w:rPr>
      </w:pPr>
    </w:p>
    <w:p w14:paraId="544A0E41" w14:textId="77777777" w:rsidR="008A7F4A" w:rsidRDefault="008A7F4A" w:rsidP="00745C9A">
      <w:pPr>
        <w:pStyle w:val="ListParagraph"/>
        <w:numPr>
          <w:ilvl w:val="3"/>
          <w:numId w:val="113"/>
        </w:numPr>
        <w:spacing w:after="160" w:line="256" w:lineRule="auto"/>
        <w:ind w:left="1440" w:hanging="720"/>
        <w:rPr>
          <w:rFonts w:ascii="Times New Roman" w:hAnsi="Times New Roman"/>
        </w:rPr>
      </w:pPr>
      <w:r>
        <w:rPr>
          <w:rFonts w:ascii="Times New Roman" w:hAnsi="Times New Roman"/>
        </w:rPr>
        <w:t xml:space="preserve">Using samples of the </w:t>
      </w:r>
      <w:r>
        <w:rPr>
          <w:rFonts w:ascii="Times New Roman" w:hAnsi="Times New Roman" w:cs="Times New Roman"/>
        </w:rPr>
        <w:t>contracts</w:t>
      </w:r>
      <w:r>
        <w:rPr>
          <w:rFonts w:ascii="Times New Roman" w:hAnsi="Times New Roman"/>
        </w:rPr>
        <w:t xml:space="preserve"> in force rather than performing the entire valuation for each alternative assumption set.</w:t>
      </w:r>
    </w:p>
    <w:p w14:paraId="3811B386" w14:textId="77777777" w:rsidR="008A7F4A" w:rsidRDefault="008A7F4A" w:rsidP="008A7F4A">
      <w:pPr>
        <w:pStyle w:val="ListParagraph"/>
        <w:spacing w:after="160" w:line="256" w:lineRule="auto"/>
        <w:ind w:left="1440"/>
        <w:rPr>
          <w:rFonts w:ascii="Times New Roman" w:hAnsi="Times New Roman"/>
        </w:rPr>
      </w:pPr>
    </w:p>
    <w:p w14:paraId="1A20E257" w14:textId="77777777" w:rsidR="008A7F4A" w:rsidRDefault="008A7F4A" w:rsidP="00745C9A">
      <w:pPr>
        <w:pStyle w:val="ListParagraph"/>
        <w:numPr>
          <w:ilvl w:val="3"/>
          <w:numId w:val="113"/>
        </w:numPr>
        <w:spacing w:after="160" w:line="256" w:lineRule="auto"/>
        <w:ind w:left="1440" w:hanging="720"/>
        <w:rPr>
          <w:rFonts w:ascii="Times New Roman" w:hAnsi="Times New Roman"/>
        </w:rPr>
      </w:pPr>
      <w:r>
        <w:rPr>
          <w:rFonts w:ascii="Times New Roman" w:hAnsi="Times New Roman"/>
        </w:rPr>
        <w:t>Using data from prior periods.</w:t>
      </w:r>
    </w:p>
    <w:p w14:paraId="7A97E218" w14:textId="77777777" w:rsidR="008A7F4A" w:rsidRDefault="008A7F4A" w:rsidP="008A7F4A">
      <w:pPr>
        <w:pStyle w:val="ListParagraph"/>
        <w:spacing w:after="0" w:line="256" w:lineRule="auto"/>
        <w:ind w:left="1530"/>
        <w:rPr>
          <w:rFonts w:ascii="Times New Roman" w:hAnsi="Times New Roman"/>
        </w:rPr>
      </w:pPr>
    </w:p>
    <w:p w14:paraId="2FC99F4B" w14:textId="77777777" w:rsidR="008A7F4A" w:rsidRDefault="008A7F4A" w:rsidP="00745C9A">
      <w:pPr>
        <w:pStyle w:val="Heading2"/>
        <w:numPr>
          <w:ilvl w:val="0"/>
          <w:numId w:val="114"/>
        </w:numPr>
        <w:spacing w:before="0"/>
        <w:rPr>
          <w:sz w:val="22"/>
          <w:szCs w:val="22"/>
        </w:rPr>
      </w:pPr>
      <w:bookmarkStart w:id="101" w:name="_Toc77242167"/>
      <w:r>
        <w:rPr>
          <w:sz w:val="22"/>
          <w:szCs w:val="22"/>
        </w:rPr>
        <w:t>Specific Considerations and Requirements</w:t>
      </w:r>
      <w:bookmarkEnd w:id="101"/>
    </w:p>
    <w:p w14:paraId="64F0BB5D" w14:textId="77777777" w:rsidR="008A7F4A" w:rsidRDefault="008A7F4A" w:rsidP="008A7F4A">
      <w:pPr>
        <w:pStyle w:val="ListParagraph"/>
        <w:spacing w:after="0"/>
        <w:ind w:left="360"/>
      </w:pPr>
    </w:p>
    <w:p w14:paraId="0250C4B1"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Within materiality considerations, the company should consider all relevant forms of contract holder behavior and persistency, including, but not limited to, the following:</w:t>
      </w:r>
    </w:p>
    <w:p w14:paraId="6F966EF9" w14:textId="77777777" w:rsidR="008A7F4A" w:rsidRDefault="008A7F4A" w:rsidP="00745C9A">
      <w:pPr>
        <w:pStyle w:val="ListParagraph"/>
        <w:widowControl w:val="0"/>
        <w:numPr>
          <w:ilvl w:val="1"/>
          <w:numId w:val="115"/>
        </w:numPr>
        <w:spacing w:after="220" w:line="240" w:lineRule="auto"/>
        <w:ind w:left="2160" w:hanging="720"/>
        <w:jc w:val="both"/>
        <w:rPr>
          <w:rFonts w:ascii="Times New Roman" w:eastAsia="Times New Roman" w:hAnsi="Times New Roman"/>
        </w:rPr>
      </w:pPr>
      <w:r>
        <w:rPr>
          <w:rFonts w:ascii="Times New Roman" w:eastAsia="Times New Roman" w:hAnsi="Times New Roman"/>
        </w:rPr>
        <w:t>Mortality (additional guidance and requirements regarding mortality is contained in Section 11).</w:t>
      </w:r>
    </w:p>
    <w:p w14:paraId="792C3AE5" w14:textId="77777777" w:rsidR="008A7F4A" w:rsidRDefault="008A7F4A" w:rsidP="00745C9A">
      <w:pPr>
        <w:pStyle w:val="ListParagraph"/>
        <w:widowControl w:val="0"/>
        <w:numPr>
          <w:ilvl w:val="0"/>
          <w:numId w:val="116"/>
        </w:numPr>
        <w:tabs>
          <w:tab w:val="left" w:pos="1530"/>
        </w:tabs>
        <w:spacing w:after="220" w:line="240" w:lineRule="auto"/>
        <w:ind w:left="2160" w:hanging="720"/>
        <w:jc w:val="both"/>
        <w:rPr>
          <w:rFonts w:ascii="Times New Roman" w:eastAsia="Times New Roman" w:hAnsi="Times New Roman"/>
        </w:rPr>
      </w:pPr>
      <w:r>
        <w:rPr>
          <w:rFonts w:ascii="Times New Roman" w:eastAsia="Times New Roman" w:hAnsi="Times New Roman"/>
        </w:rPr>
        <w:t>Surrenders.</w:t>
      </w:r>
    </w:p>
    <w:p w14:paraId="30DC5E73" w14:textId="77777777" w:rsidR="008A7F4A" w:rsidRDefault="008A7F4A" w:rsidP="00745C9A">
      <w:pPr>
        <w:pStyle w:val="ListParagraph"/>
        <w:widowControl w:val="0"/>
        <w:numPr>
          <w:ilvl w:val="0"/>
          <w:numId w:val="116"/>
        </w:numPr>
        <w:spacing w:after="220" w:line="240" w:lineRule="auto"/>
        <w:ind w:left="2160" w:hanging="720"/>
        <w:jc w:val="both"/>
        <w:rPr>
          <w:rFonts w:ascii="Times New Roman" w:eastAsia="Times New Roman" w:hAnsi="Times New Roman"/>
        </w:rPr>
      </w:pPr>
      <w:r>
        <w:rPr>
          <w:rFonts w:ascii="Times New Roman" w:eastAsia="Times New Roman" w:hAnsi="Times New Roman"/>
        </w:rPr>
        <w:t>Partial withdrawals (systematic and elective).</w:t>
      </w:r>
    </w:p>
    <w:p w14:paraId="112033FA" w14:textId="77777777" w:rsidR="008A7F4A" w:rsidRDefault="008A7F4A" w:rsidP="00745C9A">
      <w:pPr>
        <w:pStyle w:val="ListParagraph"/>
        <w:widowControl w:val="0"/>
        <w:numPr>
          <w:ilvl w:val="0"/>
          <w:numId w:val="116"/>
        </w:numPr>
        <w:spacing w:after="220" w:line="240" w:lineRule="auto"/>
        <w:ind w:left="2160" w:hanging="720"/>
        <w:jc w:val="both"/>
        <w:rPr>
          <w:rFonts w:ascii="Times New Roman" w:eastAsia="Times New Roman" w:hAnsi="Times New Roman"/>
        </w:rPr>
      </w:pPr>
      <w:r>
        <w:rPr>
          <w:rFonts w:ascii="Times New Roman" w:eastAsia="Times New Roman" w:hAnsi="Times New Roman"/>
        </w:rPr>
        <w:t>Account transfers (switching/exchanges).</w:t>
      </w:r>
    </w:p>
    <w:p w14:paraId="1B76BB44" w14:textId="77777777" w:rsidR="008A7F4A" w:rsidRDefault="008A7F4A" w:rsidP="00745C9A">
      <w:pPr>
        <w:pStyle w:val="ListParagraph"/>
        <w:widowControl w:val="0"/>
        <w:numPr>
          <w:ilvl w:val="0"/>
          <w:numId w:val="116"/>
        </w:numPr>
        <w:spacing w:after="220" w:line="240" w:lineRule="auto"/>
        <w:ind w:left="2160" w:hanging="720"/>
        <w:jc w:val="both"/>
        <w:rPr>
          <w:rFonts w:ascii="Times New Roman" w:eastAsia="Times New Roman" w:hAnsi="Times New Roman"/>
        </w:rPr>
      </w:pPr>
      <w:r>
        <w:rPr>
          <w:rFonts w:ascii="Times New Roman" w:eastAsia="Times New Roman" w:hAnsi="Times New Roman"/>
        </w:rPr>
        <w:t>Resets/ratchets of the guaranteed amounts (automatic and elective).</w:t>
      </w:r>
    </w:p>
    <w:p w14:paraId="34FAD115" w14:textId="77777777" w:rsidR="008A7F4A" w:rsidRDefault="008A7F4A" w:rsidP="008A7F4A">
      <w:pPr>
        <w:pStyle w:val="ListParagraph"/>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t>Future deposits.</w:t>
      </w:r>
    </w:p>
    <w:p w14:paraId="1533E102" w14:textId="77777777" w:rsidR="008A7F4A" w:rsidRDefault="008A7F4A" w:rsidP="008A7F4A">
      <w:pPr>
        <w:pStyle w:val="ListParagraph"/>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g. </w:t>
      </w:r>
      <w:r>
        <w:rPr>
          <w:rFonts w:ascii="Times New Roman" w:eastAsia="Times New Roman" w:hAnsi="Times New Roman"/>
        </w:rPr>
        <w:tab/>
        <w:t>Income start date</w:t>
      </w:r>
    </w:p>
    <w:p w14:paraId="024BBD0E" w14:textId="77777777" w:rsidR="008A7F4A" w:rsidRDefault="008A7F4A" w:rsidP="008A7F4A">
      <w:pPr>
        <w:pStyle w:val="ListParagraph"/>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h. </w:t>
      </w:r>
      <w:r>
        <w:rPr>
          <w:rFonts w:ascii="Times New Roman" w:eastAsia="Times New Roman" w:hAnsi="Times New Roman"/>
        </w:rPr>
        <w:tab/>
        <w:t>Commutation of benefit (from periodic payment to lump sum)</w:t>
      </w:r>
    </w:p>
    <w:p w14:paraId="2EA085D3"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 xml:space="preserve">It may be acceptable to ignore certain items that might otherwise be explicitly modeled in an ideal world, particularly if the inclusion of such items reduces the calculated provisions. </w:t>
      </w:r>
    </w:p>
    <w:p w14:paraId="5F3AAAEC" w14:textId="77777777" w:rsidR="008A7F4A" w:rsidRDefault="008A7F4A" w:rsidP="008A7F4A">
      <w:pPr>
        <w:spacing w:after="220" w:line="240" w:lineRule="auto"/>
        <w:ind w:left="1440"/>
        <w:jc w:val="both"/>
        <w:rPr>
          <w:rFonts w:ascii="Times New Roman" w:eastAsia="Times New Roman" w:hAnsi="Times New Roman"/>
        </w:rPr>
      </w:pPr>
      <w:r>
        <w:rPr>
          <w:rFonts w:ascii="Times New Roman" w:eastAsia="Times New Roman" w:hAnsi="Times New Roman"/>
        </w:rPr>
        <w:t>For example:</w:t>
      </w:r>
    </w:p>
    <w:p w14:paraId="68BC0436" w14:textId="77777777" w:rsidR="008A7F4A" w:rsidRDefault="008A7F4A" w:rsidP="008A7F4A">
      <w:pPr>
        <w:tabs>
          <w:tab w:val="left" w:pos="2880"/>
        </w:tabs>
        <w:spacing w:after="220" w:line="240" w:lineRule="auto"/>
        <w:ind w:left="288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 xml:space="preserve">The impact of account transfers (intra-contract index “switching”) might be ignored, unless required under the terms of the contract (e.g., automatic asset re-allocation/rebalancing, ) or if the contract provisions incentivize the contract holders to transfer between accounts. </w:t>
      </w:r>
    </w:p>
    <w:p w14:paraId="0FFA7BB7" w14:textId="77777777" w:rsidR="008A7F4A" w:rsidRDefault="008A7F4A" w:rsidP="008A7F4A">
      <w:pPr>
        <w:spacing w:after="220" w:line="240" w:lineRule="auto"/>
        <w:ind w:left="288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 xml:space="preserve">Future deposits might be excluded from the model, unless required by the terms of the contracts under consideration and then only in such cases where future premiums can reasonably be anticipated (e.g., with respect to timing and amount). </w:t>
      </w:r>
    </w:p>
    <w:p w14:paraId="1768C4C5" w14:textId="77777777" w:rsidR="008A7F4A" w:rsidRDefault="008A7F4A" w:rsidP="008A7F4A">
      <w:pPr>
        <w:spacing w:after="0" w:line="240" w:lineRule="auto"/>
        <w:ind w:left="2880" w:hanging="720"/>
        <w:jc w:val="both"/>
        <w:rPr>
          <w:rFonts w:ascii="Times New Roman" w:eastAsia="Times New Roman" w:hAnsi="Times New Roman"/>
        </w:rPr>
      </w:pPr>
      <w:r>
        <w:rPr>
          <w:rFonts w:ascii="Times New Roman" w:eastAsia="Times New Roman" w:hAnsi="Times New Roman"/>
        </w:rPr>
        <w:t xml:space="preserve">c. </w:t>
      </w:r>
      <w:r>
        <w:rPr>
          <w:rFonts w:ascii="Times New Roman" w:eastAsia="Times New Roman" w:hAnsi="Times New Roman"/>
        </w:rPr>
        <w:tab/>
        <w:t xml:space="preserve">For some non-elective benefits (nursing home benefits for example), a </w:t>
      </w:r>
      <w:proofErr w:type="gramStart"/>
      <w:r>
        <w:rPr>
          <w:rFonts w:ascii="Times New Roman" w:eastAsia="Times New Roman" w:hAnsi="Times New Roman"/>
        </w:rPr>
        <w:t>zero incidence</w:t>
      </w:r>
      <w:proofErr w:type="gramEnd"/>
      <w:r>
        <w:rPr>
          <w:rFonts w:ascii="Times New Roman" w:eastAsia="Times New Roman" w:hAnsi="Times New Roman"/>
        </w:rPr>
        <w:t xml:space="preserve"> rate after the surrender charge has ended, or the cash value has depleted, may be acceptable since use of a non-zero rate could reduce the modeled reserve.</w:t>
      </w:r>
    </w:p>
    <w:p w14:paraId="29517044" w14:textId="77777777" w:rsidR="008A7F4A" w:rsidRDefault="008A7F4A" w:rsidP="008A7F4A">
      <w:pPr>
        <w:spacing w:after="0" w:line="240" w:lineRule="auto"/>
        <w:jc w:val="both"/>
        <w:rPr>
          <w:rFonts w:ascii="Times New Roman" w:eastAsia="Times New Roman" w:hAnsi="Times New Roman"/>
        </w:rPr>
      </w:pPr>
    </w:p>
    <w:p w14:paraId="344CAB1C"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However, the company should exercise caution in assuming that current behavior will be indefinitely maintained. For example, it might be appropriate to test the impact of a shifting asset mix and/or consider future deposits to the extent they can reasonably be anticipated and increase the calculated amounts.</w:t>
      </w:r>
    </w:p>
    <w:p w14:paraId="7C4D12CE"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Normally, the underlying model assumptions would differ according to the attributes of the contract being valued. This would typically mean that contract holder behavior and persistency may be expected to vary according to such characteristics as (this is not an exhaustive list):</w:t>
      </w:r>
    </w:p>
    <w:p w14:paraId="33D76D89" w14:textId="77777777" w:rsidR="008A7F4A" w:rsidRDefault="008A7F4A" w:rsidP="00745C9A">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rPr>
        <w:t>Gender.</w:t>
      </w:r>
    </w:p>
    <w:p w14:paraId="6A91EE9E" w14:textId="77777777" w:rsidR="008A7F4A" w:rsidRDefault="008A7F4A" w:rsidP="00745C9A">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rPr>
        <w:t>Attained age.</w:t>
      </w:r>
    </w:p>
    <w:p w14:paraId="7B7C1908" w14:textId="77777777" w:rsidR="008A7F4A" w:rsidRDefault="008A7F4A" w:rsidP="00745C9A">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rPr>
        <w:t>Issue age.</w:t>
      </w:r>
    </w:p>
    <w:p w14:paraId="62D94EDA" w14:textId="77777777" w:rsidR="008A7F4A" w:rsidRDefault="008A7F4A" w:rsidP="00745C9A">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rPr>
        <w:t>Contract duration.</w:t>
      </w:r>
    </w:p>
    <w:p w14:paraId="45B2E047" w14:textId="77777777" w:rsidR="008A7F4A" w:rsidRDefault="008A7F4A" w:rsidP="00745C9A">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rPr>
        <w:t>Time to maturity.</w:t>
      </w:r>
    </w:p>
    <w:p w14:paraId="7A52F0E3" w14:textId="77777777" w:rsidR="008A7F4A" w:rsidRDefault="008A7F4A" w:rsidP="00745C9A">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rPr>
        <w:t>Tax status.</w:t>
      </w:r>
    </w:p>
    <w:p w14:paraId="5AF02049" w14:textId="77777777" w:rsidR="008A7F4A" w:rsidRDefault="008A7F4A" w:rsidP="00745C9A">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rPr>
        <w:t>Account value.</w:t>
      </w:r>
    </w:p>
    <w:p w14:paraId="4913790B" w14:textId="77777777" w:rsidR="008A7F4A" w:rsidRDefault="008A7F4A" w:rsidP="00745C9A">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 Interest credited (current and guaranteed).</w:t>
      </w:r>
    </w:p>
    <w:p w14:paraId="0B1783C0" w14:textId="77777777" w:rsidR="008A7F4A" w:rsidRDefault="008A7F4A" w:rsidP="00745C9A">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rPr>
        <w:t>Available indices.</w:t>
      </w:r>
    </w:p>
    <w:p w14:paraId="20260DAE" w14:textId="77777777" w:rsidR="008A7F4A" w:rsidRDefault="008A7F4A" w:rsidP="00745C9A">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rPr>
        <w:t>Guaranteed benefit amounts.</w:t>
      </w:r>
    </w:p>
    <w:p w14:paraId="6EE79723" w14:textId="77777777" w:rsidR="008A7F4A" w:rsidRDefault="008A7F4A" w:rsidP="00745C9A">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rPr>
        <w:t>Surrender charges, transfer fees or other contract charges.</w:t>
      </w:r>
    </w:p>
    <w:p w14:paraId="459E0C21" w14:textId="77777777" w:rsidR="008A7F4A" w:rsidRDefault="008A7F4A" w:rsidP="00745C9A">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rPr>
        <w:t>Distribution channel.</w:t>
      </w:r>
    </w:p>
    <w:p w14:paraId="5B4435EA" w14:textId="77777777" w:rsidR="008A7F4A" w:rsidRDefault="008A7F4A" w:rsidP="008A7F4A">
      <w:pPr>
        <w:pStyle w:val="ListParagraph"/>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t xml:space="preserve">Unless there is clear evidence to the contrary, behavior assumptions should be no less conservative than </w:t>
      </w:r>
      <w:proofErr w:type="gramStart"/>
      <w:r>
        <w:rPr>
          <w:rFonts w:ascii="Times New Roman" w:eastAsia="Times New Roman" w:hAnsi="Times New Roman"/>
        </w:rPr>
        <w:t>past experience</w:t>
      </w:r>
      <w:proofErr w:type="gramEnd"/>
      <w:r>
        <w:rPr>
          <w:rFonts w:ascii="Times New Roman" w:eastAsia="Times New Roman" w:hAnsi="Times New Roman"/>
        </w:rPr>
        <w:t>. Margins for contract holder behavior assumptions shall assume, without relevant and credible experience or clear evidence to the contrary, that contract holders’ efficiency will increase over time.</w:t>
      </w:r>
    </w:p>
    <w:p w14:paraId="62D5295F"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t xml:space="preserve">In determining contract holder behavior assumptions, the company shall use actual experience data directly applicable to the business segment (i.e., direct data) if it is available. In the absence of direct data, the company should then look to use data from a segment that is </w:t>
      </w:r>
      <w:proofErr w:type="gramStart"/>
      <w:r>
        <w:rPr>
          <w:rFonts w:ascii="Times New Roman" w:eastAsia="Times New Roman" w:hAnsi="Times New Roman"/>
        </w:rPr>
        <w:t>similar to</w:t>
      </w:r>
      <w:proofErr w:type="gramEnd"/>
      <w:r>
        <w:rPr>
          <w:rFonts w:ascii="Times New Roman" w:eastAsia="Times New Roman" w:hAnsi="Times New Roman"/>
        </w:rPr>
        <w:t xml:space="preserve"> the business segment (i.e., other than direct experience), whether or not the segment is directly written by the company. If data from a similar business segment are used, the assumption shall be adjusted to reflect differences between the two segments. Margins shall reflect the data uncertainty associated with using data from a similar but not identical business segment. </w:t>
      </w:r>
    </w:p>
    <w:p w14:paraId="26A119C6"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t>Where relevant and fully credible empirical data do not exist for a given contract holder behavior assumption, the company shall set the contract holder behavior assumption to reflect the increased uncertainty such that the contract holder behavior assumption is shifted towards the conservative end of the plausible range of expected experience that serves to increase the stochastic reserve. If there are no relevant data, the company shall set the contract holder behavior assumption to reflect the increased uncertainty such that the contract holder behavior assumption is at the conservative end of the range. Such adjustments shall be consistent with the definition of prudent estimate, with the principles described in Section 1.B, and with the guidance and requirements in this section.</w:t>
      </w:r>
    </w:p>
    <w:p w14:paraId="0D6688DD" w14:textId="55BAB3FF" w:rsidR="008A7F4A" w:rsidRDefault="008A7F4A" w:rsidP="008A7F4A">
      <w:pPr>
        <w:spacing w:after="220" w:line="240" w:lineRule="auto"/>
        <w:ind w:left="1440" w:hanging="720"/>
        <w:jc w:val="both"/>
        <w:rPr>
          <w:rFonts w:ascii="Times New Roman" w:eastAsia="Times New Roman" w:hAnsi="Times New Roman"/>
        </w:rPr>
      </w:pPr>
      <w:commentRangeStart w:id="102"/>
      <w:r>
        <w:rPr>
          <w:rFonts w:ascii="Times New Roman" w:eastAsia="Times New Roman" w:hAnsi="Times New Roman"/>
        </w:rPr>
        <w:t>8.</w:t>
      </w:r>
      <w:commentRangeEnd w:id="102"/>
      <w:r w:rsidR="00A8679E">
        <w:rPr>
          <w:rStyle w:val="CommentReference"/>
        </w:rPr>
        <w:commentReference w:id="102"/>
      </w:r>
      <w:r>
        <w:rPr>
          <w:rFonts w:ascii="Times New Roman" w:eastAsia="Times New Roman" w:hAnsi="Times New Roman"/>
        </w:rPr>
        <w:tab/>
        <w:t>Ideally, contract holder behavior would be modeled dynamically according to the simulated economic environment and/or other conditions. It is important to note, however, that contract holder behavior should neither assume that all contract holders act with 100% efficiency in a financially rational manner nor assume that contract holders will always act irrationally. These extreme assumptions may be used for modeling efficiency if the result is more conservative.</w:t>
      </w:r>
    </w:p>
    <w:p w14:paraId="319D4826" w14:textId="77777777" w:rsidR="008A7F4A" w:rsidRDefault="008A7F4A" w:rsidP="008A7F4A">
      <w:pPr>
        <w:pStyle w:val="Heading2"/>
        <w:ind w:left="360" w:hanging="360"/>
        <w:rPr>
          <w:sz w:val="22"/>
          <w:szCs w:val="22"/>
        </w:rPr>
      </w:pPr>
      <w:bookmarkStart w:id="103" w:name="_Toc77242168"/>
      <w:r>
        <w:rPr>
          <w:sz w:val="22"/>
          <w:szCs w:val="22"/>
        </w:rPr>
        <w:t>E.</w:t>
      </w:r>
      <w:r>
        <w:rPr>
          <w:sz w:val="22"/>
          <w:szCs w:val="22"/>
        </w:rPr>
        <w:tab/>
        <w:t>Dynamic Assumptions</w:t>
      </w:r>
      <w:bookmarkEnd w:id="103"/>
    </w:p>
    <w:p w14:paraId="79E5A6AE" w14:textId="77777777" w:rsidR="008A7F4A" w:rsidRDefault="008A7F4A" w:rsidP="008A7F4A">
      <w:pPr>
        <w:spacing w:after="0"/>
      </w:pPr>
    </w:p>
    <w:p w14:paraId="7A3848FC"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Consistent with the concept of prudent estimate assumptions described earlier, the liability model should incorporate margins for uncertainty for all risk factors that are not dynamic (i.e., the non-scenario tested assumptions) and are assumed not to vary according to the financial interest of the contract holder.</w:t>
      </w:r>
    </w:p>
    <w:p w14:paraId="5C54DB6A" w14:textId="77777777" w:rsidR="008A7F4A" w:rsidRDefault="008A7F4A" w:rsidP="008A7F4A">
      <w:pPr>
        <w:spacing w:after="220" w:line="240" w:lineRule="auto"/>
        <w:ind w:left="1440" w:hanging="720"/>
        <w:jc w:val="both"/>
        <w:rPr>
          <w:rFonts w:ascii="Times New Roman" w:eastAsia="Times New Roman" w:hAnsi="Times New Roman"/>
        </w:rPr>
      </w:pPr>
      <w:commentRangeStart w:id="104"/>
      <w:r>
        <w:rPr>
          <w:rFonts w:ascii="Times New Roman" w:eastAsia="Times New Roman" w:hAnsi="Times New Roman"/>
        </w:rPr>
        <w:t>2.</w:t>
      </w:r>
      <w:commentRangeEnd w:id="104"/>
      <w:r w:rsidR="00A5035A">
        <w:rPr>
          <w:rStyle w:val="CommentReference"/>
        </w:rPr>
        <w:commentReference w:id="104"/>
      </w:r>
      <w:r>
        <w:rPr>
          <w:rFonts w:ascii="Times New Roman" w:eastAsia="Times New Roman" w:hAnsi="Times New Roman"/>
        </w:rPr>
        <w:tab/>
        <w:t>The company should exercise care in using static assumptions when it would be more natural and reasonable to use a dynamic model or other scenario-dependent formulation for behavior. With due regard to considerations of materiality and practicality, the use of dynamic models is encouraged, but not mandatory. Risk factors that are not scenario tested but could reasonably be expected to vary according to a stochastic process, or future states of the world (especially in response to economic drivers) may require higher margins and/or signal a need for higher margins for certain other assumptions.</w:t>
      </w:r>
    </w:p>
    <w:p w14:paraId="3E7252B1"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Risk factors that are modeled dynamically should encompass the plausible range of behavior consistent with the economic scenarios and other variables in the model, including the non-scenario tested assumptions. The company shall test the sensitivity of results to understand the materiality of making alternate assumptions and follow the guidance discussed above on setting assumptions for sensitive behaviors.</w:t>
      </w:r>
    </w:p>
    <w:p w14:paraId="42DB1A55" w14:textId="77777777" w:rsidR="008A7F4A" w:rsidRDefault="008A7F4A" w:rsidP="008A7F4A">
      <w:pPr>
        <w:pStyle w:val="Heading2"/>
        <w:ind w:left="360" w:hanging="360"/>
        <w:rPr>
          <w:sz w:val="22"/>
          <w:szCs w:val="22"/>
        </w:rPr>
      </w:pPr>
      <w:bookmarkStart w:id="105" w:name="_Toc77242169"/>
      <w:r>
        <w:rPr>
          <w:sz w:val="22"/>
          <w:szCs w:val="22"/>
        </w:rPr>
        <w:t>F.</w:t>
      </w:r>
      <w:r>
        <w:rPr>
          <w:sz w:val="22"/>
          <w:szCs w:val="22"/>
        </w:rPr>
        <w:tab/>
        <w:t>Consistency with the CTE Level</w:t>
      </w:r>
      <w:bookmarkEnd w:id="105"/>
    </w:p>
    <w:p w14:paraId="6A8DF409" w14:textId="77777777" w:rsidR="008A7F4A" w:rsidRDefault="008A7F4A" w:rsidP="008A7F4A">
      <w:pPr>
        <w:spacing w:after="0"/>
      </w:pPr>
    </w:p>
    <w:p w14:paraId="62D7F035"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 xml:space="preserve">All behaviors (i.e., dynamic, </w:t>
      </w:r>
      <w:proofErr w:type="gramStart"/>
      <w:r>
        <w:rPr>
          <w:rFonts w:ascii="Times New Roman" w:eastAsia="Times New Roman" w:hAnsi="Times New Roman"/>
        </w:rPr>
        <w:t>formulaic</w:t>
      </w:r>
      <w:proofErr w:type="gramEnd"/>
      <w:r>
        <w:rPr>
          <w:rFonts w:ascii="Times New Roman" w:eastAsia="Times New Roman" w:hAnsi="Times New Roman"/>
        </w:rPr>
        <w:t xml:space="preserve"> and non-scenario tested) should be consistent with the scenarios used in the CTE calculations (generally, the top 30% of the loss distribution). To maintain such consistency, it is not necessary to iterate (i.e., successive runs of the model) </w:t>
      </w:r>
      <w:proofErr w:type="gramStart"/>
      <w:r>
        <w:rPr>
          <w:rFonts w:ascii="Times New Roman" w:eastAsia="Times New Roman" w:hAnsi="Times New Roman"/>
        </w:rPr>
        <w:t>in order to</w:t>
      </w:r>
      <w:proofErr w:type="gramEnd"/>
      <w:r>
        <w:rPr>
          <w:rFonts w:ascii="Times New Roman" w:eastAsia="Times New Roman" w:hAnsi="Times New Roman"/>
        </w:rPr>
        <w:t xml:space="preserve"> determine exactly which scenario results are included in the CTE measure. Rather, </w:t>
      </w:r>
      <w:proofErr w:type="gramStart"/>
      <w:r>
        <w:rPr>
          <w:rFonts w:ascii="Times New Roman" w:eastAsia="Times New Roman" w:hAnsi="Times New Roman"/>
        </w:rPr>
        <w:t>in light of</w:t>
      </w:r>
      <w:proofErr w:type="gramEnd"/>
      <w:r>
        <w:rPr>
          <w:rFonts w:ascii="Times New Roman" w:eastAsia="Times New Roman" w:hAnsi="Times New Roman"/>
        </w:rPr>
        <w:t xml:space="preserve"> the products being valued, the company should be mindful of the general characteristics of those scenarios likely to represent the tail of the loss distribution and consequently use prudent estimate assumptions for behavior that are reasonable and appropriate in such scenarios. For fixed annuities, these “valuation” scenarios would typically display one or more of the following attributes:</w:t>
      </w:r>
    </w:p>
    <w:p w14:paraId="11271386" w14:textId="77777777" w:rsidR="008A7F4A" w:rsidRDefault="008A7F4A" w:rsidP="00745C9A">
      <w:pPr>
        <w:pStyle w:val="ListParagraph"/>
        <w:widowControl w:val="0"/>
        <w:numPr>
          <w:ilvl w:val="0"/>
          <w:numId w:val="118"/>
        </w:numPr>
        <w:spacing w:after="220" w:line="240" w:lineRule="auto"/>
        <w:ind w:left="2160" w:hanging="720"/>
        <w:jc w:val="both"/>
        <w:rPr>
          <w:rFonts w:ascii="Times New Roman" w:eastAsia="Times New Roman" w:hAnsi="Times New Roman"/>
        </w:rPr>
      </w:pPr>
      <w:r>
        <w:rPr>
          <w:rFonts w:ascii="Times New Roman" w:eastAsia="Times New Roman" w:hAnsi="Times New Roman"/>
        </w:rPr>
        <w:t>Declining and/or volatile index values, where applicable.</w:t>
      </w:r>
    </w:p>
    <w:p w14:paraId="2324AF3C" w14:textId="77777777" w:rsidR="008A7F4A" w:rsidRDefault="008A7F4A" w:rsidP="00745C9A">
      <w:pPr>
        <w:pStyle w:val="ListParagraph"/>
        <w:widowControl w:val="0"/>
        <w:numPr>
          <w:ilvl w:val="0"/>
          <w:numId w:val="118"/>
        </w:numPr>
        <w:spacing w:after="220" w:line="240" w:lineRule="auto"/>
        <w:ind w:left="2160" w:hanging="720"/>
        <w:jc w:val="both"/>
        <w:rPr>
          <w:rFonts w:ascii="Times New Roman" w:eastAsia="Times New Roman" w:hAnsi="Times New Roman"/>
        </w:rPr>
      </w:pPr>
      <w:r>
        <w:rPr>
          <w:rFonts w:ascii="Times New Roman" w:eastAsia="Times New Roman" w:hAnsi="Times New Roman"/>
        </w:rPr>
        <w:t>Price gaps and/or liquidity constraints.</w:t>
      </w:r>
    </w:p>
    <w:p w14:paraId="51634313" w14:textId="77777777" w:rsidR="008A7F4A" w:rsidRDefault="008A7F4A" w:rsidP="008A7F4A">
      <w:pPr>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c. </w:t>
      </w:r>
      <w:r>
        <w:rPr>
          <w:rFonts w:ascii="Times New Roman" w:eastAsia="Times New Roman" w:hAnsi="Times New Roman"/>
        </w:rPr>
        <w:tab/>
        <w:t>Rapidly changing interest rates or persistently low interest rates.</w:t>
      </w:r>
    </w:p>
    <w:p w14:paraId="6811052B" w14:textId="77777777" w:rsidR="008A7F4A" w:rsidRDefault="008A7F4A" w:rsidP="008A7F4A">
      <w:pPr>
        <w:widowControl w:val="0"/>
        <w:spacing w:after="220" w:line="240" w:lineRule="auto"/>
        <w:ind w:left="2160" w:hanging="720"/>
        <w:jc w:val="both"/>
        <w:rPr>
          <w:rFonts w:ascii="Times New Roman" w:eastAsia="Times New Roman" w:hAnsi="Times New Roman"/>
        </w:rPr>
      </w:pPr>
      <w:commentRangeStart w:id="106"/>
      <w:r>
        <w:rPr>
          <w:rFonts w:ascii="Times New Roman" w:eastAsia="Times New Roman" w:hAnsi="Times New Roman"/>
        </w:rPr>
        <w:t xml:space="preserve">d. </w:t>
      </w:r>
      <w:commentRangeEnd w:id="106"/>
      <w:r w:rsidR="005E3E46">
        <w:rPr>
          <w:rStyle w:val="CommentReference"/>
        </w:rPr>
        <w:commentReference w:id="106"/>
      </w:r>
      <w:r>
        <w:rPr>
          <w:rFonts w:ascii="Times New Roman" w:eastAsia="Times New Roman" w:hAnsi="Times New Roman"/>
        </w:rPr>
        <w:tab/>
        <w:t>Volatile credit spreads.</w:t>
      </w:r>
    </w:p>
    <w:p w14:paraId="70003795"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 xml:space="preserve">The behavior assumptions should be logical and consistent both individually and in aggregate, especially in the scenarios that govern the results. In other words, the company should not set behavior assumptions in isolation, but give due consideration to other elements of the model. The interdependence of assumptions (particularly those governing customer behaviors) makes this task difficult and </w:t>
      </w:r>
      <w:proofErr w:type="gramStart"/>
      <w:r>
        <w:rPr>
          <w:rFonts w:ascii="Times New Roman" w:eastAsia="Times New Roman" w:hAnsi="Times New Roman"/>
        </w:rPr>
        <w:t>by definition requires</w:t>
      </w:r>
      <w:proofErr w:type="gramEnd"/>
      <w:r>
        <w:rPr>
          <w:rFonts w:ascii="Times New Roman" w:eastAsia="Times New Roman" w:hAnsi="Times New Roman"/>
        </w:rPr>
        <w:t xml:space="preserve"> professional judgment, but it is important that the model risk factors and assumptions:</w:t>
      </w:r>
    </w:p>
    <w:p w14:paraId="53613DB9" w14:textId="77777777" w:rsidR="008A7F4A" w:rsidRDefault="008A7F4A" w:rsidP="00745C9A">
      <w:pPr>
        <w:pStyle w:val="ListParagraph"/>
        <w:widowControl w:val="0"/>
        <w:numPr>
          <w:ilvl w:val="0"/>
          <w:numId w:val="119"/>
        </w:numPr>
        <w:spacing w:after="220" w:line="240" w:lineRule="auto"/>
        <w:ind w:left="2160" w:hanging="720"/>
        <w:jc w:val="both"/>
        <w:rPr>
          <w:rFonts w:ascii="Times New Roman" w:eastAsia="Times New Roman" w:hAnsi="Times New Roman"/>
        </w:rPr>
      </w:pPr>
      <w:r>
        <w:rPr>
          <w:rFonts w:ascii="Times New Roman" w:eastAsia="Times New Roman" w:hAnsi="Times New Roman"/>
        </w:rPr>
        <w:t>Remain logically and internally consistent across the scenarios tested.</w:t>
      </w:r>
    </w:p>
    <w:p w14:paraId="5489BFF1" w14:textId="77777777" w:rsidR="008A7F4A" w:rsidRDefault="008A7F4A" w:rsidP="00745C9A">
      <w:pPr>
        <w:pStyle w:val="ListParagraph"/>
        <w:widowControl w:val="0"/>
        <w:numPr>
          <w:ilvl w:val="0"/>
          <w:numId w:val="119"/>
        </w:numPr>
        <w:spacing w:after="220" w:line="240" w:lineRule="auto"/>
        <w:ind w:left="2160" w:hanging="720"/>
        <w:jc w:val="both"/>
        <w:rPr>
          <w:rFonts w:ascii="Times New Roman" w:eastAsia="Times New Roman" w:hAnsi="Times New Roman"/>
        </w:rPr>
      </w:pPr>
      <w:r>
        <w:rPr>
          <w:rFonts w:ascii="Times New Roman" w:eastAsia="Times New Roman" w:hAnsi="Times New Roman"/>
        </w:rPr>
        <w:t>Represent plausible outcomes.</w:t>
      </w:r>
    </w:p>
    <w:p w14:paraId="4395634E" w14:textId="77777777" w:rsidR="008A7F4A" w:rsidRDefault="008A7F4A" w:rsidP="00745C9A">
      <w:pPr>
        <w:pStyle w:val="ListParagraph"/>
        <w:widowControl w:val="0"/>
        <w:numPr>
          <w:ilvl w:val="0"/>
          <w:numId w:val="119"/>
        </w:numPr>
        <w:spacing w:after="220" w:line="240" w:lineRule="auto"/>
        <w:ind w:left="2160" w:hanging="720"/>
        <w:jc w:val="both"/>
        <w:rPr>
          <w:rFonts w:ascii="Times New Roman" w:eastAsia="Times New Roman" w:hAnsi="Times New Roman"/>
        </w:rPr>
      </w:pPr>
      <w:r>
        <w:rPr>
          <w:rFonts w:ascii="Times New Roman" w:eastAsia="Times New Roman" w:hAnsi="Times New Roman"/>
        </w:rPr>
        <w:t>Lead to appropriate, but not excessive, asset requirements.</w:t>
      </w:r>
    </w:p>
    <w:p w14:paraId="550F909C"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The company should remember that the continuum of “plausibility” should not be confined or constrained to the outcomes and events exhibited by historic experience.</w:t>
      </w:r>
    </w:p>
    <w:p w14:paraId="512B9261"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t>Companies should attempt to track experience for all assumptions that materially affect their risk profiles by collecting and maintaining the data required to conduct credible and meaningful studies of contract holder behavior.</w:t>
      </w:r>
    </w:p>
    <w:p w14:paraId="0F9B67B0" w14:textId="77777777" w:rsidR="008A7F4A" w:rsidRDefault="008A7F4A" w:rsidP="008A7F4A">
      <w:pPr>
        <w:pStyle w:val="Heading2"/>
        <w:ind w:left="720" w:hanging="720"/>
        <w:rPr>
          <w:sz w:val="22"/>
          <w:szCs w:val="22"/>
        </w:rPr>
      </w:pPr>
      <w:bookmarkStart w:id="107" w:name="_Toc77242170"/>
      <w:r>
        <w:rPr>
          <w:sz w:val="22"/>
          <w:szCs w:val="22"/>
        </w:rPr>
        <w:t>G.</w:t>
      </w:r>
      <w:r>
        <w:rPr>
          <w:sz w:val="22"/>
          <w:szCs w:val="22"/>
        </w:rPr>
        <w:tab/>
        <w:t xml:space="preserve">Additional Considerations and Requirements for Assumptions Applicable to Guaranteed </w:t>
      </w:r>
      <w:r>
        <w:rPr>
          <w:sz w:val="22"/>
          <w:szCs w:val="22"/>
        </w:rPr>
        <w:br/>
        <w:t>Living Benefits</w:t>
      </w:r>
      <w:bookmarkEnd w:id="107"/>
    </w:p>
    <w:p w14:paraId="57E5733F" w14:textId="77777777" w:rsidR="008A7F4A" w:rsidRDefault="008A7F4A" w:rsidP="008A7F4A">
      <w:pPr>
        <w:spacing w:after="0"/>
      </w:pPr>
    </w:p>
    <w:p w14:paraId="18832D74" w14:textId="77777777" w:rsidR="008A7F4A" w:rsidRDefault="008A7F4A" w:rsidP="008A7F4A">
      <w:pPr>
        <w:tabs>
          <w:tab w:val="left" w:pos="1170"/>
        </w:tabs>
        <w:spacing w:after="0" w:line="240" w:lineRule="auto"/>
        <w:ind w:left="720" w:hanging="720"/>
        <w:jc w:val="both"/>
        <w:rPr>
          <w:rFonts w:ascii="Times New Roman" w:hAnsi="Times New Roman"/>
          <w:color w:val="FF0000"/>
        </w:rPr>
      </w:pPr>
      <w:r>
        <w:rPr>
          <w:rFonts w:ascii="Times New Roman" w:eastAsia="Times New Roman" w:hAnsi="Times New Roman"/>
        </w:rPr>
        <w:tab/>
        <w:t>Experience for contracts without guaranteed living benefits may be of limited use in setting a lapse assumption for contracts with in-the-money or at-the-money guaranteed living benefits. Such experience may only be used if it is appropriate (e.g., lapse experience on contracts without a living benefit may have relevance to the early durations of contracts with living benefits) and relevant to the business.</w:t>
      </w:r>
    </w:p>
    <w:p w14:paraId="7B736E63" w14:textId="77777777" w:rsidR="008A7F4A" w:rsidRDefault="008A7F4A" w:rsidP="008A7F4A">
      <w:pPr>
        <w:pStyle w:val="ListParagraph"/>
        <w:spacing w:after="0" w:line="256" w:lineRule="auto"/>
        <w:ind w:left="2160"/>
        <w:rPr>
          <w:rFonts w:ascii="Times New Roman" w:hAnsi="Times New Roman"/>
          <w:color w:val="FF0000"/>
        </w:rPr>
      </w:pPr>
    </w:p>
    <w:p w14:paraId="165ED576" w14:textId="77777777" w:rsidR="008A7F4A" w:rsidRDefault="008A7F4A" w:rsidP="00745C9A">
      <w:pPr>
        <w:pStyle w:val="Heading2"/>
        <w:numPr>
          <w:ilvl w:val="0"/>
          <w:numId w:val="120"/>
        </w:numPr>
        <w:ind w:left="720" w:hanging="720"/>
        <w:rPr>
          <w:sz w:val="22"/>
          <w:szCs w:val="22"/>
        </w:rPr>
      </w:pPr>
      <w:bookmarkStart w:id="108" w:name="_Toc77242171"/>
      <w:r>
        <w:rPr>
          <w:sz w:val="22"/>
          <w:szCs w:val="22"/>
        </w:rPr>
        <w:t>Policy Loans</w:t>
      </w:r>
      <w:bookmarkEnd w:id="108"/>
    </w:p>
    <w:p w14:paraId="4F2FCF55" w14:textId="77777777" w:rsidR="008A7F4A" w:rsidRDefault="008A7F4A" w:rsidP="008A7F4A">
      <w:pPr>
        <w:pStyle w:val="ListParagraph"/>
        <w:rPr>
          <w:rFonts w:ascii="Times New Roman" w:hAnsi="Times New Roman"/>
        </w:rPr>
      </w:pPr>
    </w:p>
    <w:p w14:paraId="7831C3F2" w14:textId="77777777" w:rsidR="008A7F4A" w:rsidRDefault="008A7F4A" w:rsidP="008A7F4A">
      <w:pPr>
        <w:pStyle w:val="ListParagraph"/>
        <w:rPr>
          <w:rFonts w:ascii="Times New Roman" w:eastAsia="Times New Roman" w:hAnsi="Times New Roman"/>
        </w:rPr>
      </w:pPr>
      <w:r>
        <w:rPr>
          <w:rFonts w:ascii="Times New Roman" w:hAnsi="Times New Roman"/>
        </w:rPr>
        <w:t xml:space="preserve">If policy loans are applicable for the block of business, the company shall </w:t>
      </w:r>
      <w:r>
        <w:rPr>
          <w:rFonts w:ascii="Times New Roman" w:eastAsia="Times New Roman" w:hAnsi="Times New Roman"/>
        </w:rPr>
        <w:t>determine cash flows for each projection interval for policy loan assets by modeling existing loan balances either explicitly or by substituting assets that are a proxy for policy loans (e.g., bonds, cash, etc.) subject to the following:</w:t>
      </w:r>
    </w:p>
    <w:p w14:paraId="2837137A" w14:textId="77777777" w:rsidR="008A7F4A" w:rsidRDefault="008A7F4A" w:rsidP="00745C9A">
      <w:pPr>
        <w:pStyle w:val="ListParagraph"/>
        <w:widowControl w:val="0"/>
        <w:numPr>
          <w:ilvl w:val="0"/>
          <w:numId w:val="121"/>
        </w:numPr>
        <w:tabs>
          <w:tab w:val="left" w:pos="10440"/>
        </w:tabs>
        <w:spacing w:after="220" w:line="240" w:lineRule="auto"/>
        <w:ind w:left="1440" w:hanging="720"/>
        <w:jc w:val="both"/>
        <w:rPr>
          <w:rFonts w:ascii="Times New Roman" w:eastAsia="Times New Roman" w:hAnsi="Times New Roman"/>
        </w:rPr>
      </w:pPr>
      <w:r>
        <w:rPr>
          <w:rFonts w:ascii="Times New Roman" w:eastAsia="Times New Roman" w:hAnsi="Times New Roman"/>
        </w:rPr>
        <w:t>If the company substitutes assets that are a proxy for policy loans, the company must demonstrate that such substitution:</w:t>
      </w:r>
    </w:p>
    <w:p w14:paraId="63F2ECD6" w14:textId="77777777" w:rsidR="008A7F4A" w:rsidRDefault="008A7F4A" w:rsidP="008A7F4A">
      <w:pPr>
        <w:pStyle w:val="ListParagraph"/>
        <w:tabs>
          <w:tab w:val="left" w:pos="10440"/>
        </w:tabs>
        <w:spacing w:after="220" w:line="240" w:lineRule="auto"/>
        <w:ind w:left="1880"/>
        <w:jc w:val="both"/>
        <w:rPr>
          <w:rFonts w:ascii="Times New Roman" w:eastAsia="Times New Roman" w:hAnsi="Times New Roman"/>
        </w:rPr>
      </w:pPr>
    </w:p>
    <w:p w14:paraId="7974AC73" w14:textId="77777777" w:rsidR="008A7F4A" w:rsidRDefault="008A7F4A" w:rsidP="008A7F4A">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 xml:space="preserve">Produces reserves that are no less than those that would be </w:t>
      </w:r>
      <w:r>
        <w:rPr>
          <w:rFonts w:ascii="Times New Roman" w:eastAsia="Times New Roman" w:hAnsi="Times New Roman"/>
          <w:color w:val="000000"/>
        </w:rPr>
        <w:t>produced by modeling existing loan balances explicitly.</w:t>
      </w:r>
    </w:p>
    <w:p w14:paraId="0C08A866" w14:textId="77777777" w:rsidR="008A7F4A" w:rsidRDefault="008A7F4A" w:rsidP="008A7F4A">
      <w:pPr>
        <w:pStyle w:val="NoSpacing"/>
        <w:spacing w:after="220"/>
        <w:ind w:left="2160" w:hanging="720"/>
        <w:jc w:val="both"/>
        <w:rPr>
          <w:rFonts w:ascii="Times New Roman" w:hAnsi="Times New Roman"/>
        </w:rPr>
      </w:pPr>
      <w:r>
        <w:rPr>
          <w:rFonts w:ascii="Times New Roman" w:hAnsi="Times New Roman"/>
        </w:rPr>
        <w:t>b.</w:t>
      </w:r>
      <w:r>
        <w:rPr>
          <w:rFonts w:ascii="Times New Roman" w:hAnsi="Times New Roman"/>
        </w:rPr>
        <w:tab/>
        <w:t xml:space="preserve">Complies with the contract holder behavior requirements stated in </w:t>
      </w:r>
      <w:r>
        <w:rPr>
          <w:rFonts w:ascii="Times New Roman" w:hAnsi="Times New Roman"/>
        </w:rPr>
        <w:br/>
        <w:t>Section 10 above in this section.</w:t>
      </w:r>
    </w:p>
    <w:p w14:paraId="433104D5" w14:textId="77777777" w:rsidR="008A7F4A" w:rsidRDefault="008A7F4A" w:rsidP="00745C9A">
      <w:pPr>
        <w:pStyle w:val="NoSpacing"/>
        <w:numPr>
          <w:ilvl w:val="0"/>
          <w:numId w:val="121"/>
        </w:numPr>
        <w:spacing w:after="220"/>
        <w:ind w:left="1440" w:hanging="720"/>
        <w:jc w:val="both"/>
        <w:rPr>
          <w:rFonts w:ascii="Times New Roman" w:hAnsi="Times New Roman"/>
        </w:rPr>
      </w:pPr>
      <w:r>
        <w:rPr>
          <w:rFonts w:ascii="Times New Roman" w:hAnsi="Times New Roman"/>
        </w:rPr>
        <w:t>If the company models policy loans explicitly, the company shall:</w:t>
      </w:r>
    </w:p>
    <w:p w14:paraId="4A93268F" w14:textId="77777777" w:rsidR="008A7F4A" w:rsidRDefault="008A7F4A" w:rsidP="00745C9A">
      <w:pPr>
        <w:pStyle w:val="ListParagraph"/>
        <w:numPr>
          <w:ilvl w:val="0"/>
          <w:numId w:val="122"/>
        </w:numPr>
        <w:spacing w:after="220" w:line="240" w:lineRule="auto"/>
        <w:ind w:left="2160" w:hanging="720"/>
        <w:jc w:val="both"/>
        <w:rPr>
          <w:rFonts w:ascii="Times New Roman" w:eastAsia="Times New Roman" w:hAnsi="Times New Roman"/>
        </w:rPr>
      </w:pPr>
      <w:r>
        <w:rPr>
          <w:rFonts w:ascii="Times New Roman" w:eastAsia="Times New Roman" w:hAnsi="Times New Roman"/>
        </w:rPr>
        <w:t>Treat policy loan activity as an aspect of contract holder behavior and subject to the requirements above in this section.</w:t>
      </w:r>
    </w:p>
    <w:p w14:paraId="0A3B2B39" w14:textId="77777777" w:rsidR="008A7F4A" w:rsidRDefault="008A7F4A" w:rsidP="008A7F4A">
      <w:pPr>
        <w:pStyle w:val="ListParagraph"/>
        <w:spacing w:after="220" w:line="240" w:lineRule="auto"/>
        <w:ind w:left="2160"/>
        <w:jc w:val="both"/>
        <w:rPr>
          <w:rFonts w:ascii="Times New Roman" w:eastAsia="Times New Roman" w:hAnsi="Times New Roman"/>
        </w:rPr>
      </w:pPr>
    </w:p>
    <w:p w14:paraId="1AF5D312" w14:textId="77777777" w:rsidR="008A7F4A" w:rsidRDefault="008A7F4A" w:rsidP="008A7F4A">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Assign loan balances either to exactly match each policy’s utilization or to reflect average utilization over a model segment or sub-segments.</w:t>
      </w:r>
    </w:p>
    <w:p w14:paraId="63AF1734" w14:textId="77777777" w:rsidR="008A7F4A" w:rsidRDefault="008A7F4A" w:rsidP="008A7F4A">
      <w:pPr>
        <w:pStyle w:val="ListParagraph"/>
        <w:spacing w:after="220" w:line="240" w:lineRule="auto"/>
        <w:ind w:left="2880" w:hanging="720"/>
        <w:jc w:val="both"/>
        <w:rPr>
          <w:rFonts w:ascii="Times New Roman" w:eastAsia="Times New Roman" w:hAnsi="Times New Roman"/>
        </w:rPr>
      </w:pPr>
    </w:p>
    <w:p w14:paraId="4F1A1289" w14:textId="77777777" w:rsidR="008A7F4A" w:rsidRDefault="008A7F4A" w:rsidP="008A7F4A">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t>Model policy loan interest in a manner consistent with policy provisions and with the scenario. Include interest paid in cash as a positive policy loan cash flow in that projection interval, but do not include interest added to the loan balance as a policy loan cash flow. (The increased balance will require increased repayment cash flows in future projection intervals.)</w:t>
      </w:r>
    </w:p>
    <w:p w14:paraId="3645FA25" w14:textId="77777777" w:rsidR="008A7F4A" w:rsidRDefault="008A7F4A" w:rsidP="008A7F4A">
      <w:pPr>
        <w:pStyle w:val="ListParagraph"/>
        <w:spacing w:after="220" w:line="240" w:lineRule="auto"/>
        <w:ind w:left="2160" w:hanging="720"/>
        <w:jc w:val="both"/>
        <w:rPr>
          <w:rFonts w:ascii="Times New Roman" w:eastAsia="Times New Roman" w:hAnsi="Times New Roman"/>
        </w:rPr>
      </w:pPr>
    </w:p>
    <w:p w14:paraId="359A3841" w14:textId="77777777" w:rsidR="008A7F4A" w:rsidRDefault="008A7F4A" w:rsidP="008A7F4A">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Pr>
          <w:rFonts w:ascii="Times New Roman" w:eastAsia="Times New Roman" w:hAnsi="Times New Roman"/>
        </w:rPr>
        <w:tab/>
        <w:t>Model policy loan principal repayments, including those that occur automatically upon death or surrender. Include policy loan principal repayments as a positive policy loan cash flow, per Section 4.A.1.h.</w:t>
      </w:r>
    </w:p>
    <w:p w14:paraId="786CF525" w14:textId="77777777" w:rsidR="008A7F4A" w:rsidRDefault="008A7F4A" w:rsidP="008A7F4A">
      <w:pPr>
        <w:pStyle w:val="ListParagraph"/>
        <w:spacing w:after="0" w:line="240" w:lineRule="auto"/>
        <w:ind w:left="2160" w:hanging="720"/>
        <w:jc w:val="both"/>
        <w:rPr>
          <w:rFonts w:ascii="Times New Roman" w:eastAsia="Times New Roman" w:hAnsi="Times New Roman"/>
        </w:rPr>
      </w:pPr>
    </w:p>
    <w:p w14:paraId="07057CFD" w14:textId="77777777" w:rsidR="008A7F4A" w:rsidRDefault="008A7F4A" w:rsidP="008A7F4A">
      <w:pPr>
        <w:pStyle w:val="ListParagraph"/>
        <w:spacing w:after="0" w:line="240" w:lineRule="auto"/>
        <w:ind w:left="2160" w:hanging="720"/>
        <w:jc w:val="both"/>
        <w:rPr>
          <w:rFonts w:ascii="Times New Roman" w:eastAsia="Times New Roman" w:hAnsi="Times New Roman"/>
        </w:rPr>
      </w:pPr>
      <w:r>
        <w:rPr>
          <w:rFonts w:ascii="Times New Roman" w:eastAsia="Times New Roman" w:hAnsi="Times New Roman"/>
        </w:rPr>
        <w:t>e.</w:t>
      </w:r>
      <w:r>
        <w:rPr>
          <w:rFonts w:ascii="Times New Roman" w:eastAsia="Times New Roman" w:hAnsi="Times New Roman"/>
        </w:rPr>
        <w:tab/>
        <w:t xml:space="preserve">Model additional policy loan principal. Include additional policy loan principal as a negative policy loan cash flow, per Section 4.A.1.h (but do not include interest added to the loan balance as a negative policy loan cash flow).  </w:t>
      </w:r>
    </w:p>
    <w:p w14:paraId="7898A2CA" w14:textId="77777777" w:rsidR="008A7F4A" w:rsidRDefault="008A7F4A" w:rsidP="008A7F4A">
      <w:pPr>
        <w:pStyle w:val="ListParagraph"/>
        <w:spacing w:after="220" w:line="240" w:lineRule="auto"/>
        <w:ind w:left="2160" w:hanging="720"/>
        <w:jc w:val="both"/>
        <w:rPr>
          <w:rFonts w:ascii="Times New Roman" w:eastAsia="Times New Roman" w:hAnsi="Times New Roman"/>
        </w:rPr>
      </w:pPr>
    </w:p>
    <w:p w14:paraId="12AA1805" w14:textId="77777777" w:rsidR="008A7F4A" w:rsidRDefault="008A7F4A" w:rsidP="008A7F4A">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f.</w:t>
      </w:r>
      <w:r>
        <w:rPr>
          <w:rFonts w:ascii="Times New Roman" w:eastAsia="Times New Roman" w:hAnsi="Times New Roman"/>
        </w:rPr>
        <w:tab/>
        <w:t>Model any investment expenses allocated to policy loans and include them either with policy loan cash flows or insurance expense cash flows.</w:t>
      </w:r>
    </w:p>
    <w:p w14:paraId="22683C61" w14:textId="77777777" w:rsidR="008A7F4A" w:rsidRDefault="008A7F4A" w:rsidP="008A7F4A">
      <w:pPr>
        <w:pStyle w:val="ListParagraph"/>
        <w:spacing w:after="0"/>
        <w:rPr>
          <w:rFonts w:ascii="Times New Roman" w:hAnsi="Times New Roman"/>
        </w:rPr>
      </w:pPr>
    </w:p>
    <w:p w14:paraId="13E1106F" w14:textId="77777777" w:rsidR="008A7F4A" w:rsidRDefault="008A7F4A" w:rsidP="00745C9A">
      <w:pPr>
        <w:pStyle w:val="Heading2"/>
        <w:numPr>
          <w:ilvl w:val="0"/>
          <w:numId w:val="120"/>
        </w:numPr>
        <w:spacing w:line="240" w:lineRule="auto"/>
        <w:ind w:left="720" w:hanging="720"/>
        <w:jc w:val="both"/>
        <w:rPr>
          <w:sz w:val="22"/>
          <w:szCs w:val="22"/>
        </w:rPr>
      </w:pPr>
      <w:bookmarkStart w:id="109" w:name="_Toc77242172"/>
      <w:r>
        <w:rPr>
          <w:sz w:val="22"/>
          <w:szCs w:val="22"/>
        </w:rPr>
        <w:t>Non-Guaranteed Elements</w:t>
      </w:r>
      <w:bookmarkEnd w:id="109"/>
      <w:r>
        <w:rPr>
          <w:sz w:val="22"/>
          <w:szCs w:val="22"/>
        </w:rPr>
        <w:t xml:space="preserve"> </w:t>
      </w:r>
    </w:p>
    <w:p w14:paraId="3C4038D5" w14:textId="77777777" w:rsidR="008A7F4A" w:rsidRDefault="008A7F4A" w:rsidP="008A7F4A">
      <w:pPr>
        <w:pStyle w:val="ListParagraph"/>
        <w:spacing w:after="0" w:line="240" w:lineRule="auto"/>
        <w:rPr>
          <w:rFonts w:ascii="Times New Roman" w:hAnsi="Times New Roman"/>
        </w:rPr>
      </w:pPr>
    </w:p>
    <w:p w14:paraId="06D11A4D" w14:textId="77777777" w:rsidR="008A7F4A" w:rsidRDefault="008A7F4A" w:rsidP="008A7F4A">
      <w:pPr>
        <w:spacing w:line="240" w:lineRule="auto"/>
        <w:ind w:left="720"/>
        <w:rPr>
          <w:rFonts w:ascii="Times New Roman" w:hAnsi="Times New Roman"/>
        </w:rPr>
      </w:pPr>
      <w:r>
        <w:rPr>
          <w:rFonts w:ascii="Times New Roman" w:hAnsi="Times New Roman"/>
        </w:rPr>
        <w:t>Consistent with the definition in VM-01, Non-Guaranteed Elements (NGEs) are elements within a contract that affect policy costs or values and not guaranteed or not determined at issue. NGEs consist of elements affecting contract holder costs or values that are both established and subject to change at the discretion of the insurer.</w:t>
      </w:r>
    </w:p>
    <w:p w14:paraId="1EEAA410" w14:textId="77777777" w:rsidR="008A7F4A" w:rsidRDefault="008A7F4A" w:rsidP="008A7F4A">
      <w:pPr>
        <w:spacing w:line="240" w:lineRule="auto"/>
        <w:ind w:left="720"/>
        <w:rPr>
          <w:rFonts w:ascii="Times New Roman" w:hAnsi="Times New Roman"/>
        </w:rPr>
      </w:pPr>
      <w:r>
        <w:rPr>
          <w:rFonts w:ascii="Times New Roman" w:hAnsi="Times New Roman"/>
        </w:rPr>
        <w:t xml:space="preserve">Examples of NGEs specific to fixed annuities include but are not limited to the following: fixed credited rates, index parameters (caps, spreads, participation rates, etc.), rider fees, rider benefit features being subject to change (rollup rates, rollup period, etc.), account value charges, and dividends under participating policies or contracts. </w:t>
      </w:r>
    </w:p>
    <w:p w14:paraId="2AA4B41C"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Except as noted below in Section 10.J.5, the company shall include NGE in the models to project future cash flows beyond the time the company has authorized their payment or crediting.</w:t>
      </w:r>
    </w:p>
    <w:p w14:paraId="0B9E55CA"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 xml:space="preserve">The projected NGE shall reflect factors that include, but are not limited to, the following (not </w:t>
      </w:r>
      <w:proofErr w:type="gramStart"/>
      <w:r>
        <w:rPr>
          <w:rFonts w:ascii="Times New Roman" w:eastAsia="Times New Roman" w:hAnsi="Times New Roman"/>
        </w:rPr>
        <w:t>all of</w:t>
      </w:r>
      <w:proofErr w:type="gramEnd"/>
      <w:r>
        <w:rPr>
          <w:rFonts w:ascii="Times New Roman" w:eastAsia="Times New Roman" w:hAnsi="Times New Roman"/>
        </w:rPr>
        <w:t xml:space="preserve"> these factors will necessarily be present in all situations):</w:t>
      </w:r>
    </w:p>
    <w:p w14:paraId="544DE206" w14:textId="77777777" w:rsidR="008A7F4A" w:rsidRDefault="008A7F4A" w:rsidP="008A7F4A">
      <w:pPr>
        <w:tabs>
          <w:tab w:val="left" w:pos="9180"/>
        </w:tabs>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The nature of contractual guarantees.</w:t>
      </w:r>
    </w:p>
    <w:p w14:paraId="4AE4F07F"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The company’s past NGE practices and established NGE policies.</w:t>
      </w:r>
    </w:p>
    <w:p w14:paraId="4BEB1CB1"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t>The timing of any change in NGE relative to the date of recognition of a change in experience.</w:t>
      </w:r>
    </w:p>
    <w:p w14:paraId="15B88300"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d.</w:t>
      </w:r>
      <w:r>
        <w:rPr>
          <w:rFonts w:ascii="Times New Roman" w:eastAsia="Times New Roman" w:hAnsi="Times New Roman"/>
        </w:rPr>
        <w:tab/>
        <w:t>The benefits and risks to the company of continuing to authorize NGE.</w:t>
      </w:r>
    </w:p>
    <w:p w14:paraId="62866287"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Projected NGE shall be established based on projected experience consistent with how actual NGE are determined.</w:t>
      </w:r>
    </w:p>
    <w:p w14:paraId="587EB27A"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Projected levels of NGE in the cash-flow model must be consistent with the experience assumptions used in each scenario. Contract holder behavior assumptions in the model must be consistent with the NGE assumed in the model.</w:t>
      </w:r>
    </w:p>
    <w:p w14:paraId="0F91DF92" w14:textId="77777777" w:rsidR="008A7F4A" w:rsidRDefault="008A7F4A" w:rsidP="008A7F4A">
      <w:pPr>
        <w:tabs>
          <w:tab w:val="left" w:pos="1700"/>
        </w:tabs>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t>The company may exclude any portion of an NGE that:</w:t>
      </w:r>
    </w:p>
    <w:p w14:paraId="6A3A9112"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 xml:space="preserve">Is not based on some aspect of the </w:t>
      </w:r>
      <w:proofErr w:type="gramStart"/>
      <w:r>
        <w:rPr>
          <w:rFonts w:ascii="Times New Roman" w:eastAsia="Times New Roman" w:hAnsi="Times New Roman"/>
        </w:rPr>
        <w:t>policy’s</w:t>
      </w:r>
      <w:proofErr w:type="gramEnd"/>
      <w:r>
        <w:rPr>
          <w:rFonts w:ascii="Times New Roman" w:eastAsia="Times New Roman" w:hAnsi="Times New Roman"/>
        </w:rPr>
        <w:t xml:space="preserve"> or contract’s experience.</w:t>
      </w:r>
    </w:p>
    <w:p w14:paraId="63DC3FBF" w14:textId="77777777" w:rsidR="008A7F4A" w:rsidRDefault="008A7F4A" w:rsidP="008A7F4A">
      <w:pPr>
        <w:tabs>
          <w:tab w:val="left" w:pos="2460"/>
        </w:tabs>
        <w:spacing w:after="220" w:line="240" w:lineRule="auto"/>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Is authorized by the board of directors and documented in the board minutes, where the documentation includes the amount of the NGE that arises from other sources.</w:t>
      </w:r>
    </w:p>
    <w:p w14:paraId="138664EC" w14:textId="77777777" w:rsidR="008A7F4A" w:rsidRDefault="008A7F4A" w:rsidP="008A7F4A">
      <w:pPr>
        <w:spacing w:after="220" w:line="240" w:lineRule="auto"/>
        <w:ind w:left="2160"/>
        <w:jc w:val="both"/>
        <w:rPr>
          <w:rFonts w:ascii="Times New Roman" w:eastAsia="Times New Roman" w:hAnsi="Times New Roman"/>
        </w:rPr>
      </w:pPr>
      <w:r>
        <w:rPr>
          <w:rFonts w:ascii="Times New Roman" w:eastAsia="Times New Roman" w:hAnsi="Times New Roman"/>
        </w:rPr>
        <w:t>However, if the board has guaranteed a portion of the NGE into the future, the company must model that amount. In other words, the company cannot exclude from its model any NGE that the board has guaranteed for future years, even if it could have otherwise excluded them, based on this subsection.</w:t>
      </w:r>
    </w:p>
    <w:p w14:paraId="25DA5FBE"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t>The liability for contract holder dividends declared but not yet paid that has been established according to statutory accounting principles as of the valuation date is reported separately from the statutory reserve. The contract holder dividends that give rise to this dividend liability as of the valuation date may or may not be included in the cash-flow model at the company’s option.</w:t>
      </w:r>
    </w:p>
    <w:p w14:paraId="4597C3BB"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If the contract holder dividends that give rise to the dividend liability are not included in the cash-flow model, then no adjustment is needed to the resulting aggregate stochastic reserve.</w:t>
      </w:r>
    </w:p>
    <w:p w14:paraId="6A3CB040"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 xml:space="preserve">If the contract holder dividends that give rise to the dividend liability are included in the cash-flow model, then the resulting aggregate stochastic reserve should be reduced by the amount of the dividend liability. </w:t>
      </w:r>
    </w:p>
    <w:p w14:paraId="354286DB"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t>All projected cash flows associated with NGEs shall reflect margins for adverse deviations and estimation error in prudent estimate assumptions.</w:t>
      </w:r>
    </w:p>
    <w:p w14:paraId="543C3FD9"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 xml:space="preserve"> </w:t>
      </w:r>
    </w:p>
    <w:p w14:paraId="266A3BD4" w14:textId="77777777" w:rsidR="008A7F4A" w:rsidRDefault="008A7F4A" w:rsidP="008A7F4A">
      <w:pPr>
        <w:spacing w:after="220" w:line="240" w:lineRule="auto"/>
        <w:jc w:val="both"/>
        <w:rPr>
          <w:rFonts w:ascii="Times New Roman" w:eastAsia="Times New Roman" w:hAnsi="Times New Roman"/>
        </w:rPr>
      </w:pPr>
    </w:p>
    <w:p w14:paraId="5485FF3E" w14:textId="77777777" w:rsidR="008A7F4A" w:rsidRDefault="008A7F4A" w:rsidP="008A7F4A">
      <w:pPr>
        <w:spacing w:after="220" w:line="240" w:lineRule="auto"/>
        <w:jc w:val="both"/>
        <w:rPr>
          <w:rFonts w:ascii="Times New Roman" w:eastAsia="Times New Roman" w:hAnsi="Times New Roman"/>
        </w:rPr>
      </w:pPr>
    </w:p>
    <w:p w14:paraId="339DD573" w14:textId="77777777" w:rsidR="008A7F4A" w:rsidRDefault="008A7F4A" w:rsidP="008A7F4A">
      <w:pPr>
        <w:spacing w:line="240" w:lineRule="auto"/>
        <w:rPr>
          <w:rFonts w:ascii="Times New Roman" w:hAnsi="Times New Roman"/>
        </w:rPr>
      </w:pPr>
    </w:p>
    <w:p w14:paraId="49127425" w14:textId="77777777" w:rsidR="008A7F4A" w:rsidRDefault="008A7F4A" w:rsidP="008A7F4A">
      <w:r>
        <w:br w:type="page"/>
      </w:r>
    </w:p>
    <w:p w14:paraId="63FE8156" w14:textId="77777777" w:rsidR="008A7F4A" w:rsidRDefault="008A7F4A" w:rsidP="008A7F4A">
      <w:pPr>
        <w:pStyle w:val="Heading1"/>
        <w:spacing w:line="240" w:lineRule="auto"/>
        <w:rPr>
          <w:sz w:val="24"/>
          <w:szCs w:val="24"/>
        </w:rPr>
      </w:pPr>
      <w:bookmarkStart w:id="110" w:name="_Toc77242173"/>
      <w:commentRangeStart w:id="111"/>
      <w:r>
        <w:rPr>
          <w:sz w:val="24"/>
          <w:szCs w:val="24"/>
        </w:rPr>
        <w:t>Section 11</w:t>
      </w:r>
      <w:commentRangeEnd w:id="111"/>
      <w:r w:rsidR="00FC1D3F">
        <w:rPr>
          <w:rStyle w:val="CommentReference"/>
          <w:rFonts w:asciiTheme="minorHAnsi" w:eastAsiaTheme="minorHAnsi" w:hAnsiTheme="minorHAnsi" w:cstheme="minorBidi"/>
          <w:color w:val="auto"/>
        </w:rPr>
        <w:commentReference w:id="111"/>
      </w:r>
      <w:r>
        <w:rPr>
          <w:sz w:val="24"/>
          <w:szCs w:val="24"/>
        </w:rPr>
        <w:t>: Guidance and Requirements for Setting Prudent Estimate Mortality Assumptions</w:t>
      </w:r>
      <w:bookmarkEnd w:id="110"/>
    </w:p>
    <w:p w14:paraId="35B4AE8A" w14:textId="77777777" w:rsidR="008A7F4A" w:rsidRDefault="008A7F4A" w:rsidP="008A7F4A">
      <w:pPr>
        <w:autoSpaceDE w:val="0"/>
        <w:autoSpaceDN w:val="0"/>
        <w:adjustRightInd w:val="0"/>
        <w:spacing w:after="0" w:line="240" w:lineRule="auto"/>
        <w:rPr>
          <w:rFonts w:ascii="Times New Roman" w:hAnsi="Times New Roman" w:cs="Times New Roman"/>
          <w:color w:val="000000"/>
        </w:rPr>
      </w:pPr>
    </w:p>
    <w:p w14:paraId="6F98A5FE" w14:textId="77777777" w:rsidR="008A7F4A" w:rsidRDefault="008A7F4A" w:rsidP="008A7F4A">
      <w:pPr>
        <w:pStyle w:val="Heading2"/>
        <w:rPr>
          <w:sz w:val="22"/>
          <w:szCs w:val="22"/>
        </w:rPr>
      </w:pPr>
      <w:bookmarkStart w:id="112" w:name="_Toc77242174"/>
      <w:r>
        <w:rPr>
          <w:sz w:val="22"/>
          <w:szCs w:val="22"/>
        </w:rPr>
        <w:t>A.</w:t>
      </w:r>
      <w:r>
        <w:rPr>
          <w:sz w:val="22"/>
          <w:szCs w:val="22"/>
        </w:rPr>
        <w:tab/>
        <w:t>Overview</w:t>
      </w:r>
      <w:bookmarkEnd w:id="112"/>
    </w:p>
    <w:p w14:paraId="4E24F483" w14:textId="77777777" w:rsidR="008A7F4A" w:rsidRDefault="008A7F4A" w:rsidP="008A7F4A">
      <w:pPr>
        <w:spacing w:after="0"/>
      </w:pPr>
    </w:p>
    <w:p w14:paraId="7AC52D83"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Intent</w:t>
      </w:r>
    </w:p>
    <w:p w14:paraId="796FF851" w14:textId="77777777" w:rsidR="008A7F4A" w:rsidRDefault="008A7F4A" w:rsidP="008A7F4A">
      <w:pPr>
        <w:spacing w:after="220" w:line="240" w:lineRule="auto"/>
        <w:ind w:left="1440"/>
        <w:jc w:val="both"/>
        <w:rPr>
          <w:rFonts w:ascii="Times New Roman" w:eastAsia="Times New Roman" w:hAnsi="Times New Roman"/>
        </w:rPr>
      </w:pPr>
      <w:r>
        <w:rPr>
          <w:rFonts w:ascii="Times New Roman" w:eastAsia="Times New Roman" w:hAnsi="Times New Roman"/>
        </w:rPr>
        <w:t xml:space="preserve">The guidance and requirements in this section apply to setting prudent estimate mortality assumptions when determining the stochastic reserve. The intent is for prudent estimate mortality assumptions to be based on facts, </w:t>
      </w:r>
      <w:proofErr w:type="gramStart"/>
      <w:r>
        <w:rPr>
          <w:rFonts w:ascii="Times New Roman" w:eastAsia="Times New Roman" w:hAnsi="Times New Roman"/>
        </w:rPr>
        <w:t>circumstances</w:t>
      </w:r>
      <w:proofErr w:type="gramEnd"/>
      <w:r>
        <w:rPr>
          <w:rFonts w:ascii="Times New Roman" w:eastAsia="Times New Roman" w:hAnsi="Times New Roman"/>
        </w:rPr>
        <w:t xml:space="preserve"> and appropriate actuarial practice, with only a limited role for unsupported actuarial judgment. (Where more than one approach to appropriate actuarial practice exists, the company should select the practice that the company deems most appropriate under the circumstances.)</w:t>
      </w:r>
    </w:p>
    <w:p w14:paraId="579633D6"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Description</w:t>
      </w:r>
    </w:p>
    <w:p w14:paraId="384F6EB0" w14:textId="77777777" w:rsidR="008A7F4A" w:rsidRDefault="008A7F4A" w:rsidP="008A7F4A">
      <w:pPr>
        <w:spacing w:after="220" w:line="240" w:lineRule="auto"/>
        <w:ind w:left="1440"/>
        <w:jc w:val="both"/>
        <w:rPr>
          <w:rFonts w:ascii="Times New Roman" w:eastAsia="Times New Roman" w:hAnsi="Times New Roman"/>
        </w:rPr>
      </w:pPr>
      <w:r>
        <w:rPr>
          <w:rFonts w:ascii="Times New Roman" w:eastAsia="Times New Roman" w:hAnsi="Times New Roman"/>
        </w:rPr>
        <w:t>Prudent estimate mortality assumptions shall be determined by first developing expected mortality curves based on either available experience or published tables. Where necessary, margins shall be applied to the experience to reflect data uncertainty. The expected mortality curves shall then be adjusted based on the credibility of the experience used to determine the expected mortality curve. Section 11.B addresses guidance and requirements for determining expected mortality curves, and Section 11.C addresses guidance and requirements for adjusting the expected mortality curves to determine prudent estimate mortality.</w:t>
      </w:r>
    </w:p>
    <w:p w14:paraId="5A561686" w14:textId="77777777" w:rsidR="008A7F4A" w:rsidRDefault="008A7F4A" w:rsidP="008A7F4A">
      <w:pPr>
        <w:spacing w:after="220" w:line="240" w:lineRule="auto"/>
        <w:ind w:left="1440"/>
        <w:jc w:val="both"/>
        <w:rPr>
          <w:rFonts w:ascii="Times New Roman" w:eastAsia="Times New Roman" w:hAnsi="Times New Roman"/>
        </w:rPr>
      </w:pPr>
      <w:r>
        <w:rPr>
          <w:rFonts w:ascii="Times New Roman" w:eastAsia="Times New Roman" w:hAnsi="Times New Roman"/>
        </w:rPr>
        <w:t>Finally, the credibility-adjusted tables shall be adjusted for mortality improvement (where such adjustment is permitted or required) using the guidance and requirements in Section 11.D.</w:t>
      </w:r>
    </w:p>
    <w:p w14:paraId="33AB028C"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Business Segments</w:t>
      </w:r>
    </w:p>
    <w:p w14:paraId="428D95F7" w14:textId="77777777" w:rsidR="008A7F4A" w:rsidRDefault="008A7F4A" w:rsidP="008A7F4A">
      <w:pPr>
        <w:spacing w:after="220" w:line="240" w:lineRule="auto"/>
        <w:ind w:left="1440"/>
        <w:jc w:val="both"/>
        <w:rPr>
          <w:rFonts w:ascii="Times New Roman" w:eastAsia="Times New Roman" w:hAnsi="Times New Roman" w:cs="Times New Roman"/>
        </w:rPr>
      </w:pPr>
      <w:r>
        <w:rPr>
          <w:rFonts w:ascii="Times New Roman" w:eastAsia="Times New Roman" w:hAnsi="Times New Roman"/>
        </w:rPr>
        <w:t xml:space="preserve">For purposes of setting prudent estimate mortality assumptions, the products falling under the scope of these requirements shall be grouped into business segments with different mortality assumptions. The grouping, at a minimum, should differentiate between payout annuities or deferred annuity contracts that contain GLBs, and deferred annuity contracts with no guaranteed benefits or only GMDBs. Where appropriate, the grouping should also differentiate between segments which are known or expected to contain contract holders with sociodemographic, geographic, or health factors reasonably expected to impact the mortality assumptions for the segment (e.g., annuitants drawn from different countries, geographic areas, industry groups, or impaired lives on individually underwritten contracts such as structured settlements). The grouping should also generally follow the pricing, </w:t>
      </w:r>
      <w:r>
        <w:rPr>
          <w:rFonts w:ascii="Times New Roman" w:eastAsia="Times New Roman" w:hAnsi="Times New Roman" w:cs="Times New Roman"/>
        </w:rPr>
        <w:t xml:space="preserve">marketing, management and/or reinsurance programs of the company. </w:t>
      </w:r>
    </w:p>
    <w:p w14:paraId="4CBF0E27" w14:textId="77777777" w:rsidR="008A7F4A" w:rsidRDefault="008A7F4A" w:rsidP="008A7F4A">
      <w:pPr>
        <w:pBdr>
          <w:top w:val="single" w:sz="4" w:space="1" w:color="auto"/>
          <w:left w:val="single" w:sz="4" w:space="1" w:color="auto"/>
          <w:bottom w:val="single" w:sz="4" w:space="1" w:color="auto"/>
          <w:right w:val="single" w:sz="4" w:space="1" w:color="auto"/>
        </w:pBdr>
        <w:spacing w:after="220" w:line="240" w:lineRule="auto"/>
        <w:ind w:left="1440"/>
        <w:jc w:val="both"/>
        <w:rPr>
          <w:rFonts w:ascii="Times New Roman" w:eastAsia="Times New Roman" w:hAnsi="Times New Roman"/>
        </w:rPr>
      </w:pPr>
      <w:r>
        <w:rPr>
          <w:rFonts w:ascii="Times New Roman" w:hAnsi="Times New Roman" w:cs="Times New Roman"/>
          <w:b/>
          <w:bCs/>
        </w:rPr>
        <w:t>Guidance Note:</w:t>
      </w:r>
      <w:r>
        <w:rPr>
          <w:rFonts w:ascii="Times New Roman" w:hAnsi="Times New Roman" w:cs="Times New Roman"/>
        </w:rPr>
        <w:t xml:space="preserve"> This paragraph contemplates situations where it may be appropriate to differentiate mortality assumptions by segment or even by contract due to varying </w:t>
      </w:r>
      <w:r>
        <w:rPr>
          <w:rFonts w:ascii="Times New Roman" w:eastAsia="Times New Roman" w:hAnsi="Times New Roman"/>
        </w:rPr>
        <w:t xml:space="preserve">sociodemographic, geographic, or health factors. </w:t>
      </w:r>
      <w:r>
        <w:rPr>
          <w:rFonts w:ascii="Times New Roman" w:hAnsi="Times New Roman" w:cs="Times New Roman"/>
        </w:rPr>
        <w:t>Particularly, though not exclusively, in the context of group payout annuity contracts, companies may have credible, contract-specific mortality experience data or relevant pooled data from annuitants drawn from similar industries or geographies that may be used to sub-divide inforce blocks into business segments for purposes of setting prudent estimate mortality assumptions.</w:t>
      </w:r>
    </w:p>
    <w:p w14:paraId="588EDDCF" w14:textId="77777777" w:rsidR="008A7F4A" w:rsidRDefault="008A7F4A" w:rsidP="008A7F4A">
      <w:pPr>
        <w:pStyle w:val="ListParagraph"/>
        <w:widowControl w:val="0"/>
        <w:pBdr>
          <w:top w:val="single" w:sz="4" w:space="1" w:color="auto"/>
          <w:left w:val="single" w:sz="4" w:space="1" w:color="auto"/>
          <w:bottom w:val="single" w:sz="4" w:space="1" w:color="auto"/>
          <w:right w:val="single" w:sz="4" w:space="1" w:color="auto"/>
        </w:pBdr>
        <w:spacing w:after="0" w:line="240" w:lineRule="auto"/>
        <w:ind w:left="1440"/>
        <w:jc w:val="both"/>
        <w:rPr>
          <w:rFonts w:ascii="Times New Roman" w:eastAsia="Times New Roman" w:hAnsi="Times New Roman"/>
          <w:spacing w:val="-2"/>
        </w:rPr>
      </w:pPr>
      <w:r>
        <w:rPr>
          <w:rFonts w:ascii="Times New Roman" w:hAnsi="Times New Roman" w:cs="Times New Roman"/>
        </w:rPr>
        <w:t xml:space="preserve">For example, a company may sell group PRT contracts both to union plans in the U.S. and to private single-employer plans in another country. While both are “PRT contracts,” it would be appropriate to differentiate them for mortality assumption purposes, </w:t>
      </w:r>
      <w:proofErr w:type="gramStart"/>
      <w:r>
        <w:rPr>
          <w:rFonts w:ascii="Times New Roman" w:hAnsi="Times New Roman" w:cs="Times New Roman"/>
        </w:rPr>
        <w:t>similar to</w:t>
      </w:r>
      <w:proofErr w:type="gramEnd"/>
      <w:r>
        <w:rPr>
          <w:rFonts w:ascii="Times New Roman" w:hAnsi="Times New Roman" w:cs="Times New Roman"/>
        </w:rPr>
        <w:t xml:space="preserve"> how payout annuities vs. deferred annuities are distinguished. </w:t>
      </w:r>
    </w:p>
    <w:p w14:paraId="7BE040C3" w14:textId="77777777" w:rsidR="008A7F4A" w:rsidRDefault="008A7F4A" w:rsidP="008A7F4A">
      <w:pPr>
        <w:pStyle w:val="ListParagraph"/>
        <w:widowControl w:val="0"/>
        <w:spacing w:after="0" w:line="240" w:lineRule="auto"/>
        <w:ind w:left="1440"/>
        <w:jc w:val="both"/>
        <w:rPr>
          <w:rFonts w:ascii="Times New Roman" w:eastAsia="Times New Roman" w:hAnsi="Times New Roman"/>
          <w:b/>
          <w:bCs/>
          <w:spacing w:val="-2"/>
        </w:rPr>
      </w:pPr>
    </w:p>
    <w:p w14:paraId="65216EA0" w14:textId="77777777" w:rsidR="008A7F4A" w:rsidRDefault="008A7F4A" w:rsidP="008A7F4A">
      <w:pPr>
        <w:pStyle w:val="ListParagraph"/>
        <w:widowControl w:val="0"/>
        <w:pBdr>
          <w:top w:val="single" w:sz="4" w:space="1" w:color="auto"/>
          <w:left w:val="single" w:sz="4" w:space="4" w:color="auto"/>
          <w:bottom w:val="single" w:sz="4" w:space="1" w:color="auto"/>
          <w:right w:val="single" w:sz="4" w:space="4" w:color="auto"/>
          <w:between w:val="single" w:sz="4" w:space="1" w:color="auto"/>
        </w:pBdr>
        <w:spacing w:after="0" w:line="240" w:lineRule="auto"/>
        <w:ind w:left="1440"/>
        <w:jc w:val="both"/>
        <w:rPr>
          <w:rFonts w:ascii="Times New Roman" w:eastAsia="Times New Roman" w:hAnsi="Times New Roman"/>
          <w:spacing w:val="-2"/>
        </w:rPr>
      </w:pPr>
      <w:r>
        <w:rPr>
          <w:rFonts w:ascii="Times New Roman" w:eastAsia="Times New Roman" w:hAnsi="Times New Roman"/>
          <w:b/>
          <w:bCs/>
          <w:spacing w:val="-2"/>
        </w:rPr>
        <w:t xml:space="preserve">Guidance Note: </w:t>
      </w:r>
      <w:r>
        <w:rPr>
          <w:rFonts w:ascii="Times New Roman" w:eastAsia="Times New Roman" w:hAnsi="Times New Roman"/>
          <w:spacing w:val="-2"/>
        </w:rPr>
        <w:t>Distinct mortality or liability assumptions among different contracts within a group of contracts does not in itself preclude the group of contracts from being aggregated for the purposes of the broader stochastic reserve calculation.</w:t>
      </w:r>
    </w:p>
    <w:p w14:paraId="4E9DDEA5" w14:textId="77777777" w:rsidR="008A7F4A" w:rsidRDefault="008A7F4A" w:rsidP="008A7F4A">
      <w:pPr>
        <w:pStyle w:val="ListParagraph"/>
        <w:widowControl w:val="0"/>
        <w:spacing w:after="0" w:line="240" w:lineRule="auto"/>
        <w:ind w:left="1440"/>
        <w:jc w:val="both"/>
        <w:rPr>
          <w:rFonts w:ascii="Times New Roman" w:eastAsia="Times New Roman" w:hAnsi="Times New Roman"/>
          <w:spacing w:val="-2"/>
        </w:rPr>
      </w:pPr>
    </w:p>
    <w:p w14:paraId="197336B6" w14:textId="77777777" w:rsidR="008A7F4A" w:rsidRDefault="008A7F4A" w:rsidP="00745C9A">
      <w:pPr>
        <w:pStyle w:val="ListParagraph"/>
        <w:widowControl w:val="0"/>
        <w:numPr>
          <w:ilvl w:val="0"/>
          <w:numId w:val="123"/>
        </w:numPr>
        <w:spacing w:after="220" w:line="240" w:lineRule="auto"/>
        <w:ind w:left="1440" w:hanging="720"/>
        <w:jc w:val="both"/>
        <w:rPr>
          <w:rFonts w:ascii="Times New Roman" w:eastAsia="Times New Roman" w:hAnsi="Times New Roman"/>
          <w:spacing w:val="-2"/>
        </w:rPr>
      </w:pPr>
      <w:commentRangeStart w:id="113"/>
      <w:r>
        <w:rPr>
          <w:rFonts w:ascii="Times New Roman" w:eastAsia="Times New Roman" w:hAnsi="Times New Roman"/>
          <w:spacing w:val="-2"/>
        </w:rPr>
        <w:t>Margin for Data Uncertainty</w:t>
      </w:r>
      <w:commentRangeEnd w:id="113"/>
      <w:r w:rsidR="00B92323">
        <w:rPr>
          <w:rStyle w:val="CommentReference"/>
        </w:rPr>
        <w:commentReference w:id="113"/>
      </w:r>
    </w:p>
    <w:p w14:paraId="7406A4A1" w14:textId="77777777" w:rsidR="008A7F4A" w:rsidRDefault="008A7F4A" w:rsidP="008A7F4A">
      <w:pPr>
        <w:pStyle w:val="ListParagraph"/>
        <w:spacing w:after="220" w:line="240" w:lineRule="auto"/>
        <w:ind w:left="1440"/>
        <w:jc w:val="both"/>
        <w:rPr>
          <w:rFonts w:ascii="Times New Roman" w:eastAsia="Times New Roman" w:hAnsi="Times New Roman"/>
        </w:rPr>
      </w:pPr>
      <w:r>
        <w:rPr>
          <w:rFonts w:ascii="Times New Roman" w:eastAsia="Times New Roman" w:hAnsi="Times New Roman"/>
          <w:spacing w:val="-2"/>
        </w:rPr>
        <w:t>The expected mortality curves that are determined in Section 11.B may need to include a margin for data uncertainty. The margin could be in the form of an increase or a decrease in mortality, depending on the business segment under consideration. The margin shall be applied in a direction (i.e., increase or decrease in mortality) that results in a higher reserve. A sensitivity test may be needed to determine the appropriate direction of the provision for uncertainty to mortality. The test could be a prior year mortality sensitivity analysis of the business segment or an examination of current representative cells of the segment.</w:t>
      </w:r>
    </w:p>
    <w:p w14:paraId="3DE69D63" w14:textId="77777777" w:rsidR="008A7F4A" w:rsidRDefault="008A7F4A" w:rsidP="008A7F4A">
      <w:pPr>
        <w:spacing w:after="220" w:line="240" w:lineRule="auto"/>
        <w:ind w:left="1440"/>
        <w:jc w:val="both"/>
        <w:rPr>
          <w:rFonts w:ascii="Times New Roman" w:eastAsia="Times New Roman" w:hAnsi="Times New Roman"/>
        </w:rPr>
      </w:pPr>
      <w:r>
        <w:rPr>
          <w:rFonts w:ascii="Times New Roman" w:eastAsia="Times New Roman" w:hAnsi="Times New Roman"/>
        </w:rPr>
        <w:t>For purposes of this section, if mortality must be increased (decreased) to provide for uncertainty, the business segment is referred to as a plus (minus) segment.</w:t>
      </w:r>
    </w:p>
    <w:p w14:paraId="5330C431" w14:textId="77777777" w:rsidR="008A7F4A" w:rsidRDefault="008A7F4A" w:rsidP="008A7F4A">
      <w:pPr>
        <w:spacing w:after="220" w:line="240" w:lineRule="auto"/>
        <w:ind w:left="1440"/>
        <w:jc w:val="both"/>
        <w:rPr>
          <w:rFonts w:ascii="Times New Roman" w:eastAsia="Times New Roman" w:hAnsi="Times New Roman"/>
        </w:rPr>
      </w:pPr>
      <w:r>
        <w:rPr>
          <w:rFonts w:ascii="Times New Roman" w:eastAsia="Times New Roman" w:hAnsi="Times New Roman"/>
        </w:rPr>
        <w:t>It may be necessary, because of a change in the mortality risk profile of the segment, to reclassify a business segment from a plus (minus) segment to a minus (plus) segment to the extent compliance with this section requires such a reclassification. For example, a segment could require reclassification depending on whether it is gross or net of reinsurance.</w:t>
      </w:r>
    </w:p>
    <w:p w14:paraId="10E374DA" w14:textId="77777777" w:rsidR="008A7F4A" w:rsidRDefault="008A7F4A" w:rsidP="008A7F4A">
      <w:pPr>
        <w:pStyle w:val="Heading2"/>
        <w:rPr>
          <w:sz w:val="22"/>
          <w:szCs w:val="22"/>
        </w:rPr>
      </w:pPr>
      <w:bookmarkStart w:id="114" w:name="_Toc77242175"/>
      <w:r>
        <w:rPr>
          <w:sz w:val="22"/>
          <w:szCs w:val="22"/>
        </w:rPr>
        <w:t>B.</w:t>
      </w:r>
      <w:r>
        <w:rPr>
          <w:sz w:val="22"/>
          <w:szCs w:val="22"/>
        </w:rPr>
        <w:tab/>
        <w:t>Determination of Expected Mortality Curves</w:t>
      </w:r>
      <w:bookmarkEnd w:id="114"/>
    </w:p>
    <w:p w14:paraId="01069C00" w14:textId="77777777" w:rsidR="008A7F4A" w:rsidRDefault="008A7F4A" w:rsidP="008A7F4A">
      <w:pPr>
        <w:spacing w:after="0"/>
      </w:pPr>
    </w:p>
    <w:p w14:paraId="759B6671"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Experience Data</w:t>
      </w:r>
    </w:p>
    <w:p w14:paraId="65B5F0F7" w14:textId="77777777" w:rsidR="008A7F4A" w:rsidRDefault="008A7F4A" w:rsidP="008A7F4A">
      <w:pPr>
        <w:spacing w:after="220" w:line="240" w:lineRule="auto"/>
        <w:ind w:left="1440"/>
        <w:jc w:val="both"/>
        <w:rPr>
          <w:rFonts w:ascii="Times New Roman" w:eastAsia="Times New Roman" w:hAnsi="Times New Roman"/>
        </w:rPr>
      </w:pPr>
      <w:r>
        <w:rPr>
          <w:rFonts w:ascii="Times New Roman" w:eastAsia="Times New Roman" w:hAnsi="Times New Roman"/>
        </w:rPr>
        <w:t xml:space="preserve">In determining expected mortality curves, the company shall use actual experience data directly applicable to the business segment (i.e., direct data) if it is available. In the absence of direct data, the company should then look to use data from a segment that is </w:t>
      </w:r>
      <w:proofErr w:type="gramStart"/>
      <w:r>
        <w:rPr>
          <w:rFonts w:ascii="Times New Roman" w:eastAsia="Times New Roman" w:hAnsi="Times New Roman"/>
        </w:rPr>
        <w:t>similar to</w:t>
      </w:r>
      <w:proofErr w:type="gramEnd"/>
      <w:r>
        <w:rPr>
          <w:rFonts w:ascii="Times New Roman" w:eastAsia="Times New Roman" w:hAnsi="Times New Roman"/>
        </w:rPr>
        <w:t xml:space="preserve"> the business segment (i.e., other than direct experience). See Section 11.B.2. for additional considerations. Finally, if there is no data, the company shall use the applicable table, as required in Section 11.B.3.</w:t>
      </w:r>
    </w:p>
    <w:p w14:paraId="0FEA191D"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Data Other Than Direct Experience</w:t>
      </w:r>
    </w:p>
    <w:p w14:paraId="22D217CC" w14:textId="77777777" w:rsidR="008A7F4A" w:rsidRDefault="008A7F4A" w:rsidP="008A7F4A">
      <w:pPr>
        <w:spacing w:after="220" w:line="240" w:lineRule="auto"/>
        <w:ind w:left="1440"/>
        <w:jc w:val="both"/>
        <w:rPr>
          <w:rFonts w:ascii="Times New Roman" w:eastAsia="Times New Roman" w:hAnsi="Times New Roman"/>
        </w:rPr>
      </w:pPr>
      <w:r>
        <w:rPr>
          <w:rFonts w:ascii="Times New Roman" w:eastAsia="Times New Roman" w:hAnsi="Times New Roman"/>
        </w:rPr>
        <w:t>Adjustments shall be applied to the data to reflect differences between the business segments, and margins shall be applied to the adjusted expected mortality curves to reflect the data uncertainty associated with using data from a similar but not identical business segment.</w:t>
      </w:r>
    </w:p>
    <w:p w14:paraId="70E7B1AB" w14:textId="77777777" w:rsidR="008A7F4A" w:rsidRDefault="008A7F4A" w:rsidP="008A7F4A">
      <w:pPr>
        <w:spacing w:after="220" w:line="240" w:lineRule="auto"/>
        <w:ind w:left="1440"/>
        <w:jc w:val="both"/>
        <w:rPr>
          <w:rFonts w:ascii="Times New Roman" w:eastAsia="Times New Roman" w:hAnsi="Times New Roman"/>
        </w:rPr>
      </w:pPr>
      <w:r>
        <w:rPr>
          <w:rFonts w:ascii="Times New Roman" w:eastAsia="Times New Roman" w:hAnsi="Times New Roman"/>
        </w:rPr>
        <w:t xml:space="preserve">To the extent the mortality of a business segment is reinsured, any mortality charges that are consistent with the company’s own pricing and applicable to a substantial portion of the mortality risk also may be a reasonable starting point for the determination of the company’s expected mortality curves. </w:t>
      </w:r>
    </w:p>
    <w:p w14:paraId="0397CEAF"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No Data Requirements</w:t>
      </w:r>
    </w:p>
    <w:p w14:paraId="71E0AFDE" w14:textId="77777777" w:rsidR="008A7F4A" w:rsidRDefault="008A7F4A" w:rsidP="00745C9A">
      <w:pPr>
        <w:pStyle w:val="ListParagraph"/>
        <w:numPr>
          <w:ilvl w:val="0"/>
          <w:numId w:val="124"/>
        </w:numPr>
        <w:spacing w:after="220" w:line="240" w:lineRule="auto"/>
        <w:jc w:val="both"/>
        <w:rPr>
          <w:rFonts w:ascii="Times New Roman" w:eastAsia="Times New Roman" w:hAnsi="Times New Roman"/>
        </w:rPr>
      </w:pPr>
      <w:r>
        <w:rPr>
          <w:rFonts w:ascii="Times New Roman" w:eastAsia="Times New Roman" w:hAnsi="Times New Roman"/>
        </w:rPr>
        <w:t>When little or no experience or information is available on a business segment, the company shall use expected mortality curves that would produce expected deaths no less than:</w:t>
      </w:r>
    </w:p>
    <w:p w14:paraId="53C7BC80" w14:textId="77777777" w:rsidR="008A7F4A" w:rsidRDefault="008A7F4A" w:rsidP="008A7F4A">
      <w:pPr>
        <w:pStyle w:val="ListParagraph"/>
        <w:spacing w:after="220" w:line="240" w:lineRule="auto"/>
        <w:ind w:left="2160"/>
        <w:jc w:val="both"/>
        <w:rPr>
          <w:rFonts w:ascii="Times New Roman" w:eastAsia="Times New Roman" w:hAnsi="Times New Roman"/>
        </w:rPr>
      </w:pPr>
    </w:p>
    <w:p w14:paraId="30976739" w14:textId="77777777" w:rsidR="008A7F4A" w:rsidRDefault="008A7F4A" w:rsidP="00745C9A">
      <w:pPr>
        <w:pStyle w:val="ListParagraph"/>
        <w:numPr>
          <w:ilvl w:val="1"/>
          <w:numId w:val="124"/>
        </w:numPr>
        <w:spacing w:after="220" w:line="240" w:lineRule="auto"/>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highlight w:val="yellow"/>
        </w:rPr>
        <w:t>2021 SOA Deferred Annuity Mortality Table</w:t>
      </w:r>
      <w:r>
        <w:rPr>
          <w:rFonts w:ascii="Times New Roman" w:eastAsia="Times New Roman" w:hAnsi="Times New Roman"/>
        </w:rPr>
        <w:t>] with [</w:t>
      </w:r>
      <w:r>
        <w:rPr>
          <w:rFonts w:ascii="Times New Roman" w:eastAsia="Times New Roman" w:hAnsi="Times New Roman"/>
          <w:highlight w:val="yellow"/>
        </w:rPr>
        <w:t>Projection Scale G2</w:t>
      </w:r>
      <w:r>
        <w:rPr>
          <w:rFonts w:ascii="Times New Roman" w:eastAsia="Times New Roman" w:hAnsi="Times New Roman"/>
        </w:rPr>
        <w:t>] for individual deferred annuities that do not contain guaranteed living benefits</w:t>
      </w:r>
    </w:p>
    <w:p w14:paraId="3B5FBEB0" w14:textId="77777777" w:rsidR="008A7F4A" w:rsidRDefault="008A7F4A" w:rsidP="008A7F4A">
      <w:pPr>
        <w:pStyle w:val="ListParagraph"/>
        <w:spacing w:after="0" w:line="240" w:lineRule="auto"/>
        <w:ind w:left="2218"/>
        <w:jc w:val="both"/>
        <w:rPr>
          <w:rFonts w:ascii="Times New Roman" w:eastAsia="Times New Roman" w:hAnsi="Times New Roman"/>
        </w:rPr>
      </w:pPr>
    </w:p>
    <w:p w14:paraId="63233CA1" w14:textId="77777777" w:rsidR="008A7F4A" w:rsidRDefault="00431E1C" w:rsidP="008A7F4A">
      <w:pPr>
        <w:spacing w:after="0" w:line="240" w:lineRule="auto"/>
        <w:ind w:left="2160"/>
        <w:rPr>
          <w:rFonts w:ascii="Times New Roman" w:eastAsia="Times New Roman" w:hAnsi="Times New Roman"/>
        </w:rPr>
      </w:pPr>
      <m:oMathPara>
        <m:oMath>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20XX+n</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20XX</m:t>
              </m:r>
            </m:sup>
          </m:sSubSup>
          <m:r>
            <w:rPr>
              <w:rFonts w:ascii="Cambria Math" w:eastAsia="Times New Roman" w:hAnsi="Cambria Math"/>
            </w:rPr>
            <m:t>(1-</m:t>
          </m:r>
          <m:sSub>
            <m:sSubPr>
              <m:ctrlPr>
                <w:rPr>
                  <w:rFonts w:ascii="Cambria Math" w:eastAsia="Times New Roman" w:hAnsi="Cambria Math"/>
                  <w:i/>
                </w:rPr>
              </m:ctrlPr>
            </m:sSubPr>
            <m:e>
              <m:r>
                <w:rPr>
                  <w:rFonts w:ascii="Cambria Math" w:eastAsia="Times New Roman" w:hAnsi="Cambria Math"/>
                </w:rPr>
                <m:t>G2</m:t>
              </m:r>
            </m:e>
            <m:sub>
              <m:r>
                <w:rPr>
                  <w:rFonts w:ascii="Cambria Math" w:eastAsia="Times New Roman" w:hAnsi="Cambria Math"/>
                </w:rPr>
                <m:t>x</m:t>
              </m:r>
            </m:sub>
          </m:sSub>
          <m:sSup>
            <m:sSupPr>
              <m:ctrlPr>
                <w:rPr>
                  <w:rFonts w:ascii="Cambria Math" w:eastAsia="Times New Roman" w:hAnsi="Cambria Math"/>
                  <w:i/>
                </w:rPr>
              </m:ctrlPr>
            </m:sSupPr>
            <m:e>
              <m:r>
                <w:rPr>
                  <w:rFonts w:ascii="Cambria Math" w:eastAsia="Times New Roman" w:hAnsi="Cambria Math"/>
                </w:rPr>
                <m:t>)</m:t>
              </m:r>
            </m:e>
            <m:sup>
              <m:r>
                <w:rPr>
                  <w:rFonts w:ascii="Cambria Math" w:eastAsia="Times New Roman" w:hAnsi="Cambria Math"/>
                </w:rPr>
                <m:t>n</m:t>
              </m:r>
            </m:sup>
          </m:sSup>
        </m:oMath>
      </m:oMathPara>
    </w:p>
    <w:p w14:paraId="59D9CC65" w14:textId="77777777" w:rsidR="008A7F4A" w:rsidRDefault="008A7F4A" w:rsidP="008A7F4A">
      <w:pPr>
        <w:pStyle w:val="ListParagraph"/>
        <w:spacing w:after="220" w:line="240" w:lineRule="auto"/>
        <w:ind w:left="2220"/>
        <w:jc w:val="both"/>
        <w:rPr>
          <w:rFonts w:ascii="Times New Roman" w:eastAsia="Times New Roman" w:hAnsi="Times New Roman"/>
        </w:rPr>
      </w:pPr>
    </w:p>
    <w:p w14:paraId="13832BB7" w14:textId="77777777" w:rsidR="008A7F4A" w:rsidRDefault="008A7F4A" w:rsidP="00745C9A">
      <w:pPr>
        <w:pStyle w:val="ListParagraph"/>
        <w:numPr>
          <w:ilvl w:val="0"/>
          <w:numId w:val="124"/>
        </w:numPr>
        <w:spacing w:after="220" w:line="240" w:lineRule="auto"/>
        <w:jc w:val="both"/>
        <w:rPr>
          <w:rFonts w:ascii="Times New Roman" w:eastAsia="Times New Roman" w:hAnsi="Times New Roman"/>
        </w:rPr>
      </w:pPr>
      <w:r>
        <w:rPr>
          <w:rFonts w:ascii="Times New Roman" w:eastAsia="Times New Roman" w:hAnsi="Times New Roman"/>
        </w:rPr>
        <w:t>When little or no experience or information is available on a business segment, the company shall use expected mortality curves that would produce expected deaths no greater than:</w:t>
      </w:r>
    </w:p>
    <w:p w14:paraId="2A30C9F9" w14:textId="77777777" w:rsidR="008A7F4A" w:rsidRDefault="008A7F4A" w:rsidP="008A7F4A">
      <w:pPr>
        <w:pStyle w:val="ListParagraph"/>
        <w:spacing w:after="220" w:line="240" w:lineRule="auto"/>
        <w:ind w:left="2160"/>
        <w:jc w:val="both"/>
        <w:rPr>
          <w:rFonts w:ascii="Times New Roman" w:eastAsia="Times New Roman" w:hAnsi="Times New Roman"/>
        </w:rPr>
      </w:pPr>
    </w:p>
    <w:p w14:paraId="2CC11BAB" w14:textId="77777777" w:rsidR="008A7F4A" w:rsidRDefault="008A7F4A" w:rsidP="00745C9A">
      <w:pPr>
        <w:pStyle w:val="ListParagraph"/>
        <w:numPr>
          <w:ilvl w:val="1"/>
          <w:numId w:val="124"/>
        </w:numPr>
        <w:spacing w:after="220" w:line="240" w:lineRule="auto"/>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highlight w:val="yellow"/>
        </w:rPr>
        <w:t>The appropriate percentage (</w:t>
      </w:r>
      <w:proofErr w:type="spellStart"/>
      <w:r>
        <w:rPr>
          <w:rFonts w:ascii="Times New Roman" w:eastAsia="Times New Roman" w:hAnsi="Times New Roman"/>
          <w:highlight w:val="yellow"/>
        </w:rPr>
        <w:t>F</w:t>
      </w:r>
      <w:r>
        <w:rPr>
          <w:rFonts w:ascii="Times New Roman" w:eastAsia="Times New Roman" w:hAnsi="Times New Roman"/>
          <w:highlight w:val="yellow"/>
          <w:vertAlign w:val="subscript"/>
        </w:rPr>
        <w:t>x</w:t>
      </w:r>
      <w:proofErr w:type="spellEnd"/>
      <w:r>
        <w:rPr>
          <w:rFonts w:ascii="Times New Roman" w:eastAsia="Times New Roman" w:hAnsi="Times New Roman"/>
          <w:highlight w:val="yellow"/>
        </w:rPr>
        <w:t>) from Table 11.1 applied to the 2012 IAM Basic Mortality Table</w:t>
      </w:r>
      <w:r>
        <w:rPr>
          <w:rFonts w:ascii="Times New Roman" w:eastAsia="Times New Roman" w:hAnsi="Times New Roman"/>
        </w:rPr>
        <w:t>] with [</w:t>
      </w:r>
      <w:r>
        <w:rPr>
          <w:rFonts w:ascii="Times New Roman" w:eastAsia="Times New Roman" w:hAnsi="Times New Roman"/>
          <w:highlight w:val="yellow"/>
        </w:rPr>
        <w:t>Projection Scale G2</w:t>
      </w:r>
      <w:r>
        <w:rPr>
          <w:rFonts w:ascii="Times New Roman" w:eastAsia="Times New Roman" w:hAnsi="Times New Roman"/>
        </w:rPr>
        <w:t>] for individual payout annuity contracts and deferred annuity contracts with guaranteed living benefits</w:t>
      </w:r>
    </w:p>
    <w:p w14:paraId="074F2A2B" w14:textId="77777777" w:rsidR="008A7F4A" w:rsidRDefault="008A7F4A" w:rsidP="008A7F4A">
      <w:pPr>
        <w:pStyle w:val="ListParagraph"/>
        <w:spacing w:after="220" w:line="240" w:lineRule="auto"/>
        <w:ind w:left="2220"/>
        <w:rPr>
          <w:rFonts w:ascii="Times New Roman" w:eastAsia="Times New Roman" w:hAnsi="Times New Roman"/>
        </w:rPr>
      </w:pPr>
    </w:p>
    <w:p w14:paraId="03116C32" w14:textId="77777777" w:rsidR="008A7F4A" w:rsidRDefault="00431E1C" w:rsidP="008A7F4A">
      <w:pPr>
        <w:pStyle w:val="ListParagraph"/>
        <w:spacing w:after="220" w:line="240" w:lineRule="auto"/>
        <w:ind w:left="2220"/>
        <w:rPr>
          <w:rFonts w:ascii="Times New Roman" w:eastAsia="Times New Roman" w:hAnsi="Times New Roman"/>
        </w:rPr>
      </w:pPr>
      <m:oMathPara>
        <m:oMath>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2012+n</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2012</m:t>
              </m:r>
            </m:sup>
          </m:sSubSup>
          <m:r>
            <w:rPr>
              <w:rFonts w:ascii="Cambria Math" w:eastAsia="Times New Roman" w:hAnsi="Cambria Math"/>
            </w:rPr>
            <m:t>(1-</m:t>
          </m:r>
          <m:sSub>
            <m:sSubPr>
              <m:ctrlPr>
                <w:rPr>
                  <w:rFonts w:ascii="Cambria Math" w:eastAsia="Times New Roman" w:hAnsi="Cambria Math"/>
                  <w:i/>
                </w:rPr>
              </m:ctrlPr>
            </m:sSubPr>
            <m:e>
              <m:r>
                <w:rPr>
                  <w:rFonts w:ascii="Cambria Math" w:eastAsia="Times New Roman" w:hAnsi="Cambria Math"/>
                </w:rPr>
                <m:t>G2</m:t>
              </m:r>
            </m:e>
            <m:sub>
              <m:r>
                <w:rPr>
                  <w:rFonts w:ascii="Cambria Math" w:eastAsia="Times New Roman" w:hAnsi="Cambria Math"/>
                </w:rPr>
                <m:t>x</m:t>
              </m:r>
            </m:sub>
          </m:sSub>
          <m:sSup>
            <m:sSupPr>
              <m:ctrlPr>
                <w:rPr>
                  <w:rFonts w:ascii="Cambria Math" w:eastAsia="Times New Roman" w:hAnsi="Cambria Math"/>
                  <w:i/>
                </w:rPr>
              </m:ctrlPr>
            </m:sSupPr>
            <m:e>
              <m:r>
                <w:rPr>
                  <w:rFonts w:ascii="Cambria Math" w:eastAsia="Times New Roman" w:hAnsi="Cambria Math"/>
                </w:rPr>
                <m:t>)</m:t>
              </m:r>
            </m:e>
            <m:sup>
              <m:r>
                <w:rPr>
                  <w:rFonts w:ascii="Cambria Math" w:eastAsia="Times New Roman" w:hAnsi="Cambria Math"/>
                </w:rPr>
                <m:t>n</m:t>
              </m:r>
            </m:sup>
          </m:sSup>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F</m:t>
              </m:r>
            </m:e>
            <m:sub>
              <m:r>
                <w:rPr>
                  <w:rFonts w:ascii="Cambria Math" w:eastAsia="Times New Roman" w:hAnsi="Cambria Math"/>
                </w:rPr>
                <m:t>x</m:t>
              </m:r>
            </m:sub>
          </m:sSub>
        </m:oMath>
      </m:oMathPara>
    </w:p>
    <w:p w14:paraId="4E7072F6" w14:textId="77777777" w:rsidR="008A7F4A" w:rsidRDefault="008A7F4A" w:rsidP="008A7F4A">
      <w:pPr>
        <w:pStyle w:val="ListParagraph"/>
        <w:spacing w:after="220" w:line="240" w:lineRule="auto"/>
        <w:ind w:left="2160"/>
        <w:jc w:val="both"/>
        <w:rPr>
          <w:rFonts w:ascii="Times New Roman" w:eastAsia="Times New Roman" w:hAnsi="Times New Roman"/>
        </w:rPr>
      </w:pPr>
    </w:p>
    <w:p w14:paraId="4AF71512" w14:textId="77777777" w:rsidR="008A7F4A" w:rsidRDefault="008A7F4A" w:rsidP="00745C9A">
      <w:pPr>
        <w:pStyle w:val="ListParagraph"/>
        <w:numPr>
          <w:ilvl w:val="1"/>
          <w:numId w:val="124"/>
        </w:numPr>
        <w:spacing w:after="220" w:line="240" w:lineRule="auto"/>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highlight w:val="yellow"/>
        </w:rPr>
        <w:t>1983 Table “a”</w:t>
      </w:r>
      <w:r>
        <w:rPr>
          <w:rFonts w:ascii="Times New Roman" w:eastAsia="Times New Roman" w:hAnsi="Times New Roman"/>
        </w:rPr>
        <w:t>] for structured settlements or other contracts with impaired mortality</w:t>
      </w:r>
    </w:p>
    <w:p w14:paraId="03F02BE2" w14:textId="77777777" w:rsidR="008A7F4A" w:rsidRDefault="008A7F4A" w:rsidP="008A7F4A">
      <w:pPr>
        <w:pStyle w:val="ListParagraph"/>
        <w:spacing w:after="220" w:line="240" w:lineRule="auto"/>
        <w:ind w:left="2220"/>
        <w:jc w:val="both"/>
        <w:rPr>
          <w:rFonts w:ascii="Times New Roman" w:eastAsia="Times New Roman" w:hAnsi="Times New Roman"/>
        </w:rPr>
      </w:pPr>
    </w:p>
    <w:p w14:paraId="2FD0367F" w14:textId="77777777" w:rsidR="008A7F4A" w:rsidRDefault="008A7F4A" w:rsidP="00745C9A">
      <w:pPr>
        <w:pStyle w:val="ListParagraph"/>
        <w:numPr>
          <w:ilvl w:val="1"/>
          <w:numId w:val="124"/>
        </w:numPr>
        <w:spacing w:after="220" w:line="240" w:lineRule="auto"/>
        <w:jc w:val="both"/>
        <w:rPr>
          <w:rFonts w:ascii="Times New Roman" w:eastAsia="Times New Roman" w:hAnsi="Times New Roman"/>
        </w:rPr>
      </w:pPr>
      <w:commentRangeStart w:id="115"/>
      <w:r>
        <w:rPr>
          <w:rFonts w:ascii="Times New Roman" w:eastAsia="Times New Roman" w:hAnsi="Times New Roman"/>
        </w:rPr>
        <w:t>[</w:t>
      </w:r>
      <w:r>
        <w:rPr>
          <w:rFonts w:ascii="Times New Roman" w:eastAsia="Times New Roman" w:hAnsi="Times New Roman"/>
          <w:highlight w:val="yellow"/>
        </w:rPr>
        <w:t>1994 GAR Table</w:t>
      </w:r>
      <w:r>
        <w:rPr>
          <w:rFonts w:ascii="Times New Roman" w:eastAsia="Times New Roman" w:hAnsi="Times New Roman"/>
        </w:rPr>
        <w:t xml:space="preserve">] </w:t>
      </w:r>
      <w:commentRangeEnd w:id="115"/>
      <w:r w:rsidR="0008254D">
        <w:rPr>
          <w:rStyle w:val="CommentReference"/>
        </w:rPr>
        <w:commentReference w:id="115"/>
      </w:r>
      <w:r>
        <w:rPr>
          <w:rFonts w:ascii="Times New Roman" w:eastAsia="Times New Roman" w:hAnsi="Times New Roman"/>
        </w:rPr>
        <w:t>with [</w:t>
      </w:r>
      <w:r>
        <w:rPr>
          <w:rFonts w:ascii="Times New Roman" w:eastAsia="Times New Roman" w:hAnsi="Times New Roman"/>
          <w:highlight w:val="yellow"/>
        </w:rPr>
        <w:t>Projection Scale AA</w:t>
      </w:r>
      <w:r>
        <w:rPr>
          <w:rFonts w:ascii="Times New Roman" w:eastAsia="Times New Roman" w:hAnsi="Times New Roman"/>
        </w:rPr>
        <w:t>] for group annuities</w:t>
      </w:r>
    </w:p>
    <w:p w14:paraId="61C78538" w14:textId="77777777" w:rsidR="008A7F4A" w:rsidRDefault="008A7F4A" w:rsidP="008A7F4A">
      <w:pPr>
        <w:pStyle w:val="ListParagraph"/>
        <w:spacing w:after="220" w:line="240" w:lineRule="auto"/>
        <w:ind w:left="2220"/>
        <w:rPr>
          <w:rFonts w:ascii="Times New Roman" w:eastAsia="Times New Roman" w:hAnsi="Times New Roman"/>
        </w:rPr>
      </w:pPr>
    </w:p>
    <w:p w14:paraId="3E4EA271" w14:textId="77777777" w:rsidR="008A7F4A" w:rsidRDefault="00431E1C" w:rsidP="008A7F4A">
      <w:pPr>
        <w:pStyle w:val="ListParagraph"/>
        <w:spacing w:after="220" w:line="240" w:lineRule="auto"/>
        <w:ind w:left="2220"/>
        <w:rPr>
          <w:rFonts w:ascii="Times New Roman" w:eastAsia="Times New Roman" w:hAnsi="Times New Roman"/>
        </w:rPr>
      </w:pPr>
      <m:oMathPara>
        <m:oMath>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1994+n</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1994</m:t>
              </m:r>
            </m:sup>
          </m:sSubSup>
          <m:r>
            <w:rPr>
              <w:rFonts w:ascii="Cambria Math" w:eastAsia="Times New Roman" w:hAnsi="Cambria Math"/>
            </w:rPr>
            <m:t>(1-</m:t>
          </m:r>
          <m:sSub>
            <m:sSubPr>
              <m:ctrlPr>
                <w:rPr>
                  <w:rFonts w:ascii="Cambria Math" w:eastAsia="Times New Roman" w:hAnsi="Cambria Math"/>
                  <w:i/>
                </w:rPr>
              </m:ctrlPr>
            </m:sSubPr>
            <m:e>
              <m:r>
                <w:rPr>
                  <w:rFonts w:ascii="Cambria Math" w:eastAsia="Times New Roman" w:hAnsi="Cambria Math"/>
                </w:rPr>
                <m:t>AA</m:t>
              </m:r>
            </m:e>
            <m:sub>
              <m:r>
                <w:rPr>
                  <w:rFonts w:ascii="Cambria Math" w:eastAsia="Times New Roman" w:hAnsi="Cambria Math"/>
                </w:rPr>
                <m:t>x</m:t>
              </m:r>
            </m:sub>
          </m:sSub>
          <m:sSup>
            <m:sSupPr>
              <m:ctrlPr>
                <w:rPr>
                  <w:rFonts w:ascii="Cambria Math" w:eastAsia="Times New Roman" w:hAnsi="Cambria Math"/>
                  <w:i/>
                </w:rPr>
              </m:ctrlPr>
            </m:sSupPr>
            <m:e>
              <m:r>
                <w:rPr>
                  <w:rFonts w:ascii="Cambria Math" w:eastAsia="Times New Roman" w:hAnsi="Cambria Math"/>
                </w:rPr>
                <m:t>)</m:t>
              </m:r>
            </m:e>
            <m:sup>
              <m:r>
                <w:rPr>
                  <w:rFonts w:ascii="Cambria Math" w:eastAsia="Times New Roman" w:hAnsi="Cambria Math"/>
                </w:rPr>
                <m:t>n</m:t>
              </m:r>
            </m:sup>
          </m:sSup>
        </m:oMath>
      </m:oMathPara>
    </w:p>
    <w:p w14:paraId="69BA8E82" w14:textId="77777777" w:rsidR="008A7F4A" w:rsidRDefault="008A7F4A" w:rsidP="008A7F4A">
      <w:pPr>
        <w:spacing w:after="0" w:line="240" w:lineRule="auto"/>
        <w:jc w:val="both"/>
        <w:rPr>
          <w:rFonts w:ascii="Times New Roman" w:eastAsia="Times New Roman" w:hAnsi="Times New Roman"/>
        </w:rPr>
      </w:pPr>
    </w:p>
    <w:p w14:paraId="34F9F9AD" w14:textId="77777777" w:rsidR="008A7F4A" w:rsidRDefault="008A7F4A" w:rsidP="008A7F4A">
      <w:pPr>
        <w:spacing w:after="220" w:line="256" w:lineRule="auto"/>
        <w:ind w:firstLine="720"/>
        <w:rPr>
          <w:rFonts w:ascii="Times New Roman" w:eastAsia="Times New Roman" w:hAnsi="Times New Roman"/>
          <w:highlight w:val="yellow"/>
          <w:u w:val="single"/>
        </w:rPr>
      </w:pPr>
      <w:r>
        <w:rPr>
          <w:rFonts w:ascii="Times New Roman" w:eastAsia="Times New Roman" w:hAnsi="Times New Roman"/>
          <w:highlight w:val="yellow"/>
          <w:u w:val="single"/>
        </w:rPr>
        <w:t>Table 11.1</w:t>
      </w:r>
    </w:p>
    <w:tbl>
      <w:tblPr>
        <w:tblStyle w:val="TableGrid111"/>
        <w:tblW w:w="0" w:type="auto"/>
        <w:tblInd w:w="720" w:type="dxa"/>
        <w:tblLook w:val="04A0" w:firstRow="1" w:lastRow="0" w:firstColumn="1" w:lastColumn="0" w:noHBand="0" w:noVBand="1"/>
      </w:tblPr>
      <w:tblGrid>
        <w:gridCol w:w="2876"/>
        <w:gridCol w:w="2877"/>
        <w:gridCol w:w="2877"/>
      </w:tblGrid>
      <w:tr w:rsidR="008A7F4A" w14:paraId="7D151B87"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hideMark/>
          </w:tcPr>
          <w:p w14:paraId="74EC43A0" w14:textId="77777777" w:rsidR="008A7F4A" w:rsidRDefault="008A7F4A">
            <w:pPr>
              <w:jc w:val="center"/>
              <w:rPr>
                <w:rFonts w:cs="Calibri"/>
                <w:sz w:val="24"/>
                <w:szCs w:val="24"/>
                <w:highlight w:val="yellow"/>
              </w:rPr>
            </w:pPr>
            <w:r>
              <w:rPr>
                <w:rFonts w:cs="Calibri"/>
                <w:sz w:val="24"/>
                <w:szCs w:val="24"/>
                <w:highlight w:val="yellow"/>
              </w:rPr>
              <w:t>Attained Age (x)</w:t>
            </w:r>
          </w:p>
        </w:tc>
        <w:tc>
          <w:tcPr>
            <w:tcW w:w="2877" w:type="dxa"/>
            <w:tcBorders>
              <w:top w:val="single" w:sz="4" w:space="0" w:color="auto"/>
              <w:left w:val="single" w:sz="4" w:space="0" w:color="auto"/>
              <w:bottom w:val="single" w:sz="4" w:space="0" w:color="auto"/>
              <w:right w:val="single" w:sz="4" w:space="0" w:color="auto"/>
            </w:tcBorders>
            <w:hideMark/>
          </w:tcPr>
          <w:p w14:paraId="26EB52E7" w14:textId="77777777" w:rsidR="008A7F4A" w:rsidRDefault="008A7F4A">
            <w:pPr>
              <w:jc w:val="center"/>
              <w:rPr>
                <w:rFonts w:cs="Calibri"/>
                <w:sz w:val="24"/>
                <w:szCs w:val="24"/>
                <w:highlight w:val="yellow"/>
              </w:rPr>
            </w:pPr>
            <w:proofErr w:type="spellStart"/>
            <w:r>
              <w:rPr>
                <w:rFonts w:cs="Calibri"/>
                <w:sz w:val="24"/>
                <w:szCs w:val="24"/>
                <w:highlight w:val="yellow"/>
              </w:rPr>
              <w:t>F</w:t>
            </w:r>
            <w:r>
              <w:rPr>
                <w:rFonts w:cs="Calibri"/>
                <w:sz w:val="24"/>
                <w:szCs w:val="24"/>
                <w:highlight w:val="yellow"/>
                <w:vertAlign w:val="subscript"/>
              </w:rPr>
              <w:t>x</w:t>
            </w:r>
            <w:proofErr w:type="spellEnd"/>
          </w:p>
        </w:tc>
        <w:tc>
          <w:tcPr>
            <w:tcW w:w="2877" w:type="dxa"/>
            <w:tcBorders>
              <w:top w:val="single" w:sz="4" w:space="0" w:color="auto"/>
              <w:left w:val="single" w:sz="4" w:space="0" w:color="auto"/>
              <w:bottom w:val="single" w:sz="4" w:space="0" w:color="auto"/>
              <w:right w:val="single" w:sz="4" w:space="0" w:color="auto"/>
            </w:tcBorders>
          </w:tcPr>
          <w:p w14:paraId="2CD83279" w14:textId="77777777" w:rsidR="008A7F4A" w:rsidRDefault="008A7F4A">
            <w:pPr>
              <w:jc w:val="center"/>
              <w:rPr>
                <w:rFonts w:cs="Calibri"/>
                <w:sz w:val="24"/>
                <w:szCs w:val="24"/>
                <w:highlight w:val="yellow"/>
              </w:rPr>
            </w:pPr>
          </w:p>
        </w:tc>
      </w:tr>
      <w:tr w:rsidR="008A7F4A" w14:paraId="62806695"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2DCE0680" w14:textId="77777777" w:rsidR="008A7F4A" w:rsidRDefault="008A7F4A">
            <w:pPr>
              <w:jc w:val="center"/>
              <w:rPr>
                <w:rFonts w:cs="Calibri"/>
                <w:sz w:val="24"/>
                <w:szCs w:val="24"/>
                <w:highlight w:val="yellow"/>
              </w:rPr>
            </w:pPr>
            <w:r>
              <w:rPr>
                <w:rFonts w:cs="Calibri"/>
                <w:sz w:val="24"/>
                <w:szCs w:val="24"/>
                <w:highlight w:val="yellow"/>
              </w:rPr>
              <w:t>&lt;=65</w:t>
            </w:r>
          </w:p>
        </w:tc>
        <w:tc>
          <w:tcPr>
            <w:tcW w:w="2877" w:type="dxa"/>
            <w:tcBorders>
              <w:top w:val="single" w:sz="4" w:space="0" w:color="auto"/>
              <w:left w:val="single" w:sz="4" w:space="0" w:color="auto"/>
              <w:bottom w:val="single" w:sz="4" w:space="0" w:color="auto"/>
              <w:right w:val="single" w:sz="4" w:space="0" w:color="auto"/>
            </w:tcBorders>
            <w:noWrap/>
            <w:hideMark/>
          </w:tcPr>
          <w:p w14:paraId="53DC2B19" w14:textId="77777777" w:rsidR="008A7F4A" w:rsidRDefault="008A7F4A">
            <w:pPr>
              <w:jc w:val="center"/>
              <w:rPr>
                <w:rFonts w:cs="Calibri"/>
                <w:sz w:val="24"/>
                <w:szCs w:val="24"/>
                <w:highlight w:val="yellow"/>
              </w:rPr>
            </w:pPr>
            <w:r>
              <w:rPr>
                <w:rFonts w:cs="Calibri"/>
                <w:sz w:val="24"/>
                <w:szCs w:val="24"/>
                <w:highlight w:val="yellow"/>
              </w:rPr>
              <w:t>80.0%</w:t>
            </w:r>
          </w:p>
        </w:tc>
        <w:tc>
          <w:tcPr>
            <w:tcW w:w="2877" w:type="dxa"/>
            <w:tcBorders>
              <w:top w:val="single" w:sz="4" w:space="0" w:color="auto"/>
              <w:left w:val="single" w:sz="4" w:space="0" w:color="auto"/>
              <w:bottom w:val="single" w:sz="4" w:space="0" w:color="auto"/>
              <w:right w:val="single" w:sz="4" w:space="0" w:color="auto"/>
            </w:tcBorders>
            <w:noWrap/>
          </w:tcPr>
          <w:p w14:paraId="406E4CAD" w14:textId="77777777" w:rsidR="008A7F4A" w:rsidRDefault="008A7F4A">
            <w:pPr>
              <w:jc w:val="center"/>
              <w:rPr>
                <w:rFonts w:cs="Calibri"/>
                <w:sz w:val="24"/>
                <w:szCs w:val="24"/>
                <w:highlight w:val="yellow"/>
              </w:rPr>
            </w:pPr>
          </w:p>
        </w:tc>
      </w:tr>
      <w:tr w:rsidR="008A7F4A" w14:paraId="39884F85"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72EC44E2" w14:textId="77777777" w:rsidR="008A7F4A" w:rsidRDefault="008A7F4A">
            <w:pPr>
              <w:jc w:val="center"/>
              <w:rPr>
                <w:rFonts w:cs="Calibri"/>
                <w:sz w:val="24"/>
                <w:szCs w:val="24"/>
                <w:highlight w:val="yellow"/>
              </w:rPr>
            </w:pPr>
            <w:r>
              <w:rPr>
                <w:rFonts w:cs="Calibri"/>
                <w:sz w:val="24"/>
                <w:szCs w:val="24"/>
                <w:highlight w:val="yellow"/>
              </w:rPr>
              <w:t>66</w:t>
            </w:r>
          </w:p>
        </w:tc>
        <w:tc>
          <w:tcPr>
            <w:tcW w:w="2877" w:type="dxa"/>
            <w:tcBorders>
              <w:top w:val="single" w:sz="4" w:space="0" w:color="auto"/>
              <w:left w:val="single" w:sz="4" w:space="0" w:color="auto"/>
              <w:bottom w:val="single" w:sz="4" w:space="0" w:color="auto"/>
              <w:right w:val="single" w:sz="4" w:space="0" w:color="auto"/>
            </w:tcBorders>
            <w:noWrap/>
            <w:hideMark/>
          </w:tcPr>
          <w:p w14:paraId="6D1B7B60" w14:textId="77777777" w:rsidR="008A7F4A" w:rsidRDefault="008A7F4A">
            <w:pPr>
              <w:jc w:val="center"/>
              <w:rPr>
                <w:rFonts w:cs="Calibri"/>
                <w:sz w:val="24"/>
                <w:szCs w:val="24"/>
                <w:highlight w:val="yellow"/>
              </w:rPr>
            </w:pPr>
            <w:r>
              <w:rPr>
                <w:rFonts w:cs="Calibri"/>
                <w:sz w:val="24"/>
                <w:szCs w:val="24"/>
                <w:highlight w:val="yellow"/>
              </w:rPr>
              <w:t>81.5%</w:t>
            </w:r>
          </w:p>
        </w:tc>
        <w:tc>
          <w:tcPr>
            <w:tcW w:w="2877" w:type="dxa"/>
            <w:tcBorders>
              <w:top w:val="single" w:sz="4" w:space="0" w:color="auto"/>
              <w:left w:val="single" w:sz="4" w:space="0" w:color="auto"/>
              <w:bottom w:val="single" w:sz="4" w:space="0" w:color="auto"/>
              <w:right w:val="single" w:sz="4" w:space="0" w:color="auto"/>
            </w:tcBorders>
            <w:noWrap/>
          </w:tcPr>
          <w:p w14:paraId="5258F3A8" w14:textId="77777777" w:rsidR="008A7F4A" w:rsidRDefault="008A7F4A">
            <w:pPr>
              <w:jc w:val="center"/>
              <w:rPr>
                <w:rFonts w:cs="Calibri"/>
                <w:sz w:val="24"/>
                <w:szCs w:val="24"/>
                <w:highlight w:val="yellow"/>
              </w:rPr>
            </w:pPr>
          </w:p>
        </w:tc>
      </w:tr>
      <w:tr w:rsidR="008A7F4A" w14:paraId="15231CE1"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3D5F72D7" w14:textId="77777777" w:rsidR="008A7F4A" w:rsidRDefault="008A7F4A">
            <w:pPr>
              <w:jc w:val="center"/>
              <w:rPr>
                <w:rFonts w:cs="Calibri"/>
                <w:sz w:val="24"/>
                <w:szCs w:val="24"/>
                <w:highlight w:val="yellow"/>
              </w:rPr>
            </w:pPr>
            <w:r>
              <w:rPr>
                <w:rFonts w:cs="Calibri"/>
                <w:sz w:val="24"/>
                <w:szCs w:val="24"/>
                <w:highlight w:val="yellow"/>
              </w:rPr>
              <w:t>67</w:t>
            </w:r>
          </w:p>
        </w:tc>
        <w:tc>
          <w:tcPr>
            <w:tcW w:w="2877" w:type="dxa"/>
            <w:tcBorders>
              <w:top w:val="single" w:sz="4" w:space="0" w:color="auto"/>
              <w:left w:val="single" w:sz="4" w:space="0" w:color="auto"/>
              <w:bottom w:val="single" w:sz="4" w:space="0" w:color="auto"/>
              <w:right w:val="single" w:sz="4" w:space="0" w:color="auto"/>
            </w:tcBorders>
            <w:noWrap/>
            <w:hideMark/>
          </w:tcPr>
          <w:p w14:paraId="11C56D90" w14:textId="77777777" w:rsidR="008A7F4A" w:rsidRDefault="008A7F4A">
            <w:pPr>
              <w:jc w:val="center"/>
              <w:rPr>
                <w:rFonts w:cs="Calibri"/>
                <w:sz w:val="24"/>
                <w:szCs w:val="24"/>
                <w:highlight w:val="yellow"/>
              </w:rPr>
            </w:pPr>
            <w:r>
              <w:rPr>
                <w:rFonts w:cs="Calibri"/>
                <w:sz w:val="24"/>
                <w:szCs w:val="24"/>
                <w:highlight w:val="yellow"/>
              </w:rPr>
              <w:t>83.0%</w:t>
            </w:r>
          </w:p>
        </w:tc>
        <w:tc>
          <w:tcPr>
            <w:tcW w:w="2877" w:type="dxa"/>
            <w:tcBorders>
              <w:top w:val="single" w:sz="4" w:space="0" w:color="auto"/>
              <w:left w:val="single" w:sz="4" w:space="0" w:color="auto"/>
              <w:bottom w:val="single" w:sz="4" w:space="0" w:color="auto"/>
              <w:right w:val="single" w:sz="4" w:space="0" w:color="auto"/>
            </w:tcBorders>
            <w:noWrap/>
          </w:tcPr>
          <w:p w14:paraId="5E08DD6A" w14:textId="77777777" w:rsidR="008A7F4A" w:rsidRDefault="008A7F4A">
            <w:pPr>
              <w:jc w:val="center"/>
              <w:rPr>
                <w:rFonts w:cs="Calibri"/>
                <w:sz w:val="24"/>
                <w:szCs w:val="24"/>
                <w:highlight w:val="yellow"/>
              </w:rPr>
            </w:pPr>
          </w:p>
        </w:tc>
      </w:tr>
      <w:tr w:rsidR="008A7F4A" w14:paraId="49FD8518"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7F179064" w14:textId="77777777" w:rsidR="008A7F4A" w:rsidRDefault="008A7F4A">
            <w:pPr>
              <w:jc w:val="center"/>
              <w:rPr>
                <w:rFonts w:cs="Calibri"/>
                <w:sz w:val="24"/>
                <w:szCs w:val="24"/>
                <w:highlight w:val="yellow"/>
              </w:rPr>
            </w:pPr>
            <w:r>
              <w:rPr>
                <w:rFonts w:cs="Calibri"/>
                <w:sz w:val="24"/>
                <w:szCs w:val="24"/>
                <w:highlight w:val="yellow"/>
              </w:rPr>
              <w:t>68</w:t>
            </w:r>
          </w:p>
        </w:tc>
        <w:tc>
          <w:tcPr>
            <w:tcW w:w="2877" w:type="dxa"/>
            <w:tcBorders>
              <w:top w:val="single" w:sz="4" w:space="0" w:color="auto"/>
              <w:left w:val="single" w:sz="4" w:space="0" w:color="auto"/>
              <w:bottom w:val="single" w:sz="4" w:space="0" w:color="auto"/>
              <w:right w:val="single" w:sz="4" w:space="0" w:color="auto"/>
            </w:tcBorders>
            <w:noWrap/>
            <w:hideMark/>
          </w:tcPr>
          <w:p w14:paraId="460B566C" w14:textId="77777777" w:rsidR="008A7F4A" w:rsidRDefault="008A7F4A">
            <w:pPr>
              <w:jc w:val="center"/>
              <w:rPr>
                <w:rFonts w:cs="Calibri"/>
                <w:sz w:val="24"/>
                <w:szCs w:val="24"/>
                <w:highlight w:val="yellow"/>
              </w:rPr>
            </w:pPr>
            <w:r>
              <w:rPr>
                <w:rFonts w:cs="Calibri"/>
                <w:sz w:val="24"/>
                <w:szCs w:val="24"/>
                <w:highlight w:val="yellow"/>
              </w:rPr>
              <w:t>84.5%</w:t>
            </w:r>
          </w:p>
        </w:tc>
        <w:tc>
          <w:tcPr>
            <w:tcW w:w="2877" w:type="dxa"/>
            <w:tcBorders>
              <w:top w:val="single" w:sz="4" w:space="0" w:color="auto"/>
              <w:left w:val="single" w:sz="4" w:space="0" w:color="auto"/>
              <w:bottom w:val="single" w:sz="4" w:space="0" w:color="auto"/>
              <w:right w:val="single" w:sz="4" w:space="0" w:color="auto"/>
            </w:tcBorders>
            <w:noWrap/>
          </w:tcPr>
          <w:p w14:paraId="3BFF3E15" w14:textId="77777777" w:rsidR="008A7F4A" w:rsidRDefault="008A7F4A">
            <w:pPr>
              <w:jc w:val="center"/>
              <w:rPr>
                <w:rFonts w:cs="Calibri"/>
                <w:sz w:val="24"/>
                <w:szCs w:val="24"/>
                <w:highlight w:val="yellow"/>
              </w:rPr>
            </w:pPr>
          </w:p>
        </w:tc>
      </w:tr>
      <w:tr w:rsidR="008A7F4A" w14:paraId="12DD58D3"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1DE7BEEA" w14:textId="77777777" w:rsidR="008A7F4A" w:rsidRDefault="008A7F4A">
            <w:pPr>
              <w:jc w:val="center"/>
              <w:rPr>
                <w:rFonts w:cs="Calibri"/>
                <w:sz w:val="24"/>
                <w:szCs w:val="24"/>
                <w:highlight w:val="yellow"/>
              </w:rPr>
            </w:pPr>
            <w:r>
              <w:rPr>
                <w:rFonts w:cs="Calibri"/>
                <w:sz w:val="24"/>
                <w:szCs w:val="24"/>
                <w:highlight w:val="yellow"/>
              </w:rPr>
              <w:t>69</w:t>
            </w:r>
          </w:p>
        </w:tc>
        <w:tc>
          <w:tcPr>
            <w:tcW w:w="2877" w:type="dxa"/>
            <w:tcBorders>
              <w:top w:val="single" w:sz="4" w:space="0" w:color="auto"/>
              <w:left w:val="single" w:sz="4" w:space="0" w:color="auto"/>
              <w:bottom w:val="single" w:sz="4" w:space="0" w:color="auto"/>
              <w:right w:val="single" w:sz="4" w:space="0" w:color="auto"/>
            </w:tcBorders>
            <w:noWrap/>
            <w:hideMark/>
          </w:tcPr>
          <w:p w14:paraId="5E93DEA3" w14:textId="77777777" w:rsidR="008A7F4A" w:rsidRDefault="008A7F4A">
            <w:pPr>
              <w:jc w:val="center"/>
              <w:rPr>
                <w:rFonts w:cs="Calibri"/>
                <w:sz w:val="24"/>
                <w:szCs w:val="24"/>
                <w:highlight w:val="yellow"/>
              </w:rPr>
            </w:pPr>
            <w:r>
              <w:rPr>
                <w:rFonts w:cs="Calibri"/>
                <w:sz w:val="24"/>
                <w:szCs w:val="24"/>
                <w:highlight w:val="yellow"/>
              </w:rPr>
              <w:t>86.0%</w:t>
            </w:r>
          </w:p>
        </w:tc>
        <w:tc>
          <w:tcPr>
            <w:tcW w:w="2877" w:type="dxa"/>
            <w:tcBorders>
              <w:top w:val="single" w:sz="4" w:space="0" w:color="auto"/>
              <w:left w:val="single" w:sz="4" w:space="0" w:color="auto"/>
              <w:bottom w:val="single" w:sz="4" w:space="0" w:color="auto"/>
              <w:right w:val="single" w:sz="4" w:space="0" w:color="auto"/>
            </w:tcBorders>
            <w:noWrap/>
          </w:tcPr>
          <w:p w14:paraId="69D105EE" w14:textId="77777777" w:rsidR="008A7F4A" w:rsidRDefault="008A7F4A">
            <w:pPr>
              <w:jc w:val="center"/>
              <w:rPr>
                <w:rFonts w:cs="Calibri"/>
                <w:sz w:val="24"/>
                <w:szCs w:val="24"/>
                <w:highlight w:val="yellow"/>
              </w:rPr>
            </w:pPr>
          </w:p>
        </w:tc>
      </w:tr>
      <w:tr w:rsidR="008A7F4A" w14:paraId="540077FA"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50A55691" w14:textId="77777777" w:rsidR="008A7F4A" w:rsidRDefault="008A7F4A">
            <w:pPr>
              <w:jc w:val="center"/>
              <w:rPr>
                <w:rFonts w:cs="Calibri"/>
                <w:sz w:val="24"/>
                <w:szCs w:val="24"/>
                <w:highlight w:val="yellow"/>
              </w:rPr>
            </w:pPr>
            <w:r>
              <w:rPr>
                <w:rFonts w:cs="Calibri"/>
                <w:sz w:val="24"/>
                <w:szCs w:val="24"/>
                <w:highlight w:val="yellow"/>
              </w:rPr>
              <w:t>70</w:t>
            </w:r>
          </w:p>
        </w:tc>
        <w:tc>
          <w:tcPr>
            <w:tcW w:w="2877" w:type="dxa"/>
            <w:tcBorders>
              <w:top w:val="single" w:sz="4" w:space="0" w:color="auto"/>
              <w:left w:val="single" w:sz="4" w:space="0" w:color="auto"/>
              <w:bottom w:val="single" w:sz="4" w:space="0" w:color="auto"/>
              <w:right w:val="single" w:sz="4" w:space="0" w:color="auto"/>
            </w:tcBorders>
            <w:noWrap/>
            <w:hideMark/>
          </w:tcPr>
          <w:p w14:paraId="71F6D030" w14:textId="77777777" w:rsidR="008A7F4A" w:rsidRDefault="008A7F4A">
            <w:pPr>
              <w:jc w:val="center"/>
              <w:rPr>
                <w:rFonts w:cs="Calibri"/>
                <w:sz w:val="24"/>
                <w:szCs w:val="24"/>
                <w:highlight w:val="yellow"/>
              </w:rPr>
            </w:pPr>
            <w:r>
              <w:rPr>
                <w:rFonts w:cs="Calibri"/>
                <w:sz w:val="24"/>
                <w:szCs w:val="24"/>
                <w:highlight w:val="yellow"/>
              </w:rPr>
              <w:t>87.5%</w:t>
            </w:r>
          </w:p>
        </w:tc>
        <w:tc>
          <w:tcPr>
            <w:tcW w:w="2877" w:type="dxa"/>
            <w:tcBorders>
              <w:top w:val="single" w:sz="4" w:space="0" w:color="auto"/>
              <w:left w:val="single" w:sz="4" w:space="0" w:color="auto"/>
              <w:bottom w:val="single" w:sz="4" w:space="0" w:color="auto"/>
              <w:right w:val="single" w:sz="4" w:space="0" w:color="auto"/>
            </w:tcBorders>
            <w:noWrap/>
          </w:tcPr>
          <w:p w14:paraId="249DC7A3" w14:textId="77777777" w:rsidR="008A7F4A" w:rsidRDefault="008A7F4A">
            <w:pPr>
              <w:jc w:val="center"/>
              <w:rPr>
                <w:rFonts w:cs="Calibri"/>
                <w:sz w:val="24"/>
                <w:szCs w:val="24"/>
                <w:highlight w:val="yellow"/>
              </w:rPr>
            </w:pPr>
          </w:p>
        </w:tc>
      </w:tr>
      <w:tr w:rsidR="008A7F4A" w14:paraId="05AA69B9"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3107A1C4" w14:textId="77777777" w:rsidR="008A7F4A" w:rsidRDefault="008A7F4A">
            <w:pPr>
              <w:jc w:val="center"/>
              <w:rPr>
                <w:rFonts w:cs="Calibri"/>
                <w:sz w:val="24"/>
                <w:szCs w:val="24"/>
                <w:highlight w:val="yellow"/>
              </w:rPr>
            </w:pPr>
            <w:r>
              <w:rPr>
                <w:rFonts w:cs="Calibri"/>
                <w:sz w:val="24"/>
                <w:szCs w:val="24"/>
                <w:highlight w:val="yellow"/>
              </w:rPr>
              <w:t>71</w:t>
            </w:r>
          </w:p>
        </w:tc>
        <w:tc>
          <w:tcPr>
            <w:tcW w:w="2877" w:type="dxa"/>
            <w:tcBorders>
              <w:top w:val="single" w:sz="4" w:space="0" w:color="auto"/>
              <w:left w:val="single" w:sz="4" w:space="0" w:color="auto"/>
              <w:bottom w:val="single" w:sz="4" w:space="0" w:color="auto"/>
              <w:right w:val="single" w:sz="4" w:space="0" w:color="auto"/>
            </w:tcBorders>
            <w:noWrap/>
            <w:hideMark/>
          </w:tcPr>
          <w:p w14:paraId="0CD59DEB" w14:textId="77777777" w:rsidR="008A7F4A" w:rsidRDefault="008A7F4A">
            <w:pPr>
              <w:jc w:val="center"/>
              <w:rPr>
                <w:rFonts w:cs="Calibri"/>
                <w:sz w:val="24"/>
                <w:szCs w:val="24"/>
                <w:highlight w:val="yellow"/>
              </w:rPr>
            </w:pPr>
            <w:r>
              <w:rPr>
                <w:rFonts w:cs="Calibri"/>
                <w:sz w:val="24"/>
                <w:szCs w:val="24"/>
                <w:highlight w:val="yellow"/>
              </w:rPr>
              <w:t>89.0%</w:t>
            </w:r>
          </w:p>
        </w:tc>
        <w:tc>
          <w:tcPr>
            <w:tcW w:w="2877" w:type="dxa"/>
            <w:tcBorders>
              <w:top w:val="single" w:sz="4" w:space="0" w:color="auto"/>
              <w:left w:val="single" w:sz="4" w:space="0" w:color="auto"/>
              <w:bottom w:val="single" w:sz="4" w:space="0" w:color="auto"/>
              <w:right w:val="single" w:sz="4" w:space="0" w:color="auto"/>
            </w:tcBorders>
            <w:noWrap/>
          </w:tcPr>
          <w:p w14:paraId="7A17FF4F" w14:textId="77777777" w:rsidR="008A7F4A" w:rsidRDefault="008A7F4A">
            <w:pPr>
              <w:jc w:val="center"/>
              <w:rPr>
                <w:rFonts w:cs="Calibri"/>
                <w:sz w:val="24"/>
                <w:szCs w:val="24"/>
                <w:highlight w:val="yellow"/>
              </w:rPr>
            </w:pPr>
          </w:p>
        </w:tc>
      </w:tr>
      <w:tr w:rsidR="008A7F4A" w14:paraId="1B8A1D88"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75A68099" w14:textId="77777777" w:rsidR="008A7F4A" w:rsidRDefault="008A7F4A">
            <w:pPr>
              <w:jc w:val="center"/>
              <w:rPr>
                <w:rFonts w:cs="Calibri"/>
                <w:sz w:val="24"/>
                <w:szCs w:val="24"/>
                <w:highlight w:val="yellow"/>
              </w:rPr>
            </w:pPr>
            <w:r>
              <w:rPr>
                <w:rFonts w:cs="Calibri"/>
                <w:sz w:val="24"/>
                <w:szCs w:val="24"/>
                <w:highlight w:val="yellow"/>
              </w:rPr>
              <w:t>72</w:t>
            </w:r>
          </w:p>
        </w:tc>
        <w:tc>
          <w:tcPr>
            <w:tcW w:w="2877" w:type="dxa"/>
            <w:tcBorders>
              <w:top w:val="single" w:sz="4" w:space="0" w:color="auto"/>
              <w:left w:val="single" w:sz="4" w:space="0" w:color="auto"/>
              <w:bottom w:val="single" w:sz="4" w:space="0" w:color="auto"/>
              <w:right w:val="single" w:sz="4" w:space="0" w:color="auto"/>
            </w:tcBorders>
            <w:noWrap/>
            <w:hideMark/>
          </w:tcPr>
          <w:p w14:paraId="0FA055BC" w14:textId="77777777" w:rsidR="008A7F4A" w:rsidRDefault="008A7F4A">
            <w:pPr>
              <w:jc w:val="center"/>
              <w:rPr>
                <w:rFonts w:cs="Calibri"/>
                <w:sz w:val="24"/>
                <w:szCs w:val="24"/>
                <w:highlight w:val="yellow"/>
              </w:rPr>
            </w:pPr>
            <w:r>
              <w:rPr>
                <w:rFonts w:cs="Calibri"/>
                <w:sz w:val="24"/>
                <w:szCs w:val="24"/>
                <w:highlight w:val="yellow"/>
              </w:rPr>
              <w:t>90.5%</w:t>
            </w:r>
          </w:p>
        </w:tc>
        <w:tc>
          <w:tcPr>
            <w:tcW w:w="2877" w:type="dxa"/>
            <w:tcBorders>
              <w:top w:val="single" w:sz="4" w:space="0" w:color="auto"/>
              <w:left w:val="single" w:sz="4" w:space="0" w:color="auto"/>
              <w:bottom w:val="single" w:sz="4" w:space="0" w:color="auto"/>
              <w:right w:val="single" w:sz="4" w:space="0" w:color="auto"/>
            </w:tcBorders>
            <w:noWrap/>
          </w:tcPr>
          <w:p w14:paraId="1505D35C" w14:textId="77777777" w:rsidR="008A7F4A" w:rsidRDefault="008A7F4A">
            <w:pPr>
              <w:jc w:val="center"/>
              <w:rPr>
                <w:rFonts w:cs="Calibri"/>
                <w:sz w:val="24"/>
                <w:szCs w:val="24"/>
                <w:highlight w:val="yellow"/>
              </w:rPr>
            </w:pPr>
          </w:p>
        </w:tc>
      </w:tr>
      <w:tr w:rsidR="008A7F4A" w14:paraId="7CE5A51A"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1C9BAB39" w14:textId="77777777" w:rsidR="008A7F4A" w:rsidRDefault="008A7F4A">
            <w:pPr>
              <w:jc w:val="center"/>
              <w:rPr>
                <w:rFonts w:cs="Calibri"/>
                <w:sz w:val="24"/>
                <w:szCs w:val="24"/>
                <w:highlight w:val="yellow"/>
              </w:rPr>
            </w:pPr>
            <w:r>
              <w:rPr>
                <w:rFonts w:cs="Calibri"/>
                <w:sz w:val="24"/>
                <w:szCs w:val="24"/>
                <w:highlight w:val="yellow"/>
              </w:rPr>
              <w:t>73</w:t>
            </w:r>
          </w:p>
        </w:tc>
        <w:tc>
          <w:tcPr>
            <w:tcW w:w="2877" w:type="dxa"/>
            <w:tcBorders>
              <w:top w:val="single" w:sz="4" w:space="0" w:color="auto"/>
              <w:left w:val="single" w:sz="4" w:space="0" w:color="auto"/>
              <w:bottom w:val="single" w:sz="4" w:space="0" w:color="auto"/>
              <w:right w:val="single" w:sz="4" w:space="0" w:color="auto"/>
            </w:tcBorders>
            <w:noWrap/>
            <w:hideMark/>
          </w:tcPr>
          <w:p w14:paraId="1B0461C2" w14:textId="77777777" w:rsidR="008A7F4A" w:rsidRDefault="008A7F4A">
            <w:pPr>
              <w:jc w:val="center"/>
              <w:rPr>
                <w:rFonts w:cs="Calibri"/>
                <w:sz w:val="24"/>
                <w:szCs w:val="24"/>
                <w:highlight w:val="yellow"/>
              </w:rPr>
            </w:pPr>
            <w:r>
              <w:rPr>
                <w:rFonts w:cs="Calibri"/>
                <w:sz w:val="24"/>
                <w:szCs w:val="24"/>
                <w:highlight w:val="yellow"/>
              </w:rPr>
              <w:t>92.0%</w:t>
            </w:r>
          </w:p>
        </w:tc>
        <w:tc>
          <w:tcPr>
            <w:tcW w:w="2877" w:type="dxa"/>
            <w:tcBorders>
              <w:top w:val="single" w:sz="4" w:space="0" w:color="auto"/>
              <w:left w:val="single" w:sz="4" w:space="0" w:color="auto"/>
              <w:bottom w:val="single" w:sz="4" w:space="0" w:color="auto"/>
              <w:right w:val="single" w:sz="4" w:space="0" w:color="auto"/>
            </w:tcBorders>
            <w:noWrap/>
          </w:tcPr>
          <w:p w14:paraId="1226FDDC" w14:textId="77777777" w:rsidR="008A7F4A" w:rsidRDefault="008A7F4A">
            <w:pPr>
              <w:jc w:val="center"/>
              <w:rPr>
                <w:rFonts w:cs="Calibri"/>
                <w:sz w:val="24"/>
                <w:szCs w:val="24"/>
                <w:highlight w:val="yellow"/>
              </w:rPr>
            </w:pPr>
          </w:p>
        </w:tc>
      </w:tr>
      <w:tr w:rsidR="008A7F4A" w14:paraId="7A998525"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10FBE1E4" w14:textId="77777777" w:rsidR="008A7F4A" w:rsidRDefault="008A7F4A">
            <w:pPr>
              <w:jc w:val="center"/>
              <w:rPr>
                <w:rFonts w:cs="Calibri"/>
                <w:sz w:val="24"/>
                <w:szCs w:val="24"/>
                <w:highlight w:val="yellow"/>
              </w:rPr>
            </w:pPr>
            <w:r>
              <w:rPr>
                <w:rFonts w:cs="Calibri"/>
                <w:sz w:val="24"/>
                <w:szCs w:val="24"/>
                <w:highlight w:val="yellow"/>
              </w:rPr>
              <w:t>74</w:t>
            </w:r>
          </w:p>
        </w:tc>
        <w:tc>
          <w:tcPr>
            <w:tcW w:w="2877" w:type="dxa"/>
            <w:tcBorders>
              <w:top w:val="single" w:sz="4" w:space="0" w:color="auto"/>
              <w:left w:val="single" w:sz="4" w:space="0" w:color="auto"/>
              <w:bottom w:val="single" w:sz="4" w:space="0" w:color="auto"/>
              <w:right w:val="single" w:sz="4" w:space="0" w:color="auto"/>
            </w:tcBorders>
            <w:noWrap/>
            <w:hideMark/>
          </w:tcPr>
          <w:p w14:paraId="2A159CA7" w14:textId="77777777" w:rsidR="008A7F4A" w:rsidRDefault="008A7F4A">
            <w:pPr>
              <w:jc w:val="center"/>
              <w:rPr>
                <w:rFonts w:cs="Calibri"/>
                <w:sz w:val="24"/>
                <w:szCs w:val="24"/>
                <w:highlight w:val="yellow"/>
              </w:rPr>
            </w:pPr>
            <w:r>
              <w:rPr>
                <w:rFonts w:cs="Calibri"/>
                <w:sz w:val="24"/>
                <w:szCs w:val="24"/>
                <w:highlight w:val="yellow"/>
              </w:rPr>
              <w:t>93.5%</w:t>
            </w:r>
          </w:p>
        </w:tc>
        <w:tc>
          <w:tcPr>
            <w:tcW w:w="2877" w:type="dxa"/>
            <w:tcBorders>
              <w:top w:val="single" w:sz="4" w:space="0" w:color="auto"/>
              <w:left w:val="single" w:sz="4" w:space="0" w:color="auto"/>
              <w:bottom w:val="single" w:sz="4" w:space="0" w:color="auto"/>
              <w:right w:val="single" w:sz="4" w:space="0" w:color="auto"/>
            </w:tcBorders>
            <w:noWrap/>
          </w:tcPr>
          <w:p w14:paraId="1A278EAF" w14:textId="77777777" w:rsidR="008A7F4A" w:rsidRDefault="008A7F4A">
            <w:pPr>
              <w:jc w:val="center"/>
              <w:rPr>
                <w:rFonts w:cs="Calibri"/>
                <w:sz w:val="24"/>
                <w:szCs w:val="24"/>
                <w:highlight w:val="yellow"/>
              </w:rPr>
            </w:pPr>
          </w:p>
        </w:tc>
      </w:tr>
      <w:tr w:rsidR="008A7F4A" w14:paraId="31A9C94C"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6E95D7C5" w14:textId="77777777" w:rsidR="008A7F4A" w:rsidRDefault="008A7F4A">
            <w:pPr>
              <w:jc w:val="center"/>
              <w:rPr>
                <w:rFonts w:cs="Calibri"/>
                <w:sz w:val="24"/>
                <w:szCs w:val="24"/>
                <w:highlight w:val="yellow"/>
              </w:rPr>
            </w:pPr>
            <w:r>
              <w:rPr>
                <w:rFonts w:cs="Calibri"/>
                <w:sz w:val="24"/>
                <w:szCs w:val="24"/>
                <w:highlight w:val="yellow"/>
              </w:rPr>
              <w:t>75</w:t>
            </w:r>
          </w:p>
        </w:tc>
        <w:tc>
          <w:tcPr>
            <w:tcW w:w="2877" w:type="dxa"/>
            <w:tcBorders>
              <w:top w:val="single" w:sz="4" w:space="0" w:color="auto"/>
              <w:left w:val="single" w:sz="4" w:space="0" w:color="auto"/>
              <w:bottom w:val="single" w:sz="4" w:space="0" w:color="auto"/>
              <w:right w:val="single" w:sz="4" w:space="0" w:color="auto"/>
            </w:tcBorders>
            <w:noWrap/>
            <w:hideMark/>
          </w:tcPr>
          <w:p w14:paraId="0583A02C" w14:textId="77777777" w:rsidR="008A7F4A" w:rsidRDefault="008A7F4A">
            <w:pPr>
              <w:jc w:val="center"/>
              <w:rPr>
                <w:rFonts w:cs="Calibri"/>
                <w:sz w:val="24"/>
                <w:szCs w:val="24"/>
                <w:highlight w:val="yellow"/>
              </w:rPr>
            </w:pPr>
            <w:r>
              <w:rPr>
                <w:rFonts w:cs="Calibri"/>
                <w:sz w:val="24"/>
                <w:szCs w:val="24"/>
                <w:highlight w:val="yellow"/>
              </w:rPr>
              <w:t>95.0%</w:t>
            </w:r>
          </w:p>
        </w:tc>
        <w:tc>
          <w:tcPr>
            <w:tcW w:w="2877" w:type="dxa"/>
            <w:tcBorders>
              <w:top w:val="single" w:sz="4" w:space="0" w:color="auto"/>
              <w:left w:val="single" w:sz="4" w:space="0" w:color="auto"/>
              <w:bottom w:val="single" w:sz="4" w:space="0" w:color="auto"/>
              <w:right w:val="single" w:sz="4" w:space="0" w:color="auto"/>
            </w:tcBorders>
            <w:noWrap/>
          </w:tcPr>
          <w:p w14:paraId="25A4785A" w14:textId="77777777" w:rsidR="008A7F4A" w:rsidRDefault="008A7F4A">
            <w:pPr>
              <w:jc w:val="center"/>
              <w:rPr>
                <w:rFonts w:cs="Calibri"/>
                <w:sz w:val="24"/>
                <w:szCs w:val="24"/>
                <w:highlight w:val="yellow"/>
              </w:rPr>
            </w:pPr>
          </w:p>
        </w:tc>
      </w:tr>
      <w:tr w:rsidR="008A7F4A" w14:paraId="1A670D28"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599C2FB7" w14:textId="77777777" w:rsidR="008A7F4A" w:rsidRDefault="008A7F4A">
            <w:pPr>
              <w:jc w:val="center"/>
              <w:rPr>
                <w:rFonts w:cs="Calibri"/>
                <w:sz w:val="24"/>
                <w:szCs w:val="24"/>
                <w:highlight w:val="yellow"/>
              </w:rPr>
            </w:pPr>
            <w:r>
              <w:rPr>
                <w:rFonts w:cs="Calibri"/>
                <w:sz w:val="24"/>
                <w:szCs w:val="24"/>
                <w:highlight w:val="yellow"/>
              </w:rPr>
              <w:t>76</w:t>
            </w:r>
          </w:p>
        </w:tc>
        <w:tc>
          <w:tcPr>
            <w:tcW w:w="2877" w:type="dxa"/>
            <w:tcBorders>
              <w:top w:val="single" w:sz="4" w:space="0" w:color="auto"/>
              <w:left w:val="single" w:sz="4" w:space="0" w:color="auto"/>
              <w:bottom w:val="single" w:sz="4" w:space="0" w:color="auto"/>
              <w:right w:val="single" w:sz="4" w:space="0" w:color="auto"/>
            </w:tcBorders>
            <w:noWrap/>
            <w:hideMark/>
          </w:tcPr>
          <w:p w14:paraId="57DF67C8" w14:textId="77777777" w:rsidR="008A7F4A" w:rsidRDefault="008A7F4A">
            <w:pPr>
              <w:jc w:val="center"/>
              <w:rPr>
                <w:rFonts w:cs="Calibri"/>
                <w:sz w:val="24"/>
                <w:szCs w:val="24"/>
                <w:highlight w:val="yellow"/>
              </w:rPr>
            </w:pPr>
            <w:r>
              <w:rPr>
                <w:rFonts w:cs="Calibri"/>
                <w:sz w:val="24"/>
                <w:szCs w:val="24"/>
                <w:highlight w:val="yellow"/>
              </w:rPr>
              <w:t>96.5%</w:t>
            </w:r>
          </w:p>
        </w:tc>
        <w:tc>
          <w:tcPr>
            <w:tcW w:w="2877" w:type="dxa"/>
            <w:tcBorders>
              <w:top w:val="single" w:sz="4" w:space="0" w:color="auto"/>
              <w:left w:val="single" w:sz="4" w:space="0" w:color="auto"/>
              <w:bottom w:val="single" w:sz="4" w:space="0" w:color="auto"/>
              <w:right w:val="single" w:sz="4" w:space="0" w:color="auto"/>
            </w:tcBorders>
            <w:noWrap/>
          </w:tcPr>
          <w:p w14:paraId="309D3781" w14:textId="77777777" w:rsidR="008A7F4A" w:rsidRDefault="008A7F4A">
            <w:pPr>
              <w:jc w:val="center"/>
              <w:rPr>
                <w:rFonts w:cs="Calibri"/>
                <w:sz w:val="24"/>
                <w:szCs w:val="24"/>
                <w:highlight w:val="yellow"/>
              </w:rPr>
            </w:pPr>
          </w:p>
        </w:tc>
      </w:tr>
      <w:tr w:rsidR="008A7F4A" w14:paraId="43743F10"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7E708155" w14:textId="77777777" w:rsidR="008A7F4A" w:rsidRDefault="008A7F4A">
            <w:pPr>
              <w:jc w:val="center"/>
              <w:rPr>
                <w:rFonts w:cs="Calibri"/>
                <w:sz w:val="24"/>
                <w:szCs w:val="24"/>
                <w:highlight w:val="yellow"/>
              </w:rPr>
            </w:pPr>
            <w:r>
              <w:rPr>
                <w:rFonts w:cs="Calibri"/>
                <w:sz w:val="24"/>
                <w:szCs w:val="24"/>
                <w:highlight w:val="yellow"/>
              </w:rPr>
              <w:t>77</w:t>
            </w:r>
          </w:p>
        </w:tc>
        <w:tc>
          <w:tcPr>
            <w:tcW w:w="2877" w:type="dxa"/>
            <w:tcBorders>
              <w:top w:val="single" w:sz="4" w:space="0" w:color="auto"/>
              <w:left w:val="single" w:sz="4" w:space="0" w:color="auto"/>
              <w:bottom w:val="single" w:sz="4" w:space="0" w:color="auto"/>
              <w:right w:val="single" w:sz="4" w:space="0" w:color="auto"/>
            </w:tcBorders>
            <w:noWrap/>
            <w:hideMark/>
          </w:tcPr>
          <w:p w14:paraId="3D1E96DC" w14:textId="77777777" w:rsidR="008A7F4A" w:rsidRDefault="008A7F4A">
            <w:pPr>
              <w:jc w:val="center"/>
              <w:rPr>
                <w:rFonts w:cs="Calibri"/>
                <w:sz w:val="24"/>
                <w:szCs w:val="24"/>
                <w:highlight w:val="yellow"/>
              </w:rPr>
            </w:pPr>
            <w:r>
              <w:rPr>
                <w:rFonts w:cs="Calibri"/>
                <w:sz w:val="24"/>
                <w:szCs w:val="24"/>
                <w:highlight w:val="yellow"/>
              </w:rPr>
              <w:t>98.0%</w:t>
            </w:r>
          </w:p>
        </w:tc>
        <w:tc>
          <w:tcPr>
            <w:tcW w:w="2877" w:type="dxa"/>
            <w:tcBorders>
              <w:top w:val="single" w:sz="4" w:space="0" w:color="auto"/>
              <w:left w:val="single" w:sz="4" w:space="0" w:color="auto"/>
              <w:bottom w:val="single" w:sz="4" w:space="0" w:color="auto"/>
              <w:right w:val="single" w:sz="4" w:space="0" w:color="auto"/>
            </w:tcBorders>
            <w:noWrap/>
          </w:tcPr>
          <w:p w14:paraId="598E4EDC" w14:textId="77777777" w:rsidR="008A7F4A" w:rsidRDefault="008A7F4A">
            <w:pPr>
              <w:jc w:val="center"/>
              <w:rPr>
                <w:rFonts w:cs="Calibri"/>
                <w:sz w:val="24"/>
                <w:szCs w:val="24"/>
                <w:highlight w:val="yellow"/>
              </w:rPr>
            </w:pPr>
          </w:p>
        </w:tc>
      </w:tr>
      <w:tr w:rsidR="008A7F4A" w14:paraId="1D6DDDBB"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5DA42D4A" w14:textId="77777777" w:rsidR="008A7F4A" w:rsidRDefault="008A7F4A">
            <w:pPr>
              <w:jc w:val="center"/>
              <w:rPr>
                <w:rFonts w:cs="Calibri"/>
                <w:sz w:val="24"/>
                <w:szCs w:val="24"/>
                <w:highlight w:val="yellow"/>
              </w:rPr>
            </w:pPr>
            <w:r>
              <w:rPr>
                <w:rFonts w:cs="Calibri"/>
                <w:sz w:val="24"/>
                <w:szCs w:val="24"/>
                <w:highlight w:val="yellow"/>
              </w:rPr>
              <w:t>78</w:t>
            </w:r>
          </w:p>
        </w:tc>
        <w:tc>
          <w:tcPr>
            <w:tcW w:w="2877" w:type="dxa"/>
            <w:tcBorders>
              <w:top w:val="single" w:sz="4" w:space="0" w:color="auto"/>
              <w:left w:val="single" w:sz="4" w:space="0" w:color="auto"/>
              <w:bottom w:val="single" w:sz="4" w:space="0" w:color="auto"/>
              <w:right w:val="single" w:sz="4" w:space="0" w:color="auto"/>
            </w:tcBorders>
            <w:noWrap/>
            <w:hideMark/>
          </w:tcPr>
          <w:p w14:paraId="7E6A5FF9" w14:textId="77777777" w:rsidR="008A7F4A" w:rsidRDefault="008A7F4A">
            <w:pPr>
              <w:jc w:val="center"/>
              <w:rPr>
                <w:rFonts w:cs="Calibri"/>
                <w:sz w:val="24"/>
                <w:szCs w:val="24"/>
                <w:highlight w:val="yellow"/>
              </w:rPr>
            </w:pPr>
            <w:r>
              <w:rPr>
                <w:rFonts w:cs="Calibri"/>
                <w:sz w:val="24"/>
                <w:szCs w:val="24"/>
                <w:highlight w:val="yellow"/>
              </w:rPr>
              <w:t>99.5%</w:t>
            </w:r>
          </w:p>
        </w:tc>
        <w:tc>
          <w:tcPr>
            <w:tcW w:w="2877" w:type="dxa"/>
            <w:tcBorders>
              <w:top w:val="single" w:sz="4" w:space="0" w:color="auto"/>
              <w:left w:val="single" w:sz="4" w:space="0" w:color="auto"/>
              <w:bottom w:val="single" w:sz="4" w:space="0" w:color="auto"/>
              <w:right w:val="single" w:sz="4" w:space="0" w:color="auto"/>
            </w:tcBorders>
            <w:noWrap/>
          </w:tcPr>
          <w:p w14:paraId="51F0C978" w14:textId="77777777" w:rsidR="008A7F4A" w:rsidRDefault="008A7F4A">
            <w:pPr>
              <w:jc w:val="center"/>
              <w:rPr>
                <w:rFonts w:cs="Calibri"/>
                <w:sz w:val="24"/>
                <w:szCs w:val="24"/>
                <w:highlight w:val="yellow"/>
              </w:rPr>
            </w:pPr>
          </w:p>
        </w:tc>
      </w:tr>
      <w:tr w:rsidR="008A7F4A" w14:paraId="6AEB508D"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1AE0204F" w14:textId="77777777" w:rsidR="008A7F4A" w:rsidRDefault="008A7F4A">
            <w:pPr>
              <w:jc w:val="center"/>
              <w:rPr>
                <w:rFonts w:cs="Calibri"/>
                <w:sz w:val="24"/>
                <w:szCs w:val="24"/>
                <w:highlight w:val="yellow"/>
              </w:rPr>
            </w:pPr>
            <w:r>
              <w:rPr>
                <w:rFonts w:cs="Calibri"/>
                <w:sz w:val="24"/>
                <w:szCs w:val="24"/>
                <w:highlight w:val="yellow"/>
              </w:rPr>
              <w:t>79</w:t>
            </w:r>
          </w:p>
        </w:tc>
        <w:tc>
          <w:tcPr>
            <w:tcW w:w="2877" w:type="dxa"/>
            <w:tcBorders>
              <w:top w:val="single" w:sz="4" w:space="0" w:color="auto"/>
              <w:left w:val="single" w:sz="4" w:space="0" w:color="auto"/>
              <w:bottom w:val="single" w:sz="4" w:space="0" w:color="auto"/>
              <w:right w:val="single" w:sz="4" w:space="0" w:color="auto"/>
            </w:tcBorders>
            <w:noWrap/>
            <w:hideMark/>
          </w:tcPr>
          <w:p w14:paraId="23443438" w14:textId="77777777" w:rsidR="008A7F4A" w:rsidRDefault="008A7F4A">
            <w:pPr>
              <w:jc w:val="center"/>
              <w:rPr>
                <w:rFonts w:cs="Calibri"/>
                <w:sz w:val="24"/>
                <w:szCs w:val="24"/>
                <w:highlight w:val="yellow"/>
              </w:rPr>
            </w:pPr>
            <w:r>
              <w:rPr>
                <w:rFonts w:cs="Calibri"/>
                <w:sz w:val="24"/>
                <w:szCs w:val="24"/>
                <w:highlight w:val="yellow"/>
              </w:rPr>
              <w:t>101.0%</w:t>
            </w:r>
          </w:p>
        </w:tc>
        <w:tc>
          <w:tcPr>
            <w:tcW w:w="2877" w:type="dxa"/>
            <w:tcBorders>
              <w:top w:val="single" w:sz="4" w:space="0" w:color="auto"/>
              <w:left w:val="single" w:sz="4" w:space="0" w:color="auto"/>
              <w:bottom w:val="single" w:sz="4" w:space="0" w:color="auto"/>
              <w:right w:val="single" w:sz="4" w:space="0" w:color="auto"/>
            </w:tcBorders>
            <w:noWrap/>
          </w:tcPr>
          <w:p w14:paraId="0A9400B2" w14:textId="77777777" w:rsidR="008A7F4A" w:rsidRDefault="008A7F4A">
            <w:pPr>
              <w:jc w:val="center"/>
              <w:rPr>
                <w:rFonts w:cs="Calibri"/>
                <w:sz w:val="24"/>
                <w:szCs w:val="24"/>
                <w:highlight w:val="yellow"/>
              </w:rPr>
            </w:pPr>
          </w:p>
        </w:tc>
      </w:tr>
      <w:tr w:rsidR="008A7F4A" w14:paraId="0E8A1F1F"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607E31A6" w14:textId="77777777" w:rsidR="008A7F4A" w:rsidRDefault="008A7F4A">
            <w:pPr>
              <w:jc w:val="center"/>
              <w:rPr>
                <w:rFonts w:cs="Calibri"/>
                <w:sz w:val="24"/>
                <w:szCs w:val="24"/>
                <w:highlight w:val="yellow"/>
              </w:rPr>
            </w:pPr>
            <w:r>
              <w:rPr>
                <w:rFonts w:cs="Calibri"/>
                <w:sz w:val="24"/>
                <w:szCs w:val="24"/>
                <w:highlight w:val="yellow"/>
              </w:rPr>
              <w:t>80</w:t>
            </w:r>
          </w:p>
        </w:tc>
        <w:tc>
          <w:tcPr>
            <w:tcW w:w="2877" w:type="dxa"/>
            <w:tcBorders>
              <w:top w:val="single" w:sz="4" w:space="0" w:color="auto"/>
              <w:left w:val="single" w:sz="4" w:space="0" w:color="auto"/>
              <w:bottom w:val="single" w:sz="4" w:space="0" w:color="auto"/>
              <w:right w:val="single" w:sz="4" w:space="0" w:color="auto"/>
            </w:tcBorders>
            <w:noWrap/>
            <w:hideMark/>
          </w:tcPr>
          <w:p w14:paraId="64439408" w14:textId="77777777" w:rsidR="008A7F4A" w:rsidRDefault="008A7F4A">
            <w:pPr>
              <w:jc w:val="center"/>
              <w:rPr>
                <w:rFonts w:cs="Calibri"/>
                <w:sz w:val="24"/>
                <w:szCs w:val="24"/>
                <w:highlight w:val="yellow"/>
              </w:rPr>
            </w:pPr>
            <w:r>
              <w:rPr>
                <w:rFonts w:cs="Calibri"/>
                <w:sz w:val="24"/>
                <w:szCs w:val="24"/>
                <w:highlight w:val="yellow"/>
              </w:rPr>
              <w:t>102.5%</w:t>
            </w:r>
          </w:p>
        </w:tc>
        <w:tc>
          <w:tcPr>
            <w:tcW w:w="2877" w:type="dxa"/>
            <w:tcBorders>
              <w:top w:val="single" w:sz="4" w:space="0" w:color="auto"/>
              <w:left w:val="single" w:sz="4" w:space="0" w:color="auto"/>
              <w:bottom w:val="single" w:sz="4" w:space="0" w:color="auto"/>
              <w:right w:val="single" w:sz="4" w:space="0" w:color="auto"/>
            </w:tcBorders>
            <w:noWrap/>
          </w:tcPr>
          <w:p w14:paraId="0F92D1DF" w14:textId="77777777" w:rsidR="008A7F4A" w:rsidRDefault="008A7F4A">
            <w:pPr>
              <w:jc w:val="center"/>
              <w:rPr>
                <w:rFonts w:cs="Calibri"/>
                <w:sz w:val="24"/>
                <w:szCs w:val="24"/>
                <w:highlight w:val="yellow"/>
              </w:rPr>
            </w:pPr>
          </w:p>
        </w:tc>
      </w:tr>
      <w:tr w:rsidR="008A7F4A" w14:paraId="3863656D"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63D8AA32" w14:textId="77777777" w:rsidR="008A7F4A" w:rsidRDefault="008A7F4A">
            <w:pPr>
              <w:jc w:val="center"/>
              <w:rPr>
                <w:rFonts w:cs="Calibri"/>
                <w:sz w:val="24"/>
                <w:szCs w:val="24"/>
                <w:highlight w:val="yellow"/>
              </w:rPr>
            </w:pPr>
            <w:r>
              <w:rPr>
                <w:rFonts w:cs="Calibri"/>
                <w:sz w:val="24"/>
                <w:szCs w:val="24"/>
                <w:highlight w:val="yellow"/>
              </w:rPr>
              <w:t>81</w:t>
            </w:r>
          </w:p>
        </w:tc>
        <w:tc>
          <w:tcPr>
            <w:tcW w:w="2877" w:type="dxa"/>
            <w:tcBorders>
              <w:top w:val="single" w:sz="4" w:space="0" w:color="auto"/>
              <w:left w:val="single" w:sz="4" w:space="0" w:color="auto"/>
              <w:bottom w:val="single" w:sz="4" w:space="0" w:color="auto"/>
              <w:right w:val="single" w:sz="4" w:space="0" w:color="auto"/>
            </w:tcBorders>
            <w:noWrap/>
            <w:hideMark/>
          </w:tcPr>
          <w:p w14:paraId="0A063A60" w14:textId="77777777" w:rsidR="008A7F4A" w:rsidRDefault="008A7F4A">
            <w:pPr>
              <w:jc w:val="center"/>
              <w:rPr>
                <w:rFonts w:cs="Calibri"/>
                <w:sz w:val="24"/>
                <w:szCs w:val="24"/>
                <w:highlight w:val="yellow"/>
              </w:rPr>
            </w:pPr>
            <w:r>
              <w:rPr>
                <w:rFonts w:cs="Calibri"/>
                <w:sz w:val="24"/>
                <w:szCs w:val="24"/>
                <w:highlight w:val="yellow"/>
              </w:rPr>
              <w:t>104.0%</w:t>
            </w:r>
          </w:p>
        </w:tc>
        <w:tc>
          <w:tcPr>
            <w:tcW w:w="2877" w:type="dxa"/>
            <w:tcBorders>
              <w:top w:val="single" w:sz="4" w:space="0" w:color="auto"/>
              <w:left w:val="single" w:sz="4" w:space="0" w:color="auto"/>
              <w:bottom w:val="single" w:sz="4" w:space="0" w:color="auto"/>
              <w:right w:val="single" w:sz="4" w:space="0" w:color="auto"/>
            </w:tcBorders>
            <w:noWrap/>
          </w:tcPr>
          <w:p w14:paraId="2BFA322B" w14:textId="77777777" w:rsidR="008A7F4A" w:rsidRDefault="008A7F4A">
            <w:pPr>
              <w:jc w:val="center"/>
              <w:rPr>
                <w:rFonts w:cs="Calibri"/>
                <w:sz w:val="24"/>
                <w:szCs w:val="24"/>
                <w:highlight w:val="yellow"/>
              </w:rPr>
            </w:pPr>
          </w:p>
        </w:tc>
      </w:tr>
      <w:tr w:rsidR="008A7F4A" w14:paraId="1D15A512"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5836DD37" w14:textId="77777777" w:rsidR="008A7F4A" w:rsidRDefault="008A7F4A">
            <w:pPr>
              <w:jc w:val="center"/>
              <w:rPr>
                <w:rFonts w:cs="Calibri"/>
                <w:sz w:val="24"/>
                <w:szCs w:val="24"/>
                <w:highlight w:val="yellow"/>
              </w:rPr>
            </w:pPr>
            <w:r>
              <w:rPr>
                <w:rFonts w:cs="Calibri"/>
                <w:sz w:val="24"/>
                <w:szCs w:val="24"/>
                <w:highlight w:val="yellow"/>
              </w:rPr>
              <w:t>82</w:t>
            </w:r>
          </w:p>
        </w:tc>
        <w:tc>
          <w:tcPr>
            <w:tcW w:w="2877" w:type="dxa"/>
            <w:tcBorders>
              <w:top w:val="single" w:sz="4" w:space="0" w:color="auto"/>
              <w:left w:val="single" w:sz="4" w:space="0" w:color="auto"/>
              <w:bottom w:val="single" w:sz="4" w:space="0" w:color="auto"/>
              <w:right w:val="single" w:sz="4" w:space="0" w:color="auto"/>
            </w:tcBorders>
            <w:noWrap/>
            <w:hideMark/>
          </w:tcPr>
          <w:p w14:paraId="4BD15FEC" w14:textId="77777777" w:rsidR="008A7F4A" w:rsidRDefault="008A7F4A">
            <w:pPr>
              <w:jc w:val="center"/>
              <w:rPr>
                <w:rFonts w:cs="Calibri"/>
                <w:sz w:val="24"/>
                <w:szCs w:val="24"/>
                <w:highlight w:val="yellow"/>
              </w:rPr>
            </w:pPr>
            <w:r>
              <w:rPr>
                <w:rFonts w:cs="Calibri"/>
                <w:sz w:val="24"/>
                <w:szCs w:val="24"/>
                <w:highlight w:val="yellow"/>
              </w:rPr>
              <w:t>105.5%</w:t>
            </w:r>
          </w:p>
        </w:tc>
        <w:tc>
          <w:tcPr>
            <w:tcW w:w="2877" w:type="dxa"/>
            <w:tcBorders>
              <w:top w:val="single" w:sz="4" w:space="0" w:color="auto"/>
              <w:left w:val="single" w:sz="4" w:space="0" w:color="auto"/>
              <w:bottom w:val="single" w:sz="4" w:space="0" w:color="auto"/>
              <w:right w:val="single" w:sz="4" w:space="0" w:color="auto"/>
            </w:tcBorders>
            <w:noWrap/>
          </w:tcPr>
          <w:p w14:paraId="3A59AB83" w14:textId="77777777" w:rsidR="008A7F4A" w:rsidRDefault="008A7F4A">
            <w:pPr>
              <w:jc w:val="center"/>
              <w:rPr>
                <w:rFonts w:cs="Calibri"/>
                <w:sz w:val="24"/>
                <w:szCs w:val="24"/>
                <w:highlight w:val="yellow"/>
              </w:rPr>
            </w:pPr>
          </w:p>
        </w:tc>
      </w:tr>
      <w:tr w:rsidR="008A7F4A" w14:paraId="12111AE7"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626A6D44" w14:textId="77777777" w:rsidR="008A7F4A" w:rsidRDefault="008A7F4A">
            <w:pPr>
              <w:jc w:val="center"/>
              <w:rPr>
                <w:rFonts w:cs="Calibri"/>
                <w:sz w:val="24"/>
                <w:szCs w:val="24"/>
                <w:highlight w:val="yellow"/>
              </w:rPr>
            </w:pPr>
            <w:r>
              <w:rPr>
                <w:rFonts w:cs="Calibri"/>
                <w:sz w:val="24"/>
                <w:szCs w:val="24"/>
                <w:highlight w:val="yellow"/>
              </w:rPr>
              <w:t>83</w:t>
            </w:r>
          </w:p>
        </w:tc>
        <w:tc>
          <w:tcPr>
            <w:tcW w:w="2877" w:type="dxa"/>
            <w:tcBorders>
              <w:top w:val="single" w:sz="4" w:space="0" w:color="auto"/>
              <w:left w:val="single" w:sz="4" w:space="0" w:color="auto"/>
              <w:bottom w:val="single" w:sz="4" w:space="0" w:color="auto"/>
              <w:right w:val="single" w:sz="4" w:space="0" w:color="auto"/>
            </w:tcBorders>
            <w:noWrap/>
            <w:hideMark/>
          </w:tcPr>
          <w:p w14:paraId="27EEBFB8" w14:textId="77777777" w:rsidR="008A7F4A" w:rsidRDefault="008A7F4A">
            <w:pPr>
              <w:jc w:val="center"/>
              <w:rPr>
                <w:rFonts w:cs="Calibri"/>
                <w:sz w:val="24"/>
                <w:szCs w:val="24"/>
                <w:highlight w:val="yellow"/>
              </w:rPr>
            </w:pPr>
            <w:r>
              <w:rPr>
                <w:rFonts w:cs="Calibri"/>
                <w:sz w:val="24"/>
                <w:szCs w:val="24"/>
                <w:highlight w:val="yellow"/>
              </w:rPr>
              <w:t>107.0%</w:t>
            </w:r>
          </w:p>
        </w:tc>
        <w:tc>
          <w:tcPr>
            <w:tcW w:w="2877" w:type="dxa"/>
            <w:tcBorders>
              <w:top w:val="single" w:sz="4" w:space="0" w:color="auto"/>
              <w:left w:val="single" w:sz="4" w:space="0" w:color="auto"/>
              <w:bottom w:val="single" w:sz="4" w:space="0" w:color="auto"/>
              <w:right w:val="single" w:sz="4" w:space="0" w:color="auto"/>
            </w:tcBorders>
            <w:noWrap/>
          </w:tcPr>
          <w:p w14:paraId="0D3DAC8B" w14:textId="77777777" w:rsidR="008A7F4A" w:rsidRDefault="008A7F4A">
            <w:pPr>
              <w:jc w:val="center"/>
              <w:rPr>
                <w:rFonts w:cs="Calibri"/>
                <w:sz w:val="24"/>
                <w:szCs w:val="24"/>
                <w:highlight w:val="yellow"/>
              </w:rPr>
            </w:pPr>
          </w:p>
        </w:tc>
      </w:tr>
      <w:tr w:rsidR="008A7F4A" w14:paraId="78B32AE4"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3541D18E" w14:textId="77777777" w:rsidR="008A7F4A" w:rsidRDefault="008A7F4A">
            <w:pPr>
              <w:jc w:val="center"/>
              <w:rPr>
                <w:rFonts w:cs="Calibri"/>
                <w:sz w:val="24"/>
                <w:szCs w:val="24"/>
                <w:highlight w:val="yellow"/>
              </w:rPr>
            </w:pPr>
            <w:r>
              <w:rPr>
                <w:rFonts w:cs="Calibri"/>
                <w:sz w:val="24"/>
                <w:szCs w:val="24"/>
                <w:highlight w:val="yellow"/>
              </w:rPr>
              <w:t>84</w:t>
            </w:r>
          </w:p>
        </w:tc>
        <w:tc>
          <w:tcPr>
            <w:tcW w:w="2877" w:type="dxa"/>
            <w:tcBorders>
              <w:top w:val="single" w:sz="4" w:space="0" w:color="auto"/>
              <w:left w:val="single" w:sz="4" w:space="0" w:color="auto"/>
              <w:bottom w:val="single" w:sz="4" w:space="0" w:color="auto"/>
              <w:right w:val="single" w:sz="4" w:space="0" w:color="auto"/>
            </w:tcBorders>
            <w:noWrap/>
            <w:hideMark/>
          </w:tcPr>
          <w:p w14:paraId="391112EC" w14:textId="77777777" w:rsidR="008A7F4A" w:rsidRDefault="008A7F4A">
            <w:pPr>
              <w:jc w:val="center"/>
              <w:rPr>
                <w:rFonts w:cs="Calibri"/>
                <w:sz w:val="24"/>
                <w:szCs w:val="24"/>
                <w:highlight w:val="yellow"/>
              </w:rPr>
            </w:pPr>
            <w:r>
              <w:rPr>
                <w:rFonts w:cs="Calibri"/>
                <w:sz w:val="24"/>
                <w:szCs w:val="24"/>
                <w:highlight w:val="yellow"/>
              </w:rPr>
              <w:t>108.5%</w:t>
            </w:r>
          </w:p>
        </w:tc>
        <w:tc>
          <w:tcPr>
            <w:tcW w:w="2877" w:type="dxa"/>
            <w:tcBorders>
              <w:top w:val="single" w:sz="4" w:space="0" w:color="auto"/>
              <w:left w:val="single" w:sz="4" w:space="0" w:color="auto"/>
              <w:bottom w:val="single" w:sz="4" w:space="0" w:color="auto"/>
              <w:right w:val="single" w:sz="4" w:space="0" w:color="auto"/>
            </w:tcBorders>
            <w:noWrap/>
          </w:tcPr>
          <w:p w14:paraId="5F0FB582" w14:textId="77777777" w:rsidR="008A7F4A" w:rsidRDefault="008A7F4A">
            <w:pPr>
              <w:jc w:val="center"/>
              <w:rPr>
                <w:rFonts w:cs="Calibri"/>
                <w:sz w:val="24"/>
                <w:szCs w:val="24"/>
                <w:highlight w:val="yellow"/>
              </w:rPr>
            </w:pPr>
          </w:p>
        </w:tc>
      </w:tr>
      <w:tr w:rsidR="008A7F4A" w14:paraId="4DB40A28"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0C8177E6" w14:textId="77777777" w:rsidR="008A7F4A" w:rsidRDefault="008A7F4A">
            <w:pPr>
              <w:jc w:val="center"/>
              <w:rPr>
                <w:rFonts w:cs="Calibri"/>
                <w:sz w:val="24"/>
                <w:szCs w:val="24"/>
                <w:highlight w:val="yellow"/>
              </w:rPr>
            </w:pPr>
            <w:r>
              <w:rPr>
                <w:rFonts w:cs="Calibri"/>
                <w:sz w:val="24"/>
                <w:szCs w:val="24"/>
                <w:highlight w:val="yellow"/>
              </w:rPr>
              <w:t>85</w:t>
            </w:r>
          </w:p>
        </w:tc>
        <w:tc>
          <w:tcPr>
            <w:tcW w:w="2877" w:type="dxa"/>
            <w:tcBorders>
              <w:top w:val="single" w:sz="4" w:space="0" w:color="auto"/>
              <w:left w:val="single" w:sz="4" w:space="0" w:color="auto"/>
              <w:bottom w:val="single" w:sz="4" w:space="0" w:color="auto"/>
              <w:right w:val="single" w:sz="4" w:space="0" w:color="auto"/>
            </w:tcBorders>
            <w:noWrap/>
            <w:hideMark/>
          </w:tcPr>
          <w:p w14:paraId="5DE16AD3" w14:textId="77777777" w:rsidR="008A7F4A" w:rsidRDefault="008A7F4A">
            <w:pPr>
              <w:jc w:val="center"/>
              <w:rPr>
                <w:rFonts w:cs="Calibri"/>
                <w:sz w:val="24"/>
                <w:szCs w:val="24"/>
                <w:highlight w:val="yellow"/>
              </w:rPr>
            </w:pPr>
            <w:r>
              <w:rPr>
                <w:rFonts w:cs="Calibri"/>
                <w:sz w:val="24"/>
                <w:szCs w:val="24"/>
                <w:highlight w:val="yellow"/>
              </w:rPr>
              <w:t>110.0%</w:t>
            </w:r>
          </w:p>
        </w:tc>
        <w:tc>
          <w:tcPr>
            <w:tcW w:w="2877" w:type="dxa"/>
            <w:tcBorders>
              <w:top w:val="single" w:sz="4" w:space="0" w:color="auto"/>
              <w:left w:val="single" w:sz="4" w:space="0" w:color="auto"/>
              <w:bottom w:val="single" w:sz="4" w:space="0" w:color="auto"/>
              <w:right w:val="single" w:sz="4" w:space="0" w:color="auto"/>
            </w:tcBorders>
            <w:noWrap/>
          </w:tcPr>
          <w:p w14:paraId="2BCC0A4E" w14:textId="77777777" w:rsidR="008A7F4A" w:rsidRDefault="008A7F4A">
            <w:pPr>
              <w:jc w:val="center"/>
              <w:rPr>
                <w:rFonts w:cs="Calibri"/>
                <w:sz w:val="24"/>
                <w:szCs w:val="24"/>
                <w:highlight w:val="yellow"/>
              </w:rPr>
            </w:pPr>
          </w:p>
        </w:tc>
      </w:tr>
      <w:tr w:rsidR="008A7F4A" w14:paraId="211488EA"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0EF686BD" w14:textId="77777777" w:rsidR="008A7F4A" w:rsidRDefault="008A7F4A">
            <w:pPr>
              <w:jc w:val="center"/>
              <w:rPr>
                <w:rFonts w:cs="Calibri"/>
                <w:sz w:val="24"/>
                <w:szCs w:val="24"/>
                <w:highlight w:val="yellow"/>
              </w:rPr>
            </w:pPr>
            <w:r>
              <w:rPr>
                <w:rFonts w:cs="Calibri"/>
                <w:sz w:val="24"/>
                <w:szCs w:val="24"/>
                <w:highlight w:val="yellow"/>
              </w:rPr>
              <w:t>86</w:t>
            </w:r>
          </w:p>
        </w:tc>
        <w:tc>
          <w:tcPr>
            <w:tcW w:w="2877" w:type="dxa"/>
            <w:tcBorders>
              <w:top w:val="single" w:sz="4" w:space="0" w:color="auto"/>
              <w:left w:val="single" w:sz="4" w:space="0" w:color="auto"/>
              <w:bottom w:val="single" w:sz="4" w:space="0" w:color="auto"/>
              <w:right w:val="single" w:sz="4" w:space="0" w:color="auto"/>
            </w:tcBorders>
            <w:noWrap/>
            <w:hideMark/>
          </w:tcPr>
          <w:p w14:paraId="229BAAD9" w14:textId="77777777" w:rsidR="008A7F4A" w:rsidRDefault="008A7F4A">
            <w:pPr>
              <w:jc w:val="center"/>
              <w:rPr>
                <w:rFonts w:cs="Calibri"/>
                <w:sz w:val="24"/>
                <w:szCs w:val="24"/>
                <w:highlight w:val="yellow"/>
              </w:rPr>
            </w:pPr>
            <w:r>
              <w:rPr>
                <w:rFonts w:cs="Calibri"/>
                <w:sz w:val="24"/>
                <w:szCs w:val="24"/>
                <w:highlight w:val="yellow"/>
              </w:rPr>
              <w:t>110.0%</w:t>
            </w:r>
          </w:p>
        </w:tc>
        <w:tc>
          <w:tcPr>
            <w:tcW w:w="2877" w:type="dxa"/>
            <w:tcBorders>
              <w:top w:val="single" w:sz="4" w:space="0" w:color="auto"/>
              <w:left w:val="single" w:sz="4" w:space="0" w:color="auto"/>
              <w:bottom w:val="single" w:sz="4" w:space="0" w:color="auto"/>
              <w:right w:val="single" w:sz="4" w:space="0" w:color="auto"/>
            </w:tcBorders>
            <w:noWrap/>
          </w:tcPr>
          <w:p w14:paraId="48F6046C" w14:textId="77777777" w:rsidR="008A7F4A" w:rsidRDefault="008A7F4A">
            <w:pPr>
              <w:jc w:val="center"/>
              <w:rPr>
                <w:rFonts w:cs="Calibri"/>
                <w:sz w:val="24"/>
                <w:szCs w:val="24"/>
                <w:highlight w:val="yellow"/>
              </w:rPr>
            </w:pPr>
          </w:p>
        </w:tc>
      </w:tr>
      <w:tr w:rsidR="008A7F4A" w14:paraId="6B85FC82"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2BD53F24" w14:textId="77777777" w:rsidR="008A7F4A" w:rsidRDefault="008A7F4A">
            <w:pPr>
              <w:jc w:val="center"/>
              <w:rPr>
                <w:rFonts w:cs="Calibri"/>
                <w:sz w:val="24"/>
                <w:szCs w:val="24"/>
                <w:highlight w:val="yellow"/>
              </w:rPr>
            </w:pPr>
            <w:r>
              <w:rPr>
                <w:rFonts w:cs="Calibri"/>
                <w:sz w:val="24"/>
                <w:szCs w:val="24"/>
                <w:highlight w:val="yellow"/>
              </w:rPr>
              <w:t>87</w:t>
            </w:r>
          </w:p>
        </w:tc>
        <w:tc>
          <w:tcPr>
            <w:tcW w:w="2877" w:type="dxa"/>
            <w:tcBorders>
              <w:top w:val="single" w:sz="4" w:space="0" w:color="auto"/>
              <w:left w:val="single" w:sz="4" w:space="0" w:color="auto"/>
              <w:bottom w:val="single" w:sz="4" w:space="0" w:color="auto"/>
              <w:right w:val="single" w:sz="4" w:space="0" w:color="auto"/>
            </w:tcBorders>
            <w:noWrap/>
            <w:hideMark/>
          </w:tcPr>
          <w:p w14:paraId="2EE42285" w14:textId="77777777" w:rsidR="008A7F4A" w:rsidRDefault="008A7F4A">
            <w:pPr>
              <w:jc w:val="center"/>
              <w:rPr>
                <w:rFonts w:cs="Calibri"/>
                <w:sz w:val="24"/>
                <w:szCs w:val="24"/>
                <w:highlight w:val="yellow"/>
              </w:rPr>
            </w:pPr>
            <w:r>
              <w:rPr>
                <w:rFonts w:cs="Calibri"/>
                <w:sz w:val="24"/>
                <w:szCs w:val="24"/>
                <w:highlight w:val="yellow"/>
              </w:rPr>
              <w:t>110.0%</w:t>
            </w:r>
          </w:p>
        </w:tc>
        <w:tc>
          <w:tcPr>
            <w:tcW w:w="2877" w:type="dxa"/>
            <w:tcBorders>
              <w:top w:val="single" w:sz="4" w:space="0" w:color="auto"/>
              <w:left w:val="single" w:sz="4" w:space="0" w:color="auto"/>
              <w:bottom w:val="single" w:sz="4" w:space="0" w:color="auto"/>
              <w:right w:val="single" w:sz="4" w:space="0" w:color="auto"/>
            </w:tcBorders>
            <w:noWrap/>
          </w:tcPr>
          <w:p w14:paraId="010D0503" w14:textId="77777777" w:rsidR="008A7F4A" w:rsidRDefault="008A7F4A">
            <w:pPr>
              <w:jc w:val="center"/>
              <w:rPr>
                <w:rFonts w:cs="Calibri"/>
                <w:sz w:val="24"/>
                <w:szCs w:val="24"/>
                <w:highlight w:val="yellow"/>
              </w:rPr>
            </w:pPr>
          </w:p>
        </w:tc>
      </w:tr>
      <w:tr w:rsidR="008A7F4A" w14:paraId="2DC1FC98"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0E34FED1" w14:textId="77777777" w:rsidR="008A7F4A" w:rsidRDefault="008A7F4A">
            <w:pPr>
              <w:jc w:val="center"/>
              <w:rPr>
                <w:rFonts w:cs="Calibri"/>
                <w:sz w:val="24"/>
                <w:szCs w:val="24"/>
                <w:highlight w:val="yellow"/>
              </w:rPr>
            </w:pPr>
            <w:r>
              <w:rPr>
                <w:rFonts w:cs="Calibri"/>
                <w:sz w:val="24"/>
                <w:szCs w:val="24"/>
                <w:highlight w:val="yellow"/>
              </w:rPr>
              <w:t>88</w:t>
            </w:r>
          </w:p>
        </w:tc>
        <w:tc>
          <w:tcPr>
            <w:tcW w:w="2877" w:type="dxa"/>
            <w:tcBorders>
              <w:top w:val="single" w:sz="4" w:space="0" w:color="auto"/>
              <w:left w:val="single" w:sz="4" w:space="0" w:color="auto"/>
              <w:bottom w:val="single" w:sz="4" w:space="0" w:color="auto"/>
              <w:right w:val="single" w:sz="4" w:space="0" w:color="auto"/>
            </w:tcBorders>
            <w:noWrap/>
            <w:hideMark/>
          </w:tcPr>
          <w:p w14:paraId="2220530C" w14:textId="77777777" w:rsidR="008A7F4A" w:rsidRDefault="008A7F4A">
            <w:pPr>
              <w:jc w:val="center"/>
              <w:rPr>
                <w:rFonts w:cs="Calibri"/>
                <w:sz w:val="24"/>
                <w:szCs w:val="24"/>
                <w:highlight w:val="yellow"/>
              </w:rPr>
            </w:pPr>
            <w:r>
              <w:rPr>
                <w:rFonts w:cs="Calibri"/>
                <w:sz w:val="24"/>
                <w:szCs w:val="24"/>
                <w:highlight w:val="yellow"/>
              </w:rPr>
              <w:t>110.0%</w:t>
            </w:r>
          </w:p>
        </w:tc>
        <w:tc>
          <w:tcPr>
            <w:tcW w:w="2877" w:type="dxa"/>
            <w:tcBorders>
              <w:top w:val="single" w:sz="4" w:space="0" w:color="auto"/>
              <w:left w:val="single" w:sz="4" w:space="0" w:color="auto"/>
              <w:bottom w:val="single" w:sz="4" w:space="0" w:color="auto"/>
              <w:right w:val="single" w:sz="4" w:space="0" w:color="auto"/>
            </w:tcBorders>
            <w:noWrap/>
          </w:tcPr>
          <w:p w14:paraId="4D1EB2E6" w14:textId="77777777" w:rsidR="008A7F4A" w:rsidRDefault="008A7F4A">
            <w:pPr>
              <w:jc w:val="center"/>
              <w:rPr>
                <w:rFonts w:cs="Calibri"/>
                <w:sz w:val="24"/>
                <w:szCs w:val="24"/>
                <w:highlight w:val="yellow"/>
              </w:rPr>
            </w:pPr>
          </w:p>
        </w:tc>
      </w:tr>
      <w:tr w:rsidR="008A7F4A" w14:paraId="0905A510"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0604214C" w14:textId="77777777" w:rsidR="008A7F4A" w:rsidRDefault="008A7F4A">
            <w:pPr>
              <w:jc w:val="center"/>
              <w:rPr>
                <w:rFonts w:cs="Calibri"/>
                <w:sz w:val="24"/>
                <w:szCs w:val="24"/>
                <w:highlight w:val="yellow"/>
              </w:rPr>
            </w:pPr>
            <w:r>
              <w:rPr>
                <w:rFonts w:cs="Calibri"/>
                <w:sz w:val="24"/>
                <w:szCs w:val="24"/>
                <w:highlight w:val="yellow"/>
              </w:rPr>
              <w:t>89</w:t>
            </w:r>
          </w:p>
        </w:tc>
        <w:tc>
          <w:tcPr>
            <w:tcW w:w="2877" w:type="dxa"/>
            <w:tcBorders>
              <w:top w:val="single" w:sz="4" w:space="0" w:color="auto"/>
              <w:left w:val="single" w:sz="4" w:space="0" w:color="auto"/>
              <w:bottom w:val="single" w:sz="4" w:space="0" w:color="auto"/>
              <w:right w:val="single" w:sz="4" w:space="0" w:color="auto"/>
            </w:tcBorders>
            <w:noWrap/>
            <w:hideMark/>
          </w:tcPr>
          <w:p w14:paraId="677E1E6C" w14:textId="77777777" w:rsidR="008A7F4A" w:rsidRDefault="008A7F4A">
            <w:pPr>
              <w:jc w:val="center"/>
              <w:rPr>
                <w:rFonts w:cs="Calibri"/>
                <w:sz w:val="24"/>
                <w:szCs w:val="24"/>
                <w:highlight w:val="yellow"/>
              </w:rPr>
            </w:pPr>
            <w:r>
              <w:rPr>
                <w:rFonts w:cs="Calibri"/>
                <w:sz w:val="24"/>
                <w:szCs w:val="24"/>
                <w:highlight w:val="yellow"/>
              </w:rPr>
              <w:t>110.0%</w:t>
            </w:r>
          </w:p>
        </w:tc>
        <w:tc>
          <w:tcPr>
            <w:tcW w:w="2877" w:type="dxa"/>
            <w:tcBorders>
              <w:top w:val="single" w:sz="4" w:space="0" w:color="auto"/>
              <w:left w:val="single" w:sz="4" w:space="0" w:color="auto"/>
              <w:bottom w:val="single" w:sz="4" w:space="0" w:color="auto"/>
              <w:right w:val="single" w:sz="4" w:space="0" w:color="auto"/>
            </w:tcBorders>
            <w:noWrap/>
          </w:tcPr>
          <w:p w14:paraId="6C620FD1" w14:textId="77777777" w:rsidR="008A7F4A" w:rsidRDefault="008A7F4A">
            <w:pPr>
              <w:jc w:val="center"/>
              <w:rPr>
                <w:rFonts w:cs="Calibri"/>
                <w:sz w:val="24"/>
                <w:szCs w:val="24"/>
                <w:highlight w:val="yellow"/>
              </w:rPr>
            </w:pPr>
          </w:p>
        </w:tc>
      </w:tr>
      <w:tr w:rsidR="008A7F4A" w14:paraId="0B5EC3EA"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389A0C16" w14:textId="77777777" w:rsidR="008A7F4A" w:rsidRDefault="008A7F4A">
            <w:pPr>
              <w:jc w:val="center"/>
              <w:rPr>
                <w:rFonts w:cs="Calibri"/>
                <w:sz w:val="24"/>
                <w:szCs w:val="24"/>
                <w:highlight w:val="yellow"/>
              </w:rPr>
            </w:pPr>
            <w:r>
              <w:rPr>
                <w:rFonts w:cs="Calibri"/>
                <w:sz w:val="24"/>
                <w:szCs w:val="24"/>
                <w:highlight w:val="yellow"/>
              </w:rPr>
              <w:t>90</w:t>
            </w:r>
          </w:p>
        </w:tc>
        <w:tc>
          <w:tcPr>
            <w:tcW w:w="2877" w:type="dxa"/>
            <w:tcBorders>
              <w:top w:val="single" w:sz="4" w:space="0" w:color="auto"/>
              <w:left w:val="single" w:sz="4" w:space="0" w:color="auto"/>
              <w:bottom w:val="single" w:sz="4" w:space="0" w:color="auto"/>
              <w:right w:val="single" w:sz="4" w:space="0" w:color="auto"/>
            </w:tcBorders>
            <w:noWrap/>
            <w:hideMark/>
          </w:tcPr>
          <w:p w14:paraId="08CE8774" w14:textId="77777777" w:rsidR="008A7F4A" w:rsidRDefault="008A7F4A">
            <w:pPr>
              <w:jc w:val="center"/>
              <w:rPr>
                <w:rFonts w:cs="Calibri"/>
                <w:sz w:val="24"/>
                <w:szCs w:val="24"/>
                <w:highlight w:val="yellow"/>
              </w:rPr>
            </w:pPr>
            <w:r>
              <w:rPr>
                <w:rFonts w:cs="Calibri"/>
                <w:sz w:val="24"/>
                <w:szCs w:val="24"/>
                <w:highlight w:val="yellow"/>
              </w:rPr>
              <w:t>110.0%</w:t>
            </w:r>
          </w:p>
        </w:tc>
        <w:tc>
          <w:tcPr>
            <w:tcW w:w="2877" w:type="dxa"/>
            <w:tcBorders>
              <w:top w:val="single" w:sz="4" w:space="0" w:color="auto"/>
              <w:left w:val="single" w:sz="4" w:space="0" w:color="auto"/>
              <w:bottom w:val="single" w:sz="4" w:space="0" w:color="auto"/>
              <w:right w:val="single" w:sz="4" w:space="0" w:color="auto"/>
            </w:tcBorders>
            <w:noWrap/>
          </w:tcPr>
          <w:p w14:paraId="762F3059" w14:textId="77777777" w:rsidR="008A7F4A" w:rsidRDefault="008A7F4A">
            <w:pPr>
              <w:jc w:val="center"/>
              <w:rPr>
                <w:rFonts w:cs="Calibri"/>
                <w:sz w:val="24"/>
                <w:szCs w:val="24"/>
                <w:highlight w:val="yellow"/>
              </w:rPr>
            </w:pPr>
          </w:p>
        </w:tc>
      </w:tr>
      <w:tr w:rsidR="008A7F4A" w14:paraId="103811B5"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4D8EABF8" w14:textId="77777777" w:rsidR="008A7F4A" w:rsidRDefault="008A7F4A">
            <w:pPr>
              <w:jc w:val="center"/>
              <w:rPr>
                <w:rFonts w:cs="Calibri"/>
                <w:sz w:val="24"/>
                <w:szCs w:val="24"/>
                <w:highlight w:val="yellow"/>
              </w:rPr>
            </w:pPr>
            <w:r>
              <w:rPr>
                <w:rFonts w:cs="Calibri"/>
                <w:sz w:val="24"/>
                <w:szCs w:val="24"/>
                <w:highlight w:val="yellow"/>
              </w:rPr>
              <w:t>91</w:t>
            </w:r>
          </w:p>
        </w:tc>
        <w:tc>
          <w:tcPr>
            <w:tcW w:w="2877" w:type="dxa"/>
            <w:tcBorders>
              <w:top w:val="single" w:sz="4" w:space="0" w:color="auto"/>
              <w:left w:val="single" w:sz="4" w:space="0" w:color="auto"/>
              <w:bottom w:val="single" w:sz="4" w:space="0" w:color="auto"/>
              <w:right w:val="single" w:sz="4" w:space="0" w:color="auto"/>
            </w:tcBorders>
            <w:noWrap/>
            <w:hideMark/>
          </w:tcPr>
          <w:p w14:paraId="75681944" w14:textId="77777777" w:rsidR="008A7F4A" w:rsidRDefault="008A7F4A">
            <w:pPr>
              <w:jc w:val="center"/>
              <w:rPr>
                <w:rFonts w:cs="Calibri"/>
                <w:sz w:val="24"/>
                <w:szCs w:val="24"/>
                <w:highlight w:val="yellow"/>
              </w:rPr>
            </w:pPr>
            <w:r>
              <w:rPr>
                <w:rFonts w:cs="Calibri"/>
                <w:sz w:val="24"/>
                <w:szCs w:val="24"/>
                <w:highlight w:val="yellow"/>
              </w:rPr>
              <w:t>110.0%</w:t>
            </w:r>
          </w:p>
        </w:tc>
        <w:tc>
          <w:tcPr>
            <w:tcW w:w="2877" w:type="dxa"/>
            <w:tcBorders>
              <w:top w:val="single" w:sz="4" w:space="0" w:color="auto"/>
              <w:left w:val="single" w:sz="4" w:space="0" w:color="auto"/>
              <w:bottom w:val="single" w:sz="4" w:space="0" w:color="auto"/>
              <w:right w:val="single" w:sz="4" w:space="0" w:color="auto"/>
            </w:tcBorders>
            <w:noWrap/>
          </w:tcPr>
          <w:p w14:paraId="359E2D2E" w14:textId="77777777" w:rsidR="008A7F4A" w:rsidRDefault="008A7F4A">
            <w:pPr>
              <w:jc w:val="center"/>
              <w:rPr>
                <w:rFonts w:cs="Calibri"/>
                <w:sz w:val="24"/>
                <w:szCs w:val="24"/>
                <w:highlight w:val="yellow"/>
              </w:rPr>
            </w:pPr>
          </w:p>
        </w:tc>
      </w:tr>
      <w:tr w:rsidR="008A7F4A" w14:paraId="5AB7A507"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520C17FB" w14:textId="77777777" w:rsidR="008A7F4A" w:rsidRDefault="008A7F4A">
            <w:pPr>
              <w:jc w:val="center"/>
              <w:rPr>
                <w:rFonts w:cs="Calibri"/>
                <w:sz w:val="24"/>
                <w:szCs w:val="24"/>
                <w:highlight w:val="yellow"/>
              </w:rPr>
            </w:pPr>
            <w:r>
              <w:rPr>
                <w:rFonts w:cs="Calibri"/>
                <w:sz w:val="24"/>
                <w:szCs w:val="24"/>
                <w:highlight w:val="yellow"/>
              </w:rPr>
              <w:t>92</w:t>
            </w:r>
          </w:p>
        </w:tc>
        <w:tc>
          <w:tcPr>
            <w:tcW w:w="2877" w:type="dxa"/>
            <w:tcBorders>
              <w:top w:val="single" w:sz="4" w:space="0" w:color="auto"/>
              <w:left w:val="single" w:sz="4" w:space="0" w:color="auto"/>
              <w:bottom w:val="single" w:sz="4" w:space="0" w:color="auto"/>
              <w:right w:val="single" w:sz="4" w:space="0" w:color="auto"/>
            </w:tcBorders>
            <w:noWrap/>
            <w:hideMark/>
          </w:tcPr>
          <w:p w14:paraId="3500E01C" w14:textId="77777777" w:rsidR="008A7F4A" w:rsidRDefault="008A7F4A">
            <w:pPr>
              <w:jc w:val="center"/>
              <w:rPr>
                <w:rFonts w:cs="Calibri"/>
                <w:sz w:val="24"/>
                <w:szCs w:val="24"/>
                <w:highlight w:val="yellow"/>
              </w:rPr>
            </w:pPr>
            <w:r>
              <w:rPr>
                <w:rFonts w:cs="Calibri"/>
                <w:sz w:val="24"/>
                <w:szCs w:val="24"/>
                <w:highlight w:val="yellow"/>
              </w:rPr>
              <w:t>110.0%</w:t>
            </w:r>
          </w:p>
        </w:tc>
        <w:tc>
          <w:tcPr>
            <w:tcW w:w="2877" w:type="dxa"/>
            <w:tcBorders>
              <w:top w:val="single" w:sz="4" w:space="0" w:color="auto"/>
              <w:left w:val="single" w:sz="4" w:space="0" w:color="auto"/>
              <w:bottom w:val="single" w:sz="4" w:space="0" w:color="auto"/>
              <w:right w:val="single" w:sz="4" w:space="0" w:color="auto"/>
            </w:tcBorders>
            <w:noWrap/>
          </w:tcPr>
          <w:p w14:paraId="7DA26989" w14:textId="77777777" w:rsidR="008A7F4A" w:rsidRDefault="008A7F4A">
            <w:pPr>
              <w:jc w:val="center"/>
              <w:rPr>
                <w:rFonts w:cs="Calibri"/>
                <w:sz w:val="24"/>
                <w:szCs w:val="24"/>
                <w:highlight w:val="yellow"/>
              </w:rPr>
            </w:pPr>
          </w:p>
        </w:tc>
      </w:tr>
      <w:tr w:rsidR="008A7F4A" w14:paraId="4F33D826"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5242EBE9" w14:textId="77777777" w:rsidR="008A7F4A" w:rsidRDefault="008A7F4A">
            <w:pPr>
              <w:jc w:val="center"/>
              <w:rPr>
                <w:rFonts w:cs="Calibri"/>
                <w:sz w:val="24"/>
                <w:szCs w:val="24"/>
                <w:highlight w:val="yellow"/>
              </w:rPr>
            </w:pPr>
            <w:r>
              <w:rPr>
                <w:rFonts w:cs="Calibri"/>
                <w:sz w:val="24"/>
                <w:szCs w:val="24"/>
                <w:highlight w:val="yellow"/>
              </w:rPr>
              <w:t>93</w:t>
            </w:r>
          </w:p>
        </w:tc>
        <w:tc>
          <w:tcPr>
            <w:tcW w:w="2877" w:type="dxa"/>
            <w:tcBorders>
              <w:top w:val="single" w:sz="4" w:space="0" w:color="auto"/>
              <w:left w:val="single" w:sz="4" w:space="0" w:color="auto"/>
              <w:bottom w:val="single" w:sz="4" w:space="0" w:color="auto"/>
              <w:right w:val="single" w:sz="4" w:space="0" w:color="auto"/>
            </w:tcBorders>
            <w:noWrap/>
            <w:hideMark/>
          </w:tcPr>
          <w:p w14:paraId="6C6138D6" w14:textId="77777777" w:rsidR="008A7F4A" w:rsidRDefault="008A7F4A">
            <w:pPr>
              <w:jc w:val="center"/>
              <w:rPr>
                <w:rFonts w:cs="Calibri"/>
                <w:sz w:val="24"/>
                <w:szCs w:val="24"/>
                <w:highlight w:val="yellow"/>
              </w:rPr>
            </w:pPr>
            <w:r>
              <w:rPr>
                <w:rFonts w:cs="Calibri"/>
                <w:sz w:val="24"/>
                <w:szCs w:val="24"/>
                <w:highlight w:val="yellow"/>
              </w:rPr>
              <w:t>110.0%</w:t>
            </w:r>
          </w:p>
        </w:tc>
        <w:tc>
          <w:tcPr>
            <w:tcW w:w="2877" w:type="dxa"/>
            <w:tcBorders>
              <w:top w:val="single" w:sz="4" w:space="0" w:color="auto"/>
              <w:left w:val="single" w:sz="4" w:space="0" w:color="auto"/>
              <w:bottom w:val="single" w:sz="4" w:space="0" w:color="auto"/>
              <w:right w:val="single" w:sz="4" w:space="0" w:color="auto"/>
            </w:tcBorders>
            <w:noWrap/>
          </w:tcPr>
          <w:p w14:paraId="68CE58DC" w14:textId="77777777" w:rsidR="008A7F4A" w:rsidRDefault="008A7F4A">
            <w:pPr>
              <w:jc w:val="center"/>
              <w:rPr>
                <w:rFonts w:cs="Calibri"/>
                <w:sz w:val="24"/>
                <w:szCs w:val="24"/>
                <w:highlight w:val="yellow"/>
              </w:rPr>
            </w:pPr>
          </w:p>
        </w:tc>
      </w:tr>
      <w:tr w:rsidR="008A7F4A" w14:paraId="7A4B02BE"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12F7F6AF" w14:textId="77777777" w:rsidR="008A7F4A" w:rsidRDefault="008A7F4A">
            <w:pPr>
              <w:jc w:val="center"/>
              <w:rPr>
                <w:rFonts w:cs="Calibri"/>
                <w:sz w:val="24"/>
                <w:szCs w:val="24"/>
                <w:highlight w:val="yellow"/>
              </w:rPr>
            </w:pPr>
            <w:r>
              <w:rPr>
                <w:rFonts w:cs="Calibri"/>
                <w:sz w:val="24"/>
                <w:szCs w:val="24"/>
                <w:highlight w:val="yellow"/>
              </w:rPr>
              <w:t>94</w:t>
            </w:r>
          </w:p>
        </w:tc>
        <w:tc>
          <w:tcPr>
            <w:tcW w:w="2877" w:type="dxa"/>
            <w:tcBorders>
              <w:top w:val="single" w:sz="4" w:space="0" w:color="auto"/>
              <w:left w:val="single" w:sz="4" w:space="0" w:color="auto"/>
              <w:bottom w:val="single" w:sz="4" w:space="0" w:color="auto"/>
              <w:right w:val="single" w:sz="4" w:space="0" w:color="auto"/>
            </w:tcBorders>
            <w:noWrap/>
            <w:hideMark/>
          </w:tcPr>
          <w:p w14:paraId="4DBF58FC" w14:textId="77777777" w:rsidR="008A7F4A" w:rsidRDefault="008A7F4A">
            <w:pPr>
              <w:jc w:val="center"/>
              <w:rPr>
                <w:rFonts w:cs="Calibri"/>
                <w:sz w:val="24"/>
                <w:szCs w:val="24"/>
                <w:highlight w:val="yellow"/>
              </w:rPr>
            </w:pPr>
            <w:r>
              <w:rPr>
                <w:rFonts w:cs="Calibri"/>
                <w:sz w:val="24"/>
                <w:szCs w:val="24"/>
                <w:highlight w:val="yellow"/>
              </w:rPr>
              <w:t>110.0%</w:t>
            </w:r>
          </w:p>
        </w:tc>
        <w:tc>
          <w:tcPr>
            <w:tcW w:w="2877" w:type="dxa"/>
            <w:tcBorders>
              <w:top w:val="single" w:sz="4" w:space="0" w:color="auto"/>
              <w:left w:val="single" w:sz="4" w:space="0" w:color="auto"/>
              <w:bottom w:val="single" w:sz="4" w:space="0" w:color="auto"/>
              <w:right w:val="single" w:sz="4" w:space="0" w:color="auto"/>
            </w:tcBorders>
            <w:noWrap/>
          </w:tcPr>
          <w:p w14:paraId="40C5AB57" w14:textId="77777777" w:rsidR="008A7F4A" w:rsidRDefault="008A7F4A">
            <w:pPr>
              <w:jc w:val="center"/>
              <w:rPr>
                <w:rFonts w:cs="Calibri"/>
                <w:sz w:val="24"/>
                <w:szCs w:val="24"/>
                <w:highlight w:val="yellow"/>
              </w:rPr>
            </w:pPr>
          </w:p>
        </w:tc>
      </w:tr>
      <w:tr w:rsidR="008A7F4A" w14:paraId="53DD5D07"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2AB52092" w14:textId="77777777" w:rsidR="008A7F4A" w:rsidRDefault="008A7F4A">
            <w:pPr>
              <w:jc w:val="center"/>
              <w:rPr>
                <w:rFonts w:cs="Calibri"/>
                <w:sz w:val="24"/>
                <w:szCs w:val="24"/>
                <w:highlight w:val="yellow"/>
              </w:rPr>
            </w:pPr>
            <w:r>
              <w:rPr>
                <w:rFonts w:cs="Calibri"/>
                <w:sz w:val="24"/>
                <w:szCs w:val="24"/>
                <w:highlight w:val="yellow"/>
              </w:rPr>
              <w:t>95</w:t>
            </w:r>
          </w:p>
        </w:tc>
        <w:tc>
          <w:tcPr>
            <w:tcW w:w="2877" w:type="dxa"/>
            <w:tcBorders>
              <w:top w:val="single" w:sz="4" w:space="0" w:color="auto"/>
              <w:left w:val="single" w:sz="4" w:space="0" w:color="auto"/>
              <w:bottom w:val="single" w:sz="4" w:space="0" w:color="auto"/>
              <w:right w:val="single" w:sz="4" w:space="0" w:color="auto"/>
            </w:tcBorders>
            <w:noWrap/>
            <w:hideMark/>
          </w:tcPr>
          <w:p w14:paraId="01AF4A19" w14:textId="77777777" w:rsidR="008A7F4A" w:rsidRDefault="008A7F4A">
            <w:pPr>
              <w:jc w:val="center"/>
              <w:rPr>
                <w:rFonts w:cs="Calibri"/>
                <w:sz w:val="24"/>
                <w:szCs w:val="24"/>
                <w:highlight w:val="yellow"/>
              </w:rPr>
            </w:pPr>
            <w:r>
              <w:rPr>
                <w:rFonts w:cs="Calibri"/>
                <w:sz w:val="24"/>
                <w:szCs w:val="24"/>
                <w:highlight w:val="yellow"/>
              </w:rPr>
              <w:t>110.0%</w:t>
            </w:r>
          </w:p>
        </w:tc>
        <w:tc>
          <w:tcPr>
            <w:tcW w:w="2877" w:type="dxa"/>
            <w:tcBorders>
              <w:top w:val="single" w:sz="4" w:space="0" w:color="auto"/>
              <w:left w:val="single" w:sz="4" w:space="0" w:color="auto"/>
              <w:bottom w:val="single" w:sz="4" w:space="0" w:color="auto"/>
              <w:right w:val="single" w:sz="4" w:space="0" w:color="auto"/>
            </w:tcBorders>
            <w:noWrap/>
          </w:tcPr>
          <w:p w14:paraId="3CBA5861" w14:textId="77777777" w:rsidR="008A7F4A" w:rsidRDefault="008A7F4A">
            <w:pPr>
              <w:jc w:val="center"/>
              <w:rPr>
                <w:rFonts w:cs="Calibri"/>
                <w:sz w:val="24"/>
                <w:szCs w:val="24"/>
                <w:highlight w:val="yellow"/>
              </w:rPr>
            </w:pPr>
          </w:p>
        </w:tc>
      </w:tr>
      <w:tr w:rsidR="008A7F4A" w14:paraId="1510839D"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6E46B393" w14:textId="77777777" w:rsidR="008A7F4A" w:rsidRDefault="008A7F4A">
            <w:pPr>
              <w:jc w:val="center"/>
              <w:rPr>
                <w:rFonts w:cs="Calibri"/>
                <w:sz w:val="24"/>
                <w:szCs w:val="24"/>
                <w:highlight w:val="yellow"/>
              </w:rPr>
            </w:pPr>
            <w:r>
              <w:rPr>
                <w:rFonts w:cs="Calibri"/>
                <w:sz w:val="24"/>
                <w:szCs w:val="24"/>
                <w:highlight w:val="yellow"/>
              </w:rPr>
              <w:t>96</w:t>
            </w:r>
          </w:p>
        </w:tc>
        <w:tc>
          <w:tcPr>
            <w:tcW w:w="2877" w:type="dxa"/>
            <w:tcBorders>
              <w:top w:val="single" w:sz="4" w:space="0" w:color="auto"/>
              <w:left w:val="single" w:sz="4" w:space="0" w:color="auto"/>
              <w:bottom w:val="single" w:sz="4" w:space="0" w:color="auto"/>
              <w:right w:val="single" w:sz="4" w:space="0" w:color="auto"/>
            </w:tcBorders>
            <w:noWrap/>
            <w:hideMark/>
          </w:tcPr>
          <w:p w14:paraId="29640D08" w14:textId="77777777" w:rsidR="008A7F4A" w:rsidRDefault="008A7F4A">
            <w:pPr>
              <w:jc w:val="center"/>
              <w:rPr>
                <w:rFonts w:cs="Calibri"/>
                <w:sz w:val="24"/>
                <w:szCs w:val="24"/>
                <w:highlight w:val="yellow"/>
              </w:rPr>
            </w:pPr>
            <w:r>
              <w:rPr>
                <w:rFonts w:cs="Calibri"/>
                <w:sz w:val="24"/>
                <w:szCs w:val="24"/>
                <w:highlight w:val="yellow"/>
              </w:rPr>
              <w:t>109.0%</w:t>
            </w:r>
          </w:p>
        </w:tc>
        <w:tc>
          <w:tcPr>
            <w:tcW w:w="2877" w:type="dxa"/>
            <w:tcBorders>
              <w:top w:val="single" w:sz="4" w:space="0" w:color="auto"/>
              <w:left w:val="single" w:sz="4" w:space="0" w:color="auto"/>
              <w:bottom w:val="single" w:sz="4" w:space="0" w:color="auto"/>
              <w:right w:val="single" w:sz="4" w:space="0" w:color="auto"/>
            </w:tcBorders>
            <w:noWrap/>
          </w:tcPr>
          <w:p w14:paraId="7E54C4D8" w14:textId="77777777" w:rsidR="008A7F4A" w:rsidRDefault="008A7F4A">
            <w:pPr>
              <w:jc w:val="center"/>
              <w:rPr>
                <w:rFonts w:cs="Calibri"/>
                <w:sz w:val="24"/>
                <w:szCs w:val="24"/>
                <w:highlight w:val="yellow"/>
              </w:rPr>
            </w:pPr>
          </w:p>
        </w:tc>
      </w:tr>
      <w:tr w:rsidR="008A7F4A" w14:paraId="1BAEC85C"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3595DC4D" w14:textId="77777777" w:rsidR="008A7F4A" w:rsidRDefault="008A7F4A">
            <w:pPr>
              <w:jc w:val="center"/>
              <w:rPr>
                <w:rFonts w:cs="Calibri"/>
                <w:sz w:val="24"/>
                <w:szCs w:val="24"/>
                <w:highlight w:val="yellow"/>
              </w:rPr>
            </w:pPr>
            <w:r>
              <w:rPr>
                <w:rFonts w:cs="Calibri"/>
                <w:sz w:val="24"/>
                <w:szCs w:val="24"/>
                <w:highlight w:val="yellow"/>
              </w:rPr>
              <w:t>97</w:t>
            </w:r>
          </w:p>
        </w:tc>
        <w:tc>
          <w:tcPr>
            <w:tcW w:w="2877" w:type="dxa"/>
            <w:tcBorders>
              <w:top w:val="single" w:sz="4" w:space="0" w:color="auto"/>
              <w:left w:val="single" w:sz="4" w:space="0" w:color="auto"/>
              <w:bottom w:val="single" w:sz="4" w:space="0" w:color="auto"/>
              <w:right w:val="single" w:sz="4" w:space="0" w:color="auto"/>
            </w:tcBorders>
            <w:noWrap/>
            <w:hideMark/>
          </w:tcPr>
          <w:p w14:paraId="51314DA3" w14:textId="77777777" w:rsidR="008A7F4A" w:rsidRDefault="008A7F4A">
            <w:pPr>
              <w:jc w:val="center"/>
              <w:rPr>
                <w:rFonts w:cs="Calibri"/>
                <w:sz w:val="24"/>
                <w:szCs w:val="24"/>
                <w:highlight w:val="yellow"/>
              </w:rPr>
            </w:pPr>
            <w:r>
              <w:rPr>
                <w:rFonts w:cs="Calibri"/>
                <w:sz w:val="24"/>
                <w:szCs w:val="24"/>
                <w:highlight w:val="yellow"/>
              </w:rPr>
              <w:t>108.0%</w:t>
            </w:r>
          </w:p>
        </w:tc>
        <w:tc>
          <w:tcPr>
            <w:tcW w:w="2877" w:type="dxa"/>
            <w:tcBorders>
              <w:top w:val="single" w:sz="4" w:space="0" w:color="auto"/>
              <w:left w:val="single" w:sz="4" w:space="0" w:color="auto"/>
              <w:bottom w:val="single" w:sz="4" w:space="0" w:color="auto"/>
              <w:right w:val="single" w:sz="4" w:space="0" w:color="auto"/>
            </w:tcBorders>
            <w:noWrap/>
          </w:tcPr>
          <w:p w14:paraId="6B7C53FC" w14:textId="77777777" w:rsidR="008A7F4A" w:rsidRDefault="008A7F4A">
            <w:pPr>
              <w:jc w:val="center"/>
              <w:rPr>
                <w:rFonts w:cs="Calibri"/>
                <w:sz w:val="24"/>
                <w:szCs w:val="24"/>
                <w:highlight w:val="yellow"/>
              </w:rPr>
            </w:pPr>
          </w:p>
        </w:tc>
      </w:tr>
      <w:tr w:rsidR="008A7F4A" w14:paraId="70330F14"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1B4934C9" w14:textId="77777777" w:rsidR="008A7F4A" w:rsidRDefault="008A7F4A">
            <w:pPr>
              <w:jc w:val="center"/>
              <w:rPr>
                <w:rFonts w:cs="Calibri"/>
                <w:sz w:val="24"/>
                <w:szCs w:val="24"/>
                <w:highlight w:val="yellow"/>
              </w:rPr>
            </w:pPr>
            <w:r>
              <w:rPr>
                <w:rFonts w:cs="Calibri"/>
                <w:sz w:val="24"/>
                <w:szCs w:val="24"/>
                <w:highlight w:val="yellow"/>
              </w:rPr>
              <w:t>98</w:t>
            </w:r>
          </w:p>
        </w:tc>
        <w:tc>
          <w:tcPr>
            <w:tcW w:w="2877" w:type="dxa"/>
            <w:tcBorders>
              <w:top w:val="single" w:sz="4" w:space="0" w:color="auto"/>
              <w:left w:val="single" w:sz="4" w:space="0" w:color="auto"/>
              <w:bottom w:val="single" w:sz="4" w:space="0" w:color="auto"/>
              <w:right w:val="single" w:sz="4" w:space="0" w:color="auto"/>
            </w:tcBorders>
            <w:noWrap/>
            <w:hideMark/>
          </w:tcPr>
          <w:p w14:paraId="627AC1CF" w14:textId="77777777" w:rsidR="008A7F4A" w:rsidRDefault="008A7F4A">
            <w:pPr>
              <w:jc w:val="center"/>
              <w:rPr>
                <w:rFonts w:cs="Calibri"/>
                <w:sz w:val="24"/>
                <w:szCs w:val="24"/>
                <w:highlight w:val="yellow"/>
              </w:rPr>
            </w:pPr>
            <w:r>
              <w:rPr>
                <w:rFonts w:cs="Calibri"/>
                <w:sz w:val="24"/>
                <w:szCs w:val="24"/>
                <w:highlight w:val="yellow"/>
              </w:rPr>
              <w:t>107.0%</w:t>
            </w:r>
          </w:p>
        </w:tc>
        <w:tc>
          <w:tcPr>
            <w:tcW w:w="2877" w:type="dxa"/>
            <w:tcBorders>
              <w:top w:val="single" w:sz="4" w:space="0" w:color="auto"/>
              <w:left w:val="single" w:sz="4" w:space="0" w:color="auto"/>
              <w:bottom w:val="single" w:sz="4" w:space="0" w:color="auto"/>
              <w:right w:val="single" w:sz="4" w:space="0" w:color="auto"/>
            </w:tcBorders>
            <w:noWrap/>
          </w:tcPr>
          <w:p w14:paraId="1A6A0448" w14:textId="77777777" w:rsidR="008A7F4A" w:rsidRDefault="008A7F4A">
            <w:pPr>
              <w:jc w:val="center"/>
              <w:rPr>
                <w:rFonts w:cs="Calibri"/>
                <w:sz w:val="24"/>
                <w:szCs w:val="24"/>
                <w:highlight w:val="yellow"/>
              </w:rPr>
            </w:pPr>
          </w:p>
        </w:tc>
      </w:tr>
      <w:tr w:rsidR="008A7F4A" w14:paraId="0997ABBC"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71D652B2" w14:textId="77777777" w:rsidR="008A7F4A" w:rsidRDefault="008A7F4A">
            <w:pPr>
              <w:jc w:val="center"/>
              <w:rPr>
                <w:rFonts w:cs="Calibri"/>
                <w:sz w:val="24"/>
                <w:szCs w:val="24"/>
                <w:highlight w:val="yellow"/>
              </w:rPr>
            </w:pPr>
            <w:r>
              <w:rPr>
                <w:rFonts w:cs="Calibri"/>
                <w:sz w:val="24"/>
                <w:szCs w:val="24"/>
                <w:highlight w:val="yellow"/>
              </w:rPr>
              <w:t>99</w:t>
            </w:r>
          </w:p>
        </w:tc>
        <w:tc>
          <w:tcPr>
            <w:tcW w:w="2877" w:type="dxa"/>
            <w:tcBorders>
              <w:top w:val="single" w:sz="4" w:space="0" w:color="auto"/>
              <w:left w:val="single" w:sz="4" w:space="0" w:color="auto"/>
              <w:bottom w:val="single" w:sz="4" w:space="0" w:color="auto"/>
              <w:right w:val="single" w:sz="4" w:space="0" w:color="auto"/>
            </w:tcBorders>
            <w:noWrap/>
            <w:hideMark/>
          </w:tcPr>
          <w:p w14:paraId="462F6E2D" w14:textId="77777777" w:rsidR="008A7F4A" w:rsidRDefault="008A7F4A">
            <w:pPr>
              <w:jc w:val="center"/>
              <w:rPr>
                <w:rFonts w:cs="Calibri"/>
                <w:sz w:val="24"/>
                <w:szCs w:val="24"/>
                <w:highlight w:val="yellow"/>
              </w:rPr>
            </w:pPr>
            <w:r>
              <w:rPr>
                <w:rFonts w:cs="Calibri"/>
                <w:sz w:val="24"/>
                <w:szCs w:val="24"/>
                <w:highlight w:val="yellow"/>
              </w:rPr>
              <w:t>106.0%</w:t>
            </w:r>
          </w:p>
        </w:tc>
        <w:tc>
          <w:tcPr>
            <w:tcW w:w="2877" w:type="dxa"/>
            <w:tcBorders>
              <w:top w:val="single" w:sz="4" w:space="0" w:color="auto"/>
              <w:left w:val="single" w:sz="4" w:space="0" w:color="auto"/>
              <w:bottom w:val="single" w:sz="4" w:space="0" w:color="auto"/>
              <w:right w:val="single" w:sz="4" w:space="0" w:color="auto"/>
            </w:tcBorders>
            <w:noWrap/>
          </w:tcPr>
          <w:p w14:paraId="24A28366" w14:textId="77777777" w:rsidR="008A7F4A" w:rsidRDefault="008A7F4A">
            <w:pPr>
              <w:jc w:val="center"/>
              <w:rPr>
                <w:rFonts w:cs="Calibri"/>
                <w:sz w:val="24"/>
                <w:szCs w:val="24"/>
                <w:highlight w:val="yellow"/>
              </w:rPr>
            </w:pPr>
          </w:p>
        </w:tc>
      </w:tr>
      <w:tr w:rsidR="008A7F4A" w14:paraId="435F34EA"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1AA4104F" w14:textId="77777777" w:rsidR="008A7F4A" w:rsidRDefault="008A7F4A">
            <w:pPr>
              <w:jc w:val="center"/>
              <w:rPr>
                <w:rFonts w:cs="Calibri"/>
                <w:sz w:val="24"/>
                <w:szCs w:val="24"/>
                <w:highlight w:val="yellow"/>
              </w:rPr>
            </w:pPr>
            <w:r>
              <w:rPr>
                <w:rFonts w:cs="Calibri"/>
                <w:sz w:val="24"/>
                <w:szCs w:val="24"/>
                <w:highlight w:val="yellow"/>
              </w:rPr>
              <w:t>100</w:t>
            </w:r>
          </w:p>
        </w:tc>
        <w:tc>
          <w:tcPr>
            <w:tcW w:w="2877" w:type="dxa"/>
            <w:tcBorders>
              <w:top w:val="single" w:sz="4" w:space="0" w:color="auto"/>
              <w:left w:val="single" w:sz="4" w:space="0" w:color="auto"/>
              <w:bottom w:val="single" w:sz="4" w:space="0" w:color="auto"/>
              <w:right w:val="single" w:sz="4" w:space="0" w:color="auto"/>
            </w:tcBorders>
            <w:noWrap/>
            <w:hideMark/>
          </w:tcPr>
          <w:p w14:paraId="23126557" w14:textId="77777777" w:rsidR="008A7F4A" w:rsidRDefault="008A7F4A">
            <w:pPr>
              <w:jc w:val="center"/>
              <w:rPr>
                <w:rFonts w:cs="Calibri"/>
                <w:sz w:val="24"/>
                <w:szCs w:val="24"/>
                <w:highlight w:val="yellow"/>
              </w:rPr>
            </w:pPr>
            <w:r>
              <w:rPr>
                <w:rFonts w:cs="Calibri"/>
                <w:sz w:val="24"/>
                <w:szCs w:val="24"/>
                <w:highlight w:val="yellow"/>
              </w:rPr>
              <w:t>105.0%</w:t>
            </w:r>
          </w:p>
        </w:tc>
        <w:tc>
          <w:tcPr>
            <w:tcW w:w="2877" w:type="dxa"/>
            <w:tcBorders>
              <w:top w:val="single" w:sz="4" w:space="0" w:color="auto"/>
              <w:left w:val="single" w:sz="4" w:space="0" w:color="auto"/>
              <w:bottom w:val="single" w:sz="4" w:space="0" w:color="auto"/>
              <w:right w:val="single" w:sz="4" w:space="0" w:color="auto"/>
            </w:tcBorders>
            <w:noWrap/>
          </w:tcPr>
          <w:p w14:paraId="13C68EC1" w14:textId="77777777" w:rsidR="008A7F4A" w:rsidRDefault="008A7F4A">
            <w:pPr>
              <w:jc w:val="center"/>
              <w:rPr>
                <w:rFonts w:cs="Calibri"/>
                <w:sz w:val="24"/>
                <w:szCs w:val="24"/>
                <w:highlight w:val="yellow"/>
              </w:rPr>
            </w:pPr>
          </w:p>
        </w:tc>
      </w:tr>
      <w:tr w:rsidR="008A7F4A" w14:paraId="5A573DA7"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367DD4B1" w14:textId="77777777" w:rsidR="008A7F4A" w:rsidRDefault="008A7F4A">
            <w:pPr>
              <w:jc w:val="center"/>
              <w:rPr>
                <w:rFonts w:cs="Calibri"/>
                <w:sz w:val="24"/>
                <w:szCs w:val="24"/>
                <w:highlight w:val="yellow"/>
              </w:rPr>
            </w:pPr>
            <w:r>
              <w:rPr>
                <w:rFonts w:cs="Calibri"/>
                <w:sz w:val="24"/>
                <w:szCs w:val="24"/>
                <w:highlight w:val="yellow"/>
              </w:rPr>
              <w:t>101</w:t>
            </w:r>
          </w:p>
        </w:tc>
        <w:tc>
          <w:tcPr>
            <w:tcW w:w="2877" w:type="dxa"/>
            <w:tcBorders>
              <w:top w:val="single" w:sz="4" w:space="0" w:color="auto"/>
              <w:left w:val="single" w:sz="4" w:space="0" w:color="auto"/>
              <w:bottom w:val="single" w:sz="4" w:space="0" w:color="auto"/>
              <w:right w:val="single" w:sz="4" w:space="0" w:color="auto"/>
            </w:tcBorders>
            <w:noWrap/>
            <w:hideMark/>
          </w:tcPr>
          <w:p w14:paraId="1455626B" w14:textId="77777777" w:rsidR="008A7F4A" w:rsidRDefault="008A7F4A">
            <w:pPr>
              <w:jc w:val="center"/>
              <w:rPr>
                <w:rFonts w:cs="Calibri"/>
                <w:sz w:val="24"/>
                <w:szCs w:val="24"/>
                <w:highlight w:val="yellow"/>
              </w:rPr>
            </w:pPr>
            <w:r>
              <w:rPr>
                <w:rFonts w:cs="Calibri"/>
                <w:sz w:val="24"/>
                <w:szCs w:val="24"/>
                <w:highlight w:val="yellow"/>
              </w:rPr>
              <w:t>104.0%</w:t>
            </w:r>
          </w:p>
        </w:tc>
        <w:tc>
          <w:tcPr>
            <w:tcW w:w="2877" w:type="dxa"/>
            <w:tcBorders>
              <w:top w:val="single" w:sz="4" w:space="0" w:color="auto"/>
              <w:left w:val="single" w:sz="4" w:space="0" w:color="auto"/>
              <w:bottom w:val="single" w:sz="4" w:space="0" w:color="auto"/>
              <w:right w:val="single" w:sz="4" w:space="0" w:color="auto"/>
            </w:tcBorders>
            <w:noWrap/>
          </w:tcPr>
          <w:p w14:paraId="2AAD6DBA" w14:textId="77777777" w:rsidR="008A7F4A" w:rsidRDefault="008A7F4A">
            <w:pPr>
              <w:jc w:val="center"/>
              <w:rPr>
                <w:rFonts w:cs="Calibri"/>
                <w:sz w:val="24"/>
                <w:szCs w:val="24"/>
                <w:highlight w:val="yellow"/>
              </w:rPr>
            </w:pPr>
          </w:p>
        </w:tc>
      </w:tr>
      <w:tr w:rsidR="008A7F4A" w14:paraId="315DCC49"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5FE51BA3" w14:textId="77777777" w:rsidR="008A7F4A" w:rsidRDefault="008A7F4A">
            <w:pPr>
              <w:jc w:val="center"/>
              <w:rPr>
                <w:rFonts w:cs="Calibri"/>
                <w:sz w:val="24"/>
                <w:szCs w:val="24"/>
                <w:highlight w:val="yellow"/>
              </w:rPr>
            </w:pPr>
            <w:r>
              <w:rPr>
                <w:rFonts w:cs="Calibri"/>
                <w:sz w:val="24"/>
                <w:szCs w:val="24"/>
                <w:highlight w:val="yellow"/>
              </w:rPr>
              <w:t>102</w:t>
            </w:r>
          </w:p>
        </w:tc>
        <w:tc>
          <w:tcPr>
            <w:tcW w:w="2877" w:type="dxa"/>
            <w:tcBorders>
              <w:top w:val="single" w:sz="4" w:space="0" w:color="auto"/>
              <w:left w:val="single" w:sz="4" w:space="0" w:color="auto"/>
              <w:bottom w:val="single" w:sz="4" w:space="0" w:color="auto"/>
              <w:right w:val="single" w:sz="4" w:space="0" w:color="auto"/>
            </w:tcBorders>
            <w:noWrap/>
            <w:hideMark/>
          </w:tcPr>
          <w:p w14:paraId="73623299" w14:textId="77777777" w:rsidR="008A7F4A" w:rsidRDefault="008A7F4A">
            <w:pPr>
              <w:jc w:val="center"/>
              <w:rPr>
                <w:rFonts w:cs="Calibri"/>
                <w:sz w:val="24"/>
                <w:szCs w:val="24"/>
                <w:highlight w:val="yellow"/>
              </w:rPr>
            </w:pPr>
            <w:r>
              <w:rPr>
                <w:rFonts w:cs="Calibri"/>
                <w:sz w:val="24"/>
                <w:szCs w:val="24"/>
                <w:highlight w:val="yellow"/>
              </w:rPr>
              <w:t>103.0%</w:t>
            </w:r>
          </w:p>
        </w:tc>
        <w:tc>
          <w:tcPr>
            <w:tcW w:w="2877" w:type="dxa"/>
            <w:tcBorders>
              <w:top w:val="single" w:sz="4" w:space="0" w:color="auto"/>
              <w:left w:val="single" w:sz="4" w:space="0" w:color="auto"/>
              <w:bottom w:val="single" w:sz="4" w:space="0" w:color="auto"/>
              <w:right w:val="single" w:sz="4" w:space="0" w:color="auto"/>
            </w:tcBorders>
            <w:noWrap/>
          </w:tcPr>
          <w:p w14:paraId="193C177D" w14:textId="77777777" w:rsidR="008A7F4A" w:rsidRDefault="008A7F4A">
            <w:pPr>
              <w:jc w:val="center"/>
              <w:rPr>
                <w:rFonts w:cs="Calibri"/>
                <w:sz w:val="24"/>
                <w:szCs w:val="24"/>
                <w:highlight w:val="yellow"/>
              </w:rPr>
            </w:pPr>
          </w:p>
        </w:tc>
      </w:tr>
      <w:tr w:rsidR="008A7F4A" w14:paraId="741E41B3"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7672D6FF" w14:textId="77777777" w:rsidR="008A7F4A" w:rsidRDefault="008A7F4A">
            <w:pPr>
              <w:jc w:val="center"/>
              <w:rPr>
                <w:rFonts w:cs="Calibri"/>
                <w:sz w:val="24"/>
                <w:szCs w:val="24"/>
                <w:highlight w:val="yellow"/>
              </w:rPr>
            </w:pPr>
            <w:r>
              <w:rPr>
                <w:rFonts w:cs="Calibri"/>
                <w:sz w:val="24"/>
                <w:szCs w:val="24"/>
                <w:highlight w:val="yellow"/>
              </w:rPr>
              <w:t>103</w:t>
            </w:r>
          </w:p>
        </w:tc>
        <w:tc>
          <w:tcPr>
            <w:tcW w:w="2877" w:type="dxa"/>
            <w:tcBorders>
              <w:top w:val="single" w:sz="4" w:space="0" w:color="auto"/>
              <w:left w:val="single" w:sz="4" w:space="0" w:color="auto"/>
              <w:bottom w:val="single" w:sz="4" w:space="0" w:color="auto"/>
              <w:right w:val="single" w:sz="4" w:space="0" w:color="auto"/>
            </w:tcBorders>
            <w:noWrap/>
            <w:hideMark/>
          </w:tcPr>
          <w:p w14:paraId="2EAEE39B" w14:textId="77777777" w:rsidR="008A7F4A" w:rsidRDefault="008A7F4A">
            <w:pPr>
              <w:jc w:val="center"/>
              <w:rPr>
                <w:rFonts w:cs="Calibri"/>
                <w:sz w:val="24"/>
                <w:szCs w:val="24"/>
                <w:highlight w:val="yellow"/>
              </w:rPr>
            </w:pPr>
            <w:r>
              <w:rPr>
                <w:rFonts w:cs="Calibri"/>
                <w:sz w:val="24"/>
                <w:szCs w:val="24"/>
                <w:highlight w:val="yellow"/>
              </w:rPr>
              <w:t>102.0%</w:t>
            </w:r>
          </w:p>
        </w:tc>
        <w:tc>
          <w:tcPr>
            <w:tcW w:w="2877" w:type="dxa"/>
            <w:tcBorders>
              <w:top w:val="single" w:sz="4" w:space="0" w:color="auto"/>
              <w:left w:val="single" w:sz="4" w:space="0" w:color="auto"/>
              <w:bottom w:val="single" w:sz="4" w:space="0" w:color="auto"/>
              <w:right w:val="single" w:sz="4" w:space="0" w:color="auto"/>
            </w:tcBorders>
            <w:noWrap/>
          </w:tcPr>
          <w:p w14:paraId="065E8B9A" w14:textId="77777777" w:rsidR="008A7F4A" w:rsidRDefault="008A7F4A">
            <w:pPr>
              <w:jc w:val="center"/>
              <w:rPr>
                <w:rFonts w:cs="Calibri"/>
                <w:sz w:val="24"/>
                <w:szCs w:val="24"/>
                <w:highlight w:val="yellow"/>
              </w:rPr>
            </w:pPr>
          </w:p>
        </w:tc>
      </w:tr>
      <w:tr w:rsidR="008A7F4A" w14:paraId="0B92AA84"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47CB570E" w14:textId="77777777" w:rsidR="008A7F4A" w:rsidRDefault="008A7F4A">
            <w:pPr>
              <w:jc w:val="center"/>
              <w:rPr>
                <w:rFonts w:cs="Calibri"/>
                <w:sz w:val="24"/>
                <w:szCs w:val="24"/>
                <w:highlight w:val="yellow"/>
              </w:rPr>
            </w:pPr>
            <w:r>
              <w:rPr>
                <w:rFonts w:cs="Calibri"/>
                <w:sz w:val="24"/>
                <w:szCs w:val="24"/>
                <w:highlight w:val="yellow"/>
              </w:rPr>
              <w:t>104</w:t>
            </w:r>
          </w:p>
        </w:tc>
        <w:tc>
          <w:tcPr>
            <w:tcW w:w="2877" w:type="dxa"/>
            <w:tcBorders>
              <w:top w:val="single" w:sz="4" w:space="0" w:color="auto"/>
              <w:left w:val="single" w:sz="4" w:space="0" w:color="auto"/>
              <w:bottom w:val="single" w:sz="4" w:space="0" w:color="auto"/>
              <w:right w:val="single" w:sz="4" w:space="0" w:color="auto"/>
            </w:tcBorders>
            <w:noWrap/>
            <w:hideMark/>
          </w:tcPr>
          <w:p w14:paraId="5ED784A2" w14:textId="77777777" w:rsidR="008A7F4A" w:rsidRDefault="008A7F4A">
            <w:pPr>
              <w:jc w:val="center"/>
              <w:rPr>
                <w:rFonts w:cs="Calibri"/>
                <w:sz w:val="24"/>
                <w:szCs w:val="24"/>
                <w:highlight w:val="yellow"/>
              </w:rPr>
            </w:pPr>
            <w:r>
              <w:rPr>
                <w:rFonts w:cs="Calibri"/>
                <w:sz w:val="24"/>
                <w:szCs w:val="24"/>
                <w:highlight w:val="yellow"/>
              </w:rPr>
              <w:t>101.0%</w:t>
            </w:r>
          </w:p>
        </w:tc>
        <w:tc>
          <w:tcPr>
            <w:tcW w:w="2877" w:type="dxa"/>
            <w:tcBorders>
              <w:top w:val="single" w:sz="4" w:space="0" w:color="auto"/>
              <w:left w:val="single" w:sz="4" w:space="0" w:color="auto"/>
              <w:bottom w:val="single" w:sz="4" w:space="0" w:color="auto"/>
              <w:right w:val="single" w:sz="4" w:space="0" w:color="auto"/>
            </w:tcBorders>
            <w:noWrap/>
          </w:tcPr>
          <w:p w14:paraId="0D081ECF" w14:textId="77777777" w:rsidR="008A7F4A" w:rsidRDefault="008A7F4A">
            <w:pPr>
              <w:jc w:val="center"/>
              <w:rPr>
                <w:rFonts w:cs="Calibri"/>
                <w:sz w:val="24"/>
                <w:szCs w:val="24"/>
                <w:highlight w:val="yellow"/>
              </w:rPr>
            </w:pPr>
          </w:p>
        </w:tc>
      </w:tr>
      <w:tr w:rsidR="008A7F4A" w14:paraId="0C446164" w14:textId="77777777" w:rsidTr="008A7F4A">
        <w:trPr>
          <w:trHeight w:val="252"/>
        </w:trPr>
        <w:tc>
          <w:tcPr>
            <w:tcW w:w="2876" w:type="dxa"/>
            <w:tcBorders>
              <w:top w:val="single" w:sz="4" w:space="0" w:color="auto"/>
              <w:left w:val="single" w:sz="4" w:space="0" w:color="auto"/>
              <w:bottom w:val="single" w:sz="4" w:space="0" w:color="auto"/>
              <w:right w:val="single" w:sz="4" w:space="0" w:color="auto"/>
            </w:tcBorders>
            <w:noWrap/>
            <w:hideMark/>
          </w:tcPr>
          <w:p w14:paraId="14A45017" w14:textId="77777777" w:rsidR="008A7F4A" w:rsidRDefault="008A7F4A">
            <w:pPr>
              <w:jc w:val="center"/>
              <w:rPr>
                <w:rFonts w:cs="Calibri"/>
                <w:sz w:val="24"/>
                <w:szCs w:val="24"/>
                <w:highlight w:val="yellow"/>
              </w:rPr>
            </w:pPr>
            <w:r>
              <w:rPr>
                <w:rFonts w:cs="Calibri"/>
                <w:sz w:val="24"/>
                <w:szCs w:val="24"/>
                <w:highlight w:val="yellow"/>
              </w:rPr>
              <w:t>&gt;=105</w:t>
            </w:r>
          </w:p>
        </w:tc>
        <w:tc>
          <w:tcPr>
            <w:tcW w:w="2877" w:type="dxa"/>
            <w:tcBorders>
              <w:top w:val="single" w:sz="4" w:space="0" w:color="auto"/>
              <w:left w:val="single" w:sz="4" w:space="0" w:color="auto"/>
              <w:bottom w:val="single" w:sz="4" w:space="0" w:color="auto"/>
              <w:right w:val="single" w:sz="4" w:space="0" w:color="auto"/>
            </w:tcBorders>
            <w:noWrap/>
            <w:hideMark/>
          </w:tcPr>
          <w:p w14:paraId="7EA1366D" w14:textId="77777777" w:rsidR="008A7F4A" w:rsidRDefault="008A7F4A">
            <w:pPr>
              <w:jc w:val="center"/>
              <w:rPr>
                <w:rFonts w:cs="Calibri"/>
                <w:sz w:val="24"/>
                <w:szCs w:val="24"/>
                <w:highlight w:val="yellow"/>
              </w:rPr>
            </w:pPr>
            <w:r>
              <w:rPr>
                <w:rFonts w:cs="Calibri"/>
                <w:sz w:val="24"/>
                <w:szCs w:val="24"/>
                <w:highlight w:val="yellow"/>
              </w:rPr>
              <w:t>100.0%</w:t>
            </w:r>
          </w:p>
        </w:tc>
        <w:tc>
          <w:tcPr>
            <w:tcW w:w="2877" w:type="dxa"/>
            <w:tcBorders>
              <w:top w:val="single" w:sz="4" w:space="0" w:color="auto"/>
              <w:left w:val="single" w:sz="4" w:space="0" w:color="auto"/>
              <w:bottom w:val="single" w:sz="4" w:space="0" w:color="auto"/>
              <w:right w:val="single" w:sz="4" w:space="0" w:color="auto"/>
            </w:tcBorders>
            <w:noWrap/>
          </w:tcPr>
          <w:p w14:paraId="09B1FD05" w14:textId="77777777" w:rsidR="008A7F4A" w:rsidRDefault="008A7F4A">
            <w:pPr>
              <w:jc w:val="center"/>
              <w:rPr>
                <w:rFonts w:cs="Calibri"/>
                <w:sz w:val="24"/>
                <w:szCs w:val="24"/>
              </w:rPr>
            </w:pPr>
          </w:p>
        </w:tc>
      </w:tr>
    </w:tbl>
    <w:p w14:paraId="3658F220" w14:textId="77777777" w:rsidR="008A7F4A" w:rsidRDefault="008A7F4A" w:rsidP="008A7F4A">
      <w:pPr>
        <w:spacing w:after="0" w:line="240" w:lineRule="auto"/>
        <w:jc w:val="both"/>
        <w:rPr>
          <w:rFonts w:ascii="Times New Roman" w:eastAsia="Times New Roman" w:hAnsi="Times New Roman"/>
        </w:rPr>
      </w:pPr>
    </w:p>
    <w:p w14:paraId="0D4D8354" w14:textId="77777777" w:rsidR="008A7F4A" w:rsidRDefault="008A7F4A" w:rsidP="008A7F4A">
      <w:pPr>
        <w:spacing w:after="220" w:line="240" w:lineRule="auto"/>
        <w:ind w:left="2160" w:hanging="360"/>
        <w:jc w:val="both"/>
        <w:rPr>
          <w:rFonts w:ascii="Times New Roman" w:eastAsia="Times New Roman" w:hAnsi="Times New Roman"/>
        </w:rPr>
      </w:pPr>
      <w:commentRangeStart w:id="116"/>
      <w:r>
        <w:rPr>
          <w:rFonts w:ascii="Times New Roman" w:eastAsia="Times New Roman" w:hAnsi="Times New Roman"/>
        </w:rPr>
        <w:t>iii.</w:t>
      </w:r>
      <w:commentRangeEnd w:id="116"/>
      <w:r w:rsidR="00066474">
        <w:rPr>
          <w:rStyle w:val="CommentReference"/>
        </w:rPr>
        <w:commentReference w:id="116"/>
      </w:r>
      <w:r>
        <w:rPr>
          <w:rFonts w:ascii="Times New Roman" w:eastAsia="Times New Roman" w:hAnsi="Times New Roman"/>
        </w:rPr>
        <w:t xml:space="preserve"> </w:t>
      </w:r>
      <w:r>
        <w:rPr>
          <w:rFonts w:ascii="Times New Roman" w:eastAsia="Times New Roman" w:hAnsi="Times New Roman"/>
        </w:rPr>
        <w:tab/>
        <w:t>For a business segment with non-U.S. insureds, an established industry or national mortality table may be used, with approval from the domiciliary commissioner.</w:t>
      </w:r>
    </w:p>
    <w:p w14:paraId="71B3EEDA"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Additional Considerations Involving Data</w:t>
      </w:r>
    </w:p>
    <w:p w14:paraId="1EDF0A06" w14:textId="77777777" w:rsidR="008A7F4A" w:rsidRDefault="008A7F4A" w:rsidP="008A7F4A">
      <w:pPr>
        <w:spacing w:after="220" w:line="240" w:lineRule="auto"/>
        <w:ind w:left="1440"/>
        <w:jc w:val="both"/>
        <w:rPr>
          <w:rFonts w:ascii="Times New Roman" w:eastAsia="Times New Roman" w:hAnsi="Times New Roman"/>
        </w:rPr>
      </w:pPr>
      <w:r>
        <w:rPr>
          <w:rFonts w:ascii="Times New Roman" w:eastAsia="Times New Roman" w:hAnsi="Times New Roman"/>
        </w:rPr>
        <w:t>The following considerations shall apply to mortality data specific to the business segment for which assumptions are being determined (i.e., direct data discussed in Section 11.B.1 or other than direct data discussed in Section 11.B.2).</w:t>
      </w:r>
    </w:p>
    <w:p w14:paraId="6D904026"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Underreporting of Deaths</w:t>
      </w:r>
    </w:p>
    <w:p w14:paraId="51F9E5F1" w14:textId="77777777" w:rsidR="008A7F4A" w:rsidRDefault="008A7F4A" w:rsidP="008A7F4A">
      <w:pPr>
        <w:spacing w:after="220" w:line="240" w:lineRule="auto"/>
        <w:ind w:left="2160"/>
        <w:jc w:val="both"/>
        <w:rPr>
          <w:rFonts w:ascii="Times New Roman" w:eastAsia="Times New Roman" w:hAnsi="Times New Roman"/>
        </w:rPr>
      </w:pPr>
      <w:r>
        <w:rPr>
          <w:rFonts w:ascii="Times New Roman" w:eastAsia="Times New Roman" w:hAnsi="Times New Roman"/>
        </w:rPr>
        <w:t>Mortality data shall be examined for possible underreporting of deaths. Adjustments shall be made to the data if there is any evidence of underreporting. Alternatively, exposure by lives or amounts on contracts for which death benefits were in the money may be used to determine expected mortality curves. Underreporting on such exposures should be minimal; however, this reduced subset of data will have less credibility.</w:t>
      </w:r>
    </w:p>
    <w:p w14:paraId="7AF73D5E"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Experience by Contract Duration</w:t>
      </w:r>
    </w:p>
    <w:p w14:paraId="79FA31C9" w14:textId="77777777" w:rsidR="008A7F4A" w:rsidRDefault="008A7F4A" w:rsidP="008A7F4A">
      <w:pPr>
        <w:spacing w:after="220" w:line="240" w:lineRule="auto"/>
        <w:ind w:left="2160"/>
        <w:jc w:val="both"/>
        <w:rPr>
          <w:rFonts w:ascii="Times New Roman" w:eastAsia="Times New Roman" w:hAnsi="Times New Roman"/>
        </w:rPr>
      </w:pPr>
      <w:r>
        <w:rPr>
          <w:rFonts w:ascii="Times New Roman" w:eastAsia="Times New Roman" w:hAnsi="Times New Roman"/>
        </w:rPr>
        <w:t>Experience of a plus segment shall be examined to determine if mortality by contract duration increases materially due to selection at issue. In the absence of information, the company shall assume that expected mortality will increase by contract duration for an appropriate select period. As an alternative, if the company determines that mortality is affected by selection, the company could apply margins to the expected mortality in such a way that the actual mortality modeled does not depend on contract duration.</w:t>
      </w:r>
    </w:p>
    <w:p w14:paraId="0E54E8EE"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t>Modification and Relevance of Data</w:t>
      </w:r>
    </w:p>
    <w:p w14:paraId="6A789E24" w14:textId="77777777" w:rsidR="008A7F4A" w:rsidRDefault="008A7F4A" w:rsidP="008A7F4A">
      <w:pPr>
        <w:spacing w:after="220" w:line="240" w:lineRule="auto"/>
        <w:ind w:left="2160"/>
        <w:jc w:val="both"/>
        <w:rPr>
          <w:rFonts w:ascii="Times New Roman" w:eastAsia="Times New Roman" w:hAnsi="Times New Roman"/>
        </w:rPr>
      </w:pPr>
      <w:r>
        <w:rPr>
          <w:rFonts w:ascii="Times New Roman" w:eastAsia="Times New Roman" w:hAnsi="Times New Roman"/>
        </w:rPr>
        <w:t xml:space="preserve">Even for a large company, the quantity of life exposures and deaths are such that a significant amount of smoothing may be required to determine expected mortality curves from mortality experience. Expected mortality curves, when applied to the recent historic exposures (e.g., three to seven years), should not result in an estimate of aggregate number of deaths less (greater) than the actual number deaths during the exposure period for plus (minus) segments. </w:t>
      </w:r>
    </w:p>
    <w:p w14:paraId="3057C74F" w14:textId="77777777" w:rsidR="008A7F4A" w:rsidRDefault="008A7F4A" w:rsidP="008A7F4A">
      <w:pPr>
        <w:spacing w:after="220" w:line="240" w:lineRule="auto"/>
        <w:ind w:left="2160"/>
        <w:jc w:val="both"/>
        <w:rPr>
          <w:rFonts w:ascii="Times New Roman" w:eastAsia="Times New Roman" w:hAnsi="Times New Roman"/>
        </w:rPr>
      </w:pPr>
      <w:r>
        <w:rPr>
          <w:rFonts w:ascii="Times New Roman" w:eastAsia="Times New Roman" w:hAnsi="Times New Roman"/>
        </w:rPr>
        <w:t xml:space="preserve">In determining expected mortality curves (and the credibility of the underlying data), older data may no longer be relevant. The “age” of the experience data used to determine expected mortality curves should be documented. </w:t>
      </w:r>
    </w:p>
    <w:p w14:paraId="328601AF"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d.</w:t>
      </w:r>
      <w:r>
        <w:rPr>
          <w:rFonts w:ascii="Times New Roman" w:eastAsia="Times New Roman" w:hAnsi="Times New Roman"/>
        </w:rPr>
        <w:tab/>
        <w:t>Other Considerations</w:t>
      </w:r>
    </w:p>
    <w:p w14:paraId="59FB6433" w14:textId="77777777" w:rsidR="008A7F4A" w:rsidRDefault="008A7F4A" w:rsidP="008A7F4A">
      <w:pPr>
        <w:spacing w:after="220" w:line="240" w:lineRule="auto"/>
        <w:ind w:left="2160"/>
        <w:jc w:val="both"/>
        <w:rPr>
          <w:rFonts w:ascii="Times New Roman" w:eastAsia="Times New Roman" w:hAnsi="Times New Roman"/>
        </w:rPr>
      </w:pPr>
      <w:r>
        <w:rPr>
          <w:rFonts w:ascii="Times New Roman" w:eastAsia="Times New Roman" w:hAnsi="Times New Roman"/>
        </w:rPr>
        <w:t>In determining expected mortality curves, consideration should be given to factors that include, but are not limited to, trends in mortality experience, trends in exposure, volatility in year-to-year A/E mortality ratios, mortality by lives relative to mortality by amounts, changes in the mix of business and product features that could lead to mortality selection.</w:t>
      </w:r>
    </w:p>
    <w:p w14:paraId="1C3FD943" w14:textId="77777777" w:rsidR="008A7F4A" w:rsidRDefault="008A7F4A" w:rsidP="00745C9A">
      <w:pPr>
        <w:pStyle w:val="Heading2"/>
        <w:numPr>
          <w:ilvl w:val="0"/>
          <w:numId w:val="125"/>
        </w:numPr>
        <w:rPr>
          <w:sz w:val="22"/>
          <w:szCs w:val="22"/>
        </w:rPr>
      </w:pPr>
      <w:bookmarkStart w:id="117" w:name="_Toc77242176"/>
      <w:r>
        <w:rPr>
          <w:sz w:val="22"/>
          <w:szCs w:val="22"/>
        </w:rPr>
        <w:t>Adjustment for Credibility to Determine Prudent Estimate Mortality</w:t>
      </w:r>
      <w:bookmarkEnd w:id="117"/>
    </w:p>
    <w:p w14:paraId="587EA5EC" w14:textId="77777777" w:rsidR="008A7F4A" w:rsidRDefault="008A7F4A" w:rsidP="008A7F4A">
      <w:pPr>
        <w:spacing w:after="0"/>
      </w:pPr>
    </w:p>
    <w:p w14:paraId="0DB02C9F" w14:textId="77777777" w:rsidR="008A7F4A" w:rsidRDefault="008A7F4A" w:rsidP="008A7F4A">
      <w:pPr>
        <w:spacing w:after="220" w:line="240" w:lineRule="auto"/>
        <w:ind w:left="1440" w:hanging="720"/>
        <w:jc w:val="both"/>
        <w:rPr>
          <w:rFonts w:ascii="Times New Roman" w:eastAsia="Times New Roman" w:hAnsi="Times New Roman"/>
        </w:rPr>
      </w:pPr>
      <w:commentRangeStart w:id="118"/>
      <w:r>
        <w:rPr>
          <w:rFonts w:ascii="Times New Roman" w:eastAsia="Times New Roman" w:hAnsi="Times New Roman"/>
        </w:rPr>
        <w:t>1.</w:t>
      </w:r>
      <w:commentRangeEnd w:id="118"/>
      <w:r w:rsidR="00FC10D6">
        <w:rPr>
          <w:rStyle w:val="CommentReference"/>
        </w:rPr>
        <w:commentReference w:id="118"/>
      </w:r>
      <w:r>
        <w:rPr>
          <w:rFonts w:ascii="Times New Roman" w:eastAsia="Times New Roman" w:hAnsi="Times New Roman"/>
        </w:rPr>
        <w:tab/>
        <w:t>Adjustment for Credibility</w:t>
      </w:r>
    </w:p>
    <w:p w14:paraId="3AAC9A17" w14:textId="77777777" w:rsidR="008A7F4A" w:rsidRDefault="008A7F4A" w:rsidP="008A7F4A">
      <w:pPr>
        <w:spacing w:after="220" w:line="240" w:lineRule="auto"/>
        <w:ind w:left="1440"/>
        <w:jc w:val="both"/>
        <w:rPr>
          <w:rFonts w:ascii="Times New Roman" w:eastAsia="Times New Roman" w:hAnsi="Times New Roman"/>
        </w:rPr>
      </w:pPr>
      <w:r>
        <w:rPr>
          <w:rFonts w:ascii="Times New Roman" w:eastAsia="Times New Roman" w:hAnsi="Times New Roman"/>
        </w:rPr>
        <w:t xml:space="preserve">The expected mortality curves determined in Section 11.B shall be adjusted based on the credibility of the experience used to determine the curves </w:t>
      </w:r>
      <w:proofErr w:type="gramStart"/>
      <w:r>
        <w:rPr>
          <w:rFonts w:ascii="Times New Roman" w:eastAsia="Times New Roman" w:hAnsi="Times New Roman"/>
        </w:rPr>
        <w:t>in order to</w:t>
      </w:r>
      <w:proofErr w:type="gramEnd"/>
      <w:r>
        <w:rPr>
          <w:rFonts w:ascii="Times New Roman" w:eastAsia="Times New Roman" w:hAnsi="Times New Roman"/>
        </w:rPr>
        <w:t xml:space="preserve"> arrive at prudent estimate mortality. The adjustment for credibility shall result in blending the expected mortality curves with the mortality assumption described in Section 11.B.3. The approach used to adjust the curves shall suitably account for credibility.</w:t>
      </w:r>
    </w:p>
    <w:p w14:paraId="0AA04564" w14:textId="77777777" w:rsidR="008A7F4A" w:rsidRDefault="008A7F4A" w:rsidP="008A7F4A">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b/>
          <w:bCs/>
        </w:rPr>
        <w:t xml:space="preserve">Guidance Note: </w:t>
      </w:r>
      <w:r>
        <w:rPr>
          <w:rFonts w:ascii="Times New Roman" w:eastAsia="Times New Roman" w:hAnsi="Times New Roman"/>
        </w:rPr>
        <w:t>For example, when credibility is zero, an appropriate approach should result in a mortality assumption consistent with 100% of the mortality table used in the blending.</w:t>
      </w:r>
    </w:p>
    <w:p w14:paraId="4192C96C" w14:textId="77777777" w:rsidR="008A7F4A" w:rsidRDefault="008A7F4A" w:rsidP="008A7F4A">
      <w:pPr>
        <w:spacing w:after="220" w:line="240" w:lineRule="auto"/>
        <w:ind w:left="1440" w:hanging="720"/>
        <w:jc w:val="both"/>
        <w:rPr>
          <w:rFonts w:ascii="Times New Roman" w:eastAsia="Times New Roman" w:hAnsi="Times New Roman"/>
        </w:rPr>
      </w:pPr>
      <w:commentRangeStart w:id="119"/>
      <w:r>
        <w:rPr>
          <w:rFonts w:ascii="Times New Roman" w:eastAsia="Times New Roman" w:hAnsi="Times New Roman"/>
        </w:rPr>
        <w:t>2.</w:t>
      </w:r>
      <w:commentRangeEnd w:id="119"/>
      <w:r w:rsidR="0052429A">
        <w:rPr>
          <w:rStyle w:val="CommentReference"/>
        </w:rPr>
        <w:commentReference w:id="119"/>
      </w:r>
      <w:r>
        <w:rPr>
          <w:rFonts w:ascii="Times New Roman" w:eastAsia="Times New Roman" w:hAnsi="Times New Roman"/>
        </w:rPr>
        <w:tab/>
        <w:t>Adjustment of Statutory Valuation Mortality for Improvement</w:t>
      </w:r>
    </w:p>
    <w:p w14:paraId="374601A3" w14:textId="77777777" w:rsidR="008A7F4A" w:rsidRDefault="008A7F4A" w:rsidP="008A7F4A">
      <w:pPr>
        <w:keepNext/>
        <w:keepLines/>
        <w:spacing w:after="220" w:line="240" w:lineRule="auto"/>
        <w:ind w:left="1440"/>
        <w:jc w:val="both"/>
        <w:rPr>
          <w:rFonts w:ascii="Times New Roman" w:eastAsia="Times New Roman" w:hAnsi="Times New Roman"/>
        </w:rPr>
      </w:pPr>
      <w:r>
        <w:rPr>
          <w:rFonts w:ascii="Times New Roman" w:eastAsia="Times New Roman" w:hAnsi="Times New Roman"/>
        </w:rPr>
        <w:t>For purposes of the adjustment for credibility, the mortality table for a plus segment may be and the mortality table for a minus segment must be adjusted for mortality improvement. Such adjustment shall reflect the mortality improvement scale described in Section 11.B.3 from the effective date of the respective mortality table to the experience weighted average date underlying the data used to develop the expected mortality curves.</w:t>
      </w:r>
    </w:p>
    <w:p w14:paraId="13B9960C"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Credibility Procedure</w:t>
      </w:r>
    </w:p>
    <w:p w14:paraId="51BDF6F1" w14:textId="77777777" w:rsidR="008A7F4A" w:rsidRDefault="008A7F4A" w:rsidP="008A7F4A">
      <w:pPr>
        <w:spacing w:after="220" w:line="240" w:lineRule="auto"/>
        <w:ind w:left="1440"/>
        <w:jc w:val="both"/>
        <w:rPr>
          <w:rFonts w:ascii="Times New Roman" w:eastAsia="Times New Roman" w:hAnsi="Times New Roman"/>
        </w:rPr>
      </w:pPr>
      <w:r>
        <w:rPr>
          <w:rFonts w:ascii="Times New Roman" w:eastAsia="Times New Roman" w:hAnsi="Times New Roman"/>
          <w:position w:val="-1"/>
        </w:rPr>
        <w:t>The credibility procedure used shall:</w:t>
      </w:r>
    </w:p>
    <w:p w14:paraId="7FB7584F"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Produce results that are reasonable.</w:t>
      </w:r>
    </w:p>
    <w:p w14:paraId="37C3C9F5"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Not tend to bias the results in any material way.</w:t>
      </w:r>
    </w:p>
    <w:p w14:paraId="6D278E33"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t>Be practical to implement.</w:t>
      </w:r>
    </w:p>
    <w:p w14:paraId="21871E56"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d.</w:t>
      </w:r>
      <w:r>
        <w:rPr>
          <w:rFonts w:ascii="Times New Roman" w:eastAsia="Times New Roman" w:hAnsi="Times New Roman"/>
        </w:rPr>
        <w:tab/>
        <w:t>Give consideration to the need to balance responsiveness and stability.</w:t>
      </w:r>
    </w:p>
    <w:p w14:paraId="57A37A9E"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e.</w:t>
      </w:r>
      <w:r>
        <w:rPr>
          <w:rFonts w:ascii="Times New Roman" w:eastAsia="Times New Roman" w:hAnsi="Times New Roman"/>
        </w:rPr>
        <w:tab/>
        <w:t>Take into account not only the level of aggregate claims but the shape of the mortality curve.</w:t>
      </w:r>
    </w:p>
    <w:p w14:paraId="35A3F423" w14:textId="77777777" w:rsidR="008A7F4A" w:rsidRDefault="008A7F4A" w:rsidP="008A7F4A">
      <w:pPr>
        <w:spacing w:after="220" w:line="240" w:lineRule="auto"/>
        <w:ind w:left="2160" w:hanging="720"/>
        <w:jc w:val="both"/>
        <w:rPr>
          <w:rFonts w:ascii="Times New Roman" w:eastAsia="Times New Roman" w:hAnsi="Times New Roman"/>
        </w:rPr>
      </w:pPr>
      <w:r>
        <w:rPr>
          <w:rFonts w:ascii="Times New Roman" w:eastAsia="Times New Roman" w:hAnsi="Times New Roman"/>
        </w:rPr>
        <w:t>f.</w:t>
      </w:r>
      <w:r>
        <w:rPr>
          <w:rFonts w:ascii="Times New Roman" w:eastAsia="Times New Roman" w:hAnsi="Times New Roman"/>
        </w:rPr>
        <w:tab/>
        <w:t>Contain criteria for full credibility and partial credibility that have a sound statistical basis and be appropriately applied.</w:t>
      </w:r>
    </w:p>
    <w:p w14:paraId="6DD9BC67" w14:textId="77777777" w:rsidR="008A7F4A" w:rsidRDefault="008A7F4A" w:rsidP="008A7F4A">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Further Adjustment of the Credibility-Adjusted Table for Mortality Improvement</w:t>
      </w:r>
    </w:p>
    <w:p w14:paraId="551DA584" w14:textId="77777777" w:rsidR="008A7F4A" w:rsidRDefault="008A7F4A" w:rsidP="008A7F4A">
      <w:pPr>
        <w:spacing w:after="220" w:line="240" w:lineRule="auto"/>
        <w:ind w:left="1440"/>
        <w:jc w:val="both"/>
        <w:rPr>
          <w:rFonts w:ascii="Times New Roman" w:eastAsia="Times New Roman" w:hAnsi="Times New Roman"/>
        </w:rPr>
      </w:pPr>
      <w:r>
        <w:rPr>
          <w:rFonts w:ascii="Times New Roman" w:eastAsia="Times New Roman" w:hAnsi="Times New Roman"/>
        </w:rPr>
        <w:t>The credibility-adjusted table used for plus segments may be and the credibility adjusted table used for minus segments must be adjusted for mortality improvement using the applicable mortality improvement scale described in Section 11.B.3 from the experience weighted average date underlying the company experience used in the credibility process to the valuation date.</w:t>
      </w:r>
    </w:p>
    <w:p w14:paraId="6D639A95" w14:textId="77777777" w:rsidR="008A7F4A" w:rsidRDefault="008A7F4A" w:rsidP="008A7F4A">
      <w:pPr>
        <w:spacing w:after="220" w:line="240" w:lineRule="auto"/>
        <w:ind w:left="1440"/>
        <w:jc w:val="both"/>
        <w:rPr>
          <w:rFonts w:ascii="Times New Roman" w:eastAsia="Times New Roman" w:hAnsi="Times New Roman"/>
        </w:rPr>
      </w:pPr>
      <w:r>
        <w:rPr>
          <w:rFonts w:ascii="Times New Roman" w:eastAsia="Times New Roman" w:hAnsi="Times New Roman"/>
        </w:rPr>
        <w:t>Any adjustment for mortality improvement beyond the valuation date is discussed in Section 11.D.</w:t>
      </w:r>
    </w:p>
    <w:p w14:paraId="212E39F8" w14:textId="77777777" w:rsidR="008A7F4A" w:rsidRDefault="008A7F4A" w:rsidP="008A7F4A">
      <w:pPr>
        <w:pStyle w:val="Heading2"/>
        <w:rPr>
          <w:sz w:val="22"/>
          <w:szCs w:val="22"/>
        </w:rPr>
      </w:pPr>
      <w:bookmarkStart w:id="120" w:name="_Toc77242177"/>
      <w:r>
        <w:rPr>
          <w:sz w:val="22"/>
          <w:szCs w:val="22"/>
        </w:rPr>
        <w:t>D.</w:t>
      </w:r>
      <w:r>
        <w:rPr>
          <w:sz w:val="22"/>
          <w:szCs w:val="22"/>
        </w:rPr>
        <w:tab/>
        <w:t>Future Mortality Improvement</w:t>
      </w:r>
      <w:bookmarkEnd w:id="120"/>
    </w:p>
    <w:p w14:paraId="0572B20B" w14:textId="77777777" w:rsidR="008A7F4A" w:rsidRDefault="008A7F4A" w:rsidP="008A7F4A">
      <w:pPr>
        <w:spacing w:after="0"/>
      </w:pPr>
    </w:p>
    <w:p w14:paraId="1C250666" w14:textId="77777777" w:rsidR="008A7F4A" w:rsidRDefault="008A7F4A" w:rsidP="008A7F4A">
      <w:pPr>
        <w:spacing w:after="220" w:line="240" w:lineRule="auto"/>
        <w:ind w:left="720"/>
        <w:jc w:val="both"/>
        <w:rPr>
          <w:rFonts w:ascii="Times New Roman" w:eastAsia="Times New Roman" w:hAnsi="Times New Roman"/>
        </w:rPr>
      </w:pPr>
      <w:r>
        <w:rPr>
          <w:rFonts w:ascii="Times New Roman" w:eastAsia="Times New Roman" w:hAnsi="Times New Roman"/>
        </w:rPr>
        <w:t>The mortality assumption resulting from the requirements of Section 11.C shall be adjusted for mortality improvements beyond the valuation date if such an adjustment would serve to increase the resulting stochastic reserve. If such an adjustment would reduce the stochastic reserve, such assumptions are permitted, but not required. In either case, the assumption must be based on current relevant data with a margin for uncertainty (increasing assumed rates of improvement if that results in a higher reserve or reducing them otherwise).</w:t>
      </w:r>
    </w:p>
    <w:p w14:paraId="53732596" w14:textId="77777777" w:rsidR="008A7F4A" w:rsidRDefault="008A7F4A" w:rsidP="008A7F4A"/>
    <w:p w14:paraId="0375BD9E" w14:textId="77777777" w:rsidR="008A7F4A" w:rsidRDefault="008A7F4A" w:rsidP="008A7F4A">
      <w:r>
        <w:br w:type="page"/>
      </w:r>
    </w:p>
    <w:p w14:paraId="56F80CDF" w14:textId="77777777" w:rsidR="008A7F4A" w:rsidRDefault="008A7F4A" w:rsidP="008A7F4A">
      <w:pPr>
        <w:pStyle w:val="Heading1"/>
        <w:rPr>
          <w:sz w:val="24"/>
          <w:szCs w:val="24"/>
        </w:rPr>
      </w:pPr>
      <w:bookmarkStart w:id="121" w:name="_Toc77242178"/>
      <w:commentRangeStart w:id="122"/>
      <w:r>
        <w:rPr>
          <w:sz w:val="24"/>
          <w:szCs w:val="24"/>
        </w:rPr>
        <w:t xml:space="preserve">Section 12: </w:t>
      </w:r>
      <w:commentRangeEnd w:id="122"/>
      <w:r w:rsidR="00277E9B">
        <w:rPr>
          <w:rStyle w:val="CommentReference"/>
          <w:rFonts w:asciiTheme="minorHAnsi" w:eastAsiaTheme="minorHAnsi" w:hAnsiTheme="minorHAnsi" w:cstheme="minorBidi"/>
          <w:color w:val="auto"/>
        </w:rPr>
        <w:commentReference w:id="122"/>
      </w:r>
      <w:r>
        <w:rPr>
          <w:sz w:val="24"/>
          <w:szCs w:val="24"/>
        </w:rPr>
        <w:t>Allocation of Aggregate Reserves to the Contract Level</w:t>
      </w:r>
      <w:bookmarkEnd w:id="121"/>
    </w:p>
    <w:p w14:paraId="0512A2E1" w14:textId="77777777" w:rsidR="008A7F4A" w:rsidRDefault="008A7F4A" w:rsidP="008A7F4A">
      <w:pPr>
        <w:keepNext/>
        <w:keepLines/>
        <w:spacing w:after="0" w:line="240" w:lineRule="auto"/>
        <w:jc w:val="both"/>
        <w:rPr>
          <w:rFonts w:ascii="Times New Roman" w:eastAsia="Times New Roman" w:hAnsi="Times New Roman"/>
          <w:highlight w:val="yellow"/>
        </w:rPr>
      </w:pPr>
    </w:p>
    <w:p w14:paraId="36FF3960" w14:textId="77777777" w:rsidR="008A7F4A" w:rsidRDefault="008A7F4A" w:rsidP="008A7F4A">
      <w:pPr>
        <w:keepNext/>
        <w:keepLines/>
        <w:spacing w:after="0" w:line="240" w:lineRule="auto"/>
        <w:jc w:val="both"/>
        <w:rPr>
          <w:rFonts w:ascii="Times New Roman" w:eastAsia="Times New Roman" w:hAnsi="Times New Roman"/>
        </w:rPr>
      </w:pPr>
      <w:r>
        <w:rPr>
          <w:rFonts w:ascii="Times New Roman" w:eastAsia="Times New Roman" w:hAnsi="Times New Roman"/>
        </w:rPr>
        <w:t xml:space="preserve">Section 3.F states that the aggregate reserve shall be allocated to the contracts falling within the scope of these requirements. That allocation should be done for both the pre- and post-reinsurance ceded reserves.  Contracts that have passed the stochastic exclusion test as defined in Section 7.B will not be included in the allocation of the aggregate reserve. </w:t>
      </w:r>
      <w:proofErr w:type="gramStart"/>
      <w:r>
        <w:rPr>
          <w:rFonts w:ascii="Times New Roman" w:eastAsia="Times New Roman" w:hAnsi="Times New Roman"/>
        </w:rPr>
        <w:t>For the purpose of</w:t>
      </w:r>
      <w:proofErr w:type="gramEnd"/>
      <w:r>
        <w:rPr>
          <w:rFonts w:ascii="Times New Roman" w:eastAsia="Times New Roman" w:hAnsi="Times New Roman"/>
        </w:rPr>
        <w:t xml:space="preserve"> this section, if a contract does not have a cash surrender value, then the cash surrender value is assumed to be zero.</w:t>
      </w:r>
    </w:p>
    <w:p w14:paraId="7848F515" w14:textId="77777777" w:rsidR="008A7F4A" w:rsidRDefault="008A7F4A" w:rsidP="008A7F4A">
      <w:pPr>
        <w:keepNext/>
        <w:keepLines/>
        <w:spacing w:after="0" w:line="240" w:lineRule="auto"/>
        <w:jc w:val="both"/>
        <w:rPr>
          <w:rFonts w:ascii="Times New Roman" w:eastAsia="Times New Roman" w:hAnsi="Times New Roman"/>
        </w:rPr>
      </w:pPr>
    </w:p>
    <w:p w14:paraId="21EF2556" w14:textId="77777777" w:rsidR="008A7F4A" w:rsidRDefault="008A7F4A" w:rsidP="008A7F4A">
      <w:pPr>
        <w:autoSpaceDE w:val="0"/>
        <w:autoSpaceDN w:val="0"/>
        <w:adjustRightInd w:val="0"/>
        <w:spacing w:after="0" w:line="240" w:lineRule="auto"/>
        <w:rPr>
          <w:rFonts w:ascii="Times New Roman" w:hAnsi="Times New Roman" w:cs="Times New Roman"/>
          <w:color w:val="002060"/>
        </w:rPr>
      </w:pPr>
      <w:r>
        <w:rPr>
          <w:rFonts w:ascii="Times New Roman" w:hAnsi="Times New Roman" w:cs="Times New Roman"/>
          <w:color w:val="002060"/>
        </w:rPr>
        <w:t xml:space="preserve">Contracts for which the Deterministic Certification Option is elected in Section 7.E are intended to use the methodology described in this section to allocate aggregate reserves </w:t>
      </w:r>
      <w:proofErr w:type="gramStart"/>
      <w:r>
        <w:rPr>
          <w:rFonts w:ascii="Times New Roman" w:hAnsi="Times New Roman" w:cs="Times New Roman"/>
          <w:color w:val="002060"/>
        </w:rPr>
        <w:t>in excess of</w:t>
      </w:r>
      <w:proofErr w:type="gramEnd"/>
      <w:r>
        <w:rPr>
          <w:rFonts w:ascii="Times New Roman" w:hAnsi="Times New Roman" w:cs="Times New Roman"/>
          <w:color w:val="002060"/>
        </w:rPr>
        <w:t xml:space="preserve"> the cash surrender value to individual contracts.</w:t>
      </w:r>
    </w:p>
    <w:p w14:paraId="6E780DB6" w14:textId="77777777" w:rsidR="008A7F4A" w:rsidRDefault="008A7F4A" w:rsidP="008A7F4A">
      <w:pPr>
        <w:keepNext/>
        <w:keepLines/>
        <w:spacing w:after="0" w:line="240" w:lineRule="auto"/>
        <w:jc w:val="both"/>
        <w:rPr>
          <w:rFonts w:ascii="Times New Roman" w:eastAsia="Times New Roman" w:hAnsi="Times New Roman"/>
        </w:rPr>
      </w:pPr>
      <w:r>
        <w:rPr>
          <w:rFonts w:ascii="Times New Roman" w:eastAsia="Times New Roman" w:hAnsi="Times New Roman"/>
        </w:rPr>
        <w:t xml:space="preserve">  </w:t>
      </w:r>
    </w:p>
    <w:p w14:paraId="0EB2E52C" w14:textId="77777777" w:rsidR="008A7F4A" w:rsidRDefault="008A7F4A" w:rsidP="008A7F4A">
      <w:pPr>
        <w:keepNext/>
        <w:keepLines/>
        <w:spacing w:after="220" w:line="240" w:lineRule="auto"/>
        <w:jc w:val="both"/>
        <w:rPr>
          <w:rFonts w:ascii="Times New Roman" w:eastAsia="Times New Roman" w:hAnsi="Times New Roman"/>
        </w:rPr>
      </w:pPr>
      <w:r>
        <w:rPr>
          <w:rFonts w:ascii="Times New Roman" w:eastAsia="Times New Roman" w:hAnsi="Times New Roman"/>
        </w:rPr>
        <w:t>The contract-level reserve for each contract shall be the sum of the following:</w:t>
      </w:r>
    </w:p>
    <w:p w14:paraId="000E8BC0" w14:textId="77777777" w:rsidR="008A7F4A" w:rsidRDefault="008A7F4A" w:rsidP="008A7F4A">
      <w:pPr>
        <w:keepNext/>
        <w:keepLines/>
        <w:spacing w:after="220" w:line="240" w:lineRule="auto"/>
        <w:ind w:left="144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 xml:space="preserve">The contract’s cash surrender value. </w:t>
      </w:r>
    </w:p>
    <w:p w14:paraId="4913F228" w14:textId="77777777" w:rsidR="008A7F4A"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highlight w:val="yellow"/>
        </w:rPr>
      </w:pPr>
      <w:r>
        <w:rPr>
          <w:rFonts w:ascii="Times New Roman" w:hAnsi="Times New Roman" w:cs="Times New Roman"/>
          <w:color w:val="002060"/>
          <w:highlight w:val="yellow"/>
        </w:rPr>
        <w:t xml:space="preserve">Drafting Note: The American Academy of Actuaries Annuity Reserves and Capital Work Group is including two potential options for allocating the excess portion of the aggregate reserve over cash surrender value: (1) Use the same approach as VM-21 (2) Allocate based on an actuarial present value calculation.  </w:t>
      </w:r>
    </w:p>
    <w:p w14:paraId="1D3DC539" w14:textId="77777777" w:rsidR="008A7F4A"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highlight w:val="yellow"/>
        </w:rPr>
      </w:pPr>
    </w:p>
    <w:p w14:paraId="65C3D0E7" w14:textId="77777777" w:rsidR="008A7F4A"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rPr>
      </w:pPr>
      <w:r>
        <w:rPr>
          <w:rFonts w:ascii="Times New Roman" w:hAnsi="Times New Roman" w:cs="Times New Roman"/>
          <w:color w:val="002060"/>
          <w:highlight w:val="yellow"/>
        </w:rPr>
        <w:t>The Work Group did not reach a consensus between these two approaches, so wording for both is included in the text below. The Work Group recommends field testing both approaches and considering the results in determining future decisions.</w:t>
      </w:r>
    </w:p>
    <w:p w14:paraId="24322CC6" w14:textId="77777777" w:rsidR="008A7F4A" w:rsidRDefault="008A7F4A" w:rsidP="008A7F4A">
      <w:pPr>
        <w:keepNext/>
        <w:keepLines/>
        <w:spacing w:after="0" w:line="240" w:lineRule="auto"/>
        <w:jc w:val="both"/>
        <w:rPr>
          <w:rFonts w:ascii="Times New Roman" w:eastAsia="Times New Roman" w:hAnsi="Times New Roman"/>
        </w:rPr>
      </w:pPr>
    </w:p>
    <w:p w14:paraId="33EC6F43" w14:textId="77777777" w:rsidR="008A7F4A" w:rsidRDefault="008A7F4A" w:rsidP="008A7F4A">
      <w:pPr>
        <w:keepNext/>
        <w:keepLines/>
        <w:spacing w:after="220" w:line="240" w:lineRule="auto"/>
        <w:ind w:left="1440" w:hanging="720"/>
        <w:jc w:val="both"/>
        <w:rPr>
          <w:rFonts w:ascii="Times New Roman" w:eastAsia="Times New Roman" w:hAnsi="Times New Roman"/>
          <w:b/>
          <w:bCs/>
          <w:u w:val="single"/>
        </w:rPr>
      </w:pPr>
      <w:r>
        <w:rPr>
          <w:rFonts w:ascii="Times New Roman" w:eastAsia="Times New Roman" w:hAnsi="Times New Roman"/>
          <w:b/>
          <w:bCs/>
          <w:u w:val="single"/>
        </w:rPr>
        <w:t>Option 1: VM-21 Approach</w:t>
      </w:r>
    </w:p>
    <w:p w14:paraId="1075342F" w14:textId="77777777" w:rsidR="008A7F4A" w:rsidRDefault="008A7F4A" w:rsidP="008A7F4A">
      <w:pPr>
        <w:widowControl w:val="0"/>
        <w:spacing w:after="0" w:line="240" w:lineRule="auto"/>
        <w:ind w:left="1440" w:hanging="720"/>
        <w:contextualSpacing/>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 xml:space="preserve">An allocated portion of the excess of the aggregate reserve over the aggregate cash surrender value shall be allocated to each contract based on a measure of the risk of that product relative to its cash surrender value in the context of the </w:t>
      </w:r>
      <w:proofErr w:type="gramStart"/>
      <w:r>
        <w:rPr>
          <w:rFonts w:ascii="Times New Roman" w:eastAsia="Times New Roman" w:hAnsi="Times New Roman"/>
        </w:rPr>
        <w:t>company’s</w:t>
      </w:r>
      <w:proofErr w:type="gramEnd"/>
      <w:r>
        <w:rPr>
          <w:rFonts w:ascii="Times New Roman" w:eastAsia="Times New Roman" w:hAnsi="Times New Roman"/>
        </w:rPr>
        <w:t xml:space="preserve"> in force contracts (assuming zero cash value for contracts that do not contain such). The measure of risk should consider the impact of risk mitigation programs, including hedge programs and reinsurance, that would affect the risk of the product. The specific method of assessing that risk and how it contributes to the company’s aggregate reserve shall be defined by the company. The method should provide for an equitable allocation based on risk analysis.</w:t>
      </w:r>
    </w:p>
    <w:p w14:paraId="7B5FB68D" w14:textId="77777777" w:rsidR="008A7F4A" w:rsidRDefault="008A7F4A" w:rsidP="008A7F4A">
      <w:pPr>
        <w:widowControl w:val="0"/>
        <w:spacing w:after="0" w:line="240" w:lineRule="auto"/>
        <w:ind w:left="2160"/>
        <w:contextualSpacing/>
        <w:jc w:val="both"/>
        <w:rPr>
          <w:rFonts w:ascii="Times New Roman" w:eastAsia="Times New Roman" w:hAnsi="Times New Roman"/>
        </w:rPr>
      </w:pPr>
    </w:p>
    <w:p w14:paraId="21EB4A5E" w14:textId="77777777" w:rsidR="008A7F4A" w:rsidRDefault="008A7F4A" w:rsidP="00745C9A">
      <w:pPr>
        <w:keepNext/>
        <w:widowControl w:val="0"/>
        <w:numPr>
          <w:ilvl w:val="0"/>
          <w:numId w:val="126"/>
        </w:numPr>
        <w:tabs>
          <w:tab w:val="left" w:pos="7650"/>
        </w:tabs>
        <w:spacing w:after="0" w:line="240" w:lineRule="auto"/>
        <w:ind w:left="2160" w:hanging="720"/>
        <w:contextualSpacing/>
        <w:jc w:val="both"/>
        <w:rPr>
          <w:rFonts w:ascii="Times New Roman" w:eastAsia="Times New Roman" w:hAnsi="Times New Roman"/>
          <w:position w:val="-1"/>
        </w:rPr>
      </w:pPr>
      <w:r>
        <w:rPr>
          <w:rFonts w:ascii="Times New Roman" w:eastAsia="Times New Roman" w:hAnsi="Times New Roman"/>
          <w:position w:val="-1"/>
        </w:rPr>
        <w:t>As an example, consider a company with the results of the following three contracts:</w:t>
      </w:r>
    </w:p>
    <w:p w14:paraId="5A90B776" w14:textId="77777777" w:rsidR="008A7F4A" w:rsidRDefault="008A7F4A" w:rsidP="008A7F4A">
      <w:pPr>
        <w:keepNext/>
        <w:widowControl w:val="0"/>
        <w:tabs>
          <w:tab w:val="left" w:pos="7650"/>
        </w:tabs>
        <w:spacing w:after="0" w:line="240" w:lineRule="auto"/>
        <w:ind w:left="1440"/>
        <w:contextualSpacing/>
        <w:jc w:val="both"/>
        <w:rPr>
          <w:rFonts w:ascii="Times New Roman" w:eastAsia="Times New Roman" w:hAnsi="Times New Roman"/>
          <w:position w:val="-1"/>
        </w:rPr>
      </w:pPr>
    </w:p>
    <w:p w14:paraId="7CDB165C" w14:textId="77777777" w:rsidR="008A7F4A" w:rsidRDefault="008A7F4A" w:rsidP="008A7F4A">
      <w:pPr>
        <w:spacing w:after="0"/>
        <w:rPr>
          <w:rFonts w:ascii="Times New Roman" w:eastAsia="Times New Roman" w:hAnsi="Times New Roman"/>
          <w:position w:val="-1"/>
        </w:rPr>
      </w:pPr>
      <w:r>
        <w:rPr>
          <w:rFonts w:ascii="Times New Roman" w:eastAsia="Times New Roman" w:hAnsi="Times New Roman"/>
          <w:position w:val="-1"/>
        </w:rPr>
        <w:t xml:space="preserve">                                  </w:t>
      </w:r>
      <w:r>
        <w:rPr>
          <w:rFonts w:ascii="Times New Roman" w:hAnsi="Times New Roman"/>
          <w:position w:val="-1"/>
        </w:rPr>
        <w:t xml:space="preserve"> Table</w:t>
      </w:r>
      <w:r>
        <w:rPr>
          <w:rFonts w:ascii="Times New Roman" w:eastAsia="Times New Roman" w:hAnsi="Times New Roman"/>
          <w:position w:val="-1"/>
        </w:rPr>
        <w:t xml:space="preserve"> 12.1: Sample Allocation of Aggregate Reserve</w:t>
      </w:r>
      <w:r>
        <w:rPr>
          <w:rFonts w:ascii="Times New Roman" w:eastAsia="Times New Roman" w:hAnsi="Times New Roman"/>
          <w:position w:val="-1"/>
        </w:rPr>
        <w:tab/>
      </w:r>
      <w:r>
        <w:rPr>
          <w:rFonts w:ascii="Times New Roman" w:eastAsia="Times New Roman" w:hAnsi="Times New Roman"/>
          <w:position w:val="-1"/>
        </w:rPr>
        <w:tab/>
      </w:r>
      <w:r>
        <w:rPr>
          <w:rFonts w:ascii="Times New Roman" w:eastAsia="Times New Roman" w:hAnsi="Times New Roman"/>
          <w:position w:val="-1"/>
        </w:rPr>
        <w:tab/>
      </w:r>
    </w:p>
    <w:tbl>
      <w:tblPr>
        <w:tblpPr w:leftFromText="180" w:rightFromText="180" w:bottomFromText="200" w:vertAnchor="text" w:horzAnchor="margin" w:tblpY="380"/>
        <w:tblW w:w="9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895"/>
        <w:gridCol w:w="1158"/>
        <w:gridCol w:w="1219"/>
        <w:gridCol w:w="1152"/>
        <w:gridCol w:w="1712"/>
      </w:tblGrid>
      <w:tr w:rsidR="008A7F4A" w14:paraId="3A5E82F4" w14:textId="77777777" w:rsidTr="008A7F4A">
        <w:trPr>
          <w:trHeight w:val="340"/>
        </w:trPr>
        <w:tc>
          <w:tcPr>
            <w:tcW w:w="3895" w:type="dxa"/>
            <w:tcBorders>
              <w:top w:val="single" w:sz="8" w:space="0" w:color="000000"/>
              <w:left w:val="single" w:sz="8" w:space="0" w:color="000000"/>
              <w:bottom w:val="single" w:sz="8" w:space="0" w:color="000000"/>
              <w:right w:val="single" w:sz="8" w:space="0" w:color="000000"/>
            </w:tcBorders>
            <w:vAlign w:val="center"/>
            <w:hideMark/>
          </w:tcPr>
          <w:p w14:paraId="7BF5C838"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Contract (i)</w:t>
            </w:r>
          </w:p>
        </w:tc>
        <w:tc>
          <w:tcPr>
            <w:tcW w:w="1158" w:type="dxa"/>
            <w:tcBorders>
              <w:top w:val="single" w:sz="8" w:space="0" w:color="000000"/>
              <w:left w:val="single" w:sz="8" w:space="0" w:color="000000"/>
              <w:bottom w:val="single" w:sz="8" w:space="0" w:color="000000"/>
              <w:right w:val="single" w:sz="8" w:space="0" w:color="000000"/>
            </w:tcBorders>
            <w:vAlign w:val="center"/>
            <w:hideMark/>
          </w:tcPr>
          <w:p w14:paraId="1F0F15D7"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1</w:t>
            </w:r>
          </w:p>
        </w:tc>
        <w:tc>
          <w:tcPr>
            <w:tcW w:w="1219" w:type="dxa"/>
            <w:tcBorders>
              <w:top w:val="single" w:sz="8" w:space="0" w:color="000000"/>
              <w:left w:val="single" w:sz="8" w:space="0" w:color="000000"/>
              <w:bottom w:val="single" w:sz="8" w:space="0" w:color="000000"/>
              <w:right w:val="single" w:sz="8" w:space="0" w:color="000000"/>
            </w:tcBorders>
            <w:vAlign w:val="center"/>
            <w:hideMark/>
          </w:tcPr>
          <w:p w14:paraId="20C59892"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2</w:t>
            </w:r>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577AED1C"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3</w:t>
            </w:r>
          </w:p>
        </w:tc>
        <w:tc>
          <w:tcPr>
            <w:tcW w:w="1712" w:type="dxa"/>
            <w:tcBorders>
              <w:top w:val="single" w:sz="8" w:space="0" w:color="000000"/>
              <w:left w:val="single" w:sz="8" w:space="0" w:color="000000"/>
              <w:bottom w:val="single" w:sz="8" w:space="0" w:color="000000"/>
              <w:right w:val="single" w:sz="8" w:space="0" w:color="000000"/>
            </w:tcBorders>
            <w:vAlign w:val="center"/>
            <w:hideMark/>
          </w:tcPr>
          <w:p w14:paraId="21E71D5F" w14:textId="77777777" w:rsidR="008A7F4A" w:rsidRDefault="008A7F4A">
            <w:pPr>
              <w:spacing w:after="0" w:line="240" w:lineRule="auto"/>
              <w:jc w:val="center"/>
              <w:rPr>
                <w:rFonts w:ascii="Times New Roman" w:hAnsi="Times New Roman"/>
                <w:sz w:val="20"/>
                <w:szCs w:val="20"/>
              </w:rPr>
            </w:pPr>
            <w:r>
              <w:rPr>
                <w:rFonts w:ascii="Times New Roman" w:hAnsi="Times New Roman"/>
                <w:sz w:val="20"/>
              </w:rPr>
              <w:t>Total</w:t>
            </w:r>
          </w:p>
        </w:tc>
      </w:tr>
      <w:tr w:rsidR="008A7F4A" w14:paraId="0A933D80" w14:textId="77777777" w:rsidTr="008A7F4A">
        <w:trPr>
          <w:trHeight w:val="340"/>
        </w:trPr>
        <w:tc>
          <w:tcPr>
            <w:tcW w:w="3895" w:type="dxa"/>
            <w:tcBorders>
              <w:top w:val="single" w:sz="8" w:space="0" w:color="000000"/>
              <w:left w:val="single" w:sz="8" w:space="0" w:color="000000"/>
              <w:bottom w:val="single" w:sz="8" w:space="0" w:color="000000"/>
              <w:right w:val="single" w:sz="8" w:space="0" w:color="000000"/>
            </w:tcBorders>
            <w:vAlign w:val="center"/>
            <w:hideMark/>
          </w:tcPr>
          <w:p w14:paraId="56D2A261"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Cash Surrender Value, C</w:t>
            </w:r>
          </w:p>
        </w:tc>
        <w:tc>
          <w:tcPr>
            <w:tcW w:w="1158" w:type="dxa"/>
            <w:tcBorders>
              <w:top w:val="single" w:sz="8" w:space="0" w:color="000000"/>
              <w:left w:val="single" w:sz="8" w:space="0" w:color="000000"/>
              <w:bottom w:val="single" w:sz="8" w:space="0" w:color="000000"/>
              <w:right w:val="single" w:sz="8" w:space="0" w:color="000000"/>
            </w:tcBorders>
            <w:vAlign w:val="center"/>
            <w:hideMark/>
          </w:tcPr>
          <w:p w14:paraId="69AC57F9"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28</w:t>
            </w:r>
          </w:p>
        </w:tc>
        <w:tc>
          <w:tcPr>
            <w:tcW w:w="1219" w:type="dxa"/>
            <w:tcBorders>
              <w:top w:val="single" w:sz="8" w:space="0" w:color="000000"/>
              <w:left w:val="single" w:sz="8" w:space="0" w:color="000000"/>
              <w:bottom w:val="single" w:sz="8" w:space="0" w:color="000000"/>
              <w:right w:val="single" w:sz="8" w:space="0" w:color="000000"/>
            </w:tcBorders>
            <w:vAlign w:val="center"/>
            <w:hideMark/>
          </w:tcPr>
          <w:p w14:paraId="13B7EB83"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40</w:t>
            </w:r>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11D2C454"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52</w:t>
            </w:r>
          </w:p>
        </w:tc>
        <w:tc>
          <w:tcPr>
            <w:tcW w:w="1712" w:type="dxa"/>
            <w:tcBorders>
              <w:top w:val="single" w:sz="8" w:space="0" w:color="000000"/>
              <w:left w:val="single" w:sz="8" w:space="0" w:color="000000"/>
              <w:bottom w:val="single" w:sz="8" w:space="0" w:color="000000"/>
              <w:right w:val="single" w:sz="8" w:space="0" w:color="000000"/>
            </w:tcBorders>
            <w:vAlign w:val="center"/>
            <w:hideMark/>
          </w:tcPr>
          <w:p w14:paraId="5DC285C8"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120</w:t>
            </w:r>
          </w:p>
        </w:tc>
      </w:tr>
      <w:tr w:rsidR="008A7F4A" w14:paraId="3B24253F" w14:textId="77777777" w:rsidTr="008A7F4A">
        <w:trPr>
          <w:trHeight w:val="340"/>
        </w:trPr>
        <w:tc>
          <w:tcPr>
            <w:tcW w:w="3895" w:type="dxa"/>
            <w:tcBorders>
              <w:top w:val="single" w:sz="8" w:space="0" w:color="000000"/>
              <w:left w:val="single" w:sz="8" w:space="0" w:color="000000"/>
              <w:bottom w:val="single" w:sz="8" w:space="0" w:color="000000"/>
              <w:right w:val="single" w:sz="8" w:space="0" w:color="000000"/>
            </w:tcBorders>
            <w:vAlign w:val="center"/>
            <w:hideMark/>
          </w:tcPr>
          <w:p w14:paraId="4DAB03EF"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Risk adjusted measure, R</w:t>
            </w:r>
          </w:p>
        </w:tc>
        <w:tc>
          <w:tcPr>
            <w:tcW w:w="1158" w:type="dxa"/>
            <w:tcBorders>
              <w:top w:val="single" w:sz="8" w:space="0" w:color="000000"/>
              <w:left w:val="single" w:sz="8" w:space="0" w:color="000000"/>
              <w:bottom w:val="single" w:sz="8" w:space="0" w:color="000000"/>
              <w:right w:val="single" w:sz="8" w:space="0" w:color="000000"/>
            </w:tcBorders>
            <w:vAlign w:val="center"/>
            <w:hideMark/>
          </w:tcPr>
          <w:p w14:paraId="34C2B6A6"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38</w:t>
            </w:r>
          </w:p>
        </w:tc>
        <w:tc>
          <w:tcPr>
            <w:tcW w:w="1219" w:type="dxa"/>
            <w:tcBorders>
              <w:top w:val="single" w:sz="8" w:space="0" w:color="000000"/>
              <w:left w:val="single" w:sz="8" w:space="0" w:color="000000"/>
              <w:bottom w:val="single" w:sz="8" w:space="0" w:color="000000"/>
              <w:right w:val="single" w:sz="8" w:space="0" w:color="000000"/>
            </w:tcBorders>
            <w:vAlign w:val="center"/>
            <w:hideMark/>
          </w:tcPr>
          <w:p w14:paraId="2CE5DB71"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52</w:t>
            </w:r>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09204F6D"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50</w:t>
            </w:r>
          </w:p>
        </w:tc>
        <w:tc>
          <w:tcPr>
            <w:tcW w:w="1712" w:type="dxa"/>
            <w:tcBorders>
              <w:top w:val="single" w:sz="8" w:space="0" w:color="000000"/>
              <w:left w:val="single" w:sz="8" w:space="0" w:color="000000"/>
              <w:bottom w:val="single" w:sz="8" w:space="0" w:color="000000"/>
              <w:right w:val="single" w:sz="8" w:space="0" w:color="000000"/>
            </w:tcBorders>
            <w:vAlign w:val="center"/>
            <w:hideMark/>
          </w:tcPr>
          <w:p w14:paraId="3793C61D"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 </w:t>
            </w:r>
          </w:p>
        </w:tc>
      </w:tr>
      <w:tr w:rsidR="008A7F4A" w14:paraId="53AC05F5" w14:textId="77777777" w:rsidTr="008A7F4A">
        <w:trPr>
          <w:trHeight w:val="340"/>
        </w:trPr>
        <w:tc>
          <w:tcPr>
            <w:tcW w:w="3895" w:type="dxa"/>
            <w:tcBorders>
              <w:top w:val="single" w:sz="8" w:space="0" w:color="000000"/>
              <w:left w:val="single" w:sz="8" w:space="0" w:color="000000"/>
              <w:bottom w:val="single" w:sz="8" w:space="0" w:color="000000"/>
              <w:right w:val="single" w:sz="8" w:space="0" w:color="000000"/>
            </w:tcBorders>
            <w:vAlign w:val="center"/>
            <w:hideMark/>
          </w:tcPr>
          <w:p w14:paraId="74B5AC23" w14:textId="77777777" w:rsidR="008A7F4A" w:rsidRDefault="008A7F4A">
            <w:pPr>
              <w:spacing w:after="0" w:line="240" w:lineRule="auto"/>
              <w:jc w:val="center"/>
              <w:rPr>
                <w:rFonts w:ascii="Times New Roman" w:hAnsi="Times New Roman"/>
                <w:sz w:val="20"/>
              </w:rPr>
            </w:pPr>
            <w:r>
              <w:rPr>
                <w:rFonts w:ascii="Times New Roman" w:hAnsi="Times New Roman"/>
                <w:sz w:val="20"/>
              </w:rPr>
              <w:t>Aggregate Reserve</w:t>
            </w:r>
          </w:p>
        </w:tc>
        <w:tc>
          <w:tcPr>
            <w:tcW w:w="1158" w:type="dxa"/>
            <w:tcBorders>
              <w:top w:val="single" w:sz="8" w:space="0" w:color="000000"/>
              <w:left w:val="single" w:sz="8" w:space="0" w:color="000000"/>
              <w:bottom w:val="single" w:sz="8" w:space="0" w:color="000000"/>
              <w:right w:val="single" w:sz="8" w:space="0" w:color="000000"/>
            </w:tcBorders>
            <w:vAlign w:val="center"/>
            <w:hideMark/>
          </w:tcPr>
          <w:p w14:paraId="7899BB24"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 </w:t>
            </w:r>
          </w:p>
        </w:tc>
        <w:tc>
          <w:tcPr>
            <w:tcW w:w="1219" w:type="dxa"/>
            <w:tcBorders>
              <w:top w:val="single" w:sz="8" w:space="0" w:color="000000"/>
              <w:left w:val="single" w:sz="8" w:space="0" w:color="000000"/>
              <w:bottom w:val="single" w:sz="8" w:space="0" w:color="000000"/>
              <w:right w:val="single" w:sz="8" w:space="0" w:color="000000"/>
            </w:tcBorders>
            <w:vAlign w:val="center"/>
            <w:hideMark/>
          </w:tcPr>
          <w:p w14:paraId="3CAD3ACE"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 </w:t>
            </w:r>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5CB5CBDF"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 </w:t>
            </w:r>
          </w:p>
        </w:tc>
        <w:tc>
          <w:tcPr>
            <w:tcW w:w="1712" w:type="dxa"/>
            <w:tcBorders>
              <w:top w:val="single" w:sz="8" w:space="0" w:color="000000"/>
              <w:left w:val="single" w:sz="8" w:space="0" w:color="000000"/>
              <w:bottom w:val="single" w:sz="8" w:space="0" w:color="000000"/>
              <w:right w:val="single" w:sz="8" w:space="0" w:color="000000"/>
            </w:tcBorders>
            <w:vAlign w:val="center"/>
            <w:hideMark/>
          </w:tcPr>
          <w:p w14:paraId="455B1E73" w14:textId="77777777" w:rsidR="008A7F4A" w:rsidRDefault="008A7F4A">
            <w:pPr>
              <w:spacing w:after="0" w:line="240" w:lineRule="auto"/>
              <w:jc w:val="center"/>
              <w:rPr>
                <w:rFonts w:ascii="Times New Roman" w:hAnsi="Times New Roman"/>
                <w:sz w:val="20"/>
              </w:rPr>
            </w:pPr>
            <w:r>
              <w:rPr>
                <w:rFonts w:ascii="Times New Roman" w:eastAsia="Times New Roman" w:hAnsi="Times New Roman"/>
                <w:bCs/>
                <w:sz w:val="20"/>
                <w:szCs w:val="20"/>
              </w:rPr>
              <w:t>1</w:t>
            </w:r>
            <w:r>
              <w:rPr>
                <w:rFonts w:ascii="Times New Roman" w:hAnsi="Times New Roman"/>
                <w:sz w:val="20"/>
                <w:szCs w:val="20"/>
              </w:rPr>
              <w:t>40</w:t>
            </w:r>
          </w:p>
        </w:tc>
      </w:tr>
      <w:tr w:rsidR="008A7F4A" w14:paraId="5D24CAC1" w14:textId="77777777" w:rsidTr="008A7F4A">
        <w:trPr>
          <w:trHeight w:val="340"/>
        </w:trPr>
        <w:tc>
          <w:tcPr>
            <w:tcW w:w="3895" w:type="dxa"/>
            <w:tcBorders>
              <w:top w:val="single" w:sz="8" w:space="0" w:color="000000"/>
              <w:left w:val="single" w:sz="8" w:space="0" w:color="000000"/>
              <w:bottom w:val="single" w:sz="8" w:space="0" w:color="000000"/>
              <w:right w:val="single" w:sz="8" w:space="0" w:color="000000"/>
            </w:tcBorders>
            <w:vAlign w:val="center"/>
            <w:hideMark/>
          </w:tcPr>
          <w:p w14:paraId="096D5C3A"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Allocation Basis for the excess of the Aggregate Reserve over the Cash Surrender Value</w:t>
            </w:r>
          </w:p>
          <w:p w14:paraId="4377D6D7" w14:textId="77777777" w:rsidR="008A7F4A" w:rsidRDefault="008A7F4A">
            <w:pPr>
              <w:spacing w:after="0" w:line="240" w:lineRule="auto"/>
              <w:jc w:val="center"/>
              <w:rPr>
                <w:rFonts w:ascii="Times New Roman" w:hAnsi="Times New Roman"/>
                <w:sz w:val="20"/>
              </w:rPr>
            </w:pPr>
            <w:r>
              <w:rPr>
                <w:rFonts w:ascii="Times New Roman" w:hAnsi="Times New Roman"/>
                <w:sz w:val="20"/>
                <w:szCs w:val="20"/>
              </w:rPr>
              <w:t>Ai = Max(Ri-Ci, 0)</w:t>
            </w:r>
          </w:p>
        </w:tc>
        <w:tc>
          <w:tcPr>
            <w:tcW w:w="1158" w:type="dxa"/>
            <w:tcBorders>
              <w:top w:val="single" w:sz="8" w:space="0" w:color="000000"/>
              <w:left w:val="single" w:sz="8" w:space="0" w:color="000000"/>
              <w:bottom w:val="single" w:sz="8" w:space="0" w:color="000000"/>
              <w:right w:val="single" w:sz="8" w:space="0" w:color="000000"/>
            </w:tcBorders>
            <w:vAlign w:val="center"/>
            <w:hideMark/>
          </w:tcPr>
          <w:p w14:paraId="6779D1AA"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10</w:t>
            </w:r>
          </w:p>
        </w:tc>
        <w:tc>
          <w:tcPr>
            <w:tcW w:w="1219" w:type="dxa"/>
            <w:tcBorders>
              <w:top w:val="single" w:sz="8" w:space="0" w:color="000000"/>
              <w:left w:val="single" w:sz="8" w:space="0" w:color="000000"/>
              <w:bottom w:val="single" w:sz="8" w:space="0" w:color="000000"/>
              <w:right w:val="single" w:sz="8" w:space="0" w:color="000000"/>
            </w:tcBorders>
            <w:vAlign w:val="center"/>
            <w:hideMark/>
          </w:tcPr>
          <w:p w14:paraId="476D659C"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12</w:t>
            </w:r>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4ADFFF5E"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0</w:t>
            </w:r>
          </w:p>
        </w:tc>
        <w:tc>
          <w:tcPr>
            <w:tcW w:w="1712" w:type="dxa"/>
            <w:tcBorders>
              <w:top w:val="single" w:sz="8" w:space="0" w:color="000000"/>
              <w:left w:val="single" w:sz="8" w:space="0" w:color="000000"/>
              <w:bottom w:val="single" w:sz="8" w:space="0" w:color="000000"/>
              <w:right w:val="single" w:sz="8" w:space="0" w:color="000000"/>
            </w:tcBorders>
            <w:vAlign w:val="center"/>
            <w:hideMark/>
          </w:tcPr>
          <w:p w14:paraId="0E548FFE"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22</w:t>
            </w:r>
          </w:p>
        </w:tc>
      </w:tr>
      <w:tr w:rsidR="008A7F4A" w14:paraId="69494A3C" w14:textId="77777777" w:rsidTr="008A7F4A">
        <w:trPr>
          <w:trHeight w:val="340"/>
        </w:trPr>
        <w:tc>
          <w:tcPr>
            <w:tcW w:w="3895" w:type="dxa"/>
            <w:tcBorders>
              <w:top w:val="single" w:sz="8" w:space="0" w:color="000000"/>
              <w:left w:val="single" w:sz="8" w:space="0" w:color="000000"/>
              <w:bottom w:val="single" w:sz="8" w:space="0" w:color="000000"/>
              <w:right w:val="single" w:sz="8" w:space="0" w:color="000000"/>
            </w:tcBorders>
            <w:vAlign w:val="center"/>
          </w:tcPr>
          <w:p w14:paraId="678332E4" w14:textId="77777777" w:rsidR="008A7F4A" w:rsidRDefault="008A7F4A">
            <w:pPr>
              <w:spacing w:after="0" w:line="240" w:lineRule="auto"/>
              <w:jc w:val="center"/>
              <w:rPr>
                <w:rFonts w:ascii="Times New Roman" w:hAnsi="Times New Roman"/>
                <w:sz w:val="20"/>
                <w:szCs w:val="20"/>
              </w:rPr>
            </w:pPr>
          </w:p>
        </w:tc>
        <w:tc>
          <w:tcPr>
            <w:tcW w:w="1158" w:type="dxa"/>
            <w:tcBorders>
              <w:top w:val="single" w:sz="8" w:space="0" w:color="000000"/>
              <w:left w:val="single" w:sz="8" w:space="0" w:color="000000"/>
              <w:bottom w:val="single" w:sz="8" w:space="0" w:color="000000"/>
              <w:right w:val="single" w:sz="8" w:space="0" w:color="000000"/>
            </w:tcBorders>
            <w:vAlign w:val="center"/>
          </w:tcPr>
          <w:p w14:paraId="2F443A6F" w14:textId="77777777" w:rsidR="008A7F4A" w:rsidRDefault="008A7F4A">
            <w:pPr>
              <w:spacing w:after="0" w:line="240" w:lineRule="auto"/>
              <w:jc w:val="center"/>
              <w:rPr>
                <w:rFonts w:ascii="Times New Roman" w:hAnsi="Times New Roman"/>
                <w:sz w:val="20"/>
                <w:szCs w:val="20"/>
              </w:rPr>
            </w:pPr>
          </w:p>
        </w:tc>
        <w:tc>
          <w:tcPr>
            <w:tcW w:w="1219" w:type="dxa"/>
            <w:tcBorders>
              <w:top w:val="single" w:sz="8" w:space="0" w:color="000000"/>
              <w:left w:val="single" w:sz="8" w:space="0" w:color="000000"/>
              <w:bottom w:val="single" w:sz="8" w:space="0" w:color="000000"/>
              <w:right w:val="single" w:sz="8" w:space="0" w:color="000000"/>
            </w:tcBorders>
            <w:vAlign w:val="center"/>
          </w:tcPr>
          <w:p w14:paraId="6782737D" w14:textId="77777777" w:rsidR="008A7F4A" w:rsidRDefault="008A7F4A">
            <w:pPr>
              <w:spacing w:after="0" w:line="240" w:lineRule="auto"/>
              <w:jc w:val="center"/>
              <w:rPr>
                <w:rFonts w:ascii="Times New Roman" w:hAnsi="Times New Roman"/>
                <w:sz w:val="20"/>
                <w:szCs w:val="20"/>
              </w:rPr>
            </w:pPr>
          </w:p>
        </w:tc>
        <w:tc>
          <w:tcPr>
            <w:tcW w:w="1152" w:type="dxa"/>
            <w:tcBorders>
              <w:top w:val="single" w:sz="8" w:space="0" w:color="000000"/>
              <w:left w:val="single" w:sz="8" w:space="0" w:color="000000"/>
              <w:bottom w:val="single" w:sz="8" w:space="0" w:color="000000"/>
              <w:right w:val="single" w:sz="8" w:space="0" w:color="000000"/>
            </w:tcBorders>
            <w:vAlign w:val="center"/>
          </w:tcPr>
          <w:p w14:paraId="129560F9" w14:textId="77777777" w:rsidR="008A7F4A" w:rsidRDefault="008A7F4A">
            <w:pPr>
              <w:spacing w:after="0" w:line="240" w:lineRule="auto"/>
              <w:jc w:val="center"/>
              <w:rPr>
                <w:rFonts w:ascii="Times New Roman" w:hAnsi="Times New Roman"/>
                <w:sz w:val="20"/>
                <w:szCs w:val="20"/>
              </w:rPr>
            </w:pPr>
          </w:p>
        </w:tc>
        <w:tc>
          <w:tcPr>
            <w:tcW w:w="1712" w:type="dxa"/>
            <w:tcBorders>
              <w:top w:val="single" w:sz="8" w:space="0" w:color="000000"/>
              <w:left w:val="single" w:sz="8" w:space="0" w:color="000000"/>
              <w:bottom w:val="single" w:sz="8" w:space="0" w:color="000000"/>
              <w:right w:val="single" w:sz="8" w:space="0" w:color="000000"/>
            </w:tcBorders>
            <w:vAlign w:val="center"/>
          </w:tcPr>
          <w:p w14:paraId="07B5ECC7" w14:textId="77777777" w:rsidR="008A7F4A" w:rsidRDefault="008A7F4A">
            <w:pPr>
              <w:spacing w:after="0" w:line="240" w:lineRule="auto"/>
              <w:jc w:val="center"/>
              <w:rPr>
                <w:rFonts w:ascii="Times New Roman" w:hAnsi="Times New Roman"/>
                <w:sz w:val="20"/>
                <w:szCs w:val="20"/>
              </w:rPr>
            </w:pPr>
          </w:p>
        </w:tc>
      </w:tr>
      <w:tr w:rsidR="008A7F4A" w14:paraId="29A9B1E1" w14:textId="77777777" w:rsidTr="008A7F4A">
        <w:trPr>
          <w:trHeight w:val="340"/>
        </w:trPr>
        <w:tc>
          <w:tcPr>
            <w:tcW w:w="3895" w:type="dxa"/>
            <w:tcBorders>
              <w:top w:val="single" w:sz="8" w:space="0" w:color="000000"/>
              <w:left w:val="single" w:sz="8" w:space="0" w:color="000000"/>
              <w:bottom w:val="single" w:sz="8" w:space="0" w:color="000000"/>
              <w:right w:val="single" w:sz="8" w:space="0" w:color="000000"/>
            </w:tcBorders>
            <w:vAlign w:val="center"/>
            <w:hideMark/>
          </w:tcPr>
          <w:p w14:paraId="3BB1C5A0"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Allocation of the excess of the Aggregate Reserve over the Cash Surrender Value</w:t>
            </w:r>
          </w:p>
          <w:p w14:paraId="2DF75F32" w14:textId="77777777" w:rsidR="008A7F4A" w:rsidRDefault="008A7F4A">
            <w:pPr>
              <w:spacing w:after="0" w:line="240" w:lineRule="auto"/>
              <w:jc w:val="center"/>
              <w:rPr>
                <w:rFonts w:ascii="Times New Roman" w:hAnsi="Times New Roman"/>
                <w:sz w:val="20"/>
              </w:rPr>
            </w:pPr>
            <w:r>
              <w:rPr>
                <w:rFonts w:ascii="Times New Roman" w:hAnsi="Times New Roman"/>
                <w:sz w:val="20"/>
                <w:szCs w:val="20"/>
              </w:rPr>
              <w:t>Li = (Ai)/</w:t>
            </w:r>
            <w:proofErr w:type="spellStart"/>
            <w:r>
              <w:rPr>
                <w:rFonts w:ascii="Times New Roman" w:hAnsi="Times New Roman"/>
                <w:sz w:val="20"/>
                <w:szCs w:val="20"/>
              </w:rPr>
              <w:t>ΣAi</w:t>
            </w:r>
            <w:proofErr w:type="spellEnd"/>
            <w:r>
              <w:rPr>
                <w:rFonts w:ascii="Times New Roman" w:hAnsi="Times New Roman"/>
                <w:sz w:val="20"/>
                <w:szCs w:val="20"/>
              </w:rPr>
              <w:t xml:space="preserve">*[Aggregate Reserve - </w:t>
            </w:r>
            <w:proofErr w:type="spellStart"/>
            <w:r>
              <w:rPr>
                <w:rFonts w:ascii="Times New Roman" w:hAnsi="Times New Roman"/>
                <w:sz w:val="20"/>
                <w:szCs w:val="20"/>
              </w:rPr>
              <w:t>ΣCi</w:t>
            </w:r>
            <w:proofErr w:type="spellEnd"/>
            <w:r>
              <w:rPr>
                <w:rFonts w:ascii="Times New Roman" w:hAnsi="Times New Roman"/>
                <w:sz w:val="20"/>
                <w:szCs w:val="20"/>
              </w:rPr>
              <w:t>]</w:t>
            </w:r>
          </w:p>
        </w:tc>
        <w:tc>
          <w:tcPr>
            <w:tcW w:w="1158" w:type="dxa"/>
            <w:tcBorders>
              <w:top w:val="single" w:sz="8" w:space="0" w:color="000000"/>
              <w:left w:val="single" w:sz="8" w:space="0" w:color="000000"/>
              <w:bottom w:val="single" w:sz="8" w:space="0" w:color="000000"/>
              <w:right w:val="single" w:sz="8" w:space="0" w:color="000000"/>
            </w:tcBorders>
            <w:vAlign w:val="center"/>
            <w:hideMark/>
          </w:tcPr>
          <w:p w14:paraId="060BD35D"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9.09</w:t>
            </w:r>
          </w:p>
        </w:tc>
        <w:tc>
          <w:tcPr>
            <w:tcW w:w="1219" w:type="dxa"/>
            <w:tcBorders>
              <w:top w:val="single" w:sz="8" w:space="0" w:color="000000"/>
              <w:left w:val="single" w:sz="8" w:space="0" w:color="000000"/>
              <w:bottom w:val="single" w:sz="8" w:space="0" w:color="000000"/>
              <w:right w:val="single" w:sz="8" w:space="0" w:color="000000"/>
            </w:tcBorders>
            <w:vAlign w:val="center"/>
            <w:hideMark/>
          </w:tcPr>
          <w:p w14:paraId="0EB8543B"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10.91</w:t>
            </w:r>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50840CD0"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0.00</w:t>
            </w:r>
          </w:p>
        </w:tc>
        <w:tc>
          <w:tcPr>
            <w:tcW w:w="1712" w:type="dxa"/>
            <w:tcBorders>
              <w:top w:val="single" w:sz="8" w:space="0" w:color="000000"/>
              <w:left w:val="single" w:sz="8" w:space="0" w:color="000000"/>
              <w:bottom w:val="single" w:sz="8" w:space="0" w:color="000000"/>
              <w:right w:val="single" w:sz="8" w:space="0" w:color="000000"/>
            </w:tcBorders>
            <w:vAlign w:val="center"/>
            <w:hideMark/>
          </w:tcPr>
          <w:p w14:paraId="74EC55EF"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20</w:t>
            </w:r>
          </w:p>
        </w:tc>
      </w:tr>
      <w:tr w:rsidR="008A7F4A" w14:paraId="7031476A" w14:textId="77777777" w:rsidTr="008A7F4A">
        <w:trPr>
          <w:trHeight w:val="340"/>
        </w:trPr>
        <w:tc>
          <w:tcPr>
            <w:tcW w:w="3895" w:type="dxa"/>
            <w:tcBorders>
              <w:top w:val="single" w:sz="8" w:space="0" w:color="000000"/>
              <w:left w:val="single" w:sz="8" w:space="0" w:color="000000"/>
              <w:bottom w:val="single" w:sz="8" w:space="0" w:color="000000"/>
              <w:right w:val="single" w:sz="8" w:space="0" w:color="000000"/>
            </w:tcBorders>
            <w:vAlign w:val="center"/>
          </w:tcPr>
          <w:p w14:paraId="6E19C88C" w14:textId="77777777" w:rsidR="008A7F4A" w:rsidRDefault="008A7F4A">
            <w:pPr>
              <w:spacing w:after="0" w:line="240" w:lineRule="auto"/>
              <w:jc w:val="center"/>
              <w:rPr>
                <w:rFonts w:ascii="Times New Roman" w:hAnsi="Times New Roman"/>
                <w:sz w:val="20"/>
                <w:szCs w:val="20"/>
              </w:rPr>
            </w:pPr>
          </w:p>
        </w:tc>
        <w:tc>
          <w:tcPr>
            <w:tcW w:w="1158" w:type="dxa"/>
            <w:tcBorders>
              <w:top w:val="single" w:sz="8" w:space="0" w:color="000000"/>
              <w:left w:val="single" w:sz="8" w:space="0" w:color="000000"/>
              <w:bottom w:val="single" w:sz="8" w:space="0" w:color="000000"/>
              <w:right w:val="single" w:sz="8" w:space="0" w:color="000000"/>
            </w:tcBorders>
            <w:vAlign w:val="center"/>
          </w:tcPr>
          <w:p w14:paraId="6E2F8B75" w14:textId="77777777" w:rsidR="008A7F4A" w:rsidRDefault="008A7F4A">
            <w:pPr>
              <w:spacing w:after="0" w:line="240" w:lineRule="auto"/>
              <w:jc w:val="center"/>
              <w:rPr>
                <w:rFonts w:ascii="Times New Roman" w:hAnsi="Times New Roman"/>
                <w:sz w:val="20"/>
                <w:szCs w:val="20"/>
              </w:rPr>
            </w:pPr>
          </w:p>
        </w:tc>
        <w:tc>
          <w:tcPr>
            <w:tcW w:w="1219" w:type="dxa"/>
            <w:tcBorders>
              <w:top w:val="single" w:sz="8" w:space="0" w:color="000000"/>
              <w:left w:val="single" w:sz="8" w:space="0" w:color="000000"/>
              <w:bottom w:val="single" w:sz="8" w:space="0" w:color="000000"/>
              <w:right w:val="single" w:sz="8" w:space="0" w:color="000000"/>
            </w:tcBorders>
            <w:vAlign w:val="center"/>
          </w:tcPr>
          <w:p w14:paraId="3105F739" w14:textId="77777777" w:rsidR="008A7F4A" w:rsidRDefault="008A7F4A">
            <w:pPr>
              <w:spacing w:after="0" w:line="240" w:lineRule="auto"/>
              <w:jc w:val="center"/>
              <w:rPr>
                <w:rFonts w:ascii="Times New Roman" w:hAnsi="Times New Roman"/>
                <w:sz w:val="20"/>
                <w:szCs w:val="20"/>
              </w:rPr>
            </w:pPr>
          </w:p>
        </w:tc>
        <w:tc>
          <w:tcPr>
            <w:tcW w:w="1152" w:type="dxa"/>
            <w:tcBorders>
              <w:top w:val="single" w:sz="8" w:space="0" w:color="000000"/>
              <w:left w:val="single" w:sz="8" w:space="0" w:color="000000"/>
              <w:bottom w:val="single" w:sz="8" w:space="0" w:color="000000"/>
              <w:right w:val="single" w:sz="8" w:space="0" w:color="000000"/>
            </w:tcBorders>
            <w:vAlign w:val="center"/>
          </w:tcPr>
          <w:p w14:paraId="4CEA18F4" w14:textId="77777777" w:rsidR="008A7F4A" w:rsidRDefault="008A7F4A">
            <w:pPr>
              <w:spacing w:after="0" w:line="240" w:lineRule="auto"/>
              <w:jc w:val="center"/>
              <w:rPr>
                <w:rFonts w:ascii="Times New Roman" w:hAnsi="Times New Roman"/>
                <w:sz w:val="20"/>
                <w:szCs w:val="20"/>
              </w:rPr>
            </w:pPr>
          </w:p>
        </w:tc>
        <w:tc>
          <w:tcPr>
            <w:tcW w:w="1712" w:type="dxa"/>
            <w:tcBorders>
              <w:top w:val="single" w:sz="8" w:space="0" w:color="000000"/>
              <w:left w:val="single" w:sz="8" w:space="0" w:color="000000"/>
              <w:bottom w:val="single" w:sz="8" w:space="0" w:color="000000"/>
              <w:right w:val="single" w:sz="8" w:space="0" w:color="000000"/>
            </w:tcBorders>
            <w:vAlign w:val="center"/>
          </w:tcPr>
          <w:p w14:paraId="4BCC1AE9" w14:textId="77777777" w:rsidR="008A7F4A" w:rsidRDefault="008A7F4A">
            <w:pPr>
              <w:spacing w:after="0" w:line="240" w:lineRule="auto"/>
              <w:jc w:val="center"/>
              <w:rPr>
                <w:rFonts w:ascii="Times New Roman" w:hAnsi="Times New Roman"/>
                <w:sz w:val="20"/>
                <w:szCs w:val="20"/>
              </w:rPr>
            </w:pPr>
          </w:p>
        </w:tc>
      </w:tr>
      <w:tr w:rsidR="008A7F4A" w14:paraId="63A3BD43" w14:textId="77777777" w:rsidTr="008A7F4A">
        <w:trPr>
          <w:trHeight w:val="340"/>
        </w:trPr>
        <w:tc>
          <w:tcPr>
            <w:tcW w:w="3895" w:type="dxa"/>
            <w:tcBorders>
              <w:top w:val="single" w:sz="8" w:space="0" w:color="000000"/>
              <w:left w:val="single" w:sz="8" w:space="0" w:color="000000"/>
              <w:bottom w:val="single" w:sz="8" w:space="0" w:color="000000"/>
              <w:right w:val="single" w:sz="8" w:space="0" w:color="000000"/>
            </w:tcBorders>
            <w:vAlign w:val="center"/>
            <w:hideMark/>
          </w:tcPr>
          <w:p w14:paraId="2D8DA77E"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Contract-level reserve Ci+ Li</w:t>
            </w:r>
          </w:p>
        </w:tc>
        <w:tc>
          <w:tcPr>
            <w:tcW w:w="1158" w:type="dxa"/>
            <w:tcBorders>
              <w:top w:val="single" w:sz="8" w:space="0" w:color="000000"/>
              <w:left w:val="single" w:sz="8" w:space="0" w:color="000000"/>
              <w:bottom w:val="single" w:sz="8" w:space="0" w:color="000000"/>
              <w:right w:val="single" w:sz="8" w:space="0" w:color="000000"/>
            </w:tcBorders>
            <w:vAlign w:val="center"/>
            <w:hideMark/>
          </w:tcPr>
          <w:p w14:paraId="2E5F5B86"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37.09</w:t>
            </w:r>
          </w:p>
        </w:tc>
        <w:tc>
          <w:tcPr>
            <w:tcW w:w="1219" w:type="dxa"/>
            <w:tcBorders>
              <w:top w:val="single" w:sz="8" w:space="0" w:color="000000"/>
              <w:left w:val="single" w:sz="8" w:space="0" w:color="000000"/>
              <w:bottom w:val="single" w:sz="8" w:space="0" w:color="000000"/>
              <w:right w:val="single" w:sz="8" w:space="0" w:color="000000"/>
            </w:tcBorders>
            <w:vAlign w:val="center"/>
            <w:hideMark/>
          </w:tcPr>
          <w:p w14:paraId="1B46F9DA"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50.91</w:t>
            </w:r>
          </w:p>
        </w:tc>
        <w:tc>
          <w:tcPr>
            <w:tcW w:w="1152" w:type="dxa"/>
            <w:tcBorders>
              <w:top w:val="single" w:sz="8" w:space="0" w:color="000000"/>
              <w:left w:val="single" w:sz="8" w:space="0" w:color="000000"/>
              <w:bottom w:val="single" w:sz="8" w:space="0" w:color="000000"/>
              <w:right w:val="single" w:sz="8" w:space="0" w:color="000000"/>
            </w:tcBorders>
            <w:vAlign w:val="center"/>
            <w:hideMark/>
          </w:tcPr>
          <w:p w14:paraId="0CEBCF54"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52.00</w:t>
            </w:r>
          </w:p>
        </w:tc>
        <w:tc>
          <w:tcPr>
            <w:tcW w:w="1712" w:type="dxa"/>
            <w:tcBorders>
              <w:top w:val="single" w:sz="8" w:space="0" w:color="000000"/>
              <w:left w:val="single" w:sz="8" w:space="0" w:color="000000"/>
              <w:bottom w:val="single" w:sz="8" w:space="0" w:color="000000"/>
              <w:right w:val="single" w:sz="8" w:space="0" w:color="000000"/>
            </w:tcBorders>
            <w:vAlign w:val="center"/>
            <w:hideMark/>
          </w:tcPr>
          <w:p w14:paraId="4D7D86A8" w14:textId="77777777" w:rsidR="008A7F4A" w:rsidRDefault="008A7F4A">
            <w:pPr>
              <w:spacing w:after="0" w:line="240" w:lineRule="auto"/>
              <w:jc w:val="center"/>
              <w:rPr>
                <w:rFonts w:ascii="Times New Roman" w:hAnsi="Times New Roman"/>
                <w:sz w:val="20"/>
                <w:szCs w:val="20"/>
              </w:rPr>
            </w:pPr>
            <w:r>
              <w:rPr>
                <w:rFonts w:ascii="Times New Roman" w:hAnsi="Times New Roman"/>
                <w:sz w:val="20"/>
                <w:szCs w:val="20"/>
              </w:rPr>
              <w:t>140.00</w:t>
            </w:r>
          </w:p>
        </w:tc>
      </w:tr>
    </w:tbl>
    <w:p w14:paraId="1BA09234" w14:textId="77777777" w:rsidR="008A7F4A" w:rsidRDefault="008A7F4A" w:rsidP="008A7F4A">
      <w:pPr>
        <w:spacing w:after="0" w:line="240" w:lineRule="auto"/>
        <w:jc w:val="both"/>
        <w:rPr>
          <w:rFonts w:ascii="Times New Roman" w:eastAsia="Times New Roman" w:hAnsi="Times New Roman"/>
        </w:rPr>
      </w:pPr>
    </w:p>
    <w:p w14:paraId="7A1586B7" w14:textId="77777777" w:rsidR="008A7F4A" w:rsidRDefault="008A7F4A" w:rsidP="00745C9A">
      <w:pPr>
        <w:pStyle w:val="ListParagraph"/>
        <w:keepNext/>
        <w:keepLines/>
        <w:numPr>
          <w:ilvl w:val="0"/>
          <w:numId w:val="126"/>
        </w:numPr>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In this example, the Aggregate Reserve exceeds the aggregate Cash Surrender Value by 20. The 20 is allocated proportionally across the three contracts based on the allocation basis of the larger of (i) zero; and (ii) a risk adjusted measure based on reserve principles. Therefore, contracts 1 and 2 receive 45% (9/22) and 55% (11/22), respectively, of the excess Aggregate Reserve. As Contract 3 presents no risk </w:t>
      </w:r>
      <w:proofErr w:type="gramStart"/>
      <w:r>
        <w:rPr>
          <w:rFonts w:ascii="Times New Roman" w:eastAsia="Times New Roman" w:hAnsi="Times New Roman"/>
        </w:rPr>
        <w:t>in excess of</w:t>
      </w:r>
      <w:proofErr w:type="gramEnd"/>
      <w:r>
        <w:rPr>
          <w:rFonts w:ascii="Times New Roman" w:eastAsia="Times New Roman" w:hAnsi="Times New Roman"/>
        </w:rPr>
        <w:t xml:space="preserve"> its cash surrender value, it does not receive an allocation of the excess Aggregate Reserve.</w:t>
      </w:r>
    </w:p>
    <w:p w14:paraId="26DE12AB" w14:textId="77777777" w:rsidR="008A7F4A" w:rsidRDefault="008A7F4A" w:rsidP="008A7F4A">
      <w:pPr>
        <w:keepNext/>
        <w:keepLines/>
        <w:spacing w:after="220" w:line="240" w:lineRule="auto"/>
        <w:ind w:left="1440" w:hanging="720"/>
        <w:jc w:val="both"/>
        <w:rPr>
          <w:rFonts w:ascii="Times New Roman" w:eastAsia="Times New Roman" w:hAnsi="Times New Roman"/>
          <w:b/>
          <w:bCs/>
          <w:u w:val="single"/>
        </w:rPr>
      </w:pPr>
      <w:r>
        <w:rPr>
          <w:rFonts w:ascii="Times New Roman" w:eastAsia="Times New Roman" w:hAnsi="Times New Roman"/>
          <w:b/>
          <w:bCs/>
          <w:u w:val="single"/>
        </w:rPr>
        <w:t>Option 2: Actuarial Present Value Approach</w:t>
      </w:r>
    </w:p>
    <w:p w14:paraId="307EEB16" w14:textId="77777777" w:rsidR="008A7F4A" w:rsidRDefault="008A7F4A" w:rsidP="00745C9A">
      <w:pPr>
        <w:pStyle w:val="ListParagraph"/>
        <w:keepNext/>
        <w:keepLines/>
        <w:numPr>
          <w:ilvl w:val="0"/>
          <w:numId w:val="127"/>
        </w:numPr>
        <w:spacing w:after="220" w:line="240" w:lineRule="auto"/>
        <w:ind w:left="1440" w:hanging="720"/>
        <w:jc w:val="both"/>
        <w:rPr>
          <w:rFonts w:ascii="Times New Roman" w:eastAsia="Times New Roman" w:hAnsi="Times New Roman"/>
        </w:rPr>
      </w:pPr>
      <w:r>
        <w:rPr>
          <w:rFonts w:ascii="Times New Roman" w:eastAsia="Times New Roman" w:hAnsi="Times New Roman"/>
        </w:rPr>
        <w:t xml:space="preserve">The excess of the aggregate reserve over the aggregate cash surrender value is allocated to policies based on a calculation of the actuarial present value of projected liability cash flows </w:t>
      </w:r>
      <w:proofErr w:type="gramStart"/>
      <w:r>
        <w:rPr>
          <w:rFonts w:ascii="Times New Roman" w:eastAsia="Times New Roman" w:hAnsi="Times New Roman"/>
        </w:rPr>
        <w:t>in excess of</w:t>
      </w:r>
      <w:proofErr w:type="gramEnd"/>
      <w:r>
        <w:rPr>
          <w:rFonts w:ascii="Times New Roman" w:eastAsia="Times New Roman" w:hAnsi="Times New Roman"/>
        </w:rPr>
        <w:t xml:space="preserve"> the cash surrender value:</w:t>
      </w:r>
    </w:p>
    <w:p w14:paraId="100D70FA" w14:textId="77777777" w:rsidR="008A7F4A" w:rsidRDefault="008A7F4A" w:rsidP="00745C9A">
      <w:pPr>
        <w:widowControl w:val="0"/>
        <w:numPr>
          <w:ilvl w:val="0"/>
          <w:numId w:val="128"/>
        </w:numPr>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Discount the liability cash flows at the NAER, pursuant to requirements in Section 4, for the scenario that produces the scenario reserve closest to, but not less than the stochastic reserve defined in Section 3.D.</w:t>
      </w:r>
    </w:p>
    <w:p w14:paraId="6EB3F352" w14:textId="77777777" w:rsidR="008A7F4A" w:rsidRDefault="008A7F4A" w:rsidP="008A7F4A">
      <w:pPr>
        <w:widowControl w:val="0"/>
        <w:spacing w:after="0" w:line="240" w:lineRule="auto"/>
        <w:ind w:left="2160"/>
        <w:contextualSpacing/>
        <w:jc w:val="both"/>
        <w:rPr>
          <w:rFonts w:ascii="Times New Roman" w:eastAsia="Times New Roman" w:hAnsi="Times New Roman"/>
        </w:rPr>
      </w:pPr>
    </w:p>
    <w:p w14:paraId="088A7C17" w14:textId="77777777" w:rsidR="008A7F4A" w:rsidRDefault="008A7F4A" w:rsidP="00745C9A">
      <w:pPr>
        <w:widowControl w:val="0"/>
        <w:numPr>
          <w:ilvl w:val="1"/>
          <w:numId w:val="128"/>
        </w:numPr>
        <w:spacing w:after="0" w:line="240" w:lineRule="auto"/>
        <w:contextualSpacing/>
        <w:jc w:val="both"/>
        <w:rPr>
          <w:rFonts w:ascii="Times New Roman" w:eastAsia="Times New Roman" w:hAnsi="Times New Roman"/>
        </w:rPr>
      </w:pPr>
      <w:r>
        <w:rPr>
          <w:rFonts w:ascii="Times New Roman" w:eastAsia="Times New Roman" w:hAnsi="Times New Roman"/>
        </w:rPr>
        <w:t xml:space="preserve">Groups of contracts that elect the Deterministic Certification Option defined in Section 7.E shall use the NAER in the single scenario used to calculate the reserve to discount liability cash flows. </w:t>
      </w:r>
    </w:p>
    <w:p w14:paraId="43C73607" w14:textId="77777777" w:rsidR="008A7F4A" w:rsidRDefault="008A7F4A" w:rsidP="008A7F4A">
      <w:pPr>
        <w:widowControl w:val="0"/>
        <w:spacing w:after="0" w:line="240" w:lineRule="auto"/>
        <w:ind w:left="2160"/>
        <w:contextualSpacing/>
        <w:jc w:val="both"/>
        <w:rPr>
          <w:rFonts w:ascii="Times New Roman" w:eastAsia="Times New Roman" w:hAnsi="Times New Roman"/>
        </w:rPr>
      </w:pPr>
    </w:p>
    <w:p w14:paraId="4C7082CF" w14:textId="77777777" w:rsidR="008A7F4A" w:rsidRDefault="008A7F4A" w:rsidP="00745C9A">
      <w:pPr>
        <w:widowControl w:val="0"/>
        <w:numPr>
          <w:ilvl w:val="0"/>
          <w:numId w:val="128"/>
        </w:numPr>
        <w:spacing w:after="0" w:line="240" w:lineRule="auto"/>
        <w:ind w:left="2160" w:hanging="720"/>
        <w:contextualSpacing/>
        <w:jc w:val="both"/>
        <w:rPr>
          <w:rFonts w:ascii="Times New Roman" w:eastAsia="Times New Roman" w:hAnsi="Times New Roman"/>
        </w:rPr>
      </w:pPr>
      <w:r>
        <w:rPr>
          <w:rFonts w:ascii="Times New Roman" w:eastAsia="Times New Roman" w:hAnsi="Times New Roman"/>
        </w:rPr>
        <w:t>If the actuarial present value is less than the cash surrender value, then the excess actuarial present value to be used for allocating the excess aggregate reserve over the cash value shall be floored at zero.</w:t>
      </w:r>
    </w:p>
    <w:p w14:paraId="135717FE" w14:textId="77777777" w:rsidR="008A7F4A" w:rsidRDefault="008A7F4A" w:rsidP="008A7F4A">
      <w:pPr>
        <w:widowControl w:val="0"/>
        <w:spacing w:after="0" w:line="240" w:lineRule="auto"/>
        <w:ind w:left="2160"/>
        <w:contextualSpacing/>
        <w:jc w:val="both"/>
        <w:rPr>
          <w:rFonts w:ascii="Times New Roman" w:eastAsia="Times New Roman" w:hAnsi="Times New Roman"/>
        </w:rPr>
      </w:pPr>
    </w:p>
    <w:p w14:paraId="0F40281E" w14:textId="77777777" w:rsidR="008A7F4A" w:rsidRDefault="008A7F4A" w:rsidP="00745C9A">
      <w:pPr>
        <w:keepNext/>
        <w:widowControl w:val="0"/>
        <w:numPr>
          <w:ilvl w:val="1"/>
          <w:numId w:val="128"/>
        </w:numPr>
        <w:tabs>
          <w:tab w:val="left" w:pos="7650"/>
        </w:tabs>
        <w:spacing w:after="0" w:line="240" w:lineRule="auto"/>
        <w:contextualSpacing/>
        <w:jc w:val="both"/>
        <w:rPr>
          <w:rFonts w:ascii="Times New Roman" w:eastAsia="Times New Roman" w:hAnsi="Times New Roman"/>
          <w:position w:val="-1"/>
        </w:rPr>
      </w:pPr>
      <w:r>
        <w:rPr>
          <w:rFonts w:ascii="Times New Roman" w:eastAsia="Times New Roman" w:hAnsi="Times New Roman"/>
          <w:position w:val="-1"/>
        </w:rPr>
        <w:t>If all contracts have an excess actuarial present value that is floored at zero, then use the cash surrender value to allocate any excess aggregate reserve over the aggregate cash surrender value.</w:t>
      </w:r>
    </w:p>
    <w:p w14:paraId="2B4FCD42" w14:textId="77777777" w:rsidR="008A7F4A" w:rsidRDefault="008A7F4A" w:rsidP="008A7F4A">
      <w:pPr>
        <w:widowControl w:val="0"/>
        <w:spacing w:after="0" w:line="240" w:lineRule="auto"/>
        <w:ind w:left="2160"/>
        <w:contextualSpacing/>
        <w:jc w:val="both"/>
        <w:rPr>
          <w:rFonts w:ascii="Times New Roman" w:eastAsia="Times New Roman" w:hAnsi="Times New Roman"/>
        </w:rPr>
      </w:pPr>
    </w:p>
    <w:p w14:paraId="2F8225F5" w14:textId="77777777" w:rsidR="008A7F4A" w:rsidRDefault="008A7F4A" w:rsidP="00745C9A">
      <w:pPr>
        <w:widowControl w:val="0"/>
        <w:numPr>
          <w:ilvl w:val="0"/>
          <w:numId w:val="128"/>
        </w:numPr>
        <w:spacing w:after="0" w:line="240" w:lineRule="auto"/>
        <w:ind w:left="2160" w:hanging="720"/>
        <w:contextualSpacing/>
        <w:jc w:val="both"/>
        <w:rPr>
          <w:rFonts w:ascii="Times New Roman" w:eastAsia="Times New Roman" w:hAnsi="Times New Roman"/>
        </w:rPr>
      </w:pPr>
      <w:r>
        <w:rPr>
          <w:rFonts w:ascii="Times New Roman" w:eastAsia="Times New Roman" w:hAnsi="Times New Roman"/>
        </w:rPr>
        <w:t xml:space="preserve">For projecting future liability cash flows, assume the same liability assumptions that were used to calculate the stochastic reserve defined in 3.D.  </w:t>
      </w:r>
    </w:p>
    <w:p w14:paraId="2EF6FEB3" w14:textId="77777777" w:rsidR="008A7F4A" w:rsidRDefault="008A7F4A" w:rsidP="008A7F4A">
      <w:pPr>
        <w:keepNext/>
        <w:widowControl w:val="0"/>
        <w:tabs>
          <w:tab w:val="left" w:pos="7650"/>
        </w:tabs>
        <w:spacing w:after="0" w:line="240" w:lineRule="auto"/>
        <w:ind w:left="2160"/>
        <w:contextualSpacing/>
        <w:jc w:val="both"/>
        <w:rPr>
          <w:rFonts w:ascii="Times New Roman" w:eastAsia="Times New Roman" w:hAnsi="Times New Roman"/>
          <w:position w:val="-1"/>
        </w:rPr>
      </w:pPr>
    </w:p>
    <w:p w14:paraId="5495D292" w14:textId="77777777" w:rsidR="008A7F4A" w:rsidRDefault="008A7F4A" w:rsidP="00745C9A">
      <w:pPr>
        <w:widowControl w:val="0"/>
        <w:numPr>
          <w:ilvl w:val="0"/>
          <w:numId w:val="128"/>
        </w:numPr>
        <w:tabs>
          <w:tab w:val="left" w:pos="7650"/>
        </w:tabs>
        <w:spacing w:after="0" w:line="240" w:lineRule="auto"/>
        <w:ind w:left="2160" w:hanging="720"/>
        <w:contextualSpacing/>
        <w:jc w:val="both"/>
        <w:rPr>
          <w:rFonts w:ascii="Times New Roman" w:eastAsia="Times New Roman" w:hAnsi="Times New Roman"/>
          <w:position w:val="-1"/>
        </w:rPr>
      </w:pPr>
      <w:r>
        <w:rPr>
          <w:rFonts w:ascii="Times New Roman" w:eastAsia="Times New Roman" w:hAnsi="Times New Roman"/>
          <w:position w:val="-1"/>
        </w:rPr>
        <w:t>As a hypothetical example, consider a company with the results of the following five contracts:</w:t>
      </w:r>
    </w:p>
    <w:p w14:paraId="12BC1810" w14:textId="77777777" w:rsidR="008A7F4A" w:rsidRDefault="008A7F4A" w:rsidP="008A7F4A">
      <w:pPr>
        <w:keepNext/>
        <w:widowControl w:val="0"/>
        <w:tabs>
          <w:tab w:val="left" w:pos="7650"/>
        </w:tabs>
        <w:spacing w:after="0" w:line="240" w:lineRule="auto"/>
        <w:ind w:left="1440"/>
        <w:contextualSpacing/>
        <w:jc w:val="both"/>
        <w:rPr>
          <w:rFonts w:ascii="Times New Roman" w:eastAsia="Times New Roman" w:hAnsi="Times New Roman"/>
          <w:position w:val="-1"/>
        </w:rPr>
      </w:pPr>
    </w:p>
    <w:p w14:paraId="54F3DC4D" w14:textId="77777777" w:rsidR="008A7F4A" w:rsidRDefault="008A7F4A" w:rsidP="008A7F4A">
      <w:pPr>
        <w:keepNext/>
        <w:widowControl w:val="0"/>
        <w:tabs>
          <w:tab w:val="left" w:pos="7650"/>
        </w:tabs>
        <w:spacing w:after="0" w:line="240" w:lineRule="auto"/>
        <w:ind w:left="1440"/>
        <w:contextualSpacing/>
        <w:jc w:val="both"/>
        <w:rPr>
          <w:rFonts w:ascii="Times New Roman" w:eastAsia="Times New Roman" w:hAnsi="Times New Roman"/>
          <w:position w:val="-1"/>
        </w:rPr>
      </w:pPr>
    </w:p>
    <w:p w14:paraId="2A57628C" w14:textId="77777777" w:rsidR="008A7F4A" w:rsidRDefault="008A7F4A" w:rsidP="008A7F4A">
      <w:pPr>
        <w:keepNext/>
        <w:widowControl w:val="0"/>
        <w:tabs>
          <w:tab w:val="left" w:pos="7650"/>
        </w:tabs>
        <w:spacing w:after="0" w:line="240" w:lineRule="auto"/>
        <w:ind w:left="1440"/>
        <w:contextualSpacing/>
        <w:jc w:val="both"/>
        <w:rPr>
          <w:rFonts w:ascii="Times New Roman" w:eastAsia="Times New Roman" w:hAnsi="Times New Roman"/>
          <w:position w:val="-1"/>
        </w:rPr>
      </w:pPr>
    </w:p>
    <w:p w14:paraId="756C4FE6" w14:textId="77777777" w:rsidR="008A7F4A" w:rsidRDefault="008A7F4A" w:rsidP="008A7F4A">
      <w:pPr>
        <w:keepNext/>
        <w:widowControl w:val="0"/>
        <w:spacing w:after="0" w:line="240" w:lineRule="auto"/>
        <w:ind w:left="720"/>
        <w:contextualSpacing/>
        <w:jc w:val="both"/>
        <w:rPr>
          <w:rFonts w:ascii="Times New Roman" w:eastAsia="Times New Roman" w:hAnsi="Times New Roman"/>
          <w:position w:val="-1"/>
        </w:rPr>
      </w:pPr>
      <w:r>
        <w:rPr>
          <w:rFonts w:ascii="Times New Roman" w:eastAsia="Times New Roman" w:hAnsi="Times New Roman"/>
          <w:position w:val="-1"/>
        </w:rPr>
        <w:t xml:space="preserve">                                  </w:t>
      </w:r>
      <w:r>
        <w:rPr>
          <w:rFonts w:ascii="Times New Roman" w:hAnsi="Times New Roman"/>
          <w:position w:val="-1"/>
        </w:rPr>
        <w:t xml:space="preserve"> Table</w:t>
      </w:r>
      <w:r>
        <w:rPr>
          <w:rFonts w:ascii="Times New Roman" w:eastAsia="Times New Roman" w:hAnsi="Times New Roman"/>
          <w:position w:val="-1"/>
        </w:rPr>
        <w:t xml:space="preserve"> 12.1: Hypothetical Sample Allocation of Aggregate Reserve</w:t>
      </w:r>
    </w:p>
    <w:p w14:paraId="57422FDA" w14:textId="77777777" w:rsidR="008A7F4A" w:rsidRDefault="008A7F4A" w:rsidP="008A7F4A">
      <w:pPr>
        <w:keepNext/>
        <w:widowControl w:val="0"/>
        <w:spacing w:after="0" w:line="240" w:lineRule="auto"/>
        <w:ind w:left="1440"/>
        <w:contextualSpacing/>
        <w:jc w:val="both"/>
        <w:rPr>
          <w:rFonts w:ascii="Times New Roman" w:eastAsia="Times New Roman" w:hAnsi="Times New Roman"/>
        </w:rPr>
      </w:pPr>
    </w:p>
    <w:tbl>
      <w:tblPr>
        <w:tblStyle w:val="TableGrid11"/>
        <w:tblW w:w="10470" w:type="dxa"/>
        <w:jc w:val="center"/>
        <w:tblLayout w:type="fixed"/>
        <w:tblLook w:val="04A0" w:firstRow="1" w:lastRow="0" w:firstColumn="1" w:lastColumn="0" w:noHBand="0" w:noVBand="1"/>
      </w:tblPr>
      <w:tblGrid>
        <w:gridCol w:w="1082"/>
        <w:gridCol w:w="2246"/>
        <w:gridCol w:w="905"/>
        <w:gridCol w:w="990"/>
        <w:gridCol w:w="1171"/>
        <w:gridCol w:w="990"/>
        <w:gridCol w:w="1171"/>
        <w:gridCol w:w="1029"/>
        <w:gridCol w:w="886"/>
      </w:tblGrid>
      <w:tr w:rsidR="008A7F4A" w14:paraId="171A1074" w14:textId="77777777" w:rsidTr="008A7F4A">
        <w:trPr>
          <w:trHeight w:val="1322"/>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21329D6E" w14:textId="77777777" w:rsidR="008A7F4A" w:rsidRDefault="008A7F4A">
            <w:pPr>
              <w:keepNext/>
              <w:jc w:val="center"/>
              <w:rPr>
                <w:rFonts w:ascii="Times New Roman" w:eastAsia="Times New Roman" w:hAnsi="Times New Roman"/>
                <w:bCs/>
                <w:color w:val="000000"/>
                <w:sz w:val="18"/>
              </w:rPr>
            </w:pPr>
            <w:r>
              <w:rPr>
                <w:rFonts w:ascii="Times New Roman" w:eastAsia="Times New Roman" w:hAnsi="Times New Roman"/>
                <w:bCs/>
                <w:color w:val="000000"/>
                <w:sz w:val="18"/>
              </w:rPr>
              <w:t>Contract</w:t>
            </w:r>
          </w:p>
        </w:tc>
        <w:tc>
          <w:tcPr>
            <w:tcW w:w="2245" w:type="dxa"/>
            <w:tcBorders>
              <w:top w:val="single" w:sz="4" w:space="0" w:color="auto"/>
              <w:left w:val="single" w:sz="4" w:space="0" w:color="auto"/>
              <w:bottom w:val="single" w:sz="4" w:space="0" w:color="auto"/>
              <w:right w:val="single" w:sz="4" w:space="0" w:color="auto"/>
            </w:tcBorders>
            <w:vAlign w:val="center"/>
            <w:hideMark/>
          </w:tcPr>
          <w:p w14:paraId="2DCE59A2" w14:textId="77777777" w:rsidR="008A7F4A" w:rsidRDefault="008A7F4A">
            <w:pPr>
              <w:keepNext/>
              <w:rPr>
                <w:rFonts w:ascii="Times New Roman" w:eastAsia="Times New Roman" w:hAnsi="Times New Roman"/>
                <w:bCs/>
                <w:color w:val="000000"/>
                <w:sz w:val="18"/>
              </w:rPr>
            </w:pPr>
            <w:r>
              <w:rPr>
                <w:rFonts w:ascii="Times New Roman" w:eastAsia="Times New Roman" w:hAnsi="Times New Roman"/>
                <w:bCs/>
                <w:color w:val="000000"/>
                <w:sz w:val="18"/>
              </w:rPr>
              <w:t>Example Product Type</w:t>
            </w:r>
          </w:p>
        </w:tc>
        <w:tc>
          <w:tcPr>
            <w:tcW w:w="905" w:type="dxa"/>
            <w:tcBorders>
              <w:top w:val="single" w:sz="4" w:space="0" w:color="auto"/>
              <w:left w:val="single" w:sz="4" w:space="0" w:color="auto"/>
              <w:bottom w:val="single" w:sz="4" w:space="0" w:color="auto"/>
              <w:right w:val="single" w:sz="4" w:space="0" w:color="auto"/>
            </w:tcBorders>
          </w:tcPr>
          <w:p w14:paraId="60515911" w14:textId="77777777" w:rsidR="008A7F4A" w:rsidRDefault="008A7F4A">
            <w:pPr>
              <w:keepNext/>
              <w:jc w:val="center"/>
              <w:rPr>
                <w:rFonts w:ascii="Times New Roman" w:eastAsia="Times New Roman" w:hAnsi="Times New Roman"/>
                <w:bCs/>
                <w:color w:val="000000"/>
                <w:sz w:val="18"/>
              </w:rPr>
            </w:pPr>
          </w:p>
          <w:p w14:paraId="2BD2CA60" w14:textId="77777777" w:rsidR="008A7F4A" w:rsidRDefault="008A7F4A">
            <w:pPr>
              <w:keepNext/>
              <w:jc w:val="center"/>
              <w:rPr>
                <w:rFonts w:ascii="Times New Roman" w:eastAsia="Times New Roman" w:hAnsi="Times New Roman"/>
                <w:bCs/>
                <w:color w:val="000000"/>
                <w:sz w:val="18"/>
              </w:rPr>
            </w:pPr>
          </w:p>
          <w:p w14:paraId="50AA9F9D" w14:textId="77777777" w:rsidR="008A7F4A" w:rsidRDefault="008A7F4A">
            <w:pPr>
              <w:keepNext/>
              <w:jc w:val="center"/>
              <w:rPr>
                <w:rFonts w:ascii="Times New Roman" w:eastAsia="Times New Roman" w:hAnsi="Times New Roman"/>
                <w:bCs/>
                <w:color w:val="000000"/>
                <w:sz w:val="18"/>
              </w:rPr>
            </w:pPr>
          </w:p>
          <w:p w14:paraId="3CBA229A" w14:textId="77777777" w:rsidR="008A7F4A" w:rsidRDefault="008A7F4A">
            <w:pPr>
              <w:keepNext/>
              <w:jc w:val="center"/>
              <w:rPr>
                <w:rFonts w:ascii="Times New Roman" w:eastAsia="Times New Roman" w:hAnsi="Times New Roman"/>
                <w:bCs/>
                <w:color w:val="000000"/>
                <w:sz w:val="18"/>
              </w:rPr>
            </w:pPr>
          </w:p>
          <w:p w14:paraId="4BCE3C3F" w14:textId="77777777" w:rsidR="008A7F4A" w:rsidRDefault="008A7F4A">
            <w:pPr>
              <w:keepNext/>
              <w:jc w:val="center"/>
              <w:rPr>
                <w:rFonts w:ascii="Times New Roman" w:eastAsia="Times New Roman" w:hAnsi="Times New Roman"/>
                <w:bCs/>
                <w:color w:val="000000"/>
                <w:sz w:val="18"/>
              </w:rPr>
            </w:pPr>
            <w:r>
              <w:rPr>
                <w:rFonts w:ascii="Times New Roman" w:eastAsia="Times New Roman" w:hAnsi="Times New Roman"/>
                <w:bCs/>
                <w:color w:val="000000"/>
                <w:sz w:val="18"/>
              </w:rPr>
              <w:t>CSV</w:t>
            </w:r>
            <w:r>
              <w:rPr>
                <w:rFonts w:ascii="Times New Roman" w:eastAsia="Times New Roman" w:hAnsi="Times New Roman"/>
                <w:bCs/>
                <w:color w:val="000000"/>
                <w:sz w:val="16"/>
                <w:szCs w:val="20"/>
              </w:rPr>
              <w:t>*</w:t>
            </w:r>
            <w:r>
              <w:rPr>
                <w:rFonts w:ascii="Times New Roman" w:eastAsia="Times New Roman" w:hAnsi="Times New Roman"/>
                <w:bCs/>
                <w:color w:val="000000"/>
                <w:sz w:val="18"/>
              </w:rPr>
              <w:t xml:space="preserve"> (1)</w:t>
            </w:r>
          </w:p>
        </w:tc>
        <w:tc>
          <w:tcPr>
            <w:tcW w:w="990" w:type="dxa"/>
            <w:tcBorders>
              <w:top w:val="single" w:sz="4" w:space="0" w:color="auto"/>
              <w:left w:val="single" w:sz="4" w:space="0" w:color="auto"/>
              <w:bottom w:val="single" w:sz="4" w:space="0" w:color="auto"/>
              <w:right w:val="single" w:sz="4" w:space="0" w:color="auto"/>
            </w:tcBorders>
          </w:tcPr>
          <w:p w14:paraId="41EA0F9C" w14:textId="77777777" w:rsidR="008A7F4A" w:rsidRDefault="008A7F4A">
            <w:pPr>
              <w:keepNext/>
              <w:jc w:val="center"/>
              <w:rPr>
                <w:rFonts w:ascii="Times New Roman" w:eastAsia="Times New Roman" w:hAnsi="Times New Roman"/>
                <w:bCs/>
                <w:color w:val="000000"/>
                <w:sz w:val="18"/>
              </w:rPr>
            </w:pPr>
            <w:r>
              <w:rPr>
                <w:rFonts w:ascii="Times New Roman" w:eastAsia="Times New Roman" w:hAnsi="Times New Roman"/>
                <w:bCs/>
                <w:color w:val="000000"/>
                <w:sz w:val="18"/>
              </w:rPr>
              <w:t xml:space="preserve"> </w:t>
            </w:r>
          </w:p>
          <w:p w14:paraId="4B659B87" w14:textId="77777777" w:rsidR="008A7F4A" w:rsidRDefault="008A7F4A">
            <w:pPr>
              <w:keepNext/>
              <w:jc w:val="center"/>
              <w:rPr>
                <w:rFonts w:ascii="Times New Roman" w:eastAsia="Times New Roman" w:hAnsi="Times New Roman"/>
                <w:bCs/>
                <w:color w:val="000000"/>
                <w:sz w:val="18"/>
              </w:rPr>
            </w:pPr>
          </w:p>
          <w:p w14:paraId="140C6B4E" w14:textId="77777777" w:rsidR="008A7F4A" w:rsidRDefault="008A7F4A">
            <w:pPr>
              <w:keepNext/>
              <w:jc w:val="center"/>
              <w:rPr>
                <w:rFonts w:ascii="Times New Roman" w:eastAsia="Times New Roman" w:hAnsi="Times New Roman"/>
                <w:bCs/>
                <w:color w:val="000000"/>
                <w:sz w:val="18"/>
              </w:rPr>
            </w:pPr>
          </w:p>
          <w:p w14:paraId="3B7D39F9" w14:textId="77777777" w:rsidR="008A7F4A" w:rsidRDefault="008A7F4A">
            <w:pPr>
              <w:keepNext/>
              <w:jc w:val="center"/>
              <w:rPr>
                <w:rFonts w:ascii="Times New Roman" w:eastAsia="Times New Roman" w:hAnsi="Times New Roman"/>
                <w:bCs/>
                <w:color w:val="000000"/>
                <w:sz w:val="18"/>
              </w:rPr>
            </w:pPr>
            <w:r>
              <w:rPr>
                <w:rFonts w:ascii="Times New Roman" w:eastAsia="Times New Roman" w:hAnsi="Times New Roman"/>
                <w:bCs/>
                <w:color w:val="000000"/>
                <w:sz w:val="18"/>
              </w:rPr>
              <w:t>Scenario APV</w:t>
            </w:r>
          </w:p>
          <w:p w14:paraId="4E25C67F" w14:textId="77777777" w:rsidR="008A7F4A" w:rsidRDefault="008A7F4A">
            <w:pPr>
              <w:keepNext/>
              <w:jc w:val="center"/>
              <w:rPr>
                <w:rFonts w:ascii="Times New Roman" w:eastAsia="Times New Roman" w:hAnsi="Times New Roman"/>
                <w:bCs/>
                <w:color w:val="000000"/>
                <w:sz w:val="18"/>
              </w:rPr>
            </w:pPr>
            <w:r>
              <w:rPr>
                <w:rFonts w:ascii="Times New Roman" w:eastAsia="Times New Roman" w:hAnsi="Times New Roman"/>
                <w:bCs/>
                <w:color w:val="000000"/>
                <w:sz w:val="18"/>
              </w:rPr>
              <w:t>(2)</w:t>
            </w:r>
          </w:p>
        </w:tc>
        <w:tc>
          <w:tcPr>
            <w:tcW w:w="1170" w:type="dxa"/>
            <w:tcBorders>
              <w:top w:val="single" w:sz="4" w:space="0" w:color="auto"/>
              <w:left w:val="single" w:sz="4" w:space="0" w:color="auto"/>
              <w:bottom w:val="single" w:sz="4" w:space="0" w:color="auto"/>
              <w:right w:val="single" w:sz="4" w:space="0" w:color="auto"/>
            </w:tcBorders>
          </w:tcPr>
          <w:p w14:paraId="1A3CC317" w14:textId="77777777" w:rsidR="008A7F4A" w:rsidRDefault="008A7F4A">
            <w:pPr>
              <w:keepNext/>
              <w:jc w:val="center"/>
              <w:rPr>
                <w:rFonts w:ascii="Times New Roman" w:eastAsia="Times New Roman" w:hAnsi="Times New Roman"/>
                <w:bCs/>
                <w:color w:val="000000"/>
                <w:sz w:val="18"/>
              </w:rPr>
            </w:pPr>
          </w:p>
          <w:p w14:paraId="281511BD" w14:textId="77777777" w:rsidR="008A7F4A" w:rsidRDefault="008A7F4A">
            <w:pPr>
              <w:keepNext/>
              <w:jc w:val="center"/>
              <w:rPr>
                <w:rFonts w:ascii="Times New Roman" w:eastAsia="Times New Roman" w:hAnsi="Times New Roman"/>
                <w:bCs/>
                <w:color w:val="000000"/>
                <w:sz w:val="18"/>
              </w:rPr>
            </w:pPr>
            <w:r>
              <w:rPr>
                <w:rFonts w:ascii="Times New Roman" w:eastAsia="Times New Roman" w:hAnsi="Times New Roman"/>
                <w:bCs/>
                <w:color w:val="000000"/>
                <w:sz w:val="18"/>
              </w:rPr>
              <w:t>Excess (Floored) of the scenario APV over CSV</w:t>
            </w:r>
            <w:r>
              <w:rPr>
                <w:rFonts w:ascii="Times New Roman" w:eastAsia="Times New Roman" w:hAnsi="Times New Roman"/>
                <w:bCs/>
                <w:color w:val="000000"/>
                <w:sz w:val="16"/>
                <w:szCs w:val="20"/>
              </w:rPr>
              <w:t>*</w:t>
            </w:r>
            <w:r>
              <w:rPr>
                <w:rFonts w:ascii="Times New Roman" w:eastAsia="Times New Roman" w:hAnsi="Times New Roman"/>
                <w:bCs/>
                <w:color w:val="000000"/>
                <w:sz w:val="18"/>
              </w:rPr>
              <w:t xml:space="preserve"> </w:t>
            </w:r>
          </w:p>
          <w:p w14:paraId="4B5644F8" w14:textId="77777777" w:rsidR="008A7F4A" w:rsidRDefault="008A7F4A">
            <w:pPr>
              <w:keepNext/>
              <w:jc w:val="center"/>
              <w:rPr>
                <w:rFonts w:ascii="Times New Roman" w:eastAsia="Times New Roman" w:hAnsi="Times New Roman"/>
                <w:bCs/>
                <w:color w:val="000000"/>
                <w:sz w:val="18"/>
              </w:rPr>
            </w:pPr>
            <w:r>
              <w:rPr>
                <w:rFonts w:ascii="Times New Roman" w:eastAsia="Times New Roman" w:hAnsi="Times New Roman"/>
                <w:bCs/>
                <w:color w:val="000000"/>
                <w:sz w:val="18"/>
              </w:rPr>
              <w:t>(3) = Max[(2), 0]</w:t>
            </w:r>
          </w:p>
        </w:tc>
        <w:tc>
          <w:tcPr>
            <w:tcW w:w="990" w:type="dxa"/>
            <w:tcBorders>
              <w:top w:val="single" w:sz="4" w:space="0" w:color="auto"/>
              <w:left w:val="single" w:sz="4" w:space="0" w:color="auto"/>
              <w:bottom w:val="single" w:sz="4" w:space="0" w:color="auto"/>
              <w:right w:val="single" w:sz="4" w:space="0" w:color="auto"/>
            </w:tcBorders>
          </w:tcPr>
          <w:p w14:paraId="47A0B89B" w14:textId="77777777" w:rsidR="008A7F4A" w:rsidRDefault="008A7F4A">
            <w:pPr>
              <w:keepNext/>
              <w:jc w:val="center"/>
              <w:rPr>
                <w:rFonts w:ascii="Times New Roman" w:eastAsia="Times New Roman" w:hAnsi="Times New Roman"/>
                <w:bCs/>
                <w:color w:val="000000"/>
                <w:sz w:val="18"/>
              </w:rPr>
            </w:pPr>
          </w:p>
          <w:p w14:paraId="7BD6FC54" w14:textId="77777777" w:rsidR="008A7F4A" w:rsidRDefault="008A7F4A">
            <w:pPr>
              <w:keepNext/>
              <w:jc w:val="center"/>
              <w:rPr>
                <w:rFonts w:ascii="Times New Roman" w:eastAsia="Times New Roman" w:hAnsi="Times New Roman"/>
                <w:bCs/>
                <w:color w:val="000000"/>
                <w:sz w:val="18"/>
              </w:rPr>
            </w:pPr>
          </w:p>
          <w:p w14:paraId="019B238C" w14:textId="77777777" w:rsidR="008A7F4A" w:rsidRDefault="008A7F4A">
            <w:pPr>
              <w:keepNext/>
              <w:jc w:val="center"/>
              <w:rPr>
                <w:rFonts w:ascii="Times New Roman" w:eastAsia="Times New Roman" w:hAnsi="Times New Roman"/>
                <w:bCs/>
                <w:color w:val="000000"/>
                <w:sz w:val="18"/>
              </w:rPr>
            </w:pPr>
            <w:r>
              <w:rPr>
                <w:rFonts w:ascii="Times New Roman" w:eastAsia="Times New Roman" w:hAnsi="Times New Roman"/>
                <w:bCs/>
                <w:color w:val="000000"/>
                <w:sz w:val="18"/>
              </w:rPr>
              <w:t>Aggregate Reserve CTE 70 (4)</w:t>
            </w:r>
          </w:p>
        </w:tc>
        <w:tc>
          <w:tcPr>
            <w:tcW w:w="1170" w:type="dxa"/>
            <w:tcBorders>
              <w:top w:val="single" w:sz="4" w:space="0" w:color="auto"/>
              <w:left w:val="single" w:sz="4" w:space="0" w:color="auto"/>
              <w:bottom w:val="single" w:sz="4" w:space="0" w:color="auto"/>
              <w:right w:val="single" w:sz="4" w:space="0" w:color="auto"/>
            </w:tcBorders>
            <w:hideMark/>
          </w:tcPr>
          <w:p w14:paraId="37AF5D3E" w14:textId="77777777" w:rsidR="008A7F4A" w:rsidRDefault="008A7F4A">
            <w:pPr>
              <w:keepNext/>
              <w:jc w:val="center"/>
              <w:rPr>
                <w:rFonts w:ascii="Times New Roman" w:eastAsia="Times New Roman" w:hAnsi="Times New Roman"/>
                <w:bCs/>
                <w:color w:val="000000"/>
                <w:sz w:val="18"/>
              </w:rPr>
            </w:pPr>
            <w:r>
              <w:rPr>
                <w:rFonts w:ascii="Times New Roman" w:eastAsia="Times New Roman" w:hAnsi="Times New Roman"/>
                <w:bCs/>
                <w:color w:val="000000"/>
                <w:sz w:val="18"/>
              </w:rPr>
              <w:t>Excess of Aggregate Reserve over Aggregate CSV</w:t>
            </w:r>
            <w:r>
              <w:rPr>
                <w:rFonts w:ascii="Times New Roman" w:eastAsia="Times New Roman" w:hAnsi="Times New Roman"/>
                <w:bCs/>
                <w:color w:val="000000"/>
                <w:sz w:val="16"/>
                <w:szCs w:val="20"/>
              </w:rPr>
              <w:t>*</w:t>
            </w:r>
          </w:p>
          <w:p w14:paraId="5D98F3E2" w14:textId="77777777" w:rsidR="008A7F4A" w:rsidRDefault="008A7F4A">
            <w:pPr>
              <w:keepNext/>
              <w:jc w:val="center"/>
              <w:rPr>
                <w:rFonts w:ascii="Times New Roman" w:eastAsia="Times New Roman" w:hAnsi="Times New Roman"/>
                <w:bCs/>
                <w:color w:val="000000"/>
                <w:sz w:val="18"/>
              </w:rPr>
            </w:pPr>
            <w:r>
              <w:rPr>
                <w:rFonts w:ascii="Times New Roman" w:eastAsia="Times New Roman" w:hAnsi="Times New Roman"/>
                <w:bCs/>
                <w:color w:val="000000"/>
                <w:sz w:val="18"/>
              </w:rPr>
              <w:t>(5) = Max[(4 Total) – (1 Total), 0]</w:t>
            </w:r>
          </w:p>
        </w:tc>
        <w:tc>
          <w:tcPr>
            <w:tcW w:w="1029" w:type="dxa"/>
            <w:tcBorders>
              <w:top w:val="single" w:sz="4" w:space="0" w:color="auto"/>
              <w:left w:val="single" w:sz="4" w:space="0" w:color="auto"/>
              <w:bottom w:val="single" w:sz="4" w:space="0" w:color="auto"/>
              <w:right w:val="single" w:sz="4" w:space="0" w:color="auto"/>
            </w:tcBorders>
          </w:tcPr>
          <w:p w14:paraId="4FD0FAAB" w14:textId="77777777" w:rsidR="008A7F4A" w:rsidRDefault="008A7F4A">
            <w:pPr>
              <w:keepNext/>
              <w:jc w:val="center"/>
              <w:rPr>
                <w:rFonts w:ascii="Times New Roman" w:eastAsia="Times New Roman" w:hAnsi="Times New Roman"/>
                <w:bCs/>
                <w:color w:val="000000"/>
                <w:sz w:val="18"/>
              </w:rPr>
            </w:pPr>
          </w:p>
          <w:p w14:paraId="1F2D5C99" w14:textId="77777777" w:rsidR="008A7F4A" w:rsidRDefault="008A7F4A">
            <w:pPr>
              <w:keepNext/>
              <w:jc w:val="center"/>
              <w:rPr>
                <w:rFonts w:ascii="Times New Roman" w:eastAsia="Times New Roman" w:hAnsi="Times New Roman"/>
                <w:bCs/>
                <w:color w:val="000000"/>
                <w:sz w:val="18"/>
              </w:rPr>
            </w:pPr>
          </w:p>
          <w:p w14:paraId="2A461155" w14:textId="77777777" w:rsidR="008A7F4A" w:rsidRDefault="008A7F4A">
            <w:pPr>
              <w:keepNext/>
              <w:jc w:val="center"/>
              <w:rPr>
                <w:rFonts w:ascii="Times New Roman" w:eastAsia="Times New Roman" w:hAnsi="Times New Roman"/>
                <w:bCs/>
                <w:color w:val="000000"/>
                <w:sz w:val="18"/>
              </w:rPr>
            </w:pPr>
            <w:r>
              <w:rPr>
                <w:rFonts w:ascii="Times New Roman" w:eastAsia="Times New Roman" w:hAnsi="Times New Roman"/>
                <w:bCs/>
                <w:color w:val="000000"/>
                <w:sz w:val="18"/>
              </w:rPr>
              <w:t xml:space="preserve">Allocated Excess Reserve (6) = (3) x [(5 Total) /(3 Total)] </w:t>
            </w:r>
          </w:p>
        </w:tc>
        <w:tc>
          <w:tcPr>
            <w:tcW w:w="886" w:type="dxa"/>
            <w:tcBorders>
              <w:top w:val="single" w:sz="4" w:space="0" w:color="auto"/>
              <w:left w:val="single" w:sz="4" w:space="0" w:color="auto"/>
              <w:bottom w:val="single" w:sz="4" w:space="0" w:color="auto"/>
              <w:right w:val="single" w:sz="4" w:space="0" w:color="auto"/>
            </w:tcBorders>
          </w:tcPr>
          <w:p w14:paraId="5D13A2BF" w14:textId="77777777" w:rsidR="008A7F4A" w:rsidRDefault="008A7F4A">
            <w:pPr>
              <w:keepNext/>
              <w:jc w:val="center"/>
              <w:rPr>
                <w:rFonts w:ascii="Times New Roman" w:eastAsia="Times New Roman" w:hAnsi="Times New Roman"/>
                <w:bCs/>
                <w:color w:val="000000"/>
                <w:sz w:val="18"/>
              </w:rPr>
            </w:pPr>
          </w:p>
          <w:p w14:paraId="5557746B" w14:textId="77777777" w:rsidR="008A7F4A" w:rsidRDefault="008A7F4A">
            <w:pPr>
              <w:keepNext/>
              <w:jc w:val="center"/>
              <w:rPr>
                <w:rFonts w:ascii="Times New Roman" w:eastAsia="Times New Roman" w:hAnsi="Times New Roman"/>
                <w:bCs/>
                <w:color w:val="000000"/>
                <w:sz w:val="18"/>
              </w:rPr>
            </w:pPr>
            <w:r>
              <w:rPr>
                <w:rFonts w:ascii="Times New Roman" w:eastAsia="Times New Roman" w:hAnsi="Times New Roman"/>
                <w:bCs/>
                <w:color w:val="000000"/>
                <w:sz w:val="18"/>
              </w:rPr>
              <w:t>Total Contract Level Reserve (7) = (1) + (6)</w:t>
            </w:r>
          </w:p>
        </w:tc>
      </w:tr>
      <w:tr w:rsidR="008A7F4A" w14:paraId="7B61B8F9" w14:textId="77777777" w:rsidTr="008A7F4A">
        <w:trPr>
          <w:trHeight w:val="555"/>
          <w:jc w:val="center"/>
        </w:trPr>
        <w:tc>
          <w:tcPr>
            <w:tcW w:w="1080" w:type="dxa"/>
            <w:tcBorders>
              <w:top w:val="single" w:sz="4" w:space="0" w:color="auto"/>
              <w:left w:val="single" w:sz="4" w:space="0" w:color="auto"/>
              <w:bottom w:val="single" w:sz="4" w:space="0" w:color="auto"/>
              <w:right w:val="single" w:sz="4" w:space="0" w:color="auto"/>
            </w:tcBorders>
            <w:noWrap/>
            <w:hideMark/>
          </w:tcPr>
          <w:p w14:paraId="5DF5F4FA" w14:textId="77777777" w:rsidR="008A7F4A" w:rsidRDefault="008A7F4A">
            <w:pPr>
              <w:keepNext/>
              <w:rPr>
                <w:rFonts w:ascii="Times New Roman" w:eastAsia="Times New Roman" w:hAnsi="Times New Roman"/>
                <w:bCs/>
                <w:color w:val="000000"/>
                <w:sz w:val="18"/>
              </w:rPr>
            </w:pPr>
            <w:r>
              <w:rPr>
                <w:rFonts w:ascii="Times New Roman" w:eastAsia="Times New Roman" w:hAnsi="Times New Roman"/>
                <w:bCs/>
                <w:color w:val="000000"/>
                <w:sz w:val="18"/>
              </w:rPr>
              <w:t>Contract 1:</w:t>
            </w:r>
          </w:p>
        </w:tc>
        <w:tc>
          <w:tcPr>
            <w:tcW w:w="2245" w:type="dxa"/>
            <w:tcBorders>
              <w:top w:val="single" w:sz="4" w:space="0" w:color="auto"/>
              <w:left w:val="single" w:sz="4" w:space="0" w:color="auto"/>
              <w:bottom w:val="single" w:sz="4" w:space="0" w:color="auto"/>
              <w:right w:val="single" w:sz="4" w:space="0" w:color="auto"/>
            </w:tcBorders>
            <w:noWrap/>
            <w:hideMark/>
          </w:tcPr>
          <w:p w14:paraId="3FC3F58F" w14:textId="77777777" w:rsidR="008A7F4A" w:rsidRDefault="008A7F4A">
            <w:pPr>
              <w:keepNext/>
              <w:rPr>
                <w:rFonts w:ascii="Times New Roman" w:eastAsia="Times New Roman" w:hAnsi="Times New Roman"/>
                <w:bCs/>
                <w:color w:val="000000"/>
                <w:sz w:val="18"/>
              </w:rPr>
            </w:pPr>
            <w:r>
              <w:rPr>
                <w:rFonts w:ascii="Times New Roman" w:eastAsia="Times New Roman" w:hAnsi="Times New Roman"/>
                <w:bCs/>
                <w:color w:val="000000"/>
                <w:sz w:val="18"/>
              </w:rPr>
              <w:t>Indexed Annuity with</w:t>
            </w:r>
          </w:p>
          <w:p w14:paraId="5BB04783" w14:textId="77777777" w:rsidR="008A7F4A" w:rsidRDefault="008A7F4A">
            <w:pPr>
              <w:keepNext/>
              <w:rPr>
                <w:rFonts w:ascii="Times New Roman" w:eastAsia="Times New Roman" w:hAnsi="Times New Roman"/>
                <w:bCs/>
                <w:color w:val="000000"/>
                <w:sz w:val="18"/>
              </w:rPr>
            </w:pPr>
            <w:r>
              <w:rPr>
                <w:rFonts w:ascii="Times New Roman" w:eastAsia="Times New Roman" w:hAnsi="Times New Roman"/>
                <w:bCs/>
                <w:color w:val="000000"/>
                <w:sz w:val="18"/>
              </w:rPr>
              <w:t>no GLWB</w:t>
            </w:r>
            <w:r>
              <w:rPr>
                <w:rFonts w:ascii="Times New Roman" w:eastAsia="Times New Roman" w:hAnsi="Times New Roman"/>
                <w:bCs/>
                <w:color w:val="000000"/>
                <w:sz w:val="16"/>
                <w:szCs w:val="20"/>
              </w:rPr>
              <w:t>**</w:t>
            </w:r>
          </w:p>
        </w:tc>
        <w:tc>
          <w:tcPr>
            <w:tcW w:w="905" w:type="dxa"/>
            <w:tcBorders>
              <w:top w:val="single" w:sz="4" w:space="0" w:color="auto"/>
              <w:left w:val="single" w:sz="4" w:space="0" w:color="auto"/>
              <w:bottom w:val="single" w:sz="4" w:space="0" w:color="auto"/>
              <w:right w:val="single" w:sz="4" w:space="0" w:color="auto"/>
            </w:tcBorders>
            <w:noWrap/>
            <w:hideMark/>
          </w:tcPr>
          <w:p w14:paraId="14B46142"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 95.0 </w:t>
            </w:r>
          </w:p>
        </w:tc>
        <w:tc>
          <w:tcPr>
            <w:tcW w:w="990" w:type="dxa"/>
            <w:tcBorders>
              <w:top w:val="single" w:sz="4" w:space="0" w:color="auto"/>
              <w:left w:val="single" w:sz="4" w:space="0" w:color="auto"/>
              <w:bottom w:val="single" w:sz="4" w:space="0" w:color="auto"/>
              <w:right w:val="single" w:sz="4" w:space="0" w:color="auto"/>
            </w:tcBorders>
            <w:noWrap/>
            <w:hideMark/>
          </w:tcPr>
          <w:p w14:paraId="6703CD55"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90.0</w:t>
            </w:r>
          </w:p>
        </w:tc>
        <w:tc>
          <w:tcPr>
            <w:tcW w:w="1170" w:type="dxa"/>
            <w:tcBorders>
              <w:top w:val="single" w:sz="4" w:space="0" w:color="auto"/>
              <w:left w:val="single" w:sz="4" w:space="0" w:color="auto"/>
              <w:bottom w:val="single" w:sz="4" w:space="0" w:color="auto"/>
              <w:right w:val="single" w:sz="4" w:space="0" w:color="auto"/>
            </w:tcBorders>
            <w:noWrap/>
            <w:hideMark/>
          </w:tcPr>
          <w:p w14:paraId="17E9241A"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 0.0   </w:t>
            </w:r>
          </w:p>
        </w:tc>
        <w:tc>
          <w:tcPr>
            <w:tcW w:w="990" w:type="dxa"/>
            <w:tcBorders>
              <w:top w:val="single" w:sz="4" w:space="0" w:color="auto"/>
              <w:left w:val="single" w:sz="4" w:space="0" w:color="auto"/>
              <w:bottom w:val="single" w:sz="4" w:space="0" w:color="auto"/>
              <w:right w:val="single" w:sz="4" w:space="0" w:color="auto"/>
            </w:tcBorders>
            <w:noWrap/>
            <w:hideMark/>
          </w:tcPr>
          <w:p w14:paraId="661AB456" w14:textId="77777777" w:rsidR="008A7F4A" w:rsidRDefault="008A7F4A">
            <w:pPr>
              <w:rPr>
                <w:rFonts w:ascii="Times New Roman" w:eastAsia="Times New Roman" w:hAnsi="Times New Roman"/>
                <w:color w:val="000000"/>
                <w:sz w:val="18"/>
              </w:rPr>
            </w:pPr>
          </w:p>
        </w:tc>
        <w:tc>
          <w:tcPr>
            <w:tcW w:w="1170" w:type="dxa"/>
            <w:tcBorders>
              <w:top w:val="single" w:sz="4" w:space="0" w:color="auto"/>
              <w:left w:val="single" w:sz="4" w:space="0" w:color="auto"/>
              <w:bottom w:val="single" w:sz="4" w:space="0" w:color="auto"/>
              <w:right w:val="single" w:sz="4" w:space="0" w:color="auto"/>
            </w:tcBorders>
            <w:noWrap/>
            <w:hideMark/>
          </w:tcPr>
          <w:p w14:paraId="29853E9B" w14:textId="77777777" w:rsidR="008A7F4A" w:rsidRDefault="008A7F4A">
            <w:pPr>
              <w:rPr>
                <w:rFonts w:asciiTheme="minorHAnsi" w:eastAsiaTheme="minorHAnsi" w:hAnsiTheme="minorHAnsi" w:cstheme="minorBidi"/>
                <w:sz w:val="20"/>
                <w:szCs w:val="20"/>
              </w:rPr>
            </w:pPr>
          </w:p>
        </w:tc>
        <w:tc>
          <w:tcPr>
            <w:tcW w:w="1029" w:type="dxa"/>
            <w:tcBorders>
              <w:top w:val="single" w:sz="4" w:space="0" w:color="auto"/>
              <w:left w:val="single" w:sz="4" w:space="0" w:color="auto"/>
              <w:bottom w:val="single" w:sz="4" w:space="0" w:color="auto"/>
              <w:right w:val="single" w:sz="4" w:space="0" w:color="auto"/>
            </w:tcBorders>
            <w:noWrap/>
            <w:hideMark/>
          </w:tcPr>
          <w:p w14:paraId="77BF8158"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0.0   </w:t>
            </w:r>
          </w:p>
        </w:tc>
        <w:tc>
          <w:tcPr>
            <w:tcW w:w="886" w:type="dxa"/>
            <w:tcBorders>
              <w:top w:val="single" w:sz="4" w:space="0" w:color="auto"/>
              <w:left w:val="single" w:sz="4" w:space="0" w:color="auto"/>
              <w:bottom w:val="single" w:sz="4" w:space="0" w:color="auto"/>
              <w:right w:val="single" w:sz="4" w:space="0" w:color="auto"/>
            </w:tcBorders>
            <w:noWrap/>
            <w:hideMark/>
          </w:tcPr>
          <w:p w14:paraId="08D20049"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95.0 </w:t>
            </w:r>
          </w:p>
        </w:tc>
      </w:tr>
      <w:tr w:rsidR="008A7F4A" w14:paraId="0D3CF3CC" w14:textId="77777777" w:rsidTr="008A7F4A">
        <w:trPr>
          <w:trHeight w:val="555"/>
          <w:jc w:val="center"/>
        </w:trPr>
        <w:tc>
          <w:tcPr>
            <w:tcW w:w="1080" w:type="dxa"/>
            <w:tcBorders>
              <w:top w:val="single" w:sz="4" w:space="0" w:color="auto"/>
              <w:left w:val="single" w:sz="4" w:space="0" w:color="auto"/>
              <w:bottom w:val="single" w:sz="4" w:space="0" w:color="auto"/>
              <w:right w:val="single" w:sz="4" w:space="0" w:color="auto"/>
            </w:tcBorders>
            <w:noWrap/>
            <w:hideMark/>
          </w:tcPr>
          <w:p w14:paraId="6F021B18" w14:textId="77777777" w:rsidR="008A7F4A" w:rsidRDefault="008A7F4A">
            <w:pPr>
              <w:keepNext/>
              <w:rPr>
                <w:rFonts w:ascii="Times New Roman" w:eastAsia="Times New Roman" w:hAnsi="Times New Roman"/>
                <w:bCs/>
                <w:color w:val="000000"/>
                <w:sz w:val="18"/>
              </w:rPr>
            </w:pPr>
            <w:r>
              <w:rPr>
                <w:rFonts w:ascii="Times New Roman" w:eastAsia="Times New Roman" w:hAnsi="Times New Roman"/>
                <w:bCs/>
                <w:color w:val="000000"/>
                <w:sz w:val="18"/>
              </w:rPr>
              <w:t>Contract 2:</w:t>
            </w:r>
          </w:p>
        </w:tc>
        <w:tc>
          <w:tcPr>
            <w:tcW w:w="2245" w:type="dxa"/>
            <w:tcBorders>
              <w:top w:val="single" w:sz="4" w:space="0" w:color="auto"/>
              <w:left w:val="single" w:sz="4" w:space="0" w:color="auto"/>
              <w:bottom w:val="single" w:sz="4" w:space="0" w:color="auto"/>
              <w:right w:val="single" w:sz="4" w:space="0" w:color="auto"/>
            </w:tcBorders>
            <w:noWrap/>
            <w:hideMark/>
          </w:tcPr>
          <w:p w14:paraId="3ED664A0" w14:textId="77777777" w:rsidR="008A7F4A" w:rsidRDefault="008A7F4A">
            <w:pPr>
              <w:keepNext/>
              <w:rPr>
                <w:rFonts w:ascii="Times New Roman" w:eastAsia="Times New Roman" w:hAnsi="Times New Roman"/>
                <w:bCs/>
                <w:color w:val="000000"/>
                <w:sz w:val="18"/>
              </w:rPr>
            </w:pPr>
            <w:r>
              <w:rPr>
                <w:rFonts w:ascii="Times New Roman" w:eastAsia="Times New Roman" w:hAnsi="Times New Roman"/>
                <w:bCs/>
                <w:color w:val="000000"/>
                <w:sz w:val="18"/>
              </w:rPr>
              <w:t>Indexed Annuity with</w:t>
            </w:r>
          </w:p>
          <w:p w14:paraId="41DF202C" w14:textId="77777777" w:rsidR="008A7F4A" w:rsidRDefault="008A7F4A">
            <w:pPr>
              <w:keepNext/>
              <w:rPr>
                <w:rFonts w:ascii="Times New Roman" w:eastAsia="Times New Roman" w:hAnsi="Times New Roman"/>
                <w:bCs/>
                <w:color w:val="000000"/>
                <w:sz w:val="18"/>
              </w:rPr>
            </w:pPr>
            <w:r>
              <w:rPr>
                <w:rFonts w:ascii="Times New Roman" w:eastAsia="Times New Roman" w:hAnsi="Times New Roman"/>
                <w:bCs/>
                <w:color w:val="000000"/>
                <w:sz w:val="18"/>
              </w:rPr>
              <w:t>low benefit GLWB</w:t>
            </w:r>
            <w:r>
              <w:rPr>
                <w:rFonts w:ascii="Times New Roman" w:eastAsia="Times New Roman" w:hAnsi="Times New Roman"/>
                <w:bCs/>
                <w:color w:val="000000"/>
                <w:sz w:val="16"/>
                <w:szCs w:val="20"/>
              </w:rPr>
              <w:t>**</w:t>
            </w:r>
          </w:p>
        </w:tc>
        <w:tc>
          <w:tcPr>
            <w:tcW w:w="905" w:type="dxa"/>
            <w:tcBorders>
              <w:top w:val="single" w:sz="4" w:space="0" w:color="auto"/>
              <w:left w:val="single" w:sz="4" w:space="0" w:color="auto"/>
              <w:bottom w:val="single" w:sz="4" w:space="0" w:color="auto"/>
              <w:right w:val="single" w:sz="4" w:space="0" w:color="auto"/>
            </w:tcBorders>
            <w:noWrap/>
            <w:hideMark/>
          </w:tcPr>
          <w:p w14:paraId="27E20DDB"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 92.0 </w:t>
            </w:r>
          </w:p>
        </w:tc>
        <w:tc>
          <w:tcPr>
            <w:tcW w:w="990" w:type="dxa"/>
            <w:tcBorders>
              <w:top w:val="single" w:sz="4" w:space="0" w:color="auto"/>
              <w:left w:val="single" w:sz="4" w:space="0" w:color="auto"/>
              <w:bottom w:val="single" w:sz="4" w:space="0" w:color="auto"/>
              <w:right w:val="single" w:sz="4" w:space="0" w:color="auto"/>
            </w:tcBorders>
            <w:noWrap/>
            <w:hideMark/>
          </w:tcPr>
          <w:p w14:paraId="263A442E"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95.0 </w:t>
            </w:r>
          </w:p>
        </w:tc>
        <w:tc>
          <w:tcPr>
            <w:tcW w:w="1170" w:type="dxa"/>
            <w:tcBorders>
              <w:top w:val="single" w:sz="4" w:space="0" w:color="auto"/>
              <w:left w:val="single" w:sz="4" w:space="0" w:color="auto"/>
              <w:bottom w:val="single" w:sz="4" w:space="0" w:color="auto"/>
              <w:right w:val="single" w:sz="4" w:space="0" w:color="auto"/>
            </w:tcBorders>
            <w:noWrap/>
            <w:hideMark/>
          </w:tcPr>
          <w:p w14:paraId="24566657"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 3.0 </w:t>
            </w:r>
          </w:p>
        </w:tc>
        <w:tc>
          <w:tcPr>
            <w:tcW w:w="990" w:type="dxa"/>
            <w:tcBorders>
              <w:top w:val="single" w:sz="4" w:space="0" w:color="auto"/>
              <w:left w:val="single" w:sz="4" w:space="0" w:color="auto"/>
              <w:bottom w:val="single" w:sz="4" w:space="0" w:color="auto"/>
              <w:right w:val="single" w:sz="4" w:space="0" w:color="auto"/>
            </w:tcBorders>
            <w:noWrap/>
            <w:hideMark/>
          </w:tcPr>
          <w:p w14:paraId="21A0D1FA" w14:textId="77777777" w:rsidR="008A7F4A" w:rsidRDefault="008A7F4A">
            <w:pPr>
              <w:rPr>
                <w:rFonts w:ascii="Times New Roman" w:eastAsia="Times New Roman" w:hAnsi="Times New Roman"/>
                <w:color w:val="000000"/>
                <w:sz w:val="18"/>
              </w:rPr>
            </w:pPr>
          </w:p>
        </w:tc>
        <w:tc>
          <w:tcPr>
            <w:tcW w:w="1170" w:type="dxa"/>
            <w:tcBorders>
              <w:top w:val="single" w:sz="4" w:space="0" w:color="auto"/>
              <w:left w:val="single" w:sz="4" w:space="0" w:color="auto"/>
              <w:bottom w:val="single" w:sz="4" w:space="0" w:color="auto"/>
              <w:right w:val="single" w:sz="4" w:space="0" w:color="auto"/>
            </w:tcBorders>
            <w:noWrap/>
            <w:hideMark/>
          </w:tcPr>
          <w:p w14:paraId="31A42A67" w14:textId="77777777" w:rsidR="008A7F4A" w:rsidRDefault="008A7F4A">
            <w:pPr>
              <w:rPr>
                <w:rFonts w:asciiTheme="minorHAnsi" w:eastAsiaTheme="minorHAnsi" w:hAnsiTheme="minorHAnsi" w:cstheme="minorBidi"/>
                <w:sz w:val="20"/>
                <w:szCs w:val="20"/>
              </w:rPr>
            </w:pPr>
          </w:p>
        </w:tc>
        <w:tc>
          <w:tcPr>
            <w:tcW w:w="1029" w:type="dxa"/>
            <w:tcBorders>
              <w:top w:val="single" w:sz="4" w:space="0" w:color="auto"/>
              <w:left w:val="single" w:sz="4" w:space="0" w:color="auto"/>
              <w:bottom w:val="single" w:sz="4" w:space="0" w:color="auto"/>
              <w:right w:val="single" w:sz="4" w:space="0" w:color="auto"/>
            </w:tcBorders>
            <w:noWrap/>
            <w:hideMark/>
          </w:tcPr>
          <w:p w14:paraId="01FB8F4F"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3.6 </w:t>
            </w:r>
          </w:p>
        </w:tc>
        <w:tc>
          <w:tcPr>
            <w:tcW w:w="886" w:type="dxa"/>
            <w:tcBorders>
              <w:top w:val="single" w:sz="4" w:space="0" w:color="auto"/>
              <w:left w:val="single" w:sz="4" w:space="0" w:color="auto"/>
              <w:bottom w:val="single" w:sz="4" w:space="0" w:color="auto"/>
              <w:right w:val="single" w:sz="4" w:space="0" w:color="auto"/>
            </w:tcBorders>
            <w:noWrap/>
            <w:hideMark/>
          </w:tcPr>
          <w:p w14:paraId="2AB56DAB"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95.6 </w:t>
            </w:r>
          </w:p>
        </w:tc>
      </w:tr>
      <w:tr w:rsidR="008A7F4A" w14:paraId="2CE52722" w14:textId="77777777" w:rsidTr="008A7F4A">
        <w:trPr>
          <w:trHeight w:val="555"/>
          <w:jc w:val="center"/>
        </w:trPr>
        <w:tc>
          <w:tcPr>
            <w:tcW w:w="1080" w:type="dxa"/>
            <w:tcBorders>
              <w:top w:val="single" w:sz="4" w:space="0" w:color="auto"/>
              <w:left w:val="single" w:sz="4" w:space="0" w:color="auto"/>
              <w:bottom w:val="single" w:sz="4" w:space="0" w:color="auto"/>
              <w:right w:val="single" w:sz="4" w:space="0" w:color="auto"/>
            </w:tcBorders>
            <w:noWrap/>
            <w:hideMark/>
          </w:tcPr>
          <w:p w14:paraId="766185D7" w14:textId="77777777" w:rsidR="008A7F4A" w:rsidRDefault="008A7F4A">
            <w:pPr>
              <w:keepNext/>
              <w:rPr>
                <w:rFonts w:ascii="Times New Roman" w:eastAsia="Times New Roman" w:hAnsi="Times New Roman"/>
                <w:bCs/>
                <w:color w:val="000000"/>
                <w:sz w:val="18"/>
              </w:rPr>
            </w:pPr>
            <w:r>
              <w:rPr>
                <w:rFonts w:ascii="Times New Roman" w:eastAsia="Times New Roman" w:hAnsi="Times New Roman"/>
                <w:bCs/>
                <w:color w:val="000000"/>
                <w:sz w:val="18"/>
              </w:rPr>
              <w:t>Contract 3:</w:t>
            </w:r>
          </w:p>
        </w:tc>
        <w:tc>
          <w:tcPr>
            <w:tcW w:w="2245" w:type="dxa"/>
            <w:tcBorders>
              <w:top w:val="single" w:sz="4" w:space="0" w:color="auto"/>
              <w:left w:val="single" w:sz="4" w:space="0" w:color="auto"/>
              <w:bottom w:val="single" w:sz="4" w:space="0" w:color="auto"/>
              <w:right w:val="single" w:sz="4" w:space="0" w:color="auto"/>
            </w:tcBorders>
            <w:noWrap/>
            <w:hideMark/>
          </w:tcPr>
          <w:p w14:paraId="165873CE" w14:textId="77777777" w:rsidR="008A7F4A" w:rsidRDefault="008A7F4A">
            <w:pPr>
              <w:keepNext/>
              <w:rPr>
                <w:rFonts w:ascii="Times New Roman" w:eastAsia="Times New Roman" w:hAnsi="Times New Roman"/>
                <w:bCs/>
                <w:color w:val="000000"/>
                <w:sz w:val="18"/>
              </w:rPr>
            </w:pPr>
            <w:r>
              <w:rPr>
                <w:rFonts w:ascii="Times New Roman" w:eastAsia="Times New Roman" w:hAnsi="Times New Roman"/>
                <w:bCs/>
                <w:color w:val="000000"/>
                <w:sz w:val="18"/>
              </w:rPr>
              <w:t>Indexed Annuity with medium benefit GLWB</w:t>
            </w:r>
            <w:r>
              <w:rPr>
                <w:rFonts w:ascii="Times New Roman" w:eastAsia="Times New Roman" w:hAnsi="Times New Roman"/>
                <w:bCs/>
                <w:color w:val="000000"/>
                <w:sz w:val="16"/>
                <w:szCs w:val="20"/>
              </w:rPr>
              <w:t>**</w:t>
            </w:r>
          </w:p>
        </w:tc>
        <w:tc>
          <w:tcPr>
            <w:tcW w:w="905" w:type="dxa"/>
            <w:tcBorders>
              <w:top w:val="single" w:sz="4" w:space="0" w:color="auto"/>
              <w:left w:val="single" w:sz="4" w:space="0" w:color="auto"/>
              <w:bottom w:val="single" w:sz="4" w:space="0" w:color="auto"/>
              <w:right w:val="single" w:sz="4" w:space="0" w:color="auto"/>
            </w:tcBorders>
            <w:noWrap/>
            <w:hideMark/>
          </w:tcPr>
          <w:p w14:paraId="5A5F727C"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 90.0 </w:t>
            </w:r>
          </w:p>
        </w:tc>
        <w:tc>
          <w:tcPr>
            <w:tcW w:w="990" w:type="dxa"/>
            <w:tcBorders>
              <w:top w:val="single" w:sz="4" w:space="0" w:color="auto"/>
              <w:left w:val="single" w:sz="4" w:space="0" w:color="auto"/>
              <w:bottom w:val="single" w:sz="4" w:space="0" w:color="auto"/>
              <w:right w:val="single" w:sz="4" w:space="0" w:color="auto"/>
            </w:tcBorders>
            <w:noWrap/>
            <w:hideMark/>
          </w:tcPr>
          <w:p w14:paraId="1AB7F849"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100.0 </w:t>
            </w:r>
          </w:p>
        </w:tc>
        <w:tc>
          <w:tcPr>
            <w:tcW w:w="1170" w:type="dxa"/>
            <w:tcBorders>
              <w:top w:val="single" w:sz="4" w:space="0" w:color="auto"/>
              <w:left w:val="single" w:sz="4" w:space="0" w:color="auto"/>
              <w:bottom w:val="single" w:sz="4" w:space="0" w:color="auto"/>
              <w:right w:val="single" w:sz="4" w:space="0" w:color="auto"/>
            </w:tcBorders>
            <w:noWrap/>
            <w:hideMark/>
          </w:tcPr>
          <w:p w14:paraId="1EBCB7F4"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 10.0 </w:t>
            </w:r>
          </w:p>
        </w:tc>
        <w:tc>
          <w:tcPr>
            <w:tcW w:w="990" w:type="dxa"/>
            <w:tcBorders>
              <w:top w:val="single" w:sz="4" w:space="0" w:color="auto"/>
              <w:left w:val="single" w:sz="4" w:space="0" w:color="auto"/>
              <w:bottom w:val="single" w:sz="4" w:space="0" w:color="auto"/>
              <w:right w:val="single" w:sz="4" w:space="0" w:color="auto"/>
            </w:tcBorders>
            <w:noWrap/>
            <w:hideMark/>
          </w:tcPr>
          <w:p w14:paraId="48E9BE4B" w14:textId="77777777" w:rsidR="008A7F4A" w:rsidRDefault="008A7F4A">
            <w:pPr>
              <w:rPr>
                <w:rFonts w:ascii="Times New Roman" w:eastAsia="Times New Roman" w:hAnsi="Times New Roman"/>
                <w:color w:val="000000"/>
                <w:sz w:val="18"/>
              </w:rPr>
            </w:pPr>
          </w:p>
        </w:tc>
        <w:tc>
          <w:tcPr>
            <w:tcW w:w="1170" w:type="dxa"/>
            <w:tcBorders>
              <w:top w:val="single" w:sz="4" w:space="0" w:color="auto"/>
              <w:left w:val="single" w:sz="4" w:space="0" w:color="auto"/>
              <w:bottom w:val="single" w:sz="4" w:space="0" w:color="auto"/>
              <w:right w:val="single" w:sz="4" w:space="0" w:color="auto"/>
            </w:tcBorders>
            <w:noWrap/>
            <w:hideMark/>
          </w:tcPr>
          <w:p w14:paraId="4A3614FE" w14:textId="77777777" w:rsidR="008A7F4A" w:rsidRDefault="008A7F4A">
            <w:pPr>
              <w:rPr>
                <w:rFonts w:asciiTheme="minorHAnsi" w:eastAsiaTheme="minorHAnsi" w:hAnsiTheme="minorHAnsi" w:cstheme="minorBidi"/>
                <w:sz w:val="20"/>
                <w:szCs w:val="20"/>
              </w:rPr>
            </w:pPr>
          </w:p>
        </w:tc>
        <w:tc>
          <w:tcPr>
            <w:tcW w:w="1029" w:type="dxa"/>
            <w:tcBorders>
              <w:top w:val="single" w:sz="4" w:space="0" w:color="auto"/>
              <w:left w:val="single" w:sz="4" w:space="0" w:color="auto"/>
              <w:bottom w:val="single" w:sz="4" w:space="0" w:color="auto"/>
              <w:right w:val="single" w:sz="4" w:space="0" w:color="auto"/>
            </w:tcBorders>
            <w:noWrap/>
            <w:hideMark/>
          </w:tcPr>
          <w:p w14:paraId="17D034A2"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12.0 </w:t>
            </w:r>
          </w:p>
        </w:tc>
        <w:tc>
          <w:tcPr>
            <w:tcW w:w="886" w:type="dxa"/>
            <w:tcBorders>
              <w:top w:val="single" w:sz="4" w:space="0" w:color="auto"/>
              <w:left w:val="single" w:sz="4" w:space="0" w:color="auto"/>
              <w:bottom w:val="single" w:sz="4" w:space="0" w:color="auto"/>
              <w:right w:val="single" w:sz="4" w:space="0" w:color="auto"/>
            </w:tcBorders>
            <w:noWrap/>
            <w:hideMark/>
          </w:tcPr>
          <w:p w14:paraId="297FF4F5"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102.0 </w:t>
            </w:r>
          </w:p>
        </w:tc>
      </w:tr>
      <w:tr w:rsidR="008A7F4A" w14:paraId="48C0E91B" w14:textId="77777777" w:rsidTr="008A7F4A">
        <w:trPr>
          <w:trHeight w:val="555"/>
          <w:jc w:val="center"/>
        </w:trPr>
        <w:tc>
          <w:tcPr>
            <w:tcW w:w="1080" w:type="dxa"/>
            <w:tcBorders>
              <w:top w:val="single" w:sz="4" w:space="0" w:color="auto"/>
              <w:left w:val="single" w:sz="4" w:space="0" w:color="auto"/>
              <w:bottom w:val="single" w:sz="4" w:space="0" w:color="auto"/>
              <w:right w:val="single" w:sz="4" w:space="0" w:color="auto"/>
            </w:tcBorders>
            <w:noWrap/>
            <w:hideMark/>
          </w:tcPr>
          <w:p w14:paraId="6E1B0BCE" w14:textId="77777777" w:rsidR="008A7F4A" w:rsidRDefault="008A7F4A">
            <w:pPr>
              <w:keepNext/>
              <w:rPr>
                <w:rFonts w:ascii="Times New Roman" w:eastAsia="Times New Roman" w:hAnsi="Times New Roman"/>
                <w:bCs/>
                <w:color w:val="000000"/>
                <w:sz w:val="18"/>
              </w:rPr>
            </w:pPr>
            <w:r>
              <w:rPr>
                <w:rFonts w:ascii="Times New Roman" w:eastAsia="Times New Roman" w:hAnsi="Times New Roman"/>
                <w:bCs/>
                <w:color w:val="000000"/>
                <w:sz w:val="18"/>
              </w:rPr>
              <w:t>Contract 4:</w:t>
            </w:r>
          </w:p>
        </w:tc>
        <w:tc>
          <w:tcPr>
            <w:tcW w:w="2245" w:type="dxa"/>
            <w:tcBorders>
              <w:top w:val="single" w:sz="4" w:space="0" w:color="auto"/>
              <w:left w:val="single" w:sz="4" w:space="0" w:color="auto"/>
              <w:bottom w:val="single" w:sz="4" w:space="0" w:color="auto"/>
              <w:right w:val="single" w:sz="4" w:space="0" w:color="auto"/>
            </w:tcBorders>
            <w:noWrap/>
            <w:hideMark/>
          </w:tcPr>
          <w:p w14:paraId="1EA0D07B" w14:textId="77777777" w:rsidR="008A7F4A" w:rsidRDefault="008A7F4A">
            <w:pPr>
              <w:keepNext/>
              <w:rPr>
                <w:rFonts w:ascii="Times New Roman" w:eastAsia="Times New Roman" w:hAnsi="Times New Roman"/>
                <w:bCs/>
                <w:color w:val="000000"/>
                <w:sz w:val="18"/>
              </w:rPr>
            </w:pPr>
            <w:r>
              <w:rPr>
                <w:rFonts w:ascii="Times New Roman" w:eastAsia="Times New Roman" w:hAnsi="Times New Roman"/>
                <w:bCs/>
                <w:color w:val="000000"/>
                <w:sz w:val="18"/>
              </w:rPr>
              <w:t>Indexed Annuity with</w:t>
            </w:r>
          </w:p>
          <w:p w14:paraId="1A6AAEDD" w14:textId="77777777" w:rsidR="008A7F4A" w:rsidRDefault="008A7F4A">
            <w:pPr>
              <w:keepNext/>
              <w:rPr>
                <w:rFonts w:ascii="Times New Roman" w:eastAsia="Times New Roman" w:hAnsi="Times New Roman"/>
                <w:bCs/>
                <w:color w:val="000000"/>
                <w:sz w:val="18"/>
              </w:rPr>
            </w:pPr>
            <w:r>
              <w:rPr>
                <w:rFonts w:ascii="Times New Roman" w:eastAsia="Times New Roman" w:hAnsi="Times New Roman"/>
                <w:bCs/>
                <w:color w:val="000000"/>
                <w:sz w:val="18"/>
              </w:rPr>
              <w:t>high benefit GLWB</w:t>
            </w:r>
            <w:r>
              <w:rPr>
                <w:rFonts w:ascii="Times New Roman" w:eastAsia="Times New Roman" w:hAnsi="Times New Roman"/>
                <w:bCs/>
                <w:color w:val="000000"/>
                <w:sz w:val="16"/>
                <w:szCs w:val="20"/>
              </w:rPr>
              <w:t>**</w:t>
            </w:r>
          </w:p>
        </w:tc>
        <w:tc>
          <w:tcPr>
            <w:tcW w:w="905" w:type="dxa"/>
            <w:tcBorders>
              <w:top w:val="single" w:sz="4" w:space="0" w:color="auto"/>
              <w:left w:val="single" w:sz="4" w:space="0" w:color="auto"/>
              <w:bottom w:val="single" w:sz="4" w:space="0" w:color="auto"/>
              <w:right w:val="single" w:sz="4" w:space="0" w:color="auto"/>
            </w:tcBorders>
            <w:noWrap/>
            <w:hideMark/>
          </w:tcPr>
          <w:p w14:paraId="09C32643"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 88.0 </w:t>
            </w:r>
          </w:p>
        </w:tc>
        <w:tc>
          <w:tcPr>
            <w:tcW w:w="990" w:type="dxa"/>
            <w:tcBorders>
              <w:top w:val="single" w:sz="4" w:space="0" w:color="auto"/>
              <w:left w:val="single" w:sz="4" w:space="0" w:color="auto"/>
              <w:bottom w:val="single" w:sz="4" w:space="0" w:color="auto"/>
              <w:right w:val="single" w:sz="4" w:space="0" w:color="auto"/>
            </w:tcBorders>
            <w:noWrap/>
            <w:hideMark/>
          </w:tcPr>
          <w:p w14:paraId="1E9F80E1"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105.0 </w:t>
            </w:r>
          </w:p>
        </w:tc>
        <w:tc>
          <w:tcPr>
            <w:tcW w:w="1170" w:type="dxa"/>
            <w:tcBorders>
              <w:top w:val="single" w:sz="4" w:space="0" w:color="auto"/>
              <w:left w:val="single" w:sz="4" w:space="0" w:color="auto"/>
              <w:bottom w:val="single" w:sz="4" w:space="0" w:color="auto"/>
              <w:right w:val="single" w:sz="4" w:space="0" w:color="auto"/>
            </w:tcBorders>
            <w:noWrap/>
            <w:hideMark/>
          </w:tcPr>
          <w:p w14:paraId="681FF57A"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 17.0 </w:t>
            </w:r>
          </w:p>
        </w:tc>
        <w:tc>
          <w:tcPr>
            <w:tcW w:w="990" w:type="dxa"/>
            <w:tcBorders>
              <w:top w:val="single" w:sz="4" w:space="0" w:color="auto"/>
              <w:left w:val="single" w:sz="4" w:space="0" w:color="auto"/>
              <w:bottom w:val="single" w:sz="4" w:space="0" w:color="auto"/>
              <w:right w:val="single" w:sz="4" w:space="0" w:color="auto"/>
            </w:tcBorders>
            <w:noWrap/>
            <w:hideMark/>
          </w:tcPr>
          <w:p w14:paraId="2D193CF0" w14:textId="77777777" w:rsidR="008A7F4A" w:rsidRDefault="008A7F4A">
            <w:pPr>
              <w:rPr>
                <w:rFonts w:ascii="Times New Roman" w:eastAsia="Times New Roman" w:hAnsi="Times New Roman"/>
                <w:color w:val="000000"/>
                <w:sz w:val="18"/>
              </w:rPr>
            </w:pPr>
          </w:p>
        </w:tc>
        <w:tc>
          <w:tcPr>
            <w:tcW w:w="1170" w:type="dxa"/>
            <w:tcBorders>
              <w:top w:val="single" w:sz="4" w:space="0" w:color="auto"/>
              <w:left w:val="single" w:sz="4" w:space="0" w:color="auto"/>
              <w:bottom w:val="single" w:sz="4" w:space="0" w:color="auto"/>
              <w:right w:val="single" w:sz="4" w:space="0" w:color="auto"/>
            </w:tcBorders>
            <w:noWrap/>
            <w:hideMark/>
          </w:tcPr>
          <w:p w14:paraId="3C438114" w14:textId="77777777" w:rsidR="008A7F4A" w:rsidRDefault="008A7F4A">
            <w:pPr>
              <w:rPr>
                <w:rFonts w:asciiTheme="minorHAnsi" w:eastAsiaTheme="minorHAnsi" w:hAnsiTheme="minorHAnsi" w:cstheme="minorBidi"/>
                <w:sz w:val="20"/>
                <w:szCs w:val="20"/>
              </w:rPr>
            </w:pPr>
          </w:p>
        </w:tc>
        <w:tc>
          <w:tcPr>
            <w:tcW w:w="1029" w:type="dxa"/>
            <w:tcBorders>
              <w:top w:val="single" w:sz="4" w:space="0" w:color="auto"/>
              <w:left w:val="single" w:sz="4" w:space="0" w:color="auto"/>
              <w:bottom w:val="single" w:sz="4" w:space="0" w:color="auto"/>
              <w:right w:val="single" w:sz="4" w:space="0" w:color="auto"/>
            </w:tcBorders>
            <w:noWrap/>
            <w:hideMark/>
          </w:tcPr>
          <w:p w14:paraId="04BBB775"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20.4 </w:t>
            </w:r>
          </w:p>
        </w:tc>
        <w:tc>
          <w:tcPr>
            <w:tcW w:w="886" w:type="dxa"/>
            <w:tcBorders>
              <w:top w:val="single" w:sz="4" w:space="0" w:color="auto"/>
              <w:left w:val="single" w:sz="4" w:space="0" w:color="auto"/>
              <w:bottom w:val="single" w:sz="4" w:space="0" w:color="auto"/>
              <w:right w:val="single" w:sz="4" w:space="0" w:color="auto"/>
            </w:tcBorders>
            <w:noWrap/>
            <w:hideMark/>
          </w:tcPr>
          <w:p w14:paraId="3079B927"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108.4 </w:t>
            </w:r>
          </w:p>
        </w:tc>
      </w:tr>
      <w:tr w:rsidR="008A7F4A" w14:paraId="3D185B91" w14:textId="77777777" w:rsidTr="008A7F4A">
        <w:trPr>
          <w:trHeight w:val="555"/>
          <w:jc w:val="center"/>
        </w:trPr>
        <w:tc>
          <w:tcPr>
            <w:tcW w:w="1080" w:type="dxa"/>
            <w:tcBorders>
              <w:top w:val="single" w:sz="4" w:space="0" w:color="auto"/>
              <w:left w:val="single" w:sz="4" w:space="0" w:color="auto"/>
              <w:bottom w:val="single" w:sz="4" w:space="0" w:color="auto"/>
              <w:right w:val="single" w:sz="4" w:space="0" w:color="auto"/>
            </w:tcBorders>
            <w:noWrap/>
            <w:hideMark/>
          </w:tcPr>
          <w:p w14:paraId="2BBB85C7" w14:textId="77777777" w:rsidR="008A7F4A" w:rsidRDefault="008A7F4A">
            <w:pPr>
              <w:keepNext/>
              <w:rPr>
                <w:rFonts w:ascii="Times New Roman" w:eastAsia="Times New Roman" w:hAnsi="Times New Roman"/>
                <w:bCs/>
                <w:color w:val="000000"/>
                <w:sz w:val="18"/>
              </w:rPr>
            </w:pPr>
            <w:r>
              <w:rPr>
                <w:rFonts w:ascii="Times New Roman" w:eastAsia="Times New Roman" w:hAnsi="Times New Roman"/>
                <w:bCs/>
                <w:color w:val="000000"/>
                <w:sz w:val="18"/>
              </w:rPr>
              <w:t>Contract 5:</w:t>
            </w:r>
          </w:p>
        </w:tc>
        <w:tc>
          <w:tcPr>
            <w:tcW w:w="2245" w:type="dxa"/>
            <w:tcBorders>
              <w:top w:val="single" w:sz="4" w:space="0" w:color="auto"/>
              <w:left w:val="single" w:sz="4" w:space="0" w:color="auto"/>
              <w:bottom w:val="single" w:sz="4" w:space="0" w:color="auto"/>
              <w:right w:val="single" w:sz="4" w:space="0" w:color="auto"/>
            </w:tcBorders>
            <w:noWrap/>
            <w:hideMark/>
          </w:tcPr>
          <w:p w14:paraId="5407FC62" w14:textId="77777777" w:rsidR="008A7F4A" w:rsidRDefault="008A7F4A">
            <w:pPr>
              <w:keepNext/>
              <w:rPr>
                <w:rFonts w:ascii="Times New Roman" w:eastAsia="Times New Roman" w:hAnsi="Times New Roman"/>
                <w:bCs/>
                <w:color w:val="000000"/>
                <w:sz w:val="18"/>
              </w:rPr>
            </w:pPr>
            <w:r>
              <w:rPr>
                <w:rFonts w:ascii="Times New Roman" w:eastAsia="Times New Roman" w:hAnsi="Times New Roman"/>
                <w:bCs/>
                <w:color w:val="000000"/>
                <w:sz w:val="18"/>
              </w:rPr>
              <w:t>Fixed Life Contingent Payout Annuity</w:t>
            </w:r>
          </w:p>
        </w:tc>
        <w:tc>
          <w:tcPr>
            <w:tcW w:w="905" w:type="dxa"/>
            <w:tcBorders>
              <w:top w:val="single" w:sz="4" w:space="0" w:color="auto"/>
              <w:left w:val="single" w:sz="4" w:space="0" w:color="auto"/>
              <w:bottom w:val="single" w:sz="4" w:space="0" w:color="auto"/>
              <w:right w:val="single" w:sz="4" w:space="0" w:color="auto"/>
            </w:tcBorders>
            <w:noWrap/>
            <w:hideMark/>
          </w:tcPr>
          <w:p w14:paraId="516A1451"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0.0   </w:t>
            </w:r>
          </w:p>
        </w:tc>
        <w:tc>
          <w:tcPr>
            <w:tcW w:w="990" w:type="dxa"/>
            <w:tcBorders>
              <w:top w:val="single" w:sz="4" w:space="0" w:color="auto"/>
              <w:left w:val="single" w:sz="4" w:space="0" w:color="auto"/>
              <w:bottom w:val="single" w:sz="4" w:space="0" w:color="auto"/>
              <w:right w:val="single" w:sz="4" w:space="0" w:color="auto"/>
            </w:tcBorders>
            <w:noWrap/>
            <w:hideMark/>
          </w:tcPr>
          <w:p w14:paraId="6D9A43A9"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70.0 </w:t>
            </w:r>
          </w:p>
        </w:tc>
        <w:tc>
          <w:tcPr>
            <w:tcW w:w="1170" w:type="dxa"/>
            <w:tcBorders>
              <w:top w:val="single" w:sz="4" w:space="0" w:color="auto"/>
              <w:left w:val="single" w:sz="4" w:space="0" w:color="auto"/>
              <w:bottom w:val="single" w:sz="4" w:space="0" w:color="auto"/>
              <w:right w:val="single" w:sz="4" w:space="0" w:color="auto"/>
            </w:tcBorders>
            <w:noWrap/>
            <w:hideMark/>
          </w:tcPr>
          <w:p w14:paraId="52229B3C"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 70.0 </w:t>
            </w:r>
          </w:p>
        </w:tc>
        <w:tc>
          <w:tcPr>
            <w:tcW w:w="990" w:type="dxa"/>
            <w:tcBorders>
              <w:top w:val="single" w:sz="4" w:space="0" w:color="auto"/>
              <w:left w:val="single" w:sz="4" w:space="0" w:color="auto"/>
              <w:bottom w:val="single" w:sz="4" w:space="0" w:color="auto"/>
              <w:right w:val="single" w:sz="4" w:space="0" w:color="auto"/>
            </w:tcBorders>
            <w:noWrap/>
            <w:hideMark/>
          </w:tcPr>
          <w:p w14:paraId="14AA3BEB" w14:textId="77777777" w:rsidR="008A7F4A" w:rsidRDefault="008A7F4A">
            <w:pPr>
              <w:rPr>
                <w:rFonts w:ascii="Times New Roman" w:eastAsia="Times New Roman" w:hAnsi="Times New Roman"/>
                <w:color w:val="000000"/>
                <w:sz w:val="18"/>
              </w:rPr>
            </w:pPr>
          </w:p>
        </w:tc>
        <w:tc>
          <w:tcPr>
            <w:tcW w:w="1170" w:type="dxa"/>
            <w:tcBorders>
              <w:top w:val="single" w:sz="4" w:space="0" w:color="auto"/>
              <w:left w:val="single" w:sz="4" w:space="0" w:color="auto"/>
              <w:bottom w:val="single" w:sz="4" w:space="0" w:color="auto"/>
              <w:right w:val="single" w:sz="4" w:space="0" w:color="auto"/>
            </w:tcBorders>
            <w:noWrap/>
            <w:hideMark/>
          </w:tcPr>
          <w:p w14:paraId="61C96828" w14:textId="77777777" w:rsidR="008A7F4A" w:rsidRDefault="008A7F4A">
            <w:pPr>
              <w:rPr>
                <w:rFonts w:asciiTheme="minorHAnsi" w:eastAsiaTheme="minorHAnsi" w:hAnsiTheme="minorHAnsi" w:cstheme="minorBidi"/>
                <w:sz w:val="20"/>
                <w:szCs w:val="20"/>
              </w:rPr>
            </w:pPr>
          </w:p>
        </w:tc>
        <w:tc>
          <w:tcPr>
            <w:tcW w:w="1029" w:type="dxa"/>
            <w:tcBorders>
              <w:top w:val="single" w:sz="4" w:space="0" w:color="auto"/>
              <w:left w:val="single" w:sz="4" w:space="0" w:color="auto"/>
              <w:bottom w:val="single" w:sz="4" w:space="0" w:color="auto"/>
              <w:right w:val="single" w:sz="4" w:space="0" w:color="auto"/>
            </w:tcBorders>
            <w:noWrap/>
            <w:hideMark/>
          </w:tcPr>
          <w:p w14:paraId="06ADB2CE"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84.0 </w:t>
            </w:r>
          </w:p>
        </w:tc>
        <w:tc>
          <w:tcPr>
            <w:tcW w:w="886" w:type="dxa"/>
            <w:tcBorders>
              <w:top w:val="single" w:sz="4" w:space="0" w:color="auto"/>
              <w:left w:val="single" w:sz="4" w:space="0" w:color="auto"/>
              <w:bottom w:val="single" w:sz="4" w:space="0" w:color="auto"/>
              <w:right w:val="single" w:sz="4" w:space="0" w:color="auto"/>
            </w:tcBorders>
            <w:noWrap/>
            <w:hideMark/>
          </w:tcPr>
          <w:p w14:paraId="50B14E5E" w14:textId="77777777" w:rsidR="008A7F4A" w:rsidRDefault="008A7F4A">
            <w:pPr>
              <w:keepNext/>
              <w:jc w:val="right"/>
              <w:rPr>
                <w:rFonts w:ascii="Times New Roman" w:eastAsia="Times New Roman" w:hAnsi="Times New Roman"/>
                <w:color w:val="000000"/>
                <w:sz w:val="18"/>
              </w:rPr>
            </w:pPr>
            <w:r>
              <w:rPr>
                <w:rFonts w:ascii="Times New Roman" w:eastAsia="Times New Roman" w:hAnsi="Times New Roman"/>
                <w:color w:val="000000"/>
                <w:sz w:val="18"/>
              </w:rPr>
              <w:t xml:space="preserve">84.0 </w:t>
            </w:r>
          </w:p>
        </w:tc>
      </w:tr>
      <w:tr w:rsidR="008A7F4A" w14:paraId="377444CF" w14:textId="77777777" w:rsidTr="008A7F4A">
        <w:trPr>
          <w:trHeight w:val="555"/>
          <w:jc w:val="center"/>
        </w:trPr>
        <w:tc>
          <w:tcPr>
            <w:tcW w:w="1080" w:type="dxa"/>
            <w:tcBorders>
              <w:top w:val="single" w:sz="4" w:space="0" w:color="auto"/>
              <w:left w:val="single" w:sz="4" w:space="0" w:color="auto"/>
              <w:bottom w:val="single" w:sz="4" w:space="0" w:color="auto"/>
              <w:right w:val="single" w:sz="4" w:space="0" w:color="auto"/>
            </w:tcBorders>
            <w:noWrap/>
            <w:hideMark/>
          </w:tcPr>
          <w:p w14:paraId="6A7DA755" w14:textId="77777777" w:rsidR="008A7F4A" w:rsidRDefault="008A7F4A">
            <w:pPr>
              <w:keepNext/>
              <w:rPr>
                <w:rFonts w:ascii="Times New Roman" w:eastAsia="Times New Roman" w:hAnsi="Times New Roman"/>
                <w:bCs/>
                <w:color w:val="000000"/>
                <w:sz w:val="20"/>
              </w:rPr>
            </w:pPr>
            <w:r>
              <w:rPr>
                <w:rFonts w:ascii="Times New Roman" w:eastAsia="Times New Roman" w:hAnsi="Times New Roman"/>
                <w:bCs/>
                <w:color w:val="000000"/>
                <w:sz w:val="20"/>
              </w:rPr>
              <w:t>Total</w:t>
            </w:r>
          </w:p>
        </w:tc>
        <w:tc>
          <w:tcPr>
            <w:tcW w:w="2245" w:type="dxa"/>
            <w:tcBorders>
              <w:top w:val="single" w:sz="4" w:space="0" w:color="auto"/>
              <w:left w:val="single" w:sz="4" w:space="0" w:color="auto"/>
              <w:bottom w:val="single" w:sz="4" w:space="0" w:color="auto"/>
              <w:right w:val="single" w:sz="4" w:space="0" w:color="auto"/>
            </w:tcBorders>
            <w:noWrap/>
            <w:hideMark/>
          </w:tcPr>
          <w:p w14:paraId="71896A07" w14:textId="77777777" w:rsidR="008A7F4A" w:rsidRDefault="008A7F4A">
            <w:pPr>
              <w:rPr>
                <w:rFonts w:ascii="Times New Roman" w:eastAsia="Times New Roman" w:hAnsi="Times New Roman"/>
                <w:bCs/>
                <w:color w:val="000000"/>
                <w:sz w:val="20"/>
              </w:rPr>
            </w:pPr>
          </w:p>
        </w:tc>
        <w:tc>
          <w:tcPr>
            <w:tcW w:w="905" w:type="dxa"/>
            <w:tcBorders>
              <w:top w:val="single" w:sz="4" w:space="0" w:color="auto"/>
              <w:left w:val="single" w:sz="4" w:space="0" w:color="auto"/>
              <w:bottom w:val="single" w:sz="4" w:space="0" w:color="auto"/>
              <w:right w:val="single" w:sz="4" w:space="0" w:color="auto"/>
            </w:tcBorders>
            <w:noWrap/>
            <w:hideMark/>
          </w:tcPr>
          <w:p w14:paraId="3FB57BF0" w14:textId="77777777" w:rsidR="008A7F4A" w:rsidRDefault="008A7F4A">
            <w:pPr>
              <w:keepNext/>
              <w:jc w:val="right"/>
              <w:rPr>
                <w:rFonts w:ascii="Times New Roman" w:eastAsia="Times New Roman" w:hAnsi="Times New Roman"/>
                <w:color w:val="000000"/>
                <w:sz w:val="20"/>
              </w:rPr>
            </w:pPr>
            <w:r>
              <w:rPr>
                <w:rFonts w:ascii="Times New Roman" w:eastAsia="Times New Roman" w:hAnsi="Times New Roman"/>
                <w:color w:val="000000"/>
                <w:sz w:val="20"/>
              </w:rPr>
              <w:t xml:space="preserve">365.0 </w:t>
            </w:r>
          </w:p>
        </w:tc>
        <w:tc>
          <w:tcPr>
            <w:tcW w:w="990" w:type="dxa"/>
            <w:tcBorders>
              <w:top w:val="single" w:sz="4" w:space="0" w:color="auto"/>
              <w:left w:val="single" w:sz="4" w:space="0" w:color="auto"/>
              <w:bottom w:val="single" w:sz="4" w:space="0" w:color="auto"/>
              <w:right w:val="single" w:sz="4" w:space="0" w:color="auto"/>
            </w:tcBorders>
            <w:noWrap/>
            <w:hideMark/>
          </w:tcPr>
          <w:p w14:paraId="30608785" w14:textId="77777777" w:rsidR="008A7F4A" w:rsidRDefault="008A7F4A">
            <w:pPr>
              <w:rPr>
                <w:rFonts w:ascii="Times New Roman" w:eastAsia="Times New Roman" w:hAnsi="Times New Roman"/>
                <w:color w:val="000000"/>
                <w:sz w:val="20"/>
              </w:rPr>
            </w:pPr>
          </w:p>
        </w:tc>
        <w:tc>
          <w:tcPr>
            <w:tcW w:w="1170" w:type="dxa"/>
            <w:tcBorders>
              <w:top w:val="single" w:sz="4" w:space="0" w:color="auto"/>
              <w:left w:val="single" w:sz="4" w:space="0" w:color="auto"/>
              <w:bottom w:val="single" w:sz="4" w:space="0" w:color="auto"/>
              <w:right w:val="single" w:sz="4" w:space="0" w:color="auto"/>
            </w:tcBorders>
            <w:noWrap/>
            <w:hideMark/>
          </w:tcPr>
          <w:p w14:paraId="023BD149" w14:textId="77777777" w:rsidR="008A7F4A" w:rsidRDefault="008A7F4A">
            <w:pPr>
              <w:keepNext/>
              <w:jc w:val="right"/>
              <w:rPr>
                <w:rFonts w:ascii="Times New Roman" w:eastAsia="Times New Roman" w:hAnsi="Times New Roman"/>
                <w:color w:val="000000"/>
                <w:sz w:val="20"/>
              </w:rPr>
            </w:pPr>
            <w:r>
              <w:rPr>
                <w:rFonts w:ascii="Times New Roman" w:eastAsia="Times New Roman" w:hAnsi="Times New Roman"/>
                <w:color w:val="000000"/>
                <w:sz w:val="20"/>
              </w:rPr>
              <w:t xml:space="preserve"> 100.0 </w:t>
            </w:r>
          </w:p>
        </w:tc>
        <w:tc>
          <w:tcPr>
            <w:tcW w:w="990" w:type="dxa"/>
            <w:tcBorders>
              <w:top w:val="single" w:sz="4" w:space="0" w:color="auto"/>
              <w:left w:val="single" w:sz="4" w:space="0" w:color="auto"/>
              <w:bottom w:val="single" w:sz="4" w:space="0" w:color="auto"/>
              <w:right w:val="single" w:sz="4" w:space="0" w:color="auto"/>
            </w:tcBorders>
            <w:noWrap/>
            <w:hideMark/>
          </w:tcPr>
          <w:p w14:paraId="4BD89A70" w14:textId="77777777" w:rsidR="008A7F4A" w:rsidRDefault="008A7F4A">
            <w:pPr>
              <w:keepNext/>
              <w:jc w:val="right"/>
              <w:rPr>
                <w:rFonts w:ascii="Times New Roman" w:eastAsia="Times New Roman" w:hAnsi="Times New Roman"/>
                <w:color w:val="000000"/>
                <w:sz w:val="20"/>
              </w:rPr>
            </w:pPr>
            <w:r>
              <w:rPr>
                <w:rFonts w:ascii="Times New Roman" w:eastAsia="Times New Roman" w:hAnsi="Times New Roman"/>
                <w:color w:val="000000"/>
                <w:sz w:val="20"/>
              </w:rPr>
              <w:t xml:space="preserve"> 485.0 </w:t>
            </w:r>
          </w:p>
        </w:tc>
        <w:tc>
          <w:tcPr>
            <w:tcW w:w="1170" w:type="dxa"/>
            <w:tcBorders>
              <w:top w:val="single" w:sz="4" w:space="0" w:color="auto"/>
              <w:left w:val="single" w:sz="4" w:space="0" w:color="auto"/>
              <w:bottom w:val="single" w:sz="4" w:space="0" w:color="auto"/>
              <w:right w:val="single" w:sz="4" w:space="0" w:color="auto"/>
            </w:tcBorders>
            <w:noWrap/>
            <w:hideMark/>
          </w:tcPr>
          <w:p w14:paraId="4FA98804" w14:textId="77777777" w:rsidR="008A7F4A" w:rsidRDefault="008A7F4A">
            <w:pPr>
              <w:keepNext/>
              <w:jc w:val="right"/>
              <w:rPr>
                <w:rFonts w:ascii="Times New Roman" w:eastAsia="Times New Roman" w:hAnsi="Times New Roman"/>
                <w:color w:val="000000"/>
                <w:sz w:val="20"/>
              </w:rPr>
            </w:pPr>
            <w:r>
              <w:rPr>
                <w:rFonts w:ascii="Times New Roman" w:eastAsia="Times New Roman" w:hAnsi="Times New Roman"/>
                <w:color w:val="000000"/>
                <w:sz w:val="20"/>
              </w:rPr>
              <w:t xml:space="preserve">120.0 </w:t>
            </w:r>
          </w:p>
        </w:tc>
        <w:tc>
          <w:tcPr>
            <w:tcW w:w="1029" w:type="dxa"/>
            <w:tcBorders>
              <w:top w:val="single" w:sz="4" w:space="0" w:color="auto"/>
              <w:left w:val="single" w:sz="4" w:space="0" w:color="auto"/>
              <w:bottom w:val="single" w:sz="4" w:space="0" w:color="auto"/>
              <w:right w:val="single" w:sz="4" w:space="0" w:color="auto"/>
            </w:tcBorders>
            <w:noWrap/>
            <w:hideMark/>
          </w:tcPr>
          <w:p w14:paraId="35D3DD51" w14:textId="77777777" w:rsidR="008A7F4A" w:rsidRDefault="008A7F4A">
            <w:pPr>
              <w:keepNext/>
              <w:jc w:val="right"/>
              <w:rPr>
                <w:rFonts w:ascii="Times New Roman" w:eastAsia="Times New Roman" w:hAnsi="Times New Roman"/>
                <w:color w:val="000000"/>
                <w:sz w:val="20"/>
              </w:rPr>
            </w:pPr>
            <w:r>
              <w:rPr>
                <w:rFonts w:ascii="Times New Roman" w:eastAsia="Times New Roman" w:hAnsi="Times New Roman"/>
                <w:color w:val="000000"/>
                <w:sz w:val="20"/>
              </w:rPr>
              <w:t xml:space="preserve">120.0 </w:t>
            </w:r>
          </w:p>
        </w:tc>
        <w:tc>
          <w:tcPr>
            <w:tcW w:w="886" w:type="dxa"/>
            <w:tcBorders>
              <w:top w:val="single" w:sz="4" w:space="0" w:color="auto"/>
              <w:left w:val="single" w:sz="4" w:space="0" w:color="auto"/>
              <w:bottom w:val="single" w:sz="4" w:space="0" w:color="auto"/>
              <w:right w:val="single" w:sz="4" w:space="0" w:color="auto"/>
            </w:tcBorders>
            <w:noWrap/>
            <w:hideMark/>
          </w:tcPr>
          <w:p w14:paraId="1BDE3A6E" w14:textId="77777777" w:rsidR="008A7F4A" w:rsidRDefault="008A7F4A">
            <w:pPr>
              <w:keepNext/>
              <w:jc w:val="right"/>
              <w:rPr>
                <w:rFonts w:ascii="Times New Roman" w:eastAsia="Times New Roman" w:hAnsi="Times New Roman"/>
                <w:color w:val="000000"/>
                <w:sz w:val="20"/>
              </w:rPr>
            </w:pPr>
            <w:r>
              <w:rPr>
                <w:rFonts w:ascii="Times New Roman" w:eastAsia="Times New Roman" w:hAnsi="Times New Roman"/>
                <w:color w:val="000000"/>
                <w:sz w:val="20"/>
              </w:rPr>
              <w:t xml:space="preserve">485.0 </w:t>
            </w:r>
          </w:p>
        </w:tc>
      </w:tr>
    </w:tbl>
    <w:p w14:paraId="0280918B" w14:textId="77777777" w:rsidR="008A7F4A" w:rsidRDefault="008A7F4A" w:rsidP="008A7F4A">
      <w:pPr>
        <w:keepNext/>
        <w:widowControl w:val="0"/>
        <w:spacing w:line="240" w:lineRule="auto"/>
        <w:contextualSpacing/>
        <w:jc w:val="both"/>
        <w:rPr>
          <w:rFonts w:ascii="Times New Roman" w:eastAsia="Times New Roman" w:hAnsi="Times New Roman"/>
          <w:sz w:val="18"/>
          <w:szCs w:val="18"/>
        </w:rPr>
      </w:pPr>
      <w:r>
        <w:rPr>
          <w:rFonts w:ascii="Times New Roman" w:eastAsia="Times New Roman" w:hAnsi="Times New Roman"/>
          <w:sz w:val="16"/>
          <w:szCs w:val="16"/>
        </w:rPr>
        <w:t>*</w:t>
      </w:r>
      <w:r>
        <w:rPr>
          <w:rFonts w:ascii="Times New Roman" w:eastAsia="Times New Roman" w:hAnsi="Times New Roman"/>
          <w:sz w:val="18"/>
          <w:szCs w:val="18"/>
        </w:rPr>
        <w:t>Cash Surrender Value</w:t>
      </w:r>
    </w:p>
    <w:p w14:paraId="195C3AE5" w14:textId="77777777" w:rsidR="008A7F4A" w:rsidRDefault="008A7F4A" w:rsidP="008A7F4A">
      <w:pPr>
        <w:keepNext/>
        <w:widowControl w:val="0"/>
        <w:spacing w:line="240" w:lineRule="auto"/>
        <w:contextualSpacing/>
        <w:jc w:val="both"/>
        <w:rPr>
          <w:rFonts w:ascii="Times New Roman" w:eastAsia="Times New Roman" w:hAnsi="Times New Roman"/>
          <w:sz w:val="18"/>
          <w:szCs w:val="18"/>
        </w:rPr>
      </w:pPr>
      <w:r>
        <w:rPr>
          <w:rFonts w:ascii="Times New Roman" w:eastAsia="Times New Roman" w:hAnsi="Times New Roman"/>
          <w:sz w:val="16"/>
          <w:szCs w:val="16"/>
        </w:rPr>
        <w:t>**</w:t>
      </w:r>
      <w:r>
        <w:rPr>
          <w:rFonts w:ascii="Times New Roman" w:eastAsia="Times New Roman" w:hAnsi="Times New Roman"/>
          <w:sz w:val="18"/>
          <w:szCs w:val="18"/>
        </w:rPr>
        <w:t>Guaranteed Lifetime Withdrawal Benefit</w:t>
      </w:r>
    </w:p>
    <w:p w14:paraId="024C1BEB" w14:textId="77777777" w:rsidR="008A7F4A" w:rsidRDefault="008A7F4A" w:rsidP="008A7F4A">
      <w:pPr>
        <w:keepNext/>
        <w:widowControl w:val="0"/>
        <w:spacing w:line="240" w:lineRule="auto"/>
        <w:contextualSpacing/>
        <w:jc w:val="both"/>
        <w:rPr>
          <w:rFonts w:ascii="Times New Roman" w:eastAsia="Times New Roman" w:hAnsi="Times New Roman"/>
        </w:rPr>
      </w:pPr>
    </w:p>
    <w:p w14:paraId="3CD7BDBE" w14:textId="77777777" w:rsidR="008A7F4A"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2060"/>
        </w:rPr>
      </w:pPr>
      <w:r>
        <w:rPr>
          <w:rFonts w:ascii="Times New Roman" w:hAnsi="Times New Roman" w:cs="Times New Roman"/>
          <w:b/>
          <w:bCs/>
          <w:color w:val="002060"/>
        </w:rPr>
        <w:t>Guidance Note:</w:t>
      </w:r>
      <w:r>
        <w:rPr>
          <w:rFonts w:ascii="Times New Roman" w:hAnsi="Times New Roman" w:cs="Times New Roman"/>
          <w:color w:val="002060"/>
        </w:rPr>
        <w:t xml:space="preserve"> The actuarial present value (APV) in the section above is separate from the Guarantee Actuarial Present Value (GAPV) referred to in the additional standard projection amount calculation in VM-21. The GAPV is only applicable to guaranteed minimum benefits and uses prescribed liability assumptions. In contrast, the APV in this section applies to the entire contract, irrespective of whether guaranteed benefits are attached, and uses company prudent estimate liability assumptions.</w:t>
      </w:r>
    </w:p>
    <w:p w14:paraId="3B9704C8" w14:textId="77777777" w:rsidR="008A7F4A" w:rsidRDefault="008A7F4A" w:rsidP="008A7F4A">
      <w:pPr>
        <w:spacing w:after="220" w:line="240" w:lineRule="auto"/>
        <w:jc w:val="both"/>
        <w:rPr>
          <w:rFonts w:asciiTheme="majorHAnsi" w:eastAsiaTheme="majorEastAsia" w:hAnsiTheme="majorHAnsi" w:cstheme="majorBidi"/>
          <w:color w:val="365F91" w:themeColor="accent1" w:themeShade="BF"/>
          <w:sz w:val="24"/>
          <w:szCs w:val="24"/>
        </w:rPr>
      </w:pPr>
      <w:r>
        <w:rPr>
          <w:sz w:val="24"/>
          <w:szCs w:val="24"/>
        </w:rPr>
        <w:br w:type="page"/>
      </w:r>
    </w:p>
    <w:p w14:paraId="2B9F4692" w14:textId="77777777" w:rsidR="008A7F4A" w:rsidRDefault="008A7F4A" w:rsidP="008A7F4A">
      <w:pPr>
        <w:pStyle w:val="Heading1"/>
        <w:rPr>
          <w:sz w:val="24"/>
          <w:szCs w:val="24"/>
        </w:rPr>
      </w:pPr>
      <w:bookmarkStart w:id="123" w:name="_Toc77242179"/>
      <w:r>
        <w:rPr>
          <w:sz w:val="24"/>
          <w:szCs w:val="24"/>
        </w:rPr>
        <w:t>Section 13: Statutory Maximum Valuation Interest Rates for Income Annuity Formulaic Reserves</w:t>
      </w:r>
      <w:bookmarkEnd w:id="123"/>
    </w:p>
    <w:p w14:paraId="186327AF" w14:textId="77777777" w:rsidR="008A7F4A" w:rsidRDefault="008A7F4A" w:rsidP="008A7F4A">
      <w:pPr>
        <w:keepNext/>
        <w:keepLines/>
        <w:spacing w:after="0" w:line="240" w:lineRule="auto"/>
        <w:jc w:val="both"/>
        <w:rPr>
          <w:rFonts w:ascii="Times New Roman" w:eastAsia="Times New Roman" w:hAnsi="Times New Roman"/>
          <w:highlight w:val="yellow"/>
        </w:rPr>
      </w:pPr>
    </w:p>
    <w:p w14:paraId="2EF6137B" w14:textId="77777777" w:rsidR="008A7F4A" w:rsidRDefault="008A7F4A" w:rsidP="008A7F4A">
      <w:pPr>
        <w:pStyle w:val="Heading3"/>
        <w:spacing w:after="220"/>
        <w:rPr>
          <w:sz w:val="22"/>
          <w:szCs w:val="22"/>
        </w:rPr>
      </w:pPr>
      <w:bookmarkStart w:id="124" w:name="_Toc77242180"/>
      <w:r>
        <w:rPr>
          <w:sz w:val="22"/>
          <w:szCs w:val="22"/>
        </w:rPr>
        <w:t>A. Purpose and Scope</w:t>
      </w:r>
      <w:bookmarkEnd w:id="124"/>
    </w:p>
    <w:p w14:paraId="31562449" w14:textId="77777777" w:rsidR="008A7F4A" w:rsidRDefault="008A7F4A" w:rsidP="00745C9A">
      <w:pPr>
        <w:pStyle w:val="TableParagraph"/>
        <w:numPr>
          <w:ilvl w:val="0"/>
          <w:numId w:val="129"/>
        </w:numPr>
        <w:spacing w:after="220"/>
        <w:ind w:left="720" w:hanging="720"/>
        <w:jc w:val="both"/>
      </w:pPr>
      <w:r>
        <w:t>These requirements define for single premium immediate annuity contracts and other similar contracts, certificates and contract features the statutory maximum valuation interest rate that complies with Model #820. These are the maximum interest rate assumption requirements to be used in the CARVM and for certain contracts, the CRVM. These requirements do not preclude the use of a lower valuation interest rate assumption by the company if such assumption produces statutory reserves at least as great as those calculated using the maximum rate defined herein.</w:t>
      </w:r>
    </w:p>
    <w:p w14:paraId="50BACCC0" w14:textId="77777777" w:rsidR="008A7F4A" w:rsidRDefault="008A7F4A" w:rsidP="00745C9A">
      <w:pPr>
        <w:pStyle w:val="TableParagraph"/>
        <w:numPr>
          <w:ilvl w:val="0"/>
          <w:numId w:val="129"/>
        </w:numPr>
        <w:spacing w:after="220"/>
        <w:ind w:left="720" w:hanging="720"/>
        <w:jc w:val="both"/>
      </w:pPr>
      <w:r>
        <w:t xml:space="preserve">The following categories of contracts, </w:t>
      </w:r>
      <w:proofErr w:type="gramStart"/>
      <w:r>
        <w:t>certificates</w:t>
      </w:r>
      <w:proofErr w:type="gramEnd"/>
      <w:r>
        <w:t xml:space="preserve"> and contract features, whether group or individual, including both life contingent and term certain only contracts, directly written or assumed through reinsurance, with the exception of benefits arising from variable annuities, are covered in this section:</w:t>
      </w:r>
    </w:p>
    <w:p w14:paraId="294DBF7D" w14:textId="77777777" w:rsidR="008A7F4A" w:rsidRDefault="008A7F4A" w:rsidP="00745C9A">
      <w:pPr>
        <w:pStyle w:val="TableParagraph"/>
        <w:numPr>
          <w:ilvl w:val="1"/>
          <w:numId w:val="129"/>
        </w:numPr>
        <w:spacing w:after="220"/>
        <w:ind w:left="1440" w:hanging="720"/>
        <w:jc w:val="both"/>
      </w:pPr>
      <w:r>
        <w:t xml:space="preserve">Immediate annuity contracts issued after Dec. 31, </w:t>
      </w:r>
      <w:proofErr w:type="gramStart"/>
      <w:r>
        <w:t>2017;</w:t>
      </w:r>
      <w:proofErr w:type="gramEnd"/>
    </w:p>
    <w:p w14:paraId="26B7DACE" w14:textId="77777777" w:rsidR="008A7F4A" w:rsidRDefault="008A7F4A" w:rsidP="00745C9A">
      <w:pPr>
        <w:pStyle w:val="TableParagraph"/>
        <w:numPr>
          <w:ilvl w:val="1"/>
          <w:numId w:val="129"/>
        </w:numPr>
        <w:spacing w:after="220"/>
        <w:ind w:left="1440" w:hanging="720"/>
        <w:jc w:val="both"/>
      </w:pPr>
      <w:r>
        <w:t xml:space="preserve">Deferred income annuity contracts issued after Dec. 31, </w:t>
      </w:r>
      <w:proofErr w:type="gramStart"/>
      <w:r>
        <w:t>2017;</w:t>
      </w:r>
      <w:proofErr w:type="gramEnd"/>
    </w:p>
    <w:p w14:paraId="7651D3BE" w14:textId="77777777" w:rsidR="008A7F4A" w:rsidRDefault="008A7F4A" w:rsidP="00745C9A">
      <w:pPr>
        <w:pStyle w:val="TableParagraph"/>
        <w:numPr>
          <w:ilvl w:val="1"/>
          <w:numId w:val="129"/>
        </w:numPr>
        <w:spacing w:after="220"/>
        <w:ind w:left="1440" w:hanging="720"/>
        <w:jc w:val="both"/>
      </w:pPr>
      <w:r>
        <w:t xml:space="preserve">Structured settlements in payout or deferred status issued after Dec. 31, </w:t>
      </w:r>
      <w:proofErr w:type="gramStart"/>
      <w:r>
        <w:t>2017;</w:t>
      </w:r>
      <w:proofErr w:type="gramEnd"/>
      <w:r>
        <w:t xml:space="preserve"> </w:t>
      </w:r>
    </w:p>
    <w:p w14:paraId="3C352818" w14:textId="77777777" w:rsidR="008A7F4A" w:rsidRDefault="008A7F4A" w:rsidP="00745C9A">
      <w:pPr>
        <w:pStyle w:val="TableParagraph"/>
        <w:numPr>
          <w:ilvl w:val="1"/>
          <w:numId w:val="129"/>
        </w:numPr>
        <w:spacing w:after="220"/>
        <w:ind w:left="1440" w:hanging="720"/>
        <w:jc w:val="both"/>
      </w:pPr>
      <w:r>
        <w:t xml:space="preserve">Fixed payout annuities resulting from the exercise of settlement options or annuitizations of host contracts issued after Dec. 31, </w:t>
      </w:r>
      <w:proofErr w:type="gramStart"/>
      <w:r>
        <w:t>2017;</w:t>
      </w:r>
      <w:proofErr w:type="gramEnd"/>
    </w:p>
    <w:p w14:paraId="5E4FF529" w14:textId="77777777" w:rsidR="008A7F4A" w:rsidRDefault="008A7F4A" w:rsidP="00745C9A">
      <w:pPr>
        <w:pStyle w:val="TableParagraph"/>
        <w:numPr>
          <w:ilvl w:val="1"/>
          <w:numId w:val="129"/>
        </w:numPr>
        <w:spacing w:after="220"/>
        <w:ind w:left="1440" w:hanging="720"/>
        <w:jc w:val="both"/>
      </w:pPr>
      <w:r>
        <w:t xml:space="preserve">Fixed payout annuities resulting from the exercise of settlement options or annuitizations of host contracts issued during 2017, for fixed payouts commencing after Dec. 31, 2018, or, at the option of the company, for fixed payouts commencing after Dec. 31, </w:t>
      </w:r>
      <w:proofErr w:type="gramStart"/>
      <w:r>
        <w:t>2017;</w:t>
      </w:r>
      <w:proofErr w:type="gramEnd"/>
    </w:p>
    <w:p w14:paraId="3C7D1AEF" w14:textId="77777777" w:rsidR="008A7F4A" w:rsidRDefault="008A7F4A" w:rsidP="00745C9A">
      <w:pPr>
        <w:pStyle w:val="TableParagraph"/>
        <w:numPr>
          <w:ilvl w:val="1"/>
          <w:numId w:val="129"/>
        </w:numPr>
        <w:spacing w:after="220"/>
        <w:ind w:left="1440" w:hanging="720"/>
        <w:jc w:val="both"/>
      </w:pPr>
      <w:r>
        <w:t>Supplementary contracts,</w:t>
      </w:r>
      <w:r>
        <w:rPr>
          <w:rFonts w:eastAsia="Calibri"/>
        </w:rPr>
        <w:t xml:space="preserve"> </w:t>
      </w:r>
      <w:r>
        <w:t xml:space="preserve">excluding contracts with no scheduled payments (such as retained asset accounts and settlements at interest), issued after Dec. 31, </w:t>
      </w:r>
      <w:proofErr w:type="gramStart"/>
      <w:r>
        <w:t>2017;</w:t>
      </w:r>
      <w:proofErr w:type="gramEnd"/>
      <w:r>
        <w:t xml:space="preserve"> </w:t>
      </w:r>
    </w:p>
    <w:p w14:paraId="267F1206" w14:textId="77777777" w:rsidR="008A7F4A" w:rsidRDefault="008A7F4A" w:rsidP="00745C9A">
      <w:pPr>
        <w:pStyle w:val="TableParagraph"/>
        <w:numPr>
          <w:ilvl w:val="1"/>
          <w:numId w:val="129"/>
        </w:numPr>
        <w:spacing w:after="220"/>
        <w:ind w:left="1440" w:hanging="720"/>
        <w:jc w:val="both"/>
      </w:pPr>
      <w:r>
        <w:t xml:space="preserve">Fixed income payment streams, attributable to contingent deferred annuities (CDAs) issued after Dec. 31, 2017, once the underlying contract funds are </w:t>
      </w:r>
      <w:proofErr w:type="gramStart"/>
      <w:r>
        <w:t>exhausted;</w:t>
      </w:r>
      <w:proofErr w:type="gramEnd"/>
    </w:p>
    <w:p w14:paraId="73E349CB" w14:textId="77777777" w:rsidR="008A7F4A" w:rsidRDefault="008A7F4A" w:rsidP="00745C9A">
      <w:pPr>
        <w:pStyle w:val="TableParagraph"/>
        <w:numPr>
          <w:ilvl w:val="1"/>
          <w:numId w:val="129"/>
        </w:numPr>
        <w:spacing w:after="220"/>
        <w:ind w:left="1440" w:hanging="720"/>
        <w:jc w:val="both"/>
      </w:pPr>
      <w:r>
        <w:t>Fixed income payment streams attributable to guaranteed living benefits associated with deferred annuity contracts issued after Dec. 31, 2017, once the contract funds are exhausted; and</w:t>
      </w:r>
    </w:p>
    <w:p w14:paraId="7192D3E0" w14:textId="77777777" w:rsidR="008A7F4A" w:rsidRDefault="008A7F4A" w:rsidP="00745C9A">
      <w:pPr>
        <w:pStyle w:val="TableParagraph"/>
        <w:numPr>
          <w:ilvl w:val="1"/>
          <w:numId w:val="129"/>
        </w:numPr>
        <w:spacing w:after="220"/>
        <w:ind w:left="1440" w:hanging="720"/>
        <w:jc w:val="both"/>
      </w:pPr>
      <w:r>
        <w:t>Certificates with premium determination dates after Dec. 31, 2017, emanating from non-variable group annuity contracts specified in Model #820, Section 5.C.2, purchased for the purpose of providing certificate holders benefits upon their retirement.</w:t>
      </w:r>
    </w:p>
    <w:p w14:paraId="28D71E34" w14:textId="77777777" w:rsidR="008A7F4A" w:rsidRDefault="008A7F4A" w:rsidP="008A7F4A">
      <w:pPr>
        <w:pStyle w:val="TableParagraph"/>
        <w:pBdr>
          <w:top w:val="single" w:sz="4" w:space="1" w:color="auto"/>
          <w:left w:val="single" w:sz="4" w:space="4" w:color="auto"/>
          <w:bottom w:val="single" w:sz="4" w:space="1" w:color="auto"/>
          <w:right w:val="single" w:sz="4" w:space="4" w:color="auto"/>
        </w:pBdr>
        <w:spacing w:after="220"/>
        <w:ind w:left="1440" w:hanging="720"/>
        <w:jc w:val="both"/>
      </w:pPr>
      <w:r>
        <w:rPr>
          <w:b/>
        </w:rPr>
        <w:t>Guidance Note</w:t>
      </w:r>
      <w:r>
        <w:t>: For Section 13.A.2.d, Section 13.A.2.e, Section 13.A.2.f and Section 13.A.2.h above, there is no restriction on the type of contract that may give rise to the benefit.</w:t>
      </w:r>
    </w:p>
    <w:p w14:paraId="5FAE8509" w14:textId="77777777" w:rsidR="008A7F4A" w:rsidRDefault="008A7F4A" w:rsidP="008A7F4A">
      <w:pPr>
        <w:pStyle w:val="TableParagraph"/>
        <w:spacing w:after="220"/>
        <w:ind w:left="720" w:hanging="720"/>
        <w:jc w:val="both"/>
      </w:pPr>
      <w:r>
        <w:t xml:space="preserve">3. </w:t>
      </w:r>
      <w:r>
        <w:tab/>
        <w:t>Exemptions:</w:t>
      </w:r>
    </w:p>
    <w:p w14:paraId="4532836F" w14:textId="77777777" w:rsidR="008A7F4A" w:rsidRDefault="008A7F4A" w:rsidP="008A7F4A">
      <w:pPr>
        <w:pStyle w:val="TableParagraph"/>
        <w:spacing w:after="220"/>
        <w:ind w:left="1440" w:hanging="720"/>
        <w:jc w:val="both"/>
      </w:pPr>
      <w:r>
        <w:t>a.</w:t>
      </w:r>
      <w:r>
        <w:tab/>
        <w:t xml:space="preserve">With the permission of the domiciliary commissioner, for the categories of annuity contracts, certificates and/or contract features in scope as outlined in Section 13.A.2.d, Section 13.A.2.e, Section 13.A.2.f, Section 13.A.2.g or Section 13.A.2.h, the company may use the same maximum valuation interest rate used to value the payment stream in accordance with the guidance applicable to the host contract. </w:t>
      </w:r>
      <w:proofErr w:type="gramStart"/>
      <w:r>
        <w:t>In order to</w:t>
      </w:r>
      <w:proofErr w:type="gramEnd"/>
      <w:r>
        <w:t xml:space="preserve"> obtain such permission, the company must demonstrate that its investment policy and practices are consistent with this approach.</w:t>
      </w:r>
    </w:p>
    <w:p w14:paraId="3DE91902" w14:textId="77777777" w:rsidR="008A7F4A" w:rsidRDefault="008A7F4A" w:rsidP="008A7F4A">
      <w:pPr>
        <w:pStyle w:val="TableParagraph"/>
        <w:ind w:left="720" w:hanging="720"/>
        <w:jc w:val="both"/>
      </w:pPr>
      <w:r>
        <w:t>4.</w:t>
      </w:r>
      <w:r>
        <w:tab/>
        <w:t xml:space="preserve">The maximum valuation interest rates for the contracts, certificates and contract features within the scope of Section 13 of VM-22 supersede those described in Appendix VM-A and Appendix VM-C, but they do not otherwise change how those appendices are to be interpreted. </w:t>
      </w:r>
      <w:proofErr w:type="gramStart"/>
      <w:r>
        <w:t xml:space="preserve">In particular, </w:t>
      </w:r>
      <w:r>
        <w:rPr>
          <w:i/>
        </w:rPr>
        <w:t>Actuarial</w:t>
      </w:r>
      <w:proofErr w:type="gramEnd"/>
      <w:r>
        <w:rPr>
          <w:i/>
        </w:rPr>
        <w:t xml:space="preserve"> Guideline IX-B—Clarification of Methods Under Standard Valuation Law for Individual Single Premium Immediate Annuities, Any Deferred Payments Associated Therewith, Some Deferred Annuities and Structured Settlements Contracts</w:t>
      </w:r>
      <w:r>
        <w:t xml:space="preserve"> (AG-9-B) (see VM-C) provides guidance on valuation interest rates and is, therefore, superseded by these requirements for contracts, certificates and contract features in scope. Likewise, any valuation interest rate references in </w:t>
      </w:r>
      <w:r>
        <w:rPr>
          <w:i/>
        </w:rPr>
        <w:t xml:space="preserve">Actuarial Guideline IX-C—Use of Substandard Annuity Mortality Tables in Valuing Impaired Lives Under Individual Single Premium Immediate Annuities </w:t>
      </w:r>
      <w:r>
        <w:t>(AG-9-C) (see VM-C) are also superseded by these requirements.</w:t>
      </w:r>
    </w:p>
    <w:p w14:paraId="327139D8" w14:textId="77777777" w:rsidR="008A7F4A" w:rsidRDefault="008A7F4A" w:rsidP="008A7F4A">
      <w:pPr>
        <w:spacing w:after="0"/>
        <w:jc w:val="both"/>
        <w:rPr>
          <w:rFonts w:ascii="Times New Roman" w:eastAsia="Times New Roman" w:hAnsi="Times New Roman"/>
        </w:rPr>
      </w:pPr>
    </w:p>
    <w:p w14:paraId="3CC4DE53" w14:textId="77777777" w:rsidR="008A7F4A" w:rsidRDefault="008A7F4A" w:rsidP="008A7F4A">
      <w:pPr>
        <w:pStyle w:val="Heading3"/>
        <w:spacing w:after="220"/>
        <w:rPr>
          <w:sz w:val="22"/>
          <w:szCs w:val="22"/>
        </w:rPr>
      </w:pPr>
      <w:bookmarkStart w:id="125" w:name="_Toc77242181"/>
      <w:r>
        <w:rPr>
          <w:sz w:val="22"/>
          <w:szCs w:val="22"/>
        </w:rPr>
        <w:t>B. Definitions</w:t>
      </w:r>
      <w:bookmarkEnd w:id="125"/>
    </w:p>
    <w:p w14:paraId="6791DB3C" w14:textId="77777777" w:rsidR="008A7F4A" w:rsidRDefault="008A7F4A" w:rsidP="008A7F4A">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1.</w:t>
      </w:r>
      <w:r>
        <w:rPr>
          <w:rFonts w:ascii="Times New Roman" w:hAnsi="Times New Roman"/>
          <w:color w:val="000000"/>
        </w:rPr>
        <w:tab/>
        <w:t>The term “reference period” means the length of time used in assigning the Valuation Rate Bucket for the purpose of determining the statutory maximum valuation interest rate and is determined as follows:</w:t>
      </w:r>
    </w:p>
    <w:p w14:paraId="619478C4" w14:textId="77777777" w:rsidR="008A7F4A" w:rsidRDefault="008A7F4A" w:rsidP="008A7F4A">
      <w:pPr>
        <w:autoSpaceDE w:val="0"/>
        <w:autoSpaceDN w:val="0"/>
        <w:adjustRightInd w:val="0"/>
        <w:spacing w:after="0" w:line="240" w:lineRule="auto"/>
        <w:jc w:val="both"/>
        <w:rPr>
          <w:rFonts w:ascii="Times New Roman" w:hAnsi="Times New Roman"/>
          <w:color w:val="000000"/>
        </w:rPr>
      </w:pPr>
    </w:p>
    <w:p w14:paraId="17E9ED98" w14:textId="77777777" w:rsidR="008A7F4A" w:rsidRDefault="008A7F4A" w:rsidP="008A7F4A">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a.</w:t>
      </w:r>
      <w:r>
        <w:rPr>
          <w:rFonts w:ascii="Times New Roman" w:hAnsi="Times New Roman"/>
          <w:color w:val="000000"/>
        </w:rPr>
        <w:tab/>
        <w:t xml:space="preserve">For contracts, certificates or contract features with life contingencies and substantially similar payments, the reference period is the length of time, rounded to the nearest year, from the premium determination date to the earlier </w:t>
      </w:r>
      <w:proofErr w:type="gramStart"/>
      <w:r>
        <w:rPr>
          <w:rFonts w:ascii="Times New Roman" w:hAnsi="Times New Roman"/>
          <w:color w:val="000000"/>
        </w:rPr>
        <w:t>of:</w:t>
      </w:r>
      <w:proofErr w:type="gramEnd"/>
      <w:r>
        <w:rPr>
          <w:rFonts w:ascii="Times New Roman" w:hAnsi="Times New Roman"/>
          <w:color w:val="000000"/>
        </w:rPr>
        <w:t xml:space="preserve"> i) the date of the last non-life-contingent payment under the contract, certificate or contract feature; and ii) the date of the first life-contingent payment under the contract, certificate or contract feature, or</w:t>
      </w:r>
    </w:p>
    <w:p w14:paraId="044C9366" w14:textId="77777777" w:rsidR="008A7F4A" w:rsidRDefault="008A7F4A" w:rsidP="008A7F4A">
      <w:pPr>
        <w:autoSpaceDE w:val="0"/>
        <w:autoSpaceDN w:val="0"/>
        <w:adjustRightInd w:val="0"/>
        <w:spacing w:after="0" w:line="240" w:lineRule="auto"/>
        <w:ind w:left="720" w:hanging="360"/>
        <w:jc w:val="both"/>
        <w:rPr>
          <w:rFonts w:ascii="Times New Roman" w:hAnsi="Times New Roman"/>
          <w:color w:val="000000"/>
        </w:rPr>
      </w:pPr>
    </w:p>
    <w:p w14:paraId="08BF65DB" w14:textId="77777777" w:rsidR="008A7F4A" w:rsidRDefault="008A7F4A" w:rsidP="008A7F4A">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b.</w:t>
      </w:r>
      <w:r>
        <w:rPr>
          <w:rFonts w:ascii="Times New Roman" w:hAnsi="Times New Roman"/>
          <w:color w:val="000000"/>
        </w:rPr>
        <w:tab/>
        <w: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w:t>
      </w:r>
      <w:proofErr w:type="gramStart"/>
      <w:r>
        <w:rPr>
          <w:rFonts w:ascii="Times New Roman" w:hAnsi="Times New Roman"/>
          <w:color w:val="000000"/>
        </w:rPr>
        <w:t>certificate</w:t>
      </w:r>
      <w:proofErr w:type="gramEnd"/>
      <w:r>
        <w:rPr>
          <w:rFonts w:ascii="Times New Roman" w:hAnsi="Times New Roman"/>
          <w:color w:val="000000"/>
        </w:rPr>
        <w:t xml:space="preserve"> or contract feature, or </w:t>
      </w:r>
    </w:p>
    <w:p w14:paraId="31B34612" w14:textId="77777777" w:rsidR="008A7F4A" w:rsidRDefault="008A7F4A" w:rsidP="008A7F4A">
      <w:pPr>
        <w:autoSpaceDE w:val="0"/>
        <w:autoSpaceDN w:val="0"/>
        <w:adjustRightInd w:val="0"/>
        <w:spacing w:after="0" w:line="240" w:lineRule="auto"/>
        <w:ind w:left="360"/>
        <w:jc w:val="both"/>
        <w:rPr>
          <w:rFonts w:ascii="Times New Roman" w:hAnsi="Times New Roman"/>
          <w:color w:val="000000"/>
        </w:rPr>
      </w:pPr>
    </w:p>
    <w:p w14:paraId="4593ED44" w14:textId="77777777" w:rsidR="008A7F4A" w:rsidRDefault="008A7F4A" w:rsidP="008A7F4A">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c.</w:t>
      </w:r>
      <w:r>
        <w:rPr>
          <w:rFonts w:ascii="Times New Roman" w:hAnsi="Times New Roman"/>
          <w:color w:val="000000"/>
        </w:rPr>
        <w:tab/>
        <w:t>For contracts, certificates or contract features where the payments are not substantially similar, the actuary should apply prudent judgment and select the Valuation Rate Bucket with Macaulay duration that is a best fit to the Macaulay duration of the payments in question.</w:t>
      </w:r>
    </w:p>
    <w:p w14:paraId="5702238B" w14:textId="77777777" w:rsidR="008A7F4A" w:rsidRDefault="008A7F4A" w:rsidP="008A7F4A">
      <w:pPr>
        <w:autoSpaceDE w:val="0"/>
        <w:autoSpaceDN w:val="0"/>
        <w:adjustRightInd w:val="0"/>
        <w:spacing w:after="0" w:line="240" w:lineRule="auto"/>
        <w:ind w:left="360"/>
        <w:jc w:val="both"/>
        <w:rPr>
          <w:rFonts w:ascii="Times New Roman" w:hAnsi="Times New Roman"/>
          <w:color w:val="000000"/>
        </w:rPr>
      </w:pPr>
    </w:p>
    <w:p w14:paraId="081A5D2C" w14:textId="77777777" w:rsidR="008A7F4A"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Pr>
          <w:rFonts w:ascii="Times New Roman" w:hAnsi="Times New Roman"/>
          <w:b/>
          <w:bCs/>
          <w:color w:val="000000"/>
        </w:rPr>
        <w:t xml:space="preserve">Guidance Note: </w:t>
      </w:r>
      <w:r>
        <w:rPr>
          <w:rFonts w:ascii="Times New Roman" w:hAnsi="Times New Roman"/>
          <w:color w:val="000000"/>
        </w:rPr>
        <w:t xml:space="preserve">Contracts with installment refunds or similar features should consider the length of the installment period </w:t>
      </w:r>
      <w:r>
        <w:rPr>
          <w:rFonts w:ascii="Times New Roman" w:hAnsi="Times New Roman"/>
        </w:rPr>
        <w:t>calculated from the premium determination date as the non</w:t>
      </w:r>
      <w:r>
        <w:rPr>
          <w:rFonts w:ascii="Times New Roman" w:hAnsi="Times New Roman"/>
          <w:color w:val="000000"/>
        </w:rPr>
        <w:t>-life contingent period for the purpose of determining the reference period.</w:t>
      </w:r>
    </w:p>
    <w:p w14:paraId="76751402" w14:textId="77777777" w:rsidR="008A7F4A" w:rsidRDefault="008A7F4A" w:rsidP="008A7F4A">
      <w:pPr>
        <w:autoSpaceDE w:val="0"/>
        <w:autoSpaceDN w:val="0"/>
        <w:adjustRightInd w:val="0"/>
        <w:spacing w:after="0" w:line="240" w:lineRule="auto"/>
        <w:jc w:val="both"/>
        <w:rPr>
          <w:rFonts w:ascii="Times New Roman" w:hAnsi="Times New Roman"/>
          <w:color w:val="000000"/>
        </w:rPr>
      </w:pPr>
    </w:p>
    <w:p w14:paraId="048D8552" w14:textId="77777777" w:rsidR="008A7F4A" w:rsidRDefault="008A7F4A" w:rsidP="008A7F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Pr>
          <w:rFonts w:ascii="Times New Roman" w:hAnsi="Times New Roman"/>
          <w:b/>
          <w:bCs/>
          <w:color w:val="000000"/>
        </w:rPr>
        <w:t xml:space="preserve">Guidance Note: </w:t>
      </w:r>
      <w:r>
        <w:rPr>
          <w:rFonts w:ascii="Times New Roman" w:hAnsi="Times New Roman"/>
          <w:color w:val="000000"/>
        </w:rPr>
        <w:t xml:space="preserve">The determination in Section 13.B.1.c above shall be made based on the materiality of the payments that are not substantially similar relative to the life-contingent payments. </w:t>
      </w:r>
    </w:p>
    <w:p w14:paraId="4440402E" w14:textId="77777777" w:rsidR="008A7F4A" w:rsidRDefault="008A7F4A" w:rsidP="008A7F4A">
      <w:pPr>
        <w:autoSpaceDE w:val="0"/>
        <w:autoSpaceDN w:val="0"/>
        <w:adjustRightInd w:val="0"/>
        <w:spacing w:after="0" w:line="240" w:lineRule="auto"/>
        <w:jc w:val="both"/>
        <w:rPr>
          <w:rFonts w:ascii="Times New Roman" w:hAnsi="Times New Roman"/>
          <w:color w:val="000000"/>
        </w:rPr>
      </w:pPr>
    </w:p>
    <w:p w14:paraId="6FEAF0B0" w14:textId="77777777" w:rsidR="008A7F4A" w:rsidRDefault="008A7F4A" w:rsidP="008A7F4A">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2.</w:t>
      </w:r>
      <w:r>
        <w:rPr>
          <w:rFonts w:ascii="Times New Roman" w:hAnsi="Times New Roman"/>
          <w:color w:val="000000"/>
        </w:rPr>
        <w:tab/>
        <w:t>The term “jumbo contract” means a contract with an initial consideration equal to or greater than $250 million. Considerations for contracts issued by an insurer to the same contract holder within 90 days shall be combined for purposes of determining whether the contracts meet this threshold.</w:t>
      </w:r>
    </w:p>
    <w:p w14:paraId="232070D2" w14:textId="77777777" w:rsidR="008A7F4A" w:rsidRDefault="008A7F4A" w:rsidP="008A7F4A">
      <w:pPr>
        <w:autoSpaceDE w:val="0"/>
        <w:autoSpaceDN w:val="0"/>
        <w:adjustRightInd w:val="0"/>
        <w:spacing w:after="0" w:line="240" w:lineRule="auto"/>
        <w:jc w:val="both"/>
        <w:rPr>
          <w:rFonts w:ascii="Times New Roman" w:hAnsi="Times New Roman"/>
          <w:color w:val="000000"/>
        </w:rPr>
      </w:pPr>
    </w:p>
    <w:p w14:paraId="2E94FCE2" w14:textId="77777777" w:rsidR="008A7F4A" w:rsidRDefault="008A7F4A" w:rsidP="008A7F4A">
      <w:pPr>
        <w:pBdr>
          <w:top w:val="single" w:sz="4" w:space="1" w:color="auto"/>
          <w:left w:val="single" w:sz="4" w:space="4" w:color="auto"/>
          <w:bottom w:val="single" w:sz="4" w:space="1" w:color="auto"/>
          <w:right w:val="single" w:sz="4" w:space="4" w:color="auto"/>
        </w:pBdr>
        <w:spacing w:after="220" w:line="256" w:lineRule="auto"/>
        <w:ind w:left="720"/>
        <w:jc w:val="both"/>
        <w:rPr>
          <w:rFonts w:ascii="Times New Roman" w:hAnsi="Times New Roman"/>
        </w:rPr>
      </w:pPr>
      <w:r>
        <w:rPr>
          <w:rFonts w:ascii="Times New Roman" w:hAnsi="Times New Roman"/>
          <w:b/>
          <w:bCs/>
          <w:color w:val="000000"/>
        </w:rPr>
        <w:t>Guidance Note</w:t>
      </w:r>
      <w:r>
        <w:rPr>
          <w:rFonts w:ascii="Times New Roman" w:hAnsi="Times New Roman"/>
          <w:color w:val="000000"/>
        </w:rPr>
        <w:t>: If multiple contracts meet this criterion in aggregate, then each contract is a jumbo contract.</w:t>
      </w:r>
    </w:p>
    <w:p w14:paraId="24B646B7" w14:textId="77777777" w:rsidR="008A7F4A" w:rsidRDefault="008A7F4A" w:rsidP="00745C9A">
      <w:pPr>
        <w:pStyle w:val="ListParagraph"/>
        <w:widowControl w:val="0"/>
        <w:numPr>
          <w:ilvl w:val="0"/>
          <w:numId w:val="129"/>
        </w:num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The term “non-jumbo contract” means a contract that does not meet the definition of a jumbo contract.</w:t>
      </w:r>
    </w:p>
    <w:p w14:paraId="7FC3A16F" w14:textId="77777777" w:rsidR="008A7F4A" w:rsidRDefault="008A7F4A" w:rsidP="008A7F4A">
      <w:pPr>
        <w:autoSpaceDE w:val="0"/>
        <w:autoSpaceDN w:val="0"/>
        <w:adjustRightInd w:val="0"/>
        <w:spacing w:after="0" w:line="240" w:lineRule="auto"/>
        <w:jc w:val="both"/>
        <w:rPr>
          <w:rFonts w:ascii="Times New Roman" w:hAnsi="Times New Roman"/>
          <w:color w:val="000000"/>
        </w:rPr>
      </w:pPr>
    </w:p>
    <w:p w14:paraId="0F15200E" w14:textId="77777777" w:rsidR="008A7F4A" w:rsidRDefault="008A7F4A" w:rsidP="008A7F4A">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4.</w:t>
      </w:r>
      <w:r>
        <w:rPr>
          <w:rFonts w:ascii="Times New Roman" w:hAnsi="Times New Roman"/>
          <w:color w:val="000000"/>
        </w:rPr>
        <w:tab/>
        <w:t>The term “premium determination date” means the date as of which the valuation interest rate for the contract, certificate or contract feature being valued is determined.</w:t>
      </w:r>
    </w:p>
    <w:p w14:paraId="387B6EF6" w14:textId="77777777" w:rsidR="008A7F4A" w:rsidRDefault="008A7F4A" w:rsidP="008A7F4A">
      <w:pPr>
        <w:autoSpaceDE w:val="0"/>
        <w:autoSpaceDN w:val="0"/>
        <w:adjustRightInd w:val="0"/>
        <w:spacing w:after="0" w:line="240" w:lineRule="auto"/>
        <w:jc w:val="both"/>
        <w:rPr>
          <w:rFonts w:ascii="Times New Roman" w:hAnsi="Times New Roman"/>
          <w:color w:val="000000"/>
        </w:rPr>
      </w:pPr>
    </w:p>
    <w:p w14:paraId="725C9DD8" w14:textId="77777777" w:rsidR="008A7F4A" w:rsidRDefault="008A7F4A" w:rsidP="008A7F4A">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5.</w:t>
      </w:r>
      <w:r>
        <w:rPr>
          <w:rFonts w:ascii="Times New Roman" w:hAnsi="Times New Roman"/>
          <w:color w:val="000000"/>
        </w:rPr>
        <w:tab/>
        <w:t xml:space="preserve">The term “initial age” means the age of </w:t>
      </w:r>
      <w:r>
        <w:rPr>
          <w:rFonts w:ascii="Times New Roman" w:hAnsi="Times New Roman"/>
        </w:rPr>
        <w:t xml:space="preserve">the annuitant as of his </w:t>
      </w:r>
      <w:r>
        <w:rPr>
          <w:rFonts w:ascii="Times New Roman" w:hAnsi="Times New Roman"/>
          <w:color w:val="000000"/>
        </w:rPr>
        <w:t xml:space="preserve">or her age last birthday relative to the premium determination date. For joint life contracts, </w:t>
      </w:r>
      <w:proofErr w:type="gramStart"/>
      <w:r>
        <w:rPr>
          <w:rFonts w:ascii="Times New Roman" w:hAnsi="Times New Roman"/>
          <w:color w:val="000000"/>
        </w:rPr>
        <w:t>certificates</w:t>
      </w:r>
      <w:proofErr w:type="gramEnd"/>
      <w:r>
        <w:rPr>
          <w:rFonts w:ascii="Times New Roman" w:hAnsi="Times New Roman"/>
          <w:color w:val="000000"/>
        </w:rPr>
        <w:t xml:space="preserve"> or contract features, the “initial age” means the initial age of the younger annuitant. If a contract, </w:t>
      </w:r>
      <w:proofErr w:type="gramStart"/>
      <w:r>
        <w:rPr>
          <w:rFonts w:ascii="Times New Roman" w:hAnsi="Times New Roman"/>
          <w:color w:val="000000"/>
        </w:rPr>
        <w:t>certificate</w:t>
      </w:r>
      <w:proofErr w:type="gramEnd"/>
      <w:r>
        <w:rPr>
          <w:rFonts w:ascii="Times New Roman" w:hAnsi="Times New Roman"/>
          <w:color w:val="000000"/>
        </w:rPr>
        <w:t xml:space="preserve"> or contract feature for an </w:t>
      </w:r>
      <w:r>
        <w:rPr>
          <w:rFonts w:ascii="Times New Roman" w:hAnsi="Times New Roman"/>
        </w:rPr>
        <w:t xml:space="preserve">annuitant is being valued </w:t>
      </w:r>
      <w:r>
        <w:rPr>
          <w:rFonts w:ascii="Times New Roman" w:hAnsi="Times New Roman"/>
          <w:color w:val="000000"/>
        </w:rPr>
        <w:t xml:space="preserve">on a standard mortality table as an impaired annuitant, “initial age” means the rated age. If a contract, </w:t>
      </w:r>
      <w:proofErr w:type="gramStart"/>
      <w:r>
        <w:rPr>
          <w:rFonts w:ascii="Times New Roman" w:hAnsi="Times New Roman"/>
          <w:color w:val="000000"/>
        </w:rPr>
        <w:t>certificate</w:t>
      </w:r>
      <w:proofErr w:type="gramEnd"/>
      <w:r>
        <w:rPr>
          <w:rFonts w:ascii="Times New Roman" w:hAnsi="Times New Roman"/>
          <w:color w:val="000000"/>
        </w:rPr>
        <w:t xml:space="preserve"> or contract feature is being valued on a substandard mortality basis, “initial age” means an equivalent rated age.</w:t>
      </w:r>
    </w:p>
    <w:p w14:paraId="66205670" w14:textId="77777777" w:rsidR="008A7F4A" w:rsidRDefault="008A7F4A" w:rsidP="008A7F4A">
      <w:pPr>
        <w:autoSpaceDE w:val="0"/>
        <w:autoSpaceDN w:val="0"/>
        <w:adjustRightInd w:val="0"/>
        <w:spacing w:after="0" w:line="240" w:lineRule="auto"/>
        <w:jc w:val="both"/>
        <w:rPr>
          <w:rFonts w:ascii="Times New Roman" w:hAnsi="Times New Roman"/>
          <w:color w:val="000000"/>
        </w:rPr>
      </w:pPr>
    </w:p>
    <w:p w14:paraId="01A0E0FB" w14:textId="77777777" w:rsidR="008A7F4A" w:rsidRDefault="008A7F4A" w:rsidP="008A7F4A">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6.</w:t>
      </w:r>
      <w:r>
        <w:rPr>
          <w:rFonts w:ascii="Times New Roman" w:hAnsi="Times New Roman"/>
          <w:color w:val="000000"/>
        </w:rPr>
        <w:tab/>
        <w:t xml:space="preserve">The term “Table X spreads” means the prescribed VM-22 Section 13 current market benchmark spreads for the quarter prior to the premium determination date, as published on the </w:t>
      </w:r>
      <w:proofErr w:type="gramStart"/>
      <w:r>
        <w:rPr>
          <w:rFonts w:ascii="Times New Roman" w:hAnsi="Times New Roman"/>
          <w:color w:val="000000"/>
        </w:rPr>
        <w:t>Industry</w:t>
      </w:r>
      <w:proofErr w:type="gramEnd"/>
      <w:r>
        <w:rPr>
          <w:rFonts w:ascii="Times New Roman" w:hAnsi="Times New Roman"/>
          <w:color w:val="000000"/>
        </w:rPr>
        <w:t xml:space="preserve"> tab of the NAIC website. The process used to determine Table X spreads is the same as that specified in VM-20 Appendix 2.D for Table F, except that JP Morgan and Bank of America bond spreads are averaged over the quarter rather than the last business day of the month.</w:t>
      </w:r>
    </w:p>
    <w:p w14:paraId="13E3ABF1" w14:textId="77777777" w:rsidR="008A7F4A" w:rsidRDefault="008A7F4A" w:rsidP="008A7F4A">
      <w:pPr>
        <w:autoSpaceDE w:val="0"/>
        <w:autoSpaceDN w:val="0"/>
        <w:adjustRightInd w:val="0"/>
        <w:spacing w:after="0" w:line="240" w:lineRule="auto"/>
        <w:jc w:val="both"/>
        <w:rPr>
          <w:rFonts w:ascii="Times New Roman" w:hAnsi="Times New Roman"/>
          <w:color w:val="000000"/>
        </w:rPr>
      </w:pPr>
    </w:p>
    <w:p w14:paraId="2047FD38" w14:textId="77777777" w:rsidR="008A7F4A" w:rsidRDefault="008A7F4A" w:rsidP="008A7F4A">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7.</w:t>
      </w:r>
      <w:r>
        <w:rPr>
          <w:rFonts w:ascii="Times New Roman" w:hAnsi="Times New Roman"/>
          <w:color w:val="000000"/>
        </w:rPr>
        <w:tab/>
        <w:t xml:space="preserve">The term “expected default cost” means a vector of annual default costs by weighted average life. This is calculated as a weighted average of the VM-20 Table A prescribed annual default costs published on the </w:t>
      </w:r>
      <w:proofErr w:type="gramStart"/>
      <w:r>
        <w:rPr>
          <w:rFonts w:ascii="Times New Roman" w:hAnsi="Times New Roman"/>
          <w:color w:val="000000"/>
        </w:rPr>
        <w:t>Industry</w:t>
      </w:r>
      <w:proofErr w:type="gramEnd"/>
      <w:r>
        <w:rPr>
          <w:rFonts w:ascii="Times New Roman" w:hAnsi="Times New Roman"/>
          <w:color w:val="000000"/>
        </w:rPr>
        <w:t xml:space="preserve"> tab of the NAIC website in effect for the quarter prior to the premium determination date, using the prescribed portfolio credit quality distribution as weights.</w:t>
      </w:r>
    </w:p>
    <w:p w14:paraId="04CA02F5" w14:textId="77777777" w:rsidR="008A7F4A" w:rsidRDefault="008A7F4A" w:rsidP="008A7F4A">
      <w:pPr>
        <w:autoSpaceDE w:val="0"/>
        <w:autoSpaceDN w:val="0"/>
        <w:adjustRightInd w:val="0"/>
        <w:spacing w:after="0" w:line="240" w:lineRule="auto"/>
        <w:jc w:val="both"/>
        <w:rPr>
          <w:rFonts w:ascii="Times New Roman" w:hAnsi="Times New Roman"/>
          <w:color w:val="000000"/>
        </w:rPr>
      </w:pPr>
    </w:p>
    <w:p w14:paraId="54E03646" w14:textId="77777777" w:rsidR="008A7F4A" w:rsidRDefault="008A7F4A" w:rsidP="008A7F4A">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8.</w:t>
      </w:r>
      <w:r>
        <w:rPr>
          <w:rFonts w:ascii="Times New Roman" w:hAnsi="Times New Roman"/>
          <w:color w:val="000000"/>
        </w:rPr>
        <w:tab/>
        <w:t>The term “expected spread” means a vector of spreads by weighted average life. This is calculated as a weighted average of the Table X spreads, using the prescribed portfolio credit quality distribution as weights.</w:t>
      </w:r>
    </w:p>
    <w:p w14:paraId="388F05A4" w14:textId="77777777" w:rsidR="008A7F4A" w:rsidRDefault="008A7F4A" w:rsidP="008A7F4A">
      <w:pPr>
        <w:autoSpaceDE w:val="0"/>
        <w:autoSpaceDN w:val="0"/>
        <w:adjustRightInd w:val="0"/>
        <w:spacing w:after="0" w:line="240" w:lineRule="auto"/>
        <w:jc w:val="both"/>
        <w:rPr>
          <w:rFonts w:ascii="Times New Roman" w:hAnsi="Times New Roman"/>
          <w:color w:val="000000"/>
        </w:rPr>
      </w:pPr>
    </w:p>
    <w:p w14:paraId="61D83D71" w14:textId="77777777" w:rsidR="008A7F4A" w:rsidRDefault="008A7F4A" w:rsidP="008A7F4A">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9.</w:t>
      </w:r>
      <w:r>
        <w:rPr>
          <w:rFonts w:ascii="Times New Roman" w:hAnsi="Times New Roman"/>
          <w:color w:val="000000"/>
        </w:rPr>
        <w:tab/>
        <w:t xml:space="preserve">The term “prescribed </w:t>
      </w:r>
      <w:r>
        <w:rPr>
          <w:rFonts w:ascii="Times New Roman" w:hAnsi="Times New Roman"/>
        </w:rPr>
        <w:t xml:space="preserve">portfolio </w:t>
      </w:r>
      <w:r>
        <w:rPr>
          <w:rFonts w:ascii="Times New Roman" w:hAnsi="Times New Roman"/>
          <w:color w:val="000000"/>
        </w:rPr>
        <w:t>credit quality distribution” means the following credit rating distribution:</w:t>
      </w:r>
    </w:p>
    <w:p w14:paraId="3FBA0239" w14:textId="77777777" w:rsidR="008A7F4A" w:rsidRDefault="008A7F4A" w:rsidP="008A7F4A">
      <w:pPr>
        <w:autoSpaceDE w:val="0"/>
        <w:autoSpaceDN w:val="0"/>
        <w:adjustRightInd w:val="0"/>
        <w:spacing w:after="0" w:line="240" w:lineRule="auto"/>
        <w:jc w:val="both"/>
        <w:rPr>
          <w:rFonts w:ascii="Times New Roman" w:hAnsi="Times New Roman"/>
          <w:color w:val="000000"/>
        </w:rPr>
      </w:pPr>
    </w:p>
    <w:p w14:paraId="5DF42D4E" w14:textId="77777777" w:rsidR="008A7F4A" w:rsidRDefault="008A7F4A" w:rsidP="008A7F4A">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a.</w:t>
      </w:r>
      <w:r>
        <w:rPr>
          <w:rFonts w:ascii="Times New Roman" w:hAnsi="Times New Roman"/>
          <w:color w:val="000000"/>
        </w:rPr>
        <w:tab/>
        <w:t>5% Treasuries</w:t>
      </w:r>
    </w:p>
    <w:p w14:paraId="7B7AF90D" w14:textId="77777777" w:rsidR="008A7F4A" w:rsidRDefault="008A7F4A" w:rsidP="008A7F4A">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b.</w:t>
      </w:r>
      <w:r>
        <w:rPr>
          <w:rFonts w:ascii="Times New Roman" w:hAnsi="Times New Roman"/>
          <w:color w:val="000000"/>
        </w:rPr>
        <w:tab/>
        <w:t>15% Aa bonds (5% Aa1, 5% Aa2, 5% Aa3)</w:t>
      </w:r>
    </w:p>
    <w:p w14:paraId="37B16142" w14:textId="77777777" w:rsidR="008A7F4A" w:rsidRDefault="008A7F4A" w:rsidP="008A7F4A">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c.</w:t>
      </w:r>
      <w:r>
        <w:rPr>
          <w:rFonts w:ascii="Times New Roman" w:hAnsi="Times New Roman"/>
          <w:color w:val="000000"/>
        </w:rPr>
        <w:tab/>
        <w:t>40% A bonds (13.33% A1, 13.33% A2, 13.33% A3)*</w:t>
      </w:r>
    </w:p>
    <w:p w14:paraId="2AECEC6E" w14:textId="77777777" w:rsidR="008A7F4A" w:rsidRDefault="008A7F4A" w:rsidP="008A7F4A">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d.</w:t>
      </w:r>
      <w:r>
        <w:rPr>
          <w:rFonts w:ascii="Times New Roman" w:hAnsi="Times New Roman"/>
          <w:color w:val="000000"/>
        </w:rPr>
        <w:tab/>
        <w:t>40% Baa bonds (13.33% Baa1, 13.33% Baa2, 13.33% Baa3)*</w:t>
      </w:r>
    </w:p>
    <w:p w14:paraId="5E370E6D" w14:textId="77777777" w:rsidR="008A7F4A" w:rsidRDefault="008A7F4A" w:rsidP="008A7F4A">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*40%/3 is used unrounded in the calculations.</w:t>
      </w:r>
    </w:p>
    <w:p w14:paraId="01315CF8" w14:textId="77777777" w:rsidR="008A7F4A" w:rsidRDefault="008A7F4A" w:rsidP="008A7F4A">
      <w:pPr>
        <w:spacing w:after="0"/>
        <w:rPr>
          <w:rFonts w:ascii="Times New Roman" w:hAnsi="Times New Roman"/>
        </w:rPr>
      </w:pPr>
    </w:p>
    <w:p w14:paraId="5DC842C0" w14:textId="77777777" w:rsidR="008A7F4A" w:rsidRDefault="008A7F4A" w:rsidP="008A7F4A">
      <w:pPr>
        <w:pStyle w:val="Heading3"/>
        <w:spacing w:after="220"/>
        <w:ind w:left="-450"/>
        <w:rPr>
          <w:rFonts w:eastAsiaTheme="minorHAnsi"/>
          <w:sz w:val="22"/>
          <w:szCs w:val="22"/>
        </w:rPr>
      </w:pPr>
      <w:bookmarkStart w:id="126" w:name="_Toc77242182"/>
      <w:r>
        <w:rPr>
          <w:rFonts w:eastAsiaTheme="minorHAnsi"/>
          <w:sz w:val="22"/>
          <w:szCs w:val="22"/>
        </w:rPr>
        <w:t>C. Determination of the Statutory Maximum Valuation Interest Rate</w:t>
      </w:r>
      <w:bookmarkEnd w:id="126"/>
    </w:p>
    <w:p w14:paraId="66B5A37B" w14:textId="77777777" w:rsidR="008A7F4A" w:rsidRDefault="008A7F4A" w:rsidP="00745C9A">
      <w:pPr>
        <w:numPr>
          <w:ilvl w:val="0"/>
          <w:numId w:val="130"/>
        </w:numPr>
        <w:spacing w:after="220" w:line="240" w:lineRule="auto"/>
        <w:jc w:val="both"/>
        <w:rPr>
          <w:rFonts w:ascii="Times New Roman" w:hAnsi="Times New Roman"/>
        </w:rPr>
      </w:pPr>
      <w:r>
        <w:rPr>
          <w:rFonts w:ascii="Times New Roman" w:hAnsi="Times New Roman"/>
        </w:rPr>
        <w:t>Valuation Rate Buckets</w:t>
      </w:r>
    </w:p>
    <w:p w14:paraId="614D81EB" w14:textId="77777777" w:rsidR="008A7F4A" w:rsidRDefault="008A7F4A" w:rsidP="00745C9A">
      <w:pPr>
        <w:numPr>
          <w:ilvl w:val="0"/>
          <w:numId w:val="131"/>
        </w:numPr>
        <w:spacing w:after="220" w:line="240" w:lineRule="auto"/>
        <w:jc w:val="both"/>
        <w:rPr>
          <w:rFonts w:ascii="Times New Roman" w:hAnsi="Times New Roman"/>
        </w:rPr>
      </w:pPr>
      <w:proofErr w:type="gramStart"/>
      <w:r>
        <w:rPr>
          <w:rFonts w:ascii="Times New Roman" w:hAnsi="Times New Roman"/>
        </w:rPr>
        <w:t>For the purpose of</w:t>
      </w:r>
      <w:proofErr w:type="gramEnd"/>
      <w:r>
        <w:rPr>
          <w:rFonts w:ascii="Times New Roman" w:hAnsi="Times New Roman"/>
        </w:rPr>
        <w:t xml:space="preserve"> determining the statutory maximum valuation interest rate, the contract, certificate or contract feature being valued must be assigned to one of four Valuation Rate Buckets labeled A through D.  </w:t>
      </w:r>
    </w:p>
    <w:p w14:paraId="757E0536" w14:textId="77777777" w:rsidR="008A7F4A" w:rsidRDefault="008A7F4A" w:rsidP="00745C9A">
      <w:pPr>
        <w:numPr>
          <w:ilvl w:val="0"/>
          <w:numId w:val="131"/>
        </w:numPr>
        <w:spacing w:after="220" w:line="240" w:lineRule="auto"/>
        <w:jc w:val="both"/>
        <w:rPr>
          <w:rFonts w:ascii="Times New Roman" w:hAnsi="Times New Roman"/>
        </w:rPr>
      </w:pPr>
      <w:r>
        <w:rPr>
          <w:rFonts w:ascii="Times New Roman" w:hAnsi="Times New Roman"/>
        </w:rPr>
        <w:t xml:space="preserve">If the contract, </w:t>
      </w:r>
      <w:proofErr w:type="gramStart"/>
      <w:r>
        <w:rPr>
          <w:rFonts w:ascii="Times New Roman" w:hAnsi="Times New Roman"/>
        </w:rPr>
        <w:t>certificate</w:t>
      </w:r>
      <w:proofErr w:type="gramEnd"/>
      <w:r>
        <w:rPr>
          <w:rFonts w:ascii="Times New Roman" w:hAnsi="Times New Roman"/>
        </w:rPr>
        <w:t xml:space="preserve"> or contract feature has no life contingencies, the Valuation Rate Bucket is assigned based on the length of the reference period (RP), as follows:</w:t>
      </w:r>
    </w:p>
    <w:p w14:paraId="7E9AD795" w14:textId="77777777" w:rsidR="008A7F4A" w:rsidRDefault="008A7F4A" w:rsidP="008A7F4A">
      <w:pPr>
        <w:spacing w:after="220" w:line="240" w:lineRule="auto"/>
        <w:ind w:left="720"/>
        <w:rPr>
          <w:rFonts w:ascii="Times New Roman" w:hAnsi="Times New Roman"/>
          <w:b/>
        </w:rPr>
      </w:pPr>
      <w:r>
        <w:rPr>
          <w:rFonts w:ascii="Times New Roman" w:hAnsi="Times New Roman"/>
          <w:b/>
        </w:rPr>
        <w:t>Table 3-1: Assignment to Valuation Rate Bucket by Reference Period Only</w:t>
      </w: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8A7F4A" w14:paraId="6488C282" w14:textId="77777777" w:rsidTr="008A7F4A">
        <w:trPr>
          <w:cnfStyle w:val="100000000000" w:firstRow="1" w:lastRow="0" w:firstColumn="0" w:lastColumn="0" w:oddVBand="0" w:evenVBand="0" w:oddHBand="0" w:evenHBand="0" w:firstRowFirstColumn="0" w:firstRowLastColumn="0" w:lastRowFirstColumn="0" w:lastRowLastColumn="0"/>
          <w:trHeight w:val="718"/>
          <w:jc w:val="center"/>
        </w:trPr>
        <w:tc>
          <w:tcPr>
            <w:tcW w:w="2088" w:type="dxa"/>
            <w:tcBorders>
              <w:top w:val="single" w:sz="4" w:space="0" w:color="auto"/>
              <w:left w:val="single" w:sz="4" w:space="0" w:color="auto"/>
              <w:bottom w:val="single" w:sz="4" w:space="0" w:color="auto"/>
              <w:right w:val="single" w:sz="4" w:space="0" w:color="auto"/>
            </w:tcBorders>
            <w:hideMark/>
          </w:tcPr>
          <w:p w14:paraId="154D6FC9" w14:textId="77777777" w:rsidR="008A7F4A" w:rsidRDefault="008A7F4A">
            <w:pPr>
              <w:spacing w:after="220"/>
              <w:jc w:val="center"/>
              <w:rPr>
                <w:rFonts w:ascii="Times New Roman" w:hAnsi="Times New Roman"/>
                <w:color w:val="auto"/>
              </w:rPr>
            </w:pPr>
            <w:r>
              <w:rPr>
                <w:rFonts w:ascii="Times New Roman" w:hAnsi="Times New Roman"/>
                <w:color w:val="auto"/>
              </w:rPr>
              <w:t>RP ≤ 5 Years</w:t>
            </w:r>
          </w:p>
        </w:tc>
        <w:tc>
          <w:tcPr>
            <w:tcW w:w="1397" w:type="dxa"/>
            <w:tcBorders>
              <w:top w:val="single" w:sz="4" w:space="0" w:color="auto"/>
              <w:left w:val="single" w:sz="4" w:space="0" w:color="auto"/>
              <w:bottom w:val="single" w:sz="4" w:space="0" w:color="auto"/>
              <w:right w:val="single" w:sz="4" w:space="0" w:color="auto"/>
            </w:tcBorders>
            <w:hideMark/>
          </w:tcPr>
          <w:p w14:paraId="56C620D9" w14:textId="77777777" w:rsidR="008A7F4A" w:rsidRDefault="008A7F4A">
            <w:pPr>
              <w:spacing w:after="220"/>
              <w:jc w:val="center"/>
              <w:rPr>
                <w:rFonts w:ascii="Times New Roman" w:hAnsi="Times New Roman"/>
                <w:color w:val="auto"/>
              </w:rPr>
            </w:pPr>
            <w:r>
              <w:rPr>
                <w:rFonts w:ascii="Times New Roman" w:hAnsi="Times New Roman"/>
                <w:color w:val="auto"/>
              </w:rPr>
              <w:t>5Y &lt; RP ≤ 10Y</w:t>
            </w:r>
          </w:p>
        </w:tc>
        <w:tc>
          <w:tcPr>
            <w:tcW w:w="1397" w:type="dxa"/>
            <w:tcBorders>
              <w:top w:val="single" w:sz="4" w:space="0" w:color="auto"/>
              <w:left w:val="single" w:sz="4" w:space="0" w:color="auto"/>
              <w:bottom w:val="single" w:sz="4" w:space="0" w:color="auto"/>
              <w:right w:val="single" w:sz="4" w:space="0" w:color="auto"/>
            </w:tcBorders>
            <w:hideMark/>
          </w:tcPr>
          <w:p w14:paraId="09E712D5" w14:textId="77777777" w:rsidR="008A7F4A" w:rsidRDefault="008A7F4A">
            <w:pPr>
              <w:spacing w:after="220"/>
              <w:jc w:val="center"/>
              <w:rPr>
                <w:rFonts w:ascii="Times New Roman" w:hAnsi="Times New Roman"/>
                <w:color w:val="auto"/>
              </w:rPr>
            </w:pPr>
            <w:r>
              <w:rPr>
                <w:rFonts w:ascii="Times New Roman" w:hAnsi="Times New Roman"/>
                <w:color w:val="auto"/>
              </w:rPr>
              <w:t>10Y &lt; RP ≤ 15Y</w:t>
            </w:r>
          </w:p>
        </w:tc>
        <w:tc>
          <w:tcPr>
            <w:tcW w:w="1397" w:type="dxa"/>
            <w:tcBorders>
              <w:top w:val="single" w:sz="4" w:space="0" w:color="auto"/>
              <w:left w:val="single" w:sz="4" w:space="0" w:color="auto"/>
              <w:bottom w:val="single" w:sz="4" w:space="0" w:color="auto"/>
              <w:right w:val="single" w:sz="4" w:space="0" w:color="auto"/>
            </w:tcBorders>
            <w:hideMark/>
          </w:tcPr>
          <w:p w14:paraId="00CA1B5F" w14:textId="77777777" w:rsidR="008A7F4A" w:rsidRDefault="008A7F4A">
            <w:pPr>
              <w:spacing w:after="220"/>
              <w:jc w:val="center"/>
              <w:rPr>
                <w:rFonts w:ascii="Times New Roman" w:hAnsi="Times New Roman"/>
                <w:color w:val="auto"/>
              </w:rPr>
            </w:pPr>
            <w:r>
              <w:rPr>
                <w:rFonts w:ascii="Times New Roman" w:hAnsi="Times New Roman"/>
                <w:color w:val="auto"/>
              </w:rPr>
              <w:t>RP &gt; 15Y</w:t>
            </w:r>
          </w:p>
        </w:tc>
      </w:tr>
      <w:tr w:rsidR="008A7F4A" w14:paraId="1AD532BF" w14:textId="77777777" w:rsidTr="008A7F4A">
        <w:trPr>
          <w:cnfStyle w:val="000000100000" w:firstRow="0" w:lastRow="0" w:firstColumn="0" w:lastColumn="0" w:oddVBand="0" w:evenVBand="0" w:oddHBand="1" w:evenHBand="0" w:firstRowFirstColumn="0" w:firstRowLastColumn="0" w:lastRowFirstColumn="0" w:lastRowLastColumn="0"/>
          <w:trHeight w:val="453"/>
          <w:jc w:val="center"/>
        </w:trPr>
        <w:tc>
          <w:tcPr>
            <w:tcW w:w="2088" w:type="dxa"/>
            <w:tcBorders>
              <w:top w:val="single" w:sz="4" w:space="0" w:color="auto"/>
              <w:left w:val="single" w:sz="4" w:space="0" w:color="auto"/>
              <w:bottom w:val="single" w:sz="4" w:space="0" w:color="auto"/>
              <w:right w:val="single" w:sz="4" w:space="0" w:color="auto"/>
            </w:tcBorders>
            <w:hideMark/>
          </w:tcPr>
          <w:p w14:paraId="6D9ADB81" w14:textId="77777777" w:rsidR="008A7F4A" w:rsidRDefault="008A7F4A">
            <w:pPr>
              <w:spacing w:after="220"/>
              <w:jc w:val="center"/>
              <w:rPr>
                <w:rFonts w:ascii="Times New Roman" w:hAnsi="Times New Roman"/>
              </w:rPr>
            </w:pPr>
            <w:r>
              <w:rPr>
                <w:rFonts w:ascii="Times New Roman" w:hAnsi="Times New Roman"/>
              </w:rPr>
              <w:t>A</w:t>
            </w:r>
          </w:p>
        </w:tc>
        <w:tc>
          <w:tcPr>
            <w:tcW w:w="1397" w:type="dxa"/>
            <w:tcBorders>
              <w:top w:val="single" w:sz="4" w:space="0" w:color="auto"/>
              <w:left w:val="single" w:sz="4" w:space="0" w:color="auto"/>
              <w:bottom w:val="single" w:sz="4" w:space="0" w:color="auto"/>
              <w:right w:val="single" w:sz="4" w:space="0" w:color="auto"/>
            </w:tcBorders>
            <w:hideMark/>
          </w:tcPr>
          <w:p w14:paraId="68E3C6D7" w14:textId="77777777" w:rsidR="008A7F4A" w:rsidRDefault="008A7F4A">
            <w:pPr>
              <w:spacing w:after="220"/>
              <w:jc w:val="center"/>
              <w:rPr>
                <w:rFonts w:ascii="Times New Roman" w:hAnsi="Times New Roman"/>
              </w:rPr>
            </w:pPr>
            <w:r>
              <w:rPr>
                <w:rFonts w:ascii="Times New Roman" w:hAnsi="Times New Roman"/>
              </w:rPr>
              <w:t>B</w:t>
            </w:r>
          </w:p>
        </w:tc>
        <w:tc>
          <w:tcPr>
            <w:tcW w:w="1397" w:type="dxa"/>
            <w:tcBorders>
              <w:top w:val="single" w:sz="4" w:space="0" w:color="auto"/>
              <w:left w:val="single" w:sz="4" w:space="0" w:color="auto"/>
              <w:bottom w:val="single" w:sz="4" w:space="0" w:color="auto"/>
              <w:right w:val="single" w:sz="4" w:space="0" w:color="auto"/>
            </w:tcBorders>
            <w:hideMark/>
          </w:tcPr>
          <w:p w14:paraId="0550245D" w14:textId="77777777" w:rsidR="008A7F4A" w:rsidRDefault="008A7F4A">
            <w:pPr>
              <w:spacing w:after="220"/>
              <w:jc w:val="center"/>
              <w:rPr>
                <w:rFonts w:ascii="Times New Roman" w:hAnsi="Times New Roman"/>
              </w:rPr>
            </w:pPr>
            <w:r>
              <w:rPr>
                <w:rFonts w:ascii="Times New Roman" w:hAnsi="Times New Roman"/>
              </w:rPr>
              <w:t>C</w:t>
            </w:r>
          </w:p>
        </w:tc>
        <w:tc>
          <w:tcPr>
            <w:tcW w:w="1397" w:type="dxa"/>
            <w:tcBorders>
              <w:top w:val="single" w:sz="4" w:space="0" w:color="auto"/>
              <w:left w:val="single" w:sz="4" w:space="0" w:color="auto"/>
              <w:bottom w:val="single" w:sz="4" w:space="0" w:color="auto"/>
              <w:right w:val="single" w:sz="4" w:space="0" w:color="auto"/>
            </w:tcBorders>
            <w:hideMark/>
          </w:tcPr>
          <w:p w14:paraId="6E8FB9BB" w14:textId="77777777" w:rsidR="008A7F4A" w:rsidRDefault="008A7F4A">
            <w:pPr>
              <w:spacing w:after="220"/>
              <w:jc w:val="center"/>
              <w:rPr>
                <w:rFonts w:ascii="Times New Roman" w:hAnsi="Times New Roman"/>
              </w:rPr>
            </w:pPr>
            <w:r>
              <w:rPr>
                <w:rFonts w:ascii="Times New Roman" w:hAnsi="Times New Roman"/>
              </w:rPr>
              <w:t>D</w:t>
            </w:r>
          </w:p>
        </w:tc>
      </w:tr>
    </w:tbl>
    <w:p w14:paraId="00088DF3" w14:textId="77777777" w:rsidR="008A7F4A" w:rsidRDefault="008A7F4A" w:rsidP="008A7F4A">
      <w:pPr>
        <w:spacing w:after="0" w:line="240" w:lineRule="auto"/>
        <w:ind w:left="1080"/>
        <w:rPr>
          <w:rFonts w:ascii="Times New Roman" w:hAnsi="Times New Roman"/>
        </w:rPr>
      </w:pPr>
    </w:p>
    <w:p w14:paraId="633A5E78" w14:textId="77777777" w:rsidR="008A7F4A" w:rsidRDefault="008A7F4A" w:rsidP="00745C9A">
      <w:pPr>
        <w:numPr>
          <w:ilvl w:val="0"/>
          <w:numId w:val="131"/>
        </w:numPr>
        <w:spacing w:after="220" w:line="240" w:lineRule="auto"/>
        <w:jc w:val="both"/>
        <w:rPr>
          <w:rFonts w:ascii="Times New Roman" w:hAnsi="Times New Roman"/>
        </w:rPr>
      </w:pPr>
      <w:r>
        <w:rPr>
          <w:rFonts w:ascii="Times New Roman" w:hAnsi="Times New Roman"/>
        </w:rPr>
        <w:t xml:space="preserve">If the contract, </w:t>
      </w:r>
      <w:proofErr w:type="gramStart"/>
      <w:r>
        <w:rPr>
          <w:rFonts w:ascii="Times New Roman" w:hAnsi="Times New Roman"/>
        </w:rPr>
        <w:t>certificate</w:t>
      </w:r>
      <w:proofErr w:type="gramEnd"/>
      <w:r>
        <w:rPr>
          <w:rFonts w:ascii="Times New Roman" w:hAnsi="Times New Roman"/>
        </w:rPr>
        <w:t xml:space="preserve"> or contract feature has life contingencies, the Valuation Rate Bucket is assigned based on the length of the RP and the initial age of the annuitant, as follows:</w:t>
      </w:r>
    </w:p>
    <w:p w14:paraId="51470E77" w14:textId="77777777" w:rsidR="008A7F4A" w:rsidRDefault="008A7F4A" w:rsidP="008A7F4A">
      <w:pPr>
        <w:spacing w:after="0" w:line="240" w:lineRule="auto"/>
        <w:jc w:val="center"/>
        <w:rPr>
          <w:rFonts w:ascii="Times New Roman" w:hAnsi="Times New Roman"/>
          <w:b/>
        </w:rPr>
      </w:pPr>
      <w:r>
        <w:rPr>
          <w:rFonts w:ascii="Times New Roman" w:hAnsi="Times New Roman"/>
          <w:b/>
        </w:rPr>
        <w:t>Table 3-2: Assignment to Valuation Rate Bucket by Reference Period and Initial Age</w:t>
      </w:r>
    </w:p>
    <w:p w14:paraId="2E02CFC9" w14:textId="77777777" w:rsidR="008A7F4A" w:rsidRDefault="008A7F4A" w:rsidP="008A7F4A">
      <w:pPr>
        <w:spacing w:after="0" w:line="240" w:lineRule="auto"/>
        <w:ind w:left="1080"/>
        <w:jc w:val="center"/>
        <w:rPr>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8A7F4A" w14:paraId="536EA6FB" w14:textId="77777777" w:rsidTr="008A7F4A">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left w:val="single" w:sz="4" w:space="0" w:color="auto"/>
              <w:bottom w:val="single" w:sz="4" w:space="0" w:color="auto"/>
              <w:right w:val="single" w:sz="4" w:space="0" w:color="auto"/>
            </w:tcBorders>
            <w:hideMark/>
          </w:tcPr>
          <w:p w14:paraId="3CEA22B8" w14:textId="77777777" w:rsidR="008A7F4A" w:rsidRDefault="008A7F4A">
            <w:pPr>
              <w:spacing w:after="220"/>
              <w:jc w:val="center"/>
              <w:rPr>
                <w:rFonts w:ascii="Times New Roman" w:hAnsi="Times New Roman"/>
                <w:color w:val="auto"/>
              </w:rPr>
            </w:pPr>
            <w:r>
              <w:rPr>
                <w:rFonts w:ascii="Times New Roman" w:hAnsi="Times New Roman"/>
                <w:color w:val="auto"/>
              </w:rPr>
              <w:t xml:space="preserve"> Initial Age</w:t>
            </w:r>
          </w:p>
        </w:tc>
        <w:tc>
          <w:tcPr>
            <w:tcW w:w="1211" w:type="dxa"/>
            <w:tcBorders>
              <w:top w:val="single" w:sz="4" w:space="0" w:color="auto"/>
              <w:left w:val="single" w:sz="4" w:space="0" w:color="auto"/>
              <w:bottom w:val="single" w:sz="4" w:space="0" w:color="auto"/>
              <w:right w:val="single" w:sz="4" w:space="0" w:color="auto"/>
            </w:tcBorders>
            <w:hideMark/>
          </w:tcPr>
          <w:p w14:paraId="7D42B85E" w14:textId="77777777" w:rsidR="008A7F4A" w:rsidRDefault="008A7F4A">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Pr>
                <w:rFonts w:ascii="Times New Roman" w:hAnsi="Times New Roman"/>
                <w:color w:val="auto"/>
              </w:rPr>
              <w:t>RP ≤ 5Y</w:t>
            </w:r>
          </w:p>
        </w:tc>
        <w:tc>
          <w:tcPr>
            <w:tcW w:w="1469" w:type="dxa"/>
            <w:tcBorders>
              <w:top w:val="single" w:sz="4" w:space="0" w:color="auto"/>
              <w:left w:val="single" w:sz="4" w:space="0" w:color="auto"/>
              <w:bottom w:val="single" w:sz="4" w:space="0" w:color="auto"/>
              <w:right w:val="single" w:sz="4" w:space="0" w:color="auto"/>
            </w:tcBorders>
            <w:hideMark/>
          </w:tcPr>
          <w:p w14:paraId="03A7F1F4" w14:textId="77777777" w:rsidR="008A7F4A" w:rsidRDefault="008A7F4A">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Pr>
                <w:rFonts w:ascii="Times New Roman" w:hAnsi="Times New Roman"/>
                <w:color w:val="auto"/>
              </w:rPr>
              <w:t>5Y &lt; RP ≤ 10Y</w:t>
            </w:r>
          </w:p>
        </w:tc>
        <w:tc>
          <w:tcPr>
            <w:tcW w:w="1469" w:type="dxa"/>
            <w:tcBorders>
              <w:top w:val="single" w:sz="4" w:space="0" w:color="auto"/>
              <w:left w:val="single" w:sz="4" w:space="0" w:color="auto"/>
              <w:bottom w:val="single" w:sz="4" w:space="0" w:color="auto"/>
              <w:right w:val="single" w:sz="4" w:space="0" w:color="auto"/>
            </w:tcBorders>
            <w:hideMark/>
          </w:tcPr>
          <w:p w14:paraId="5CF9BE3C" w14:textId="77777777" w:rsidR="008A7F4A" w:rsidRDefault="008A7F4A">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Pr>
                <w:rFonts w:ascii="Times New Roman" w:hAnsi="Times New Roman"/>
                <w:color w:val="auto"/>
              </w:rPr>
              <w:t>10Y &lt; RP ≤ 15Y</w:t>
            </w:r>
          </w:p>
        </w:tc>
        <w:tc>
          <w:tcPr>
            <w:tcW w:w="1469" w:type="dxa"/>
            <w:tcBorders>
              <w:top w:val="single" w:sz="4" w:space="0" w:color="auto"/>
              <w:left w:val="single" w:sz="4" w:space="0" w:color="auto"/>
              <w:bottom w:val="single" w:sz="4" w:space="0" w:color="auto"/>
              <w:right w:val="single" w:sz="4" w:space="0" w:color="auto"/>
            </w:tcBorders>
            <w:hideMark/>
          </w:tcPr>
          <w:p w14:paraId="7403DE28" w14:textId="77777777" w:rsidR="008A7F4A" w:rsidRDefault="008A7F4A">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Pr>
                <w:rFonts w:ascii="Times New Roman" w:hAnsi="Times New Roman"/>
                <w:color w:val="auto"/>
              </w:rPr>
              <w:t>RP &gt; 15Y</w:t>
            </w:r>
          </w:p>
        </w:tc>
      </w:tr>
      <w:tr w:rsidR="008A7F4A" w14:paraId="51FAA625" w14:textId="77777777" w:rsidTr="008A7F4A">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left w:val="single" w:sz="4" w:space="0" w:color="auto"/>
              <w:bottom w:val="single" w:sz="4" w:space="0" w:color="auto"/>
              <w:right w:val="single" w:sz="4" w:space="0" w:color="auto"/>
            </w:tcBorders>
            <w:hideMark/>
          </w:tcPr>
          <w:p w14:paraId="5708CE2A" w14:textId="77777777" w:rsidR="008A7F4A" w:rsidRDefault="008A7F4A">
            <w:pPr>
              <w:spacing w:after="220"/>
              <w:jc w:val="center"/>
              <w:rPr>
                <w:rFonts w:ascii="Times New Roman" w:hAnsi="Times New Roman"/>
                <w:color w:val="auto"/>
              </w:rPr>
            </w:pPr>
            <w:r>
              <w:rPr>
                <w:rFonts w:ascii="Times New Roman" w:hAnsi="Times New Roman"/>
                <w:color w:val="auto"/>
              </w:rPr>
              <w:t>90+</w:t>
            </w:r>
          </w:p>
        </w:tc>
        <w:tc>
          <w:tcPr>
            <w:tcW w:w="1211" w:type="dxa"/>
            <w:tcBorders>
              <w:top w:val="single" w:sz="4" w:space="0" w:color="auto"/>
              <w:left w:val="single" w:sz="4" w:space="0" w:color="auto"/>
              <w:bottom w:val="single" w:sz="4" w:space="0" w:color="auto"/>
              <w:right w:val="single" w:sz="4" w:space="0" w:color="auto"/>
            </w:tcBorders>
            <w:hideMark/>
          </w:tcPr>
          <w:p w14:paraId="07D9F914" w14:textId="77777777" w:rsidR="008A7F4A" w:rsidRDefault="008A7F4A">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A</w:t>
            </w:r>
          </w:p>
        </w:tc>
        <w:tc>
          <w:tcPr>
            <w:tcW w:w="1469" w:type="dxa"/>
            <w:tcBorders>
              <w:top w:val="single" w:sz="4" w:space="0" w:color="auto"/>
              <w:left w:val="single" w:sz="4" w:space="0" w:color="auto"/>
              <w:bottom w:val="single" w:sz="4" w:space="0" w:color="auto"/>
              <w:right w:val="single" w:sz="4" w:space="0" w:color="auto"/>
            </w:tcBorders>
            <w:hideMark/>
          </w:tcPr>
          <w:p w14:paraId="5035233F" w14:textId="77777777" w:rsidR="008A7F4A" w:rsidRDefault="008A7F4A">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p>
        </w:tc>
        <w:tc>
          <w:tcPr>
            <w:tcW w:w="1469" w:type="dxa"/>
            <w:tcBorders>
              <w:top w:val="single" w:sz="4" w:space="0" w:color="auto"/>
              <w:left w:val="single" w:sz="4" w:space="0" w:color="auto"/>
              <w:bottom w:val="single" w:sz="4" w:space="0" w:color="auto"/>
              <w:right w:val="single" w:sz="4" w:space="0" w:color="auto"/>
            </w:tcBorders>
            <w:hideMark/>
          </w:tcPr>
          <w:p w14:paraId="2195FD75" w14:textId="77777777" w:rsidR="008A7F4A" w:rsidRDefault="008A7F4A">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C</w:t>
            </w:r>
          </w:p>
        </w:tc>
        <w:tc>
          <w:tcPr>
            <w:tcW w:w="1469" w:type="dxa"/>
            <w:tcBorders>
              <w:top w:val="single" w:sz="4" w:space="0" w:color="auto"/>
              <w:left w:val="single" w:sz="4" w:space="0" w:color="auto"/>
              <w:bottom w:val="single" w:sz="4" w:space="0" w:color="auto"/>
              <w:right w:val="single" w:sz="4" w:space="0" w:color="auto"/>
            </w:tcBorders>
            <w:hideMark/>
          </w:tcPr>
          <w:p w14:paraId="1229359E" w14:textId="77777777" w:rsidR="008A7F4A" w:rsidRDefault="008A7F4A">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D</w:t>
            </w:r>
          </w:p>
        </w:tc>
      </w:tr>
      <w:tr w:rsidR="008A7F4A" w14:paraId="401809D1" w14:textId="77777777" w:rsidTr="008A7F4A">
        <w:trPr>
          <w:trHeight w:val="490"/>
          <w:jc w:val="center"/>
        </w:trPr>
        <w:tc>
          <w:tcPr>
            <w:cnfStyle w:val="001000000000" w:firstRow="0" w:lastRow="0" w:firstColumn="1" w:lastColumn="0" w:oddVBand="0" w:evenVBand="0" w:oddHBand="0" w:evenHBand="0" w:firstRowFirstColumn="0" w:firstRowLastColumn="0" w:lastRowFirstColumn="0" w:lastRowLastColumn="0"/>
            <w:tcW w:w="1962" w:type="dxa"/>
            <w:tcBorders>
              <w:left w:val="single" w:sz="4" w:space="0" w:color="auto"/>
              <w:bottom w:val="single" w:sz="4" w:space="0" w:color="auto"/>
              <w:right w:val="single" w:sz="4" w:space="0" w:color="auto"/>
            </w:tcBorders>
            <w:hideMark/>
          </w:tcPr>
          <w:p w14:paraId="17C4B8AE" w14:textId="77777777" w:rsidR="008A7F4A" w:rsidRDefault="008A7F4A">
            <w:pPr>
              <w:spacing w:after="220"/>
              <w:jc w:val="center"/>
              <w:rPr>
                <w:rFonts w:ascii="Times New Roman" w:hAnsi="Times New Roman"/>
                <w:color w:val="auto"/>
              </w:rPr>
            </w:pPr>
            <w:r>
              <w:rPr>
                <w:rFonts w:ascii="Times New Roman" w:hAnsi="Times New Roman"/>
                <w:color w:val="auto"/>
              </w:rPr>
              <w:t>80–89</w:t>
            </w:r>
          </w:p>
        </w:tc>
        <w:tc>
          <w:tcPr>
            <w:tcW w:w="1211" w:type="dxa"/>
            <w:tcBorders>
              <w:top w:val="single" w:sz="4" w:space="0" w:color="auto"/>
              <w:left w:val="single" w:sz="4" w:space="0" w:color="auto"/>
              <w:bottom w:val="single" w:sz="4" w:space="0" w:color="auto"/>
              <w:right w:val="single" w:sz="4" w:space="0" w:color="auto"/>
            </w:tcBorders>
            <w:hideMark/>
          </w:tcPr>
          <w:p w14:paraId="70ED9984" w14:textId="77777777" w:rsidR="008A7F4A" w:rsidRDefault="008A7F4A">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B</w:t>
            </w:r>
          </w:p>
        </w:tc>
        <w:tc>
          <w:tcPr>
            <w:tcW w:w="1469" w:type="dxa"/>
            <w:tcBorders>
              <w:top w:val="single" w:sz="4" w:space="0" w:color="auto"/>
              <w:left w:val="single" w:sz="4" w:space="0" w:color="auto"/>
              <w:bottom w:val="single" w:sz="4" w:space="0" w:color="auto"/>
              <w:right w:val="single" w:sz="4" w:space="0" w:color="auto"/>
            </w:tcBorders>
            <w:hideMark/>
          </w:tcPr>
          <w:p w14:paraId="66274088" w14:textId="77777777" w:rsidR="008A7F4A" w:rsidRDefault="008A7F4A">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B</w:t>
            </w:r>
          </w:p>
        </w:tc>
        <w:tc>
          <w:tcPr>
            <w:tcW w:w="1469" w:type="dxa"/>
            <w:tcBorders>
              <w:top w:val="single" w:sz="4" w:space="0" w:color="auto"/>
              <w:left w:val="single" w:sz="4" w:space="0" w:color="auto"/>
              <w:bottom w:val="single" w:sz="4" w:space="0" w:color="auto"/>
              <w:right w:val="single" w:sz="4" w:space="0" w:color="auto"/>
            </w:tcBorders>
            <w:hideMark/>
          </w:tcPr>
          <w:p w14:paraId="0AE38AAF" w14:textId="77777777" w:rsidR="008A7F4A" w:rsidRDefault="008A7F4A">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C</w:t>
            </w:r>
          </w:p>
        </w:tc>
        <w:tc>
          <w:tcPr>
            <w:tcW w:w="1469" w:type="dxa"/>
            <w:tcBorders>
              <w:top w:val="single" w:sz="4" w:space="0" w:color="auto"/>
              <w:left w:val="single" w:sz="4" w:space="0" w:color="auto"/>
              <w:bottom w:val="single" w:sz="4" w:space="0" w:color="auto"/>
              <w:right w:val="single" w:sz="4" w:space="0" w:color="auto"/>
            </w:tcBorders>
            <w:hideMark/>
          </w:tcPr>
          <w:p w14:paraId="564C16EB" w14:textId="77777777" w:rsidR="008A7F4A" w:rsidRDefault="008A7F4A">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w:t>
            </w:r>
          </w:p>
        </w:tc>
      </w:tr>
      <w:tr w:rsidR="008A7F4A" w14:paraId="4F0CA99A" w14:textId="77777777" w:rsidTr="008A7F4A">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left w:val="single" w:sz="4" w:space="0" w:color="auto"/>
              <w:bottom w:val="single" w:sz="4" w:space="0" w:color="auto"/>
              <w:right w:val="single" w:sz="4" w:space="0" w:color="auto"/>
            </w:tcBorders>
            <w:hideMark/>
          </w:tcPr>
          <w:p w14:paraId="753D6599" w14:textId="77777777" w:rsidR="008A7F4A" w:rsidRDefault="008A7F4A">
            <w:pPr>
              <w:spacing w:after="220"/>
              <w:jc w:val="center"/>
              <w:rPr>
                <w:rFonts w:ascii="Times New Roman" w:hAnsi="Times New Roman"/>
                <w:color w:val="auto"/>
              </w:rPr>
            </w:pPr>
            <w:r>
              <w:rPr>
                <w:rFonts w:ascii="Times New Roman" w:hAnsi="Times New Roman"/>
                <w:color w:val="auto"/>
              </w:rPr>
              <w:t>70–79</w:t>
            </w:r>
          </w:p>
        </w:tc>
        <w:tc>
          <w:tcPr>
            <w:tcW w:w="1211" w:type="dxa"/>
            <w:tcBorders>
              <w:top w:val="single" w:sz="4" w:space="0" w:color="auto"/>
              <w:left w:val="single" w:sz="4" w:space="0" w:color="auto"/>
              <w:bottom w:val="single" w:sz="4" w:space="0" w:color="auto"/>
              <w:right w:val="single" w:sz="4" w:space="0" w:color="auto"/>
            </w:tcBorders>
            <w:hideMark/>
          </w:tcPr>
          <w:p w14:paraId="4F6F9425" w14:textId="77777777" w:rsidR="008A7F4A" w:rsidRDefault="008A7F4A">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C</w:t>
            </w:r>
          </w:p>
        </w:tc>
        <w:tc>
          <w:tcPr>
            <w:tcW w:w="1469" w:type="dxa"/>
            <w:tcBorders>
              <w:top w:val="single" w:sz="4" w:space="0" w:color="auto"/>
              <w:left w:val="single" w:sz="4" w:space="0" w:color="auto"/>
              <w:bottom w:val="single" w:sz="4" w:space="0" w:color="auto"/>
              <w:right w:val="single" w:sz="4" w:space="0" w:color="auto"/>
            </w:tcBorders>
            <w:hideMark/>
          </w:tcPr>
          <w:p w14:paraId="06932922" w14:textId="77777777" w:rsidR="008A7F4A" w:rsidRDefault="008A7F4A">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C</w:t>
            </w:r>
          </w:p>
        </w:tc>
        <w:tc>
          <w:tcPr>
            <w:tcW w:w="1469" w:type="dxa"/>
            <w:tcBorders>
              <w:top w:val="single" w:sz="4" w:space="0" w:color="auto"/>
              <w:left w:val="single" w:sz="4" w:space="0" w:color="auto"/>
              <w:bottom w:val="single" w:sz="4" w:space="0" w:color="auto"/>
              <w:right w:val="single" w:sz="4" w:space="0" w:color="auto"/>
            </w:tcBorders>
            <w:hideMark/>
          </w:tcPr>
          <w:p w14:paraId="569DC116" w14:textId="77777777" w:rsidR="008A7F4A" w:rsidRDefault="008A7F4A">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C</w:t>
            </w:r>
          </w:p>
        </w:tc>
        <w:tc>
          <w:tcPr>
            <w:tcW w:w="1469" w:type="dxa"/>
            <w:tcBorders>
              <w:top w:val="single" w:sz="4" w:space="0" w:color="auto"/>
              <w:left w:val="single" w:sz="4" w:space="0" w:color="auto"/>
              <w:bottom w:val="single" w:sz="4" w:space="0" w:color="auto"/>
              <w:right w:val="single" w:sz="4" w:space="0" w:color="auto"/>
            </w:tcBorders>
            <w:hideMark/>
          </w:tcPr>
          <w:p w14:paraId="7D054A9F" w14:textId="77777777" w:rsidR="008A7F4A" w:rsidRDefault="008A7F4A">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D</w:t>
            </w:r>
          </w:p>
        </w:tc>
      </w:tr>
      <w:tr w:rsidR="008A7F4A" w14:paraId="51A929B2" w14:textId="77777777" w:rsidTr="008A7F4A">
        <w:trPr>
          <w:trHeight w:val="111"/>
          <w:jc w:val="center"/>
        </w:trPr>
        <w:tc>
          <w:tcPr>
            <w:cnfStyle w:val="001000000000" w:firstRow="0" w:lastRow="0" w:firstColumn="1" w:lastColumn="0" w:oddVBand="0" w:evenVBand="0" w:oddHBand="0" w:evenHBand="0" w:firstRowFirstColumn="0" w:firstRowLastColumn="0" w:lastRowFirstColumn="0" w:lastRowLastColumn="0"/>
            <w:tcW w:w="1962" w:type="dxa"/>
            <w:tcBorders>
              <w:left w:val="single" w:sz="4" w:space="0" w:color="auto"/>
              <w:bottom w:val="single" w:sz="4" w:space="0" w:color="auto"/>
              <w:right w:val="single" w:sz="4" w:space="0" w:color="auto"/>
            </w:tcBorders>
            <w:hideMark/>
          </w:tcPr>
          <w:p w14:paraId="33D34BE4" w14:textId="77777777" w:rsidR="008A7F4A" w:rsidRDefault="008A7F4A">
            <w:pPr>
              <w:spacing w:after="220"/>
              <w:jc w:val="center"/>
              <w:rPr>
                <w:rFonts w:ascii="Times New Roman" w:hAnsi="Times New Roman"/>
                <w:color w:val="auto"/>
              </w:rPr>
            </w:pPr>
            <w:r>
              <w:rPr>
                <w:rFonts w:ascii="Times New Roman" w:hAnsi="Times New Roman"/>
                <w:color w:val="auto"/>
              </w:rPr>
              <w:t>&lt; 70</w:t>
            </w:r>
          </w:p>
        </w:tc>
        <w:tc>
          <w:tcPr>
            <w:tcW w:w="1211" w:type="dxa"/>
            <w:tcBorders>
              <w:top w:val="single" w:sz="4" w:space="0" w:color="auto"/>
              <w:left w:val="single" w:sz="4" w:space="0" w:color="auto"/>
              <w:bottom w:val="single" w:sz="4" w:space="0" w:color="auto"/>
              <w:right w:val="single" w:sz="4" w:space="0" w:color="auto"/>
            </w:tcBorders>
            <w:hideMark/>
          </w:tcPr>
          <w:p w14:paraId="4C134697" w14:textId="77777777" w:rsidR="008A7F4A" w:rsidRDefault="008A7F4A">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w:t>
            </w:r>
          </w:p>
        </w:tc>
        <w:tc>
          <w:tcPr>
            <w:tcW w:w="1469" w:type="dxa"/>
            <w:tcBorders>
              <w:top w:val="single" w:sz="4" w:space="0" w:color="auto"/>
              <w:left w:val="single" w:sz="4" w:space="0" w:color="auto"/>
              <w:bottom w:val="single" w:sz="4" w:space="0" w:color="auto"/>
              <w:right w:val="single" w:sz="4" w:space="0" w:color="auto"/>
            </w:tcBorders>
            <w:hideMark/>
          </w:tcPr>
          <w:p w14:paraId="1A87E3C0" w14:textId="77777777" w:rsidR="008A7F4A" w:rsidRDefault="008A7F4A">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w:t>
            </w:r>
          </w:p>
        </w:tc>
        <w:tc>
          <w:tcPr>
            <w:tcW w:w="1469" w:type="dxa"/>
            <w:tcBorders>
              <w:top w:val="single" w:sz="4" w:space="0" w:color="auto"/>
              <w:left w:val="single" w:sz="4" w:space="0" w:color="auto"/>
              <w:bottom w:val="single" w:sz="4" w:space="0" w:color="auto"/>
              <w:right w:val="single" w:sz="4" w:space="0" w:color="auto"/>
            </w:tcBorders>
            <w:hideMark/>
          </w:tcPr>
          <w:p w14:paraId="6A390EDF" w14:textId="77777777" w:rsidR="008A7F4A" w:rsidRDefault="008A7F4A">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w:t>
            </w:r>
          </w:p>
        </w:tc>
        <w:tc>
          <w:tcPr>
            <w:tcW w:w="1469" w:type="dxa"/>
            <w:tcBorders>
              <w:top w:val="single" w:sz="4" w:space="0" w:color="auto"/>
              <w:left w:val="single" w:sz="4" w:space="0" w:color="auto"/>
              <w:bottom w:val="single" w:sz="4" w:space="0" w:color="auto"/>
              <w:right w:val="single" w:sz="4" w:space="0" w:color="auto"/>
            </w:tcBorders>
            <w:hideMark/>
          </w:tcPr>
          <w:p w14:paraId="29FC5DD9" w14:textId="77777777" w:rsidR="008A7F4A" w:rsidRDefault="008A7F4A">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w:t>
            </w:r>
          </w:p>
        </w:tc>
      </w:tr>
    </w:tbl>
    <w:p w14:paraId="61B15FAA" w14:textId="77777777" w:rsidR="008A7F4A" w:rsidRDefault="008A7F4A" w:rsidP="008A7F4A">
      <w:pPr>
        <w:spacing w:after="0" w:line="240" w:lineRule="auto"/>
        <w:ind w:left="720"/>
        <w:rPr>
          <w:rFonts w:ascii="Times New Roman" w:hAnsi="Times New Roman"/>
        </w:rPr>
      </w:pPr>
    </w:p>
    <w:p w14:paraId="6CAFD9F7" w14:textId="77777777" w:rsidR="008A7F4A" w:rsidRDefault="008A7F4A" w:rsidP="00745C9A">
      <w:pPr>
        <w:widowControl w:val="0"/>
        <w:numPr>
          <w:ilvl w:val="0"/>
          <w:numId w:val="130"/>
        </w:numPr>
        <w:spacing w:after="0" w:line="240" w:lineRule="auto"/>
        <w:ind w:left="0" w:firstLine="0"/>
        <w:contextualSpacing/>
        <w:rPr>
          <w:rFonts w:ascii="Times New Roman" w:hAnsi="Times New Roman"/>
        </w:rPr>
      </w:pPr>
      <w:r>
        <w:rPr>
          <w:rFonts w:ascii="Times New Roman" w:hAnsi="Times New Roman"/>
        </w:rPr>
        <w:t>Premium Determination Dates</w:t>
      </w:r>
    </w:p>
    <w:p w14:paraId="3149D76F" w14:textId="77777777" w:rsidR="008A7F4A" w:rsidRDefault="008A7F4A" w:rsidP="008A7F4A">
      <w:pPr>
        <w:widowControl w:val="0"/>
        <w:autoSpaceDE w:val="0"/>
        <w:autoSpaceDN w:val="0"/>
        <w:spacing w:before="6" w:after="0" w:line="240" w:lineRule="auto"/>
        <w:rPr>
          <w:rFonts w:ascii="Times New Roman" w:hAnsi="Times New Roman"/>
        </w:rPr>
      </w:pPr>
    </w:p>
    <w:p w14:paraId="78DA9D28" w14:textId="77777777" w:rsidR="008A7F4A" w:rsidRDefault="008A7F4A" w:rsidP="00745C9A">
      <w:pPr>
        <w:widowControl w:val="0"/>
        <w:numPr>
          <w:ilvl w:val="1"/>
          <w:numId w:val="132"/>
        </w:numPr>
        <w:autoSpaceDE w:val="0"/>
        <w:autoSpaceDN w:val="0"/>
        <w:spacing w:after="0" w:line="256" w:lineRule="auto"/>
        <w:ind w:left="1440" w:hanging="720"/>
        <w:rPr>
          <w:rFonts w:ascii="Times New Roman" w:hAnsi="Times New Roman"/>
        </w:rPr>
      </w:pPr>
      <w:r>
        <w:rPr>
          <w:rFonts w:ascii="Times New Roman" w:hAnsi="Times New Roman"/>
        </w:rPr>
        <w:t>The</w:t>
      </w:r>
      <w:r>
        <w:rPr>
          <w:rFonts w:ascii="Times New Roman" w:hAnsi="Times New Roman"/>
          <w:spacing w:val="-4"/>
        </w:rPr>
        <w:t xml:space="preserve"> </w:t>
      </w:r>
      <w:r>
        <w:rPr>
          <w:rFonts w:ascii="Times New Roman" w:hAnsi="Times New Roman"/>
        </w:rPr>
        <w:t>following</w:t>
      </w:r>
      <w:r>
        <w:rPr>
          <w:rFonts w:ascii="Times New Roman" w:hAnsi="Times New Roman"/>
          <w:spacing w:val="-5"/>
        </w:rPr>
        <w:t xml:space="preserve"> </w:t>
      </w:r>
      <w:r>
        <w:rPr>
          <w:rFonts w:ascii="Times New Roman" w:hAnsi="Times New Roman"/>
        </w:rPr>
        <w:t>table</w:t>
      </w:r>
      <w:r>
        <w:rPr>
          <w:rFonts w:ascii="Times New Roman" w:hAnsi="Times New Roman"/>
          <w:spacing w:val="-1"/>
        </w:rPr>
        <w:t xml:space="preserve"> </w:t>
      </w:r>
      <w:r>
        <w:rPr>
          <w:rFonts w:ascii="Times New Roman" w:hAnsi="Times New Roman"/>
        </w:rPr>
        <w:t>specifies</w:t>
      </w:r>
      <w:r>
        <w:rPr>
          <w:rFonts w:ascii="Times New Roman" w:hAnsi="Times New Roman"/>
          <w:spacing w:val="-1"/>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decision</w:t>
      </w:r>
      <w:r>
        <w:rPr>
          <w:rFonts w:ascii="Times New Roman" w:hAnsi="Times New Roman"/>
          <w:spacing w:val="-3"/>
        </w:rPr>
        <w:t xml:space="preserve"> </w:t>
      </w:r>
      <w:r>
        <w:rPr>
          <w:rFonts w:ascii="Times New Roman" w:hAnsi="Times New Roman"/>
        </w:rPr>
        <w:t>rules</w:t>
      </w:r>
      <w:r>
        <w:rPr>
          <w:rFonts w:ascii="Times New Roman" w:hAnsi="Times New Roman"/>
          <w:spacing w:val="-4"/>
        </w:rPr>
        <w:t xml:space="preserve"> </w:t>
      </w:r>
      <w:r>
        <w:rPr>
          <w:rFonts w:ascii="Times New Roman" w:hAnsi="Times New Roman"/>
        </w:rPr>
        <w:t>for</w:t>
      </w:r>
      <w:r>
        <w:rPr>
          <w:rFonts w:ascii="Times New Roman" w:hAnsi="Times New Roman"/>
          <w:spacing w:val="-4"/>
        </w:rPr>
        <w:t xml:space="preserve"> </w:t>
      </w:r>
      <w:r>
        <w:rPr>
          <w:rFonts w:ascii="Times New Roman" w:hAnsi="Times New Roman"/>
        </w:rPr>
        <w:t>setting</w:t>
      </w:r>
      <w:r>
        <w:rPr>
          <w:rFonts w:ascii="Times New Roman" w:hAnsi="Times New Roman"/>
          <w:spacing w:val="-3"/>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premium</w:t>
      </w:r>
      <w:r>
        <w:rPr>
          <w:rFonts w:ascii="Times New Roman" w:hAnsi="Times New Roman"/>
          <w:spacing w:val="-3"/>
        </w:rPr>
        <w:t xml:space="preserve"> </w:t>
      </w:r>
      <w:r>
        <w:rPr>
          <w:rFonts w:ascii="Times New Roman" w:hAnsi="Times New Roman"/>
        </w:rPr>
        <w:t>determination</w:t>
      </w:r>
      <w:r>
        <w:rPr>
          <w:rFonts w:ascii="Times New Roman" w:hAnsi="Times New Roman"/>
          <w:spacing w:val="-3"/>
        </w:rPr>
        <w:t xml:space="preserve"> </w:t>
      </w:r>
      <w:r>
        <w:rPr>
          <w:rFonts w:ascii="Times New Roman" w:hAnsi="Times New Roman"/>
        </w:rPr>
        <w:t>date</w:t>
      </w:r>
      <w:r>
        <w:rPr>
          <w:rFonts w:ascii="Times New Roman" w:hAnsi="Times New Roman"/>
          <w:spacing w:val="-1"/>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each</w:t>
      </w:r>
      <w:r>
        <w:rPr>
          <w:rFonts w:ascii="Times New Roman" w:hAnsi="Times New Roman"/>
          <w:spacing w:val="-5"/>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the contracts, certificates and contract features listed in Section</w:t>
      </w:r>
      <w:r>
        <w:rPr>
          <w:rFonts w:ascii="Times New Roman" w:hAnsi="Times New Roman"/>
          <w:spacing w:val="-30"/>
        </w:rPr>
        <w:t xml:space="preserve"> </w:t>
      </w:r>
      <w:r>
        <w:rPr>
          <w:rFonts w:ascii="Times New Roman" w:hAnsi="Times New Roman"/>
        </w:rPr>
        <w:t>1:</w:t>
      </w:r>
    </w:p>
    <w:p w14:paraId="75CBED95" w14:textId="77777777" w:rsidR="008A7F4A" w:rsidRDefault="008A7F4A" w:rsidP="008A7F4A">
      <w:pPr>
        <w:pStyle w:val="ListParagraph"/>
        <w:spacing w:after="0" w:line="240" w:lineRule="auto"/>
        <w:ind w:left="360"/>
        <w:rPr>
          <w:rFonts w:ascii="Times New Roman" w:hAnsi="Times New Roman"/>
        </w:rPr>
      </w:pPr>
    </w:p>
    <w:p w14:paraId="2B665641" w14:textId="77777777" w:rsidR="008A7F4A" w:rsidRDefault="008A7F4A" w:rsidP="008A7F4A">
      <w:pPr>
        <w:widowControl w:val="0"/>
        <w:spacing w:after="0" w:line="256" w:lineRule="auto"/>
        <w:ind w:right="531"/>
        <w:contextualSpacing/>
        <w:jc w:val="center"/>
        <w:rPr>
          <w:rFonts w:ascii="Times New Roman" w:hAnsi="Times New Roman"/>
          <w:b/>
        </w:rPr>
      </w:pPr>
      <w:r>
        <w:rPr>
          <w:rFonts w:ascii="Times New Roman" w:hAnsi="Times New Roman"/>
          <w:b/>
        </w:rPr>
        <w:t>Table 3-3: Premium Determination Dates</w:t>
      </w:r>
    </w:p>
    <w:tbl>
      <w:tblPr>
        <w:tblpPr w:leftFromText="180" w:rightFromText="180" w:bottomFromText="200" w:vertAnchor="text" w:horzAnchor="margin" w:tblpXSpec="center" w:tblpY="190"/>
        <w:tblW w:w="9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5"/>
        <w:gridCol w:w="4006"/>
        <w:gridCol w:w="3919"/>
      </w:tblGrid>
      <w:tr w:rsidR="008A7F4A" w14:paraId="1BD9F6A6" w14:textId="77777777" w:rsidTr="008A7F4A">
        <w:trPr>
          <w:trHeight w:hRule="exact" w:val="432"/>
        </w:trPr>
        <w:tc>
          <w:tcPr>
            <w:tcW w:w="1584" w:type="dxa"/>
            <w:tcBorders>
              <w:top w:val="single" w:sz="4" w:space="0" w:color="000000"/>
              <w:left w:val="single" w:sz="4" w:space="0" w:color="000000"/>
              <w:bottom w:val="single" w:sz="4" w:space="0" w:color="000000"/>
              <w:right w:val="single" w:sz="4" w:space="0" w:color="000000"/>
            </w:tcBorders>
            <w:hideMark/>
          </w:tcPr>
          <w:p w14:paraId="1007CF76" w14:textId="77777777" w:rsidR="008A7F4A" w:rsidRDefault="008A7F4A">
            <w:pPr>
              <w:keepNext/>
              <w:keepLines/>
              <w:widowControl w:val="0"/>
              <w:autoSpaceDE w:val="0"/>
              <w:autoSpaceDN w:val="0"/>
              <w:spacing w:after="0" w:line="290" w:lineRule="exact"/>
              <w:jc w:val="center"/>
              <w:rPr>
                <w:rFonts w:ascii="Times New Roman" w:eastAsia="Times New Roman" w:hAnsi="Times New Roman"/>
                <w:b/>
              </w:rPr>
            </w:pPr>
            <w:r>
              <w:rPr>
                <w:rFonts w:ascii="Times New Roman" w:eastAsia="Times New Roman" w:hAnsi="Times New Roman"/>
                <w:b/>
              </w:rPr>
              <w:t>Section</w:t>
            </w:r>
          </w:p>
        </w:tc>
        <w:tc>
          <w:tcPr>
            <w:tcW w:w="4003" w:type="dxa"/>
            <w:tcBorders>
              <w:top w:val="single" w:sz="4" w:space="0" w:color="000000"/>
              <w:left w:val="single" w:sz="4" w:space="0" w:color="000000"/>
              <w:bottom w:val="single" w:sz="4" w:space="0" w:color="000000"/>
              <w:right w:val="single" w:sz="4" w:space="0" w:color="000000"/>
            </w:tcBorders>
            <w:hideMark/>
          </w:tcPr>
          <w:p w14:paraId="16AE9F29" w14:textId="77777777" w:rsidR="008A7F4A" w:rsidRDefault="008A7F4A">
            <w:pPr>
              <w:keepNext/>
              <w:keepLines/>
              <w:widowControl w:val="0"/>
              <w:autoSpaceDE w:val="0"/>
              <w:autoSpaceDN w:val="0"/>
              <w:spacing w:after="0" w:line="290" w:lineRule="exact"/>
              <w:ind w:left="225" w:right="180"/>
              <w:jc w:val="center"/>
              <w:rPr>
                <w:rFonts w:ascii="Times New Roman" w:eastAsia="Times New Roman" w:hAnsi="Times New Roman"/>
                <w:b/>
              </w:rPr>
            </w:pPr>
            <w:r>
              <w:rPr>
                <w:rFonts w:ascii="Times New Roman" w:eastAsia="Times New Roman" w:hAnsi="Times New Roman"/>
                <w:b/>
              </w:rPr>
              <w:t>Item Description</w:t>
            </w:r>
          </w:p>
        </w:tc>
        <w:tc>
          <w:tcPr>
            <w:tcW w:w="3917" w:type="dxa"/>
            <w:tcBorders>
              <w:top w:val="single" w:sz="4" w:space="0" w:color="000000"/>
              <w:left w:val="single" w:sz="4" w:space="0" w:color="000000"/>
              <w:bottom w:val="single" w:sz="4" w:space="0" w:color="000000"/>
              <w:right w:val="single" w:sz="4" w:space="0" w:color="000000"/>
            </w:tcBorders>
            <w:hideMark/>
          </w:tcPr>
          <w:p w14:paraId="441CB1B3" w14:textId="77777777" w:rsidR="008A7F4A" w:rsidRDefault="008A7F4A">
            <w:pPr>
              <w:keepNext/>
              <w:keepLines/>
              <w:widowControl w:val="0"/>
              <w:autoSpaceDE w:val="0"/>
              <w:autoSpaceDN w:val="0"/>
              <w:spacing w:after="0" w:line="290" w:lineRule="exact"/>
              <w:ind w:left="180" w:right="136"/>
              <w:jc w:val="center"/>
              <w:rPr>
                <w:rFonts w:ascii="Times New Roman" w:eastAsia="Times New Roman" w:hAnsi="Times New Roman"/>
                <w:b/>
              </w:rPr>
            </w:pPr>
            <w:r>
              <w:rPr>
                <w:rFonts w:ascii="Times New Roman" w:eastAsia="Times New Roman" w:hAnsi="Times New Roman"/>
                <w:b/>
              </w:rPr>
              <w:t>Premium determination date</w:t>
            </w:r>
          </w:p>
        </w:tc>
      </w:tr>
      <w:tr w:rsidR="008A7F4A" w14:paraId="6E8D7212" w14:textId="77777777" w:rsidTr="008A7F4A">
        <w:trPr>
          <w:trHeight w:hRule="exact" w:val="720"/>
        </w:trPr>
        <w:tc>
          <w:tcPr>
            <w:tcW w:w="1584" w:type="dxa"/>
            <w:tcBorders>
              <w:top w:val="single" w:sz="4" w:space="0" w:color="000000"/>
              <w:left w:val="single" w:sz="4" w:space="0" w:color="000000"/>
              <w:bottom w:val="single" w:sz="4" w:space="0" w:color="000000"/>
              <w:right w:val="single" w:sz="4" w:space="0" w:color="000000"/>
            </w:tcBorders>
            <w:hideMark/>
          </w:tcPr>
          <w:p w14:paraId="13D7F0E2" w14:textId="77777777" w:rsidR="008A7F4A" w:rsidRDefault="008A7F4A">
            <w:pPr>
              <w:keepNext/>
              <w:keepLines/>
              <w:widowControl w:val="0"/>
              <w:tabs>
                <w:tab w:val="left" w:pos="564"/>
                <w:tab w:val="center" w:pos="787"/>
              </w:tabs>
              <w:autoSpaceDE w:val="0"/>
              <w:autoSpaceDN w:val="0"/>
              <w:spacing w:after="0" w:line="243" w:lineRule="exact"/>
              <w:rPr>
                <w:rFonts w:ascii="Times New Roman" w:eastAsia="Times New Roman" w:hAnsi="Times New Roman"/>
              </w:rPr>
            </w:pPr>
            <w:r>
              <w:rPr>
                <w:rFonts w:ascii="Times New Roman" w:eastAsia="Times New Roman" w:hAnsi="Times New Roman"/>
              </w:rPr>
              <w:tab/>
              <w:t>A.2.a</w:t>
            </w:r>
          </w:p>
        </w:tc>
        <w:tc>
          <w:tcPr>
            <w:tcW w:w="4003" w:type="dxa"/>
            <w:tcBorders>
              <w:top w:val="single" w:sz="4" w:space="0" w:color="000000"/>
              <w:left w:val="single" w:sz="4" w:space="0" w:color="000000"/>
              <w:bottom w:val="single" w:sz="4" w:space="0" w:color="000000"/>
              <w:right w:val="single" w:sz="4" w:space="0" w:color="000000"/>
            </w:tcBorders>
            <w:hideMark/>
          </w:tcPr>
          <w:p w14:paraId="5E40D8E1" w14:textId="77777777" w:rsidR="008A7F4A" w:rsidRDefault="008A7F4A">
            <w:pPr>
              <w:keepNext/>
              <w:keepLines/>
              <w:widowControl w:val="0"/>
              <w:autoSpaceDE w:val="0"/>
              <w:autoSpaceDN w:val="0"/>
              <w:spacing w:after="0" w:line="243" w:lineRule="exact"/>
              <w:ind w:left="225" w:right="180"/>
              <w:jc w:val="both"/>
              <w:rPr>
                <w:rFonts w:ascii="Times New Roman" w:eastAsia="Times New Roman" w:hAnsi="Times New Roman"/>
              </w:rPr>
            </w:pPr>
            <w:r>
              <w:rPr>
                <w:rFonts w:ascii="Times New Roman" w:eastAsia="Times New Roman" w:hAnsi="Times New Roman"/>
              </w:rPr>
              <w:t>Immediate annuity</w:t>
            </w:r>
          </w:p>
        </w:tc>
        <w:tc>
          <w:tcPr>
            <w:tcW w:w="3917" w:type="dxa"/>
            <w:tcBorders>
              <w:top w:val="single" w:sz="4" w:space="0" w:color="000000"/>
              <w:left w:val="single" w:sz="4" w:space="0" w:color="000000"/>
              <w:bottom w:val="single" w:sz="4" w:space="0" w:color="000000"/>
              <w:right w:val="single" w:sz="4" w:space="0" w:color="000000"/>
            </w:tcBorders>
            <w:hideMark/>
          </w:tcPr>
          <w:p w14:paraId="78CD1437" w14:textId="77777777" w:rsidR="008A7F4A" w:rsidRDefault="008A7F4A">
            <w:pPr>
              <w:keepNext/>
              <w:keepLines/>
              <w:widowControl w:val="0"/>
              <w:autoSpaceDE w:val="0"/>
              <w:autoSpaceDN w:val="0"/>
              <w:spacing w:after="0" w:line="256" w:lineRule="auto"/>
              <w:ind w:left="180" w:right="136"/>
              <w:rPr>
                <w:rFonts w:ascii="Times New Roman" w:eastAsia="Times New Roman" w:hAnsi="Times New Roman"/>
              </w:rPr>
            </w:pPr>
            <w:r>
              <w:rPr>
                <w:rFonts w:ascii="Times New Roman" w:eastAsia="Times New Roman" w:hAnsi="Times New Roman"/>
              </w:rPr>
              <w:t>Date consideration is determined and committed to by contract holder</w:t>
            </w:r>
          </w:p>
        </w:tc>
      </w:tr>
      <w:tr w:rsidR="008A7F4A" w14:paraId="73CE099F" w14:textId="77777777" w:rsidTr="008A7F4A">
        <w:trPr>
          <w:trHeight w:hRule="exact" w:val="720"/>
        </w:trPr>
        <w:tc>
          <w:tcPr>
            <w:tcW w:w="1584" w:type="dxa"/>
            <w:tcBorders>
              <w:top w:val="single" w:sz="4" w:space="0" w:color="000000"/>
              <w:left w:val="single" w:sz="4" w:space="0" w:color="000000"/>
              <w:bottom w:val="single" w:sz="4" w:space="0" w:color="000000"/>
              <w:right w:val="single" w:sz="4" w:space="0" w:color="000000"/>
            </w:tcBorders>
            <w:hideMark/>
          </w:tcPr>
          <w:p w14:paraId="435E128D" w14:textId="77777777" w:rsidR="008A7F4A" w:rsidRDefault="008A7F4A">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A.2.b</w:t>
            </w:r>
          </w:p>
        </w:tc>
        <w:tc>
          <w:tcPr>
            <w:tcW w:w="4003" w:type="dxa"/>
            <w:tcBorders>
              <w:top w:val="single" w:sz="4" w:space="0" w:color="000000"/>
              <w:left w:val="single" w:sz="4" w:space="0" w:color="000000"/>
              <w:bottom w:val="single" w:sz="4" w:space="0" w:color="000000"/>
              <w:right w:val="single" w:sz="4" w:space="0" w:color="000000"/>
            </w:tcBorders>
            <w:hideMark/>
          </w:tcPr>
          <w:p w14:paraId="0AFA885D" w14:textId="77777777" w:rsidR="008A7F4A" w:rsidRDefault="008A7F4A">
            <w:pPr>
              <w:keepNext/>
              <w:keepLines/>
              <w:widowControl w:val="0"/>
              <w:autoSpaceDE w:val="0"/>
              <w:autoSpaceDN w:val="0"/>
              <w:spacing w:after="0" w:line="243" w:lineRule="exact"/>
              <w:ind w:left="225" w:right="180"/>
              <w:jc w:val="both"/>
              <w:rPr>
                <w:rFonts w:ascii="Times New Roman" w:eastAsia="Times New Roman" w:hAnsi="Times New Roman"/>
              </w:rPr>
            </w:pPr>
            <w:r>
              <w:rPr>
                <w:rFonts w:ascii="Times New Roman" w:eastAsia="Times New Roman" w:hAnsi="Times New Roman"/>
              </w:rPr>
              <w:t>Deferred income annuity</w:t>
            </w:r>
          </w:p>
        </w:tc>
        <w:tc>
          <w:tcPr>
            <w:tcW w:w="3917" w:type="dxa"/>
            <w:tcBorders>
              <w:top w:val="single" w:sz="4" w:space="0" w:color="000000"/>
              <w:left w:val="single" w:sz="4" w:space="0" w:color="000000"/>
              <w:bottom w:val="single" w:sz="4" w:space="0" w:color="000000"/>
              <w:right w:val="single" w:sz="4" w:space="0" w:color="000000"/>
            </w:tcBorders>
            <w:hideMark/>
          </w:tcPr>
          <w:p w14:paraId="484E02CB" w14:textId="77777777" w:rsidR="008A7F4A" w:rsidRDefault="008A7F4A">
            <w:pPr>
              <w:keepNext/>
              <w:keepLines/>
              <w:widowControl w:val="0"/>
              <w:autoSpaceDE w:val="0"/>
              <w:autoSpaceDN w:val="0"/>
              <w:spacing w:after="0" w:line="256" w:lineRule="auto"/>
              <w:ind w:left="180" w:right="136"/>
              <w:rPr>
                <w:rFonts w:ascii="Times New Roman" w:eastAsia="Times New Roman" w:hAnsi="Times New Roman"/>
              </w:rPr>
            </w:pPr>
            <w:r>
              <w:rPr>
                <w:rFonts w:ascii="Times New Roman" w:eastAsia="Times New Roman" w:hAnsi="Times New Roman"/>
              </w:rPr>
              <w:t>Date consideration is determined and committed to by contract holder</w:t>
            </w:r>
          </w:p>
        </w:tc>
      </w:tr>
      <w:tr w:rsidR="008A7F4A" w14:paraId="53480D9A" w14:textId="77777777" w:rsidTr="008A7F4A">
        <w:trPr>
          <w:trHeight w:hRule="exact" w:val="720"/>
        </w:trPr>
        <w:tc>
          <w:tcPr>
            <w:tcW w:w="1584" w:type="dxa"/>
            <w:tcBorders>
              <w:top w:val="single" w:sz="4" w:space="0" w:color="000000"/>
              <w:left w:val="single" w:sz="4" w:space="0" w:color="000000"/>
              <w:bottom w:val="single" w:sz="4" w:space="0" w:color="000000"/>
              <w:right w:val="single" w:sz="4" w:space="0" w:color="000000"/>
            </w:tcBorders>
            <w:hideMark/>
          </w:tcPr>
          <w:p w14:paraId="42541DD6" w14:textId="77777777" w:rsidR="008A7F4A" w:rsidRDefault="008A7F4A">
            <w:pPr>
              <w:keepNext/>
              <w:keepLines/>
              <w:widowControl w:val="0"/>
              <w:autoSpaceDE w:val="0"/>
              <w:autoSpaceDN w:val="0"/>
              <w:spacing w:before="1" w:after="0" w:line="240" w:lineRule="auto"/>
              <w:jc w:val="center"/>
              <w:rPr>
                <w:rFonts w:ascii="Times New Roman" w:eastAsia="Times New Roman" w:hAnsi="Times New Roman"/>
              </w:rPr>
            </w:pPr>
            <w:r>
              <w:rPr>
                <w:rFonts w:ascii="Times New Roman" w:eastAsia="Times New Roman" w:hAnsi="Times New Roman"/>
              </w:rPr>
              <w:t>A.2.c</w:t>
            </w:r>
          </w:p>
        </w:tc>
        <w:tc>
          <w:tcPr>
            <w:tcW w:w="4003" w:type="dxa"/>
            <w:tcBorders>
              <w:top w:val="single" w:sz="4" w:space="0" w:color="000000"/>
              <w:left w:val="single" w:sz="4" w:space="0" w:color="000000"/>
              <w:bottom w:val="single" w:sz="4" w:space="0" w:color="000000"/>
              <w:right w:val="single" w:sz="4" w:space="0" w:color="000000"/>
            </w:tcBorders>
            <w:hideMark/>
          </w:tcPr>
          <w:p w14:paraId="300964FF" w14:textId="77777777" w:rsidR="008A7F4A" w:rsidRDefault="008A7F4A">
            <w:pPr>
              <w:keepNext/>
              <w:keepLines/>
              <w:widowControl w:val="0"/>
              <w:autoSpaceDE w:val="0"/>
              <w:autoSpaceDN w:val="0"/>
              <w:spacing w:before="1" w:after="0" w:line="240" w:lineRule="auto"/>
              <w:ind w:left="225" w:right="180"/>
              <w:jc w:val="both"/>
              <w:rPr>
                <w:rFonts w:ascii="Times New Roman" w:eastAsia="Times New Roman" w:hAnsi="Times New Roman"/>
              </w:rPr>
            </w:pPr>
            <w:r>
              <w:rPr>
                <w:rFonts w:ascii="Times New Roman" w:eastAsia="Times New Roman" w:hAnsi="Times New Roman"/>
              </w:rPr>
              <w:t>Structured settlements</w:t>
            </w:r>
          </w:p>
        </w:tc>
        <w:tc>
          <w:tcPr>
            <w:tcW w:w="3917" w:type="dxa"/>
            <w:tcBorders>
              <w:top w:val="single" w:sz="4" w:space="0" w:color="000000"/>
              <w:left w:val="single" w:sz="4" w:space="0" w:color="000000"/>
              <w:bottom w:val="single" w:sz="4" w:space="0" w:color="000000"/>
              <w:right w:val="single" w:sz="4" w:space="0" w:color="000000"/>
            </w:tcBorders>
            <w:hideMark/>
          </w:tcPr>
          <w:p w14:paraId="737464B3" w14:textId="77777777" w:rsidR="008A7F4A" w:rsidRDefault="008A7F4A">
            <w:pPr>
              <w:keepNext/>
              <w:keepLines/>
              <w:widowControl w:val="0"/>
              <w:autoSpaceDE w:val="0"/>
              <w:autoSpaceDN w:val="0"/>
              <w:spacing w:before="1" w:after="0" w:line="254" w:lineRule="auto"/>
              <w:ind w:left="180" w:right="136"/>
              <w:rPr>
                <w:rFonts w:ascii="Times New Roman" w:eastAsia="Times New Roman" w:hAnsi="Times New Roman"/>
              </w:rPr>
            </w:pPr>
            <w:r>
              <w:rPr>
                <w:rFonts w:ascii="Times New Roman" w:eastAsia="Times New Roman" w:hAnsi="Times New Roman"/>
              </w:rPr>
              <w:t>Date consideration is determined and committed to by contract holder</w:t>
            </w:r>
          </w:p>
        </w:tc>
      </w:tr>
      <w:tr w:rsidR="008A7F4A" w14:paraId="5B51AADF" w14:textId="77777777" w:rsidTr="008A7F4A">
        <w:trPr>
          <w:trHeight w:hRule="exact" w:val="1015"/>
        </w:trPr>
        <w:tc>
          <w:tcPr>
            <w:tcW w:w="1584" w:type="dxa"/>
            <w:tcBorders>
              <w:top w:val="single" w:sz="4" w:space="0" w:color="000000"/>
              <w:left w:val="single" w:sz="4" w:space="0" w:color="000000"/>
              <w:bottom w:val="single" w:sz="4" w:space="0" w:color="000000"/>
              <w:right w:val="single" w:sz="4" w:space="0" w:color="000000"/>
            </w:tcBorders>
            <w:hideMark/>
          </w:tcPr>
          <w:p w14:paraId="0E3EC06A" w14:textId="77777777" w:rsidR="008A7F4A" w:rsidRDefault="008A7F4A">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A.2.d and  A.2.e</w:t>
            </w:r>
          </w:p>
        </w:tc>
        <w:tc>
          <w:tcPr>
            <w:tcW w:w="4003" w:type="dxa"/>
            <w:tcBorders>
              <w:top w:val="single" w:sz="4" w:space="0" w:color="000000"/>
              <w:left w:val="single" w:sz="4" w:space="0" w:color="000000"/>
              <w:bottom w:val="single" w:sz="4" w:space="0" w:color="000000"/>
              <w:right w:val="single" w:sz="4" w:space="0" w:color="000000"/>
            </w:tcBorders>
            <w:hideMark/>
          </w:tcPr>
          <w:p w14:paraId="18685277" w14:textId="77777777" w:rsidR="008A7F4A" w:rsidRDefault="008A7F4A">
            <w:pPr>
              <w:keepNext/>
              <w:keepLines/>
              <w:widowControl w:val="0"/>
              <w:autoSpaceDE w:val="0"/>
              <w:autoSpaceDN w:val="0"/>
              <w:spacing w:after="0" w:line="256" w:lineRule="auto"/>
              <w:ind w:left="225" w:right="180"/>
              <w:rPr>
                <w:rFonts w:ascii="Times New Roman" w:eastAsia="Times New Roman" w:hAnsi="Times New Roman"/>
              </w:rPr>
            </w:pPr>
            <w:r>
              <w:rPr>
                <w:rFonts w:ascii="Times New Roman" w:eastAsia="Times New Roman" w:hAnsi="Times New Roman"/>
              </w:rPr>
              <w:t>Fixed payout annuities resulting from settlement options or annuitizations from host contracts</w:t>
            </w:r>
          </w:p>
        </w:tc>
        <w:tc>
          <w:tcPr>
            <w:tcW w:w="3917" w:type="dxa"/>
            <w:tcBorders>
              <w:top w:val="single" w:sz="4" w:space="0" w:color="000000"/>
              <w:left w:val="single" w:sz="4" w:space="0" w:color="000000"/>
              <w:bottom w:val="single" w:sz="4" w:space="0" w:color="000000"/>
              <w:right w:val="single" w:sz="4" w:space="0" w:color="000000"/>
            </w:tcBorders>
            <w:hideMark/>
          </w:tcPr>
          <w:p w14:paraId="75305C4B" w14:textId="77777777" w:rsidR="008A7F4A" w:rsidRDefault="008A7F4A">
            <w:pPr>
              <w:keepNext/>
              <w:keepLines/>
              <w:widowControl w:val="0"/>
              <w:autoSpaceDE w:val="0"/>
              <w:autoSpaceDN w:val="0"/>
              <w:spacing w:after="0" w:line="256" w:lineRule="auto"/>
              <w:ind w:left="180" w:right="136"/>
              <w:rPr>
                <w:rFonts w:ascii="Times New Roman" w:eastAsia="Times New Roman" w:hAnsi="Times New Roman"/>
              </w:rPr>
            </w:pPr>
            <w:r>
              <w:rPr>
                <w:rFonts w:ascii="Times New Roman" w:eastAsia="Times New Roman" w:hAnsi="Times New Roman"/>
              </w:rPr>
              <w:t>Date consideration for benefit is determined and committed to by contract holder</w:t>
            </w:r>
          </w:p>
        </w:tc>
      </w:tr>
      <w:tr w:rsidR="008A7F4A" w14:paraId="3D958700" w14:textId="77777777" w:rsidTr="008A7F4A">
        <w:trPr>
          <w:trHeight w:hRule="exact" w:val="720"/>
        </w:trPr>
        <w:tc>
          <w:tcPr>
            <w:tcW w:w="1584" w:type="dxa"/>
            <w:tcBorders>
              <w:top w:val="single" w:sz="4" w:space="0" w:color="000000"/>
              <w:left w:val="single" w:sz="4" w:space="0" w:color="000000"/>
              <w:bottom w:val="single" w:sz="4" w:space="0" w:color="000000"/>
              <w:right w:val="single" w:sz="4" w:space="0" w:color="000000"/>
            </w:tcBorders>
            <w:hideMark/>
          </w:tcPr>
          <w:p w14:paraId="67151024" w14:textId="77777777" w:rsidR="008A7F4A" w:rsidRDefault="008A7F4A">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A.2.f</w:t>
            </w:r>
          </w:p>
        </w:tc>
        <w:tc>
          <w:tcPr>
            <w:tcW w:w="4003" w:type="dxa"/>
            <w:tcBorders>
              <w:top w:val="single" w:sz="4" w:space="0" w:color="000000"/>
              <w:left w:val="single" w:sz="4" w:space="0" w:color="000000"/>
              <w:bottom w:val="single" w:sz="4" w:space="0" w:color="000000"/>
              <w:right w:val="single" w:sz="4" w:space="0" w:color="000000"/>
            </w:tcBorders>
            <w:hideMark/>
          </w:tcPr>
          <w:p w14:paraId="2E191AD5" w14:textId="77777777" w:rsidR="008A7F4A" w:rsidRDefault="008A7F4A">
            <w:pPr>
              <w:keepNext/>
              <w:keepLines/>
              <w:widowControl w:val="0"/>
              <w:autoSpaceDE w:val="0"/>
              <w:autoSpaceDN w:val="0"/>
              <w:spacing w:after="0" w:line="243" w:lineRule="exact"/>
              <w:ind w:left="225" w:right="180"/>
              <w:jc w:val="both"/>
              <w:rPr>
                <w:rFonts w:ascii="Times New Roman" w:eastAsia="Times New Roman" w:hAnsi="Times New Roman"/>
              </w:rPr>
            </w:pPr>
            <w:r>
              <w:rPr>
                <w:rFonts w:ascii="Times New Roman" w:eastAsia="Times New Roman" w:hAnsi="Times New Roman"/>
              </w:rPr>
              <w:t>Supplementary contracts</w:t>
            </w:r>
          </w:p>
        </w:tc>
        <w:tc>
          <w:tcPr>
            <w:tcW w:w="3917" w:type="dxa"/>
            <w:tcBorders>
              <w:top w:val="single" w:sz="4" w:space="0" w:color="000000"/>
              <w:left w:val="single" w:sz="4" w:space="0" w:color="000000"/>
              <w:bottom w:val="single" w:sz="4" w:space="0" w:color="000000"/>
              <w:right w:val="single" w:sz="4" w:space="0" w:color="000000"/>
            </w:tcBorders>
            <w:hideMark/>
          </w:tcPr>
          <w:p w14:paraId="14272A7C" w14:textId="77777777" w:rsidR="008A7F4A" w:rsidRDefault="008A7F4A">
            <w:pPr>
              <w:keepNext/>
              <w:keepLines/>
              <w:widowControl w:val="0"/>
              <w:autoSpaceDE w:val="0"/>
              <w:autoSpaceDN w:val="0"/>
              <w:spacing w:before="1" w:after="0" w:line="254" w:lineRule="auto"/>
              <w:ind w:left="180" w:right="136"/>
              <w:jc w:val="both"/>
              <w:rPr>
                <w:rFonts w:ascii="Times New Roman" w:eastAsia="Times New Roman" w:hAnsi="Times New Roman"/>
              </w:rPr>
            </w:pPr>
            <w:r>
              <w:rPr>
                <w:rFonts w:ascii="Times New Roman" w:eastAsia="Times New Roman" w:hAnsi="Times New Roman"/>
              </w:rPr>
              <w:t>Date of issue of supplementary contract</w:t>
            </w:r>
          </w:p>
        </w:tc>
      </w:tr>
      <w:tr w:rsidR="008A7F4A" w14:paraId="7E5EC5C0" w14:textId="77777777" w:rsidTr="008A7F4A">
        <w:trPr>
          <w:trHeight w:hRule="exact" w:val="907"/>
        </w:trPr>
        <w:tc>
          <w:tcPr>
            <w:tcW w:w="1584" w:type="dxa"/>
            <w:tcBorders>
              <w:top w:val="single" w:sz="4" w:space="0" w:color="000000"/>
              <w:left w:val="single" w:sz="4" w:space="0" w:color="000000"/>
              <w:bottom w:val="single" w:sz="4" w:space="0" w:color="000000"/>
              <w:right w:val="single" w:sz="4" w:space="0" w:color="000000"/>
            </w:tcBorders>
            <w:hideMark/>
          </w:tcPr>
          <w:p w14:paraId="2C68EE6E" w14:textId="77777777" w:rsidR="008A7F4A" w:rsidRDefault="008A7F4A">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A.2.g</w:t>
            </w:r>
          </w:p>
        </w:tc>
        <w:tc>
          <w:tcPr>
            <w:tcW w:w="4003" w:type="dxa"/>
            <w:tcBorders>
              <w:top w:val="single" w:sz="4" w:space="0" w:color="000000"/>
              <w:left w:val="single" w:sz="4" w:space="0" w:color="000000"/>
              <w:bottom w:val="single" w:sz="4" w:space="0" w:color="000000"/>
              <w:right w:val="single" w:sz="4" w:space="0" w:color="000000"/>
            </w:tcBorders>
            <w:hideMark/>
          </w:tcPr>
          <w:p w14:paraId="508FCD39" w14:textId="77777777" w:rsidR="008A7F4A" w:rsidRDefault="008A7F4A">
            <w:pPr>
              <w:keepNext/>
              <w:keepLines/>
              <w:widowControl w:val="0"/>
              <w:autoSpaceDE w:val="0"/>
              <w:autoSpaceDN w:val="0"/>
              <w:spacing w:after="0" w:line="256" w:lineRule="auto"/>
              <w:ind w:left="225" w:right="180"/>
              <w:rPr>
                <w:rFonts w:ascii="Times New Roman" w:eastAsia="Times New Roman" w:hAnsi="Times New Roman"/>
              </w:rPr>
            </w:pPr>
            <w:r>
              <w:rPr>
                <w:rFonts w:ascii="Times New Roman" w:eastAsia="Times New Roman" w:hAnsi="Times New Roman"/>
              </w:rPr>
              <w:t>Fixed income payment streams from CDAs, AV becomes 0</w:t>
            </w:r>
          </w:p>
        </w:tc>
        <w:tc>
          <w:tcPr>
            <w:tcW w:w="3917" w:type="dxa"/>
            <w:tcBorders>
              <w:top w:val="single" w:sz="4" w:space="0" w:color="000000"/>
              <w:left w:val="single" w:sz="4" w:space="0" w:color="000000"/>
              <w:bottom w:val="single" w:sz="4" w:space="0" w:color="000000"/>
              <w:right w:val="single" w:sz="4" w:space="0" w:color="000000"/>
            </w:tcBorders>
            <w:hideMark/>
          </w:tcPr>
          <w:p w14:paraId="37C0E6B0" w14:textId="77777777" w:rsidR="008A7F4A" w:rsidRDefault="008A7F4A">
            <w:pPr>
              <w:keepNext/>
              <w:keepLines/>
              <w:widowControl w:val="0"/>
              <w:autoSpaceDE w:val="0"/>
              <w:autoSpaceDN w:val="0"/>
              <w:spacing w:after="0" w:line="256" w:lineRule="auto"/>
              <w:ind w:left="180" w:right="136"/>
              <w:rPr>
                <w:rFonts w:ascii="Times New Roman" w:eastAsia="Times New Roman" w:hAnsi="Times New Roman"/>
              </w:rPr>
            </w:pPr>
            <w:r>
              <w:rPr>
                <w:rFonts w:ascii="Times New Roman" w:eastAsia="Times New Roman" w:hAnsi="Times New Roman"/>
              </w:rPr>
              <w:t>Date on which AV becomes 0</w:t>
            </w:r>
          </w:p>
        </w:tc>
      </w:tr>
      <w:tr w:rsidR="008A7F4A" w14:paraId="2DC62C18" w14:textId="77777777" w:rsidTr="008A7F4A">
        <w:trPr>
          <w:trHeight w:hRule="exact" w:val="817"/>
        </w:trPr>
        <w:tc>
          <w:tcPr>
            <w:tcW w:w="1584" w:type="dxa"/>
            <w:tcBorders>
              <w:top w:val="single" w:sz="4" w:space="0" w:color="000000"/>
              <w:left w:val="single" w:sz="4" w:space="0" w:color="000000"/>
              <w:bottom w:val="single" w:sz="4" w:space="0" w:color="000000"/>
              <w:right w:val="single" w:sz="4" w:space="0" w:color="000000"/>
            </w:tcBorders>
            <w:hideMark/>
          </w:tcPr>
          <w:p w14:paraId="14D55276" w14:textId="77777777" w:rsidR="008A7F4A" w:rsidRDefault="008A7F4A">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A.2.h</w:t>
            </w:r>
          </w:p>
        </w:tc>
        <w:tc>
          <w:tcPr>
            <w:tcW w:w="4003" w:type="dxa"/>
            <w:tcBorders>
              <w:top w:val="single" w:sz="4" w:space="0" w:color="000000"/>
              <w:left w:val="single" w:sz="4" w:space="0" w:color="000000"/>
              <w:bottom w:val="single" w:sz="4" w:space="0" w:color="000000"/>
              <w:right w:val="single" w:sz="4" w:space="0" w:color="000000"/>
            </w:tcBorders>
            <w:hideMark/>
          </w:tcPr>
          <w:p w14:paraId="56C92825" w14:textId="77777777" w:rsidR="008A7F4A" w:rsidRDefault="008A7F4A">
            <w:pPr>
              <w:keepNext/>
              <w:keepLines/>
              <w:widowControl w:val="0"/>
              <w:autoSpaceDE w:val="0"/>
              <w:autoSpaceDN w:val="0"/>
              <w:spacing w:after="0" w:line="256" w:lineRule="auto"/>
              <w:ind w:left="225" w:right="180"/>
              <w:rPr>
                <w:rFonts w:ascii="Times New Roman" w:eastAsia="Times New Roman" w:hAnsi="Times New Roman"/>
              </w:rPr>
            </w:pPr>
            <w:r>
              <w:rPr>
                <w:rFonts w:ascii="Times New Roman" w:eastAsia="Times New Roman" w:hAnsi="Times New Roman"/>
              </w:rPr>
              <w:t>Fixed income payment streams from guaranteed living benefits, AV becomes 0</w:t>
            </w:r>
          </w:p>
        </w:tc>
        <w:tc>
          <w:tcPr>
            <w:tcW w:w="3917" w:type="dxa"/>
            <w:tcBorders>
              <w:top w:val="single" w:sz="4" w:space="0" w:color="000000"/>
              <w:left w:val="single" w:sz="4" w:space="0" w:color="000000"/>
              <w:bottom w:val="single" w:sz="4" w:space="0" w:color="000000"/>
              <w:right w:val="single" w:sz="4" w:space="0" w:color="000000"/>
            </w:tcBorders>
            <w:hideMark/>
          </w:tcPr>
          <w:p w14:paraId="7E1604E1" w14:textId="77777777" w:rsidR="008A7F4A" w:rsidRDefault="008A7F4A">
            <w:pPr>
              <w:keepNext/>
              <w:keepLines/>
              <w:widowControl w:val="0"/>
              <w:autoSpaceDE w:val="0"/>
              <w:autoSpaceDN w:val="0"/>
              <w:spacing w:after="0" w:line="256" w:lineRule="auto"/>
              <w:ind w:left="180" w:right="136"/>
              <w:rPr>
                <w:rFonts w:ascii="Times New Roman" w:eastAsia="Times New Roman" w:hAnsi="Times New Roman"/>
              </w:rPr>
            </w:pPr>
            <w:r>
              <w:rPr>
                <w:rFonts w:ascii="Times New Roman" w:eastAsia="Times New Roman" w:hAnsi="Times New Roman"/>
              </w:rPr>
              <w:t>Date on which AV becomes 0</w:t>
            </w:r>
          </w:p>
        </w:tc>
      </w:tr>
      <w:tr w:rsidR="008A7F4A" w14:paraId="59FA2477" w14:textId="77777777" w:rsidTr="008A7F4A">
        <w:trPr>
          <w:trHeight w:hRule="exact" w:val="720"/>
        </w:trPr>
        <w:tc>
          <w:tcPr>
            <w:tcW w:w="1584" w:type="dxa"/>
            <w:tcBorders>
              <w:top w:val="single" w:sz="4" w:space="0" w:color="000000"/>
              <w:left w:val="single" w:sz="4" w:space="0" w:color="000000"/>
              <w:bottom w:val="single" w:sz="4" w:space="0" w:color="000000"/>
              <w:right w:val="single" w:sz="4" w:space="0" w:color="000000"/>
            </w:tcBorders>
            <w:hideMark/>
          </w:tcPr>
          <w:p w14:paraId="26964E0A" w14:textId="77777777" w:rsidR="008A7F4A" w:rsidRDefault="008A7F4A">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A.2.i</w:t>
            </w:r>
          </w:p>
        </w:tc>
        <w:tc>
          <w:tcPr>
            <w:tcW w:w="4003" w:type="dxa"/>
            <w:tcBorders>
              <w:top w:val="single" w:sz="4" w:space="0" w:color="000000"/>
              <w:left w:val="single" w:sz="4" w:space="0" w:color="000000"/>
              <w:bottom w:val="single" w:sz="4" w:space="0" w:color="000000"/>
              <w:right w:val="single" w:sz="4" w:space="0" w:color="000000"/>
            </w:tcBorders>
            <w:hideMark/>
          </w:tcPr>
          <w:p w14:paraId="6F3CADBF" w14:textId="77777777" w:rsidR="008A7F4A" w:rsidRDefault="008A7F4A">
            <w:pPr>
              <w:keepNext/>
              <w:keepLines/>
              <w:widowControl w:val="0"/>
              <w:autoSpaceDE w:val="0"/>
              <w:autoSpaceDN w:val="0"/>
              <w:spacing w:after="0" w:line="243" w:lineRule="exact"/>
              <w:ind w:left="225" w:right="180"/>
              <w:rPr>
                <w:rFonts w:ascii="Times New Roman" w:eastAsia="Times New Roman" w:hAnsi="Times New Roman"/>
              </w:rPr>
            </w:pPr>
            <w:r>
              <w:rPr>
                <w:rFonts w:ascii="Times New Roman" w:eastAsia="Times New Roman" w:hAnsi="Times New Roman"/>
              </w:rPr>
              <w:t>Group annuity and related certificates</w:t>
            </w:r>
          </w:p>
        </w:tc>
        <w:tc>
          <w:tcPr>
            <w:tcW w:w="3917" w:type="dxa"/>
            <w:tcBorders>
              <w:top w:val="single" w:sz="4" w:space="0" w:color="000000"/>
              <w:left w:val="single" w:sz="4" w:space="0" w:color="000000"/>
              <w:bottom w:val="single" w:sz="4" w:space="0" w:color="000000"/>
              <w:right w:val="single" w:sz="4" w:space="0" w:color="000000"/>
            </w:tcBorders>
            <w:hideMark/>
          </w:tcPr>
          <w:p w14:paraId="05E2699B" w14:textId="77777777" w:rsidR="008A7F4A" w:rsidRDefault="008A7F4A">
            <w:pPr>
              <w:keepNext/>
              <w:keepLines/>
              <w:widowControl w:val="0"/>
              <w:autoSpaceDE w:val="0"/>
              <w:autoSpaceDN w:val="0"/>
              <w:spacing w:after="0" w:line="256" w:lineRule="auto"/>
              <w:ind w:left="180" w:right="136"/>
              <w:rPr>
                <w:rFonts w:ascii="Times New Roman" w:eastAsia="Times New Roman" w:hAnsi="Times New Roman"/>
              </w:rPr>
            </w:pPr>
            <w:r>
              <w:rPr>
                <w:rFonts w:ascii="Times New Roman" w:eastAsia="Times New Roman" w:hAnsi="Times New Roman"/>
              </w:rPr>
              <w:t>Date consideration is determined and committed to by contract holder</w:t>
            </w:r>
          </w:p>
        </w:tc>
      </w:tr>
    </w:tbl>
    <w:p w14:paraId="6C55DC2B" w14:textId="77777777" w:rsidR="008A7F4A" w:rsidRDefault="008A7F4A" w:rsidP="008A7F4A">
      <w:pPr>
        <w:spacing w:after="0" w:line="240" w:lineRule="auto"/>
        <w:jc w:val="both"/>
        <w:rPr>
          <w:rFonts w:ascii="Times New Roman" w:hAnsi="Times New Roman"/>
        </w:rPr>
      </w:pPr>
    </w:p>
    <w:p w14:paraId="34EC4FE3" w14:textId="77777777" w:rsidR="008A7F4A" w:rsidRDefault="008A7F4A" w:rsidP="008A7F4A">
      <w:pPr>
        <w:pStyle w:val="ListParagraph"/>
        <w:pBdr>
          <w:top w:val="single" w:sz="4" w:space="1" w:color="auto"/>
          <w:left w:val="single" w:sz="4" w:space="4" w:color="auto"/>
          <w:bottom w:val="single" w:sz="4" w:space="1" w:color="auto"/>
          <w:right w:val="single" w:sz="4" w:space="27" w:color="auto"/>
          <w:between w:val="single" w:sz="4" w:space="1" w:color="auto"/>
        </w:pBdr>
        <w:spacing w:after="0" w:line="240" w:lineRule="auto"/>
        <w:ind w:left="0"/>
        <w:jc w:val="both"/>
        <w:rPr>
          <w:rFonts w:ascii="Times New Roman" w:hAnsi="Times New Roman"/>
        </w:rPr>
      </w:pPr>
      <w:r>
        <w:rPr>
          <w:rFonts w:ascii="Times New Roman" w:hAnsi="Times New Roman"/>
          <w:b/>
          <w:bCs/>
        </w:rPr>
        <w:t>Guidance Note:</w:t>
      </w:r>
      <w:r>
        <w:rPr>
          <w:rFonts w:ascii="Times New Roman" w:hAnsi="Times New Roman"/>
        </w:rPr>
        <w:t xml:space="preserve">  For the purposes of the items in the table above, the phrase “date consideration is determined and committed to by the contract holder” should be interpreted by the company in a manner that is consistent with its standard practices. For some products, that interpretation may be the issue date or the date the premium is paid. </w:t>
      </w:r>
    </w:p>
    <w:p w14:paraId="68C19174" w14:textId="77777777" w:rsidR="008A7F4A" w:rsidRDefault="008A7F4A" w:rsidP="008A7F4A">
      <w:pPr>
        <w:spacing w:after="0" w:line="240" w:lineRule="auto"/>
        <w:jc w:val="both"/>
        <w:rPr>
          <w:rFonts w:ascii="Times New Roman" w:hAnsi="Times New Roman"/>
        </w:rPr>
      </w:pPr>
    </w:p>
    <w:p w14:paraId="64F5EEBF" w14:textId="77777777" w:rsidR="008A7F4A" w:rsidRDefault="008A7F4A" w:rsidP="00745C9A">
      <w:pPr>
        <w:pStyle w:val="ListParagraph"/>
        <w:widowControl w:val="0"/>
        <w:numPr>
          <w:ilvl w:val="1"/>
          <w:numId w:val="132"/>
        </w:numPr>
        <w:spacing w:after="220"/>
        <w:ind w:left="1440" w:hanging="720"/>
        <w:jc w:val="both"/>
        <w:rPr>
          <w:rFonts w:ascii="Times New Roman" w:hAnsi="Times New Roman"/>
        </w:rPr>
      </w:pPr>
      <w:r>
        <w:rPr>
          <w:rFonts w:ascii="Times New Roman" w:hAnsi="Times New Roman"/>
        </w:rPr>
        <w:t>Immaterial Change in Consideration</w:t>
      </w:r>
    </w:p>
    <w:p w14:paraId="49D50CE6" w14:textId="77777777" w:rsidR="008A7F4A" w:rsidRDefault="008A7F4A" w:rsidP="008A7F4A">
      <w:pPr>
        <w:pStyle w:val="ListParagraph"/>
        <w:spacing w:after="220"/>
        <w:ind w:left="360"/>
        <w:jc w:val="both"/>
        <w:rPr>
          <w:rFonts w:ascii="Times New Roman" w:hAnsi="Times New Roman"/>
        </w:rPr>
      </w:pPr>
    </w:p>
    <w:p w14:paraId="0D5CA288" w14:textId="77777777" w:rsidR="008A7F4A" w:rsidRDefault="008A7F4A" w:rsidP="008A7F4A">
      <w:pPr>
        <w:pStyle w:val="ListParagraph"/>
        <w:spacing w:after="220"/>
        <w:ind w:left="1440"/>
        <w:jc w:val="both"/>
        <w:rPr>
          <w:rFonts w:ascii="Times New Roman" w:hAnsi="Times New Roman"/>
        </w:rPr>
      </w:pPr>
      <w:r>
        <w:rPr>
          <w:rFonts w:ascii="Times New Roman" w:hAnsi="Times New Roman"/>
        </w:rPr>
        <w:t xml:space="preserve">If the premium determination date is based on the consideration, and if the consideration changes by an immaterial amount (defined as a change in present value of less than 10% and less than $1 million) </w:t>
      </w:r>
      <w:proofErr w:type="gramStart"/>
      <w:r>
        <w:rPr>
          <w:rFonts w:ascii="Times New Roman" w:hAnsi="Times New Roman"/>
        </w:rPr>
        <w:t>subsequent to</w:t>
      </w:r>
      <w:proofErr w:type="gramEnd"/>
      <w:r>
        <w:rPr>
          <w:rFonts w:ascii="Times New Roman" w:hAnsi="Times New Roman"/>
        </w:rPr>
        <w:t xml:space="preserve">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t>
      </w:r>
    </w:p>
    <w:p w14:paraId="35D4001E" w14:textId="77777777" w:rsidR="008A7F4A" w:rsidRDefault="008A7F4A" w:rsidP="008A7F4A">
      <w:pPr>
        <w:pStyle w:val="ListParagraph"/>
        <w:spacing w:after="220" w:line="240" w:lineRule="auto"/>
        <w:ind w:left="360"/>
        <w:jc w:val="both"/>
        <w:rPr>
          <w:rFonts w:ascii="Times New Roman" w:hAnsi="Times New Roman"/>
        </w:rPr>
      </w:pPr>
    </w:p>
    <w:p w14:paraId="21154808" w14:textId="77777777" w:rsidR="008A7F4A" w:rsidRDefault="008A7F4A" w:rsidP="00745C9A">
      <w:pPr>
        <w:pStyle w:val="ListParagraph"/>
        <w:widowControl w:val="0"/>
        <w:numPr>
          <w:ilvl w:val="0"/>
          <w:numId w:val="130"/>
        </w:numPr>
        <w:spacing w:after="220" w:line="240" w:lineRule="auto"/>
        <w:jc w:val="both"/>
        <w:rPr>
          <w:rFonts w:ascii="Times New Roman" w:hAnsi="Times New Roman"/>
        </w:rPr>
      </w:pPr>
      <w:r>
        <w:rPr>
          <w:rFonts w:ascii="Times New Roman" w:hAnsi="Times New Roman"/>
        </w:rPr>
        <w:t>Statutory Maximum Valuation Interest Rate</w:t>
      </w:r>
    </w:p>
    <w:p w14:paraId="4879192C" w14:textId="77777777" w:rsidR="008A7F4A" w:rsidRDefault="008A7F4A" w:rsidP="00745C9A">
      <w:pPr>
        <w:numPr>
          <w:ilvl w:val="0"/>
          <w:numId w:val="133"/>
        </w:numPr>
        <w:spacing w:after="220" w:line="240" w:lineRule="auto"/>
        <w:ind w:left="1440" w:hanging="720"/>
        <w:jc w:val="both"/>
        <w:rPr>
          <w:rFonts w:ascii="Times New Roman" w:hAnsi="Times New Roman"/>
        </w:rPr>
      </w:pPr>
      <w:r>
        <w:rPr>
          <w:rFonts w:ascii="Times New Roman" w:hAnsi="Times New Roman"/>
        </w:rPr>
        <w:t xml:space="preserve">For a given contract, certificate or contract feature, the statutory maximum valuation interest rate is determined based on its assigned Valuation Rate Bucket (Section 13.C.1) and its Premium Determination Date (Section 13.C.2) and whether the contract associated with it is a jumbo contract or a non-jumbo contract. </w:t>
      </w:r>
    </w:p>
    <w:p w14:paraId="68C784A6" w14:textId="77777777" w:rsidR="008A7F4A" w:rsidRDefault="008A7F4A" w:rsidP="00745C9A">
      <w:pPr>
        <w:numPr>
          <w:ilvl w:val="0"/>
          <w:numId w:val="133"/>
        </w:numPr>
        <w:spacing w:after="220" w:line="240" w:lineRule="auto"/>
        <w:ind w:left="1440" w:hanging="720"/>
        <w:jc w:val="both"/>
        <w:rPr>
          <w:rFonts w:ascii="Times New Roman" w:hAnsi="Times New Roman"/>
        </w:rPr>
      </w:pPr>
      <w:r>
        <w:rPr>
          <w:rFonts w:ascii="Times New Roman" w:hAnsi="Times New Roman"/>
        </w:rPr>
        <w: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t>
      </w:r>
    </w:p>
    <w:p w14:paraId="4938C213" w14:textId="77777777" w:rsidR="008A7F4A" w:rsidRDefault="008A7F4A" w:rsidP="00745C9A">
      <w:pPr>
        <w:numPr>
          <w:ilvl w:val="0"/>
          <w:numId w:val="133"/>
        </w:numPr>
        <w:spacing w:after="220" w:line="240" w:lineRule="auto"/>
        <w:ind w:left="1440" w:hanging="720"/>
        <w:jc w:val="both"/>
        <w:rPr>
          <w:rFonts w:ascii="Times New Roman" w:hAnsi="Times New Roman"/>
        </w:rPr>
      </w:pPr>
      <w:r>
        <w:rPr>
          <w:rFonts w:ascii="Times New Roman" w:hAnsi="Times New Roman"/>
        </w:rPr>
        <w:t>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published for the quarter in which the premium determination date falls.</w:t>
      </w:r>
    </w:p>
    <w:p w14:paraId="217A30B7" w14:textId="77777777" w:rsidR="008A7F4A" w:rsidRDefault="008A7F4A" w:rsidP="00745C9A">
      <w:pPr>
        <w:numPr>
          <w:ilvl w:val="0"/>
          <w:numId w:val="133"/>
        </w:numPr>
        <w:spacing w:after="220" w:line="240" w:lineRule="auto"/>
        <w:ind w:left="1440" w:hanging="720"/>
        <w:jc w:val="both"/>
        <w:rPr>
          <w:rFonts w:ascii="Times New Roman" w:hAnsi="Times New Roman"/>
        </w:rPr>
      </w:pPr>
      <w:r>
        <w:rPr>
          <w:rFonts w:ascii="Times New Roman" w:hAnsi="Times New Roman"/>
        </w:rPr>
        <w:t>Quarterly Valuation Rate:</w:t>
      </w:r>
    </w:p>
    <w:p w14:paraId="67AB9FD7" w14:textId="77777777" w:rsidR="008A7F4A" w:rsidRDefault="008A7F4A" w:rsidP="008A7F4A">
      <w:pPr>
        <w:spacing w:after="220" w:line="240" w:lineRule="auto"/>
        <w:ind w:left="2160" w:hanging="720"/>
        <w:jc w:val="both"/>
        <w:rPr>
          <w:rFonts w:ascii="Times New Roman" w:hAnsi="Times New Roman"/>
        </w:rPr>
      </w:pPr>
      <w:r>
        <w:rPr>
          <w:rFonts w:ascii="Times New Roman" w:hAnsi="Times New Roman"/>
        </w:rPr>
        <w:t>For each Valuation Rate Bucket, the quarterly valuation rate is defined as follows:</w:t>
      </w:r>
    </w:p>
    <w:p w14:paraId="3E1FE042" w14:textId="77777777" w:rsidR="008A7F4A" w:rsidRDefault="008A7F4A" w:rsidP="008A7F4A">
      <w:pPr>
        <w:spacing w:after="220" w:line="240" w:lineRule="auto"/>
        <w:ind w:left="2160" w:hanging="720"/>
        <w:jc w:val="both"/>
        <w:rPr>
          <w:rFonts w:ascii="Times New Roman" w:hAnsi="Times New Roman"/>
        </w:rPr>
      </w:pPr>
      <w:proofErr w:type="spellStart"/>
      <w:r>
        <w:rPr>
          <w:rFonts w:ascii="Times New Roman" w:hAnsi="Times New Roman"/>
        </w:rPr>
        <w:t>I</w:t>
      </w:r>
      <w:r>
        <w:rPr>
          <w:rFonts w:ascii="Times New Roman" w:hAnsi="Times New Roman"/>
          <w:vertAlign w:val="subscript"/>
        </w:rPr>
        <w:t>q</w:t>
      </w:r>
      <w:proofErr w:type="spellEnd"/>
      <w:r>
        <w:rPr>
          <w:rFonts w:ascii="Times New Roman" w:hAnsi="Times New Roman"/>
        </w:rPr>
        <w:t xml:space="preserve"> = R + S – D – E </w:t>
      </w:r>
    </w:p>
    <w:p w14:paraId="67EB260E" w14:textId="77777777" w:rsidR="008A7F4A" w:rsidRDefault="008A7F4A" w:rsidP="008A7F4A">
      <w:pPr>
        <w:spacing w:after="220" w:line="240" w:lineRule="auto"/>
        <w:ind w:left="2160" w:hanging="720"/>
        <w:jc w:val="both"/>
        <w:rPr>
          <w:rFonts w:ascii="Times New Roman" w:hAnsi="Times New Roman"/>
        </w:rPr>
      </w:pPr>
      <w:r>
        <w:rPr>
          <w:rFonts w:ascii="Times New Roman" w:hAnsi="Times New Roman"/>
        </w:rPr>
        <w:t>Where:</w:t>
      </w:r>
    </w:p>
    <w:p w14:paraId="431FDE5F" w14:textId="77777777" w:rsidR="008A7F4A" w:rsidRDefault="008A7F4A" w:rsidP="00745C9A">
      <w:pPr>
        <w:numPr>
          <w:ilvl w:val="2"/>
          <w:numId w:val="134"/>
        </w:numPr>
        <w:spacing w:after="220" w:line="240" w:lineRule="auto"/>
        <w:ind w:left="2160"/>
        <w:jc w:val="both"/>
        <w:rPr>
          <w:rFonts w:ascii="Times New Roman" w:hAnsi="Times New Roman"/>
        </w:rPr>
      </w:pPr>
      <w:r>
        <w:rPr>
          <w:rFonts w:ascii="Times New Roman" w:hAnsi="Times New Roman"/>
        </w:rPr>
        <w:t>R is the reference rate for that Valuation Rate Bucket (defined in Section 13.C.4</w:t>
      </w:r>
      <w:proofErr w:type="gramStart"/>
      <w:r>
        <w:rPr>
          <w:rFonts w:ascii="Times New Roman" w:hAnsi="Times New Roman"/>
        </w:rPr>
        <w:t>);</w:t>
      </w:r>
      <w:proofErr w:type="gramEnd"/>
    </w:p>
    <w:p w14:paraId="38A2C2F2" w14:textId="77777777" w:rsidR="008A7F4A" w:rsidRDefault="008A7F4A" w:rsidP="00745C9A">
      <w:pPr>
        <w:numPr>
          <w:ilvl w:val="2"/>
          <w:numId w:val="134"/>
        </w:numPr>
        <w:spacing w:after="220" w:line="240" w:lineRule="auto"/>
        <w:ind w:left="2160"/>
        <w:jc w:val="both"/>
        <w:rPr>
          <w:rFonts w:ascii="Times New Roman" w:hAnsi="Times New Roman"/>
        </w:rPr>
      </w:pPr>
      <w:r>
        <w:rPr>
          <w:rFonts w:ascii="Times New Roman" w:hAnsi="Times New Roman"/>
        </w:rPr>
        <w:t>S is the spread rate for that Valuation Rate Bucket (defined in Section 13.C.5</w:t>
      </w:r>
      <w:proofErr w:type="gramStart"/>
      <w:r>
        <w:rPr>
          <w:rFonts w:ascii="Times New Roman" w:hAnsi="Times New Roman"/>
        </w:rPr>
        <w:t>);</w:t>
      </w:r>
      <w:proofErr w:type="gramEnd"/>
    </w:p>
    <w:p w14:paraId="571D8EFC" w14:textId="77777777" w:rsidR="008A7F4A" w:rsidRDefault="008A7F4A" w:rsidP="00745C9A">
      <w:pPr>
        <w:numPr>
          <w:ilvl w:val="2"/>
          <w:numId w:val="134"/>
        </w:numPr>
        <w:spacing w:after="220" w:line="240" w:lineRule="auto"/>
        <w:ind w:left="2160"/>
        <w:jc w:val="both"/>
        <w:rPr>
          <w:rFonts w:ascii="Times New Roman" w:hAnsi="Times New Roman"/>
        </w:rPr>
      </w:pPr>
      <w:r>
        <w:rPr>
          <w:rFonts w:ascii="Times New Roman" w:hAnsi="Times New Roman"/>
        </w:rPr>
        <w:t>D is the default cost rate for that Valuation Rate Bucket (defined in Section 13.C.6</w:t>
      </w:r>
      <w:proofErr w:type="gramStart"/>
      <w:r>
        <w:rPr>
          <w:rFonts w:ascii="Times New Roman" w:hAnsi="Times New Roman"/>
        </w:rPr>
        <w:t>);</w:t>
      </w:r>
      <w:proofErr w:type="gramEnd"/>
      <w:r>
        <w:rPr>
          <w:rFonts w:ascii="Times New Roman" w:hAnsi="Times New Roman"/>
        </w:rPr>
        <w:t xml:space="preserve"> </w:t>
      </w:r>
    </w:p>
    <w:p w14:paraId="240347EB" w14:textId="77777777" w:rsidR="008A7F4A" w:rsidRDefault="008A7F4A" w:rsidP="008A7F4A">
      <w:pPr>
        <w:spacing w:after="220" w:line="240" w:lineRule="auto"/>
        <w:ind w:left="2160"/>
        <w:jc w:val="both"/>
        <w:rPr>
          <w:rFonts w:ascii="Times New Roman" w:hAnsi="Times New Roman"/>
        </w:rPr>
      </w:pPr>
      <w:r>
        <w:rPr>
          <w:rFonts w:ascii="Times New Roman" w:hAnsi="Times New Roman"/>
        </w:rPr>
        <w:t>and</w:t>
      </w:r>
    </w:p>
    <w:p w14:paraId="2CEACB34" w14:textId="77777777" w:rsidR="008A7F4A" w:rsidRDefault="008A7F4A" w:rsidP="00745C9A">
      <w:pPr>
        <w:numPr>
          <w:ilvl w:val="2"/>
          <w:numId w:val="134"/>
        </w:numPr>
        <w:spacing w:after="220" w:line="240" w:lineRule="auto"/>
        <w:ind w:left="2160"/>
        <w:jc w:val="both"/>
        <w:rPr>
          <w:rFonts w:ascii="Times New Roman" w:hAnsi="Times New Roman"/>
        </w:rPr>
      </w:pPr>
      <w:r>
        <w:rPr>
          <w:rFonts w:ascii="Times New Roman" w:hAnsi="Times New Roman"/>
        </w:rPr>
        <w:t>E is the spread deduction defined as 0.25%.</w:t>
      </w:r>
    </w:p>
    <w:p w14:paraId="468252A5" w14:textId="77777777" w:rsidR="008A7F4A" w:rsidRDefault="008A7F4A" w:rsidP="00745C9A">
      <w:pPr>
        <w:numPr>
          <w:ilvl w:val="0"/>
          <w:numId w:val="133"/>
        </w:numPr>
        <w:spacing w:after="220" w:line="240" w:lineRule="auto"/>
        <w:ind w:left="1440" w:hanging="720"/>
        <w:jc w:val="both"/>
        <w:rPr>
          <w:rFonts w:ascii="Times New Roman" w:hAnsi="Times New Roman"/>
        </w:rPr>
      </w:pPr>
      <w:r>
        <w:rPr>
          <w:rFonts w:ascii="Times New Roman" w:hAnsi="Times New Roman"/>
        </w:rPr>
        <w:t>Daily Valuation Rate:</w:t>
      </w:r>
    </w:p>
    <w:p w14:paraId="10A96C18" w14:textId="77777777" w:rsidR="008A7F4A" w:rsidRDefault="008A7F4A" w:rsidP="008A7F4A">
      <w:pPr>
        <w:spacing w:after="220" w:line="240" w:lineRule="auto"/>
        <w:ind w:left="2160" w:hanging="720"/>
        <w:jc w:val="both"/>
        <w:rPr>
          <w:rFonts w:ascii="Times New Roman" w:hAnsi="Times New Roman"/>
        </w:rPr>
      </w:pPr>
      <w:r>
        <w:rPr>
          <w:rFonts w:ascii="Times New Roman" w:hAnsi="Times New Roman"/>
        </w:rPr>
        <w:t>For each Valuation Rate Bucket, the daily valuation rate is defined as follows:</w:t>
      </w:r>
    </w:p>
    <w:p w14:paraId="4EA49AA0" w14:textId="77777777" w:rsidR="008A7F4A" w:rsidRDefault="008A7F4A" w:rsidP="008A7F4A">
      <w:pPr>
        <w:spacing w:after="220" w:line="240" w:lineRule="auto"/>
        <w:ind w:left="2160" w:hanging="720"/>
        <w:rPr>
          <w:rFonts w:ascii="Times New Roman" w:hAnsi="Times New Roman"/>
        </w:rPr>
      </w:pPr>
      <w:r>
        <w:rPr>
          <w:rFonts w:ascii="Times New Roman" w:hAnsi="Times New Roman"/>
        </w:rPr>
        <w:t>I</w:t>
      </w:r>
      <w:r>
        <w:rPr>
          <w:rFonts w:ascii="Times New Roman" w:hAnsi="Times New Roman"/>
          <w:vertAlign w:val="subscript"/>
        </w:rPr>
        <w:t>d</w:t>
      </w:r>
      <w:r>
        <w:rPr>
          <w:rFonts w:ascii="Times New Roman" w:hAnsi="Times New Roman"/>
        </w:rPr>
        <w:t xml:space="preserve"> = </w:t>
      </w:r>
      <w:proofErr w:type="spellStart"/>
      <w:r>
        <w:rPr>
          <w:rFonts w:ascii="Times New Roman" w:hAnsi="Times New Roman"/>
        </w:rPr>
        <w:t>I</w:t>
      </w:r>
      <w:r>
        <w:rPr>
          <w:rFonts w:ascii="Times New Roman" w:hAnsi="Times New Roman"/>
          <w:vertAlign w:val="subscript"/>
        </w:rPr>
        <w:t>q</w:t>
      </w:r>
      <w:proofErr w:type="spellEnd"/>
      <w:r>
        <w:rPr>
          <w:rFonts w:ascii="Times New Roman" w:hAnsi="Times New Roman"/>
        </w:rPr>
        <w:t xml:space="preserve"> + C</w:t>
      </w:r>
      <w:r>
        <w:rPr>
          <w:rFonts w:ascii="Times New Roman" w:hAnsi="Times New Roman"/>
          <w:vertAlign w:val="subscript"/>
        </w:rPr>
        <w:t>d-1</w:t>
      </w:r>
      <w:r>
        <w:rPr>
          <w:rFonts w:ascii="Times New Roman" w:hAnsi="Times New Roman"/>
        </w:rPr>
        <w:t xml:space="preserve"> – </w:t>
      </w:r>
      <w:proofErr w:type="spellStart"/>
      <w:r>
        <w:rPr>
          <w:rFonts w:ascii="Times New Roman" w:hAnsi="Times New Roman"/>
        </w:rPr>
        <w:t>C</w:t>
      </w:r>
      <w:r>
        <w:rPr>
          <w:rFonts w:ascii="Times New Roman" w:hAnsi="Times New Roman"/>
          <w:vertAlign w:val="subscript"/>
        </w:rPr>
        <w:t>q</w:t>
      </w:r>
      <w:proofErr w:type="spellEnd"/>
    </w:p>
    <w:p w14:paraId="1BCCD806" w14:textId="77777777" w:rsidR="008A7F4A" w:rsidRDefault="008A7F4A" w:rsidP="008A7F4A">
      <w:pPr>
        <w:spacing w:after="220" w:line="240" w:lineRule="auto"/>
        <w:ind w:left="2160" w:hanging="720"/>
        <w:rPr>
          <w:rFonts w:ascii="Times New Roman" w:hAnsi="Times New Roman"/>
        </w:rPr>
      </w:pPr>
      <w:r>
        <w:rPr>
          <w:rFonts w:ascii="Times New Roman" w:hAnsi="Times New Roman"/>
        </w:rPr>
        <w:t>Where:</w:t>
      </w:r>
    </w:p>
    <w:p w14:paraId="1C88273D" w14:textId="77777777" w:rsidR="008A7F4A" w:rsidRDefault="008A7F4A" w:rsidP="00745C9A">
      <w:pPr>
        <w:numPr>
          <w:ilvl w:val="0"/>
          <w:numId w:val="135"/>
        </w:numPr>
        <w:spacing w:after="220" w:line="240" w:lineRule="auto"/>
        <w:ind w:left="2160"/>
        <w:rPr>
          <w:rFonts w:ascii="Times New Roman" w:hAnsi="Times New Roman"/>
        </w:rPr>
      </w:pPr>
      <w:proofErr w:type="spellStart"/>
      <w:r>
        <w:rPr>
          <w:rFonts w:ascii="Times New Roman" w:hAnsi="Times New Roman"/>
        </w:rPr>
        <w:t>I</w:t>
      </w:r>
      <w:r>
        <w:rPr>
          <w:rFonts w:ascii="Times New Roman" w:hAnsi="Times New Roman"/>
          <w:vertAlign w:val="subscript"/>
        </w:rPr>
        <w:t>q</w:t>
      </w:r>
      <w:proofErr w:type="spellEnd"/>
      <w:r>
        <w:rPr>
          <w:rFonts w:ascii="Times New Roman" w:hAnsi="Times New Roman"/>
        </w:rPr>
        <w:t xml:space="preserve"> is the quarterly valuation rate for the calendar quarter preceding the business day immediately preceding the premium determination </w:t>
      </w:r>
      <w:proofErr w:type="gramStart"/>
      <w:r>
        <w:rPr>
          <w:rFonts w:ascii="Times New Roman" w:hAnsi="Times New Roman"/>
        </w:rPr>
        <w:t>date;</w:t>
      </w:r>
      <w:proofErr w:type="gramEnd"/>
    </w:p>
    <w:p w14:paraId="2E560675" w14:textId="77777777" w:rsidR="008A7F4A" w:rsidRDefault="008A7F4A" w:rsidP="00745C9A">
      <w:pPr>
        <w:numPr>
          <w:ilvl w:val="0"/>
          <w:numId w:val="135"/>
        </w:numPr>
        <w:spacing w:after="220" w:line="240" w:lineRule="auto"/>
        <w:ind w:left="2160"/>
        <w:rPr>
          <w:rFonts w:ascii="Times New Roman" w:hAnsi="Times New Roman"/>
        </w:rPr>
      </w:pPr>
      <w:r>
        <w:rPr>
          <w:rFonts w:ascii="Times New Roman" w:hAnsi="Times New Roman"/>
        </w:rPr>
        <w:t>C</w:t>
      </w:r>
      <w:r>
        <w:rPr>
          <w:rFonts w:ascii="Times New Roman" w:hAnsi="Times New Roman"/>
          <w:vertAlign w:val="subscript"/>
        </w:rPr>
        <w:t>d-1</w:t>
      </w:r>
      <w:r>
        <w:rPr>
          <w:rFonts w:ascii="Times New Roman" w:hAnsi="Times New Roman"/>
        </w:rPr>
        <w:t xml:space="preserve"> is the daily corporate rate (defined in Section 13.C.7) for the business day immediately preceding the premium determination date; and</w:t>
      </w:r>
    </w:p>
    <w:p w14:paraId="3542924B" w14:textId="77777777" w:rsidR="008A7F4A" w:rsidRDefault="008A7F4A" w:rsidP="00745C9A">
      <w:pPr>
        <w:numPr>
          <w:ilvl w:val="0"/>
          <w:numId w:val="135"/>
        </w:numPr>
        <w:spacing w:after="220" w:line="240" w:lineRule="auto"/>
        <w:ind w:left="2160"/>
        <w:jc w:val="both"/>
        <w:rPr>
          <w:rFonts w:ascii="Times New Roman" w:hAnsi="Times New Roman"/>
        </w:rPr>
      </w:pPr>
      <w:proofErr w:type="spellStart"/>
      <w:r>
        <w:rPr>
          <w:rFonts w:ascii="Times New Roman" w:hAnsi="Times New Roman"/>
        </w:rPr>
        <w:t>C</w:t>
      </w:r>
      <w:r>
        <w:rPr>
          <w:rFonts w:ascii="Times New Roman" w:hAnsi="Times New Roman"/>
          <w:vertAlign w:val="subscript"/>
        </w:rPr>
        <w:t>q</w:t>
      </w:r>
      <w:proofErr w:type="spellEnd"/>
      <w:r>
        <w:rPr>
          <w:rFonts w:ascii="Times New Roman" w:hAnsi="Times New Roman"/>
        </w:rPr>
        <w:t xml:space="preserve"> is the average daily corporate rate (defined in Section 13.C.8) corresponding to the same period used to develop </w:t>
      </w:r>
      <w:proofErr w:type="spellStart"/>
      <w:r>
        <w:rPr>
          <w:rFonts w:ascii="Times New Roman" w:hAnsi="Times New Roman"/>
        </w:rPr>
        <w:t>I</w:t>
      </w:r>
      <w:r>
        <w:rPr>
          <w:rFonts w:ascii="Times New Roman" w:hAnsi="Times New Roman"/>
          <w:vertAlign w:val="subscript"/>
        </w:rPr>
        <w:t>q</w:t>
      </w:r>
      <w:proofErr w:type="spellEnd"/>
      <w:r>
        <w:rPr>
          <w:rFonts w:ascii="Times New Roman" w:hAnsi="Times New Roman"/>
          <w:vertAlign w:val="subscript"/>
        </w:rPr>
        <w:t xml:space="preserve"> </w:t>
      </w:r>
      <w:r>
        <w:rPr>
          <w:rFonts w:ascii="Times New Roman" w:hAnsi="Times New Roman"/>
        </w:rPr>
        <w:t>.</w:t>
      </w:r>
    </w:p>
    <w:p w14:paraId="55F30E47" w14:textId="77777777" w:rsidR="008A7F4A" w:rsidRDefault="008A7F4A" w:rsidP="008A7F4A">
      <w:pPr>
        <w:spacing w:after="220" w:line="240" w:lineRule="auto"/>
        <w:ind w:left="720"/>
        <w:jc w:val="both"/>
        <w:rPr>
          <w:rFonts w:ascii="Times New Roman" w:hAnsi="Times New Roman"/>
        </w:rPr>
      </w:pPr>
      <w:r>
        <w:rPr>
          <w:rFonts w:ascii="Times New Roman" w:hAnsi="Times New Roman"/>
        </w:rPr>
        <w:t>For jumbo contracts, the daily statutory maximum valuation interest rate is the daily valuation rate (I</w:t>
      </w:r>
      <w:r>
        <w:rPr>
          <w:rFonts w:ascii="Times New Roman" w:hAnsi="Times New Roman"/>
          <w:vertAlign w:val="subscript"/>
        </w:rPr>
        <w:t>d</w:t>
      </w:r>
      <w:r>
        <w:rPr>
          <w:rFonts w:ascii="Times New Roman" w:hAnsi="Times New Roman"/>
        </w:rPr>
        <w:t>) rounded to the nearest one-hundredth of one percent (1/100 of 1%).</w:t>
      </w:r>
    </w:p>
    <w:p w14:paraId="68779B1F" w14:textId="77777777" w:rsidR="008A7F4A" w:rsidRDefault="008A7F4A" w:rsidP="00745C9A">
      <w:pPr>
        <w:numPr>
          <w:ilvl w:val="0"/>
          <w:numId w:val="130"/>
        </w:numPr>
        <w:spacing w:after="220" w:line="240" w:lineRule="auto"/>
        <w:ind w:left="720" w:hanging="720"/>
        <w:jc w:val="both"/>
        <w:rPr>
          <w:rFonts w:ascii="Times New Roman" w:hAnsi="Times New Roman"/>
        </w:rPr>
      </w:pPr>
      <w:r>
        <w:rPr>
          <w:rFonts w:ascii="Times New Roman" w:hAnsi="Times New Roman"/>
        </w:rPr>
        <w:t>Reference Rate</w:t>
      </w:r>
    </w:p>
    <w:p w14:paraId="4F86F297" w14:textId="77777777" w:rsidR="008A7F4A" w:rsidRDefault="008A7F4A" w:rsidP="008A7F4A">
      <w:pPr>
        <w:pStyle w:val="BodyText"/>
        <w:spacing w:before="182"/>
        <w:ind w:left="720"/>
        <w:jc w:val="both"/>
        <w:rPr>
          <w:rFonts w:ascii="Times New Roman" w:hAnsi="Times New Roman" w:cs="Times New Roman"/>
        </w:rPr>
      </w:pPr>
      <w:r>
        <w:rPr>
          <w:rFonts w:ascii="Times New Roman" w:hAnsi="Times New Roman" w:cs="Times New Roman"/>
        </w:rPr>
        <w:t>Reference rates are updated quarterly as described below:</w:t>
      </w:r>
    </w:p>
    <w:p w14:paraId="07156E24" w14:textId="77777777" w:rsidR="008A7F4A" w:rsidRDefault="008A7F4A" w:rsidP="00745C9A">
      <w:pPr>
        <w:widowControl w:val="0"/>
        <w:numPr>
          <w:ilvl w:val="1"/>
          <w:numId w:val="136"/>
        </w:numPr>
        <w:autoSpaceDE w:val="0"/>
        <w:autoSpaceDN w:val="0"/>
        <w:spacing w:before="180" w:after="0" w:line="240" w:lineRule="auto"/>
        <w:ind w:left="1440" w:right="128" w:hanging="721"/>
        <w:jc w:val="both"/>
        <w:rPr>
          <w:rFonts w:ascii="Times New Roman" w:hAnsi="Times New Roman"/>
        </w:rPr>
      </w:pPr>
      <w:r>
        <w:rPr>
          <w:rFonts w:ascii="Times New Roman" w:hAnsi="Times New Roman"/>
        </w:rPr>
        <w:t xml:space="preserve">The “quarterly Treasury rate” is the average of the daily Treasury rates for a given maturity over the calendar quarter prior to the premium determination date. The quarterly Treasury rate is downloaded from </w:t>
      </w:r>
      <w:hyperlink r:id="rId73" w:history="1">
        <w:r>
          <w:rPr>
            <w:rStyle w:val="Hyperlink"/>
            <w:rFonts w:ascii="Times New Roman" w:hAnsi="Times New Roman"/>
            <w:color w:val="4F81BD" w:themeColor="accent1"/>
          </w:rPr>
          <w:t>https://fred.stlouisfed.org</w:t>
        </w:r>
      </w:hyperlink>
      <w:r>
        <w:rPr>
          <w:rFonts w:ascii="Times New Roman" w:hAnsi="Times New Roman"/>
        </w:rPr>
        <w:t>, and is rounded to two decimal</w:t>
      </w:r>
      <w:r>
        <w:rPr>
          <w:rFonts w:ascii="Times New Roman" w:hAnsi="Times New Roman"/>
          <w:spacing w:val="-23"/>
        </w:rPr>
        <w:t xml:space="preserve"> </w:t>
      </w:r>
      <w:r>
        <w:rPr>
          <w:rFonts w:ascii="Times New Roman" w:hAnsi="Times New Roman"/>
        </w:rPr>
        <w:t>places.</w:t>
      </w:r>
    </w:p>
    <w:p w14:paraId="5C2F020A" w14:textId="77777777" w:rsidR="008A7F4A" w:rsidRDefault="008A7F4A" w:rsidP="00745C9A">
      <w:pPr>
        <w:widowControl w:val="0"/>
        <w:numPr>
          <w:ilvl w:val="1"/>
          <w:numId w:val="136"/>
        </w:numPr>
        <w:autoSpaceDE w:val="0"/>
        <w:autoSpaceDN w:val="0"/>
        <w:spacing w:before="120" w:after="220" w:line="240" w:lineRule="auto"/>
        <w:ind w:left="1440" w:hanging="720"/>
        <w:jc w:val="both"/>
        <w:rPr>
          <w:rFonts w:ascii="Times New Roman" w:hAnsi="Times New Roman"/>
        </w:rPr>
      </w:pPr>
      <w:r>
        <w:rPr>
          <w:rFonts w:ascii="Times New Roman" w:hAnsi="Times New Roman"/>
        </w:rPr>
        <w:t>Download</w:t>
      </w:r>
      <w:r>
        <w:rPr>
          <w:rFonts w:ascii="Times New Roman" w:hAnsi="Times New Roman"/>
          <w:spacing w:val="-5"/>
        </w:rPr>
        <w:t xml:space="preserve"> </w:t>
      </w:r>
      <w:r>
        <w:rPr>
          <w:rFonts w:ascii="Times New Roman" w:hAnsi="Times New Roman"/>
        </w:rPr>
        <w:t>the</w:t>
      </w:r>
      <w:r>
        <w:rPr>
          <w:rFonts w:ascii="Times New Roman" w:hAnsi="Times New Roman"/>
          <w:spacing w:val="-1"/>
        </w:rPr>
        <w:t xml:space="preserve"> q</w:t>
      </w:r>
      <w:r>
        <w:rPr>
          <w:rFonts w:ascii="Times New Roman" w:hAnsi="Times New Roman"/>
        </w:rPr>
        <w:t>uarterly</w:t>
      </w:r>
      <w:r>
        <w:rPr>
          <w:rFonts w:ascii="Times New Roman" w:hAnsi="Times New Roman"/>
          <w:spacing w:val="-1"/>
        </w:rPr>
        <w:t xml:space="preserve"> </w:t>
      </w:r>
      <w:r>
        <w:rPr>
          <w:rFonts w:ascii="Times New Roman" w:hAnsi="Times New Roman"/>
        </w:rPr>
        <w:t>Treasury</w:t>
      </w:r>
      <w:r>
        <w:rPr>
          <w:rFonts w:ascii="Times New Roman" w:hAnsi="Times New Roman"/>
          <w:spacing w:val="-1"/>
        </w:rPr>
        <w:t xml:space="preserve"> r</w:t>
      </w:r>
      <w:r>
        <w:rPr>
          <w:rFonts w:ascii="Times New Roman" w:hAnsi="Times New Roman"/>
        </w:rPr>
        <w:t>ates</w:t>
      </w:r>
      <w:r>
        <w:rPr>
          <w:rFonts w:ascii="Times New Roman" w:hAnsi="Times New Roman"/>
          <w:spacing w:val="-4"/>
        </w:rPr>
        <w:t xml:space="preserve"> </w:t>
      </w:r>
      <w:r>
        <w:rPr>
          <w:rFonts w:ascii="Times New Roman" w:hAnsi="Times New Roman"/>
        </w:rPr>
        <w:t>for</w:t>
      </w:r>
      <w:r>
        <w:rPr>
          <w:rFonts w:ascii="Times New Roman" w:hAnsi="Times New Roman"/>
          <w:spacing w:val="-4"/>
        </w:rPr>
        <w:t xml:space="preserve"> </w:t>
      </w:r>
      <w:r>
        <w:rPr>
          <w:rFonts w:ascii="Times New Roman" w:hAnsi="Times New Roman"/>
        </w:rPr>
        <w:t>two-year,</w:t>
      </w:r>
      <w:r>
        <w:rPr>
          <w:rFonts w:ascii="Times New Roman" w:hAnsi="Times New Roman"/>
          <w:spacing w:val="-4"/>
        </w:rPr>
        <w:t xml:space="preserve"> </w:t>
      </w:r>
      <w:r>
        <w:rPr>
          <w:rFonts w:ascii="Times New Roman" w:hAnsi="Times New Roman"/>
        </w:rPr>
        <w:t>five-year,</w:t>
      </w:r>
      <w:r>
        <w:rPr>
          <w:rFonts w:ascii="Times New Roman" w:hAnsi="Times New Roman"/>
          <w:spacing w:val="-7"/>
        </w:rPr>
        <w:t xml:space="preserve"> </w:t>
      </w:r>
      <w:r>
        <w:rPr>
          <w:rFonts w:ascii="Times New Roman" w:hAnsi="Times New Roman"/>
        </w:rPr>
        <w:t>10-year</w:t>
      </w:r>
      <w:r>
        <w:rPr>
          <w:rFonts w:ascii="Times New Roman" w:hAnsi="Times New Roman"/>
          <w:spacing w:val="-2"/>
        </w:rPr>
        <w:t xml:space="preserve"> </w:t>
      </w:r>
      <w:r>
        <w:rPr>
          <w:rFonts w:ascii="Times New Roman" w:hAnsi="Times New Roman"/>
        </w:rPr>
        <w:t>and</w:t>
      </w:r>
      <w:r>
        <w:rPr>
          <w:rFonts w:ascii="Times New Roman" w:hAnsi="Times New Roman"/>
          <w:spacing w:val="-5"/>
        </w:rPr>
        <w:t xml:space="preserve"> </w:t>
      </w:r>
      <w:r>
        <w:rPr>
          <w:rFonts w:ascii="Times New Roman" w:hAnsi="Times New Roman"/>
        </w:rPr>
        <w:t>30-year</w:t>
      </w:r>
      <w:r>
        <w:rPr>
          <w:rFonts w:ascii="Times New Roman" w:hAnsi="Times New Roman"/>
          <w:spacing w:val="-2"/>
        </w:rPr>
        <w:t xml:space="preserve"> </w:t>
      </w:r>
      <w:r>
        <w:rPr>
          <w:rFonts w:ascii="Times New Roman" w:hAnsi="Times New Roman"/>
        </w:rPr>
        <w:t>U.S.</w:t>
      </w:r>
      <w:r>
        <w:rPr>
          <w:rFonts w:ascii="Times New Roman" w:hAnsi="Times New Roman"/>
          <w:spacing w:val="-3"/>
        </w:rPr>
        <w:t xml:space="preserve"> </w:t>
      </w:r>
      <w:r>
        <w:rPr>
          <w:rFonts w:ascii="Times New Roman" w:hAnsi="Times New Roman"/>
        </w:rPr>
        <w:t>Treasuries.</w:t>
      </w:r>
    </w:p>
    <w:p w14:paraId="126E24DC" w14:textId="77777777" w:rsidR="008A7F4A" w:rsidRDefault="008A7F4A" w:rsidP="008A7F4A">
      <w:pPr>
        <w:spacing w:after="220" w:line="240" w:lineRule="auto"/>
        <w:ind w:left="1440" w:hanging="720"/>
        <w:jc w:val="both"/>
        <w:rPr>
          <w:rFonts w:ascii="Times New Roman" w:hAnsi="Times New Roman"/>
          <w:strike/>
          <w:color w:val="FF0000"/>
        </w:rPr>
      </w:pPr>
      <w:r>
        <w:rPr>
          <w:rFonts w:ascii="Times New Roman" w:hAnsi="Times New Roman"/>
        </w:rPr>
        <w:t xml:space="preserve">c. </w:t>
      </w:r>
      <w:r>
        <w:rPr>
          <w:rFonts w:ascii="Times New Roman" w:hAnsi="Times New Roman"/>
        </w:rPr>
        <w:tab/>
        <w:t>The reference rate for each Valuation Rate Bucket is calculated as the weighted average of the quarterly Treasury rates using Table 1</w:t>
      </w:r>
      <w:r>
        <w:rPr>
          <w:rFonts w:ascii="Times New Roman" w:hAnsi="Times New Roman"/>
          <w:spacing w:val="-12"/>
        </w:rPr>
        <w:t xml:space="preserve"> </w:t>
      </w:r>
      <w:r>
        <w:rPr>
          <w:rFonts w:ascii="Times New Roman" w:hAnsi="Times New Roman"/>
        </w:rPr>
        <w:t xml:space="preserve">weights (defined in Section 13.C.9) effective for the calendar year in which the premium determination date falls. </w:t>
      </w:r>
    </w:p>
    <w:p w14:paraId="2688BCA1" w14:textId="77777777" w:rsidR="008A7F4A" w:rsidRDefault="008A7F4A" w:rsidP="008A7F4A">
      <w:pPr>
        <w:spacing w:after="220" w:line="240" w:lineRule="auto"/>
        <w:ind w:left="720" w:hanging="720"/>
        <w:jc w:val="both"/>
        <w:rPr>
          <w:rFonts w:ascii="Times New Roman" w:hAnsi="Times New Roman"/>
        </w:rPr>
      </w:pPr>
      <w:r>
        <w:rPr>
          <w:rFonts w:ascii="Times New Roman" w:hAnsi="Times New Roman"/>
        </w:rPr>
        <w:t>5.</w:t>
      </w:r>
      <w:r>
        <w:rPr>
          <w:rFonts w:ascii="Times New Roman" w:hAnsi="Times New Roman"/>
        </w:rPr>
        <w:tab/>
        <w:t>Spread</w:t>
      </w:r>
    </w:p>
    <w:p w14:paraId="66B92282" w14:textId="77777777" w:rsidR="008A7F4A" w:rsidRDefault="008A7F4A" w:rsidP="008A7F4A">
      <w:pPr>
        <w:widowControl w:val="0"/>
        <w:spacing w:after="0"/>
        <w:ind w:left="720" w:right="105"/>
        <w:contextualSpacing/>
        <w:jc w:val="both"/>
        <w:rPr>
          <w:rFonts w:ascii="Times New Roman" w:hAnsi="Times New Roman"/>
        </w:rPr>
      </w:pPr>
      <w:r>
        <w:rPr>
          <w:rFonts w:ascii="Times New Roman" w:hAnsi="Times New Roman"/>
        </w:rPr>
        <w:t>The spreads for each Valuation Rate Bucket are updated quarterly as described below:</w:t>
      </w:r>
    </w:p>
    <w:p w14:paraId="676DD401" w14:textId="77777777" w:rsidR="008A7F4A" w:rsidRDefault="008A7F4A" w:rsidP="008A7F4A">
      <w:pPr>
        <w:widowControl w:val="0"/>
        <w:tabs>
          <w:tab w:val="left" w:pos="1652"/>
        </w:tabs>
        <w:spacing w:after="0"/>
        <w:ind w:left="720" w:right="105"/>
        <w:contextualSpacing/>
        <w:jc w:val="both"/>
        <w:rPr>
          <w:rFonts w:ascii="Times New Roman" w:hAnsi="Times New Roman"/>
        </w:rPr>
      </w:pPr>
    </w:p>
    <w:p w14:paraId="7B6B1116" w14:textId="77777777" w:rsidR="008A7F4A" w:rsidRDefault="008A7F4A" w:rsidP="008A7F4A">
      <w:pPr>
        <w:widowControl w:val="0"/>
        <w:spacing w:after="0"/>
        <w:ind w:left="1440" w:right="202" w:hanging="720"/>
        <w:contextualSpacing/>
        <w:jc w:val="both"/>
        <w:rPr>
          <w:rFonts w:ascii="Times New Roman" w:hAnsi="Times New Roman"/>
        </w:rPr>
      </w:pPr>
      <w:r>
        <w:rPr>
          <w:rFonts w:ascii="Times New Roman" w:hAnsi="Times New Roman"/>
        </w:rPr>
        <w:t>a.</w:t>
      </w:r>
      <w:r>
        <w:rPr>
          <w:rFonts w:ascii="Times New Roman" w:hAnsi="Times New Roman"/>
        </w:rPr>
        <w:tab/>
        <w:t>Use the Table X spreads from the NAIC website for WALs two, five, 10 and 30 years only to calculate the expected spread.</w:t>
      </w:r>
    </w:p>
    <w:p w14:paraId="557B7A51" w14:textId="77777777" w:rsidR="008A7F4A" w:rsidRDefault="008A7F4A" w:rsidP="008A7F4A">
      <w:pPr>
        <w:widowControl w:val="0"/>
        <w:tabs>
          <w:tab w:val="left" w:pos="1652"/>
          <w:tab w:val="left" w:pos="2281"/>
        </w:tabs>
        <w:spacing w:after="0"/>
        <w:ind w:left="1440" w:right="202" w:hanging="540"/>
        <w:contextualSpacing/>
        <w:jc w:val="both"/>
        <w:rPr>
          <w:rFonts w:ascii="Times New Roman" w:hAnsi="Times New Roman"/>
        </w:rPr>
      </w:pPr>
    </w:p>
    <w:p w14:paraId="7D10630B" w14:textId="77777777" w:rsidR="008A7F4A" w:rsidRDefault="008A7F4A" w:rsidP="008A7F4A">
      <w:pPr>
        <w:spacing w:after="220" w:line="240" w:lineRule="auto"/>
        <w:ind w:left="1440" w:hanging="720"/>
        <w:jc w:val="both"/>
        <w:rPr>
          <w:rFonts w:ascii="Times New Roman" w:hAnsi="Times New Roman"/>
        </w:rPr>
      </w:pPr>
      <w:r>
        <w:rPr>
          <w:rFonts w:ascii="Times New Roman" w:hAnsi="Times New Roman"/>
        </w:rPr>
        <w:t>b.</w:t>
      </w:r>
      <w:r>
        <w:rPr>
          <w:rFonts w:ascii="Times New Roman" w:hAnsi="Times New Roman"/>
        </w:rPr>
        <w:tab/>
        <w:t>Calculate the spread for each Valuation Rate Bucket, which is a weighted average of the expected spreads for WALs two, five, 10 and 30 using Table 2 weights (defined in Section 3.I) effective for the calendar year in which the premium determination date falls.</w:t>
      </w:r>
    </w:p>
    <w:p w14:paraId="78B4933B" w14:textId="77777777" w:rsidR="008A7F4A" w:rsidRDefault="008A7F4A" w:rsidP="008A7F4A">
      <w:pPr>
        <w:pStyle w:val="BodyText"/>
        <w:spacing w:before="180"/>
        <w:jc w:val="both"/>
        <w:rPr>
          <w:rFonts w:ascii="Times New Roman" w:hAnsi="Times New Roman" w:cs="Times New Roman"/>
        </w:rPr>
      </w:pPr>
      <w:r>
        <w:rPr>
          <w:rFonts w:ascii="Times New Roman" w:eastAsiaTheme="minorHAnsi" w:hAnsi="Times New Roman" w:cs="Times New Roman"/>
        </w:rPr>
        <w:t>6.</w:t>
      </w:r>
      <w:r>
        <w:rPr>
          <w:rFonts w:ascii="Times New Roman" w:eastAsiaTheme="minorHAnsi" w:hAnsi="Times New Roman" w:cs="Times New Roman"/>
        </w:rPr>
        <w:tab/>
      </w:r>
      <w:r>
        <w:rPr>
          <w:rFonts w:ascii="Times New Roman" w:hAnsi="Times New Roman" w:cs="Times New Roman"/>
        </w:rPr>
        <w:t>Default costs for each Valuation Rate Bucket are updated annually as described below:</w:t>
      </w:r>
    </w:p>
    <w:p w14:paraId="4281308D" w14:textId="77777777" w:rsidR="008A7F4A" w:rsidRDefault="008A7F4A" w:rsidP="00745C9A">
      <w:pPr>
        <w:widowControl w:val="0"/>
        <w:numPr>
          <w:ilvl w:val="0"/>
          <w:numId w:val="137"/>
        </w:numPr>
        <w:autoSpaceDE w:val="0"/>
        <w:autoSpaceDN w:val="0"/>
        <w:spacing w:before="182" w:after="0" w:line="240" w:lineRule="auto"/>
        <w:ind w:left="1440" w:right="147" w:hanging="720"/>
        <w:jc w:val="both"/>
        <w:rPr>
          <w:rFonts w:ascii="Times New Roman" w:hAnsi="Times New Roman"/>
        </w:rPr>
      </w:pPr>
      <w:r>
        <w:rPr>
          <w:rFonts w:ascii="Times New Roman" w:hAnsi="Times New Roman"/>
        </w:rPr>
        <w:t xml:space="preserve">Use the VM-20 prescribed annual default cost table (Table A) in effect for the quarter prior to the premium determination date for WAL two, WAL five and WAL 10 years only to calculate the expected default cost. Table A is updated and published annually on the </w:t>
      </w:r>
      <w:proofErr w:type="gramStart"/>
      <w:r>
        <w:rPr>
          <w:rFonts w:ascii="Times New Roman" w:hAnsi="Times New Roman"/>
        </w:rPr>
        <w:t>Industry</w:t>
      </w:r>
      <w:proofErr w:type="gramEnd"/>
      <w:r>
        <w:rPr>
          <w:rFonts w:ascii="Times New Roman" w:hAnsi="Times New Roman"/>
        </w:rPr>
        <w:t xml:space="preserve"> tab of the NAIC website during the second calendar</w:t>
      </w:r>
      <w:r>
        <w:rPr>
          <w:rFonts w:ascii="Times New Roman" w:hAnsi="Times New Roman"/>
          <w:spacing w:val="-15"/>
        </w:rPr>
        <w:t xml:space="preserve"> </w:t>
      </w:r>
      <w:r>
        <w:rPr>
          <w:rFonts w:ascii="Times New Roman" w:hAnsi="Times New Roman"/>
        </w:rPr>
        <w:t>quarter and is used for premium determination dates starting in the third calendar quarter.</w:t>
      </w:r>
    </w:p>
    <w:p w14:paraId="71305D46" w14:textId="77777777" w:rsidR="008A7F4A" w:rsidRDefault="008A7F4A" w:rsidP="008A7F4A">
      <w:pPr>
        <w:widowControl w:val="0"/>
        <w:autoSpaceDE w:val="0"/>
        <w:autoSpaceDN w:val="0"/>
        <w:spacing w:before="11" w:after="0" w:line="240" w:lineRule="auto"/>
        <w:ind w:left="1440" w:hanging="720"/>
        <w:jc w:val="both"/>
        <w:rPr>
          <w:rFonts w:ascii="Times New Roman" w:hAnsi="Times New Roman"/>
        </w:rPr>
      </w:pPr>
    </w:p>
    <w:p w14:paraId="67772E47" w14:textId="77777777" w:rsidR="008A7F4A" w:rsidRDefault="008A7F4A" w:rsidP="00745C9A">
      <w:pPr>
        <w:widowControl w:val="0"/>
        <w:numPr>
          <w:ilvl w:val="0"/>
          <w:numId w:val="137"/>
        </w:numPr>
        <w:autoSpaceDE w:val="0"/>
        <w:autoSpaceDN w:val="0"/>
        <w:spacing w:after="220" w:line="240" w:lineRule="auto"/>
        <w:ind w:left="1440" w:right="374" w:hanging="720"/>
        <w:jc w:val="both"/>
        <w:rPr>
          <w:rFonts w:ascii="Times New Roman" w:hAnsi="Times New Roman"/>
        </w:rPr>
      </w:pPr>
      <w:r>
        <w:rPr>
          <w:rFonts w:ascii="Times New Roman" w:hAnsi="Times New Roman"/>
        </w:rPr>
        <w:t>Calculate the default cost for each Valuation Rate Bucket, which is a weighted average of the expected default costs for WAL two, WAL five and WAL 10, using Table 3 weights (defined in Section 13.C.9) effective for the calendar year in which the premium determination date falls.</w:t>
      </w:r>
    </w:p>
    <w:p w14:paraId="623750B4" w14:textId="77777777" w:rsidR="008A7F4A" w:rsidRDefault="008A7F4A" w:rsidP="008A7F4A">
      <w:pPr>
        <w:spacing w:after="220" w:line="240" w:lineRule="auto"/>
        <w:ind w:left="720" w:hanging="720"/>
        <w:rPr>
          <w:rFonts w:ascii="Times New Roman" w:hAnsi="Times New Roman"/>
        </w:rPr>
      </w:pPr>
      <w:r>
        <w:rPr>
          <w:rFonts w:ascii="Times New Roman" w:hAnsi="Times New Roman"/>
        </w:rPr>
        <w:t>7.</w:t>
      </w:r>
      <w:r>
        <w:rPr>
          <w:rFonts w:ascii="Times New Roman" w:hAnsi="Times New Roman"/>
        </w:rPr>
        <w:tab/>
        <w:t>Daily Corporate Rate</w:t>
      </w:r>
    </w:p>
    <w:p w14:paraId="7F1FED57" w14:textId="77777777" w:rsidR="008A7F4A" w:rsidRDefault="008A7F4A" w:rsidP="008A7F4A">
      <w:pPr>
        <w:spacing w:after="220" w:line="240" w:lineRule="auto"/>
        <w:ind w:left="720"/>
        <w:rPr>
          <w:rFonts w:ascii="Times New Roman" w:hAnsi="Times New Roman"/>
        </w:rPr>
      </w:pPr>
      <w:r>
        <w:rPr>
          <w:rFonts w:ascii="Times New Roman" w:hAnsi="Times New Roman"/>
        </w:rPr>
        <w:t>Daily corporate rates for each valuation rate bucket are updated daily as described below:</w:t>
      </w:r>
    </w:p>
    <w:p w14:paraId="06E12EA6" w14:textId="77777777" w:rsidR="008A7F4A" w:rsidRDefault="008A7F4A" w:rsidP="00745C9A">
      <w:pPr>
        <w:widowControl w:val="0"/>
        <w:numPr>
          <w:ilvl w:val="0"/>
          <w:numId w:val="138"/>
        </w:numPr>
        <w:autoSpaceDE w:val="0"/>
        <w:autoSpaceDN w:val="0"/>
        <w:spacing w:before="180" w:after="0" w:line="240" w:lineRule="auto"/>
        <w:ind w:left="1440" w:right="187" w:hanging="720"/>
        <w:jc w:val="both"/>
        <w:rPr>
          <w:rFonts w:ascii="Times New Roman" w:hAnsi="Times New Roman"/>
        </w:rPr>
      </w:pPr>
      <w:r>
        <w:rPr>
          <w:rFonts w:ascii="Times New Roman" w:hAnsi="Times New Roman"/>
        </w:rPr>
        <w:t xml:space="preserve">Each day, download the Bank of America Merrill Lynch U.S. corporate effective yields as of the previous business day’s close for each index series shown in the sample below from the St. Louis Federal Reserve website: </w:t>
      </w:r>
      <w:hyperlink r:id="rId74" w:history="1">
        <w:r>
          <w:rPr>
            <w:rStyle w:val="Hyperlink"/>
            <w:rFonts w:ascii="Times New Roman" w:hAnsi="Times New Roman"/>
          </w:rPr>
          <w:t>https://research.stlouisfed.org/fred2/categories/3234</w:t>
        </w:r>
      </w:hyperlink>
      <w:r>
        <w:rPr>
          <w:rFonts w:ascii="Times New Roman" w:hAnsi="Times New Roman"/>
          <w:color w:val="0000FF"/>
          <w:u w:val="single"/>
        </w:rPr>
        <w:t>8</w:t>
      </w:r>
      <w:r>
        <w:rPr>
          <w:rFonts w:ascii="Times New Roman" w:hAnsi="Times New Roman"/>
        </w:rPr>
        <w:t xml:space="preserve">. To access a specific series, search the St. Louis Federal Reserve website for the series name by inputting the name into the search box in the upper right corner, or input the following web address: </w:t>
      </w:r>
      <w:r>
        <w:rPr>
          <w:rFonts w:ascii="Times New Roman" w:hAnsi="Times New Roman"/>
          <w:iCs/>
        </w:rPr>
        <w:t>https://research.stlouisfed.org/fred2/series/</w:t>
      </w:r>
      <w:r>
        <w:rPr>
          <w:rFonts w:ascii="Times New Roman" w:hAnsi="Times New Roman"/>
        </w:rPr>
        <w:t>[replace with series name from the table</w:t>
      </w:r>
      <w:r>
        <w:rPr>
          <w:rFonts w:ascii="Times New Roman" w:hAnsi="Times New Roman"/>
          <w:spacing w:val="-15"/>
        </w:rPr>
        <w:t xml:space="preserve"> </w:t>
      </w:r>
      <w:r>
        <w:rPr>
          <w:rFonts w:ascii="Times New Roman" w:hAnsi="Times New Roman"/>
        </w:rPr>
        <w:t>below].</w:t>
      </w:r>
    </w:p>
    <w:p w14:paraId="07C75C84" w14:textId="77777777" w:rsidR="008A7F4A" w:rsidRDefault="008A7F4A" w:rsidP="008A7F4A">
      <w:pPr>
        <w:widowControl w:val="0"/>
        <w:autoSpaceDE w:val="0"/>
        <w:autoSpaceDN w:val="0"/>
        <w:spacing w:before="180" w:after="0" w:line="240" w:lineRule="auto"/>
        <w:ind w:left="1440" w:right="187"/>
        <w:rPr>
          <w:rFonts w:ascii="Times New Roman" w:hAnsi="Times New Roman"/>
        </w:rPr>
      </w:pPr>
    </w:p>
    <w:p w14:paraId="0634EF00" w14:textId="77777777" w:rsidR="008A7F4A" w:rsidRDefault="008A7F4A" w:rsidP="008A7F4A">
      <w:pPr>
        <w:widowControl w:val="0"/>
        <w:autoSpaceDE w:val="0"/>
        <w:autoSpaceDN w:val="0"/>
        <w:spacing w:after="220" w:line="240" w:lineRule="auto"/>
        <w:ind w:firstLine="11"/>
        <w:jc w:val="center"/>
        <w:rPr>
          <w:rFonts w:ascii="Times New Roman" w:hAnsi="Times New Roman"/>
          <w:b/>
        </w:rPr>
      </w:pPr>
      <w:r>
        <w:rPr>
          <w:rFonts w:ascii="Times New Roman" w:hAnsi="Times New Roman"/>
          <w:b/>
        </w:rPr>
        <w:t>Table 3-4: Index Series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8A7F4A" w14:paraId="7EC95539" w14:textId="77777777" w:rsidTr="008A7F4A">
        <w:trPr>
          <w:trHeight w:val="288"/>
          <w:jc w:val="center"/>
        </w:trPr>
        <w:tc>
          <w:tcPr>
            <w:tcW w:w="1572" w:type="dxa"/>
            <w:tcBorders>
              <w:top w:val="single" w:sz="4" w:space="0" w:color="000000"/>
              <w:left w:val="single" w:sz="4" w:space="0" w:color="000000"/>
              <w:bottom w:val="single" w:sz="4" w:space="0" w:color="000000"/>
              <w:right w:val="single" w:sz="4" w:space="0" w:color="000000"/>
            </w:tcBorders>
            <w:vAlign w:val="center"/>
            <w:hideMark/>
          </w:tcPr>
          <w:p w14:paraId="37C18B92" w14:textId="77777777" w:rsidR="008A7F4A" w:rsidRDefault="008A7F4A">
            <w:pPr>
              <w:widowControl w:val="0"/>
              <w:autoSpaceDE w:val="0"/>
              <w:autoSpaceDN w:val="0"/>
              <w:spacing w:before="60" w:after="60" w:line="240" w:lineRule="auto"/>
              <w:jc w:val="center"/>
              <w:rPr>
                <w:rFonts w:ascii="Times New Roman" w:hAnsi="Times New Roman"/>
                <w:b/>
              </w:rPr>
            </w:pPr>
            <w:r>
              <w:rPr>
                <w:rFonts w:ascii="Times New Roman" w:hAnsi="Times New Roman"/>
                <w:b/>
              </w:rPr>
              <w:t>Maturity</w:t>
            </w:r>
          </w:p>
        </w:tc>
        <w:tc>
          <w:tcPr>
            <w:tcW w:w="3371" w:type="dxa"/>
            <w:tcBorders>
              <w:top w:val="single" w:sz="4" w:space="0" w:color="000000"/>
              <w:left w:val="single" w:sz="4" w:space="0" w:color="000000"/>
              <w:bottom w:val="single" w:sz="4" w:space="0" w:color="000000"/>
              <w:right w:val="single" w:sz="4" w:space="0" w:color="000000"/>
            </w:tcBorders>
            <w:vAlign w:val="center"/>
            <w:hideMark/>
          </w:tcPr>
          <w:p w14:paraId="17143F33" w14:textId="77777777" w:rsidR="008A7F4A" w:rsidRDefault="008A7F4A">
            <w:pPr>
              <w:widowControl w:val="0"/>
              <w:autoSpaceDE w:val="0"/>
              <w:autoSpaceDN w:val="0"/>
              <w:spacing w:before="60" w:after="60" w:line="240" w:lineRule="auto"/>
              <w:jc w:val="center"/>
              <w:rPr>
                <w:rFonts w:ascii="Times New Roman" w:hAnsi="Times New Roman"/>
                <w:b/>
              </w:rPr>
            </w:pPr>
            <w:r>
              <w:rPr>
                <w:rFonts w:ascii="Times New Roman" w:hAnsi="Times New Roman"/>
                <w:b/>
              </w:rPr>
              <w:t>Series Name</w:t>
            </w:r>
          </w:p>
        </w:tc>
      </w:tr>
      <w:tr w:rsidR="008A7F4A" w14:paraId="365CD197" w14:textId="77777777" w:rsidTr="008A7F4A">
        <w:trPr>
          <w:trHeight w:val="288"/>
          <w:jc w:val="center"/>
        </w:trPr>
        <w:tc>
          <w:tcPr>
            <w:tcW w:w="1572" w:type="dxa"/>
            <w:tcBorders>
              <w:top w:val="single" w:sz="4" w:space="0" w:color="000000"/>
              <w:left w:val="single" w:sz="4" w:space="0" w:color="000000"/>
              <w:bottom w:val="single" w:sz="4" w:space="0" w:color="000000"/>
              <w:right w:val="single" w:sz="4" w:space="0" w:color="000000"/>
            </w:tcBorders>
            <w:vAlign w:val="center"/>
            <w:hideMark/>
          </w:tcPr>
          <w:p w14:paraId="0CD779C6" w14:textId="77777777" w:rsidR="008A7F4A" w:rsidRDefault="008A7F4A">
            <w:pPr>
              <w:widowControl w:val="0"/>
              <w:autoSpaceDE w:val="0"/>
              <w:autoSpaceDN w:val="0"/>
              <w:spacing w:before="60" w:after="60" w:line="240" w:lineRule="auto"/>
              <w:jc w:val="center"/>
              <w:rPr>
                <w:rFonts w:ascii="Times New Roman" w:hAnsi="Times New Roman"/>
              </w:rPr>
            </w:pPr>
            <w:r>
              <w:rPr>
                <w:rFonts w:ascii="Times New Roman" w:hAnsi="Times New Roman"/>
              </w:rPr>
              <w:t>1Y – 3Y</w:t>
            </w:r>
          </w:p>
        </w:tc>
        <w:tc>
          <w:tcPr>
            <w:tcW w:w="3371" w:type="dxa"/>
            <w:tcBorders>
              <w:top w:val="single" w:sz="4" w:space="0" w:color="000000"/>
              <w:left w:val="single" w:sz="4" w:space="0" w:color="000000"/>
              <w:bottom w:val="single" w:sz="4" w:space="0" w:color="000000"/>
              <w:right w:val="single" w:sz="4" w:space="0" w:color="000000"/>
            </w:tcBorders>
            <w:vAlign w:val="center"/>
            <w:hideMark/>
          </w:tcPr>
          <w:p w14:paraId="41676364" w14:textId="77777777" w:rsidR="008A7F4A" w:rsidRDefault="008A7F4A">
            <w:pPr>
              <w:widowControl w:val="0"/>
              <w:autoSpaceDE w:val="0"/>
              <w:autoSpaceDN w:val="0"/>
              <w:spacing w:before="60" w:after="60" w:line="240" w:lineRule="auto"/>
              <w:jc w:val="center"/>
              <w:rPr>
                <w:rFonts w:ascii="Times New Roman" w:hAnsi="Times New Roman"/>
              </w:rPr>
            </w:pPr>
            <w:r>
              <w:rPr>
                <w:rFonts w:ascii="Times New Roman" w:hAnsi="Times New Roman"/>
              </w:rPr>
              <w:t>BAMLC1A0C13YEY</w:t>
            </w:r>
          </w:p>
        </w:tc>
      </w:tr>
      <w:tr w:rsidR="008A7F4A" w14:paraId="474E5167" w14:textId="77777777" w:rsidTr="008A7F4A">
        <w:trPr>
          <w:trHeight w:val="288"/>
          <w:jc w:val="center"/>
        </w:trPr>
        <w:tc>
          <w:tcPr>
            <w:tcW w:w="1572" w:type="dxa"/>
            <w:tcBorders>
              <w:top w:val="single" w:sz="4" w:space="0" w:color="000000"/>
              <w:left w:val="single" w:sz="4" w:space="0" w:color="000000"/>
              <w:bottom w:val="single" w:sz="4" w:space="0" w:color="000000"/>
              <w:right w:val="single" w:sz="4" w:space="0" w:color="000000"/>
            </w:tcBorders>
            <w:vAlign w:val="center"/>
            <w:hideMark/>
          </w:tcPr>
          <w:p w14:paraId="21E154AA" w14:textId="77777777" w:rsidR="008A7F4A" w:rsidRDefault="008A7F4A">
            <w:pPr>
              <w:widowControl w:val="0"/>
              <w:autoSpaceDE w:val="0"/>
              <w:autoSpaceDN w:val="0"/>
              <w:spacing w:before="60" w:after="60" w:line="240" w:lineRule="auto"/>
              <w:jc w:val="center"/>
              <w:rPr>
                <w:rFonts w:ascii="Times New Roman" w:hAnsi="Times New Roman"/>
              </w:rPr>
            </w:pPr>
            <w:r>
              <w:rPr>
                <w:rFonts w:ascii="Times New Roman" w:hAnsi="Times New Roman"/>
              </w:rPr>
              <w:t>3Y – 5Y</w:t>
            </w:r>
          </w:p>
        </w:tc>
        <w:tc>
          <w:tcPr>
            <w:tcW w:w="3371" w:type="dxa"/>
            <w:tcBorders>
              <w:top w:val="single" w:sz="4" w:space="0" w:color="000000"/>
              <w:left w:val="single" w:sz="4" w:space="0" w:color="000000"/>
              <w:bottom w:val="single" w:sz="4" w:space="0" w:color="000000"/>
              <w:right w:val="single" w:sz="4" w:space="0" w:color="000000"/>
            </w:tcBorders>
            <w:vAlign w:val="center"/>
            <w:hideMark/>
          </w:tcPr>
          <w:p w14:paraId="5C79CA2F" w14:textId="77777777" w:rsidR="008A7F4A" w:rsidRDefault="008A7F4A">
            <w:pPr>
              <w:widowControl w:val="0"/>
              <w:autoSpaceDE w:val="0"/>
              <w:autoSpaceDN w:val="0"/>
              <w:spacing w:before="60" w:after="60" w:line="240" w:lineRule="auto"/>
              <w:jc w:val="center"/>
              <w:rPr>
                <w:rFonts w:ascii="Times New Roman" w:hAnsi="Times New Roman"/>
              </w:rPr>
            </w:pPr>
            <w:r>
              <w:rPr>
                <w:rFonts w:ascii="Times New Roman" w:hAnsi="Times New Roman"/>
              </w:rPr>
              <w:t>BAMLC2A0C35YEY</w:t>
            </w:r>
          </w:p>
        </w:tc>
      </w:tr>
      <w:tr w:rsidR="008A7F4A" w14:paraId="1AB54A8F" w14:textId="77777777" w:rsidTr="008A7F4A">
        <w:trPr>
          <w:trHeight w:val="288"/>
          <w:jc w:val="center"/>
        </w:trPr>
        <w:tc>
          <w:tcPr>
            <w:tcW w:w="1572" w:type="dxa"/>
            <w:tcBorders>
              <w:top w:val="single" w:sz="4" w:space="0" w:color="000000"/>
              <w:left w:val="single" w:sz="4" w:space="0" w:color="000000"/>
              <w:bottom w:val="single" w:sz="4" w:space="0" w:color="000000"/>
              <w:right w:val="single" w:sz="4" w:space="0" w:color="000000"/>
            </w:tcBorders>
            <w:vAlign w:val="center"/>
            <w:hideMark/>
          </w:tcPr>
          <w:p w14:paraId="2295BE93" w14:textId="77777777" w:rsidR="008A7F4A" w:rsidRDefault="008A7F4A">
            <w:pPr>
              <w:widowControl w:val="0"/>
              <w:autoSpaceDE w:val="0"/>
              <w:autoSpaceDN w:val="0"/>
              <w:spacing w:before="60" w:after="60" w:line="240" w:lineRule="auto"/>
              <w:jc w:val="center"/>
              <w:rPr>
                <w:rFonts w:ascii="Times New Roman" w:hAnsi="Times New Roman"/>
              </w:rPr>
            </w:pPr>
            <w:r>
              <w:rPr>
                <w:rFonts w:ascii="Times New Roman" w:hAnsi="Times New Roman"/>
              </w:rPr>
              <w:t>5Y – 7Y</w:t>
            </w:r>
          </w:p>
        </w:tc>
        <w:tc>
          <w:tcPr>
            <w:tcW w:w="3371" w:type="dxa"/>
            <w:tcBorders>
              <w:top w:val="single" w:sz="4" w:space="0" w:color="000000"/>
              <w:left w:val="single" w:sz="4" w:space="0" w:color="000000"/>
              <w:bottom w:val="single" w:sz="4" w:space="0" w:color="000000"/>
              <w:right w:val="single" w:sz="4" w:space="0" w:color="000000"/>
            </w:tcBorders>
            <w:vAlign w:val="center"/>
            <w:hideMark/>
          </w:tcPr>
          <w:p w14:paraId="65BCE54B" w14:textId="77777777" w:rsidR="008A7F4A" w:rsidRDefault="008A7F4A">
            <w:pPr>
              <w:widowControl w:val="0"/>
              <w:autoSpaceDE w:val="0"/>
              <w:autoSpaceDN w:val="0"/>
              <w:spacing w:before="60" w:after="60" w:line="240" w:lineRule="auto"/>
              <w:jc w:val="center"/>
              <w:rPr>
                <w:rFonts w:ascii="Times New Roman" w:hAnsi="Times New Roman"/>
              </w:rPr>
            </w:pPr>
            <w:r>
              <w:rPr>
                <w:rFonts w:ascii="Times New Roman" w:hAnsi="Times New Roman"/>
              </w:rPr>
              <w:t>BAMLC3A0C57YEY</w:t>
            </w:r>
          </w:p>
        </w:tc>
      </w:tr>
      <w:tr w:rsidR="008A7F4A" w14:paraId="5B012AB8" w14:textId="77777777" w:rsidTr="008A7F4A">
        <w:trPr>
          <w:trHeight w:val="288"/>
          <w:jc w:val="center"/>
        </w:trPr>
        <w:tc>
          <w:tcPr>
            <w:tcW w:w="1572" w:type="dxa"/>
            <w:tcBorders>
              <w:top w:val="single" w:sz="4" w:space="0" w:color="000000"/>
              <w:left w:val="single" w:sz="4" w:space="0" w:color="000000"/>
              <w:bottom w:val="single" w:sz="4" w:space="0" w:color="000000"/>
              <w:right w:val="single" w:sz="4" w:space="0" w:color="000000"/>
            </w:tcBorders>
            <w:vAlign w:val="center"/>
            <w:hideMark/>
          </w:tcPr>
          <w:p w14:paraId="37FA2166" w14:textId="77777777" w:rsidR="008A7F4A" w:rsidRDefault="008A7F4A">
            <w:pPr>
              <w:widowControl w:val="0"/>
              <w:autoSpaceDE w:val="0"/>
              <w:autoSpaceDN w:val="0"/>
              <w:spacing w:before="60" w:after="60" w:line="240" w:lineRule="auto"/>
              <w:jc w:val="center"/>
              <w:rPr>
                <w:rFonts w:ascii="Times New Roman" w:hAnsi="Times New Roman"/>
              </w:rPr>
            </w:pPr>
            <w:r>
              <w:rPr>
                <w:rFonts w:ascii="Times New Roman" w:hAnsi="Times New Roman"/>
              </w:rPr>
              <w:t>7Y – 10Y</w:t>
            </w:r>
          </w:p>
        </w:tc>
        <w:tc>
          <w:tcPr>
            <w:tcW w:w="3371" w:type="dxa"/>
            <w:tcBorders>
              <w:top w:val="single" w:sz="4" w:space="0" w:color="000000"/>
              <w:left w:val="single" w:sz="4" w:space="0" w:color="000000"/>
              <w:bottom w:val="single" w:sz="4" w:space="0" w:color="000000"/>
              <w:right w:val="single" w:sz="4" w:space="0" w:color="000000"/>
            </w:tcBorders>
            <w:vAlign w:val="center"/>
            <w:hideMark/>
          </w:tcPr>
          <w:p w14:paraId="11E00A8B" w14:textId="77777777" w:rsidR="008A7F4A" w:rsidRDefault="008A7F4A">
            <w:pPr>
              <w:widowControl w:val="0"/>
              <w:autoSpaceDE w:val="0"/>
              <w:autoSpaceDN w:val="0"/>
              <w:spacing w:before="60" w:after="60" w:line="240" w:lineRule="auto"/>
              <w:jc w:val="center"/>
              <w:rPr>
                <w:rFonts w:ascii="Times New Roman" w:hAnsi="Times New Roman"/>
              </w:rPr>
            </w:pPr>
            <w:r>
              <w:rPr>
                <w:rFonts w:ascii="Times New Roman" w:hAnsi="Times New Roman"/>
              </w:rPr>
              <w:t>BAMLC4A0C710YEY</w:t>
            </w:r>
          </w:p>
        </w:tc>
      </w:tr>
      <w:tr w:rsidR="008A7F4A" w14:paraId="6B33B77D" w14:textId="77777777" w:rsidTr="008A7F4A">
        <w:trPr>
          <w:trHeight w:val="288"/>
          <w:jc w:val="center"/>
        </w:trPr>
        <w:tc>
          <w:tcPr>
            <w:tcW w:w="1572" w:type="dxa"/>
            <w:tcBorders>
              <w:top w:val="single" w:sz="4" w:space="0" w:color="000000"/>
              <w:left w:val="single" w:sz="4" w:space="0" w:color="000000"/>
              <w:bottom w:val="single" w:sz="4" w:space="0" w:color="000000"/>
              <w:right w:val="single" w:sz="4" w:space="0" w:color="000000"/>
            </w:tcBorders>
            <w:vAlign w:val="center"/>
            <w:hideMark/>
          </w:tcPr>
          <w:p w14:paraId="56D0C5D6" w14:textId="77777777" w:rsidR="008A7F4A" w:rsidRDefault="008A7F4A">
            <w:pPr>
              <w:widowControl w:val="0"/>
              <w:autoSpaceDE w:val="0"/>
              <w:autoSpaceDN w:val="0"/>
              <w:spacing w:before="60" w:after="60" w:line="240" w:lineRule="auto"/>
              <w:jc w:val="center"/>
              <w:rPr>
                <w:rFonts w:ascii="Times New Roman" w:hAnsi="Times New Roman"/>
              </w:rPr>
            </w:pPr>
            <w:r>
              <w:rPr>
                <w:rFonts w:ascii="Times New Roman" w:hAnsi="Times New Roman"/>
              </w:rPr>
              <w:t>10Y – 15Y</w:t>
            </w:r>
          </w:p>
        </w:tc>
        <w:tc>
          <w:tcPr>
            <w:tcW w:w="3371" w:type="dxa"/>
            <w:tcBorders>
              <w:top w:val="single" w:sz="4" w:space="0" w:color="000000"/>
              <w:left w:val="single" w:sz="4" w:space="0" w:color="000000"/>
              <w:bottom w:val="single" w:sz="4" w:space="0" w:color="000000"/>
              <w:right w:val="single" w:sz="4" w:space="0" w:color="000000"/>
            </w:tcBorders>
            <w:vAlign w:val="center"/>
            <w:hideMark/>
          </w:tcPr>
          <w:p w14:paraId="22427949" w14:textId="77777777" w:rsidR="008A7F4A" w:rsidRDefault="008A7F4A">
            <w:pPr>
              <w:widowControl w:val="0"/>
              <w:autoSpaceDE w:val="0"/>
              <w:autoSpaceDN w:val="0"/>
              <w:spacing w:before="60" w:after="60" w:line="240" w:lineRule="auto"/>
              <w:jc w:val="center"/>
              <w:rPr>
                <w:rFonts w:ascii="Times New Roman" w:hAnsi="Times New Roman"/>
              </w:rPr>
            </w:pPr>
            <w:r>
              <w:rPr>
                <w:rFonts w:ascii="Times New Roman" w:hAnsi="Times New Roman"/>
              </w:rPr>
              <w:t>BAMLC7A0C1015YEY</w:t>
            </w:r>
          </w:p>
        </w:tc>
      </w:tr>
      <w:tr w:rsidR="008A7F4A" w14:paraId="0A39D2FB" w14:textId="77777777" w:rsidTr="008A7F4A">
        <w:trPr>
          <w:trHeight w:val="288"/>
          <w:jc w:val="center"/>
        </w:trPr>
        <w:tc>
          <w:tcPr>
            <w:tcW w:w="1572" w:type="dxa"/>
            <w:tcBorders>
              <w:top w:val="single" w:sz="4" w:space="0" w:color="000000"/>
              <w:left w:val="single" w:sz="4" w:space="0" w:color="000000"/>
              <w:bottom w:val="single" w:sz="4" w:space="0" w:color="000000"/>
              <w:right w:val="single" w:sz="4" w:space="0" w:color="000000"/>
            </w:tcBorders>
            <w:vAlign w:val="center"/>
            <w:hideMark/>
          </w:tcPr>
          <w:p w14:paraId="3A132BAC" w14:textId="77777777" w:rsidR="008A7F4A" w:rsidRDefault="008A7F4A">
            <w:pPr>
              <w:widowControl w:val="0"/>
              <w:autoSpaceDE w:val="0"/>
              <w:autoSpaceDN w:val="0"/>
              <w:spacing w:before="60" w:after="60" w:line="240" w:lineRule="auto"/>
              <w:jc w:val="center"/>
              <w:rPr>
                <w:rFonts w:ascii="Times New Roman" w:hAnsi="Times New Roman"/>
              </w:rPr>
            </w:pPr>
            <w:r>
              <w:rPr>
                <w:rFonts w:ascii="Times New Roman" w:hAnsi="Times New Roman"/>
              </w:rPr>
              <w:t>15Y+</w:t>
            </w:r>
          </w:p>
        </w:tc>
        <w:tc>
          <w:tcPr>
            <w:tcW w:w="3371" w:type="dxa"/>
            <w:tcBorders>
              <w:top w:val="single" w:sz="4" w:space="0" w:color="000000"/>
              <w:left w:val="single" w:sz="4" w:space="0" w:color="000000"/>
              <w:bottom w:val="single" w:sz="4" w:space="0" w:color="000000"/>
              <w:right w:val="single" w:sz="4" w:space="0" w:color="000000"/>
            </w:tcBorders>
            <w:vAlign w:val="center"/>
            <w:hideMark/>
          </w:tcPr>
          <w:p w14:paraId="0C7F49AB" w14:textId="77777777" w:rsidR="008A7F4A" w:rsidRDefault="008A7F4A">
            <w:pPr>
              <w:widowControl w:val="0"/>
              <w:autoSpaceDE w:val="0"/>
              <w:autoSpaceDN w:val="0"/>
              <w:spacing w:before="60" w:after="60" w:line="240" w:lineRule="auto"/>
              <w:jc w:val="center"/>
              <w:rPr>
                <w:rFonts w:ascii="Times New Roman" w:hAnsi="Times New Roman"/>
              </w:rPr>
            </w:pPr>
            <w:r>
              <w:rPr>
                <w:rFonts w:ascii="Times New Roman" w:hAnsi="Times New Roman"/>
              </w:rPr>
              <w:t>BAMLC8A0C15PYEY</w:t>
            </w:r>
          </w:p>
        </w:tc>
      </w:tr>
    </w:tbl>
    <w:p w14:paraId="675FA0F4" w14:textId="77777777" w:rsidR="008A7F4A" w:rsidRDefault="008A7F4A" w:rsidP="008A7F4A">
      <w:pPr>
        <w:rPr>
          <w:rFonts w:ascii="Times New Roman" w:hAnsi="Times New Roman"/>
          <w:strike/>
          <w:color w:val="FF0000"/>
        </w:rPr>
      </w:pPr>
    </w:p>
    <w:p w14:paraId="5AAE8C34" w14:textId="77777777" w:rsidR="008A7F4A" w:rsidRDefault="008A7F4A" w:rsidP="00745C9A">
      <w:pPr>
        <w:widowControl w:val="0"/>
        <w:numPr>
          <w:ilvl w:val="0"/>
          <w:numId w:val="138"/>
        </w:numPr>
        <w:autoSpaceDE w:val="0"/>
        <w:autoSpaceDN w:val="0"/>
        <w:spacing w:after="0" w:line="240" w:lineRule="auto"/>
        <w:ind w:left="1440" w:right="144" w:hanging="720"/>
        <w:jc w:val="both"/>
        <w:rPr>
          <w:rFonts w:ascii="Times New Roman" w:hAnsi="Times New Roman"/>
        </w:rPr>
      </w:pPr>
      <w:r>
        <w:rPr>
          <w:rFonts w:ascii="Times New Roman" w:hAnsi="Times New Roman"/>
        </w:rPr>
        <w:t>Calculate the daily corporate rate for each valuation rate bucket, which is a weighted average of the Bank of America Merrill Lynch U.S. corporate effective yields, using Table 4 weights (defined in Section 13.C.9) effective for the calendar year in which the business date immediately preceding the premium determination date falls.</w:t>
      </w:r>
    </w:p>
    <w:p w14:paraId="75457F61" w14:textId="77777777" w:rsidR="008A7F4A" w:rsidRDefault="008A7F4A" w:rsidP="008A7F4A">
      <w:pPr>
        <w:widowControl w:val="0"/>
        <w:autoSpaceDE w:val="0"/>
        <w:autoSpaceDN w:val="0"/>
        <w:spacing w:after="0" w:line="240" w:lineRule="auto"/>
        <w:ind w:left="1621" w:right="146"/>
        <w:rPr>
          <w:rFonts w:ascii="Times New Roman" w:hAnsi="Times New Roman"/>
        </w:rPr>
      </w:pPr>
    </w:p>
    <w:p w14:paraId="063499F0" w14:textId="77777777" w:rsidR="008A7F4A" w:rsidRDefault="008A7F4A" w:rsidP="00745C9A">
      <w:pPr>
        <w:widowControl w:val="0"/>
        <w:numPr>
          <w:ilvl w:val="0"/>
          <w:numId w:val="139"/>
        </w:numPr>
        <w:autoSpaceDE w:val="0"/>
        <w:autoSpaceDN w:val="0"/>
        <w:spacing w:after="0" w:line="240" w:lineRule="auto"/>
        <w:ind w:left="720" w:hanging="720"/>
        <w:contextualSpacing/>
        <w:jc w:val="both"/>
        <w:rPr>
          <w:rFonts w:ascii="Times New Roman" w:hAnsi="Times New Roman"/>
        </w:rPr>
      </w:pPr>
      <w:r>
        <w:rPr>
          <w:rFonts w:ascii="Times New Roman" w:hAnsi="Times New Roman"/>
        </w:rPr>
        <w:t>Average Daily Corporate</w:t>
      </w:r>
      <w:r>
        <w:rPr>
          <w:rFonts w:ascii="Times New Roman" w:hAnsi="Times New Roman"/>
          <w:spacing w:val="-15"/>
        </w:rPr>
        <w:t xml:space="preserve"> </w:t>
      </w:r>
      <w:r>
        <w:rPr>
          <w:rFonts w:ascii="Times New Roman" w:hAnsi="Times New Roman"/>
        </w:rPr>
        <w:t>Rate</w:t>
      </w:r>
    </w:p>
    <w:p w14:paraId="2B023CAB" w14:textId="77777777" w:rsidR="008A7F4A" w:rsidRDefault="008A7F4A" w:rsidP="008A7F4A">
      <w:pPr>
        <w:widowControl w:val="0"/>
        <w:autoSpaceDE w:val="0"/>
        <w:autoSpaceDN w:val="0"/>
        <w:spacing w:before="180" w:after="0" w:line="240" w:lineRule="auto"/>
        <w:ind w:left="720"/>
        <w:jc w:val="both"/>
        <w:rPr>
          <w:rFonts w:ascii="Times New Roman" w:hAnsi="Times New Roman"/>
        </w:rPr>
      </w:pPr>
      <w:r>
        <w:rPr>
          <w:rFonts w:ascii="Times New Roman" w:hAnsi="Times New Roman"/>
        </w:rPr>
        <w:t>Average daily corporate rates are updated quarterly as described below:</w:t>
      </w:r>
    </w:p>
    <w:p w14:paraId="0FDE339B" w14:textId="77777777" w:rsidR="008A7F4A" w:rsidRDefault="008A7F4A" w:rsidP="008A7F4A">
      <w:pPr>
        <w:widowControl w:val="0"/>
        <w:autoSpaceDE w:val="0"/>
        <w:autoSpaceDN w:val="0"/>
        <w:spacing w:before="180" w:after="0" w:line="240" w:lineRule="auto"/>
        <w:ind w:left="720"/>
        <w:jc w:val="both"/>
        <w:rPr>
          <w:rFonts w:ascii="Times New Roman" w:hAnsi="Times New Roman"/>
        </w:rPr>
      </w:pPr>
    </w:p>
    <w:p w14:paraId="5A6E7FB9" w14:textId="77777777" w:rsidR="008A7F4A" w:rsidRDefault="008A7F4A" w:rsidP="00745C9A">
      <w:pPr>
        <w:widowControl w:val="0"/>
        <w:numPr>
          <w:ilvl w:val="1"/>
          <w:numId w:val="138"/>
        </w:numPr>
        <w:autoSpaceDE w:val="0"/>
        <w:autoSpaceDN w:val="0"/>
        <w:spacing w:after="0" w:line="240" w:lineRule="auto"/>
        <w:ind w:hanging="720"/>
        <w:jc w:val="both"/>
        <w:rPr>
          <w:rFonts w:ascii="Times New Roman" w:hAnsi="Times New Roman"/>
        </w:rPr>
      </w:pPr>
      <w:r>
        <w:rPr>
          <w:rFonts w:ascii="Times New Roman" w:hAnsi="Times New Roman"/>
        </w:rPr>
        <w:t>Download the quarterly average Bank of America Merrill Lynch U.S. corporate effective yields for each index series shown in Section 3.G.1 from the St. Louis Federal</w:t>
      </w:r>
      <w:r>
        <w:rPr>
          <w:rFonts w:ascii="Times New Roman" w:hAnsi="Times New Roman"/>
          <w:spacing w:val="-22"/>
        </w:rPr>
        <w:t xml:space="preserve"> </w:t>
      </w:r>
      <w:r>
        <w:rPr>
          <w:rFonts w:ascii="Times New Roman" w:hAnsi="Times New Roman"/>
        </w:rPr>
        <w:t xml:space="preserve">Reserve website: </w:t>
      </w:r>
      <w:hyperlink r:id="rId75" w:history="1">
        <w:r>
          <w:rPr>
            <w:rStyle w:val="Hyperlink"/>
            <w:rFonts w:ascii="Times New Roman" w:hAnsi="Times New Roman"/>
            <w:color w:val="0000FF"/>
          </w:rPr>
          <w:t>https://research.stlouisfed.org/fred2/categories/3234</w:t>
        </w:r>
      </w:hyperlink>
      <w:r>
        <w:rPr>
          <w:rFonts w:ascii="Times New Roman" w:hAnsi="Times New Roman"/>
          <w:color w:val="0000FF"/>
          <w:u w:val="single" w:color="0000FF"/>
        </w:rPr>
        <w:t>8</w:t>
      </w:r>
      <w:r>
        <w:rPr>
          <w:rFonts w:ascii="Times New Roman" w:hAnsi="Times New Roman"/>
        </w:rPr>
        <w:t>. To access a specific series, search the St. Louis Federal Reserve website for the series name by inputting the name into the search box in the upper right corner, or input the following web address: https://research.stlouisfed.org/fred2/series/[replace with series name from Section 13.C.7.a].</w:t>
      </w:r>
    </w:p>
    <w:p w14:paraId="5C26C1CF" w14:textId="77777777" w:rsidR="008A7F4A" w:rsidRDefault="008A7F4A" w:rsidP="008A7F4A">
      <w:pPr>
        <w:widowControl w:val="0"/>
        <w:autoSpaceDE w:val="0"/>
        <w:autoSpaceDN w:val="0"/>
        <w:spacing w:before="3" w:after="0" w:line="240" w:lineRule="auto"/>
        <w:jc w:val="both"/>
        <w:rPr>
          <w:rFonts w:ascii="Times New Roman" w:hAnsi="Times New Roman"/>
        </w:rPr>
      </w:pPr>
    </w:p>
    <w:p w14:paraId="55E607BA" w14:textId="77777777" w:rsidR="008A7F4A" w:rsidRDefault="008A7F4A" w:rsidP="00745C9A">
      <w:pPr>
        <w:widowControl w:val="0"/>
        <w:numPr>
          <w:ilvl w:val="1"/>
          <w:numId w:val="138"/>
        </w:numPr>
        <w:autoSpaceDE w:val="0"/>
        <w:autoSpaceDN w:val="0"/>
        <w:spacing w:after="0" w:line="256" w:lineRule="auto"/>
        <w:ind w:right="103" w:hanging="720"/>
        <w:jc w:val="both"/>
        <w:rPr>
          <w:rFonts w:ascii="Times New Roman" w:hAnsi="Times New Roman"/>
        </w:rPr>
      </w:pPr>
      <w:r>
        <w:rPr>
          <w:rFonts w:ascii="Times New Roman" w:hAnsi="Times New Roman"/>
        </w:rPr>
        <w:t>Calculate</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a</w:t>
      </w:r>
      <w:r>
        <w:rPr>
          <w:rFonts w:ascii="Times New Roman" w:hAnsi="Times New Roman"/>
        </w:rPr>
        <w:t>verage</w:t>
      </w:r>
      <w:r>
        <w:rPr>
          <w:rFonts w:ascii="Times New Roman" w:hAnsi="Times New Roman"/>
          <w:spacing w:val="-4"/>
        </w:rPr>
        <w:t xml:space="preserve"> d</w:t>
      </w:r>
      <w:r>
        <w:rPr>
          <w:rFonts w:ascii="Times New Roman" w:hAnsi="Times New Roman"/>
        </w:rPr>
        <w:t>aily</w:t>
      </w:r>
      <w:r>
        <w:rPr>
          <w:rFonts w:ascii="Times New Roman" w:hAnsi="Times New Roman"/>
          <w:spacing w:val="-2"/>
        </w:rPr>
        <w:t xml:space="preserve"> c</w:t>
      </w:r>
      <w:r>
        <w:rPr>
          <w:rFonts w:ascii="Times New Roman" w:hAnsi="Times New Roman"/>
        </w:rPr>
        <w:t>orporate</w:t>
      </w:r>
      <w:r>
        <w:rPr>
          <w:rFonts w:ascii="Times New Roman" w:hAnsi="Times New Roman"/>
          <w:spacing w:val="-2"/>
        </w:rPr>
        <w:t xml:space="preserve"> r</w:t>
      </w:r>
      <w:r>
        <w:rPr>
          <w:rFonts w:ascii="Times New Roman" w:hAnsi="Times New Roman"/>
        </w:rPr>
        <w:t>ate</w:t>
      </w:r>
      <w:r>
        <w:rPr>
          <w:rFonts w:ascii="Times New Roman" w:hAnsi="Times New Roman"/>
          <w:spacing w:val="-2"/>
        </w:rPr>
        <w:t xml:space="preserve"> </w:t>
      </w:r>
      <w:r>
        <w:rPr>
          <w:rFonts w:ascii="Times New Roman" w:hAnsi="Times New Roman"/>
        </w:rPr>
        <w:t>for</w:t>
      </w:r>
      <w:r>
        <w:rPr>
          <w:rFonts w:ascii="Times New Roman" w:hAnsi="Times New Roman"/>
          <w:spacing w:val="-4"/>
        </w:rPr>
        <w:t xml:space="preserve"> </w:t>
      </w:r>
      <w:r>
        <w:rPr>
          <w:rFonts w:ascii="Times New Roman" w:hAnsi="Times New Roman"/>
        </w:rPr>
        <w:t>each</w:t>
      </w:r>
      <w:r>
        <w:rPr>
          <w:rFonts w:ascii="Times New Roman" w:hAnsi="Times New Roman"/>
          <w:spacing w:val="-4"/>
        </w:rPr>
        <w:t xml:space="preserve"> v</w:t>
      </w:r>
      <w:r>
        <w:rPr>
          <w:rFonts w:ascii="Times New Roman" w:hAnsi="Times New Roman"/>
        </w:rPr>
        <w:t>aluation</w:t>
      </w:r>
      <w:r>
        <w:rPr>
          <w:rFonts w:ascii="Times New Roman" w:hAnsi="Times New Roman"/>
          <w:spacing w:val="-4"/>
        </w:rPr>
        <w:t xml:space="preserve"> r</w:t>
      </w:r>
      <w:r>
        <w:rPr>
          <w:rFonts w:ascii="Times New Roman" w:hAnsi="Times New Roman"/>
        </w:rPr>
        <w:t>ate</w:t>
      </w:r>
      <w:r>
        <w:rPr>
          <w:rFonts w:ascii="Times New Roman" w:hAnsi="Times New Roman"/>
          <w:spacing w:val="-2"/>
        </w:rPr>
        <w:t xml:space="preserve"> b</w:t>
      </w:r>
      <w:r>
        <w:rPr>
          <w:rFonts w:ascii="Times New Roman" w:hAnsi="Times New Roman"/>
        </w:rPr>
        <w:t>ucket, which is a</w:t>
      </w:r>
      <w:r>
        <w:rPr>
          <w:rFonts w:ascii="Times New Roman" w:hAnsi="Times New Roman"/>
          <w:spacing w:val="-4"/>
        </w:rPr>
        <w:t xml:space="preserve"> </w:t>
      </w:r>
      <w:r>
        <w:rPr>
          <w:rFonts w:ascii="Times New Roman" w:hAnsi="Times New Roman"/>
        </w:rPr>
        <w:t>weighted</w:t>
      </w:r>
      <w:r>
        <w:rPr>
          <w:rFonts w:ascii="Times New Roman" w:hAnsi="Times New Roman"/>
          <w:spacing w:val="-4"/>
        </w:rPr>
        <w:t xml:space="preserve"> </w:t>
      </w:r>
      <w:r>
        <w:rPr>
          <w:rFonts w:ascii="Times New Roman" w:hAnsi="Times New Roman"/>
        </w:rPr>
        <w:t>average</w:t>
      </w:r>
      <w:r>
        <w:rPr>
          <w:rFonts w:ascii="Times New Roman" w:hAnsi="Times New Roman"/>
          <w:spacing w:val="-4"/>
        </w:rPr>
        <w:t xml:space="preserve"> </w:t>
      </w:r>
      <w:r>
        <w:rPr>
          <w:rFonts w:ascii="Times New Roman" w:hAnsi="Times New Roman"/>
        </w:rPr>
        <w:t>of the quarterly average Bank of America Merrill Lynch U.S. corporate effective yields, using Table 4 weights (defined in Section 13.C.9) for the same calendar year as the weight tables (</w:t>
      </w:r>
      <w:proofErr w:type="gramStart"/>
      <w:r>
        <w:rPr>
          <w:rFonts w:ascii="Times New Roman" w:hAnsi="Times New Roman"/>
        </w:rPr>
        <w:t>i.e.</w:t>
      </w:r>
      <w:proofErr w:type="gramEnd"/>
      <w:r>
        <w:rPr>
          <w:rFonts w:ascii="Times New Roman" w:hAnsi="Times New Roman"/>
        </w:rPr>
        <w:t xml:space="preserve"> Tables 1, 2, and 3) used in calculating </w:t>
      </w:r>
      <w:proofErr w:type="spellStart"/>
      <w:r>
        <w:rPr>
          <w:rFonts w:ascii="Times New Roman" w:hAnsi="Times New Roman"/>
        </w:rPr>
        <w:t>I</w:t>
      </w:r>
      <w:r>
        <w:rPr>
          <w:rFonts w:ascii="Times New Roman" w:hAnsi="Times New Roman"/>
          <w:vertAlign w:val="subscript"/>
        </w:rPr>
        <w:t>q</w:t>
      </w:r>
      <w:proofErr w:type="spellEnd"/>
      <w:r>
        <w:rPr>
          <w:rFonts w:ascii="Times New Roman" w:hAnsi="Times New Roman"/>
        </w:rPr>
        <w:t xml:space="preserve"> in Section 13.C.3.e.</w:t>
      </w:r>
    </w:p>
    <w:p w14:paraId="74C34920" w14:textId="77777777" w:rsidR="008A7F4A" w:rsidRDefault="008A7F4A" w:rsidP="008A7F4A">
      <w:pPr>
        <w:pStyle w:val="ListParagraph"/>
        <w:widowControl w:val="0"/>
        <w:rPr>
          <w:rFonts w:ascii="Times New Roman" w:hAnsi="Times New Roman"/>
        </w:rPr>
      </w:pPr>
    </w:p>
    <w:p w14:paraId="02D959AC" w14:textId="77777777" w:rsidR="008A7F4A" w:rsidRDefault="008A7F4A" w:rsidP="00745C9A">
      <w:pPr>
        <w:pStyle w:val="ListParagraph"/>
        <w:widowControl w:val="0"/>
        <w:numPr>
          <w:ilvl w:val="0"/>
          <w:numId w:val="139"/>
        </w:numPr>
        <w:ind w:left="720" w:hanging="720"/>
        <w:rPr>
          <w:rFonts w:ascii="Times New Roman" w:hAnsi="Times New Roman"/>
        </w:rPr>
      </w:pPr>
      <w:r>
        <w:rPr>
          <w:rFonts w:ascii="Times New Roman" w:hAnsi="Times New Roman"/>
        </w:rPr>
        <w:t>Weight Tables 1 through 4</w:t>
      </w:r>
    </w:p>
    <w:p w14:paraId="6751D780" w14:textId="77777777" w:rsidR="008A7F4A" w:rsidRDefault="008A7F4A" w:rsidP="008A7F4A">
      <w:pPr>
        <w:ind w:left="720"/>
        <w:jc w:val="both"/>
        <w:rPr>
          <w:rFonts w:ascii="Times New Roman" w:hAnsi="Times New Roman"/>
        </w:rPr>
      </w:pPr>
      <w:r>
        <w:rPr>
          <w:rFonts w:ascii="Times New Roman" w:hAnsi="Times New Roman"/>
        </w:rPr>
        <w:t>The system for calculating the statutory maximum valuation interest rates relies on a set of four tables of weights that are based on duration and asset/liability cash-flow matching analysis for representative annuities within each valuation rate bucket. A given set of weight tables is applicable to the calculations for every day of the calendar year.</w:t>
      </w:r>
    </w:p>
    <w:p w14:paraId="49C5364C" w14:textId="77777777" w:rsidR="008A7F4A" w:rsidRDefault="008A7F4A" w:rsidP="008A7F4A">
      <w:pPr>
        <w:ind w:left="720"/>
        <w:jc w:val="both"/>
        <w:rPr>
          <w:rFonts w:ascii="Times New Roman" w:hAnsi="Times New Roman"/>
        </w:rPr>
      </w:pPr>
      <w:r>
        <w:rPr>
          <w:rFonts w:ascii="Times New Roman" w:hAnsi="Times New Roman"/>
        </w:rPr>
        <w:t xml:space="preserve">In the fourth quarter of each calendar year, the weights used within each valuation rate bucket for determining the applicable valuation interest rates for the following calendar year will be updated using the process described below. In each of the four tables of weights, the weights </w:t>
      </w:r>
      <w:proofErr w:type="gramStart"/>
      <w:r>
        <w:rPr>
          <w:rFonts w:ascii="Times New Roman" w:hAnsi="Times New Roman"/>
        </w:rPr>
        <w:t>in a given</w:t>
      </w:r>
      <w:proofErr w:type="gramEnd"/>
      <w:r>
        <w:rPr>
          <w:rFonts w:ascii="Times New Roman" w:hAnsi="Times New Roman"/>
        </w:rPr>
        <w:t xml:space="preserve"> row (valuation rate bucket) must add to </w:t>
      </w:r>
      <w:r>
        <w:rPr>
          <w:rFonts w:ascii="Times New Roman" w:hAnsi="Times New Roman"/>
          <w:u w:val="single"/>
        </w:rPr>
        <w:t>exactly</w:t>
      </w:r>
      <w:r>
        <w:rPr>
          <w:rFonts w:ascii="Times New Roman" w:hAnsi="Times New Roman"/>
        </w:rPr>
        <w:t xml:space="preserve"> 100%.</w:t>
      </w:r>
    </w:p>
    <w:p w14:paraId="2DC0E890" w14:textId="77777777" w:rsidR="008A7F4A" w:rsidRDefault="008A7F4A" w:rsidP="008A7F4A">
      <w:pPr>
        <w:spacing w:after="220"/>
        <w:ind w:left="720"/>
        <w:jc w:val="both"/>
        <w:rPr>
          <w:rFonts w:ascii="Times New Roman" w:hAnsi="Times New Roman"/>
        </w:rPr>
      </w:pPr>
      <w:r>
        <w:rPr>
          <w:rFonts w:ascii="Times New Roman" w:hAnsi="Times New Roman"/>
          <w:u w:val="single"/>
        </w:rPr>
        <w:t>Weight Table 1</w:t>
      </w:r>
    </w:p>
    <w:p w14:paraId="5CA6A5D1" w14:textId="77777777" w:rsidR="008A7F4A" w:rsidRDefault="008A7F4A" w:rsidP="008A7F4A">
      <w:pPr>
        <w:spacing w:after="220"/>
        <w:ind w:left="720"/>
        <w:jc w:val="both"/>
        <w:rPr>
          <w:rFonts w:ascii="Times New Roman" w:hAnsi="Times New Roman"/>
        </w:rPr>
      </w:pPr>
      <w:r>
        <w:rPr>
          <w:rFonts w:ascii="Times New Roman" w:hAnsi="Times New Roman"/>
        </w:rPr>
        <w:t>The process for determining Table 1 weights is described below:</w:t>
      </w:r>
    </w:p>
    <w:p w14:paraId="00342409" w14:textId="77777777" w:rsidR="008A7F4A" w:rsidRDefault="008A7F4A" w:rsidP="00745C9A">
      <w:pPr>
        <w:pStyle w:val="ListParagraph"/>
        <w:widowControl w:val="0"/>
        <w:numPr>
          <w:ilvl w:val="1"/>
          <w:numId w:val="140"/>
        </w:numPr>
        <w:spacing w:after="220" w:line="240" w:lineRule="auto"/>
        <w:ind w:left="1440" w:hanging="720"/>
        <w:jc w:val="both"/>
        <w:rPr>
          <w:rFonts w:ascii="Times New Roman" w:hAnsi="Times New Roman"/>
        </w:rPr>
      </w:pPr>
      <w:r>
        <w:rPr>
          <w:rFonts w:ascii="Times New Roman" w:hAnsi="Times New Roman"/>
        </w:rPr>
        <w:t>Each valuation rate bucket has a set of representative annuity forms.  These annuity forms are as follows:</w:t>
      </w:r>
    </w:p>
    <w:p w14:paraId="6B573054" w14:textId="77777777" w:rsidR="008A7F4A" w:rsidRDefault="008A7F4A" w:rsidP="00745C9A">
      <w:pPr>
        <w:pStyle w:val="ListParagraph"/>
        <w:widowControl w:val="0"/>
        <w:numPr>
          <w:ilvl w:val="2"/>
          <w:numId w:val="140"/>
        </w:numPr>
        <w:spacing w:after="220" w:line="240" w:lineRule="auto"/>
        <w:ind w:left="1800"/>
        <w:jc w:val="both"/>
        <w:rPr>
          <w:rFonts w:ascii="Times New Roman" w:hAnsi="Times New Roman"/>
        </w:rPr>
      </w:pPr>
      <w:r>
        <w:rPr>
          <w:rFonts w:ascii="Times New Roman" w:hAnsi="Times New Roman"/>
        </w:rPr>
        <w:t xml:space="preserve">Bucket A: </w:t>
      </w:r>
    </w:p>
    <w:p w14:paraId="0AE5F62A" w14:textId="77777777" w:rsidR="008A7F4A" w:rsidRDefault="008A7F4A" w:rsidP="00745C9A">
      <w:pPr>
        <w:pStyle w:val="ListParagraph"/>
        <w:widowControl w:val="0"/>
        <w:numPr>
          <w:ilvl w:val="3"/>
          <w:numId w:val="140"/>
        </w:numPr>
        <w:spacing w:after="220" w:line="240" w:lineRule="auto"/>
        <w:ind w:left="2160"/>
        <w:jc w:val="both"/>
        <w:rPr>
          <w:rFonts w:ascii="Times New Roman" w:hAnsi="Times New Roman"/>
        </w:rPr>
      </w:pPr>
      <w:r>
        <w:rPr>
          <w:rFonts w:ascii="Times New Roman" w:hAnsi="Times New Roman"/>
        </w:rPr>
        <w:t>Single Life Annuity age 91 with 0 and five-year certain periods.</w:t>
      </w:r>
    </w:p>
    <w:p w14:paraId="33215D7C" w14:textId="77777777" w:rsidR="008A7F4A" w:rsidRDefault="008A7F4A" w:rsidP="00745C9A">
      <w:pPr>
        <w:pStyle w:val="ListParagraph"/>
        <w:widowControl w:val="0"/>
        <w:numPr>
          <w:ilvl w:val="3"/>
          <w:numId w:val="140"/>
        </w:numPr>
        <w:spacing w:after="220" w:line="240" w:lineRule="auto"/>
        <w:ind w:left="2160"/>
        <w:jc w:val="both"/>
        <w:rPr>
          <w:rFonts w:ascii="Times New Roman" w:hAnsi="Times New Roman"/>
        </w:rPr>
      </w:pPr>
      <w:r>
        <w:rPr>
          <w:rFonts w:ascii="Times New Roman" w:hAnsi="Times New Roman"/>
        </w:rPr>
        <w:t>Five-year certain only.</w:t>
      </w:r>
    </w:p>
    <w:p w14:paraId="220C28AD" w14:textId="77777777" w:rsidR="008A7F4A" w:rsidRDefault="008A7F4A" w:rsidP="00745C9A">
      <w:pPr>
        <w:pStyle w:val="ListParagraph"/>
        <w:widowControl w:val="0"/>
        <w:numPr>
          <w:ilvl w:val="2"/>
          <w:numId w:val="140"/>
        </w:numPr>
        <w:spacing w:after="220" w:line="240" w:lineRule="auto"/>
        <w:ind w:left="1800"/>
        <w:jc w:val="both"/>
        <w:rPr>
          <w:rFonts w:ascii="Times New Roman" w:hAnsi="Times New Roman"/>
        </w:rPr>
      </w:pPr>
      <w:r>
        <w:rPr>
          <w:rFonts w:ascii="Times New Roman" w:hAnsi="Times New Roman"/>
        </w:rPr>
        <w:t>Bucket B:</w:t>
      </w:r>
    </w:p>
    <w:p w14:paraId="47814B64" w14:textId="77777777" w:rsidR="008A7F4A" w:rsidRDefault="008A7F4A" w:rsidP="00745C9A">
      <w:pPr>
        <w:pStyle w:val="ListParagraph"/>
        <w:widowControl w:val="0"/>
        <w:numPr>
          <w:ilvl w:val="3"/>
          <w:numId w:val="140"/>
        </w:numPr>
        <w:spacing w:after="220" w:line="240" w:lineRule="auto"/>
        <w:ind w:left="2160"/>
        <w:jc w:val="both"/>
        <w:rPr>
          <w:rFonts w:ascii="Times New Roman" w:hAnsi="Times New Roman"/>
        </w:rPr>
      </w:pPr>
      <w:r>
        <w:rPr>
          <w:rFonts w:ascii="Times New Roman" w:hAnsi="Times New Roman"/>
        </w:rPr>
        <w:t>Single Life Annuity age 80 and 85 with 0, five-year and 10-year certain periods.</w:t>
      </w:r>
    </w:p>
    <w:p w14:paraId="46360D4D" w14:textId="77777777" w:rsidR="008A7F4A" w:rsidRDefault="008A7F4A" w:rsidP="00745C9A">
      <w:pPr>
        <w:pStyle w:val="ListParagraph"/>
        <w:widowControl w:val="0"/>
        <w:numPr>
          <w:ilvl w:val="3"/>
          <w:numId w:val="140"/>
        </w:numPr>
        <w:spacing w:after="220" w:line="240" w:lineRule="auto"/>
        <w:ind w:left="2160"/>
        <w:jc w:val="both"/>
        <w:rPr>
          <w:rFonts w:ascii="Times New Roman" w:hAnsi="Times New Roman"/>
        </w:rPr>
      </w:pPr>
      <w:r>
        <w:rPr>
          <w:rFonts w:ascii="Times New Roman" w:hAnsi="Times New Roman"/>
        </w:rPr>
        <w:t>10-year certain only.</w:t>
      </w:r>
    </w:p>
    <w:p w14:paraId="22A911E0" w14:textId="77777777" w:rsidR="008A7F4A" w:rsidRDefault="008A7F4A" w:rsidP="00745C9A">
      <w:pPr>
        <w:pStyle w:val="ListParagraph"/>
        <w:widowControl w:val="0"/>
        <w:numPr>
          <w:ilvl w:val="2"/>
          <w:numId w:val="140"/>
        </w:numPr>
        <w:spacing w:after="220" w:line="240" w:lineRule="auto"/>
        <w:ind w:left="1800"/>
        <w:jc w:val="both"/>
        <w:rPr>
          <w:rFonts w:ascii="Times New Roman" w:hAnsi="Times New Roman"/>
        </w:rPr>
      </w:pPr>
      <w:r>
        <w:rPr>
          <w:rFonts w:ascii="Times New Roman" w:hAnsi="Times New Roman"/>
        </w:rPr>
        <w:t>Bucket C:</w:t>
      </w:r>
    </w:p>
    <w:p w14:paraId="4B1F7C1E" w14:textId="77777777" w:rsidR="008A7F4A" w:rsidRDefault="008A7F4A" w:rsidP="00745C9A">
      <w:pPr>
        <w:pStyle w:val="ListParagraph"/>
        <w:widowControl w:val="0"/>
        <w:numPr>
          <w:ilvl w:val="3"/>
          <w:numId w:val="140"/>
        </w:numPr>
        <w:spacing w:after="220" w:line="240" w:lineRule="auto"/>
        <w:ind w:left="2160"/>
        <w:jc w:val="both"/>
        <w:rPr>
          <w:rFonts w:ascii="Times New Roman" w:hAnsi="Times New Roman"/>
        </w:rPr>
      </w:pPr>
      <w:r>
        <w:rPr>
          <w:rFonts w:ascii="Times New Roman" w:hAnsi="Times New Roman"/>
        </w:rPr>
        <w:t>Single Life Annuity age 70 with 0 and 15-year certain periods.</w:t>
      </w:r>
    </w:p>
    <w:p w14:paraId="11E95827" w14:textId="77777777" w:rsidR="008A7F4A" w:rsidRDefault="008A7F4A" w:rsidP="00745C9A">
      <w:pPr>
        <w:pStyle w:val="ListParagraph"/>
        <w:widowControl w:val="0"/>
        <w:numPr>
          <w:ilvl w:val="3"/>
          <w:numId w:val="140"/>
        </w:numPr>
        <w:spacing w:after="220" w:line="240" w:lineRule="auto"/>
        <w:ind w:left="2160"/>
        <w:jc w:val="both"/>
        <w:rPr>
          <w:rFonts w:ascii="Times New Roman" w:hAnsi="Times New Roman"/>
        </w:rPr>
      </w:pPr>
      <w:r>
        <w:rPr>
          <w:rFonts w:ascii="Times New Roman" w:hAnsi="Times New Roman"/>
        </w:rPr>
        <w:t>Single Life Annuity age 75 with 0, 10-year and 15-year certain periods.</w:t>
      </w:r>
    </w:p>
    <w:p w14:paraId="3FE78E0F" w14:textId="77777777" w:rsidR="008A7F4A" w:rsidRDefault="008A7F4A" w:rsidP="00745C9A">
      <w:pPr>
        <w:pStyle w:val="ListParagraph"/>
        <w:widowControl w:val="0"/>
        <w:numPr>
          <w:ilvl w:val="3"/>
          <w:numId w:val="140"/>
        </w:numPr>
        <w:spacing w:after="220" w:line="240" w:lineRule="auto"/>
        <w:ind w:left="2160"/>
        <w:jc w:val="both"/>
        <w:rPr>
          <w:rFonts w:ascii="Times New Roman" w:hAnsi="Times New Roman"/>
        </w:rPr>
      </w:pPr>
      <w:r>
        <w:rPr>
          <w:rFonts w:ascii="Times New Roman" w:hAnsi="Times New Roman"/>
        </w:rPr>
        <w:t>15-year certain only.</w:t>
      </w:r>
    </w:p>
    <w:p w14:paraId="3141B0A3" w14:textId="77777777" w:rsidR="008A7F4A" w:rsidRDefault="008A7F4A" w:rsidP="00745C9A">
      <w:pPr>
        <w:pStyle w:val="ListParagraph"/>
        <w:widowControl w:val="0"/>
        <w:numPr>
          <w:ilvl w:val="2"/>
          <w:numId w:val="140"/>
        </w:numPr>
        <w:spacing w:after="220" w:line="240" w:lineRule="auto"/>
        <w:ind w:left="1800"/>
        <w:jc w:val="both"/>
        <w:rPr>
          <w:rFonts w:ascii="Times New Roman" w:hAnsi="Times New Roman"/>
        </w:rPr>
      </w:pPr>
      <w:r>
        <w:rPr>
          <w:rFonts w:ascii="Times New Roman" w:hAnsi="Times New Roman"/>
        </w:rPr>
        <w:t>Bucket D:</w:t>
      </w:r>
    </w:p>
    <w:p w14:paraId="4022393A" w14:textId="77777777" w:rsidR="008A7F4A" w:rsidRDefault="008A7F4A" w:rsidP="00745C9A">
      <w:pPr>
        <w:pStyle w:val="ListParagraph"/>
        <w:widowControl w:val="0"/>
        <w:numPr>
          <w:ilvl w:val="3"/>
          <w:numId w:val="140"/>
        </w:numPr>
        <w:spacing w:after="220" w:line="240" w:lineRule="auto"/>
        <w:ind w:left="2160"/>
        <w:jc w:val="both"/>
        <w:rPr>
          <w:rFonts w:ascii="Times New Roman" w:hAnsi="Times New Roman"/>
        </w:rPr>
      </w:pPr>
      <w:r>
        <w:rPr>
          <w:rFonts w:ascii="Times New Roman" w:hAnsi="Times New Roman"/>
        </w:rPr>
        <w:t>Single Life Annuity age 55, 60 and 65 with 0 and 15-year certain periods.</w:t>
      </w:r>
    </w:p>
    <w:p w14:paraId="7BFA4201" w14:textId="77777777" w:rsidR="008A7F4A" w:rsidRDefault="008A7F4A" w:rsidP="00745C9A">
      <w:pPr>
        <w:pStyle w:val="ListParagraph"/>
        <w:widowControl w:val="0"/>
        <w:numPr>
          <w:ilvl w:val="3"/>
          <w:numId w:val="140"/>
        </w:numPr>
        <w:spacing w:after="220" w:line="240" w:lineRule="auto"/>
        <w:ind w:left="2160"/>
        <w:jc w:val="both"/>
        <w:rPr>
          <w:rFonts w:ascii="Times New Roman" w:hAnsi="Times New Roman"/>
        </w:rPr>
      </w:pPr>
      <w:r>
        <w:rPr>
          <w:rFonts w:ascii="Times New Roman" w:hAnsi="Times New Roman"/>
        </w:rPr>
        <w:t>25-year certain only.</w:t>
      </w:r>
    </w:p>
    <w:p w14:paraId="4AC31BB2" w14:textId="77777777" w:rsidR="008A7F4A" w:rsidRDefault="008A7F4A" w:rsidP="00745C9A">
      <w:pPr>
        <w:pStyle w:val="ListParagraph"/>
        <w:widowControl w:val="0"/>
        <w:numPr>
          <w:ilvl w:val="1"/>
          <w:numId w:val="140"/>
        </w:numPr>
        <w:spacing w:after="220" w:line="240" w:lineRule="auto"/>
        <w:jc w:val="both"/>
        <w:rPr>
          <w:rFonts w:ascii="Times New Roman" w:hAnsi="Times New Roman"/>
        </w:rPr>
      </w:pPr>
      <w:r>
        <w:rPr>
          <w:rFonts w:ascii="Times New Roman" w:hAnsi="Times New Roman"/>
        </w:rPr>
        <w:t xml:space="preserve">Annual cash flows are projected assuming annuity payments are made at the end of each year. These cash flows are averaged for each valuation rate bucket across the annuity forms for that bucket using the statutory valuation mortality table in effect for the following calendar year for individual annuities for males (ANB). </w:t>
      </w:r>
    </w:p>
    <w:p w14:paraId="3A0A54E8" w14:textId="77777777" w:rsidR="008A7F4A" w:rsidRDefault="008A7F4A" w:rsidP="00745C9A">
      <w:pPr>
        <w:pStyle w:val="ListParagraph"/>
        <w:widowControl w:val="0"/>
        <w:numPr>
          <w:ilvl w:val="1"/>
          <w:numId w:val="140"/>
        </w:numPr>
        <w:spacing w:after="220" w:line="240" w:lineRule="auto"/>
        <w:jc w:val="both"/>
        <w:rPr>
          <w:rFonts w:ascii="Times New Roman" w:hAnsi="Times New Roman"/>
        </w:rPr>
      </w:pPr>
      <w:r>
        <w:rPr>
          <w:rFonts w:ascii="Times New Roman" w:hAnsi="Times New Roman"/>
        </w:rPr>
        <w:t xml:space="preserve">The average daily rates in the third quarter for the two-year, five-year, 10-year and 30-year U.S. Treasuries are downloaded from </w:t>
      </w:r>
      <w:hyperlink r:id="rId76" w:history="1">
        <w:r>
          <w:rPr>
            <w:rStyle w:val="Hyperlink"/>
            <w:rFonts w:ascii="Times New Roman" w:hAnsi="Times New Roman"/>
          </w:rPr>
          <w:t>https://fred.stlouisfed.org</w:t>
        </w:r>
      </w:hyperlink>
      <w:r>
        <w:rPr>
          <w:rFonts w:ascii="Times New Roman" w:hAnsi="Times New Roman"/>
        </w:rPr>
        <w:t xml:space="preserve"> as input to calculate the present values in Step d. </w:t>
      </w:r>
    </w:p>
    <w:p w14:paraId="39680892" w14:textId="77777777" w:rsidR="008A7F4A" w:rsidRDefault="008A7F4A" w:rsidP="00745C9A">
      <w:pPr>
        <w:pStyle w:val="ListParagraph"/>
        <w:widowControl w:val="0"/>
        <w:numPr>
          <w:ilvl w:val="1"/>
          <w:numId w:val="140"/>
        </w:numPr>
        <w:spacing w:after="220" w:line="240" w:lineRule="auto"/>
        <w:jc w:val="both"/>
        <w:rPr>
          <w:rFonts w:ascii="Times New Roman" w:hAnsi="Times New Roman"/>
        </w:rPr>
      </w:pPr>
      <w:r>
        <w:rPr>
          <w:rFonts w:ascii="Times New Roman" w:hAnsi="Times New Roman"/>
        </w:rPr>
        <w:t xml:space="preserve">The average cash flows are summed into four </w:t>
      </w:r>
      <w:proofErr w:type="gramStart"/>
      <w:r>
        <w:rPr>
          <w:rFonts w:ascii="Times New Roman" w:hAnsi="Times New Roman"/>
        </w:rPr>
        <w:t>time period</w:t>
      </w:r>
      <w:proofErr w:type="gramEnd"/>
      <w:r>
        <w:rPr>
          <w:rFonts w:ascii="Times New Roman" w:hAnsi="Times New Roman"/>
        </w:rPr>
        <w:t xml:space="preserve"> groups: years 1–3, years 4–7, years 8–15 and years 16–30.  (</w:t>
      </w:r>
      <w:r>
        <w:rPr>
          <w:rFonts w:ascii="Times New Roman" w:hAnsi="Times New Roman"/>
          <w:b/>
        </w:rPr>
        <w:t>Note</w:t>
      </w:r>
      <w:r>
        <w:rPr>
          <w:rFonts w:ascii="Times New Roman" w:hAnsi="Times New Roman"/>
        </w:rPr>
        <w:t>: The present value of cash flows beyond year 30 are discounted to the end of year 30 and included in the years 16–30 group. This present value is based on the lower of 3% and the 30-year Treasury rate input in Step c.)</w:t>
      </w:r>
    </w:p>
    <w:p w14:paraId="671D9D08" w14:textId="77777777" w:rsidR="008A7F4A" w:rsidRDefault="008A7F4A" w:rsidP="00745C9A">
      <w:pPr>
        <w:pStyle w:val="ListParagraph"/>
        <w:widowControl w:val="0"/>
        <w:numPr>
          <w:ilvl w:val="1"/>
          <w:numId w:val="140"/>
        </w:numPr>
        <w:spacing w:after="220" w:line="240" w:lineRule="auto"/>
        <w:jc w:val="both"/>
        <w:rPr>
          <w:rFonts w:ascii="Times New Roman" w:hAnsi="Times New Roman"/>
        </w:rPr>
      </w:pPr>
      <w:r>
        <w:rPr>
          <w:rFonts w:ascii="Times New Roman" w:hAnsi="Times New Roman"/>
        </w:rPr>
        <w:t>The present value of each summed cash-flow group in Step d is then calculated by using the Step 3 U.S. Treasury rates for the midpoint of that group (and using the linearly interpolated U.S. Treasury rate when necessary).</w:t>
      </w:r>
    </w:p>
    <w:p w14:paraId="761E2D7F" w14:textId="77777777" w:rsidR="008A7F4A" w:rsidRDefault="008A7F4A" w:rsidP="00745C9A">
      <w:pPr>
        <w:pStyle w:val="ListParagraph"/>
        <w:widowControl w:val="0"/>
        <w:numPr>
          <w:ilvl w:val="1"/>
          <w:numId w:val="140"/>
        </w:numPr>
        <w:spacing w:after="220" w:line="240" w:lineRule="auto"/>
        <w:jc w:val="both"/>
        <w:rPr>
          <w:rFonts w:ascii="Times New Roman" w:hAnsi="Times New Roman"/>
        </w:rPr>
      </w:pPr>
      <w:r>
        <w:rPr>
          <w:rFonts w:ascii="Times New Roman" w:hAnsi="Times New Roman"/>
        </w:rPr>
        <w:t xml:space="preserve">The duration-weighted present value of the cash flows is determined by multiplying the present value of the cash-flow groups by the midpoint of the </w:t>
      </w:r>
      <w:proofErr w:type="gramStart"/>
      <w:r>
        <w:rPr>
          <w:rFonts w:ascii="Times New Roman" w:hAnsi="Times New Roman"/>
        </w:rPr>
        <w:t>time period</w:t>
      </w:r>
      <w:proofErr w:type="gramEnd"/>
      <w:r>
        <w:rPr>
          <w:rFonts w:ascii="Times New Roman" w:hAnsi="Times New Roman"/>
        </w:rPr>
        <w:t xml:space="preserve"> for each applicable group.</w:t>
      </w:r>
    </w:p>
    <w:p w14:paraId="7EC4490F" w14:textId="77777777" w:rsidR="008A7F4A" w:rsidRDefault="008A7F4A" w:rsidP="00745C9A">
      <w:pPr>
        <w:pStyle w:val="ListParagraph"/>
        <w:widowControl w:val="0"/>
        <w:numPr>
          <w:ilvl w:val="1"/>
          <w:numId w:val="140"/>
        </w:numPr>
        <w:spacing w:after="220" w:line="240" w:lineRule="auto"/>
        <w:jc w:val="both"/>
        <w:rPr>
          <w:rFonts w:ascii="Times New Roman" w:hAnsi="Times New Roman"/>
        </w:rPr>
      </w:pPr>
      <w:r>
        <w:rPr>
          <w:rFonts w:ascii="Times New Roman" w:hAnsi="Times New Roman"/>
        </w:rPr>
        <w:t xml:space="preserve">Weightings for each cash-flow </w:t>
      </w:r>
      <w:proofErr w:type="gramStart"/>
      <w:r>
        <w:rPr>
          <w:rFonts w:ascii="Times New Roman" w:hAnsi="Times New Roman"/>
        </w:rPr>
        <w:t>time period</w:t>
      </w:r>
      <w:proofErr w:type="gramEnd"/>
      <w:r>
        <w:rPr>
          <w:rFonts w:ascii="Times New Roman" w:hAnsi="Times New Roman"/>
        </w:rPr>
        <w:t xml:space="preserve"> group within a valuation rate bucket are calculated by dividing the duration weighted present value of the cash flow by the sum of the duration weighted present value of cash flow for each valuation rate bucket.   </w:t>
      </w:r>
    </w:p>
    <w:p w14:paraId="4B33C241" w14:textId="77777777" w:rsidR="008A7F4A" w:rsidRDefault="008A7F4A" w:rsidP="008A7F4A">
      <w:pPr>
        <w:widowControl w:val="0"/>
        <w:spacing w:after="220"/>
        <w:ind w:left="720"/>
        <w:contextualSpacing/>
        <w:jc w:val="both"/>
        <w:rPr>
          <w:rFonts w:ascii="Times New Roman" w:hAnsi="Times New Roman"/>
        </w:rPr>
      </w:pPr>
      <w:r>
        <w:rPr>
          <w:rFonts w:ascii="Times New Roman" w:hAnsi="Times New Roman"/>
          <w:u w:val="single"/>
        </w:rPr>
        <w:t>Weight Tables 2 through 4</w:t>
      </w:r>
    </w:p>
    <w:p w14:paraId="1BB0108E" w14:textId="77777777" w:rsidR="008A7F4A" w:rsidRDefault="008A7F4A" w:rsidP="008A7F4A">
      <w:pPr>
        <w:widowControl w:val="0"/>
        <w:spacing w:after="0"/>
        <w:ind w:left="720"/>
        <w:contextualSpacing/>
        <w:jc w:val="both"/>
        <w:rPr>
          <w:rFonts w:ascii="Times New Roman" w:hAnsi="Times New Roman"/>
        </w:rPr>
      </w:pPr>
    </w:p>
    <w:p w14:paraId="4C77E25D" w14:textId="77777777" w:rsidR="008A7F4A" w:rsidRDefault="008A7F4A" w:rsidP="008A7F4A">
      <w:pPr>
        <w:widowControl w:val="0"/>
        <w:spacing w:after="0"/>
        <w:ind w:left="720"/>
        <w:contextualSpacing/>
        <w:jc w:val="both"/>
        <w:rPr>
          <w:rFonts w:ascii="Times New Roman" w:hAnsi="Times New Roman"/>
        </w:rPr>
      </w:pPr>
      <w:r>
        <w:rPr>
          <w:rFonts w:ascii="Times New Roman" w:hAnsi="Times New Roman"/>
        </w:rPr>
        <w:t>Weight Tables 2 through 4 are determined using the following process:</w:t>
      </w:r>
    </w:p>
    <w:p w14:paraId="2E33EE44" w14:textId="77777777" w:rsidR="008A7F4A" w:rsidRDefault="008A7F4A" w:rsidP="008A7F4A">
      <w:pPr>
        <w:widowControl w:val="0"/>
        <w:spacing w:after="0"/>
        <w:ind w:left="360"/>
        <w:contextualSpacing/>
        <w:jc w:val="both"/>
        <w:rPr>
          <w:rFonts w:ascii="Times New Roman" w:hAnsi="Times New Roman"/>
        </w:rPr>
      </w:pPr>
    </w:p>
    <w:p w14:paraId="1948706F" w14:textId="77777777" w:rsidR="008A7F4A" w:rsidRDefault="008A7F4A" w:rsidP="00745C9A">
      <w:pPr>
        <w:widowControl w:val="0"/>
        <w:numPr>
          <w:ilvl w:val="0"/>
          <w:numId w:val="141"/>
        </w:numPr>
        <w:spacing w:after="0"/>
        <w:ind w:left="1440" w:hanging="360"/>
        <w:contextualSpacing/>
        <w:jc w:val="both"/>
        <w:rPr>
          <w:rFonts w:ascii="Times New Roman" w:hAnsi="Times New Roman"/>
        </w:rPr>
      </w:pPr>
      <w:r>
        <w:rPr>
          <w:rFonts w:ascii="Times New Roman" w:hAnsi="Times New Roman"/>
        </w:rPr>
        <w:t>Table 2 is identical to Table 1.</w:t>
      </w:r>
    </w:p>
    <w:p w14:paraId="0B0E21FA" w14:textId="77777777" w:rsidR="008A7F4A" w:rsidRDefault="008A7F4A" w:rsidP="008A7F4A">
      <w:pPr>
        <w:widowControl w:val="0"/>
        <w:spacing w:after="0"/>
        <w:ind w:left="720"/>
        <w:contextualSpacing/>
        <w:jc w:val="both"/>
        <w:rPr>
          <w:rFonts w:ascii="Times New Roman" w:hAnsi="Times New Roman"/>
        </w:rPr>
      </w:pPr>
    </w:p>
    <w:p w14:paraId="383A2A85" w14:textId="77777777" w:rsidR="008A7F4A" w:rsidRDefault="008A7F4A" w:rsidP="00745C9A">
      <w:pPr>
        <w:widowControl w:val="0"/>
        <w:numPr>
          <w:ilvl w:val="0"/>
          <w:numId w:val="141"/>
        </w:numPr>
        <w:spacing w:after="0" w:line="240" w:lineRule="auto"/>
        <w:ind w:left="1440" w:hanging="360"/>
        <w:contextualSpacing/>
        <w:jc w:val="both"/>
        <w:rPr>
          <w:rFonts w:ascii="Times New Roman" w:hAnsi="Times New Roman"/>
        </w:rPr>
      </w:pPr>
      <w:r>
        <w:rPr>
          <w:rFonts w:ascii="Times New Roman" w:hAnsi="Times New Roman"/>
        </w:rPr>
        <w:t>Table 3 is based on the same set of underlying weights as Table 1, but the 10-year and 30-year columns are combined since VM-20 default rates are only published for maturities of up to 10 years.</w:t>
      </w:r>
    </w:p>
    <w:p w14:paraId="2A7DFAB9" w14:textId="77777777" w:rsidR="008A7F4A" w:rsidRDefault="008A7F4A" w:rsidP="008A7F4A">
      <w:pPr>
        <w:widowControl w:val="0"/>
        <w:spacing w:after="0" w:line="240" w:lineRule="auto"/>
        <w:ind w:left="720"/>
        <w:contextualSpacing/>
        <w:jc w:val="both"/>
        <w:rPr>
          <w:rFonts w:ascii="Times New Roman" w:hAnsi="Times New Roman"/>
        </w:rPr>
      </w:pPr>
    </w:p>
    <w:p w14:paraId="3E084CD8" w14:textId="77777777" w:rsidR="008A7F4A" w:rsidRDefault="008A7F4A" w:rsidP="00745C9A">
      <w:pPr>
        <w:widowControl w:val="0"/>
        <w:numPr>
          <w:ilvl w:val="0"/>
          <w:numId w:val="141"/>
        </w:numPr>
        <w:spacing w:after="0"/>
        <w:ind w:left="1440" w:hanging="360"/>
        <w:contextualSpacing/>
        <w:jc w:val="both"/>
        <w:rPr>
          <w:rFonts w:ascii="Times New Roman" w:hAnsi="Times New Roman"/>
        </w:rPr>
      </w:pPr>
      <w:r>
        <w:rPr>
          <w:rFonts w:ascii="Times New Roman" w:hAnsi="Times New Roman"/>
        </w:rPr>
        <w:t>Table 4 is derived from Table 1 as follows:</w:t>
      </w:r>
    </w:p>
    <w:p w14:paraId="5F78D8CD" w14:textId="77777777" w:rsidR="008A7F4A" w:rsidRDefault="008A7F4A" w:rsidP="008A7F4A">
      <w:pPr>
        <w:widowControl w:val="0"/>
        <w:spacing w:after="0"/>
        <w:ind w:left="1800"/>
        <w:contextualSpacing/>
        <w:jc w:val="both"/>
        <w:rPr>
          <w:rFonts w:ascii="Times New Roman" w:hAnsi="Times New Roman"/>
        </w:rPr>
      </w:pPr>
    </w:p>
    <w:p w14:paraId="3A22249D" w14:textId="77777777" w:rsidR="008A7F4A" w:rsidRDefault="008A7F4A" w:rsidP="00745C9A">
      <w:pPr>
        <w:widowControl w:val="0"/>
        <w:numPr>
          <w:ilvl w:val="1"/>
          <w:numId w:val="141"/>
        </w:numPr>
        <w:spacing w:after="0"/>
        <w:ind w:left="1800" w:hanging="357"/>
        <w:contextualSpacing/>
        <w:jc w:val="both"/>
        <w:rPr>
          <w:rFonts w:ascii="Times New Roman" w:hAnsi="Times New Roman"/>
        </w:rPr>
      </w:pPr>
      <w:r>
        <w:rPr>
          <w:rFonts w:ascii="Times New Roman" w:hAnsi="Times New Roman"/>
        </w:rPr>
        <w:t>Column 1 of Table 4 is identical to column 1 of Table 1.</w:t>
      </w:r>
    </w:p>
    <w:p w14:paraId="4AE36357" w14:textId="77777777" w:rsidR="008A7F4A" w:rsidRDefault="008A7F4A" w:rsidP="00745C9A">
      <w:pPr>
        <w:widowControl w:val="0"/>
        <w:numPr>
          <w:ilvl w:val="1"/>
          <w:numId w:val="141"/>
        </w:numPr>
        <w:spacing w:after="0"/>
        <w:ind w:left="1800" w:hanging="357"/>
        <w:contextualSpacing/>
        <w:jc w:val="both"/>
        <w:rPr>
          <w:rFonts w:ascii="Times New Roman" w:hAnsi="Times New Roman"/>
        </w:rPr>
      </w:pPr>
      <w:r>
        <w:rPr>
          <w:rFonts w:ascii="Times New Roman" w:hAnsi="Times New Roman"/>
        </w:rPr>
        <w:t>Column 2 of Table 4 is 50% of column 2 of Table 1.</w:t>
      </w:r>
    </w:p>
    <w:p w14:paraId="1066E550" w14:textId="77777777" w:rsidR="008A7F4A" w:rsidRDefault="008A7F4A" w:rsidP="00745C9A">
      <w:pPr>
        <w:widowControl w:val="0"/>
        <w:numPr>
          <w:ilvl w:val="1"/>
          <w:numId w:val="141"/>
        </w:numPr>
        <w:spacing w:after="0"/>
        <w:ind w:left="1800" w:hanging="357"/>
        <w:contextualSpacing/>
        <w:jc w:val="both"/>
        <w:rPr>
          <w:rFonts w:ascii="Times New Roman" w:hAnsi="Times New Roman"/>
        </w:rPr>
      </w:pPr>
      <w:r>
        <w:rPr>
          <w:rFonts w:ascii="Times New Roman" w:hAnsi="Times New Roman"/>
        </w:rPr>
        <w:t>Column 3 of Table 4 is identical to column 2 of Table 4.</w:t>
      </w:r>
    </w:p>
    <w:p w14:paraId="5677E655" w14:textId="77777777" w:rsidR="008A7F4A" w:rsidRDefault="008A7F4A" w:rsidP="00745C9A">
      <w:pPr>
        <w:widowControl w:val="0"/>
        <w:numPr>
          <w:ilvl w:val="1"/>
          <w:numId w:val="141"/>
        </w:numPr>
        <w:spacing w:after="0"/>
        <w:ind w:left="1800" w:hanging="357"/>
        <w:contextualSpacing/>
        <w:jc w:val="both"/>
        <w:rPr>
          <w:rFonts w:ascii="Times New Roman" w:hAnsi="Times New Roman"/>
        </w:rPr>
      </w:pPr>
      <w:r>
        <w:rPr>
          <w:rFonts w:ascii="Times New Roman" w:hAnsi="Times New Roman"/>
        </w:rPr>
        <w:t>Column 4 of Table 4 is 50% of column 3 of Table 1.</w:t>
      </w:r>
    </w:p>
    <w:p w14:paraId="50CC3487" w14:textId="77777777" w:rsidR="008A7F4A" w:rsidRDefault="008A7F4A" w:rsidP="00745C9A">
      <w:pPr>
        <w:widowControl w:val="0"/>
        <w:numPr>
          <w:ilvl w:val="1"/>
          <w:numId w:val="141"/>
        </w:numPr>
        <w:spacing w:after="0"/>
        <w:ind w:left="1800" w:hanging="357"/>
        <w:contextualSpacing/>
        <w:jc w:val="both"/>
        <w:rPr>
          <w:rFonts w:ascii="Times New Roman" w:hAnsi="Times New Roman"/>
        </w:rPr>
      </w:pPr>
      <w:r>
        <w:rPr>
          <w:rFonts w:ascii="Times New Roman" w:hAnsi="Times New Roman"/>
        </w:rPr>
        <w:t>Column 5 of Table 4 is identical to column 4 of Table 4.</w:t>
      </w:r>
    </w:p>
    <w:p w14:paraId="4507FD3A" w14:textId="77777777" w:rsidR="008A7F4A" w:rsidRDefault="008A7F4A" w:rsidP="00745C9A">
      <w:pPr>
        <w:widowControl w:val="0"/>
        <w:numPr>
          <w:ilvl w:val="1"/>
          <w:numId w:val="141"/>
        </w:numPr>
        <w:spacing w:after="0"/>
        <w:ind w:left="1800" w:hanging="357"/>
        <w:contextualSpacing/>
        <w:jc w:val="both"/>
        <w:rPr>
          <w:rFonts w:ascii="Times New Roman" w:hAnsi="Times New Roman"/>
        </w:rPr>
      </w:pPr>
      <w:r>
        <w:rPr>
          <w:rFonts w:ascii="Times New Roman" w:hAnsi="Times New Roman"/>
        </w:rPr>
        <w:t>Column 6 of Table 4 is identical to column 4 of Table 1.</w:t>
      </w:r>
    </w:p>
    <w:p w14:paraId="5E8A8045" w14:textId="77777777" w:rsidR="008A7F4A" w:rsidRDefault="008A7F4A" w:rsidP="00745C9A">
      <w:pPr>
        <w:pStyle w:val="ListParagraph"/>
        <w:widowControl w:val="0"/>
        <w:numPr>
          <w:ilvl w:val="0"/>
          <w:numId w:val="139"/>
        </w:numPr>
        <w:spacing w:after="220"/>
        <w:ind w:left="720" w:hanging="720"/>
        <w:jc w:val="both"/>
        <w:rPr>
          <w:rFonts w:ascii="Times New Roman" w:hAnsi="Times New Roman"/>
        </w:rPr>
      </w:pPr>
      <w:r>
        <w:rPr>
          <w:rFonts w:ascii="Times New Roman" w:hAnsi="Times New Roman"/>
        </w:rPr>
        <w:t>Group Annuity Contracts</w:t>
      </w:r>
    </w:p>
    <w:p w14:paraId="0267CDFB" w14:textId="77777777" w:rsidR="008A7F4A" w:rsidRDefault="008A7F4A" w:rsidP="008A7F4A">
      <w:pPr>
        <w:widowControl w:val="0"/>
        <w:spacing w:after="220" w:line="240" w:lineRule="auto"/>
        <w:ind w:left="720"/>
        <w:contextualSpacing/>
        <w:jc w:val="both"/>
        <w:rPr>
          <w:rFonts w:ascii="Times New Roman" w:hAnsi="Times New Roman"/>
        </w:rPr>
      </w:pPr>
      <w:r>
        <w:rPr>
          <w:rFonts w:ascii="Times New Roman" w:hAnsi="Times New Roman"/>
        </w:rPr>
        <w:t>For a group annuity purchased under a retirement or deferred compensation plan (Section 13.A.2.i), the following apply:</w:t>
      </w:r>
    </w:p>
    <w:p w14:paraId="6355D3C6" w14:textId="77777777" w:rsidR="008A7F4A" w:rsidRDefault="008A7F4A" w:rsidP="008A7F4A">
      <w:pPr>
        <w:widowControl w:val="0"/>
        <w:spacing w:after="0"/>
        <w:ind w:left="720"/>
        <w:contextualSpacing/>
        <w:jc w:val="both"/>
        <w:rPr>
          <w:rFonts w:ascii="Times New Roman" w:hAnsi="Times New Roman"/>
        </w:rPr>
      </w:pPr>
    </w:p>
    <w:p w14:paraId="6EAA389B" w14:textId="77777777" w:rsidR="008A7F4A" w:rsidRDefault="008A7F4A" w:rsidP="00745C9A">
      <w:pPr>
        <w:widowControl w:val="0"/>
        <w:numPr>
          <w:ilvl w:val="1"/>
          <w:numId w:val="139"/>
        </w:numPr>
        <w:spacing w:after="0" w:line="240" w:lineRule="auto"/>
        <w:ind w:hanging="720"/>
        <w:contextualSpacing/>
        <w:jc w:val="both"/>
        <w:rPr>
          <w:rFonts w:ascii="Times New Roman" w:hAnsi="Times New Roman"/>
        </w:rPr>
      </w:pPr>
      <w:r>
        <w:rPr>
          <w:rFonts w:ascii="Times New Roman" w:hAnsi="Times New Roman"/>
        </w:rPr>
        <w:t>The statutory maximum valuation interest rate shall be determined separately for each certificate, considering its premium determination date, the certificate holder’s initial age, the reference period corresponding to its form of payout and whether the contract is a jumbo contract or a non-jumbo contract.</w:t>
      </w:r>
    </w:p>
    <w:p w14:paraId="134A95D0" w14:textId="77777777" w:rsidR="008A7F4A" w:rsidRDefault="008A7F4A" w:rsidP="008A7F4A">
      <w:pPr>
        <w:widowControl w:val="0"/>
        <w:spacing w:after="0" w:line="240" w:lineRule="auto"/>
        <w:ind w:left="720"/>
        <w:jc w:val="both"/>
        <w:rPr>
          <w:rFonts w:ascii="Times New Roman" w:hAnsi="Times New Roman"/>
        </w:rPr>
      </w:pPr>
    </w:p>
    <w:p w14:paraId="2F61F7A6" w14:textId="77777777" w:rsidR="008A7F4A" w:rsidRDefault="008A7F4A" w:rsidP="008A7F4A">
      <w:pPr>
        <w:widowControl w:val="0"/>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rPr>
      </w:pPr>
      <w:r>
        <w:rPr>
          <w:rFonts w:ascii="Times New Roman" w:hAnsi="Times New Roman"/>
          <w:b/>
        </w:rPr>
        <w:t>Guidance Note</w:t>
      </w:r>
      <w:r>
        <w:rPr>
          <w:rFonts w:ascii="Times New Roman" w:hAnsi="Times New Roman"/>
        </w:rPr>
        <w:t>: Under some group annuity contracts, certificates may be purchased on different dates.</w:t>
      </w:r>
    </w:p>
    <w:p w14:paraId="5C665FCA" w14:textId="77777777" w:rsidR="008A7F4A" w:rsidRDefault="008A7F4A" w:rsidP="008A7F4A">
      <w:pPr>
        <w:widowControl w:val="0"/>
        <w:spacing w:after="0" w:line="240" w:lineRule="auto"/>
        <w:ind w:left="720"/>
        <w:jc w:val="both"/>
        <w:rPr>
          <w:rFonts w:ascii="Times New Roman" w:hAnsi="Times New Roman"/>
        </w:rPr>
      </w:pPr>
    </w:p>
    <w:p w14:paraId="5E75A2F8" w14:textId="77777777" w:rsidR="008A7F4A" w:rsidRDefault="008A7F4A" w:rsidP="00745C9A">
      <w:pPr>
        <w:widowControl w:val="0"/>
        <w:numPr>
          <w:ilvl w:val="1"/>
          <w:numId w:val="139"/>
        </w:numPr>
        <w:spacing w:after="0" w:line="240" w:lineRule="auto"/>
        <w:ind w:hanging="720"/>
        <w:contextualSpacing/>
        <w:jc w:val="both"/>
        <w:rPr>
          <w:rFonts w:ascii="Times New Roman" w:hAnsi="Times New Roman"/>
        </w:rPr>
      </w:pPr>
      <w:r>
        <w:rPr>
          <w:rFonts w:ascii="Times New Roman" w:hAnsi="Times New Roman"/>
        </w:rPr>
        <w: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t>
      </w:r>
    </w:p>
    <w:p w14:paraId="61F9F515" w14:textId="77777777" w:rsidR="008A7F4A" w:rsidRDefault="008A7F4A" w:rsidP="008A7F4A">
      <w:pPr>
        <w:widowControl w:val="0"/>
        <w:spacing w:after="0"/>
        <w:ind w:left="720"/>
        <w:contextualSpacing/>
        <w:jc w:val="both"/>
        <w:rPr>
          <w:rFonts w:ascii="Times New Roman" w:hAnsi="Times New Roman"/>
        </w:rPr>
      </w:pPr>
    </w:p>
    <w:p w14:paraId="4D3C2389" w14:textId="77777777" w:rsidR="008A7F4A" w:rsidRDefault="008A7F4A" w:rsidP="008A7F4A">
      <w:pPr>
        <w:widowControl w:val="0"/>
        <w:pBdr>
          <w:top w:val="single" w:sz="4" w:space="1" w:color="auto"/>
          <w:left w:val="single" w:sz="4" w:space="4" w:color="auto"/>
          <w:bottom w:val="single" w:sz="4" w:space="1" w:color="auto"/>
          <w:right w:val="single" w:sz="4" w:space="4" w:color="auto"/>
        </w:pBdr>
        <w:spacing w:line="240" w:lineRule="auto"/>
        <w:ind w:left="720"/>
        <w:contextualSpacing/>
        <w:jc w:val="both"/>
        <w:rPr>
          <w:rFonts w:ascii="Times New Roman" w:hAnsi="Times New Roman"/>
        </w:rPr>
      </w:pPr>
      <w:r>
        <w:rPr>
          <w:rFonts w:ascii="Times New Roman" w:hAnsi="Times New Roman"/>
          <w:b/>
        </w:rPr>
        <w:t>Guidance Note</w:t>
      </w:r>
      <w:r>
        <w:rPr>
          <w:rFonts w:ascii="Times New Roman" w:hAnsi="Times New Roman"/>
        </w:rPr>
        <w:t>: The statutory maximum valuation interest rate will not change when the form of payout is elected.</w:t>
      </w:r>
    </w:p>
    <w:p w14:paraId="172C10BE" w14:textId="77777777" w:rsidR="008A7F4A" w:rsidRDefault="008A7F4A" w:rsidP="008A7F4A">
      <w:r>
        <w:br w:type="page"/>
      </w:r>
    </w:p>
    <w:p w14:paraId="108B17ED" w14:textId="77777777" w:rsidR="008A7F4A" w:rsidRDefault="008A7F4A" w:rsidP="008A7F4A">
      <w:pPr>
        <w:tabs>
          <w:tab w:val="left" w:pos="3798"/>
        </w:tabs>
      </w:pPr>
    </w:p>
    <w:p w14:paraId="43219CD7" w14:textId="77777777" w:rsidR="008A7F4A" w:rsidRDefault="008A7F4A" w:rsidP="008A7F4A">
      <w:pPr>
        <w:tabs>
          <w:tab w:val="left" w:pos="3798"/>
        </w:tabs>
        <w:jc w:val="center"/>
        <w:rPr>
          <w:rFonts w:ascii="Times New Roman" w:hAnsi="Times New Roman"/>
          <w:b/>
        </w:rPr>
      </w:pPr>
    </w:p>
    <w:p w14:paraId="7B8AB15A" w14:textId="77777777" w:rsidR="008A7F4A" w:rsidRDefault="008A7F4A" w:rsidP="008A7F4A">
      <w:pPr>
        <w:tabs>
          <w:tab w:val="left" w:pos="3798"/>
        </w:tabs>
        <w:jc w:val="center"/>
        <w:rPr>
          <w:rFonts w:ascii="Times New Roman" w:hAnsi="Times New Roman"/>
          <w:b/>
        </w:rPr>
      </w:pPr>
    </w:p>
    <w:p w14:paraId="12C2D451" w14:textId="77777777" w:rsidR="008A7F4A" w:rsidRDefault="008A7F4A" w:rsidP="008A7F4A">
      <w:pPr>
        <w:tabs>
          <w:tab w:val="left" w:pos="3798"/>
        </w:tabs>
        <w:jc w:val="center"/>
        <w:rPr>
          <w:rFonts w:ascii="Times New Roman" w:hAnsi="Times New Roman"/>
          <w:b/>
        </w:rPr>
      </w:pPr>
    </w:p>
    <w:p w14:paraId="5757DC66" w14:textId="77777777" w:rsidR="008A7F4A" w:rsidRDefault="008A7F4A" w:rsidP="008A7F4A">
      <w:pPr>
        <w:tabs>
          <w:tab w:val="left" w:pos="3798"/>
        </w:tabs>
        <w:jc w:val="center"/>
        <w:rPr>
          <w:rFonts w:ascii="Times New Roman" w:hAnsi="Times New Roman"/>
          <w:b/>
        </w:rPr>
      </w:pPr>
    </w:p>
    <w:p w14:paraId="60AF1F00" w14:textId="77777777" w:rsidR="008A7F4A" w:rsidRDefault="008A7F4A" w:rsidP="008A7F4A">
      <w:pPr>
        <w:tabs>
          <w:tab w:val="left" w:pos="3798"/>
        </w:tabs>
        <w:jc w:val="center"/>
        <w:rPr>
          <w:rFonts w:ascii="Times New Roman" w:hAnsi="Times New Roman"/>
          <w:b/>
        </w:rPr>
      </w:pPr>
    </w:p>
    <w:p w14:paraId="39453D0F" w14:textId="77777777" w:rsidR="008A7F4A" w:rsidRDefault="008A7F4A" w:rsidP="008A7F4A">
      <w:pPr>
        <w:tabs>
          <w:tab w:val="left" w:pos="3798"/>
        </w:tabs>
        <w:jc w:val="center"/>
        <w:rPr>
          <w:rFonts w:ascii="Times New Roman" w:hAnsi="Times New Roman"/>
          <w:b/>
        </w:rPr>
      </w:pPr>
    </w:p>
    <w:p w14:paraId="30443E2B" w14:textId="77777777" w:rsidR="008A7F4A" w:rsidRDefault="008A7F4A" w:rsidP="008A7F4A">
      <w:pPr>
        <w:tabs>
          <w:tab w:val="left" w:pos="3798"/>
        </w:tabs>
        <w:jc w:val="center"/>
        <w:rPr>
          <w:rFonts w:ascii="Times New Roman" w:hAnsi="Times New Roman"/>
          <w:b/>
        </w:rPr>
      </w:pPr>
      <w:r>
        <w:rPr>
          <w:rFonts w:ascii="Times New Roman" w:hAnsi="Times New Roman"/>
          <w:b/>
        </w:rPr>
        <w:t>This page intentionally left blank</w:t>
      </w:r>
    </w:p>
    <w:p w14:paraId="4511C9AB" w14:textId="77777777" w:rsidR="008A7F4A" w:rsidRDefault="008A7F4A" w:rsidP="008A7F4A">
      <w:pPr>
        <w:spacing w:after="0"/>
        <w:rPr>
          <w:rFonts w:ascii="Times New Roman" w:hAnsi="Times New Roman"/>
          <w:b/>
        </w:rPr>
        <w:sectPr w:rsidR="008A7F4A">
          <w:footerReference w:type="default" r:id="rId77"/>
          <w:footerReference w:type="first" r:id="rId78"/>
          <w:pgSz w:w="12240" w:h="15840"/>
          <w:pgMar w:top="1080" w:right="1080" w:bottom="1080" w:left="1080" w:header="720" w:footer="720" w:gutter="720"/>
          <w:cols w:space="720"/>
        </w:sectPr>
      </w:pPr>
    </w:p>
    <w:p w14:paraId="56727AFD" w14:textId="77777777" w:rsidR="008A7F4A" w:rsidRDefault="008A7F4A" w:rsidP="008A7F4A">
      <w:pPr>
        <w:pStyle w:val="Heading1"/>
        <w:spacing w:before="0" w:line="240" w:lineRule="auto"/>
        <w:rPr>
          <w:sz w:val="24"/>
          <w:szCs w:val="24"/>
        </w:rPr>
      </w:pPr>
      <w:bookmarkStart w:id="127" w:name="_Toc77242183"/>
      <w:commentRangeStart w:id="128"/>
      <w:r>
        <w:rPr>
          <w:sz w:val="24"/>
          <w:szCs w:val="24"/>
        </w:rPr>
        <w:t>Valuation Manual Section II</w:t>
      </w:r>
      <w:commentRangeEnd w:id="128"/>
      <w:r w:rsidR="0037500E">
        <w:rPr>
          <w:rStyle w:val="CommentReference"/>
          <w:rFonts w:asciiTheme="minorHAnsi" w:eastAsiaTheme="minorHAnsi" w:hAnsiTheme="minorHAnsi" w:cstheme="minorBidi"/>
          <w:color w:val="auto"/>
        </w:rPr>
        <w:commentReference w:id="128"/>
      </w:r>
      <w:r>
        <w:rPr>
          <w:sz w:val="24"/>
          <w:szCs w:val="24"/>
        </w:rPr>
        <w:t>. Reserve Requirements</w:t>
      </w:r>
      <w:bookmarkEnd w:id="127"/>
    </w:p>
    <w:p w14:paraId="00E51BE6" w14:textId="77777777" w:rsidR="008A7F4A" w:rsidRDefault="008A7F4A" w:rsidP="008A7F4A">
      <w:pPr>
        <w:spacing w:after="0"/>
      </w:pPr>
    </w:p>
    <w:p w14:paraId="706BEDD1" w14:textId="77777777" w:rsidR="008A7F4A" w:rsidRDefault="008A7F4A" w:rsidP="008A7F4A">
      <w:pPr>
        <w:pStyle w:val="Heading1"/>
        <w:spacing w:before="0" w:line="240" w:lineRule="auto"/>
        <w:rPr>
          <w:sz w:val="24"/>
          <w:szCs w:val="24"/>
        </w:rPr>
      </w:pPr>
      <w:bookmarkStart w:id="129" w:name="_Toc77242184"/>
      <w:r>
        <w:rPr>
          <w:sz w:val="22"/>
          <w:szCs w:val="22"/>
        </w:rPr>
        <w:t>Subsection 2: Annuity Products</w:t>
      </w:r>
      <w:bookmarkEnd w:id="129"/>
    </w:p>
    <w:p w14:paraId="778F4BA8" w14:textId="77777777" w:rsidR="008A7F4A" w:rsidRDefault="008A7F4A" w:rsidP="008A7F4A">
      <w:pPr>
        <w:pStyle w:val="ListParagraph"/>
        <w:widowControl w:val="0"/>
        <w:spacing w:after="0" w:line="240" w:lineRule="auto"/>
        <w:jc w:val="both"/>
        <w:rPr>
          <w:rFonts w:ascii="Times New Roman" w:eastAsia="Times New Roman" w:hAnsi="Times New Roman"/>
        </w:rPr>
      </w:pPr>
    </w:p>
    <w:p w14:paraId="4F566497" w14:textId="77777777" w:rsidR="008A7F4A" w:rsidRDefault="008A7F4A" w:rsidP="00745C9A">
      <w:pPr>
        <w:pStyle w:val="ListParagraph"/>
        <w:widowControl w:val="0"/>
        <w:numPr>
          <w:ilvl w:val="0"/>
          <w:numId w:val="142"/>
        </w:numPr>
        <w:spacing w:after="220" w:line="240" w:lineRule="auto"/>
        <w:ind w:left="720" w:hanging="720"/>
        <w:jc w:val="both"/>
        <w:rPr>
          <w:rFonts w:ascii="Times New Roman" w:eastAsia="Times New Roman" w:hAnsi="Times New Roman"/>
        </w:rPr>
      </w:pPr>
      <w:r>
        <w:rPr>
          <w:rFonts w:ascii="Times New Roman" w:eastAsia="Times New Roman" w:hAnsi="Times New Roman"/>
        </w:rPr>
        <w:t>This subsection establishes reserve requirements for all contracts classified as annuity contracts as defined in SSAP No. 50 in the AP&amp;P Manual.</w:t>
      </w:r>
    </w:p>
    <w:p w14:paraId="405DD8BC" w14:textId="77777777" w:rsidR="008A7F4A" w:rsidRDefault="008A7F4A" w:rsidP="00745C9A">
      <w:pPr>
        <w:pStyle w:val="ListParagraph"/>
        <w:widowControl w:val="0"/>
        <w:numPr>
          <w:ilvl w:val="0"/>
          <w:numId w:val="142"/>
        </w:numPr>
        <w:spacing w:after="220" w:line="240" w:lineRule="auto"/>
        <w:ind w:left="720" w:hanging="720"/>
        <w:jc w:val="both"/>
        <w:rPr>
          <w:rFonts w:ascii="Times New Roman" w:eastAsia="Times New Roman" w:hAnsi="Times New Roman"/>
        </w:rPr>
      </w:pPr>
      <w:r>
        <w:rPr>
          <w:rFonts w:ascii="Times New Roman" w:eastAsia="Times New Roman" w:hAnsi="Times New Roman"/>
        </w:rPr>
        <w:t xml:space="preserve">Minimum reserve requirements for variable annuity (VA) contracts and similar business, specified in VM-21, Requirements for Principle-Based Reserves for Variable Annuities, shall be those provided by VM-21. The minimum reserve requirements of VM-21 are considered PBR requirements for purposes of the </w:t>
      </w:r>
      <w:r>
        <w:rPr>
          <w:rFonts w:ascii="Times New Roman" w:eastAsia="Times New Roman" w:hAnsi="Times New Roman"/>
          <w:i/>
        </w:rPr>
        <w:t>Valuation Manual</w:t>
      </w:r>
      <w:r>
        <w:rPr>
          <w:rFonts w:ascii="Times New Roman" w:eastAsia="Times New Roman" w:hAnsi="Times New Roman"/>
        </w:rPr>
        <w:t>.</w:t>
      </w:r>
    </w:p>
    <w:p w14:paraId="6B508301" w14:textId="77777777" w:rsidR="008A7F4A" w:rsidRDefault="008A7F4A" w:rsidP="00745C9A">
      <w:pPr>
        <w:pStyle w:val="ListParagraph"/>
        <w:widowControl w:val="0"/>
        <w:numPr>
          <w:ilvl w:val="0"/>
          <w:numId w:val="142"/>
        </w:numPr>
        <w:spacing w:line="240" w:lineRule="auto"/>
        <w:ind w:left="720" w:hanging="720"/>
        <w:jc w:val="both"/>
        <w:rPr>
          <w:rFonts w:ascii="Times New Roman" w:eastAsia="Times New Roman" w:hAnsi="Times New Roman"/>
        </w:rPr>
      </w:pPr>
      <w:r>
        <w:rPr>
          <w:rFonts w:ascii="Times New Roman" w:eastAsia="Times New Roman" w:hAnsi="Times New Roman"/>
        </w:rPr>
        <w:t xml:space="preserve">Minimum reserve requirements for fixed annuity contracts issued prior to 1/1/2024 are those requirements as found in VM-A and VM-C as applicable, </w:t>
      </w:r>
      <w:proofErr w:type="gramStart"/>
      <w:r>
        <w:rPr>
          <w:rFonts w:ascii="Times New Roman" w:eastAsia="Times New Roman" w:hAnsi="Times New Roman"/>
        </w:rPr>
        <w:t>with the exception of</w:t>
      </w:r>
      <w:proofErr w:type="gramEnd"/>
      <w:r>
        <w:rPr>
          <w:rFonts w:ascii="Times New Roman" w:eastAsia="Times New Roman" w:hAnsi="Times New Roman"/>
        </w:rPr>
        <w:t xml:space="preserve"> the minimum requirements for the valuation interest rate for single premium immediate annuity contracts, and other similar contracts, issued after Dec. 31, 2017, including those fixed payout annuities emanating from host contracts issued on or after Jan. 1, 2017, and on or before Dec. 31, 2017. The maximum valuation interest rate requirements for those contracts and fixed payout annuities are defined in Section 13 of VM-22, Statutory Maximum Valuation Interest Rates for Income Annuity Formulaic Reserves. </w:t>
      </w:r>
    </w:p>
    <w:p w14:paraId="0ABEADFC" w14:textId="77777777" w:rsidR="008A7F4A" w:rsidRDefault="008A7F4A" w:rsidP="008A7F4A">
      <w:pPr>
        <w:pStyle w:val="ListParagraph"/>
        <w:widowControl w:val="0"/>
        <w:spacing w:line="240" w:lineRule="auto"/>
        <w:jc w:val="both"/>
        <w:rPr>
          <w:rFonts w:ascii="Times New Roman" w:eastAsia="Times New Roman" w:hAnsi="Times New Roman"/>
        </w:rPr>
      </w:pPr>
    </w:p>
    <w:p w14:paraId="50255052" w14:textId="77777777" w:rsidR="008A7F4A" w:rsidRDefault="008A7F4A" w:rsidP="00745C9A">
      <w:pPr>
        <w:pStyle w:val="ListParagraph"/>
        <w:widowControl w:val="0"/>
        <w:numPr>
          <w:ilvl w:val="0"/>
          <w:numId w:val="142"/>
        </w:numPr>
        <w:spacing w:line="240" w:lineRule="auto"/>
        <w:ind w:left="720" w:hanging="720"/>
        <w:jc w:val="both"/>
        <w:rPr>
          <w:rFonts w:ascii="Times New Roman" w:eastAsia="Times New Roman" w:hAnsi="Times New Roman"/>
        </w:rPr>
      </w:pPr>
      <w:r>
        <w:rPr>
          <w:rFonts w:ascii="Times New Roman" w:eastAsia="Times New Roman" w:hAnsi="Times New Roman"/>
        </w:rPr>
        <w:t>Minimum reserve requirements for fixed annuity contracts issued on 1/1/2024 and later are those requirements as found in Sections 1 through 12 of VM-22.</w:t>
      </w:r>
    </w:p>
    <w:p w14:paraId="42874756" w14:textId="77777777" w:rsidR="008A7F4A" w:rsidRDefault="008A7F4A" w:rsidP="008A7F4A">
      <w:pPr>
        <w:pStyle w:val="ListParagraph"/>
        <w:rPr>
          <w:rFonts w:ascii="Times New Roman" w:eastAsia="Times New Roman" w:hAnsi="Times New Roman"/>
        </w:rPr>
      </w:pPr>
    </w:p>
    <w:p w14:paraId="5AC87725" w14:textId="77777777" w:rsidR="008A7F4A" w:rsidRDefault="008A7F4A" w:rsidP="00745C9A">
      <w:pPr>
        <w:pStyle w:val="ListParagraph"/>
        <w:widowControl w:val="0"/>
        <w:numPr>
          <w:ilvl w:val="0"/>
          <w:numId w:val="142"/>
        </w:numPr>
        <w:spacing w:line="240" w:lineRule="auto"/>
        <w:ind w:left="720" w:hanging="720"/>
        <w:jc w:val="both"/>
        <w:rPr>
          <w:rFonts w:ascii="Times New Roman" w:eastAsia="Times New Roman" w:hAnsi="Times New Roman"/>
        </w:rPr>
      </w:pPr>
      <w:r>
        <w:rPr>
          <w:rFonts w:ascii="Times New Roman" w:eastAsia="Times New Roman" w:hAnsi="Times New Roman"/>
        </w:rPr>
        <w:t>The below principles may serve as key considerations for assessing whether VM-21 or VM-22 requirements apply:</w:t>
      </w:r>
    </w:p>
    <w:p w14:paraId="578FBC87" w14:textId="77777777" w:rsidR="008A7F4A" w:rsidRDefault="008A7F4A" w:rsidP="008A7F4A">
      <w:pPr>
        <w:pStyle w:val="ListParagraph"/>
        <w:rPr>
          <w:rFonts w:ascii="Times New Roman" w:eastAsia="Times New Roman" w:hAnsi="Times New Roman"/>
        </w:rPr>
      </w:pPr>
    </w:p>
    <w:p w14:paraId="40406B13" w14:textId="77777777" w:rsidR="008A7F4A" w:rsidRDefault="008A7F4A" w:rsidP="00745C9A">
      <w:pPr>
        <w:pStyle w:val="ListParagraph"/>
        <w:widowControl w:val="0"/>
        <w:numPr>
          <w:ilvl w:val="1"/>
          <w:numId w:val="142"/>
        </w:numPr>
        <w:spacing w:line="240" w:lineRule="auto"/>
        <w:ind w:left="1080"/>
        <w:jc w:val="both"/>
        <w:rPr>
          <w:rFonts w:ascii="Times New Roman" w:eastAsia="Times New Roman" w:hAnsi="Times New Roman"/>
        </w:rPr>
      </w:pPr>
      <w:r>
        <w:rPr>
          <w:rFonts w:ascii="Times New Roman" w:eastAsia="Times New Roman" w:hAnsi="Times New Roman"/>
        </w:rPr>
        <w:t>Index-linked or modified guaranteed annuity contracts or riders that satisfy both of the following conditions may be a key consideration for application of VM-22 requirements:</w:t>
      </w:r>
    </w:p>
    <w:p w14:paraId="02587E30" w14:textId="77777777" w:rsidR="008A7F4A" w:rsidRDefault="008A7F4A" w:rsidP="008A7F4A">
      <w:pPr>
        <w:pStyle w:val="ListParagraph"/>
        <w:widowControl w:val="0"/>
        <w:spacing w:line="240" w:lineRule="auto"/>
        <w:ind w:left="1080"/>
        <w:jc w:val="both"/>
        <w:rPr>
          <w:rFonts w:ascii="Times New Roman" w:eastAsia="Times New Roman" w:hAnsi="Times New Roman"/>
        </w:rPr>
      </w:pPr>
    </w:p>
    <w:p w14:paraId="17EDB974" w14:textId="77777777" w:rsidR="008A7F4A" w:rsidRDefault="008A7F4A" w:rsidP="00745C9A">
      <w:pPr>
        <w:pStyle w:val="ListParagraph"/>
        <w:widowControl w:val="0"/>
        <w:numPr>
          <w:ilvl w:val="2"/>
          <w:numId w:val="142"/>
        </w:numPr>
        <w:spacing w:line="240" w:lineRule="auto"/>
        <w:ind w:left="1800" w:hanging="360"/>
        <w:rPr>
          <w:rFonts w:ascii="Times New Roman" w:eastAsia="Times New Roman" w:hAnsi="Times New Roman"/>
        </w:rPr>
      </w:pPr>
      <w:r>
        <w:rPr>
          <w:rFonts w:ascii="Times New Roman" w:eastAsia="Times New Roman" w:hAnsi="Times New Roman"/>
        </w:rPr>
        <w:t>Guarantees the principal amount of purchase payments, net of any partial withdrawals, and interest credited thereto, less any deduction (without regard to its timing) for sales, administrative or other expenses or charges.</w:t>
      </w:r>
    </w:p>
    <w:p w14:paraId="15F04B98" w14:textId="77777777" w:rsidR="008A7F4A" w:rsidRDefault="008A7F4A" w:rsidP="008A7F4A">
      <w:pPr>
        <w:pStyle w:val="ListParagraph"/>
        <w:widowControl w:val="0"/>
        <w:spacing w:after="0" w:line="240" w:lineRule="auto"/>
        <w:ind w:left="1800"/>
        <w:rPr>
          <w:rFonts w:ascii="Times New Roman" w:eastAsia="Times New Roman" w:hAnsi="Times New Roman"/>
        </w:rPr>
      </w:pPr>
    </w:p>
    <w:p w14:paraId="3E90D664" w14:textId="77777777" w:rsidR="008A7F4A" w:rsidRDefault="008A7F4A" w:rsidP="008A7F4A">
      <w:pPr>
        <w:widowControl w:val="0"/>
        <w:spacing w:after="0" w:line="240" w:lineRule="auto"/>
        <w:ind w:left="1800" w:hanging="360"/>
        <w:rPr>
          <w:rFonts w:ascii="Times New Roman" w:eastAsia="Times New Roman" w:hAnsi="Times New Roman"/>
        </w:rPr>
      </w:pPr>
      <w:r>
        <w:rPr>
          <w:rFonts w:ascii="Times New Roman" w:eastAsia="Times New Roman" w:hAnsi="Times New Roman"/>
        </w:rPr>
        <w:t xml:space="preserve">b. </w:t>
      </w:r>
      <w:r>
        <w:rPr>
          <w:rFonts w:ascii="Times New Roman" w:eastAsia="Times New Roman" w:hAnsi="Times New Roman"/>
        </w:rPr>
        <w:tab/>
        <w:t>Credits a rate of interest under the contract that is at least equal to the minimum rate required to be credited by the standard nonforfeiture law in the jurisdiction in which the contract is issued.</w:t>
      </w:r>
    </w:p>
    <w:p w14:paraId="557DA1CE" w14:textId="77777777" w:rsidR="008A7F4A" w:rsidRDefault="008A7F4A" w:rsidP="008A7F4A">
      <w:pPr>
        <w:pStyle w:val="ListParagraph"/>
        <w:spacing w:after="0"/>
        <w:rPr>
          <w:rFonts w:ascii="Times New Roman" w:eastAsia="Times New Roman" w:hAnsi="Times New Roman"/>
        </w:rPr>
      </w:pPr>
    </w:p>
    <w:p w14:paraId="4FB52FC1" w14:textId="77777777" w:rsidR="008A7F4A" w:rsidRDefault="008A7F4A" w:rsidP="008A7F4A">
      <w:pPr>
        <w:widowControl w:val="0"/>
        <w:pBdr>
          <w:top w:val="single" w:sz="4" w:space="1" w:color="auto"/>
          <w:left w:val="single" w:sz="4" w:space="4" w:color="auto"/>
          <w:bottom w:val="single" w:sz="4" w:space="1" w:color="auto"/>
          <w:right w:val="single" w:sz="4" w:space="4" w:color="auto"/>
        </w:pBdr>
        <w:spacing w:after="0" w:line="240" w:lineRule="auto"/>
        <w:ind w:left="720"/>
        <w:rPr>
          <w:rFonts w:ascii="Times New Roman" w:eastAsia="Times New Roman" w:hAnsi="Times New Roman"/>
        </w:rPr>
      </w:pPr>
      <w:r>
        <w:rPr>
          <w:rFonts w:ascii="Times New Roman" w:eastAsia="Times New Roman" w:hAnsi="Times New Roman"/>
          <w:b/>
          <w:bCs/>
        </w:rPr>
        <w:t xml:space="preserve">Guidance Note: </w:t>
      </w:r>
      <w:r>
        <w:rPr>
          <w:rFonts w:ascii="Times New Roman" w:eastAsia="Times New Roman" w:hAnsi="Times New Roman"/>
        </w:rPr>
        <w:t xml:space="preserve">Paragraph E.1.b is intended to apply prior to the application of any market value adjustments for modified guaranteed annuities where the underlying assets are held in a separate account. If meeting Paragraph E.1.b prior to the application of any market value adjustments and Paragraph E.1.a above, it may be appropriate to value such contracts under VM-22 requirements. </w:t>
      </w:r>
    </w:p>
    <w:p w14:paraId="74F5E9BC" w14:textId="77777777" w:rsidR="008A7F4A" w:rsidRDefault="008A7F4A" w:rsidP="008A7F4A">
      <w:pPr>
        <w:pStyle w:val="ListParagraph"/>
        <w:widowControl w:val="0"/>
        <w:spacing w:after="0" w:line="240" w:lineRule="auto"/>
        <w:ind w:left="1080"/>
        <w:jc w:val="both"/>
        <w:rPr>
          <w:rFonts w:ascii="Times New Roman" w:eastAsia="Times New Roman" w:hAnsi="Times New Roman"/>
        </w:rPr>
      </w:pPr>
    </w:p>
    <w:p w14:paraId="1914BD59" w14:textId="77777777" w:rsidR="008A7F4A" w:rsidRDefault="008A7F4A" w:rsidP="008A7F4A">
      <w:pPr>
        <w:widowControl w:val="0"/>
        <w:spacing w:line="240" w:lineRule="auto"/>
        <w:ind w:left="1080" w:hanging="360"/>
        <w:jc w:val="both"/>
        <w:rPr>
          <w:rFonts w:ascii="Times New Roman" w:eastAsia="Times New Roman" w:hAnsi="Times New Roman"/>
        </w:rPr>
      </w:pPr>
      <w:r>
        <w:rPr>
          <w:rFonts w:ascii="Times New Roman" w:eastAsia="Times New Roman" w:hAnsi="Times New Roman"/>
        </w:rPr>
        <w:t xml:space="preserve">2. </w:t>
      </w:r>
      <w:r>
        <w:rPr>
          <w:rFonts w:ascii="Times New Roman" w:eastAsia="Times New Roman" w:hAnsi="Times New Roman"/>
        </w:rPr>
        <w:tab/>
        <w:t>Index-linked or modified guaranteed annuity contracts that do not satisfy either of the two conditions listed above in Paragraph E.1.i and E.1.ii may be a key consideration for application of VM-21 requirements.</w:t>
      </w:r>
    </w:p>
    <w:p w14:paraId="4BB0B01C" w14:textId="77777777" w:rsidR="008A7F4A" w:rsidRDefault="008A7F4A" w:rsidP="008A7F4A"/>
    <w:p w14:paraId="54610587" w14:textId="77777777" w:rsidR="008A7F4A" w:rsidRDefault="008A7F4A" w:rsidP="008A7F4A">
      <w:pPr>
        <w:rPr>
          <w:rFonts w:asciiTheme="majorHAnsi" w:eastAsiaTheme="majorEastAsia" w:hAnsiTheme="majorHAnsi" w:cstheme="majorBidi"/>
          <w:color w:val="365F91" w:themeColor="accent1" w:themeShade="BF"/>
        </w:rPr>
      </w:pPr>
      <w:r>
        <w:br w:type="page"/>
      </w:r>
    </w:p>
    <w:p w14:paraId="291DE057" w14:textId="77777777" w:rsidR="008A7F4A" w:rsidRDefault="008A7F4A" w:rsidP="008A7F4A">
      <w:pPr>
        <w:pStyle w:val="Heading1"/>
        <w:spacing w:before="0" w:line="240" w:lineRule="auto"/>
        <w:rPr>
          <w:sz w:val="24"/>
          <w:szCs w:val="24"/>
        </w:rPr>
      </w:pPr>
      <w:bookmarkStart w:id="130" w:name="_Toc77242185"/>
      <w:r>
        <w:rPr>
          <w:sz w:val="22"/>
          <w:szCs w:val="22"/>
        </w:rPr>
        <w:t>Subsection 6: Riders and Supplemental Benefits</w:t>
      </w:r>
      <w:bookmarkEnd w:id="130"/>
    </w:p>
    <w:p w14:paraId="7A342A57" w14:textId="77777777" w:rsidR="008A7F4A" w:rsidRDefault="008A7F4A" w:rsidP="008A7F4A">
      <w:pPr>
        <w:spacing w:after="0" w:line="240" w:lineRule="auto"/>
        <w:rPr>
          <w:rFonts w:ascii="Times New Roman" w:hAnsi="Times New Roman" w:cs="Times New Roman"/>
        </w:rPr>
      </w:pPr>
    </w:p>
    <w:p w14:paraId="3E494969" w14:textId="77777777" w:rsidR="008A7F4A" w:rsidRDefault="008A7F4A" w:rsidP="008A7F4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Pr>
          <w:rFonts w:ascii="Times New Roman" w:hAnsi="Times New Roman" w:cs="Times New Roman"/>
          <w:b/>
          <w:bCs/>
        </w:rPr>
        <w:t>Guidance Note:</w:t>
      </w:r>
      <w:r>
        <w:rPr>
          <w:rFonts w:ascii="Times New Roman" w:hAnsi="Times New Roman" w:cs="Times New Roman"/>
        </w:rPr>
        <w:t xml:space="preserve"> Policies or contracts with riders and supplemental benefits which are created to simply disguise benefits subject to the Valuation Manual section describing the reserve methodology for the base product to which they are attached, or exploit a perceived loophole, must be reserved in a manner </w:t>
      </w:r>
      <w:proofErr w:type="gramStart"/>
      <w:r>
        <w:rPr>
          <w:rFonts w:ascii="Times New Roman" w:hAnsi="Times New Roman" w:cs="Times New Roman"/>
        </w:rPr>
        <w:t>similar to</w:t>
      </w:r>
      <w:proofErr w:type="gramEnd"/>
      <w:r>
        <w:rPr>
          <w:rFonts w:ascii="Times New Roman" w:hAnsi="Times New Roman" w:cs="Times New Roman"/>
        </w:rPr>
        <w:t xml:space="preserve"> more typical designs with similar riders.</w:t>
      </w:r>
    </w:p>
    <w:p w14:paraId="1C921A16" w14:textId="77777777" w:rsidR="008A7F4A" w:rsidRDefault="008A7F4A" w:rsidP="008A7F4A">
      <w:pPr>
        <w:spacing w:after="0" w:line="240" w:lineRule="auto"/>
        <w:rPr>
          <w:rFonts w:ascii="Times New Roman" w:hAnsi="Times New Roman" w:cs="Times New Roman"/>
        </w:rPr>
      </w:pPr>
    </w:p>
    <w:p w14:paraId="2BFF88C6" w14:textId="77777777" w:rsidR="008A7F4A" w:rsidRDefault="008A7F4A" w:rsidP="00745C9A">
      <w:pPr>
        <w:pStyle w:val="ListParagraph"/>
        <w:numPr>
          <w:ilvl w:val="0"/>
          <w:numId w:val="143"/>
        </w:numPr>
        <w:spacing w:after="0" w:line="240" w:lineRule="auto"/>
        <w:rPr>
          <w:rFonts w:ascii="Times New Roman" w:hAnsi="Times New Roman" w:cs="Times New Roman"/>
        </w:rPr>
      </w:pPr>
      <w:r>
        <w:rPr>
          <w:rFonts w:ascii="Times New Roman" w:hAnsi="Times New Roman" w:cs="Times New Roman"/>
        </w:rPr>
        <w:t>If a rider or supplemental benefit is attached to a health insurance product, deposit-type contract, or credit life or disability product, it may be valued with the base contract unless it is required to be separated by regulation or other requirements.</w:t>
      </w:r>
    </w:p>
    <w:p w14:paraId="052ED20D" w14:textId="77777777" w:rsidR="008A7F4A" w:rsidRDefault="008A7F4A" w:rsidP="008A7F4A">
      <w:pPr>
        <w:spacing w:after="0" w:line="240" w:lineRule="auto"/>
        <w:rPr>
          <w:rFonts w:ascii="Times New Roman" w:hAnsi="Times New Roman" w:cs="Times New Roman"/>
        </w:rPr>
      </w:pPr>
    </w:p>
    <w:p w14:paraId="703CE016" w14:textId="77777777" w:rsidR="008A7F4A" w:rsidRDefault="008A7F4A" w:rsidP="00745C9A">
      <w:pPr>
        <w:pStyle w:val="ListParagraph"/>
        <w:numPr>
          <w:ilvl w:val="0"/>
          <w:numId w:val="143"/>
        </w:numPr>
        <w:spacing w:after="0" w:line="240" w:lineRule="auto"/>
        <w:rPr>
          <w:rFonts w:ascii="Times New Roman" w:hAnsi="Times New Roman" w:cs="Times New Roman"/>
        </w:rPr>
      </w:pPr>
      <w:r>
        <w:rPr>
          <w:rFonts w:ascii="Times New Roman" w:hAnsi="Times New Roman" w:cs="Times New Roman"/>
        </w:rPr>
        <w:t>For supplemental benefits on life insurance policies or annuity contracts, including Guaranteed Insurability, Accidental Death or Disability Benefits, Convertibility, Nursing Home Benefits or Disability Waiver of Premium Benefits, the supplemental benefit may be valued with the base policy or contract and follow the reserve requirements for the base policy or contract under VM-20, VM-21, VM-22, VM-A, and/or VM-C, as applicable.</w:t>
      </w:r>
    </w:p>
    <w:p w14:paraId="6A6DA201" w14:textId="77777777" w:rsidR="008A7F4A" w:rsidRDefault="008A7F4A" w:rsidP="008A7F4A">
      <w:pPr>
        <w:pStyle w:val="ListParagraph"/>
        <w:rPr>
          <w:rFonts w:ascii="Times New Roman" w:hAnsi="Times New Roman" w:cs="Times New Roman"/>
        </w:rPr>
      </w:pPr>
    </w:p>
    <w:p w14:paraId="0AECDD81" w14:textId="77777777" w:rsidR="008A7F4A" w:rsidRDefault="008A7F4A" w:rsidP="00745C9A">
      <w:pPr>
        <w:pStyle w:val="ListParagraph"/>
        <w:numPr>
          <w:ilvl w:val="0"/>
          <w:numId w:val="143"/>
        </w:numPr>
        <w:spacing w:after="0" w:line="240" w:lineRule="auto"/>
        <w:rPr>
          <w:rFonts w:ascii="Times New Roman" w:hAnsi="Times New Roman" w:cs="Times New Roman"/>
        </w:rPr>
      </w:pPr>
      <w:r>
        <w:rPr>
          <w:rFonts w:ascii="Times New Roman" w:hAnsi="Times New Roman" w:cs="Times New Roman"/>
        </w:rPr>
        <w:t>ULSG and other secondary guarantee riders on a life insurance policy shall be valued with the base policy and follow the reserve requirements for ULSG policies under VM-20, VM-A and/or VM-C, as applicable.</w:t>
      </w:r>
    </w:p>
    <w:p w14:paraId="3BFA48DF" w14:textId="77777777" w:rsidR="008A7F4A" w:rsidRDefault="008A7F4A" w:rsidP="008A7F4A">
      <w:pPr>
        <w:pStyle w:val="ListParagraph"/>
        <w:rPr>
          <w:rFonts w:ascii="Times New Roman" w:hAnsi="Times New Roman" w:cs="Times New Roman"/>
        </w:rPr>
      </w:pPr>
    </w:p>
    <w:p w14:paraId="0BCA76E5" w14:textId="77777777" w:rsidR="008A7F4A" w:rsidRDefault="008A7F4A" w:rsidP="00745C9A">
      <w:pPr>
        <w:pStyle w:val="ListParagraph"/>
        <w:numPr>
          <w:ilvl w:val="0"/>
          <w:numId w:val="143"/>
        </w:numPr>
        <w:spacing w:after="0" w:line="240" w:lineRule="auto"/>
        <w:rPr>
          <w:rFonts w:ascii="Times New Roman" w:hAnsi="Times New Roman" w:cs="Times New Roman"/>
        </w:rPr>
      </w:pPr>
      <w:r>
        <w:rPr>
          <w:rFonts w:ascii="Times New Roman" w:hAnsi="Times New Roman" w:cs="Times New Roman"/>
        </w:rPr>
        <w:t>Any guaranteed minimum benefits on life insurance policies or annuity contracts not subject to Paragraph C above including, but not limited to, Guaranteed Minimum Accumulation Benefits, Guaranteed Minimum Death Benefits, Guaranteed Minimum Income Benefits, Guaranteed Minimum Withdrawal Benefits, Guaranteed Lifetime Income Benefits, Guaranteed Lifetime Withdrawal Benefits, Guaranteed Payout Annuity Floors, Waiver of Surrender Charges, Return of Premium, Systematic Withdrawal Benefits under Required Minimum Distributions, and all similar guaranteed benefits  shall be valued with the base policy or contract and follow the reserve requirements for the base policy or contract under VM-20, VM-21, VM-22, and VM-A and/or VM-C, as applicable.</w:t>
      </w:r>
    </w:p>
    <w:p w14:paraId="713FE789" w14:textId="77777777" w:rsidR="008A7F4A" w:rsidRDefault="008A7F4A" w:rsidP="008A7F4A">
      <w:pPr>
        <w:pStyle w:val="ListParagraph"/>
        <w:rPr>
          <w:rFonts w:ascii="Times New Roman" w:hAnsi="Times New Roman" w:cs="Times New Roman"/>
        </w:rPr>
      </w:pPr>
    </w:p>
    <w:p w14:paraId="3BA26363" w14:textId="77777777" w:rsidR="008A7F4A" w:rsidRDefault="008A7F4A" w:rsidP="00745C9A">
      <w:pPr>
        <w:pStyle w:val="ListParagraph"/>
        <w:numPr>
          <w:ilvl w:val="0"/>
          <w:numId w:val="143"/>
        </w:numPr>
        <w:spacing w:after="0" w:line="240" w:lineRule="auto"/>
        <w:rPr>
          <w:rFonts w:ascii="Times New Roman" w:hAnsi="Times New Roman" w:cs="Times New Roman"/>
        </w:rPr>
      </w:pPr>
      <w:r>
        <w:rPr>
          <w:rFonts w:ascii="Times New Roman" w:hAnsi="Times New Roman" w:cs="Times New Roman"/>
        </w:rPr>
        <w:t>If a rider or supplemental benefit to a life insurance policy or annuity contract that is not addressed in Paragraphs B, C, or D above possesses any of the following attributes, the rider or supplemental benefit shall be valued with the base policy or contract and follow the reserve requirements for the base policy or contract under VM-20, VM-21, VM-22, and VM-A and/or VM-C, as applicable.</w:t>
      </w:r>
    </w:p>
    <w:p w14:paraId="5FCBA71A" w14:textId="77777777" w:rsidR="008A7F4A" w:rsidRDefault="008A7F4A" w:rsidP="008A7F4A">
      <w:pPr>
        <w:pStyle w:val="ListParagraph"/>
        <w:rPr>
          <w:rFonts w:ascii="Times New Roman" w:hAnsi="Times New Roman" w:cs="Times New Roman"/>
        </w:rPr>
      </w:pPr>
    </w:p>
    <w:p w14:paraId="22D67DFE" w14:textId="77777777" w:rsidR="008A7F4A" w:rsidRDefault="008A7F4A" w:rsidP="00745C9A">
      <w:pPr>
        <w:pStyle w:val="ListParagraph"/>
        <w:numPr>
          <w:ilvl w:val="1"/>
          <w:numId w:val="143"/>
        </w:numPr>
        <w:spacing w:after="0" w:line="240" w:lineRule="auto"/>
        <w:rPr>
          <w:rFonts w:ascii="Times New Roman" w:hAnsi="Times New Roman" w:cs="Times New Roman"/>
        </w:rPr>
      </w:pPr>
      <w:r>
        <w:rPr>
          <w:rFonts w:ascii="Times New Roman" w:hAnsi="Times New Roman" w:cs="Times New Roman"/>
        </w:rPr>
        <w:t>The rider or supplemental benefit does not have a separately identified premium or charge.</w:t>
      </w:r>
    </w:p>
    <w:p w14:paraId="19AC422E" w14:textId="77777777" w:rsidR="008A7F4A" w:rsidRDefault="008A7F4A" w:rsidP="008A7F4A">
      <w:pPr>
        <w:spacing w:after="0" w:line="240" w:lineRule="auto"/>
        <w:ind w:left="720"/>
        <w:rPr>
          <w:rFonts w:ascii="Times New Roman" w:hAnsi="Times New Roman" w:cs="Times New Roman"/>
        </w:rPr>
      </w:pPr>
    </w:p>
    <w:p w14:paraId="0073AE70" w14:textId="77777777" w:rsidR="008A7F4A" w:rsidRDefault="008A7F4A" w:rsidP="00745C9A">
      <w:pPr>
        <w:pStyle w:val="ListParagraph"/>
        <w:numPr>
          <w:ilvl w:val="1"/>
          <w:numId w:val="143"/>
        </w:numPr>
        <w:spacing w:after="0" w:line="240" w:lineRule="auto"/>
        <w:rPr>
          <w:rFonts w:ascii="Times New Roman" w:hAnsi="Times New Roman" w:cs="Times New Roman"/>
        </w:rPr>
      </w:pPr>
      <w:r>
        <w:rPr>
          <w:rFonts w:ascii="Times New Roman" w:hAnsi="Times New Roman" w:cs="Times New Roman"/>
        </w:rPr>
        <w:t xml:space="preserve">After issuance, the rider or supplemental benefit premium, charge, </w:t>
      </w:r>
      <w:proofErr w:type="gramStart"/>
      <w:r>
        <w:rPr>
          <w:rFonts w:ascii="Times New Roman" w:hAnsi="Times New Roman" w:cs="Times New Roman"/>
        </w:rPr>
        <w:t>value</w:t>
      </w:r>
      <w:proofErr w:type="gramEnd"/>
      <w:r>
        <w:rPr>
          <w:rFonts w:ascii="Times New Roman" w:hAnsi="Times New Roman" w:cs="Times New Roman"/>
        </w:rPr>
        <w:t xml:space="preserve"> or benefits are determined by referencing the base policy or contract features or performance.</w:t>
      </w:r>
    </w:p>
    <w:p w14:paraId="70F7BC5A" w14:textId="77777777" w:rsidR="008A7F4A" w:rsidRDefault="008A7F4A" w:rsidP="008A7F4A">
      <w:pPr>
        <w:spacing w:after="0" w:line="240" w:lineRule="auto"/>
        <w:ind w:left="720"/>
        <w:rPr>
          <w:rFonts w:ascii="Times New Roman" w:hAnsi="Times New Roman" w:cs="Times New Roman"/>
        </w:rPr>
      </w:pPr>
    </w:p>
    <w:p w14:paraId="6B01B557" w14:textId="77777777" w:rsidR="008A7F4A" w:rsidRDefault="008A7F4A" w:rsidP="00745C9A">
      <w:pPr>
        <w:pStyle w:val="ListParagraph"/>
        <w:numPr>
          <w:ilvl w:val="1"/>
          <w:numId w:val="143"/>
        </w:numPr>
        <w:spacing w:after="0" w:line="240" w:lineRule="auto"/>
        <w:rPr>
          <w:rFonts w:ascii="Times New Roman" w:hAnsi="Times New Roman" w:cs="Times New Roman"/>
        </w:rPr>
      </w:pPr>
      <w:r>
        <w:rPr>
          <w:rFonts w:ascii="Times New Roman" w:hAnsi="Times New Roman" w:cs="Times New Roman"/>
        </w:rPr>
        <w:t>After issuance, the base policy or contract value or benefits are determined by referencing the rider or supplemental benefit features or performance.  The deduction of rider or benefit premium or charge from the contract value is not sufficient for a determination by reference.</w:t>
      </w:r>
    </w:p>
    <w:p w14:paraId="3B96BE85" w14:textId="77777777" w:rsidR="008A7F4A" w:rsidRDefault="008A7F4A" w:rsidP="008A7F4A">
      <w:pPr>
        <w:spacing w:after="0" w:line="240" w:lineRule="auto"/>
        <w:rPr>
          <w:rFonts w:ascii="Times New Roman" w:hAnsi="Times New Roman" w:cs="Times New Roman"/>
        </w:rPr>
      </w:pPr>
    </w:p>
    <w:p w14:paraId="2117CE28" w14:textId="77777777" w:rsidR="008A7F4A" w:rsidRDefault="008A7F4A" w:rsidP="00745C9A">
      <w:pPr>
        <w:pStyle w:val="ListParagraph"/>
        <w:numPr>
          <w:ilvl w:val="0"/>
          <w:numId w:val="143"/>
        </w:numPr>
        <w:spacing w:after="0" w:line="240" w:lineRule="auto"/>
        <w:rPr>
          <w:rFonts w:ascii="Times New Roman" w:hAnsi="Times New Roman" w:cs="Times New Roman"/>
        </w:rPr>
      </w:pPr>
      <w:r>
        <w:rPr>
          <w:rFonts w:ascii="Times New Roman" w:hAnsi="Times New Roman" w:cs="Times New Roman"/>
        </w:rPr>
        <w:t>If a term life insurance rider on the named insured[s] on the base life insurance policy does not meet the conditions of Paragraph E above, and either (1) guarantees level or near level premiums until a specified duration followed by a material premium increase; or (2) for a rider for which level or near level premiums are expected for a period followed by a material premium increase, the rider is separated from the bae policy and follows the reserve requirements for term policies under VM20, VM-A and/or VM-C, as applicable.</w:t>
      </w:r>
    </w:p>
    <w:p w14:paraId="294CA634" w14:textId="77777777" w:rsidR="008A7F4A" w:rsidRDefault="008A7F4A" w:rsidP="008A7F4A">
      <w:pPr>
        <w:spacing w:after="0" w:line="240" w:lineRule="auto"/>
        <w:rPr>
          <w:rFonts w:ascii="Times New Roman" w:hAnsi="Times New Roman" w:cs="Times New Roman"/>
        </w:rPr>
      </w:pPr>
    </w:p>
    <w:p w14:paraId="7C90F247" w14:textId="77777777" w:rsidR="008A7F4A" w:rsidRDefault="008A7F4A" w:rsidP="00745C9A">
      <w:pPr>
        <w:pStyle w:val="ListParagraph"/>
        <w:numPr>
          <w:ilvl w:val="0"/>
          <w:numId w:val="143"/>
        </w:numPr>
        <w:spacing w:after="0" w:line="240" w:lineRule="auto"/>
        <w:rPr>
          <w:rFonts w:ascii="Times New Roman" w:hAnsi="Times New Roman" w:cs="Times New Roman"/>
        </w:rPr>
      </w:pPr>
      <w:r>
        <w:rPr>
          <w:rFonts w:ascii="Times New Roman" w:hAnsi="Times New Roman" w:cs="Times New Roman"/>
        </w:rPr>
        <w:t>For all other riders or supplemental benefits on life insurance policies or annuity contracts not addressed in Paragraphs B through F above, the riders or supplemental benefits may be valued with the base policy or contract and follow the reserve requirements for the base policy or contract under VM-20, VM-21, VM-22, VM-A and/or VM-C, as applicable.  For a given rider, the election to include riders or supplemental benefits with the base policy or contract shall be determined at the policy form level, not on a policy-by-policy basis, and shall be treated consistently from year-to-year, unless otherwise approved by the domiciliary commissioner.</w:t>
      </w:r>
    </w:p>
    <w:p w14:paraId="5FAB8261" w14:textId="77777777" w:rsidR="008A7F4A" w:rsidRDefault="008A7F4A" w:rsidP="008A7F4A">
      <w:pPr>
        <w:spacing w:after="0" w:line="240" w:lineRule="auto"/>
        <w:rPr>
          <w:rFonts w:ascii="Times New Roman" w:hAnsi="Times New Roman" w:cs="Times New Roman"/>
        </w:rPr>
      </w:pPr>
    </w:p>
    <w:p w14:paraId="51B5B55A" w14:textId="77777777" w:rsidR="008A7F4A" w:rsidRDefault="008A7F4A" w:rsidP="00745C9A">
      <w:pPr>
        <w:pStyle w:val="ListParagraph"/>
        <w:numPr>
          <w:ilvl w:val="0"/>
          <w:numId w:val="143"/>
        </w:numPr>
        <w:spacing w:after="0" w:line="240" w:lineRule="auto"/>
        <w:rPr>
          <w:rFonts w:ascii="Times New Roman" w:hAnsi="Times New Roman" w:cs="Times New Roman"/>
        </w:rPr>
      </w:pPr>
      <w:r>
        <w:rPr>
          <w:rFonts w:ascii="Times New Roman" w:hAnsi="Times New Roman" w:cs="Times New Roman"/>
        </w:rPr>
        <w:t>Any supplemental benefits and riders offered on life insurance policies or annuity contracts that would have a material impact on the reserve if elected later in the contract life, such as joint income benefits, nursing home benefits, or withdrawal provisions on annuity contracts, shall be considered when determining reserves using the following principles:</w:t>
      </w:r>
    </w:p>
    <w:p w14:paraId="42FB3009" w14:textId="77777777" w:rsidR="008A7F4A" w:rsidRDefault="008A7F4A" w:rsidP="008A7F4A">
      <w:pPr>
        <w:spacing w:after="0" w:line="240" w:lineRule="auto"/>
        <w:rPr>
          <w:rFonts w:ascii="Times New Roman" w:hAnsi="Times New Roman" w:cs="Times New Roman"/>
        </w:rPr>
      </w:pPr>
    </w:p>
    <w:p w14:paraId="396EAA27" w14:textId="77777777" w:rsidR="008A7F4A" w:rsidRDefault="008A7F4A" w:rsidP="00745C9A">
      <w:pPr>
        <w:pStyle w:val="ListParagraph"/>
        <w:numPr>
          <w:ilvl w:val="1"/>
          <w:numId w:val="143"/>
        </w:numPr>
        <w:spacing w:after="160" w:line="256" w:lineRule="auto"/>
        <w:rPr>
          <w:rFonts w:ascii="Times New Roman" w:hAnsi="Times New Roman" w:cs="Times New Roman"/>
        </w:rPr>
      </w:pPr>
      <w:r>
        <w:rPr>
          <w:rFonts w:ascii="Times New Roman" w:hAnsi="Times New Roman" w:cs="Times New Roman"/>
        </w:rPr>
        <w:t>Policyholders with living benefits and annuitization in the same contract will generally use the more valuable of the two benefits.</w:t>
      </w:r>
    </w:p>
    <w:p w14:paraId="65826EAF" w14:textId="77777777" w:rsidR="008A7F4A" w:rsidRDefault="008A7F4A" w:rsidP="008A7F4A">
      <w:pPr>
        <w:pStyle w:val="ListParagraph"/>
        <w:spacing w:after="160" w:line="256" w:lineRule="auto"/>
        <w:ind w:left="1080"/>
        <w:rPr>
          <w:rFonts w:ascii="Times New Roman" w:hAnsi="Times New Roman" w:cs="Times New Roman"/>
        </w:rPr>
      </w:pPr>
    </w:p>
    <w:p w14:paraId="57DD2B94" w14:textId="77777777" w:rsidR="008A7F4A" w:rsidRDefault="008A7F4A" w:rsidP="00745C9A">
      <w:pPr>
        <w:pStyle w:val="ListParagraph"/>
        <w:numPr>
          <w:ilvl w:val="1"/>
          <w:numId w:val="143"/>
        </w:numPr>
        <w:spacing w:after="160" w:line="256" w:lineRule="auto"/>
        <w:rPr>
          <w:rFonts w:ascii="Times New Roman" w:hAnsi="Times New Roman" w:cs="Times New Roman"/>
        </w:rPr>
      </w:pPr>
      <w:commentRangeStart w:id="131"/>
      <w:r>
        <w:rPr>
          <w:rFonts w:ascii="Times New Roman" w:hAnsi="Times New Roman" w:cs="Times New Roman"/>
        </w:rPr>
        <w:t>When advantageous</w:t>
      </w:r>
      <w:commentRangeEnd w:id="131"/>
      <w:r w:rsidR="008C7EA8">
        <w:rPr>
          <w:rStyle w:val="CommentReference"/>
        </w:rPr>
        <w:commentReference w:id="131"/>
      </w:r>
      <w:r>
        <w:rPr>
          <w:rFonts w:ascii="Times New Roman" w:hAnsi="Times New Roman" w:cs="Times New Roman"/>
        </w:rPr>
        <w:t>, policyholders will commence living benefit payouts if not started yet.</w:t>
      </w:r>
    </w:p>
    <w:p w14:paraId="5ADDBE35" w14:textId="77777777" w:rsidR="008A7F4A" w:rsidRDefault="008A7F4A" w:rsidP="008A7F4A">
      <w:pPr>
        <w:rPr>
          <w:rFonts w:ascii="Times New Roman" w:hAnsi="Times New Roman" w:cs="Times New Roman"/>
        </w:rPr>
      </w:pPr>
    </w:p>
    <w:p w14:paraId="4F6C5CE9" w14:textId="77777777" w:rsidR="008A7F4A" w:rsidRPr="00903AB6" w:rsidRDefault="008A7F4A" w:rsidP="00D64C27">
      <w:pPr>
        <w:rPr>
          <w:rFonts w:ascii="Times New Roman" w:hAnsi="Times New Roman" w:cs="Times New Roman"/>
        </w:rPr>
      </w:pPr>
    </w:p>
    <w:sectPr w:rsidR="008A7F4A" w:rsidRPr="00903AB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0D5730D2" w14:textId="2F5D0CCF" w:rsidR="00E734E3" w:rsidRDefault="00E734E3">
      <w:pPr>
        <w:pStyle w:val="CommentText"/>
      </w:pPr>
      <w:r>
        <w:rPr>
          <w:rStyle w:val="CommentReference"/>
        </w:rPr>
        <w:annotationRef/>
      </w:r>
      <w:r w:rsidRPr="00530DB8">
        <w:t xml:space="preserve">The </w:t>
      </w:r>
      <w:r>
        <w:t>proposal suggests VM-22 is not operative until 1/1/2024, which contradicts Section 13 and existing requirements. We would suggest rewording this to clarify that Section 13 is effective after 12/31/2017. Further, we would suggest consistency in labeling of dates (either all text or all numeric).</w:t>
      </w:r>
    </w:p>
  </w:comment>
  <w:comment w:id="3" w:author="Author" w:initials="A">
    <w:p w14:paraId="2AB40FE3" w14:textId="69FBF3B9" w:rsidR="002017AF" w:rsidRDefault="002017AF">
      <w:pPr>
        <w:pStyle w:val="CommentText"/>
      </w:pPr>
      <w:r>
        <w:rPr>
          <w:rStyle w:val="CommentReference"/>
        </w:rPr>
        <w:annotationRef/>
      </w:r>
      <w:r>
        <w:t>(</w:t>
      </w:r>
      <w:r w:rsidRPr="000F4190">
        <w:t>Relationship to RBC Requirements</w:t>
      </w:r>
      <w:r>
        <w:t>): The VM-21 guidance note was not included in VM-22; however, we believe it would be appropriate to retain and reword to say, “</w:t>
      </w:r>
      <w:r w:rsidRPr="000F4190">
        <w:t>products that calculate a stochastic reserve</w:t>
      </w:r>
      <w:r>
        <w:t>”, since the relationship to RBC would likely be maintained.</w:t>
      </w:r>
    </w:p>
  </w:comment>
  <w:comment w:id="5" w:author="Author" w:initials="A">
    <w:p w14:paraId="22F0719F" w14:textId="293DE46C" w:rsidR="002017AF" w:rsidRDefault="002017AF">
      <w:pPr>
        <w:pStyle w:val="CommentText"/>
      </w:pPr>
      <w:r>
        <w:rPr>
          <w:rStyle w:val="CommentReference"/>
        </w:rPr>
        <w:annotationRef/>
      </w:r>
      <w:r>
        <w:t>We would support consistent application of principles across all chapters as currently VM-20 does not have a like-set of principles. We believe this could involve a broader discussion of the assorted product requirements in the VM. As a shorter-term fix, we w</w:t>
      </w:r>
      <w:r w:rsidRPr="00CF09CB">
        <w:t>ould recommend generalizing the principles where appropriate and moving these to "</w:t>
      </w:r>
      <w:r>
        <w:t xml:space="preserve">Section </w:t>
      </w:r>
      <w:r w:rsidRPr="00CF09CB">
        <w:t>I. Introduction" or "VM-01" and equally applying to VM-20.</w:t>
      </w:r>
    </w:p>
  </w:comment>
  <w:comment w:id="6" w:author="Author" w:initials="A">
    <w:p w14:paraId="06ACC93D" w14:textId="731341A5" w:rsidR="002017AF" w:rsidRDefault="002017AF">
      <w:pPr>
        <w:pStyle w:val="CommentText"/>
      </w:pPr>
      <w:r>
        <w:rPr>
          <w:rStyle w:val="CommentReference"/>
        </w:rPr>
        <w:annotationRef/>
      </w:r>
      <w:r w:rsidRPr="00353F62">
        <w:t xml:space="preserve">We support this principle but note that later sections appear to contradict this principle. </w:t>
      </w:r>
      <w:r>
        <w:t>For example, t</w:t>
      </w:r>
      <w:r w:rsidRPr="00353F62">
        <w:t>he statement “The analysis reflects prudent estimate assumptions for deterministic variables and is performed in aggregate (subject to limitations related to</w:t>
      </w:r>
      <w:r w:rsidRPr="00742729">
        <w:t xml:space="preserve"> </w:t>
      </w:r>
      <w:r w:rsidRPr="00A5209A">
        <w:t>contractual provisions) to allow the natural offset of risks within a given scenario</w:t>
      </w:r>
      <w:r>
        <w:t>.” contradicts with the introduction of additional reserve categories and other limitations (such as model segment restrictions).</w:t>
      </w:r>
    </w:p>
  </w:comment>
  <w:comment w:id="7" w:author="Author" w:initials="A">
    <w:p w14:paraId="3F14392F" w14:textId="5EA2556C" w:rsidR="002017AF" w:rsidRDefault="002017AF">
      <w:pPr>
        <w:pStyle w:val="CommentText"/>
      </w:pPr>
      <w:r>
        <w:rPr>
          <w:rStyle w:val="CommentReference"/>
        </w:rPr>
        <w:annotationRef/>
      </w:r>
      <w:r>
        <w:t xml:space="preserve">We suggest deleting the sentence </w:t>
      </w:r>
      <w:r w:rsidRPr="000F4190">
        <w:t>"Generally, assumptions are..."</w:t>
      </w:r>
      <w:r>
        <w:t xml:space="preserve"> since it does not provide guidance. We also suggest tightening the remainder of the text for clarity.</w:t>
      </w:r>
    </w:p>
  </w:comment>
  <w:comment w:id="8" w:author="Author" w:initials="A">
    <w:p w14:paraId="35EF8C93" w14:textId="484E8B16" w:rsidR="002017AF" w:rsidRDefault="002017AF">
      <w:pPr>
        <w:pStyle w:val="CommentText"/>
      </w:pPr>
      <w:r>
        <w:rPr>
          <w:rStyle w:val="CommentReference"/>
        </w:rPr>
        <w:annotationRef/>
      </w:r>
      <w:r>
        <w:t>We recommend deleting the third sentence (starting with “Therefore, the use of assumptions…”) because this lacks historical context and is covered by the final sentence.</w:t>
      </w:r>
    </w:p>
  </w:comment>
  <w:comment w:id="10" w:author="Author" w:initials="A">
    <w:p w14:paraId="108DF60C" w14:textId="705915A6" w:rsidR="002017AF" w:rsidRDefault="002017AF">
      <w:pPr>
        <w:pStyle w:val="CommentText"/>
      </w:pPr>
      <w:r>
        <w:rPr>
          <w:rStyle w:val="CommentReference"/>
        </w:rPr>
        <w:annotationRef/>
      </w:r>
      <w:r>
        <w:t>Consistent with our comments on 1.B, we would support consistent application of risks reflected across all chapters, rather than embedding the language in each chapter. Were this to be retained in VM-22, we would suggest maintaining consistency with VM-21 to avoid any confusion.</w:t>
      </w:r>
    </w:p>
  </w:comment>
  <w:comment w:id="11" w:author="Author" w:initials="A">
    <w:p w14:paraId="5668FD88" w14:textId="03111757" w:rsidR="002017AF" w:rsidRDefault="002017AF">
      <w:pPr>
        <w:pStyle w:val="CommentText"/>
      </w:pPr>
      <w:r>
        <w:rPr>
          <w:rStyle w:val="CommentReference"/>
        </w:rPr>
        <w:annotationRef/>
      </w:r>
      <w:r w:rsidRPr="0042450A">
        <w:t>We recommend</w:t>
      </w:r>
      <w:r w:rsidRPr="00B54312">
        <w:t xml:space="preserve"> removing the </w:t>
      </w:r>
      <w:r w:rsidRPr="00167FA4">
        <w:t>bullet “</w:t>
      </w:r>
      <w:r>
        <w:t>Risks modeled in the company’s risk assessment processes that are related to the contracts, as described above” as this is unclear and probably extraneous.</w:t>
      </w:r>
    </w:p>
  </w:comment>
  <w:comment w:id="12" w:author="Author" w:initials="A">
    <w:p w14:paraId="7BE549EB" w14:textId="374C056E" w:rsidR="002017AF" w:rsidRDefault="002017AF">
      <w:pPr>
        <w:pStyle w:val="CommentText"/>
      </w:pPr>
      <w:r>
        <w:rPr>
          <w:rStyle w:val="CommentReference"/>
        </w:rPr>
        <w:annotationRef/>
      </w:r>
      <w:r>
        <w:t>We r</w:t>
      </w:r>
      <w:r w:rsidRPr="000F4190">
        <w:t>ecommend removing this section. With the specific RBC language removed, the section loses meaning</w:t>
      </w:r>
      <w:r>
        <w:t xml:space="preserve">: </w:t>
      </w:r>
      <w:r w:rsidRPr="000F4190">
        <w:t>"a" is unnecessary and "b" is redundant with other sections of the VM which allow for materiality considerations (language in VM-20 is likely better for this purpose and should be used consistently).</w:t>
      </w:r>
    </w:p>
  </w:comment>
  <w:comment w:id="13" w:author="Author" w:initials="A">
    <w:p w14:paraId="683B07ED" w14:textId="7A6B0ECB" w:rsidR="002017AF" w:rsidRDefault="002017AF">
      <w:pPr>
        <w:pStyle w:val="CommentText"/>
      </w:pPr>
      <w:r>
        <w:rPr>
          <w:rStyle w:val="CommentReference"/>
        </w:rPr>
        <w:annotationRef/>
      </w:r>
      <w:r>
        <w:t>We recommend removing the bullet “Significant future reserve increases as an unfavorable scenario is realized” as this is extraneous.</w:t>
      </w:r>
    </w:p>
  </w:comment>
  <w:comment w:id="14" w:author="Author" w:initials="A">
    <w:p w14:paraId="4F94D8A5" w14:textId="37E39692" w:rsidR="002017AF" w:rsidRDefault="002017AF">
      <w:pPr>
        <w:pStyle w:val="CommentText"/>
      </w:pPr>
      <w:r>
        <w:rPr>
          <w:rStyle w:val="CommentReference"/>
        </w:rPr>
        <w:annotationRef/>
      </w:r>
      <w:r>
        <w:t>List could be expanded to included operational risk and litigation risk.</w:t>
      </w:r>
    </w:p>
  </w:comment>
  <w:comment w:id="16" w:author="Author" w:initials="A">
    <w:p w14:paraId="077F6AE1" w14:textId="6B0BB289" w:rsidR="002017AF" w:rsidRDefault="002017AF">
      <w:pPr>
        <w:pStyle w:val="CommentText"/>
      </w:pPr>
      <w:r>
        <w:rPr>
          <w:rStyle w:val="CommentReference"/>
        </w:rPr>
        <w:annotationRef/>
      </w:r>
      <w:r w:rsidRPr="000F4190">
        <w:t xml:space="preserve">It seems the definitions included in this section are largely only used for the purpose of establishing the Scope in Section 2. Since this is intended to be a principles-based methodology, recommend a strong definition of "Fixed Annuity" instead of specific products underneath this business. The first paragraph in A. Scope seems to provide this with specific references which are out of scope.  </w:t>
      </w:r>
      <w:r>
        <w:t>If changing the scope section, we would suggest deleting the various product definitions if not used elsewhere; if these definitions are potentially applied beyond VM-22, we would suggest moving any necessary definitions to VM-01.</w:t>
      </w:r>
    </w:p>
  </w:comment>
  <w:comment w:id="17" w:author="Author" w:initials="A">
    <w:p w14:paraId="369E9D66" w14:textId="77777777" w:rsidR="00164FCE" w:rsidRDefault="00164FCE" w:rsidP="00164FCE">
      <w:pPr>
        <w:pStyle w:val="ListParagraph"/>
        <w:spacing w:after="0" w:line="280" w:lineRule="exact"/>
        <w:ind w:left="0"/>
      </w:pPr>
      <w:r>
        <w:rPr>
          <w:rStyle w:val="CommentReference"/>
        </w:rPr>
        <w:annotationRef/>
      </w:r>
      <w:r>
        <w:t>Suggest aligning the cut off to 13 months for alignment consistent with Actuarial Guideline IX, rather than the 1 year that currently is in the VM-22 draft.</w:t>
      </w:r>
    </w:p>
    <w:p w14:paraId="55F4F8A1" w14:textId="7E0926F2" w:rsidR="00164FCE" w:rsidRDefault="00164FCE">
      <w:pPr>
        <w:pStyle w:val="CommentText"/>
      </w:pPr>
    </w:p>
  </w:comment>
  <w:comment w:id="18" w:author="Author" w:initials="A">
    <w:p w14:paraId="4AB1DD44" w14:textId="35574F04" w:rsidR="00164FCE" w:rsidRDefault="00164FCE">
      <w:pPr>
        <w:pStyle w:val="CommentText"/>
      </w:pPr>
      <w:r>
        <w:rPr>
          <w:rStyle w:val="CommentReference"/>
        </w:rPr>
        <w:annotationRef/>
      </w:r>
      <w:r>
        <w:t xml:space="preserve">Is “typically” intended to be a requirement in the definition? That is, to qualify as FIA does there need to be guaranteed </w:t>
      </w:r>
      <w:proofErr w:type="gramStart"/>
      <w:r>
        <w:t>principle?</w:t>
      </w:r>
      <w:proofErr w:type="gramEnd"/>
    </w:p>
  </w:comment>
  <w:comment w:id="19" w:author="Author" w:initials="A">
    <w:p w14:paraId="717F0C11" w14:textId="58844BC7" w:rsidR="00164FCE" w:rsidRDefault="00164FCE">
      <w:pPr>
        <w:pStyle w:val="CommentText"/>
      </w:pPr>
      <w:r>
        <w:rPr>
          <w:rStyle w:val="CommentReference"/>
        </w:rPr>
        <w:annotationRef/>
      </w:r>
      <w:r>
        <w:t xml:space="preserve">We </w:t>
      </w:r>
      <w:r w:rsidRPr="00A13D79">
        <w:t>would suggest adding performance trigger to the list, along with other potential crediting methods; alternatively, the definition could specify that the crediting methods listed are examples only.</w:t>
      </w:r>
    </w:p>
  </w:comment>
  <w:comment w:id="20" w:author="Author" w:initials="A">
    <w:p w14:paraId="5D87755C" w14:textId="6DE8A080" w:rsidR="00164FCE" w:rsidRDefault="00164FCE">
      <w:pPr>
        <w:pStyle w:val="CommentText"/>
      </w:pPr>
      <w:r>
        <w:rPr>
          <w:rStyle w:val="CommentReference"/>
        </w:rPr>
        <w:annotationRef/>
      </w:r>
      <w:r>
        <w:t>The definition states that “</w:t>
      </w:r>
      <w:r w:rsidRPr="00ED36A5">
        <w:t>Agreements which are not treated as reinsurance under Statement of Statutory Accounting Principles (SSAP) No. 61R are not included in this definition</w:t>
      </w:r>
      <w:r>
        <w:t xml:space="preserve">”. </w:t>
      </w:r>
      <w:r w:rsidRPr="00A13D79">
        <w:t>Why is this the case and does this imply that longevity swaps are not within the scope of VM-22?  Recommend adding to the out of scope list in "</w:t>
      </w:r>
      <w:proofErr w:type="gramStart"/>
      <w:r>
        <w:t>2.</w:t>
      </w:r>
      <w:r w:rsidRPr="00A13D79">
        <w:t>A.</w:t>
      </w:r>
      <w:proofErr w:type="gramEnd"/>
      <w:r w:rsidRPr="00A13D79">
        <w:t xml:space="preserve"> Scope" if that is the case.  Clarification would also be helpful on what guidance should be used for these agreements if out of scope for VM-22. </w:t>
      </w:r>
      <w:r>
        <w:t>Further, we would suggest removing “typically” from the definition.</w:t>
      </w:r>
    </w:p>
  </w:comment>
  <w:comment w:id="21" w:author="Author" w:initials="A">
    <w:p w14:paraId="69E8B823" w14:textId="039D64FA" w:rsidR="004445E0" w:rsidRDefault="004445E0">
      <w:pPr>
        <w:pStyle w:val="CommentText"/>
      </w:pPr>
      <w:r>
        <w:rPr>
          <w:rStyle w:val="CommentReference"/>
        </w:rPr>
        <w:annotationRef/>
      </w:r>
      <w:r>
        <w:t>We recommend editing the definition as follows “A type of market</w:t>
      </w:r>
      <w:r>
        <w:rPr>
          <w:rFonts w:ascii="Cambria Math" w:hAnsi="Cambria Math" w:cs="Cambria Math"/>
        </w:rPr>
        <w:t>‐</w:t>
      </w:r>
      <w:r>
        <w:t xml:space="preserve">value adjusted annuity contract where the underlying assets are </w:t>
      </w:r>
      <w:r>
        <w:rPr>
          <w:u w:val="single"/>
        </w:rPr>
        <w:t>most commonly</w:t>
      </w:r>
      <w:r w:rsidRPr="00B54312">
        <w:t xml:space="preserve"> </w:t>
      </w:r>
      <w:r>
        <w:t>held in an insurance company separate account…”</w:t>
      </w:r>
    </w:p>
  </w:comment>
  <w:comment w:id="22" w:author="Author" w:initials="A">
    <w:p w14:paraId="3633B445" w14:textId="2EF98C0F" w:rsidR="004445E0" w:rsidRDefault="004445E0">
      <w:pPr>
        <w:pStyle w:val="CommentText"/>
      </w:pPr>
      <w:r>
        <w:rPr>
          <w:rStyle w:val="CommentReference"/>
        </w:rPr>
        <w:annotationRef/>
      </w:r>
      <w:r>
        <w:t xml:space="preserve">Is “typically” intended to be a requirement in the definition? That is, </w:t>
      </w:r>
      <w:r w:rsidRPr="00A13D79">
        <w:t>to qualify as PRT</w:t>
      </w:r>
      <w:r>
        <w:t xml:space="preserve"> must</w:t>
      </w:r>
      <w:r w:rsidRPr="00A13D79">
        <w:t xml:space="preserve"> the insurance company have the asset risk?  </w:t>
      </w:r>
      <w:r>
        <w:t>Consistent with the</w:t>
      </w:r>
      <w:r w:rsidRPr="00A13D79">
        <w:t xml:space="preserve"> comment on Longevity Reinsurance</w:t>
      </w:r>
      <w:r>
        <w:t xml:space="preserve">, </w:t>
      </w:r>
      <w:r w:rsidRPr="00A13D79">
        <w:t>it would be helpful to clarify where a longevity swap contract falls within these definitions.</w:t>
      </w:r>
      <w:r>
        <w:t xml:space="preserve"> Notably, index-based longevity swaps should be out of scope as they do not meet definition of “annuity contract” in SSAP 50.  It should also be made explicit that PRT contracts can include lump sum benefits, death benefits and cash balance benefits as well.</w:t>
      </w:r>
    </w:p>
  </w:comment>
  <w:comment w:id="23" w:author="Author" w:initials="A">
    <w:p w14:paraId="43431450" w14:textId="64C0FD94" w:rsidR="004445E0" w:rsidRDefault="004445E0">
      <w:pPr>
        <w:pStyle w:val="CommentText"/>
      </w:pPr>
      <w:r>
        <w:rPr>
          <w:rStyle w:val="CommentReference"/>
        </w:rPr>
        <w:annotationRef/>
      </w:r>
      <w:r>
        <w:t>It is unclear to us why RILA is defined in VM-22 when it is being used to exclude the product from VM-22 requirements.</w:t>
      </w:r>
    </w:p>
  </w:comment>
  <w:comment w:id="24" w:author="Author" w:initials="A">
    <w:p w14:paraId="06B851B2" w14:textId="77777777" w:rsidR="00164FCE" w:rsidRDefault="00164FCE" w:rsidP="00164FCE">
      <w:pPr>
        <w:pStyle w:val="ListParagraph"/>
        <w:spacing w:after="0" w:line="280" w:lineRule="exact"/>
        <w:ind w:left="0"/>
      </w:pPr>
      <w:r>
        <w:rPr>
          <w:rStyle w:val="CommentReference"/>
        </w:rPr>
        <w:annotationRef/>
      </w:r>
      <w:r>
        <w:t>Suggest aligning the cut off to 13 months for alignment consistent with Actuarial Guideline IX, rather than the 1 year that currently is in the VM-22 draft.</w:t>
      </w:r>
    </w:p>
    <w:p w14:paraId="40280A66" w14:textId="6822C14D" w:rsidR="00164FCE" w:rsidRDefault="00164FCE">
      <w:pPr>
        <w:pStyle w:val="CommentText"/>
      </w:pPr>
    </w:p>
  </w:comment>
  <w:comment w:id="25" w:author="Author" w:initials="A">
    <w:p w14:paraId="11FCB49F" w14:textId="13412B98" w:rsidR="004445E0" w:rsidRDefault="004445E0">
      <w:pPr>
        <w:pStyle w:val="CommentText"/>
      </w:pPr>
      <w:r>
        <w:rPr>
          <w:rStyle w:val="CommentReference"/>
        </w:rPr>
        <w:annotationRef/>
      </w:r>
      <w:r>
        <w:t>Suggest striking sentence “</w:t>
      </w:r>
      <w:r w:rsidRPr="00CC11A9">
        <w:t>Adverse mortality is typically expected for these contracts.</w:t>
      </w:r>
      <w:r>
        <w:t>” from definition. Additionally, it is possible that there may be non-substandard settlements.</w:t>
      </w:r>
    </w:p>
  </w:comment>
  <w:comment w:id="27" w:author="Author" w:initials="A">
    <w:p w14:paraId="5928D10C" w14:textId="22A454DA" w:rsidR="004445E0" w:rsidRDefault="004445E0">
      <w:pPr>
        <w:pStyle w:val="CommentText"/>
      </w:pPr>
      <w:r>
        <w:rPr>
          <w:rStyle w:val="CommentReference"/>
        </w:rPr>
        <w:annotationRef/>
      </w:r>
      <w:r>
        <w:t>Consistent with our comment in Section 1, the language around effective date should be clear this only applies to new PBR methodology, and rates in Section 13 have a different effective date.</w:t>
      </w:r>
    </w:p>
  </w:comment>
  <w:comment w:id="29" w:author="Author" w:initials="A">
    <w:p w14:paraId="18A57569" w14:textId="7BAF793D" w:rsidR="007E7250" w:rsidRDefault="007E7250">
      <w:pPr>
        <w:pStyle w:val="CommentText"/>
      </w:pPr>
      <w:r>
        <w:rPr>
          <w:rStyle w:val="CommentReference"/>
        </w:rPr>
        <w:annotationRef/>
      </w:r>
      <w:r>
        <w:t>We would support reworking this section to rely on principles, rather than definitions to determine what is in and out of scope. As product innovation continues, a simple list may not appropriately accommodate the applicability of this chapter. However, if such a list is included, then we believe it should align with the full list presented in Section 13.</w:t>
      </w:r>
    </w:p>
  </w:comment>
  <w:comment w:id="30" w:author="Author" w:initials="A">
    <w:p w14:paraId="1B453EBC" w14:textId="77777777" w:rsidR="007E7250" w:rsidRPr="00627B0F" w:rsidRDefault="007E7250" w:rsidP="007E7250">
      <w:pPr>
        <w:pStyle w:val="ListParagraph"/>
        <w:spacing w:after="0" w:line="280" w:lineRule="exact"/>
        <w:ind w:left="0"/>
      </w:pPr>
      <w:r>
        <w:rPr>
          <w:rStyle w:val="CommentReference"/>
        </w:rPr>
        <w:annotationRef/>
      </w:r>
      <w:r w:rsidRPr="00627B0F">
        <w:t xml:space="preserve">We suggest moving or deleting </w:t>
      </w:r>
      <w:r>
        <w:t xml:space="preserve">the </w:t>
      </w:r>
      <w:r w:rsidRPr="00627B0F">
        <w:t>sentence “</w:t>
      </w:r>
      <w:r w:rsidRPr="00A239C8">
        <w:t>The company may elect to exclude one or more groups of contracts from the stochastic</w:t>
      </w:r>
      <w:r w:rsidRPr="00627B0F">
        <w:t xml:space="preserve"> reserve calculation in certain situations, pursuant to the exclusion test requirements defined in Section 3.E of VM-22.</w:t>
      </w:r>
      <w:r>
        <w:t xml:space="preserve">” from this section as it does not seem fitting here. </w:t>
      </w:r>
    </w:p>
    <w:p w14:paraId="5CBD970E" w14:textId="4A847F8C" w:rsidR="007E7250" w:rsidRDefault="007E7250">
      <w:pPr>
        <w:pStyle w:val="CommentText"/>
      </w:pPr>
    </w:p>
  </w:comment>
  <w:comment w:id="35" w:author="Author" w:initials="A">
    <w:p w14:paraId="4F3F7648" w14:textId="11320DB8" w:rsidR="007E7250" w:rsidRDefault="007E7250">
      <w:pPr>
        <w:pStyle w:val="CommentText"/>
      </w:pPr>
      <w:r>
        <w:rPr>
          <w:rStyle w:val="CommentReference"/>
        </w:rPr>
        <w:annotationRef/>
      </w:r>
      <w:r w:rsidRPr="001263F9">
        <w:t>Guidance is needed on how a pre-reinsurance reserve is to be determined</w:t>
      </w:r>
      <w:r>
        <w:t>.</w:t>
      </w:r>
    </w:p>
  </w:comment>
  <w:comment w:id="38" w:author="Author" w:initials="A">
    <w:p w14:paraId="047E248E" w14:textId="0339A228" w:rsidR="007E7250" w:rsidRDefault="007E7250">
      <w:pPr>
        <w:pStyle w:val="CommentText"/>
      </w:pPr>
      <w:r>
        <w:rPr>
          <w:rStyle w:val="CommentReference"/>
        </w:rPr>
        <w:annotationRef/>
      </w:r>
      <w:r w:rsidRPr="00426AFE">
        <w:t xml:space="preserve">The term "Deterministic Certification Option" </w:t>
      </w:r>
      <w:r>
        <w:t>may be</w:t>
      </w:r>
      <w:r w:rsidRPr="00426AFE">
        <w:t xml:space="preserve"> confusing, as there is no "deterministic" reserve, unlike VM-20. We recommend </w:t>
      </w:r>
      <w:r>
        <w:t xml:space="preserve">consideration of an alternative term. </w:t>
      </w:r>
      <w:r w:rsidRPr="00426AFE">
        <w:t>In addition, we recommend changing the phrasing to "with the exc</w:t>
      </w:r>
      <w:r>
        <w:t>e</w:t>
      </w:r>
      <w:r w:rsidRPr="00426AFE">
        <w:t>ption of groups of contracts for which a company elects the [Determi</w:t>
      </w:r>
      <w:r>
        <w:t>ni</w:t>
      </w:r>
      <w:r w:rsidRPr="00426AFE">
        <w:t>stic Certification Option], following the requirements of Section 7.E."</w:t>
      </w:r>
    </w:p>
  </w:comment>
  <w:comment w:id="40" w:author="Author" w:initials="A">
    <w:p w14:paraId="2FF2EDB1" w14:textId="024C8FF2" w:rsidR="007E7250" w:rsidRDefault="007E7250" w:rsidP="007E7250">
      <w:pPr>
        <w:pStyle w:val="ListParagraph"/>
        <w:spacing w:after="0" w:line="280" w:lineRule="exact"/>
        <w:ind w:left="0"/>
      </w:pPr>
      <w:r>
        <w:rPr>
          <w:rStyle w:val="CommentReference"/>
        </w:rPr>
        <w:annotationRef/>
      </w:r>
      <w:r w:rsidRPr="00613223">
        <w:t>Seems to imply that only SPIAs would pass due to the linkage to Section 13. But the reference to interest rate</w:t>
      </w:r>
      <w:r>
        <w:t>s</w:t>
      </w:r>
      <w:r w:rsidRPr="00613223">
        <w:t xml:space="preserve"> should be broader</w:t>
      </w:r>
      <w:r>
        <w:t>,</w:t>
      </w:r>
      <w:r w:rsidRPr="00613223">
        <w:t xml:space="preserve"> if </w:t>
      </w:r>
      <w:r>
        <w:t xml:space="preserve">even </w:t>
      </w:r>
      <w:r w:rsidRPr="00613223">
        <w:t xml:space="preserve">necessary. </w:t>
      </w:r>
      <w:r>
        <w:t>Suggest</w:t>
      </w:r>
      <w:r w:rsidRPr="00613223">
        <w:t xml:space="preserve"> edit</w:t>
      </w:r>
      <w:r>
        <w:t>ing</w:t>
      </w:r>
      <w:r w:rsidRPr="00613223">
        <w:t xml:space="preserve"> as:</w:t>
      </w:r>
    </w:p>
    <w:p w14:paraId="4E3AF76D" w14:textId="77777777" w:rsidR="007E7250" w:rsidRPr="00613223" w:rsidRDefault="007E7250" w:rsidP="007E7250">
      <w:pPr>
        <w:pStyle w:val="ListParagraph"/>
        <w:spacing w:after="0" w:line="280" w:lineRule="exact"/>
        <w:ind w:left="0"/>
      </w:pPr>
    </w:p>
    <w:p w14:paraId="029E2DF3" w14:textId="1595747D" w:rsidR="007E7250" w:rsidRDefault="007E7250" w:rsidP="007E7250">
      <w:pPr>
        <w:pStyle w:val="CommentText"/>
      </w:pPr>
      <w:r w:rsidRPr="00613223">
        <w:t>"</w:t>
      </w:r>
      <w:proofErr w:type="gramStart"/>
      <w:r w:rsidRPr="00613223">
        <w:t>these</w:t>
      </w:r>
      <w:proofErr w:type="gramEnd"/>
      <w:r w:rsidRPr="00613223">
        <w:t xml:space="preserve"> groups of contracts may be valued using the methodology </w:t>
      </w:r>
      <w:r w:rsidRPr="00613223">
        <w:rPr>
          <w:color w:val="FF0000"/>
        </w:rPr>
        <w:t>and statutory maximum valuation rate</w:t>
      </w:r>
      <w:r w:rsidRPr="00613223">
        <w:t xml:space="preserve"> pursuant to</w:t>
      </w:r>
      <w:r>
        <w:t xml:space="preserve"> </w:t>
      </w:r>
      <w:r w:rsidRPr="00613223">
        <w:t>applicable requirements in VM-A</w:t>
      </w:r>
      <w:r>
        <w:rPr>
          <w:color w:val="FF0000"/>
        </w:rPr>
        <w:t>,</w:t>
      </w:r>
      <w:r w:rsidRPr="00613223">
        <w:t xml:space="preserve"> </w:t>
      </w:r>
      <w:r w:rsidRPr="00613223">
        <w:rPr>
          <w:strike/>
          <w:color w:val="FF0000"/>
        </w:rPr>
        <w:t>and</w:t>
      </w:r>
      <w:r w:rsidRPr="00613223">
        <w:rPr>
          <w:color w:val="FF0000"/>
        </w:rPr>
        <w:t xml:space="preserve"> </w:t>
      </w:r>
      <w:r w:rsidRPr="00613223">
        <w:t xml:space="preserve">VM-C, </w:t>
      </w:r>
      <w:r>
        <w:rPr>
          <w:color w:val="FF0000"/>
        </w:rPr>
        <w:t xml:space="preserve">and </w:t>
      </w:r>
      <w:r w:rsidRPr="00613223">
        <w:rPr>
          <w:strike/>
          <w:color w:val="FF0000"/>
        </w:rPr>
        <w:t>with the statutory maximum valuation rate for immediate annuities specified in</w:t>
      </w:r>
      <w:r w:rsidRPr="00613223">
        <w:rPr>
          <w:color w:val="FF0000"/>
        </w:rPr>
        <w:t xml:space="preserve"> </w:t>
      </w:r>
      <w:r w:rsidRPr="00613223">
        <w:t>Section 13.</w:t>
      </w:r>
      <w:r>
        <w:t>”</w:t>
      </w:r>
    </w:p>
  </w:comment>
  <w:comment w:id="41" w:author="Author" w:initials="A">
    <w:p w14:paraId="18ACED4D" w14:textId="1B0BE983" w:rsidR="007E7250" w:rsidRDefault="007E7250">
      <w:pPr>
        <w:pStyle w:val="CommentText"/>
      </w:pPr>
      <w:r>
        <w:rPr>
          <w:rStyle w:val="CommentReference"/>
        </w:rPr>
        <w:annotationRef/>
      </w:r>
      <w:r>
        <w:t>We believe this guidance note is unnecessary as the intent of the section is clear, and the wording is possibly confusing.</w:t>
      </w:r>
    </w:p>
  </w:comment>
  <w:comment w:id="42" w:author="Author" w:initials="A">
    <w:p w14:paraId="4732F980" w14:textId="6C060B8D" w:rsidR="007E7250" w:rsidRDefault="007E7250">
      <w:pPr>
        <w:pStyle w:val="CommentText"/>
      </w:pPr>
      <w:r>
        <w:rPr>
          <w:rStyle w:val="CommentReference"/>
        </w:rPr>
        <w:annotationRef/>
      </w:r>
      <w:r w:rsidRPr="00613223">
        <w:t xml:space="preserve">This section seems to indicate that the grouping of </w:t>
      </w:r>
      <w:r>
        <w:t>contracts</w:t>
      </w:r>
      <w:r w:rsidRPr="00613223">
        <w:t xml:space="preserve"> in exclusion testing should be the same as the grouping of </w:t>
      </w:r>
      <w:r>
        <w:t>contracts</w:t>
      </w:r>
      <w:r w:rsidRPr="00613223">
        <w:t xml:space="preserve"> for aggregation.  This might cause </w:t>
      </w:r>
      <w:r>
        <w:t>fewer</w:t>
      </w:r>
      <w:r w:rsidRPr="00613223">
        <w:t xml:space="preserve"> </w:t>
      </w:r>
      <w:r>
        <w:t xml:space="preserve">product </w:t>
      </w:r>
      <w:r w:rsidRPr="00613223">
        <w:t xml:space="preserve">types to be </w:t>
      </w:r>
      <w:r>
        <w:t xml:space="preserve">qualifying for exclusion </w:t>
      </w:r>
      <w:r w:rsidRPr="00613223">
        <w:t>if the test must be performed at a higher level of aggregation.</w:t>
      </w:r>
    </w:p>
  </w:comment>
  <w:comment w:id="44" w:author="Author" w:initials="A">
    <w:p w14:paraId="6694A45B" w14:textId="27384C8E" w:rsidR="007E7250" w:rsidRDefault="007E7250">
      <w:pPr>
        <w:pStyle w:val="CommentText"/>
      </w:pPr>
      <w:r>
        <w:rPr>
          <w:rStyle w:val="CommentReference"/>
        </w:rPr>
        <w:annotationRef/>
      </w:r>
      <w:r w:rsidRPr="00AD1541">
        <w:t>Either in this item or in Section 12 allocation to contracts not covered by PBR methodology in VM-22 needs to be addressed e.g</w:t>
      </w:r>
      <w:r>
        <w:t>.,</w:t>
      </w:r>
      <w:r w:rsidRPr="00AD1541">
        <w:t xml:space="preserve"> carve out because reserves calculated on seriatim formulaic basis</w:t>
      </w:r>
      <w:r>
        <w:t>.</w:t>
      </w:r>
    </w:p>
  </w:comment>
  <w:comment w:id="46" w:author="Author" w:initials="A">
    <w:p w14:paraId="7AAB76D5" w14:textId="77777777" w:rsidR="007E7250" w:rsidRDefault="007E7250" w:rsidP="007E7250">
      <w:pPr>
        <w:pStyle w:val="ListParagraph"/>
        <w:spacing w:after="0" w:line="280" w:lineRule="exact"/>
        <w:ind w:left="0"/>
      </w:pPr>
      <w:r>
        <w:rPr>
          <w:rStyle w:val="CommentReference"/>
        </w:rPr>
        <w:annotationRef/>
      </w:r>
      <w:r>
        <w:t>This s</w:t>
      </w:r>
      <w:r w:rsidRPr="00936F05">
        <w:t xml:space="preserve">ub-section seems more appropriate in Section 4 (or pulled out completely and consolidated within "I. Introduction" or "VM-01" and applied to all PBR methods).  </w:t>
      </w:r>
    </w:p>
    <w:p w14:paraId="633EC6B8" w14:textId="1EFACCE1" w:rsidR="007E7250" w:rsidRDefault="007E7250">
      <w:pPr>
        <w:pStyle w:val="CommentText"/>
      </w:pPr>
    </w:p>
  </w:comment>
  <w:comment w:id="47" w:author="Author" w:initials="A">
    <w:p w14:paraId="5C7A1193" w14:textId="77777777" w:rsidR="007E7250" w:rsidRDefault="007E7250" w:rsidP="007E7250">
      <w:pPr>
        <w:pStyle w:val="ListParagraph"/>
        <w:spacing w:after="0" w:line="280" w:lineRule="exact"/>
        <w:ind w:left="0"/>
      </w:pPr>
      <w:r>
        <w:rPr>
          <w:rStyle w:val="CommentReference"/>
        </w:rPr>
        <w:annotationRef/>
      </w:r>
      <w:r>
        <w:t>Suggest replacing “</w:t>
      </w:r>
      <w:r w:rsidRPr="00E23CEB">
        <w:t>If the results of statistical testing or other testing</w:t>
      </w:r>
      <w:r>
        <w:t>” with “</w:t>
      </w:r>
      <w:r w:rsidRPr="00E23CEB">
        <w:t>If the results of the review</w:t>
      </w:r>
      <w:r>
        <w:t>” to simplify language and avoid possible confusion.</w:t>
      </w:r>
    </w:p>
    <w:p w14:paraId="6E3F28C7" w14:textId="52010A45" w:rsidR="007E7250" w:rsidRDefault="007E7250">
      <w:pPr>
        <w:pStyle w:val="CommentText"/>
      </w:pPr>
    </w:p>
  </w:comment>
  <w:comment w:id="50" w:author="Author" w:initials="A">
    <w:p w14:paraId="4EC0E74D" w14:textId="2B5B4BFE" w:rsidR="007E7250" w:rsidRDefault="007E7250">
      <w:pPr>
        <w:pStyle w:val="CommentText"/>
      </w:pPr>
      <w:r>
        <w:rPr>
          <w:rStyle w:val="CommentReference"/>
        </w:rPr>
        <w:annotationRef/>
      </w:r>
      <w:r>
        <w:t>The purpose of this guidance note is not clear as these charges would be reflected in the cash flows.</w:t>
      </w:r>
    </w:p>
  </w:comment>
  <w:comment w:id="51" w:author="Author" w:initials="A">
    <w:p w14:paraId="5B24573A" w14:textId="70BDF343" w:rsidR="005E0ACF" w:rsidRDefault="005E0ACF">
      <w:pPr>
        <w:pStyle w:val="CommentText"/>
      </w:pPr>
      <w:r>
        <w:rPr>
          <w:rStyle w:val="CommentReference"/>
        </w:rPr>
        <w:annotationRef/>
      </w:r>
      <w:r>
        <w:t>Suggest editing the first sentence to note scope is FIAs and to avoid confusion regarding the term “investment guideline” as follows: “</w:t>
      </w:r>
      <w:r w:rsidRPr="004D0B6F">
        <w:t xml:space="preserve">Index crediting strategies </w:t>
      </w:r>
      <w:r w:rsidRPr="00AE7A00">
        <w:rPr>
          <w:color w:val="FF0000"/>
        </w:rPr>
        <w:t xml:space="preserve">for fixed indexed annuities </w:t>
      </w:r>
      <w:r w:rsidRPr="004D0B6F">
        <w:t xml:space="preserve">may be grouped for modeling using an approach that recognizes the </w:t>
      </w:r>
      <w:r w:rsidRPr="00AE7A00">
        <w:rPr>
          <w:strike/>
          <w:color w:val="FF0000"/>
        </w:rPr>
        <w:t>investment guidelines and</w:t>
      </w:r>
      <w:r w:rsidRPr="00AE7A00">
        <w:rPr>
          <w:color w:val="FF0000"/>
        </w:rPr>
        <w:t xml:space="preserve"> </w:t>
      </w:r>
      <w:r w:rsidRPr="004D0B6F">
        <w:t>objectives of each index crediting strategy</w:t>
      </w:r>
      <w:r>
        <w:t>.”</w:t>
      </w:r>
    </w:p>
  </w:comment>
  <w:comment w:id="52" w:author="Author" w:initials="A">
    <w:p w14:paraId="2580CC93" w14:textId="77777777" w:rsidR="005E0ACF" w:rsidRDefault="005E0ACF" w:rsidP="005E0ACF">
      <w:pPr>
        <w:pStyle w:val="ListParagraph"/>
        <w:spacing w:after="0" w:line="280" w:lineRule="exact"/>
        <w:ind w:left="0"/>
      </w:pPr>
      <w:r>
        <w:rPr>
          <w:rStyle w:val="CommentReference"/>
        </w:rPr>
        <w:annotationRef/>
      </w:r>
      <w:r>
        <w:t xml:space="preserve">Given that Section 9 covers hedging, we would suggest considering moving parts of Section 4.A.4 to that section. </w:t>
      </w:r>
    </w:p>
    <w:p w14:paraId="3F4394D7" w14:textId="5934E078" w:rsidR="005E0ACF" w:rsidRDefault="005E0ACF">
      <w:pPr>
        <w:pStyle w:val="CommentText"/>
      </w:pPr>
    </w:p>
  </w:comment>
  <w:comment w:id="53" w:author="Author" w:initials="A">
    <w:p w14:paraId="6BF7F29E" w14:textId="49D7E823" w:rsidR="005E0ACF" w:rsidRDefault="005E0ACF">
      <w:pPr>
        <w:pStyle w:val="CommentText"/>
      </w:pPr>
      <w:r>
        <w:rPr>
          <w:rStyle w:val="CommentReference"/>
        </w:rPr>
        <w:annotationRef/>
      </w:r>
      <w:r>
        <w:t xml:space="preserve">Suggest rewording </w:t>
      </w:r>
      <w:r w:rsidRPr="00F34146">
        <w:t>"Future hedging program"</w:t>
      </w:r>
      <w:r>
        <w:t xml:space="preserve"> to “</w:t>
      </w:r>
      <w:r w:rsidRPr="00F34146">
        <w:t>hedging program with future transactions</w:t>
      </w:r>
      <w:r>
        <w:t>” to avoid ambiguity.</w:t>
      </w:r>
    </w:p>
  </w:comment>
  <w:comment w:id="54" w:author="Author" w:initials="A">
    <w:p w14:paraId="3C8A2611" w14:textId="1FE5BA72" w:rsidR="005E0ACF" w:rsidRDefault="005E0ACF">
      <w:pPr>
        <w:pStyle w:val="CommentText"/>
      </w:pPr>
      <w:r>
        <w:rPr>
          <w:rStyle w:val="CommentReference"/>
        </w:rPr>
        <w:annotationRef/>
      </w:r>
      <w:r>
        <w:t>“Any other purpose” in the last sentence seems overly broad and should be narrowed.</w:t>
      </w:r>
    </w:p>
  </w:comment>
  <w:comment w:id="55" w:author="Author" w:initials="A">
    <w:p w14:paraId="3B2F0A84" w14:textId="1DF26D30" w:rsidR="005E0ACF" w:rsidRDefault="005E0ACF">
      <w:pPr>
        <w:pStyle w:val="CommentText"/>
      </w:pPr>
      <w:r>
        <w:rPr>
          <w:rStyle w:val="CommentReference"/>
        </w:rPr>
        <w:annotationRef/>
      </w:r>
      <w:r>
        <w:t>We believe the company should determine the appropriate margin based on their demonstration of effectiveness. Any guardrails on these undetermined values should be minimal, including as low as 0, subject to the appropriate demonstration of effectiveness. Further, we believe that documentation of effective product management should be contemplated in addition to historical effectiveness.</w:t>
      </w:r>
    </w:p>
  </w:comment>
  <w:comment w:id="56" w:author="Author" w:initials="A">
    <w:p w14:paraId="2C1C5841" w14:textId="030D514B" w:rsidR="005E0ACF" w:rsidRDefault="005E0ACF">
      <w:pPr>
        <w:pStyle w:val="CommentText"/>
      </w:pPr>
      <w:r>
        <w:rPr>
          <w:rStyle w:val="CommentReference"/>
        </w:rPr>
        <w:annotationRef/>
      </w:r>
      <w:r w:rsidRPr="00FC3F9D">
        <w:t>Margins are discussed in a different section, so recommend deleting.</w:t>
      </w:r>
    </w:p>
  </w:comment>
  <w:comment w:id="57" w:author="Author" w:initials="A">
    <w:p w14:paraId="74A9F04A" w14:textId="1D5EA407" w:rsidR="005E0ACF" w:rsidRDefault="005E0ACF">
      <w:pPr>
        <w:pStyle w:val="CommentText"/>
      </w:pPr>
      <w:r>
        <w:rPr>
          <w:rStyle w:val="CommentReference"/>
        </w:rPr>
        <w:annotationRef/>
      </w:r>
      <w:r>
        <w:t xml:space="preserve">Unclear why </w:t>
      </w:r>
      <w:r w:rsidRPr="00FA3F1C">
        <w:t>Revenue Sharing</w:t>
      </w:r>
      <w:r>
        <w:t xml:space="preserve"> is</w:t>
      </w:r>
      <w:r w:rsidRPr="00FA3F1C">
        <w:t xml:space="preserve"> considered for non-variable product</w:t>
      </w:r>
      <w:r>
        <w:t>s, can probably delete.</w:t>
      </w:r>
    </w:p>
  </w:comment>
  <w:comment w:id="59" w:author="Author" w:initials="A">
    <w:p w14:paraId="04C76C73" w14:textId="7E96C335" w:rsidR="005E0ACF" w:rsidRDefault="005E0ACF">
      <w:pPr>
        <w:pStyle w:val="CommentText"/>
      </w:pPr>
      <w:r>
        <w:rPr>
          <w:rStyle w:val="CommentReference"/>
        </w:rPr>
        <w:annotationRef/>
      </w:r>
      <w:r>
        <w:t>Section does not specify what the reserve floor shall be (if any) for contracts without cash surrender value.</w:t>
      </w:r>
    </w:p>
  </w:comment>
  <w:comment w:id="60" w:author="Author" w:initials="A">
    <w:p w14:paraId="78CBB51F" w14:textId="40F3B61C" w:rsidR="005E0ACF" w:rsidRDefault="005E0ACF">
      <w:pPr>
        <w:pStyle w:val="CommentText"/>
      </w:pPr>
      <w:r>
        <w:rPr>
          <w:rStyle w:val="CommentReference"/>
        </w:rPr>
        <w:annotationRef/>
      </w:r>
      <w:r>
        <w:t>We believe that assets held in the separate account with performance not impacting policyholder benefits should be modeled consistent with how the business is managed.</w:t>
      </w:r>
    </w:p>
  </w:comment>
  <w:comment w:id="63" w:author="Author" w:initials="A">
    <w:p w14:paraId="221C83D3" w14:textId="08DB4A06" w:rsidR="00687D10" w:rsidRDefault="00687D10">
      <w:pPr>
        <w:pStyle w:val="CommentText"/>
      </w:pPr>
      <w:r>
        <w:rPr>
          <w:rStyle w:val="CommentReference"/>
        </w:rPr>
        <w:annotationRef/>
      </w:r>
      <w:r>
        <w:t>Request clarification around the meaning of “general account index funds”.</w:t>
      </w:r>
    </w:p>
  </w:comment>
  <w:comment w:id="65" w:author="Author" w:initials="A">
    <w:p w14:paraId="58D6B156" w14:textId="4B8274D5" w:rsidR="00687D10" w:rsidRDefault="00687D10">
      <w:pPr>
        <w:pStyle w:val="CommentText"/>
      </w:pPr>
      <w:r>
        <w:rPr>
          <w:rStyle w:val="CommentReference"/>
        </w:rPr>
        <w:annotationRef/>
      </w:r>
      <w:r>
        <w:t>Suggest deleting “In contrast, for payouts specified at issue, the payout rates modeled should be consistent with those specified in the contract.” as it appears to be covered by E.1.a.</w:t>
      </w:r>
    </w:p>
  </w:comment>
  <w:comment w:id="66" w:author="Author" w:initials="A">
    <w:p w14:paraId="516E2BC6" w14:textId="63BC3562" w:rsidR="00687D10" w:rsidRDefault="00687D10">
      <w:pPr>
        <w:pStyle w:val="CommentText"/>
      </w:pPr>
      <w:r>
        <w:rPr>
          <w:rStyle w:val="CommentReference"/>
        </w:rPr>
        <w:annotationRef/>
      </w:r>
      <w:r>
        <w:t>Suggest deleting “may” as there appears to be only option.</w:t>
      </w:r>
    </w:p>
  </w:comment>
  <w:comment w:id="70" w:author="Author" w:initials="A">
    <w:p w14:paraId="0F5C2819" w14:textId="77777777" w:rsidR="00687D10" w:rsidRPr="001B7944" w:rsidRDefault="00687D10" w:rsidP="00687D10">
      <w:pPr>
        <w:pStyle w:val="ListParagraph"/>
        <w:spacing w:after="0" w:line="280" w:lineRule="exact"/>
        <w:ind w:left="0"/>
        <w:rPr>
          <w:u w:val="single"/>
        </w:rPr>
      </w:pPr>
      <w:r>
        <w:rPr>
          <w:rStyle w:val="CommentReference"/>
        </w:rPr>
        <w:annotationRef/>
      </w:r>
      <w:r>
        <w:t>T</w:t>
      </w:r>
      <w:r w:rsidRPr="001B7944">
        <w:t xml:space="preserve">he wording </w:t>
      </w:r>
      <w:r>
        <w:t xml:space="preserve">and titling </w:t>
      </w:r>
      <w:r w:rsidRPr="001B7944">
        <w:t xml:space="preserve">may need to be tightened due to </w:t>
      </w:r>
      <w:r>
        <w:t xml:space="preserve">clarify which items apply to </w:t>
      </w:r>
      <w:r w:rsidRPr="001B7944">
        <w:t xml:space="preserve">assumed and ceded </w:t>
      </w:r>
      <w:r>
        <w:t xml:space="preserve">reinsurance </w:t>
      </w:r>
      <w:r w:rsidRPr="001B7944">
        <w:t>in the text.</w:t>
      </w:r>
    </w:p>
    <w:p w14:paraId="0590E0F2" w14:textId="5D7AF04B" w:rsidR="00687D10" w:rsidRDefault="00687D10">
      <w:pPr>
        <w:pStyle w:val="CommentText"/>
      </w:pPr>
    </w:p>
  </w:comment>
  <w:comment w:id="76" w:author="Author" w:initials="A">
    <w:p w14:paraId="3159EC9E" w14:textId="7A99DB0C" w:rsidR="00687D10" w:rsidRDefault="00687D10">
      <w:pPr>
        <w:pStyle w:val="CommentText"/>
      </w:pPr>
      <w:r>
        <w:rPr>
          <w:rStyle w:val="CommentReference"/>
        </w:rPr>
        <w:annotationRef/>
      </w:r>
      <w:r w:rsidRPr="001B7944">
        <w:t xml:space="preserve">We recommend removing "pension risk transfer business" from </w:t>
      </w:r>
      <w:r>
        <w:t>products scoped out of SET certification method</w:t>
      </w:r>
      <w:r w:rsidRPr="001B7944">
        <w:t>.  It is unclear why this business would be treated differently from individually issued business for testing intended to capture interest rate risk.</w:t>
      </w:r>
    </w:p>
  </w:comment>
  <w:comment w:id="78" w:author="Author" w:initials="A">
    <w:p w14:paraId="3ED1FF32" w14:textId="77777777" w:rsidR="00687D10" w:rsidRPr="001B7944" w:rsidRDefault="00687D10" w:rsidP="00687D10">
      <w:pPr>
        <w:pStyle w:val="ListParagraph"/>
        <w:spacing w:after="0" w:line="280" w:lineRule="exact"/>
        <w:ind w:left="0"/>
      </w:pPr>
      <w:r>
        <w:rPr>
          <w:rStyle w:val="CommentReference"/>
        </w:rPr>
        <w:annotationRef/>
      </w:r>
      <w:r w:rsidRPr="001B7944">
        <w:t>As written, the SERT assumes a single premium product given the change of the denominator to the scenario reserve.  Alternative product designs (such as longevity swap) could result in unintended results.  We recommend maintaining consistency with VM-20 and using a denominator of future benefits (annuity payments, DBs, etc.</w:t>
      </w:r>
      <w:r>
        <w:t>, excluding premium considerations, expenses, etc.</w:t>
      </w:r>
      <w:r w:rsidRPr="001B7944">
        <w:t xml:space="preserve">).  </w:t>
      </w:r>
    </w:p>
    <w:p w14:paraId="2DB70751" w14:textId="1937F96F" w:rsidR="00687D10" w:rsidRDefault="00687D10">
      <w:pPr>
        <w:pStyle w:val="CommentText"/>
      </w:pPr>
    </w:p>
  </w:comment>
  <w:comment w:id="79" w:author="Author" w:initials="A">
    <w:p w14:paraId="38EE565D" w14:textId="390C981A" w:rsidR="00687D10" w:rsidRDefault="00687D10">
      <w:pPr>
        <w:pStyle w:val="CommentText"/>
      </w:pPr>
      <w:r>
        <w:rPr>
          <w:rStyle w:val="CommentReference"/>
        </w:rPr>
        <w:annotationRef/>
      </w:r>
      <w:r>
        <w:t xml:space="preserve">Clarification is needed around reference </w:t>
      </w:r>
      <w:proofErr w:type="gramStart"/>
      <w:r>
        <w:t xml:space="preserve">to  </w:t>
      </w:r>
      <w:r w:rsidRPr="001B7944">
        <w:t>“</w:t>
      </w:r>
      <w:proofErr w:type="gramEnd"/>
      <w:r w:rsidRPr="001B7944">
        <w:t>significantly different risk profiles”</w:t>
      </w:r>
      <w:r>
        <w:t>.</w:t>
      </w:r>
    </w:p>
  </w:comment>
  <w:comment w:id="80" w:author="Author" w:initials="A">
    <w:p w14:paraId="0D3FB62F" w14:textId="74FE56D5" w:rsidR="00687D10" w:rsidRDefault="00687D10">
      <w:pPr>
        <w:pStyle w:val="CommentText"/>
      </w:pPr>
      <w:r>
        <w:rPr>
          <w:rStyle w:val="CommentReference"/>
        </w:rPr>
        <w:annotationRef/>
      </w:r>
      <w:r>
        <w:t xml:space="preserve">We request clarification or definition of the term </w:t>
      </w:r>
      <w:r w:rsidRPr="001B7944">
        <w:t>“non-proportional reinsurance”</w:t>
      </w:r>
      <w:r>
        <w:t>.</w:t>
      </w:r>
    </w:p>
  </w:comment>
  <w:comment w:id="81" w:author="Author" w:initials="A">
    <w:p w14:paraId="0567F19F" w14:textId="578C156F" w:rsidR="00687D10" w:rsidRDefault="00687D10">
      <w:pPr>
        <w:pStyle w:val="CommentText"/>
      </w:pPr>
      <w:r>
        <w:rPr>
          <w:rStyle w:val="CommentReference"/>
        </w:rPr>
        <w:annotationRef/>
      </w:r>
      <w:r w:rsidRPr="001B7944">
        <w:t>We believe subscript “</w:t>
      </w:r>
      <w:proofErr w:type="spellStart"/>
      <w:r w:rsidRPr="001B7944">
        <w:t>gy</w:t>
      </w:r>
      <w:proofErr w:type="spellEnd"/>
      <w:r w:rsidRPr="001B7944">
        <w:t>” should be “</w:t>
      </w:r>
      <w:proofErr w:type="spellStart"/>
      <w:r w:rsidRPr="001B7944">
        <w:t>gn</w:t>
      </w:r>
      <w:proofErr w:type="spellEnd"/>
      <w:r w:rsidRPr="001B7944">
        <w:t>”.</w:t>
      </w:r>
    </w:p>
  </w:comment>
  <w:comment w:id="83" w:author="Author" w:initials="A">
    <w:p w14:paraId="48B11A04" w14:textId="3E3CACE8" w:rsidR="00687D10" w:rsidRDefault="00687D10">
      <w:pPr>
        <w:pStyle w:val="CommentText"/>
      </w:pPr>
      <w:r>
        <w:rPr>
          <w:rStyle w:val="CommentReference"/>
        </w:rPr>
        <w:annotationRef/>
      </w:r>
      <w:r w:rsidRPr="001B7944">
        <w:t xml:space="preserve">Does this statement imply a floor reserve of VM-A and VM-C? VM-20 does require the NPR as the floor of the reserve but as written, VM-22 does not require a floor reserve. Recommend removing 1.a.  Same statement with the 2.a statement demonstration. This requirement does not apply to the other </w:t>
      </w:r>
      <w:r>
        <w:t>permitted tests</w:t>
      </w:r>
      <w:r w:rsidRPr="001B7944">
        <w:t>, which seemed counterintuitive.</w:t>
      </w:r>
    </w:p>
  </w:comment>
  <w:comment w:id="87" w:author="Author" w:initials="A">
    <w:p w14:paraId="21E02CE2" w14:textId="77777777" w:rsidR="0046475C" w:rsidRPr="002362A7" w:rsidRDefault="0046475C" w:rsidP="0046475C">
      <w:pPr>
        <w:pStyle w:val="ListParagraph"/>
        <w:spacing w:after="0" w:line="280" w:lineRule="exact"/>
        <w:ind w:left="0"/>
        <w:rPr>
          <w:u w:val="single"/>
        </w:rPr>
      </w:pPr>
      <w:r>
        <w:rPr>
          <w:rStyle w:val="CommentReference"/>
        </w:rPr>
        <w:annotationRef/>
      </w:r>
      <w:r>
        <w:t>Section 4.A.4 (Modeling of Hedges) has some relationship with this section, we request clarification around the applicability of these two areas of hedge guidance.</w:t>
      </w:r>
    </w:p>
    <w:p w14:paraId="2D5F65C4" w14:textId="3026A1CF" w:rsidR="0046475C" w:rsidRDefault="0046475C">
      <w:pPr>
        <w:pStyle w:val="CommentText"/>
      </w:pPr>
    </w:p>
  </w:comment>
  <w:comment w:id="89" w:author="Author" w:initials="A">
    <w:p w14:paraId="2674A030" w14:textId="77777777" w:rsidR="00590EA5" w:rsidRPr="002362A7" w:rsidRDefault="0046475C" w:rsidP="00590EA5">
      <w:pPr>
        <w:pStyle w:val="ListParagraph"/>
        <w:spacing w:after="0" w:line="280" w:lineRule="exact"/>
        <w:ind w:left="0"/>
        <w:rPr>
          <w:u w:val="single"/>
        </w:rPr>
      </w:pPr>
      <w:r>
        <w:rPr>
          <w:rStyle w:val="CommentReference"/>
        </w:rPr>
        <w:annotationRef/>
      </w:r>
      <w:r w:rsidR="00590EA5">
        <w:t>We seek clarification of this text: i</w:t>
      </w:r>
      <w:r w:rsidR="00590EA5" w:rsidRPr="002362A7">
        <w:t>f</w:t>
      </w:r>
      <w:r w:rsidR="00590EA5">
        <w:t xml:space="preserve"> a company</w:t>
      </w:r>
      <w:r w:rsidR="00590EA5" w:rsidRPr="002362A7">
        <w:t xml:space="preserve"> only hedge</w:t>
      </w:r>
      <w:r w:rsidR="00590EA5">
        <w:t>s</w:t>
      </w:r>
      <w:r w:rsidR="00590EA5" w:rsidRPr="002362A7">
        <w:t xml:space="preserve"> ind</w:t>
      </w:r>
      <w:r w:rsidR="00590EA5">
        <w:t>ices</w:t>
      </w:r>
      <w:r w:rsidR="00590EA5" w:rsidRPr="002362A7">
        <w:t xml:space="preserve"> or separate</w:t>
      </w:r>
      <w:r w:rsidR="00590EA5">
        <w:t>s</w:t>
      </w:r>
      <w:r w:rsidR="00590EA5" w:rsidRPr="002362A7">
        <w:t xml:space="preserve"> index crediting from other hedges, does this apply, or does it only apply to any other hedging?</w:t>
      </w:r>
    </w:p>
    <w:p w14:paraId="0102363E" w14:textId="63320DC1" w:rsidR="0046475C" w:rsidRDefault="0046475C">
      <w:pPr>
        <w:pStyle w:val="CommentText"/>
      </w:pPr>
    </w:p>
  </w:comment>
  <w:comment w:id="90" w:author="Author" w:initials="A">
    <w:p w14:paraId="59EE0A95" w14:textId="77777777" w:rsidR="006D084F" w:rsidRPr="00A20965" w:rsidRDefault="006D084F" w:rsidP="006D084F">
      <w:pPr>
        <w:pStyle w:val="ListParagraph"/>
        <w:spacing w:after="0" w:line="280" w:lineRule="exact"/>
        <w:ind w:left="0"/>
      </w:pPr>
      <w:r>
        <w:rPr>
          <w:rStyle w:val="CommentReference"/>
        </w:rPr>
        <w:annotationRef/>
      </w:r>
      <w:r>
        <w:t>The sentence “Prior to reflection in projections, the strategy for future hedge purposes shall be the actual practice of the company for a period of time not less than [6] months.” seems to suggest you would do something other than the actual hedging strategy after [6] months. In this case, what are you assuming for modeling? We suggest clarification of this sentence.</w:t>
      </w:r>
    </w:p>
    <w:p w14:paraId="39093C1D" w14:textId="1C18DBCF" w:rsidR="006D084F" w:rsidRDefault="006D084F">
      <w:pPr>
        <w:pStyle w:val="CommentText"/>
      </w:pPr>
    </w:p>
  </w:comment>
  <w:comment w:id="94" w:author="Author" w:initials="A">
    <w:p w14:paraId="54E835E1" w14:textId="77777777" w:rsidR="003F0BF7" w:rsidRPr="00A20965" w:rsidRDefault="003F0BF7" w:rsidP="003F0BF7">
      <w:pPr>
        <w:pStyle w:val="ListParagraph"/>
        <w:spacing w:after="0" w:line="280" w:lineRule="exact"/>
        <w:ind w:left="0"/>
      </w:pPr>
      <w:r>
        <w:rPr>
          <w:rStyle w:val="CommentReference"/>
        </w:rPr>
        <w:annotationRef/>
      </w:r>
      <w:r>
        <w:t>Suggest replacing “indexed” with “fixed” since this would apply to all fixed annuities.</w:t>
      </w:r>
    </w:p>
    <w:p w14:paraId="0A784B01" w14:textId="6B67D69F" w:rsidR="003F0BF7" w:rsidRDefault="003F0BF7">
      <w:pPr>
        <w:pStyle w:val="CommentText"/>
      </w:pPr>
    </w:p>
  </w:comment>
  <w:comment w:id="97" w:author="Author" w:initials="A">
    <w:p w14:paraId="2408B0D1" w14:textId="309EB133" w:rsidR="00E42815" w:rsidRDefault="00E42815">
      <w:pPr>
        <w:pStyle w:val="CommentText"/>
      </w:pPr>
      <w:r>
        <w:rPr>
          <w:rStyle w:val="CommentReference"/>
        </w:rPr>
        <w:annotationRef/>
      </w:r>
      <w:r w:rsidR="00A8679E">
        <w:t>We would suggest rewording this section to be considerations rather than posed as questions.</w:t>
      </w:r>
    </w:p>
  </w:comment>
  <w:comment w:id="100" w:author="Author" w:initials="A">
    <w:p w14:paraId="578EA3D7" w14:textId="307E5909" w:rsidR="000A2D23" w:rsidRDefault="000A2D23">
      <w:pPr>
        <w:pStyle w:val="CommentText"/>
      </w:pPr>
      <w:r>
        <w:rPr>
          <w:rStyle w:val="CommentReference"/>
        </w:rPr>
        <w:annotationRef/>
      </w:r>
      <w:r w:rsidR="00A5035A">
        <w:t>Suggest updating bullet to “</w:t>
      </w:r>
      <w:r w:rsidR="00A5035A" w:rsidRPr="00A20965">
        <w:t xml:space="preserve">Other </w:t>
      </w:r>
      <w:r w:rsidR="00A5035A">
        <w:rPr>
          <w:color w:val="FF0000"/>
        </w:rPr>
        <w:t xml:space="preserve">material </w:t>
      </w:r>
      <w:r w:rsidR="00A5035A" w:rsidRPr="00A20965">
        <w:t>behavior assumptions if relevant to the risks in the product.</w:t>
      </w:r>
      <w:r w:rsidR="00A5035A">
        <w:t>”</w:t>
      </w:r>
    </w:p>
  </w:comment>
  <w:comment w:id="102" w:author="Author" w:initials="A">
    <w:p w14:paraId="04FA90AE" w14:textId="77777777" w:rsidR="00173A5C" w:rsidRPr="00AE7A00" w:rsidRDefault="00A8679E" w:rsidP="00173A5C">
      <w:pPr>
        <w:pStyle w:val="ListParagraph"/>
        <w:spacing w:after="0" w:line="280" w:lineRule="exact"/>
        <w:ind w:left="0"/>
        <w:rPr>
          <w:u w:val="single"/>
        </w:rPr>
      </w:pPr>
      <w:r>
        <w:rPr>
          <w:rStyle w:val="CommentReference"/>
        </w:rPr>
        <w:annotationRef/>
      </w:r>
      <w:r w:rsidR="00173A5C" w:rsidRPr="00B47A57">
        <w:t>This section states that “contract holder behavior should neither assume that all contract holders act with 100% efficiency in a financially rational manner nor assume that contract holders will always act irrationally.</w:t>
      </w:r>
      <w:r w:rsidR="00173A5C">
        <w:t>” This text seems to directly contradict Section II. Reserve Requirements 6.H.2 which states “</w:t>
      </w:r>
      <w:r w:rsidR="00173A5C" w:rsidRPr="00EA20BF">
        <w:t>When advantageous, policyholders will commence living benefit payouts if not started yet.</w:t>
      </w:r>
      <w:r w:rsidR="00173A5C">
        <w:t>”. We suggest revising 6.H.2 to align with the text of 10.D.8.</w:t>
      </w:r>
    </w:p>
    <w:p w14:paraId="386E349E" w14:textId="1B8D078E" w:rsidR="00A8679E" w:rsidRDefault="00A8679E">
      <w:pPr>
        <w:pStyle w:val="CommentText"/>
      </w:pPr>
    </w:p>
  </w:comment>
  <w:comment w:id="104" w:author="Author" w:initials="A">
    <w:p w14:paraId="3D0A88F2" w14:textId="66822D6A" w:rsidR="00A5035A" w:rsidRDefault="00A5035A">
      <w:pPr>
        <w:pStyle w:val="CommentText"/>
      </w:pPr>
      <w:r>
        <w:rPr>
          <w:rStyle w:val="CommentReference"/>
        </w:rPr>
        <w:annotationRef/>
      </w:r>
      <w:r w:rsidR="005E3E46">
        <w:t>Suggest replacing “</w:t>
      </w:r>
      <w:r w:rsidR="005E3E46" w:rsidRPr="00B7776B">
        <w:t>Risk factors that are not scenario tested but</w:t>
      </w:r>
      <w:r w:rsidR="005E3E46">
        <w:t>” with “</w:t>
      </w:r>
      <w:r w:rsidR="005E3E46" w:rsidRPr="00B7776B">
        <w:t>Static assumptions that</w:t>
      </w:r>
      <w:r w:rsidR="005E3E46">
        <w:t>” to improve clarity in the wording.</w:t>
      </w:r>
    </w:p>
  </w:comment>
  <w:comment w:id="106" w:author="Author" w:initials="A">
    <w:p w14:paraId="23A700C9" w14:textId="77777777" w:rsidR="00931B09" w:rsidRPr="00EA20BF" w:rsidRDefault="005E3E46" w:rsidP="00931B09">
      <w:pPr>
        <w:pStyle w:val="ListParagraph"/>
        <w:spacing w:after="0" w:line="280" w:lineRule="exact"/>
        <w:ind w:left="0"/>
        <w:rPr>
          <w:u w:val="single"/>
        </w:rPr>
      </w:pPr>
      <w:r>
        <w:rPr>
          <w:rStyle w:val="CommentReference"/>
        </w:rPr>
        <w:annotationRef/>
      </w:r>
      <w:r w:rsidR="00931B09">
        <w:t xml:space="preserve">Suggesting deleting as we are not aware of </w:t>
      </w:r>
      <w:r w:rsidR="00931B09" w:rsidRPr="00CC349F">
        <w:t xml:space="preserve">dynamic credit spreads </w:t>
      </w:r>
      <w:r w:rsidR="00931B09">
        <w:t>typically being</w:t>
      </w:r>
      <w:r w:rsidR="00931B09" w:rsidRPr="00CC349F">
        <w:t xml:space="preserve"> modeled</w:t>
      </w:r>
      <w:r w:rsidR="00931B09">
        <w:t>.</w:t>
      </w:r>
    </w:p>
    <w:p w14:paraId="7F89D4F7" w14:textId="58D5F08A" w:rsidR="005E3E46" w:rsidRDefault="005E3E46">
      <w:pPr>
        <w:pStyle w:val="CommentText"/>
      </w:pPr>
    </w:p>
  </w:comment>
  <w:comment w:id="111" w:author="Author" w:initials="A">
    <w:p w14:paraId="3BBCA8F8" w14:textId="2021438A" w:rsidR="00FC1D3F" w:rsidRDefault="00FC1D3F">
      <w:pPr>
        <w:pStyle w:val="CommentText"/>
      </w:pPr>
      <w:r>
        <w:rPr>
          <w:rStyle w:val="CommentReference"/>
        </w:rPr>
        <w:annotationRef/>
      </w:r>
      <w:r w:rsidR="00B92323">
        <w:rPr>
          <w:u w:val="single"/>
        </w:rPr>
        <w:t xml:space="preserve">Specific requirements will require further discussion, particularly what if any industry experience is identified for the SPA. Ideally, </w:t>
      </w:r>
      <w:proofErr w:type="gramStart"/>
      <w:r w:rsidR="00B92323">
        <w:rPr>
          <w:u w:val="single"/>
        </w:rPr>
        <w:t>updated</w:t>
      </w:r>
      <w:proofErr w:type="gramEnd"/>
      <w:r w:rsidR="00B92323">
        <w:rPr>
          <w:u w:val="single"/>
        </w:rPr>
        <w:t xml:space="preserve"> and appropriate assumptions should be used for better alignment and to avoid any false positives flagged as an outlier by the SPA.</w:t>
      </w:r>
    </w:p>
  </w:comment>
  <w:comment w:id="113" w:author="Author" w:initials="A">
    <w:p w14:paraId="6ED62EBC" w14:textId="1F995D4A" w:rsidR="00B92323" w:rsidRDefault="00B92323">
      <w:pPr>
        <w:pStyle w:val="CommentText"/>
      </w:pPr>
      <w:r>
        <w:rPr>
          <w:rStyle w:val="CommentReference"/>
        </w:rPr>
        <w:annotationRef/>
      </w:r>
      <w:r w:rsidR="0008254D" w:rsidRPr="0031185A">
        <w:t>Terming the segments “mortality (longevity) segments” would be easier to understand than “plus (minus) segments”.</w:t>
      </w:r>
    </w:p>
  </w:comment>
  <w:comment w:id="115" w:author="Author" w:initials="A">
    <w:p w14:paraId="568A70DA" w14:textId="77777777" w:rsidR="00066474" w:rsidRDefault="0008254D" w:rsidP="00066474">
      <w:pPr>
        <w:pStyle w:val="ListParagraph"/>
        <w:spacing w:after="0" w:line="280" w:lineRule="exact"/>
        <w:ind w:left="0"/>
      </w:pPr>
      <w:r>
        <w:rPr>
          <w:rStyle w:val="CommentReference"/>
        </w:rPr>
        <w:annotationRef/>
      </w:r>
      <w:r w:rsidR="00066474" w:rsidRPr="0031185A">
        <w:t>For PRT an assumption based on a third-party data provider would be better than the industry table to get contract specific mortality assumptions.  Is this permitted?  The guidance note in A.3 seems to get at this, but it’s not clear in B.3.ii.c whether this is allowed.</w:t>
      </w:r>
      <w:r w:rsidR="00066474">
        <w:t xml:space="preserve"> This is an important distinction as </w:t>
      </w:r>
      <w:r w:rsidR="00066474" w:rsidRPr="0031185A">
        <w:t xml:space="preserve">PRT </w:t>
      </w:r>
      <w:r w:rsidR="00066474">
        <w:t>population can vary from those</w:t>
      </w:r>
      <w:r w:rsidR="00066474" w:rsidRPr="0031185A">
        <w:t xml:space="preserve"> </w:t>
      </w:r>
      <w:r w:rsidR="00066474">
        <w:t xml:space="preserve">populations </w:t>
      </w:r>
      <w:r w:rsidR="00066474" w:rsidRPr="0031185A">
        <w:t>the tables are based upon.</w:t>
      </w:r>
    </w:p>
    <w:p w14:paraId="5083F42E" w14:textId="18183111" w:rsidR="0008254D" w:rsidRDefault="0008254D">
      <w:pPr>
        <w:pStyle w:val="CommentText"/>
      </w:pPr>
    </w:p>
  </w:comment>
  <w:comment w:id="116" w:author="Author" w:initials="A">
    <w:p w14:paraId="2BB3B208" w14:textId="79284AC9" w:rsidR="00066474" w:rsidRDefault="00066474">
      <w:pPr>
        <w:pStyle w:val="CommentText"/>
      </w:pPr>
      <w:r>
        <w:rPr>
          <w:rStyle w:val="CommentReference"/>
        </w:rPr>
        <w:annotationRef/>
      </w:r>
      <w:r w:rsidR="00481533">
        <w:rPr>
          <w:sz w:val="22"/>
          <w:szCs w:val="22"/>
        </w:rPr>
        <w:t>T</w:t>
      </w:r>
      <w:r w:rsidR="00481533" w:rsidRPr="00381191">
        <w:rPr>
          <w:sz w:val="22"/>
          <w:szCs w:val="22"/>
        </w:rPr>
        <w:t>he phrase “</w:t>
      </w:r>
      <w:r w:rsidR="00481533" w:rsidRPr="00DE51A9">
        <w:rPr>
          <w:sz w:val="22"/>
          <w:szCs w:val="22"/>
        </w:rPr>
        <w:t>When little or no experience or information is available on a business segment” is not included, unlike in (</w:t>
      </w:r>
      <w:proofErr w:type="spellStart"/>
      <w:r w:rsidR="00481533" w:rsidRPr="00DE51A9">
        <w:rPr>
          <w:sz w:val="22"/>
          <w:szCs w:val="22"/>
        </w:rPr>
        <w:t>i</w:t>
      </w:r>
      <w:proofErr w:type="spellEnd"/>
      <w:r w:rsidR="00481533" w:rsidRPr="00DE51A9">
        <w:rPr>
          <w:sz w:val="22"/>
          <w:szCs w:val="22"/>
        </w:rPr>
        <w:t>) and (ii) of the same sub-section. It appears to be the intent that this is the only situation in which this would apply, but it would be helpful to make this explicit.</w:t>
      </w:r>
    </w:p>
  </w:comment>
  <w:comment w:id="118" w:author="Author" w:initials="A">
    <w:p w14:paraId="05BD5378" w14:textId="5E3DFDA5" w:rsidR="00FC10D6" w:rsidRDefault="00FC10D6">
      <w:pPr>
        <w:pStyle w:val="CommentText"/>
      </w:pPr>
      <w:r>
        <w:rPr>
          <w:rStyle w:val="CommentReference"/>
        </w:rPr>
        <w:annotationRef/>
      </w:r>
      <w:r w:rsidR="00364617">
        <w:t>Both plan and industry data should get weighted for business such as PRT. This text says to blend with prescribed tables, but that might not make sense unless additional experience data was unavailable.</w:t>
      </w:r>
    </w:p>
  </w:comment>
  <w:comment w:id="119" w:author="Author" w:initials="A">
    <w:p w14:paraId="7E77D07D" w14:textId="1A71AA68" w:rsidR="0052429A" w:rsidRDefault="0052429A">
      <w:pPr>
        <w:pStyle w:val="CommentText"/>
      </w:pPr>
      <w:r>
        <w:rPr>
          <w:rStyle w:val="CommentReference"/>
        </w:rPr>
        <w:annotationRef/>
      </w:r>
      <w:r>
        <w:t>Mortality improvement should be consistent with the underlying tables used, so we would suggest this being based on available experience subject to appropriate guardrails.</w:t>
      </w:r>
    </w:p>
  </w:comment>
  <w:comment w:id="122" w:author="Author" w:initials="A">
    <w:p w14:paraId="535A1A06" w14:textId="68F1606E" w:rsidR="00277E9B" w:rsidRDefault="00277E9B">
      <w:pPr>
        <w:pStyle w:val="CommentText"/>
      </w:pPr>
      <w:r>
        <w:rPr>
          <w:rStyle w:val="CommentReference"/>
        </w:rPr>
        <w:annotationRef/>
      </w:r>
      <w:r w:rsidR="00556510">
        <w:t>We believe discussion of allocation of aggregate reserves should be analyzed as part of the field study.</w:t>
      </w:r>
    </w:p>
  </w:comment>
  <w:comment w:id="128" w:author="Author" w:initials="A">
    <w:p w14:paraId="37828BC4" w14:textId="77777777" w:rsidR="0037500E" w:rsidRPr="00AC4043" w:rsidRDefault="0037500E" w:rsidP="0037500E">
      <w:pPr>
        <w:pStyle w:val="ListParagraph"/>
        <w:spacing w:after="0" w:line="280" w:lineRule="exact"/>
        <w:ind w:left="0"/>
      </w:pPr>
      <w:r>
        <w:rPr>
          <w:rStyle w:val="CommentReference"/>
        </w:rPr>
        <w:annotationRef/>
      </w:r>
      <w:r>
        <w:t xml:space="preserve">We believe a </w:t>
      </w:r>
      <w:r w:rsidRPr="00AC4043">
        <w:t>Fixed Annuity PBR Exemption should be incorporated into draft in a manner consistent with the Life PBR Exemption</w:t>
      </w:r>
      <w:r>
        <w:t>.</w:t>
      </w:r>
    </w:p>
    <w:p w14:paraId="517B7EE8" w14:textId="2638BBDE" w:rsidR="0037500E" w:rsidRDefault="0037500E">
      <w:pPr>
        <w:pStyle w:val="CommentText"/>
      </w:pPr>
    </w:p>
  </w:comment>
  <w:comment w:id="131" w:author="Author" w:initials="A">
    <w:p w14:paraId="4CB64E10" w14:textId="4C510ECA" w:rsidR="008C7EA8" w:rsidRDefault="008C7EA8">
      <w:pPr>
        <w:pStyle w:val="CommentText"/>
      </w:pPr>
      <w:r>
        <w:rPr>
          <w:rStyle w:val="CommentReference"/>
        </w:rPr>
        <w:annotationRef/>
      </w:r>
      <w:r w:rsidR="00AF6942" w:rsidRPr="00B47A57">
        <w:t>This section states that “</w:t>
      </w:r>
      <w:r w:rsidR="00AF6942" w:rsidRPr="00EA20BF">
        <w:t>When advantageous, policyholders will commence living benefit payouts if not started yet.</w:t>
      </w:r>
      <w:r w:rsidR="00AF6942">
        <w:t>” This text seems to directly contradict VM-22 Section 6.H.2 which states “</w:t>
      </w:r>
      <w:r w:rsidR="00AF6942" w:rsidRPr="00B47A57">
        <w:t>contract holder behavior should neither assume that all contract holders act with 100% efficiency in a financially rational manner nor assume that contract holders will always act irrationally</w:t>
      </w:r>
      <w:r w:rsidR="00AF6942">
        <w:t>”. We suggest revising 6.H.2 to align with the text of 10.D.8.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5730D2" w15:done="0"/>
  <w15:commentEx w15:paraId="2AB40FE3" w15:done="0"/>
  <w15:commentEx w15:paraId="22F0719F" w15:done="0"/>
  <w15:commentEx w15:paraId="06ACC93D" w15:done="0"/>
  <w15:commentEx w15:paraId="3F14392F" w15:done="0"/>
  <w15:commentEx w15:paraId="35EF8C93" w15:done="0"/>
  <w15:commentEx w15:paraId="108DF60C" w15:done="0"/>
  <w15:commentEx w15:paraId="5668FD88" w15:done="0"/>
  <w15:commentEx w15:paraId="7BE549EB" w15:done="0"/>
  <w15:commentEx w15:paraId="683B07ED" w15:done="0"/>
  <w15:commentEx w15:paraId="4F94D8A5" w15:done="0"/>
  <w15:commentEx w15:paraId="077F6AE1" w15:done="0"/>
  <w15:commentEx w15:paraId="55F4F8A1" w15:done="0"/>
  <w15:commentEx w15:paraId="4AB1DD44" w15:done="0"/>
  <w15:commentEx w15:paraId="717F0C11" w15:done="0"/>
  <w15:commentEx w15:paraId="5D87755C" w15:done="0"/>
  <w15:commentEx w15:paraId="69E8B823" w15:done="0"/>
  <w15:commentEx w15:paraId="3633B445" w15:done="0"/>
  <w15:commentEx w15:paraId="43431450" w15:done="0"/>
  <w15:commentEx w15:paraId="40280A66" w15:done="0"/>
  <w15:commentEx w15:paraId="11FCB49F" w15:done="0"/>
  <w15:commentEx w15:paraId="5928D10C" w15:done="0"/>
  <w15:commentEx w15:paraId="18A57569" w15:done="0"/>
  <w15:commentEx w15:paraId="5CBD970E" w15:done="0"/>
  <w15:commentEx w15:paraId="4F3F7648" w15:done="0"/>
  <w15:commentEx w15:paraId="047E248E" w15:done="0"/>
  <w15:commentEx w15:paraId="029E2DF3" w15:done="0"/>
  <w15:commentEx w15:paraId="18ACED4D" w15:done="0"/>
  <w15:commentEx w15:paraId="4732F980" w15:done="0"/>
  <w15:commentEx w15:paraId="6694A45B" w15:done="0"/>
  <w15:commentEx w15:paraId="633EC6B8" w15:done="0"/>
  <w15:commentEx w15:paraId="6E3F28C7" w15:done="0"/>
  <w15:commentEx w15:paraId="4EC0E74D" w15:done="0"/>
  <w15:commentEx w15:paraId="5B24573A" w15:done="0"/>
  <w15:commentEx w15:paraId="3F4394D7" w15:done="0"/>
  <w15:commentEx w15:paraId="6BF7F29E" w15:done="0"/>
  <w15:commentEx w15:paraId="3C8A2611" w15:done="0"/>
  <w15:commentEx w15:paraId="3B2F0A84" w15:done="0"/>
  <w15:commentEx w15:paraId="2C1C5841" w15:done="0"/>
  <w15:commentEx w15:paraId="74A9F04A" w15:done="0"/>
  <w15:commentEx w15:paraId="04C76C73" w15:done="0"/>
  <w15:commentEx w15:paraId="78CBB51F" w15:done="0"/>
  <w15:commentEx w15:paraId="221C83D3" w15:done="0"/>
  <w15:commentEx w15:paraId="58D6B156" w15:done="0"/>
  <w15:commentEx w15:paraId="516E2BC6" w15:done="0"/>
  <w15:commentEx w15:paraId="0590E0F2" w15:done="0"/>
  <w15:commentEx w15:paraId="3159EC9E" w15:done="0"/>
  <w15:commentEx w15:paraId="2DB70751" w15:done="0"/>
  <w15:commentEx w15:paraId="38EE565D" w15:done="0"/>
  <w15:commentEx w15:paraId="0D3FB62F" w15:done="0"/>
  <w15:commentEx w15:paraId="0567F19F" w15:done="0"/>
  <w15:commentEx w15:paraId="48B11A04" w15:done="0"/>
  <w15:commentEx w15:paraId="2D5F65C4" w15:done="0"/>
  <w15:commentEx w15:paraId="0102363E" w15:done="0"/>
  <w15:commentEx w15:paraId="39093C1D" w15:done="0"/>
  <w15:commentEx w15:paraId="0A784B01" w15:done="0"/>
  <w15:commentEx w15:paraId="2408B0D1" w15:done="0"/>
  <w15:commentEx w15:paraId="578EA3D7" w15:done="0"/>
  <w15:commentEx w15:paraId="386E349E" w15:done="0"/>
  <w15:commentEx w15:paraId="3D0A88F2" w15:done="0"/>
  <w15:commentEx w15:paraId="7F89D4F7" w15:done="0"/>
  <w15:commentEx w15:paraId="3BBCA8F8" w15:done="0"/>
  <w15:commentEx w15:paraId="6ED62EBC" w15:done="0"/>
  <w15:commentEx w15:paraId="5083F42E" w15:done="0"/>
  <w15:commentEx w15:paraId="2BB3B208" w15:done="0"/>
  <w15:commentEx w15:paraId="05BD5378" w15:done="0"/>
  <w15:commentEx w15:paraId="7E77D07D" w15:done="0"/>
  <w15:commentEx w15:paraId="535A1A06" w15:done="0"/>
  <w15:commentEx w15:paraId="517B7EE8" w15:done="0"/>
  <w15:commentEx w15:paraId="4CB64E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5730D2" w16cid:durableId="253913BA"/>
  <w16cid:commentId w16cid:paraId="2AB40FE3" w16cid:durableId="253CA1BA"/>
  <w16cid:commentId w16cid:paraId="22F0719F" w16cid:durableId="253CA1FF"/>
  <w16cid:commentId w16cid:paraId="06ACC93D" w16cid:durableId="253CA222"/>
  <w16cid:commentId w16cid:paraId="3F14392F" w16cid:durableId="253CA23F"/>
  <w16cid:commentId w16cid:paraId="35EF8C93" w16cid:durableId="253CA265"/>
  <w16cid:commentId w16cid:paraId="108DF60C" w16cid:durableId="253CA284"/>
  <w16cid:commentId w16cid:paraId="5668FD88" w16cid:durableId="253CA2B3"/>
  <w16cid:commentId w16cid:paraId="7BE549EB" w16cid:durableId="253CA2C4"/>
  <w16cid:commentId w16cid:paraId="683B07ED" w16cid:durableId="253CA2EF"/>
  <w16cid:commentId w16cid:paraId="4F94D8A5" w16cid:durableId="253CA303"/>
  <w16cid:commentId w16cid:paraId="077F6AE1" w16cid:durableId="253CA348"/>
  <w16cid:commentId w16cid:paraId="55F4F8A1" w16cid:durableId="253CA4C7"/>
  <w16cid:commentId w16cid:paraId="4AB1DD44" w16cid:durableId="253CA5E4"/>
  <w16cid:commentId w16cid:paraId="717F0C11" w16cid:durableId="253CA614"/>
  <w16cid:commentId w16cid:paraId="5D87755C" w16cid:durableId="253CA63E"/>
  <w16cid:commentId w16cid:paraId="69E8B823" w16cid:durableId="253CA66F"/>
  <w16cid:commentId w16cid:paraId="3633B445" w16cid:durableId="253CA699"/>
  <w16cid:commentId w16cid:paraId="43431450" w16cid:durableId="253CA6BF"/>
  <w16cid:commentId w16cid:paraId="40280A66" w16cid:durableId="253CA5BD"/>
  <w16cid:commentId w16cid:paraId="11FCB49F" w16cid:durableId="253CA6D4"/>
  <w16cid:commentId w16cid:paraId="5928D10C" w16cid:durableId="253CA8AC"/>
  <w16cid:commentId w16cid:paraId="18A57569" w16cid:durableId="253CA8E7"/>
  <w16cid:commentId w16cid:paraId="5CBD970E" w16cid:durableId="253CA927"/>
  <w16cid:commentId w16cid:paraId="4F3F7648" w16cid:durableId="253CA95B"/>
  <w16cid:commentId w16cid:paraId="047E248E" w16cid:durableId="253CA99C"/>
  <w16cid:commentId w16cid:paraId="029E2DF3" w16cid:durableId="253CA9B6"/>
  <w16cid:commentId w16cid:paraId="18ACED4D" w16cid:durableId="253CAA05"/>
  <w16cid:commentId w16cid:paraId="4732F980" w16cid:durableId="253CA9D5"/>
  <w16cid:commentId w16cid:paraId="6694A45B" w16cid:durableId="253CAA31"/>
  <w16cid:commentId w16cid:paraId="633EC6B8" w16cid:durableId="253CAA5C"/>
  <w16cid:commentId w16cid:paraId="6E3F28C7" w16cid:durableId="253CAA7E"/>
  <w16cid:commentId w16cid:paraId="4EC0E74D" w16cid:durableId="253CAB0E"/>
  <w16cid:commentId w16cid:paraId="5B24573A" w16cid:durableId="253CAB3B"/>
  <w16cid:commentId w16cid:paraId="3F4394D7" w16cid:durableId="253CAB64"/>
  <w16cid:commentId w16cid:paraId="6BF7F29E" w16cid:durableId="253CABA2"/>
  <w16cid:commentId w16cid:paraId="3C8A2611" w16cid:durableId="253CACA8"/>
  <w16cid:commentId w16cid:paraId="3B2F0A84" w16cid:durableId="253CACF3"/>
  <w16cid:commentId w16cid:paraId="2C1C5841" w16cid:durableId="253CACE0"/>
  <w16cid:commentId w16cid:paraId="74A9F04A" w16cid:durableId="253CAD16"/>
  <w16cid:commentId w16cid:paraId="04C76C73" w16cid:durableId="253CAD39"/>
  <w16cid:commentId w16cid:paraId="78CBB51F" w16cid:durableId="253CAD65"/>
  <w16cid:commentId w16cid:paraId="221C83D3" w16cid:durableId="253CAD8E"/>
  <w16cid:commentId w16cid:paraId="58D6B156" w16cid:durableId="253CADB3"/>
  <w16cid:commentId w16cid:paraId="516E2BC6" w16cid:durableId="253CADDA"/>
  <w16cid:commentId w16cid:paraId="0590E0F2" w16cid:durableId="253CAE0A"/>
  <w16cid:commentId w16cid:paraId="3159EC9E" w16cid:durableId="253CAE3F"/>
  <w16cid:commentId w16cid:paraId="2DB70751" w16cid:durableId="253CAE66"/>
  <w16cid:commentId w16cid:paraId="38EE565D" w16cid:durableId="253CAEC3"/>
  <w16cid:commentId w16cid:paraId="0D3FB62F" w16cid:durableId="253CAEE4"/>
  <w16cid:commentId w16cid:paraId="0567F19F" w16cid:durableId="253CAF04"/>
  <w16cid:commentId w16cid:paraId="48B11A04" w16cid:durableId="253CAF1F"/>
  <w16cid:commentId w16cid:paraId="2D5F65C4" w16cid:durableId="253CB288"/>
  <w16cid:commentId w16cid:paraId="0102363E" w16cid:durableId="253CB298"/>
  <w16cid:commentId w16cid:paraId="39093C1D" w16cid:durableId="253CB2D5"/>
  <w16cid:commentId w16cid:paraId="0A784B01" w16cid:durableId="253CB2F9"/>
  <w16cid:commentId w16cid:paraId="2408B0D1" w16cid:durableId="253CB354"/>
  <w16cid:commentId w16cid:paraId="578EA3D7" w16cid:durableId="253CB3A8"/>
  <w16cid:commentId w16cid:paraId="386E349E" w16cid:durableId="253CB36F"/>
  <w16cid:commentId w16cid:paraId="3D0A88F2" w16cid:durableId="253CB3C2"/>
  <w16cid:commentId w16cid:paraId="7F89D4F7" w16cid:durableId="253CB3E8"/>
  <w16cid:commentId w16cid:paraId="3BBCA8F8" w16cid:durableId="253CB417"/>
  <w16cid:commentId w16cid:paraId="6ED62EBC" w16cid:durableId="253CB435"/>
  <w16cid:commentId w16cid:paraId="5083F42E" w16cid:durableId="253CB466"/>
  <w16cid:commentId w16cid:paraId="2BB3B208" w16cid:durableId="253CB485"/>
  <w16cid:commentId w16cid:paraId="05BD5378" w16cid:durableId="253CB4B9"/>
  <w16cid:commentId w16cid:paraId="7E77D07D" w16cid:durableId="253CB4D4"/>
  <w16cid:commentId w16cid:paraId="535A1A06" w16cid:durableId="253CB4EE"/>
  <w16cid:commentId w16cid:paraId="517B7EE8" w16cid:durableId="253CB571"/>
  <w16cid:commentId w16cid:paraId="4CB64E10" w16cid:durableId="253CB5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92B29" w14:textId="77777777" w:rsidR="00B448B5" w:rsidRDefault="00B448B5" w:rsidP="0040376D">
      <w:pPr>
        <w:spacing w:after="0" w:line="240" w:lineRule="auto"/>
      </w:pPr>
      <w:r>
        <w:separator/>
      </w:r>
    </w:p>
  </w:endnote>
  <w:endnote w:type="continuationSeparator" w:id="0">
    <w:p w14:paraId="12108674" w14:textId="77777777" w:rsidR="00B448B5" w:rsidRDefault="00B448B5" w:rsidP="0040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08F2" w14:textId="3890E771" w:rsidR="0010763B" w:rsidRPr="0010763B" w:rsidRDefault="0010763B" w:rsidP="0010763B">
    <w:pPr>
      <w:pStyle w:val="Footer"/>
      <w:jc w:val="center"/>
      <w:rPr>
        <w:rFonts w:ascii="Times New Roman" w:hAnsi="Times New Roman" w:cs="Times New Roman"/>
        <w:sz w:val="16"/>
      </w:rPr>
    </w:pPr>
    <w:r w:rsidRPr="002D1659">
      <w:rPr>
        <w:rFonts w:ascii="Times New Roman" w:hAnsi="Times New Roman" w:cs="Times New Roman"/>
        <w:sz w:val="16"/>
      </w:rPr>
      <w:t>1850 M Street NW     Suite 300     Washington, DC 20036     Telephone 202 223 8196     Facsimile 202 872 1948    www.</w:t>
    </w:r>
    <w:r w:rsidRPr="00F85665">
      <w:rPr>
        <w:rFonts w:ascii="Times New Roman" w:hAnsi="Times New Roman" w:cs="Times New Roman"/>
        <w:sz w:val="16"/>
      </w:rPr>
      <w:t>a</w:t>
    </w:r>
    <w:r w:rsidRPr="002D1659">
      <w:rPr>
        <w:rFonts w:ascii="Times New Roman" w:hAnsi="Times New Roman" w:cs="Times New Roman"/>
        <w:sz w:val="16"/>
      </w:rPr>
      <w:t>ctuary.org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A2E0" w14:textId="02CDDC4C" w:rsidR="0010763B" w:rsidRPr="0010763B" w:rsidRDefault="0010763B" w:rsidP="0010763B">
    <w:pPr>
      <w:pStyle w:val="Footer"/>
      <w:jc w:val="center"/>
      <w:rPr>
        <w:rFonts w:ascii="Times New Roman" w:hAnsi="Times New Roman" w:cs="Times New Roman"/>
        <w:sz w:val="16"/>
      </w:rPr>
    </w:pPr>
    <w:r w:rsidRPr="002D1659">
      <w:rPr>
        <w:rFonts w:ascii="Times New Roman" w:hAnsi="Times New Roman" w:cs="Times New Roman"/>
        <w:sz w:val="16"/>
      </w:rPr>
      <w:t>1850 M Street NW     Suite 300     Washington, DC 20036     Telephone 202 223 8196     Facsimile 202 872 1948    www.</w:t>
    </w:r>
    <w:r w:rsidRPr="00F85665">
      <w:rPr>
        <w:rFonts w:ascii="Times New Roman" w:hAnsi="Times New Roman" w:cs="Times New Roman"/>
        <w:sz w:val="16"/>
      </w:rPr>
      <w:t>a</w:t>
    </w:r>
    <w:r w:rsidRPr="002D1659">
      <w:rPr>
        <w:rFonts w:ascii="Times New Roman" w:hAnsi="Times New Roman" w:cs="Times New Roman"/>
        <w:sz w:val="16"/>
      </w:rPr>
      <w:t>ctuary.org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420F" w14:textId="77777777" w:rsidR="00B448B5" w:rsidRDefault="00B448B5" w:rsidP="0040376D">
      <w:pPr>
        <w:spacing w:after="0" w:line="240" w:lineRule="auto"/>
      </w:pPr>
      <w:r>
        <w:separator/>
      </w:r>
    </w:p>
  </w:footnote>
  <w:footnote w:type="continuationSeparator" w:id="0">
    <w:p w14:paraId="5A58F8F0" w14:textId="77777777" w:rsidR="00B448B5" w:rsidRDefault="00B448B5" w:rsidP="00403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F4FA4"/>
    <w:multiLevelType w:val="hybridMultilevel"/>
    <w:tmpl w:val="67AD3B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A0CC8"/>
    <w:multiLevelType w:val="hybridMultilevel"/>
    <w:tmpl w:val="E4D8D432"/>
    <w:lvl w:ilvl="0" w:tplc="18A287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666D2"/>
    <w:multiLevelType w:val="hybridMultilevel"/>
    <w:tmpl w:val="C592EAA2"/>
    <w:lvl w:ilvl="0" w:tplc="81668D8E">
      <w:start w:val="8"/>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06E53F9F"/>
    <w:multiLevelType w:val="hybridMultilevel"/>
    <w:tmpl w:val="09A4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7E1A19"/>
    <w:multiLevelType w:val="hybridMultilevel"/>
    <w:tmpl w:val="D20A86E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7D80DEC"/>
    <w:multiLevelType w:val="multilevel"/>
    <w:tmpl w:val="587043D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87D4E58"/>
    <w:multiLevelType w:val="multilevel"/>
    <w:tmpl w:val="35A2DD30"/>
    <w:lvl w:ilvl="0">
      <w:start w:val="4"/>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8FF4126"/>
    <w:multiLevelType w:val="hybridMultilevel"/>
    <w:tmpl w:val="1E7247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B0A2522"/>
    <w:multiLevelType w:val="hybridMultilevel"/>
    <w:tmpl w:val="98D0E04A"/>
    <w:lvl w:ilvl="0" w:tplc="A0B48A3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876EA2"/>
    <w:multiLevelType w:val="hybridMultilevel"/>
    <w:tmpl w:val="1568B18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11B5C"/>
    <w:multiLevelType w:val="hybridMultilevel"/>
    <w:tmpl w:val="F79E2CAE"/>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0E377940"/>
    <w:multiLevelType w:val="hybridMultilevel"/>
    <w:tmpl w:val="C5A0224C"/>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93F4975E">
      <w:start w:val="8"/>
      <w:numFmt w:val="upperLetter"/>
      <w:lvlText w:val="%3."/>
      <w:lvlJc w:val="left"/>
      <w:pPr>
        <w:ind w:left="3500" w:hanging="360"/>
      </w:pPr>
      <w:rPr>
        <w:rFonts w:hint="default"/>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4" w15:restartNumberingAfterBreak="0">
    <w:nsid w:val="0E8B1B52"/>
    <w:multiLevelType w:val="hybridMultilevel"/>
    <w:tmpl w:val="AD729CDA"/>
    <w:lvl w:ilvl="0" w:tplc="40CC4CD2">
      <w:start w:val="1"/>
      <w:numFmt w:val="decimal"/>
      <w:lvlText w:val="%1."/>
      <w:lvlJc w:val="left"/>
      <w:pPr>
        <w:ind w:left="1080" w:hanging="72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E51D7A"/>
    <w:multiLevelType w:val="hybridMultilevel"/>
    <w:tmpl w:val="EF702ED6"/>
    <w:lvl w:ilvl="0" w:tplc="D474EEF2">
      <w:start w:val="1"/>
      <w:numFmt w:val="lowerRoman"/>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2E624A3"/>
    <w:multiLevelType w:val="hybridMultilevel"/>
    <w:tmpl w:val="620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136DB6"/>
    <w:multiLevelType w:val="hybridMultilevel"/>
    <w:tmpl w:val="8D5EF3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FB6621"/>
    <w:multiLevelType w:val="hybridMultilevel"/>
    <w:tmpl w:val="A39288C4"/>
    <w:lvl w:ilvl="0" w:tplc="B5F0251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237FAC"/>
    <w:multiLevelType w:val="hybridMultilevel"/>
    <w:tmpl w:val="0E4E302C"/>
    <w:lvl w:ilvl="0" w:tplc="04090019">
      <w:start w:val="1"/>
      <w:numFmt w:val="lowerLetter"/>
      <w:lvlText w:val="%1."/>
      <w:lvlJc w:val="lef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16735E6B"/>
    <w:multiLevelType w:val="hybridMultilevel"/>
    <w:tmpl w:val="05CC9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7984F18"/>
    <w:multiLevelType w:val="hybridMultilevel"/>
    <w:tmpl w:val="E2F8C114"/>
    <w:lvl w:ilvl="0" w:tplc="408CC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8B62954"/>
    <w:multiLevelType w:val="hybridMultilevel"/>
    <w:tmpl w:val="7EDAEA68"/>
    <w:lvl w:ilvl="0" w:tplc="22DCD9F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590519"/>
    <w:multiLevelType w:val="hybridMultilevel"/>
    <w:tmpl w:val="C77430DA"/>
    <w:lvl w:ilvl="0" w:tplc="0326465C">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C8A1267"/>
    <w:multiLevelType w:val="hybridMultilevel"/>
    <w:tmpl w:val="B3820568"/>
    <w:lvl w:ilvl="0" w:tplc="04090015">
      <w:start w:val="1"/>
      <w:numFmt w:val="upperLetter"/>
      <w:lvlText w:val="%1."/>
      <w:lvlJc w:val="left"/>
      <w:pPr>
        <w:ind w:left="360" w:hanging="360"/>
      </w:pPr>
      <w:rPr>
        <w:rFonts w:hint="default"/>
      </w:rPr>
    </w:lvl>
    <w:lvl w:ilvl="1" w:tplc="4BB8669C">
      <w:start w:val="1"/>
      <w:numFmt w:val="decimal"/>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D8412C0"/>
    <w:multiLevelType w:val="hybridMultilevel"/>
    <w:tmpl w:val="7710160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0E2232D"/>
    <w:multiLevelType w:val="hybridMultilevel"/>
    <w:tmpl w:val="6E5662EE"/>
    <w:lvl w:ilvl="0" w:tplc="4F8035B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FD308A"/>
    <w:multiLevelType w:val="hybridMultilevel"/>
    <w:tmpl w:val="AC826366"/>
    <w:lvl w:ilvl="0" w:tplc="9D265FC4">
      <w:start w:val="2"/>
      <w:numFmt w:val="upperLetter"/>
      <w:lvlText w:val="%1."/>
      <w:lvlJc w:val="left"/>
      <w:pPr>
        <w:ind w:left="1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AE1092"/>
    <w:multiLevelType w:val="hybridMultilevel"/>
    <w:tmpl w:val="EEBA05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28075CCA"/>
    <w:multiLevelType w:val="hybridMultilevel"/>
    <w:tmpl w:val="83DAD0CA"/>
    <w:lvl w:ilvl="0" w:tplc="52A86992">
      <w:start w:val="1"/>
      <w:numFmt w:val="decimal"/>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75058A"/>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4030E3A"/>
    <w:multiLevelType w:val="hybridMultilevel"/>
    <w:tmpl w:val="0DD04EC0"/>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0A571A"/>
    <w:multiLevelType w:val="hybridMultilevel"/>
    <w:tmpl w:val="5C80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8419F3"/>
    <w:multiLevelType w:val="hybridMultilevel"/>
    <w:tmpl w:val="1D826A9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B873FA"/>
    <w:multiLevelType w:val="hybridMultilevel"/>
    <w:tmpl w:val="7068B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3B6A42"/>
    <w:multiLevelType w:val="hybridMultilevel"/>
    <w:tmpl w:val="114AA33A"/>
    <w:lvl w:ilvl="0" w:tplc="0409001B">
      <w:start w:val="1"/>
      <w:numFmt w:val="lowerRoman"/>
      <w:lvlText w:val="%1."/>
      <w:lvlJc w:val="right"/>
      <w:pPr>
        <w:ind w:left="1920" w:hanging="361"/>
      </w:pPr>
      <w:rPr>
        <w:rFonts w:hint="default"/>
        <w:w w:val="100"/>
        <w:sz w:val="22"/>
        <w:szCs w:val="22"/>
      </w:rPr>
    </w:lvl>
    <w:lvl w:ilvl="1" w:tplc="EFAEA5BC">
      <w:start w:val="1"/>
      <w:numFmt w:val="lowerLetter"/>
      <w:lvlText w:val="%2)"/>
      <w:lvlJc w:val="left"/>
      <w:pPr>
        <w:ind w:left="2546" w:hanging="267"/>
      </w:pPr>
      <w:rPr>
        <w:rFonts w:ascii="Times New Roman" w:eastAsia="Times New Roman"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36" w15:restartNumberingAfterBreak="0">
    <w:nsid w:val="397D3639"/>
    <w:multiLevelType w:val="hybridMultilevel"/>
    <w:tmpl w:val="06F8A52C"/>
    <w:lvl w:ilvl="0" w:tplc="20246D3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9CC22CF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F523E7"/>
    <w:multiLevelType w:val="hybridMultilevel"/>
    <w:tmpl w:val="2F1246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3A5340E1"/>
    <w:multiLevelType w:val="hybridMultilevel"/>
    <w:tmpl w:val="9116898C"/>
    <w:lvl w:ilvl="0" w:tplc="5268E8C6">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0D0037"/>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D1B70D2"/>
    <w:multiLevelType w:val="hybridMultilevel"/>
    <w:tmpl w:val="9DD68FE8"/>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3204D3"/>
    <w:multiLevelType w:val="hybridMultilevel"/>
    <w:tmpl w:val="9F38B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9C012D"/>
    <w:multiLevelType w:val="hybridMultilevel"/>
    <w:tmpl w:val="9DE297BC"/>
    <w:lvl w:ilvl="0" w:tplc="3B1AAD8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B703DC"/>
    <w:multiLevelType w:val="hybridMultilevel"/>
    <w:tmpl w:val="319CA65A"/>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44" w15:restartNumberingAfterBreak="0">
    <w:nsid w:val="455519D3"/>
    <w:multiLevelType w:val="hybridMultilevel"/>
    <w:tmpl w:val="A154C5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62E23E2"/>
    <w:multiLevelType w:val="hybridMultilevel"/>
    <w:tmpl w:val="9794B804"/>
    <w:lvl w:ilvl="0" w:tplc="B94297DE">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B566ACC"/>
    <w:multiLevelType w:val="hybridMultilevel"/>
    <w:tmpl w:val="72000568"/>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A23F21"/>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4D7D23"/>
    <w:multiLevelType w:val="hybridMultilevel"/>
    <w:tmpl w:val="D250E28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53D90311"/>
    <w:multiLevelType w:val="hybridMultilevel"/>
    <w:tmpl w:val="C854D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D5207E"/>
    <w:multiLevelType w:val="hybridMultilevel"/>
    <w:tmpl w:val="61D47824"/>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01F22186">
      <w:start w:val="7"/>
      <w:numFmt w:val="upperLetter"/>
      <w:lvlText w:val="%3."/>
      <w:lvlJc w:val="left"/>
      <w:pPr>
        <w:ind w:left="360" w:hanging="360"/>
      </w:pPr>
      <w:rPr>
        <w:rFonts w:hint="default"/>
        <w:sz w:val="22"/>
        <w:szCs w:val="22"/>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3" w15:restartNumberingAfterBreak="0">
    <w:nsid w:val="59FB2AD0"/>
    <w:multiLevelType w:val="multilevel"/>
    <w:tmpl w:val="5196505E"/>
    <w:lvl w:ilvl="0">
      <w:start w:val="3"/>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5" w15:restartNumberingAfterBreak="0">
    <w:nsid w:val="61596476"/>
    <w:multiLevelType w:val="hybridMultilevel"/>
    <w:tmpl w:val="00DC6892"/>
    <w:lvl w:ilvl="0" w:tplc="04090017">
      <w:start w:val="1"/>
      <w:numFmt w:val="lowerLetter"/>
      <w:lvlText w:val="%1)"/>
      <w:lvlJc w:val="left"/>
      <w:pPr>
        <w:ind w:left="450" w:hanging="360"/>
      </w:pPr>
      <w:rPr>
        <w:rFonts w:hint="default"/>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56" w15:restartNumberingAfterBreak="0">
    <w:nsid w:val="62604F80"/>
    <w:multiLevelType w:val="hybridMultilevel"/>
    <w:tmpl w:val="55B4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271682"/>
    <w:multiLevelType w:val="hybridMultilevel"/>
    <w:tmpl w:val="82266F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636853E9"/>
    <w:multiLevelType w:val="multilevel"/>
    <w:tmpl w:val="11FAEE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60" w15:restartNumberingAfterBreak="0">
    <w:nsid w:val="65984702"/>
    <w:multiLevelType w:val="hybridMultilevel"/>
    <w:tmpl w:val="B738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2" w15:restartNumberingAfterBreak="0">
    <w:nsid w:val="6A173943"/>
    <w:multiLevelType w:val="hybridMultilevel"/>
    <w:tmpl w:val="DCD67A92"/>
    <w:lvl w:ilvl="0" w:tplc="7BEA4C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4F0A5B"/>
    <w:multiLevelType w:val="hybridMultilevel"/>
    <w:tmpl w:val="03D6713E"/>
    <w:lvl w:ilvl="0" w:tplc="04090019">
      <w:start w:val="1"/>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973D32"/>
    <w:multiLevelType w:val="hybridMultilevel"/>
    <w:tmpl w:val="E2C40C98"/>
    <w:lvl w:ilvl="0" w:tplc="0409000F">
      <w:start w:val="1"/>
      <w:numFmt w:val="decimal"/>
      <w:lvlText w:val="%1."/>
      <w:lvlJc w:val="left"/>
      <w:pPr>
        <w:ind w:left="1440" w:hanging="360"/>
      </w:pPr>
    </w:lvl>
    <w:lvl w:ilvl="1" w:tplc="B0EE0DC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E4638B4"/>
    <w:multiLevelType w:val="hybridMultilevel"/>
    <w:tmpl w:val="1C7C2B9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6" w15:restartNumberingAfterBreak="0">
    <w:nsid w:val="6E766798"/>
    <w:multiLevelType w:val="hybridMultilevel"/>
    <w:tmpl w:val="F2EABC6A"/>
    <w:lvl w:ilvl="0" w:tplc="CFFEB972">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7B7884"/>
    <w:multiLevelType w:val="hybridMultilevel"/>
    <w:tmpl w:val="82C41644"/>
    <w:lvl w:ilvl="0" w:tplc="9B7C8E24">
      <w:start w:val="2"/>
      <w:numFmt w:val="lowerLetter"/>
      <w:lvlText w:val="%1)"/>
      <w:lvlJc w:val="left"/>
      <w:pPr>
        <w:ind w:left="5040" w:hanging="360"/>
      </w:pPr>
      <w:rPr>
        <w:rFonts w:hint="default"/>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8" w15:restartNumberingAfterBreak="0">
    <w:nsid w:val="71A6327F"/>
    <w:multiLevelType w:val="hybridMultilevel"/>
    <w:tmpl w:val="0A82796A"/>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69" w15:restartNumberingAfterBreak="0">
    <w:nsid w:val="7425728E"/>
    <w:multiLevelType w:val="hybridMultilevel"/>
    <w:tmpl w:val="E1E23A66"/>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BD70202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535569"/>
    <w:multiLevelType w:val="hybridMultilevel"/>
    <w:tmpl w:val="8F02C754"/>
    <w:lvl w:ilvl="0" w:tplc="5ECC2242">
      <w:start w:val="4"/>
      <w:numFmt w:val="upperLetter"/>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D777BF"/>
    <w:multiLevelType w:val="hybridMultilevel"/>
    <w:tmpl w:val="6B7E46FA"/>
    <w:lvl w:ilvl="0" w:tplc="DC9AB7A6">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555D48"/>
    <w:multiLevelType w:val="hybridMultilevel"/>
    <w:tmpl w:val="35044B70"/>
    <w:lvl w:ilvl="0" w:tplc="6EB6C394">
      <w:start w:val="1"/>
      <w:numFmt w:val="lowerLetter"/>
      <w:lvlText w:val="%1)"/>
      <w:lvlJc w:val="left"/>
      <w:pPr>
        <w:ind w:left="5040" w:hanging="360"/>
      </w:pPr>
      <w:rPr>
        <w:rFonts w:hint="default"/>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73" w15:restartNumberingAfterBreak="0">
    <w:nsid w:val="7BF961CA"/>
    <w:multiLevelType w:val="hybridMultilevel"/>
    <w:tmpl w:val="B0A0659C"/>
    <w:lvl w:ilvl="0" w:tplc="04090015">
      <w:start w:val="1"/>
      <w:numFmt w:val="upperLetter"/>
      <w:lvlText w:val="%1."/>
      <w:lvlJc w:val="left"/>
      <w:pPr>
        <w:ind w:left="3240" w:hanging="360"/>
      </w:pPr>
    </w:lvl>
    <w:lvl w:ilvl="1" w:tplc="0409000F">
      <w:start w:val="1"/>
      <w:numFmt w:val="decimal"/>
      <w:lvlText w:val="%2."/>
      <w:lvlJc w:val="left"/>
      <w:pPr>
        <w:ind w:left="3960" w:hanging="360"/>
      </w:pPr>
    </w:lvl>
    <w:lvl w:ilvl="2" w:tplc="04090019">
      <w:start w:val="1"/>
      <w:numFmt w:val="lowerLetter"/>
      <w:lvlText w:val="%3."/>
      <w:lvlJc w:val="lef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4" w15:restartNumberingAfterBreak="0">
    <w:nsid w:val="7FE67D6B"/>
    <w:multiLevelType w:val="hybridMultilevel"/>
    <w:tmpl w:val="79DC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74"/>
  </w:num>
  <w:num w:numId="4">
    <w:abstractNumId w:val="39"/>
  </w:num>
  <w:num w:numId="5">
    <w:abstractNumId w:val="16"/>
  </w:num>
  <w:num w:numId="6">
    <w:abstractNumId w:val="47"/>
  </w:num>
  <w:num w:numId="7">
    <w:abstractNumId w:val="19"/>
  </w:num>
  <w:num w:numId="8">
    <w:abstractNumId w:val="50"/>
  </w:num>
  <w:num w:numId="9">
    <w:abstractNumId w:val="65"/>
  </w:num>
  <w:num w:numId="10">
    <w:abstractNumId w:val="66"/>
  </w:num>
  <w:num w:numId="11">
    <w:abstractNumId w:val="69"/>
  </w:num>
  <w:num w:numId="12">
    <w:abstractNumId w:val="56"/>
  </w:num>
  <w:num w:numId="13">
    <w:abstractNumId w:val="57"/>
  </w:num>
  <w:num w:numId="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
  </w:num>
  <w:num w:numId="18">
    <w:abstractNumId w:val="12"/>
  </w:num>
  <w:num w:numId="19">
    <w:abstractNumId w:val="52"/>
  </w:num>
  <w:num w:numId="20">
    <w:abstractNumId w:val="59"/>
  </w:num>
  <w:num w:numId="21">
    <w:abstractNumId w:val="54"/>
  </w:num>
  <w:num w:numId="22">
    <w:abstractNumId w:val="61"/>
  </w:num>
  <w:num w:numId="23">
    <w:abstractNumId w:val="36"/>
  </w:num>
  <w:num w:numId="24">
    <w:abstractNumId w:val="13"/>
  </w:num>
  <w:num w:numId="25">
    <w:abstractNumId w:val="48"/>
  </w:num>
  <w:num w:numId="26">
    <w:abstractNumId w:val="23"/>
  </w:num>
  <w:num w:numId="27">
    <w:abstractNumId w:val="24"/>
  </w:num>
  <w:num w:numId="28">
    <w:abstractNumId w:val="60"/>
  </w:num>
  <w:num w:numId="29">
    <w:abstractNumId w:val="70"/>
  </w:num>
  <w:num w:numId="30">
    <w:abstractNumId w:val="7"/>
  </w:num>
  <w:num w:numId="31">
    <w:abstractNumId w:val="55"/>
  </w:num>
  <w:num w:numId="32">
    <w:abstractNumId w:val="14"/>
  </w:num>
  <w:num w:numId="33">
    <w:abstractNumId w:val="20"/>
  </w:num>
  <w:num w:numId="34">
    <w:abstractNumId w:val="62"/>
  </w:num>
  <w:num w:numId="35">
    <w:abstractNumId w:val="29"/>
  </w:num>
  <w:num w:numId="36">
    <w:abstractNumId w:val="9"/>
  </w:num>
  <w:num w:numId="37">
    <w:abstractNumId w:val="58"/>
  </w:num>
  <w:num w:numId="38">
    <w:abstractNumId w:val="17"/>
  </w:num>
  <w:num w:numId="39">
    <w:abstractNumId w:val="25"/>
  </w:num>
  <w:num w:numId="40">
    <w:abstractNumId w:val="46"/>
  </w:num>
  <w:num w:numId="41">
    <w:abstractNumId w:val="41"/>
  </w:num>
  <w:num w:numId="42">
    <w:abstractNumId w:val="5"/>
  </w:num>
  <w:num w:numId="43">
    <w:abstractNumId w:val="30"/>
  </w:num>
  <w:num w:numId="44">
    <w:abstractNumId w:val="43"/>
  </w:num>
  <w:num w:numId="45">
    <w:abstractNumId w:val="68"/>
  </w:num>
  <w:num w:numId="46">
    <w:abstractNumId w:val="40"/>
  </w:num>
  <w:num w:numId="47">
    <w:abstractNumId w:val="31"/>
  </w:num>
  <w:num w:numId="48">
    <w:abstractNumId w:val="35"/>
  </w:num>
  <w:num w:numId="49">
    <w:abstractNumId w:val="45"/>
  </w:num>
  <w:num w:numId="50">
    <w:abstractNumId w:val="73"/>
  </w:num>
  <w:num w:numId="51">
    <w:abstractNumId w:val="33"/>
  </w:num>
  <w:num w:numId="52">
    <w:abstractNumId w:val="6"/>
  </w:num>
  <w:num w:numId="53">
    <w:abstractNumId w:val="34"/>
  </w:num>
  <w:num w:numId="54">
    <w:abstractNumId w:val="53"/>
  </w:num>
  <w:num w:numId="55">
    <w:abstractNumId w:val="63"/>
  </w:num>
  <w:num w:numId="56">
    <w:abstractNumId w:val="28"/>
  </w:num>
  <w:num w:numId="57">
    <w:abstractNumId w:val="10"/>
  </w:num>
  <w:num w:numId="58">
    <w:abstractNumId w:val="27"/>
  </w:num>
  <w:num w:numId="59">
    <w:abstractNumId w:val="44"/>
  </w:num>
  <w:num w:numId="60">
    <w:abstractNumId w:val="37"/>
  </w:num>
  <w:num w:numId="61">
    <w:abstractNumId w:val="1"/>
  </w:num>
  <w:num w:numId="62">
    <w:abstractNumId w:val="22"/>
  </w:num>
  <w:num w:numId="63">
    <w:abstractNumId w:val="38"/>
  </w:num>
  <w:num w:numId="64">
    <w:abstractNumId w:val="11"/>
  </w:num>
  <w:num w:numId="65">
    <w:abstractNumId w:val="18"/>
  </w:num>
  <w:num w:numId="66">
    <w:abstractNumId w:val="49"/>
  </w:num>
  <w:num w:numId="67">
    <w:abstractNumId w:val="64"/>
  </w:num>
  <w:num w:numId="68">
    <w:abstractNumId w:val="15"/>
  </w:num>
  <w:num w:numId="69">
    <w:abstractNumId w:val="8"/>
  </w:num>
  <w:num w:numId="70">
    <w:abstractNumId w:val="2"/>
  </w:num>
  <w:num w:numId="71">
    <w:abstractNumId w:val="71"/>
  </w:num>
  <w:num w:numId="72">
    <w:abstractNumId w:val="42"/>
  </w:num>
  <w:num w:numId="73">
    <w:abstractNumId w:val="26"/>
  </w:num>
  <w:num w:numId="74">
    <w:abstractNumId w:val="4"/>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7"/>
  </w:num>
  <w:num w:numId="78">
    <w:abstractNumId w:val="74"/>
  </w:num>
  <w:num w:numId="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0"/>
    <w:lvlOverride w:ilvl="0">
      <w:startOverride w:val="1"/>
    </w:lvlOverride>
    <w:lvlOverride w:ilvl="1"/>
    <w:lvlOverride w:ilvl="2"/>
    <w:lvlOverride w:ilvl="3"/>
    <w:lvlOverride w:ilvl="4"/>
    <w:lvlOverride w:ilvl="5"/>
    <w:lvlOverride w:ilvl="6"/>
    <w:lvlOverride w:ilvl="7"/>
    <w:lvlOverride w:ilvl="8"/>
  </w:num>
  <w:num w:numId="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
  </w:num>
  <w:num w:numId="11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
  </w:num>
  <w:num w:numId="1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14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1"/>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3"/>
    <w:rsid w:val="0000507A"/>
    <w:rsid w:val="00014393"/>
    <w:rsid w:val="00014AE5"/>
    <w:rsid w:val="00015452"/>
    <w:rsid w:val="00016ADC"/>
    <w:rsid w:val="00020276"/>
    <w:rsid w:val="000203B3"/>
    <w:rsid w:val="00021753"/>
    <w:rsid w:val="00021F82"/>
    <w:rsid w:val="00023BFA"/>
    <w:rsid w:val="00023DB4"/>
    <w:rsid w:val="00024110"/>
    <w:rsid w:val="0003148A"/>
    <w:rsid w:val="0003164E"/>
    <w:rsid w:val="00031E77"/>
    <w:rsid w:val="00032A00"/>
    <w:rsid w:val="00033E03"/>
    <w:rsid w:val="00034DA7"/>
    <w:rsid w:val="000378F3"/>
    <w:rsid w:val="0004458C"/>
    <w:rsid w:val="00046AEF"/>
    <w:rsid w:val="0005197C"/>
    <w:rsid w:val="000546FC"/>
    <w:rsid w:val="000605EB"/>
    <w:rsid w:val="000633E1"/>
    <w:rsid w:val="00066474"/>
    <w:rsid w:val="00067895"/>
    <w:rsid w:val="00070821"/>
    <w:rsid w:val="000744F6"/>
    <w:rsid w:val="0007617D"/>
    <w:rsid w:val="000819C9"/>
    <w:rsid w:val="000822ED"/>
    <w:rsid w:val="0008254D"/>
    <w:rsid w:val="00083162"/>
    <w:rsid w:val="000A0FE7"/>
    <w:rsid w:val="000A198F"/>
    <w:rsid w:val="000A2D23"/>
    <w:rsid w:val="000A5346"/>
    <w:rsid w:val="000A5DDF"/>
    <w:rsid w:val="000B0BEF"/>
    <w:rsid w:val="000C73EB"/>
    <w:rsid w:val="000D275B"/>
    <w:rsid w:val="000D3402"/>
    <w:rsid w:val="000D73A8"/>
    <w:rsid w:val="000E70AF"/>
    <w:rsid w:val="000F0083"/>
    <w:rsid w:val="000F2283"/>
    <w:rsid w:val="000F420A"/>
    <w:rsid w:val="000F58C1"/>
    <w:rsid w:val="000F7D01"/>
    <w:rsid w:val="001008DE"/>
    <w:rsid w:val="001024AA"/>
    <w:rsid w:val="0010763B"/>
    <w:rsid w:val="00112006"/>
    <w:rsid w:val="00115ACB"/>
    <w:rsid w:val="0011636D"/>
    <w:rsid w:val="0011698C"/>
    <w:rsid w:val="00120783"/>
    <w:rsid w:val="00127D73"/>
    <w:rsid w:val="00136581"/>
    <w:rsid w:val="001404E9"/>
    <w:rsid w:val="001410DB"/>
    <w:rsid w:val="00143944"/>
    <w:rsid w:val="00145AA6"/>
    <w:rsid w:val="00147627"/>
    <w:rsid w:val="0015295D"/>
    <w:rsid w:val="00154C1E"/>
    <w:rsid w:val="00156396"/>
    <w:rsid w:val="001572DC"/>
    <w:rsid w:val="00161BB8"/>
    <w:rsid w:val="00162174"/>
    <w:rsid w:val="00164B83"/>
    <w:rsid w:val="00164FCE"/>
    <w:rsid w:val="0017147E"/>
    <w:rsid w:val="001714E3"/>
    <w:rsid w:val="00172735"/>
    <w:rsid w:val="001730D3"/>
    <w:rsid w:val="00173A5C"/>
    <w:rsid w:val="0017576A"/>
    <w:rsid w:val="00177859"/>
    <w:rsid w:val="00180969"/>
    <w:rsid w:val="0018153C"/>
    <w:rsid w:val="001904F3"/>
    <w:rsid w:val="00191BC7"/>
    <w:rsid w:val="00191D99"/>
    <w:rsid w:val="00195AB9"/>
    <w:rsid w:val="00195D26"/>
    <w:rsid w:val="001960FA"/>
    <w:rsid w:val="001A2C0B"/>
    <w:rsid w:val="001A34A7"/>
    <w:rsid w:val="001A40B0"/>
    <w:rsid w:val="001A53AE"/>
    <w:rsid w:val="001A53DC"/>
    <w:rsid w:val="001B07A6"/>
    <w:rsid w:val="001C22A9"/>
    <w:rsid w:val="001C4E13"/>
    <w:rsid w:val="001C56F8"/>
    <w:rsid w:val="001C7C6E"/>
    <w:rsid w:val="001D1291"/>
    <w:rsid w:val="001D1521"/>
    <w:rsid w:val="001D4CA8"/>
    <w:rsid w:val="001D51DA"/>
    <w:rsid w:val="001F08EB"/>
    <w:rsid w:val="001F1CEE"/>
    <w:rsid w:val="001F7068"/>
    <w:rsid w:val="002017AF"/>
    <w:rsid w:val="00215A22"/>
    <w:rsid w:val="00216EF8"/>
    <w:rsid w:val="0022114B"/>
    <w:rsid w:val="002241D3"/>
    <w:rsid w:val="00226660"/>
    <w:rsid w:val="002306AA"/>
    <w:rsid w:val="00234C81"/>
    <w:rsid w:val="00234F4C"/>
    <w:rsid w:val="002353E2"/>
    <w:rsid w:val="00237D09"/>
    <w:rsid w:val="0024463B"/>
    <w:rsid w:val="0024785C"/>
    <w:rsid w:val="0025225A"/>
    <w:rsid w:val="00252E55"/>
    <w:rsid w:val="00255DEA"/>
    <w:rsid w:val="00256DC0"/>
    <w:rsid w:val="002614CD"/>
    <w:rsid w:val="002708E5"/>
    <w:rsid w:val="002713DB"/>
    <w:rsid w:val="002717F7"/>
    <w:rsid w:val="00272591"/>
    <w:rsid w:val="00276F05"/>
    <w:rsid w:val="00277E9B"/>
    <w:rsid w:val="0028478F"/>
    <w:rsid w:val="00284EAB"/>
    <w:rsid w:val="00284F2A"/>
    <w:rsid w:val="00284F30"/>
    <w:rsid w:val="00287E8B"/>
    <w:rsid w:val="002B03B4"/>
    <w:rsid w:val="002B0487"/>
    <w:rsid w:val="002B09ED"/>
    <w:rsid w:val="002B130A"/>
    <w:rsid w:val="002B5EAC"/>
    <w:rsid w:val="002B6624"/>
    <w:rsid w:val="002B6AD8"/>
    <w:rsid w:val="002C726F"/>
    <w:rsid w:val="002D6E49"/>
    <w:rsid w:val="002E7DE6"/>
    <w:rsid w:val="00305CC1"/>
    <w:rsid w:val="00316C9C"/>
    <w:rsid w:val="003201A2"/>
    <w:rsid w:val="0032123F"/>
    <w:rsid w:val="00321AD7"/>
    <w:rsid w:val="00325A78"/>
    <w:rsid w:val="003309BD"/>
    <w:rsid w:val="00330F6C"/>
    <w:rsid w:val="0033441A"/>
    <w:rsid w:val="00343724"/>
    <w:rsid w:val="00344C96"/>
    <w:rsid w:val="00346307"/>
    <w:rsid w:val="003477DF"/>
    <w:rsid w:val="00347B48"/>
    <w:rsid w:val="0035024B"/>
    <w:rsid w:val="00350809"/>
    <w:rsid w:val="00350A69"/>
    <w:rsid w:val="00353C4A"/>
    <w:rsid w:val="00357693"/>
    <w:rsid w:val="00364617"/>
    <w:rsid w:val="00370AC6"/>
    <w:rsid w:val="00371BB9"/>
    <w:rsid w:val="00373DB2"/>
    <w:rsid w:val="0037500E"/>
    <w:rsid w:val="003807B7"/>
    <w:rsid w:val="00384064"/>
    <w:rsid w:val="0038710D"/>
    <w:rsid w:val="0038722B"/>
    <w:rsid w:val="00390227"/>
    <w:rsid w:val="0039374D"/>
    <w:rsid w:val="003A0964"/>
    <w:rsid w:val="003A5364"/>
    <w:rsid w:val="003A63DB"/>
    <w:rsid w:val="003A6E44"/>
    <w:rsid w:val="003B284C"/>
    <w:rsid w:val="003B3B9B"/>
    <w:rsid w:val="003C19E6"/>
    <w:rsid w:val="003C29AA"/>
    <w:rsid w:val="003D040D"/>
    <w:rsid w:val="003D3DF6"/>
    <w:rsid w:val="003D43A1"/>
    <w:rsid w:val="003D43B6"/>
    <w:rsid w:val="003D5C38"/>
    <w:rsid w:val="003D6FF2"/>
    <w:rsid w:val="003D73D4"/>
    <w:rsid w:val="003E2579"/>
    <w:rsid w:val="003E424E"/>
    <w:rsid w:val="003E4BCD"/>
    <w:rsid w:val="003E73DB"/>
    <w:rsid w:val="003F0BF7"/>
    <w:rsid w:val="003F0C41"/>
    <w:rsid w:val="003F314D"/>
    <w:rsid w:val="003F4B9C"/>
    <w:rsid w:val="003F666D"/>
    <w:rsid w:val="003F72D0"/>
    <w:rsid w:val="004031A8"/>
    <w:rsid w:val="0040376D"/>
    <w:rsid w:val="00403D21"/>
    <w:rsid w:val="00404F7E"/>
    <w:rsid w:val="004115F8"/>
    <w:rsid w:val="004123A9"/>
    <w:rsid w:val="004168C6"/>
    <w:rsid w:val="004170B9"/>
    <w:rsid w:val="00420A58"/>
    <w:rsid w:val="00423911"/>
    <w:rsid w:val="00423EEE"/>
    <w:rsid w:val="00424AE7"/>
    <w:rsid w:val="00426FB7"/>
    <w:rsid w:val="004311C7"/>
    <w:rsid w:val="00431B68"/>
    <w:rsid w:val="00434B86"/>
    <w:rsid w:val="0044143E"/>
    <w:rsid w:val="0044180C"/>
    <w:rsid w:val="004445E0"/>
    <w:rsid w:val="00450B34"/>
    <w:rsid w:val="00453389"/>
    <w:rsid w:val="0045758F"/>
    <w:rsid w:val="00457D45"/>
    <w:rsid w:val="0046475C"/>
    <w:rsid w:val="004748F2"/>
    <w:rsid w:val="00474C67"/>
    <w:rsid w:val="00477998"/>
    <w:rsid w:val="00480867"/>
    <w:rsid w:val="00481533"/>
    <w:rsid w:val="00482B66"/>
    <w:rsid w:val="004838A9"/>
    <w:rsid w:val="00487692"/>
    <w:rsid w:val="004915F8"/>
    <w:rsid w:val="00497242"/>
    <w:rsid w:val="004A179C"/>
    <w:rsid w:val="004A54F3"/>
    <w:rsid w:val="004A6B87"/>
    <w:rsid w:val="004B161C"/>
    <w:rsid w:val="004B3DB4"/>
    <w:rsid w:val="004C1084"/>
    <w:rsid w:val="004C7A2F"/>
    <w:rsid w:val="004C7C97"/>
    <w:rsid w:val="004D1067"/>
    <w:rsid w:val="004D4076"/>
    <w:rsid w:val="004D4345"/>
    <w:rsid w:val="004D45C2"/>
    <w:rsid w:val="004E073E"/>
    <w:rsid w:val="004E1808"/>
    <w:rsid w:val="004E68BC"/>
    <w:rsid w:val="004F6A52"/>
    <w:rsid w:val="00500543"/>
    <w:rsid w:val="005073EE"/>
    <w:rsid w:val="00510800"/>
    <w:rsid w:val="00512CC6"/>
    <w:rsid w:val="00512E0D"/>
    <w:rsid w:val="005235D5"/>
    <w:rsid w:val="0052429A"/>
    <w:rsid w:val="005246F9"/>
    <w:rsid w:val="005259B2"/>
    <w:rsid w:val="00527205"/>
    <w:rsid w:val="005300C9"/>
    <w:rsid w:val="00530309"/>
    <w:rsid w:val="00530EE4"/>
    <w:rsid w:val="00532E11"/>
    <w:rsid w:val="005331EB"/>
    <w:rsid w:val="00534043"/>
    <w:rsid w:val="00537E43"/>
    <w:rsid w:val="00540925"/>
    <w:rsid w:val="00540F42"/>
    <w:rsid w:val="005416D3"/>
    <w:rsid w:val="00541A5E"/>
    <w:rsid w:val="00543C74"/>
    <w:rsid w:val="00556510"/>
    <w:rsid w:val="0055759F"/>
    <w:rsid w:val="005613C4"/>
    <w:rsid w:val="00562F53"/>
    <w:rsid w:val="00565D98"/>
    <w:rsid w:val="005668B6"/>
    <w:rsid w:val="005669AC"/>
    <w:rsid w:val="0057051F"/>
    <w:rsid w:val="005718FF"/>
    <w:rsid w:val="00572A9D"/>
    <w:rsid w:val="00574A28"/>
    <w:rsid w:val="00575FC9"/>
    <w:rsid w:val="005801C6"/>
    <w:rsid w:val="00585284"/>
    <w:rsid w:val="00590EA5"/>
    <w:rsid w:val="00591997"/>
    <w:rsid w:val="00593E13"/>
    <w:rsid w:val="005960AE"/>
    <w:rsid w:val="00597421"/>
    <w:rsid w:val="005A45B1"/>
    <w:rsid w:val="005A6FE4"/>
    <w:rsid w:val="005B0195"/>
    <w:rsid w:val="005B1F5C"/>
    <w:rsid w:val="005B3692"/>
    <w:rsid w:val="005B46FA"/>
    <w:rsid w:val="005B5089"/>
    <w:rsid w:val="005B6D8E"/>
    <w:rsid w:val="005B6E8B"/>
    <w:rsid w:val="005C2A8E"/>
    <w:rsid w:val="005C4812"/>
    <w:rsid w:val="005C4C51"/>
    <w:rsid w:val="005C6917"/>
    <w:rsid w:val="005D31CA"/>
    <w:rsid w:val="005E0ACF"/>
    <w:rsid w:val="005E3E46"/>
    <w:rsid w:val="005F34D1"/>
    <w:rsid w:val="005F48C0"/>
    <w:rsid w:val="005F6BF3"/>
    <w:rsid w:val="005F7C68"/>
    <w:rsid w:val="006027A7"/>
    <w:rsid w:val="00611CC4"/>
    <w:rsid w:val="00612E83"/>
    <w:rsid w:val="00614262"/>
    <w:rsid w:val="00623D08"/>
    <w:rsid w:val="00624714"/>
    <w:rsid w:val="00624EC4"/>
    <w:rsid w:val="006271A4"/>
    <w:rsid w:val="0064210A"/>
    <w:rsid w:val="00652ED1"/>
    <w:rsid w:val="00653E60"/>
    <w:rsid w:val="00654E2C"/>
    <w:rsid w:val="00654F25"/>
    <w:rsid w:val="006551CA"/>
    <w:rsid w:val="006556A9"/>
    <w:rsid w:val="006579AA"/>
    <w:rsid w:val="00662235"/>
    <w:rsid w:val="0066522D"/>
    <w:rsid w:val="006669AA"/>
    <w:rsid w:val="00667CC0"/>
    <w:rsid w:val="00676F64"/>
    <w:rsid w:val="00677CA2"/>
    <w:rsid w:val="006828ED"/>
    <w:rsid w:val="00685286"/>
    <w:rsid w:val="00687D10"/>
    <w:rsid w:val="00692287"/>
    <w:rsid w:val="00694624"/>
    <w:rsid w:val="00695F4A"/>
    <w:rsid w:val="00696C7A"/>
    <w:rsid w:val="006A18F2"/>
    <w:rsid w:val="006A3311"/>
    <w:rsid w:val="006A3523"/>
    <w:rsid w:val="006A512A"/>
    <w:rsid w:val="006A5A2D"/>
    <w:rsid w:val="006A6591"/>
    <w:rsid w:val="006B12F0"/>
    <w:rsid w:val="006B2140"/>
    <w:rsid w:val="006B2150"/>
    <w:rsid w:val="006B27DB"/>
    <w:rsid w:val="006C1F9E"/>
    <w:rsid w:val="006D0655"/>
    <w:rsid w:val="006D084F"/>
    <w:rsid w:val="006D3355"/>
    <w:rsid w:val="006D410E"/>
    <w:rsid w:val="006D46F8"/>
    <w:rsid w:val="006D4AD1"/>
    <w:rsid w:val="006D5B77"/>
    <w:rsid w:val="006D6B96"/>
    <w:rsid w:val="006D6ECF"/>
    <w:rsid w:val="006E1186"/>
    <w:rsid w:val="006E317B"/>
    <w:rsid w:val="006F0847"/>
    <w:rsid w:val="006F147E"/>
    <w:rsid w:val="006F14A3"/>
    <w:rsid w:val="006F21AE"/>
    <w:rsid w:val="006F3A3F"/>
    <w:rsid w:val="006F62B7"/>
    <w:rsid w:val="00703779"/>
    <w:rsid w:val="0070390D"/>
    <w:rsid w:val="00704D78"/>
    <w:rsid w:val="00713277"/>
    <w:rsid w:val="00715707"/>
    <w:rsid w:val="00716808"/>
    <w:rsid w:val="00721D13"/>
    <w:rsid w:val="00723D43"/>
    <w:rsid w:val="00725397"/>
    <w:rsid w:val="0072708E"/>
    <w:rsid w:val="007308D7"/>
    <w:rsid w:val="007319DC"/>
    <w:rsid w:val="0073790D"/>
    <w:rsid w:val="00745C9A"/>
    <w:rsid w:val="00752DE5"/>
    <w:rsid w:val="0076020E"/>
    <w:rsid w:val="007609C8"/>
    <w:rsid w:val="0076294B"/>
    <w:rsid w:val="00762DD4"/>
    <w:rsid w:val="00766DA3"/>
    <w:rsid w:val="00786357"/>
    <w:rsid w:val="00792607"/>
    <w:rsid w:val="00793A9A"/>
    <w:rsid w:val="00793F14"/>
    <w:rsid w:val="007952C2"/>
    <w:rsid w:val="007958E0"/>
    <w:rsid w:val="007A0C62"/>
    <w:rsid w:val="007A5308"/>
    <w:rsid w:val="007A6AD2"/>
    <w:rsid w:val="007B220B"/>
    <w:rsid w:val="007B375F"/>
    <w:rsid w:val="007C34E6"/>
    <w:rsid w:val="007C7E39"/>
    <w:rsid w:val="007D2BF8"/>
    <w:rsid w:val="007D50DA"/>
    <w:rsid w:val="007D6866"/>
    <w:rsid w:val="007E0EC6"/>
    <w:rsid w:val="007E41ED"/>
    <w:rsid w:val="007E7250"/>
    <w:rsid w:val="007F724B"/>
    <w:rsid w:val="007F7DB8"/>
    <w:rsid w:val="008024AD"/>
    <w:rsid w:val="008036CB"/>
    <w:rsid w:val="008058DE"/>
    <w:rsid w:val="008064F7"/>
    <w:rsid w:val="008070FF"/>
    <w:rsid w:val="00807893"/>
    <w:rsid w:val="00810BAB"/>
    <w:rsid w:val="00811E30"/>
    <w:rsid w:val="008146E8"/>
    <w:rsid w:val="00814EC5"/>
    <w:rsid w:val="00826AFB"/>
    <w:rsid w:val="00826B7F"/>
    <w:rsid w:val="00833F7B"/>
    <w:rsid w:val="00840DEE"/>
    <w:rsid w:val="008472F9"/>
    <w:rsid w:val="00847A82"/>
    <w:rsid w:val="0085693F"/>
    <w:rsid w:val="008624F2"/>
    <w:rsid w:val="008636A6"/>
    <w:rsid w:val="008708CD"/>
    <w:rsid w:val="00881324"/>
    <w:rsid w:val="008858A9"/>
    <w:rsid w:val="00887025"/>
    <w:rsid w:val="0089029F"/>
    <w:rsid w:val="00892805"/>
    <w:rsid w:val="00894DD8"/>
    <w:rsid w:val="008966EE"/>
    <w:rsid w:val="008A4067"/>
    <w:rsid w:val="008A5B86"/>
    <w:rsid w:val="008A646D"/>
    <w:rsid w:val="008A7F4A"/>
    <w:rsid w:val="008B2C15"/>
    <w:rsid w:val="008B56E8"/>
    <w:rsid w:val="008C3468"/>
    <w:rsid w:val="008C6592"/>
    <w:rsid w:val="008C7EA8"/>
    <w:rsid w:val="008D21C9"/>
    <w:rsid w:val="008D272B"/>
    <w:rsid w:val="008D2BD7"/>
    <w:rsid w:val="008D3AC0"/>
    <w:rsid w:val="008D4770"/>
    <w:rsid w:val="008D6661"/>
    <w:rsid w:val="008D6C61"/>
    <w:rsid w:val="008E5CB9"/>
    <w:rsid w:val="008E75BD"/>
    <w:rsid w:val="008E77A1"/>
    <w:rsid w:val="008E7AA4"/>
    <w:rsid w:val="00903AB6"/>
    <w:rsid w:val="009041A3"/>
    <w:rsid w:val="00905534"/>
    <w:rsid w:val="009106E0"/>
    <w:rsid w:val="00910947"/>
    <w:rsid w:val="00920550"/>
    <w:rsid w:val="00926624"/>
    <w:rsid w:val="009305C0"/>
    <w:rsid w:val="00931B09"/>
    <w:rsid w:val="009368A7"/>
    <w:rsid w:val="00940C63"/>
    <w:rsid w:val="00941CFD"/>
    <w:rsid w:val="00952856"/>
    <w:rsid w:val="00953DE1"/>
    <w:rsid w:val="0095437B"/>
    <w:rsid w:val="009555B5"/>
    <w:rsid w:val="009627A8"/>
    <w:rsid w:val="00964681"/>
    <w:rsid w:val="00970437"/>
    <w:rsid w:val="009705D0"/>
    <w:rsid w:val="009719E9"/>
    <w:rsid w:val="00971E13"/>
    <w:rsid w:val="00971F41"/>
    <w:rsid w:val="00975F72"/>
    <w:rsid w:val="009817AE"/>
    <w:rsid w:val="009903A3"/>
    <w:rsid w:val="009940B5"/>
    <w:rsid w:val="009A05AC"/>
    <w:rsid w:val="009A1F8B"/>
    <w:rsid w:val="009A7A5B"/>
    <w:rsid w:val="009B2E5A"/>
    <w:rsid w:val="009C0F16"/>
    <w:rsid w:val="009C3930"/>
    <w:rsid w:val="009C4407"/>
    <w:rsid w:val="009C5CFB"/>
    <w:rsid w:val="009D19BB"/>
    <w:rsid w:val="009D26DB"/>
    <w:rsid w:val="009D5295"/>
    <w:rsid w:val="009D743A"/>
    <w:rsid w:val="009E255A"/>
    <w:rsid w:val="009E3569"/>
    <w:rsid w:val="009E5013"/>
    <w:rsid w:val="009F032A"/>
    <w:rsid w:val="009F0A6A"/>
    <w:rsid w:val="009F1F36"/>
    <w:rsid w:val="009F4439"/>
    <w:rsid w:val="009F5DD5"/>
    <w:rsid w:val="00A01212"/>
    <w:rsid w:val="00A04360"/>
    <w:rsid w:val="00A076A8"/>
    <w:rsid w:val="00A07F8C"/>
    <w:rsid w:val="00A12110"/>
    <w:rsid w:val="00A1401B"/>
    <w:rsid w:val="00A231D5"/>
    <w:rsid w:val="00A23A5F"/>
    <w:rsid w:val="00A25C65"/>
    <w:rsid w:val="00A2634B"/>
    <w:rsid w:val="00A31F06"/>
    <w:rsid w:val="00A32CEE"/>
    <w:rsid w:val="00A34B3D"/>
    <w:rsid w:val="00A34DA9"/>
    <w:rsid w:val="00A3590F"/>
    <w:rsid w:val="00A36407"/>
    <w:rsid w:val="00A3798E"/>
    <w:rsid w:val="00A401E6"/>
    <w:rsid w:val="00A40F70"/>
    <w:rsid w:val="00A41E05"/>
    <w:rsid w:val="00A4471D"/>
    <w:rsid w:val="00A5035A"/>
    <w:rsid w:val="00A506C9"/>
    <w:rsid w:val="00A51F34"/>
    <w:rsid w:val="00A53040"/>
    <w:rsid w:val="00A536D4"/>
    <w:rsid w:val="00A53A38"/>
    <w:rsid w:val="00A54129"/>
    <w:rsid w:val="00A62525"/>
    <w:rsid w:val="00A63E7F"/>
    <w:rsid w:val="00A65C93"/>
    <w:rsid w:val="00A65DC2"/>
    <w:rsid w:val="00A668C5"/>
    <w:rsid w:val="00A84171"/>
    <w:rsid w:val="00A85579"/>
    <w:rsid w:val="00A85B27"/>
    <w:rsid w:val="00A8679E"/>
    <w:rsid w:val="00A87D24"/>
    <w:rsid w:val="00A92B53"/>
    <w:rsid w:val="00A95AE3"/>
    <w:rsid w:val="00AA06A1"/>
    <w:rsid w:val="00AA1B94"/>
    <w:rsid w:val="00AA1C0B"/>
    <w:rsid w:val="00AA2847"/>
    <w:rsid w:val="00AA4B36"/>
    <w:rsid w:val="00AB337E"/>
    <w:rsid w:val="00AB42F2"/>
    <w:rsid w:val="00AE1A25"/>
    <w:rsid w:val="00AE33CD"/>
    <w:rsid w:val="00AE42EE"/>
    <w:rsid w:val="00AE69CD"/>
    <w:rsid w:val="00AF3293"/>
    <w:rsid w:val="00AF55FC"/>
    <w:rsid w:val="00AF5FFF"/>
    <w:rsid w:val="00AF6942"/>
    <w:rsid w:val="00B00B01"/>
    <w:rsid w:val="00B0366A"/>
    <w:rsid w:val="00B04DB8"/>
    <w:rsid w:val="00B102D6"/>
    <w:rsid w:val="00B12E9E"/>
    <w:rsid w:val="00B25E98"/>
    <w:rsid w:val="00B30915"/>
    <w:rsid w:val="00B31899"/>
    <w:rsid w:val="00B344BD"/>
    <w:rsid w:val="00B36759"/>
    <w:rsid w:val="00B36CFA"/>
    <w:rsid w:val="00B36FD8"/>
    <w:rsid w:val="00B41D83"/>
    <w:rsid w:val="00B448B5"/>
    <w:rsid w:val="00B45F1A"/>
    <w:rsid w:val="00B50F9E"/>
    <w:rsid w:val="00B522A2"/>
    <w:rsid w:val="00B56B09"/>
    <w:rsid w:val="00B56BD8"/>
    <w:rsid w:val="00B60524"/>
    <w:rsid w:val="00B6157C"/>
    <w:rsid w:val="00B65B2E"/>
    <w:rsid w:val="00B65C73"/>
    <w:rsid w:val="00B72D4F"/>
    <w:rsid w:val="00B73D15"/>
    <w:rsid w:val="00B743BD"/>
    <w:rsid w:val="00B762AE"/>
    <w:rsid w:val="00B8517E"/>
    <w:rsid w:val="00B91DBD"/>
    <w:rsid w:val="00B920D6"/>
    <w:rsid w:val="00B92323"/>
    <w:rsid w:val="00B93BEE"/>
    <w:rsid w:val="00BA4475"/>
    <w:rsid w:val="00BA4D72"/>
    <w:rsid w:val="00BB1790"/>
    <w:rsid w:val="00BB2207"/>
    <w:rsid w:val="00BB3078"/>
    <w:rsid w:val="00BC11A1"/>
    <w:rsid w:val="00BC4DEA"/>
    <w:rsid w:val="00BC5188"/>
    <w:rsid w:val="00BC589A"/>
    <w:rsid w:val="00BD3274"/>
    <w:rsid w:val="00BD598E"/>
    <w:rsid w:val="00BD79C9"/>
    <w:rsid w:val="00BE10D1"/>
    <w:rsid w:val="00BE2435"/>
    <w:rsid w:val="00BE5980"/>
    <w:rsid w:val="00BE7B61"/>
    <w:rsid w:val="00BF787D"/>
    <w:rsid w:val="00C003D3"/>
    <w:rsid w:val="00C03A98"/>
    <w:rsid w:val="00C15133"/>
    <w:rsid w:val="00C1561C"/>
    <w:rsid w:val="00C1684F"/>
    <w:rsid w:val="00C20B4F"/>
    <w:rsid w:val="00C21D59"/>
    <w:rsid w:val="00C230C6"/>
    <w:rsid w:val="00C23763"/>
    <w:rsid w:val="00C248C0"/>
    <w:rsid w:val="00C4282C"/>
    <w:rsid w:val="00C43500"/>
    <w:rsid w:val="00C444AA"/>
    <w:rsid w:val="00C45851"/>
    <w:rsid w:val="00C4681F"/>
    <w:rsid w:val="00C4731D"/>
    <w:rsid w:val="00C500F1"/>
    <w:rsid w:val="00C52195"/>
    <w:rsid w:val="00C521B5"/>
    <w:rsid w:val="00C53BC7"/>
    <w:rsid w:val="00C72DDC"/>
    <w:rsid w:val="00C73F1B"/>
    <w:rsid w:val="00C74F0A"/>
    <w:rsid w:val="00C84D12"/>
    <w:rsid w:val="00C852CD"/>
    <w:rsid w:val="00C8623E"/>
    <w:rsid w:val="00C879E8"/>
    <w:rsid w:val="00C90229"/>
    <w:rsid w:val="00C93685"/>
    <w:rsid w:val="00CA3D1F"/>
    <w:rsid w:val="00CA4583"/>
    <w:rsid w:val="00CA7B7E"/>
    <w:rsid w:val="00CB1811"/>
    <w:rsid w:val="00CB4FA2"/>
    <w:rsid w:val="00CC25A8"/>
    <w:rsid w:val="00CC2E7C"/>
    <w:rsid w:val="00CC380E"/>
    <w:rsid w:val="00CC5623"/>
    <w:rsid w:val="00CC724D"/>
    <w:rsid w:val="00CD12FB"/>
    <w:rsid w:val="00CD6CA8"/>
    <w:rsid w:val="00CE614B"/>
    <w:rsid w:val="00CE6888"/>
    <w:rsid w:val="00CF2B71"/>
    <w:rsid w:val="00CF5454"/>
    <w:rsid w:val="00D01842"/>
    <w:rsid w:val="00D03D88"/>
    <w:rsid w:val="00D042B3"/>
    <w:rsid w:val="00D10304"/>
    <w:rsid w:val="00D1404B"/>
    <w:rsid w:val="00D2008C"/>
    <w:rsid w:val="00D20C8B"/>
    <w:rsid w:val="00D21289"/>
    <w:rsid w:val="00D22EE6"/>
    <w:rsid w:val="00D22F28"/>
    <w:rsid w:val="00D23A8A"/>
    <w:rsid w:val="00D261DE"/>
    <w:rsid w:val="00D2783C"/>
    <w:rsid w:val="00D27BB1"/>
    <w:rsid w:val="00D32BE6"/>
    <w:rsid w:val="00D348AE"/>
    <w:rsid w:val="00D357CC"/>
    <w:rsid w:val="00D37CB7"/>
    <w:rsid w:val="00D447C5"/>
    <w:rsid w:val="00D46A6F"/>
    <w:rsid w:val="00D46AF5"/>
    <w:rsid w:val="00D4741A"/>
    <w:rsid w:val="00D51D97"/>
    <w:rsid w:val="00D53304"/>
    <w:rsid w:val="00D535A3"/>
    <w:rsid w:val="00D55106"/>
    <w:rsid w:val="00D573BD"/>
    <w:rsid w:val="00D61335"/>
    <w:rsid w:val="00D64C27"/>
    <w:rsid w:val="00D7196F"/>
    <w:rsid w:val="00D71DD3"/>
    <w:rsid w:val="00D92A4A"/>
    <w:rsid w:val="00DA6223"/>
    <w:rsid w:val="00DB0A49"/>
    <w:rsid w:val="00DB0F17"/>
    <w:rsid w:val="00DB19B5"/>
    <w:rsid w:val="00DB288C"/>
    <w:rsid w:val="00DB2E8E"/>
    <w:rsid w:val="00DC156D"/>
    <w:rsid w:val="00DC5366"/>
    <w:rsid w:val="00DD45DC"/>
    <w:rsid w:val="00DD53BC"/>
    <w:rsid w:val="00DD76C1"/>
    <w:rsid w:val="00DE0A74"/>
    <w:rsid w:val="00DE1D31"/>
    <w:rsid w:val="00DE21E7"/>
    <w:rsid w:val="00DE33DC"/>
    <w:rsid w:val="00DE3FAD"/>
    <w:rsid w:val="00DE5CAC"/>
    <w:rsid w:val="00DE745D"/>
    <w:rsid w:val="00DE7F37"/>
    <w:rsid w:val="00DF21CB"/>
    <w:rsid w:val="00DF2B8E"/>
    <w:rsid w:val="00DF3882"/>
    <w:rsid w:val="00DF65C6"/>
    <w:rsid w:val="00E01C9A"/>
    <w:rsid w:val="00E07FBC"/>
    <w:rsid w:val="00E10BAE"/>
    <w:rsid w:val="00E166D5"/>
    <w:rsid w:val="00E16ED7"/>
    <w:rsid w:val="00E175BF"/>
    <w:rsid w:val="00E17978"/>
    <w:rsid w:val="00E17D51"/>
    <w:rsid w:val="00E275AE"/>
    <w:rsid w:val="00E27773"/>
    <w:rsid w:val="00E3251B"/>
    <w:rsid w:val="00E42815"/>
    <w:rsid w:val="00E46020"/>
    <w:rsid w:val="00E51FD9"/>
    <w:rsid w:val="00E60B0F"/>
    <w:rsid w:val="00E61998"/>
    <w:rsid w:val="00E61D4C"/>
    <w:rsid w:val="00E61FDB"/>
    <w:rsid w:val="00E624EB"/>
    <w:rsid w:val="00E6334B"/>
    <w:rsid w:val="00E7140E"/>
    <w:rsid w:val="00E7229F"/>
    <w:rsid w:val="00E734E3"/>
    <w:rsid w:val="00E747D4"/>
    <w:rsid w:val="00E80051"/>
    <w:rsid w:val="00E85E21"/>
    <w:rsid w:val="00E87515"/>
    <w:rsid w:val="00E95820"/>
    <w:rsid w:val="00EA017D"/>
    <w:rsid w:val="00EA1A8C"/>
    <w:rsid w:val="00EA60BE"/>
    <w:rsid w:val="00EA74F6"/>
    <w:rsid w:val="00EB05E6"/>
    <w:rsid w:val="00EB1102"/>
    <w:rsid w:val="00EB30A9"/>
    <w:rsid w:val="00EB43D3"/>
    <w:rsid w:val="00EC1280"/>
    <w:rsid w:val="00ED36EE"/>
    <w:rsid w:val="00ED50C3"/>
    <w:rsid w:val="00ED64B6"/>
    <w:rsid w:val="00EE00C3"/>
    <w:rsid w:val="00EE01FC"/>
    <w:rsid w:val="00EE0E8D"/>
    <w:rsid w:val="00EE57C5"/>
    <w:rsid w:val="00EE62B8"/>
    <w:rsid w:val="00EE7469"/>
    <w:rsid w:val="00EF090C"/>
    <w:rsid w:val="00F03C74"/>
    <w:rsid w:val="00F05D96"/>
    <w:rsid w:val="00F109F9"/>
    <w:rsid w:val="00F138DF"/>
    <w:rsid w:val="00F14502"/>
    <w:rsid w:val="00F15DB1"/>
    <w:rsid w:val="00F21647"/>
    <w:rsid w:val="00F25819"/>
    <w:rsid w:val="00F302D1"/>
    <w:rsid w:val="00F35457"/>
    <w:rsid w:val="00F42D92"/>
    <w:rsid w:val="00F434C1"/>
    <w:rsid w:val="00F45A9A"/>
    <w:rsid w:val="00F56BF6"/>
    <w:rsid w:val="00F603C1"/>
    <w:rsid w:val="00F70EE5"/>
    <w:rsid w:val="00F758D3"/>
    <w:rsid w:val="00F75929"/>
    <w:rsid w:val="00F77A1D"/>
    <w:rsid w:val="00F77E4E"/>
    <w:rsid w:val="00F8228B"/>
    <w:rsid w:val="00F82CD6"/>
    <w:rsid w:val="00F856A5"/>
    <w:rsid w:val="00F93242"/>
    <w:rsid w:val="00F93494"/>
    <w:rsid w:val="00F95EF5"/>
    <w:rsid w:val="00F96374"/>
    <w:rsid w:val="00F9756F"/>
    <w:rsid w:val="00FA04ED"/>
    <w:rsid w:val="00FA449D"/>
    <w:rsid w:val="00FA50F9"/>
    <w:rsid w:val="00FA603E"/>
    <w:rsid w:val="00FB01B8"/>
    <w:rsid w:val="00FB0AF1"/>
    <w:rsid w:val="00FB2F02"/>
    <w:rsid w:val="00FB2F69"/>
    <w:rsid w:val="00FB5F87"/>
    <w:rsid w:val="00FC10D6"/>
    <w:rsid w:val="00FC1D3F"/>
    <w:rsid w:val="00FC1EBB"/>
    <w:rsid w:val="00FC3F38"/>
    <w:rsid w:val="00FC4DA3"/>
    <w:rsid w:val="00FC540E"/>
    <w:rsid w:val="00FC6D50"/>
    <w:rsid w:val="00FD02DE"/>
    <w:rsid w:val="00FD215B"/>
    <w:rsid w:val="00FD2471"/>
    <w:rsid w:val="00FD4E7D"/>
    <w:rsid w:val="00FE67F2"/>
    <w:rsid w:val="00FF2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5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EE5"/>
    <w:pPr>
      <w:keepNext/>
      <w:keepLines/>
      <w:spacing w:before="40" w:after="0"/>
      <w:outlineLvl w:val="1"/>
    </w:pPr>
    <w:rPr>
      <w:rFonts w:asciiTheme="majorHAnsi" w:eastAsia="Times New Roman"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123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34"/>
    <w:qFormat/>
    <w:rsid w:val="00DB0A49"/>
    <w:pPr>
      <w:ind w:left="720"/>
      <w:contextualSpacing/>
    </w:pPr>
  </w:style>
  <w:style w:type="character" w:styleId="CommentReference">
    <w:name w:val="annotation reference"/>
    <w:basedOn w:val="DefaultParagraphFont"/>
    <w:uiPriority w:val="99"/>
    <w:semiHidden/>
    <w:unhideWhenUsed/>
    <w:rsid w:val="0003164E"/>
    <w:rPr>
      <w:sz w:val="16"/>
      <w:szCs w:val="16"/>
    </w:rPr>
  </w:style>
  <w:style w:type="paragraph" w:styleId="CommentText">
    <w:name w:val="annotation text"/>
    <w:basedOn w:val="Normal"/>
    <w:link w:val="CommentTextChar"/>
    <w:uiPriority w:val="99"/>
    <w:unhideWhenUsed/>
    <w:rsid w:val="0003164E"/>
    <w:pPr>
      <w:spacing w:line="240" w:lineRule="auto"/>
    </w:pPr>
    <w:rPr>
      <w:sz w:val="20"/>
      <w:szCs w:val="20"/>
    </w:rPr>
  </w:style>
  <w:style w:type="character" w:customStyle="1" w:styleId="CommentTextChar">
    <w:name w:val="Comment Text Char"/>
    <w:basedOn w:val="DefaultParagraphFont"/>
    <w:link w:val="CommentText"/>
    <w:uiPriority w:val="99"/>
    <w:rsid w:val="0003164E"/>
    <w:rPr>
      <w:sz w:val="20"/>
      <w:szCs w:val="20"/>
    </w:rPr>
  </w:style>
  <w:style w:type="paragraph" w:styleId="CommentSubject">
    <w:name w:val="annotation subject"/>
    <w:basedOn w:val="CommentText"/>
    <w:next w:val="CommentText"/>
    <w:link w:val="CommentSubjectChar"/>
    <w:uiPriority w:val="99"/>
    <w:semiHidden/>
    <w:unhideWhenUsed/>
    <w:rsid w:val="0003164E"/>
    <w:rPr>
      <w:b/>
      <w:bCs/>
    </w:rPr>
  </w:style>
  <w:style w:type="character" w:customStyle="1" w:styleId="CommentSubjectChar">
    <w:name w:val="Comment Subject Char"/>
    <w:basedOn w:val="CommentTextChar"/>
    <w:link w:val="CommentSubject"/>
    <w:uiPriority w:val="99"/>
    <w:semiHidden/>
    <w:rsid w:val="0003164E"/>
    <w:rPr>
      <w:b/>
      <w:bCs/>
      <w:sz w:val="20"/>
      <w:szCs w:val="20"/>
    </w:rPr>
  </w:style>
  <w:style w:type="paragraph" w:styleId="BalloonText">
    <w:name w:val="Balloon Text"/>
    <w:basedOn w:val="Normal"/>
    <w:link w:val="BalloonTextChar"/>
    <w:uiPriority w:val="99"/>
    <w:semiHidden/>
    <w:unhideWhenUsed/>
    <w:rsid w:val="0003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4E"/>
    <w:rPr>
      <w:rFonts w:ascii="Segoe UI" w:hAnsi="Segoe UI" w:cs="Segoe UI"/>
      <w:sz w:val="18"/>
      <w:szCs w:val="18"/>
    </w:rPr>
  </w:style>
  <w:style w:type="paragraph" w:styleId="Header">
    <w:name w:val="header"/>
    <w:basedOn w:val="Normal"/>
    <w:link w:val="HeaderChar"/>
    <w:uiPriority w:val="99"/>
    <w:unhideWhenUsed/>
    <w:rsid w:val="001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CB"/>
  </w:style>
  <w:style w:type="paragraph" w:customStyle="1" w:styleId="Default">
    <w:name w:val="Default"/>
    <w:rsid w:val="00330F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5D2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5D26"/>
    <w:pPr>
      <w:spacing w:line="259" w:lineRule="auto"/>
      <w:outlineLvl w:val="9"/>
    </w:pPr>
  </w:style>
  <w:style w:type="paragraph" w:styleId="TOC2">
    <w:name w:val="toc 2"/>
    <w:basedOn w:val="Normal"/>
    <w:next w:val="Normal"/>
    <w:autoRedefine/>
    <w:uiPriority w:val="39"/>
    <w:unhideWhenUsed/>
    <w:rsid w:val="004E1808"/>
    <w:pPr>
      <w:tabs>
        <w:tab w:val="left" w:pos="660"/>
        <w:tab w:val="right" w:leader="dot" w:pos="9350"/>
      </w:tabs>
      <w:spacing w:after="100" w:line="259" w:lineRule="auto"/>
      <w:ind w:left="220"/>
    </w:pPr>
    <w:rPr>
      <w:rFonts w:ascii="Times New Roman" w:eastAsiaTheme="minorEastAsia" w:hAnsi="Times New Roman" w:cs="Times New Roman"/>
      <w:noProof/>
    </w:rPr>
  </w:style>
  <w:style w:type="paragraph" w:styleId="TOC1">
    <w:name w:val="toc 1"/>
    <w:basedOn w:val="Normal"/>
    <w:next w:val="Normal"/>
    <w:autoRedefine/>
    <w:uiPriority w:val="39"/>
    <w:unhideWhenUsed/>
    <w:rsid w:val="004E1808"/>
    <w:pPr>
      <w:tabs>
        <w:tab w:val="right" w:leader="dot" w:pos="9350"/>
      </w:tabs>
      <w:spacing w:after="100" w:line="259" w:lineRule="auto"/>
    </w:pPr>
    <w:rPr>
      <w:rFonts w:ascii="Times New Roman" w:eastAsiaTheme="minorEastAsia" w:hAnsi="Times New Roman" w:cs="Times New Roman"/>
      <w:noProof/>
    </w:rPr>
  </w:style>
  <w:style w:type="paragraph" w:styleId="TOC3">
    <w:name w:val="toc 3"/>
    <w:basedOn w:val="Normal"/>
    <w:next w:val="Normal"/>
    <w:autoRedefine/>
    <w:uiPriority w:val="39"/>
    <w:unhideWhenUsed/>
    <w:rsid w:val="00014393"/>
    <w:pPr>
      <w:tabs>
        <w:tab w:val="right" w:leader="dot" w:pos="9350"/>
      </w:tabs>
      <w:spacing w:after="100" w:line="259" w:lineRule="auto"/>
      <w:ind w:left="440"/>
    </w:pPr>
    <w:rPr>
      <w:rFonts w:eastAsiaTheme="minorEastAsia" w:cs="Times New Roman"/>
    </w:rPr>
  </w:style>
  <w:style w:type="character" w:styleId="Hyperlink">
    <w:name w:val="Hyperlink"/>
    <w:basedOn w:val="DefaultParagraphFont"/>
    <w:uiPriority w:val="99"/>
    <w:unhideWhenUsed/>
    <w:rsid w:val="005F48C0"/>
    <w:rPr>
      <w:color w:val="0000FF" w:themeColor="hyperlink"/>
      <w:u w:val="single"/>
    </w:rPr>
  </w:style>
  <w:style w:type="character" w:customStyle="1" w:styleId="Heading2Char">
    <w:name w:val="Heading 2 Char"/>
    <w:basedOn w:val="DefaultParagraphFont"/>
    <w:link w:val="Heading2"/>
    <w:uiPriority w:val="9"/>
    <w:rsid w:val="00F70EE5"/>
    <w:rPr>
      <w:rFonts w:asciiTheme="majorHAnsi" w:eastAsia="Times New Roman" w:hAnsiTheme="majorHAnsi" w:cstheme="majorBidi"/>
      <w:color w:val="365F91" w:themeColor="accent1" w:themeShade="BF"/>
      <w:sz w:val="26"/>
      <w:szCs w:val="26"/>
    </w:rPr>
  </w:style>
  <w:style w:type="paragraph" w:styleId="Revision">
    <w:name w:val="Revision"/>
    <w:hidden/>
    <w:uiPriority w:val="99"/>
    <w:semiHidden/>
    <w:rsid w:val="00127D73"/>
    <w:pPr>
      <w:spacing w:after="0" w:line="240" w:lineRule="auto"/>
    </w:pPr>
  </w:style>
  <w:style w:type="paragraph" w:styleId="NoSpacing">
    <w:name w:val="No Spacing"/>
    <w:uiPriority w:val="1"/>
    <w:qFormat/>
    <w:rsid w:val="005613C4"/>
    <w:pPr>
      <w:widowControl w:val="0"/>
      <w:spacing w:after="0" w:line="240" w:lineRule="auto"/>
    </w:pPr>
    <w:rPr>
      <w:rFonts w:ascii="Calibri" w:eastAsia="Calibri" w:hAnsi="Calibri" w:cs="Times New Roman"/>
    </w:rPr>
  </w:style>
  <w:style w:type="table" w:customStyle="1" w:styleId="TableGrid111">
    <w:name w:val="Table Grid111"/>
    <w:basedOn w:val="TableNormal"/>
    <w:next w:val="TableGrid"/>
    <w:uiPriority w:val="39"/>
    <w:rsid w:val="005613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34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123A9"/>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4123A9"/>
    <w:pPr>
      <w:widowControl w:val="0"/>
      <w:autoSpaceDE w:val="0"/>
      <w:autoSpaceDN w:val="0"/>
      <w:spacing w:after="0" w:line="240" w:lineRule="auto"/>
    </w:pPr>
    <w:rPr>
      <w:rFonts w:ascii="Times New Roman" w:eastAsia="Times New Roman" w:hAnsi="Times New Roman" w:cs="Times New Roman"/>
    </w:rPr>
  </w:style>
  <w:style w:type="table" w:styleId="MediumGrid3-Accent1">
    <w:name w:val="Medium Grid 3 Accent 1"/>
    <w:basedOn w:val="TableNormal"/>
    <w:uiPriority w:val="69"/>
    <w:rsid w:val="004123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uiPriority w:val="1"/>
    <w:qFormat/>
    <w:rsid w:val="004123A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123A9"/>
    <w:rPr>
      <w:rFonts w:ascii="Calibri" w:eastAsia="Calibri" w:hAnsi="Calibri" w:cs="Calibri"/>
    </w:rPr>
  </w:style>
  <w:style w:type="paragraph" w:styleId="FootnoteText">
    <w:name w:val="footnote text"/>
    <w:basedOn w:val="Normal"/>
    <w:link w:val="FootnoteTextChar"/>
    <w:uiPriority w:val="99"/>
    <w:semiHidden/>
    <w:unhideWhenUsed/>
    <w:rsid w:val="00B45F1A"/>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semiHidden/>
    <w:rsid w:val="00B45F1A"/>
    <w:rPr>
      <w:rFonts w:eastAsiaTheme="minorEastAsia"/>
      <w:sz w:val="20"/>
      <w:szCs w:val="20"/>
      <w:lang w:eastAsia="ja-JP"/>
    </w:rPr>
  </w:style>
  <w:style w:type="character" w:styleId="FootnoteReference">
    <w:name w:val="footnote reference"/>
    <w:basedOn w:val="DefaultParagraphFont"/>
    <w:uiPriority w:val="99"/>
    <w:semiHidden/>
    <w:unhideWhenUsed/>
    <w:rsid w:val="00B45F1A"/>
    <w:rPr>
      <w:vertAlign w:val="superscript"/>
    </w:rPr>
  </w:style>
  <w:style w:type="paragraph" w:styleId="Footer">
    <w:name w:val="footer"/>
    <w:basedOn w:val="Normal"/>
    <w:link w:val="FooterChar"/>
    <w:uiPriority w:val="99"/>
    <w:unhideWhenUsed/>
    <w:rsid w:val="00C2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C6"/>
  </w:style>
  <w:style w:type="character" w:styleId="FollowedHyperlink">
    <w:name w:val="FollowedHyperlink"/>
    <w:basedOn w:val="DefaultParagraphFont"/>
    <w:uiPriority w:val="99"/>
    <w:semiHidden/>
    <w:unhideWhenUsed/>
    <w:rsid w:val="008A7F4A"/>
    <w:rPr>
      <w:color w:val="800080" w:themeColor="followedHyperlink"/>
      <w:u w:val="single"/>
    </w:rPr>
  </w:style>
  <w:style w:type="paragraph" w:customStyle="1" w:styleId="msonormal0">
    <w:name w:val="msonormal"/>
    <w:basedOn w:val="Normal"/>
    <w:rsid w:val="008A7F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Point Char"/>
    <w:basedOn w:val="DefaultParagraphFont"/>
    <w:link w:val="ListParagraph"/>
    <w:uiPriority w:val="34"/>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82727">
      <w:bodyDiv w:val="1"/>
      <w:marLeft w:val="0"/>
      <w:marRight w:val="0"/>
      <w:marTop w:val="0"/>
      <w:marBottom w:val="0"/>
      <w:divBdr>
        <w:top w:val="none" w:sz="0" w:space="0" w:color="auto"/>
        <w:left w:val="none" w:sz="0" w:space="0" w:color="auto"/>
        <w:bottom w:val="none" w:sz="0" w:space="0" w:color="auto"/>
        <w:right w:val="none" w:sz="0" w:space="0" w:color="auto"/>
      </w:divBdr>
    </w:div>
    <w:div w:id="1107235795">
      <w:bodyDiv w:val="1"/>
      <w:marLeft w:val="0"/>
      <w:marRight w:val="0"/>
      <w:marTop w:val="0"/>
      <w:marBottom w:val="0"/>
      <w:divBdr>
        <w:top w:val="none" w:sz="0" w:space="0" w:color="auto"/>
        <w:left w:val="none" w:sz="0" w:space="0" w:color="auto"/>
        <w:bottom w:val="none" w:sz="0" w:space="0" w:color="auto"/>
        <w:right w:val="none" w:sz="0" w:space="0" w:color="auto"/>
      </w:divBdr>
    </w:div>
    <w:div w:id="1698121796">
      <w:bodyDiv w:val="1"/>
      <w:marLeft w:val="0"/>
      <w:marRight w:val="0"/>
      <w:marTop w:val="0"/>
      <w:marBottom w:val="0"/>
      <w:divBdr>
        <w:top w:val="none" w:sz="0" w:space="0" w:color="auto"/>
        <w:left w:val="none" w:sz="0" w:space="0" w:color="auto"/>
        <w:bottom w:val="none" w:sz="0" w:space="0" w:color="auto"/>
        <w:right w:val="none" w:sz="0" w:space="0" w:color="auto"/>
      </w:divBdr>
    </w:div>
    <w:div w:id="193458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Greenwood/Desktop/ARCWG%20VM-22%20Draft%20Proposal%20July%202021%20-%20Clean.docx" TargetMode="External"/><Relationship Id="rId21" Type="http://schemas.openxmlformats.org/officeDocument/2006/relationships/hyperlink" Target="file:///C:/Users/Greenwood/Desktop/ARCWG%20VM-22%20Draft%20Proposal%20July%202021%20-%20Clean.docx" TargetMode="External"/><Relationship Id="rId42" Type="http://schemas.openxmlformats.org/officeDocument/2006/relationships/hyperlink" Target="file:///C:/Users/Greenwood/Desktop/ARCWG%20VM-22%20Draft%20Proposal%20July%202021%20-%20Clean.docx" TargetMode="External"/><Relationship Id="rId47" Type="http://schemas.openxmlformats.org/officeDocument/2006/relationships/hyperlink" Target="file:///C:/Users/Greenwood/Desktop/ARCWG%20VM-22%20Draft%20Proposal%20July%202021%20-%20Clean.docx" TargetMode="External"/><Relationship Id="rId63" Type="http://schemas.openxmlformats.org/officeDocument/2006/relationships/hyperlink" Target="file:///C:/Users/Greenwood/Desktop/ARCWG%20VM-22%20Draft%20Proposal%20July%202021%20-%20Clean.docx" TargetMode="External"/><Relationship Id="rId68" Type="http://schemas.openxmlformats.org/officeDocument/2006/relationships/hyperlink" Target="file:///C:/Users/Greenwood/Desktop/ARCWG%20VM-22%20Draft%20Proposal%20July%202021%20-%20Clean.docx" TargetMode="External"/><Relationship Id="rId16" Type="http://schemas.openxmlformats.org/officeDocument/2006/relationships/hyperlink" Target="file:///C:/Users/Greenwood/Desktop/ARCWG%20VM-22%20Draft%20Proposal%20July%202021%20-%20Clean.docx" TargetMode="External"/><Relationship Id="rId11" Type="http://schemas.openxmlformats.org/officeDocument/2006/relationships/hyperlink" Target="file:///C:/Users/Greenwood/Desktop/ARCWG%20VM-22%20Draft%20Proposal%20July%202021%20-%20Clean.docx" TargetMode="External"/><Relationship Id="rId32" Type="http://schemas.openxmlformats.org/officeDocument/2006/relationships/hyperlink" Target="file:///C:/Users/Greenwood/Desktop/ARCWG%20VM-22%20Draft%20Proposal%20July%202021%20-%20Clean.docx" TargetMode="External"/><Relationship Id="rId37" Type="http://schemas.openxmlformats.org/officeDocument/2006/relationships/hyperlink" Target="file:///C:/Users/Greenwood/Desktop/ARCWG%20VM-22%20Draft%20Proposal%20July%202021%20-%20Clean.docx" TargetMode="External"/><Relationship Id="rId53" Type="http://schemas.openxmlformats.org/officeDocument/2006/relationships/hyperlink" Target="file:///C:/Users/Greenwood/Desktop/ARCWG%20VM-22%20Draft%20Proposal%20July%202021%20-%20Clean.docx" TargetMode="External"/><Relationship Id="rId58" Type="http://schemas.openxmlformats.org/officeDocument/2006/relationships/hyperlink" Target="file:///C:/Users/Greenwood/Desktop/ARCWG%20VM-22%20Draft%20Proposal%20July%202021%20-%20Clean.docx" TargetMode="External"/><Relationship Id="rId74" Type="http://schemas.openxmlformats.org/officeDocument/2006/relationships/hyperlink" Target="https://research.stlouisfed.org/fred2/categories/3234"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C:/Users/Greenwood/Desktop/ARCWG%20VM-22%20Draft%20Proposal%20July%202021%20-%20Clean.docx" TargetMode="External"/><Relationship Id="rId82" Type="http://schemas.openxmlformats.org/officeDocument/2006/relationships/customXml" Target="../customXml/item3.xml"/><Relationship Id="rId19" Type="http://schemas.openxmlformats.org/officeDocument/2006/relationships/hyperlink" Target="file:///C:/Users/Greenwood/Desktop/ARCWG%20VM-22%20Draft%20Proposal%20July%202021%20-%20Clean.docx" TargetMode="External"/><Relationship Id="rId14" Type="http://schemas.openxmlformats.org/officeDocument/2006/relationships/hyperlink" Target="file:///C:/Users/Greenwood/Desktop/ARCWG%20VM-22%20Draft%20Proposal%20July%202021%20-%20Clean.docx" TargetMode="External"/><Relationship Id="rId22" Type="http://schemas.openxmlformats.org/officeDocument/2006/relationships/hyperlink" Target="file:///C:/Users/Greenwood/Desktop/ARCWG%20VM-22%20Draft%20Proposal%20July%202021%20-%20Clean.docx" TargetMode="External"/><Relationship Id="rId27" Type="http://schemas.openxmlformats.org/officeDocument/2006/relationships/hyperlink" Target="file:///C:/Users/Greenwood/Desktop/ARCWG%20VM-22%20Draft%20Proposal%20July%202021%20-%20Clean.docx" TargetMode="External"/><Relationship Id="rId30" Type="http://schemas.openxmlformats.org/officeDocument/2006/relationships/hyperlink" Target="file:///C:/Users/Greenwood/Desktop/ARCWG%20VM-22%20Draft%20Proposal%20July%202021%20-%20Clean.docx" TargetMode="External"/><Relationship Id="rId35" Type="http://schemas.openxmlformats.org/officeDocument/2006/relationships/hyperlink" Target="file:///C:/Users/Greenwood/Desktop/ARCWG%20VM-22%20Draft%20Proposal%20July%202021%20-%20Clean.docx" TargetMode="External"/><Relationship Id="rId43" Type="http://schemas.openxmlformats.org/officeDocument/2006/relationships/hyperlink" Target="file:///C:/Users/Greenwood/Desktop/ARCWG%20VM-22%20Draft%20Proposal%20July%202021%20-%20Clean.docx" TargetMode="External"/><Relationship Id="rId48" Type="http://schemas.openxmlformats.org/officeDocument/2006/relationships/hyperlink" Target="file:///C:/Users/Greenwood/Desktop/ARCWG%20VM-22%20Draft%20Proposal%20July%202021%20-%20Clean.docx" TargetMode="External"/><Relationship Id="rId56" Type="http://schemas.openxmlformats.org/officeDocument/2006/relationships/hyperlink" Target="file:///C:/Users/Greenwood/Desktop/ARCWG%20VM-22%20Draft%20Proposal%20July%202021%20-%20Clean.docx" TargetMode="External"/><Relationship Id="rId64" Type="http://schemas.openxmlformats.org/officeDocument/2006/relationships/hyperlink" Target="file:///C:/Users/Greenwood/Desktop/ARCWG%20VM-22%20Draft%20Proposal%20July%202021%20-%20Clean.docx" TargetMode="External"/><Relationship Id="rId69" Type="http://schemas.openxmlformats.org/officeDocument/2006/relationships/hyperlink" Target="file:///C:/Users/Greenwood/Desktop/ARCWG%20VM-22%20Draft%20Proposal%20July%202021%20-%20Clean.docx" TargetMode="External"/><Relationship Id="rId77" Type="http://schemas.openxmlformats.org/officeDocument/2006/relationships/footer" Target="footer1.xml"/><Relationship Id="rId8" Type="http://schemas.openxmlformats.org/officeDocument/2006/relationships/hyperlink" Target="file:///C:/Users/Greenwood/Desktop/ARCWG%20VM-22%20Draft%20Proposal%20July%202021%20-%20Clean.docx" TargetMode="External"/><Relationship Id="rId51" Type="http://schemas.openxmlformats.org/officeDocument/2006/relationships/hyperlink" Target="file:///C:/Users/Greenwood/Desktop/ARCWG%20VM-22%20Draft%20Proposal%20July%202021%20-%20Clean.docx" TargetMode="External"/><Relationship Id="rId72" Type="http://schemas.microsoft.com/office/2016/09/relationships/commentsIds" Target="commentsIds.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C:/Users/Greenwood/Desktop/ARCWG%20VM-22%20Draft%20Proposal%20July%202021%20-%20Clean.docx" TargetMode="External"/><Relationship Id="rId17" Type="http://schemas.openxmlformats.org/officeDocument/2006/relationships/hyperlink" Target="file:///C:/Users/Greenwood/Desktop/ARCWG%20VM-22%20Draft%20Proposal%20July%202021%20-%20Clean.docx" TargetMode="External"/><Relationship Id="rId25" Type="http://schemas.openxmlformats.org/officeDocument/2006/relationships/hyperlink" Target="file:///C:/Users/Greenwood/Desktop/ARCWG%20VM-22%20Draft%20Proposal%20July%202021%20-%20Clean.docx" TargetMode="External"/><Relationship Id="rId33" Type="http://schemas.openxmlformats.org/officeDocument/2006/relationships/hyperlink" Target="file:///C:/Users/Greenwood/Desktop/ARCWG%20VM-22%20Draft%20Proposal%20July%202021%20-%20Clean.docx" TargetMode="External"/><Relationship Id="rId38" Type="http://schemas.openxmlformats.org/officeDocument/2006/relationships/hyperlink" Target="file:///C:/Users/Greenwood/Desktop/ARCWG%20VM-22%20Draft%20Proposal%20July%202021%20-%20Clean.docx" TargetMode="External"/><Relationship Id="rId46" Type="http://schemas.openxmlformats.org/officeDocument/2006/relationships/hyperlink" Target="file:///C:/Users/Greenwood/Desktop/ARCWG%20VM-22%20Draft%20Proposal%20July%202021%20-%20Clean.docx" TargetMode="External"/><Relationship Id="rId59" Type="http://schemas.openxmlformats.org/officeDocument/2006/relationships/hyperlink" Target="file:///C:/Users/Greenwood/Desktop/ARCWG%20VM-22%20Draft%20Proposal%20July%202021%20-%20Clean.docx" TargetMode="External"/><Relationship Id="rId67" Type="http://schemas.openxmlformats.org/officeDocument/2006/relationships/hyperlink" Target="file:///C:/Users/Greenwood/Desktop/ARCWG%20VM-22%20Draft%20Proposal%20July%202021%20-%20Clean.docx" TargetMode="External"/><Relationship Id="rId20" Type="http://schemas.openxmlformats.org/officeDocument/2006/relationships/hyperlink" Target="file:///C:/Users/Greenwood/Desktop/ARCWG%20VM-22%20Draft%20Proposal%20July%202021%20-%20Clean.docx" TargetMode="External"/><Relationship Id="rId41" Type="http://schemas.openxmlformats.org/officeDocument/2006/relationships/hyperlink" Target="file:///C:/Users/Greenwood/Desktop/ARCWG%20VM-22%20Draft%20Proposal%20July%202021%20-%20Clean.docx" TargetMode="External"/><Relationship Id="rId54" Type="http://schemas.openxmlformats.org/officeDocument/2006/relationships/hyperlink" Target="file:///C:/Users/Greenwood/Desktop/ARCWG%20VM-22%20Draft%20Proposal%20July%202021%20-%20Clean.docx" TargetMode="External"/><Relationship Id="rId62" Type="http://schemas.openxmlformats.org/officeDocument/2006/relationships/hyperlink" Target="file:///C:/Users/Greenwood/Desktop/ARCWG%20VM-22%20Draft%20Proposal%20July%202021%20-%20Clean.docx" TargetMode="External"/><Relationship Id="rId70" Type="http://schemas.openxmlformats.org/officeDocument/2006/relationships/comments" Target="comments.xml"/><Relationship Id="rId75" Type="http://schemas.openxmlformats.org/officeDocument/2006/relationships/hyperlink" Target="https://research.stlouisfed.org/fred2/categories/32347" TargetMode="External"/><Relationship Id="rId83"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Greenwood/Desktop/ARCWG%20VM-22%20Draft%20Proposal%20July%202021%20-%20Clean.docx" TargetMode="External"/><Relationship Id="rId23" Type="http://schemas.openxmlformats.org/officeDocument/2006/relationships/hyperlink" Target="file:///C:/Users/Greenwood/Desktop/ARCWG%20VM-22%20Draft%20Proposal%20July%202021%20-%20Clean.docx" TargetMode="External"/><Relationship Id="rId28" Type="http://schemas.openxmlformats.org/officeDocument/2006/relationships/hyperlink" Target="file:///C:/Users/Greenwood/Desktop/ARCWG%20VM-22%20Draft%20Proposal%20July%202021%20-%20Clean.docx" TargetMode="External"/><Relationship Id="rId36" Type="http://schemas.openxmlformats.org/officeDocument/2006/relationships/hyperlink" Target="file:///C:/Users/Greenwood/Desktop/ARCWG%20VM-22%20Draft%20Proposal%20July%202021%20-%20Clean.docx" TargetMode="External"/><Relationship Id="rId49" Type="http://schemas.openxmlformats.org/officeDocument/2006/relationships/hyperlink" Target="file:///C:/Users/Greenwood/Desktop/ARCWG%20VM-22%20Draft%20Proposal%20July%202021%20-%20Clean.docx" TargetMode="External"/><Relationship Id="rId57" Type="http://schemas.openxmlformats.org/officeDocument/2006/relationships/hyperlink" Target="file:///C:/Users/Greenwood/Desktop/ARCWG%20VM-22%20Draft%20Proposal%20July%202021%20-%20Clean.docx" TargetMode="External"/><Relationship Id="rId10" Type="http://schemas.openxmlformats.org/officeDocument/2006/relationships/hyperlink" Target="file:///C:/Users/Greenwood/Desktop/ARCWG%20VM-22%20Draft%20Proposal%20July%202021%20-%20Clean.docx" TargetMode="External"/><Relationship Id="rId31" Type="http://schemas.openxmlformats.org/officeDocument/2006/relationships/hyperlink" Target="file:///C:/Users/Greenwood/Desktop/ARCWG%20VM-22%20Draft%20Proposal%20July%202021%20-%20Clean.docx" TargetMode="External"/><Relationship Id="rId44" Type="http://schemas.openxmlformats.org/officeDocument/2006/relationships/hyperlink" Target="file:///C:/Users/Greenwood/Desktop/ARCWG%20VM-22%20Draft%20Proposal%20July%202021%20-%20Clean.docx" TargetMode="External"/><Relationship Id="rId52" Type="http://schemas.openxmlformats.org/officeDocument/2006/relationships/hyperlink" Target="file:///C:/Users/Greenwood/Desktop/ARCWG%20VM-22%20Draft%20Proposal%20July%202021%20-%20Clean.docx" TargetMode="External"/><Relationship Id="rId60" Type="http://schemas.openxmlformats.org/officeDocument/2006/relationships/hyperlink" Target="file:///C:/Users/Greenwood/Desktop/ARCWG%20VM-22%20Draft%20Proposal%20July%202021%20-%20Clean.docx" TargetMode="External"/><Relationship Id="rId65" Type="http://schemas.openxmlformats.org/officeDocument/2006/relationships/hyperlink" Target="file:///C:/Users/Greenwood/Desktop/ARCWG%20VM-22%20Draft%20Proposal%20July%202021%20-%20Clean.docx" TargetMode="External"/><Relationship Id="rId73" Type="http://schemas.openxmlformats.org/officeDocument/2006/relationships/hyperlink" Target="https://fred.stlouisfed.org/" TargetMode="External"/><Relationship Id="rId78" Type="http://schemas.openxmlformats.org/officeDocument/2006/relationships/footer" Target="footer2.xml"/><Relationship Id="rId8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file:///C:/Users/Greenwood/Desktop/ARCWG%20VM-22%20Draft%20Proposal%20July%202021%20-%20Clean.docx" TargetMode="External"/><Relationship Id="rId13" Type="http://schemas.openxmlformats.org/officeDocument/2006/relationships/hyperlink" Target="file:///C:/Users/Greenwood/Desktop/ARCWG%20VM-22%20Draft%20Proposal%20July%202021%20-%20Clean.docx" TargetMode="External"/><Relationship Id="rId18" Type="http://schemas.openxmlformats.org/officeDocument/2006/relationships/hyperlink" Target="file:///C:/Users/Greenwood/Desktop/ARCWG%20VM-22%20Draft%20Proposal%20July%202021%20-%20Clean.docx" TargetMode="External"/><Relationship Id="rId39" Type="http://schemas.openxmlformats.org/officeDocument/2006/relationships/hyperlink" Target="file:///C:/Users/Greenwood/Desktop/ARCWG%20VM-22%20Draft%20Proposal%20July%202021%20-%20Clean.docx" TargetMode="External"/><Relationship Id="rId34" Type="http://schemas.openxmlformats.org/officeDocument/2006/relationships/hyperlink" Target="file:///C:/Users/Greenwood/Desktop/ARCWG%20VM-22%20Draft%20Proposal%20July%202021%20-%20Clean.docx" TargetMode="External"/><Relationship Id="rId50" Type="http://schemas.openxmlformats.org/officeDocument/2006/relationships/hyperlink" Target="file:///C:/Users/Greenwood/Desktop/ARCWG%20VM-22%20Draft%20Proposal%20July%202021%20-%20Clean.docx" TargetMode="External"/><Relationship Id="rId55" Type="http://schemas.openxmlformats.org/officeDocument/2006/relationships/hyperlink" Target="file:///C:/Users/Greenwood/Desktop/ARCWG%20VM-22%20Draft%20Proposal%20July%202021%20-%20Clean.docx" TargetMode="External"/><Relationship Id="rId76" Type="http://schemas.openxmlformats.org/officeDocument/2006/relationships/hyperlink" Target="https://fred.stlouisfed.org" TargetMode="External"/><Relationship Id="rId7" Type="http://schemas.openxmlformats.org/officeDocument/2006/relationships/endnotes" Target="endnotes.xml"/><Relationship Id="rId71" Type="http://schemas.microsoft.com/office/2011/relationships/commentsExtended" Target="commentsExtended.xml"/><Relationship Id="rId2" Type="http://schemas.openxmlformats.org/officeDocument/2006/relationships/numbering" Target="numbering.xml"/><Relationship Id="rId29" Type="http://schemas.openxmlformats.org/officeDocument/2006/relationships/hyperlink" Target="file:///C:/Users/Greenwood/Desktop/ARCWG%20VM-22%20Draft%20Proposal%20July%202021%20-%20Clean.docx" TargetMode="External"/><Relationship Id="rId24" Type="http://schemas.openxmlformats.org/officeDocument/2006/relationships/hyperlink" Target="file:///C:/Users/Greenwood/Desktop/ARCWG%20VM-22%20Draft%20Proposal%20July%202021%20-%20Clean.docx" TargetMode="External"/><Relationship Id="rId40" Type="http://schemas.openxmlformats.org/officeDocument/2006/relationships/hyperlink" Target="file:///C:/Users/Greenwood/Desktop/ARCWG%20VM-22%20Draft%20Proposal%20July%202021%20-%20Clean.docx" TargetMode="External"/><Relationship Id="rId45" Type="http://schemas.openxmlformats.org/officeDocument/2006/relationships/hyperlink" Target="file:///C:/Users/Greenwood/Desktop/ARCWG%20VM-22%20Draft%20Proposal%20July%202021%20-%20Clean.docx" TargetMode="External"/><Relationship Id="rId66" Type="http://schemas.openxmlformats.org/officeDocument/2006/relationships/hyperlink" Target="file:///C:/Users/Greenwood/Desktop/ARCWG%20VM-22%20Draft%20Proposal%20July%202021%20-%20Clea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4" ma:contentTypeDescription="Create a new document." ma:contentTypeScope="" ma:versionID="66419e0d9cf63a700aa0dca6f3dc0418">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targetNamespace="http://schemas.microsoft.com/office/2006/metadata/properties" ma:root="true" ma:fieldsID="a2cebe7528297aff293ee59aecf11e4c" ns1:_="" ns2:_="" ns3:_="" ns4:_="">
    <xsd:import namespace="http://schemas.microsoft.com/sharepoint/v3"/>
    <xsd:import namespace="734dc620-9a3c-4363-b6b2-552d0a5c0ad8"/>
    <xsd:import namespace="http://schemas.microsoft.com/sharepoint/v3/fields"/>
    <xsd:import namespace="55eb7663-75cc-4f64-9609-52561375e7a6"/>
    <xsd:element name="properties">
      <xsd:complexType>
        <xsd:sequence>
          <xsd:element name="documentManagement">
            <xsd:complexType>
              <xsd:all>
                <xsd:element ref="ns2:Meeting_x0020_Type"/>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ma:displayName="Meeting Type" ma:format="Dropdown" ma:internalName="Meeting_x0020_Typ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rtDate xmlns="http://schemas.microsoft.com/sharepoint/v3">2021-12-13T06:00:00+00:00</StartDate>
    <_EndDate xmlns="http://schemas.microsoft.com/sharepoint/v3/fields">2021-12-16T06:00:00+00:00</_EndDate>
    <Location xmlns="http://schemas.microsoft.com/sharepoint/v3/fields">San Diego, CA</Location>
    <Meeting_x0020_Type xmlns="734dc620-9a3c-4363-b6b2-552d0a5c0ad8">Fall National</Meeting_x0020_Type>
  </documentManagement>
</p:properties>
</file>

<file path=customXml/itemProps1.xml><?xml version="1.0" encoding="utf-8"?>
<ds:datastoreItem xmlns:ds="http://schemas.openxmlformats.org/officeDocument/2006/customXml" ds:itemID="{F708EE48-92F5-4E0E-B705-BE0A3DB15E8F}">
  <ds:schemaRefs>
    <ds:schemaRef ds:uri="http://schemas.openxmlformats.org/officeDocument/2006/bibliography"/>
  </ds:schemaRefs>
</ds:datastoreItem>
</file>

<file path=customXml/itemProps2.xml><?xml version="1.0" encoding="utf-8"?>
<ds:datastoreItem xmlns:ds="http://schemas.openxmlformats.org/officeDocument/2006/customXml" ds:itemID="{E11892D3-FD30-49BA-8498-BE92AC11D636}"/>
</file>

<file path=customXml/itemProps3.xml><?xml version="1.0" encoding="utf-8"?>
<ds:datastoreItem xmlns:ds="http://schemas.openxmlformats.org/officeDocument/2006/customXml" ds:itemID="{F6C590E8-53DB-4414-94DE-A8DDA89AEB38}"/>
</file>

<file path=customXml/itemProps4.xml><?xml version="1.0" encoding="utf-8"?>
<ds:datastoreItem xmlns:ds="http://schemas.openxmlformats.org/officeDocument/2006/customXml" ds:itemID="{90DA9CF5-9DEC-4EA0-A0EE-5EDC2F9762BC}"/>
</file>

<file path=docProps/app.xml><?xml version="1.0" encoding="utf-8"?>
<Properties xmlns="http://schemas.openxmlformats.org/officeDocument/2006/extended-properties" xmlns:vt="http://schemas.openxmlformats.org/officeDocument/2006/docPropsVTypes">
  <Template>Normal</Template>
  <TotalTime>0</TotalTime>
  <Pages>70</Pages>
  <Words>26310</Words>
  <Characters>144973</Characters>
  <Application>Microsoft Office Word</Application>
  <DocSecurity>0</DocSecurity>
  <Lines>3221</Lines>
  <Paragraphs>1381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2021-11-15T15:48:00Z</dcterms:created>
  <dcterms:modified xsi:type="dcterms:W3CDTF">2021-11-15T15:48:00Z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ies>
</file>