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1DA" w14:textId="30B7A408" w:rsidR="005C65D4" w:rsidRPr="00412481" w:rsidRDefault="005C65D4" w:rsidP="00090284">
      <w:pPr>
        <w:pStyle w:val="Heading1"/>
        <w:spacing w:line="259" w:lineRule="auto"/>
        <w:ind w:left="0"/>
        <w:rPr>
          <w:rFonts w:cs="Times New Roman"/>
          <w:b w:val="0"/>
          <w:i/>
          <w:iCs/>
          <w:spacing w:val="-2"/>
          <w:sz w:val="20"/>
          <w:szCs w:val="20"/>
        </w:rPr>
      </w:pPr>
    </w:p>
    <w:p w14:paraId="3BD8C60B" w14:textId="77C8DE83" w:rsidR="00035C33" w:rsidRPr="00412481" w:rsidRDefault="00035C33" w:rsidP="00090284">
      <w:pPr>
        <w:pStyle w:val="Heading1"/>
        <w:spacing w:before="78" w:after="240" w:line="259" w:lineRule="auto"/>
        <w:ind w:left="3"/>
        <w:jc w:val="center"/>
        <w:rPr>
          <w:rFonts w:cs="Times New Roman"/>
          <w:b w:val="0"/>
          <w:bCs w:val="0"/>
          <w:sz w:val="20"/>
          <w:szCs w:val="20"/>
        </w:rPr>
      </w:pPr>
      <w:r w:rsidRPr="00412481">
        <w:rPr>
          <w:rFonts w:cs="Times New Roman"/>
          <w:spacing w:val="-2"/>
          <w:sz w:val="20"/>
          <w:szCs w:val="20"/>
        </w:rPr>
        <w:t>Ac</w:t>
      </w:r>
      <w:r w:rsidRPr="00412481">
        <w:rPr>
          <w:rFonts w:cs="Times New Roman"/>
          <w:spacing w:val="-1"/>
          <w:sz w:val="20"/>
          <w:szCs w:val="20"/>
        </w:rPr>
        <w:t>t</w:t>
      </w:r>
      <w:r w:rsidRPr="00412481">
        <w:rPr>
          <w:rFonts w:cs="Times New Roman"/>
          <w:spacing w:val="-2"/>
          <w:sz w:val="20"/>
          <w:szCs w:val="20"/>
        </w:rPr>
        <w:t>uar</w:t>
      </w:r>
      <w:r w:rsidRPr="00412481">
        <w:rPr>
          <w:rFonts w:cs="Times New Roman"/>
          <w:sz w:val="20"/>
          <w:szCs w:val="20"/>
        </w:rPr>
        <w:t>ial</w:t>
      </w:r>
      <w:r w:rsidRPr="00412481">
        <w:rPr>
          <w:rFonts w:cs="Times New Roman"/>
          <w:spacing w:val="-1"/>
          <w:sz w:val="20"/>
          <w:szCs w:val="20"/>
        </w:rPr>
        <w:t xml:space="preserve"> G</w:t>
      </w:r>
      <w:r w:rsidRPr="00412481">
        <w:rPr>
          <w:rFonts w:cs="Times New Roman"/>
          <w:spacing w:val="-2"/>
          <w:sz w:val="20"/>
          <w:szCs w:val="20"/>
        </w:rPr>
        <w:t>u</w:t>
      </w:r>
      <w:r w:rsidRPr="00412481">
        <w:rPr>
          <w:rFonts w:cs="Times New Roman"/>
          <w:sz w:val="20"/>
          <w:szCs w:val="20"/>
        </w:rPr>
        <w:t>id</w:t>
      </w:r>
      <w:r w:rsidRPr="00412481">
        <w:rPr>
          <w:rFonts w:cs="Times New Roman"/>
          <w:spacing w:val="-2"/>
          <w:sz w:val="20"/>
          <w:szCs w:val="20"/>
        </w:rPr>
        <w:t>e</w:t>
      </w:r>
      <w:r w:rsidRPr="00412481">
        <w:rPr>
          <w:rFonts w:cs="Times New Roman"/>
          <w:spacing w:val="-1"/>
          <w:sz w:val="20"/>
          <w:szCs w:val="20"/>
        </w:rPr>
        <w:t>l</w:t>
      </w:r>
      <w:r w:rsidRPr="00412481">
        <w:rPr>
          <w:rFonts w:cs="Times New Roman"/>
          <w:sz w:val="20"/>
          <w:szCs w:val="20"/>
        </w:rPr>
        <w:t>ine</w:t>
      </w:r>
      <w:r w:rsidRPr="00412481">
        <w:rPr>
          <w:rFonts w:cs="Times New Roman"/>
          <w:spacing w:val="-2"/>
          <w:sz w:val="20"/>
          <w:szCs w:val="20"/>
        </w:rPr>
        <w:t xml:space="preserve"> </w:t>
      </w:r>
      <w:r w:rsidR="007F70BD" w:rsidRPr="00412481">
        <w:rPr>
          <w:rFonts w:cs="Times New Roman"/>
          <w:spacing w:val="-2"/>
          <w:sz w:val="20"/>
          <w:szCs w:val="20"/>
        </w:rPr>
        <w:t>AAT</w:t>
      </w:r>
      <w:r w:rsidR="00737256" w:rsidRPr="00412481">
        <w:rPr>
          <w:rFonts w:cs="Times New Roman"/>
          <w:color w:val="FF0000"/>
          <w:spacing w:val="-2"/>
          <w:sz w:val="20"/>
          <w:szCs w:val="20"/>
        </w:rPr>
        <w:t xml:space="preserve"> </w:t>
      </w:r>
      <w:r w:rsidR="00737256" w:rsidRPr="00412481">
        <w:rPr>
          <w:rFonts w:cs="Times New Roman"/>
          <w:spacing w:val="-2"/>
          <w:sz w:val="20"/>
          <w:szCs w:val="20"/>
        </w:rPr>
        <w:t>–</w:t>
      </w:r>
      <w:r w:rsidR="003060CE" w:rsidRPr="00412481">
        <w:rPr>
          <w:rFonts w:cs="Times New Roman"/>
          <w:spacing w:val="-2"/>
          <w:sz w:val="24"/>
          <w:szCs w:val="24"/>
        </w:rPr>
        <w:t xml:space="preserve"> </w:t>
      </w:r>
      <w:r w:rsidR="00560FF3">
        <w:rPr>
          <w:rFonts w:cs="Times New Roman"/>
          <w:spacing w:val="-2"/>
          <w:sz w:val="24"/>
          <w:szCs w:val="24"/>
        </w:rPr>
        <w:t>4</w:t>
      </w:r>
      <w:r w:rsidR="00560FF3" w:rsidRPr="00560FF3">
        <w:rPr>
          <w:rFonts w:cs="Times New Roman"/>
          <w:spacing w:val="-2"/>
          <w:sz w:val="24"/>
          <w:szCs w:val="24"/>
          <w:vertAlign w:val="superscript"/>
        </w:rPr>
        <w:t>th</w:t>
      </w:r>
      <w:r w:rsidR="00560FF3">
        <w:rPr>
          <w:rFonts w:cs="Times New Roman"/>
          <w:spacing w:val="-2"/>
          <w:sz w:val="24"/>
          <w:szCs w:val="24"/>
        </w:rPr>
        <w:t xml:space="preserve"> </w:t>
      </w:r>
      <w:r w:rsidR="003060CE" w:rsidRPr="00412481">
        <w:rPr>
          <w:rFonts w:cs="Times New Roman"/>
          <w:spacing w:val="-2"/>
          <w:sz w:val="24"/>
          <w:szCs w:val="24"/>
        </w:rPr>
        <w:t>Exposure</w:t>
      </w:r>
    </w:p>
    <w:p w14:paraId="06325DE1" w14:textId="67BBA048" w:rsidR="00035C33" w:rsidRPr="00412481" w:rsidRDefault="00582777" w:rsidP="00090284">
      <w:pPr>
        <w:spacing w:after="240" w:line="259" w:lineRule="auto"/>
        <w:ind w:left="3"/>
        <w:jc w:val="center"/>
        <w:rPr>
          <w:rFonts w:ascii="Times New Roman" w:eastAsia="Times New Roman" w:hAnsi="Times New Roman" w:cs="Times New Roman"/>
          <w:sz w:val="20"/>
          <w:szCs w:val="20"/>
        </w:rPr>
      </w:pPr>
      <w:r w:rsidRPr="00412481">
        <w:rPr>
          <w:rFonts w:ascii="Times New Roman" w:eastAsia="Times New Roman" w:hAnsi="Times New Roman" w:cs="Times New Roman"/>
          <w:b/>
          <w:bCs/>
          <w:spacing w:val="-2"/>
          <w:sz w:val="20"/>
          <w:szCs w:val="20"/>
        </w:rPr>
        <w:t xml:space="preserve">APPLICATION OF THE </w:t>
      </w:r>
      <w:r w:rsidR="00E20D8D" w:rsidRPr="00412481">
        <w:rPr>
          <w:rFonts w:ascii="Times New Roman" w:eastAsia="Times New Roman" w:hAnsi="Times New Roman" w:cs="Times New Roman"/>
          <w:b/>
          <w:bCs/>
          <w:spacing w:val="-2"/>
          <w:sz w:val="20"/>
          <w:szCs w:val="20"/>
        </w:rPr>
        <w:t>VALUATION MANUAL</w:t>
      </w:r>
      <w:r w:rsidRPr="00412481">
        <w:rPr>
          <w:rFonts w:ascii="Times New Roman" w:eastAsia="Times New Roman" w:hAnsi="Times New Roman" w:cs="Times New Roman"/>
          <w:b/>
          <w:bCs/>
          <w:spacing w:val="-2"/>
          <w:sz w:val="20"/>
          <w:szCs w:val="20"/>
        </w:rPr>
        <w:t xml:space="preserve"> FOR TESTING THE ADEQUACY OF </w:t>
      </w:r>
      <w:r w:rsidR="001C1956" w:rsidRPr="00412481">
        <w:rPr>
          <w:rFonts w:ascii="Times New Roman" w:eastAsia="Times New Roman" w:hAnsi="Times New Roman" w:cs="Times New Roman"/>
          <w:b/>
          <w:bCs/>
          <w:spacing w:val="-2"/>
          <w:sz w:val="20"/>
          <w:szCs w:val="20"/>
        </w:rPr>
        <w:t>LIFE INSURER</w:t>
      </w:r>
      <w:r w:rsidRPr="00412481">
        <w:rPr>
          <w:rFonts w:ascii="Times New Roman" w:eastAsia="Times New Roman" w:hAnsi="Times New Roman" w:cs="Times New Roman"/>
          <w:b/>
          <w:bCs/>
          <w:spacing w:val="-2"/>
          <w:sz w:val="20"/>
          <w:szCs w:val="20"/>
        </w:rPr>
        <w:t xml:space="preserve"> RESERVES</w:t>
      </w:r>
    </w:p>
    <w:p w14:paraId="554837F6" w14:textId="77777777" w:rsidR="00035C33" w:rsidRPr="00412481" w:rsidRDefault="00035C33" w:rsidP="00090284">
      <w:pPr>
        <w:spacing w:after="240" w:line="259" w:lineRule="auto"/>
        <w:ind w:left="3"/>
        <w:jc w:val="both"/>
        <w:rPr>
          <w:rFonts w:ascii="Times New Roman" w:eastAsia="Times New Roman" w:hAnsi="Times New Roman" w:cs="Times New Roman"/>
          <w:sz w:val="20"/>
          <w:szCs w:val="20"/>
        </w:rPr>
      </w:pPr>
      <w:r w:rsidRPr="00412481">
        <w:rPr>
          <w:rFonts w:ascii="Times New Roman" w:eastAsia="Times New Roman" w:hAnsi="Times New Roman" w:cs="Times New Roman"/>
          <w:b/>
          <w:bCs/>
          <w:spacing w:val="1"/>
          <w:sz w:val="20"/>
          <w:szCs w:val="20"/>
        </w:rPr>
        <w:t>B</w:t>
      </w:r>
      <w:r w:rsidRPr="00412481">
        <w:rPr>
          <w:rFonts w:ascii="Times New Roman" w:eastAsia="Times New Roman" w:hAnsi="Times New Roman" w:cs="Times New Roman"/>
          <w:b/>
          <w:bCs/>
          <w:sz w:val="20"/>
          <w:szCs w:val="20"/>
        </w:rPr>
        <w:t>ac</w:t>
      </w:r>
      <w:r w:rsidRPr="00412481">
        <w:rPr>
          <w:rFonts w:ascii="Times New Roman" w:eastAsia="Times New Roman" w:hAnsi="Times New Roman" w:cs="Times New Roman"/>
          <w:b/>
          <w:bCs/>
          <w:spacing w:val="-3"/>
          <w:sz w:val="20"/>
          <w:szCs w:val="20"/>
        </w:rPr>
        <w:t>k</w:t>
      </w:r>
      <w:r w:rsidRPr="00412481">
        <w:rPr>
          <w:rFonts w:ascii="Times New Roman" w:eastAsia="Times New Roman" w:hAnsi="Times New Roman" w:cs="Times New Roman"/>
          <w:b/>
          <w:bCs/>
          <w:sz w:val="20"/>
          <w:szCs w:val="20"/>
        </w:rPr>
        <w:t>ground</w:t>
      </w:r>
    </w:p>
    <w:p w14:paraId="65FABF77" w14:textId="4F42A1A4" w:rsidR="00CB1796" w:rsidRPr="00412481" w:rsidRDefault="00D90456" w:rsidP="00090284">
      <w:pPr>
        <w:widowControl/>
        <w:autoSpaceDE w:val="0"/>
        <w:autoSpaceDN w:val="0"/>
        <w:adjustRightInd w:val="0"/>
        <w:spacing w:line="259" w:lineRule="auto"/>
        <w:jc w:val="both"/>
        <w:rPr>
          <w:rFonts w:ascii="Times New Roman" w:hAnsi="Times New Roman" w:cs="Times New Roman"/>
          <w:sz w:val="20"/>
          <w:szCs w:val="20"/>
        </w:rPr>
      </w:pPr>
      <w:r w:rsidRPr="00412481">
        <w:rPr>
          <w:rFonts w:ascii="Times New Roman" w:hAnsi="Times New Roman" w:cs="Times New Roman"/>
          <w:sz w:val="20"/>
          <w:szCs w:val="20"/>
        </w:rPr>
        <w:t xml:space="preserve">The </w:t>
      </w:r>
      <w:r w:rsidRPr="00412481">
        <w:rPr>
          <w:rFonts w:ascii="Times New Roman" w:hAnsi="Times New Roman" w:cs="Times New Roman"/>
          <w:i/>
          <w:iCs/>
          <w:sz w:val="20"/>
          <w:szCs w:val="20"/>
        </w:rPr>
        <w:t>NAIC Valuation Manual (VM-</w:t>
      </w:r>
      <w:r w:rsidR="00E20D8D" w:rsidRPr="00412481">
        <w:rPr>
          <w:rFonts w:ascii="Times New Roman" w:hAnsi="Times New Roman" w:cs="Times New Roman"/>
          <w:i/>
          <w:iCs/>
          <w:sz w:val="20"/>
          <w:szCs w:val="20"/>
        </w:rPr>
        <w:t>30</w:t>
      </w:r>
      <w:r w:rsidRPr="00412481">
        <w:rPr>
          <w:rFonts w:ascii="Times New Roman" w:hAnsi="Times New Roman" w:cs="Times New Roman"/>
          <w:i/>
          <w:iCs/>
          <w:sz w:val="20"/>
          <w:szCs w:val="20"/>
        </w:rPr>
        <w:t xml:space="preserve">) </w:t>
      </w:r>
      <w:r w:rsidRPr="00412481">
        <w:rPr>
          <w:rFonts w:ascii="Times New Roman" w:hAnsi="Times New Roman" w:cs="Times New Roman"/>
          <w:sz w:val="20"/>
          <w:szCs w:val="20"/>
        </w:rPr>
        <w:t>contain</w:t>
      </w:r>
      <w:r w:rsidR="00C55459" w:rsidRPr="00412481">
        <w:rPr>
          <w:rFonts w:ascii="Times New Roman" w:hAnsi="Times New Roman" w:cs="Times New Roman"/>
          <w:sz w:val="20"/>
          <w:szCs w:val="20"/>
        </w:rPr>
        <w:t>s actuarial opinion and supporting actuarial memorandum</w:t>
      </w:r>
      <w:r w:rsidRPr="00412481">
        <w:rPr>
          <w:rFonts w:ascii="Times New Roman" w:hAnsi="Times New Roman" w:cs="Times New Roman"/>
          <w:sz w:val="20"/>
          <w:szCs w:val="20"/>
        </w:rPr>
        <w:t xml:space="preserve"> requirements</w:t>
      </w:r>
      <w:r w:rsidR="00C55459" w:rsidRPr="00412481">
        <w:rPr>
          <w:rFonts w:ascii="Times New Roman" w:hAnsi="Times New Roman" w:cs="Times New Roman"/>
          <w:sz w:val="20"/>
          <w:szCs w:val="20"/>
        </w:rPr>
        <w:t>, including requirements</w:t>
      </w:r>
      <w:r w:rsidR="00E20D8D" w:rsidRPr="00412481">
        <w:rPr>
          <w:rFonts w:ascii="Times New Roman" w:hAnsi="Times New Roman" w:cs="Times New Roman"/>
          <w:sz w:val="20"/>
          <w:szCs w:val="20"/>
        </w:rPr>
        <w:t xml:space="preserve"> </w:t>
      </w:r>
      <w:r w:rsidRPr="00412481">
        <w:rPr>
          <w:rFonts w:ascii="Times New Roman" w:hAnsi="Times New Roman" w:cs="Times New Roman"/>
          <w:sz w:val="20"/>
          <w:szCs w:val="20"/>
        </w:rPr>
        <w:t>for</w:t>
      </w:r>
      <w:r w:rsidR="00E20D8D" w:rsidRPr="00412481">
        <w:rPr>
          <w:rFonts w:ascii="Times New Roman" w:hAnsi="Times New Roman" w:cs="Times New Roman"/>
          <w:sz w:val="20"/>
          <w:szCs w:val="20"/>
        </w:rPr>
        <w:t xml:space="preserve"> asset adequacy </w:t>
      </w:r>
      <w:r w:rsidR="008E3369" w:rsidRPr="00412481">
        <w:rPr>
          <w:rFonts w:ascii="Times New Roman" w:hAnsi="Times New Roman" w:cs="Times New Roman"/>
          <w:sz w:val="20"/>
          <w:szCs w:val="20"/>
        </w:rPr>
        <w:t>analysis</w:t>
      </w:r>
      <w:r w:rsidRPr="00412481">
        <w:rPr>
          <w:rFonts w:ascii="Times New Roman" w:hAnsi="Times New Roman" w:cs="Times New Roman"/>
          <w:sz w:val="20"/>
          <w:szCs w:val="20"/>
        </w:rPr>
        <w:t>. Regulators have observed a lack of uniform practice in the</w:t>
      </w:r>
      <w:r w:rsidR="00E20D8D" w:rsidRPr="00412481">
        <w:rPr>
          <w:rFonts w:ascii="Times New Roman" w:hAnsi="Times New Roman" w:cs="Times New Roman"/>
          <w:sz w:val="20"/>
          <w:szCs w:val="20"/>
        </w:rPr>
        <w:t xml:space="preserve"> </w:t>
      </w:r>
      <w:r w:rsidRPr="00412481">
        <w:rPr>
          <w:rFonts w:ascii="Times New Roman" w:hAnsi="Times New Roman" w:cs="Times New Roman"/>
          <w:sz w:val="20"/>
          <w:szCs w:val="20"/>
        </w:rPr>
        <w:t xml:space="preserve">implementation of </w:t>
      </w:r>
      <w:r w:rsidR="00E20D8D" w:rsidRPr="00412481">
        <w:rPr>
          <w:rFonts w:ascii="Times New Roman" w:hAnsi="Times New Roman" w:cs="Times New Roman"/>
          <w:sz w:val="20"/>
          <w:szCs w:val="20"/>
        </w:rPr>
        <w:t>asset</w:t>
      </w:r>
      <w:r w:rsidRPr="00412481">
        <w:rPr>
          <w:rFonts w:ascii="Times New Roman" w:hAnsi="Times New Roman" w:cs="Times New Roman"/>
          <w:sz w:val="20"/>
          <w:szCs w:val="20"/>
        </w:rPr>
        <w:t xml:space="preserve"> adequacy</w:t>
      </w:r>
      <w:r w:rsidR="00C55459" w:rsidRPr="00412481">
        <w:rPr>
          <w:rFonts w:ascii="Times New Roman" w:hAnsi="Times New Roman" w:cs="Times New Roman"/>
          <w:sz w:val="20"/>
          <w:szCs w:val="20"/>
        </w:rPr>
        <w:t xml:space="preserve"> </w:t>
      </w:r>
      <w:r w:rsidR="008E3369" w:rsidRPr="00412481">
        <w:rPr>
          <w:rFonts w:ascii="Times New Roman" w:hAnsi="Times New Roman" w:cs="Times New Roman"/>
          <w:sz w:val="20"/>
          <w:szCs w:val="20"/>
        </w:rPr>
        <w:t>analysis</w:t>
      </w:r>
      <w:r w:rsidRPr="00412481">
        <w:rPr>
          <w:rFonts w:ascii="Times New Roman" w:hAnsi="Times New Roman" w:cs="Times New Roman"/>
          <w:sz w:val="20"/>
          <w:szCs w:val="20"/>
        </w:rPr>
        <w:t xml:space="preserve">. The </w:t>
      </w:r>
      <w:r w:rsidR="00E20D8D" w:rsidRPr="00412481">
        <w:rPr>
          <w:rFonts w:ascii="Times New Roman" w:hAnsi="Times New Roman" w:cs="Times New Roman"/>
          <w:sz w:val="20"/>
          <w:szCs w:val="20"/>
        </w:rPr>
        <w:t xml:space="preserve">variety of practice in incorporating </w:t>
      </w:r>
      <w:r w:rsidR="00C55459" w:rsidRPr="00412481">
        <w:rPr>
          <w:rFonts w:ascii="Times New Roman" w:hAnsi="Times New Roman" w:cs="Times New Roman"/>
          <w:sz w:val="20"/>
          <w:szCs w:val="20"/>
        </w:rPr>
        <w:t xml:space="preserve">the </w:t>
      </w:r>
      <w:r w:rsidR="00E20D8D" w:rsidRPr="00412481">
        <w:rPr>
          <w:rFonts w:ascii="Times New Roman" w:hAnsi="Times New Roman" w:cs="Times New Roman"/>
          <w:sz w:val="20"/>
          <w:szCs w:val="20"/>
        </w:rPr>
        <w:t xml:space="preserve">risk of complex assets </w:t>
      </w:r>
      <w:r w:rsidR="00D744BC" w:rsidRPr="00412481">
        <w:rPr>
          <w:rFonts w:ascii="Times New Roman" w:hAnsi="Times New Roman" w:cs="Times New Roman"/>
          <w:sz w:val="20"/>
          <w:szCs w:val="20"/>
        </w:rPr>
        <w:t xml:space="preserve">into testing </w:t>
      </w:r>
      <w:r w:rsidRPr="00412481">
        <w:rPr>
          <w:rFonts w:ascii="Times New Roman" w:hAnsi="Times New Roman" w:cs="Times New Roman"/>
          <w:sz w:val="20"/>
          <w:szCs w:val="20"/>
        </w:rPr>
        <w:t xml:space="preserve">does not provide regulators comfort as to reserve adequacy. </w:t>
      </w:r>
      <w:r w:rsidR="00CB1796" w:rsidRPr="00412481">
        <w:rPr>
          <w:rFonts w:ascii="Times New Roman" w:hAnsi="Times New Roman" w:cs="Times New Roman"/>
          <w:sz w:val="20"/>
          <w:szCs w:val="20"/>
        </w:rPr>
        <w:t xml:space="preserve">Examples of complex assets are structured </w:t>
      </w:r>
      <w:r w:rsidR="00FE28D6" w:rsidRPr="00412481">
        <w:rPr>
          <w:rFonts w:ascii="Times New Roman" w:hAnsi="Times New Roman" w:cs="Times New Roman"/>
          <w:sz w:val="20"/>
          <w:szCs w:val="20"/>
        </w:rPr>
        <w:t>securities</w:t>
      </w:r>
      <w:r w:rsidR="00CB1796" w:rsidRPr="00412481">
        <w:rPr>
          <w:rFonts w:ascii="Times New Roman" w:hAnsi="Times New Roman" w:cs="Times New Roman"/>
          <w:sz w:val="20"/>
          <w:szCs w:val="20"/>
        </w:rPr>
        <w:t xml:space="preserve">, </w:t>
      </w:r>
      <w:r w:rsidR="00FE28D6" w:rsidRPr="00412481">
        <w:rPr>
          <w:rFonts w:ascii="Times New Roman" w:hAnsi="Times New Roman" w:cs="Times New Roman"/>
          <w:sz w:val="20"/>
          <w:szCs w:val="20"/>
        </w:rPr>
        <w:t xml:space="preserve">including </w:t>
      </w:r>
      <w:r w:rsidR="00CB1796" w:rsidRPr="00412481">
        <w:rPr>
          <w:rFonts w:ascii="Times New Roman" w:hAnsi="Times New Roman" w:cs="Times New Roman"/>
          <w:sz w:val="20"/>
          <w:szCs w:val="20"/>
        </w:rPr>
        <w:t>asset-back</w:t>
      </w:r>
      <w:r w:rsidR="00B9700C" w:rsidRPr="00412481">
        <w:rPr>
          <w:rFonts w:ascii="Times New Roman" w:hAnsi="Times New Roman" w:cs="Times New Roman"/>
          <w:sz w:val="20"/>
          <w:szCs w:val="20"/>
        </w:rPr>
        <w:t>ed</w:t>
      </w:r>
      <w:r w:rsidR="00CB1796" w:rsidRPr="00412481">
        <w:rPr>
          <w:rFonts w:ascii="Times New Roman" w:hAnsi="Times New Roman" w:cs="Times New Roman"/>
          <w:sz w:val="20"/>
          <w:szCs w:val="20"/>
        </w:rPr>
        <w:t xml:space="preserve"> securities</w:t>
      </w:r>
      <w:r w:rsidR="00FE28D6" w:rsidRPr="00412481">
        <w:rPr>
          <w:rFonts w:ascii="Times New Roman" w:hAnsi="Times New Roman" w:cs="Times New Roman"/>
          <w:sz w:val="20"/>
          <w:szCs w:val="20"/>
        </w:rPr>
        <w:t xml:space="preserve"> and </w:t>
      </w:r>
      <w:r w:rsidR="00CB1796" w:rsidRPr="00412481">
        <w:rPr>
          <w:rFonts w:ascii="Times New Roman" w:hAnsi="Times New Roman" w:cs="Times New Roman"/>
          <w:sz w:val="20"/>
          <w:szCs w:val="20"/>
        </w:rPr>
        <w:t xml:space="preserve">collateralized loan obligations, </w:t>
      </w:r>
      <w:r w:rsidR="00FE28D6" w:rsidRPr="00412481">
        <w:rPr>
          <w:rFonts w:ascii="Times New Roman" w:hAnsi="Times New Roman" w:cs="Times New Roman"/>
          <w:sz w:val="20"/>
          <w:szCs w:val="20"/>
        </w:rPr>
        <w:t xml:space="preserve">as well as </w:t>
      </w:r>
      <w:r w:rsidR="00CB1796" w:rsidRPr="00412481">
        <w:rPr>
          <w:rFonts w:ascii="Times New Roman" w:hAnsi="Times New Roman" w:cs="Times New Roman"/>
          <w:sz w:val="20"/>
          <w:szCs w:val="20"/>
        </w:rPr>
        <w:t>asset</w:t>
      </w:r>
      <w:r w:rsidR="009D0D22" w:rsidRPr="00412481">
        <w:rPr>
          <w:rFonts w:ascii="Times New Roman" w:hAnsi="Times New Roman" w:cs="Times New Roman"/>
          <w:sz w:val="20"/>
          <w:szCs w:val="20"/>
        </w:rPr>
        <w:t>s</w:t>
      </w:r>
      <w:r w:rsidR="00CB1796" w:rsidRPr="00412481">
        <w:rPr>
          <w:rFonts w:ascii="Times New Roman" w:hAnsi="Times New Roman" w:cs="Times New Roman"/>
          <w:sz w:val="20"/>
          <w:szCs w:val="20"/>
        </w:rPr>
        <w:t xml:space="preserve"> originated by the company or </w:t>
      </w:r>
      <w:r w:rsidR="008A5BDB" w:rsidRPr="00412481">
        <w:rPr>
          <w:rFonts w:ascii="Times New Roman" w:hAnsi="Times New Roman" w:cs="Times New Roman"/>
          <w:sz w:val="20"/>
          <w:szCs w:val="20"/>
        </w:rPr>
        <w:t>affiliated or contracted entity</w:t>
      </w:r>
      <w:r w:rsidR="00CB1796" w:rsidRPr="00412481">
        <w:rPr>
          <w:rFonts w:ascii="Times New Roman" w:hAnsi="Times New Roman" w:cs="Times New Roman"/>
          <w:sz w:val="20"/>
          <w:szCs w:val="20"/>
        </w:rPr>
        <w:t>.</w:t>
      </w:r>
      <w:r w:rsidR="005C4A97" w:rsidRPr="00412481">
        <w:rPr>
          <w:rFonts w:ascii="Times New Roman" w:hAnsi="Times New Roman" w:cs="Times New Roman"/>
          <w:sz w:val="20"/>
          <w:szCs w:val="20"/>
        </w:rPr>
        <w:t xml:space="preserve"> </w:t>
      </w:r>
      <w:r w:rsidR="0018762D" w:rsidRPr="00412481">
        <w:rPr>
          <w:rFonts w:ascii="Times New Roman" w:hAnsi="Times New Roman" w:cs="Times New Roman"/>
          <w:sz w:val="20"/>
          <w:szCs w:val="20"/>
        </w:rPr>
        <w:t xml:space="preserve">An initial increase of this activity has been noted in support of general account annuity blocks; however, recent activity </w:t>
      </w:r>
      <w:r w:rsidR="00C55459" w:rsidRPr="00412481">
        <w:rPr>
          <w:rFonts w:ascii="Times New Roman" w:hAnsi="Times New Roman" w:cs="Times New Roman"/>
          <w:sz w:val="20"/>
          <w:szCs w:val="20"/>
        </w:rPr>
        <w:t>was</w:t>
      </w:r>
      <w:r w:rsidR="0018762D" w:rsidRPr="00412481">
        <w:rPr>
          <w:rFonts w:ascii="Times New Roman" w:hAnsi="Times New Roman" w:cs="Times New Roman"/>
          <w:sz w:val="20"/>
          <w:szCs w:val="20"/>
        </w:rPr>
        <w:t xml:space="preserve"> noted in other life insurer blocks.</w:t>
      </w:r>
    </w:p>
    <w:p w14:paraId="37EF0D3C" w14:textId="77777777" w:rsidR="00CB1796" w:rsidRPr="00412481" w:rsidRDefault="00CB1796" w:rsidP="00090284">
      <w:pPr>
        <w:widowControl/>
        <w:autoSpaceDE w:val="0"/>
        <w:autoSpaceDN w:val="0"/>
        <w:adjustRightInd w:val="0"/>
        <w:spacing w:line="259" w:lineRule="auto"/>
        <w:jc w:val="both"/>
        <w:rPr>
          <w:rFonts w:ascii="Times New Roman" w:hAnsi="Times New Roman" w:cs="Times New Roman"/>
          <w:sz w:val="20"/>
          <w:szCs w:val="20"/>
        </w:rPr>
      </w:pPr>
    </w:p>
    <w:p w14:paraId="73964D62" w14:textId="4A3FE64C" w:rsidR="00D90456" w:rsidRPr="00412481" w:rsidRDefault="00D90456" w:rsidP="00090284">
      <w:pPr>
        <w:widowControl/>
        <w:autoSpaceDE w:val="0"/>
        <w:autoSpaceDN w:val="0"/>
        <w:adjustRightInd w:val="0"/>
        <w:spacing w:line="259" w:lineRule="auto"/>
        <w:jc w:val="both"/>
        <w:rPr>
          <w:rFonts w:ascii="Times New Roman" w:hAnsi="Times New Roman" w:cs="Times New Roman"/>
          <w:sz w:val="20"/>
          <w:szCs w:val="20"/>
        </w:rPr>
      </w:pPr>
      <w:r w:rsidRPr="00412481">
        <w:rPr>
          <w:rFonts w:ascii="Times New Roman" w:hAnsi="Times New Roman" w:cs="Times New Roman"/>
          <w:sz w:val="20"/>
          <w:szCs w:val="20"/>
        </w:rPr>
        <w:t>This Guideline is intended to</w:t>
      </w:r>
      <w:r w:rsidR="00E20D8D" w:rsidRPr="00412481">
        <w:rPr>
          <w:rFonts w:ascii="Times New Roman" w:hAnsi="Times New Roman" w:cs="Times New Roman"/>
          <w:sz w:val="20"/>
          <w:szCs w:val="20"/>
        </w:rPr>
        <w:t xml:space="preserve"> </w:t>
      </w:r>
      <w:r w:rsidRPr="00412481">
        <w:rPr>
          <w:rFonts w:ascii="Times New Roman" w:hAnsi="Times New Roman" w:cs="Times New Roman"/>
          <w:sz w:val="20"/>
          <w:szCs w:val="20"/>
        </w:rPr>
        <w:t>provide uniform guidance and clarification of</w:t>
      </w:r>
      <w:r w:rsidR="00E20D8D" w:rsidRPr="00412481">
        <w:rPr>
          <w:rFonts w:ascii="Times New Roman" w:hAnsi="Times New Roman" w:cs="Times New Roman"/>
          <w:sz w:val="20"/>
          <w:szCs w:val="20"/>
        </w:rPr>
        <w:t xml:space="preserve"> </w:t>
      </w:r>
      <w:r w:rsidRPr="00412481">
        <w:rPr>
          <w:rFonts w:ascii="Times New Roman" w:hAnsi="Times New Roman" w:cs="Times New Roman"/>
          <w:sz w:val="20"/>
          <w:szCs w:val="20"/>
        </w:rPr>
        <w:t xml:space="preserve">requirements for the appropriate support of certain assumptions for asset adequacy </w:t>
      </w:r>
      <w:r w:rsidR="008E3369" w:rsidRPr="00412481">
        <w:rPr>
          <w:rFonts w:ascii="Times New Roman" w:hAnsi="Times New Roman" w:cs="Times New Roman"/>
          <w:sz w:val="20"/>
          <w:szCs w:val="20"/>
        </w:rPr>
        <w:t xml:space="preserve">analysis </w:t>
      </w:r>
      <w:r w:rsidR="0012795E" w:rsidRPr="00412481">
        <w:rPr>
          <w:rFonts w:ascii="Times New Roman" w:hAnsi="Times New Roman" w:cs="Times New Roman"/>
          <w:sz w:val="20"/>
          <w:szCs w:val="20"/>
        </w:rPr>
        <w:t>performed by life insurers</w:t>
      </w:r>
      <w:r w:rsidRPr="00412481">
        <w:rPr>
          <w:rFonts w:ascii="Times New Roman" w:hAnsi="Times New Roman" w:cs="Times New Roman"/>
          <w:sz w:val="20"/>
          <w:szCs w:val="20"/>
        </w:rPr>
        <w:t>. In particular, this Guideline:</w:t>
      </w:r>
    </w:p>
    <w:p w14:paraId="0F3238D2" w14:textId="77777777" w:rsidR="00D90456" w:rsidRPr="00412481" w:rsidRDefault="00D90456" w:rsidP="00090284">
      <w:pPr>
        <w:widowControl/>
        <w:autoSpaceDE w:val="0"/>
        <w:autoSpaceDN w:val="0"/>
        <w:adjustRightInd w:val="0"/>
        <w:spacing w:line="259" w:lineRule="auto"/>
        <w:jc w:val="both"/>
        <w:rPr>
          <w:rFonts w:ascii="Times New Roman" w:hAnsi="Times New Roman" w:cs="Times New Roman"/>
          <w:sz w:val="20"/>
          <w:szCs w:val="20"/>
        </w:rPr>
      </w:pPr>
    </w:p>
    <w:p w14:paraId="135D61DB" w14:textId="1072C3A9" w:rsidR="00CB1796" w:rsidRPr="00412481" w:rsidRDefault="00D90456"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(1)</w:t>
      </w:r>
      <w:r w:rsidR="00033733" w:rsidRPr="00412481">
        <w:rPr>
          <w:rFonts w:ascii="Times New Roman" w:hAnsi="Times New Roman" w:cs="Times New Roman"/>
          <w:sz w:val="20"/>
          <w:szCs w:val="20"/>
        </w:rPr>
        <w:tab/>
      </w:r>
      <w:r w:rsidR="00CB1796" w:rsidRPr="00412481">
        <w:rPr>
          <w:rFonts w:ascii="Times New Roman" w:hAnsi="Times New Roman" w:cs="Times New Roman"/>
          <w:sz w:val="20"/>
          <w:szCs w:val="20"/>
        </w:rPr>
        <w:t xml:space="preserve">Helps </w:t>
      </w:r>
      <w:r w:rsidR="007A14E4" w:rsidRPr="00412481">
        <w:rPr>
          <w:rFonts w:ascii="Times New Roman" w:hAnsi="Times New Roman" w:cs="Times New Roman"/>
          <w:sz w:val="20"/>
          <w:szCs w:val="20"/>
        </w:rPr>
        <w:t xml:space="preserve">identify </w:t>
      </w:r>
      <w:r w:rsidR="00CB1796" w:rsidRPr="00412481">
        <w:rPr>
          <w:rFonts w:ascii="Times New Roman" w:hAnsi="Times New Roman" w:cs="Times New Roman"/>
          <w:sz w:val="20"/>
          <w:szCs w:val="20"/>
        </w:rPr>
        <w:t xml:space="preserve">reserve adequacy </w:t>
      </w:r>
      <w:r w:rsidR="00875E55" w:rsidRPr="00412481">
        <w:rPr>
          <w:rFonts w:ascii="Times New Roman" w:hAnsi="Times New Roman" w:cs="Times New Roman"/>
          <w:sz w:val="20"/>
          <w:szCs w:val="20"/>
        </w:rPr>
        <w:t xml:space="preserve">and claims-paying ability </w:t>
      </w:r>
      <w:r w:rsidR="00CB1796" w:rsidRPr="00412481">
        <w:rPr>
          <w:rFonts w:ascii="Times New Roman" w:hAnsi="Times New Roman" w:cs="Times New Roman"/>
          <w:sz w:val="20"/>
          <w:szCs w:val="20"/>
        </w:rPr>
        <w:t xml:space="preserve">in moderately adverse conditions, including conditions negatively impacting cash flows from complex </w:t>
      </w:r>
      <w:proofErr w:type="gramStart"/>
      <w:r w:rsidR="00CB1796" w:rsidRPr="00412481">
        <w:rPr>
          <w:rFonts w:ascii="Times New Roman" w:hAnsi="Times New Roman" w:cs="Times New Roman"/>
          <w:sz w:val="20"/>
          <w:szCs w:val="20"/>
        </w:rPr>
        <w:t>assets;</w:t>
      </w:r>
      <w:proofErr w:type="gramEnd"/>
    </w:p>
    <w:p w14:paraId="3F944CD5" w14:textId="77777777" w:rsidR="00CB1796" w:rsidRPr="00412481"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6A5635E9" w14:textId="3AEF6146" w:rsidR="00D90456" w:rsidRPr="00412481" w:rsidRDefault="00875E55"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(2)</w:t>
      </w:r>
      <w:r w:rsidR="00033733" w:rsidRPr="00412481">
        <w:rPr>
          <w:rFonts w:ascii="Times New Roman" w:hAnsi="Times New Roman" w:cs="Times New Roman"/>
          <w:sz w:val="20"/>
          <w:szCs w:val="20"/>
        </w:rPr>
        <w:tab/>
      </w:r>
      <w:r w:rsidRPr="00412481">
        <w:rPr>
          <w:rFonts w:ascii="Times New Roman" w:hAnsi="Times New Roman" w:cs="Times New Roman"/>
          <w:sz w:val="20"/>
          <w:szCs w:val="20"/>
        </w:rPr>
        <w:t>Clarifies</w:t>
      </w:r>
      <w:r w:rsidR="00D90456" w:rsidRPr="00412481">
        <w:rPr>
          <w:rFonts w:ascii="Times New Roman" w:hAnsi="Times New Roman" w:cs="Times New Roman"/>
          <w:sz w:val="20"/>
          <w:szCs w:val="20"/>
        </w:rPr>
        <w:t xml:space="preserve"> </w:t>
      </w:r>
      <w:r w:rsidR="00323416" w:rsidRPr="00412481">
        <w:rPr>
          <w:rFonts w:ascii="Times New Roman" w:hAnsi="Times New Roman" w:cs="Times New Roman"/>
          <w:sz w:val="20"/>
          <w:szCs w:val="20"/>
        </w:rPr>
        <w:t xml:space="preserve">elements to consider in establishing margins on asset-related </w:t>
      </w:r>
      <w:proofErr w:type="gramStart"/>
      <w:r w:rsidR="00323416" w:rsidRPr="00412481">
        <w:rPr>
          <w:rFonts w:ascii="Times New Roman" w:hAnsi="Times New Roman" w:cs="Times New Roman"/>
          <w:sz w:val="20"/>
          <w:szCs w:val="20"/>
        </w:rPr>
        <w:t>assumptions</w:t>
      </w:r>
      <w:r w:rsidR="00D90456" w:rsidRPr="00412481">
        <w:rPr>
          <w:rFonts w:ascii="Times New Roman" w:hAnsi="Times New Roman" w:cs="Times New Roman"/>
          <w:sz w:val="20"/>
          <w:szCs w:val="20"/>
        </w:rPr>
        <w:t>;</w:t>
      </w:r>
      <w:proofErr w:type="gramEnd"/>
    </w:p>
    <w:p w14:paraId="7040FE28" w14:textId="77777777" w:rsidR="00D90456" w:rsidRPr="00412481" w:rsidRDefault="00D9045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2898FC0D" w14:textId="008BB2AE" w:rsidR="00CB1796" w:rsidRPr="00412481"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(3)</w:t>
      </w:r>
      <w:r w:rsidR="00033733" w:rsidRPr="00412481">
        <w:rPr>
          <w:rFonts w:ascii="Times New Roman" w:hAnsi="Times New Roman" w:cs="Times New Roman"/>
          <w:sz w:val="20"/>
          <w:szCs w:val="20"/>
        </w:rPr>
        <w:tab/>
      </w:r>
      <w:r w:rsidRPr="00412481">
        <w:rPr>
          <w:rFonts w:ascii="Times New Roman" w:hAnsi="Times New Roman" w:cs="Times New Roman"/>
          <w:sz w:val="20"/>
          <w:szCs w:val="20"/>
        </w:rPr>
        <w:t xml:space="preserve">Ensures recognition that higher </w:t>
      </w:r>
      <w:r w:rsidR="002C5537" w:rsidRPr="00412481">
        <w:rPr>
          <w:rFonts w:ascii="Times New Roman" w:hAnsi="Times New Roman" w:cs="Times New Roman"/>
          <w:sz w:val="20"/>
          <w:szCs w:val="20"/>
        </w:rPr>
        <w:t xml:space="preserve">expected </w:t>
      </w:r>
      <w:r w:rsidRPr="00412481">
        <w:rPr>
          <w:rFonts w:ascii="Times New Roman" w:hAnsi="Times New Roman" w:cs="Times New Roman"/>
          <w:sz w:val="20"/>
          <w:szCs w:val="20"/>
        </w:rPr>
        <w:t>gross returns from assets are, to some extent, associated with higher risk</w:t>
      </w:r>
      <w:r w:rsidR="00EF112A" w:rsidRPr="00412481">
        <w:rPr>
          <w:rFonts w:ascii="Times New Roman" w:hAnsi="Times New Roman" w:cs="Times New Roman"/>
          <w:sz w:val="20"/>
          <w:szCs w:val="20"/>
        </w:rPr>
        <w:t xml:space="preserve">, and </w:t>
      </w:r>
      <w:r w:rsidR="00EA63DF" w:rsidRPr="00412481">
        <w:rPr>
          <w:rFonts w:ascii="Times New Roman" w:hAnsi="Times New Roman" w:cs="Times New Roman"/>
          <w:sz w:val="20"/>
          <w:szCs w:val="20"/>
        </w:rPr>
        <w:t xml:space="preserve">that </w:t>
      </w:r>
      <w:r w:rsidR="00EF112A" w:rsidRPr="00412481">
        <w:rPr>
          <w:rFonts w:ascii="Times New Roman" w:hAnsi="Times New Roman" w:cs="Times New Roman"/>
          <w:sz w:val="20"/>
          <w:szCs w:val="20"/>
        </w:rPr>
        <w:t xml:space="preserve">assumptions fit reasonably within the risk-return </w:t>
      </w:r>
      <w:proofErr w:type="gramStart"/>
      <w:r w:rsidR="00EF112A" w:rsidRPr="00412481">
        <w:rPr>
          <w:rFonts w:ascii="Times New Roman" w:hAnsi="Times New Roman" w:cs="Times New Roman"/>
          <w:sz w:val="20"/>
          <w:szCs w:val="20"/>
        </w:rPr>
        <w:t>spectrum</w:t>
      </w:r>
      <w:r w:rsidRPr="00412481">
        <w:rPr>
          <w:rFonts w:ascii="Times New Roman" w:hAnsi="Times New Roman" w:cs="Times New Roman"/>
          <w:sz w:val="20"/>
          <w:szCs w:val="20"/>
        </w:rPr>
        <w:t>;</w:t>
      </w:r>
      <w:proofErr w:type="gramEnd"/>
    </w:p>
    <w:p w14:paraId="15BB3200" w14:textId="77777777" w:rsidR="00CB1796" w:rsidRPr="00412481"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44FCC2B2" w14:textId="1BA0E492" w:rsidR="00D90456" w:rsidRPr="00412481" w:rsidRDefault="00875E55"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(4)</w:t>
      </w:r>
      <w:r w:rsidR="00033733" w:rsidRPr="00412481">
        <w:rPr>
          <w:rFonts w:ascii="Times New Roman" w:hAnsi="Times New Roman" w:cs="Times New Roman"/>
          <w:sz w:val="20"/>
          <w:szCs w:val="20"/>
        </w:rPr>
        <w:tab/>
      </w:r>
      <w:r w:rsidR="00D715A8" w:rsidRPr="00412481">
        <w:rPr>
          <w:rFonts w:ascii="Times New Roman" w:hAnsi="Times New Roman" w:cs="Times New Roman"/>
          <w:sz w:val="20"/>
          <w:szCs w:val="20"/>
        </w:rPr>
        <w:t xml:space="preserve">Requires sensitivity testing regarding complex assets supporting </w:t>
      </w:r>
      <w:r w:rsidR="0012795E" w:rsidRPr="00412481">
        <w:rPr>
          <w:rFonts w:ascii="Times New Roman" w:hAnsi="Times New Roman" w:cs="Times New Roman"/>
          <w:sz w:val="20"/>
          <w:szCs w:val="20"/>
        </w:rPr>
        <w:t>life insurer</w:t>
      </w:r>
      <w:r w:rsidR="00D715A8" w:rsidRPr="00412481">
        <w:rPr>
          <w:rFonts w:ascii="Times New Roman" w:hAnsi="Times New Roman" w:cs="Times New Roman"/>
          <w:sz w:val="20"/>
          <w:szCs w:val="20"/>
        </w:rPr>
        <w:t xml:space="preserve"> </w:t>
      </w:r>
      <w:proofErr w:type="gramStart"/>
      <w:r w:rsidR="00D715A8" w:rsidRPr="00412481">
        <w:rPr>
          <w:rFonts w:ascii="Times New Roman" w:hAnsi="Times New Roman" w:cs="Times New Roman"/>
          <w:sz w:val="20"/>
          <w:szCs w:val="20"/>
        </w:rPr>
        <w:t>business</w:t>
      </w:r>
      <w:r w:rsidR="00D90456" w:rsidRPr="00412481">
        <w:rPr>
          <w:rFonts w:ascii="Times New Roman" w:hAnsi="Times New Roman" w:cs="Times New Roman"/>
          <w:sz w:val="20"/>
          <w:szCs w:val="20"/>
        </w:rPr>
        <w:t>;</w:t>
      </w:r>
      <w:proofErr w:type="gramEnd"/>
    </w:p>
    <w:p w14:paraId="2BB7BCA8" w14:textId="77777777" w:rsidR="00D715A8" w:rsidRPr="00412481" w:rsidRDefault="00D715A8" w:rsidP="00090284">
      <w:pPr>
        <w:pStyle w:val="Heading1"/>
        <w:spacing w:line="259" w:lineRule="auto"/>
        <w:ind w:left="720" w:hanging="360"/>
        <w:jc w:val="both"/>
        <w:rPr>
          <w:rFonts w:cs="Times New Roman"/>
          <w:b w:val="0"/>
          <w:bCs w:val="0"/>
          <w:sz w:val="20"/>
          <w:szCs w:val="20"/>
        </w:rPr>
      </w:pPr>
    </w:p>
    <w:p w14:paraId="2B5D870F" w14:textId="42BDA6EE" w:rsidR="00D715A8" w:rsidRPr="00412481" w:rsidRDefault="00D715A8" w:rsidP="00090284">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w:t>
      </w:r>
      <w:r w:rsidR="00B3022A" w:rsidRPr="00412481">
        <w:rPr>
          <w:rFonts w:cs="Times New Roman"/>
          <w:b w:val="0"/>
          <w:bCs w:val="0"/>
          <w:sz w:val="20"/>
          <w:szCs w:val="20"/>
        </w:rPr>
        <w:t>5</w:t>
      </w:r>
      <w:r w:rsidRPr="00412481">
        <w:rPr>
          <w:rFonts w:cs="Times New Roman"/>
          <w:b w:val="0"/>
          <w:bCs w:val="0"/>
          <w:sz w:val="20"/>
          <w:szCs w:val="20"/>
        </w:rPr>
        <w:t>)</w:t>
      </w:r>
      <w:r w:rsidR="00033733" w:rsidRPr="00412481">
        <w:rPr>
          <w:rFonts w:cs="Times New Roman"/>
          <w:b w:val="0"/>
          <w:bCs w:val="0"/>
          <w:sz w:val="20"/>
          <w:szCs w:val="20"/>
        </w:rPr>
        <w:tab/>
      </w:r>
      <w:r w:rsidRPr="00412481">
        <w:rPr>
          <w:rFonts w:cs="Times New Roman"/>
          <w:b w:val="0"/>
          <w:bCs w:val="0"/>
          <w:sz w:val="20"/>
          <w:szCs w:val="20"/>
        </w:rPr>
        <w:t xml:space="preserve">Identifies </w:t>
      </w:r>
      <w:r w:rsidR="00EF112A" w:rsidRPr="00412481">
        <w:rPr>
          <w:rFonts w:cs="Times New Roman"/>
          <w:b w:val="0"/>
          <w:bCs w:val="0"/>
          <w:sz w:val="20"/>
          <w:szCs w:val="20"/>
        </w:rPr>
        <w:t>expectations</w:t>
      </w:r>
      <w:r w:rsidRPr="00412481">
        <w:rPr>
          <w:rFonts w:cs="Times New Roman"/>
          <w:b w:val="0"/>
          <w:bCs w:val="0"/>
          <w:sz w:val="20"/>
          <w:szCs w:val="20"/>
        </w:rPr>
        <w:t xml:space="preserve"> </w:t>
      </w:r>
      <w:r w:rsidR="008A5BDB" w:rsidRPr="00412481">
        <w:rPr>
          <w:rFonts w:cs="Times New Roman"/>
          <w:b w:val="0"/>
          <w:bCs w:val="0"/>
          <w:sz w:val="20"/>
          <w:szCs w:val="20"/>
        </w:rPr>
        <w:t xml:space="preserve">in practice </w:t>
      </w:r>
      <w:r w:rsidRPr="00412481">
        <w:rPr>
          <w:rFonts w:cs="Times New Roman"/>
          <w:b w:val="0"/>
          <w:bCs w:val="0"/>
          <w:sz w:val="20"/>
          <w:szCs w:val="20"/>
        </w:rPr>
        <w:t>regarding the valuation of complex assets</w:t>
      </w:r>
      <w:r w:rsidR="00953606" w:rsidRPr="00412481">
        <w:rPr>
          <w:rFonts w:cs="Times New Roman"/>
          <w:b w:val="0"/>
          <w:bCs w:val="0"/>
          <w:sz w:val="20"/>
          <w:szCs w:val="20"/>
        </w:rPr>
        <w:t xml:space="preserve"> within asset adequacy </w:t>
      </w:r>
      <w:proofErr w:type="gramStart"/>
      <w:r w:rsidR="00953606" w:rsidRPr="00412481">
        <w:rPr>
          <w:rFonts w:cs="Times New Roman"/>
          <w:b w:val="0"/>
          <w:bCs w:val="0"/>
          <w:sz w:val="20"/>
          <w:szCs w:val="20"/>
        </w:rPr>
        <w:t>analysis</w:t>
      </w:r>
      <w:r w:rsidRPr="00412481">
        <w:rPr>
          <w:rFonts w:cs="Times New Roman"/>
          <w:b w:val="0"/>
          <w:bCs w:val="0"/>
          <w:sz w:val="20"/>
          <w:szCs w:val="20"/>
        </w:rPr>
        <w:t>;</w:t>
      </w:r>
      <w:proofErr w:type="gramEnd"/>
      <w:r w:rsidRPr="00412481">
        <w:rPr>
          <w:rFonts w:cs="Times New Roman"/>
          <w:b w:val="0"/>
          <w:bCs w:val="0"/>
          <w:sz w:val="20"/>
          <w:szCs w:val="20"/>
        </w:rPr>
        <w:t xml:space="preserve">  </w:t>
      </w:r>
    </w:p>
    <w:p w14:paraId="202F2B97" w14:textId="4CA7F7AD" w:rsidR="00832082" w:rsidRPr="00412481" w:rsidRDefault="00832082" w:rsidP="00090284">
      <w:pPr>
        <w:pStyle w:val="Heading1"/>
        <w:spacing w:line="259" w:lineRule="auto"/>
        <w:ind w:left="720" w:hanging="360"/>
        <w:jc w:val="both"/>
        <w:rPr>
          <w:rFonts w:cs="Times New Roman"/>
          <w:b w:val="0"/>
          <w:bCs w:val="0"/>
          <w:sz w:val="20"/>
          <w:szCs w:val="20"/>
        </w:rPr>
      </w:pPr>
    </w:p>
    <w:p w14:paraId="62D58E0C" w14:textId="0EECA1E4" w:rsidR="00832082" w:rsidRPr="00412481" w:rsidRDefault="00832082" w:rsidP="00090284">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w:t>
      </w:r>
      <w:r w:rsidR="00035F0D" w:rsidRPr="00412481">
        <w:rPr>
          <w:rFonts w:cs="Times New Roman"/>
          <w:b w:val="0"/>
          <w:bCs w:val="0"/>
          <w:sz w:val="20"/>
          <w:szCs w:val="20"/>
        </w:rPr>
        <w:t>6</w:t>
      </w:r>
      <w:r w:rsidRPr="00412481">
        <w:rPr>
          <w:rFonts w:cs="Times New Roman"/>
          <w:b w:val="0"/>
          <w:bCs w:val="0"/>
          <w:sz w:val="20"/>
          <w:szCs w:val="20"/>
        </w:rPr>
        <w:t>)</w:t>
      </w:r>
      <w:r w:rsidR="00033733" w:rsidRPr="00412481">
        <w:rPr>
          <w:rFonts w:cs="Times New Roman"/>
          <w:b w:val="0"/>
          <w:bCs w:val="0"/>
          <w:sz w:val="20"/>
          <w:szCs w:val="20"/>
        </w:rPr>
        <w:tab/>
      </w:r>
      <w:bookmarkStart w:id="0" w:name="_Hlk94079038"/>
      <w:r w:rsidR="00FB42F3" w:rsidRPr="00412481">
        <w:rPr>
          <w:rFonts w:cs="Times New Roman"/>
          <w:b w:val="0"/>
          <w:bCs w:val="0"/>
          <w:sz w:val="20"/>
          <w:szCs w:val="20"/>
        </w:rPr>
        <w:t xml:space="preserve">Reflects that </w:t>
      </w:r>
      <w:r w:rsidR="00F85F34" w:rsidRPr="00412481">
        <w:rPr>
          <w:rFonts w:cs="Times New Roman"/>
          <w:b w:val="0"/>
          <w:bCs w:val="0"/>
          <w:sz w:val="20"/>
          <w:szCs w:val="20"/>
        </w:rPr>
        <w:t xml:space="preserve">while complex assets tend to have higher uncertainty regarding timing and amount of cash flows than </w:t>
      </w:r>
      <w:r w:rsidR="008544BE" w:rsidRPr="00412481">
        <w:rPr>
          <w:rFonts w:cs="Times New Roman"/>
          <w:b w:val="0"/>
          <w:bCs w:val="0"/>
          <w:sz w:val="20"/>
          <w:szCs w:val="20"/>
        </w:rPr>
        <w:t>more traditional investments</w:t>
      </w:r>
      <w:r w:rsidR="00F85F34" w:rsidRPr="00412481">
        <w:rPr>
          <w:rFonts w:cs="Times New Roman"/>
          <w:b w:val="0"/>
          <w:bCs w:val="0"/>
          <w:sz w:val="20"/>
          <w:szCs w:val="20"/>
        </w:rPr>
        <w:t xml:space="preserve">, </w:t>
      </w:r>
      <w:r w:rsidR="00FB42F3" w:rsidRPr="00412481">
        <w:rPr>
          <w:rFonts w:cs="Times New Roman"/>
          <w:b w:val="0"/>
          <w:bCs w:val="0"/>
          <w:sz w:val="20"/>
          <w:szCs w:val="20"/>
        </w:rPr>
        <w:t>b</w:t>
      </w:r>
      <w:r w:rsidRPr="00412481">
        <w:rPr>
          <w:rFonts w:cs="Times New Roman"/>
          <w:b w:val="0"/>
          <w:bCs w:val="0"/>
          <w:sz w:val="20"/>
          <w:szCs w:val="20"/>
        </w:rPr>
        <w:t xml:space="preserve">ecause </w:t>
      </w:r>
      <w:r w:rsidR="00855386" w:rsidRPr="00412481">
        <w:rPr>
          <w:rFonts w:cs="Times New Roman"/>
          <w:b w:val="0"/>
          <w:bCs w:val="0"/>
          <w:sz w:val="20"/>
          <w:szCs w:val="20"/>
        </w:rPr>
        <w:t>complex</w:t>
      </w:r>
      <w:r w:rsidRPr="00412481">
        <w:rPr>
          <w:rFonts w:cs="Times New Roman"/>
          <w:b w:val="0"/>
          <w:bCs w:val="0"/>
          <w:sz w:val="20"/>
          <w:szCs w:val="20"/>
        </w:rPr>
        <w:t xml:space="preserve"> assets </w:t>
      </w:r>
      <w:r w:rsidR="00FB42F3" w:rsidRPr="00412481">
        <w:rPr>
          <w:rFonts w:cs="Times New Roman"/>
          <w:b w:val="0"/>
          <w:bCs w:val="0"/>
          <w:sz w:val="20"/>
          <w:szCs w:val="20"/>
        </w:rPr>
        <w:t>are</w:t>
      </w:r>
      <w:r w:rsidRPr="00412481">
        <w:rPr>
          <w:rFonts w:cs="Times New Roman"/>
          <w:b w:val="0"/>
          <w:bCs w:val="0"/>
          <w:sz w:val="20"/>
          <w:szCs w:val="20"/>
        </w:rPr>
        <w:t xml:space="preserve"> difficult to classify</w:t>
      </w:r>
      <w:r w:rsidR="00FB42F3" w:rsidRPr="00412481">
        <w:rPr>
          <w:rFonts w:cs="Times New Roman"/>
          <w:b w:val="0"/>
          <w:bCs w:val="0"/>
          <w:sz w:val="20"/>
          <w:szCs w:val="20"/>
        </w:rPr>
        <w:t>,</w:t>
      </w:r>
      <w:r w:rsidRPr="00412481">
        <w:rPr>
          <w:rFonts w:cs="Times New Roman"/>
          <w:b w:val="0"/>
          <w:bCs w:val="0"/>
          <w:sz w:val="20"/>
          <w:szCs w:val="20"/>
        </w:rPr>
        <w:t xml:space="preserve"> and the regulatory concern is regarding the projected net yields </w:t>
      </w:r>
      <w:r w:rsidR="00FE28D6" w:rsidRPr="00412481">
        <w:rPr>
          <w:rFonts w:cs="Times New Roman"/>
          <w:b w:val="0"/>
          <w:bCs w:val="0"/>
          <w:sz w:val="20"/>
          <w:szCs w:val="20"/>
        </w:rPr>
        <w:t xml:space="preserve">and cash flows </w:t>
      </w:r>
      <w:r w:rsidRPr="00412481">
        <w:rPr>
          <w:rFonts w:cs="Times New Roman"/>
          <w:b w:val="0"/>
          <w:bCs w:val="0"/>
          <w:sz w:val="20"/>
          <w:szCs w:val="20"/>
        </w:rPr>
        <w:t xml:space="preserve">from those assets, the focus of the </w:t>
      </w:r>
      <w:r w:rsidR="00DD38A7" w:rsidRPr="00412481">
        <w:rPr>
          <w:rFonts w:cs="Times New Roman"/>
          <w:b w:val="0"/>
          <w:bCs w:val="0"/>
          <w:sz w:val="20"/>
          <w:szCs w:val="20"/>
        </w:rPr>
        <w:t xml:space="preserve">analysis requirements </w:t>
      </w:r>
      <w:r w:rsidRPr="00412481">
        <w:rPr>
          <w:rFonts w:cs="Times New Roman"/>
          <w:b w:val="0"/>
          <w:bCs w:val="0"/>
          <w:sz w:val="20"/>
          <w:szCs w:val="20"/>
        </w:rPr>
        <w:t xml:space="preserve">will be on </w:t>
      </w:r>
      <w:r w:rsidR="00323416" w:rsidRPr="00412481">
        <w:rPr>
          <w:rFonts w:cs="Times New Roman"/>
          <w:b w:val="0"/>
          <w:bCs w:val="0"/>
          <w:sz w:val="20"/>
          <w:szCs w:val="20"/>
        </w:rPr>
        <w:t>assets categorized as high-yield</w:t>
      </w:r>
      <w:bookmarkEnd w:id="0"/>
      <w:r w:rsidR="00323416" w:rsidRPr="00412481">
        <w:rPr>
          <w:rFonts w:cs="Times New Roman"/>
          <w:b w:val="0"/>
          <w:bCs w:val="0"/>
          <w:sz w:val="20"/>
          <w:szCs w:val="20"/>
        </w:rPr>
        <w:t>ing</w:t>
      </w:r>
      <w:r w:rsidR="00FB1FEC" w:rsidRPr="00412481">
        <w:rPr>
          <w:rFonts w:cs="Times New Roman"/>
          <w:b w:val="0"/>
          <w:bCs w:val="0"/>
          <w:sz w:val="20"/>
          <w:szCs w:val="20"/>
        </w:rPr>
        <w:t>; and</w:t>
      </w:r>
    </w:p>
    <w:p w14:paraId="4426359E" w14:textId="77777777" w:rsidR="008A5BDB" w:rsidRPr="00412481" w:rsidRDefault="008A5BDB"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49B7C966" w14:textId="270B70A9" w:rsidR="008A5BDB" w:rsidRPr="00412481" w:rsidRDefault="008A5BDB">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w:t>
      </w:r>
      <w:r w:rsidR="00035F0D" w:rsidRPr="00412481">
        <w:rPr>
          <w:rFonts w:ascii="Times New Roman" w:hAnsi="Times New Roman" w:cs="Times New Roman"/>
          <w:sz w:val="20"/>
          <w:szCs w:val="20"/>
        </w:rPr>
        <w:t>7</w:t>
      </w:r>
      <w:r w:rsidRPr="00412481">
        <w:rPr>
          <w:rFonts w:ascii="Times New Roman" w:hAnsi="Times New Roman" w:cs="Times New Roman"/>
          <w:sz w:val="20"/>
          <w:szCs w:val="20"/>
        </w:rPr>
        <w:t>)</w:t>
      </w:r>
      <w:r w:rsidR="00033733" w:rsidRPr="00412481">
        <w:rPr>
          <w:rFonts w:ascii="Times New Roman" w:hAnsi="Times New Roman" w:cs="Times New Roman"/>
          <w:sz w:val="20"/>
          <w:szCs w:val="20"/>
        </w:rPr>
        <w:tab/>
      </w:r>
      <w:r w:rsidRPr="00412481">
        <w:rPr>
          <w:rFonts w:ascii="Times New Roman" w:hAnsi="Times New Roman" w:cs="Times New Roman"/>
          <w:sz w:val="20"/>
          <w:szCs w:val="20"/>
        </w:rPr>
        <w:t>Requires additional documentation of investment fee income relationships with affiliated entities or entities close to the company.</w:t>
      </w:r>
    </w:p>
    <w:p w14:paraId="2F5CB0DF" w14:textId="77777777" w:rsidR="00D90456" w:rsidRPr="00412481" w:rsidRDefault="00D90456">
      <w:pPr>
        <w:widowControl/>
        <w:autoSpaceDE w:val="0"/>
        <w:autoSpaceDN w:val="0"/>
        <w:adjustRightInd w:val="0"/>
        <w:spacing w:line="259" w:lineRule="auto"/>
        <w:jc w:val="both"/>
        <w:rPr>
          <w:rFonts w:ascii="Times New Roman" w:hAnsi="Times New Roman" w:cs="Times New Roman"/>
          <w:sz w:val="20"/>
          <w:szCs w:val="20"/>
        </w:rPr>
      </w:pPr>
    </w:p>
    <w:p w14:paraId="38BEA022" w14:textId="77777777" w:rsidR="00D90456" w:rsidRPr="00412481" w:rsidRDefault="00D90456">
      <w:pPr>
        <w:widowControl/>
        <w:autoSpaceDE w:val="0"/>
        <w:autoSpaceDN w:val="0"/>
        <w:adjustRightInd w:val="0"/>
        <w:spacing w:line="259" w:lineRule="auto"/>
        <w:jc w:val="both"/>
        <w:rPr>
          <w:rFonts w:ascii="Times New Roman" w:hAnsi="Times New Roman" w:cs="Times New Roman"/>
          <w:sz w:val="20"/>
          <w:szCs w:val="20"/>
        </w:rPr>
      </w:pPr>
    </w:p>
    <w:p w14:paraId="28ED5957" w14:textId="1B9C5097" w:rsidR="00035C33" w:rsidRPr="00412481" w:rsidRDefault="00035C33">
      <w:pPr>
        <w:pStyle w:val="Heading1"/>
        <w:spacing w:after="240" w:line="259" w:lineRule="auto"/>
        <w:ind w:left="0"/>
        <w:jc w:val="both"/>
        <w:rPr>
          <w:rFonts w:cs="Times New Roman"/>
          <w:spacing w:val="-1"/>
          <w:sz w:val="20"/>
          <w:szCs w:val="20"/>
        </w:rPr>
      </w:pPr>
      <w:r w:rsidRPr="00412481">
        <w:rPr>
          <w:rFonts w:cs="Times New Roman"/>
          <w:spacing w:val="-1"/>
          <w:sz w:val="20"/>
          <w:szCs w:val="20"/>
        </w:rPr>
        <w:t>Text</w:t>
      </w:r>
    </w:p>
    <w:p w14:paraId="4731D531" w14:textId="05113D6B" w:rsidR="00035C33" w:rsidRPr="00412481" w:rsidRDefault="00035C33">
      <w:pPr>
        <w:pStyle w:val="Heading1"/>
        <w:numPr>
          <w:ilvl w:val="0"/>
          <w:numId w:val="1"/>
        </w:numPr>
        <w:spacing w:after="240" w:line="259" w:lineRule="auto"/>
        <w:ind w:left="360"/>
        <w:rPr>
          <w:rFonts w:cs="Times New Roman"/>
          <w:b w:val="0"/>
          <w:spacing w:val="-1"/>
          <w:sz w:val="20"/>
          <w:szCs w:val="20"/>
        </w:rPr>
      </w:pPr>
      <w:r w:rsidRPr="00412481">
        <w:rPr>
          <w:rFonts w:cs="Times New Roman"/>
          <w:b w:val="0"/>
          <w:spacing w:val="-1"/>
          <w:sz w:val="20"/>
          <w:szCs w:val="20"/>
        </w:rPr>
        <w:t>Effective</w:t>
      </w:r>
      <w:r w:rsidR="00FB4616" w:rsidRPr="00412481">
        <w:rPr>
          <w:rFonts w:cs="Times New Roman"/>
          <w:b w:val="0"/>
          <w:spacing w:val="-1"/>
          <w:sz w:val="20"/>
          <w:szCs w:val="20"/>
        </w:rPr>
        <w:t xml:space="preserve"> </w:t>
      </w:r>
      <w:r w:rsidRPr="00412481">
        <w:rPr>
          <w:rFonts w:cs="Times New Roman"/>
          <w:b w:val="0"/>
          <w:spacing w:val="-1"/>
          <w:sz w:val="20"/>
          <w:szCs w:val="20"/>
        </w:rPr>
        <w:t>Date</w:t>
      </w:r>
      <w:r w:rsidRPr="00412481">
        <w:rPr>
          <w:rFonts w:cs="Times New Roman"/>
          <w:b w:val="0"/>
          <w:spacing w:val="-1"/>
          <w:sz w:val="20"/>
          <w:szCs w:val="20"/>
        </w:rPr>
        <w:br/>
      </w:r>
      <w:r w:rsidRPr="00412481">
        <w:rPr>
          <w:rFonts w:cs="Times New Roman"/>
          <w:b w:val="0"/>
          <w:spacing w:val="-1"/>
          <w:sz w:val="20"/>
          <w:szCs w:val="20"/>
        </w:rPr>
        <w:br/>
      </w:r>
      <w:r w:rsidR="00B551CD" w:rsidRPr="00412481">
        <w:rPr>
          <w:rFonts w:cs="Times New Roman"/>
          <w:b w:val="0"/>
          <w:spacing w:val="-1"/>
          <w:sz w:val="20"/>
          <w:szCs w:val="20"/>
        </w:rPr>
        <w:t xml:space="preserve">This </w:t>
      </w:r>
      <w:r w:rsidRPr="00412481">
        <w:rPr>
          <w:rFonts w:cs="Times New Roman"/>
          <w:b w:val="0"/>
          <w:spacing w:val="-1"/>
          <w:sz w:val="20"/>
          <w:szCs w:val="20"/>
        </w:rPr>
        <w:t xml:space="preserve">Guideline shall </w:t>
      </w:r>
      <w:r w:rsidR="0043392E" w:rsidRPr="00412481">
        <w:rPr>
          <w:rFonts w:cs="Times New Roman"/>
          <w:b w:val="0"/>
          <w:spacing w:val="-1"/>
          <w:sz w:val="20"/>
          <w:szCs w:val="20"/>
        </w:rPr>
        <w:t xml:space="preserve">be effective for </w:t>
      </w:r>
      <w:r w:rsidR="00953606" w:rsidRPr="00412481">
        <w:rPr>
          <w:rFonts w:cs="Times New Roman"/>
          <w:b w:val="0"/>
          <w:spacing w:val="-1"/>
          <w:sz w:val="20"/>
          <w:szCs w:val="20"/>
        </w:rPr>
        <w:t xml:space="preserve">asset adequacy analysis of the </w:t>
      </w:r>
      <w:r w:rsidR="00B551CD" w:rsidRPr="00412481">
        <w:rPr>
          <w:rFonts w:cs="Times New Roman"/>
          <w:b w:val="0"/>
          <w:spacing w:val="-1"/>
          <w:sz w:val="20"/>
          <w:szCs w:val="20"/>
        </w:rPr>
        <w:t xml:space="preserve">reserves reported in the December 31, </w:t>
      </w:r>
      <w:proofErr w:type="gramStart"/>
      <w:r w:rsidR="00B551CD" w:rsidRPr="00412481">
        <w:rPr>
          <w:rFonts w:cs="Times New Roman"/>
          <w:b w:val="0"/>
          <w:spacing w:val="-1"/>
          <w:sz w:val="20"/>
          <w:szCs w:val="20"/>
        </w:rPr>
        <w:t>20</w:t>
      </w:r>
      <w:r w:rsidR="001749A5" w:rsidRPr="00412481">
        <w:rPr>
          <w:rFonts w:cs="Times New Roman"/>
          <w:b w:val="0"/>
          <w:spacing w:val="-1"/>
          <w:sz w:val="20"/>
          <w:szCs w:val="20"/>
        </w:rPr>
        <w:t>22</w:t>
      </w:r>
      <w:proofErr w:type="gramEnd"/>
      <w:r w:rsidR="00953606" w:rsidRPr="00412481">
        <w:rPr>
          <w:rFonts w:cs="Times New Roman"/>
          <w:b w:val="0"/>
          <w:spacing w:val="-1"/>
          <w:sz w:val="20"/>
          <w:szCs w:val="20"/>
        </w:rPr>
        <w:t xml:space="preserve"> Annual Statement and for the asset adequacy analysis of the reserves reported in all </w:t>
      </w:r>
      <w:r w:rsidR="00B551CD" w:rsidRPr="00412481">
        <w:rPr>
          <w:rFonts w:cs="Times New Roman"/>
          <w:b w:val="0"/>
          <w:spacing w:val="-1"/>
          <w:sz w:val="20"/>
          <w:szCs w:val="20"/>
        </w:rPr>
        <w:t xml:space="preserve">subsequent </w:t>
      </w:r>
      <w:r w:rsidR="00953606" w:rsidRPr="00412481">
        <w:rPr>
          <w:rFonts w:cs="Times New Roman"/>
          <w:b w:val="0"/>
          <w:spacing w:val="-1"/>
          <w:sz w:val="20"/>
          <w:szCs w:val="20"/>
        </w:rPr>
        <w:t>Annual S</w:t>
      </w:r>
      <w:r w:rsidR="00B551CD" w:rsidRPr="00412481">
        <w:rPr>
          <w:rFonts w:cs="Times New Roman"/>
          <w:b w:val="0"/>
          <w:spacing w:val="-1"/>
          <w:sz w:val="20"/>
          <w:szCs w:val="20"/>
        </w:rPr>
        <w:t>tatements.</w:t>
      </w:r>
      <w:r w:rsidR="0043392E" w:rsidRPr="00412481">
        <w:rPr>
          <w:rFonts w:cs="Times New Roman"/>
          <w:b w:val="0"/>
          <w:spacing w:val="-1"/>
          <w:sz w:val="20"/>
          <w:szCs w:val="20"/>
        </w:rPr>
        <w:t xml:space="preserve"> </w:t>
      </w:r>
    </w:p>
    <w:p w14:paraId="2C6FB634" w14:textId="7CEDCC26" w:rsidR="00953606" w:rsidRPr="00412481" w:rsidRDefault="00BF65A7" w:rsidP="00BF65A7">
      <w:pPr>
        <w:pStyle w:val="ListParagraph"/>
        <w:widowControl/>
        <w:pBdr>
          <w:top w:val="single" w:sz="4" w:space="1" w:color="auto"/>
          <w:left w:val="single" w:sz="4" w:space="4" w:color="auto"/>
          <w:bottom w:val="single" w:sz="4" w:space="1" w:color="auto"/>
          <w:right w:val="single" w:sz="4" w:space="4" w:color="auto"/>
        </w:pBdr>
        <w:autoSpaceDE w:val="0"/>
        <w:autoSpaceDN w:val="0"/>
        <w:adjustRightInd w:val="0"/>
        <w:spacing w:line="259" w:lineRule="auto"/>
        <w:ind w:left="360"/>
        <w:jc w:val="both"/>
        <w:rPr>
          <w:rFonts w:ascii="Times New Roman" w:hAnsi="Times New Roman" w:cs="Times New Roman"/>
          <w:sz w:val="20"/>
          <w:szCs w:val="20"/>
        </w:rPr>
      </w:pPr>
      <w:r w:rsidRPr="00BF65A7">
        <w:rPr>
          <w:rFonts w:ascii="Times New Roman" w:hAnsi="Times New Roman" w:cs="Times New Roman"/>
          <w:b/>
          <w:bCs/>
          <w:sz w:val="20"/>
          <w:szCs w:val="20"/>
        </w:rPr>
        <w:t>Guidance n</w:t>
      </w:r>
      <w:r w:rsidR="00953606" w:rsidRPr="00BF65A7">
        <w:rPr>
          <w:rFonts w:ascii="Times New Roman" w:hAnsi="Times New Roman" w:cs="Times New Roman"/>
          <w:b/>
          <w:bCs/>
          <w:sz w:val="20"/>
          <w:szCs w:val="20"/>
        </w:rPr>
        <w:t>ote:</w:t>
      </w:r>
      <w:r w:rsidR="00953606" w:rsidRPr="00412481">
        <w:rPr>
          <w:rFonts w:ascii="Times New Roman" w:hAnsi="Times New Roman" w:cs="Times New Roman"/>
          <w:sz w:val="20"/>
          <w:szCs w:val="20"/>
        </w:rPr>
        <w:t xml:space="preserve"> It is anticipated that the requirements contained in this Guideline will be incorporated into VM-30 at a future date, effective for a future valuation year. This Guideline will cease to apply to annual statutory financial statements when the corresponding VM-30 requirements become effective.</w:t>
      </w:r>
    </w:p>
    <w:p w14:paraId="6DCE0C89" w14:textId="77777777" w:rsidR="00953606" w:rsidRPr="00412481" w:rsidRDefault="00953606" w:rsidP="004E414E">
      <w:pPr>
        <w:pStyle w:val="ListParagraph"/>
        <w:widowControl/>
        <w:autoSpaceDE w:val="0"/>
        <w:autoSpaceDN w:val="0"/>
        <w:adjustRightInd w:val="0"/>
        <w:spacing w:line="259" w:lineRule="auto"/>
        <w:ind w:left="360"/>
        <w:jc w:val="both"/>
      </w:pPr>
    </w:p>
    <w:p w14:paraId="480163B2" w14:textId="77777777" w:rsidR="00C93591" w:rsidRPr="00412481" w:rsidRDefault="00035C33" w:rsidP="00CB66C7">
      <w:pPr>
        <w:pStyle w:val="Heading1"/>
        <w:keepLines/>
        <w:numPr>
          <w:ilvl w:val="0"/>
          <w:numId w:val="1"/>
        </w:numPr>
        <w:spacing w:after="240" w:line="259" w:lineRule="auto"/>
        <w:ind w:left="360"/>
        <w:jc w:val="both"/>
        <w:rPr>
          <w:rFonts w:cs="Times New Roman"/>
          <w:b w:val="0"/>
          <w:spacing w:val="-1"/>
          <w:sz w:val="20"/>
          <w:szCs w:val="20"/>
        </w:rPr>
      </w:pPr>
      <w:r w:rsidRPr="00412481">
        <w:rPr>
          <w:rFonts w:cs="Times New Roman"/>
          <w:b w:val="0"/>
          <w:spacing w:val="-1"/>
          <w:sz w:val="20"/>
          <w:szCs w:val="20"/>
        </w:rPr>
        <w:t>Scope</w:t>
      </w:r>
      <w:r w:rsidRPr="00412481">
        <w:rPr>
          <w:rFonts w:cs="Times New Roman"/>
          <w:b w:val="0"/>
          <w:spacing w:val="-1"/>
          <w:sz w:val="20"/>
          <w:szCs w:val="20"/>
        </w:rPr>
        <w:br/>
      </w:r>
      <w:r w:rsidRPr="00412481">
        <w:rPr>
          <w:rFonts w:cs="Times New Roman"/>
          <w:b w:val="0"/>
          <w:spacing w:val="-1"/>
          <w:sz w:val="20"/>
          <w:szCs w:val="20"/>
        </w:rPr>
        <w:br/>
      </w:r>
      <w:r w:rsidR="00FC6DEC" w:rsidRPr="00412481">
        <w:rPr>
          <w:rFonts w:cs="Times New Roman"/>
          <w:b w:val="0"/>
          <w:spacing w:val="-1"/>
          <w:sz w:val="20"/>
          <w:szCs w:val="20"/>
        </w:rPr>
        <w:t xml:space="preserve">This </w:t>
      </w:r>
      <w:r w:rsidR="00B73D9A" w:rsidRPr="00412481">
        <w:rPr>
          <w:rFonts w:cs="Times New Roman"/>
          <w:b w:val="0"/>
          <w:spacing w:val="-1"/>
          <w:sz w:val="20"/>
          <w:szCs w:val="20"/>
        </w:rPr>
        <w:t>Guideline shall apply to all life insurers with</w:t>
      </w:r>
      <w:r w:rsidR="00FC6DEC" w:rsidRPr="00412481">
        <w:rPr>
          <w:rFonts w:cs="Times New Roman"/>
          <w:b w:val="0"/>
          <w:spacing w:val="-1"/>
          <w:sz w:val="20"/>
          <w:szCs w:val="20"/>
        </w:rPr>
        <w:t>:</w:t>
      </w:r>
      <w:r w:rsidR="00B73D9A" w:rsidRPr="00412481">
        <w:rPr>
          <w:rFonts w:cs="Times New Roman"/>
          <w:b w:val="0"/>
          <w:spacing w:val="-1"/>
          <w:sz w:val="20"/>
          <w:szCs w:val="20"/>
        </w:rPr>
        <w:t xml:space="preserve"> </w:t>
      </w:r>
    </w:p>
    <w:p w14:paraId="03E90F14" w14:textId="0DFA3E11" w:rsidR="00902D2F" w:rsidRPr="00412481" w:rsidRDefault="00C93591" w:rsidP="00E059E7">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A.</w:t>
      </w:r>
      <w:r w:rsidRPr="00412481">
        <w:rPr>
          <w:rFonts w:cs="Times New Roman"/>
          <w:b w:val="0"/>
          <w:spacing w:val="-1"/>
          <w:sz w:val="20"/>
          <w:szCs w:val="20"/>
        </w:rPr>
        <w:tab/>
      </w:r>
      <w:r w:rsidR="00FC6DEC" w:rsidRPr="00412481">
        <w:rPr>
          <w:rFonts w:cs="Times New Roman"/>
          <w:b w:val="0"/>
          <w:spacing w:val="-1"/>
          <w:sz w:val="20"/>
          <w:szCs w:val="20"/>
        </w:rPr>
        <w:t xml:space="preserve">Over </w:t>
      </w:r>
      <w:r w:rsidR="00B73D9A" w:rsidRPr="00412481">
        <w:rPr>
          <w:rFonts w:cs="Times New Roman"/>
          <w:b w:val="0"/>
          <w:spacing w:val="-1"/>
          <w:sz w:val="20"/>
          <w:szCs w:val="20"/>
        </w:rPr>
        <w:t xml:space="preserve">$5 billion of </w:t>
      </w:r>
      <w:r w:rsidR="00812A5C" w:rsidRPr="00412481">
        <w:rPr>
          <w:rFonts w:cs="Times New Roman"/>
          <w:b w:val="0"/>
          <w:spacing w:val="-1"/>
          <w:sz w:val="20"/>
          <w:szCs w:val="20"/>
        </w:rPr>
        <w:t xml:space="preserve">general account </w:t>
      </w:r>
      <w:r w:rsidR="00B73D9A" w:rsidRPr="00412481">
        <w:rPr>
          <w:rFonts w:cs="Times New Roman"/>
          <w:b w:val="0"/>
          <w:spacing w:val="-1"/>
          <w:sz w:val="20"/>
          <w:szCs w:val="20"/>
        </w:rPr>
        <w:t>actuarial reserves</w:t>
      </w:r>
      <w:r w:rsidR="00FC6DEC" w:rsidRPr="00412481">
        <w:rPr>
          <w:rFonts w:cs="Times New Roman"/>
          <w:b w:val="0"/>
          <w:spacing w:val="-1"/>
          <w:sz w:val="20"/>
          <w:szCs w:val="20"/>
        </w:rPr>
        <w:t xml:space="preserve"> </w:t>
      </w:r>
      <w:r w:rsidR="00812A5C" w:rsidRPr="00412481">
        <w:rPr>
          <w:rFonts w:cs="Times New Roman"/>
          <w:b w:val="0"/>
          <w:spacing w:val="-1"/>
          <w:sz w:val="20"/>
          <w:szCs w:val="20"/>
        </w:rPr>
        <w:t xml:space="preserve">(from Exhibits 5, 6, 7, and 8 of the </w:t>
      </w:r>
      <w:r w:rsidR="00560FF3">
        <w:rPr>
          <w:rFonts w:cs="Times New Roman"/>
          <w:b w:val="0"/>
          <w:spacing w:val="-1"/>
          <w:sz w:val="20"/>
          <w:szCs w:val="20"/>
        </w:rPr>
        <w:t>A</w:t>
      </w:r>
      <w:r w:rsidR="00812A5C" w:rsidRPr="00412481">
        <w:rPr>
          <w:rFonts w:cs="Times New Roman"/>
          <w:b w:val="0"/>
          <w:spacing w:val="-1"/>
          <w:sz w:val="20"/>
          <w:szCs w:val="20"/>
        </w:rPr>
        <w:t xml:space="preserve">nnual </w:t>
      </w:r>
      <w:r w:rsidR="00560FF3">
        <w:rPr>
          <w:rFonts w:cs="Times New Roman"/>
          <w:b w:val="0"/>
          <w:spacing w:val="-1"/>
          <w:sz w:val="20"/>
          <w:szCs w:val="20"/>
        </w:rPr>
        <w:t>S</w:t>
      </w:r>
      <w:r w:rsidR="00812A5C" w:rsidRPr="00412481">
        <w:rPr>
          <w:rFonts w:cs="Times New Roman"/>
          <w:b w:val="0"/>
          <w:spacing w:val="-1"/>
          <w:sz w:val="20"/>
          <w:szCs w:val="20"/>
        </w:rPr>
        <w:t xml:space="preserve">tatement) </w:t>
      </w:r>
      <w:r w:rsidR="00536703" w:rsidRPr="00412481">
        <w:rPr>
          <w:rFonts w:cs="Times New Roman"/>
          <w:b w:val="0"/>
          <w:spacing w:val="-1"/>
          <w:sz w:val="20"/>
          <w:szCs w:val="20"/>
        </w:rPr>
        <w:t xml:space="preserve">and non-unitized separate account </w:t>
      </w:r>
      <w:r w:rsidR="00E059E7" w:rsidRPr="00412481">
        <w:rPr>
          <w:rFonts w:cs="Times New Roman"/>
          <w:b w:val="0"/>
          <w:spacing w:val="-1"/>
          <w:sz w:val="20"/>
          <w:szCs w:val="20"/>
        </w:rPr>
        <w:t>assets</w:t>
      </w:r>
      <w:r w:rsidR="00536703" w:rsidRPr="00412481">
        <w:rPr>
          <w:rFonts w:cs="Times New Roman"/>
          <w:b w:val="0"/>
          <w:spacing w:val="-1"/>
          <w:sz w:val="20"/>
          <w:szCs w:val="20"/>
        </w:rPr>
        <w:t xml:space="preserve"> </w:t>
      </w:r>
      <w:r w:rsidR="00FC6DEC" w:rsidRPr="00412481">
        <w:rPr>
          <w:rFonts w:cs="Times New Roman"/>
          <w:b w:val="0"/>
          <w:spacing w:val="-1"/>
          <w:sz w:val="20"/>
          <w:szCs w:val="20"/>
        </w:rPr>
        <w:t>or</w:t>
      </w:r>
    </w:p>
    <w:p w14:paraId="16969048" w14:textId="2D561455" w:rsidR="00FC6DEC" w:rsidRPr="00412481" w:rsidRDefault="00C93591" w:rsidP="00C55E4D">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B.</w:t>
      </w:r>
      <w:r w:rsidRPr="00412481">
        <w:rPr>
          <w:rFonts w:cs="Times New Roman"/>
          <w:b w:val="0"/>
          <w:spacing w:val="-1"/>
          <w:sz w:val="20"/>
          <w:szCs w:val="20"/>
        </w:rPr>
        <w:tab/>
      </w:r>
      <w:bookmarkStart w:id="1" w:name="_Hlk94079270"/>
      <w:r w:rsidR="00FC6DEC" w:rsidRPr="00412481">
        <w:rPr>
          <w:rFonts w:cs="Times New Roman"/>
          <w:b w:val="0"/>
          <w:spacing w:val="-1"/>
          <w:sz w:val="20"/>
          <w:szCs w:val="20"/>
        </w:rPr>
        <w:t>Over $</w:t>
      </w:r>
      <w:r w:rsidR="007D5ACF" w:rsidRPr="00412481">
        <w:rPr>
          <w:rFonts w:cs="Times New Roman"/>
          <w:b w:val="0"/>
          <w:spacing w:val="-1"/>
          <w:sz w:val="20"/>
          <w:szCs w:val="20"/>
        </w:rPr>
        <w:t xml:space="preserve">100 </w:t>
      </w:r>
      <w:r w:rsidR="00FC6DEC" w:rsidRPr="00412481">
        <w:rPr>
          <w:rFonts w:cs="Times New Roman"/>
          <w:b w:val="0"/>
          <w:spacing w:val="-1"/>
          <w:sz w:val="20"/>
          <w:szCs w:val="20"/>
        </w:rPr>
        <w:t xml:space="preserve">million of </w:t>
      </w:r>
      <w:r w:rsidR="00812A5C" w:rsidRPr="00412481">
        <w:rPr>
          <w:rFonts w:cs="Times New Roman"/>
          <w:b w:val="0"/>
          <w:spacing w:val="-1"/>
          <w:sz w:val="20"/>
          <w:szCs w:val="20"/>
        </w:rPr>
        <w:t xml:space="preserve">general account </w:t>
      </w:r>
      <w:r w:rsidR="00FC6DEC" w:rsidRPr="00412481">
        <w:rPr>
          <w:rFonts w:cs="Times New Roman"/>
          <w:b w:val="0"/>
          <w:spacing w:val="-1"/>
          <w:sz w:val="20"/>
          <w:szCs w:val="20"/>
        </w:rPr>
        <w:t>actuarial reserves</w:t>
      </w:r>
      <w:r w:rsidR="003B66E0" w:rsidRPr="00412481">
        <w:rPr>
          <w:rFonts w:cs="Times New Roman"/>
          <w:b w:val="0"/>
          <w:spacing w:val="-1"/>
          <w:sz w:val="20"/>
          <w:szCs w:val="20"/>
        </w:rPr>
        <w:t xml:space="preserve"> (from Exhibits 5, 6, 7, and 8 of the </w:t>
      </w:r>
      <w:r w:rsidR="00560FF3">
        <w:rPr>
          <w:rFonts w:cs="Times New Roman"/>
          <w:b w:val="0"/>
          <w:spacing w:val="-1"/>
          <w:sz w:val="20"/>
          <w:szCs w:val="20"/>
        </w:rPr>
        <w:t>A</w:t>
      </w:r>
      <w:r w:rsidR="003B66E0" w:rsidRPr="00412481">
        <w:rPr>
          <w:rFonts w:cs="Times New Roman"/>
          <w:b w:val="0"/>
          <w:spacing w:val="-1"/>
          <w:sz w:val="20"/>
          <w:szCs w:val="20"/>
        </w:rPr>
        <w:t xml:space="preserve">nnual </w:t>
      </w:r>
      <w:r w:rsidR="00560FF3">
        <w:rPr>
          <w:rFonts w:cs="Times New Roman"/>
          <w:b w:val="0"/>
          <w:spacing w:val="-1"/>
          <w:sz w:val="20"/>
          <w:szCs w:val="20"/>
        </w:rPr>
        <w:t>S</w:t>
      </w:r>
      <w:r w:rsidR="003B66E0" w:rsidRPr="00412481">
        <w:rPr>
          <w:rFonts w:cs="Times New Roman"/>
          <w:b w:val="0"/>
          <w:spacing w:val="-1"/>
          <w:sz w:val="20"/>
          <w:szCs w:val="20"/>
        </w:rPr>
        <w:t>tatement)</w:t>
      </w:r>
      <w:r w:rsidR="00FC6DEC" w:rsidRPr="00412481">
        <w:rPr>
          <w:rFonts w:cs="Times New Roman"/>
          <w:b w:val="0"/>
          <w:spacing w:val="-1"/>
          <w:sz w:val="20"/>
          <w:szCs w:val="20"/>
        </w:rPr>
        <w:t xml:space="preserve"> </w:t>
      </w:r>
      <w:r w:rsidR="00536703" w:rsidRPr="00412481">
        <w:rPr>
          <w:rFonts w:cs="Times New Roman"/>
          <w:b w:val="0"/>
          <w:spacing w:val="-1"/>
          <w:sz w:val="20"/>
          <w:szCs w:val="20"/>
        </w:rPr>
        <w:t xml:space="preserve">and non-unitized separate account </w:t>
      </w:r>
      <w:r w:rsidR="00E059E7" w:rsidRPr="00412481">
        <w:rPr>
          <w:rFonts w:cs="Times New Roman"/>
          <w:b w:val="0"/>
          <w:spacing w:val="-1"/>
          <w:sz w:val="20"/>
          <w:szCs w:val="20"/>
        </w:rPr>
        <w:t>assets</w:t>
      </w:r>
      <w:r w:rsidR="00536703" w:rsidRPr="00412481">
        <w:rPr>
          <w:rFonts w:cs="Times New Roman"/>
          <w:b w:val="0"/>
          <w:spacing w:val="-1"/>
          <w:sz w:val="20"/>
          <w:szCs w:val="20"/>
        </w:rPr>
        <w:t xml:space="preserve"> </w:t>
      </w:r>
      <w:r w:rsidR="00FC6DEC" w:rsidRPr="00412481">
        <w:rPr>
          <w:rFonts w:cs="Times New Roman"/>
          <w:b w:val="0"/>
          <w:spacing w:val="-1"/>
          <w:sz w:val="20"/>
          <w:szCs w:val="20"/>
        </w:rPr>
        <w:t xml:space="preserve">and over 5% of </w:t>
      </w:r>
      <w:r w:rsidR="00C55459" w:rsidRPr="00412481">
        <w:rPr>
          <w:rFonts w:cs="Times New Roman"/>
          <w:b w:val="0"/>
          <w:spacing w:val="-1"/>
          <w:sz w:val="20"/>
          <w:szCs w:val="20"/>
        </w:rPr>
        <w:t xml:space="preserve">supporting </w:t>
      </w:r>
      <w:r w:rsidR="00FC6DEC" w:rsidRPr="00412481">
        <w:rPr>
          <w:rFonts w:cs="Times New Roman"/>
          <w:b w:val="0"/>
          <w:spacing w:val="-1"/>
          <w:sz w:val="20"/>
          <w:szCs w:val="20"/>
        </w:rPr>
        <w:t xml:space="preserve">assets </w:t>
      </w:r>
      <w:r w:rsidR="00C54B9B" w:rsidRPr="00412481">
        <w:rPr>
          <w:rFonts w:cs="Times New Roman"/>
          <w:b w:val="0"/>
          <w:spacing w:val="-1"/>
          <w:sz w:val="20"/>
          <w:szCs w:val="20"/>
        </w:rPr>
        <w:t>(</w:t>
      </w:r>
      <w:r w:rsidR="00902D2F" w:rsidRPr="00412481">
        <w:rPr>
          <w:rFonts w:cs="Times New Roman"/>
          <w:b w:val="0"/>
          <w:spacing w:val="-1"/>
          <w:sz w:val="20"/>
          <w:szCs w:val="20"/>
        </w:rPr>
        <w:t>selected for asset adequacy analysis</w:t>
      </w:r>
      <w:r w:rsidR="00C54B9B" w:rsidRPr="00412481">
        <w:rPr>
          <w:rFonts w:cs="Times New Roman"/>
          <w:b w:val="0"/>
          <w:spacing w:val="-1"/>
          <w:sz w:val="20"/>
          <w:szCs w:val="20"/>
        </w:rPr>
        <w:t>)</w:t>
      </w:r>
      <w:r w:rsidR="00902D2F" w:rsidRPr="00412481">
        <w:rPr>
          <w:rFonts w:cs="Times New Roman"/>
          <w:b w:val="0"/>
          <w:spacing w:val="-1"/>
          <w:sz w:val="20"/>
          <w:szCs w:val="20"/>
        </w:rPr>
        <w:t xml:space="preserve"> </w:t>
      </w:r>
      <w:r w:rsidR="00FC6DEC" w:rsidRPr="00412481">
        <w:rPr>
          <w:rFonts w:cs="Times New Roman"/>
          <w:b w:val="0"/>
          <w:spacing w:val="-1"/>
          <w:sz w:val="20"/>
          <w:szCs w:val="20"/>
        </w:rPr>
        <w:t>in the category of Projected High Net Yield Assets</w:t>
      </w:r>
      <w:r w:rsidR="001012B8" w:rsidRPr="00412481">
        <w:rPr>
          <w:rFonts w:cs="Times New Roman"/>
          <w:b w:val="0"/>
          <w:spacing w:val="-1"/>
          <w:sz w:val="20"/>
          <w:szCs w:val="20"/>
        </w:rPr>
        <w:t>, as defined in Section 3.</w:t>
      </w:r>
      <w:r w:rsidR="007D5ACF" w:rsidRPr="00412481">
        <w:rPr>
          <w:rFonts w:cs="Times New Roman"/>
          <w:b w:val="0"/>
          <w:spacing w:val="-1"/>
          <w:sz w:val="20"/>
          <w:szCs w:val="20"/>
        </w:rPr>
        <w:t>F</w:t>
      </w:r>
      <w:r w:rsidR="00B73D9A" w:rsidRPr="00412481">
        <w:rPr>
          <w:rFonts w:cs="Times New Roman"/>
          <w:b w:val="0"/>
          <w:spacing w:val="-1"/>
          <w:sz w:val="20"/>
          <w:szCs w:val="20"/>
        </w:rPr>
        <w:t>.</w:t>
      </w:r>
      <w:bookmarkEnd w:id="1"/>
    </w:p>
    <w:p w14:paraId="16D94224" w14:textId="596BBA08" w:rsidR="00B73D9A" w:rsidRPr="00412481" w:rsidRDefault="00FC6DEC">
      <w:pPr>
        <w:pStyle w:val="Heading1"/>
        <w:spacing w:after="240" w:line="259" w:lineRule="auto"/>
        <w:ind w:left="360"/>
        <w:jc w:val="both"/>
        <w:rPr>
          <w:rFonts w:cs="Times New Roman"/>
          <w:b w:val="0"/>
          <w:spacing w:val="-1"/>
          <w:sz w:val="20"/>
          <w:szCs w:val="20"/>
        </w:rPr>
      </w:pPr>
      <w:r w:rsidRPr="00412481">
        <w:rPr>
          <w:rFonts w:cs="Times New Roman"/>
          <w:b w:val="0"/>
          <w:spacing w:val="-1"/>
          <w:sz w:val="20"/>
          <w:szCs w:val="20"/>
        </w:rPr>
        <w:t>Actuarial reserve amounts are included in the amounts in A and B whether directly written or assumed through reinsurance and are determined before any reinsurance ceded credit.</w:t>
      </w:r>
    </w:p>
    <w:p w14:paraId="14CCA80A" w14:textId="37B6F2A5" w:rsidR="00BC5179" w:rsidRPr="00412481" w:rsidRDefault="00BC5179">
      <w:pPr>
        <w:pStyle w:val="Heading1"/>
        <w:spacing w:after="240" w:line="259" w:lineRule="auto"/>
        <w:ind w:left="360"/>
        <w:jc w:val="both"/>
        <w:rPr>
          <w:rFonts w:cs="Times New Roman"/>
          <w:b w:val="0"/>
          <w:spacing w:val="-1"/>
          <w:sz w:val="20"/>
          <w:szCs w:val="20"/>
        </w:rPr>
      </w:pPr>
      <w:r w:rsidRPr="00412481">
        <w:rPr>
          <w:rFonts w:cs="Times New Roman"/>
          <w:b w:val="0"/>
          <w:spacing w:val="-1"/>
          <w:sz w:val="20"/>
          <w:szCs w:val="20"/>
        </w:rPr>
        <w:t xml:space="preserve">The Guideline </w:t>
      </w:r>
      <w:r w:rsidR="00E435A1" w:rsidRPr="00412481">
        <w:rPr>
          <w:rFonts w:cs="Times New Roman"/>
          <w:b w:val="0"/>
          <w:spacing w:val="-1"/>
          <w:sz w:val="20"/>
          <w:szCs w:val="20"/>
        </w:rPr>
        <w:t xml:space="preserve">applies to assets supporting liabilities tested in the asset adequacy analysis except it </w:t>
      </w:r>
      <w:r w:rsidRPr="00412481">
        <w:rPr>
          <w:rFonts w:cs="Times New Roman"/>
          <w:b w:val="0"/>
          <w:spacing w:val="-1"/>
          <w:sz w:val="20"/>
          <w:szCs w:val="20"/>
        </w:rPr>
        <w:t>does not apply to unitized separate account assets</w:t>
      </w:r>
      <w:r w:rsidR="00EB05B3" w:rsidRPr="00412481">
        <w:rPr>
          <w:rFonts w:cs="Times New Roman"/>
          <w:b w:val="0"/>
          <w:spacing w:val="-1"/>
          <w:sz w:val="20"/>
          <w:szCs w:val="20"/>
        </w:rPr>
        <w:t xml:space="preserve"> or policy</w:t>
      </w:r>
      <w:r w:rsidR="000B310C" w:rsidRPr="00412481">
        <w:rPr>
          <w:rFonts w:cs="Times New Roman"/>
          <w:b w:val="0"/>
          <w:spacing w:val="-1"/>
          <w:sz w:val="20"/>
          <w:szCs w:val="20"/>
        </w:rPr>
        <w:t>/contract</w:t>
      </w:r>
      <w:r w:rsidR="00EB05B3" w:rsidRPr="00412481">
        <w:rPr>
          <w:rFonts w:cs="Times New Roman"/>
          <w:b w:val="0"/>
          <w:spacing w:val="-1"/>
          <w:sz w:val="20"/>
          <w:szCs w:val="20"/>
        </w:rPr>
        <w:t xml:space="preserve"> loans</w:t>
      </w:r>
      <w:r w:rsidRPr="00412481">
        <w:rPr>
          <w:rFonts w:cs="Times New Roman"/>
          <w:b w:val="0"/>
          <w:spacing w:val="-1"/>
          <w:sz w:val="20"/>
          <w:szCs w:val="20"/>
        </w:rPr>
        <w:t>.</w:t>
      </w:r>
    </w:p>
    <w:p w14:paraId="65DCD5AE" w14:textId="0D047F13" w:rsidR="008C6B21" w:rsidRPr="00412481" w:rsidRDefault="007F4FDB">
      <w:pPr>
        <w:pStyle w:val="Heading1"/>
        <w:numPr>
          <w:ilvl w:val="0"/>
          <w:numId w:val="9"/>
        </w:numPr>
        <w:spacing w:after="240" w:line="259" w:lineRule="auto"/>
        <w:ind w:left="360"/>
        <w:jc w:val="both"/>
        <w:rPr>
          <w:rFonts w:cs="Times New Roman"/>
          <w:b w:val="0"/>
          <w:spacing w:val="-1"/>
          <w:sz w:val="20"/>
          <w:szCs w:val="20"/>
        </w:rPr>
      </w:pPr>
      <w:r w:rsidRPr="00412481">
        <w:rPr>
          <w:rFonts w:cs="Times New Roman"/>
          <w:b w:val="0"/>
          <w:spacing w:val="-1"/>
          <w:sz w:val="20"/>
          <w:szCs w:val="20"/>
        </w:rPr>
        <w:t>Definition</w:t>
      </w:r>
      <w:r w:rsidR="007674B1" w:rsidRPr="00412481">
        <w:rPr>
          <w:rFonts w:cs="Times New Roman"/>
          <w:b w:val="0"/>
          <w:spacing w:val="-1"/>
          <w:sz w:val="20"/>
          <w:szCs w:val="20"/>
        </w:rPr>
        <w:t>s</w:t>
      </w:r>
    </w:p>
    <w:p w14:paraId="5AA2BA1A" w14:textId="62657602" w:rsidR="006F3F26" w:rsidRPr="00412481" w:rsidRDefault="00E02900" w:rsidP="00A34978">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A.</w:t>
      </w:r>
      <w:r w:rsidRPr="00412481">
        <w:rPr>
          <w:rFonts w:cs="Times New Roman"/>
          <w:b w:val="0"/>
          <w:spacing w:val="-1"/>
          <w:sz w:val="20"/>
          <w:szCs w:val="20"/>
        </w:rPr>
        <w:tab/>
      </w:r>
      <w:r w:rsidR="00A51DFF" w:rsidRPr="00412481">
        <w:rPr>
          <w:rFonts w:cs="Times New Roman"/>
          <w:b w:val="0"/>
          <w:spacing w:val="-1"/>
          <w:sz w:val="20"/>
          <w:szCs w:val="20"/>
          <w:u w:val="single"/>
        </w:rPr>
        <w:t xml:space="preserve">Equity-like </w:t>
      </w:r>
      <w:r w:rsidR="00021D59" w:rsidRPr="00412481">
        <w:rPr>
          <w:rFonts w:cs="Times New Roman"/>
          <w:b w:val="0"/>
          <w:spacing w:val="-1"/>
          <w:sz w:val="20"/>
          <w:szCs w:val="20"/>
          <w:u w:val="single"/>
        </w:rPr>
        <w:t>I</w:t>
      </w:r>
      <w:r w:rsidR="00A51DFF" w:rsidRPr="00412481">
        <w:rPr>
          <w:rFonts w:cs="Times New Roman"/>
          <w:b w:val="0"/>
          <w:spacing w:val="-1"/>
          <w:sz w:val="20"/>
          <w:szCs w:val="20"/>
          <w:u w:val="single"/>
        </w:rPr>
        <w:t>nstrument</w:t>
      </w:r>
      <w:r w:rsidR="00EB05B3" w:rsidRPr="00412481">
        <w:rPr>
          <w:rFonts w:cs="Times New Roman"/>
          <w:b w:val="0"/>
          <w:spacing w:val="-1"/>
          <w:sz w:val="20"/>
          <w:szCs w:val="20"/>
          <w:u w:val="single"/>
        </w:rPr>
        <w:t>s</w:t>
      </w:r>
      <w:r w:rsidR="00A51DFF" w:rsidRPr="00412481">
        <w:rPr>
          <w:rFonts w:cs="Times New Roman"/>
          <w:b w:val="0"/>
          <w:spacing w:val="-1"/>
          <w:sz w:val="20"/>
          <w:szCs w:val="20"/>
        </w:rPr>
        <w:t xml:space="preserve">.  </w:t>
      </w:r>
      <w:r w:rsidR="006F3F26" w:rsidRPr="00412481">
        <w:rPr>
          <w:rFonts w:cs="Times New Roman"/>
          <w:b w:val="0"/>
          <w:spacing w:val="-1"/>
          <w:sz w:val="20"/>
          <w:szCs w:val="20"/>
        </w:rPr>
        <w:t>A</w:t>
      </w:r>
      <w:r w:rsidR="00A51DFF" w:rsidRPr="00412481">
        <w:rPr>
          <w:rFonts w:cs="Times New Roman"/>
          <w:b w:val="0"/>
          <w:spacing w:val="-1"/>
          <w:sz w:val="20"/>
          <w:szCs w:val="20"/>
        </w:rPr>
        <w:t>sset</w:t>
      </w:r>
      <w:r w:rsidR="006F3F26" w:rsidRPr="00412481">
        <w:rPr>
          <w:rFonts w:cs="Times New Roman"/>
          <w:b w:val="0"/>
          <w:spacing w:val="-1"/>
          <w:sz w:val="20"/>
          <w:szCs w:val="20"/>
        </w:rPr>
        <w:t>s</w:t>
      </w:r>
      <w:r w:rsidR="00A51DFF" w:rsidRPr="00412481">
        <w:rPr>
          <w:rFonts w:cs="Times New Roman"/>
          <w:b w:val="0"/>
          <w:spacing w:val="-1"/>
          <w:sz w:val="20"/>
          <w:szCs w:val="20"/>
        </w:rPr>
        <w:t xml:space="preserve"> that</w:t>
      </w:r>
      <w:r w:rsidR="006F3F26" w:rsidRPr="00412481">
        <w:rPr>
          <w:rFonts w:cs="Times New Roman"/>
          <w:b w:val="0"/>
          <w:spacing w:val="-1"/>
          <w:sz w:val="20"/>
          <w:szCs w:val="20"/>
        </w:rPr>
        <w:t xml:space="preserve"> include the following:</w:t>
      </w:r>
    </w:p>
    <w:p w14:paraId="298150B9" w14:textId="79ED865C" w:rsidR="006F3F26" w:rsidRPr="00412481" w:rsidRDefault="006F3F26" w:rsidP="004E414E">
      <w:pPr>
        <w:pStyle w:val="Heading1"/>
        <w:spacing w:after="240" w:line="259" w:lineRule="auto"/>
        <w:ind w:left="1800" w:hanging="360"/>
        <w:jc w:val="both"/>
        <w:rPr>
          <w:rFonts w:cs="Times New Roman"/>
          <w:b w:val="0"/>
          <w:spacing w:val="-1"/>
          <w:sz w:val="20"/>
          <w:szCs w:val="20"/>
        </w:rPr>
      </w:pPr>
      <w:r w:rsidRPr="00412481">
        <w:rPr>
          <w:rFonts w:cs="Times New Roman"/>
          <w:b w:val="0"/>
          <w:spacing w:val="-1"/>
          <w:sz w:val="20"/>
          <w:szCs w:val="20"/>
        </w:rPr>
        <w:t>i.</w:t>
      </w:r>
      <w:r w:rsidRPr="00412481">
        <w:rPr>
          <w:rFonts w:cs="Times New Roman"/>
          <w:b w:val="0"/>
          <w:spacing w:val="-1"/>
          <w:sz w:val="20"/>
          <w:szCs w:val="20"/>
        </w:rPr>
        <w:tab/>
        <w:t xml:space="preserve">Any assets that, </w:t>
      </w:r>
      <w:r w:rsidR="00A51DFF" w:rsidRPr="00412481">
        <w:rPr>
          <w:rFonts w:cs="Times New Roman"/>
          <w:b w:val="0"/>
          <w:spacing w:val="-1"/>
          <w:sz w:val="20"/>
          <w:szCs w:val="20"/>
        </w:rPr>
        <w:t>for purposes of risk-based capital C-1 reporting, is in the category of common stock, i.e., has a 30% or higher risk-based capital charge.</w:t>
      </w:r>
    </w:p>
    <w:p w14:paraId="78A8CC05" w14:textId="4A976B03" w:rsidR="006F3F26" w:rsidRPr="00412481" w:rsidRDefault="006F3F26" w:rsidP="006F3F26">
      <w:pPr>
        <w:pStyle w:val="Heading1"/>
        <w:spacing w:after="240" w:line="259" w:lineRule="auto"/>
        <w:ind w:left="1800" w:hanging="360"/>
        <w:jc w:val="both"/>
        <w:rPr>
          <w:rFonts w:cs="Times New Roman"/>
          <w:b w:val="0"/>
          <w:bCs w:val="0"/>
          <w:sz w:val="20"/>
          <w:szCs w:val="20"/>
        </w:rPr>
      </w:pPr>
      <w:r w:rsidRPr="00412481">
        <w:rPr>
          <w:rFonts w:cs="Times New Roman"/>
          <w:b w:val="0"/>
          <w:spacing w:val="-1"/>
          <w:sz w:val="20"/>
          <w:szCs w:val="20"/>
        </w:rPr>
        <w:t>ii.</w:t>
      </w:r>
      <w:r w:rsidRPr="00412481">
        <w:rPr>
          <w:rFonts w:cs="Times New Roman"/>
          <w:b w:val="0"/>
          <w:spacing w:val="-1"/>
          <w:sz w:val="20"/>
          <w:szCs w:val="20"/>
        </w:rPr>
        <w:tab/>
        <w:t xml:space="preserve">Any </w:t>
      </w:r>
      <w:r w:rsidR="0038665F" w:rsidRPr="00412481">
        <w:rPr>
          <w:rFonts w:cs="Times New Roman"/>
          <w:b w:val="0"/>
          <w:bCs w:val="0"/>
          <w:sz w:val="20"/>
          <w:szCs w:val="20"/>
        </w:rPr>
        <w:t>asset</w:t>
      </w:r>
      <w:r w:rsidR="00EB05B3" w:rsidRPr="00412481">
        <w:rPr>
          <w:rFonts w:cs="Times New Roman"/>
          <w:b w:val="0"/>
          <w:bCs w:val="0"/>
          <w:sz w:val="20"/>
          <w:szCs w:val="20"/>
        </w:rPr>
        <w:t>s</w:t>
      </w:r>
      <w:r w:rsidR="0038665F" w:rsidRPr="00412481">
        <w:rPr>
          <w:rFonts w:cs="Times New Roman"/>
          <w:b w:val="0"/>
          <w:bCs w:val="0"/>
          <w:sz w:val="20"/>
          <w:szCs w:val="20"/>
        </w:rPr>
        <w:t xml:space="preserve"> </w:t>
      </w:r>
      <w:r w:rsidRPr="00412481">
        <w:rPr>
          <w:rFonts w:cs="Times New Roman"/>
          <w:b w:val="0"/>
          <w:bCs w:val="0"/>
          <w:sz w:val="20"/>
          <w:szCs w:val="20"/>
        </w:rPr>
        <w:t xml:space="preserve">that </w:t>
      </w:r>
      <w:r w:rsidR="00EB05B3" w:rsidRPr="00412481">
        <w:rPr>
          <w:rFonts w:cs="Times New Roman"/>
          <w:b w:val="0"/>
          <w:bCs w:val="0"/>
          <w:sz w:val="20"/>
          <w:szCs w:val="20"/>
        </w:rPr>
        <w:t xml:space="preserve">are </w:t>
      </w:r>
      <w:r w:rsidR="0038665F" w:rsidRPr="00412481">
        <w:rPr>
          <w:rFonts w:cs="Times New Roman"/>
          <w:b w:val="0"/>
          <w:bCs w:val="0"/>
          <w:sz w:val="20"/>
          <w:szCs w:val="20"/>
        </w:rPr>
        <w:t xml:space="preserve">captured on Schedule A </w:t>
      </w:r>
      <w:r w:rsidRPr="00412481">
        <w:rPr>
          <w:rFonts w:cs="Times New Roman"/>
          <w:b w:val="0"/>
          <w:bCs w:val="0"/>
          <w:sz w:val="20"/>
          <w:szCs w:val="20"/>
        </w:rPr>
        <w:t>or</w:t>
      </w:r>
      <w:r w:rsidR="0038665F" w:rsidRPr="00412481">
        <w:rPr>
          <w:rFonts w:cs="Times New Roman"/>
          <w:b w:val="0"/>
          <w:bCs w:val="0"/>
          <w:sz w:val="20"/>
          <w:szCs w:val="20"/>
        </w:rPr>
        <w:t xml:space="preserve"> Schedule BA</w:t>
      </w:r>
      <w:r w:rsidRPr="00412481">
        <w:rPr>
          <w:rFonts w:cs="Times New Roman"/>
          <w:b w:val="0"/>
          <w:bCs w:val="0"/>
          <w:sz w:val="20"/>
          <w:szCs w:val="20"/>
        </w:rPr>
        <w:t xml:space="preserve"> of the Annual Statement</w:t>
      </w:r>
      <w:r w:rsidR="0038665F" w:rsidRPr="00412481">
        <w:rPr>
          <w:rFonts w:cs="Times New Roman"/>
          <w:b w:val="0"/>
          <w:bCs w:val="0"/>
          <w:sz w:val="20"/>
          <w:szCs w:val="20"/>
        </w:rPr>
        <w:t>.</w:t>
      </w:r>
    </w:p>
    <w:p w14:paraId="215B727B" w14:textId="035E0353" w:rsidR="00A51DFF" w:rsidRPr="00412481" w:rsidRDefault="006F3F26" w:rsidP="004E414E">
      <w:pPr>
        <w:pStyle w:val="Heading1"/>
        <w:spacing w:after="240" w:line="259" w:lineRule="auto"/>
        <w:ind w:left="1800" w:hanging="360"/>
        <w:jc w:val="both"/>
        <w:rPr>
          <w:rFonts w:cs="Times New Roman"/>
          <w:b w:val="0"/>
          <w:spacing w:val="-1"/>
          <w:sz w:val="20"/>
          <w:szCs w:val="20"/>
          <w:u w:val="single"/>
        </w:rPr>
      </w:pPr>
      <w:r w:rsidRPr="00412481">
        <w:rPr>
          <w:rFonts w:cs="Times New Roman"/>
          <w:b w:val="0"/>
          <w:bCs w:val="0"/>
          <w:sz w:val="20"/>
          <w:szCs w:val="20"/>
        </w:rPr>
        <w:t>iii.</w:t>
      </w:r>
      <w:r w:rsidR="0038665F" w:rsidRPr="00412481">
        <w:rPr>
          <w:rFonts w:cs="Times New Roman"/>
          <w:b w:val="0"/>
          <w:bCs w:val="0"/>
          <w:sz w:val="20"/>
          <w:szCs w:val="20"/>
        </w:rPr>
        <w:t xml:space="preserve">  </w:t>
      </w:r>
      <w:r w:rsidR="007D5ACF" w:rsidRPr="00412481">
        <w:rPr>
          <w:rFonts w:cs="Times New Roman"/>
          <w:b w:val="0"/>
          <w:spacing w:val="-1"/>
          <w:sz w:val="20"/>
          <w:szCs w:val="20"/>
        </w:rPr>
        <w:t>Bond funds.</w:t>
      </w:r>
    </w:p>
    <w:p w14:paraId="021A1CC0" w14:textId="61DE4992" w:rsidR="002E4357" w:rsidRPr="00412481" w:rsidRDefault="00E02900" w:rsidP="00CF12F4">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B.</w:t>
      </w:r>
      <w:r w:rsidRPr="00412481">
        <w:rPr>
          <w:rFonts w:cs="Times New Roman"/>
          <w:b w:val="0"/>
          <w:spacing w:val="-1"/>
          <w:sz w:val="20"/>
          <w:szCs w:val="20"/>
        </w:rPr>
        <w:tab/>
      </w:r>
      <w:bookmarkStart w:id="2" w:name="_Hlk102723702"/>
      <w:r w:rsidRPr="00412481">
        <w:rPr>
          <w:rFonts w:cs="Times New Roman"/>
          <w:b w:val="0"/>
          <w:spacing w:val="-1"/>
          <w:sz w:val="20"/>
          <w:szCs w:val="20"/>
          <w:u w:val="single"/>
        </w:rPr>
        <w:t>Fair Value.</w:t>
      </w:r>
      <w:r w:rsidRPr="00412481">
        <w:rPr>
          <w:rFonts w:cs="Times New Roman"/>
          <w:b w:val="0"/>
          <w:spacing w:val="-1"/>
          <w:sz w:val="20"/>
          <w:szCs w:val="20"/>
        </w:rPr>
        <w:t xml:space="preserve">  The price that would be received to sell an asset or paid to transfer a liability in an orderly transaction between market participants at the measurement date</w:t>
      </w:r>
      <w:r w:rsidR="00CC21E3" w:rsidRPr="00412481">
        <w:rPr>
          <w:rFonts w:cs="Times New Roman"/>
          <w:b w:val="0"/>
          <w:spacing w:val="-1"/>
          <w:sz w:val="20"/>
          <w:szCs w:val="20"/>
        </w:rPr>
        <w:t>, consistent with methodology of fair value,</w:t>
      </w:r>
      <w:r w:rsidRPr="00412481">
        <w:rPr>
          <w:rFonts w:cs="Times New Roman"/>
          <w:b w:val="0"/>
          <w:spacing w:val="-1"/>
          <w:sz w:val="20"/>
          <w:szCs w:val="20"/>
        </w:rPr>
        <w:t xml:space="preserve"> as reported in the Annual Statement.</w:t>
      </w:r>
      <w:bookmarkEnd w:id="2"/>
    </w:p>
    <w:p w14:paraId="5AADAD33" w14:textId="30F628C5" w:rsidR="00CF12F4" w:rsidRPr="00412481" w:rsidDel="00A95778" w:rsidRDefault="00255070" w:rsidP="00C82DB7">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C</w:t>
      </w:r>
      <w:r w:rsidR="00566D6E" w:rsidRPr="00412481">
        <w:rPr>
          <w:rFonts w:cs="Times New Roman"/>
          <w:b w:val="0"/>
          <w:spacing w:val="-1"/>
          <w:sz w:val="20"/>
          <w:szCs w:val="20"/>
        </w:rPr>
        <w:t>.</w:t>
      </w:r>
      <w:r w:rsidR="00566D6E" w:rsidRPr="00412481">
        <w:rPr>
          <w:rFonts w:cs="Times New Roman"/>
          <w:b w:val="0"/>
          <w:spacing w:val="-1"/>
          <w:sz w:val="20"/>
          <w:szCs w:val="20"/>
        </w:rPr>
        <w:tab/>
      </w:r>
      <w:r w:rsidR="00566D6E" w:rsidRPr="00412481">
        <w:rPr>
          <w:rFonts w:cs="Times New Roman"/>
          <w:b w:val="0"/>
          <w:spacing w:val="-1"/>
          <w:sz w:val="20"/>
          <w:szCs w:val="20"/>
          <w:u w:val="single"/>
        </w:rPr>
        <w:t>Net Market Spread.</w:t>
      </w:r>
      <w:r w:rsidR="00566D6E" w:rsidRPr="00412481">
        <w:rPr>
          <w:rFonts w:cs="Times New Roman"/>
          <w:b w:val="0"/>
          <w:spacing w:val="-1"/>
          <w:sz w:val="20"/>
          <w:szCs w:val="20"/>
        </w:rPr>
        <w:t xml:space="preserve">  </w:t>
      </w:r>
      <w:r w:rsidRPr="00412481">
        <w:rPr>
          <w:rFonts w:cs="Times New Roman"/>
          <w:b w:val="0"/>
          <w:spacing w:val="-1"/>
          <w:sz w:val="20"/>
          <w:szCs w:val="20"/>
        </w:rPr>
        <w:t>For each asset</w:t>
      </w:r>
      <w:r w:rsidR="000838C6" w:rsidRPr="00412481">
        <w:rPr>
          <w:rFonts w:cs="Times New Roman"/>
          <w:b w:val="0"/>
          <w:spacing w:val="-1"/>
          <w:sz w:val="20"/>
          <w:szCs w:val="20"/>
        </w:rPr>
        <w:t xml:space="preserve"> grouping</w:t>
      </w:r>
      <w:r w:rsidRPr="00412481">
        <w:rPr>
          <w:rFonts w:cs="Times New Roman"/>
          <w:b w:val="0"/>
          <w:spacing w:val="-1"/>
          <w:sz w:val="20"/>
          <w:szCs w:val="20"/>
        </w:rPr>
        <w:t>, shall mean the spread over Treasury bonds that equates a</w:t>
      </w:r>
      <w:r w:rsidR="00560FF3">
        <w:rPr>
          <w:rFonts w:cs="Times New Roman"/>
          <w:b w:val="0"/>
          <w:spacing w:val="-1"/>
          <w:sz w:val="20"/>
          <w:szCs w:val="20"/>
        </w:rPr>
        <w:t>n asset’s</w:t>
      </w:r>
      <w:r w:rsidRPr="00412481">
        <w:rPr>
          <w:rFonts w:cs="Times New Roman"/>
          <w:b w:val="0"/>
          <w:spacing w:val="-1"/>
          <w:sz w:val="20"/>
          <w:szCs w:val="20"/>
        </w:rPr>
        <w:t xml:space="preserve"> fair value as of the valuation date with its modeled cash flows, less the default assumption used in asset adequacy analysis.</w:t>
      </w:r>
    </w:p>
    <w:p w14:paraId="1DC0EA0D" w14:textId="5BCD5364" w:rsidR="00566D6E" w:rsidRPr="00412481" w:rsidRDefault="00CF12F4" w:rsidP="00CF12F4">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ab/>
      </w:r>
      <w:r w:rsidR="00255070" w:rsidRPr="00412481">
        <w:rPr>
          <w:rFonts w:cs="Times New Roman"/>
          <w:b w:val="0"/>
          <w:spacing w:val="-1"/>
          <w:sz w:val="20"/>
          <w:szCs w:val="20"/>
        </w:rPr>
        <w:t xml:space="preserve">Market conventions and other approximations are acceptable for the purposes of this </w:t>
      </w:r>
      <w:r w:rsidR="007C0067" w:rsidRPr="00412481">
        <w:rPr>
          <w:rFonts w:cs="Times New Roman"/>
          <w:b w:val="0"/>
          <w:spacing w:val="-1"/>
          <w:sz w:val="20"/>
          <w:szCs w:val="20"/>
        </w:rPr>
        <w:t>definition</w:t>
      </w:r>
      <w:r w:rsidR="00255070" w:rsidRPr="00412481">
        <w:rPr>
          <w:rFonts w:cs="Times New Roman"/>
          <w:b w:val="0"/>
          <w:spacing w:val="-1"/>
          <w:sz w:val="20"/>
          <w:szCs w:val="20"/>
        </w:rPr>
        <w:t>.</w:t>
      </w:r>
    </w:p>
    <w:p w14:paraId="6E81BD08" w14:textId="4A2AA1B4" w:rsidR="009678C9" w:rsidRPr="00412481" w:rsidRDefault="00CF12F4" w:rsidP="00EE6643">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D</w:t>
      </w:r>
      <w:r w:rsidR="00E02900" w:rsidRPr="00412481">
        <w:rPr>
          <w:rFonts w:cs="Times New Roman"/>
          <w:b w:val="0"/>
          <w:spacing w:val="-1"/>
          <w:sz w:val="20"/>
          <w:szCs w:val="20"/>
        </w:rPr>
        <w:t>.</w:t>
      </w:r>
      <w:r w:rsidR="00E02900" w:rsidRPr="00412481">
        <w:rPr>
          <w:rFonts w:cs="Times New Roman"/>
          <w:b w:val="0"/>
          <w:spacing w:val="-1"/>
          <w:sz w:val="20"/>
          <w:szCs w:val="20"/>
        </w:rPr>
        <w:tab/>
      </w:r>
      <w:r w:rsidR="003B1A7B" w:rsidRPr="00412481">
        <w:rPr>
          <w:rFonts w:cs="Times New Roman"/>
          <w:b w:val="0"/>
          <w:spacing w:val="-1"/>
          <w:sz w:val="20"/>
          <w:szCs w:val="20"/>
          <w:u w:val="single"/>
        </w:rPr>
        <w:t xml:space="preserve">Investment Grade Net </w:t>
      </w:r>
      <w:r w:rsidR="00A34978" w:rsidRPr="00412481">
        <w:rPr>
          <w:rFonts w:cs="Times New Roman"/>
          <w:b w:val="0"/>
          <w:spacing w:val="-1"/>
          <w:sz w:val="20"/>
          <w:szCs w:val="20"/>
          <w:u w:val="single"/>
        </w:rPr>
        <w:t xml:space="preserve">Spread </w:t>
      </w:r>
      <w:r w:rsidR="003B1A7B" w:rsidRPr="00412481">
        <w:rPr>
          <w:rFonts w:cs="Times New Roman"/>
          <w:b w:val="0"/>
          <w:spacing w:val="-1"/>
          <w:sz w:val="20"/>
          <w:szCs w:val="20"/>
          <w:u w:val="single"/>
        </w:rPr>
        <w:t>Benchmark</w:t>
      </w:r>
      <w:r w:rsidR="003B1A7B" w:rsidRPr="00412481">
        <w:rPr>
          <w:rFonts w:cs="Times New Roman"/>
          <w:b w:val="0"/>
          <w:spacing w:val="-1"/>
          <w:sz w:val="20"/>
          <w:szCs w:val="20"/>
        </w:rPr>
        <w:t xml:space="preserve">.  </w:t>
      </w:r>
      <w:bookmarkStart w:id="3" w:name="_Hlk102725870"/>
      <w:r w:rsidR="002E4357" w:rsidRPr="00412481">
        <w:rPr>
          <w:rFonts w:cs="Times New Roman"/>
          <w:b w:val="0"/>
          <w:spacing w:val="-1"/>
          <w:sz w:val="20"/>
          <w:szCs w:val="20"/>
        </w:rPr>
        <w:t>T</w:t>
      </w:r>
      <w:r w:rsidR="006F3F26" w:rsidRPr="00412481">
        <w:rPr>
          <w:rFonts w:cs="Times New Roman"/>
          <w:b w:val="0"/>
          <w:spacing w:val="-1"/>
          <w:sz w:val="20"/>
          <w:szCs w:val="20"/>
        </w:rPr>
        <w:t>he applicable spread</w:t>
      </w:r>
      <w:r w:rsidR="009678C9" w:rsidRPr="00412481">
        <w:rPr>
          <w:rFonts w:cs="Times New Roman"/>
          <w:b w:val="0"/>
          <w:spacing w:val="-1"/>
          <w:sz w:val="20"/>
          <w:szCs w:val="20"/>
        </w:rPr>
        <w:t xml:space="preserve"> found in Appendix I using the weighted average life</w:t>
      </w:r>
      <w:r w:rsidR="002E4357" w:rsidRPr="00412481">
        <w:rPr>
          <w:rFonts w:cs="Times New Roman"/>
          <w:b w:val="0"/>
          <w:spacing w:val="-1"/>
          <w:sz w:val="20"/>
          <w:szCs w:val="20"/>
        </w:rPr>
        <w:t xml:space="preserve"> (WAL)</w:t>
      </w:r>
      <w:r w:rsidR="009678C9" w:rsidRPr="00412481">
        <w:rPr>
          <w:rFonts w:cs="Times New Roman"/>
          <w:b w:val="0"/>
          <w:spacing w:val="-1"/>
          <w:sz w:val="20"/>
          <w:szCs w:val="20"/>
        </w:rPr>
        <w:t xml:space="preserve"> of the associated </w:t>
      </w:r>
      <w:r w:rsidR="002E4357" w:rsidRPr="00412481">
        <w:rPr>
          <w:rFonts w:cs="Times New Roman"/>
          <w:b w:val="0"/>
          <w:spacing w:val="-1"/>
          <w:sz w:val="20"/>
          <w:szCs w:val="20"/>
        </w:rPr>
        <w:t>non</w:t>
      </w:r>
      <w:r w:rsidR="00D97DD0" w:rsidRPr="00412481">
        <w:rPr>
          <w:rFonts w:cs="Times New Roman"/>
          <w:b w:val="0"/>
          <w:spacing w:val="-1"/>
          <w:sz w:val="20"/>
          <w:szCs w:val="20"/>
        </w:rPr>
        <w:t>-</w:t>
      </w:r>
      <w:r w:rsidR="002E4357" w:rsidRPr="00412481">
        <w:rPr>
          <w:rFonts w:cs="Times New Roman"/>
          <w:b w:val="0"/>
          <w:spacing w:val="-1"/>
          <w:sz w:val="20"/>
          <w:szCs w:val="20"/>
        </w:rPr>
        <w:t>Equity-like Instrument.</w:t>
      </w:r>
    </w:p>
    <w:bookmarkEnd w:id="3"/>
    <w:p w14:paraId="513D5578" w14:textId="65A63ECB" w:rsidR="00C86CCB" w:rsidRPr="00412481" w:rsidRDefault="00CF12F4" w:rsidP="00415A1D">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E</w:t>
      </w:r>
      <w:r w:rsidR="00E02900" w:rsidRPr="00412481">
        <w:rPr>
          <w:rFonts w:cs="Times New Roman"/>
          <w:b w:val="0"/>
          <w:spacing w:val="-1"/>
          <w:sz w:val="20"/>
          <w:szCs w:val="20"/>
        </w:rPr>
        <w:t>.</w:t>
      </w:r>
      <w:r w:rsidR="00E02900" w:rsidRPr="00412481">
        <w:rPr>
          <w:rFonts w:cs="Times New Roman"/>
          <w:b w:val="0"/>
          <w:spacing w:val="-1"/>
          <w:sz w:val="20"/>
          <w:szCs w:val="20"/>
        </w:rPr>
        <w:tab/>
      </w:r>
      <w:bookmarkStart w:id="4" w:name="_Hlk102723755"/>
      <w:r w:rsidR="003853DA" w:rsidRPr="00412481">
        <w:rPr>
          <w:rFonts w:cs="Times New Roman"/>
          <w:b w:val="0"/>
          <w:spacing w:val="-1"/>
          <w:sz w:val="20"/>
          <w:szCs w:val="20"/>
          <w:u w:val="single"/>
        </w:rPr>
        <w:t>Guideline</w:t>
      </w:r>
      <w:r w:rsidR="001730DA" w:rsidRPr="00412481">
        <w:rPr>
          <w:rFonts w:cs="Times New Roman"/>
          <w:b w:val="0"/>
          <w:spacing w:val="-1"/>
          <w:sz w:val="20"/>
          <w:szCs w:val="20"/>
          <w:u w:val="single"/>
        </w:rPr>
        <w:t xml:space="preserve"> Excess Spread.</w:t>
      </w:r>
      <w:r w:rsidR="001730DA" w:rsidRPr="00412481">
        <w:rPr>
          <w:rFonts w:cs="Times New Roman"/>
          <w:b w:val="0"/>
          <w:spacing w:val="-1"/>
          <w:sz w:val="20"/>
          <w:szCs w:val="20"/>
        </w:rPr>
        <w:t xml:space="preserve"> </w:t>
      </w:r>
      <w:r w:rsidR="0047747F" w:rsidRPr="00412481">
        <w:rPr>
          <w:rFonts w:cs="Times New Roman"/>
          <w:b w:val="0"/>
          <w:spacing w:val="-1"/>
          <w:sz w:val="20"/>
          <w:szCs w:val="20"/>
        </w:rPr>
        <w:t xml:space="preserve"> </w:t>
      </w:r>
      <w:r w:rsidR="00123CF7" w:rsidRPr="00412481">
        <w:rPr>
          <w:rFonts w:cs="Times New Roman"/>
          <w:b w:val="0"/>
          <w:spacing w:val="-1"/>
          <w:sz w:val="20"/>
          <w:szCs w:val="20"/>
        </w:rPr>
        <w:t xml:space="preserve">The </w:t>
      </w:r>
      <w:r w:rsidR="003853DA" w:rsidRPr="00412481">
        <w:rPr>
          <w:rFonts w:cs="Times New Roman"/>
          <w:b w:val="0"/>
          <w:spacing w:val="-1"/>
          <w:sz w:val="20"/>
          <w:szCs w:val="20"/>
        </w:rPr>
        <w:t xml:space="preserve">net </w:t>
      </w:r>
      <w:r w:rsidR="00123CF7" w:rsidRPr="00412481">
        <w:rPr>
          <w:rFonts w:cs="Times New Roman"/>
          <w:b w:val="0"/>
          <w:spacing w:val="-1"/>
          <w:sz w:val="20"/>
          <w:szCs w:val="20"/>
        </w:rPr>
        <w:t>spread</w:t>
      </w:r>
      <w:r w:rsidR="00A176B5" w:rsidRPr="00412481">
        <w:rPr>
          <w:rFonts w:cs="Times New Roman"/>
          <w:b w:val="0"/>
          <w:spacing w:val="-1"/>
          <w:sz w:val="20"/>
          <w:szCs w:val="20"/>
        </w:rPr>
        <w:t xml:space="preserve"> derived by subtracting the Investment Grade Net Spread Benchmark from the </w:t>
      </w:r>
      <w:r w:rsidR="00566D6E" w:rsidRPr="00412481">
        <w:rPr>
          <w:rFonts w:cs="Times New Roman"/>
          <w:b w:val="0"/>
          <w:spacing w:val="-1"/>
          <w:sz w:val="20"/>
          <w:szCs w:val="20"/>
        </w:rPr>
        <w:t>N</w:t>
      </w:r>
      <w:r w:rsidR="00A176B5" w:rsidRPr="00412481">
        <w:rPr>
          <w:rFonts w:cs="Times New Roman"/>
          <w:b w:val="0"/>
          <w:spacing w:val="-1"/>
          <w:sz w:val="20"/>
          <w:szCs w:val="20"/>
        </w:rPr>
        <w:t xml:space="preserve">et </w:t>
      </w:r>
      <w:r w:rsidR="00566D6E" w:rsidRPr="00412481">
        <w:rPr>
          <w:rFonts w:cs="Times New Roman"/>
          <w:b w:val="0"/>
          <w:spacing w:val="-1"/>
          <w:sz w:val="20"/>
          <w:szCs w:val="20"/>
        </w:rPr>
        <w:t>M</w:t>
      </w:r>
      <w:r w:rsidR="00A176B5" w:rsidRPr="00412481">
        <w:rPr>
          <w:rFonts w:cs="Times New Roman"/>
          <w:b w:val="0"/>
          <w:spacing w:val="-1"/>
          <w:sz w:val="20"/>
          <w:szCs w:val="20"/>
        </w:rPr>
        <w:t xml:space="preserve">arket </w:t>
      </w:r>
      <w:r w:rsidR="00566D6E" w:rsidRPr="00412481">
        <w:rPr>
          <w:rFonts w:cs="Times New Roman"/>
          <w:b w:val="0"/>
          <w:spacing w:val="-1"/>
          <w:sz w:val="20"/>
          <w:szCs w:val="20"/>
        </w:rPr>
        <w:t>S</w:t>
      </w:r>
      <w:r w:rsidR="003853DA" w:rsidRPr="00412481">
        <w:rPr>
          <w:rFonts w:cs="Times New Roman"/>
          <w:b w:val="0"/>
          <w:spacing w:val="-1"/>
          <w:sz w:val="20"/>
          <w:szCs w:val="20"/>
        </w:rPr>
        <w:t>pread for non-Equity-like Instruments</w:t>
      </w:r>
      <w:r w:rsidR="00C86CCB" w:rsidRPr="00412481">
        <w:rPr>
          <w:rFonts w:cs="Times New Roman"/>
          <w:b w:val="0"/>
          <w:spacing w:val="-1"/>
          <w:sz w:val="20"/>
          <w:szCs w:val="20"/>
        </w:rPr>
        <w:t>.</w:t>
      </w:r>
      <w:r w:rsidR="006F3F26" w:rsidRPr="00412481">
        <w:rPr>
          <w:rFonts w:cs="Times New Roman"/>
          <w:b w:val="0"/>
          <w:spacing w:val="-1"/>
          <w:sz w:val="20"/>
          <w:szCs w:val="20"/>
        </w:rPr>
        <w:t xml:space="preserve">  Investment expenses shall be excluded from this calculation.</w:t>
      </w:r>
    </w:p>
    <w:bookmarkEnd w:id="4"/>
    <w:p w14:paraId="2B504988" w14:textId="0D317075" w:rsidR="00730756" w:rsidRPr="00412481" w:rsidRDefault="00CF12F4" w:rsidP="00A34978">
      <w:pPr>
        <w:pStyle w:val="Heading1"/>
        <w:spacing w:after="240" w:line="259" w:lineRule="auto"/>
        <w:ind w:left="720" w:hanging="360"/>
        <w:jc w:val="both"/>
        <w:rPr>
          <w:rFonts w:cs="Times New Roman"/>
          <w:b w:val="0"/>
          <w:spacing w:val="-1"/>
          <w:sz w:val="20"/>
          <w:szCs w:val="20"/>
        </w:rPr>
      </w:pPr>
      <w:r w:rsidRPr="00412481">
        <w:rPr>
          <w:rFonts w:cs="Times New Roman"/>
          <w:b w:val="0"/>
          <w:spacing w:val="-1"/>
          <w:sz w:val="20"/>
          <w:szCs w:val="20"/>
        </w:rPr>
        <w:t>F</w:t>
      </w:r>
      <w:r w:rsidR="00E02900" w:rsidRPr="00412481">
        <w:rPr>
          <w:rFonts w:cs="Times New Roman"/>
          <w:b w:val="0"/>
          <w:spacing w:val="-1"/>
          <w:sz w:val="20"/>
          <w:szCs w:val="20"/>
        </w:rPr>
        <w:t>.</w:t>
      </w:r>
      <w:r w:rsidR="00E02900" w:rsidRPr="00412481">
        <w:rPr>
          <w:rFonts w:cs="Times New Roman"/>
          <w:b w:val="0"/>
          <w:spacing w:val="-1"/>
          <w:sz w:val="20"/>
          <w:szCs w:val="20"/>
        </w:rPr>
        <w:tab/>
      </w:r>
      <w:r w:rsidR="003B1A7B" w:rsidRPr="00412481">
        <w:rPr>
          <w:rFonts w:cs="Times New Roman"/>
          <w:b w:val="0"/>
          <w:spacing w:val="-1"/>
          <w:sz w:val="20"/>
          <w:szCs w:val="20"/>
          <w:u w:val="single"/>
        </w:rPr>
        <w:t>Projected High Net Yield Assets</w:t>
      </w:r>
      <w:r w:rsidR="003B1A7B" w:rsidRPr="00412481">
        <w:rPr>
          <w:rFonts w:cs="Times New Roman"/>
          <w:b w:val="0"/>
          <w:spacing w:val="-1"/>
          <w:sz w:val="20"/>
          <w:szCs w:val="20"/>
        </w:rPr>
        <w:t xml:space="preserve">.  </w:t>
      </w:r>
      <w:r w:rsidR="00730756" w:rsidRPr="00412481">
        <w:rPr>
          <w:rFonts w:cs="Times New Roman"/>
          <w:b w:val="0"/>
          <w:spacing w:val="-1"/>
          <w:sz w:val="20"/>
          <w:szCs w:val="20"/>
        </w:rPr>
        <w:t>Currently held or reinvestment assets that are either:</w:t>
      </w:r>
    </w:p>
    <w:p w14:paraId="076CE834" w14:textId="0B32CA52" w:rsidR="00730756" w:rsidRPr="00412481" w:rsidRDefault="00730756" w:rsidP="00730756">
      <w:pPr>
        <w:pStyle w:val="Heading1"/>
        <w:spacing w:after="240" w:line="259" w:lineRule="auto"/>
        <w:ind w:left="1800" w:hanging="360"/>
        <w:jc w:val="both"/>
        <w:rPr>
          <w:rFonts w:cs="Times New Roman"/>
          <w:b w:val="0"/>
          <w:spacing w:val="-1"/>
          <w:sz w:val="20"/>
          <w:szCs w:val="20"/>
        </w:rPr>
      </w:pPr>
      <w:r w:rsidRPr="00412481">
        <w:rPr>
          <w:rFonts w:cs="Times New Roman"/>
          <w:b w:val="0"/>
          <w:spacing w:val="-1"/>
          <w:sz w:val="20"/>
          <w:szCs w:val="20"/>
        </w:rPr>
        <w:t>i.</w:t>
      </w:r>
      <w:r w:rsidRPr="00412481">
        <w:rPr>
          <w:rFonts w:cs="Times New Roman"/>
          <w:b w:val="0"/>
          <w:spacing w:val="-1"/>
          <w:sz w:val="20"/>
          <w:szCs w:val="20"/>
        </w:rPr>
        <w:tab/>
      </w:r>
      <w:r w:rsidR="004C4741" w:rsidRPr="00412481">
        <w:rPr>
          <w:rFonts w:cs="Times New Roman"/>
          <w:b w:val="0"/>
          <w:spacing w:val="-1"/>
          <w:sz w:val="20"/>
          <w:szCs w:val="20"/>
        </w:rPr>
        <w:t xml:space="preserve">An Equity-like Instrument assumed to have higher value at projection year 10 or later than under an assumption of </w:t>
      </w:r>
      <w:r w:rsidR="004C4741" w:rsidRPr="00412481">
        <w:rPr>
          <w:rFonts w:cs="Times New Roman"/>
          <w:b w:val="0"/>
          <w:bCs w:val="0"/>
          <w:sz w:val="20"/>
          <w:szCs w:val="20"/>
        </w:rPr>
        <w:t>annual total returns</w:t>
      </w:r>
      <w:r w:rsidR="007C0067" w:rsidRPr="00412481">
        <w:rPr>
          <w:rFonts w:cs="Times New Roman"/>
          <w:b w:val="0"/>
          <w:bCs w:val="0"/>
          <w:sz w:val="20"/>
          <w:szCs w:val="20"/>
        </w:rPr>
        <w:t>,</w:t>
      </w:r>
      <w:r w:rsidR="004C4741" w:rsidRPr="00412481">
        <w:rPr>
          <w:rFonts w:cs="Times New Roman"/>
          <w:b w:val="0"/>
          <w:bCs w:val="0"/>
          <w:sz w:val="20"/>
          <w:szCs w:val="20"/>
        </w:rPr>
        <w:t xml:space="preserve"> before the deduction of investment expenses</w:t>
      </w:r>
      <w:r w:rsidR="007C0067" w:rsidRPr="00412481">
        <w:rPr>
          <w:rFonts w:cs="Times New Roman"/>
          <w:b w:val="0"/>
          <w:bCs w:val="0"/>
          <w:sz w:val="20"/>
          <w:szCs w:val="20"/>
        </w:rPr>
        <w:t>,</w:t>
      </w:r>
      <w:r w:rsidR="004C4741" w:rsidRPr="00412481">
        <w:rPr>
          <w:rFonts w:cs="Times New Roman"/>
          <w:b w:val="0"/>
          <w:bCs w:val="0"/>
          <w:sz w:val="20"/>
          <w:szCs w:val="20"/>
        </w:rPr>
        <w:t xml:space="preserve"> of 4% for the first </w:t>
      </w:r>
      <w:r w:rsidR="007C0067" w:rsidRPr="00412481">
        <w:rPr>
          <w:rFonts w:cs="Times New Roman"/>
          <w:b w:val="0"/>
          <w:bCs w:val="0"/>
          <w:sz w:val="20"/>
          <w:szCs w:val="20"/>
        </w:rPr>
        <w:t>10</w:t>
      </w:r>
      <w:r w:rsidR="004C4741" w:rsidRPr="00412481">
        <w:rPr>
          <w:rFonts w:cs="Times New Roman"/>
          <w:b w:val="0"/>
          <w:bCs w:val="0"/>
          <w:sz w:val="20"/>
          <w:szCs w:val="20"/>
        </w:rPr>
        <w:t xml:space="preserve"> projection years after the valuation date followed by 5% for projection year 11 and after</w:t>
      </w:r>
      <w:r w:rsidR="000838C6" w:rsidRPr="00412481">
        <w:rPr>
          <w:rFonts w:cs="Times New Roman"/>
          <w:b w:val="0"/>
          <w:bCs w:val="0"/>
          <w:sz w:val="20"/>
          <w:szCs w:val="20"/>
        </w:rPr>
        <w:t>.</w:t>
      </w:r>
      <w:r w:rsidR="000B310C" w:rsidRPr="00412481">
        <w:rPr>
          <w:rFonts w:cs="Times New Roman"/>
          <w:b w:val="0"/>
          <w:spacing w:val="-1"/>
          <w:sz w:val="20"/>
          <w:szCs w:val="20"/>
        </w:rPr>
        <w:t xml:space="preserve"> Aggregation shall be done at a level of granularity that is consistent with or more granular than how the assets are grouped, i.e., compressed, in the asset adequacy analysis model</w:t>
      </w:r>
      <w:r w:rsidR="000838C6" w:rsidRPr="00412481">
        <w:rPr>
          <w:rFonts w:cs="Times New Roman"/>
          <w:b w:val="0"/>
          <w:spacing w:val="-1"/>
          <w:sz w:val="20"/>
          <w:szCs w:val="20"/>
        </w:rPr>
        <w:t xml:space="preserve">, </w:t>
      </w:r>
      <w:r w:rsidRPr="00412481">
        <w:rPr>
          <w:rFonts w:cs="Times New Roman"/>
          <w:b w:val="0"/>
          <w:spacing w:val="-1"/>
          <w:sz w:val="20"/>
          <w:szCs w:val="20"/>
        </w:rPr>
        <w:t>or</w:t>
      </w:r>
    </w:p>
    <w:p w14:paraId="61DF7051" w14:textId="4A6CC475" w:rsidR="00730756" w:rsidRPr="00412481" w:rsidRDefault="00730756" w:rsidP="00730756">
      <w:pPr>
        <w:pStyle w:val="Heading1"/>
        <w:spacing w:after="240" w:line="259" w:lineRule="auto"/>
        <w:ind w:left="1800" w:hanging="360"/>
        <w:jc w:val="both"/>
        <w:rPr>
          <w:rFonts w:cs="Times New Roman"/>
          <w:b w:val="0"/>
          <w:spacing w:val="-1"/>
          <w:sz w:val="20"/>
          <w:szCs w:val="20"/>
        </w:rPr>
      </w:pPr>
      <w:r w:rsidRPr="00412481">
        <w:rPr>
          <w:rFonts w:cs="Times New Roman"/>
          <w:b w:val="0"/>
          <w:spacing w:val="-1"/>
          <w:sz w:val="20"/>
          <w:szCs w:val="20"/>
        </w:rPr>
        <w:t>ii.</w:t>
      </w:r>
      <w:r w:rsidRPr="00412481">
        <w:rPr>
          <w:rFonts w:cs="Times New Roman"/>
          <w:b w:val="0"/>
          <w:spacing w:val="-1"/>
          <w:sz w:val="20"/>
          <w:szCs w:val="20"/>
        </w:rPr>
        <w:tab/>
      </w:r>
      <w:r w:rsidR="003B1A7B" w:rsidRPr="00412481">
        <w:rPr>
          <w:rFonts w:cs="Times New Roman"/>
          <w:b w:val="0"/>
          <w:spacing w:val="-1"/>
          <w:sz w:val="20"/>
          <w:szCs w:val="20"/>
        </w:rPr>
        <w:t xml:space="preserve">Assets </w:t>
      </w:r>
      <w:r w:rsidR="006F3F26" w:rsidRPr="00412481">
        <w:rPr>
          <w:rFonts w:cs="Times New Roman"/>
          <w:b w:val="0"/>
          <w:spacing w:val="-1"/>
          <w:sz w:val="20"/>
          <w:szCs w:val="20"/>
        </w:rPr>
        <w:t xml:space="preserve">other than Equity-like Instruments </w:t>
      </w:r>
      <w:r w:rsidR="003B1A7B" w:rsidRPr="00412481">
        <w:rPr>
          <w:rFonts w:cs="Times New Roman"/>
          <w:b w:val="0"/>
          <w:spacing w:val="-1"/>
          <w:sz w:val="20"/>
          <w:szCs w:val="20"/>
        </w:rPr>
        <w:t xml:space="preserve">where </w:t>
      </w:r>
      <w:r w:rsidR="0047747F" w:rsidRPr="00412481">
        <w:rPr>
          <w:rFonts w:cs="Times New Roman"/>
          <w:b w:val="0"/>
          <w:spacing w:val="-1"/>
          <w:sz w:val="20"/>
          <w:szCs w:val="20"/>
        </w:rPr>
        <w:t xml:space="preserve">the </w:t>
      </w:r>
      <w:r w:rsidR="003B1A7B" w:rsidRPr="00412481">
        <w:rPr>
          <w:rFonts w:cs="Times New Roman"/>
          <w:b w:val="0"/>
          <w:spacing w:val="-1"/>
          <w:sz w:val="20"/>
          <w:szCs w:val="20"/>
        </w:rPr>
        <w:t>assumed</w:t>
      </w:r>
      <w:r w:rsidR="0047747F" w:rsidRPr="00412481">
        <w:rPr>
          <w:rFonts w:cs="Times New Roman"/>
          <w:b w:val="0"/>
          <w:spacing w:val="-1"/>
          <w:sz w:val="20"/>
          <w:szCs w:val="20"/>
        </w:rPr>
        <w:t xml:space="preserve"> </w:t>
      </w:r>
      <w:r w:rsidR="003853DA" w:rsidRPr="00412481">
        <w:rPr>
          <w:rFonts w:cs="Times New Roman"/>
          <w:b w:val="0"/>
          <w:spacing w:val="-1"/>
          <w:sz w:val="20"/>
          <w:szCs w:val="20"/>
        </w:rPr>
        <w:t>Guideline</w:t>
      </w:r>
      <w:r w:rsidR="0047747F" w:rsidRPr="00412481">
        <w:rPr>
          <w:rFonts w:cs="Times New Roman"/>
          <w:b w:val="0"/>
          <w:spacing w:val="-1"/>
          <w:sz w:val="20"/>
          <w:szCs w:val="20"/>
        </w:rPr>
        <w:t xml:space="preserve"> Excess Spread is </w:t>
      </w:r>
      <w:r w:rsidR="003B1A7B" w:rsidRPr="00412481">
        <w:rPr>
          <w:rFonts w:cs="Times New Roman"/>
          <w:b w:val="0"/>
          <w:spacing w:val="-1"/>
          <w:sz w:val="20"/>
          <w:szCs w:val="20"/>
        </w:rPr>
        <w:t xml:space="preserve">higher than </w:t>
      </w:r>
      <w:r w:rsidR="0047747F" w:rsidRPr="00412481">
        <w:rPr>
          <w:rFonts w:cs="Times New Roman"/>
          <w:b w:val="0"/>
          <w:spacing w:val="-1"/>
          <w:sz w:val="20"/>
          <w:szCs w:val="20"/>
        </w:rPr>
        <w:t>zero</w:t>
      </w:r>
      <w:r w:rsidR="00047A1E" w:rsidRPr="00412481">
        <w:rPr>
          <w:rFonts w:cs="Times New Roman"/>
          <w:b w:val="0"/>
          <w:spacing w:val="-1"/>
          <w:sz w:val="20"/>
          <w:szCs w:val="20"/>
        </w:rPr>
        <w:t>.  In addition:</w:t>
      </w:r>
    </w:p>
    <w:p w14:paraId="653BCDD0" w14:textId="35C3D57A" w:rsidR="00730756" w:rsidRPr="00412481" w:rsidRDefault="00730756" w:rsidP="004E414E">
      <w:pPr>
        <w:pStyle w:val="Heading1"/>
        <w:spacing w:after="240" w:line="259" w:lineRule="auto"/>
        <w:ind w:left="2880" w:hanging="360"/>
        <w:jc w:val="both"/>
        <w:rPr>
          <w:rFonts w:cs="Times New Roman"/>
          <w:b w:val="0"/>
          <w:spacing w:val="-1"/>
          <w:sz w:val="20"/>
          <w:szCs w:val="20"/>
        </w:rPr>
      </w:pPr>
      <w:r w:rsidRPr="00412481">
        <w:rPr>
          <w:rFonts w:cs="Times New Roman"/>
          <w:b w:val="0"/>
          <w:spacing w:val="-1"/>
          <w:sz w:val="20"/>
          <w:szCs w:val="20"/>
        </w:rPr>
        <w:t>(a)</w:t>
      </w:r>
      <w:r w:rsidRPr="00412481">
        <w:rPr>
          <w:rFonts w:cs="Times New Roman"/>
          <w:b w:val="0"/>
          <w:spacing w:val="-1"/>
          <w:sz w:val="20"/>
          <w:szCs w:val="20"/>
        </w:rPr>
        <w:tab/>
      </w:r>
      <w:r w:rsidR="00F30EA1" w:rsidRPr="00412481">
        <w:rPr>
          <w:rFonts w:cs="Times New Roman"/>
          <w:b w:val="0"/>
          <w:spacing w:val="-1"/>
          <w:sz w:val="20"/>
          <w:szCs w:val="20"/>
        </w:rPr>
        <w:t xml:space="preserve">Aggregation </w:t>
      </w:r>
      <w:r w:rsidR="00A004F8" w:rsidRPr="00412481">
        <w:rPr>
          <w:rFonts w:cs="Times New Roman"/>
          <w:b w:val="0"/>
          <w:spacing w:val="-1"/>
          <w:sz w:val="20"/>
          <w:szCs w:val="20"/>
        </w:rPr>
        <w:t>of t</w:t>
      </w:r>
      <w:r w:rsidR="00341806" w:rsidRPr="00412481">
        <w:rPr>
          <w:rFonts w:cs="Times New Roman"/>
          <w:b w:val="0"/>
          <w:spacing w:val="-1"/>
          <w:sz w:val="20"/>
          <w:szCs w:val="20"/>
        </w:rPr>
        <w:t xml:space="preserve">he comparison between </w:t>
      </w:r>
      <w:r w:rsidR="00E435A1" w:rsidRPr="00412481">
        <w:rPr>
          <w:rFonts w:cs="Times New Roman"/>
          <w:b w:val="0"/>
          <w:spacing w:val="-1"/>
          <w:sz w:val="20"/>
          <w:szCs w:val="20"/>
        </w:rPr>
        <w:t xml:space="preserve">the </w:t>
      </w:r>
      <w:r w:rsidR="00341806" w:rsidRPr="00412481">
        <w:rPr>
          <w:rFonts w:cs="Times New Roman"/>
          <w:b w:val="0"/>
          <w:spacing w:val="-1"/>
          <w:sz w:val="20"/>
          <w:szCs w:val="20"/>
        </w:rPr>
        <w:t xml:space="preserve">assumed </w:t>
      </w:r>
      <w:r w:rsidR="00E435A1" w:rsidRPr="00412481">
        <w:rPr>
          <w:rFonts w:cs="Times New Roman"/>
          <w:b w:val="0"/>
          <w:spacing w:val="-1"/>
          <w:sz w:val="20"/>
          <w:szCs w:val="20"/>
        </w:rPr>
        <w:t>N</w:t>
      </w:r>
      <w:r w:rsidR="00341806" w:rsidRPr="00412481">
        <w:rPr>
          <w:rFonts w:cs="Times New Roman"/>
          <w:b w:val="0"/>
          <w:spacing w:val="-1"/>
          <w:sz w:val="20"/>
          <w:szCs w:val="20"/>
        </w:rPr>
        <w:t xml:space="preserve">et </w:t>
      </w:r>
      <w:r w:rsidR="00E435A1" w:rsidRPr="00412481">
        <w:rPr>
          <w:rFonts w:cs="Times New Roman"/>
          <w:b w:val="0"/>
          <w:spacing w:val="-1"/>
          <w:sz w:val="20"/>
          <w:szCs w:val="20"/>
        </w:rPr>
        <w:t>Market S</w:t>
      </w:r>
      <w:r w:rsidR="003853DA" w:rsidRPr="00412481">
        <w:rPr>
          <w:rFonts w:cs="Times New Roman"/>
          <w:b w:val="0"/>
          <w:spacing w:val="-1"/>
          <w:sz w:val="20"/>
          <w:szCs w:val="20"/>
        </w:rPr>
        <w:t>pread</w:t>
      </w:r>
      <w:r w:rsidR="0047747F" w:rsidRPr="00412481">
        <w:rPr>
          <w:rFonts w:cs="Times New Roman"/>
          <w:b w:val="0"/>
          <w:spacing w:val="-1"/>
          <w:sz w:val="20"/>
          <w:szCs w:val="20"/>
        </w:rPr>
        <w:t xml:space="preserve"> </w:t>
      </w:r>
      <w:r w:rsidR="00341806" w:rsidRPr="00412481">
        <w:rPr>
          <w:rFonts w:cs="Times New Roman"/>
          <w:b w:val="0"/>
          <w:spacing w:val="-1"/>
          <w:sz w:val="20"/>
          <w:szCs w:val="20"/>
        </w:rPr>
        <w:t xml:space="preserve">from each asset and the Investment Grade Net </w:t>
      </w:r>
      <w:r w:rsidR="0047747F" w:rsidRPr="00412481">
        <w:rPr>
          <w:rFonts w:cs="Times New Roman"/>
          <w:b w:val="0"/>
          <w:spacing w:val="-1"/>
          <w:sz w:val="20"/>
          <w:szCs w:val="20"/>
        </w:rPr>
        <w:t xml:space="preserve">Spread </w:t>
      </w:r>
      <w:r w:rsidR="00341806" w:rsidRPr="00412481">
        <w:rPr>
          <w:rFonts w:cs="Times New Roman"/>
          <w:b w:val="0"/>
          <w:spacing w:val="-1"/>
          <w:sz w:val="20"/>
          <w:szCs w:val="20"/>
        </w:rPr>
        <w:t xml:space="preserve">Benchmark shall be done at </w:t>
      </w:r>
      <w:r w:rsidR="00DC43D5" w:rsidRPr="00412481">
        <w:rPr>
          <w:rFonts w:cs="Times New Roman"/>
          <w:b w:val="0"/>
          <w:spacing w:val="-1"/>
          <w:sz w:val="20"/>
          <w:szCs w:val="20"/>
        </w:rPr>
        <w:t>a</w:t>
      </w:r>
      <w:r w:rsidR="00341806" w:rsidRPr="00412481">
        <w:rPr>
          <w:rFonts w:cs="Times New Roman"/>
          <w:b w:val="0"/>
          <w:spacing w:val="-1"/>
          <w:sz w:val="20"/>
          <w:szCs w:val="20"/>
        </w:rPr>
        <w:t xml:space="preserve"> level of granularity that is consistent with </w:t>
      </w:r>
      <w:r w:rsidR="00DC43D5" w:rsidRPr="00412481">
        <w:rPr>
          <w:rFonts w:cs="Times New Roman"/>
          <w:b w:val="0"/>
          <w:spacing w:val="-1"/>
          <w:sz w:val="20"/>
          <w:szCs w:val="20"/>
        </w:rPr>
        <w:t xml:space="preserve">or more granular than </w:t>
      </w:r>
      <w:r w:rsidR="00341806" w:rsidRPr="00412481">
        <w:rPr>
          <w:rFonts w:cs="Times New Roman"/>
          <w:b w:val="0"/>
          <w:spacing w:val="-1"/>
          <w:sz w:val="20"/>
          <w:szCs w:val="20"/>
        </w:rPr>
        <w:t>how the assets are grouped</w:t>
      </w:r>
      <w:r w:rsidR="00DC43D5" w:rsidRPr="00412481">
        <w:rPr>
          <w:rFonts w:cs="Times New Roman"/>
          <w:b w:val="0"/>
          <w:spacing w:val="-1"/>
          <w:sz w:val="20"/>
          <w:szCs w:val="20"/>
        </w:rPr>
        <w:t>, i.e., compressed,</w:t>
      </w:r>
      <w:r w:rsidR="00341806" w:rsidRPr="00412481">
        <w:rPr>
          <w:rFonts w:cs="Times New Roman"/>
          <w:b w:val="0"/>
          <w:spacing w:val="-1"/>
          <w:sz w:val="20"/>
          <w:szCs w:val="20"/>
        </w:rPr>
        <w:t xml:space="preserve"> in the asset adequacy </w:t>
      </w:r>
      <w:r w:rsidR="008E3369" w:rsidRPr="00412481">
        <w:rPr>
          <w:rFonts w:cs="Times New Roman"/>
          <w:b w:val="0"/>
          <w:spacing w:val="-1"/>
          <w:sz w:val="20"/>
          <w:szCs w:val="20"/>
        </w:rPr>
        <w:t xml:space="preserve">analysis </w:t>
      </w:r>
      <w:r w:rsidR="00341806" w:rsidRPr="00412481">
        <w:rPr>
          <w:rFonts w:cs="Times New Roman"/>
          <w:b w:val="0"/>
          <w:spacing w:val="-1"/>
          <w:sz w:val="20"/>
          <w:szCs w:val="20"/>
        </w:rPr>
        <w:t>model.</w:t>
      </w:r>
    </w:p>
    <w:p w14:paraId="5552E39C" w14:textId="51076045" w:rsidR="00730756" w:rsidRPr="00412481" w:rsidRDefault="00730756" w:rsidP="004E414E">
      <w:pPr>
        <w:pStyle w:val="Heading1"/>
        <w:spacing w:after="240" w:line="259" w:lineRule="auto"/>
        <w:ind w:left="2880" w:hanging="360"/>
        <w:jc w:val="both"/>
        <w:rPr>
          <w:rFonts w:cs="Times New Roman"/>
          <w:b w:val="0"/>
          <w:spacing w:val="-1"/>
          <w:sz w:val="20"/>
          <w:szCs w:val="20"/>
        </w:rPr>
      </w:pPr>
      <w:r w:rsidRPr="00412481">
        <w:rPr>
          <w:rFonts w:cs="Times New Roman"/>
          <w:b w:val="0"/>
          <w:spacing w:val="-1"/>
          <w:sz w:val="20"/>
          <w:szCs w:val="20"/>
        </w:rPr>
        <w:t>(b)</w:t>
      </w:r>
      <w:r w:rsidRPr="00412481">
        <w:rPr>
          <w:rFonts w:cs="Times New Roman"/>
          <w:b w:val="0"/>
          <w:spacing w:val="-1"/>
          <w:sz w:val="20"/>
          <w:szCs w:val="20"/>
        </w:rPr>
        <w:tab/>
      </w:r>
      <w:r w:rsidR="00F30EA1" w:rsidRPr="00412481">
        <w:rPr>
          <w:rFonts w:cs="Times New Roman"/>
          <w:b w:val="0"/>
          <w:spacing w:val="-1"/>
          <w:sz w:val="20"/>
          <w:szCs w:val="20"/>
        </w:rPr>
        <w:t xml:space="preserve">For </w:t>
      </w:r>
      <w:r w:rsidR="00021D59" w:rsidRPr="00412481">
        <w:rPr>
          <w:rFonts w:cs="Times New Roman"/>
          <w:b w:val="0"/>
          <w:spacing w:val="-1"/>
          <w:sz w:val="20"/>
          <w:szCs w:val="20"/>
        </w:rPr>
        <w:t xml:space="preserve">applicable </w:t>
      </w:r>
      <w:r w:rsidR="00F30EA1" w:rsidRPr="00412481">
        <w:rPr>
          <w:rFonts w:cs="Times New Roman"/>
          <w:b w:val="0"/>
          <w:spacing w:val="-1"/>
          <w:sz w:val="20"/>
          <w:szCs w:val="20"/>
        </w:rPr>
        <w:t xml:space="preserve">assets that do not have an explicit </w:t>
      </w:r>
      <w:r w:rsidRPr="00412481">
        <w:rPr>
          <w:rFonts w:cs="Times New Roman"/>
          <w:b w:val="0"/>
          <w:spacing w:val="-1"/>
          <w:sz w:val="20"/>
          <w:szCs w:val="20"/>
        </w:rPr>
        <w:t>WAL</w:t>
      </w:r>
      <w:r w:rsidR="00F30EA1" w:rsidRPr="00412481">
        <w:rPr>
          <w:rFonts w:cs="Times New Roman"/>
          <w:b w:val="0"/>
          <w:spacing w:val="-1"/>
          <w:sz w:val="20"/>
          <w:szCs w:val="20"/>
        </w:rPr>
        <w:t xml:space="preserve"> or term to maturity, the company shall disclose the method used to determine the appropriate </w:t>
      </w:r>
      <w:r w:rsidRPr="00412481">
        <w:rPr>
          <w:rFonts w:cs="Times New Roman"/>
          <w:b w:val="0"/>
          <w:spacing w:val="-1"/>
          <w:sz w:val="20"/>
          <w:szCs w:val="20"/>
        </w:rPr>
        <w:t>WAL</w:t>
      </w:r>
      <w:r w:rsidR="00F30EA1" w:rsidRPr="00412481">
        <w:rPr>
          <w:rFonts w:cs="Times New Roman"/>
          <w:b w:val="0"/>
          <w:spacing w:val="-1"/>
          <w:sz w:val="20"/>
          <w:szCs w:val="20"/>
        </w:rPr>
        <w:t xml:space="preserve"> used for comparing to the Investment Grade Net </w:t>
      </w:r>
      <w:r w:rsidR="0047747F" w:rsidRPr="00412481">
        <w:rPr>
          <w:rFonts w:cs="Times New Roman"/>
          <w:b w:val="0"/>
          <w:spacing w:val="-1"/>
          <w:sz w:val="20"/>
          <w:szCs w:val="20"/>
        </w:rPr>
        <w:t xml:space="preserve">Spread </w:t>
      </w:r>
      <w:r w:rsidR="00F30EA1" w:rsidRPr="00412481">
        <w:rPr>
          <w:rFonts w:cs="Times New Roman"/>
          <w:b w:val="0"/>
          <w:spacing w:val="-1"/>
          <w:sz w:val="20"/>
          <w:szCs w:val="20"/>
        </w:rPr>
        <w:t>Benchmark.</w:t>
      </w:r>
    </w:p>
    <w:p w14:paraId="6959A338" w14:textId="7CBE42A8" w:rsidR="00F30EA1" w:rsidRPr="00412481" w:rsidRDefault="00730756" w:rsidP="00730756">
      <w:pPr>
        <w:pStyle w:val="Heading1"/>
        <w:spacing w:after="240" w:line="259" w:lineRule="auto"/>
        <w:ind w:left="2880" w:hanging="360"/>
        <w:jc w:val="both"/>
        <w:rPr>
          <w:rFonts w:cs="Times New Roman"/>
          <w:b w:val="0"/>
          <w:spacing w:val="-1"/>
          <w:sz w:val="20"/>
          <w:szCs w:val="20"/>
        </w:rPr>
      </w:pPr>
      <w:r w:rsidRPr="00412481">
        <w:rPr>
          <w:rFonts w:cs="Times New Roman"/>
          <w:b w:val="0"/>
          <w:spacing w:val="-1"/>
          <w:sz w:val="20"/>
          <w:szCs w:val="20"/>
        </w:rPr>
        <w:t>(c)</w:t>
      </w:r>
      <w:r w:rsidRPr="00412481">
        <w:rPr>
          <w:rFonts w:cs="Times New Roman"/>
          <w:b w:val="0"/>
          <w:spacing w:val="-1"/>
          <w:sz w:val="20"/>
          <w:szCs w:val="20"/>
        </w:rPr>
        <w:tab/>
      </w:r>
      <w:r w:rsidR="00896B9E" w:rsidRPr="00412481">
        <w:rPr>
          <w:rFonts w:cs="Times New Roman"/>
          <w:b w:val="0"/>
          <w:spacing w:val="-1"/>
          <w:sz w:val="20"/>
          <w:szCs w:val="20"/>
        </w:rPr>
        <w:t xml:space="preserve">For purposes of the </w:t>
      </w:r>
      <w:r w:rsidR="00F30EA1" w:rsidRPr="00412481">
        <w:rPr>
          <w:rFonts w:cs="Times New Roman"/>
          <w:b w:val="0"/>
          <w:spacing w:val="-1"/>
          <w:sz w:val="20"/>
          <w:szCs w:val="20"/>
        </w:rPr>
        <w:t xml:space="preserve">comparison between </w:t>
      </w:r>
      <w:r w:rsidR="00560FF3">
        <w:rPr>
          <w:rFonts w:cs="Times New Roman"/>
          <w:b w:val="0"/>
          <w:spacing w:val="-1"/>
          <w:sz w:val="20"/>
          <w:szCs w:val="20"/>
        </w:rPr>
        <w:t xml:space="preserve">the </w:t>
      </w:r>
      <w:r w:rsidR="00F30EA1" w:rsidRPr="00412481">
        <w:rPr>
          <w:rFonts w:cs="Times New Roman"/>
          <w:b w:val="0"/>
          <w:spacing w:val="-1"/>
          <w:sz w:val="20"/>
          <w:szCs w:val="20"/>
        </w:rPr>
        <w:t xml:space="preserve">assumed </w:t>
      </w:r>
      <w:r w:rsidR="00E435A1" w:rsidRPr="00412481">
        <w:rPr>
          <w:rFonts w:cs="Times New Roman"/>
          <w:b w:val="0"/>
          <w:spacing w:val="-1"/>
          <w:sz w:val="20"/>
          <w:szCs w:val="20"/>
        </w:rPr>
        <w:t>N</w:t>
      </w:r>
      <w:r w:rsidR="00F30EA1" w:rsidRPr="00412481">
        <w:rPr>
          <w:rFonts w:cs="Times New Roman"/>
          <w:b w:val="0"/>
          <w:spacing w:val="-1"/>
          <w:sz w:val="20"/>
          <w:szCs w:val="20"/>
        </w:rPr>
        <w:t xml:space="preserve">et </w:t>
      </w:r>
      <w:r w:rsidR="00E435A1" w:rsidRPr="00412481">
        <w:rPr>
          <w:rFonts w:cs="Times New Roman"/>
          <w:b w:val="0"/>
          <w:spacing w:val="-1"/>
          <w:sz w:val="20"/>
          <w:szCs w:val="20"/>
        </w:rPr>
        <w:t>Market S</w:t>
      </w:r>
      <w:r w:rsidR="003853DA" w:rsidRPr="00412481">
        <w:rPr>
          <w:rFonts w:cs="Times New Roman"/>
          <w:b w:val="0"/>
          <w:spacing w:val="-1"/>
          <w:sz w:val="20"/>
          <w:szCs w:val="20"/>
        </w:rPr>
        <w:t>pread</w:t>
      </w:r>
      <w:r w:rsidR="0047747F" w:rsidRPr="00412481">
        <w:rPr>
          <w:rFonts w:cs="Times New Roman"/>
          <w:b w:val="0"/>
          <w:spacing w:val="-1"/>
          <w:sz w:val="20"/>
          <w:szCs w:val="20"/>
        </w:rPr>
        <w:t xml:space="preserve"> </w:t>
      </w:r>
      <w:r w:rsidR="00F30EA1" w:rsidRPr="00412481">
        <w:rPr>
          <w:rFonts w:cs="Times New Roman"/>
          <w:b w:val="0"/>
          <w:spacing w:val="-1"/>
          <w:sz w:val="20"/>
          <w:szCs w:val="20"/>
        </w:rPr>
        <w:t xml:space="preserve">from each asset and the Investment Grade Net </w:t>
      </w:r>
      <w:r w:rsidR="0047747F" w:rsidRPr="00412481">
        <w:rPr>
          <w:rFonts w:cs="Times New Roman"/>
          <w:b w:val="0"/>
          <w:spacing w:val="-1"/>
          <w:sz w:val="20"/>
          <w:szCs w:val="20"/>
        </w:rPr>
        <w:t xml:space="preserve">Spread </w:t>
      </w:r>
      <w:r w:rsidR="00F30EA1" w:rsidRPr="00412481">
        <w:rPr>
          <w:rFonts w:cs="Times New Roman"/>
          <w:b w:val="0"/>
          <w:spacing w:val="-1"/>
          <w:sz w:val="20"/>
          <w:szCs w:val="20"/>
        </w:rPr>
        <w:t>Benchmark</w:t>
      </w:r>
      <w:r w:rsidR="00896B9E" w:rsidRPr="00412481">
        <w:rPr>
          <w:rFonts w:cs="Times New Roman"/>
          <w:b w:val="0"/>
          <w:spacing w:val="-1"/>
          <w:sz w:val="20"/>
          <w:szCs w:val="20"/>
        </w:rPr>
        <w:t xml:space="preserve">, </w:t>
      </w:r>
      <w:r w:rsidR="00F30EA1" w:rsidRPr="00412481">
        <w:rPr>
          <w:rFonts w:cs="Times New Roman"/>
          <w:b w:val="0"/>
          <w:spacing w:val="-1"/>
          <w:sz w:val="20"/>
          <w:szCs w:val="20"/>
        </w:rPr>
        <w:t>investment expenses</w:t>
      </w:r>
      <w:r w:rsidR="00896B9E" w:rsidRPr="00412481">
        <w:rPr>
          <w:rFonts w:cs="Times New Roman"/>
          <w:b w:val="0"/>
          <w:spacing w:val="-1"/>
          <w:sz w:val="20"/>
          <w:szCs w:val="20"/>
        </w:rPr>
        <w:t xml:space="preserve"> shall be excluded</w:t>
      </w:r>
      <w:r w:rsidR="00F30EA1" w:rsidRPr="00412481">
        <w:rPr>
          <w:rFonts w:cs="Times New Roman"/>
          <w:b w:val="0"/>
          <w:spacing w:val="-1"/>
          <w:sz w:val="20"/>
          <w:szCs w:val="20"/>
        </w:rPr>
        <w:t xml:space="preserve">.  </w:t>
      </w:r>
    </w:p>
    <w:p w14:paraId="6BB9912C" w14:textId="6E86D50C" w:rsidR="00D66768" w:rsidRPr="00412481" w:rsidRDefault="00D66768" w:rsidP="00D66768">
      <w:pPr>
        <w:pStyle w:val="Heading1"/>
        <w:spacing w:after="240" w:line="259" w:lineRule="auto"/>
        <w:ind w:left="1800" w:hanging="360"/>
        <w:jc w:val="both"/>
        <w:rPr>
          <w:rFonts w:cs="Times New Roman"/>
          <w:b w:val="0"/>
          <w:spacing w:val="-1"/>
          <w:sz w:val="20"/>
          <w:szCs w:val="20"/>
        </w:rPr>
      </w:pPr>
      <w:r w:rsidRPr="00412481">
        <w:rPr>
          <w:rFonts w:cs="Times New Roman"/>
          <w:b w:val="0"/>
          <w:spacing w:val="-1"/>
          <w:sz w:val="20"/>
          <w:szCs w:val="20"/>
        </w:rPr>
        <w:t>iii.</w:t>
      </w:r>
      <w:r w:rsidRPr="00412481">
        <w:rPr>
          <w:rFonts w:cs="Times New Roman"/>
          <w:b w:val="0"/>
          <w:spacing w:val="-1"/>
          <w:sz w:val="20"/>
          <w:szCs w:val="20"/>
        </w:rPr>
        <w:tab/>
        <w:t>The following asset types can be excluded from the scope of requirements in sections 4.</w:t>
      </w:r>
      <w:r w:rsidR="00F46ED4" w:rsidRPr="00412481">
        <w:rPr>
          <w:rFonts w:cs="Times New Roman"/>
          <w:b w:val="0"/>
          <w:spacing w:val="-1"/>
          <w:sz w:val="20"/>
          <w:szCs w:val="20"/>
        </w:rPr>
        <w:t>A.ii</w:t>
      </w:r>
      <w:r w:rsidRPr="00412481">
        <w:rPr>
          <w:rFonts w:cs="Times New Roman"/>
          <w:b w:val="0"/>
          <w:spacing w:val="-1"/>
          <w:sz w:val="20"/>
          <w:szCs w:val="20"/>
        </w:rPr>
        <w:t xml:space="preserve"> through 5</w:t>
      </w:r>
      <w:r w:rsidR="00560FF3">
        <w:rPr>
          <w:rFonts w:cs="Times New Roman"/>
          <w:b w:val="0"/>
          <w:spacing w:val="-1"/>
          <w:sz w:val="20"/>
          <w:szCs w:val="20"/>
        </w:rPr>
        <w:t>:</w:t>
      </w:r>
    </w:p>
    <w:p w14:paraId="50ADF1B5" w14:textId="67D112ED" w:rsidR="00047A1E" w:rsidRPr="00412481" w:rsidRDefault="00D66768" w:rsidP="00D66768">
      <w:pPr>
        <w:pStyle w:val="Heading1"/>
        <w:spacing w:after="240" w:line="256" w:lineRule="auto"/>
        <w:ind w:left="2880" w:hanging="360"/>
        <w:jc w:val="both"/>
        <w:rPr>
          <w:rFonts w:cs="Times New Roman"/>
          <w:b w:val="0"/>
          <w:spacing w:val="-1"/>
          <w:sz w:val="20"/>
          <w:szCs w:val="20"/>
        </w:rPr>
      </w:pPr>
      <w:r w:rsidRPr="00412481">
        <w:rPr>
          <w:rFonts w:cs="Times New Roman"/>
          <w:b w:val="0"/>
          <w:spacing w:val="-1"/>
          <w:sz w:val="20"/>
          <w:szCs w:val="20"/>
        </w:rPr>
        <w:t>(a)</w:t>
      </w:r>
      <w:r w:rsidR="00047A1E" w:rsidRPr="00412481">
        <w:rPr>
          <w:rFonts w:cs="Times New Roman"/>
          <w:b w:val="0"/>
          <w:spacing w:val="-1"/>
          <w:sz w:val="20"/>
          <w:szCs w:val="20"/>
        </w:rPr>
        <w:tab/>
        <w:t>Cash or cash equivalents</w:t>
      </w:r>
      <w:r w:rsidR="00560FF3">
        <w:rPr>
          <w:rFonts w:cs="Times New Roman"/>
          <w:b w:val="0"/>
          <w:spacing w:val="-1"/>
          <w:sz w:val="20"/>
          <w:szCs w:val="20"/>
        </w:rPr>
        <w:t>,</w:t>
      </w:r>
    </w:p>
    <w:p w14:paraId="194267F1" w14:textId="60900EE7" w:rsidR="00312577" w:rsidRPr="00412481" w:rsidRDefault="00D66768" w:rsidP="00D66768">
      <w:pPr>
        <w:pStyle w:val="Heading1"/>
        <w:spacing w:after="240" w:line="256" w:lineRule="auto"/>
        <w:ind w:left="2880" w:hanging="360"/>
        <w:jc w:val="both"/>
        <w:rPr>
          <w:rFonts w:cs="Times New Roman"/>
          <w:b w:val="0"/>
          <w:spacing w:val="-1"/>
          <w:sz w:val="20"/>
          <w:szCs w:val="20"/>
        </w:rPr>
      </w:pPr>
      <w:r w:rsidRPr="00412481">
        <w:rPr>
          <w:rFonts w:cs="Times New Roman"/>
          <w:b w:val="0"/>
          <w:spacing w:val="-1"/>
          <w:sz w:val="20"/>
          <w:szCs w:val="20"/>
        </w:rPr>
        <w:t>(b)</w:t>
      </w:r>
      <w:r w:rsidRPr="00412481">
        <w:rPr>
          <w:rFonts w:cs="Times New Roman"/>
          <w:b w:val="0"/>
          <w:spacing w:val="-1"/>
          <w:sz w:val="20"/>
          <w:szCs w:val="20"/>
        </w:rPr>
        <w:tab/>
      </w:r>
      <w:r w:rsidR="00047A1E" w:rsidRPr="00412481">
        <w:rPr>
          <w:rFonts w:cs="Times New Roman"/>
          <w:b w:val="0"/>
          <w:spacing w:val="-1"/>
          <w:sz w:val="20"/>
          <w:szCs w:val="20"/>
        </w:rPr>
        <w:t>Treasuries and agency bonds</w:t>
      </w:r>
      <w:r w:rsidR="00560FF3">
        <w:rPr>
          <w:rFonts w:cs="Times New Roman"/>
          <w:b w:val="0"/>
          <w:spacing w:val="-1"/>
          <w:sz w:val="20"/>
          <w:szCs w:val="20"/>
        </w:rPr>
        <w:t>, and</w:t>
      </w:r>
    </w:p>
    <w:p w14:paraId="666F0CA1" w14:textId="0596BCB2" w:rsidR="00D8071E" w:rsidRPr="00412481" w:rsidRDefault="00D8071E" w:rsidP="00D66768">
      <w:pPr>
        <w:pStyle w:val="Heading1"/>
        <w:spacing w:after="240" w:line="256" w:lineRule="auto"/>
        <w:ind w:left="2880" w:hanging="360"/>
        <w:jc w:val="both"/>
        <w:rPr>
          <w:rFonts w:cs="Times New Roman"/>
          <w:b w:val="0"/>
          <w:spacing w:val="-1"/>
          <w:sz w:val="20"/>
          <w:szCs w:val="20"/>
        </w:rPr>
      </w:pPr>
      <w:r w:rsidRPr="00412481">
        <w:rPr>
          <w:rFonts w:cs="Times New Roman"/>
          <w:b w:val="0"/>
          <w:spacing w:val="-1"/>
          <w:sz w:val="20"/>
          <w:szCs w:val="20"/>
        </w:rPr>
        <w:t>(c)</w:t>
      </w:r>
      <w:r w:rsidRPr="00412481">
        <w:rPr>
          <w:rFonts w:cs="Times New Roman"/>
          <w:b w:val="0"/>
          <w:spacing w:val="-1"/>
          <w:sz w:val="20"/>
          <w:szCs w:val="20"/>
        </w:rPr>
        <w:tab/>
      </w:r>
      <w:r w:rsidR="00F66F80" w:rsidRPr="00412481">
        <w:rPr>
          <w:rFonts w:cs="Times New Roman"/>
          <w:b w:val="0"/>
          <w:spacing w:val="-1"/>
          <w:sz w:val="20"/>
          <w:szCs w:val="20"/>
        </w:rPr>
        <w:t xml:space="preserve">Public </w:t>
      </w:r>
      <w:r w:rsidR="00560FF3">
        <w:rPr>
          <w:rFonts w:cs="Times New Roman"/>
          <w:b w:val="0"/>
          <w:spacing w:val="-1"/>
          <w:sz w:val="20"/>
          <w:szCs w:val="20"/>
        </w:rPr>
        <w:t>n</w:t>
      </w:r>
      <w:r w:rsidR="00F66F80" w:rsidRPr="00412481">
        <w:rPr>
          <w:rFonts w:cs="Times New Roman"/>
          <w:b w:val="0"/>
          <w:spacing w:val="-1"/>
          <w:sz w:val="20"/>
          <w:szCs w:val="20"/>
        </w:rPr>
        <w:t>on-</w:t>
      </w:r>
      <w:r w:rsidR="00560FF3">
        <w:rPr>
          <w:rFonts w:cs="Times New Roman"/>
          <w:b w:val="0"/>
          <w:spacing w:val="-1"/>
          <w:sz w:val="20"/>
          <w:szCs w:val="20"/>
        </w:rPr>
        <w:t>c</w:t>
      </w:r>
      <w:r w:rsidR="00F66F80" w:rsidRPr="00412481">
        <w:rPr>
          <w:rFonts w:cs="Times New Roman"/>
          <w:b w:val="0"/>
          <w:spacing w:val="-1"/>
          <w:sz w:val="20"/>
          <w:szCs w:val="20"/>
        </w:rPr>
        <w:t xml:space="preserve">allable, </w:t>
      </w:r>
      <w:r w:rsidR="00560FF3">
        <w:rPr>
          <w:rFonts w:cs="Times New Roman"/>
          <w:b w:val="0"/>
          <w:spacing w:val="-1"/>
          <w:sz w:val="20"/>
          <w:szCs w:val="20"/>
        </w:rPr>
        <w:t>n</w:t>
      </w:r>
      <w:r w:rsidR="00F66F80" w:rsidRPr="00412481">
        <w:rPr>
          <w:rFonts w:cs="Times New Roman"/>
          <w:b w:val="0"/>
          <w:spacing w:val="-1"/>
          <w:sz w:val="20"/>
          <w:szCs w:val="20"/>
        </w:rPr>
        <w:t>on-</w:t>
      </w:r>
      <w:r w:rsidR="00560FF3">
        <w:rPr>
          <w:rFonts w:cs="Times New Roman"/>
          <w:b w:val="0"/>
          <w:spacing w:val="-1"/>
          <w:sz w:val="20"/>
          <w:szCs w:val="20"/>
        </w:rPr>
        <w:t>c</w:t>
      </w:r>
      <w:r w:rsidR="00F66F80" w:rsidRPr="00412481">
        <w:rPr>
          <w:rFonts w:cs="Times New Roman"/>
          <w:b w:val="0"/>
          <w:spacing w:val="-1"/>
          <w:sz w:val="20"/>
          <w:szCs w:val="20"/>
        </w:rPr>
        <w:t xml:space="preserve">onvertible, </w:t>
      </w:r>
      <w:r w:rsidR="00560FF3">
        <w:rPr>
          <w:rFonts w:cs="Times New Roman"/>
          <w:b w:val="0"/>
          <w:spacing w:val="-1"/>
          <w:sz w:val="20"/>
          <w:szCs w:val="20"/>
        </w:rPr>
        <w:t>f</w:t>
      </w:r>
      <w:r w:rsidR="00F66F80" w:rsidRPr="00412481">
        <w:rPr>
          <w:rFonts w:cs="Times New Roman"/>
          <w:b w:val="0"/>
          <w:spacing w:val="-1"/>
          <w:sz w:val="20"/>
          <w:szCs w:val="20"/>
        </w:rPr>
        <w:t>ixed</w:t>
      </w:r>
      <w:r w:rsidR="00BF65A7">
        <w:rPr>
          <w:rFonts w:cs="Times New Roman"/>
          <w:b w:val="0"/>
          <w:spacing w:val="-1"/>
          <w:sz w:val="20"/>
          <w:szCs w:val="20"/>
        </w:rPr>
        <w:t>-</w:t>
      </w:r>
      <w:r w:rsidR="00560FF3">
        <w:rPr>
          <w:rFonts w:cs="Times New Roman"/>
          <w:b w:val="0"/>
          <w:spacing w:val="-1"/>
          <w:sz w:val="20"/>
          <w:szCs w:val="20"/>
        </w:rPr>
        <w:t>r</w:t>
      </w:r>
      <w:r w:rsidR="00F66F80" w:rsidRPr="00412481">
        <w:rPr>
          <w:rFonts w:cs="Times New Roman"/>
          <w:b w:val="0"/>
          <w:spacing w:val="-1"/>
          <w:sz w:val="20"/>
          <w:szCs w:val="20"/>
        </w:rPr>
        <w:t xml:space="preserve">ate </w:t>
      </w:r>
      <w:r w:rsidR="00560FF3">
        <w:rPr>
          <w:rFonts w:cs="Times New Roman"/>
          <w:b w:val="0"/>
          <w:spacing w:val="-1"/>
          <w:sz w:val="20"/>
          <w:szCs w:val="20"/>
        </w:rPr>
        <w:t>c</w:t>
      </w:r>
      <w:r w:rsidR="00F66F80" w:rsidRPr="00412481">
        <w:rPr>
          <w:rFonts w:cs="Times New Roman"/>
          <w:b w:val="0"/>
          <w:spacing w:val="-1"/>
          <w:sz w:val="20"/>
          <w:szCs w:val="20"/>
        </w:rPr>
        <w:t xml:space="preserve">orporate </w:t>
      </w:r>
      <w:r w:rsidR="00560FF3">
        <w:rPr>
          <w:rFonts w:cs="Times New Roman"/>
          <w:b w:val="0"/>
          <w:spacing w:val="-1"/>
          <w:sz w:val="20"/>
          <w:szCs w:val="20"/>
        </w:rPr>
        <w:t>b</w:t>
      </w:r>
      <w:r w:rsidR="00F66F80" w:rsidRPr="00412481">
        <w:rPr>
          <w:rFonts w:cs="Times New Roman"/>
          <w:b w:val="0"/>
          <w:spacing w:val="-1"/>
          <w:sz w:val="20"/>
          <w:szCs w:val="20"/>
        </w:rPr>
        <w:t>onds</w:t>
      </w:r>
      <w:r w:rsidR="00560FF3">
        <w:rPr>
          <w:rFonts w:cs="Times New Roman"/>
          <w:b w:val="0"/>
          <w:spacing w:val="-1"/>
          <w:sz w:val="20"/>
          <w:szCs w:val="20"/>
        </w:rPr>
        <w:t>.</w:t>
      </w:r>
    </w:p>
    <w:p w14:paraId="6533BC8E" w14:textId="4EFF3A91" w:rsidR="00040990" w:rsidRPr="00412481" w:rsidRDefault="00040990">
      <w:pPr>
        <w:pStyle w:val="Heading1"/>
        <w:spacing w:after="240" w:line="259" w:lineRule="auto"/>
        <w:ind w:left="360" w:hanging="360"/>
        <w:jc w:val="both"/>
        <w:rPr>
          <w:rFonts w:cs="Times New Roman"/>
          <w:b w:val="0"/>
          <w:spacing w:val="-1"/>
          <w:sz w:val="20"/>
          <w:szCs w:val="20"/>
        </w:rPr>
      </w:pPr>
      <w:r w:rsidRPr="00412481">
        <w:rPr>
          <w:rFonts w:cs="Times New Roman"/>
          <w:b w:val="0"/>
          <w:spacing w:val="-1"/>
          <w:sz w:val="20"/>
          <w:szCs w:val="20"/>
        </w:rPr>
        <w:t>4.</w:t>
      </w:r>
      <w:r w:rsidRPr="00412481">
        <w:rPr>
          <w:rFonts w:cs="Times New Roman"/>
          <w:b w:val="0"/>
          <w:spacing w:val="-1"/>
          <w:sz w:val="20"/>
          <w:szCs w:val="20"/>
        </w:rPr>
        <w:tab/>
      </w:r>
      <w:bookmarkStart w:id="5" w:name="_Hlk99711625"/>
      <w:r w:rsidRPr="00412481">
        <w:rPr>
          <w:rFonts w:cs="Times New Roman"/>
          <w:b w:val="0"/>
          <w:spacing w:val="-1"/>
          <w:sz w:val="20"/>
          <w:szCs w:val="20"/>
        </w:rPr>
        <w:t xml:space="preserve">Asset Adequacy </w:t>
      </w:r>
      <w:r w:rsidR="00BC28B0" w:rsidRPr="00412481">
        <w:rPr>
          <w:rFonts w:cs="Times New Roman"/>
          <w:b w:val="0"/>
          <w:spacing w:val="-1"/>
          <w:sz w:val="20"/>
          <w:szCs w:val="20"/>
        </w:rPr>
        <w:t>Considerations</w:t>
      </w:r>
      <w:r w:rsidR="0068187D" w:rsidRPr="00412481">
        <w:rPr>
          <w:rFonts w:cs="Times New Roman"/>
          <w:b w:val="0"/>
          <w:spacing w:val="-1"/>
          <w:sz w:val="20"/>
          <w:szCs w:val="20"/>
        </w:rPr>
        <w:t xml:space="preserve"> and Documentation Expectations</w:t>
      </w:r>
      <w:bookmarkEnd w:id="5"/>
    </w:p>
    <w:p w14:paraId="4D83078C" w14:textId="77777777" w:rsidR="006F1644" w:rsidRPr="00412481" w:rsidRDefault="00230F3F" w:rsidP="005F2C5F">
      <w:pPr>
        <w:widowControl/>
        <w:autoSpaceDE w:val="0"/>
        <w:autoSpaceDN w:val="0"/>
        <w:adjustRightInd w:val="0"/>
        <w:spacing w:line="259" w:lineRule="auto"/>
        <w:ind w:left="720" w:hanging="360"/>
        <w:jc w:val="both"/>
        <w:rPr>
          <w:rFonts w:ascii="Times New Roman" w:hAnsi="Times New Roman" w:cs="Times New Roman"/>
          <w:b/>
          <w:bCs/>
          <w:spacing w:val="-1"/>
          <w:sz w:val="20"/>
          <w:szCs w:val="20"/>
        </w:rPr>
      </w:pPr>
      <w:r w:rsidRPr="00412481">
        <w:rPr>
          <w:rFonts w:ascii="Times New Roman" w:hAnsi="Times New Roman" w:cs="Times New Roman"/>
          <w:spacing w:val="-1"/>
          <w:sz w:val="20"/>
          <w:szCs w:val="20"/>
        </w:rPr>
        <w:t>A.</w:t>
      </w:r>
      <w:r w:rsidRPr="00412481">
        <w:rPr>
          <w:rFonts w:ascii="Times New Roman" w:hAnsi="Times New Roman" w:cs="Times New Roman"/>
          <w:spacing w:val="-1"/>
          <w:sz w:val="20"/>
          <w:szCs w:val="20"/>
        </w:rPr>
        <w:tab/>
      </w:r>
      <w:r w:rsidR="00BB747E" w:rsidRPr="00412481">
        <w:rPr>
          <w:rFonts w:ascii="Times New Roman" w:hAnsi="Times New Roman" w:cs="Times New Roman"/>
          <w:b/>
          <w:bCs/>
          <w:spacing w:val="-1"/>
          <w:sz w:val="20"/>
          <w:szCs w:val="20"/>
        </w:rPr>
        <w:t>N</w:t>
      </w:r>
      <w:r w:rsidR="007C7045" w:rsidRPr="00412481">
        <w:rPr>
          <w:rFonts w:ascii="Times New Roman" w:hAnsi="Times New Roman" w:cs="Times New Roman"/>
          <w:b/>
          <w:bCs/>
          <w:spacing w:val="-1"/>
          <w:sz w:val="20"/>
          <w:szCs w:val="20"/>
        </w:rPr>
        <w:t>et return and risk</w:t>
      </w:r>
      <w:r w:rsidR="00BB747E" w:rsidRPr="00412481">
        <w:rPr>
          <w:rFonts w:ascii="Times New Roman" w:hAnsi="Times New Roman" w:cs="Times New Roman"/>
          <w:b/>
          <w:bCs/>
          <w:spacing w:val="-1"/>
          <w:sz w:val="20"/>
          <w:szCs w:val="20"/>
        </w:rPr>
        <w:t xml:space="preserve"> documentation</w:t>
      </w:r>
      <w:r w:rsidR="007C7045" w:rsidRPr="00412481">
        <w:rPr>
          <w:rFonts w:ascii="Times New Roman" w:hAnsi="Times New Roman" w:cs="Times New Roman"/>
          <w:b/>
          <w:bCs/>
          <w:spacing w:val="-1"/>
          <w:sz w:val="20"/>
          <w:szCs w:val="20"/>
        </w:rPr>
        <w:t>.</w:t>
      </w:r>
    </w:p>
    <w:p w14:paraId="4C03B290" w14:textId="77777777" w:rsidR="006F1644" w:rsidRPr="00412481" w:rsidRDefault="006F1644" w:rsidP="005F2C5F">
      <w:pPr>
        <w:widowControl/>
        <w:autoSpaceDE w:val="0"/>
        <w:autoSpaceDN w:val="0"/>
        <w:adjustRightInd w:val="0"/>
        <w:spacing w:line="259" w:lineRule="auto"/>
        <w:ind w:left="720" w:hanging="360"/>
        <w:jc w:val="both"/>
        <w:rPr>
          <w:rFonts w:ascii="Times New Roman" w:hAnsi="Times New Roman" w:cs="Times New Roman"/>
          <w:b/>
          <w:bCs/>
          <w:spacing w:val="-1"/>
          <w:sz w:val="20"/>
          <w:szCs w:val="20"/>
        </w:rPr>
      </w:pPr>
    </w:p>
    <w:p w14:paraId="0A48B525" w14:textId="52477295" w:rsidR="00EC5D2D" w:rsidRPr="00412481" w:rsidRDefault="006F1644" w:rsidP="006F1644">
      <w:pPr>
        <w:widowControl/>
        <w:autoSpaceDE w:val="0"/>
        <w:autoSpaceDN w:val="0"/>
        <w:adjustRightInd w:val="0"/>
        <w:spacing w:line="259" w:lineRule="auto"/>
        <w:ind w:left="180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i.</w:t>
      </w:r>
      <w:r w:rsidRPr="00412481">
        <w:rPr>
          <w:rFonts w:ascii="Times New Roman" w:hAnsi="Times New Roman" w:cs="Times New Roman"/>
          <w:spacing w:val="-1"/>
          <w:sz w:val="20"/>
          <w:szCs w:val="20"/>
        </w:rPr>
        <w:tab/>
      </w:r>
      <w:r w:rsidR="00EC5D2D" w:rsidRPr="00412481">
        <w:rPr>
          <w:rFonts w:ascii="Times New Roman" w:hAnsi="Times New Roman" w:cs="Times New Roman"/>
          <w:spacing w:val="-1"/>
          <w:sz w:val="20"/>
          <w:szCs w:val="20"/>
        </w:rPr>
        <w:t xml:space="preserve">For </w:t>
      </w:r>
      <w:r w:rsidRPr="00412481">
        <w:rPr>
          <w:rFonts w:ascii="Times New Roman" w:hAnsi="Times New Roman" w:cs="Times New Roman"/>
          <w:spacing w:val="-1"/>
          <w:sz w:val="20"/>
          <w:szCs w:val="20"/>
        </w:rPr>
        <w:t>all assets</w:t>
      </w:r>
      <w:r w:rsidR="00EC5D2D" w:rsidRPr="00412481">
        <w:rPr>
          <w:rFonts w:ascii="Times New Roman" w:hAnsi="Times New Roman" w:cs="Times New Roman"/>
          <w:spacing w:val="-1"/>
          <w:sz w:val="20"/>
          <w:szCs w:val="20"/>
        </w:rPr>
        <w:t>,</w:t>
      </w:r>
      <w:r w:rsidR="00CE72CE" w:rsidRPr="00412481">
        <w:rPr>
          <w:rFonts w:ascii="Times New Roman" w:hAnsi="Times New Roman" w:cs="Times New Roman"/>
          <w:spacing w:val="-1"/>
          <w:sz w:val="20"/>
          <w:szCs w:val="20"/>
        </w:rPr>
        <w:t xml:space="preserve"> </w:t>
      </w:r>
      <w:r w:rsidR="00EC5D2D" w:rsidRPr="00412481">
        <w:rPr>
          <w:rFonts w:ascii="Times New Roman" w:hAnsi="Times New Roman" w:cs="Times New Roman"/>
          <w:spacing w:val="-1"/>
          <w:sz w:val="20"/>
          <w:szCs w:val="20"/>
        </w:rPr>
        <w:t>either currently held or in assumed reinvestments</w:t>
      </w:r>
      <w:r w:rsidR="00E435A1" w:rsidRPr="00412481">
        <w:rPr>
          <w:rFonts w:ascii="Times New Roman" w:hAnsi="Times New Roman" w:cs="Times New Roman"/>
          <w:spacing w:val="-1"/>
          <w:sz w:val="20"/>
          <w:szCs w:val="20"/>
        </w:rPr>
        <w:t xml:space="preserve">, </w:t>
      </w:r>
      <w:r w:rsidR="009D42CE" w:rsidRPr="00412481">
        <w:rPr>
          <w:rFonts w:ascii="Times New Roman" w:hAnsi="Times New Roman" w:cs="Times New Roman"/>
          <w:spacing w:val="-1"/>
          <w:sz w:val="20"/>
          <w:szCs w:val="20"/>
        </w:rPr>
        <w:t>provide</w:t>
      </w:r>
      <w:r w:rsidR="00EC5D2D" w:rsidRPr="00412481">
        <w:rPr>
          <w:rFonts w:ascii="Times New Roman" w:hAnsi="Times New Roman" w:cs="Times New Roman"/>
          <w:spacing w:val="-1"/>
          <w:sz w:val="20"/>
          <w:szCs w:val="20"/>
        </w:rPr>
        <w:t>:</w:t>
      </w:r>
    </w:p>
    <w:p w14:paraId="1C63692D" w14:textId="77777777" w:rsidR="00EC5D2D" w:rsidRPr="00412481" w:rsidRDefault="00EC5D2D" w:rsidP="008645D8">
      <w:pPr>
        <w:pStyle w:val="ListParagraph"/>
        <w:widowControl/>
        <w:autoSpaceDE w:val="0"/>
        <w:autoSpaceDN w:val="0"/>
        <w:adjustRightInd w:val="0"/>
        <w:spacing w:line="259" w:lineRule="auto"/>
        <w:ind w:left="1800"/>
        <w:jc w:val="both"/>
        <w:rPr>
          <w:rFonts w:ascii="Times New Roman" w:hAnsi="Times New Roman" w:cs="Times New Roman"/>
          <w:spacing w:val="-1"/>
          <w:sz w:val="20"/>
          <w:szCs w:val="20"/>
        </w:rPr>
      </w:pPr>
    </w:p>
    <w:p w14:paraId="5F52A0C5" w14:textId="43F67B14" w:rsidR="006F1644" w:rsidRPr="00412481" w:rsidRDefault="006F1644" w:rsidP="00A47B5F">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(a)</w:t>
      </w:r>
      <w:r w:rsidRPr="00412481">
        <w:rPr>
          <w:rFonts w:ascii="Times New Roman" w:hAnsi="Times New Roman" w:cs="Times New Roman"/>
          <w:spacing w:val="-1"/>
          <w:sz w:val="20"/>
          <w:szCs w:val="20"/>
        </w:rPr>
        <w:tab/>
        <w:t>Identification of the assumed gross asset yield and the key components (for example, default and investment expenses) deducted to arrive at the assumed net asset yield.</w:t>
      </w:r>
    </w:p>
    <w:p w14:paraId="151D5C8B" w14:textId="77777777" w:rsidR="006F1644" w:rsidRPr="00412481" w:rsidRDefault="006F1644" w:rsidP="00A47B5F">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p>
    <w:p w14:paraId="298373AD" w14:textId="01CB05EB" w:rsidR="006F1644" w:rsidRPr="00412481" w:rsidRDefault="006F1644" w:rsidP="00A47B5F">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(b)</w:t>
      </w:r>
      <w:r w:rsidRPr="00412481">
        <w:rPr>
          <w:rFonts w:ascii="Times New Roman" w:hAnsi="Times New Roman" w:cs="Times New Roman"/>
          <w:spacing w:val="-1"/>
          <w:sz w:val="20"/>
          <w:szCs w:val="20"/>
        </w:rPr>
        <w:tab/>
        <w:t xml:space="preserve">Explanation of any future reinvestment strategy assumptions that </w:t>
      </w:r>
      <w:r w:rsidR="000B310C" w:rsidRPr="00412481">
        <w:rPr>
          <w:rFonts w:ascii="Times New Roman" w:hAnsi="Times New Roman" w:cs="Times New Roman"/>
          <w:spacing w:val="-1"/>
          <w:sz w:val="20"/>
          <w:szCs w:val="20"/>
        </w:rPr>
        <w:t xml:space="preserve">materially </w:t>
      </w:r>
      <w:r w:rsidRPr="00412481">
        <w:rPr>
          <w:rFonts w:ascii="Times New Roman" w:hAnsi="Times New Roman" w:cs="Times New Roman"/>
          <w:spacing w:val="-1"/>
          <w:sz w:val="20"/>
          <w:szCs w:val="20"/>
        </w:rPr>
        <w:t>differ from current practices.</w:t>
      </w:r>
    </w:p>
    <w:p w14:paraId="4B1889E5" w14:textId="77777777" w:rsidR="00CF12F4" w:rsidRPr="00412481" w:rsidRDefault="00CF12F4" w:rsidP="00A47B5F">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p>
    <w:p w14:paraId="0F3F12A5" w14:textId="6DECA0E7" w:rsidR="006F1644" w:rsidRPr="00412481" w:rsidRDefault="006F1644" w:rsidP="006F1644">
      <w:pPr>
        <w:pStyle w:val="ListParagraph"/>
        <w:widowControl/>
        <w:autoSpaceDE w:val="0"/>
        <w:autoSpaceDN w:val="0"/>
        <w:adjustRightInd w:val="0"/>
        <w:spacing w:line="259" w:lineRule="auto"/>
        <w:ind w:left="180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ii.</w:t>
      </w:r>
      <w:r w:rsidRPr="00412481">
        <w:rPr>
          <w:rFonts w:ascii="Times New Roman" w:hAnsi="Times New Roman" w:cs="Times New Roman"/>
          <w:spacing w:val="-1"/>
          <w:sz w:val="20"/>
          <w:szCs w:val="20"/>
        </w:rPr>
        <w:tab/>
        <w:t>For Projected High Net Yield Assets, either currently held or in assumed reinvestments, provide:</w:t>
      </w:r>
    </w:p>
    <w:p w14:paraId="5D5B96B7" w14:textId="77777777" w:rsidR="006F1644" w:rsidRPr="00412481" w:rsidRDefault="006F1644" w:rsidP="006F1644">
      <w:pPr>
        <w:pStyle w:val="ListParagraph"/>
        <w:widowControl/>
        <w:autoSpaceDE w:val="0"/>
        <w:autoSpaceDN w:val="0"/>
        <w:adjustRightInd w:val="0"/>
        <w:spacing w:line="259" w:lineRule="auto"/>
        <w:ind w:left="1800"/>
        <w:jc w:val="both"/>
        <w:rPr>
          <w:rFonts w:ascii="Times New Roman" w:hAnsi="Times New Roman" w:cs="Times New Roman"/>
          <w:spacing w:val="-1"/>
          <w:sz w:val="20"/>
          <w:szCs w:val="20"/>
        </w:rPr>
      </w:pPr>
    </w:p>
    <w:p w14:paraId="1848AB7A" w14:textId="1C529D90" w:rsidR="00EC5D2D" w:rsidRPr="00412481" w:rsidRDefault="006F1644" w:rsidP="006F1644">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(a)</w:t>
      </w:r>
      <w:r w:rsidRPr="00412481">
        <w:rPr>
          <w:rFonts w:ascii="Times New Roman" w:hAnsi="Times New Roman" w:cs="Times New Roman"/>
          <w:spacing w:val="-1"/>
          <w:sz w:val="20"/>
          <w:szCs w:val="20"/>
        </w:rPr>
        <w:tab/>
      </w:r>
      <w:r w:rsidR="00EC5D2D" w:rsidRPr="00412481">
        <w:rPr>
          <w:rFonts w:ascii="Times New Roman" w:hAnsi="Times New Roman" w:cs="Times New Roman"/>
          <w:spacing w:val="-1"/>
          <w:sz w:val="20"/>
          <w:szCs w:val="20"/>
        </w:rPr>
        <w:t xml:space="preserve">A detailed explanation describing the </w:t>
      </w:r>
      <w:r w:rsidR="00CB748D" w:rsidRPr="00412481">
        <w:rPr>
          <w:rFonts w:ascii="Times New Roman" w:hAnsi="Times New Roman" w:cs="Times New Roman"/>
          <w:spacing w:val="-1"/>
          <w:sz w:val="20"/>
          <w:szCs w:val="20"/>
        </w:rPr>
        <w:t>relationship between the</w:t>
      </w:r>
      <w:r w:rsidR="00EC5D2D" w:rsidRPr="00412481">
        <w:rPr>
          <w:rFonts w:ascii="Times New Roman" w:hAnsi="Times New Roman" w:cs="Times New Roman"/>
          <w:spacing w:val="-1"/>
          <w:sz w:val="20"/>
          <w:szCs w:val="20"/>
        </w:rPr>
        <w:t xml:space="preserve"> expected gross returns from these assets </w:t>
      </w:r>
      <w:r w:rsidR="00CB748D" w:rsidRPr="00412481">
        <w:rPr>
          <w:rFonts w:ascii="Times New Roman" w:hAnsi="Times New Roman" w:cs="Times New Roman"/>
          <w:spacing w:val="-1"/>
          <w:sz w:val="20"/>
          <w:szCs w:val="20"/>
        </w:rPr>
        <w:t>and the</w:t>
      </w:r>
      <w:r w:rsidR="00EC5D2D" w:rsidRPr="00412481">
        <w:rPr>
          <w:rFonts w:ascii="Times New Roman" w:hAnsi="Times New Roman" w:cs="Times New Roman"/>
          <w:spacing w:val="-1"/>
          <w:sz w:val="20"/>
          <w:szCs w:val="20"/>
        </w:rPr>
        <w:t xml:space="preserve"> risk. It shall also include, for the aspect of any higher expected gross returns not assumed to be associated with higher risk, an explanation of how overperforming assets with expected returns lying outside the risk-return spectrum can be assumed to persist and be available for reinvestments throughout the projection period</w:t>
      </w:r>
      <w:r w:rsidR="005F2C5F" w:rsidRPr="00412481">
        <w:rPr>
          <w:rFonts w:ascii="Times New Roman" w:hAnsi="Times New Roman" w:cs="Times New Roman"/>
          <w:spacing w:val="-1"/>
          <w:sz w:val="20"/>
          <w:szCs w:val="20"/>
        </w:rPr>
        <w:t xml:space="preserve"> in moderately adverse conditions</w:t>
      </w:r>
      <w:r w:rsidR="00EC5D2D" w:rsidRPr="00412481">
        <w:rPr>
          <w:rFonts w:ascii="Times New Roman" w:hAnsi="Times New Roman" w:cs="Times New Roman"/>
          <w:spacing w:val="-1"/>
          <w:sz w:val="20"/>
          <w:szCs w:val="20"/>
        </w:rPr>
        <w:t>.</w:t>
      </w:r>
    </w:p>
    <w:p w14:paraId="39FBB15C" w14:textId="77777777" w:rsidR="00EC5D2D" w:rsidRPr="00412481" w:rsidRDefault="00EC5D2D" w:rsidP="005F2C5F">
      <w:pPr>
        <w:pStyle w:val="ListParagraph"/>
        <w:widowControl/>
        <w:autoSpaceDE w:val="0"/>
        <w:autoSpaceDN w:val="0"/>
        <w:adjustRightInd w:val="0"/>
        <w:spacing w:line="259" w:lineRule="auto"/>
        <w:ind w:left="1800" w:hanging="180"/>
        <w:jc w:val="both"/>
        <w:rPr>
          <w:rFonts w:ascii="Times New Roman" w:hAnsi="Times New Roman" w:cs="Times New Roman"/>
          <w:spacing w:val="-1"/>
          <w:sz w:val="20"/>
          <w:szCs w:val="20"/>
        </w:rPr>
      </w:pPr>
    </w:p>
    <w:p w14:paraId="267446D6" w14:textId="030F59FE" w:rsidR="0079400E" w:rsidRPr="00412481" w:rsidRDefault="006F1644" w:rsidP="006F1644">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(b)</w:t>
      </w:r>
      <w:r w:rsidRPr="00412481">
        <w:rPr>
          <w:rFonts w:ascii="Times New Roman" w:hAnsi="Times New Roman" w:cs="Times New Roman"/>
          <w:spacing w:val="-1"/>
          <w:sz w:val="20"/>
          <w:szCs w:val="20"/>
        </w:rPr>
        <w:tab/>
      </w:r>
      <w:r w:rsidR="0079400E" w:rsidRPr="00412481">
        <w:rPr>
          <w:rFonts w:ascii="Times New Roman" w:hAnsi="Times New Roman" w:cs="Times New Roman"/>
          <w:spacing w:val="-1"/>
          <w:sz w:val="20"/>
          <w:szCs w:val="20"/>
        </w:rPr>
        <w:t xml:space="preserve">Commentary on how </w:t>
      </w:r>
      <w:r w:rsidR="00CB66C7">
        <w:rPr>
          <w:rFonts w:ascii="Times New Roman" w:hAnsi="Times New Roman" w:cs="Times New Roman"/>
          <w:spacing w:val="-1"/>
          <w:sz w:val="20"/>
          <w:szCs w:val="20"/>
        </w:rPr>
        <w:t xml:space="preserve">assumptions on </w:t>
      </w:r>
      <w:r w:rsidR="00C54B9B" w:rsidRPr="00412481">
        <w:rPr>
          <w:rFonts w:ascii="Times New Roman" w:hAnsi="Times New Roman" w:cs="Times New Roman"/>
          <w:spacing w:val="-1"/>
          <w:sz w:val="20"/>
          <w:szCs w:val="20"/>
        </w:rPr>
        <w:t>asset</w:t>
      </w:r>
      <w:r w:rsidR="00CB748D" w:rsidRPr="00412481">
        <w:rPr>
          <w:rFonts w:ascii="Times New Roman" w:hAnsi="Times New Roman" w:cs="Times New Roman"/>
          <w:spacing w:val="-1"/>
          <w:sz w:val="20"/>
          <w:szCs w:val="20"/>
        </w:rPr>
        <w:t>s with</w:t>
      </w:r>
      <w:r w:rsidR="00C54B9B" w:rsidRPr="00412481">
        <w:rPr>
          <w:rFonts w:ascii="Times New Roman" w:hAnsi="Times New Roman" w:cs="Times New Roman"/>
          <w:spacing w:val="-1"/>
          <w:sz w:val="20"/>
          <w:szCs w:val="20"/>
        </w:rPr>
        <w:t xml:space="preserve"> </w:t>
      </w:r>
      <w:r w:rsidR="00CB748D" w:rsidRPr="00412481">
        <w:rPr>
          <w:rFonts w:ascii="Times New Roman" w:hAnsi="Times New Roman" w:cs="Times New Roman"/>
          <w:spacing w:val="-1"/>
          <w:sz w:val="20"/>
          <w:szCs w:val="20"/>
        </w:rPr>
        <w:t xml:space="preserve">risk </w:t>
      </w:r>
      <w:r w:rsidR="00C54B9B" w:rsidRPr="00412481">
        <w:rPr>
          <w:rFonts w:ascii="Times New Roman" w:hAnsi="Times New Roman" w:cs="Times New Roman"/>
          <w:spacing w:val="-1"/>
          <w:sz w:val="20"/>
          <w:szCs w:val="20"/>
        </w:rPr>
        <w:t xml:space="preserve">factors </w:t>
      </w:r>
      <w:r w:rsidR="00CB748D" w:rsidRPr="00412481">
        <w:rPr>
          <w:rFonts w:ascii="Times New Roman" w:hAnsi="Times New Roman" w:cs="Times New Roman"/>
          <w:spacing w:val="-1"/>
          <w:sz w:val="20"/>
          <w:szCs w:val="20"/>
        </w:rPr>
        <w:t>leading to substantial</w:t>
      </w:r>
      <w:r w:rsidR="00C54B9B" w:rsidRPr="00412481">
        <w:rPr>
          <w:rFonts w:ascii="Times New Roman" w:hAnsi="Times New Roman" w:cs="Times New Roman"/>
          <w:spacing w:val="-1"/>
          <w:sz w:val="20"/>
          <w:szCs w:val="20"/>
        </w:rPr>
        <w:t xml:space="preserve"> volatil</w:t>
      </w:r>
      <w:r w:rsidR="00CB748D" w:rsidRPr="00412481">
        <w:rPr>
          <w:rFonts w:ascii="Times New Roman" w:hAnsi="Times New Roman" w:cs="Times New Roman"/>
          <w:spacing w:val="-1"/>
          <w:sz w:val="20"/>
          <w:szCs w:val="20"/>
        </w:rPr>
        <w:t>ity of returns, as</w:t>
      </w:r>
      <w:r w:rsidR="00C54B9B" w:rsidRPr="00412481">
        <w:rPr>
          <w:rFonts w:ascii="Times New Roman" w:hAnsi="Times New Roman" w:cs="Times New Roman"/>
          <w:spacing w:val="-1"/>
          <w:sz w:val="20"/>
          <w:szCs w:val="20"/>
        </w:rPr>
        <w:t xml:space="preserve"> </w:t>
      </w:r>
      <w:r w:rsidR="00CB748D" w:rsidRPr="00412481">
        <w:rPr>
          <w:rFonts w:ascii="Times New Roman" w:hAnsi="Times New Roman" w:cs="Times New Roman"/>
          <w:spacing w:val="-1"/>
          <w:sz w:val="20"/>
          <w:szCs w:val="20"/>
        </w:rPr>
        <w:t>identified</w:t>
      </w:r>
      <w:r w:rsidR="00C54B9B" w:rsidRPr="00412481">
        <w:rPr>
          <w:rFonts w:ascii="Times New Roman" w:hAnsi="Times New Roman" w:cs="Times New Roman"/>
          <w:spacing w:val="-1"/>
          <w:sz w:val="20"/>
          <w:szCs w:val="20"/>
        </w:rPr>
        <w:t xml:space="preserve"> through sensitivity testing or other means</w:t>
      </w:r>
      <w:r w:rsidR="00560FF3">
        <w:rPr>
          <w:rFonts w:ascii="Times New Roman" w:hAnsi="Times New Roman" w:cs="Times New Roman"/>
          <w:spacing w:val="-1"/>
          <w:sz w:val="20"/>
          <w:szCs w:val="20"/>
        </w:rPr>
        <w:t>,</w:t>
      </w:r>
      <w:r w:rsidR="00C54B9B" w:rsidRPr="00412481">
        <w:rPr>
          <w:rFonts w:ascii="Times New Roman" w:hAnsi="Times New Roman" w:cs="Times New Roman"/>
          <w:spacing w:val="-1"/>
          <w:sz w:val="20"/>
          <w:szCs w:val="20"/>
        </w:rPr>
        <w:t xml:space="preserve"> contain an appropriate margin to reflect </w:t>
      </w:r>
      <w:r w:rsidR="00CB748D" w:rsidRPr="00412481">
        <w:rPr>
          <w:rFonts w:ascii="Times New Roman" w:hAnsi="Times New Roman" w:cs="Times New Roman"/>
          <w:spacing w:val="-1"/>
          <w:sz w:val="20"/>
          <w:szCs w:val="20"/>
        </w:rPr>
        <w:t>the uncertainty in the timing and amounts of asset cash flows</w:t>
      </w:r>
      <w:r w:rsidR="00C54B9B" w:rsidRPr="00412481">
        <w:rPr>
          <w:rFonts w:ascii="Times New Roman" w:hAnsi="Times New Roman" w:cs="Times New Roman"/>
          <w:spacing w:val="-1"/>
          <w:sz w:val="20"/>
          <w:szCs w:val="20"/>
        </w:rPr>
        <w:t>.</w:t>
      </w:r>
    </w:p>
    <w:p w14:paraId="22881196" w14:textId="591765C2" w:rsidR="00DC711C" w:rsidRPr="00412481" w:rsidRDefault="00DC711C" w:rsidP="006F1644">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p>
    <w:p w14:paraId="45F7A1D9" w14:textId="38D79E08" w:rsidR="00DC711C" w:rsidRPr="00412481" w:rsidRDefault="00DC711C" w:rsidP="00DC711C">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(c)</w:t>
      </w:r>
      <w:r w:rsidRPr="00412481">
        <w:rPr>
          <w:rFonts w:ascii="Times New Roman" w:hAnsi="Times New Roman" w:cs="Times New Roman"/>
          <w:spacing w:val="-1"/>
          <w:sz w:val="20"/>
          <w:szCs w:val="20"/>
        </w:rPr>
        <w:tab/>
        <w:t xml:space="preserve">Identification of the extent to which Projected High Net Yield Assets are supporting major product categories, e.g., individual fixed annuities and pension risk transfers. </w:t>
      </w:r>
    </w:p>
    <w:p w14:paraId="42D66841" w14:textId="366A6D2A" w:rsidR="00035F0D" w:rsidRPr="00412481" w:rsidRDefault="00035F0D" w:rsidP="00DC711C">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p>
    <w:p w14:paraId="2BEABF26" w14:textId="0F5360ED" w:rsidR="00035F0D" w:rsidRPr="00412481" w:rsidRDefault="00035F0D" w:rsidP="00DC711C">
      <w:pPr>
        <w:pStyle w:val="ListParagraph"/>
        <w:widowControl/>
        <w:autoSpaceDE w:val="0"/>
        <w:autoSpaceDN w:val="0"/>
        <w:adjustRightInd w:val="0"/>
        <w:spacing w:line="259" w:lineRule="auto"/>
        <w:ind w:left="2880" w:hanging="360"/>
        <w:jc w:val="both"/>
        <w:rPr>
          <w:rFonts w:ascii="Times New Roman" w:hAnsi="Times New Roman" w:cs="Times New Roman"/>
          <w:spacing w:val="-1"/>
          <w:sz w:val="20"/>
          <w:szCs w:val="20"/>
        </w:rPr>
      </w:pPr>
      <w:r w:rsidRPr="00412481">
        <w:rPr>
          <w:rFonts w:ascii="Times New Roman" w:hAnsi="Times New Roman" w:cs="Times New Roman"/>
          <w:spacing w:val="-1"/>
          <w:sz w:val="20"/>
          <w:szCs w:val="20"/>
        </w:rPr>
        <w:t>(d)</w:t>
      </w:r>
      <w:r w:rsidRPr="00412481">
        <w:rPr>
          <w:rFonts w:ascii="Times New Roman" w:hAnsi="Times New Roman" w:cs="Times New Roman"/>
          <w:spacing w:val="-1"/>
          <w:sz w:val="20"/>
          <w:szCs w:val="20"/>
        </w:rPr>
        <w:tab/>
        <w:t xml:space="preserve">Explanation of rationale for </w:t>
      </w:r>
      <w:r w:rsidR="00081727" w:rsidRPr="00412481">
        <w:rPr>
          <w:rFonts w:ascii="Times New Roman" w:hAnsi="Times New Roman" w:cs="Times New Roman"/>
          <w:spacing w:val="-1"/>
          <w:sz w:val="20"/>
          <w:szCs w:val="20"/>
        </w:rPr>
        <w:t xml:space="preserve">materially </w:t>
      </w:r>
      <w:r w:rsidRPr="00412481">
        <w:rPr>
          <w:rFonts w:ascii="Times New Roman" w:hAnsi="Times New Roman" w:cs="Times New Roman"/>
          <w:spacing w:val="-1"/>
          <w:sz w:val="20"/>
          <w:szCs w:val="20"/>
        </w:rPr>
        <w:t>changing or not changing complex-asset-based assumptions</w:t>
      </w:r>
      <w:r w:rsidR="00CB66C7">
        <w:rPr>
          <w:rFonts w:ascii="Times New Roman" w:hAnsi="Times New Roman" w:cs="Times New Roman"/>
          <w:spacing w:val="-1"/>
          <w:sz w:val="20"/>
          <w:szCs w:val="20"/>
        </w:rPr>
        <w:t xml:space="preserve"> from the prior year’s analysis</w:t>
      </w:r>
      <w:r w:rsidR="00081727" w:rsidRPr="00412481">
        <w:rPr>
          <w:rFonts w:ascii="Times New Roman" w:hAnsi="Times New Roman" w:cs="Times New Roman"/>
          <w:spacing w:val="-1"/>
          <w:sz w:val="20"/>
          <w:szCs w:val="20"/>
        </w:rPr>
        <w:t>.</w:t>
      </w:r>
      <w:r w:rsidRPr="00412481">
        <w:rPr>
          <w:rFonts w:ascii="Times New Roman" w:hAnsi="Times New Roman" w:cs="Times New Roman"/>
          <w:spacing w:val="-1"/>
          <w:sz w:val="20"/>
          <w:szCs w:val="20"/>
        </w:rPr>
        <w:t xml:space="preserve"> </w:t>
      </w:r>
    </w:p>
    <w:p w14:paraId="658A8E55" w14:textId="77777777" w:rsidR="00CE72CE" w:rsidRPr="00412481" w:rsidRDefault="00CE72CE">
      <w:pPr>
        <w:widowControl/>
        <w:autoSpaceDE w:val="0"/>
        <w:autoSpaceDN w:val="0"/>
        <w:adjustRightInd w:val="0"/>
        <w:spacing w:line="259" w:lineRule="auto"/>
        <w:ind w:left="720" w:hanging="360"/>
        <w:jc w:val="both"/>
        <w:rPr>
          <w:rFonts w:ascii="Times New Roman" w:hAnsi="Times New Roman" w:cs="Times New Roman"/>
          <w:sz w:val="20"/>
          <w:szCs w:val="20"/>
        </w:rPr>
      </w:pPr>
    </w:p>
    <w:p w14:paraId="23D7F1ED" w14:textId="5325CBAD" w:rsidR="009D3417" w:rsidRPr="00412481" w:rsidRDefault="00EC5D2D">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B</w:t>
      </w:r>
      <w:r w:rsidR="00E67AAB" w:rsidRPr="00412481">
        <w:rPr>
          <w:rFonts w:ascii="Times New Roman" w:hAnsi="Times New Roman" w:cs="Times New Roman"/>
          <w:sz w:val="20"/>
          <w:szCs w:val="20"/>
        </w:rPr>
        <w:t>.</w:t>
      </w:r>
      <w:r w:rsidR="00E67AAB" w:rsidRPr="00412481">
        <w:rPr>
          <w:rFonts w:ascii="Times New Roman" w:hAnsi="Times New Roman" w:cs="Times New Roman"/>
          <w:sz w:val="20"/>
          <w:szCs w:val="20"/>
        </w:rPr>
        <w:tab/>
      </w:r>
      <w:r w:rsidR="00BB747E" w:rsidRPr="00412481">
        <w:rPr>
          <w:rFonts w:ascii="Times New Roman" w:hAnsi="Times New Roman" w:cs="Times New Roman"/>
          <w:b/>
          <w:bCs/>
          <w:sz w:val="20"/>
          <w:szCs w:val="20"/>
        </w:rPr>
        <w:t xml:space="preserve">Model rigor.  </w:t>
      </w:r>
      <w:r w:rsidR="00953568" w:rsidRPr="00412481">
        <w:rPr>
          <w:rFonts w:ascii="Times New Roman" w:hAnsi="Times New Roman" w:cs="Times New Roman"/>
          <w:sz w:val="20"/>
          <w:szCs w:val="20"/>
        </w:rPr>
        <w:t>Where significant risks associated with complex</w:t>
      </w:r>
      <w:r w:rsidR="003A1161" w:rsidRPr="00412481">
        <w:rPr>
          <w:rFonts w:ascii="Times New Roman" w:hAnsi="Times New Roman" w:cs="Times New Roman"/>
          <w:sz w:val="20"/>
          <w:szCs w:val="20"/>
        </w:rPr>
        <w:t xml:space="preserve">, </w:t>
      </w:r>
      <w:r w:rsidR="00650A21" w:rsidRPr="00412481">
        <w:rPr>
          <w:rFonts w:ascii="Times New Roman" w:hAnsi="Times New Roman" w:cs="Times New Roman"/>
          <w:sz w:val="20"/>
          <w:szCs w:val="20"/>
        </w:rPr>
        <w:t xml:space="preserve">Projected High Net Yield Assets </w:t>
      </w:r>
      <w:r w:rsidR="00953568" w:rsidRPr="00412481">
        <w:rPr>
          <w:rFonts w:ascii="Times New Roman" w:hAnsi="Times New Roman" w:cs="Times New Roman"/>
          <w:sz w:val="20"/>
          <w:szCs w:val="20"/>
        </w:rPr>
        <w:t>are not adequately captured with traditional modeling techniques associated with simple assets like corporate bonds, more rigorous modeling of those risks should occur.</w:t>
      </w:r>
    </w:p>
    <w:p w14:paraId="3E2BD0E1" w14:textId="77777777" w:rsidR="001D2051" w:rsidRPr="00412481" w:rsidRDefault="001D2051">
      <w:pPr>
        <w:widowControl/>
        <w:autoSpaceDE w:val="0"/>
        <w:autoSpaceDN w:val="0"/>
        <w:adjustRightInd w:val="0"/>
        <w:spacing w:line="259" w:lineRule="auto"/>
        <w:ind w:left="1800" w:hanging="360"/>
        <w:jc w:val="both"/>
        <w:rPr>
          <w:rFonts w:ascii="Times New Roman" w:hAnsi="Times New Roman" w:cs="Times New Roman"/>
          <w:sz w:val="20"/>
          <w:szCs w:val="20"/>
        </w:rPr>
      </w:pPr>
    </w:p>
    <w:p w14:paraId="0375EFF4" w14:textId="730A48D4" w:rsidR="009D3417" w:rsidRPr="00412481" w:rsidRDefault="009D3417">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 xml:space="preserve">i. </w:t>
      </w:r>
      <w:r w:rsidRPr="00412481">
        <w:rPr>
          <w:rFonts w:ascii="Times New Roman" w:hAnsi="Times New Roman" w:cs="Times New Roman"/>
          <w:sz w:val="20"/>
          <w:szCs w:val="20"/>
        </w:rPr>
        <w:tab/>
      </w:r>
      <w:r w:rsidR="00170930" w:rsidRPr="00412481">
        <w:rPr>
          <w:rFonts w:ascii="Times New Roman" w:hAnsi="Times New Roman" w:cs="Times New Roman"/>
          <w:sz w:val="20"/>
          <w:szCs w:val="20"/>
        </w:rPr>
        <w:t>Where necessary to adequately reflect the risk</w:t>
      </w:r>
      <w:r w:rsidR="00CB748D" w:rsidRPr="00412481">
        <w:rPr>
          <w:rFonts w:ascii="Times New Roman" w:hAnsi="Times New Roman" w:cs="Times New Roman"/>
          <w:sz w:val="20"/>
          <w:szCs w:val="20"/>
        </w:rPr>
        <w:t>:</w:t>
      </w:r>
    </w:p>
    <w:p w14:paraId="04B54AC2" w14:textId="77777777" w:rsidR="00BC6548" w:rsidRPr="00412481" w:rsidRDefault="00BC6548">
      <w:pPr>
        <w:widowControl/>
        <w:autoSpaceDE w:val="0"/>
        <w:autoSpaceDN w:val="0"/>
        <w:adjustRightInd w:val="0"/>
        <w:spacing w:line="259" w:lineRule="auto"/>
        <w:ind w:left="1800" w:hanging="360"/>
        <w:jc w:val="both"/>
        <w:rPr>
          <w:rFonts w:ascii="Times New Roman" w:hAnsi="Times New Roman" w:cs="Times New Roman"/>
          <w:sz w:val="20"/>
          <w:szCs w:val="20"/>
        </w:rPr>
      </w:pPr>
    </w:p>
    <w:p w14:paraId="6D835C15" w14:textId="380B4637" w:rsidR="00CB77E9" w:rsidRPr="00412481" w:rsidRDefault="009D3417">
      <w:pPr>
        <w:widowControl/>
        <w:autoSpaceDE w:val="0"/>
        <w:autoSpaceDN w:val="0"/>
        <w:adjustRightInd w:val="0"/>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(a)</w:t>
      </w:r>
      <w:r w:rsidRPr="00412481">
        <w:rPr>
          <w:rFonts w:ascii="Times New Roman" w:hAnsi="Times New Roman" w:cs="Times New Roman"/>
          <w:sz w:val="20"/>
          <w:szCs w:val="20"/>
        </w:rPr>
        <w:tab/>
      </w:r>
      <w:r w:rsidR="00CB748D" w:rsidRPr="00412481">
        <w:rPr>
          <w:rFonts w:ascii="Times New Roman" w:hAnsi="Times New Roman" w:cs="Times New Roman"/>
          <w:sz w:val="20"/>
          <w:szCs w:val="20"/>
        </w:rPr>
        <w:t xml:space="preserve">Multi-scenario testing of those risks specific to complex assets should be performed. </w:t>
      </w:r>
      <w:r w:rsidRPr="00412481">
        <w:rPr>
          <w:rFonts w:ascii="Times New Roman" w:hAnsi="Times New Roman" w:cs="Times New Roman"/>
          <w:sz w:val="20"/>
          <w:szCs w:val="20"/>
        </w:rPr>
        <w:t xml:space="preserve">For example, investments that </w:t>
      </w:r>
      <w:r w:rsidR="00D53E83" w:rsidRPr="00412481">
        <w:rPr>
          <w:rFonts w:ascii="Times New Roman" w:hAnsi="Times New Roman" w:cs="Times New Roman"/>
          <w:sz w:val="20"/>
          <w:szCs w:val="20"/>
        </w:rPr>
        <w:t xml:space="preserve">may </w:t>
      </w:r>
      <w:r w:rsidRPr="00412481">
        <w:rPr>
          <w:rFonts w:ascii="Times New Roman" w:hAnsi="Times New Roman" w:cs="Times New Roman"/>
          <w:sz w:val="20"/>
          <w:szCs w:val="20"/>
        </w:rPr>
        <w:t xml:space="preserve">provide a </w:t>
      </w:r>
      <w:r w:rsidR="00D53E83" w:rsidRPr="00412481">
        <w:rPr>
          <w:rFonts w:ascii="Times New Roman" w:hAnsi="Times New Roman" w:cs="Times New Roman"/>
          <w:sz w:val="20"/>
          <w:szCs w:val="20"/>
        </w:rPr>
        <w:t>higher expected return in part</w:t>
      </w:r>
      <w:r w:rsidRPr="00412481">
        <w:rPr>
          <w:rFonts w:ascii="Times New Roman" w:hAnsi="Times New Roman" w:cs="Times New Roman"/>
          <w:sz w:val="20"/>
          <w:szCs w:val="20"/>
        </w:rPr>
        <w:t xml:space="preserve"> due to limited information, niche skill sets, or other factors may require unique scenarios</w:t>
      </w:r>
      <w:r w:rsidR="00C0752D" w:rsidRPr="00412481">
        <w:rPr>
          <w:rFonts w:ascii="Times New Roman" w:hAnsi="Times New Roman" w:cs="Times New Roman"/>
          <w:sz w:val="20"/>
          <w:szCs w:val="20"/>
        </w:rPr>
        <w:t xml:space="preserve"> (for instance to </w:t>
      </w:r>
      <w:r w:rsidR="00BC6548" w:rsidRPr="00412481">
        <w:rPr>
          <w:rFonts w:ascii="Times New Roman" w:hAnsi="Times New Roman" w:cs="Times New Roman"/>
          <w:sz w:val="20"/>
          <w:szCs w:val="20"/>
        </w:rPr>
        <w:t xml:space="preserve">adequately </w:t>
      </w:r>
      <w:r w:rsidR="00C0752D" w:rsidRPr="00412481">
        <w:rPr>
          <w:rFonts w:ascii="Times New Roman" w:hAnsi="Times New Roman" w:cs="Times New Roman"/>
          <w:sz w:val="20"/>
          <w:szCs w:val="20"/>
        </w:rPr>
        <w:t>capture credit or liquidity risk)</w:t>
      </w:r>
      <w:r w:rsidRPr="00412481">
        <w:rPr>
          <w:rFonts w:ascii="Times New Roman" w:hAnsi="Times New Roman" w:cs="Times New Roman"/>
          <w:sz w:val="20"/>
          <w:szCs w:val="20"/>
        </w:rPr>
        <w:t xml:space="preserve"> to fully encompass potential sources of loss.</w:t>
      </w:r>
    </w:p>
    <w:p w14:paraId="6CA95763" w14:textId="77777777" w:rsidR="00CB77E9" w:rsidRPr="00412481" w:rsidRDefault="00CB77E9">
      <w:pPr>
        <w:widowControl/>
        <w:autoSpaceDE w:val="0"/>
        <w:autoSpaceDN w:val="0"/>
        <w:adjustRightInd w:val="0"/>
        <w:spacing w:line="259" w:lineRule="auto"/>
        <w:ind w:left="2880" w:hanging="360"/>
        <w:jc w:val="both"/>
        <w:rPr>
          <w:rFonts w:ascii="Times New Roman" w:hAnsi="Times New Roman" w:cs="Times New Roman"/>
          <w:sz w:val="20"/>
          <w:szCs w:val="20"/>
        </w:rPr>
      </w:pPr>
    </w:p>
    <w:p w14:paraId="34BBEE40" w14:textId="7D913619" w:rsidR="00CB77E9" w:rsidRPr="00412481" w:rsidRDefault="00CB77E9">
      <w:pPr>
        <w:widowControl/>
        <w:autoSpaceDE w:val="0"/>
        <w:autoSpaceDN w:val="0"/>
        <w:adjustRightInd w:val="0"/>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(b)</w:t>
      </w:r>
      <w:r w:rsidRPr="00412481">
        <w:rPr>
          <w:rFonts w:ascii="Times New Roman" w:hAnsi="Times New Roman" w:cs="Times New Roman"/>
          <w:sz w:val="20"/>
          <w:szCs w:val="20"/>
        </w:rPr>
        <w:tab/>
      </w:r>
      <w:r w:rsidR="009D3417" w:rsidRPr="00412481">
        <w:rPr>
          <w:rFonts w:ascii="Times New Roman" w:hAnsi="Times New Roman" w:cs="Times New Roman"/>
          <w:sz w:val="20"/>
          <w:szCs w:val="20"/>
        </w:rPr>
        <w:t>Asset</w:t>
      </w:r>
      <w:r w:rsidRPr="00412481">
        <w:rPr>
          <w:rFonts w:ascii="Times New Roman" w:hAnsi="Times New Roman" w:cs="Times New Roman"/>
          <w:sz w:val="20"/>
          <w:szCs w:val="20"/>
        </w:rPr>
        <w:t xml:space="preserve"> cash flows</w:t>
      </w:r>
      <w:r w:rsidR="009D3417" w:rsidRPr="00412481">
        <w:rPr>
          <w:rFonts w:ascii="Times New Roman" w:hAnsi="Times New Roman" w:cs="Times New Roman"/>
          <w:sz w:val="20"/>
          <w:szCs w:val="20"/>
        </w:rPr>
        <w:t xml:space="preserve"> should be appropriately </w:t>
      </w:r>
      <w:r w:rsidRPr="00412481">
        <w:rPr>
          <w:rFonts w:ascii="Times New Roman" w:hAnsi="Times New Roman" w:cs="Times New Roman"/>
          <w:sz w:val="20"/>
          <w:szCs w:val="20"/>
        </w:rPr>
        <w:t>projected</w:t>
      </w:r>
      <w:r w:rsidR="009D3417" w:rsidRPr="00412481">
        <w:rPr>
          <w:rFonts w:ascii="Times New Roman" w:hAnsi="Times New Roman" w:cs="Times New Roman"/>
          <w:sz w:val="20"/>
          <w:szCs w:val="20"/>
        </w:rPr>
        <w:t xml:space="preserve"> to reflect anticipated liquidity </w:t>
      </w:r>
      <w:r w:rsidR="00F67DFC" w:rsidRPr="00412481">
        <w:rPr>
          <w:rFonts w:ascii="Times New Roman" w:hAnsi="Times New Roman" w:cs="Times New Roman"/>
          <w:sz w:val="20"/>
          <w:szCs w:val="20"/>
        </w:rPr>
        <w:t>under adverse conditions</w:t>
      </w:r>
      <w:r w:rsidR="009D3417" w:rsidRPr="00412481">
        <w:rPr>
          <w:rFonts w:ascii="Times New Roman" w:hAnsi="Times New Roman" w:cs="Times New Roman"/>
          <w:sz w:val="20"/>
          <w:szCs w:val="20"/>
        </w:rPr>
        <w:t>.</w:t>
      </w:r>
      <w:r w:rsidRPr="00412481">
        <w:rPr>
          <w:rFonts w:ascii="Times New Roman" w:hAnsi="Times New Roman" w:cs="Times New Roman"/>
          <w:sz w:val="20"/>
          <w:szCs w:val="20"/>
        </w:rPr>
        <w:t xml:space="preserve"> If</w:t>
      </w:r>
      <w:r w:rsidR="00FB356D" w:rsidRPr="00412481">
        <w:rPr>
          <w:rFonts w:ascii="Times New Roman" w:hAnsi="Times New Roman" w:cs="Times New Roman"/>
          <w:sz w:val="20"/>
          <w:szCs w:val="20"/>
        </w:rPr>
        <w:t xml:space="preserve"> </w:t>
      </w:r>
      <w:r w:rsidR="00B70A57" w:rsidRPr="00412481">
        <w:rPr>
          <w:rFonts w:ascii="Times New Roman" w:hAnsi="Times New Roman" w:cs="Times New Roman"/>
          <w:sz w:val="20"/>
          <w:szCs w:val="20"/>
        </w:rPr>
        <w:t xml:space="preserve">such model aspects are not developed, </w:t>
      </w:r>
      <w:r w:rsidR="00FB356D" w:rsidRPr="00412481">
        <w:rPr>
          <w:rFonts w:ascii="Times New Roman" w:hAnsi="Times New Roman" w:cs="Times New Roman"/>
          <w:sz w:val="20"/>
          <w:szCs w:val="20"/>
        </w:rPr>
        <w:t>sufficient add</w:t>
      </w:r>
      <w:r w:rsidR="00B70A57" w:rsidRPr="00412481">
        <w:rPr>
          <w:rFonts w:ascii="Times New Roman" w:hAnsi="Times New Roman" w:cs="Times New Roman"/>
          <w:sz w:val="20"/>
          <w:szCs w:val="20"/>
        </w:rPr>
        <w:t>itional</w:t>
      </w:r>
      <w:r w:rsidR="00FB356D" w:rsidRPr="00412481">
        <w:rPr>
          <w:rFonts w:ascii="Times New Roman" w:hAnsi="Times New Roman" w:cs="Times New Roman"/>
          <w:sz w:val="20"/>
          <w:szCs w:val="20"/>
        </w:rPr>
        <w:t xml:space="preserve"> conservatism </w:t>
      </w:r>
      <w:r w:rsidR="00B70A57" w:rsidRPr="00412481">
        <w:rPr>
          <w:rFonts w:ascii="Times New Roman" w:hAnsi="Times New Roman" w:cs="Times New Roman"/>
          <w:sz w:val="20"/>
          <w:szCs w:val="20"/>
        </w:rPr>
        <w:t xml:space="preserve">to reflect this risk shall </w:t>
      </w:r>
      <w:r w:rsidR="00FB356D" w:rsidRPr="00412481">
        <w:rPr>
          <w:rFonts w:ascii="Times New Roman" w:hAnsi="Times New Roman" w:cs="Times New Roman"/>
          <w:sz w:val="20"/>
          <w:szCs w:val="20"/>
        </w:rPr>
        <w:t xml:space="preserve">be </w:t>
      </w:r>
      <w:r w:rsidR="00B70A57" w:rsidRPr="00412481">
        <w:rPr>
          <w:rFonts w:ascii="Times New Roman" w:hAnsi="Times New Roman" w:cs="Times New Roman"/>
          <w:sz w:val="20"/>
          <w:szCs w:val="20"/>
        </w:rPr>
        <w:t>applied</w:t>
      </w:r>
      <w:r w:rsidR="00FB356D" w:rsidRPr="00412481">
        <w:rPr>
          <w:rFonts w:ascii="Times New Roman" w:hAnsi="Times New Roman" w:cs="Times New Roman"/>
          <w:sz w:val="20"/>
          <w:szCs w:val="20"/>
        </w:rPr>
        <w:t>.</w:t>
      </w:r>
    </w:p>
    <w:p w14:paraId="3D7E7CF5" w14:textId="77777777" w:rsidR="001D2051" w:rsidRPr="0041248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p>
    <w:p w14:paraId="2B883785" w14:textId="64AEFEE8" w:rsidR="00DD38A7" w:rsidRPr="0041248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w:t>
      </w:r>
      <w:r w:rsidR="008A7370" w:rsidRPr="00412481">
        <w:rPr>
          <w:rFonts w:ascii="Times New Roman" w:hAnsi="Times New Roman" w:cs="Times New Roman"/>
          <w:sz w:val="20"/>
          <w:szCs w:val="20"/>
        </w:rPr>
        <w:t>c</w:t>
      </w:r>
      <w:r w:rsidRPr="00412481">
        <w:rPr>
          <w:rFonts w:ascii="Times New Roman" w:hAnsi="Times New Roman" w:cs="Times New Roman"/>
          <w:sz w:val="20"/>
          <w:szCs w:val="20"/>
        </w:rPr>
        <w:t>)</w:t>
      </w:r>
      <w:r w:rsidRPr="00412481">
        <w:rPr>
          <w:rFonts w:ascii="Times New Roman" w:hAnsi="Times New Roman" w:cs="Times New Roman"/>
          <w:sz w:val="20"/>
          <w:szCs w:val="20"/>
        </w:rPr>
        <w:tab/>
        <w:t xml:space="preserve">To the extent that the process for modeling or otherwise evaluating the risks </w:t>
      </w:r>
      <w:r w:rsidR="00C0237B" w:rsidRPr="00412481">
        <w:rPr>
          <w:rFonts w:ascii="Times New Roman" w:hAnsi="Times New Roman" w:cs="Times New Roman"/>
          <w:sz w:val="20"/>
          <w:szCs w:val="20"/>
        </w:rPr>
        <w:t>is</w:t>
      </w:r>
      <w:r w:rsidRPr="00412481">
        <w:rPr>
          <w:rFonts w:ascii="Times New Roman" w:hAnsi="Times New Roman" w:cs="Times New Roman"/>
          <w:sz w:val="20"/>
          <w:szCs w:val="20"/>
        </w:rPr>
        <w:t xml:space="preserve"> complex, and the potential for disconnect between reality and modeling increases, an additional margin </w:t>
      </w:r>
      <w:r w:rsidR="00C0237B" w:rsidRPr="00412481">
        <w:rPr>
          <w:rFonts w:ascii="Times New Roman" w:hAnsi="Times New Roman" w:cs="Times New Roman"/>
          <w:sz w:val="20"/>
          <w:szCs w:val="20"/>
        </w:rPr>
        <w:t>to assumption(s)</w:t>
      </w:r>
      <w:r w:rsidRPr="00412481">
        <w:rPr>
          <w:rFonts w:ascii="Times New Roman" w:hAnsi="Times New Roman" w:cs="Times New Roman"/>
          <w:sz w:val="20"/>
          <w:szCs w:val="20"/>
        </w:rPr>
        <w:t xml:space="preserve"> </w:t>
      </w:r>
      <w:r w:rsidR="00B70A57" w:rsidRPr="00412481">
        <w:rPr>
          <w:rFonts w:ascii="Times New Roman" w:hAnsi="Times New Roman" w:cs="Times New Roman"/>
          <w:sz w:val="20"/>
          <w:szCs w:val="20"/>
        </w:rPr>
        <w:t>should be applied</w:t>
      </w:r>
      <w:r w:rsidRPr="00412481">
        <w:rPr>
          <w:rFonts w:ascii="Times New Roman" w:hAnsi="Times New Roman" w:cs="Times New Roman"/>
          <w:sz w:val="20"/>
          <w:szCs w:val="20"/>
        </w:rPr>
        <w:t>.</w:t>
      </w:r>
      <w:r w:rsidR="00C0237B" w:rsidRPr="00412481">
        <w:rPr>
          <w:rFonts w:ascii="Times New Roman" w:hAnsi="Times New Roman" w:cs="Times New Roman"/>
          <w:sz w:val="20"/>
          <w:szCs w:val="20"/>
        </w:rPr>
        <w:t xml:space="preserve"> Any such margin shall be applied in the direction of asset adequacy </w:t>
      </w:r>
      <w:r w:rsidR="008E3369" w:rsidRPr="00412481">
        <w:rPr>
          <w:rFonts w:ascii="Times New Roman" w:hAnsi="Times New Roman" w:cs="Times New Roman"/>
          <w:sz w:val="20"/>
          <w:szCs w:val="20"/>
        </w:rPr>
        <w:t xml:space="preserve">analysis </w:t>
      </w:r>
      <w:r w:rsidR="00C0237B" w:rsidRPr="00412481">
        <w:rPr>
          <w:rFonts w:ascii="Times New Roman" w:hAnsi="Times New Roman" w:cs="Times New Roman"/>
          <w:sz w:val="20"/>
          <w:szCs w:val="20"/>
        </w:rPr>
        <w:t>results being less favorable.</w:t>
      </w:r>
    </w:p>
    <w:p w14:paraId="18C42387" w14:textId="77777777" w:rsidR="00DD38A7" w:rsidRPr="00412481" w:rsidRDefault="00DD38A7">
      <w:pPr>
        <w:widowControl/>
        <w:autoSpaceDE w:val="0"/>
        <w:autoSpaceDN w:val="0"/>
        <w:adjustRightInd w:val="0"/>
        <w:spacing w:line="259" w:lineRule="auto"/>
        <w:ind w:left="2880" w:hanging="360"/>
        <w:jc w:val="both"/>
        <w:rPr>
          <w:rFonts w:ascii="Times New Roman" w:hAnsi="Times New Roman" w:cs="Times New Roman"/>
          <w:sz w:val="20"/>
          <w:szCs w:val="20"/>
        </w:rPr>
      </w:pPr>
    </w:p>
    <w:p w14:paraId="3FEFF785" w14:textId="446F01E7" w:rsidR="00832082" w:rsidRPr="00412481" w:rsidRDefault="00DD38A7" w:rsidP="003C5968">
      <w:pPr>
        <w:widowControl/>
        <w:autoSpaceDE w:val="0"/>
        <w:autoSpaceDN w:val="0"/>
        <w:adjustRightInd w:val="0"/>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(d)</w:t>
      </w:r>
      <w:r w:rsidRPr="00412481">
        <w:rPr>
          <w:rFonts w:ascii="Times New Roman" w:hAnsi="Times New Roman" w:cs="Times New Roman"/>
          <w:sz w:val="20"/>
          <w:szCs w:val="20"/>
        </w:rPr>
        <w:tab/>
      </w:r>
      <w:r w:rsidR="00035F0D" w:rsidRPr="00412481">
        <w:rPr>
          <w:rFonts w:ascii="Times New Roman" w:hAnsi="Times New Roman" w:cs="Times New Roman"/>
          <w:sz w:val="20"/>
          <w:szCs w:val="20"/>
        </w:rPr>
        <w:t xml:space="preserve"> The full distribution of risk associated with complex assets should be considered.</w:t>
      </w:r>
    </w:p>
    <w:p w14:paraId="517740A6" w14:textId="77777777" w:rsidR="00832082" w:rsidRPr="00412481" w:rsidRDefault="00832082">
      <w:pPr>
        <w:widowControl/>
        <w:autoSpaceDE w:val="0"/>
        <w:autoSpaceDN w:val="0"/>
        <w:adjustRightInd w:val="0"/>
        <w:spacing w:line="259" w:lineRule="auto"/>
        <w:ind w:left="1800" w:hanging="360"/>
        <w:jc w:val="both"/>
        <w:rPr>
          <w:rFonts w:ascii="Times New Roman" w:hAnsi="Times New Roman" w:cs="Times New Roman"/>
          <w:sz w:val="20"/>
          <w:szCs w:val="20"/>
        </w:rPr>
      </w:pPr>
    </w:p>
    <w:p w14:paraId="08430D96" w14:textId="1A5DB5FC" w:rsidR="00805598" w:rsidRPr="00412481" w:rsidRDefault="00832082">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ii.</w:t>
      </w:r>
      <w:r w:rsidRPr="00412481">
        <w:rPr>
          <w:rFonts w:ascii="Times New Roman" w:hAnsi="Times New Roman" w:cs="Times New Roman"/>
          <w:sz w:val="20"/>
          <w:szCs w:val="20"/>
        </w:rPr>
        <w:tab/>
      </w:r>
      <w:r w:rsidR="00E67AAB" w:rsidRPr="00412481">
        <w:rPr>
          <w:rFonts w:ascii="Times New Roman" w:hAnsi="Times New Roman" w:cs="Times New Roman"/>
          <w:sz w:val="20"/>
          <w:szCs w:val="20"/>
        </w:rPr>
        <w:t xml:space="preserve">A company may use simplifications, approximations, and modeling efficiency techniques if the company can demonstrate that the use of such techniques does </w:t>
      </w:r>
      <w:r w:rsidR="00064F01" w:rsidRPr="00412481">
        <w:rPr>
          <w:rFonts w:ascii="Times New Roman" w:hAnsi="Times New Roman" w:cs="Times New Roman"/>
          <w:sz w:val="20"/>
          <w:szCs w:val="20"/>
        </w:rPr>
        <w:t xml:space="preserve">not </w:t>
      </w:r>
      <w:r w:rsidR="00805598" w:rsidRPr="00412481">
        <w:rPr>
          <w:rFonts w:ascii="Times New Roman" w:hAnsi="Times New Roman" w:cs="Times New Roman"/>
          <w:sz w:val="20"/>
          <w:szCs w:val="20"/>
        </w:rPr>
        <w:t xml:space="preserve">make </w:t>
      </w:r>
      <w:r w:rsidR="00E67AAB" w:rsidRPr="00412481">
        <w:rPr>
          <w:rFonts w:ascii="Times New Roman" w:hAnsi="Times New Roman" w:cs="Times New Roman"/>
          <w:sz w:val="20"/>
          <w:szCs w:val="20"/>
        </w:rPr>
        <w:t xml:space="preserve">asset adequacy </w:t>
      </w:r>
      <w:r w:rsidR="008E3369" w:rsidRPr="00412481">
        <w:rPr>
          <w:rFonts w:ascii="Times New Roman" w:hAnsi="Times New Roman" w:cs="Times New Roman"/>
          <w:sz w:val="20"/>
          <w:szCs w:val="20"/>
        </w:rPr>
        <w:t xml:space="preserve">analysis </w:t>
      </w:r>
      <w:r w:rsidR="00E67AAB" w:rsidRPr="00412481">
        <w:rPr>
          <w:rFonts w:ascii="Times New Roman" w:hAnsi="Times New Roman" w:cs="Times New Roman"/>
          <w:sz w:val="20"/>
          <w:szCs w:val="20"/>
        </w:rPr>
        <w:t xml:space="preserve">results </w:t>
      </w:r>
      <w:r w:rsidR="00805598" w:rsidRPr="00412481">
        <w:rPr>
          <w:rFonts w:ascii="Times New Roman" w:hAnsi="Times New Roman" w:cs="Times New Roman"/>
          <w:sz w:val="20"/>
          <w:szCs w:val="20"/>
        </w:rPr>
        <w:t>more favorable</w:t>
      </w:r>
      <w:r w:rsidR="00E67AAB" w:rsidRPr="00412481">
        <w:rPr>
          <w:rFonts w:ascii="Times New Roman" w:hAnsi="Times New Roman" w:cs="Times New Roman"/>
          <w:sz w:val="20"/>
          <w:szCs w:val="20"/>
        </w:rPr>
        <w:t>.</w:t>
      </w:r>
      <w:r w:rsidR="007A4E7A" w:rsidRPr="00412481">
        <w:rPr>
          <w:rFonts w:ascii="Times New Roman" w:hAnsi="Times New Roman" w:cs="Times New Roman"/>
          <w:sz w:val="20"/>
          <w:szCs w:val="20"/>
        </w:rPr>
        <w:t xml:space="preserve"> These techniques may be less appropriate if the amount of complex, high-yielding assets becomes a higher percentage of total assets.</w:t>
      </w:r>
    </w:p>
    <w:p w14:paraId="63E38769" w14:textId="77777777" w:rsidR="007A4E7A" w:rsidRPr="00412481" w:rsidRDefault="007A4E7A">
      <w:pPr>
        <w:widowControl/>
        <w:autoSpaceDE w:val="0"/>
        <w:autoSpaceDN w:val="0"/>
        <w:adjustRightInd w:val="0"/>
        <w:spacing w:line="259" w:lineRule="auto"/>
        <w:ind w:left="1800" w:hanging="360"/>
        <w:jc w:val="both"/>
        <w:rPr>
          <w:rFonts w:ascii="Times New Roman" w:hAnsi="Times New Roman" w:cs="Times New Roman"/>
          <w:sz w:val="20"/>
          <w:szCs w:val="20"/>
        </w:rPr>
      </w:pPr>
    </w:p>
    <w:p w14:paraId="2B2B46B5" w14:textId="13E7DCA9" w:rsidR="007A4E7A" w:rsidRPr="00412481" w:rsidRDefault="00CB748D" w:rsidP="00CB66C7">
      <w:pPr>
        <w:widowControl/>
        <w:pBdr>
          <w:top w:val="single" w:sz="4" w:space="1" w:color="auto"/>
          <w:left w:val="single" w:sz="4" w:space="4" w:color="auto"/>
          <w:bottom w:val="single" w:sz="4" w:space="1" w:color="auto"/>
          <w:right w:val="single" w:sz="4" w:space="4" w:color="auto"/>
        </w:pBdr>
        <w:autoSpaceDE w:val="0"/>
        <w:autoSpaceDN w:val="0"/>
        <w:adjustRightInd w:val="0"/>
        <w:spacing w:line="259" w:lineRule="auto"/>
        <w:ind w:left="1890"/>
        <w:jc w:val="both"/>
        <w:rPr>
          <w:rFonts w:ascii="Times New Roman" w:hAnsi="Times New Roman" w:cs="Times New Roman"/>
          <w:sz w:val="20"/>
          <w:szCs w:val="20"/>
        </w:rPr>
      </w:pPr>
      <w:r w:rsidRPr="00412481">
        <w:rPr>
          <w:rFonts w:ascii="Times New Roman" w:hAnsi="Times New Roman" w:cs="Times New Roman"/>
          <w:b/>
          <w:bCs/>
          <w:sz w:val="20"/>
          <w:szCs w:val="20"/>
        </w:rPr>
        <w:t>Guidance note:</w:t>
      </w:r>
      <w:r w:rsidRPr="00412481">
        <w:rPr>
          <w:rFonts w:ascii="Times New Roman" w:hAnsi="Times New Roman" w:cs="Times New Roman"/>
          <w:sz w:val="20"/>
          <w:szCs w:val="20"/>
        </w:rPr>
        <w:t xml:space="preserve"> </w:t>
      </w:r>
      <w:r w:rsidR="00D6766F" w:rsidRPr="00412481">
        <w:rPr>
          <w:rFonts w:ascii="Times New Roman" w:hAnsi="Times New Roman" w:cs="Times New Roman"/>
          <w:sz w:val="20"/>
          <w:szCs w:val="20"/>
        </w:rPr>
        <w:t>A</w:t>
      </w:r>
      <w:r w:rsidR="007A4E7A" w:rsidRPr="00412481">
        <w:rPr>
          <w:rFonts w:ascii="Times New Roman" w:hAnsi="Times New Roman" w:cs="Times New Roman"/>
          <w:sz w:val="20"/>
          <w:szCs w:val="20"/>
        </w:rPr>
        <w:t>ctuarial Standards of Practice (ASOPs), including ASOP No. 7 and No. 56 contain additional guidance on the use of models in the analysis of cash flows.</w:t>
      </w:r>
    </w:p>
    <w:p w14:paraId="04533F62" w14:textId="08B33359" w:rsidR="00C32BB0" w:rsidRPr="00412481" w:rsidRDefault="00C32BB0">
      <w:pPr>
        <w:widowControl/>
        <w:autoSpaceDE w:val="0"/>
        <w:autoSpaceDN w:val="0"/>
        <w:adjustRightInd w:val="0"/>
        <w:spacing w:line="259" w:lineRule="auto"/>
        <w:ind w:left="720" w:hanging="360"/>
        <w:jc w:val="both"/>
        <w:rPr>
          <w:rFonts w:ascii="Times New Roman" w:hAnsi="Times New Roman" w:cs="Times New Roman"/>
          <w:sz w:val="20"/>
          <w:szCs w:val="20"/>
        </w:rPr>
      </w:pPr>
    </w:p>
    <w:p w14:paraId="34B795BA" w14:textId="437D4511" w:rsidR="00264AE5" w:rsidRPr="00412481" w:rsidRDefault="00EC5D2D">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C</w:t>
      </w:r>
      <w:r w:rsidR="00C32BB0" w:rsidRPr="00412481">
        <w:rPr>
          <w:rFonts w:ascii="Times New Roman" w:hAnsi="Times New Roman" w:cs="Times New Roman"/>
          <w:sz w:val="20"/>
          <w:szCs w:val="20"/>
        </w:rPr>
        <w:t>.</w:t>
      </w:r>
      <w:r w:rsidR="00C32BB0" w:rsidRPr="00412481">
        <w:rPr>
          <w:rFonts w:ascii="Times New Roman" w:hAnsi="Times New Roman" w:cs="Times New Roman"/>
          <w:sz w:val="20"/>
          <w:szCs w:val="20"/>
        </w:rPr>
        <w:tab/>
      </w:r>
      <w:r w:rsidR="00BB747E" w:rsidRPr="00412481">
        <w:rPr>
          <w:rFonts w:ascii="Times New Roman" w:hAnsi="Times New Roman" w:cs="Times New Roman"/>
          <w:b/>
          <w:bCs/>
          <w:sz w:val="20"/>
          <w:szCs w:val="20"/>
        </w:rPr>
        <w:t xml:space="preserve">Fair </w:t>
      </w:r>
      <w:r w:rsidR="00EF4AF6" w:rsidRPr="00412481">
        <w:rPr>
          <w:rFonts w:ascii="Times New Roman" w:hAnsi="Times New Roman" w:cs="Times New Roman"/>
          <w:b/>
          <w:bCs/>
          <w:sz w:val="20"/>
          <w:szCs w:val="20"/>
        </w:rPr>
        <w:t>V</w:t>
      </w:r>
      <w:r w:rsidR="00BB747E" w:rsidRPr="00412481">
        <w:rPr>
          <w:rFonts w:ascii="Times New Roman" w:hAnsi="Times New Roman" w:cs="Times New Roman"/>
          <w:b/>
          <w:bCs/>
          <w:sz w:val="20"/>
          <w:szCs w:val="20"/>
        </w:rPr>
        <w:t xml:space="preserve">alue determination.  </w:t>
      </w:r>
      <w:r w:rsidR="000B13BA" w:rsidRPr="00412481">
        <w:rPr>
          <w:rFonts w:ascii="Times New Roman" w:hAnsi="Times New Roman" w:cs="Times New Roman"/>
          <w:sz w:val="20"/>
          <w:szCs w:val="20"/>
        </w:rPr>
        <w:t xml:space="preserve">In asset adequacy </w:t>
      </w:r>
      <w:r w:rsidR="008E3369" w:rsidRPr="00412481">
        <w:rPr>
          <w:rFonts w:ascii="Times New Roman" w:hAnsi="Times New Roman" w:cs="Times New Roman"/>
          <w:sz w:val="20"/>
          <w:szCs w:val="20"/>
        </w:rPr>
        <w:t>analysis</w:t>
      </w:r>
      <w:r w:rsidR="000B13BA" w:rsidRPr="00412481">
        <w:rPr>
          <w:rFonts w:ascii="Times New Roman" w:hAnsi="Times New Roman" w:cs="Times New Roman"/>
          <w:sz w:val="20"/>
          <w:szCs w:val="20"/>
        </w:rPr>
        <w:t xml:space="preserve">, when an asset is projected to be available for sale, a </w:t>
      </w:r>
      <w:r w:rsidR="00C621B2" w:rsidRPr="00412481">
        <w:rPr>
          <w:rFonts w:ascii="Times New Roman" w:hAnsi="Times New Roman" w:cs="Times New Roman"/>
          <w:sz w:val="20"/>
          <w:szCs w:val="20"/>
        </w:rPr>
        <w:t xml:space="preserve">Fair Value </w:t>
      </w:r>
      <w:r w:rsidR="000B13BA" w:rsidRPr="00412481">
        <w:rPr>
          <w:rFonts w:ascii="Times New Roman" w:hAnsi="Times New Roman" w:cs="Times New Roman"/>
          <w:sz w:val="20"/>
          <w:szCs w:val="20"/>
        </w:rPr>
        <w:t>of that asset is established</w:t>
      </w:r>
      <w:r w:rsidR="00A37357" w:rsidRPr="00412481">
        <w:rPr>
          <w:rFonts w:ascii="Times New Roman" w:hAnsi="Times New Roman" w:cs="Times New Roman"/>
          <w:sz w:val="20"/>
          <w:szCs w:val="20"/>
        </w:rPr>
        <w:t xml:space="preserve">, based on market information. Fair </w:t>
      </w:r>
      <w:r w:rsidR="00C621B2" w:rsidRPr="00412481">
        <w:rPr>
          <w:rFonts w:ascii="Times New Roman" w:hAnsi="Times New Roman" w:cs="Times New Roman"/>
          <w:sz w:val="20"/>
          <w:szCs w:val="20"/>
        </w:rPr>
        <w:t xml:space="preserve">Value </w:t>
      </w:r>
      <w:r w:rsidR="00A37357" w:rsidRPr="00412481">
        <w:rPr>
          <w:rFonts w:ascii="Times New Roman" w:hAnsi="Times New Roman" w:cs="Times New Roman"/>
          <w:sz w:val="20"/>
          <w:szCs w:val="20"/>
        </w:rPr>
        <w:t xml:space="preserve">should only be determined </w:t>
      </w:r>
      <w:r w:rsidR="00DB065C" w:rsidRPr="00412481">
        <w:rPr>
          <w:rFonts w:ascii="Times New Roman" w:hAnsi="Times New Roman" w:cs="Times New Roman"/>
          <w:sz w:val="20"/>
          <w:szCs w:val="20"/>
        </w:rPr>
        <w:t xml:space="preserve">internally (by the insurance or investment management company) </w:t>
      </w:r>
      <w:r w:rsidR="00A37357" w:rsidRPr="00412481">
        <w:rPr>
          <w:rFonts w:ascii="Times New Roman" w:hAnsi="Times New Roman" w:cs="Times New Roman"/>
          <w:sz w:val="20"/>
          <w:szCs w:val="20"/>
        </w:rPr>
        <w:t xml:space="preserve">when the market-based value </w:t>
      </w:r>
      <w:r w:rsidR="0083186A" w:rsidRPr="00412481">
        <w:rPr>
          <w:rFonts w:ascii="Times New Roman" w:hAnsi="Times New Roman" w:cs="Times New Roman"/>
          <w:sz w:val="20"/>
          <w:szCs w:val="20"/>
        </w:rPr>
        <w:t xml:space="preserve">of the asset or similar asset </w:t>
      </w:r>
      <w:r w:rsidR="00A37357" w:rsidRPr="00412481">
        <w:rPr>
          <w:rFonts w:ascii="Times New Roman" w:hAnsi="Times New Roman" w:cs="Times New Roman"/>
          <w:sz w:val="20"/>
          <w:szCs w:val="20"/>
        </w:rPr>
        <w:t>cannot be obtained</w:t>
      </w:r>
      <w:r w:rsidR="000B13BA" w:rsidRPr="00412481">
        <w:rPr>
          <w:rFonts w:ascii="Times New Roman" w:hAnsi="Times New Roman" w:cs="Times New Roman"/>
          <w:sz w:val="20"/>
          <w:szCs w:val="20"/>
        </w:rPr>
        <w:t>.</w:t>
      </w:r>
    </w:p>
    <w:p w14:paraId="7DB84B54" w14:textId="77777777" w:rsidR="00264AE5" w:rsidRPr="00412481" w:rsidRDefault="00264AE5">
      <w:pPr>
        <w:widowControl/>
        <w:autoSpaceDE w:val="0"/>
        <w:autoSpaceDN w:val="0"/>
        <w:adjustRightInd w:val="0"/>
        <w:spacing w:line="259" w:lineRule="auto"/>
        <w:ind w:left="720" w:hanging="360"/>
        <w:jc w:val="both"/>
        <w:rPr>
          <w:rFonts w:ascii="Times New Roman" w:hAnsi="Times New Roman" w:cs="Times New Roman"/>
          <w:sz w:val="20"/>
          <w:szCs w:val="20"/>
        </w:rPr>
      </w:pPr>
    </w:p>
    <w:p w14:paraId="14196F18" w14:textId="5E60FE95" w:rsidR="000B13BA" w:rsidRPr="00412481" w:rsidRDefault="00264AE5" w:rsidP="00264AE5">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w:t>
      </w:r>
      <w:r w:rsidRPr="00412481">
        <w:rPr>
          <w:rFonts w:ascii="Times New Roman" w:hAnsi="Times New Roman" w:cs="Times New Roman"/>
          <w:sz w:val="20"/>
          <w:szCs w:val="20"/>
        </w:rPr>
        <w:tab/>
      </w:r>
      <w:r w:rsidR="000B13BA" w:rsidRPr="00412481">
        <w:rPr>
          <w:rFonts w:ascii="Times New Roman" w:hAnsi="Times New Roman" w:cs="Times New Roman"/>
          <w:sz w:val="20"/>
          <w:szCs w:val="20"/>
        </w:rPr>
        <w:t xml:space="preserve">When the </w:t>
      </w:r>
      <w:r w:rsidR="00C621B2" w:rsidRPr="00412481">
        <w:rPr>
          <w:rFonts w:ascii="Times New Roman" w:hAnsi="Times New Roman" w:cs="Times New Roman"/>
          <w:sz w:val="20"/>
          <w:szCs w:val="20"/>
        </w:rPr>
        <w:t xml:space="preserve">Fair Value </w:t>
      </w:r>
      <w:r w:rsidR="000B13BA" w:rsidRPr="00412481">
        <w:rPr>
          <w:rFonts w:ascii="Times New Roman" w:hAnsi="Times New Roman" w:cs="Times New Roman"/>
          <w:sz w:val="20"/>
          <w:szCs w:val="20"/>
        </w:rPr>
        <w:t xml:space="preserve">of </w:t>
      </w:r>
      <w:r w:rsidRPr="00412481">
        <w:rPr>
          <w:rFonts w:ascii="Times New Roman" w:hAnsi="Times New Roman" w:cs="Times New Roman"/>
          <w:sz w:val="20"/>
          <w:szCs w:val="20"/>
        </w:rPr>
        <w:t xml:space="preserve">a material portion of supporting </w:t>
      </w:r>
      <w:r w:rsidR="000B13BA" w:rsidRPr="00412481">
        <w:rPr>
          <w:rFonts w:ascii="Times New Roman" w:hAnsi="Times New Roman" w:cs="Times New Roman"/>
          <w:sz w:val="20"/>
          <w:szCs w:val="20"/>
        </w:rPr>
        <w:t xml:space="preserve">assets is determined </w:t>
      </w:r>
      <w:r w:rsidR="00DB065C" w:rsidRPr="00412481">
        <w:rPr>
          <w:rFonts w:ascii="Times New Roman" w:hAnsi="Times New Roman" w:cs="Times New Roman"/>
          <w:sz w:val="20"/>
          <w:szCs w:val="20"/>
        </w:rPr>
        <w:t>internally</w:t>
      </w:r>
      <w:r w:rsidR="000B13BA" w:rsidRPr="00412481">
        <w:rPr>
          <w:rFonts w:ascii="Times New Roman" w:hAnsi="Times New Roman" w:cs="Times New Roman"/>
          <w:sz w:val="20"/>
          <w:szCs w:val="20"/>
        </w:rPr>
        <w:t xml:space="preserve">, the </w:t>
      </w:r>
      <w:r w:rsidR="00C621B2" w:rsidRPr="00412481">
        <w:rPr>
          <w:rFonts w:ascii="Times New Roman" w:hAnsi="Times New Roman" w:cs="Times New Roman"/>
          <w:sz w:val="20"/>
          <w:szCs w:val="20"/>
        </w:rPr>
        <w:t>actuarial memorandum shall contain</w:t>
      </w:r>
      <w:r w:rsidR="000B13BA" w:rsidRPr="00412481">
        <w:rPr>
          <w:rFonts w:ascii="Times New Roman" w:hAnsi="Times New Roman" w:cs="Times New Roman"/>
          <w:sz w:val="20"/>
          <w:szCs w:val="20"/>
        </w:rPr>
        <w:t xml:space="preserve"> a step-by-step description of the approach used to calculate the </w:t>
      </w:r>
      <w:r w:rsidR="00267D39" w:rsidRPr="00412481">
        <w:rPr>
          <w:rFonts w:ascii="Times New Roman" w:hAnsi="Times New Roman" w:cs="Times New Roman"/>
          <w:sz w:val="20"/>
          <w:szCs w:val="20"/>
        </w:rPr>
        <w:t>F</w:t>
      </w:r>
      <w:r w:rsidR="000B13BA" w:rsidRPr="00412481">
        <w:rPr>
          <w:rFonts w:ascii="Times New Roman" w:hAnsi="Times New Roman" w:cs="Times New Roman"/>
          <w:sz w:val="20"/>
          <w:szCs w:val="20"/>
        </w:rPr>
        <w:t xml:space="preserve">air </w:t>
      </w:r>
      <w:r w:rsidR="00267D39" w:rsidRPr="00412481">
        <w:rPr>
          <w:rFonts w:ascii="Times New Roman" w:hAnsi="Times New Roman" w:cs="Times New Roman"/>
          <w:sz w:val="20"/>
          <w:szCs w:val="20"/>
        </w:rPr>
        <w:t>V</w:t>
      </w:r>
      <w:r w:rsidR="000B13BA" w:rsidRPr="00412481">
        <w:rPr>
          <w:rFonts w:ascii="Times New Roman" w:hAnsi="Times New Roman" w:cs="Times New Roman"/>
          <w:sz w:val="20"/>
          <w:szCs w:val="20"/>
        </w:rPr>
        <w:t>alue of such assets.</w:t>
      </w:r>
    </w:p>
    <w:p w14:paraId="3B3159FD" w14:textId="6F561F7D" w:rsidR="005C14C8" w:rsidRPr="00412481" w:rsidRDefault="005C14C8" w:rsidP="00264AE5">
      <w:pPr>
        <w:widowControl/>
        <w:autoSpaceDE w:val="0"/>
        <w:autoSpaceDN w:val="0"/>
        <w:adjustRightInd w:val="0"/>
        <w:spacing w:line="259" w:lineRule="auto"/>
        <w:ind w:left="1800" w:hanging="360"/>
        <w:jc w:val="both"/>
        <w:rPr>
          <w:rFonts w:ascii="Times New Roman" w:hAnsi="Times New Roman" w:cs="Times New Roman"/>
          <w:sz w:val="20"/>
          <w:szCs w:val="20"/>
        </w:rPr>
      </w:pPr>
    </w:p>
    <w:p w14:paraId="560303C8" w14:textId="3D776647" w:rsidR="005C14C8" w:rsidRPr="00412481" w:rsidRDefault="005C14C8" w:rsidP="00264AE5">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ii.</w:t>
      </w:r>
      <w:r w:rsidRPr="00412481">
        <w:rPr>
          <w:rFonts w:ascii="Times New Roman" w:hAnsi="Times New Roman" w:cs="Times New Roman"/>
          <w:sz w:val="20"/>
          <w:szCs w:val="20"/>
        </w:rPr>
        <w:tab/>
        <w:t xml:space="preserve">Provide the total </w:t>
      </w:r>
      <w:r w:rsidR="00267D39" w:rsidRPr="00412481">
        <w:rPr>
          <w:rFonts w:ascii="Times New Roman" w:hAnsi="Times New Roman" w:cs="Times New Roman"/>
          <w:sz w:val="20"/>
          <w:szCs w:val="20"/>
        </w:rPr>
        <w:t>Fair V</w:t>
      </w:r>
      <w:r w:rsidRPr="00412481">
        <w:rPr>
          <w:rFonts w:ascii="Times New Roman" w:hAnsi="Times New Roman" w:cs="Times New Roman"/>
          <w:sz w:val="20"/>
          <w:szCs w:val="20"/>
        </w:rPr>
        <w:t>alue of assets that have values determined internally.</w:t>
      </w:r>
    </w:p>
    <w:p w14:paraId="3F6062BA" w14:textId="77777777" w:rsidR="000B13BA" w:rsidRPr="00412481" w:rsidRDefault="000B13BA">
      <w:pPr>
        <w:widowControl/>
        <w:autoSpaceDE w:val="0"/>
        <w:autoSpaceDN w:val="0"/>
        <w:adjustRightInd w:val="0"/>
        <w:spacing w:line="259" w:lineRule="auto"/>
        <w:ind w:left="720" w:hanging="360"/>
        <w:jc w:val="both"/>
        <w:rPr>
          <w:rFonts w:ascii="Times New Roman" w:hAnsi="Times New Roman" w:cs="Times New Roman"/>
          <w:sz w:val="20"/>
          <w:szCs w:val="20"/>
        </w:rPr>
      </w:pPr>
    </w:p>
    <w:p w14:paraId="28E9F305" w14:textId="10FC99FD" w:rsidR="004F42CC" w:rsidRPr="00412481" w:rsidRDefault="00264AE5" w:rsidP="00264AE5">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w:t>
      </w:r>
      <w:r w:rsidR="005C14C8" w:rsidRPr="00412481">
        <w:rPr>
          <w:rFonts w:ascii="Times New Roman" w:hAnsi="Times New Roman" w:cs="Times New Roman"/>
          <w:sz w:val="20"/>
          <w:szCs w:val="20"/>
        </w:rPr>
        <w:t>i</w:t>
      </w:r>
      <w:r w:rsidRPr="00412481">
        <w:rPr>
          <w:rFonts w:ascii="Times New Roman" w:hAnsi="Times New Roman" w:cs="Times New Roman"/>
          <w:sz w:val="20"/>
          <w:szCs w:val="20"/>
        </w:rPr>
        <w:t>i.</w:t>
      </w:r>
      <w:r w:rsidRPr="00412481">
        <w:rPr>
          <w:rFonts w:ascii="Times New Roman" w:hAnsi="Times New Roman" w:cs="Times New Roman"/>
          <w:sz w:val="20"/>
          <w:szCs w:val="20"/>
        </w:rPr>
        <w:tab/>
        <w:t>W</w:t>
      </w:r>
      <w:r w:rsidR="000B13BA" w:rsidRPr="00412481">
        <w:rPr>
          <w:rFonts w:ascii="Times New Roman" w:hAnsi="Times New Roman" w:cs="Times New Roman"/>
          <w:sz w:val="20"/>
          <w:szCs w:val="20"/>
        </w:rPr>
        <w:t xml:space="preserve">hen the </w:t>
      </w:r>
      <w:r w:rsidR="00C621B2" w:rsidRPr="00412481">
        <w:rPr>
          <w:rFonts w:ascii="Times New Roman" w:hAnsi="Times New Roman" w:cs="Times New Roman"/>
          <w:sz w:val="20"/>
          <w:szCs w:val="20"/>
        </w:rPr>
        <w:t xml:space="preserve">Fair Value </w:t>
      </w:r>
      <w:r w:rsidR="000B13BA" w:rsidRPr="00412481">
        <w:rPr>
          <w:rFonts w:ascii="Times New Roman" w:hAnsi="Times New Roman" w:cs="Times New Roman"/>
          <w:sz w:val="20"/>
          <w:szCs w:val="20"/>
        </w:rPr>
        <w:t xml:space="preserve">of </w:t>
      </w:r>
      <w:r w:rsidRPr="00412481">
        <w:rPr>
          <w:rFonts w:ascii="Times New Roman" w:hAnsi="Times New Roman" w:cs="Times New Roman"/>
          <w:sz w:val="20"/>
          <w:szCs w:val="20"/>
        </w:rPr>
        <w:t xml:space="preserve">a material portion of </w:t>
      </w:r>
      <w:r w:rsidR="000B13BA" w:rsidRPr="00412481">
        <w:rPr>
          <w:rFonts w:ascii="Times New Roman" w:hAnsi="Times New Roman" w:cs="Times New Roman"/>
          <w:sz w:val="20"/>
          <w:szCs w:val="20"/>
        </w:rPr>
        <w:t xml:space="preserve">assets </w:t>
      </w:r>
      <w:r w:rsidR="00A37357" w:rsidRPr="00412481">
        <w:rPr>
          <w:rFonts w:ascii="Times New Roman" w:hAnsi="Times New Roman" w:cs="Times New Roman"/>
          <w:sz w:val="20"/>
          <w:szCs w:val="20"/>
        </w:rPr>
        <w:t xml:space="preserve">is determined </w:t>
      </w:r>
      <w:r w:rsidR="00DB065C" w:rsidRPr="00412481">
        <w:rPr>
          <w:rFonts w:ascii="Times New Roman" w:hAnsi="Times New Roman" w:cs="Times New Roman"/>
          <w:sz w:val="20"/>
          <w:szCs w:val="20"/>
        </w:rPr>
        <w:t>internally</w:t>
      </w:r>
      <w:r w:rsidR="00A37357" w:rsidRPr="00412481">
        <w:rPr>
          <w:rFonts w:ascii="Times New Roman" w:hAnsi="Times New Roman" w:cs="Times New Roman"/>
          <w:sz w:val="20"/>
          <w:szCs w:val="20"/>
        </w:rPr>
        <w:t xml:space="preserve">, </w:t>
      </w:r>
      <w:r w:rsidRPr="00412481">
        <w:rPr>
          <w:rFonts w:ascii="Times New Roman" w:hAnsi="Times New Roman" w:cs="Times New Roman"/>
          <w:sz w:val="20"/>
          <w:szCs w:val="20"/>
        </w:rPr>
        <w:t xml:space="preserve">a </w:t>
      </w:r>
      <w:r w:rsidR="00A37357" w:rsidRPr="00412481">
        <w:rPr>
          <w:rFonts w:ascii="Times New Roman" w:hAnsi="Times New Roman" w:cs="Times New Roman"/>
          <w:sz w:val="20"/>
          <w:szCs w:val="20"/>
        </w:rPr>
        <w:t xml:space="preserve">sensitivity </w:t>
      </w:r>
      <w:r w:rsidR="004F42CC" w:rsidRPr="00412481">
        <w:rPr>
          <w:rFonts w:ascii="Times New Roman" w:hAnsi="Times New Roman" w:cs="Times New Roman"/>
          <w:sz w:val="20"/>
          <w:szCs w:val="20"/>
        </w:rPr>
        <w:t xml:space="preserve">test </w:t>
      </w:r>
      <w:r w:rsidR="00A37357" w:rsidRPr="00412481">
        <w:rPr>
          <w:rFonts w:ascii="Times New Roman" w:hAnsi="Times New Roman" w:cs="Times New Roman"/>
          <w:sz w:val="20"/>
          <w:szCs w:val="20"/>
        </w:rPr>
        <w:t>should be performed</w:t>
      </w:r>
      <w:r w:rsidR="000B13BA" w:rsidRPr="00412481">
        <w:rPr>
          <w:rFonts w:ascii="Times New Roman" w:hAnsi="Times New Roman" w:cs="Times New Roman"/>
          <w:sz w:val="20"/>
          <w:szCs w:val="20"/>
        </w:rPr>
        <w:t xml:space="preserve"> (and the impact on asset adequacy </w:t>
      </w:r>
      <w:r w:rsidR="008E3369" w:rsidRPr="00412481">
        <w:rPr>
          <w:rFonts w:ascii="Times New Roman" w:hAnsi="Times New Roman" w:cs="Times New Roman"/>
          <w:sz w:val="20"/>
          <w:szCs w:val="20"/>
        </w:rPr>
        <w:t xml:space="preserve">analysis </w:t>
      </w:r>
      <w:r w:rsidR="000B13BA" w:rsidRPr="00412481">
        <w:rPr>
          <w:rFonts w:ascii="Times New Roman" w:hAnsi="Times New Roman" w:cs="Times New Roman"/>
          <w:sz w:val="20"/>
          <w:szCs w:val="20"/>
        </w:rPr>
        <w:t>results presented)</w:t>
      </w:r>
      <w:r w:rsidRPr="00412481">
        <w:rPr>
          <w:rFonts w:ascii="Times New Roman" w:hAnsi="Times New Roman" w:cs="Times New Roman"/>
          <w:sz w:val="20"/>
          <w:szCs w:val="20"/>
        </w:rPr>
        <w:t xml:space="preserve"> a</w:t>
      </w:r>
      <w:r w:rsidR="004F42CC" w:rsidRPr="00412481">
        <w:rPr>
          <w:rFonts w:ascii="Times New Roman" w:hAnsi="Times New Roman" w:cs="Times New Roman"/>
          <w:sz w:val="20"/>
          <w:szCs w:val="20"/>
        </w:rPr>
        <w:t>ssum</w:t>
      </w:r>
      <w:r w:rsidRPr="00412481">
        <w:rPr>
          <w:rFonts w:ascii="Times New Roman" w:hAnsi="Times New Roman" w:cs="Times New Roman"/>
          <w:sz w:val="20"/>
          <w:szCs w:val="20"/>
        </w:rPr>
        <w:t>ing</w:t>
      </w:r>
      <w:r w:rsidR="004F42CC" w:rsidRPr="00412481">
        <w:rPr>
          <w:rFonts w:ascii="Times New Roman" w:hAnsi="Times New Roman" w:cs="Times New Roman"/>
          <w:sz w:val="20"/>
          <w:szCs w:val="20"/>
        </w:rPr>
        <w:t xml:space="preserve"> a </w:t>
      </w:r>
      <w:r w:rsidR="00C0237B" w:rsidRPr="00412481">
        <w:rPr>
          <w:rFonts w:ascii="Times New Roman" w:hAnsi="Times New Roman" w:cs="Times New Roman"/>
          <w:sz w:val="20"/>
          <w:szCs w:val="20"/>
        </w:rPr>
        <w:t xml:space="preserve">haircut </w:t>
      </w:r>
      <w:r w:rsidR="004F42CC" w:rsidRPr="00412481">
        <w:rPr>
          <w:rFonts w:ascii="Times New Roman" w:hAnsi="Times New Roman" w:cs="Times New Roman"/>
          <w:sz w:val="20"/>
          <w:szCs w:val="20"/>
        </w:rPr>
        <w:t xml:space="preserve">to internally derived </w:t>
      </w:r>
      <w:r w:rsidR="00267D39" w:rsidRPr="00412481">
        <w:rPr>
          <w:rFonts w:ascii="Times New Roman" w:hAnsi="Times New Roman" w:cs="Times New Roman"/>
          <w:sz w:val="20"/>
          <w:szCs w:val="20"/>
        </w:rPr>
        <w:t>F</w:t>
      </w:r>
      <w:r w:rsidR="004F42CC" w:rsidRPr="00412481">
        <w:rPr>
          <w:rFonts w:ascii="Times New Roman" w:hAnsi="Times New Roman" w:cs="Times New Roman"/>
          <w:sz w:val="20"/>
          <w:szCs w:val="20"/>
        </w:rPr>
        <w:t xml:space="preserve">air </w:t>
      </w:r>
      <w:r w:rsidR="00267D39" w:rsidRPr="00412481">
        <w:rPr>
          <w:rFonts w:ascii="Times New Roman" w:hAnsi="Times New Roman" w:cs="Times New Roman"/>
          <w:sz w:val="20"/>
          <w:szCs w:val="20"/>
        </w:rPr>
        <w:t>V</w:t>
      </w:r>
      <w:r w:rsidR="004F42CC" w:rsidRPr="00412481">
        <w:rPr>
          <w:rFonts w:ascii="Times New Roman" w:hAnsi="Times New Roman" w:cs="Times New Roman"/>
          <w:sz w:val="20"/>
          <w:szCs w:val="20"/>
        </w:rPr>
        <w:t>alues that the company deems reasonable given the commensurate level of anticipated uncertainty</w:t>
      </w:r>
      <w:r w:rsidR="00A37357" w:rsidRPr="00412481">
        <w:rPr>
          <w:rFonts w:ascii="Times New Roman" w:hAnsi="Times New Roman" w:cs="Times New Roman"/>
          <w:sz w:val="20"/>
          <w:szCs w:val="20"/>
        </w:rPr>
        <w:t>.</w:t>
      </w:r>
    </w:p>
    <w:p w14:paraId="606C959D" w14:textId="77777777" w:rsidR="00CF12F4" w:rsidRPr="00412481" w:rsidRDefault="00CF12F4" w:rsidP="00264AE5">
      <w:pPr>
        <w:widowControl/>
        <w:autoSpaceDE w:val="0"/>
        <w:autoSpaceDN w:val="0"/>
        <w:adjustRightInd w:val="0"/>
        <w:spacing w:line="259" w:lineRule="auto"/>
        <w:ind w:left="1800" w:hanging="360"/>
        <w:jc w:val="both"/>
        <w:rPr>
          <w:rFonts w:ascii="Times New Roman" w:hAnsi="Times New Roman" w:cs="Times New Roman"/>
          <w:sz w:val="20"/>
          <w:szCs w:val="20"/>
        </w:rPr>
      </w:pPr>
    </w:p>
    <w:p w14:paraId="75029B35" w14:textId="00D74C07" w:rsidR="00475A22" w:rsidRPr="00412481" w:rsidRDefault="00475A22" w:rsidP="00475A22">
      <w:pPr>
        <w:widowControl/>
        <w:autoSpaceDE w:val="0"/>
        <w:autoSpaceDN w:val="0"/>
        <w:adjustRightInd w:val="0"/>
        <w:spacing w:line="259" w:lineRule="auto"/>
        <w:ind w:left="720" w:hanging="360"/>
        <w:jc w:val="both"/>
        <w:rPr>
          <w:rFonts w:ascii="Times New Roman" w:hAnsi="Times New Roman" w:cs="Times New Roman"/>
          <w:sz w:val="20"/>
          <w:szCs w:val="20"/>
        </w:rPr>
      </w:pPr>
      <w:r w:rsidRPr="00412481">
        <w:rPr>
          <w:rFonts w:ascii="Times New Roman" w:hAnsi="Times New Roman" w:cs="Times New Roman"/>
          <w:sz w:val="20"/>
          <w:szCs w:val="20"/>
        </w:rPr>
        <w:t>D</w:t>
      </w:r>
      <w:r w:rsidR="00CF12F4" w:rsidRPr="00412481">
        <w:rPr>
          <w:rFonts w:ascii="Times New Roman" w:hAnsi="Times New Roman" w:cs="Times New Roman"/>
          <w:sz w:val="20"/>
          <w:szCs w:val="20"/>
        </w:rPr>
        <w:t>.</w:t>
      </w:r>
      <w:r w:rsidR="00CF12F4" w:rsidRPr="00412481">
        <w:rPr>
          <w:rFonts w:ascii="Times New Roman" w:hAnsi="Times New Roman" w:cs="Times New Roman"/>
          <w:sz w:val="20"/>
          <w:szCs w:val="20"/>
        </w:rPr>
        <w:tab/>
      </w:r>
      <w:bookmarkStart w:id="6" w:name="_Hlk103065387"/>
      <w:r w:rsidRPr="00412481">
        <w:rPr>
          <w:rFonts w:ascii="Times New Roman" w:hAnsi="Times New Roman" w:cs="Times New Roman"/>
          <w:b/>
          <w:bCs/>
          <w:sz w:val="20"/>
          <w:szCs w:val="20"/>
        </w:rPr>
        <w:t>Non-publicly traded assets.</w:t>
      </w:r>
      <w:r w:rsidRPr="00412481">
        <w:rPr>
          <w:rFonts w:ascii="Times New Roman" w:hAnsi="Times New Roman" w:cs="Times New Roman"/>
          <w:sz w:val="20"/>
          <w:szCs w:val="20"/>
        </w:rPr>
        <w:t xml:space="preserve">  For</w:t>
      </w:r>
      <w:r w:rsidR="005D2D1D" w:rsidRPr="00412481">
        <w:rPr>
          <w:rFonts w:ascii="Times New Roman" w:hAnsi="Times New Roman" w:cs="Times New Roman"/>
          <w:sz w:val="20"/>
          <w:szCs w:val="20"/>
        </w:rPr>
        <w:t xml:space="preserve"> </w:t>
      </w:r>
      <w:r w:rsidR="00727598" w:rsidRPr="00412481">
        <w:rPr>
          <w:rFonts w:ascii="Times New Roman" w:hAnsi="Times New Roman" w:cs="Times New Roman"/>
          <w:sz w:val="20"/>
          <w:szCs w:val="20"/>
        </w:rPr>
        <w:t xml:space="preserve">non-publicly traded </w:t>
      </w:r>
      <w:r w:rsidR="005D2D1D" w:rsidRPr="00412481">
        <w:rPr>
          <w:rFonts w:ascii="Times New Roman" w:hAnsi="Times New Roman" w:cs="Times New Roman"/>
          <w:sz w:val="20"/>
          <w:szCs w:val="20"/>
        </w:rPr>
        <w:t xml:space="preserve">assets originated by the company, within the company’s group, or within an entity closely tied to a company’s group (inclusive of the company's investment manager), </w:t>
      </w:r>
      <w:r w:rsidRPr="00412481">
        <w:rPr>
          <w:rFonts w:ascii="Times New Roman" w:hAnsi="Times New Roman" w:cs="Times New Roman"/>
          <w:sz w:val="20"/>
          <w:szCs w:val="20"/>
        </w:rPr>
        <w:t>provide the following:</w:t>
      </w:r>
    </w:p>
    <w:p w14:paraId="7CE3C6DE" w14:textId="77777777" w:rsidR="00475A22" w:rsidRPr="00412481" w:rsidRDefault="00475A22" w:rsidP="00475A22">
      <w:pPr>
        <w:widowControl/>
        <w:autoSpaceDE w:val="0"/>
        <w:autoSpaceDN w:val="0"/>
        <w:adjustRightInd w:val="0"/>
        <w:spacing w:line="259" w:lineRule="auto"/>
        <w:ind w:left="720" w:hanging="360"/>
        <w:jc w:val="both"/>
        <w:rPr>
          <w:rFonts w:ascii="Times New Roman" w:hAnsi="Times New Roman" w:cs="Times New Roman"/>
          <w:sz w:val="20"/>
          <w:szCs w:val="20"/>
        </w:rPr>
      </w:pPr>
    </w:p>
    <w:p w14:paraId="0C56374C" w14:textId="77777777" w:rsidR="00475A22" w:rsidRPr="00412481" w:rsidRDefault="00475A22" w:rsidP="00475A22">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w:t>
      </w:r>
      <w:r w:rsidRPr="00412481">
        <w:rPr>
          <w:rFonts w:ascii="Times New Roman" w:hAnsi="Times New Roman" w:cs="Times New Roman"/>
          <w:sz w:val="20"/>
          <w:szCs w:val="20"/>
        </w:rPr>
        <w:tab/>
        <w:t xml:space="preserve">Documentation of </w:t>
      </w:r>
      <w:r w:rsidR="005D2D1D" w:rsidRPr="00412481">
        <w:rPr>
          <w:rFonts w:ascii="Times New Roman" w:hAnsi="Times New Roman" w:cs="Times New Roman"/>
          <w:sz w:val="20"/>
          <w:szCs w:val="20"/>
        </w:rPr>
        <w:t>practices to</w:t>
      </w:r>
      <w:r w:rsidR="00A46C71" w:rsidRPr="00412481">
        <w:rPr>
          <w:rFonts w:ascii="Times New Roman" w:hAnsi="Times New Roman" w:cs="Times New Roman"/>
          <w:sz w:val="20"/>
          <w:szCs w:val="20"/>
        </w:rPr>
        <w:t xml:space="preserve"> help</w:t>
      </w:r>
      <w:r w:rsidR="005D2D1D" w:rsidRPr="00412481">
        <w:rPr>
          <w:rFonts w:ascii="Times New Roman" w:hAnsi="Times New Roman" w:cs="Times New Roman"/>
          <w:sz w:val="20"/>
          <w:szCs w:val="20"/>
        </w:rPr>
        <w:t xml:space="preserve"> ensure accurate valuation </w:t>
      </w:r>
      <w:r w:rsidR="00EF2D20" w:rsidRPr="00412481">
        <w:rPr>
          <w:rFonts w:ascii="Times New Roman" w:hAnsi="Times New Roman" w:cs="Times New Roman"/>
          <w:sz w:val="20"/>
          <w:szCs w:val="20"/>
        </w:rPr>
        <w:t>of those assets</w:t>
      </w:r>
      <w:r w:rsidRPr="00412481">
        <w:rPr>
          <w:rFonts w:ascii="Times New Roman" w:hAnsi="Times New Roman" w:cs="Times New Roman"/>
          <w:sz w:val="20"/>
          <w:szCs w:val="20"/>
        </w:rPr>
        <w:t>.</w:t>
      </w:r>
    </w:p>
    <w:p w14:paraId="6413D858" w14:textId="77777777" w:rsidR="00475A22" w:rsidRPr="00412481" w:rsidRDefault="00475A22" w:rsidP="00475A22">
      <w:pPr>
        <w:widowControl/>
        <w:autoSpaceDE w:val="0"/>
        <w:autoSpaceDN w:val="0"/>
        <w:adjustRightInd w:val="0"/>
        <w:spacing w:line="259" w:lineRule="auto"/>
        <w:ind w:left="1800" w:hanging="360"/>
        <w:jc w:val="both"/>
        <w:rPr>
          <w:rFonts w:ascii="Times New Roman" w:hAnsi="Times New Roman" w:cs="Times New Roman"/>
          <w:sz w:val="20"/>
          <w:szCs w:val="20"/>
        </w:rPr>
      </w:pPr>
    </w:p>
    <w:p w14:paraId="2BAF0C41" w14:textId="4B7D4A46" w:rsidR="00475A22" w:rsidRPr="00412481" w:rsidRDefault="00475A22" w:rsidP="00475A22">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ii.</w:t>
      </w:r>
      <w:r w:rsidRPr="00412481">
        <w:rPr>
          <w:rFonts w:ascii="Times New Roman" w:hAnsi="Times New Roman" w:cs="Times New Roman"/>
          <w:sz w:val="20"/>
          <w:szCs w:val="20"/>
        </w:rPr>
        <w:tab/>
        <w:t>T</w:t>
      </w:r>
      <w:r w:rsidR="00CF12F4" w:rsidRPr="00412481">
        <w:rPr>
          <w:rFonts w:ascii="Times New Roman" w:hAnsi="Times New Roman" w:cs="Times New Roman"/>
          <w:sz w:val="20"/>
          <w:szCs w:val="20"/>
        </w:rPr>
        <w:t xml:space="preserve">he total </w:t>
      </w:r>
      <w:r w:rsidR="00854665" w:rsidRPr="00412481">
        <w:rPr>
          <w:rFonts w:ascii="Times New Roman" w:hAnsi="Times New Roman" w:cs="Times New Roman"/>
          <w:sz w:val="20"/>
          <w:szCs w:val="20"/>
        </w:rPr>
        <w:t>Fair V</w:t>
      </w:r>
      <w:r w:rsidR="00CF12F4" w:rsidRPr="00412481">
        <w:rPr>
          <w:rFonts w:ascii="Times New Roman" w:hAnsi="Times New Roman" w:cs="Times New Roman"/>
          <w:sz w:val="20"/>
          <w:szCs w:val="20"/>
        </w:rPr>
        <w:t>alue of such assets</w:t>
      </w:r>
      <w:r w:rsidRPr="00412481">
        <w:rPr>
          <w:rFonts w:ascii="Times New Roman" w:hAnsi="Times New Roman" w:cs="Times New Roman"/>
          <w:sz w:val="20"/>
          <w:szCs w:val="20"/>
        </w:rPr>
        <w:t>.</w:t>
      </w:r>
    </w:p>
    <w:p w14:paraId="47FB46F8" w14:textId="77777777" w:rsidR="00475A22" w:rsidRPr="00412481" w:rsidRDefault="00475A22" w:rsidP="00475A22">
      <w:pPr>
        <w:widowControl/>
        <w:autoSpaceDE w:val="0"/>
        <w:autoSpaceDN w:val="0"/>
        <w:adjustRightInd w:val="0"/>
        <w:spacing w:line="259" w:lineRule="auto"/>
        <w:ind w:left="1800" w:hanging="360"/>
        <w:jc w:val="both"/>
        <w:rPr>
          <w:rFonts w:ascii="Times New Roman" w:hAnsi="Times New Roman" w:cs="Times New Roman"/>
          <w:sz w:val="20"/>
          <w:szCs w:val="20"/>
        </w:rPr>
      </w:pPr>
    </w:p>
    <w:p w14:paraId="0F246919" w14:textId="39DB754A" w:rsidR="00CF12F4" w:rsidRPr="00412481" w:rsidRDefault="00475A22" w:rsidP="0072126C">
      <w:pPr>
        <w:widowControl/>
        <w:autoSpaceDE w:val="0"/>
        <w:autoSpaceDN w:val="0"/>
        <w:adjustRightInd w:val="0"/>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iii.</w:t>
      </w:r>
      <w:r w:rsidRPr="00412481">
        <w:rPr>
          <w:rFonts w:ascii="Times New Roman" w:hAnsi="Times New Roman" w:cs="Times New Roman"/>
          <w:sz w:val="20"/>
          <w:szCs w:val="20"/>
        </w:rPr>
        <w:tab/>
        <w:t xml:space="preserve">To the extent the contractual agreement affects the investment income revenue streams included in the asset adequacy analysis, </w:t>
      </w:r>
      <w:r w:rsidR="0072126C" w:rsidRPr="00412481">
        <w:rPr>
          <w:rFonts w:ascii="Times New Roman" w:hAnsi="Times New Roman" w:cs="Times New Roman"/>
          <w:sz w:val="20"/>
          <w:szCs w:val="20"/>
        </w:rPr>
        <w:t>d</w:t>
      </w:r>
      <w:r w:rsidR="00CF12F4" w:rsidRPr="00412481">
        <w:rPr>
          <w:rFonts w:ascii="Times New Roman" w:hAnsi="Times New Roman" w:cs="Times New Roman"/>
          <w:sz w:val="20"/>
          <w:szCs w:val="20"/>
        </w:rPr>
        <w:t xml:space="preserve">isclose </w:t>
      </w:r>
      <w:r w:rsidR="00C621B2" w:rsidRPr="00412481">
        <w:rPr>
          <w:rFonts w:ascii="Times New Roman" w:hAnsi="Times New Roman" w:cs="Times New Roman"/>
          <w:sz w:val="20"/>
          <w:szCs w:val="20"/>
        </w:rPr>
        <w:t>in</w:t>
      </w:r>
      <w:r w:rsidR="00CF12F4" w:rsidRPr="00412481">
        <w:rPr>
          <w:rFonts w:ascii="Times New Roman" w:hAnsi="Times New Roman" w:cs="Times New Roman"/>
          <w:sz w:val="20"/>
          <w:szCs w:val="20"/>
        </w:rPr>
        <w:t xml:space="preserve"> detail </w:t>
      </w:r>
      <w:r w:rsidR="0072126C" w:rsidRPr="00412481">
        <w:rPr>
          <w:rFonts w:ascii="Times New Roman" w:hAnsi="Times New Roman" w:cs="Times New Roman"/>
          <w:sz w:val="20"/>
          <w:szCs w:val="20"/>
        </w:rPr>
        <w:t>applicable contractual agreements and revenue sharing, e.g., performance fees, between the entity responsible for providing investment or other types of services and the insurer.</w:t>
      </w:r>
    </w:p>
    <w:p w14:paraId="13C217BA" w14:textId="77777777" w:rsidR="00CF12F4" w:rsidRPr="00412481" w:rsidRDefault="00CF12F4" w:rsidP="00CF12F4">
      <w:pPr>
        <w:widowControl/>
        <w:autoSpaceDE w:val="0"/>
        <w:autoSpaceDN w:val="0"/>
        <w:adjustRightInd w:val="0"/>
        <w:spacing w:line="259" w:lineRule="auto"/>
        <w:ind w:left="2880" w:hanging="360"/>
        <w:jc w:val="both"/>
        <w:rPr>
          <w:rFonts w:ascii="Times New Roman" w:hAnsi="Times New Roman" w:cs="Times New Roman"/>
          <w:sz w:val="20"/>
          <w:szCs w:val="20"/>
        </w:rPr>
      </w:pPr>
    </w:p>
    <w:bookmarkEnd w:id="6"/>
    <w:p w14:paraId="1BE3E6E9" w14:textId="6C8C73E2" w:rsidR="00C90875" w:rsidRPr="00412481" w:rsidRDefault="0010372E" w:rsidP="00CF12F4">
      <w:pPr>
        <w:widowControl/>
        <w:autoSpaceDE w:val="0"/>
        <w:autoSpaceDN w:val="0"/>
        <w:adjustRightInd w:val="0"/>
        <w:spacing w:line="259" w:lineRule="auto"/>
        <w:ind w:left="1800"/>
        <w:jc w:val="both"/>
        <w:rPr>
          <w:rFonts w:ascii="Times New Roman" w:hAnsi="Times New Roman" w:cs="Times New Roman"/>
          <w:sz w:val="20"/>
          <w:szCs w:val="20"/>
        </w:rPr>
      </w:pPr>
      <w:r w:rsidRPr="00412481">
        <w:rPr>
          <w:rFonts w:ascii="Times New Roman" w:hAnsi="Times New Roman" w:cs="Times New Roman"/>
          <w:sz w:val="20"/>
          <w:szCs w:val="20"/>
        </w:rPr>
        <w:t xml:space="preserve">Also, assumed net cash flows from assets should be </w:t>
      </w:r>
      <w:r w:rsidR="00440788" w:rsidRPr="00412481">
        <w:rPr>
          <w:rFonts w:ascii="Times New Roman" w:hAnsi="Times New Roman" w:cs="Times New Roman"/>
          <w:sz w:val="20"/>
          <w:szCs w:val="20"/>
        </w:rPr>
        <w:t>net</w:t>
      </w:r>
      <w:r w:rsidR="002C5537" w:rsidRPr="00412481">
        <w:rPr>
          <w:rFonts w:ascii="Times New Roman" w:hAnsi="Times New Roman" w:cs="Times New Roman"/>
          <w:sz w:val="20"/>
          <w:szCs w:val="20"/>
        </w:rPr>
        <w:t xml:space="preserve"> </w:t>
      </w:r>
      <w:r w:rsidRPr="00412481">
        <w:rPr>
          <w:rFonts w:ascii="Times New Roman" w:hAnsi="Times New Roman" w:cs="Times New Roman"/>
          <w:sz w:val="20"/>
          <w:szCs w:val="20"/>
        </w:rPr>
        <w:t>of all explicit or implicit fees or expenses, such as origination fees, as well as</w:t>
      </w:r>
      <w:r w:rsidR="00440788" w:rsidRPr="00412481">
        <w:rPr>
          <w:rFonts w:ascii="Times New Roman" w:hAnsi="Times New Roman" w:cs="Times New Roman"/>
          <w:sz w:val="20"/>
          <w:szCs w:val="20"/>
        </w:rPr>
        <w:t xml:space="preserve"> reflective of</w:t>
      </w:r>
      <w:r w:rsidRPr="00412481">
        <w:rPr>
          <w:rFonts w:ascii="Times New Roman" w:hAnsi="Times New Roman" w:cs="Times New Roman"/>
          <w:sz w:val="20"/>
          <w:szCs w:val="20"/>
        </w:rPr>
        <w:t xml:space="preserve"> other asset-related risks including credit risk</w:t>
      </w:r>
      <w:r w:rsidR="00C0237B" w:rsidRPr="00412481">
        <w:rPr>
          <w:rFonts w:ascii="Times New Roman" w:hAnsi="Times New Roman" w:cs="Times New Roman"/>
          <w:sz w:val="20"/>
          <w:szCs w:val="20"/>
        </w:rPr>
        <w:t>, illiquidity risk,</w:t>
      </w:r>
      <w:r w:rsidRPr="00412481">
        <w:rPr>
          <w:rFonts w:ascii="Times New Roman" w:hAnsi="Times New Roman" w:cs="Times New Roman"/>
          <w:sz w:val="20"/>
          <w:szCs w:val="20"/>
        </w:rPr>
        <w:t xml:space="preserve"> and </w:t>
      </w:r>
      <w:r w:rsidR="00C0237B" w:rsidRPr="00412481">
        <w:rPr>
          <w:rFonts w:ascii="Times New Roman" w:hAnsi="Times New Roman" w:cs="Times New Roman"/>
          <w:sz w:val="20"/>
          <w:szCs w:val="20"/>
        </w:rPr>
        <w:t xml:space="preserve">other </w:t>
      </w:r>
      <w:r w:rsidRPr="00412481">
        <w:rPr>
          <w:rFonts w:ascii="Times New Roman" w:hAnsi="Times New Roman" w:cs="Times New Roman"/>
          <w:sz w:val="20"/>
          <w:szCs w:val="20"/>
        </w:rPr>
        <w:t>market risk</w:t>
      </w:r>
      <w:r w:rsidR="00C0237B" w:rsidRPr="00412481">
        <w:rPr>
          <w:rFonts w:ascii="Times New Roman" w:hAnsi="Times New Roman" w:cs="Times New Roman"/>
          <w:sz w:val="20"/>
          <w:szCs w:val="20"/>
        </w:rPr>
        <w:t>s</w:t>
      </w:r>
      <w:r w:rsidRPr="00412481">
        <w:rPr>
          <w:rFonts w:ascii="Times New Roman" w:hAnsi="Times New Roman" w:cs="Times New Roman"/>
          <w:sz w:val="20"/>
          <w:szCs w:val="20"/>
        </w:rPr>
        <w:t>.</w:t>
      </w:r>
    </w:p>
    <w:p w14:paraId="383A7F16" w14:textId="77777777" w:rsidR="00230F3F" w:rsidRPr="00412481" w:rsidRDefault="00230F3F">
      <w:pPr>
        <w:widowControl/>
        <w:autoSpaceDE w:val="0"/>
        <w:autoSpaceDN w:val="0"/>
        <w:adjustRightInd w:val="0"/>
        <w:spacing w:line="259" w:lineRule="auto"/>
        <w:ind w:left="360"/>
        <w:jc w:val="both"/>
        <w:rPr>
          <w:rFonts w:ascii="Times New Roman" w:hAnsi="Times New Roman" w:cs="Times New Roman"/>
          <w:sz w:val="20"/>
          <w:szCs w:val="20"/>
        </w:rPr>
      </w:pPr>
    </w:p>
    <w:p w14:paraId="141269E6" w14:textId="092B67F6" w:rsidR="007B0F59" w:rsidRPr="00412481" w:rsidRDefault="00D1365E" w:rsidP="0040056C">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E</w:t>
      </w:r>
      <w:r w:rsidR="00737256" w:rsidRPr="00412481">
        <w:rPr>
          <w:rFonts w:cs="Times New Roman"/>
          <w:b w:val="0"/>
          <w:bCs w:val="0"/>
          <w:sz w:val="20"/>
          <w:szCs w:val="20"/>
        </w:rPr>
        <w:t>.</w:t>
      </w:r>
      <w:r w:rsidR="00737256" w:rsidRPr="00412481">
        <w:rPr>
          <w:rFonts w:cs="Times New Roman"/>
          <w:b w:val="0"/>
          <w:bCs w:val="0"/>
          <w:sz w:val="20"/>
          <w:szCs w:val="20"/>
        </w:rPr>
        <w:tab/>
      </w:r>
      <w:r w:rsidR="007B0F59" w:rsidRPr="00412481">
        <w:rPr>
          <w:rFonts w:cs="Times New Roman"/>
          <w:sz w:val="20"/>
          <w:szCs w:val="20"/>
        </w:rPr>
        <w:t>Investments expenses</w:t>
      </w:r>
      <w:r w:rsidR="0084307F" w:rsidRPr="00412481">
        <w:rPr>
          <w:rFonts w:cs="Times New Roman"/>
          <w:sz w:val="20"/>
          <w:szCs w:val="20"/>
        </w:rPr>
        <w:t xml:space="preserve"> (</w:t>
      </w:r>
      <w:r w:rsidR="007B0F59" w:rsidRPr="00412481">
        <w:rPr>
          <w:rFonts w:cs="Times New Roman"/>
          <w:sz w:val="20"/>
          <w:szCs w:val="20"/>
        </w:rPr>
        <w:t>fees</w:t>
      </w:r>
      <w:r w:rsidR="0084307F" w:rsidRPr="00412481">
        <w:rPr>
          <w:rFonts w:cs="Times New Roman"/>
          <w:sz w:val="20"/>
          <w:szCs w:val="20"/>
        </w:rPr>
        <w:t>)</w:t>
      </w:r>
      <w:r w:rsidR="00BB747E" w:rsidRPr="00412481">
        <w:rPr>
          <w:rFonts w:cs="Times New Roman"/>
          <w:sz w:val="20"/>
          <w:szCs w:val="20"/>
        </w:rPr>
        <w:t>.</w:t>
      </w:r>
      <w:r w:rsidR="0084307F" w:rsidRPr="00412481">
        <w:rPr>
          <w:rFonts w:cs="Times New Roman"/>
          <w:b w:val="0"/>
          <w:bCs w:val="0"/>
          <w:sz w:val="20"/>
          <w:szCs w:val="20"/>
        </w:rPr>
        <w:t xml:space="preserve">  </w:t>
      </w:r>
      <w:r w:rsidR="005F2C5F" w:rsidRPr="00412481">
        <w:rPr>
          <w:rFonts w:cs="Times New Roman"/>
          <w:b w:val="0"/>
          <w:bCs w:val="0"/>
          <w:sz w:val="20"/>
          <w:szCs w:val="20"/>
        </w:rPr>
        <w:t>Assumed i</w:t>
      </w:r>
      <w:r w:rsidR="00A37357" w:rsidRPr="00412481">
        <w:rPr>
          <w:rFonts w:cs="Times New Roman"/>
          <w:b w:val="0"/>
          <w:bCs w:val="0"/>
          <w:sz w:val="20"/>
          <w:szCs w:val="20"/>
        </w:rPr>
        <w:t xml:space="preserve">nvestment expenses, whether paid to an external asset manager or to internal investment management staff, </w:t>
      </w:r>
      <w:r w:rsidR="00334A48" w:rsidRPr="00412481">
        <w:rPr>
          <w:rFonts w:cs="Times New Roman"/>
          <w:b w:val="0"/>
          <w:bCs w:val="0"/>
          <w:sz w:val="20"/>
          <w:szCs w:val="20"/>
        </w:rPr>
        <w:t xml:space="preserve">as well as additional expenses that are directly attributable to the specific investments, </w:t>
      </w:r>
      <w:r w:rsidR="00A37357" w:rsidRPr="00412481">
        <w:rPr>
          <w:rFonts w:cs="Times New Roman"/>
          <w:b w:val="0"/>
          <w:bCs w:val="0"/>
          <w:sz w:val="20"/>
          <w:szCs w:val="20"/>
        </w:rPr>
        <w:t xml:space="preserve">should be commensurate with the </w:t>
      </w:r>
      <w:r w:rsidR="00A57E0C" w:rsidRPr="00412481">
        <w:rPr>
          <w:rFonts w:cs="Times New Roman"/>
          <w:b w:val="0"/>
          <w:bCs w:val="0"/>
          <w:sz w:val="20"/>
          <w:szCs w:val="20"/>
        </w:rPr>
        <w:t xml:space="preserve">expected expenses in light of the </w:t>
      </w:r>
      <w:r w:rsidR="00A37357" w:rsidRPr="00412481">
        <w:rPr>
          <w:rFonts w:cs="Times New Roman"/>
          <w:b w:val="0"/>
          <w:bCs w:val="0"/>
          <w:sz w:val="20"/>
          <w:szCs w:val="20"/>
        </w:rPr>
        <w:t>complexity of the assets.</w:t>
      </w:r>
    </w:p>
    <w:p w14:paraId="5AA9D6EA" w14:textId="40A6B7AF" w:rsidR="00746C6A" w:rsidRPr="00412481" w:rsidRDefault="00746C6A">
      <w:pPr>
        <w:pStyle w:val="Heading1"/>
        <w:spacing w:line="259" w:lineRule="auto"/>
        <w:ind w:left="720" w:hanging="360"/>
        <w:jc w:val="both"/>
        <w:rPr>
          <w:rFonts w:cs="Times New Roman"/>
          <w:b w:val="0"/>
          <w:bCs w:val="0"/>
          <w:sz w:val="20"/>
          <w:szCs w:val="20"/>
        </w:rPr>
      </w:pPr>
    </w:p>
    <w:p w14:paraId="1CB2ED64" w14:textId="76B50A14" w:rsidR="005F2C5F" w:rsidRPr="00412481" w:rsidRDefault="00CF12F4" w:rsidP="00C67F4C">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F</w:t>
      </w:r>
      <w:r w:rsidR="00746C6A" w:rsidRPr="00412481">
        <w:rPr>
          <w:rFonts w:cs="Times New Roman"/>
          <w:b w:val="0"/>
          <w:bCs w:val="0"/>
          <w:sz w:val="20"/>
          <w:szCs w:val="20"/>
        </w:rPr>
        <w:t>.</w:t>
      </w:r>
      <w:r w:rsidR="00746C6A" w:rsidRPr="00412481">
        <w:rPr>
          <w:rFonts w:cs="Times New Roman"/>
          <w:b w:val="0"/>
          <w:bCs w:val="0"/>
          <w:sz w:val="20"/>
          <w:szCs w:val="20"/>
        </w:rPr>
        <w:tab/>
      </w:r>
      <w:bookmarkStart w:id="7" w:name="_Hlk97730225"/>
      <w:r w:rsidR="00BB747E" w:rsidRPr="00412481">
        <w:rPr>
          <w:rFonts w:cs="Times New Roman"/>
          <w:sz w:val="20"/>
          <w:szCs w:val="20"/>
        </w:rPr>
        <w:t xml:space="preserve">Reinsurance modeling.  </w:t>
      </w:r>
      <w:r w:rsidR="00775ECE" w:rsidRPr="00412481">
        <w:rPr>
          <w:rFonts w:cs="Times New Roman"/>
          <w:b w:val="0"/>
          <w:bCs w:val="0"/>
          <w:sz w:val="20"/>
          <w:szCs w:val="20"/>
        </w:rPr>
        <w:t xml:space="preserve"> </w:t>
      </w:r>
      <w:r w:rsidR="0056421D" w:rsidRPr="00412481">
        <w:rPr>
          <w:rFonts w:cs="Times New Roman"/>
          <w:b w:val="0"/>
          <w:bCs w:val="0"/>
          <w:sz w:val="20"/>
          <w:szCs w:val="20"/>
        </w:rPr>
        <w:t>Related to reinsurance, relevant communications and disclosures, for instance commentary on collectability and counterparty risk,</w:t>
      </w:r>
      <w:r w:rsidR="003B2FCE" w:rsidRPr="00412481">
        <w:rPr>
          <w:rFonts w:cs="Times New Roman"/>
          <w:b w:val="0"/>
          <w:bCs w:val="0"/>
          <w:sz w:val="20"/>
          <w:szCs w:val="20"/>
        </w:rPr>
        <w:t xml:space="preserve"> should be </w:t>
      </w:r>
      <w:r w:rsidR="0056421D" w:rsidRPr="00412481">
        <w:rPr>
          <w:rFonts w:cs="Times New Roman"/>
          <w:b w:val="0"/>
          <w:bCs w:val="0"/>
          <w:sz w:val="20"/>
          <w:szCs w:val="20"/>
        </w:rPr>
        <w:t xml:space="preserve">presented </w:t>
      </w:r>
      <w:r w:rsidR="003B2FCE" w:rsidRPr="00412481">
        <w:rPr>
          <w:rFonts w:cs="Times New Roman"/>
          <w:b w:val="0"/>
          <w:bCs w:val="0"/>
          <w:sz w:val="20"/>
          <w:szCs w:val="20"/>
        </w:rPr>
        <w:t xml:space="preserve">in the </w:t>
      </w:r>
      <w:r w:rsidR="0056421D" w:rsidRPr="00412481">
        <w:rPr>
          <w:rFonts w:cs="Times New Roman"/>
          <w:b w:val="0"/>
          <w:bCs w:val="0"/>
          <w:sz w:val="20"/>
          <w:szCs w:val="20"/>
        </w:rPr>
        <w:t>memorandum</w:t>
      </w:r>
      <w:r w:rsidR="003B2FCE" w:rsidRPr="00412481">
        <w:rPr>
          <w:rFonts w:cs="Times New Roman"/>
          <w:b w:val="0"/>
          <w:bCs w:val="0"/>
          <w:sz w:val="20"/>
          <w:szCs w:val="20"/>
        </w:rPr>
        <w:t>.</w:t>
      </w:r>
    </w:p>
    <w:p w14:paraId="21BC0DAC" w14:textId="2522F03F" w:rsidR="00CB748D" w:rsidRPr="00412481" w:rsidRDefault="00CB748D" w:rsidP="00CB748D">
      <w:pPr>
        <w:pStyle w:val="Heading1"/>
        <w:spacing w:line="259" w:lineRule="auto"/>
        <w:ind w:left="1080" w:hanging="360"/>
        <w:jc w:val="both"/>
        <w:rPr>
          <w:rFonts w:cs="Times New Roman"/>
          <w:b w:val="0"/>
          <w:bCs w:val="0"/>
          <w:sz w:val="20"/>
          <w:szCs w:val="20"/>
        </w:rPr>
      </w:pPr>
    </w:p>
    <w:p w14:paraId="48676165" w14:textId="1600EEC3" w:rsidR="00CB748D" w:rsidRPr="00412481" w:rsidRDefault="00CB748D" w:rsidP="00CB66C7">
      <w:pPr>
        <w:pStyle w:val="Heading1"/>
        <w:pBdr>
          <w:top w:val="single" w:sz="4" w:space="1" w:color="auto"/>
          <w:left w:val="single" w:sz="4" w:space="4" w:color="auto"/>
          <w:bottom w:val="single" w:sz="4" w:space="1" w:color="auto"/>
          <w:right w:val="single" w:sz="4" w:space="4" w:color="auto"/>
        </w:pBdr>
        <w:spacing w:line="259" w:lineRule="auto"/>
        <w:ind w:left="720"/>
        <w:jc w:val="both"/>
        <w:rPr>
          <w:rFonts w:cs="Times New Roman"/>
          <w:b w:val="0"/>
          <w:bCs w:val="0"/>
          <w:sz w:val="20"/>
          <w:szCs w:val="20"/>
        </w:rPr>
      </w:pPr>
      <w:r w:rsidRPr="00412481">
        <w:rPr>
          <w:rFonts w:cs="Times New Roman"/>
          <w:sz w:val="20"/>
          <w:szCs w:val="20"/>
        </w:rPr>
        <w:t>Guidance note:</w:t>
      </w:r>
      <w:r w:rsidRPr="00412481">
        <w:rPr>
          <w:rFonts w:cs="Times New Roman"/>
          <w:b w:val="0"/>
          <w:bCs w:val="0"/>
          <w:sz w:val="20"/>
          <w:szCs w:val="20"/>
        </w:rPr>
        <w:t xml:space="preserve">  Section 4.F is consistent with the standard laid out in ASOP No. 11 – Reinsurance Involving Life Insurance, Annuities, or Health Benefit Plans in Financial Reports.</w:t>
      </w:r>
    </w:p>
    <w:p w14:paraId="51CA126B" w14:textId="3E2B42EA" w:rsidR="00210841" w:rsidRPr="00412481" w:rsidRDefault="003B2FCE" w:rsidP="00C67F4C">
      <w:pPr>
        <w:pStyle w:val="Heading1"/>
        <w:spacing w:line="259" w:lineRule="auto"/>
        <w:ind w:left="720" w:hanging="360"/>
        <w:jc w:val="both"/>
        <w:rPr>
          <w:rFonts w:cs="Times New Roman"/>
          <w:b w:val="0"/>
          <w:bCs w:val="0"/>
          <w:i/>
          <w:iCs/>
          <w:sz w:val="20"/>
          <w:szCs w:val="20"/>
        </w:rPr>
      </w:pPr>
      <w:r w:rsidRPr="00412481">
        <w:rPr>
          <w:rFonts w:cs="Times New Roman"/>
          <w:b w:val="0"/>
          <w:bCs w:val="0"/>
          <w:sz w:val="20"/>
          <w:szCs w:val="20"/>
        </w:rPr>
        <w:t xml:space="preserve"> </w:t>
      </w:r>
      <w:bookmarkEnd w:id="7"/>
    </w:p>
    <w:p w14:paraId="30F3B765" w14:textId="1E68E2F5" w:rsidR="006C688B" w:rsidRPr="00412481" w:rsidRDefault="00CF12F4">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G</w:t>
      </w:r>
      <w:r w:rsidR="00662AC5" w:rsidRPr="00412481">
        <w:rPr>
          <w:rFonts w:cs="Times New Roman"/>
          <w:b w:val="0"/>
          <w:bCs w:val="0"/>
          <w:sz w:val="20"/>
          <w:szCs w:val="20"/>
        </w:rPr>
        <w:t>.</w:t>
      </w:r>
      <w:r w:rsidR="00662AC5" w:rsidRPr="00412481">
        <w:rPr>
          <w:rFonts w:cs="Times New Roman"/>
          <w:b w:val="0"/>
          <w:bCs w:val="0"/>
          <w:sz w:val="20"/>
          <w:szCs w:val="20"/>
        </w:rPr>
        <w:tab/>
      </w:r>
      <w:r w:rsidR="00BB747E" w:rsidRPr="00412481">
        <w:rPr>
          <w:rFonts w:cs="Times New Roman"/>
          <w:sz w:val="20"/>
          <w:szCs w:val="20"/>
        </w:rPr>
        <w:t xml:space="preserve">Borrowing.  </w:t>
      </w:r>
      <w:r w:rsidR="00EB242A" w:rsidRPr="00412481">
        <w:rPr>
          <w:rFonts w:cs="Times New Roman"/>
          <w:b w:val="0"/>
          <w:bCs w:val="0"/>
          <w:sz w:val="20"/>
          <w:szCs w:val="20"/>
        </w:rPr>
        <w:t>Please identify i</w:t>
      </w:r>
      <w:r w:rsidR="00662AC5" w:rsidRPr="00412481">
        <w:rPr>
          <w:rFonts w:cs="Times New Roman"/>
          <w:b w:val="0"/>
          <w:bCs w:val="0"/>
          <w:spacing w:val="-1"/>
          <w:sz w:val="20"/>
          <w:szCs w:val="20"/>
        </w:rPr>
        <w:t xml:space="preserve">f any borrowing is modeled </w:t>
      </w:r>
      <w:r w:rsidR="005A529B" w:rsidRPr="00412481">
        <w:rPr>
          <w:rFonts w:cs="Times New Roman"/>
          <w:b w:val="0"/>
          <w:bCs w:val="0"/>
          <w:spacing w:val="-1"/>
          <w:sz w:val="20"/>
          <w:szCs w:val="20"/>
        </w:rPr>
        <w:t xml:space="preserve">besides </w:t>
      </w:r>
      <w:r w:rsidR="00662AC5" w:rsidRPr="00412481">
        <w:rPr>
          <w:rFonts w:cs="Times New Roman"/>
          <w:b w:val="0"/>
          <w:bCs w:val="0"/>
          <w:spacing w:val="-1"/>
          <w:sz w:val="20"/>
          <w:szCs w:val="20"/>
        </w:rPr>
        <w:t>to address very short-term liquidity needs.</w:t>
      </w:r>
      <w:r w:rsidR="00733DC7" w:rsidRPr="00412481">
        <w:rPr>
          <w:rFonts w:cs="Times New Roman"/>
          <w:b w:val="0"/>
          <w:bCs w:val="0"/>
          <w:spacing w:val="-1"/>
          <w:sz w:val="20"/>
          <w:szCs w:val="20"/>
        </w:rPr>
        <w:t xml:space="preserve"> </w:t>
      </w:r>
      <w:r w:rsidR="00C16687" w:rsidRPr="00412481">
        <w:rPr>
          <w:rFonts w:cs="Times New Roman"/>
          <w:b w:val="0"/>
          <w:bCs w:val="0"/>
          <w:sz w:val="20"/>
          <w:szCs w:val="20"/>
        </w:rPr>
        <w:t xml:space="preserve">Also, verify borrowing </w:t>
      </w:r>
      <w:r w:rsidR="00090284" w:rsidRPr="00412481">
        <w:rPr>
          <w:rFonts w:cs="Times New Roman"/>
          <w:b w:val="0"/>
          <w:bCs w:val="0"/>
          <w:sz w:val="20"/>
          <w:szCs w:val="20"/>
        </w:rPr>
        <w:t xml:space="preserve">and </w:t>
      </w:r>
      <w:r w:rsidR="003B2FCE" w:rsidRPr="00412481">
        <w:rPr>
          <w:rFonts w:cs="Times New Roman"/>
          <w:b w:val="0"/>
          <w:bCs w:val="0"/>
          <w:sz w:val="20"/>
          <w:szCs w:val="20"/>
        </w:rPr>
        <w:t>re</w:t>
      </w:r>
      <w:r w:rsidR="00C16687" w:rsidRPr="00412481">
        <w:rPr>
          <w:rFonts w:cs="Times New Roman"/>
          <w:b w:val="0"/>
          <w:bCs w:val="0"/>
          <w:sz w:val="20"/>
          <w:szCs w:val="20"/>
        </w:rPr>
        <w:t>investment rates to ensur</w:t>
      </w:r>
      <w:r w:rsidR="00090284" w:rsidRPr="00412481">
        <w:rPr>
          <w:rFonts w:cs="Times New Roman"/>
          <w:b w:val="0"/>
          <w:bCs w:val="0"/>
          <w:sz w:val="20"/>
          <w:szCs w:val="20"/>
        </w:rPr>
        <w:t>e</w:t>
      </w:r>
      <w:r w:rsidR="00C16687" w:rsidRPr="00412481">
        <w:rPr>
          <w:rFonts w:cs="Times New Roman"/>
          <w:b w:val="0"/>
          <w:bCs w:val="0"/>
          <w:sz w:val="20"/>
          <w:szCs w:val="20"/>
        </w:rPr>
        <w:t xml:space="preserve"> that projections are not materially benefiting from arbitrage advantages</w:t>
      </w:r>
      <w:r w:rsidR="00DB6B96" w:rsidRPr="00412481">
        <w:rPr>
          <w:rFonts w:cs="Times New Roman"/>
          <w:b w:val="0"/>
          <w:bCs w:val="0"/>
          <w:sz w:val="20"/>
          <w:szCs w:val="20"/>
        </w:rPr>
        <w:t>.</w:t>
      </w:r>
      <w:r w:rsidR="00C16687" w:rsidRPr="00412481">
        <w:rPr>
          <w:rFonts w:cs="Times New Roman"/>
          <w:b w:val="0"/>
          <w:bCs w:val="0"/>
          <w:sz w:val="20"/>
          <w:szCs w:val="20"/>
        </w:rPr>
        <w:t xml:space="preserve"> </w:t>
      </w:r>
    </w:p>
    <w:p w14:paraId="0781B44D" w14:textId="77777777" w:rsidR="00EF0590" w:rsidRPr="00412481" w:rsidRDefault="00EF0590" w:rsidP="00EF0590">
      <w:pPr>
        <w:pStyle w:val="Heading1"/>
        <w:spacing w:line="259" w:lineRule="auto"/>
        <w:ind w:left="0"/>
        <w:jc w:val="both"/>
        <w:rPr>
          <w:rFonts w:cs="Times New Roman"/>
          <w:b w:val="0"/>
          <w:bCs w:val="0"/>
          <w:i/>
          <w:iCs/>
          <w:sz w:val="20"/>
          <w:szCs w:val="20"/>
        </w:rPr>
      </w:pPr>
    </w:p>
    <w:p w14:paraId="5DC83B7F" w14:textId="352B5328" w:rsidR="00090284" w:rsidRPr="00412481" w:rsidRDefault="00061193" w:rsidP="00090284">
      <w:pPr>
        <w:pStyle w:val="Heading1"/>
        <w:spacing w:line="259" w:lineRule="auto"/>
        <w:ind w:left="360" w:hanging="360"/>
        <w:jc w:val="both"/>
        <w:rPr>
          <w:rFonts w:cs="Times New Roman"/>
          <w:b w:val="0"/>
          <w:spacing w:val="-1"/>
          <w:sz w:val="20"/>
          <w:szCs w:val="20"/>
        </w:rPr>
      </w:pPr>
      <w:r w:rsidRPr="00412481">
        <w:rPr>
          <w:rFonts w:cs="Times New Roman"/>
          <w:b w:val="0"/>
          <w:spacing w:val="-1"/>
          <w:sz w:val="20"/>
          <w:szCs w:val="20"/>
        </w:rPr>
        <w:t>5.</w:t>
      </w:r>
      <w:r w:rsidRPr="00412481">
        <w:rPr>
          <w:rFonts w:cs="Times New Roman"/>
          <w:b w:val="0"/>
          <w:spacing w:val="-1"/>
          <w:sz w:val="20"/>
          <w:szCs w:val="20"/>
        </w:rPr>
        <w:tab/>
      </w:r>
      <w:r w:rsidR="009130F7" w:rsidRPr="00412481">
        <w:rPr>
          <w:rFonts w:cs="Times New Roman"/>
          <w:b w:val="0"/>
          <w:spacing w:val="-1"/>
          <w:sz w:val="20"/>
          <w:szCs w:val="20"/>
        </w:rPr>
        <w:t>Sensitivity Tests and Attribution Analysis</w:t>
      </w:r>
      <w:r w:rsidR="00687FF9" w:rsidRPr="00412481">
        <w:rPr>
          <w:rFonts w:cs="Times New Roman"/>
          <w:b w:val="0"/>
          <w:spacing w:val="-1"/>
          <w:sz w:val="20"/>
          <w:szCs w:val="20"/>
        </w:rPr>
        <w:t xml:space="preserve"> related to </w:t>
      </w:r>
      <w:r w:rsidRPr="00412481">
        <w:rPr>
          <w:rFonts w:cs="Times New Roman"/>
          <w:b w:val="0"/>
          <w:spacing w:val="-1"/>
          <w:sz w:val="20"/>
          <w:szCs w:val="20"/>
        </w:rPr>
        <w:t>Assumptions on Projected High Net Yield Assets</w:t>
      </w:r>
    </w:p>
    <w:p w14:paraId="3B038B84" w14:textId="77777777" w:rsidR="003E792D" w:rsidRPr="00412481" w:rsidRDefault="003E792D" w:rsidP="00090284">
      <w:pPr>
        <w:pStyle w:val="Heading1"/>
        <w:spacing w:line="259" w:lineRule="auto"/>
        <w:ind w:left="360" w:hanging="360"/>
        <w:jc w:val="both"/>
        <w:rPr>
          <w:rFonts w:cs="Times New Roman"/>
          <w:b w:val="0"/>
          <w:spacing w:val="-1"/>
          <w:sz w:val="20"/>
          <w:szCs w:val="20"/>
        </w:rPr>
      </w:pPr>
    </w:p>
    <w:p w14:paraId="3813E421" w14:textId="1E7AF791" w:rsidR="009130F7" w:rsidRPr="00412481" w:rsidRDefault="00061193" w:rsidP="00090284">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A.</w:t>
      </w:r>
      <w:r w:rsidRPr="00412481">
        <w:rPr>
          <w:rFonts w:cs="Times New Roman"/>
          <w:b w:val="0"/>
          <w:bCs w:val="0"/>
          <w:sz w:val="20"/>
          <w:szCs w:val="20"/>
        </w:rPr>
        <w:tab/>
      </w:r>
      <w:r w:rsidR="00C67F4C" w:rsidRPr="00412481">
        <w:rPr>
          <w:rFonts w:cs="Times New Roman"/>
          <w:b w:val="0"/>
          <w:bCs w:val="0"/>
          <w:sz w:val="20"/>
          <w:szCs w:val="20"/>
        </w:rPr>
        <w:t>Sensitivity</w:t>
      </w:r>
      <w:r w:rsidR="009130F7" w:rsidRPr="00412481">
        <w:rPr>
          <w:rFonts w:cs="Times New Roman"/>
          <w:b w:val="0"/>
          <w:bCs w:val="0"/>
          <w:sz w:val="20"/>
          <w:szCs w:val="20"/>
        </w:rPr>
        <w:t xml:space="preserve"> testing</w:t>
      </w:r>
    </w:p>
    <w:p w14:paraId="772F91A9" w14:textId="77777777" w:rsidR="00C93591" w:rsidRPr="00412481" w:rsidRDefault="00C93591" w:rsidP="00090284">
      <w:pPr>
        <w:pStyle w:val="Heading1"/>
        <w:spacing w:line="259" w:lineRule="auto"/>
        <w:ind w:left="720" w:hanging="360"/>
        <w:jc w:val="both"/>
        <w:rPr>
          <w:rFonts w:cs="Times New Roman"/>
          <w:b w:val="0"/>
          <w:bCs w:val="0"/>
          <w:sz w:val="20"/>
          <w:szCs w:val="20"/>
        </w:rPr>
      </w:pPr>
    </w:p>
    <w:p w14:paraId="60296E1B" w14:textId="233C4A1A" w:rsidR="0040056C" w:rsidRPr="00412481" w:rsidRDefault="009130F7">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w:t>
      </w:r>
      <w:r w:rsidRPr="00412481">
        <w:rPr>
          <w:rFonts w:cs="Times New Roman"/>
          <w:b w:val="0"/>
          <w:bCs w:val="0"/>
          <w:sz w:val="20"/>
          <w:szCs w:val="20"/>
        </w:rPr>
        <w:tab/>
      </w:r>
      <w:r w:rsidR="00CB748D" w:rsidRPr="00412481">
        <w:rPr>
          <w:rFonts w:cs="Times New Roman"/>
          <w:b w:val="0"/>
          <w:bCs w:val="0"/>
          <w:sz w:val="20"/>
          <w:szCs w:val="20"/>
        </w:rPr>
        <w:t>P</w:t>
      </w:r>
      <w:r w:rsidRPr="00412481">
        <w:rPr>
          <w:rFonts w:cs="Times New Roman"/>
          <w:b w:val="0"/>
          <w:bCs w:val="0"/>
          <w:sz w:val="20"/>
          <w:szCs w:val="20"/>
        </w:rPr>
        <w:t>erform and disclose</w:t>
      </w:r>
      <w:r w:rsidR="008C7428" w:rsidRPr="00412481">
        <w:rPr>
          <w:rFonts w:cs="Times New Roman"/>
          <w:b w:val="0"/>
          <w:bCs w:val="0"/>
          <w:sz w:val="20"/>
          <w:szCs w:val="20"/>
        </w:rPr>
        <w:t xml:space="preserve">, separately for (a) and (b), </w:t>
      </w:r>
      <w:r w:rsidRPr="00412481">
        <w:rPr>
          <w:rFonts w:cs="Times New Roman"/>
          <w:b w:val="0"/>
          <w:bCs w:val="0"/>
          <w:sz w:val="20"/>
          <w:szCs w:val="20"/>
        </w:rPr>
        <w:t xml:space="preserve">the </w:t>
      </w:r>
      <w:r w:rsidR="00950B21" w:rsidRPr="00412481">
        <w:rPr>
          <w:rFonts w:cs="Times New Roman"/>
          <w:b w:val="0"/>
          <w:bCs w:val="0"/>
          <w:sz w:val="20"/>
          <w:szCs w:val="20"/>
        </w:rPr>
        <w:t xml:space="preserve">asset adequacy </w:t>
      </w:r>
      <w:r w:rsidR="008E3369" w:rsidRPr="00412481">
        <w:rPr>
          <w:rFonts w:cs="Times New Roman"/>
          <w:b w:val="0"/>
          <w:bCs w:val="0"/>
          <w:sz w:val="20"/>
          <w:szCs w:val="20"/>
        </w:rPr>
        <w:t xml:space="preserve">analysis </w:t>
      </w:r>
      <w:r w:rsidRPr="00412481">
        <w:rPr>
          <w:rFonts w:cs="Times New Roman"/>
          <w:b w:val="0"/>
          <w:bCs w:val="0"/>
          <w:sz w:val="20"/>
          <w:szCs w:val="20"/>
        </w:rPr>
        <w:t xml:space="preserve">results </w:t>
      </w:r>
      <w:r w:rsidR="00950B21" w:rsidRPr="00412481">
        <w:rPr>
          <w:rFonts w:cs="Times New Roman"/>
          <w:b w:val="0"/>
          <w:bCs w:val="0"/>
          <w:sz w:val="20"/>
          <w:szCs w:val="20"/>
        </w:rPr>
        <w:t>from</w:t>
      </w:r>
      <w:r w:rsidRPr="00412481">
        <w:rPr>
          <w:rFonts w:cs="Times New Roman"/>
          <w:b w:val="0"/>
          <w:bCs w:val="0"/>
          <w:sz w:val="20"/>
          <w:szCs w:val="20"/>
        </w:rPr>
        <w:t xml:space="preserve"> </w:t>
      </w:r>
      <w:r w:rsidR="00950B21" w:rsidRPr="00412481">
        <w:rPr>
          <w:rFonts w:cs="Times New Roman"/>
          <w:b w:val="0"/>
          <w:bCs w:val="0"/>
          <w:sz w:val="20"/>
          <w:szCs w:val="20"/>
        </w:rPr>
        <w:t>the following</w:t>
      </w:r>
      <w:r w:rsidRPr="00412481">
        <w:rPr>
          <w:rFonts w:cs="Times New Roman"/>
          <w:b w:val="0"/>
          <w:bCs w:val="0"/>
          <w:sz w:val="20"/>
          <w:szCs w:val="20"/>
        </w:rPr>
        <w:t xml:space="preserve"> sensitivity test</w:t>
      </w:r>
      <w:r w:rsidR="008C7428" w:rsidRPr="00412481">
        <w:rPr>
          <w:rFonts w:cs="Times New Roman"/>
          <w:b w:val="0"/>
          <w:bCs w:val="0"/>
          <w:sz w:val="20"/>
          <w:szCs w:val="20"/>
        </w:rPr>
        <w:t>s</w:t>
      </w:r>
      <w:r w:rsidR="00D62E4D" w:rsidRPr="00412481">
        <w:rPr>
          <w:rFonts w:cs="Times New Roman"/>
          <w:b w:val="0"/>
          <w:bCs w:val="0"/>
          <w:sz w:val="20"/>
          <w:szCs w:val="20"/>
        </w:rPr>
        <w:t>:</w:t>
      </w:r>
    </w:p>
    <w:p w14:paraId="1BFE55BA" w14:textId="77777777" w:rsidR="0040056C" w:rsidRPr="00412481" w:rsidRDefault="0040056C">
      <w:pPr>
        <w:pStyle w:val="Heading1"/>
        <w:spacing w:line="259" w:lineRule="auto"/>
        <w:ind w:left="1800" w:hanging="360"/>
        <w:jc w:val="both"/>
        <w:rPr>
          <w:rFonts w:cs="Times New Roman"/>
          <w:b w:val="0"/>
          <w:bCs w:val="0"/>
          <w:sz w:val="20"/>
          <w:szCs w:val="20"/>
        </w:rPr>
      </w:pPr>
    </w:p>
    <w:p w14:paraId="35A7ED90" w14:textId="6208C04B" w:rsidR="00DB6618" w:rsidRPr="00412481" w:rsidRDefault="0040056C" w:rsidP="0040056C">
      <w:pPr>
        <w:pStyle w:val="Heading1"/>
        <w:spacing w:line="259" w:lineRule="auto"/>
        <w:ind w:left="2880" w:hanging="360"/>
        <w:jc w:val="both"/>
        <w:rPr>
          <w:rFonts w:cs="Times New Roman"/>
          <w:b w:val="0"/>
          <w:bCs w:val="0"/>
          <w:sz w:val="20"/>
          <w:szCs w:val="20"/>
        </w:rPr>
      </w:pPr>
      <w:r w:rsidRPr="00412481">
        <w:rPr>
          <w:rFonts w:cs="Times New Roman"/>
          <w:b w:val="0"/>
          <w:bCs w:val="0"/>
          <w:sz w:val="20"/>
          <w:szCs w:val="20"/>
        </w:rPr>
        <w:t>(a)</w:t>
      </w:r>
      <w:r w:rsidRPr="00412481">
        <w:rPr>
          <w:rFonts w:cs="Times New Roman"/>
          <w:b w:val="0"/>
          <w:bCs w:val="0"/>
          <w:sz w:val="20"/>
          <w:szCs w:val="20"/>
        </w:rPr>
        <w:tab/>
      </w:r>
      <w:r w:rsidR="00950B21" w:rsidRPr="00412481">
        <w:rPr>
          <w:rFonts w:cs="Times New Roman"/>
          <w:b w:val="0"/>
          <w:bCs w:val="0"/>
          <w:sz w:val="20"/>
          <w:szCs w:val="20"/>
        </w:rPr>
        <w:t xml:space="preserve">For </w:t>
      </w:r>
      <w:r w:rsidR="002E0C09" w:rsidRPr="00412481">
        <w:rPr>
          <w:rFonts w:cs="Times New Roman"/>
          <w:b w:val="0"/>
          <w:bCs w:val="0"/>
          <w:sz w:val="20"/>
          <w:szCs w:val="20"/>
        </w:rPr>
        <w:t xml:space="preserve">reinvestment </w:t>
      </w:r>
      <w:r w:rsidR="00021D59" w:rsidRPr="00412481">
        <w:rPr>
          <w:rFonts w:cs="Times New Roman"/>
          <w:b w:val="0"/>
          <w:bCs w:val="0"/>
          <w:sz w:val="20"/>
          <w:szCs w:val="20"/>
        </w:rPr>
        <w:t xml:space="preserve">assets </w:t>
      </w:r>
      <w:r w:rsidR="004E70C8" w:rsidRPr="00412481">
        <w:rPr>
          <w:rFonts w:cs="Times New Roman"/>
          <w:b w:val="0"/>
          <w:bCs w:val="0"/>
          <w:sz w:val="20"/>
          <w:szCs w:val="20"/>
        </w:rPr>
        <w:t xml:space="preserve">other than </w:t>
      </w:r>
      <w:r w:rsidR="00021D59" w:rsidRPr="00412481">
        <w:rPr>
          <w:rFonts w:cs="Times New Roman"/>
          <w:b w:val="0"/>
          <w:bCs w:val="0"/>
          <w:sz w:val="20"/>
          <w:szCs w:val="20"/>
        </w:rPr>
        <w:t>Equity-like Instruments</w:t>
      </w:r>
      <w:r w:rsidR="00950B21" w:rsidRPr="00412481">
        <w:rPr>
          <w:rFonts w:cs="Times New Roman"/>
          <w:b w:val="0"/>
          <w:bCs w:val="0"/>
          <w:sz w:val="20"/>
          <w:szCs w:val="20"/>
        </w:rPr>
        <w:t>,</w:t>
      </w:r>
      <w:r w:rsidR="009130F7" w:rsidRPr="00412481">
        <w:rPr>
          <w:rFonts w:cs="Times New Roman"/>
          <w:b w:val="0"/>
          <w:bCs w:val="0"/>
          <w:sz w:val="20"/>
          <w:szCs w:val="20"/>
        </w:rPr>
        <w:t xml:space="preserve"> assum</w:t>
      </w:r>
      <w:r w:rsidR="00950B21" w:rsidRPr="00412481">
        <w:rPr>
          <w:rFonts w:cs="Times New Roman"/>
          <w:b w:val="0"/>
          <w:bCs w:val="0"/>
          <w:sz w:val="20"/>
          <w:szCs w:val="20"/>
        </w:rPr>
        <w:t>e</w:t>
      </w:r>
      <w:r w:rsidR="009130F7" w:rsidRPr="00412481">
        <w:rPr>
          <w:rFonts w:cs="Times New Roman"/>
          <w:b w:val="0"/>
          <w:bCs w:val="0"/>
          <w:sz w:val="20"/>
          <w:szCs w:val="20"/>
        </w:rPr>
        <w:t xml:space="preserve"> </w:t>
      </w:r>
      <w:r w:rsidR="00C25F82" w:rsidRPr="00412481">
        <w:rPr>
          <w:rFonts w:cs="Times New Roman"/>
          <w:b w:val="0"/>
          <w:bCs w:val="0"/>
          <w:sz w:val="20"/>
          <w:szCs w:val="20"/>
        </w:rPr>
        <w:t>the</w:t>
      </w:r>
      <w:r w:rsidR="009D2DB7" w:rsidRPr="00412481">
        <w:rPr>
          <w:rFonts w:cs="Times New Roman"/>
          <w:b w:val="0"/>
          <w:bCs w:val="0"/>
          <w:sz w:val="20"/>
          <w:szCs w:val="20"/>
        </w:rPr>
        <w:t xml:space="preserve"> </w:t>
      </w:r>
      <w:r w:rsidR="002E0C09" w:rsidRPr="00412481">
        <w:rPr>
          <w:rFonts w:cs="Times New Roman"/>
          <w:b w:val="0"/>
          <w:bCs w:val="0"/>
          <w:sz w:val="20"/>
          <w:szCs w:val="20"/>
        </w:rPr>
        <w:t>N</w:t>
      </w:r>
      <w:r w:rsidR="009130F7" w:rsidRPr="00412481">
        <w:rPr>
          <w:rFonts w:cs="Times New Roman"/>
          <w:b w:val="0"/>
          <w:bCs w:val="0"/>
          <w:sz w:val="20"/>
          <w:szCs w:val="20"/>
        </w:rPr>
        <w:t xml:space="preserve">et </w:t>
      </w:r>
      <w:r w:rsidR="002E0C09" w:rsidRPr="00412481">
        <w:rPr>
          <w:rFonts w:cs="Times New Roman"/>
          <w:b w:val="0"/>
          <w:bCs w:val="0"/>
          <w:sz w:val="20"/>
          <w:szCs w:val="20"/>
        </w:rPr>
        <w:t>Market</w:t>
      </w:r>
      <w:r w:rsidR="009130F7" w:rsidRPr="00412481">
        <w:rPr>
          <w:rFonts w:cs="Times New Roman"/>
          <w:b w:val="0"/>
          <w:bCs w:val="0"/>
          <w:sz w:val="20"/>
          <w:szCs w:val="20"/>
        </w:rPr>
        <w:t xml:space="preserve"> </w:t>
      </w:r>
      <w:r w:rsidR="002E0C09" w:rsidRPr="00412481">
        <w:rPr>
          <w:rFonts w:cs="Times New Roman"/>
          <w:b w:val="0"/>
          <w:bCs w:val="0"/>
          <w:sz w:val="20"/>
          <w:szCs w:val="20"/>
        </w:rPr>
        <w:t>S</w:t>
      </w:r>
      <w:r w:rsidR="003853DA" w:rsidRPr="00412481">
        <w:rPr>
          <w:rFonts w:cs="Times New Roman"/>
          <w:b w:val="0"/>
          <w:bCs w:val="0"/>
          <w:sz w:val="20"/>
          <w:szCs w:val="20"/>
        </w:rPr>
        <w:t>preads</w:t>
      </w:r>
      <w:r w:rsidR="008E75F2" w:rsidRPr="00412481">
        <w:rPr>
          <w:rFonts w:cs="Times New Roman"/>
          <w:b w:val="0"/>
          <w:bCs w:val="0"/>
          <w:sz w:val="20"/>
          <w:szCs w:val="20"/>
        </w:rPr>
        <w:t xml:space="preserve"> (before deduction of investment expenses) </w:t>
      </w:r>
      <w:r w:rsidR="00C25F82" w:rsidRPr="00412481">
        <w:rPr>
          <w:rFonts w:cs="Times New Roman"/>
          <w:b w:val="0"/>
          <w:bCs w:val="0"/>
          <w:sz w:val="20"/>
          <w:szCs w:val="20"/>
        </w:rPr>
        <w:t xml:space="preserve">for Projected High Net Yield Assets </w:t>
      </w:r>
      <w:r w:rsidR="009130F7" w:rsidRPr="00412481">
        <w:rPr>
          <w:rFonts w:cs="Times New Roman"/>
          <w:b w:val="0"/>
          <w:bCs w:val="0"/>
          <w:sz w:val="20"/>
          <w:szCs w:val="20"/>
        </w:rPr>
        <w:t xml:space="preserve">do not exceed </w:t>
      </w:r>
      <w:r w:rsidR="009D2DB7" w:rsidRPr="00412481">
        <w:rPr>
          <w:rFonts w:cs="Times New Roman"/>
          <w:b w:val="0"/>
          <w:bCs w:val="0"/>
          <w:sz w:val="20"/>
          <w:szCs w:val="20"/>
        </w:rPr>
        <w:t xml:space="preserve">the Investment Grade Net </w:t>
      </w:r>
      <w:r w:rsidR="008E75F2" w:rsidRPr="00412481">
        <w:rPr>
          <w:rFonts w:cs="Times New Roman"/>
          <w:b w:val="0"/>
          <w:bCs w:val="0"/>
          <w:sz w:val="20"/>
          <w:szCs w:val="20"/>
        </w:rPr>
        <w:t xml:space="preserve">Spread </w:t>
      </w:r>
      <w:r w:rsidR="009D2DB7" w:rsidRPr="00412481">
        <w:rPr>
          <w:rFonts w:cs="Times New Roman"/>
          <w:b w:val="0"/>
          <w:bCs w:val="0"/>
          <w:sz w:val="20"/>
          <w:szCs w:val="20"/>
        </w:rPr>
        <w:t>Benchmark</w:t>
      </w:r>
      <w:r w:rsidR="00D62E4D" w:rsidRPr="00412481">
        <w:rPr>
          <w:rFonts w:cs="Times New Roman"/>
          <w:b w:val="0"/>
          <w:bCs w:val="0"/>
          <w:sz w:val="20"/>
          <w:szCs w:val="20"/>
        </w:rPr>
        <w:t xml:space="preserve"> and apply the test to a baseline of a level Treasury rate scenario</w:t>
      </w:r>
      <w:r w:rsidR="008E75F2" w:rsidRPr="00412481">
        <w:rPr>
          <w:rFonts w:cs="Times New Roman"/>
          <w:b w:val="0"/>
          <w:bCs w:val="0"/>
          <w:sz w:val="20"/>
          <w:szCs w:val="20"/>
        </w:rPr>
        <w:t>.</w:t>
      </w:r>
    </w:p>
    <w:p w14:paraId="0110F0F7" w14:textId="77777777" w:rsidR="00DB6618" w:rsidRPr="00412481" w:rsidRDefault="00DB6618" w:rsidP="0040056C">
      <w:pPr>
        <w:pStyle w:val="Heading1"/>
        <w:spacing w:line="259" w:lineRule="auto"/>
        <w:ind w:left="2880" w:hanging="360"/>
        <w:jc w:val="both"/>
        <w:rPr>
          <w:rFonts w:cs="Times New Roman"/>
          <w:b w:val="0"/>
          <w:bCs w:val="0"/>
          <w:sz w:val="20"/>
          <w:szCs w:val="20"/>
        </w:rPr>
      </w:pPr>
    </w:p>
    <w:p w14:paraId="0B3F1B09" w14:textId="37D01686" w:rsidR="008E75F2" w:rsidRPr="00412481" w:rsidRDefault="00DB6618" w:rsidP="0040056C">
      <w:pPr>
        <w:pStyle w:val="Heading1"/>
        <w:spacing w:line="259" w:lineRule="auto"/>
        <w:ind w:left="2880" w:hanging="360"/>
        <w:jc w:val="both"/>
        <w:rPr>
          <w:rFonts w:cs="Times New Roman"/>
          <w:b w:val="0"/>
          <w:bCs w:val="0"/>
          <w:sz w:val="20"/>
          <w:szCs w:val="20"/>
        </w:rPr>
      </w:pPr>
      <w:r w:rsidRPr="00412481">
        <w:rPr>
          <w:rFonts w:cs="Times New Roman"/>
          <w:b w:val="0"/>
          <w:bCs w:val="0"/>
          <w:sz w:val="20"/>
          <w:szCs w:val="20"/>
        </w:rPr>
        <w:tab/>
        <w:t>For the purposes of limiting the Net Market Spreads at the Investment Grade Net Spread Benchmark, Projected High Net Yield Assets may be aggregated together but shall not include any assets that are not Projected High Net Yield Assets.</w:t>
      </w:r>
    </w:p>
    <w:p w14:paraId="13AAE97B" w14:textId="77777777" w:rsidR="008E75F2" w:rsidRPr="00412481" w:rsidRDefault="008E75F2" w:rsidP="0040056C">
      <w:pPr>
        <w:pStyle w:val="Heading1"/>
        <w:spacing w:line="259" w:lineRule="auto"/>
        <w:ind w:left="2880" w:hanging="360"/>
        <w:jc w:val="both"/>
        <w:rPr>
          <w:rFonts w:cs="Times New Roman"/>
          <w:b w:val="0"/>
          <w:bCs w:val="0"/>
          <w:sz w:val="20"/>
          <w:szCs w:val="20"/>
        </w:rPr>
      </w:pPr>
    </w:p>
    <w:p w14:paraId="5D361672" w14:textId="2F5006D1" w:rsidR="0040056C" w:rsidRPr="00412481" w:rsidRDefault="008E75F2" w:rsidP="0040056C">
      <w:pPr>
        <w:pStyle w:val="Heading1"/>
        <w:spacing w:line="259" w:lineRule="auto"/>
        <w:ind w:left="2880" w:hanging="360"/>
        <w:jc w:val="both"/>
        <w:rPr>
          <w:rFonts w:cs="Times New Roman"/>
          <w:b w:val="0"/>
          <w:bCs w:val="0"/>
          <w:sz w:val="20"/>
          <w:szCs w:val="20"/>
        </w:rPr>
      </w:pPr>
      <w:r w:rsidRPr="00412481">
        <w:rPr>
          <w:rFonts w:cs="Times New Roman"/>
          <w:b w:val="0"/>
          <w:bCs w:val="0"/>
          <w:sz w:val="20"/>
          <w:szCs w:val="20"/>
        </w:rPr>
        <w:t>(b)</w:t>
      </w:r>
      <w:r w:rsidRPr="00412481">
        <w:rPr>
          <w:rFonts w:cs="Times New Roman"/>
          <w:b w:val="0"/>
          <w:bCs w:val="0"/>
          <w:sz w:val="20"/>
          <w:szCs w:val="20"/>
        </w:rPr>
        <w:tab/>
      </w:r>
      <w:r w:rsidR="00021D59" w:rsidRPr="00412481">
        <w:rPr>
          <w:rFonts w:cs="Times New Roman"/>
          <w:b w:val="0"/>
          <w:bCs w:val="0"/>
          <w:sz w:val="20"/>
          <w:szCs w:val="20"/>
        </w:rPr>
        <w:t xml:space="preserve">For </w:t>
      </w:r>
      <w:r w:rsidR="003A1161" w:rsidRPr="00412481">
        <w:rPr>
          <w:rFonts w:cs="Times New Roman"/>
          <w:b w:val="0"/>
          <w:bCs w:val="0"/>
          <w:sz w:val="20"/>
          <w:szCs w:val="20"/>
        </w:rPr>
        <w:t xml:space="preserve">reinvestment assets that are </w:t>
      </w:r>
      <w:r w:rsidR="00021D59" w:rsidRPr="00412481">
        <w:rPr>
          <w:rFonts w:cs="Times New Roman"/>
          <w:b w:val="0"/>
          <w:bCs w:val="0"/>
          <w:sz w:val="20"/>
          <w:szCs w:val="20"/>
        </w:rPr>
        <w:t xml:space="preserve">Equity-like Instruments, assume annual </w:t>
      </w:r>
      <w:r w:rsidR="002F66F8" w:rsidRPr="00412481">
        <w:rPr>
          <w:rFonts w:cs="Times New Roman"/>
          <w:b w:val="0"/>
          <w:bCs w:val="0"/>
          <w:sz w:val="20"/>
          <w:szCs w:val="20"/>
        </w:rPr>
        <w:t xml:space="preserve">total </w:t>
      </w:r>
      <w:r w:rsidR="00021D59" w:rsidRPr="00412481">
        <w:rPr>
          <w:rFonts w:cs="Times New Roman"/>
          <w:b w:val="0"/>
          <w:bCs w:val="0"/>
          <w:sz w:val="20"/>
          <w:szCs w:val="20"/>
        </w:rPr>
        <w:t>returns</w:t>
      </w:r>
      <w:r w:rsidR="0001682F" w:rsidRPr="00412481">
        <w:rPr>
          <w:rFonts w:cs="Times New Roman"/>
          <w:b w:val="0"/>
          <w:bCs w:val="0"/>
          <w:sz w:val="20"/>
          <w:szCs w:val="20"/>
        </w:rPr>
        <w:t>,</w:t>
      </w:r>
      <w:r w:rsidRPr="00412481">
        <w:rPr>
          <w:rFonts w:cs="Times New Roman"/>
          <w:b w:val="0"/>
          <w:bCs w:val="0"/>
          <w:sz w:val="20"/>
          <w:szCs w:val="20"/>
        </w:rPr>
        <w:t xml:space="preserve"> before the deduction of investment expenses</w:t>
      </w:r>
      <w:r w:rsidR="0001682F" w:rsidRPr="00412481">
        <w:rPr>
          <w:rFonts w:cs="Times New Roman"/>
          <w:b w:val="0"/>
          <w:bCs w:val="0"/>
          <w:sz w:val="20"/>
          <w:szCs w:val="20"/>
        </w:rPr>
        <w:t>,</w:t>
      </w:r>
      <w:r w:rsidR="002F66F8" w:rsidRPr="00412481">
        <w:rPr>
          <w:rFonts w:cs="Times New Roman"/>
          <w:b w:val="0"/>
          <w:bCs w:val="0"/>
          <w:sz w:val="20"/>
          <w:szCs w:val="20"/>
        </w:rPr>
        <w:t xml:space="preserve"> of 4% for the first </w:t>
      </w:r>
      <w:r w:rsidR="0001682F" w:rsidRPr="00412481">
        <w:rPr>
          <w:rFonts w:cs="Times New Roman"/>
          <w:b w:val="0"/>
          <w:bCs w:val="0"/>
          <w:sz w:val="20"/>
          <w:szCs w:val="20"/>
        </w:rPr>
        <w:t>10</w:t>
      </w:r>
      <w:r w:rsidR="002F66F8" w:rsidRPr="00412481">
        <w:rPr>
          <w:rFonts w:cs="Times New Roman"/>
          <w:b w:val="0"/>
          <w:bCs w:val="0"/>
          <w:sz w:val="20"/>
          <w:szCs w:val="20"/>
        </w:rPr>
        <w:t xml:space="preserve"> projection years after the valuation date followed by 5% for projection year 11 and after</w:t>
      </w:r>
      <w:r w:rsidR="00021D59" w:rsidRPr="00412481">
        <w:rPr>
          <w:rFonts w:cs="Times New Roman"/>
          <w:b w:val="0"/>
          <w:bCs w:val="0"/>
          <w:sz w:val="20"/>
          <w:szCs w:val="20"/>
        </w:rPr>
        <w:t>.</w:t>
      </w:r>
    </w:p>
    <w:p w14:paraId="67BDB69E" w14:textId="77777777" w:rsidR="009130F7" w:rsidRPr="00412481" w:rsidRDefault="009130F7">
      <w:pPr>
        <w:pStyle w:val="Heading1"/>
        <w:spacing w:line="259" w:lineRule="auto"/>
        <w:ind w:left="720" w:hanging="360"/>
        <w:jc w:val="both"/>
        <w:rPr>
          <w:rFonts w:cs="Times New Roman"/>
          <w:b w:val="0"/>
          <w:bCs w:val="0"/>
          <w:sz w:val="20"/>
          <w:szCs w:val="20"/>
        </w:rPr>
      </w:pPr>
    </w:p>
    <w:p w14:paraId="7E231024" w14:textId="0F2FBB17" w:rsidR="0056421D" w:rsidRPr="00412481" w:rsidRDefault="004006D6">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w:t>
      </w:r>
      <w:r w:rsidR="00C67F4C" w:rsidRPr="00412481">
        <w:rPr>
          <w:rFonts w:cs="Times New Roman"/>
          <w:b w:val="0"/>
          <w:bCs w:val="0"/>
          <w:sz w:val="20"/>
          <w:szCs w:val="20"/>
        </w:rPr>
        <w:t>i</w:t>
      </w:r>
      <w:r w:rsidRPr="00412481">
        <w:rPr>
          <w:rFonts w:cs="Times New Roman"/>
          <w:b w:val="0"/>
          <w:bCs w:val="0"/>
          <w:sz w:val="20"/>
          <w:szCs w:val="20"/>
        </w:rPr>
        <w:t>.</w:t>
      </w:r>
      <w:r w:rsidRPr="00412481">
        <w:rPr>
          <w:rFonts w:cs="Times New Roman"/>
          <w:b w:val="0"/>
          <w:bCs w:val="0"/>
          <w:sz w:val="20"/>
          <w:szCs w:val="20"/>
        </w:rPr>
        <w:tab/>
      </w:r>
      <w:r w:rsidR="0056421D" w:rsidRPr="00412481">
        <w:rPr>
          <w:rFonts w:cs="Times New Roman"/>
          <w:b w:val="0"/>
          <w:bCs w:val="0"/>
          <w:sz w:val="20"/>
          <w:szCs w:val="20"/>
        </w:rPr>
        <w:t xml:space="preserve">Strict technical compliance for each asset may not be practical for reasons </w:t>
      </w:r>
      <w:r w:rsidR="002E0C09" w:rsidRPr="00412481">
        <w:rPr>
          <w:rFonts w:cs="Times New Roman"/>
          <w:b w:val="0"/>
          <w:bCs w:val="0"/>
          <w:sz w:val="20"/>
          <w:szCs w:val="20"/>
        </w:rPr>
        <w:t xml:space="preserve">such as </w:t>
      </w:r>
      <w:r w:rsidR="0056421D" w:rsidRPr="00412481">
        <w:rPr>
          <w:rFonts w:cs="Times New Roman"/>
          <w:b w:val="0"/>
          <w:bCs w:val="0"/>
          <w:sz w:val="20"/>
          <w:szCs w:val="20"/>
        </w:rPr>
        <w:t xml:space="preserve">model limitations. Professional judgment should be applied to produce sensitivity testing results that are consistent with the spirit of </w:t>
      </w:r>
      <w:r w:rsidR="003060CE" w:rsidRPr="00412481">
        <w:rPr>
          <w:rFonts w:cs="Times New Roman"/>
          <w:b w:val="0"/>
          <w:bCs w:val="0"/>
          <w:sz w:val="20"/>
          <w:szCs w:val="20"/>
        </w:rPr>
        <w:t>the test. A variety of alternative methods may be acceptable. Appropriate explanation and justification should be provided for the method that was employed.</w:t>
      </w:r>
    </w:p>
    <w:p w14:paraId="352928D7" w14:textId="07107E86" w:rsidR="00A57E0C" w:rsidRPr="00412481" w:rsidRDefault="00A57E0C">
      <w:pPr>
        <w:pStyle w:val="Heading1"/>
        <w:spacing w:line="259" w:lineRule="auto"/>
        <w:ind w:left="1800" w:hanging="360"/>
        <w:jc w:val="both"/>
        <w:rPr>
          <w:rFonts w:cs="Times New Roman"/>
          <w:b w:val="0"/>
          <w:bCs w:val="0"/>
          <w:sz w:val="20"/>
          <w:szCs w:val="20"/>
        </w:rPr>
      </w:pPr>
    </w:p>
    <w:p w14:paraId="1ED299EC" w14:textId="7BB103D9" w:rsidR="00A57E0C" w:rsidRPr="00412481" w:rsidRDefault="00A57E0C">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iii.</w:t>
      </w:r>
      <w:r w:rsidRPr="00412481">
        <w:rPr>
          <w:rFonts w:cs="Times New Roman"/>
          <w:b w:val="0"/>
          <w:bCs w:val="0"/>
          <w:sz w:val="20"/>
          <w:szCs w:val="20"/>
        </w:rPr>
        <w:tab/>
        <w:t>Sensitivity testing for the purpose of this Guideline does not reflect commentary on moderately adverse conditions</w:t>
      </w:r>
      <w:r w:rsidR="00CB66C7">
        <w:rPr>
          <w:rFonts w:cs="Times New Roman"/>
          <w:b w:val="0"/>
          <w:bCs w:val="0"/>
          <w:sz w:val="20"/>
          <w:szCs w:val="20"/>
        </w:rPr>
        <w:t>,</w:t>
      </w:r>
      <w:r w:rsidRPr="00412481">
        <w:rPr>
          <w:rFonts w:cs="Times New Roman"/>
          <w:b w:val="0"/>
          <w:bCs w:val="0"/>
          <w:sz w:val="20"/>
          <w:szCs w:val="20"/>
        </w:rPr>
        <w:t xml:space="preserve"> but </w:t>
      </w:r>
      <w:r w:rsidR="002A0160" w:rsidRPr="00412481">
        <w:rPr>
          <w:rFonts w:cs="Times New Roman"/>
          <w:b w:val="0"/>
          <w:bCs w:val="0"/>
          <w:sz w:val="20"/>
          <w:szCs w:val="20"/>
        </w:rPr>
        <w:t>the volatility and impact demonstrated from the testing should be contemplated in Section 4.A.ii.(b) considerations</w:t>
      </w:r>
      <w:r w:rsidRPr="00412481">
        <w:rPr>
          <w:rFonts w:cs="Times New Roman"/>
          <w:b w:val="0"/>
          <w:bCs w:val="0"/>
          <w:sz w:val="20"/>
          <w:szCs w:val="20"/>
        </w:rPr>
        <w:t>.</w:t>
      </w:r>
    </w:p>
    <w:p w14:paraId="42A1A4E4" w14:textId="77777777" w:rsidR="009130F7" w:rsidRPr="00412481" w:rsidRDefault="009130F7" w:rsidP="00EE6643">
      <w:pPr>
        <w:pStyle w:val="Heading1"/>
        <w:spacing w:line="259" w:lineRule="auto"/>
        <w:ind w:left="1800" w:hanging="360"/>
        <w:jc w:val="both"/>
        <w:rPr>
          <w:rFonts w:cs="Times New Roman"/>
          <w:b w:val="0"/>
          <w:bCs w:val="0"/>
          <w:sz w:val="20"/>
          <w:szCs w:val="20"/>
        </w:rPr>
      </w:pPr>
    </w:p>
    <w:p w14:paraId="21F630CF" w14:textId="4C2C6579" w:rsidR="00D75D57" w:rsidRPr="00412481" w:rsidRDefault="00F30EA1">
      <w:pPr>
        <w:pStyle w:val="Heading1"/>
        <w:spacing w:after="240" w:line="259" w:lineRule="auto"/>
        <w:ind w:left="720" w:hanging="360"/>
        <w:jc w:val="both"/>
        <w:rPr>
          <w:rFonts w:cs="Times New Roman"/>
          <w:b w:val="0"/>
          <w:bCs w:val="0"/>
          <w:sz w:val="20"/>
          <w:szCs w:val="20"/>
        </w:rPr>
      </w:pPr>
      <w:r w:rsidRPr="00412481">
        <w:rPr>
          <w:rFonts w:cs="Times New Roman"/>
          <w:b w:val="0"/>
          <w:spacing w:val="-1"/>
          <w:sz w:val="20"/>
          <w:szCs w:val="20"/>
        </w:rPr>
        <w:t>B</w:t>
      </w:r>
      <w:r w:rsidR="00AE6B9E" w:rsidRPr="00412481">
        <w:rPr>
          <w:rFonts w:cs="Times New Roman"/>
          <w:b w:val="0"/>
          <w:spacing w:val="-1"/>
          <w:sz w:val="20"/>
          <w:szCs w:val="20"/>
        </w:rPr>
        <w:t>.</w:t>
      </w:r>
      <w:r w:rsidR="00AE6B9E" w:rsidRPr="00412481">
        <w:rPr>
          <w:rFonts w:cs="Times New Roman"/>
          <w:b w:val="0"/>
          <w:spacing w:val="-1"/>
          <w:sz w:val="20"/>
          <w:szCs w:val="20"/>
        </w:rPr>
        <w:tab/>
      </w:r>
      <w:r w:rsidR="004E70C8" w:rsidRPr="00412481">
        <w:rPr>
          <w:rFonts w:cs="Times New Roman"/>
          <w:b w:val="0"/>
          <w:spacing w:val="-1"/>
          <w:sz w:val="20"/>
          <w:szCs w:val="20"/>
        </w:rPr>
        <w:t>F</w:t>
      </w:r>
      <w:r w:rsidR="004E70C8" w:rsidRPr="00412481">
        <w:rPr>
          <w:rFonts w:cs="Times New Roman"/>
          <w:b w:val="0"/>
          <w:bCs w:val="0"/>
          <w:sz w:val="20"/>
          <w:szCs w:val="20"/>
        </w:rPr>
        <w:t xml:space="preserve">or </w:t>
      </w:r>
      <w:r w:rsidR="002E0C09" w:rsidRPr="00412481">
        <w:rPr>
          <w:rFonts w:cs="Times New Roman"/>
          <w:b w:val="0"/>
          <w:bCs w:val="0"/>
          <w:sz w:val="20"/>
          <w:szCs w:val="20"/>
        </w:rPr>
        <w:t>Projected High Net Yield Assets for non-</w:t>
      </w:r>
      <w:r w:rsidR="004E70C8" w:rsidRPr="00412481">
        <w:rPr>
          <w:rFonts w:cs="Times New Roman"/>
          <w:b w:val="0"/>
          <w:bCs w:val="0"/>
          <w:sz w:val="20"/>
          <w:szCs w:val="20"/>
        </w:rPr>
        <w:t xml:space="preserve">Equity-like Instruments </w:t>
      </w:r>
      <w:r w:rsidR="002E0C09" w:rsidRPr="00412481">
        <w:rPr>
          <w:rFonts w:cs="Times New Roman"/>
          <w:b w:val="0"/>
          <w:bCs w:val="0"/>
          <w:sz w:val="20"/>
          <w:szCs w:val="20"/>
        </w:rPr>
        <w:t>either currently held or in assumed reinvestments</w:t>
      </w:r>
      <w:r w:rsidR="004E70C8" w:rsidRPr="00412481">
        <w:rPr>
          <w:rFonts w:cs="Times New Roman"/>
          <w:b w:val="0"/>
          <w:bCs w:val="0"/>
          <w:sz w:val="20"/>
          <w:szCs w:val="20"/>
        </w:rPr>
        <w:t xml:space="preserve">, </w:t>
      </w:r>
      <w:r w:rsidR="004E70C8" w:rsidRPr="00412481">
        <w:rPr>
          <w:rFonts w:cs="Times New Roman"/>
          <w:b w:val="0"/>
          <w:spacing w:val="-1"/>
          <w:sz w:val="20"/>
          <w:szCs w:val="20"/>
        </w:rPr>
        <w:t>p</w:t>
      </w:r>
      <w:r w:rsidR="00D75D57" w:rsidRPr="00412481">
        <w:rPr>
          <w:rFonts w:cs="Times New Roman"/>
          <w:b w:val="0"/>
          <w:spacing w:val="-1"/>
          <w:sz w:val="20"/>
          <w:szCs w:val="20"/>
        </w:rPr>
        <w:t xml:space="preserve">erform </w:t>
      </w:r>
      <w:r w:rsidR="002E0C09" w:rsidRPr="00412481">
        <w:rPr>
          <w:rFonts w:cs="Times New Roman"/>
          <w:b w:val="0"/>
          <w:spacing w:val="-1"/>
          <w:sz w:val="20"/>
          <w:szCs w:val="20"/>
        </w:rPr>
        <w:t>and disclose the following</w:t>
      </w:r>
      <w:r w:rsidR="00D75D57" w:rsidRPr="00412481">
        <w:rPr>
          <w:rFonts w:cs="Times New Roman"/>
          <w:b w:val="0"/>
          <w:spacing w:val="-1"/>
          <w:sz w:val="20"/>
          <w:szCs w:val="20"/>
        </w:rPr>
        <w:t xml:space="preserve"> attribution analysis</w:t>
      </w:r>
      <w:r w:rsidR="00AE6B9E" w:rsidRPr="00412481">
        <w:rPr>
          <w:rFonts w:cs="Times New Roman"/>
          <w:b w:val="0"/>
          <w:bCs w:val="0"/>
          <w:sz w:val="20"/>
          <w:szCs w:val="20"/>
        </w:rPr>
        <w:t xml:space="preserve"> </w:t>
      </w:r>
      <w:r w:rsidR="008C7428" w:rsidRPr="00412481">
        <w:rPr>
          <w:rFonts w:cs="Times New Roman"/>
          <w:b w:val="0"/>
          <w:bCs w:val="0"/>
          <w:sz w:val="20"/>
          <w:szCs w:val="20"/>
        </w:rPr>
        <w:t xml:space="preserve">steps </w:t>
      </w:r>
      <w:r w:rsidR="00BC5179" w:rsidRPr="00412481">
        <w:rPr>
          <w:rFonts w:cs="Times New Roman"/>
          <w:b w:val="0"/>
          <w:bCs w:val="0"/>
          <w:sz w:val="20"/>
          <w:szCs w:val="20"/>
        </w:rPr>
        <w:t xml:space="preserve">at the </w:t>
      </w:r>
      <w:r w:rsidR="00506471" w:rsidRPr="00412481">
        <w:rPr>
          <w:rFonts w:cs="Times New Roman"/>
          <w:b w:val="0"/>
          <w:bCs w:val="0"/>
          <w:sz w:val="20"/>
          <w:szCs w:val="20"/>
        </w:rPr>
        <w:t xml:space="preserve">asset type </w:t>
      </w:r>
      <w:r w:rsidR="00BC5179" w:rsidRPr="00412481">
        <w:rPr>
          <w:rFonts w:cs="Times New Roman"/>
          <w:b w:val="0"/>
          <w:bCs w:val="0"/>
          <w:sz w:val="20"/>
          <w:szCs w:val="20"/>
        </w:rPr>
        <w:t xml:space="preserve">level </w:t>
      </w:r>
      <w:r w:rsidR="00D6766F" w:rsidRPr="00412481">
        <w:rPr>
          <w:rFonts w:cs="Times New Roman"/>
          <w:b w:val="0"/>
          <w:bCs w:val="0"/>
          <w:sz w:val="20"/>
          <w:szCs w:val="20"/>
        </w:rPr>
        <w:t xml:space="preserve">associated with the templates </w:t>
      </w:r>
      <w:r w:rsidR="00506471" w:rsidRPr="00412481">
        <w:rPr>
          <w:rFonts w:cs="Times New Roman"/>
          <w:b w:val="0"/>
          <w:bCs w:val="0"/>
          <w:sz w:val="20"/>
          <w:szCs w:val="20"/>
        </w:rPr>
        <w:t>in Section 6</w:t>
      </w:r>
      <w:r w:rsidR="00D75D57" w:rsidRPr="00412481">
        <w:rPr>
          <w:rFonts w:cs="Times New Roman"/>
          <w:b w:val="0"/>
          <w:bCs w:val="0"/>
          <w:sz w:val="20"/>
          <w:szCs w:val="20"/>
        </w:rPr>
        <w:t>:</w:t>
      </w:r>
    </w:p>
    <w:p w14:paraId="251931C4" w14:textId="03CCACAC" w:rsidR="006909A7" w:rsidRPr="00412481" w:rsidRDefault="00D75D57">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w:t>
      </w:r>
      <w:r w:rsidR="006909A7" w:rsidRPr="00412481">
        <w:rPr>
          <w:rFonts w:cs="Times New Roman"/>
          <w:b w:val="0"/>
          <w:bCs w:val="0"/>
          <w:sz w:val="20"/>
          <w:szCs w:val="20"/>
        </w:rPr>
        <w:tab/>
        <w:t xml:space="preserve">State the assumed </w:t>
      </w:r>
      <w:r w:rsidR="003853DA" w:rsidRPr="00412481">
        <w:rPr>
          <w:rFonts w:cs="Times New Roman"/>
          <w:b w:val="0"/>
          <w:bCs w:val="0"/>
          <w:sz w:val="20"/>
          <w:szCs w:val="20"/>
        </w:rPr>
        <w:t xml:space="preserve">Guideline </w:t>
      </w:r>
      <w:r w:rsidR="008E75F2" w:rsidRPr="00412481">
        <w:rPr>
          <w:rFonts w:cs="Times New Roman"/>
          <w:b w:val="0"/>
          <w:bCs w:val="0"/>
          <w:sz w:val="20"/>
          <w:szCs w:val="20"/>
        </w:rPr>
        <w:t>Excess Spread</w:t>
      </w:r>
      <w:r w:rsidR="006909A7" w:rsidRPr="00412481">
        <w:rPr>
          <w:rFonts w:cs="Times New Roman"/>
          <w:b w:val="0"/>
          <w:bCs w:val="0"/>
          <w:sz w:val="20"/>
          <w:szCs w:val="20"/>
        </w:rPr>
        <w:t>.</w:t>
      </w:r>
    </w:p>
    <w:p w14:paraId="06C440AD" w14:textId="4DB147B8" w:rsidR="006909A7" w:rsidRPr="00412481" w:rsidRDefault="00D75D57">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ab/>
      </w:r>
    </w:p>
    <w:p w14:paraId="0005AD64" w14:textId="77FDF159" w:rsidR="00AE6B9E" w:rsidRPr="00412481" w:rsidRDefault="006909A7">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ii.</w:t>
      </w:r>
      <w:r w:rsidRPr="00412481">
        <w:rPr>
          <w:rFonts w:cs="Times New Roman"/>
          <w:b w:val="0"/>
          <w:bCs w:val="0"/>
          <w:sz w:val="20"/>
          <w:szCs w:val="20"/>
        </w:rPr>
        <w:tab/>
      </w:r>
      <w:r w:rsidR="002E0C09" w:rsidRPr="00412481">
        <w:rPr>
          <w:rFonts w:cs="Times New Roman"/>
          <w:b w:val="0"/>
          <w:bCs w:val="0"/>
          <w:sz w:val="20"/>
          <w:szCs w:val="20"/>
        </w:rPr>
        <w:t>E</w:t>
      </w:r>
      <w:r w:rsidR="00E60067" w:rsidRPr="00412481">
        <w:rPr>
          <w:rFonts w:cs="Times New Roman"/>
          <w:b w:val="0"/>
          <w:bCs w:val="0"/>
          <w:sz w:val="20"/>
          <w:szCs w:val="20"/>
        </w:rPr>
        <w:t>stimate the proportion of</w:t>
      </w:r>
      <w:r w:rsidR="00AE6B9E" w:rsidRPr="00412481">
        <w:rPr>
          <w:rFonts w:cs="Times New Roman"/>
          <w:b w:val="0"/>
          <w:bCs w:val="0"/>
          <w:sz w:val="20"/>
          <w:szCs w:val="20"/>
        </w:rPr>
        <w:t xml:space="preserve"> the </w:t>
      </w:r>
      <w:r w:rsidR="003853DA" w:rsidRPr="00412481">
        <w:rPr>
          <w:rFonts w:cs="Times New Roman"/>
          <w:b w:val="0"/>
          <w:bCs w:val="0"/>
          <w:sz w:val="20"/>
          <w:szCs w:val="20"/>
        </w:rPr>
        <w:t>Guideline</w:t>
      </w:r>
      <w:r w:rsidR="008E75F2" w:rsidRPr="00412481">
        <w:rPr>
          <w:rFonts w:cs="Times New Roman"/>
          <w:b w:val="0"/>
          <w:bCs w:val="0"/>
          <w:sz w:val="20"/>
          <w:szCs w:val="20"/>
        </w:rPr>
        <w:t xml:space="preserve"> Excess Spread</w:t>
      </w:r>
      <w:r w:rsidR="00AE6B9E" w:rsidRPr="00412481">
        <w:rPr>
          <w:rFonts w:cs="Times New Roman"/>
          <w:b w:val="0"/>
          <w:bCs w:val="0"/>
          <w:sz w:val="20"/>
          <w:szCs w:val="20"/>
        </w:rPr>
        <w:t xml:space="preserve"> attributable to the following factors:</w:t>
      </w:r>
    </w:p>
    <w:p w14:paraId="69A9D8CD" w14:textId="77777777" w:rsidR="0060785F" w:rsidRPr="00412481" w:rsidRDefault="0060785F">
      <w:pPr>
        <w:spacing w:line="259" w:lineRule="auto"/>
        <w:ind w:left="2520" w:hanging="360"/>
        <w:jc w:val="both"/>
        <w:rPr>
          <w:rFonts w:ascii="Times New Roman" w:hAnsi="Times New Roman" w:cs="Times New Roman"/>
          <w:sz w:val="20"/>
          <w:szCs w:val="20"/>
        </w:rPr>
      </w:pPr>
    </w:p>
    <w:p w14:paraId="74D97758" w14:textId="7247B838" w:rsidR="00AE6B9E" w:rsidRPr="00412481" w:rsidRDefault="00D75D57">
      <w:pPr>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(a)</w:t>
      </w:r>
      <w:r w:rsidR="005725FB" w:rsidRPr="00412481">
        <w:rPr>
          <w:rFonts w:ascii="Times New Roman" w:hAnsi="Times New Roman" w:cs="Times New Roman"/>
          <w:sz w:val="20"/>
          <w:szCs w:val="20"/>
        </w:rPr>
        <w:tab/>
      </w:r>
      <w:r w:rsidR="00AE6B9E" w:rsidRPr="00412481">
        <w:rPr>
          <w:rFonts w:ascii="Times New Roman" w:hAnsi="Times New Roman" w:cs="Times New Roman"/>
          <w:sz w:val="20"/>
          <w:szCs w:val="20"/>
        </w:rPr>
        <w:t>Credit risk</w:t>
      </w:r>
    </w:p>
    <w:p w14:paraId="7879220B" w14:textId="77777777" w:rsidR="0060785F" w:rsidRPr="00412481" w:rsidRDefault="0060785F">
      <w:pPr>
        <w:spacing w:line="259" w:lineRule="auto"/>
        <w:ind w:left="2880" w:hanging="360"/>
        <w:jc w:val="both"/>
        <w:rPr>
          <w:rFonts w:ascii="Times New Roman" w:hAnsi="Times New Roman" w:cs="Times New Roman"/>
          <w:sz w:val="20"/>
          <w:szCs w:val="20"/>
        </w:rPr>
      </w:pPr>
    </w:p>
    <w:p w14:paraId="55C456A4" w14:textId="33EF255D" w:rsidR="00AE6B9E" w:rsidRPr="00412481" w:rsidRDefault="00D75D57">
      <w:pPr>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(b)</w:t>
      </w:r>
      <w:r w:rsidR="00CB1F0E" w:rsidRPr="00412481">
        <w:rPr>
          <w:rFonts w:ascii="Times New Roman" w:hAnsi="Times New Roman" w:cs="Times New Roman"/>
          <w:sz w:val="20"/>
          <w:szCs w:val="20"/>
        </w:rPr>
        <w:tab/>
      </w:r>
      <w:r w:rsidR="00AE6B9E" w:rsidRPr="00412481">
        <w:rPr>
          <w:rFonts w:ascii="Times New Roman" w:hAnsi="Times New Roman" w:cs="Times New Roman"/>
          <w:sz w:val="20"/>
          <w:szCs w:val="20"/>
        </w:rPr>
        <w:t>Illiquidity risk</w:t>
      </w:r>
    </w:p>
    <w:p w14:paraId="2F945521" w14:textId="77777777" w:rsidR="008C7428" w:rsidRPr="00412481" w:rsidRDefault="008C7428">
      <w:pPr>
        <w:spacing w:line="259" w:lineRule="auto"/>
        <w:ind w:left="2880" w:hanging="360"/>
        <w:jc w:val="both"/>
        <w:rPr>
          <w:rFonts w:ascii="Times New Roman" w:hAnsi="Times New Roman" w:cs="Times New Roman"/>
          <w:sz w:val="20"/>
          <w:szCs w:val="20"/>
        </w:rPr>
      </w:pPr>
    </w:p>
    <w:p w14:paraId="00740884" w14:textId="08733153" w:rsidR="0060785F" w:rsidRPr="00412481" w:rsidRDefault="008C7428">
      <w:pPr>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(c)</w:t>
      </w:r>
      <w:r w:rsidRPr="00412481">
        <w:rPr>
          <w:rFonts w:ascii="Times New Roman" w:hAnsi="Times New Roman" w:cs="Times New Roman"/>
          <w:sz w:val="20"/>
          <w:szCs w:val="20"/>
        </w:rPr>
        <w:tab/>
        <w:t>Deviations of current spreads from long-term spreads</w:t>
      </w:r>
      <w:r w:rsidR="0025419B" w:rsidRPr="00412481">
        <w:rPr>
          <w:rFonts w:ascii="Times New Roman" w:hAnsi="Times New Roman" w:cs="Times New Roman"/>
          <w:sz w:val="20"/>
          <w:szCs w:val="20"/>
        </w:rPr>
        <w:t xml:space="preserve"> defined in Appendix 1</w:t>
      </w:r>
    </w:p>
    <w:p w14:paraId="5B599114" w14:textId="77777777" w:rsidR="008C7428" w:rsidRPr="00412481" w:rsidRDefault="008C7428">
      <w:pPr>
        <w:spacing w:line="259" w:lineRule="auto"/>
        <w:ind w:left="2880" w:hanging="360"/>
        <w:jc w:val="both"/>
        <w:rPr>
          <w:rFonts w:ascii="Times New Roman" w:hAnsi="Times New Roman" w:cs="Times New Roman"/>
          <w:sz w:val="20"/>
          <w:szCs w:val="20"/>
        </w:rPr>
      </w:pPr>
    </w:p>
    <w:p w14:paraId="40A3A3DD" w14:textId="3A4A3A42" w:rsidR="00AE6B9E" w:rsidRPr="00412481" w:rsidRDefault="00D75D57">
      <w:pPr>
        <w:spacing w:line="259" w:lineRule="auto"/>
        <w:ind w:left="2880" w:hanging="360"/>
        <w:jc w:val="both"/>
        <w:rPr>
          <w:rFonts w:ascii="Times New Roman" w:hAnsi="Times New Roman" w:cs="Times New Roman"/>
          <w:sz w:val="20"/>
          <w:szCs w:val="20"/>
        </w:rPr>
      </w:pPr>
      <w:r w:rsidRPr="00412481">
        <w:rPr>
          <w:rFonts w:ascii="Times New Roman" w:hAnsi="Times New Roman" w:cs="Times New Roman"/>
          <w:sz w:val="20"/>
          <w:szCs w:val="20"/>
        </w:rPr>
        <w:t>(</w:t>
      </w:r>
      <w:r w:rsidR="008C7428" w:rsidRPr="00412481">
        <w:rPr>
          <w:rFonts w:ascii="Times New Roman" w:hAnsi="Times New Roman" w:cs="Times New Roman"/>
          <w:sz w:val="20"/>
          <w:szCs w:val="20"/>
        </w:rPr>
        <w:t>d</w:t>
      </w:r>
      <w:r w:rsidRPr="00412481">
        <w:rPr>
          <w:rFonts w:ascii="Times New Roman" w:hAnsi="Times New Roman" w:cs="Times New Roman"/>
          <w:sz w:val="20"/>
          <w:szCs w:val="20"/>
        </w:rPr>
        <w:t>)</w:t>
      </w:r>
      <w:r w:rsidR="005725FB" w:rsidRPr="00412481">
        <w:rPr>
          <w:rFonts w:ascii="Times New Roman" w:hAnsi="Times New Roman" w:cs="Times New Roman"/>
          <w:sz w:val="20"/>
          <w:szCs w:val="20"/>
        </w:rPr>
        <w:tab/>
      </w:r>
      <w:r w:rsidR="00B1239D" w:rsidRPr="00412481">
        <w:rPr>
          <w:rFonts w:ascii="Times New Roman" w:hAnsi="Times New Roman" w:cs="Times New Roman"/>
          <w:sz w:val="20"/>
          <w:szCs w:val="20"/>
        </w:rPr>
        <w:t>Volatility and o</w:t>
      </w:r>
      <w:r w:rsidR="00AE6B9E" w:rsidRPr="00412481">
        <w:rPr>
          <w:rFonts w:ascii="Times New Roman" w:hAnsi="Times New Roman" w:cs="Times New Roman"/>
          <w:sz w:val="20"/>
          <w:szCs w:val="20"/>
        </w:rPr>
        <w:t xml:space="preserve">ther risks (identify </w:t>
      </w:r>
      <w:r w:rsidR="00B1239D" w:rsidRPr="00412481">
        <w:rPr>
          <w:rFonts w:ascii="Times New Roman" w:hAnsi="Times New Roman" w:cs="Times New Roman"/>
          <w:sz w:val="20"/>
          <w:szCs w:val="20"/>
        </w:rPr>
        <w:t xml:space="preserve">and describe </w:t>
      </w:r>
      <w:r w:rsidR="00AE6B9E" w:rsidRPr="00412481">
        <w:rPr>
          <w:rFonts w:ascii="Times New Roman" w:hAnsi="Times New Roman" w:cs="Times New Roman"/>
          <w:sz w:val="20"/>
          <w:szCs w:val="20"/>
        </w:rPr>
        <w:t>the</w:t>
      </w:r>
      <w:r w:rsidR="006F2BC0" w:rsidRPr="00412481">
        <w:rPr>
          <w:rFonts w:ascii="Times New Roman" w:hAnsi="Times New Roman" w:cs="Times New Roman"/>
          <w:sz w:val="20"/>
          <w:szCs w:val="20"/>
        </w:rPr>
        <w:t>se</w:t>
      </w:r>
      <w:r w:rsidR="00AE6B9E" w:rsidRPr="00412481">
        <w:rPr>
          <w:rFonts w:ascii="Times New Roman" w:hAnsi="Times New Roman" w:cs="Times New Roman"/>
          <w:sz w:val="20"/>
          <w:szCs w:val="20"/>
        </w:rPr>
        <w:t xml:space="preserve"> risks</w:t>
      </w:r>
      <w:r w:rsidR="00B1239D" w:rsidRPr="00412481">
        <w:rPr>
          <w:rFonts w:ascii="Times New Roman" w:hAnsi="Times New Roman" w:cs="Times New Roman"/>
          <w:sz w:val="20"/>
          <w:szCs w:val="20"/>
        </w:rPr>
        <w:t xml:space="preserve"> in detail</w:t>
      </w:r>
      <w:r w:rsidR="00AE6B9E" w:rsidRPr="00412481">
        <w:rPr>
          <w:rFonts w:ascii="Times New Roman" w:hAnsi="Times New Roman" w:cs="Times New Roman"/>
          <w:sz w:val="20"/>
          <w:szCs w:val="20"/>
        </w:rPr>
        <w:t>)</w:t>
      </w:r>
    </w:p>
    <w:p w14:paraId="7F6C3EFB" w14:textId="77777777" w:rsidR="005725FB" w:rsidRPr="00412481" w:rsidRDefault="005725FB">
      <w:pPr>
        <w:spacing w:line="259" w:lineRule="auto"/>
        <w:jc w:val="both"/>
        <w:rPr>
          <w:rFonts w:ascii="Times New Roman" w:hAnsi="Times New Roman" w:cs="Times New Roman"/>
          <w:sz w:val="20"/>
          <w:szCs w:val="20"/>
        </w:rPr>
      </w:pPr>
    </w:p>
    <w:p w14:paraId="59F3EA58" w14:textId="5EEB5C6B" w:rsidR="008804B0" w:rsidRDefault="008804B0" w:rsidP="00035F0D">
      <w:pPr>
        <w:spacing w:line="259" w:lineRule="auto"/>
        <w:ind w:left="1800" w:hanging="360"/>
        <w:jc w:val="both"/>
        <w:rPr>
          <w:rFonts w:ascii="Times New Roman" w:hAnsi="Times New Roman" w:cs="Times New Roman"/>
          <w:sz w:val="20"/>
          <w:szCs w:val="20"/>
        </w:rPr>
      </w:pPr>
      <w:r w:rsidRPr="00412481">
        <w:rPr>
          <w:rFonts w:ascii="Times New Roman" w:hAnsi="Times New Roman" w:cs="Times New Roman"/>
          <w:sz w:val="20"/>
          <w:szCs w:val="20"/>
        </w:rPr>
        <w:t>i</w:t>
      </w:r>
      <w:r w:rsidR="006909A7" w:rsidRPr="00412481">
        <w:rPr>
          <w:rFonts w:ascii="Times New Roman" w:hAnsi="Times New Roman" w:cs="Times New Roman"/>
          <w:sz w:val="20"/>
          <w:szCs w:val="20"/>
        </w:rPr>
        <w:t>i</w:t>
      </w:r>
      <w:r w:rsidRPr="00412481">
        <w:rPr>
          <w:rFonts w:ascii="Times New Roman" w:hAnsi="Times New Roman" w:cs="Times New Roman"/>
          <w:sz w:val="20"/>
          <w:szCs w:val="20"/>
        </w:rPr>
        <w:t>i</w:t>
      </w:r>
      <w:r w:rsidR="005725FB" w:rsidRPr="00412481">
        <w:rPr>
          <w:rFonts w:ascii="Times New Roman" w:hAnsi="Times New Roman" w:cs="Times New Roman"/>
          <w:sz w:val="20"/>
          <w:szCs w:val="20"/>
        </w:rPr>
        <w:t>.</w:t>
      </w:r>
      <w:r w:rsidR="00832082" w:rsidRPr="00412481">
        <w:rPr>
          <w:rFonts w:ascii="Times New Roman" w:hAnsi="Times New Roman" w:cs="Times New Roman"/>
          <w:sz w:val="20"/>
          <w:szCs w:val="20"/>
        </w:rPr>
        <w:tab/>
      </w:r>
      <w:r w:rsidR="00035F0D" w:rsidRPr="00412481">
        <w:rPr>
          <w:rFonts w:ascii="Times New Roman" w:hAnsi="Times New Roman" w:cs="Times New Roman"/>
          <w:sz w:val="20"/>
          <w:szCs w:val="20"/>
        </w:rPr>
        <w:t xml:space="preserve">Provide commentary </w:t>
      </w:r>
      <w:r w:rsidR="00D6766F" w:rsidRPr="00412481">
        <w:rPr>
          <w:rFonts w:ascii="Times New Roman" w:hAnsi="Times New Roman" w:cs="Times New Roman"/>
          <w:sz w:val="20"/>
          <w:szCs w:val="20"/>
        </w:rPr>
        <w:t xml:space="preserve">on the results of Section 5.B.ii. Also, where </w:t>
      </w:r>
      <w:r w:rsidRPr="00412481">
        <w:rPr>
          <w:rFonts w:ascii="Times New Roman" w:hAnsi="Times New Roman" w:cs="Times New Roman"/>
          <w:sz w:val="20"/>
          <w:szCs w:val="20"/>
        </w:rPr>
        <w:t>judgment</w:t>
      </w:r>
      <w:r w:rsidR="00D6766F" w:rsidRPr="00412481">
        <w:rPr>
          <w:rFonts w:ascii="Times New Roman" w:hAnsi="Times New Roman" w:cs="Times New Roman"/>
          <w:sz w:val="20"/>
          <w:szCs w:val="20"/>
        </w:rPr>
        <w:t xml:space="preserve"> is applied, </w:t>
      </w:r>
      <w:r w:rsidR="005511B0" w:rsidRPr="00412481">
        <w:rPr>
          <w:rFonts w:ascii="Times New Roman" w:hAnsi="Times New Roman" w:cs="Times New Roman"/>
          <w:sz w:val="20"/>
          <w:szCs w:val="20"/>
        </w:rPr>
        <w:t xml:space="preserve">provide </w:t>
      </w:r>
      <w:r w:rsidRPr="00412481">
        <w:rPr>
          <w:rFonts w:ascii="Times New Roman" w:hAnsi="Times New Roman" w:cs="Times New Roman"/>
          <w:sz w:val="20"/>
          <w:szCs w:val="20"/>
        </w:rPr>
        <w:t xml:space="preserve">supporting rationale of how the expected return </w:t>
      </w:r>
      <w:r w:rsidR="00060EC2" w:rsidRPr="00412481">
        <w:rPr>
          <w:rFonts w:ascii="Times New Roman" w:hAnsi="Times New Roman" w:cs="Times New Roman"/>
          <w:sz w:val="20"/>
          <w:szCs w:val="20"/>
        </w:rPr>
        <w:t xml:space="preserve">in excess of the Investment Grade Net Spread Benchmark </w:t>
      </w:r>
      <w:r w:rsidRPr="00412481">
        <w:rPr>
          <w:rFonts w:ascii="Times New Roman" w:hAnsi="Times New Roman" w:cs="Times New Roman"/>
          <w:sz w:val="20"/>
          <w:szCs w:val="20"/>
        </w:rPr>
        <w:t>is estimated.</w:t>
      </w:r>
      <w:r w:rsidR="00EE39E6" w:rsidRPr="00412481">
        <w:rPr>
          <w:rFonts w:ascii="Times New Roman" w:hAnsi="Times New Roman" w:cs="Times New Roman"/>
          <w:sz w:val="20"/>
          <w:szCs w:val="20"/>
        </w:rPr>
        <w:t xml:space="preserve"> </w:t>
      </w:r>
    </w:p>
    <w:p w14:paraId="5C719816" w14:textId="77777777" w:rsidR="00CB66C7" w:rsidRPr="00412481" w:rsidRDefault="00CB66C7" w:rsidP="00035F0D">
      <w:pPr>
        <w:spacing w:line="259" w:lineRule="auto"/>
        <w:ind w:left="1800" w:hanging="360"/>
        <w:jc w:val="both"/>
        <w:rPr>
          <w:rFonts w:ascii="Times New Roman" w:hAnsi="Times New Roman" w:cs="Times New Roman"/>
          <w:sz w:val="20"/>
          <w:szCs w:val="20"/>
        </w:rPr>
      </w:pPr>
    </w:p>
    <w:p w14:paraId="0FF55622" w14:textId="2D539D7F" w:rsidR="002F66F8" w:rsidRPr="00412481" w:rsidRDefault="002F66F8" w:rsidP="00CB66C7">
      <w:pPr>
        <w:keepLines/>
        <w:pBdr>
          <w:top w:val="single" w:sz="4" w:space="1" w:color="auto"/>
          <w:left w:val="single" w:sz="4" w:space="4" w:color="auto"/>
          <w:bottom w:val="single" w:sz="4" w:space="1" w:color="auto"/>
          <w:right w:val="single" w:sz="4" w:space="4" w:color="auto"/>
        </w:pBdr>
        <w:spacing w:line="259" w:lineRule="auto"/>
        <w:ind w:left="1440"/>
        <w:jc w:val="both"/>
        <w:rPr>
          <w:rFonts w:ascii="Times New Roman" w:hAnsi="Times New Roman" w:cs="Times New Roman"/>
          <w:sz w:val="20"/>
          <w:szCs w:val="20"/>
        </w:rPr>
      </w:pPr>
      <w:r w:rsidRPr="00412481">
        <w:rPr>
          <w:rFonts w:ascii="Times New Roman" w:hAnsi="Times New Roman" w:cs="Times New Roman"/>
          <w:b/>
          <w:bCs/>
          <w:sz w:val="20"/>
          <w:szCs w:val="20"/>
        </w:rPr>
        <w:t>Guidance note:</w:t>
      </w:r>
      <w:r w:rsidRPr="00412481">
        <w:rPr>
          <w:rFonts w:ascii="Times New Roman" w:hAnsi="Times New Roman" w:cs="Times New Roman"/>
          <w:sz w:val="20"/>
          <w:szCs w:val="20"/>
        </w:rPr>
        <w:t xml:space="preserve"> a best-efforts approach is expected for the year-end 2022 attribution analysis</w:t>
      </w:r>
    </w:p>
    <w:p w14:paraId="71DC1711" w14:textId="35D55B93" w:rsidR="00AE6B9E" w:rsidRPr="00412481" w:rsidRDefault="00AE6B9E">
      <w:pPr>
        <w:spacing w:line="259" w:lineRule="auto"/>
        <w:ind w:left="1440"/>
        <w:jc w:val="both"/>
        <w:rPr>
          <w:rFonts w:ascii="Times New Roman" w:hAnsi="Times New Roman" w:cs="Times New Roman"/>
          <w:sz w:val="20"/>
          <w:szCs w:val="20"/>
        </w:rPr>
      </w:pPr>
    </w:p>
    <w:p w14:paraId="51DE2C11" w14:textId="7AF69C1A" w:rsidR="00BC5179" w:rsidRPr="00412481" w:rsidRDefault="00BC5179" w:rsidP="00BC5179">
      <w:pPr>
        <w:pStyle w:val="Heading1"/>
        <w:spacing w:line="259" w:lineRule="auto"/>
        <w:ind w:left="360" w:hanging="360"/>
        <w:jc w:val="both"/>
        <w:rPr>
          <w:rFonts w:cs="Times New Roman"/>
          <w:b w:val="0"/>
          <w:spacing w:val="-1"/>
          <w:sz w:val="20"/>
          <w:szCs w:val="20"/>
        </w:rPr>
      </w:pPr>
      <w:r w:rsidRPr="00412481">
        <w:rPr>
          <w:rFonts w:cs="Times New Roman"/>
          <w:b w:val="0"/>
          <w:spacing w:val="-1"/>
          <w:sz w:val="20"/>
          <w:szCs w:val="20"/>
        </w:rPr>
        <w:t>6.</w:t>
      </w:r>
      <w:r w:rsidRPr="00412481">
        <w:rPr>
          <w:rFonts w:cs="Times New Roman"/>
          <w:b w:val="0"/>
          <w:spacing w:val="-1"/>
          <w:sz w:val="20"/>
          <w:szCs w:val="20"/>
        </w:rPr>
        <w:tab/>
        <w:t xml:space="preserve">Reporting, </w:t>
      </w:r>
      <w:r w:rsidR="00906F6A" w:rsidRPr="00412481">
        <w:rPr>
          <w:rFonts w:cs="Times New Roman"/>
          <w:b w:val="0"/>
          <w:spacing w:val="-1"/>
          <w:sz w:val="20"/>
          <w:szCs w:val="20"/>
        </w:rPr>
        <w:t xml:space="preserve">Review, and </w:t>
      </w:r>
      <w:r w:rsidRPr="00412481">
        <w:rPr>
          <w:rFonts w:cs="Times New Roman"/>
          <w:b w:val="0"/>
          <w:spacing w:val="-1"/>
          <w:sz w:val="20"/>
          <w:szCs w:val="20"/>
        </w:rPr>
        <w:t>Templates</w:t>
      </w:r>
    </w:p>
    <w:p w14:paraId="534D5D71" w14:textId="77777777" w:rsidR="00BC5179" w:rsidRPr="00412481" w:rsidRDefault="00BC5179" w:rsidP="00BC5179">
      <w:pPr>
        <w:spacing w:line="259" w:lineRule="auto"/>
        <w:ind w:left="1800" w:hanging="360"/>
        <w:jc w:val="both"/>
        <w:rPr>
          <w:rFonts w:ascii="Times New Roman" w:hAnsi="Times New Roman" w:cs="Times New Roman"/>
          <w:sz w:val="20"/>
          <w:szCs w:val="20"/>
        </w:rPr>
      </w:pPr>
    </w:p>
    <w:p w14:paraId="74612EA9" w14:textId="7BCDD5FE" w:rsidR="00060EC2" w:rsidRPr="00412481" w:rsidRDefault="00060EC2" w:rsidP="00CB66C7">
      <w:pPr>
        <w:pBdr>
          <w:top w:val="single" w:sz="4" w:space="1" w:color="auto"/>
          <w:left w:val="single" w:sz="4" w:space="4" w:color="auto"/>
          <w:bottom w:val="single" w:sz="4" w:space="1" w:color="auto"/>
          <w:right w:val="single" w:sz="4" w:space="4" w:color="auto"/>
        </w:pBdr>
        <w:spacing w:line="259" w:lineRule="auto"/>
        <w:ind w:left="360"/>
        <w:jc w:val="both"/>
        <w:rPr>
          <w:rFonts w:ascii="Times New Roman" w:hAnsi="Times New Roman" w:cs="Times New Roman"/>
          <w:sz w:val="20"/>
          <w:szCs w:val="20"/>
        </w:rPr>
      </w:pPr>
      <w:r w:rsidRPr="00412481">
        <w:rPr>
          <w:rFonts w:ascii="Times New Roman" w:hAnsi="Times New Roman" w:cs="Times New Roman"/>
          <w:b/>
          <w:bCs/>
          <w:sz w:val="20"/>
          <w:szCs w:val="20"/>
        </w:rPr>
        <w:t>Guidance note:</w:t>
      </w:r>
      <w:r w:rsidRPr="00412481">
        <w:rPr>
          <w:rFonts w:ascii="Times New Roman" w:hAnsi="Times New Roman" w:cs="Times New Roman"/>
          <w:sz w:val="20"/>
          <w:szCs w:val="20"/>
        </w:rPr>
        <w:t xml:space="preserve">  The NAIC Valuation Analysis (E) Working Group (VAWG) shall serve as a resource in the targeted review of asset adequacy analysis related to modeling of business supported with Projected High Net Yield Assets. VAWG shall provide periodic reports identifying outliers and concerns regarding the analysis to help inform regulators on the effectiveness of the Guideline in meeting the </w:t>
      </w:r>
      <w:r w:rsidR="00D6766F" w:rsidRPr="00412481">
        <w:rPr>
          <w:rFonts w:ascii="Times New Roman" w:hAnsi="Times New Roman" w:cs="Times New Roman"/>
          <w:sz w:val="20"/>
          <w:szCs w:val="20"/>
        </w:rPr>
        <w:t>seven</w:t>
      </w:r>
      <w:r w:rsidRPr="00412481">
        <w:rPr>
          <w:rFonts w:ascii="Times New Roman" w:hAnsi="Times New Roman" w:cs="Times New Roman"/>
          <w:sz w:val="20"/>
          <w:szCs w:val="20"/>
        </w:rPr>
        <w:t xml:space="preserve"> objectives stated in the Background section. </w:t>
      </w:r>
    </w:p>
    <w:p w14:paraId="19D8C201" w14:textId="77777777" w:rsidR="00060EC2" w:rsidRPr="00412481" w:rsidRDefault="00060EC2" w:rsidP="00060EC2">
      <w:pPr>
        <w:spacing w:line="259" w:lineRule="auto"/>
        <w:ind w:left="720" w:hanging="360"/>
        <w:jc w:val="both"/>
        <w:rPr>
          <w:rFonts w:ascii="Times New Roman" w:hAnsi="Times New Roman" w:cs="Times New Roman"/>
          <w:b/>
          <w:bCs/>
          <w:sz w:val="20"/>
          <w:szCs w:val="20"/>
        </w:rPr>
      </w:pPr>
    </w:p>
    <w:p w14:paraId="6EA806CF" w14:textId="75DCFF42" w:rsidR="00D33CB1" w:rsidRPr="00412481" w:rsidRDefault="00BC5179" w:rsidP="00CB66C7">
      <w:pPr>
        <w:pStyle w:val="Heading1"/>
        <w:spacing w:line="259" w:lineRule="auto"/>
        <w:ind w:left="720" w:hanging="360"/>
        <w:jc w:val="both"/>
        <w:rPr>
          <w:rFonts w:cs="Times New Roman"/>
          <w:b w:val="0"/>
          <w:bCs w:val="0"/>
          <w:sz w:val="20"/>
          <w:szCs w:val="20"/>
        </w:rPr>
      </w:pPr>
      <w:r w:rsidRPr="00412481">
        <w:rPr>
          <w:rFonts w:cs="Times New Roman"/>
          <w:b w:val="0"/>
          <w:bCs w:val="0"/>
          <w:sz w:val="20"/>
          <w:szCs w:val="20"/>
        </w:rPr>
        <w:t>A.</w:t>
      </w:r>
      <w:r w:rsidRPr="00412481">
        <w:rPr>
          <w:rFonts w:cs="Times New Roman"/>
          <w:b w:val="0"/>
          <w:bCs w:val="0"/>
          <w:sz w:val="20"/>
          <w:szCs w:val="20"/>
        </w:rPr>
        <w:tab/>
        <w:t xml:space="preserve">The documentation, sensitivity test results, and attribution analysis referenced above are to be incorporated as a separate, easily identifiable section of the </w:t>
      </w:r>
      <w:r w:rsidR="00F647E4" w:rsidRPr="00412481">
        <w:rPr>
          <w:rFonts w:cs="Times New Roman"/>
          <w:b w:val="0"/>
          <w:bCs w:val="0"/>
          <w:sz w:val="20"/>
          <w:szCs w:val="20"/>
        </w:rPr>
        <w:t>a</w:t>
      </w:r>
      <w:r w:rsidRPr="00412481">
        <w:rPr>
          <w:rFonts w:cs="Times New Roman"/>
          <w:b w:val="0"/>
          <w:bCs w:val="0"/>
          <w:sz w:val="20"/>
          <w:szCs w:val="20"/>
        </w:rPr>
        <w:t xml:space="preserve">ctuarial </w:t>
      </w:r>
      <w:r w:rsidR="00F647E4" w:rsidRPr="00412481">
        <w:rPr>
          <w:rFonts w:cs="Times New Roman"/>
          <w:b w:val="0"/>
          <w:bCs w:val="0"/>
          <w:sz w:val="20"/>
          <w:szCs w:val="20"/>
        </w:rPr>
        <w:t>m</w:t>
      </w:r>
      <w:r w:rsidRPr="00412481">
        <w:rPr>
          <w:rFonts w:cs="Times New Roman"/>
          <w:b w:val="0"/>
          <w:bCs w:val="0"/>
          <w:sz w:val="20"/>
          <w:szCs w:val="20"/>
        </w:rPr>
        <w:t>emorandum required by VM-30</w:t>
      </w:r>
      <w:r w:rsidR="00E54637" w:rsidRPr="00412481">
        <w:rPr>
          <w:rFonts w:cs="Times New Roman"/>
          <w:b w:val="0"/>
          <w:bCs w:val="0"/>
          <w:sz w:val="20"/>
          <w:szCs w:val="20"/>
        </w:rPr>
        <w:t xml:space="preserve"> or as a standalone document</w:t>
      </w:r>
      <w:r w:rsidR="00B5356B" w:rsidRPr="00412481">
        <w:rPr>
          <w:rFonts w:cs="Times New Roman"/>
          <w:b w:val="0"/>
          <w:bCs w:val="0"/>
          <w:sz w:val="20"/>
          <w:szCs w:val="20"/>
        </w:rPr>
        <w:t xml:space="preserve">, with a due date </w:t>
      </w:r>
      <w:r w:rsidR="0072126C" w:rsidRPr="00412481">
        <w:rPr>
          <w:rFonts w:cs="Times New Roman"/>
          <w:b w:val="0"/>
          <w:bCs w:val="0"/>
          <w:sz w:val="20"/>
          <w:szCs w:val="20"/>
        </w:rPr>
        <w:t>of</w:t>
      </w:r>
      <w:r w:rsidR="00B5356B" w:rsidRPr="00412481">
        <w:rPr>
          <w:rFonts w:cs="Times New Roman"/>
          <w:b w:val="0"/>
          <w:bCs w:val="0"/>
          <w:sz w:val="20"/>
          <w:szCs w:val="20"/>
        </w:rPr>
        <w:t xml:space="preserve"> </w:t>
      </w:r>
      <w:r w:rsidR="00E15D53" w:rsidRPr="00412481">
        <w:rPr>
          <w:rFonts w:cs="Times New Roman"/>
          <w:b w:val="0"/>
          <w:bCs w:val="0"/>
          <w:sz w:val="20"/>
          <w:szCs w:val="20"/>
        </w:rPr>
        <w:t xml:space="preserve">April </w:t>
      </w:r>
      <w:r w:rsidR="00C33C5F" w:rsidRPr="00412481">
        <w:rPr>
          <w:rFonts w:cs="Times New Roman"/>
          <w:b w:val="0"/>
          <w:bCs w:val="0"/>
          <w:sz w:val="20"/>
          <w:szCs w:val="20"/>
        </w:rPr>
        <w:t>1</w:t>
      </w:r>
      <w:r w:rsidR="00D97DD0" w:rsidRPr="00412481">
        <w:rPr>
          <w:rFonts w:cs="Times New Roman"/>
          <w:b w:val="0"/>
          <w:bCs w:val="0"/>
          <w:sz w:val="20"/>
          <w:szCs w:val="20"/>
        </w:rPr>
        <w:t xml:space="preserve"> following the applicable valuation date</w:t>
      </w:r>
      <w:r w:rsidRPr="00412481">
        <w:rPr>
          <w:rFonts w:cs="Times New Roman"/>
          <w:b w:val="0"/>
          <w:bCs w:val="0"/>
          <w:sz w:val="20"/>
          <w:szCs w:val="20"/>
        </w:rPr>
        <w:t>.</w:t>
      </w:r>
      <w:r w:rsidR="00B5356B" w:rsidRPr="00412481">
        <w:rPr>
          <w:rFonts w:cs="Times New Roman"/>
          <w:b w:val="0"/>
          <w:bCs w:val="0"/>
          <w:sz w:val="20"/>
          <w:szCs w:val="20"/>
        </w:rPr>
        <w:t xml:space="preserve"> </w:t>
      </w:r>
      <w:r w:rsidR="00060EC2" w:rsidRPr="00412481">
        <w:rPr>
          <w:rFonts w:cs="Times New Roman"/>
          <w:b w:val="0"/>
          <w:bCs w:val="0"/>
          <w:sz w:val="20"/>
          <w:szCs w:val="20"/>
        </w:rPr>
        <w:t xml:space="preserve">The domiciliary commissioner may approve a later due date for companies seeking a hardship extension. </w:t>
      </w:r>
      <w:r w:rsidRPr="00412481">
        <w:rPr>
          <w:rFonts w:cs="Times New Roman"/>
          <w:b w:val="0"/>
          <w:bCs w:val="0"/>
          <w:sz w:val="20"/>
          <w:szCs w:val="20"/>
        </w:rPr>
        <w:t xml:space="preserve">The separate section </w:t>
      </w:r>
      <w:r w:rsidR="00E54637" w:rsidRPr="00412481">
        <w:rPr>
          <w:rFonts w:cs="Times New Roman"/>
          <w:b w:val="0"/>
          <w:bCs w:val="0"/>
          <w:sz w:val="20"/>
          <w:szCs w:val="20"/>
        </w:rPr>
        <w:t xml:space="preserve">or standalone document </w:t>
      </w:r>
      <w:r w:rsidRPr="00412481">
        <w:rPr>
          <w:rFonts w:cs="Times New Roman"/>
          <w:b w:val="0"/>
          <w:bCs w:val="0"/>
          <w:sz w:val="20"/>
          <w:szCs w:val="20"/>
        </w:rPr>
        <w:t xml:space="preserve">shall be available to other state insurance commissioners in which the company is licensed upon request to the company. The confidentiality </w:t>
      </w:r>
      <w:r w:rsidR="00060EC2" w:rsidRPr="00412481">
        <w:rPr>
          <w:rFonts w:cs="Times New Roman"/>
          <w:b w:val="0"/>
          <w:bCs w:val="0"/>
          <w:sz w:val="20"/>
          <w:szCs w:val="20"/>
        </w:rPr>
        <w:t xml:space="preserve">and information </w:t>
      </w:r>
      <w:r w:rsidRPr="00412481">
        <w:rPr>
          <w:rFonts w:cs="Times New Roman"/>
          <w:b w:val="0"/>
          <w:bCs w:val="0"/>
          <w:sz w:val="20"/>
          <w:szCs w:val="20"/>
        </w:rPr>
        <w:t xml:space="preserve">provisions </w:t>
      </w:r>
      <w:r w:rsidR="00F647E4" w:rsidRPr="00412481">
        <w:rPr>
          <w:rFonts w:cs="Times New Roman"/>
          <w:b w:val="0"/>
          <w:bCs w:val="0"/>
          <w:sz w:val="20"/>
          <w:szCs w:val="20"/>
        </w:rPr>
        <w:t xml:space="preserve">in </w:t>
      </w:r>
      <w:r w:rsidR="00060EC2" w:rsidRPr="00412481">
        <w:rPr>
          <w:rFonts w:cs="Times New Roman"/>
          <w:b w:val="0"/>
          <w:bCs w:val="0"/>
          <w:sz w:val="20"/>
          <w:szCs w:val="20"/>
        </w:rPr>
        <w:t>state adoptions of NAIC Model 820</w:t>
      </w:r>
      <w:r w:rsidR="00F647E4" w:rsidRPr="00412481">
        <w:rPr>
          <w:rFonts w:cs="Times New Roman"/>
          <w:b w:val="0"/>
          <w:bCs w:val="0"/>
          <w:sz w:val="20"/>
          <w:szCs w:val="20"/>
        </w:rPr>
        <w:t xml:space="preserve"> </w:t>
      </w:r>
      <w:r w:rsidRPr="00412481">
        <w:rPr>
          <w:rFonts w:cs="Times New Roman"/>
          <w:b w:val="0"/>
          <w:bCs w:val="0"/>
          <w:sz w:val="20"/>
          <w:szCs w:val="20"/>
        </w:rPr>
        <w:t xml:space="preserve">regarding the </w:t>
      </w:r>
      <w:r w:rsidR="00F647E4" w:rsidRPr="00412481">
        <w:rPr>
          <w:rFonts w:cs="Times New Roman"/>
          <w:b w:val="0"/>
          <w:bCs w:val="0"/>
          <w:sz w:val="20"/>
          <w:szCs w:val="20"/>
        </w:rPr>
        <w:t>a</w:t>
      </w:r>
      <w:r w:rsidRPr="00412481">
        <w:rPr>
          <w:rFonts w:cs="Times New Roman"/>
          <w:b w:val="0"/>
          <w:bCs w:val="0"/>
          <w:sz w:val="20"/>
          <w:szCs w:val="20"/>
        </w:rPr>
        <w:t xml:space="preserve">ctuarial </w:t>
      </w:r>
      <w:r w:rsidR="00F647E4" w:rsidRPr="00412481">
        <w:rPr>
          <w:rFonts w:cs="Times New Roman"/>
          <w:b w:val="0"/>
          <w:bCs w:val="0"/>
          <w:sz w:val="20"/>
          <w:szCs w:val="20"/>
        </w:rPr>
        <w:t>m</w:t>
      </w:r>
      <w:r w:rsidRPr="00412481">
        <w:rPr>
          <w:rFonts w:cs="Times New Roman"/>
          <w:b w:val="0"/>
          <w:bCs w:val="0"/>
          <w:sz w:val="20"/>
          <w:szCs w:val="20"/>
        </w:rPr>
        <w:t>emorandum are applicable to the separate section</w:t>
      </w:r>
      <w:r w:rsidR="00F647E4" w:rsidRPr="00412481">
        <w:rPr>
          <w:rFonts w:cs="Times New Roman"/>
          <w:b w:val="0"/>
          <w:bCs w:val="0"/>
          <w:sz w:val="20"/>
          <w:szCs w:val="20"/>
        </w:rPr>
        <w:t xml:space="preserve"> or standalone document required by this Guideline</w:t>
      </w:r>
      <w:r w:rsidRPr="00412481">
        <w:rPr>
          <w:rFonts w:cs="Times New Roman"/>
          <w:b w:val="0"/>
          <w:bCs w:val="0"/>
          <w:sz w:val="20"/>
          <w:szCs w:val="20"/>
        </w:rPr>
        <w:t>.</w:t>
      </w:r>
    </w:p>
    <w:p w14:paraId="4D283AAF" w14:textId="77777777" w:rsidR="00BC5179" w:rsidRPr="00412481" w:rsidRDefault="00BC5179" w:rsidP="00CB66C7">
      <w:pPr>
        <w:pStyle w:val="Heading1"/>
        <w:spacing w:line="259" w:lineRule="auto"/>
        <w:jc w:val="both"/>
        <w:rPr>
          <w:rFonts w:cs="Times New Roman"/>
          <w:b w:val="0"/>
          <w:bCs w:val="0"/>
          <w:sz w:val="20"/>
          <w:szCs w:val="20"/>
        </w:rPr>
      </w:pPr>
    </w:p>
    <w:p w14:paraId="1B602950" w14:textId="0858094E" w:rsidR="00BC5179" w:rsidRPr="00412481" w:rsidRDefault="0025419B" w:rsidP="0072126C">
      <w:pPr>
        <w:pStyle w:val="Heading1"/>
        <w:spacing w:line="259" w:lineRule="auto"/>
        <w:ind w:left="360"/>
        <w:jc w:val="both"/>
        <w:rPr>
          <w:rFonts w:cs="Times New Roman"/>
          <w:sz w:val="20"/>
          <w:szCs w:val="20"/>
        </w:rPr>
      </w:pPr>
      <w:r w:rsidRPr="00412481">
        <w:rPr>
          <w:rFonts w:cs="Times New Roman"/>
          <w:b w:val="0"/>
          <w:bCs w:val="0"/>
          <w:sz w:val="20"/>
          <w:szCs w:val="20"/>
        </w:rPr>
        <w:t>B</w:t>
      </w:r>
      <w:r w:rsidR="00BC5179" w:rsidRPr="00412481">
        <w:rPr>
          <w:rFonts w:cs="Times New Roman"/>
          <w:b w:val="0"/>
          <w:bCs w:val="0"/>
          <w:sz w:val="20"/>
          <w:szCs w:val="20"/>
        </w:rPr>
        <w:t>.</w:t>
      </w:r>
      <w:r w:rsidR="00BC5179" w:rsidRPr="00412481">
        <w:rPr>
          <w:rFonts w:cs="Times New Roman"/>
          <w:b w:val="0"/>
          <w:bCs w:val="0"/>
          <w:sz w:val="20"/>
          <w:szCs w:val="20"/>
        </w:rPr>
        <w:tab/>
        <w:t xml:space="preserve">Sample </w:t>
      </w:r>
      <w:r w:rsidR="005479A2" w:rsidRPr="00560FF3">
        <w:rPr>
          <w:rFonts w:cs="Times New Roman"/>
          <w:b w:val="0"/>
          <w:bCs w:val="0"/>
          <w:sz w:val="20"/>
          <w:szCs w:val="20"/>
        </w:rPr>
        <w:t>templates</w:t>
      </w:r>
      <w:r w:rsidR="009E04ED" w:rsidRPr="00560FF3">
        <w:rPr>
          <w:rFonts w:cs="Times New Roman"/>
          <w:b w:val="0"/>
          <w:bCs w:val="0"/>
          <w:sz w:val="20"/>
          <w:szCs w:val="20"/>
        </w:rPr>
        <w:t xml:space="preserve"> (to be </w:t>
      </w:r>
      <w:r w:rsidR="00CB7B88" w:rsidRPr="00412481">
        <w:rPr>
          <w:rFonts w:cs="Times New Roman"/>
          <w:b w:val="0"/>
          <w:bCs w:val="0"/>
          <w:sz w:val="20"/>
          <w:szCs w:val="20"/>
        </w:rPr>
        <w:t>adopted by the Life Actuarial Task Force</w:t>
      </w:r>
      <w:r w:rsidR="009E04ED" w:rsidRPr="00412481">
        <w:rPr>
          <w:rFonts w:cs="Times New Roman"/>
          <w:b w:val="0"/>
          <w:bCs w:val="0"/>
          <w:sz w:val="20"/>
          <w:szCs w:val="20"/>
        </w:rPr>
        <w:t>)</w:t>
      </w:r>
      <w:r w:rsidR="00CB66C7">
        <w:rPr>
          <w:rFonts w:cs="Times New Roman"/>
          <w:b w:val="0"/>
          <w:bCs w:val="0"/>
          <w:sz w:val="20"/>
          <w:szCs w:val="20"/>
        </w:rPr>
        <w:t>:</w:t>
      </w:r>
      <w:r w:rsidR="00A57E0C" w:rsidRPr="00412481">
        <w:rPr>
          <w:rFonts w:cs="Times New Roman"/>
          <w:b w:val="0"/>
          <w:bCs w:val="0"/>
          <w:sz w:val="20"/>
          <w:szCs w:val="20"/>
        </w:rPr>
        <w:t xml:space="preserve"> </w:t>
      </w:r>
    </w:p>
    <w:p w14:paraId="531D9E74" w14:textId="77777777" w:rsidR="00BC5179" w:rsidRPr="00412481" w:rsidRDefault="00BC5179" w:rsidP="00BC5179">
      <w:pPr>
        <w:pStyle w:val="Heading1"/>
        <w:spacing w:line="259" w:lineRule="auto"/>
        <w:ind w:left="720" w:hanging="360"/>
        <w:jc w:val="both"/>
        <w:rPr>
          <w:rFonts w:cs="Times New Roman"/>
          <w:b w:val="0"/>
          <w:bCs w:val="0"/>
          <w:sz w:val="20"/>
          <w:szCs w:val="20"/>
        </w:rPr>
      </w:pPr>
    </w:p>
    <w:p w14:paraId="4CD6F4E3" w14:textId="0CDC410A" w:rsidR="000C7AAE" w:rsidRPr="00412481" w:rsidRDefault="000C7AAE" w:rsidP="003C5968">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w:t>
      </w:r>
      <w:r w:rsidRPr="00412481">
        <w:rPr>
          <w:rFonts w:cs="Times New Roman"/>
          <w:b w:val="0"/>
          <w:bCs w:val="0"/>
          <w:sz w:val="20"/>
          <w:szCs w:val="20"/>
        </w:rPr>
        <w:tab/>
        <w:t xml:space="preserve">Asset types </w:t>
      </w:r>
      <w:r w:rsidR="0072126C" w:rsidRPr="00412481">
        <w:rPr>
          <w:rFonts w:cs="Times New Roman"/>
          <w:b w:val="0"/>
          <w:bCs w:val="0"/>
          <w:sz w:val="20"/>
          <w:szCs w:val="20"/>
        </w:rPr>
        <w:t>– will be categorized when the templates are completed</w:t>
      </w:r>
    </w:p>
    <w:p w14:paraId="6BD5634E" w14:textId="24E9B486" w:rsidR="000C7AAE" w:rsidRPr="00412481" w:rsidRDefault="000C7AAE" w:rsidP="00BC5179">
      <w:pPr>
        <w:pStyle w:val="Heading1"/>
        <w:spacing w:line="259" w:lineRule="auto"/>
        <w:ind w:left="1800" w:hanging="360"/>
        <w:jc w:val="both"/>
        <w:rPr>
          <w:rFonts w:cs="Times New Roman"/>
          <w:b w:val="0"/>
          <w:bCs w:val="0"/>
          <w:sz w:val="20"/>
          <w:szCs w:val="20"/>
        </w:rPr>
      </w:pPr>
    </w:p>
    <w:p w14:paraId="2F66BFC7" w14:textId="15166F08" w:rsidR="00553658" w:rsidRPr="00412481" w:rsidRDefault="000C7AAE" w:rsidP="00553658">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ii.</w:t>
      </w:r>
      <w:r w:rsidRPr="00412481">
        <w:rPr>
          <w:rFonts w:cs="Times New Roman"/>
          <w:b w:val="0"/>
          <w:bCs w:val="0"/>
          <w:sz w:val="20"/>
          <w:szCs w:val="20"/>
        </w:rPr>
        <w:tab/>
        <w:t xml:space="preserve">Template </w:t>
      </w:r>
      <w:r w:rsidR="009E04ED" w:rsidRPr="00412481">
        <w:rPr>
          <w:rFonts w:cs="Times New Roman"/>
          <w:b w:val="0"/>
          <w:bCs w:val="0"/>
          <w:sz w:val="20"/>
          <w:szCs w:val="20"/>
        </w:rPr>
        <w:t>for the</w:t>
      </w:r>
      <w:r w:rsidRPr="00412481">
        <w:rPr>
          <w:rFonts w:cs="Times New Roman"/>
          <w:b w:val="0"/>
          <w:bCs w:val="0"/>
          <w:sz w:val="20"/>
          <w:szCs w:val="20"/>
        </w:rPr>
        <w:t xml:space="preserve"> asset summary</w:t>
      </w:r>
      <w:r w:rsidR="00D97DD0" w:rsidRPr="00412481">
        <w:rPr>
          <w:rFonts w:cs="Times New Roman"/>
          <w:b w:val="0"/>
          <w:bCs w:val="0"/>
          <w:sz w:val="20"/>
          <w:szCs w:val="20"/>
        </w:rPr>
        <w:t>.</w:t>
      </w:r>
    </w:p>
    <w:p w14:paraId="60B7360A" w14:textId="6FA0FE10" w:rsidR="00553658" w:rsidRPr="00412481" w:rsidRDefault="00553658" w:rsidP="00553658">
      <w:pPr>
        <w:pStyle w:val="Heading1"/>
        <w:spacing w:line="259" w:lineRule="auto"/>
        <w:ind w:left="1800" w:hanging="360"/>
        <w:jc w:val="both"/>
        <w:rPr>
          <w:rFonts w:cs="Times New Roman"/>
          <w:b w:val="0"/>
          <w:bCs w:val="0"/>
          <w:sz w:val="20"/>
          <w:szCs w:val="20"/>
        </w:rPr>
      </w:pPr>
    </w:p>
    <w:p w14:paraId="76271136" w14:textId="52C6C13B" w:rsidR="00BC5179" w:rsidRPr="00412481" w:rsidRDefault="00BC5179" w:rsidP="00BC5179">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w:t>
      </w:r>
      <w:r w:rsidR="00E91CA2" w:rsidRPr="00412481">
        <w:rPr>
          <w:rFonts w:cs="Times New Roman"/>
          <w:b w:val="0"/>
          <w:bCs w:val="0"/>
          <w:sz w:val="20"/>
          <w:szCs w:val="20"/>
        </w:rPr>
        <w:t>ii</w:t>
      </w:r>
      <w:r w:rsidRPr="00412481">
        <w:rPr>
          <w:rFonts w:cs="Times New Roman"/>
          <w:b w:val="0"/>
          <w:bCs w:val="0"/>
          <w:sz w:val="20"/>
          <w:szCs w:val="20"/>
        </w:rPr>
        <w:t>.</w:t>
      </w:r>
      <w:r w:rsidRPr="00412481">
        <w:rPr>
          <w:rFonts w:cs="Times New Roman"/>
          <w:b w:val="0"/>
          <w:bCs w:val="0"/>
          <w:sz w:val="20"/>
          <w:szCs w:val="20"/>
        </w:rPr>
        <w:tab/>
        <w:t>Template for components of net asset yield for various asset classes</w:t>
      </w:r>
      <w:r w:rsidR="00A07B3D" w:rsidRPr="00412481">
        <w:rPr>
          <w:rFonts w:cs="Times New Roman"/>
          <w:b w:val="0"/>
          <w:bCs w:val="0"/>
          <w:sz w:val="20"/>
          <w:szCs w:val="20"/>
        </w:rPr>
        <w:t>, with separate tables to be provided for initial assets and reinvestment asset</w:t>
      </w:r>
      <w:r w:rsidR="00420E5E" w:rsidRPr="00412481">
        <w:rPr>
          <w:rFonts w:cs="Times New Roman"/>
          <w:b w:val="0"/>
          <w:bCs w:val="0"/>
          <w:sz w:val="20"/>
          <w:szCs w:val="20"/>
        </w:rPr>
        <w:t>s</w:t>
      </w:r>
      <w:r w:rsidRPr="00412481">
        <w:rPr>
          <w:rFonts w:cs="Times New Roman"/>
          <w:b w:val="0"/>
          <w:bCs w:val="0"/>
          <w:sz w:val="20"/>
          <w:szCs w:val="20"/>
        </w:rPr>
        <w:t>.</w:t>
      </w:r>
    </w:p>
    <w:p w14:paraId="710799CF" w14:textId="4BA48B0A" w:rsidR="00553658" w:rsidRPr="00412481" w:rsidRDefault="00553658" w:rsidP="00BC5179">
      <w:pPr>
        <w:pStyle w:val="Heading1"/>
        <w:spacing w:line="259" w:lineRule="auto"/>
        <w:ind w:left="1800" w:hanging="360"/>
        <w:jc w:val="both"/>
        <w:rPr>
          <w:rFonts w:cs="Times New Roman"/>
          <w:b w:val="0"/>
          <w:bCs w:val="0"/>
          <w:sz w:val="20"/>
          <w:szCs w:val="20"/>
        </w:rPr>
      </w:pPr>
    </w:p>
    <w:p w14:paraId="58148115" w14:textId="3DB66348" w:rsidR="00A07B3D" w:rsidRPr="00412481" w:rsidRDefault="00A07B3D" w:rsidP="00A07B3D">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iv.</w:t>
      </w:r>
      <w:r w:rsidRPr="00412481">
        <w:rPr>
          <w:rFonts w:cs="Times New Roman"/>
          <w:b w:val="0"/>
          <w:bCs w:val="0"/>
          <w:sz w:val="20"/>
          <w:szCs w:val="20"/>
        </w:rPr>
        <w:tab/>
        <w:t xml:space="preserve">Template for sensitivity test aspects for </w:t>
      </w:r>
      <w:r w:rsidR="002A0160" w:rsidRPr="00412481">
        <w:rPr>
          <w:rFonts w:cs="Times New Roman"/>
          <w:b w:val="0"/>
          <w:bCs w:val="0"/>
          <w:sz w:val="20"/>
          <w:szCs w:val="20"/>
        </w:rPr>
        <w:t xml:space="preserve">Projected High Net Yield </w:t>
      </w:r>
      <w:r w:rsidRPr="00412481">
        <w:rPr>
          <w:rFonts w:cs="Times New Roman"/>
          <w:b w:val="0"/>
          <w:bCs w:val="0"/>
          <w:sz w:val="20"/>
          <w:szCs w:val="20"/>
        </w:rPr>
        <w:t xml:space="preserve">fixed-income </w:t>
      </w:r>
      <w:r w:rsidR="002A0160" w:rsidRPr="00412481">
        <w:rPr>
          <w:rFonts w:cs="Times New Roman"/>
          <w:b w:val="0"/>
          <w:bCs w:val="0"/>
          <w:sz w:val="20"/>
          <w:szCs w:val="20"/>
        </w:rPr>
        <w:t>assets</w:t>
      </w:r>
      <w:r w:rsidRPr="00412481">
        <w:rPr>
          <w:rFonts w:cs="Times New Roman"/>
          <w:b w:val="0"/>
          <w:bCs w:val="0"/>
          <w:sz w:val="20"/>
          <w:szCs w:val="20"/>
        </w:rPr>
        <w:t>.</w:t>
      </w:r>
    </w:p>
    <w:p w14:paraId="25A8DA86" w14:textId="77777777" w:rsidR="00A07B3D" w:rsidRPr="00412481" w:rsidRDefault="00A07B3D" w:rsidP="00A07B3D">
      <w:pPr>
        <w:pStyle w:val="Heading1"/>
        <w:spacing w:line="259" w:lineRule="auto"/>
        <w:ind w:left="1800" w:hanging="360"/>
        <w:jc w:val="both"/>
        <w:rPr>
          <w:rFonts w:cs="Times New Roman"/>
          <w:b w:val="0"/>
          <w:bCs w:val="0"/>
          <w:sz w:val="20"/>
          <w:szCs w:val="20"/>
        </w:rPr>
      </w:pPr>
    </w:p>
    <w:p w14:paraId="6BCB3549" w14:textId="1C5CCA61" w:rsidR="00681862" w:rsidRPr="00412481" w:rsidRDefault="00681862" w:rsidP="00681862">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v.</w:t>
      </w:r>
      <w:r w:rsidRPr="00412481">
        <w:rPr>
          <w:rFonts w:cs="Times New Roman"/>
          <w:b w:val="0"/>
          <w:bCs w:val="0"/>
          <w:sz w:val="20"/>
          <w:szCs w:val="20"/>
        </w:rPr>
        <w:tab/>
        <w:t>Template for sensitivity test results</w:t>
      </w:r>
      <w:r w:rsidR="002A0160" w:rsidRPr="00412481">
        <w:rPr>
          <w:rFonts w:cs="Times New Roman"/>
          <w:b w:val="0"/>
          <w:bCs w:val="0"/>
          <w:sz w:val="20"/>
          <w:szCs w:val="20"/>
        </w:rPr>
        <w:t xml:space="preserve"> for Projected High Net Yield Assets</w:t>
      </w:r>
      <w:r w:rsidR="00D97DD0" w:rsidRPr="00412481">
        <w:rPr>
          <w:rFonts w:cs="Times New Roman"/>
          <w:b w:val="0"/>
          <w:bCs w:val="0"/>
          <w:sz w:val="20"/>
          <w:szCs w:val="20"/>
        </w:rPr>
        <w:t>.</w:t>
      </w:r>
    </w:p>
    <w:p w14:paraId="08E1599E" w14:textId="4837B5A6" w:rsidR="00DE2469" w:rsidRPr="00412481" w:rsidRDefault="00DE2469" w:rsidP="00681862">
      <w:pPr>
        <w:pStyle w:val="Heading1"/>
        <w:spacing w:line="259" w:lineRule="auto"/>
        <w:ind w:left="1800" w:hanging="360"/>
        <w:jc w:val="both"/>
        <w:rPr>
          <w:rFonts w:cs="Times New Roman"/>
          <w:b w:val="0"/>
          <w:bCs w:val="0"/>
          <w:sz w:val="20"/>
          <w:szCs w:val="20"/>
        </w:rPr>
      </w:pPr>
    </w:p>
    <w:p w14:paraId="601E9CE9" w14:textId="2CD395D3" w:rsidR="00FF382E" w:rsidRPr="00412481" w:rsidRDefault="00681862" w:rsidP="00CB66C7">
      <w:pPr>
        <w:pStyle w:val="Heading1"/>
        <w:spacing w:line="259" w:lineRule="auto"/>
        <w:ind w:left="1800" w:hanging="360"/>
        <w:jc w:val="both"/>
        <w:rPr>
          <w:rFonts w:cs="Times New Roman"/>
          <w:b w:val="0"/>
          <w:bCs w:val="0"/>
          <w:sz w:val="20"/>
          <w:szCs w:val="20"/>
        </w:rPr>
      </w:pPr>
      <w:r w:rsidRPr="00412481">
        <w:rPr>
          <w:rFonts w:cs="Times New Roman"/>
          <w:b w:val="0"/>
          <w:bCs w:val="0"/>
          <w:sz w:val="20"/>
          <w:szCs w:val="20"/>
        </w:rPr>
        <w:t>v</w:t>
      </w:r>
      <w:r w:rsidR="00BC5179" w:rsidRPr="00412481">
        <w:rPr>
          <w:rFonts w:cs="Times New Roman"/>
          <w:b w:val="0"/>
          <w:bCs w:val="0"/>
          <w:sz w:val="20"/>
          <w:szCs w:val="20"/>
        </w:rPr>
        <w:t xml:space="preserve">ii. </w:t>
      </w:r>
      <w:r w:rsidR="00BC5179" w:rsidRPr="00412481">
        <w:rPr>
          <w:rFonts w:cs="Times New Roman"/>
          <w:b w:val="0"/>
          <w:bCs w:val="0"/>
          <w:sz w:val="20"/>
          <w:szCs w:val="20"/>
        </w:rPr>
        <w:tab/>
        <w:t>Template for attribution analysis</w:t>
      </w:r>
      <w:r w:rsidR="00F85D77" w:rsidRPr="00412481">
        <w:rPr>
          <w:rFonts w:cs="Times New Roman"/>
          <w:b w:val="0"/>
          <w:bCs w:val="0"/>
          <w:sz w:val="20"/>
          <w:szCs w:val="20"/>
        </w:rPr>
        <w:t>, with separate tables to be provided for initial assets and reinvestment assets</w:t>
      </w:r>
      <w:r w:rsidR="002A0160" w:rsidRPr="00412481">
        <w:rPr>
          <w:rFonts w:cs="Times New Roman"/>
          <w:b w:val="0"/>
          <w:bCs w:val="0"/>
          <w:sz w:val="20"/>
          <w:szCs w:val="20"/>
        </w:rPr>
        <w:t xml:space="preserve"> for Projected High Net Yield Assets</w:t>
      </w:r>
      <w:r w:rsidR="00F85D77" w:rsidRPr="00412481">
        <w:rPr>
          <w:rFonts w:cs="Times New Roman"/>
          <w:b w:val="0"/>
          <w:bCs w:val="0"/>
          <w:sz w:val="20"/>
          <w:szCs w:val="20"/>
        </w:rPr>
        <w:t>.</w:t>
      </w:r>
      <w:r w:rsidR="00FF382E" w:rsidRPr="00412481">
        <w:rPr>
          <w:rFonts w:cs="Times New Roman"/>
          <w:sz w:val="20"/>
          <w:szCs w:val="20"/>
        </w:rPr>
        <w:br w:type="page"/>
      </w:r>
    </w:p>
    <w:p w14:paraId="2F07AD06" w14:textId="77777777" w:rsidR="008C7428" w:rsidRPr="00412481" w:rsidRDefault="008C7428" w:rsidP="008C7428">
      <w:pPr>
        <w:widowControl/>
        <w:spacing w:after="200" w:line="276" w:lineRule="auto"/>
        <w:rPr>
          <w:rFonts w:cs="Times New Roman"/>
          <w:b/>
          <w:bCs/>
          <w:sz w:val="20"/>
          <w:szCs w:val="20"/>
        </w:rPr>
      </w:pPr>
    </w:p>
    <w:p w14:paraId="1C4B08E5" w14:textId="3384B042" w:rsidR="00A6031F" w:rsidRPr="00412481" w:rsidRDefault="00D97DD0" w:rsidP="00D97DD0">
      <w:pPr>
        <w:widowControl/>
        <w:spacing w:after="200" w:line="276" w:lineRule="auto"/>
        <w:jc w:val="center"/>
        <w:rPr>
          <w:rFonts w:ascii="Times New Roman" w:eastAsia="Times New Roman" w:hAnsi="Times New Roman" w:cs="Times New Roman"/>
          <w:b/>
          <w:bCs/>
          <w:sz w:val="20"/>
          <w:szCs w:val="20"/>
        </w:rPr>
      </w:pPr>
      <w:r w:rsidRPr="00412481">
        <w:rPr>
          <w:rFonts w:ascii="Times New Roman" w:eastAsia="Times New Roman" w:hAnsi="Times New Roman" w:cs="Times New Roman"/>
          <w:b/>
          <w:bCs/>
          <w:sz w:val="20"/>
          <w:szCs w:val="20"/>
        </w:rPr>
        <w:t xml:space="preserve">                       </w:t>
      </w:r>
      <w:r w:rsidR="00A6031F" w:rsidRPr="00412481">
        <w:rPr>
          <w:rFonts w:ascii="Times New Roman" w:eastAsia="Times New Roman" w:hAnsi="Times New Roman" w:cs="Times New Roman"/>
          <w:b/>
          <w:bCs/>
          <w:sz w:val="20"/>
          <w:szCs w:val="20"/>
        </w:rPr>
        <w:t xml:space="preserve">Appendix </w:t>
      </w:r>
      <w:r w:rsidR="00553658" w:rsidRPr="00412481">
        <w:rPr>
          <w:rFonts w:ascii="Times New Roman" w:eastAsia="Times New Roman" w:hAnsi="Times New Roman" w:cs="Times New Roman"/>
          <w:b/>
          <w:bCs/>
          <w:sz w:val="20"/>
          <w:szCs w:val="20"/>
        </w:rPr>
        <w:t>I</w:t>
      </w:r>
      <w:r w:rsidR="00A6031F" w:rsidRPr="00412481">
        <w:rPr>
          <w:rFonts w:ascii="Times New Roman" w:eastAsia="Times New Roman" w:hAnsi="Times New Roman" w:cs="Times New Roman"/>
          <w:b/>
          <w:bCs/>
          <w:sz w:val="20"/>
          <w:szCs w:val="20"/>
        </w:rPr>
        <w:t xml:space="preserve"> – </w:t>
      </w:r>
      <w:r w:rsidR="00553658" w:rsidRPr="00412481">
        <w:rPr>
          <w:rFonts w:ascii="Times New Roman" w:eastAsia="Times New Roman" w:hAnsi="Times New Roman" w:cs="Times New Roman"/>
          <w:b/>
          <w:bCs/>
          <w:sz w:val="20"/>
          <w:szCs w:val="20"/>
        </w:rPr>
        <w:t xml:space="preserve">Investment Grade Net Spread </w:t>
      </w:r>
      <w:r w:rsidR="00A6031F" w:rsidRPr="00412481">
        <w:rPr>
          <w:rFonts w:ascii="Times New Roman" w:eastAsia="Times New Roman" w:hAnsi="Times New Roman" w:cs="Times New Roman"/>
          <w:b/>
          <w:bCs/>
          <w:sz w:val="20"/>
          <w:szCs w:val="20"/>
        </w:rPr>
        <w:t>Benchmark</w:t>
      </w:r>
    </w:p>
    <w:p w14:paraId="032B424D" w14:textId="77777777" w:rsidR="00A6031F" w:rsidRPr="00412481" w:rsidRDefault="00A6031F">
      <w:pPr>
        <w:spacing w:line="259" w:lineRule="auto"/>
        <w:ind w:left="1440"/>
        <w:jc w:val="both"/>
        <w:rPr>
          <w:rFonts w:ascii="Times New Roman" w:eastAsia="Times New Roman" w:hAnsi="Times New Roman" w:cs="Times New Roman"/>
          <w:sz w:val="20"/>
          <w:szCs w:val="20"/>
        </w:rPr>
      </w:pPr>
    </w:p>
    <w:p w14:paraId="75D79124" w14:textId="53D81771" w:rsidR="00A6031F" w:rsidRPr="00AB622C" w:rsidRDefault="00A06785" w:rsidP="00A6031F">
      <w:pPr>
        <w:spacing w:line="259" w:lineRule="auto"/>
        <w:ind w:left="1440"/>
        <w:jc w:val="center"/>
        <w:rPr>
          <w:rFonts w:ascii="Times New Roman" w:hAnsi="Times New Roman" w:cs="Times New Roman"/>
          <w:sz w:val="20"/>
          <w:szCs w:val="20"/>
        </w:rPr>
      </w:pPr>
      <w:r w:rsidRPr="00412481">
        <w:rPr>
          <w:noProof/>
        </w:rPr>
        <w:drawing>
          <wp:inline distT="0" distB="0" distL="0" distR="0" wp14:anchorId="63B9798E" wp14:editId="0C3E79EC">
            <wp:extent cx="3995420" cy="1144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5420" cy="1144905"/>
                    </a:xfrm>
                    <a:prstGeom prst="rect">
                      <a:avLst/>
                    </a:prstGeom>
                    <a:noFill/>
                    <a:ln>
                      <a:noFill/>
                    </a:ln>
                  </pic:spPr>
                </pic:pic>
              </a:graphicData>
            </a:graphic>
          </wp:inline>
        </w:drawing>
      </w:r>
    </w:p>
    <w:p w14:paraId="51321894" w14:textId="6EBDEB43" w:rsidR="00855386" w:rsidRDefault="00855386" w:rsidP="0064101A">
      <w:pPr>
        <w:pStyle w:val="Heading1"/>
        <w:spacing w:line="259" w:lineRule="auto"/>
        <w:ind w:left="1440"/>
        <w:rPr>
          <w:rFonts w:cs="Times New Roman"/>
          <w:b w:val="0"/>
          <w:bCs w:val="0"/>
          <w:sz w:val="20"/>
          <w:szCs w:val="20"/>
        </w:rPr>
      </w:pPr>
    </w:p>
    <w:p w14:paraId="388C848A" w14:textId="1E7E19B5" w:rsidR="00553658" w:rsidRPr="00855386" w:rsidRDefault="00553658" w:rsidP="004E414E">
      <w:pPr>
        <w:pStyle w:val="Heading1"/>
        <w:spacing w:line="259" w:lineRule="auto"/>
        <w:ind w:left="1440"/>
        <w:rPr>
          <w:rFonts w:cs="Times New Roman"/>
          <w:b w:val="0"/>
          <w:bCs w:val="0"/>
          <w:sz w:val="20"/>
          <w:szCs w:val="20"/>
        </w:rPr>
      </w:pPr>
    </w:p>
    <w:sectPr w:rsidR="00553658" w:rsidRPr="00855386" w:rsidSect="001A1384">
      <w:footerReference w:type="default" r:id="rId9"/>
      <w:pgSz w:w="12240" w:h="15840"/>
      <w:pgMar w:top="99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363C" w14:textId="77777777" w:rsidR="008149D8" w:rsidRDefault="008149D8">
      <w:r>
        <w:separator/>
      </w:r>
    </w:p>
  </w:endnote>
  <w:endnote w:type="continuationSeparator" w:id="0">
    <w:p w14:paraId="65AD6AE1" w14:textId="77777777" w:rsidR="008149D8" w:rsidRDefault="0081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D80" w14:textId="77777777" w:rsidR="00D90E16" w:rsidRDefault="00D90E16" w:rsidP="0079666A">
    <w:pPr>
      <w:pStyle w:val="Footer"/>
      <w:tabs>
        <w:tab w:val="center" w:pos="5040"/>
      </w:tabs>
      <w:rPr>
        <w:rFonts w:ascii="Times New Roman" w:hAnsi="Times New Roman" w:cs="Times New Roman"/>
        <w:sz w:val="20"/>
      </w:rPr>
    </w:pPr>
  </w:p>
  <w:p w14:paraId="769E47E8" w14:textId="52882D56" w:rsidR="0079666A" w:rsidRPr="00154DD4" w:rsidRDefault="0079666A"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1966D3">
      <w:rPr>
        <w:rFonts w:ascii="Times New Roman" w:hAnsi="Times New Roman" w:cs="Times New Roman"/>
        <w:noProof/>
        <w:sz w:val="20"/>
      </w:rPr>
      <w:t>1</w:t>
    </w:r>
    <w:r w:rsidRPr="00154DD4">
      <w:rPr>
        <w:rFonts w:ascii="Times New Roman" w:hAnsi="Times New Roman" w:cs="Times New Roman"/>
        <w:noProof/>
        <w:sz w:val="20"/>
      </w:rPr>
      <w:fldChar w:fldCharType="end"/>
    </w:r>
  </w:p>
  <w:p w14:paraId="31397E07" w14:textId="77777777" w:rsidR="0079666A" w:rsidRPr="00154DD4" w:rsidRDefault="0079666A" w:rsidP="0079666A">
    <w:pPr>
      <w:pStyle w:val="Footer"/>
    </w:pPr>
  </w:p>
  <w:p w14:paraId="60B5904A" w14:textId="39B52D79" w:rsidR="00DF54E1" w:rsidRPr="0079666A" w:rsidRDefault="00DF54E1" w:rsidP="0079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5015" w14:textId="77777777" w:rsidR="008149D8" w:rsidRDefault="008149D8">
      <w:r>
        <w:separator/>
      </w:r>
    </w:p>
  </w:footnote>
  <w:footnote w:type="continuationSeparator" w:id="0">
    <w:p w14:paraId="3DFF8AD0" w14:textId="77777777" w:rsidR="008149D8" w:rsidRDefault="0081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E14"/>
    <w:multiLevelType w:val="hybridMultilevel"/>
    <w:tmpl w:val="4C8E68CA"/>
    <w:lvl w:ilvl="0" w:tplc="7540B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C071BFD"/>
    <w:multiLevelType w:val="hybridMultilevel"/>
    <w:tmpl w:val="061E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57EE"/>
    <w:multiLevelType w:val="hybridMultilevel"/>
    <w:tmpl w:val="097AF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479CD"/>
    <w:multiLevelType w:val="hybridMultilevel"/>
    <w:tmpl w:val="08867388"/>
    <w:lvl w:ilvl="0" w:tplc="259407A8">
      <w:start w:val="1"/>
      <w:numFmt w:val="bullet"/>
      <w:lvlText w:val="-"/>
      <w:lvlJc w:val="left"/>
      <w:pPr>
        <w:ind w:left="2565" w:hanging="360"/>
      </w:pPr>
      <w:rPr>
        <w:rFonts w:ascii="Times New Roman" w:hAnsi="Times New Roman"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6"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F6369"/>
    <w:multiLevelType w:val="hybridMultilevel"/>
    <w:tmpl w:val="3A0AE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286C"/>
    <w:multiLevelType w:val="hybridMultilevel"/>
    <w:tmpl w:val="C5F26880"/>
    <w:lvl w:ilvl="0" w:tplc="0CB867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A07990"/>
    <w:multiLevelType w:val="hybridMultilevel"/>
    <w:tmpl w:val="D0943F3C"/>
    <w:lvl w:ilvl="0" w:tplc="7540BC2A">
      <w:start w:val="1"/>
      <w:numFmt w:val="lowerLetter"/>
      <w:lvlText w:val="(%1)"/>
      <w:lvlJc w:val="left"/>
      <w:pPr>
        <w:ind w:left="3330" w:hanging="360"/>
      </w:pPr>
      <w:rPr>
        <w:rFonts w:hint="default"/>
      </w:rPr>
    </w:lvl>
    <w:lvl w:ilvl="1" w:tplc="04090019" w:tentative="1">
      <w:start w:val="1"/>
      <w:numFmt w:val="lowerLetter"/>
      <w:lvlText w:val="%2."/>
      <w:lvlJc w:val="left"/>
      <w:pPr>
        <w:ind w:left="1440" w:hanging="360"/>
      </w:pPr>
    </w:lvl>
    <w:lvl w:ilvl="2" w:tplc="7540BC2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B79D1"/>
    <w:multiLevelType w:val="hybridMultilevel"/>
    <w:tmpl w:val="C3D8DC10"/>
    <w:lvl w:ilvl="0" w:tplc="C16A7DA2">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D76857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653A7"/>
    <w:multiLevelType w:val="hybridMultilevel"/>
    <w:tmpl w:val="EDA43684"/>
    <w:lvl w:ilvl="0" w:tplc="7ADCCD6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6841DCE"/>
    <w:multiLevelType w:val="hybridMultilevel"/>
    <w:tmpl w:val="27CC49F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55251"/>
    <w:multiLevelType w:val="hybridMultilevel"/>
    <w:tmpl w:val="6FE2A4F2"/>
    <w:lvl w:ilvl="0" w:tplc="C16A7DA2">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C0728"/>
    <w:multiLevelType w:val="hybridMultilevel"/>
    <w:tmpl w:val="5CFA5B7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0997820"/>
    <w:multiLevelType w:val="hybridMultilevel"/>
    <w:tmpl w:val="625A6E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75024D9"/>
    <w:multiLevelType w:val="hybridMultilevel"/>
    <w:tmpl w:val="5108F328"/>
    <w:lvl w:ilvl="0" w:tplc="8424C40E">
      <w:start w:val="2"/>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D136D"/>
    <w:multiLevelType w:val="hybridMultilevel"/>
    <w:tmpl w:val="BADC0C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7540BC2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6"/>
  </w:num>
  <w:num w:numId="4">
    <w:abstractNumId w:val="23"/>
  </w:num>
  <w:num w:numId="5">
    <w:abstractNumId w:val="10"/>
  </w:num>
  <w:num w:numId="6">
    <w:abstractNumId w:val="14"/>
  </w:num>
  <w:num w:numId="7">
    <w:abstractNumId w:val="27"/>
  </w:num>
  <w:num w:numId="8">
    <w:abstractNumId w:val="24"/>
  </w:num>
  <w:num w:numId="9">
    <w:abstractNumId w:val="1"/>
  </w:num>
  <w:num w:numId="10">
    <w:abstractNumId w:val="17"/>
  </w:num>
  <w:num w:numId="11">
    <w:abstractNumId w:val="22"/>
  </w:num>
  <w:num w:numId="12">
    <w:abstractNumId w:val="6"/>
  </w:num>
  <w:num w:numId="13">
    <w:abstractNumId w:val="21"/>
  </w:num>
  <w:num w:numId="14">
    <w:abstractNumId w:val="20"/>
  </w:num>
  <w:num w:numId="15">
    <w:abstractNumId w:val="4"/>
  </w:num>
  <w:num w:numId="16">
    <w:abstractNumId w:val="7"/>
  </w:num>
  <w:num w:numId="17">
    <w:abstractNumId w:val="8"/>
  </w:num>
  <w:num w:numId="18">
    <w:abstractNumId w:val="19"/>
  </w:num>
  <w:num w:numId="19">
    <w:abstractNumId w:val="11"/>
  </w:num>
  <w:num w:numId="20">
    <w:abstractNumId w:val="15"/>
  </w:num>
  <w:num w:numId="21">
    <w:abstractNumId w:val="9"/>
  </w:num>
  <w:num w:numId="22">
    <w:abstractNumId w:val="3"/>
  </w:num>
  <w:num w:numId="23">
    <w:abstractNumId w:val="26"/>
  </w:num>
  <w:num w:numId="24">
    <w:abstractNumId w:val="0"/>
  </w:num>
  <w:num w:numId="25">
    <w:abstractNumId w:val="25"/>
  </w:num>
  <w:num w:numId="26">
    <w:abstractNumId w:val="5"/>
  </w:num>
  <w:num w:numId="27">
    <w:abstractNumId w:val="18"/>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EFD043-3BE2-41DF-A9C2-366EB3ADB694}"/>
    <w:docVar w:name="dgnword-eventsink" w:val="137618736"/>
  </w:docVars>
  <w:rsids>
    <w:rsidRoot w:val="00035C33"/>
    <w:rsid w:val="000051F8"/>
    <w:rsid w:val="000055DF"/>
    <w:rsid w:val="00006CDB"/>
    <w:rsid w:val="000153AF"/>
    <w:rsid w:val="0001682F"/>
    <w:rsid w:val="00021D59"/>
    <w:rsid w:val="000303E8"/>
    <w:rsid w:val="00030967"/>
    <w:rsid w:val="00031A84"/>
    <w:rsid w:val="00033733"/>
    <w:rsid w:val="00035C33"/>
    <w:rsid w:val="00035F0D"/>
    <w:rsid w:val="00036B61"/>
    <w:rsid w:val="00040990"/>
    <w:rsid w:val="00045602"/>
    <w:rsid w:val="00047A1E"/>
    <w:rsid w:val="00060EC2"/>
    <w:rsid w:val="00061193"/>
    <w:rsid w:val="000636F8"/>
    <w:rsid w:val="00064F01"/>
    <w:rsid w:val="0007706D"/>
    <w:rsid w:val="00081727"/>
    <w:rsid w:val="000838C6"/>
    <w:rsid w:val="00090284"/>
    <w:rsid w:val="00090803"/>
    <w:rsid w:val="0009441A"/>
    <w:rsid w:val="000A3BEB"/>
    <w:rsid w:val="000B13BA"/>
    <w:rsid w:val="000B310C"/>
    <w:rsid w:val="000B6F13"/>
    <w:rsid w:val="000C7AAE"/>
    <w:rsid w:val="000C7C77"/>
    <w:rsid w:val="000E2CA7"/>
    <w:rsid w:val="000E3DA7"/>
    <w:rsid w:val="000E6152"/>
    <w:rsid w:val="000E75D9"/>
    <w:rsid w:val="000F1A31"/>
    <w:rsid w:val="000F22EE"/>
    <w:rsid w:val="000F5AA6"/>
    <w:rsid w:val="001012B8"/>
    <w:rsid w:val="0010372E"/>
    <w:rsid w:val="00105766"/>
    <w:rsid w:val="00111FE4"/>
    <w:rsid w:val="0011359D"/>
    <w:rsid w:val="0012141A"/>
    <w:rsid w:val="00123CF7"/>
    <w:rsid w:val="00123CFF"/>
    <w:rsid w:val="00126CEC"/>
    <w:rsid w:val="0012795E"/>
    <w:rsid w:val="001306F0"/>
    <w:rsid w:val="00131233"/>
    <w:rsid w:val="00131BE6"/>
    <w:rsid w:val="0013769B"/>
    <w:rsid w:val="0014045D"/>
    <w:rsid w:val="00146590"/>
    <w:rsid w:val="00147258"/>
    <w:rsid w:val="00170836"/>
    <w:rsid w:val="00170930"/>
    <w:rsid w:val="001730DA"/>
    <w:rsid w:val="001749A5"/>
    <w:rsid w:val="0018154C"/>
    <w:rsid w:val="00181A89"/>
    <w:rsid w:val="0018762D"/>
    <w:rsid w:val="00192416"/>
    <w:rsid w:val="001966D3"/>
    <w:rsid w:val="001A014C"/>
    <w:rsid w:val="001A0314"/>
    <w:rsid w:val="001A1384"/>
    <w:rsid w:val="001B1A13"/>
    <w:rsid w:val="001C1956"/>
    <w:rsid w:val="001C7B7E"/>
    <w:rsid w:val="001D2051"/>
    <w:rsid w:val="001D5295"/>
    <w:rsid w:val="001F3BD9"/>
    <w:rsid w:val="001F6FCC"/>
    <w:rsid w:val="00205195"/>
    <w:rsid w:val="00210841"/>
    <w:rsid w:val="002117E0"/>
    <w:rsid w:val="0022313C"/>
    <w:rsid w:val="00230F3F"/>
    <w:rsid w:val="00233492"/>
    <w:rsid w:val="00234BBD"/>
    <w:rsid w:val="00237201"/>
    <w:rsid w:val="00237C0E"/>
    <w:rsid w:val="00244AEC"/>
    <w:rsid w:val="00251FA7"/>
    <w:rsid w:val="0025419B"/>
    <w:rsid w:val="00255070"/>
    <w:rsid w:val="0025668A"/>
    <w:rsid w:val="00262B2F"/>
    <w:rsid w:val="00264AE5"/>
    <w:rsid w:val="00267D39"/>
    <w:rsid w:val="00270063"/>
    <w:rsid w:val="00273FFE"/>
    <w:rsid w:val="00280A9B"/>
    <w:rsid w:val="00284397"/>
    <w:rsid w:val="00294186"/>
    <w:rsid w:val="00296F11"/>
    <w:rsid w:val="002A0160"/>
    <w:rsid w:val="002A55BA"/>
    <w:rsid w:val="002A6093"/>
    <w:rsid w:val="002B6D58"/>
    <w:rsid w:val="002C06D7"/>
    <w:rsid w:val="002C5537"/>
    <w:rsid w:val="002D53F8"/>
    <w:rsid w:val="002D586D"/>
    <w:rsid w:val="002D5C24"/>
    <w:rsid w:val="002E0C09"/>
    <w:rsid w:val="002E4357"/>
    <w:rsid w:val="002F156D"/>
    <w:rsid w:val="002F4F04"/>
    <w:rsid w:val="002F66F8"/>
    <w:rsid w:val="002F68DC"/>
    <w:rsid w:val="002F75C6"/>
    <w:rsid w:val="0030214A"/>
    <w:rsid w:val="00302308"/>
    <w:rsid w:val="003060CE"/>
    <w:rsid w:val="00312577"/>
    <w:rsid w:val="003148D2"/>
    <w:rsid w:val="003172AD"/>
    <w:rsid w:val="00317F3D"/>
    <w:rsid w:val="003210A6"/>
    <w:rsid w:val="00323416"/>
    <w:rsid w:val="00334822"/>
    <w:rsid w:val="00334A48"/>
    <w:rsid w:val="00341806"/>
    <w:rsid w:val="003768DF"/>
    <w:rsid w:val="003853DA"/>
    <w:rsid w:val="0038665F"/>
    <w:rsid w:val="0039530A"/>
    <w:rsid w:val="003A1161"/>
    <w:rsid w:val="003A2D8F"/>
    <w:rsid w:val="003A42D6"/>
    <w:rsid w:val="003B1A7B"/>
    <w:rsid w:val="003B24F9"/>
    <w:rsid w:val="003B2FCE"/>
    <w:rsid w:val="003B59CA"/>
    <w:rsid w:val="003B66E0"/>
    <w:rsid w:val="003B7C58"/>
    <w:rsid w:val="003C261F"/>
    <w:rsid w:val="003C42FD"/>
    <w:rsid w:val="003C44D9"/>
    <w:rsid w:val="003C4FC0"/>
    <w:rsid w:val="003C5968"/>
    <w:rsid w:val="003C5B3E"/>
    <w:rsid w:val="003C5F53"/>
    <w:rsid w:val="003C693F"/>
    <w:rsid w:val="003C728C"/>
    <w:rsid w:val="003D063E"/>
    <w:rsid w:val="003D5761"/>
    <w:rsid w:val="003E4E8E"/>
    <w:rsid w:val="003E792D"/>
    <w:rsid w:val="003F3C25"/>
    <w:rsid w:val="0040056C"/>
    <w:rsid w:val="004006D6"/>
    <w:rsid w:val="00403524"/>
    <w:rsid w:val="00412481"/>
    <w:rsid w:val="004130E6"/>
    <w:rsid w:val="00415A1D"/>
    <w:rsid w:val="00417594"/>
    <w:rsid w:val="00420E5E"/>
    <w:rsid w:val="004230E1"/>
    <w:rsid w:val="004248B5"/>
    <w:rsid w:val="0043392E"/>
    <w:rsid w:val="0043517B"/>
    <w:rsid w:val="00440788"/>
    <w:rsid w:val="00442297"/>
    <w:rsid w:val="00442D41"/>
    <w:rsid w:val="00443265"/>
    <w:rsid w:val="00443C8A"/>
    <w:rsid w:val="00445863"/>
    <w:rsid w:val="00446A33"/>
    <w:rsid w:val="00454050"/>
    <w:rsid w:val="00455CB4"/>
    <w:rsid w:val="00462554"/>
    <w:rsid w:val="004632EB"/>
    <w:rsid w:val="00471F68"/>
    <w:rsid w:val="004728AE"/>
    <w:rsid w:val="00475A22"/>
    <w:rsid w:val="0047747F"/>
    <w:rsid w:val="00483FD2"/>
    <w:rsid w:val="004869F7"/>
    <w:rsid w:val="00487BB9"/>
    <w:rsid w:val="00487EBD"/>
    <w:rsid w:val="00492235"/>
    <w:rsid w:val="0049558E"/>
    <w:rsid w:val="004A5E65"/>
    <w:rsid w:val="004C0697"/>
    <w:rsid w:val="004C1638"/>
    <w:rsid w:val="004C1D12"/>
    <w:rsid w:val="004C3835"/>
    <w:rsid w:val="004C4741"/>
    <w:rsid w:val="004E0035"/>
    <w:rsid w:val="004E07C7"/>
    <w:rsid w:val="004E3707"/>
    <w:rsid w:val="004E414E"/>
    <w:rsid w:val="004E70C8"/>
    <w:rsid w:val="004F1956"/>
    <w:rsid w:val="004F42CC"/>
    <w:rsid w:val="00501A0D"/>
    <w:rsid w:val="00506471"/>
    <w:rsid w:val="0050743A"/>
    <w:rsid w:val="0053599B"/>
    <w:rsid w:val="00536703"/>
    <w:rsid w:val="00543471"/>
    <w:rsid w:val="005479A2"/>
    <w:rsid w:val="005503DE"/>
    <w:rsid w:val="005511B0"/>
    <w:rsid w:val="00553658"/>
    <w:rsid w:val="0056003D"/>
    <w:rsid w:val="00560FF3"/>
    <w:rsid w:val="0056421D"/>
    <w:rsid w:val="00564542"/>
    <w:rsid w:val="005648FF"/>
    <w:rsid w:val="00566D6E"/>
    <w:rsid w:val="005675AF"/>
    <w:rsid w:val="005725FB"/>
    <w:rsid w:val="00575A5A"/>
    <w:rsid w:val="0058164E"/>
    <w:rsid w:val="00582777"/>
    <w:rsid w:val="00584B8E"/>
    <w:rsid w:val="00585211"/>
    <w:rsid w:val="00587006"/>
    <w:rsid w:val="0059212D"/>
    <w:rsid w:val="00592D3B"/>
    <w:rsid w:val="005A4608"/>
    <w:rsid w:val="005A4F62"/>
    <w:rsid w:val="005A529B"/>
    <w:rsid w:val="005A58E9"/>
    <w:rsid w:val="005A6F54"/>
    <w:rsid w:val="005B1AD8"/>
    <w:rsid w:val="005B4287"/>
    <w:rsid w:val="005B6B3D"/>
    <w:rsid w:val="005C14C8"/>
    <w:rsid w:val="005C3335"/>
    <w:rsid w:val="005C4A97"/>
    <w:rsid w:val="005C65D4"/>
    <w:rsid w:val="005D2D1D"/>
    <w:rsid w:val="005D4832"/>
    <w:rsid w:val="005D5318"/>
    <w:rsid w:val="005D54B4"/>
    <w:rsid w:val="005E0762"/>
    <w:rsid w:val="005E14BF"/>
    <w:rsid w:val="005E3DB3"/>
    <w:rsid w:val="005E6FA6"/>
    <w:rsid w:val="005F2C5F"/>
    <w:rsid w:val="00600883"/>
    <w:rsid w:val="006066FB"/>
    <w:rsid w:val="0060785F"/>
    <w:rsid w:val="00612691"/>
    <w:rsid w:val="006158F6"/>
    <w:rsid w:val="00616624"/>
    <w:rsid w:val="006205AE"/>
    <w:rsid w:val="00621B43"/>
    <w:rsid w:val="00632F3E"/>
    <w:rsid w:val="0064101A"/>
    <w:rsid w:val="00643597"/>
    <w:rsid w:val="00646844"/>
    <w:rsid w:val="00650A21"/>
    <w:rsid w:val="0066204B"/>
    <w:rsid w:val="00662AC5"/>
    <w:rsid w:val="006668EB"/>
    <w:rsid w:val="00676EB7"/>
    <w:rsid w:val="00681862"/>
    <w:rsid w:val="0068187D"/>
    <w:rsid w:val="0068742A"/>
    <w:rsid w:val="00687AE5"/>
    <w:rsid w:val="00687FF9"/>
    <w:rsid w:val="006909A7"/>
    <w:rsid w:val="00696012"/>
    <w:rsid w:val="006A2305"/>
    <w:rsid w:val="006A440C"/>
    <w:rsid w:val="006B337C"/>
    <w:rsid w:val="006B56AD"/>
    <w:rsid w:val="006C12A8"/>
    <w:rsid w:val="006C3493"/>
    <w:rsid w:val="006C382E"/>
    <w:rsid w:val="006C4F9E"/>
    <w:rsid w:val="006C688B"/>
    <w:rsid w:val="006C6A65"/>
    <w:rsid w:val="006C7957"/>
    <w:rsid w:val="006D301F"/>
    <w:rsid w:val="006D3955"/>
    <w:rsid w:val="006E2C9C"/>
    <w:rsid w:val="006E3615"/>
    <w:rsid w:val="006E7896"/>
    <w:rsid w:val="006F1467"/>
    <w:rsid w:val="006F1644"/>
    <w:rsid w:val="006F1F2E"/>
    <w:rsid w:val="006F2BC0"/>
    <w:rsid w:val="006F3F26"/>
    <w:rsid w:val="0070379A"/>
    <w:rsid w:val="00712272"/>
    <w:rsid w:val="00712D04"/>
    <w:rsid w:val="00712E42"/>
    <w:rsid w:val="0071581A"/>
    <w:rsid w:val="0072126C"/>
    <w:rsid w:val="00727598"/>
    <w:rsid w:val="00730539"/>
    <w:rsid w:val="00730756"/>
    <w:rsid w:val="00733DC7"/>
    <w:rsid w:val="00737256"/>
    <w:rsid w:val="007445B3"/>
    <w:rsid w:val="00746C6A"/>
    <w:rsid w:val="007504D5"/>
    <w:rsid w:val="00751720"/>
    <w:rsid w:val="00760993"/>
    <w:rsid w:val="00761B70"/>
    <w:rsid w:val="00763326"/>
    <w:rsid w:val="007674B1"/>
    <w:rsid w:val="007703B5"/>
    <w:rsid w:val="00775ECE"/>
    <w:rsid w:val="00776E9B"/>
    <w:rsid w:val="00781C58"/>
    <w:rsid w:val="0079400E"/>
    <w:rsid w:val="0079409D"/>
    <w:rsid w:val="0079666A"/>
    <w:rsid w:val="0079779E"/>
    <w:rsid w:val="007A14E4"/>
    <w:rsid w:val="007A4E7A"/>
    <w:rsid w:val="007A5BD9"/>
    <w:rsid w:val="007B0F59"/>
    <w:rsid w:val="007C0067"/>
    <w:rsid w:val="007C442B"/>
    <w:rsid w:val="007C5EAB"/>
    <w:rsid w:val="007C7045"/>
    <w:rsid w:val="007D5ACF"/>
    <w:rsid w:val="007E023A"/>
    <w:rsid w:val="007E1CF3"/>
    <w:rsid w:val="007E32C7"/>
    <w:rsid w:val="007F076D"/>
    <w:rsid w:val="007F3167"/>
    <w:rsid w:val="007F4FDB"/>
    <w:rsid w:val="007F655C"/>
    <w:rsid w:val="007F70BD"/>
    <w:rsid w:val="00805598"/>
    <w:rsid w:val="00811ABB"/>
    <w:rsid w:val="00812A5C"/>
    <w:rsid w:val="008149D8"/>
    <w:rsid w:val="00823489"/>
    <w:rsid w:val="00825F7B"/>
    <w:rsid w:val="008309A8"/>
    <w:rsid w:val="0083186A"/>
    <w:rsid w:val="00832082"/>
    <w:rsid w:val="008360CF"/>
    <w:rsid w:val="0084307F"/>
    <w:rsid w:val="00846E30"/>
    <w:rsid w:val="0084795F"/>
    <w:rsid w:val="008537EC"/>
    <w:rsid w:val="008544BE"/>
    <w:rsid w:val="00854665"/>
    <w:rsid w:val="00855386"/>
    <w:rsid w:val="00863B08"/>
    <w:rsid w:val="00864499"/>
    <w:rsid w:val="008645D8"/>
    <w:rsid w:val="00873287"/>
    <w:rsid w:val="00875E55"/>
    <w:rsid w:val="00877480"/>
    <w:rsid w:val="008775A4"/>
    <w:rsid w:val="008804B0"/>
    <w:rsid w:val="008829B1"/>
    <w:rsid w:val="00884FF9"/>
    <w:rsid w:val="00893BCD"/>
    <w:rsid w:val="00896B9E"/>
    <w:rsid w:val="008A5BDB"/>
    <w:rsid w:val="008A7370"/>
    <w:rsid w:val="008B150B"/>
    <w:rsid w:val="008B6252"/>
    <w:rsid w:val="008C2690"/>
    <w:rsid w:val="008C31F0"/>
    <w:rsid w:val="008C68C5"/>
    <w:rsid w:val="008C6B21"/>
    <w:rsid w:val="008C7428"/>
    <w:rsid w:val="008D47A3"/>
    <w:rsid w:val="008E0D56"/>
    <w:rsid w:val="008E3369"/>
    <w:rsid w:val="008E3AA1"/>
    <w:rsid w:val="008E673D"/>
    <w:rsid w:val="008E75F2"/>
    <w:rsid w:val="008F0384"/>
    <w:rsid w:val="00900961"/>
    <w:rsid w:val="00902D2F"/>
    <w:rsid w:val="00903EFB"/>
    <w:rsid w:val="00904182"/>
    <w:rsid w:val="00906F6A"/>
    <w:rsid w:val="009106DB"/>
    <w:rsid w:val="009123BE"/>
    <w:rsid w:val="009130F7"/>
    <w:rsid w:val="00916B6A"/>
    <w:rsid w:val="009267E5"/>
    <w:rsid w:val="00932210"/>
    <w:rsid w:val="00941117"/>
    <w:rsid w:val="00950B21"/>
    <w:rsid w:val="00952BB2"/>
    <w:rsid w:val="0095344C"/>
    <w:rsid w:val="00953568"/>
    <w:rsid w:val="00953604"/>
    <w:rsid w:val="00953606"/>
    <w:rsid w:val="00953B00"/>
    <w:rsid w:val="0095766E"/>
    <w:rsid w:val="00961C2F"/>
    <w:rsid w:val="009638B7"/>
    <w:rsid w:val="00964502"/>
    <w:rsid w:val="00965CB3"/>
    <w:rsid w:val="00966A09"/>
    <w:rsid w:val="009678C9"/>
    <w:rsid w:val="0097615F"/>
    <w:rsid w:val="0097725A"/>
    <w:rsid w:val="00981CCD"/>
    <w:rsid w:val="009903B3"/>
    <w:rsid w:val="009928F1"/>
    <w:rsid w:val="009A3CA6"/>
    <w:rsid w:val="009B14AF"/>
    <w:rsid w:val="009B5EDF"/>
    <w:rsid w:val="009C01B9"/>
    <w:rsid w:val="009D0D22"/>
    <w:rsid w:val="009D2DB7"/>
    <w:rsid w:val="009D331A"/>
    <w:rsid w:val="009D3417"/>
    <w:rsid w:val="009D42CE"/>
    <w:rsid w:val="009E04ED"/>
    <w:rsid w:val="009E3D17"/>
    <w:rsid w:val="009F2444"/>
    <w:rsid w:val="009F7C3B"/>
    <w:rsid w:val="00A004F8"/>
    <w:rsid w:val="00A06785"/>
    <w:rsid w:val="00A07B3D"/>
    <w:rsid w:val="00A176B5"/>
    <w:rsid w:val="00A243ED"/>
    <w:rsid w:val="00A322CB"/>
    <w:rsid w:val="00A34978"/>
    <w:rsid w:val="00A35A84"/>
    <w:rsid w:val="00A370BD"/>
    <w:rsid w:val="00A37153"/>
    <w:rsid w:val="00A37357"/>
    <w:rsid w:val="00A445D5"/>
    <w:rsid w:val="00A46A0C"/>
    <w:rsid w:val="00A46C71"/>
    <w:rsid w:val="00A47B5F"/>
    <w:rsid w:val="00A508DF"/>
    <w:rsid w:val="00A51DFF"/>
    <w:rsid w:val="00A56B10"/>
    <w:rsid w:val="00A57E0C"/>
    <w:rsid w:val="00A6031F"/>
    <w:rsid w:val="00A61796"/>
    <w:rsid w:val="00A6516C"/>
    <w:rsid w:val="00A822D8"/>
    <w:rsid w:val="00A9010F"/>
    <w:rsid w:val="00A932AC"/>
    <w:rsid w:val="00A95778"/>
    <w:rsid w:val="00A96849"/>
    <w:rsid w:val="00AA2301"/>
    <w:rsid w:val="00AA46AD"/>
    <w:rsid w:val="00AA7E63"/>
    <w:rsid w:val="00AB0A36"/>
    <w:rsid w:val="00AB2A02"/>
    <w:rsid w:val="00AB2D93"/>
    <w:rsid w:val="00AB5700"/>
    <w:rsid w:val="00AC31EE"/>
    <w:rsid w:val="00AD06F8"/>
    <w:rsid w:val="00AD0D8C"/>
    <w:rsid w:val="00AE37A9"/>
    <w:rsid w:val="00AE4FE0"/>
    <w:rsid w:val="00AE6B9E"/>
    <w:rsid w:val="00AF103D"/>
    <w:rsid w:val="00AF3B75"/>
    <w:rsid w:val="00B1239D"/>
    <w:rsid w:val="00B23251"/>
    <w:rsid w:val="00B3022A"/>
    <w:rsid w:val="00B32B81"/>
    <w:rsid w:val="00B3654B"/>
    <w:rsid w:val="00B439A0"/>
    <w:rsid w:val="00B447D1"/>
    <w:rsid w:val="00B46D09"/>
    <w:rsid w:val="00B52DEC"/>
    <w:rsid w:val="00B52FDB"/>
    <w:rsid w:val="00B5356B"/>
    <w:rsid w:val="00B551CD"/>
    <w:rsid w:val="00B61F80"/>
    <w:rsid w:val="00B70A57"/>
    <w:rsid w:val="00B71449"/>
    <w:rsid w:val="00B7158E"/>
    <w:rsid w:val="00B72081"/>
    <w:rsid w:val="00B73D9A"/>
    <w:rsid w:val="00B80F5F"/>
    <w:rsid w:val="00B910FC"/>
    <w:rsid w:val="00B92EB3"/>
    <w:rsid w:val="00B94C63"/>
    <w:rsid w:val="00B94F9B"/>
    <w:rsid w:val="00B9700C"/>
    <w:rsid w:val="00BA00F1"/>
    <w:rsid w:val="00BA21A1"/>
    <w:rsid w:val="00BA4B75"/>
    <w:rsid w:val="00BB0BC5"/>
    <w:rsid w:val="00BB1123"/>
    <w:rsid w:val="00BB4318"/>
    <w:rsid w:val="00BB747E"/>
    <w:rsid w:val="00BC28B0"/>
    <w:rsid w:val="00BC4D6C"/>
    <w:rsid w:val="00BC5179"/>
    <w:rsid w:val="00BC6548"/>
    <w:rsid w:val="00BD11B4"/>
    <w:rsid w:val="00BD15B3"/>
    <w:rsid w:val="00BD751E"/>
    <w:rsid w:val="00BE23F7"/>
    <w:rsid w:val="00BE300A"/>
    <w:rsid w:val="00BF15D0"/>
    <w:rsid w:val="00BF65A7"/>
    <w:rsid w:val="00C0237B"/>
    <w:rsid w:val="00C03027"/>
    <w:rsid w:val="00C0752D"/>
    <w:rsid w:val="00C141F8"/>
    <w:rsid w:val="00C15FC6"/>
    <w:rsid w:val="00C16687"/>
    <w:rsid w:val="00C17380"/>
    <w:rsid w:val="00C17896"/>
    <w:rsid w:val="00C21D52"/>
    <w:rsid w:val="00C22A98"/>
    <w:rsid w:val="00C25F82"/>
    <w:rsid w:val="00C266E2"/>
    <w:rsid w:val="00C26FA5"/>
    <w:rsid w:val="00C32BB0"/>
    <w:rsid w:val="00C32C4C"/>
    <w:rsid w:val="00C33C5F"/>
    <w:rsid w:val="00C41740"/>
    <w:rsid w:val="00C4574B"/>
    <w:rsid w:val="00C46EA2"/>
    <w:rsid w:val="00C53A55"/>
    <w:rsid w:val="00C54B9B"/>
    <w:rsid w:val="00C55459"/>
    <w:rsid w:val="00C55E4D"/>
    <w:rsid w:val="00C621B2"/>
    <w:rsid w:val="00C636C0"/>
    <w:rsid w:val="00C665A9"/>
    <w:rsid w:val="00C66D32"/>
    <w:rsid w:val="00C67F4C"/>
    <w:rsid w:val="00C82CCC"/>
    <w:rsid w:val="00C82DB7"/>
    <w:rsid w:val="00C832DA"/>
    <w:rsid w:val="00C86CCB"/>
    <w:rsid w:val="00C87CB0"/>
    <w:rsid w:val="00C90875"/>
    <w:rsid w:val="00C91A92"/>
    <w:rsid w:val="00C93591"/>
    <w:rsid w:val="00C9414C"/>
    <w:rsid w:val="00C94E64"/>
    <w:rsid w:val="00C97055"/>
    <w:rsid w:val="00CA69E6"/>
    <w:rsid w:val="00CB1796"/>
    <w:rsid w:val="00CB1F0E"/>
    <w:rsid w:val="00CB330D"/>
    <w:rsid w:val="00CB4692"/>
    <w:rsid w:val="00CB66C7"/>
    <w:rsid w:val="00CB6861"/>
    <w:rsid w:val="00CB748D"/>
    <w:rsid w:val="00CB77E9"/>
    <w:rsid w:val="00CB7B88"/>
    <w:rsid w:val="00CC21E3"/>
    <w:rsid w:val="00CC2A43"/>
    <w:rsid w:val="00CC627C"/>
    <w:rsid w:val="00CD3E3C"/>
    <w:rsid w:val="00CE30FD"/>
    <w:rsid w:val="00CE3A02"/>
    <w:rsid w:val="00CE72CE"/>
    <w:rsid w:val="00CF12F4"/>
    <w:rsid w:val="00CF6865"/>
    <w:rsid w:val="00D04770"/>
    <w:rsid w:val="00D060C8"/>
    <w:rsid w:val="00D07A60"/>
    <w:rsid w:val="00D12106"/>
    <w:rsid w:val="00D1365E"/>
    <w:rsid w:val="00D21E25"/>
    <w:rsid w:val="00D23FD5"/>
    <w:rsid w:val="00D2547A"/>
    <w:rsid w:val="00D33CB1"/>
    <w:rsid w:val="00D37DEE"/>
    <w:rsid w:val="00D412CF"/>
    <w:rsid w:val="00D415EB"/>
    <w:rsid w:val="00D50390"/>
    <w:rsid w:val="00D520FE"/>
    <w:rsid w:val="00D5362A"/>
    <w:rsid w:val="00D53E83"/>
    <w:rsid w:val="00D56E91"/>
    <w:rsid w:val="00D60B2E"/>
    <w:rsid w:val="00D62E4D"/>
    <w:rsid w:val="00D66768"/>
    <w:rsid w:val="00D6766F"/>
    <w:rsid w:val="00D715A8"/>
    <w:rsid w:val="00D744BC"/>
    <w:rsid w:val="00D75D4B"/>
    <w:rsid w:val="00D75D57"/>
    <w:rsid w:val="00D8071E"/>
    <w:rsid w:val="00D82DF2"/>
    <w:rsid w:val="00D8317C"/>
    <w:rsid w:val="00D854E8"/>
    <w:rsid w:val="00D90456"/>
    <w:rsid w:val="00D90E16"/>
    <w:rsid w:val="00D97DD0"/>
    <w:rsid w:val="00DA1510"/>
    <w:rsid w:val="00DA3C0B"/>
    <w:rsid w:val="00DB065C"/>
    <w:rsid w:val="00DB1B18"/>
    <w:rsid w:val="00DB6618"/>
    <w:rsid w:val="00DB6B96"/>
    <w:rsid w:val="00DC132F"/>
    <w:rsid w:val="00DC43D5"/>
    <w:rsid w:val="00DC711C"/>
    <w:rsid w:val="00DD384C"/>
    <w:rsid w:val="00DD38A7"/>
    <w:rsid w:val="00DE2469"/>
    <w:rsid w:val="00DE4CAE"/>
    <w:rsid w:val="00DF54E1"/>
    <w:rsid w:val="00DF559F"/>
    <w:rsid w:val="00DF7B95"/>
    <w:rsid w:val="00E00584"/>
    <w:rsid w:val="00E02900"/>
    <w:rsid w:val="00E059E7"/>
    <w:rsid w:val="00E15D53"/>
    <w:rsid w:val="00E165F4"/>
    <w:rsid w:val="00E17D4B"/>
    <w:rsid w:val="00E20D8D"/>
    <w:rsid w:val="00E20DA2"/>
    <w:rsid w:val="00E21BB5"/>
    <w:rsid w:val="00E357E5"/>
    <w:rsid w:val="00E378D4"/>
    <w:rsid w:val="00E435A1"/>
    <w:rsid w:val="00E44238"/>
    <w:rsid w:val="00E54637"/>
    <w:rsid w:val="00E60067"/>
    <w:rsid w:val="00E65186"/>
    <w:rsid w:val="00E658B6"/>
    <w:rsid w:val="00E674A0"/>
    <w:rsid w:val="00E67AAB"/>
    <w:rsid w:val="00E7725D"/>
    <w:rsid w:val="00E9065C"/>
    <w:rsid w:val="00E91CA2"/>
    <w:rsid w:val="00E95B01"/>
    <w:rsid w:val="00E95BC2"/>
    <w:rsid w:val="00E95D3F"/>
    <w:rsid w:val="00E95F5A"/>
    <w:rsid w:val="00EA63DF"/>
    <w:rsid w:val="00EB05B3"/>
    <w:rsid w:val="00EB1A4B"/>
    <w:rsid w:val="00EB242A"/>
    <w:rsid w:val="00EC1599"/>
    <w:rsid w:val="00EC5D2D"/>
    <w:rsid w:val="00ED1768"/>
    <w:rsid w:val="00ED3A0E"/>
    <w:rsid w:val="00ED7576"/>
    <w:rsid w:val="00EE39E6"/>
    <w:rsid w:val="00EE6643"/>
    <w:rsid w:val="00EF0590"/>
    <w:rsid w:val="00EF112A"/>
    <w:rsid w:val="00EF2D20"/>
    <w:rsid w:val="00EF2E7C"/>
    <w:rsid w:val="00EF4AF6"/>
    <w:rsid w:val="00F00363"/>
    <w:rsid w:val="00F01C90"/>
    <w:rsid w:val="00F01F3D"/>
    <w:rsid w:val="00F02885"/>
    <w:rsid w:val="00F053B9"/>
    <w:rsid w:val="00F0703D"/>
    <w:rsid w:val="00F1057A"/>
    <w:rsid w:val="00F119A5"/>
    <w:rsid w:val="00F1531D"/>
    <w:rsid w:val="00F15510"/>
    <w:rsid w:val="00F30EA1"/>
    <w:rsid w:val="00F322DB"/>
    <w:rsid w:val="00F34876"/>
    <w:rsid w:val="00F34B9C"/>
    <w:rsid w:val="00F367EF"/>
    <w:rsid w:val="00F37C83"/>
    <w:rsid w:val="00F40B3F"/>
    <w:rsid w:val="00F41F8A"/>
    <w:rsid w:val="00F42D88"/>
    <w:rsid w:val="00F43789"/>
    <w:rsid w:val="00F4460A"/>
    <w:rsid w:val="00F455D4"/>
    <w:rsid w:val="00F46354"/>
    <w:rsid w:val="00F46ED4"/>
    <w:rsid w:val="00F51822"/>
    <w:rsid w:val="00F60E66"/>
    <w:rsid w:val="00F6112A"/>
    <w:rsid w:val="00F647E4"/>
    <w:rsid w:val="00F65971"/>
    <w:rsid w:val="00F66F80"/>
    <w:rsid w:val="00F67DFC"/>
    <w:rsid w:val="00F740D4"/>
    <w:rsid w:val="00F85D77"/>
    <w:rsid w:val="00F85F34"/>
    <w:rsid w:val="00F92FFA"/>
    <w:rsid w:val="00F949E7"/>
    <w:rsid w:val="00FA2321"/>
    <w:rsid w:val="00FB0A03"/>
    <w:rsid w:val="00FB105E"/>
    <w:rsid w:val="00FB1FEC"/>
    <w:rsid w:val="00FB356D"/>
    <w:rsid w:val="00FB42F3"/>
    <w:rsid w:val="00FB4616"/>
    <w:rsid w:val="00FC32F6"/>
    <w:rsid w:val="00FC6DEC"/>
    <w:rsid w:val="00FD0ACA"/>
    <w:rsid w:val="00FD23A0"/>
    <w:rsid w:val="00FD32BE"/>
    <w:rsid w:val="00FD7608"/>
    <w:rsid w:val="00FE12DA"/>
    <w:rsid w:val="00FE28D6"/>
    <w:rsid w:val="00FE5D87"/>
    <w:rsid w:val="00FF334A"/>
    <w:rsid w:val="00FF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C87FF37"/>
  <w15:docId w15:val="{B06BC827-97EC-4A4F-9D9E-FA5BB38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unhideWhenUsed/>
    <w:rsid w:val="00D412CF"/>
    <w:rPr>
      <w:sz w:val="20"/>
      <w:szCs w:val="20"/>
    </w:rPr>
  </w:style>
  <w:style w:type="character" w:customStyle="1" w:styleId="CommentTextChar">
    <w:name w:val="Comment Text Char"/>
    <w:basedOn w:val="DefaultParagraphFont"/>
    <w:link w:val="CommentText"/>
    <w:uiPriority w:val="99"/>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652">
      <w:bodyDiv w:val="1"/>
      <w:marLeft w:val="0"/>
      <w:marRight w:val="0"/>
      <w:marTop w:val="0"/>
      <w:marBottom w:val="0"/>
      <w:divBdr>
        <w:top w:val="none" w:sz="0" w:space="0" w:color="auto"/>
        <w:left w:val="none" w:sz="0" w:space="0" w:color="auto"/>
        <w:bottom w:val="none" w:sz="0" w:space="0" w:color="auto"/>
        <w:right w:val="none" w:sz="0" w:space="0" w:color="auto"/>
      </w:divBdr>
    </w:div>
    <w:div w:id="123163932">
      <w:bodyDiv w:val="1"/>
      <w:marLeft w:val="0"/>
      <w:marRight w:val="0"/>
      <w:marTop w:val="0"/>
      <w:marBottom w:val="0"/>
      <w:divBdr>
        <w:top w:val="none" w:sz="0" w:space="0" w:color="auto"/>
        <w:left w:val="none" w:sz="0" w:space="0" w:color="auto"/>
        <w:bottom w:val="none" w:sz="0" w:space="0" w:color="auto"/>
        <w:right w:val="none" w:sz="0" w:space="0" w:color="auto"/>
      </w:divBdr>
    </w:div>
    <w:div w:id="142700500">
      <w:bodyDiv w:val="1"/>
      <w:marLeft w:val="0"/>
      <w:marRight w:val="0"/>
      <w:marTop w:val="0"/>
      <w:marBottom w:val="0"/>
      <w:divBdr>
        <w:top w:val="none" w:sz="0" w:space="0" w:color="auto"/>
        <w:left w:val="none" w:sz="0" w:space="0" w:color="auto"/>
        <w:bottom w:val="none" w:sz="0" w:space="0" w:color="auto"/>
        <w:right w:val="none" w:sz="0" w:space="0" w:color="auto"/>
      </w:divBdr>
    </w:div>
    <w:div w:id="266932443">
      <w:bodyDiv w:val="1"/>
      <w:marLeft w:val="0"/>
      <w:marRight w:val="0"/>
      <w:marTop w:val="0"/>
      <w:marBottom w:val="0"/>
      <w:divBdr>
        <w:top w:val="none" w:sz="0" w:space="0" w:color="auto"/>
        <w:left w:val="none" w:sz="0" w:space="0" w:color="auto"/>
        <w:bottom w:val="none" w:sz="0" w:space="0" w:color="auto"/>
        <w:right w:val="none" w:sz="0" w:space="0" w:color="auto"/>
      </w:divBdr>
    </w:div>
    <w:div w:id="414086153">
      <w:bodyDiv w:val="1"/>
      <w:marLeft w:val="0"/>
      <w:marRight w:val="0"/>
      <w:marTop w:val="0"/>
      <w:marBottom w:val="0"/>
      <w:divBdr>
        <w:top w:val="none" w:sz="0" w:space="0" w:color="auto"/>
        <w:left w:val="none" w:sz="0" w:space="0" w:color="auto"/>
        <w:bottom w:val="none" w:sz="0" w:space="0" w:color="auto"/>
        <w:right w:val="none" w:sz="0" w:space="0" w:color="auto"/>
      </w:divBdr>
    </w:div>
    <w:div w:id="766081780">
      <w:bodyDiv w:val="1"/>
      <w:marLeft w:val="0"/>
      <w:marRight w:val="0"/>
      <w:marTop w:val="0"/>
      <w:marBottom w:val="0"/>
      <w:divBdr>
        <w:top w:val="none" w:sz="0" w:space="0" w:color="auto"/>
        <w:left w:val="none" w:sz="0" w:space="0" w:color="auto"/>
        <w:bottom w:val="none" w:sz="0" w:space="0" w:color="auto"/>
        <w:right w:val="none" w:sz="0" w:space="0" w:color="auto"/>
      </w:divBdr>
    </w:div>
    <w:div w:id="887759257">
      <w:bodyDiv w:val="1"/>
      <w:marLeft w:val="0"/>
      <w:marRight w:val="0"/>
      <w:marTop w:val="0"/>
      <w:marBottom w:val="0"/>
      <w:divBdr>
        <w:top w:val="none" w:sz="0" w:space="0" w:color="auto"/>
        <w:left w:val="none" w:sz="0" w:space="0" w:color="auto"/>
        <w:bottom w:val="none" w:sz="0" w:space="0" w:color="auto"/>
        <w:right w:val="none" w:sz="0" w:space="0" w:color="auto"/>
      </w:divBdr>
    </w:div>
    <w:div w:id="906500793">
      <w:bodyDiv w:val="1"/>
      <w:marLeft w:val="0"/>
      <w:marRight w:val="0"/>
      <w:marTop w:val="0"/>
      <w:marBottom w:val="0"/>
      <w:divBdr>
        <w:top w:val="none" w:sz="0" w:space="0" w:color="auto"/>
        <w:left w:val="none" w:sz="0" w:space="0" w:color="auto"/>
        <w:bottom w:val="none" w:sz="0" w:space="0" w:color="auto"/>
        <w:right w:val="none" w:sz="0" w:space="0" w:color="auto"/>
      </w:divBdr>
    </w:div>
    <w:div w:id="1068186551">
      <w:bodyDiv w:val="1"/>
      <w:marLeft w:val="0"/>
      <w:marRight w:val="0"/>
      <w:marTop w:val="0"/>
      <w:marBottom w:val="0"/>
      <w:divBdr>
        <w:top w:val="none" w:sz="0" w:space="0" w:color="auto"/>
        <w:left w:val="none" w:sz="0" w:space="0" w:color="auto"/>
        <w:bottom w:val="none" w:sz="0" w:space="0" w:color="auto"/>
        <w:right w:val="none" w:sz="0" w:space="0" w:color="auto"/>
      </w:divBdr>
    </w:div>
    <w:div w:id="1118599584">
      <w:bodyDiv w:val="1"/>
      <w:marLeft w:val="0"/>
      <w:marRight w:val="0"/>
      <w:marTop w:val="0"/>
      <w:marBottom w:val="0"/>
      <w:divBdr>
        <w:top w:val="none" w:sz="0" w:space="0" w:color="auto"/>
        <w:left w:val="none" w:sz="0" w:space="0" w:color="auto"/>
        <w:bottom w:val="none" w:sz="0" w:space="0" w:color="auto"/>
        <w:right w:val="none" w:sz="0" w:space="0" w:color="auto"/>
      </w:divBdr>
    </w:div>
    <w:div w:id="1121923172">
      <w:bodyDiv w:val="1"/>
      <w:marLeft w:val="0"/>
      <w:marRight w:val="0"/>
      <w:marTop w:val="0"/>
      <w:marBottom w:val="0"/>
      <w:divBdr>
        <w:top w:val="none" w:sz="0" w:space="0" w:color="auto"/>
        <w:left w:val="none" w:sz="0" w:space="0" w:color="auto"/>
        <w:bottom w:val="none" w:sz="0" w:space="0" w:color="auto"/>
        <w:right w:val="none" w:sz="0" w:space="0" w:color="auto"/>
      </w:divBdr>
    </w:div>
    <w:div w:id="1145658567">
      <w:bodyDiv w:val="1"/>
      <w:marLeft w:val="0"/>
      <w:marRight w:val="0"/>
      <w:marTop w:val="0"/>
      <w:marBottom w:val="0"/>
      <w:divBdr>
        <w:top w:val="none" w:sz="0" w:space="0" w:color="auto"/>
        <w:left w:val="none" w:sz="0" w:space="0" w:color="auto"/>
        <w:bottom w:val="none" w:sz="0" w:space="0" w:color="auto"/>
        <w:right w:val="none" w:sz="0" w:space="0" w:color="auto"/>
      </w:divBdr>
    </w:div>
    <w:div w:id="1159610323">
      <w:bodyDiv w:val="1"/>
      <w:marLeft w:val="0"/>
      <w:marRight w:val="0"/>
      <w:marTop w:val="0"/>
      <w:marBottom w:val="0"/>
      <w:divBdr>
        <w:top w:val="none" w:sz="0" w:space="0" w:color="auto"/>
        <w:left w:val="none" w:sz="0" w:space="0" w:color="auto"/>
        <w:bottom w:val="none" w:sz="0" w:space="0" w:color="auto"/>
        <w:right w:val="none" w:sz="0" w:space="0" w:color="auto"/>
      </w:divBdr>
    </w:div>
    <w:div w:id="1237982795">
      <w:bodyDiv w:val="1"/>
      <w:marLeft w:val="0"/>
      <w:marRight w:val="0"/>
      <w:marTop w:val="0"/>
      <w:marBottom w:val="0"/>
      <w:divBdr>
        <w:top w:val="none" w:sz="0" w:space="0" w:color="auto"/>
        <w:left w:val="none" w:sz="0" w:space="0" w:color="auto"/>
        <w:bottom w:val="none" w:sz="0" w:space="0" w:color="auto"/>
        <w:right w:val="none" w:sz="0" w:space="0" w:color="auto"/>
      </w:divBdr>
    </w:div>
    <w:div w:id="1257667050">
      <w:bodyDiv w:val="1"/>
      <w:marLeft w:val="0"/>
      <w:marRight w:val="0"/>
      <w:marTop w:val="0"/>
      <w:marBottom w:val="0"/>
      <w:divBdr>
        <w:top w:val="none" w:sz="0" w:space="0" w:color="auto"/>
        <w:left w:val="none" w:sz="0" w:space="0" w:color="auto"/>
        <w:bottom w:val="none" w:sz="0" w:space="0" w:color="auto"/>
        <w:right w:val="none" w:sz="0" w:space="0" w:color="auto"/>
      </w:divBdr>
    </w:div>
    <w:div w:id="1292176770">
      <w:bodyDiv w:val="1"/>
      <w:marLeft w:val="0"/>
      <w:marRight w:val="0"/>
      <w:marTop w:val="0"/>
      <w:marBottom w:val="0"/>
      <w:divBdr>
        <w:top w:val="none" w:sz="0" w:space="0" w:color="auto"/>
        <w:left w:val="none" w:sz="0" w:space="0" w:color="auto"/>
        <w:bottom w:val="none" w:sz="0" w:space="0" w:color="auto"/>
        <w:right w:val="none" w:sz="0" w:space="0" w:color="auto"/>
      </w:divBdr>
    </w:div>
    <w:div w:id="1450053501">
      <w:bodyDiv w:val="1"/>
      <w:marLeft w:val="0"/>
      <w:marRight w:val="0"/>
      <w:marTop w:val="0"/>
      <w:marBottom w:val="0"/>
      <w:divBdr>
        <w:top w:val="none" w:sz="0" w:space="0" w:color="auto"/>
        <w:left w:val="none" w:sz="0" w:space="0" w:color="auto"/>
        <w:bottom w:val="none" w:sz="0" w:space="0" w:color="auto"/>
        <w:right w:val="none" w:sz="0" w:space="0" w:color="auto"/>
      </w:divBdr>
    </w:div>
    <w:div w:id="1476095629">
      <w:bodyDiv w:val="1"/>
      <w:marLeft w:val="0"/>
      <w:marRight w:val="0"/>
      <w:marTop w:val="0"/>
      <w:marBottom w:val="0"/>
      <w:divBdr>
        <w:top w:val="none" w:sz="0" w:space="0" w:color="auto"/>
        <w:left w:val="none" w:sz="0" w:space="0" w:color="auto"/>
        <w:bottom w:val="none" w:sz="0" w:space="0" w:color="auto"/>
        <w:right w:val="none" w:sz="0" w:space="0" w:color="auto"/>
      </w:divBdr>
    </w:div>
    <w:div w:id="1482887277">
      <w:bodyDiv w:val="1"/>
      <w:marLeft w:val="0"/>
      <w:marRight w:val="0"/>
      <w:marTop w:val="0"/>
      <w:marBottom w:val="0"/>
      <w:divBdr>
        <w:top w:val="none" w:sz="0" w:space="0" w:color="auto"/>
        <w:left w:val="none" w:sz="0" w:space="0" w:color="auto"/>
        <w:bottom w:val="none" w:sz="0" w:space="0" w:color="auto"/>
        <w:right w:val="none" w:sz="0" w:space="0" w:color="auto"/>
      </w:divBdr>
    </w:div>
    <w:div w:id="1540700392">
      <w:bodyDiv w:val="1"/>
      <w:marLeft w:val="0"/>
      <w:marRight w:val="0"/>
      <w:marTop w:val="0"/>
      <w:marBottom w:val="0"/>
      <w:divBdr>
        <w:top w:val="none" w:sz="0" w:space="0" w:color="auto"/>
        <w:left w:val="none" w:sz="0" w:space="0" w:color="auto"/>
        <w:bottom w:val="none" w:sz="0" w:space="0" w:color="auto"/>
        <w:right w:val="none" w:sz="0" w:space="0" w:color="auto"/>
      </w:divBdr>
    </w:div>
    <w:div w:id="1659530878">
      <w:bodyDiv w:val="1"/>
      <w:marLeft w:val="0"/>
      <w:marRight w:val="0"/>
      <w:marTop w:val="0"/>
      <w:marBottom w:val="0"/>
      <w:divBdr>
        <w:top w:val="none" w:sz="0" w:space="0" w:color="auto"/>
        <w:left w:val="none" w:sz="0" w:space="0" w:color="auto"/>
        <w:bottom w:val="none" w:sz="0" w:space="0" w:color="auto"/>
        <w:right w:val="none" w:sz="0" w:space="0" w:color="auto"/>
      </w:divBdr>
    </w:div>
    <w:div w:id="18895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BD4E-4DA4-49BF-BA72-860CCBC7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Frederick Andersen</dc:creator>
  <cp:lastModifiedBy>Slutsker, Benjamin M (COMM)</cp:lastModifiedBy>
  <cp:revision>2</cp:revision>
  <dcterms:created xsi:type="dcterms:W3CDTF">2022-06-03T13:51:00Z</dcterms:created>
  <dcterms:modified xsi:type="dcterms:W3CDTF">2022-06-03T13:51:00Z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