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90FFC" w14:textId="1800C79E" w:rsidR="00982F6F" w:rsidRPr="00F377F7" w:rsidRDefault="00982F6F" w:rsidP="00AF0139">
      <w:pPr>
        <w:spacing w:after="120" w:line="259" w:lineRule="auto"/>
        <w:jc w:val="both"/>
        <w:rPr>
          <w:rFonts w:asciiTheme="minorHAnsi" w:hAnsiTheme="minorHAnsi" w:cstheme="minorHAnsi"/>
        </w:rPr>
      </w:pPr>
      <w:r w:rsidRPr="00F377F7">
        <w:rPr>
          <w:rFonts w:asciiTheme="minorHAnsi" w:hAnsiTheme="minorHAnsi" w:cstheme="minorHAnsi"/>
        </w:rPr>
        <w:t>Below is a summary of tentative agreements and requests for comments in relation to the slides presented at the 11/15/2024 Life Actuarial Task Force meeting. Please provide any comments by 1/1</w:t>
      </w:r>
      <w:r w:rsidR="00866E0E">
        <w:rPr>
          <w:rFonts w:asciiTheme="minorHAnsi" w:hAnsiTheme="minorHAnsi" w:cstheme="minorHAnsi"/>
        </w:rPr>
        <w:t>5</w:t>
      </w:r>
      <w:r w:rsidRPr="00F377F7">
        <w:rPr>
          <w:rFonts w:asciiTheme="minorHAnsi" w:hAnsiTheme="minorHAnsi" w:cstheme="minorHAnsi"/>
        </w:rPr>
        <w:t>/202</w:t>
      </w:r>
      <w:r w:rsidR="00866E0E">
        <w:rPr>
          <w:rFonts w:asciiTheme="minorHAnsi" w:hAnsiTheme="minorHAnsi" w:cstheme="minorHAnsi"/>
        </w:rPr>
        <w:t>5</w:t>
      </w:r>
      <w:r w:rsidRPr="00F377F7">
        <w:rPr>
          <w:rFonts w:asciiTheme="minorHAnsi" w:hAnsiTheme="minorHAnsi" w:cstheme="minorHAnsi"/>
        </w:rPr>
        <w:t>.</w:t>
      </w:r>
    </w:p>
    <w:p w14:paraId="094FC7BD" w14:textId="77777777" w:rsidR="00982F6F" w:rsidRPr="00F377F7" w:rsidRDefault="00982F6F" w:rsidP="00AF0139">
      <w:pPr>
        <w:spacing w:after="120" w:line="259" w:lineRule="auto"/>
        <w:jc w:val="both"/>
        <w:rPr>
          <w:rFonts w:asciiTheme="minorHAnsi" w:hAnsiTheme="minorHAnsi" w:cstheme="minorHAnsi"/>
        </w:rPr>
      </w:pPr>
    </w:p>
    <w:p w14:paraId="23FB09D0" w14:textId="77777777" w:rsidR="00982F6F" w:rsidRPr="00F377F7" w:rsidRDefault="00982F6F" w:rsidP="00AF0139">
      <w:pPr>
        <w:pStyle w:val="ListParagraph"/>
        <w:numPr>
          <w:ilvl w:val="0"/>
          <w:numId w:val="3"/>
        </w:numPr>
        <w:spacing w:after="120" w:line="259" w:lineRule="auto"/>
        <w:jc w:val="both"/>
        <w:rPr>
          <w:rFonts w:asciiTheme="minorHAnsi" w:hAnsiTheme="minorHAnsi" w:cstheme="minorHAnsi"/>
          <w:b/>
          <w:bCs/>
        </w:rPr>
      </w:pPr>
      <w:r w:rsidRPr="00F377F7">
        <w:rPr>
          <w:rFonts w:asciiTheme="minorHAnsi" w:hAnsiTheme="minorHAnsi" w:cstheme="minorHAnsi"/>
          <w:b/>
          <w:bCs/>
        </w:rPr>
        <w:t>Provide considerations for draft Guideline wording regarding differentiating between affiliated and non-affiliated treaties for purposes of the Guideline.</w:t>
      </w:r>
    </w:p>
    <w:p w14:paraId="0A16DF6B" w14:textId="77777777" w:rsidR="00982F6F" w:rsidRPr="00F377F7" w:rsidRDefault="00982F6F" w:rsidP="00AF0139">
      <w:pPr>
        <w:pStyle w:val="ListParagraph"/>
        <w:numPr>
          <w:ilvl w:val="1"/>
          <w:numId w:val="3"/>
        </w:numPr>
        <w:spacing w:after="120" w:line="259" w:lineRule="auto"/>
        <w:jc w:val="both"/>
        <w:rPr>
          <w:rFonts w:asciiTheme="minorHAnsi" w:hAnsiTheme="minorHAnsi" w:cstheme="minorHAnsi"/>
        </w:rPr>
      </w:pPr>
      <w:r w:rsidRPr="00F377F7">
        <w:rPr>
          <w:rFonts w:asciiTheme="minorHAnsi" w:hAnsiTheme="minorHAnsi" w:cstheme="minorHAnsi"/>
        </w:rPr>
        <w:t>Note that there may be treaties technically designated elsewhere as “non-affiliated” but may contain affiliated aspects, including access to data on asset information. These types of treaties may be considered affiliated for purposes of the Guideline.</w:t>
      </w:r>
    </w:p>
    <w:p w14:paraId="313FC136" w14:textId="77777777" w:rsidR="00982F6F" w:rsidRPr="00F377F7" w:rsidRDefault="00982F6F" w:rsidP="00AF0139">
      <w:pPr>
        <w:pStyle w:val="ListParagraph"/>
        <w:numPr>
          <w:ilvl w:val="1"/>
          <w:numId w:val="3"/>
        </w:numPr>
        <w:spacing w:after="120" w:line="259" w:lineRule="auto"/>
        <w:jc w:val="both"/>
        <w:rPr>
          <w:rFonts w:asciiTheme="minorHAnsi" w:hAnsiTheme="minorHAnsi" w:cstheme="minorHAnsi"/>
        </w:rPr>
      </w:pPr>
      <w:r w:rsidRPr="00F377F7">
        <w:rPr>
          <w:rFonts w:asciiTheme="minorHAnsi" w:hAnsiTheme="minorHAnsi" w:cstheme="minorHAnsi"/>
        </w:rPr>
        <w:t>Note that discussions on handling of non-affiliated treaties with respect to this Guideline will occur mainly after issues related to affiliated treaties have been resolved, perhaps around mid-first quarter 2025.</w:t>
      </w:r>
    </w:p>
    <w:p w14:paraId="3DD564EA" w14:textId="77777777" w:rsidR="00982F6F" w:rsidRPr="00F377F7" w:rsidRDefault="00982F6F" w:rsidP="00AF0139">
      <w:pPr>
        <w:pStyle w:val="ListParagraph"/>
        <w:spacing w:after="120" w:line="259" w:lineRule="auto"/>
        <w:ind w:left="360"/>
        <w:jc w:val="both"/>
        <w:rPr>
          <w:rFonts w:asciiTheme="minorHAnsi" w:hAnsiTheme="minorHAnsi" w:cstheme="minorHAnsi"/>
        </w:rPr>
      </w:pPr>
    </w:p>
    <w:p w14:paraId="1F074427" w14:textId="028F6564" w:rsidR="00982F6F" w:rsidRPr="00F377F7" w:rsidRDefault="00982F6F" w:rsidP="00AF0139">
      <w:pPr>
        <w:pStyle w:val="ListParagraph"/>
        <w:numPr>
          <w:ilvl w:val="0"/>
          <w:numId w:val="3"/>
        </w:numPr>
        <w:spacing w:after="120" w:line="259" w:lineRule="auto"/>
        <w:jc w:val="both"/>
        <w:rPr>
          <w:rFonts w:asciiTheme="minorHAnsi" w:hAnsiTheme="minorHAnsi" w:cstheme="minorHAnsi"/>
        </w:rPr>
      </w:pPr>
      <w:r w:rsidRPr="00F377F7">
        <w:rPr>
          <w:rFonts w:asciiTheme="minorHAnsi" w:hAnsiTheme="minorHAnsi" w:cstheme="minorHAnsi"/>
        </w:rPr>
        <w:t>The anticipated adoption of the Guideline for 2025 will focus on disclosure, including the expectation of cash-flow testing to be provided in cases to be determined and as tentatively established by the size-based rules contained in the draft Guideline.</w:t>
      </w:r>
      <w:r w:rsidR="009914B3" w:rsidRPr="00F377F7">
        <w:rPr>
          <w:rFonts w:asciiTheme="minorHAnsi" w:hAnsiTheme="minorHAnsi" w:cstheme="minorHAnsi"/>
        </w:rPr>
        <w:t xml:space="preserve"> The Guideline will not contain expectations on additional reserves being held as a result of the analysis. However, </w:t>
      </w:r>
      <w:r w:rsidRPr="00F377F7">
        <w:rPr>
          <w:rFonts w:asciiTheme="minorHAnsi" w:eastAsia="Times New Roman" w:hAnsiTheme="minorHAnsi" w:cstheme="minorHAnsi"/>
        </w:rPr>
        <w:t xml:space="preserve">individual states will continue to have the authority to </w:t>
      </w:r>
      <w:proofErr w:type="gramStart"/>
      <w:r w:rsidRPr="00F377F7">
        <w:rPr>
          <w:rFonts w:asciiTheme="minorHAnsi" w:eastAsia="Times New Roman" w:hAnsiTheme="minorHAnsi" w:cstheme="minorHAnsi"/>
        </w:rPr>
        <w:t>take action</w:t>
      </w:r>
      <w:proofErr w:type="gramEnd"/>
      <w:r w:rsidRPr="00F377F7">
        <w:rPr>
          <w:rFonts w:asciiTheme="minorHAnsi" w:eastAsia="Times New Roman" w:hAnsiTheme="minorHAnsi" w:cstheme="minorHAnsi"/>
        </w:rPr>
        <w:t xml:space="preserve"> on known issues, or issues that may become known as part of that new reporting.</w:t>
      </w:r>
    </w:p>
    <w:p w14:paraId="40257FA0" w14:textId="799E0619" w:rsidR="00F377F7" w:rsidRPr="00F377F7" w:rsidRDefault="00F377F7" w:rsidP="00AF0139">
      <w:pPr>
        <w:pStyle w:val="ListParagraph"/>
        <w:numPr>
          <w:ilvl w:val="1"/>
          <w:numId w:val="3"/>
        </w:numPr>
        <w:spacing w:after="120" w:line="259" w:lineRule="auto"/>
        <w:jc w:val="both"/>
        <w:rPr>
          <w:rFonts w:asciiTheme="minorHAnsi" w:hAnsiTheme="minorHAnsi" w:cstheme="minorHAnsi"/>
        </w:rPr>
      </w:pPr>
      <w:r w:rsidRPr="00F377F7">
        <w:rPr>
          <w:rFonts w:asciiTheme="minorHAnsi" w:hAnsiTheme="minorHAnsi" w:cstheme="minorHAnsi"/>
          <w:b/>
          <w:bCs/>
        </w:rPr>
        <w:t>Provide considerations for draft Guideline wording to reflect this disclosure-based approach.</w:t>
      </w:r>
    </w:p>
    <w:p w14:paraId="54707119" w14:textId="5D7860B1" w:rsidR="009914B3" w:rsidRPr="00F377F7" w:rsidRDefault="00F377F7" w:rsidP="00AF0139">
      <w:pPr>
        <w:pStyle w:val="ListParagraph"/>
        <w:numPr>
          <w:ilvl w:val="1"/>
          <w:numId w:val="3"/>
        </w:numPr>
        <w:spacing w:after="120" w:line="259" w:lineRule="auto"/>
        <w:jc w:val="both"/>
        <w:rPr>
          <w:rFonts w:asciiTheme="minorHAnsi" w:hAnsiTheme="minorHAnsi" w:cstheme="minorHAnsi"/>
        </w:rPr>
      </w:pPr>
      <w:r w:rsidRPr="00F377F7">
        <w:rPr>
          <w:rFonts w:asciiTheme="minorHAnsi" w:eastAsia="Times New Roman" w:hAnsiTheme="minorHAnsi" w:cstheme="minorHAnsi"/>
        </w:rPr>
        <w:t>Note that i</w:t>
      </w:r>
      <w:r w:rsidR="009914B3" w:rsidRPr="00F377F7">
        <w:rPr>
          <w:rFonts w:asciiTheme="minorHAnsi" w:eastAsia="Times New Roman" w:hAnsiTheme="minorHAnsi" w:cstheme="minorHAnsi"/>
        </w:rPr>
        <w:t xml:space="preserve">t is possible that after regulators’ review of filings, that consideration of revisions to the Guideline may take place at LATF to </w:t>
      </w:r>
      <w:r w:rsidRPr="00F377F7">
        <w:rPr>
          <w:rFonts w:asciiTheme="minorHAnsi" w:eastAsia="Times New Roman" w:hAnsiTheme="minorHAnsi" w:cstheme="minorHAnsi"/>
        </w:rPr>
        <w:t xml:space="preserve">set an expectation of additional reserves being posted by the ceding company in certain cases. </w:t>
      </w:r>
    </w:p>
    <w:p w14:paraId="3CAD67E3" w14:textId="3E5CD947" w:rsidR="009914B3" w:rsidRPr="00F377F7" w:rsidRDefault="009914B3" w:rsidP="00AF0139">
      <w:pPr>
        <w:pStyle w:val="ListParagraph"/>
        <w:spacing w:after="120" w:line="259" w:lineRule="auto"/>
        <w:ind w:left="1080"/>
        <w:jc w:val="both"/>
        <w:rPr>
          <w:rFonts w:asciiTheme="minorHAnsi" w:hAnsiTheme="minorHAnsi" w:cstheme="minorHAnsi"/>
        </w:rPr>
      </w:pPr>
    </w:p>
    <w:p w14:paraId="74CE50B9" w14:textId="0B835DC5" w:rsidR="00982F6F" w:rsidRDefault="001D5974" w:rsidP="00AF0139">
      <w:pPr>
        <w:pStyle w:val="ListParagraph"/>
        <w:numPr>
          <w:ilvl w:val="0"/>
          <w:numId w:val="1"/>
        </w:numPr>
        <w:spacing w:after="120" w:line="259" w:lineRule="auto"/>
        <w:jc w:val="both"/>
        <w:rPr>
          <w:rFonts w:asciiTheme="minorHAnsi" w:eastAsia="Times New Roman" w:hAnsiTheme="minorHAnsi" w:cstheme="minorHAnsi"/>
        </w:rPr>
      </w:pPr>
      <w:r>
        <w:rPr>
          <w:rFonts w:asciiTheme="minorHAnsi" w:eastAsia="Times New Roman" w:hAnsiTheme="minorHAnsi" w:cstheme="minorHAnsi"/>
        </w:rPr>
        <w:t>A</w:t>
      </w:r>
      <w:r w:rsidR="00982F6F" w:rsidRPr="00F377F7">
        <w:rPr>
          <w:rFonts w:asciiTheme="minorHAnsi" w:eastAsia="Times New Roman" w:hAnsiTheme="minorHAnsi" w:cstheme="minorHAnsi"/>
        </w:rPr>
        <w:t>ggregati</w:t>
      </w:r>
      <w:r>
        <w:rPr>
          <w:rFonts w:asciiTheme="minorHAnsi" w:eastAsia="Times New Roman" w:hAnsiTheme="minorHAnsi" w:cstheme="minorHAnsi"/>
        </w:rPr>
        <w:t xml:space="preserve">on would generally be allowed </w:t>
      </w:r>
      <w:r w:rsidR="00982F6F" w:rsidRPr="00F377F7">
        <w:rPr>
          <w:rFonts w:asciiTheme="minorHAnsi" w:eastAsia="Times New Roman" w:hAnsiTheme="minorHAnsi" w:cstheme="minorHAnsi"/>
        </w:rPr>
        <w:t xml:space="preserve">within a counterparty (i.e., not at a treaty level), with consideration that where </w:t>
      </w:r>
      <w:r>
        <w:rPr>
          <w:rFonts w:asciiTheme="minorHAnsi" w:eastAsia="Times New Roman" w:hAnsiTheme="minorHAnsi" w:cstheme="minorHAnsi"/>
        </w:rPr>
        <w:t xml:space="preserve">the company or </w:t>
      </w:r>
      <w:r w:rsidR="00982F6F" w:rsidRPr="00F377F7">
        <w:rPr>
          <w:rFonts w:asciiTheme="minorHAnsi" w:eastAsia="Times New Roman" w:hAnsiTheme="minorHAnsi" w:cstheme="minorHAnsi"/>
        </w:rPr>
        <w:t xml:space="preserve">regulators have documented concern that aggregation benefits may not ultimately be realized across different lines of business or product types under moderately adverse conditions (e.g., where there are different PBR frameworks or reserving categories), separate </w:t>
      </w:r>
      <w:r w:rsidR="00F377F7">
        <w:rPr>
          <w:rFonts w:asciiTheme="minorHAnsi" w:eastAsia="Times New Roman" w:hAnsiTheme="minorHAnsi" w:cstheme="minorHAnsi"/>
        </w:rPr>
        <w:t>cash-flow testing</w:t>
      </w:r>
      <w:r w:rsidR="00982F6F" w:rsidRPr="00F377F7">
        <w:rPr>
          <w:rFonts w:asciiTheme="minorHAnsi" w:eastAsia="Times New Roman" w:hAnsiTheme="minorHAnsi" w:cstheme="minorHAnsi"/>
        </w:rPr>
        <w:t xml:space="preserve"> results by line </w:t>
      </w:r>
      <w:r w:rsidR="00F377F7">
        <w:rPr>
          <w:rFonts w:asciiTheme="minorHAnsi" w:eastAsia="Times New Roman" w:hAnsiTheme="minorHAnsi" w:cstheme="minorHAnsi"/>
        </w:rPr>
        <w:t xml:space="preserve">of business </w:t>
      </w:r>
      <w:r w:rsidR="00982F6F" w:rsidRPr="00F377F7">
        <w:rPr>
          <w:rFonts w:asciiTheme="minorHAnsi" w:eastAsia="Times New Roman" w:hAnsiTheme="minorHAnsi" w:cstheme="minorHAnsi"/>
        </w:rPr>
        <w:t>or product should be</w:t>
      </w:r>
      <w:r w:rsidR="00F377F7">
        <w:rPr>
          <w:rFonts w:asciiTheme="minorHAnsi" w:eastAsia="Times New Roman" w:hAnsiTheme="minorHAnsi" w:cstheme="minorHAnsi"/>
        </w:rPr>
        <w:t xml:space="preserve"> </w:t>
      </w:r>
      <w:r>
        <w:rPr>
          <w:rFonts w:asciiTheme="minorHAnsi" w:eastAsia="Times New Roman" w:hAnsiTheme="minorHAnsi" w:cstheme="minorHAnsi"/>
        </w:rPr>
        <w:t>produced</w:t>
      </w:r>
      <w:r w:rsidR="00982F6F" w:rsidRPr="00F377F7">
        <w:rPr>
          <w:rFonts w:asciiTheme="minorHAnsi" w:eastAsia="Times New Roman" w:hAnsiTheme="minorHAnsi" w:cstheme="minorHAnsi"/>
        </w:rPr>
        <w:t xml:space="preserve">.  The </w:t>
      </w:r>
      <w:r w:rsidR="00F377F7">
        <w:rPr>
          <w:rFonts w:asciiTheme="minorHAnsi" w:eastAsia="Times New Roman" w:hAnsiTheme="minorHAnsi" w:cstheme="minorHAnsi"/>
        </w:rPr>
        <w:t>Appointed A</w:t>
      </w:r>
      <w:r w:rsidR="00982F6F" w:rsidRPr="00F377F7">
        <w:rPr>
          <w:rFonts w:asciiTheme="minorHAnsi" w:eastAsia="Times New Roman" w:hAnsiTheme="minorHAnsi" w:cstheme="minorHAnsi"/>
        </w:rPr>
        <w:t>ctuary should also provide support for their view on aggregation.</w:t>
      </w:r>
    </w:p>
    <w:p w14:paraId="44C1A499" w14:textId="4E089E3D" w:rsidR="00F377F7" w:rsidRPr="00F377F7" w:rsidRDefault="00F377F7" w:rsidP="00AF0139">
      <w:pPr>
        <w:pStyle w:val="ListParagraph"/>
        <w:numPr>
          <w:ilvl w:val="1"/>
          <w:numId w:val="1"/>
        </w:numPr>
        <w:spacing w:after="120" w:line="259" w:lineRule="auto"/>
        <w:jc w:val="both"/>
        <w:rPr>
          <w:rFonts w:asciiTheme="minorHAnsi" w:hAnsiTheme="minorHAnsi" w:cstheme="minorHAnsi"/>
        </w:rPr>
      </w:pPr>
      <w:r w:rsidRPr="00F377F7">
        <w:rPr>
          <w:rFonts w:asciiTheme="minorHAnsi" w:hAnsiTheme="minorHAnsi" w:cstheme="minorHAnsi"/>
          <w:b/>
          <w:bCs/>
        </w:rPr>
        <w:t xml:space="preserve">Provide considerations for draft Guideline wording to reflect this </w:t>
      </w:r>
      <w:r>
        <w:rPr>
          <w:rFonts w:asciiTheme="minorHAnsi" w:hAnsiTheme="minorHAnsi" w:cstheme="minorHAnsi"/>
          <w:b/>
          <w:bCs/>
        </w:rPr>
        <w:t>aggregation concept</w:t>
      </w:r>
      <w:r w:rsidRPr="00F377F7">
        <w:rPr>
          <w:rFonts w:asciiTheme="minorHAnsi" w:hAnsiTheme="minorHAnsi" w:cstheme="minorHAnsi"/>
          <w:b/>
          <w:bCs/>
        </w:rPr>
        <w:t>.</w:t>
      </w:r>
    </w:p>
    <w:p w14:paraId="06FEE25E" w14:textId="4C34EC0C" w:rsidR="00F377F7" w:rsidRPr="00F377F7" w:rsidRDefault="00F377F7" w:rsidP="00AF0139">
      <w:pPr>
        <w:pStyle w:val="ListParagraph"/>
        <w:spacing w:after="120" w:line="259" w:lineRule="auto"/>
        <w:ind w:left="360"/>
        <w:jc w:val="both"/>
        <w:rPr>
          <w:rFonts w:asciiTheme="minorHAnsi" w:eastAsia="Times New Roman" w:hAnsiTheme="minorHAnsi" w:cstheme="minorHAnsi"/>
        </w:rPr>
      </w:pPr>
    </w:p>
    <w:p w14:paraId="36A3A45D" w14:textId="2AE1AE51" w:rsidR="00982F6F" w:rsidRPr="00AF0139" w:rsidRDefault="00F377F7" w:rsidP="00AF0139">
      <w:pPr>
        <w:pStyle w:val="ListParagraph"/>
        <w:numPr>
          <w:ilvl w:val="0"/>
          <w:numId w:val="1"/>
        </w:numPr>
        <w:spacing w:after="120" w:line="259" w:lineRule="auto"/>
        <w:jc w:val="both"/>
        <w:rPr>
          <w:rFonts w:asciiTheme="minorHAnsi" w:eastAsia="Times New Roman" w:hAnsiTheme="minorHAnsi" w:cstheme="minorHAnsi"/>
          <w:b/>
          <w:bCs/>
        </w:rPr>
      </w:pPr>
      <w:r w:rsidRPr="00F377F7">
        <w:rPr>
          <w:rFonts w:asciiTheme="minorHAnsi" w:eastAsia="Times New Roman" w:hAnsiTheme="minorHAnsi" w:cstheme="minorHAnsi"/>
          <w:b/>
          <w:bCs/>
        </w:rPr>
        <w:t>Provide comments on the example at the end of the slides, particularly regarding the amount of starting assets that would be part of the cash flow testing to test the post-reinsurance reserve for adequacy.</w:t>
      </w:r>
    </w:p>
    <w:sectPr w:rsidR="00982F6F" w:rsidRPr="00AF0139" w:rsidSect="00AF0139">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1472C7"/>
    <w:multiLevelType w:val="hybridMultilevel"/>
    <w:tmpl w:val="33D6E2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E781C73"/>
    <w:multiLevelType w:val="hybridMultilevel"/>
    <w:tmpl w:val="578AD4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118063068">
    <w:abstractNumId w:val="1"/>
  </w:num>
  <w:num w:numId="2" w16cid:durableId="1420639641">
    <w:abstractNumId w:val="1"/>
  </w:num>
  <w:num w:numId="3" w16cid:durableId="84499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F6F"/>
    <w:rsid w:val="001951F6"/>
    <w:rsid w:val="001D5974"/>
    <w:rsid w:val="002951E8"/>
    <w:rsid w:val="003B4486"/>
    <w:rsid w:val="00866E0E"/>
    <w:rsid w:val="00982F6F"/>
    <w:rsid w:val="009914B3"/>
    <w:rsid w:val="00AF0139"/>
    <w:rsid w:val="00F377F7"/>
    <w:rsid w:val="00F67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D5DB1"/>
  <w15:chartTrackingRefBased/>
  <w15:docId w15:val="{294E64B9-5D2F-404E-B4D6-82FC68E6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F6F"/>
    <w:pPr>
      <w:spacing w:after="0" w:line="240" w:lineRule="auto"/>
    </w:pPr>
    <w:rPr>
      <w:rFonts w:ascii="Aptos" w:hAnsi="Aptos" w:cs="Calibri"/>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F6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8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6674D47D81254AAE898D727025BAAD" ma:contentTypeVersion="22" ma:contentTypeDescription="Create a new document." ma:contentTypeScope="" ma:versionID="c00f43f87363001efbc40a87275c0a37">
  <xsd:schema xmlns:xsd="http://www.w3.org/2001/XMLSchema" xmlns:xs="http://www.w3.org/2001/XMLSchema" xmlns:p="http://schemas.microsoft.com/office/2006/metadata/properties" xmlns:ns1="http://schemas.microsoft.com/sharepoint/v3" xmlns:ns2="734dc620-9a3c-4363-b6b2-552d0a5c0ad8" xmlns:ns3="http://schemas.microsoft.com/sharepoint/v3/fields" xmlns:ns4="55eb7663-75cc-4f64-9609-52561375e7a6" xmlns:ns5="3c9e15a3-223f-4584-afb1-1dbe0b3878fa" targetNamespace="http://schemas.microsoft.com/office/2006/metadata/properties" ma:root="true" ma:fieldsID="1844de7207940b2ae2015fd741702f95" ns1:_="" ns2:_="" ns3:_="" ns4:_="" ns5:_="">
    <xsd:import namespace="http://schemas.microsoft.com/sharepoint/v3"/>
    <xsd:import namespace="734dc620-9a3c-4363-b6b2-552d0a5c0ad8"/>
    <xsd:import namespace="http://schemas.microsoft.com/sharepoint/v3/fields"/>
    <xsd:import namespace="55eb7663-75cc-4f64-9609-52561375e7a6"/>
    <xsd:import namespace="3c9e15a3-223f-4584-afb1-1dbe0b3878fa"/>
    <xsd:element name="properties">
      <xsd:complexType>
        <xsd:sequence>
          <xsd:element name="documentManagement">
            <xsd:complexType>
              <xsd:all>
                <xsd:element ref="ns2:Meeting_x0020_Type" minOccurs="0"/>
                <xsd:element ref="ns1:StartDate" minOccurs="0"/>
                <xsd:element ref="ns3:_EndDate" minOccurs="0"/>
                <xsd:element ref="ns3:Location"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MediaServiceLocation" minOccurs="0"/>
                <xsd:element ref="ns4:lcf76f155ced4ddcb4097134ff3c332f" minOccurs="0"/>
                <xsd:element ref="ns5:TaxCatchAll" minOccurs="0"/>
                <xsd:element ref="ns4:MediaServiceObjectDetectorVersions" minOccurs="0"/>
                <xsd:element ref="ns4:MediaServiceSearchProperties"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9" nillable="true" ma:displayName="Start Date" ma:default="[today]" ma:format="DateOnly" ma:indexed="true" ma:internalName="StartDate">
      <xsd:simpleType>
        <xsd:restriction base="dms:DateTime"/>
      </xsd:simpleType>
    </xsd:element>
    <xsd:element name="DocumentSetDescription" ma:index="3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dc620-9a3c-4363-b6b2-552d0a5c0ad8" elementFormDefault="qualified">
    <xsd:import namespace="http://schemas.microsoft.com/office/2006/documentManagement/types"/>
    <xsd:import namespace="http://schemas.microsoft.com/office/infopath/2007/PartnerControls"/>
    <xsd:element name="Meeting_x0020_Type" ma:index="8" nillable="true" ma:displayName="Meeting Type" ma:format="Dropdown" ma:internalName="Meeting_x0020_Type" ma:readOnly="false">
      <xsd:simpleType>
        <xsd:union memberTypes="dms:Text">
          <xsd:simpleType>
            <xsd:restriction base="dms:Choice">
              <xsd:enumeration value="Commissioners' Conference"/>
              <xsd:enumeration value="Fall National"/>
              <xsd:enumeration value="Insurance Summit"/>
              <xsd:enumeration value="Leadership Forum"/>
              <xsd:enumeration value="Mid-Year ExCo and RT"/>
              <xsd:enumeration value="Spring National"/>
              <xsd:enumeration value="Summer National"/>
              <xsd:enumeration value="IAO Leadership Brief"/>
            </xsd:restriction>
          </xsd:simpleType>
        </xsd:un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0" nillable="true" ma:displayName="End Date" ma:default="[today]" ma:format="DateOnly" ma:internalName="_EndDate">
      <xsd:simpleType>
        <xsd:restriction base="dms:DateTime"/>
      </xsd:simpleType>
    </xsd:element>
    <xsd:element name="Location" ma:index="11"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eb7663-75cc-4f64-9609-52561375e7a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1fe78a2-4e71-403c-bd98-a83249bb9193}" ma:internalName="TaxCatchAll" ma:showField="CatchAllData" ma:web="734dc620-9a3c-4363-b6b2-552d0a5c0a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9e15a3-223f-4584-afb1-1dbe0b3878fa"/>
    <lcf76f155ced4ddcb4097134ff3c332f xmlns="55eb7663-75cc-4f64-9609-52561375e7a6">
      <Terms xmlns="http://schemas.microsoft.com/office/infopath/2007/PartnerControls"/>
    </lcf76f155ced4ddcb4097134ff3c332f>
    <DocumentSetDescription xmlns="http://schemas.microsoft.com/sharepoint/v3" xsi:nil="true"/>
    <_EndDate xmlns="http://schemas.microsoft.com/sharepoint/v3/fields">2024-11-18T18:01:42+00:00</_EndDate>
    <StartDate xmlns="http://schemas.microsoft.com/sharepoint/v3">2024-11-18T18:01:42+00:00</StartDate>
    <Location xmlns="http://schemas.microsoft.com/sharepoint/v3/fields" xsi:nil="true"/>
    <Meeting_x0020_Type xmlns="734dc620-9a3c-4363-b6b2-552d0a5c0ad8" xsi:nil="true"/>
  </documentManagement>
</p:properties>
</file>

<file path=customXml/itemProps1.xml><?xml version="1.0" encoding="utf-8"?>
<ds:datastoreItem xmlns:ds="http://schemas.openxmlformats.org/officeDocument/2006/customXml" ds:itemID="{95D88090-836E-421C-B8E7-80C9025D0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4dc620-9a3c-4363-b6b2-552d0a5c0ad8"/>
    <ds:schemaRef ds:uri="http://schemas.microsoft.com/sharepoint/v3/fields"/>
    <ds:schemaRef ds:uri="55eb7663-75cc-4f64-9609-52561375e7a6"/>
    <ds:schemaRef ds:uri="3c9e15a3-223f-4584-afb1-1dbe0b387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5E977C-1909-477A-A90F-08CEF260991B}">
  <ds:schemaRefs>
    <ds:schemaRef ds:uri="http://schemas.microsoft.com/sharepoint/v3/contenttype/forms"/>
  </ds:schemaRefs>
</ds:datastoreItem>
</file>

<file path=customXml/itemProps3.xml><?xml version="1.0" encoding="utf-8"?>
<ds:datastoreItem xmlns:ds="http://schemas.openxmlformats.org/officeDocument/2006/customXml" ds:itemID="{3E3C53A7-7B46-4B08-B23A-D0C69CB24FD9}">
  <ds:schemaRefs>
    <ds:schemaRef ds:uri="http://purl.org/dc/elements/1.1/"/>
    <ds:schemaRef ds:uri="3c9e15a3-223f-4584-afb1-1dbe0b3878fa"/>
    <ds:schemaRef ds:uri="http://www.w3.org/XML/1998/namespace"/>
    <ds:schemaRef ds:uri="http://schemas.microsoft.com/office/infopath/2007/PartnerControls"/>
    <ds:schemaRef ds:uri="http://purl.org/dc/dcmitype/"/>
    <ds:schemaRef ds:uri="734dc620-9a3c-4363-b6b2-552d0a5c0ad8"/>
    <ds:schemaRef ds:uri="http://schemas.openxmlformats.org/package/2006/metadata/core-properties"/>
    <ds:schemaRef ds:uri="http://purl.org/dc/terms/"/>
    <ds:schemaRef ds:uri="http://schemas.microsoft.com/sharepoint/v3"/>
    <ds:schemaRef ds:uri="http://schemas.microsoft.com/office/2006/documentManagement/types"/>
    <ds:schemaRef ds:uri="55eb7663-75cc-4f64-9609-52561375e7a6"/>
    <ds:schemaRef ds:uri="http://schemas.microsoft.com/sharepoint/v3/field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377</Words>
  <Characters>2151</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Andersen, Frederick (COMM)</dc:creator>
  <cp:keywords/>
  <dc:description/>
  <cp:lastModifiedBy>O'Neal, Scott</cp:lastModifiedBy>
  <cp:revision>2</cp:revision>
  <dcterms:created xsi:type="dcterms:W3CDTF">2024-11-18T18:01:00Z</dcterms:created>
  <dcterms:modified xsi:type="dcterms:W3CDTF">2024-11-18T18:01:00Z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0x010100376674D47D81254AAE898D727025BAAD</vt:lpwstr>
  </property>
</Properties>
</file>