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56F0" w14:textId="669F0129" w:rsidR="00AD3ADA" w:rsidRPr="00146E8E" w:rsidRDefault="00AD3ADA" w:rsidP="00AD3ADA">
      <w:pPr>
        <w:ind w:left="720" w:hanging="360"/>
        <w:jc w:val="center"/>
        <w:rPr>
          <w:b/>
          <w:bCs/>
          <w:sz w:val="24"/>
          <w:szCs w:val="24"/>
          <w:u w:val="single"/>
        </w:rPr>
      </w:pPr>
      <w:r w:rsidRPr="00146E8E">
        <w:rPr>
          <w:b/>
          <w:bCs/>
          <w:sz w:val="24"/>
          <w:szCs w:val="24"/>
          <w:u w:val="single"/>
        </w:rPr>
        <w:t>Principles for Insurance Business Transfers (IBT) and Division</w:t>
      </w:r>
      <w:r w:rsidR="00F00E81">
        <w:rPr>
          <w:b/>
          <w:bCs/>
          <w:sz w:val="24"/>
          <w:szCs w:val="24"/>
          <w:u w:val="single"/>
        </w:rPr>
        <w:t xml:space="preserve"> Statutes</w:t>
      </w:r>
    </w:p>
    <w:p w14:paraId="491CA03E" w14:textId="6A3C48C8" w:rsidR="00AD3ADA" w:rsidRPr="00146E8E" w:rsidRDefault="00AD3ADA" w:rsidP="00AD3ADA">
      <w:pPr>
        <w:ind w:left="720" w:hanging="360"/>
        <w:jc w:val="center"/>
        <w:rPr>
          <w:b/>
          <w:bCs/>
          <w:sz w:val="24"/>
          <w:szCs w:val="24"/>
        </w:rPr>
      </w:pPr>
    </w:p>
    <w:p w14:paraId="25C10DD4" w14:textId="0242B2EF" w:rsidR="00AD3ADA" w:rsidRPr="00146E8E" w:rsidRDefault="00AD3ADA" w:rsidP="00AD3ADA">
      <w:pPr>
        <w:ind w:left="720" w:hanging="360"/>
        <w:rPr>
          <w:b/>
          <w:bCs/>
          <w:sz w:val="24"/>
          <w:szCs w:val="24"/>
        </w:rPr>
      </w:pPr>
      <w:r w:rsidRPr="00146E8E">
        <w:rPr>
          <w:b/>
          <w:bCs/>
          <w:sz w:val="24"/>
          <w:szCs w:val="24"/>
        </w:rPr>
        <w:t>Due Process</w:t>
      </w:r>
    </w:p>
    <w:p w14:paraId="6499FF59" w14:textId="5898BFD5" w:rsidR="007B5F25" w:rsidRPr="00146E8E" w:rsidRDefault="0073077A" w:rsidP="00652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>Robust</w:t>
      </w:r>
      <w:r w:rsidR="00652005" w:rsidRPr="00146E8E">
        <w:rPr>
          <w:sz w:val="24"/>
          <w:szCs w:val="24"/>
        </w:rPr>
        <w:t xml:space="preserve"> due process </w:t>
      </w:r>
      <w:r w:rsidR="00D57D3A" w:rsidRPr="00146E8E">
        <w:rPr>
          <w:sz w:val="24"/>
          <w:szCs w:val="24"/>
        </w:rPr>
        <w:t xml:space="preserve">must be </w:t>
      </w:r>
      <w:r w:rsidR="00652005" w:rsidRPr="00146E8E">
        <w:rPr>
          <w:sz w:val="24"/>
          <w:szCs w:val="24"/>
        </w:rPr>
        <w:t>afforded to stakeholders</w:t>
      </w:r>
      <w:r w:rsidR="00AD3ADA" w:rsidRPr="00146E8E">
        <w:rPr>
          <w:sz w:val="24"/>
          <w:szCs w:val="24"/>
        </w:rPr>
        <w:t xml:space="preserve"> im</w:t>
      </w:r>
      <w:bookmarkStart w:id="0" w:name="_GoBack"/>
      <w:bookmarkEnd w:id="0"/>
      <w:r w:rsidR="00AD3ADA" w:rsidRPr="00146E8E">
        <w:rPr>
          <w:sz w:val="24"/>
          <w:szCs w:val="24"/>
        </w:rPr>
        <w:t>pacted by a transaction</w:t>
      </w:r>
      <w:r w:rsidR="00045282" w:rsidRPr="00146E8E">
        <w:rPr>
          <w:sz w:val="24"/>
          <w:szCs w:val="24"/>
        </w:rPr>
        <w:t xml:space="preserve"> (policyholders, reinsurers, guaranty associations)</w:t>
      </w:r>
      <w:r w:rsidR="00652005" w:rsidRPr="00146E8E">
        <w:rPr>
          <w:sz w:val="24"/>
          <w:szCs w:val="24"/>
        </w:rPr>
        <w:t>. This should include:</w:t>
      </w:r>
      <w:r w:rsidR="00652005" w:rsidRPr="00146E8E">
        <w:rPr>
          <w:sz w:val="24"/>
          <w:szCs w:val="24"/>
        </w:rPr>
        <w:tab/>
      </w:r>
    </w:p>
    <w:p w14:paraId="1AB63B36" w14:textId="661D9B1C" w:rsidR="00652005" w:rsidRPr="00146E8E" w:rsidRDefault="00652005" w:rsidP="0065200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>Notice to stakeholders as determined by the regulator</w:t>
      </w:r>
    </w:p>
    <w:p w14:paraId="74029778" w14:textId="45F3C6EE" w:rsidR="00652005" w:rsidRPr="00146E8E" w:rsidRDefault="00652005" w:rsidP="0065200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>Public hearing</w:t>
      </w:r>
    </w:p>
    <w:p w14:paraId="66C4FB94" w14:textId="79EC2369" w:rsidR="00652005" w:rsidRPr="00146E8E" w:rsidRDefault="00652005" w:rsidP="0065200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 xml:space="preserve">Opportunity to submit written comments </w:t>
      </w:r>
    </w:p>
    <w:p w14:paraId="51EA7254" w14:textId="2A4015AD" w:rsidR="00AD3ADA" w:rsidRPr="00146E8E" w:rsidRDefault="00AD3ADA" w:rsidP="00AD3ADA">
      <w:pPr>
        <w:ind w:left="360"/>
        <w:rPr>
          <w:b/>
          <w:bCs/>
          <w:sz w:val="24"/>
          <w:szCs w:val="24"/>
        </w:rPr>
      </w:pPr>
      <w:r w:rsidRPr="00146E8E">
        <w:rPr>
          <w:b/>
          <w:bCs/>
          <w:sz w:val="24"/>
          <w:szCs w:val="24"/>
        </w:rPr>
        <w:t>Guaranty Fund Coverage</w:t>
      </w:r>
    </w:p>
    <w:p w14:paraId="3746ABDF" w14:textId="75D40E5E" w:rsidR="00652005" w:rsidRPr="00146E8E" w:rsidRDefault="00652005" w:rsidP="00652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 xml:space="preserve">No impacted policyholder should lose or gain guaranty fund protection as a result of a transaction. </w:t>
      </w:r>
    </w:p>
    <w:p w14:paraId="21A7DC47" w14:textId="2394524F" w:rsidR="00AD3ADA" w:rsidRPr="00146E8E" w:rsidRDefault="00AD3ADA" w:rsidP="00AD3ADA">
      <w:pPr>
        <w:ind w:left="360"/>
        <w:rPr>
          <w:b/>
          <w:bCs/>
          <w:sz w:val="24"/>
          <w:szCs w:val="24"/>
        </w:rPr>
      </w:pPr>
      <w:r w:rsidRPr="00146E8E">
        <w:rPr>
          <w:b/>
          <w:bCs/>
          <w:sz w:val="24"/>
          <w:szCs w:val="24"/>
        </w:rPr>
        <w:t>Robust Regulatory Review Process</w:t>
      </w:r>
    </w:p>
    <w:p w14:paraId="300E73D7" w14:textId="61C6C850" w:rsidR="00652005" w:rsidRPr="00146E8E" w:rsidRDefault="00652005" w:rsidP="00652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 xml:space="preserve">The regulatory review must be </w:t>
      </w:r>
      <w:r w:rsidR="009F28DE" w:rsidRPr="00146E8E">
        <w:rPr>
          <w:sz w:val="24"/>
          <w:szCs w:val="24"/>
        </w:rPr>
        <w:t>robust and should, at a minimum, include the following findings:</w:t>
      </w:r>
    </w:p>
    <w:p w14:paraId="21FF99F4" w14:textId="7F24AAFF" w:rsidR="009F28DE" w:rsidRPr="00146E8E" w:rsidRDefault="009F28DE" w:rsidP="009F28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 xml:space="preserve">The assets </w:t>
      </w:r>
      <w:r w:rsidR="00AD3ADA" w:rsidRPr="00146E8E">
        <w:rPr>
          <w:sz w:val="24"/>
          <w:szCs w:val="24"/>
        </w:rPr>
        <w:t xml:space="preserve">to be </w:t>
      </w:r>
      <w:r w:rsidRPr="00146E8E">
        <w:rPr>
          <w:sz w:val="24"/>
          <w:szCs w:val="24"/>
        </w:rPr>
        <w:t xml:space="preserve">allocated to insurers involved in the transaction are adequate to cover the insurer’s liabilities. </w:t>
      </w:r>
    </w:p>
    <w:p w14:paraId="7258667A" w14:textId="2B11B4FF" w:rsidR="009F28DE" w:rsidRPr="00146E8E" w:rsidRDefault="009F28DE" w:rsidP="009F28D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 xml:space="preserve">The impact and terms of the transaction </w:t>
      </w:r>
      <w:r w:rsidR="00702155" w:rsidRPr="00146E8E">
        <w:rPr>
          <w:sz w:val="24"/>
          <w:szCs w:val="24"/>
        </w:rPr>
        <w:t xml:space="preserve">do </w:t>
      </w:r>
      <w:r w:rsidRPr="00146E8E">
        <w:rPr>
          <w:sz w:val="24"/>
          <w:szCs w:val="24"/>
        </w:rPr>
        <w:t>not</w:t>
      </w:r>
      <w:r w:rsidR="00702155" w:rsidRPr="00146E8E">
        <w:rPr>
          <w:sz w:val="24"/>
          <w:szCs w:val="24"/>
        </w:rPr>
        <w:t xml:space="preserve"> have a material adverse impact on policyholders, reinsurers, or guaranty associations. </w:t>
      </w:r>
    </w:p>
    <w:p w14:paraId="46961C3C" w14:textId="655FA2B0" w:rsidR="00AD3ADA" w:rsidRPr="00146E8E" w:rsidRDefault="0020217D" w:rsidP="009F28D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review should c</w:t>
      </w:r>
      <w:r w:rsidR="00FE545E" w:rsidRPr="00146E8E">
        <w:rPr>
          <w:sz w:val="24"/>
          <w:szCs w:val="24"/>
        </w:rPr>
        <w:t xml:space="preserve">onsider </w:t>
      </w:r>
      <w:r w:rsidR="00074768" w:rsidRPr="00146E8E">
        <w:rPr>
          <w:sz w:val="24"/>
          <w:szCs w:val="24"/>
        </w:rPr>
        <w:t xml:space="preserve">the </w:t>
      </w:r>
      <w:r w:rsidR="00702155" w:rsidRPr="00146E8E">
        <w:rPr>
          <w:sz w:val="24"/>
          <w:szCs w:val="24"/>
        </w:rPr>
        <w:t>plans of any</w:t>
      </w:r>
      <w:r>
        <w:rPr>
          <w:sz w:val="24"/>
          <w:szCs w:val="24"/>
        </w:rPr>
        <w:t xml:space="preserve"> </w:t>
      </w:r>
      <w:r w:rsidR="00AD3ADA" w:rsidRPr="00146E8E">
        <w:rPr>
          <w:sz w:val="24"/>
          <w:szCs w:val="24"/>
        </w:rPr>
        <w:t>insurer involved in the transaction to liquidate another involved insurer, sell its assets, consolidate</w:t>
      </w:r>
      <w:r>
        <w:rPr>
          <w:sz w:val="24"/>
          <w:szCs w:val="24"/>
        </w:rPr>
        <w:t>,</w:t>
      </w:r>
      <w:r w:rsidR="00AD3ADA" w:rsidRPr="00146E8E">
        <w:rPr>
          <w:sz w:val="24"/>
          <w:szCs w:val="24"/>
        </w:rPr>
        <w:t xml:space="preserve"> merge</w:t>
      </w:r>
      <w:r>
        <w:rPr>
          <w:sz w:val="24"/>
          <w:szCs w:val="24"/>
        </w:rPr>
        <w:t xml:space="preserve">, </w:t>
      </w:r>
      <w:r w:rsidR="00AD3ADA" w:rsidRPr="00146E8E">
        <w:rPr>
          <w:sz w:val="24"/>
          <w:szCs w:val="24"/>
        </w:rPr>
        <w:t>or make other changes</w:t>
      </w:r>
      <w:r>
        <w:rPr>
          <w:sz w:val="24"/>
          <w:szCs w:val="24"/>
        </w:rPr>
        <w:t xml:space="preserve">, and the resulting impact on policyholders, reinsurers, and guaranty associations.  </w:t>
      </w:r>
    </w:p>
    <w:p w14:paraId="2445C3A0" w14:textId="1BF3180F" w:rsidR="00AD3ADA" w:rsidRPr="00146E8E" w:rsidRDefault="00AD3ADA" w:rsidP="00AD3ADA">
      <w:pPr>
        <w:ind w:left="360"/>
        <w:rPr>
          <w:b/>
          <w:bCs/>
          <w:sz w:val="24"/>
          <w:szCs w:val="24"/>
        </w:rPr>
      </w:pPr>
      <w:r w:rsidRPr="00146E8E">
        <w:rPr>
          <w:b/>
          <w:bCs/>
          <w:sz w:val="24"/>
          <w:szCs w:val="24"/>
        </w:rPr>
        <w:t>Independent Expert</w:t>
      </w:r>
    </w:p>
    <w:p w14:paraId="199BB3C7" w14:textId="2AAEFD36" w:rsidR="00AD3ADA" w:rsidRPr="00146E8E" w:rsidRDefault="00AD3ADA" w:rsidP="00AD3A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 xml:space="preserve">The regulatory review process </w:t>
      </w:r>
      <w:r w:rsidR="006A5876" w:rsidRPr="00FC3569">
        <w:rPr>
          <w:sz w:val="24"/>
          <w:szCs w:val="24"/>
        </w:rPr>
        <w:t>for insurance business transfers</w:t>
      </w:r>
      <w:r w:rsidR="006A5876">
        <w:rPr>
          <w:sz w:val="24"/>
          <w:szCs w:val="24"/>
        </w:rPr>
        <w:t xml:space="preserve"> </w:t>
      </w:r>
      <w:r w:rsidRPr="00146E8E">
        <w:rPr>
          <w:sz w:val="24"/>
          <w:szCs w:val="24"/>
        </w:rPr>
        <w:t xml:space="preserve">will utilize an independent expert to advise and assist the regulator in </w:t>
      </w:r>
      <w:r w:rsidR="00B71B97">
        <w:rPr>
          <w:sz w:val="24"/>
          <w:szCs w:val="24"/>
        </w:rPr>
        <w:t xml:space="preserve">reviewing proposed transactions </w:t>
      </w:r>
      <w:r w:rsidR="00074768" w:rsidRPr="00146E8E">
        <w:rPr>
          <w:sz w:val="24"/>
          <w:szCs w:val="24"/>
        </w:rPr>
        <w:t xml:space="preserve">(including </w:t>
      </w:r>
      <w:r w:rsidR="00B71B97">
        <w:rPr>
          <w:sz w:val="24"/>
          <w:szCs w:val="24"/>
        </w:rPr>
        <w:t xml:space="preserve">advising </w:t>
      </w:r>
      <w:r w:rsidR="00074768" w:rsidRPr="00146E8E">
        <w:rPr>
          <w:sz w:val="24"/>
          <w:szCs w:val="24"/>
        </w:rPr>
        <w:t>on any material adverse impact on policyholders, reinsurers, or guaranty associations)</w:t>
      </w:r>
      <w:r w:rsidRPr="00146E8E">
        <w:rPr>
          <w:sz w:val="24"/>
          <w:szCs w:val="24"/>
        </w:rPr>
        <w:t xml:space="preserve"> and to provide any other assistance or advice the regulator may require. </w:t>
      </w:r>
    </w:p>
    <w:p w14:paraId="7DCC0D7A" w14:textId="35DF4ADB" w:rsidR="00AD3ADA" w:rsidRPr="00146E8E" w:rsidRDefault="00AD3ADA" w:rsidP="00AD3ADA">
      <w:pPr>
        <w:ind w:left="360"/>
        <w:rPr>
          <w:b/>
          <w:bCs/>
          <w:sz w:val="24"/>
          <w:szCs w:val="24"/>
        </w:rPr>
      </w:pPr>
      <w:r w:rsidRPr="00146E8E">
        <w:rPr>
          <w:b/>
          <w:bCs/>
          <w:sz w:val="24"/>
          <w:szCs w:val="24"/>
        </w:rPr>
        <w:t>Court Approval</w:t>
      </w:r>
    </w:p>
    <w:p w14:paraId="3492DA38" w14:textId="68BB55B6" w:rsidR="00AD3ADA" w:rsidRPr="00146E8E" w:rsidRDefault="00AD3ADA" w:rsidP="00AD3A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6E8E">
        <w:rPr>
          <w:sz w:val="24"/>
          <w:szCs w:val="24"/>
        </w:rPr>
        <w:t xml:space="preserve">Court approval must be required for insurance business transfer transactions but not for divisions. </w:t>
      </w:r>
    </w:p>
    <w:p w14:paraId="6AC42E3E" w14:textId="032F0214" w:rsidR="00AD3ADA" w:rsidRPr="00146E8E" w:rsidRDefault="00AD3ADA" w:rsidP="00AD3ADA">
      <w:pPr>
        <w:pStyle w:val="ListParagraph"/>
        <w:ind w:left="1440"/>
        <w:rPr>
          <w:sz w:val="24"/>
          <w:szCs w:val="24"/>
        </w:rPr>
      </w:pPr>
    </w:p>
    <w:p w14:paraId="3D6F6EFD" w14:textId="77777777" w:rsidR="00AD3ADA" w:rsidRPr="00146E8E" w:rsidRDefault="00AD3ADA" w:rsidP="00AD3ADA">
      <w:pPr>
        <w:pStyle w:val="ListParagraph"/>
        <w:ind w:left="1440"/>
        <w:rPr>
          <w:sz w:val="24"/>
          <w:szCs w:val="24"/>
        </w:rPr>
      </w:pPr>
    </w:p>
    <w:p w14:paraId="1C52891E" w14:textId="77777777" w:rsidR="00652005" w:rsidRDefault="00652005"/>
    <w:sectPr w:rsidR="0065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84C4B"/>
    <w:multiLevelType w:val="hybridMultilevel"/>
    <w:tmpl w:val="4896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05"/>
    <w:rsid w:val="00045282"/>
    <w:rsid w:val="00074768"/>
    <w:rsid w:val="00146E8E"/>
    <w:rsid w:val="001879C7"/>
    <w:rsid w:val="00201EA7"/>
    <w:rsid w:val="0020217D"/>
    <w:rsid w:val="00652005"/>
    <w:rsid w:val="00653DF7"/>
    <w:rsid w:val="006A5876"/>
    <w:rsid w:val="006A6DBE"/>
    <w:rsid w:val="00702155"/>
    <w:rsid w:val="0073077A"/>
    <w:rsid w:val="007B5F25"/>
    <w:rsid w:val="009F28DE"/>
    <w:rsid w:val="00AC524C"/>
    <w:rsid w:val="00AD3ADA"/>
    <w:rsid w:val="00B71B97"/>
    <w:rsid w:val="00CF1520"/>
    <w:rsid w:val="00D57D3A"/>
    <w:rsid w:val="00F00E81"/>
    <w:rsid w:val="00FC3569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4F51"/>
  <w15:chartTrackingRefBased/>
  <w15:docId w15:val="{B1696F94-F877-45F1-9391-2059EAF8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Woody, Robert</dc:creator>
  <cp:keywords/>
  <dc:description/>
  <cp:lastModifiedBy>Woody, Robert</cp:lastModifiedBy>
  <cp:revision>3</cp:revision>
  <cp:lastPrinted>2019-12-03T19:47:00Z</cp:lastPrinted>
  <dcterms:created xsi:type="dcterms:W3CDTF">2019-12-06T20:17:00Z</dcterms:created>
  <dcterms:modified xsi:type="dcterms:W3CDTF">2019-12-06T20:17:00Z</dcterms:modified>
</cp:coreProperties>
</file>