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400E"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r w:rsidRPr="00C46CE8">
        <w:rPr>
          <w:rFonts w:ascii="Calibri" w:hAnsi="Calibri" w:cs="Calibri"/>
          <w:sz w:val="20"/>
          <w:szCs w:val="20"/>
        </w:rPr>
        <w:t>affiliation</w:t>
      </w:r>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77E1CC0F" w:rsidR="008016FD" w:rsidRDefault="0058101D"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Rachel Hemphill, TDI</w:t>
      </w:r>
      <w:r w:rsidR="00C46CE8" w:rsidRPr="00AA24E8">
        <w:rPr>
          <w:rFonts w:cs="Calibri"/>
          <w:sz w:val="20"/>
          <w:szCs w:val="20"/>
        </w:rPr>
        <w:t xml:space="preserve"> –</w:t>
      </w:r>
      <w:r>
        <w:rPr>
          <w:rFonts w:cs="Calibri"/>
          <w:sz w:val="20"/>
          <w:szCs w:val="20"/>
        </w:rPr>
        <w:t xml:space="preserve"> Allows exemption of policies from prior issue years when there is a change in the Life PBR Exemption requirements</w:t>
      </w:r>
      <w:r w:rsidR="00894948">
        <w:rPr>
          <w:rFonts w:cs="Calibri"/>
          <w:sz w:val="20"/>
          <w:szCs w:val="20"/>
        </w:rPr>
        <w:t xml:space="preserv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11EAA2E7"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5F13478D" w:rsidR="008016F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 xml:space="preserve">(January 1, </w:t>
      </w:r>
      <w:r w:rsidR="0058101D">
        <w:rPr>
          <w:rFonts w:ascii="Calibri" w:hAnsi="Calibri" w:cs="Calibri"/>
          <w:sz w:val="20"/>
          <w:szCs w:val="20"/>
        </w:rPr>
        <w:t xml:space="preserve">2021 </w:t>
      </w:r>
      <w:r>
        <w:rPr>
          <w:rFonts w:ascii="Calibri" w:hAnsi="Calibri" w:cs="Calibri"/>
          <w:sz w:val="20"/>
          <w:szCs w:val="20"/>
        </w:rPr>
        <w:t xml:space="preserve">edition), </w:t>
      </w:r>
      <w:r w:rsidR="0058101D">
        <w:rPr>
          <w:rFonts w:ascii="Calibri" w:hAnsi="Calibri" w:cs="Calibri"/>
          <w:sz w:val="20"/>
          <w:szCs w:val="20"/>
        </w:rPr>
        <w:t>Section II,</w:t>
      </w:r>
      <w:r w:rsidR="008016FD">
        <w:rPr>
          <w:rFonts w:ascii="Calibri" w:hAnsi="Calibri" w:cs="Calibri"/>
          <w:sz w:val="20"/>
          <w:szCs w:val="20"/>
        </w:rPr>
        <w:t xml:space="preserve"> S</w:t>
      </w:r>
      <w:r w:rsidR="0058101D">
        <w:rPr>
          <w:rFonts w:ascii="Calibri" w:hAnsi="Calibri" w:cs="Calibri"/>
          <w:sz w:val="20"/>
          <w:szCs w:val="20"/>
        </w:rPr>
        <w:t>ubs</w:t>
      </w:r>
      <w:r w:rsidR="008016FD">
        <w:rPr>
          <w:rFonts w:ascii="Calibri" w:hAnsi="Calibri" w:cs="Calibri"/>
          <w:sz w:val="20"/>
          <w:szCs w:val="20"/>
        </w:rPr>
        <w:t xml:space="preserve">ection </w:t>
      </w:r>
      <w:r w:rsidR="0058101D">
        <w:rPr>
          <w:rFonts w:ascii="Calibri" w:hAnsi="Calibri" w:cs="Calibri"/>
          <w:sz w:val="20"/>
          <w:szCs w:val="20"/>
        </w:rPr>
        <w:t>1.D.4</w:t>
      </w:r>
      <w:r w:rsidR="00CF1263">
        <w:rPr>
          <w:rFonts w:ascii="Calibri" w:hAnsi="Calibri" w:cs="Calibri"/>
          <w:sz w:val="20"/>
          <w:szCs w:val="20"/>
        </w:rPr>
        <w:t xml:space="preserve">, with the addition of </w:t>
      </w:r>
      <w:r w:rsidR="0042215A">
        <w:rPr>
          <w:rFonts w:ascii="Calibri" w:hAnsi="Calibri" w:cs="Calibri"/>
          <w:sz w:val="20"/>
          <w:szCs w:val="20"/>
        </w:rPr>
        <w:t xml:space="preserve">the </w:t>
      </w:r>
      <w:r w:rsidR="0042215A">
        <w:rPr>
          <w:rFonts w:ascii="Calibri" w:hAnsi="Calibri" w:cs="Calibri"/>
          <w:sz w:val="20"/>
          <w:szCs w:val="20"/>
        </w:rPr>
        <w:t>APF 2020-09</w:t>
      </w:r>
      <w:r w:rsidR="0042215A">
        <w:rPr>
          <w:rFonts w:ascii="Calibri" w:hAnsi="Calibri" w:cs="Calibri"/>
          <w:sz w:val="20"/>
          <w:szCs w:val="20"/>
        </w:rPr>
        <w:t xml:space="preserve"> revisions</w:t>
      </w:r>
      <w:r w:rsidR="0042215A">
        <w:rPr>
          <w:rFonts w:ascii="Calibri" w:hAnsi="Calibri" w:cs="Calibri"/>
          <w:sz w:val="20"/>
          <w:szCs w:val="20"/>
        </w:rPr>
        <w:t xml:space="preserve"> </w:t>
      </w:r>
      <w:r w:rsidR="0042215A">
        <w:rPr>
          <w:rFonts w:ascii="Calibri" w:hAnsi="Calibri" w:cs="Calibri"/>
          <w:sz w:val="20"/>
          <w:szCs w:val="20"/>
        </w:rPr>
        <w:t>to VM Section II, Subsection 1.D.1 – Subsection 1.D.3 (</w:t>
      </w:r>
      <w:r w:rsidR="0042215A">
        <w:rPr>
          <w:rFonts w:ascii="Calibri" w:hAnsi="Calibri" w:cs="Calibri"/>
          <w:sz w:val="20"/>
          <w:szCs w:val="20"/>
        </w:rPr>
        <w:t>adopted by LATF on Nov. 5, 2020</w:t>
      </w:r>
      <w:r w:rsidR="0042215A">
        <w:rPr>
          <w:rFonts w:ascii="Calibri" w:hAnsi="Calibri" w:cs="Calibri"/>
          <w:sz w:val="20"/>
          <w:szCs w:val="20"/>
        </w:rPr>
        <w:t>)</w:t>
      </w:r>
      <w:r w:rsidR="00CF1263">
        <w:rPr>
          <w:rFonts w:ascii="Calibri" w:hAnsi="Calibri" w:cs="Calibri"/>
          <w:sz w:val="20"/>
          <w:szCs w:val="20"/>
        </w:rPr>
        <w:t xml:space="preserve"> shown in </w:t>
      </w:r>
      <w:r w:rsidR="0042215A" w:rsidRPr="0042215A">
        <w:rPr>
          <w:rFonts w:ascii="Calibri" w:hAnsi="Calibri" w:cs="Calibri"/>
          <w:color w:val="365F91" w:themeColor="accent1" w:themeShade="BF"/>
          <w:sz w:val="20"/>
          <w:szCs w:val="20"/>
        </w:rPr>
        <w:t>blue</w:t>
      </w:r>
      <w:r w:rsidR="0042215A">
        <w:rPr>
          <w:rFonts w:ascii="Calibri" w:hAnsi="Calibri" w:cs="Calibri"/>
          <w:color w:val="365F91" w:themeColor="accent1" w:themeShade="BF"/>
          <w:sz w:val="20"/>
          <w:szCs w:val="20"/>
        </w:rPr>
        <w:t>.</w:t>
      </w:r>
    </w:p>
    <w:p w14:paraId="2A3C9255"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A143DF1"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9405E7" w14:textId="77777777" w:rsidR="00CF1263" w:rsidRDefault="00CF1263" w:rsidP="00CF1263">
      <w:pPr>
        <w:jc w:val="both"/>
        <w:rPr>
          <w:sz w:val="16"/>
          <w:szCs w:val="16"/>
        </w:rPr>
      </w:pPr>
      <w:r w:rsidRPr="00634B04">
        <w:rPr>
          <w:b/>
          <w:sz w:val="28"/>
          <w:szCs w:val="28"/>
          <w:u w:val="single"/>
        </w:rPr>
        <w:t>Valuation Manual Section II, Subsection 1.D</w:t>
      </w:r>
    </w:p>
    <w:p w14:paraId="3DB323BE" w14:textId="77777777" w:rsidR="00CF1263" w:rsidRDefault="00CF1263" w:rsidP="00CF1263">
      <w:pPr>
        <w:pStyle w:val="Default"/>
        <w:ind w:left="360"/>
        <w:rPr>
          <w:sz w:val="22"/>
          <w:szCs w:val="22"/>
        </w:rPr>
      </w:pPr>
    </w:p>
    <w:p w14:paraId="1C6F0C0A" w14:textId="77777777" w:rsidR="00CF1263" w:rsidRPr="00634B04" w:rsidRDefault="00CF1263" w:rsidP="00CF1263">
      <w:pPr>
        <w:pStyle w:val="Default"/>
        <w:ind w:left="360"/>
        <w:jc w:val="both"/>
        <w:rPr>
          <w:sz w:val="22"/>
          <w:szCs w:val="22"/>
        </w:rPr>
      </w:pPr>
      <w:r w:rsidRPr="00634B04">
        <w:rPr>
          <w:sz w:val="22"/>
          <w:szCs w:val="22"/>
        </w:rPr>
        <w:t>D.</w:t>
      </w:r>
      <w:r w:rsidRPr="00634B04">
        <w:rPr>
          <w:sz w:val="22"/>
          <w:szCs w:val="22"/>
        </w:rPr>
        <w:tab/>
        <w:t>Life PBR Exemption</w:t>
      </w:r>
    </w:p>
    <w:p w14:paraId="6B2D9134" w14:textId="6C1F2A48" w:rsidR="00CF1263" w:rsidRDefault="00CF1263" w:rsidP="00CF1263">
      <w:pPr>
        <w:pStyle w:val="Default"/>
        <w:numPr>
          <w:ilvl w:val="0"/>
          <w:numId w:val="10"/>
        </w:numPr>
        <w:jc w:val="both"/>
        <w:rPr>
          <w:sz w:val="22"/>
          <w:szCs w:val="22"/>
        </w:rPr>
      </w:pPr>
      <w:r w:rsidRPr="00634B04">
        <w:rPr>
          <w:sz w:val="22"/>
          <w:szCs w:val="22"/>
        </w:rPr>
        <w:t xml:space="preserve">A company meeting </w:t>
      </w:r>
      <w:r w:rsidR="0010403A" w:rsidRPr="0010403A">
        <w:rPr>
          <w:strike/>
          <w:sz w:val="22"/>
          <w:szCs w:val="22"/>
        </w:rPr>
        <w:t>the</w:t>
      </w:r>
      <w:r w:rsidR="0010403A">
        <w:rPr>
          <w:sz w:val="22"/>
          <w:szCs w:val="22"/>
        </w:rPr>
        <w:t xml:space="preserve"> </w:t>
      </w:r>
      <w:r w:rsidRPr="00CF1263">
        <w:rPr>
          <w:color w:val="365F91" w:themeColor="accent1" w:themeShade="BF"/>
          <w:sz w:val="22"/>
          <w:szCs w:val="22"/>
        </w:rPr>
        <w:t xml:space="preserve">at least one of the </w:t>
      </w:r>
      <w:r w:rsidRPr="00634B04">
        <w:rPr>
          <w:sz w:val="22"/>
          <w:szCs w:val="22"/>
        </w:rPr>
        <w:t>condition</w:t>
      </w:r>
      <w:r w:rsidRPr="00CF1263">
        <w:rPr>
          <w:color w:val="365F91" w:themeColor="accent1" w:themeShade="BF"/>
          <w:sz w:val="22"/>
          <w:szCs w:val="22"/>
        </w:rPr>
        <w:t>s</w:t>
      </w:r>
      <w:r w:rsidRPr="00634B04">
        <w:rPr>
          <w:sz w:val="22"/>
          <w:szCs w:val="22"/>
        </w:rPr>
        <w:t xml:space="preserve">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r>
        <w:rPr>
          <w:sz w:val="22"/>
          <w:szCs w:val="22"/>
        </w:rPr>
        <w:t xml:space="preserve">  </w:t>
      </w:r>
      <w:r w:rsidRPr="00CF1263">
        <w:rPr>
          <w:color w:val="365F91"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Pr="0010403A">
        <w:rPr>
          <w:color w:val="365F91" w:themeColor="accent1" w:themeShade="BF"/>
          <w:sz w:val="22"/>
          <w:szCs w:val="22"/>
        </w:rPr>
        <w:t>,</w:t>
      </w:r>
      <w:r w:rsidR="0010403A">
        <w:rPr>
          <w:color w:val="365F91" w:themeColor="accent1" w:themeShade="BF"/>
          <w:sz w:val="22"/>
          <w:szCs w:val="22"/>
        </w:rPr>
        <w:t xml:space="preserve"> </w:t>
      </w:r>
      <w:r w:rsidR="0010403A" w:rsidRPr="0010403A">
        <w:rPr>
          <w:strike/>
          <w:color w:val="auto"/>
          <w:sz w:val="22"/>
          <w:szCs w:val="22"/>
        </w:rPr>
        <w:t>Such a</w:t>
      </w:r>
      <w:r w:rsidRPr="0010403A">
        <w:rPr>
          <w:color w:val="auto"/>
          <w:sz w:val="22"/>
          <w:szCs w:val="22"/>
        </w:rPr>
        <w:t xml:space="preserve"> </w:t>
      </w:r>
      <w:r w:rsidRPr="0010403A">
        <w:rPr>
          <w:color w:val="365F91" w:themeColor="accent1" w:themeShade="BF"/>
          <w:sz w:val="22"/>
          <w:szCs w:val="22"/>
        </w:rPr>
        <w:t xml:space="preserve">the </w:t>
      </w:r>
      <w:r w:rsidRPr="0010403A">
        <w:rPr>
          <w:color w:val="auto"/>
          <w:sz w:val="22"/>
          <w:szCs w:val="22"/>
        </w:rPr>
        <w:t xml:space="preserve">statement </w:t>
      </w:r>
      <w:r w:rsidRPr="00634B04">
        <w:rPr>
          <w:sz w:val="22"/>
          <w:szCs w:val="22"/>
        </w:rPr>
        <w:t xml:space="preserve">must be filed with the domiciliary commissioner prior to July 1 of that year certifying that </w:t>
      </w:r>
      <w:r w:rsidRPr="0010403A">
        <w:rPr>
          <w:color w:val="365F91" w:themeColor="accent1" w:themeShade="BF"/>
          <w:sz w:val="22"/>
          <w:szCs w:val="22"/>
        </w:rPr>
        <w:t>at least one of the two</w:t>
      </w:r>
      <w:r>
        <w:rPr>
          <w:sz w:val="22"/>
          <w:szCs w:val="22"/>
        </w:rPr>
        <w:t xml:space="preserve"> </w:t>
      </w:r>
      <w:r w:rsidRPr="00634B04">
        <w:rPr>
          <w:sz w:val="22"/>
          <w:szCs w:val="22"/>
        </w:rPr>
        <w:t>condition</w:t>
      </w:r>
      <w:r w:rsidRPr="0010403A">
        <w:rPr>
          <w:color w:val="365F91" w:themeColor="accent1" w:themeShade="BF"/>
          <w:sz w:val="22"/>
          <w:szCs w:val="22"/>
        </w:rPr>
        <w:t xml:space="preserve">s in </w:t>
      </w:r>
      <w:r w:rsidRPr="00634B04">
        <w:rPr>
          <w:sz w:val="22"/>
          <w:szCs w:val="22"/>
        </w:rPr>
        <w:t xml:space="preserve">D.2 was met </w:t>
      </w:r>
      <w:r w:rsidR="0010403A" w:rsidRPr="0010403A">
        <w:rPr>
          <w:strike/>
          <w:sz w:val="22"/>
          <w:szCs w:val="22"/>
        </w:rPr>
        <w:t>based on premiums from the prior calendar year annual statement</w:t>
      </w:r>
      <w:r w:rsidR="0010403A">
        <w:rPr>
          <w:sz w:val="22"/>
          <w:szCs w:val="22"/>
        </w:rPr>
        <w:t xml:space="preserve"> </w:t>
      </w:r>
      <w:r w:rsidRPr="0010403A">
        <w:rPr>
          <w:color w:val="365F91" w:themeColor="accent1" w:themeShade="BF"/>
          <w:sz w:val="22"/>
          <w:szCs w:val="22"/>
        </w:rPr>
        <w:t>and t</w:t>
      </w:r>
      <w:r w:rsidRPr="00634B04">
        <w:rPr>
          <w:sz w:val="22"/>
          <w:szCs w:val="22"/>
        </w:rPr>
        <w:t xml:space="preserve">he statement of exemption must also be included with the NAIC filing for the second quarter of that year. </w:t>
      </w:r>
    </w:p>
    <w:p w14:paraId="4E287339" w14:textId="77777777" w:rsidR="00CF1263" w:rsidRPr="00634B04" w:rsidRDefault="00CF1263" w:rsidP="00CF1263">
      <w:pPr>
        <w:pStyle w:val="Default"/>
        <w:ind w:left="360"/>
        <w:jc w:val="both"/>
        <w:rPr>
          <w:sz w:val="22"/>
          <w:szCs w:val="22"/>
        </w:rPr>
      </w:pPr>
    </w:p>
    <w:p w14:paraId="00D92AF3" w14:textId="77777777" w:rsidR="00CF1263" w:rsidRDefault="00CF1263" w:rsidP="00CF1263">
      <w:pPr>
        <w:pStyle w:val="Default"/>
        <w:ind w:left="720"/>
        <w:jc w:val="both"/>
        <w:rPr>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r>
        <w:rPr>
          <w:sz w:val="22"/>
          <w:szCs w:val="22"/>
        </w:rPr>
        <w:t xml:space="preserve"> </w:t>
      </w:r>
    </w:p>
    <w:p w14:paraId="26516C91" w14:textId="77777777" w:rsidR="00CF1263" w:rsidRDefault="00CF1263" w:rsidP="00CF1263">
      <w:pPr>
        <w:pStyle w:val="Default"/>
        <w:ind w:left="720"/>
        <w:jc w:val="both"/>
        <w:rPr>
          <w:sz w:val="22"/>
          <w:szCs w:val="22"/>
        </w:rPr>
      </w:pPr>
    </w:p>
    <w:p w14:paraId="1CBECAAD" w14:textId="77777777" w:rsidR="00CF1263" w:rsidRDefault="00CF1263" w:rsidP="00CF1263">
      <w:pPr>
        <w:pStyle w:val="Default"/>
        <w:ind w:left="720"/>
        <w:jc w:val="both"/>
        <w:rPr>
          <w:sz w:val="22"/>
          <w:szCs w:val="22"/>
        </w:rPr>
      </w:pPr>
      <w:r w:rsidRPr="0010403A">
        <w:rPr>
          <w:color w:val="365F91"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fails to meet either condition in D.2 below, 2) the policies contain those in D.3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policies.  In the case of an ongoing statement of exemption, rather than include a statement of exemption with the NAIC filing for the second quarter of that year, the company should enter “SEE </w:t>
      </w:r>
      <w:r w:rsidRPr="0010403A">
        <w:rPr>
          <w:color w:val="365F91" w:themeColor="accent1" w:themeShade="BF"/>
          <w:sz w:val="22"/>
          <w:szCs w:val="22"/>
        </w:rPr>
        <w:lastRenderedPageBreak/>
        <w:t>EXPLANATION” in response to the Life PBR Exemption supplemental interrogatory and provide as an explanation that the company is utilizing an ongoing statement of exemption.</w:t>
      </w:r>
    </w:p>
    <w:p w14:paraId="5E71FF36" w14:textId="77777777" w:rsidR="00CF1263" w:rsidRDefault="00CF1263" w:rsidP="00CF1263">
      <w:pPr>
        <w:pStyle w:val="Default"/>
        <w:ind w:left="360"/>
        <w:jc w:val="both"/>
        <w:rPr>
          <w:sz w:val="22"/>
          <w:szCs w:val="22"/>
        </w:rPr>
      </w:pPr>
    </w:p>
    <w:p w14:paraId="5658B131" w14:textId="77777777" w:rsidR="00CF1263" w:rsidRPr="0010403A" w:rsidRDefault="00CF1263" w:rsidP="00CF1263">
      <w:pPr>
        <w:pStyle w:val="Default"/>
        <w:numPr>
          <w:ilvl w:val="0"/>
          <w:numId w:val="10"/>
        </w:numPr>
        <w:jc w:val="both"/>
        <w:rPr>
          <w:color w:val="365F91" w:themeColor="accent1" w:themeShade="BF"/>
          <w:sz w:val="22"/>
          <w:szCs w:val="22"/>
        </w:rPr>
      </w:pPr>
      <w:r w:rsidRPr="00634B04">
        <w:rPr>
          <w:sz w:val="22"/>
          <w:szCs w:val="22"/>
        </w:rPr>
        <w:t>Condition</w:t>
      </w:r>
      <w:r w:rsidRPr="0010403A">
        <w:rPr>
          <w:color w:val="365F91" w:themeColor="accent1" w:themeShade="BF"/>
          <w:sz w:val="22"/>
          <w:szCs w:val="22"/>
        </w:rPr>
        <w:t>s</w:t>
      </w:r>
      <w:r w:rsidRPr="00634B04">
        <w:rPr>
          <w:sz w:val="22"/>
          <w:szCs w:val="22"/>
        </w:rPr>
        <w:t xml:space="preserve"> for Exemption</w:t>
      </w:r>
      <w:r w:rsidRPr="0010403A">
        <w:rPr>
          <w:color w:val="365F91" w:themeColor="accent1" w:themeShade="BF"/>
          <w:sz w:val="22"/>
          <w:szCs w:val="22"/>
        </w:rPr>
        <w:t>:</w:t>
      </w:r>
    </w:p>
    <w:p w14:paraId="23927C9E" w14:textId="77777777" w:rsidR="00CF1263" w:rsidRPr="0010403A" w:rsidRDefault="00CF1263" w:rsidP="00CF1263">
      <w:pPr>
        <w:pStyle w:val="Default"/>
        <w:numPr>
          <w:ilvl w:val="0"/>
          <w:numId w:val="11"/>
        </w:numPr>
        <w:jc w:val="both"/>
        <w:rPr>
          <w:color w:val="365F91" w:themeColor="accent1" w:themeShade="BF"/>
          <w:sz w:val="22"/>
          <w:szCs w:val="22"/>
        </w:rPr>
      </w:pPr>
      <w:r w:rsidRPr="0010403A">
        <w:rPr>
          <w:color w:val="auto"/>
          <w:sz w:val="22"/>
          <w:szCs w:val="22"/>
        </w:rPr>
        <w:t xml:space="preserve">The </w:t>
      </w:r>
      <w:r w:rsidRPr="00634B04">
        <w:rPr>
          <w:sz w:val="22"/>
          <w:szCs w:val="22"/>
        </w:rPr>
        <w:t>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r>
        <w:rPr>
          <w:sz w:val="22"/>
          <w:szCs w:val="22"/>
        </w:rPr>
        <w:t xml:space="preserve">; </w:t>
      </w:r>
      <w:r w:rsidRPr="0010403A">
        <w:rPr>
          <w:color w:val="365F91" w:themeColor="accent1" w:themeShade="BF"/>
          <w:sz w:val="22"/>
          <w:szCs w:val="22"/>
        </w:rPr>
        <w:t>or</w:t>
      </w:r>
    </w:p>
    <w:p w14:paraId="45C38EBE" w14:textId="77777777" w:rsidR="00CF1263" w:rsidRPr="0010403A" w:rsidRDefault="00CF1263" w:rsidP="00CF1263">
      <w:pPr>
        <w:pStyle w:val="Default"/>
        <w:numPr>
          <w:ilvl w:val="0"/>
          <w:numId w:val="11"/>
        </w:numPr>
        <w:jc w:val="both"/>
        <w:rPr>
          <w:color w:val="365F91" w:themeColor="accent1" w:themeShade="BF"/>
          <w:sz w:val="22"/>
          <w:szCs w:val="22"/>
        </w:rPr>
      </w:pPr>
      <w:r w:rsidRPr="0010403A">
        <w:rPr>
          <w:color w:val="365F91" w:themeColor="accent1" w:themeShade="BF"/>
          <w:sz w:val="22"/>
          <w:szCs w:val="22"/>
        </w:rPr>
        <w:t>The only new policies subject to VM-20 being issued or assumed by the company are due to election of policy benefits or features from existing policies that are being valued under VM-A and VM-C and the company was exempted from, or otherwise not subject to, the requirements of VM-20 in the prior year.</w:t>
      </w:r>
    </w:p>
    <w:p w14:paraId="7A47E497" w14:textId="77777777" w:rsidR="00CF1263" w:rsidRPr="00634B04" w:rsidRDefault="00CF1263" w:rsidP="00CF1263">
      <w:pPr>
        <w:pStyle w:val="Default"/>
        <w:ind w:left="1080"/>
        <w:jc w:val="both"/>
        <w:rPr>
          <w:sz w:val="22"/>
          <w:szCs w:val="22"/>
        </w:rPr>
      </w:pPr>
    </w:p>
    <w:p w14:paraId="33195F54" w14:textId="77777777" w:rsidR="00CF1263" w:rsidRPr="00634B04" w:rsidRDefault="00CF1263" w:rsidP="00CF1263">
      <w:pPr>
        <w:pStyle w:val="Default"/>
        <w:numPr>
          <w:ilvl w:val="0"/>
          <w:numId w:val="10"/>
        </w:numPr>
        <w:jc w:val="both"/>
        <w:rPr>
          <w:sz w:val="22"/>
          <w:szCs w:val="22"/>
        </w:rPr>
      </w:pPr>
      <w:r w:rsidRPr="00634B04">
        <w:rPr>
          <w:sz w:val="22"/>
          <w:szCs w:val="22"/>
        </w:rPr>
        <w:t>Policies Excluded from the Life PBR Exemption:</w:t>
      </w:r>
    </w:p>
    <w:p w14:paraId="6F6AF7B3" w14:textId="77777777" w:rsidR="00CF1263" w:rsidRDefault="00CF1263" w:rsidP="00CF1263">
      <w:pPr>
        <w:pStyle w:val="Default"/>
        <w:numPr>
          <w:ilvl w:val="0"/>
          <w:numId w:val="12"/>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75AD743A" w14:textId="77777777" w:rsidR="00CF1263" w:rsidRPr="0010403A" w:rsidRDefault="00CF1263" w:rsidP="00CF1263">
      <w:pPr>
        <w:pStyle w:val="Default"/>
        <w:ind w:left="1080"/>
        <w:jc w:val="both"/>
        <w:rPr>
          <w:sz w:val="22"/>
          <w:szCs w:val="22"/>
        </w:rPr>
      </w:pPr>
    </w:p>
    <w:p w14:paraId="5E1CA50A" w14:textId="77777777" w:rsidR="00CF1263" w:rsidRPr="0010403A" w:rsidRDefault="00CF1263" w:rsidP="0058101D">
      <w:pPr>
        <w:kinsoku w:val="0"/>
        <w:overflowPunct w:val="0"/>
        <w:autoSpaceDE w:val="0"/>
        <w:autoSpaceDN w:val="0"/>
        <w:adjustRightInd w:val="0"/>
        <w:spacing w:after="0" w:line="240" w:lineRule="auto"/>
        <w:ind w:left="859" w:right="413"/>
        <w:jc w:val="both"/>
        <w:rPr>
          <w:rFonts w:ascii="Times New Roman" w:hAnsi="Times New Roman" w:cs="Times New Roman"/>
          <w:sz w:val="20"/>
          <w:szCs w:val="20"/>
        </w:rPr>
      </w:pPr>
    </w:p>
    <w:p w14:paraId="4598EE0A" w14:textId="2A968943" w:rsidR="00C46CE8" w:rsidRDefault="0058101D" w:rsidP="0010403A">
      <w:pPr>
        <w:pStyle w:val="ListParagraph"/>
        <w:numPr>
          <w:ilvl w:val="0"/>
          <w:numId w:val="10"/>
        </w:numPr>
        <w:kinsoku w:val="0"/>
        <w:overflowPunct w:val="0"/>
        <w:ind w:right="413"/>
        <w:rPr>
          <w:sz w:val="20"/>
          <w:szCs w:val="20"/>
        </w:rPr>
      </w:pPr>
      <w:r w:rsidRPr="0010403A">
        <w:rPr>
          <w:sz w:val="20"/>
          <w:szCs w:val="20"/>
        </w:rPr>
        <w:t>Each exemption, or lack of an exemption,</w:t>
      </w:r>
      <w:ins w:id="0" w:author="Rachel Hemphill" w:date="2020-11-30T08:54:00Z">
        <w:r w:rsidRPr="0010403A">
          <w:rPr>
            <w:sz w:val="20"/>
            <w:szCs w:val="20"/>
          </w:rPr>
          <w:t xml:space="preserve"> outlined in D.1 – D.3 above</w:t>
        </w:r>
      </w:ins>
      <w:r w:rsidRPr="0010403A">
        <w:rPr>
          <w:sz w:val="20"/>
          <w:szCs w:val="20"/>
        </w:rPr>
        <w:t xml:space="preserve"> applies only to policies issued or assumed in the current year, and it applies to all future valuation dates for those policies. </w:t>
      </w:r>
      <w:ins w:id="1" w:author="Rachel Hemphill" w:date="2020-11-30T08:54:00Z">
        <w:r w:rsidRPr="0010403A">
          <w:rPr>
            <w:sz w:val="20"/>
            <w:szCs w:val="20"/>
          </w:rPr>
          <w:t xml:space="preserve">However, if policies 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 </w:t>
        </w:r>
      </w:ins>
      <w:r w:rsidRPr="0010403A">
        <w:rPr>
          <w:sz w:val="20"/>
          <w:szCs w:val="20"/>
        </w:rPr>
        <w:t>The minimum reserve requirements for the ordinary life policies subject to the exemption are those pursuant to applicable methods required in VM-A and VM-C using the mortality as defined in VM-20 Section 3.C.1 and VM-M Section 1.H.</w:t>
      </w:r>
    </w:p>
    <w:p w14:paraId="6C1C8955" w14:textId="32C05131" w:rsidR="002A5255" w:rsidRDefault="002A5255" w:rsidP="002A5255">
      <w:pPr>
        <w:kinsoku w:val="0"/>
        <w:overflowPunct w:val="0"/>
        <w:ind w:right="413"/>
        <w:rPr>
          <w:sz w:val="20"/>
          <w:szCs w:val="20"/>
        </w:rPr>
      </w:pPr>
    </w:p>
    <w:p w14:paraId="3C475ED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r w:rsidRPr="002A5255">
        <w:rPr>
          <w:rFonts w:ascii="Times New Roman" w:eastAsia="Times New Roman" w:hAnsi="Times New Roman" w:cs="Times New Roman"/>
          <w:b/>
          <w:color w:val="000000"/>
          <w:sz w:val="28"/>
          <w:szCs w:val="28"/>
          <w:u w:val="single"/>
        </w:rPr>
        <w:t>Valuation Manual Section II, Subsection 1.D - Footnote</w:t>
      </w:r>
    </w:p>
    <w:p w14:paraId="190E904A"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p>
    <w:p w14:paraId="5EC2181C"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r w:rsidRPr="002A5255">
        <w:rPr>
          <w:rFonts w:ascii="Times New Roman" w:eastAsia="Times New Roman" w:hAnsi="Times New Roman" w:cs="Times New Roman"/>
          <w:color w:val="000000"/>
          <w:sz w:val="24"/>
          <w:szCs w:val="24"/>
          <w:vertAlign w:val="superscript"/>
        </w:rPr>
        <w:t xml:space="preserve">1 </w:t>
      </w:r>
      <w:r w:rsidRPr="002A5255">
        <w:rPr>
          <w:rFonts w:ascii="Times New Roman" w:eastAsia="Times New Roman" w:hAnsi="Times New Roman" w:cs="Times New Roman"/>
          <w:color w:val="000000"/>
        </w:rPr>
        <w:t xml:space="preserve">Premiums are measured as </w:t>
      </w:r>
      <w:bookmarkStart w:id="2" w:name="_Hlk54011313"/>
      <w:r w:rsidRPr="002A5255">
        <w:rPr>
          <w:rFonts w:ascii="Times New Roman" w:eastAsia="Times New Roman" w:hAnsi="Times New Roman" w:cs="Times New Roman"/>
          <w:color w:val="365F91" w:themeColor="accent1" w:themeShade="BF"/>
        </w:rPr>
        <w:t>total (first year, single, and renewal)</w:t>
      </w:r>
      <w:bookmarkEnd w:id="2"/>
      <w:r w:rsidRPr="002A5255">
        <w:rPr>
          <w:rFonts w:ascii="Times New Roman" w:eastAsia="Times New Roman" w:hAnsi="Times New Roman" w:cs="Times New Roman"/>
          <w:color w:val="365F91" w:themeColor="accent1" w:themeShade="BF"/>
        </w:rPr>
        <w:t xml:space="preserve"> </w:t>
      </w:r>
      <w:r w:rsidRPr="002A5255">
        <w:rPr>
          <w:rFonts w:ascii="Times New Roman" w:eastAsia="Times New Roman" w:hAnsi="Times New Roman" w:cs="Times New Roman"/>
          <w:color w:val="000000"/>
        </w:rPr>
        <w:t xml:space="preserve">direct plus </w:t>
      </w:r>
      <w:r w:rsidRPr="002A5255">
        <w:rPr>
          <w:rFonts w:ascii="Times New Roman" w:eastAsia="Times New Roman" w:hAnsi="Times New Roman" w:cs="Times New Roman"/>
          <w:color w:val="365F91" w:themeColor="accent1" w:themeShade="BF"/>
        </w:rPr>
        <w:t xml:space="preserve">total (first year, single, and renewal) </w:t>
      </w:r>
      <w:r w:rsidRPr="002A5255">
        <w:rPr>
          <w:rFonts w:ascii="Times New Roman" w:eastAsia="Times New Roman" w:hAnsi="Times New Roman" w:cs="Times New Roman"/>
          <w:color w:val="000000"/>
        </w:rPr>
        <w:t>reinsurance assumed from an unaffiliated company from the ordinary life line of business reported in the prior calendar year life/health annual financial statement, Exhibit 1, Part 1, Column 3, “Ordinary Life Insurance” excluding premiums for guaranteed issue policies and preneed life contracts and excluding amounts that represent the transfer of reserves in force as of the effective date of a reinsurance assumed transaction and are reported in Exhibit 1 Part 1, Column 3 as ordinary life insurance premium. Preneed is as defined in VM-01.</w:t>
      </w:r>
    </w:p>
    <w:p w14:paraId="5723D0F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p>
    <w:p w14:paraId="1414C264"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p>
    <w:p w14:paraId="16F784CB" w14:textId="77777777" w:rsidR="002A5255" w:rsidRPr="002A5255" w:rsidRDefault="002A5255" w:rsidP="002A5255">
      <w:pPr>
        <w:kinsoku w:val="0"/>
        <w:overflowPunct w:val="0"/>
        <w:ind w:right="413"/>
        <w:rPr>
          <w:sz w:val="20"/>
          <w:szCs w:val="20"/>
        </w:rPr>
      </w:pPr>
    </w:p>
    <w:p w14:paraId="693BE086" w14:textId="77777777" w:rsidR="0010403A" w:rsidRPr="0010403A" w:rsidRDefault="0010403A" w:rsidP="0010403A">
      <w:pPr>
        <w:pStyle w:val="ListParagraph"/>
        <w:kinsoku w:val="0"/>
        <w:overflowPunct w:val="0"/>
        <w:ind w:left="720" w:right="413" w:firstLine="0"/>
        <w:rPr>
          <w:rFonts w:ascii="Calibri" w:hAnsi="Calibri" w:cs="Calibri"/>
          <w:sz w:val="20"/>
          <w:szCs w:val="20"/>
        </w:rPr>
      </w:pP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6E714AD4" w14:textId="77777777" w:rsidR="00886687" w:rsidRDefault="00886687" w:rsidP="00886687">
      <w:pPr>
        <w:kinsoku w:val="0"/>
        <w:overflowPunct w:val="0"/>
        <w:autoSpaceDE w:val="0"/>
        <w:autoSpaceDN w:val="0"/>
        <w:adjustRightInd w:val="0"/>
        <w:spacing w:after="0" w:line="240" w:lineRule="auto"/>
        <w:ind w:left="864"/>
        <w:rPr>
          <w:rFonts w:ascii="Calibri" w:hAnsi="Calibri" w:cs="Calibri"/>
          <w:sz w:val="20"/>
          <w:szCs w:val="20"/>
        </w:rPr>
      </w:pPr>
    </w:p>
    <w:p w14:paraId="7A1E24A8" w14:textId="729D9A0A" w:rsidR="00886687" w:rsidRPr="00886687" w:rsidRDefault="0058101D" w:rsidP="00886687">
      <w:pPr>
        <w:kinsoku w:val="0"/>
        <w:overflowPunct w:val="0"/>
        <w:autoSpaceDE w:val="0"/>
        <w:autoSpaceDN w:val="0"/>
        <w:adjustRightInd w:val="0"/>
        <w:spacing w:after="0" w:line="240" w:lineRule="auto"/>
        <w:ind w:left="864"/>
        <w:rPr>
          <w:rFonts w:ascii="Calibri" w:hAnsi="Calibri" w:cs="Calibri"/>
          <w:sz w:val="20"/>
          <w:szCs w:val="20"/>
        </w:rPr>
      </w:pPr>
      <w:r>
        <w:rPr>
          <w:rFonts w:ascii="Calibri" w:hAnsi="Calibri" w:cs="Calibri"/>
          <w:sz w:val="20"/>
          <w:szCs w:val="20"/>
        </w:rPr>
        <w:t>Addresses the exemption of policies issued in 2020 and 2021 (such as conversions) that may be exempted under the 2022 Valuation Manual requirements but did not qualify under the 2020 or 2021 Valuation Manual requirements</w:t>
      </w:r>
      <w:r w:rsidR="00886687" w:rsidRPr="00886687">
        <w:rPr>
          <w:rFonts w:ascii="Calibri" w:hAnsi="Calibri" w:cs="Calibri"/>
          <w:sz w:val="20"/>
          <w:szCs w:val="20"/>
        </w:rPr>
        <w:t>.</w:t>
      </w:r>
    </w:p>
    <w:p w14:paraId="7D58C548" w14:textId="34DEAF7E"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p>
    <w:p w14:paraId="51954B2C"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5BD92E86" wp14:editId="35DAB574">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2C9BB99"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7596736" w14:textId="1118C6B7" w:rsidR="00CE31A8" w:rsidRPr="00886687" w:rsidRDefault="00C46CE8" w:rsidP="0058101D">
      <w:pPr>
        <w:kinsoku w:val="0"/>
        <w:overflowPunct w:val="0"/>
        <w:autoSpaceDE w:val="0"/>
        <w:autoSpaceDN w:val="0"/>
        <w:adjustRightInd w:val="0"/>
        <w:spacing w:before="33" w:after="0" w:line="240" w:lineRule="auto"/>
        <w:ind w:left="140" w:right="413"/>
        <w:rPr>
          <w:rFonts w:ascii="Times New Roman" w:hAnsi="Times New Roman" w:cs="Times New Roman"/>
          <w:i/>
        </w:rPr>
      </w:pPr>
      <w:r w:rsidRPr="00F143DD">
        <w:rPr>
          <w:rFonts w:ascii="Times New Roman" w:hAnsi="Times New Roman" w:cs="Times New Roman"/>
          <w:sz w:val="20"/>
          <w:szCs w:val="20"/>
        </w:rPr>
        <w:t>© 20</w:t>
      </w:r>
      <w:r w:rsidR="008D76E9">
        <w:rPr>
          <w:rFonts w:ascii="Times New Roman" w:hAnsi="Times New Roman" w:cs="Times New Roman"/>
          <w:sz w:val="20"/>
          <w:szCs w:val="20"/>
        </w:rPr>
        <w:t>20</w:t>
      </w:r>
      <w:r w:rsidRPr="00F143DD">
        <w:rPr>
          <w:rFonts w:ascii="Times New Roman" w:hAnsi="Times New Roman" w:cs="Times New Roman"/>
          <w:sz w:val="20"/>
          <w:szCs w:val="20"/>
        </w:rPr>
        <w:t xml:space="preserve">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bookmarkStart w:id="3" w:name="bookmark0"/>
      <w:bookmarkStart w:id="4" w:name="2._Nonsubstantive_Items"/>
      <w:bookmarkStart w:id="5" w:name="1._Substantive_Items"/>
      <w:bookmarkEnd w:id="3"/>
      <w:bookmarkEnd w:id="4"/>
      <w:bookmarkEnd w:id="5"/>
    </w:p>
    <w:sectPr w:rsidR="00CE31A8" w:rsidRPr="00886687" w:rsidSect="0042215A">
      <w:head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4F96" w14:textId="77777777" w:rsidR="00E25452" w:rsidRDefault="00E25452" w:rsidP="00E25452">
      <w:pPr>
        <w:spacing w:after="0" w:line="240" w:lineRule="auto"/>
      </w:pPr>
      <w:r>
        <w:separator/>
      </w:r>
    </w:p>
  </w:endnote>
  <w:endnote w:type="continuationSeparator" w:id="0">
    <w:p w14:paraId="7401C009" w14:textId="77777777" w:rsidR="00E25452" w:rsidRDefault="00E25452" w:rsidP="00E2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0F7D" w14:textId="77777777" w:rsidR="00E25452" w:rsidRDefault="00E25452" w:rsidP="00E25452">
      <w:pPr>
        <w:spacing w:after="0" w:line="240" w:lineRule="auto"/>
      </w:pPr>
      <w:r>
        <w:separator/>
      </w:r>
    </w:p>
  </w:footnote>
  <w:footnote w:type="continuationSeparator" w:id="0">
    <w:p w14:paraId="08D85CC8" w14:textId="77777777" w:rsidR="00E25452" w:rsidRDefault="00E25452" w:rsidP="00E2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E25452" w:rsidRPr="00F143DD" w14:paraId="403AC303" w14:textId="77777777" w:rsidTr="00E25452">
      <w:trPr>
        <w:trHeight w:hRule="exact" w:val="37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9E8C511" w14:textId="77777777" w:rsidR="00E25452" w:rsidRPr="00F143DD" w:rsidRDefault="00E25452" w:rsidP="00E25452">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1DD1045"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38C5DA8B"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95DD82C"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E25452" w:rsidRPr="00F143DD" w14:paraId="191BFFD0" w14:textId="77777777" w:rsidTr="0076724C">
      <w:trPr>
        <w:trHeight w:hRule="exact" w:val="235"/>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9581851" w14:textId="5835BDB9" w:rsidR="00E25452" w:rsidRPr="00E25452" w:rsidRDefault="00E25452" w:rsidP="00E25452">
          <w:pPr>
            <w:autoSpaceDE w:val="0"/>
            <w:autoSpaceDN w:val="0"/>
            <w:adjustRightInd w:val="0"/>
            <w:spacing w:after="0" w:line="240" w:lineRule="auto"/>
            <w:rPr>
              <w:rFonts w:ascii="Times New Roman" w:hAnsi="Times New Roman" w:cs="Times New Roman"/>
              <w:sz w:val="20"/>
              <w:szCs w:val="20"/>
            </w:rPr>
          </w:pPr>
          <w:r w:rsidRPr="00E25452">
            <w:rPr>
              <w:rFonts w:ascii="Times New Roman" w:hAnsi="Times New Roman" w:cs="Times New Roman"/>
              <w:sz w:val="20"/>
              <w:szCs w:val="20"/>
            </w:rPr>
            <w:t xml:space="preserve"> 11/30/20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A9A72E" w14:textId="00A26CE0"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E7F5BB1"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6ED4FD2"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r>
    <w:tr w:rsidR="00E25452" w:rsidRPr="00F143DD" w14:paraId="1FB5928D" w14:textId="77777777" w:rsidTr="0076724C">
      <w:trPr>
        <w:trHeight w:hRule="exact" w:val="235"/>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2317DD7" w14:textId="30208D93" w:rsidR="00E25452" w:rsidRPr="00E25452" w:rsidRDefault="00E25452" w:rsidP="00E25452">
          <w:pPr>
            <w:kinsoku w:val="0"/>
            <w:overflowPunct w:val="0"/>
            <w:autoSpaceDE w:val="0"/>
            <w:autoSpaceDN w:val="0"/>
            <w:adjustRightInd w:val="0"/>
            <w:spacing w:after="0" w:line="243" w:lineRule="exact"/>
            <w:ind w:left="102"/>
            <w:rPr>
              <w:rFonts w:ascii="Times New Roman" w:hAnsi="Times New Roman" w:cs="Times New Roman"/>
              <w:sz w:val="20"/>
              <w:szCs w:val="20"/>
            </w:rPr>
          </w:pPr>
          <w:r w:rsidRPr="00E25452">
            <w:rPr>
              <w:rFonts w:ascii="Times New Roman" w:hAnsi="Times New Roman" w:cs="Times New Roman"/>
              <w:sz w:val="20"/>
              <w:szCs w:val="20"/>
            </w:rPr>
            <w:t>APF 2020-11</w:t>
          </w:r>
        </w:p>
      </w:tc>
    </w:tr>
  </w:tbl>
  <w:p w14:paraId="269DF134" w14:textId="77777777" w:rsidR="00E25452" w:rsidRDefault="00E25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5"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 w15:restartNumberingAfterBreak="0">
    <w:nsid w:val="609A4AC0"/>
    <w:multiLevelType w:val="hybridMultilevel"/>
    <w:tmpl w:val="4B02186C"/>
    <w:lvl w:ilvl="0" w:tplc="60B68F3E">
      <w:start w:val="1"/>
      <w:numFmt w:val="lowerLetter"/>
      <w:lvlText w:val="%1."/>
      <w:lvlJc w:val="left"/>
      <w:pPr>
        <w:ind w:left="1080" w:hanging="360"/>
      </w:pPr>
      <w:rPr>
        <w:rFonts w:hint="default"/>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76755"/>
    <w:multiLevelType w:val="hybridMultilevel"/>
    <w:tmpl w:val="2752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1"/>
  </w:num>
  <w:num w:numId="3">
    <w:abstractNumId w:val="10"/>
  </w:num>
  <w:num w:numId="4">
    <w:abstractNumId w:val="3"/>
  </w:num>
  <w:num w:numId="5">
    <w:abstractNumId w:val="5"/>
  </w:num>
  <w:num w:numId="6">
    <w:abstractNumId w:val="2"/>
  </w:num>
  <w:num w:numId="7">
    <w:abstractNumId w:val="4"/>
  </w:num>
  <w:num w:numId="8">
    <w:abstractNumId w:val="6"/>
  </w:num>
  <w:num w:numId="9">
    <w:abstractNumId w:val="7"/>
  </w:num>
  <w:num w:numId="10">
    <w:abstractNumId w:val="9"/>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76B39"/>
    <w:rsid w:val="0008754D"/>
    <w:rsid w:val="000A4A98"/>
    <w:rsid w:val="000C01F7"/>
    <w:rsid w:val="000C2D1D"/>
    <w:rsid w:val="000C3167"/>
    <w:rsid w:val="000D23BD"/>
    <w:rsid w:val="000E0938"/>
    <w:rsid w:val="0010403A"/>
    <w:rsid w:val="001345AE"/>
    <w:rsid w:val="00134947"/>
    <w:rsid w:val="001840FD"/>
    <w:rsid w:val="001841C9"/>
    <w:rsid w:val="00213121"/>
    <w:rsid w:val="00220E9C"/>
    <w:rsid w:val="00240855"/>
    <w:rsid w:val="002A5255"/>
    <w:rsid w:val="00342F3F"/>
    <w:rsid w:val="00373B6B"/>
    <w:rsid w:val="00396CFF"/>
    <w:rsid w:val="0042215A"/>
    <w:rsid w:val="00436424"/>
    <w:rsid w:val="00454702"/>
    <w:rsid w:val="004852F0"/>
    <w:rsid w:val="004B72E3"/>
    <w:rsid w:val="004C26A5"/>
    <w:rsid w:val="004F0A31"/>
    <w:rsid w:val="004F3559"/>
    <w:rsid w:val="0050622C"/>
    <w:rsid w:val="00522783"/>
    <w:rsid w:val="00552713"/>
    <w:rsid w:val="00552AE4"/>
    <w:rsid w:val="00555154"/>
    <w:rsid w:val="0058101D"/>
    <w:rsid w:val="005A0A48"/>
    <w:rsid w:val="005C60A8"/>
    <w:rsid w:val="005F625B"/>
    <w:rsid w:val="00611241"/>
    <w:rsid w:val="00615B0B"/>
    <w:rsid w:val="00654E49"/>
    <w:rsid w:val="006669DE"/>
    <w:rsid w:val="00681EB2"/>
    <w:rsid w:val="006A768E"/>
    <w:rsid w:val="006C4C6F"/>
    <w:rsid w:val="006D101F"/>
    <w:rsid w:val="006F0F9A"/>
    <w:rsid w:val="00707B6C"/>
    <w:rsid w:val="00710747"/>
    <w:rsid w:val="007153DC"/>
    <w:rsid w:val="00745DCA"/>
    <w:rsid w:val="00766DBC"/>
    <w:rsid w:val="00784E0C"/>
    <w:rsid w:val="007A05D8"/>
    <w:rsid w:val="007A083C"/>
    <w:rsid w:val="007B0EDC"/>
    <w:rsid w:val="007C6379"/>
    <w:rsid w:val="007D467D"/>
    <w:rsid w:val="0080122F"/>
    <w:rsid w:val="008016FD"/>
    <w:rsid w:val="0080695B"/>
    <w:rsid w:val="00814EFF"/>
    <w:rsid w:val="00886687"/>
    <w:rsid w:val="00894948"/>
    <w:rsid w:val="008A3C07"/>
    <w:rsid w:val="008C0850"/>
    <w:rsid w:val="008D37B8"/>
    <w:rsid w:val="008D76E9"/>
    <w:rsid w:val="009251FA"/>
    <w:rsid w:val="00944A4F"/>
    <w:rsid w:val="00954A6F"/>
    <w:rsid w:val="009A7724"/>
    <w:rsid w:val="009B25D3"/>
    <w:rsid w:val="009D6008"/>
    <w:rsid w:val="009E0C66"/>
    <w:rsid w:val="009E690A"/>
    <w:rsid w:val="00A0556D"/>
    <w:rsid w:val="00A1280B"/>
    <w:rsid w:val="00A31867"/>
    <w:rsid w:val="00AA572D"/>
    <w:rsid w:val="00AD0CD0"/>
    <w:rsid w:val="00B11BEA"/>
    <w:rsid w:val="00B417BE"/>
    <w:rsid w:val="00B435D0"/>
    <w:rsid w:val="00B50F81"/>
    <w:rsid w:val="00B63E53"/>
    <w:rsid w:val="00BB0691"/>
    <w:rsid w:val="00BD5DE3"/>
    <w:rsid w:val="00BD6795"/>
    <w:rsid w:val="00BE4AC7"/>
    <w:rsid w:val="00C107B0"/>
    <w:rsid w:val="00C2728C"/>
    <w:rsid w:val="00C46CE8"/>
    <w:rsid w:val="00C5522E"/>
    <w:rsid w:val="00C67D18"/>
    <w:rsid w:val="00C74615"/>
    <w:rsid w:val="00CB765A"/>
    <w:rsid w:val="00CE31A8"/>
    <w:rsid w:val="00CF1263"/>
    <w:rsid w:val="00D169EB"/>
    <w:rsid w:val="00D500F9"/>
    <w:rsid w:val="00D63BE1"/>
    <w:rsid w:val="00D77527"/>
    <w:rsid w:val="00E25452"/>
    <w:rsid w:val="00E328CA"/>
    <w:rsid w:val="00E360C0"/>
    <w:rsid w:val="00E5079D"/>
    <w:rsid w:val="00EB782C"/>
    <w:rsid w:val="00EF0716"/>
    <w:rsid w:val="00F03C35"/>
    <w:rsid w:val="00F100D5"/>
    <w:rsid w:val="00F47E3C"/>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semiHidden/>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semiHidden/>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paragraph" w:styleId="Header">
    <w:name w:val="header"/>
    <w:basedOn w:val="Normal"/>
    <w:link w:val="HeaderChar"/>
    <w:uiPriority w:val="99"/>
    <w:unhideWhenUsed/>
    <w:rsid w:val="00E2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52"/>
  </w:style>
  <w:style w:type="paragraph" w:styleId="Footer">
    <w:name w:val="footer"/>
    <w:basedOn w:val="Normal"/>
    <w:link w:val="FooterChar"/>
    <w:uiPriority w:val="99"/>
    <w:unhideWhenUsed/>
    <w:rsid w:val="00E2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3F59-39C1-41DC-9949-D7312E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3</cp:revision>
  <cp:lastPrinted>2018-06-25T21:23:00Z</cp:lastPrinted>
  <dcterms:created xsi:type="dcterms:W3CDTF">2020-12-07T14:06:00Z</dcterms:created>
  <dcterms:modified xsi:type="dcterms:W3CDTF">2020-12-07T14:24:00Z</dcterms:modified>
</cp:coreProperties>
</file>