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0385" w14:textId="77777777" w:rsidR="002A1D7D" w:rsidRPr="00EF7C60" w:rsidRDefault="002A1D7D" w:rsidP="002A1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Life Actuarial (A) Task Force/ Health Actuarial (B) Task Force</w:t>
      </w:r>
    </w:p>
    <w:p w14:paraId="7B6AF8DA" w14:textId="77777777" w:rsidR="002A1D7D" w:rsidRPr="00EF7C60" w:rsidRDefault="002A1D7D" w:rsidP="002A1D7D">
      <w:pPr>
        <w:jc w:val="center"/>
        <w:rPr>
          <w:b/>
        </w:rPr>
      </w:pPr>
      <w:r w:rsidRPr="00EF7C60">
        <w:rPr>
          <w:b/>
        </w:rPr>
        <w:t>Amendment Proposal Form*</w:t>
      </w:r>
    </w:p>
    <w:p w14:paraId="51D9C6D8" w14:textId="77777777" w:rsidR="002A1D7D" w:rsidRPr="002F4168" w:rsidRDefault="002A1D7D" w:rsidP="002A1D7D">
      <w:pPr>
        <w:jc w:val="both"/>
        <w:rPr>
          <w:sz w:val="20"/>
          <w:szCs w:val="20"/>
        </w:rPr>
      </w:pPr>
    </w:p>
    <w:p w14:paraId="2AAE2BDB" w14:textId="4758C020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1.</w:t>
      </w:r>
      <w:r w:rsidRPr="005B233B">
        <w:rPr>
          <w:sz w:val="22"/>
          <w:szCs w:val="22"/>
        </w:rPr>
        <w:tab/>
        <w:t>Identify yourself, your affiliation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and a very brief description (title) of the issue.</w:t>
      </w:r>
    </w:p>
    <w:p w14:paraId="76D52CCC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6B248FCF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Identification:</w:t>
      </w:r>
    </w:p>
    <w:p w14:paraId="74ADE238" w14:textId="77777777" w:rsidR="002A1D7D" w:rsidRPr="005B233B" w:rsidRDefault="002A1D7D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Fred Andersen, FSA, MAAA and Ben Slutsker, FSA, MAAA</w:t>
      </w:r>
    </w:p>
    <w:p w14:paraId="4DCC7F72" w14:textId="77777777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ab/>
      </w:r>
    </w:p>
    <w:p w14:paraId="3942110E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Title of the Issue:</w:t>
      </w:r>
    </w:p>
    <w:p w14:paraId="36951B5B" w14:textId="77777777" w:rsidR="002A1D7D" w:rsidRPr="005B233B" w:rsidRDefault="002A1D7D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Clarify expectations on reflection of equity return volatility in VM-30 cash-flow testing.  </w:t>
      </w:r>
    </w:p>
    <w:p w14:paraId="114740A9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75885B9F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2.</w:t>
      </w:r>
      <w:r w:rsidRPr="005B233B">
        <w:rPr>
          <w:sz w:val="22"/>
          <w:szCs w:val="22"/>
        </w:rPr>
        <w:tab/>
        <w:t>Identify the document, including the date if the document is “released for comment,” and the location in the document where the amendment is proposed:</w:t>
      </w:r>
    </w:p>
    <w:p w14:paraId="0B2FE6DD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</w:p>
    <w:p w14:paraId="503540EC" w14:textId="739D5319" w:rsidR="00CF65BC" w:rsidRDefault="00CF65BC" w:rsidP="002A1D7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VM-01</w:t>
      </w:r>
    </w:p>
    <w:p w14:paraId="7589E95A" w14:textId="77777777" w:rsidR="00CF65BC" w:rsidRDefault="00CF65BC" w:rsidP="002A1D7D">
      <w:pPr>
        <w:ind w:firstLine="720"/>
        <w:jc w:val="both"/>
        <w:rPr>
          <w:sz w:val="22"/>
          <w:szCs w:val="22"/>
        </w:rPr>
      </w:pPr>
    </w:p>
    <w:p w14:paraId="47B868C1" w14:textId="1978F3FF" w:rsidR="002A1D7D" w:rsidRDefault="002A1D7D" w:rsidP="002A1D7D">
      <w:pPr>
        <w:ind w:firstLine="720"/>
        <w:jc w:val="both"/>
        <w:rPr>
          <w:sz w:val="22"/>
          <w:szCs w:val="22"/>
        </w:rPr>
      </w:pPr>
      <w:r w:rsidRPr="00D3784D">
        <w:rPr>
          <w:sz w:val="22"/>
          <w:szCs w:val="22"/>
        </w:rPr>
        <w:t>VM-</w:t>
      </w:r>
      <w:r>
        <w:rPr>
          <w:sz w:val="22"/>
          <w:szCs w:val="22"/>
        </w:rPr>
        <w:t>3</w:t>
      </w:r>
      <w:r w:rsidRPr="00D3784D">
        <w:rPr>
          <w:sz w:val="22"/>
          <w:szCs w:val="22"/>
        </w:rPr>
        <w:t>0</w:t>
      </w:r>
      <w:r>
        <w:rPr>
          <w:sz w:val="22"/>
          <w:szCs w:val="22"/>
        </w:rPr>
        <w:t xml:space="preserve"> Section</w:t>
      </w:r>
      <w:r w:rsidRPr="00D378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3.B </w:t>
      </w:r>
      <w:r w:rsidRPr="000B768B">
        <w:rPr>
          <w:sz w:val="22"/>
          <w:szCs w:val="22"/>
        </w:rPr>
        <w:t>(new item 7 with items below renumbered)</w:t>
      </w:r>
    </w:p>
    <w:p w14:paraId="08977DFF" w14:textId="6DD39B8B" w:rsidR="002A1D7D" w:rsidRPr="005B233B" w:rsidRDefault="00B1399E" w:rsidP="00B1399E">
      <w:pPr>
        <w:tabs>
          <w:tab w:val="left" w:pos="235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6C956DC" w14:textId="77777777" w:rsidR="002A1D7D" w:rsidRPr="005B233B" w:rsidRDefault="002A1D7D" w:rsidP="002A1D7D">
      <w:pPr>
        <w:ind w:left="720"/>
        <w:jc w:val="both"/>
        <w:rPr>
          <w:sz w:val="22"/>
          <w:szCs w:val="22"/>
        </w:rPr>
      </w:pPr>
      <w:r w:rsidRPr="1C720C32">
        <w:rPr>
          <w:sz w:val="22"/>
          <w:szCs w:val="22"/>
        </w:rPr>
        <w:t xml:space="preserve">January 1, </w:t>
      </w:r>
      <w:proofErr w:type="gramStart"/>
      <w:r w:rsidRPr="1C720C32">
        <w:rPr>
          <w:sz w:val="22"/>
          <w:szCs w:val="22"/>
        </w:rPr>
        <w:t>2023</w:t>
      </w:r>
      <w:proofErr w:type="gramEnd"/>
      <w:r w:rsidRPr="1C720C32">
        <w:rPr>
          <w:sz w:val="22"/>
          <w:szCs w:val="22"/>
        </w:rPr>
        <w:t xml:space="preserve"> NAIC Valuation Manual</w:t>
      </w:r>
    </w:p>
    <w:p w14:paraId="65160ABD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19A6E62E" w14:textId="32CF591A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3.</w:t>
      </w:r>
      <w:r w:rsidRPr="005B233B">
        <w:rPr>
          <w:sz w:val="22"/>
          <w:szCs w:val="22"/>
        </w:rPr>
        <w:tab/>
        <w:t>Show what changes are needed by providing a red-line version of the original verbiage with deletions and identify the verbiage to be deleted, inserted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or changed by providing a red-line (turn on “track changes” in Word®) version of the verbiage. (You may do this through an attachment.)</w:t>
      </w:r>
    </w:p>
    <w:p w14:paraId="32D92D4E" w14:textId="77777777" w:rsidR="002A1D7D" w:rsidRDefault="002A1D7D" w:rsidP="002A1D7D">
      <w:pPr>
        <w:widowControl w:val="0"/>
        <w:spacing w:line="271" w:lineRule="auto"/>
        <w:contextualSpacing/>
        <w:jc w:val="both"/>
        <w:rPr>
          <w:sz w:val="22"/>
          <w:szCs w:val="22"/>
        </w:rPr>
      </w:pPr>
    </w:p>
    <w:p w14:paraId="636DB11A" w14:textId="36ABEFF7" w:rsidR="006058A2" w:rsidRDefault="002A1D7D" w:rsidP="002A1D7D">
      <w:pPr>
        <w:widowControl w:val="0"/>
        <w:spacing w:line="271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058A2">
        <w:rPr>
          <w:sz w:val="22"/>
          <w:szCs w:val="22"/>
        </w:rPr>
        <w:t>Add the following definition to VM-01</w:t>
      </w:r>
    </w:p>
    <w:p w14:paraId="0B2E3D59" w14:textId="7D21AF98" w:rsidR="006058A2" w:rsidRDefault="006058A2" w:rsidP="006058A2">
      <w:pPr>
        <w:widowControl w:val="0"/>
        <w:spacing w:line="271" w:lineRule="auto"/>
        <w:contextualSpacing/>
        <w:jc w:val="both"/>
        <w:rPr>
          <w:sz w:val="22"/>
          <w:szCs w:val="22"/>
        </w:rPr>
      </w:pPr>
    </w:p>
    <w:p w14:paraId="0AB62573" w14:textId="121581B5" w:rsidR="006058A2" w:rsidRPr="00C52CD9" w:rsidRDefault="006058A2" w:rsidP="006058A2">
      <w:pPr>
        <w:pStyle w:val="Default"/>
        <w:numPr>
          <w:ilvl w:val="0"/>
          <w:numId w:val="4"/>
        </w:numPr>
        <w:spacing w:line="271" w:lineRule="auto"/>
        <w:rPr>
          <w:color w:val="FF0000"/>
          <w:sz w:val="22"/>
          <w:szCs w:val="22"/>
        </w:rPr>
      </w:pPr>
      <w:r w:rsidRPr="00C52CD9">
        <w:rPr>
          <w:color w:val="FF0000"/>
          <w:sz w:val="22"/>
          <w:szCs w:val="22"/>
        </w:rPr>
        <w:t>The term “</w:t>
      </w:r>
      <w:r w:rsidR="00DF0DA9">
        <w:rPr>
          <w:color w:val="FF0000"/>
          <w:sz w:val="22"/>
          <w:szCs w:val="22"/>
        </w:rPr>
        <w:t>e</w:t>
      </w:r>
      <w:r w:rsidRPr="00C52CD9">
        <w:rPr>
          <w:color w:val="FF0000"/>
          <w:sz w:val="22"/>
          <w:szCs w:val="22"/>
        </w:rPr>
        <w:t>quity-</w:t>
      </w:r>
      <w:r w:rsidR="00DF0DA9">
        <w:rPr>
          <w:color w:val="FF0000"/>
          <w:sz w:val="22"/>
          <w:szCs w:val="22"/>
        </w:rPr>
        <w:t>l</w:t>
      </w:r>
      <w:r w:rsidRPr="00C52CD9">
        <w:rPr>
          <w:color w:val="FF0000"/>
          <w:sz w:val="22"/>
          <w:szCs w:val="22"/>
        </w:rPr>
        <w:t xml:space="preserve">ike </w:t>
      </w:r>
      <w:r w:rsidR="00DF0DA9">
        <w:rPr>
          <w:color w:val="FF0000"/>
          <w:sz w:val="22"/>
          <w:szCs w:val="22"/>
        </w:rPr>
        <w:t>i</w:t>
      </w:r>
      <w:r w:rsidRPr="00C52CD9">
        <w:rPr>
          <w:color w:val="FF0000"/>
          <w:sz w:val="22"/>
          <w:szCs w:val="22"/>
        </w:rPr>
        <w:t>nstruments” means assets that include the following:</w:t>
      </w:r>
    </w:p>
    <w:p w14:paraId="484C70F9" w14:textId="77777777" w:rsidR="006058A2" w:rsidRPr="00C52CD9" w:rsidRDefault="006058A2" w:rsidP="006058A2">
      <w:pPr>
        <w:pStyle w:val="Default"/>
        <w:numPr>
          <w:ilvl w:val="1"/>
          <w:numId w:val="4"/>
        </w:numPr>
        <w:spacing w:line="271" w:lineRule="auto"/>
        <w:rPr>
          <w:color w:val="FF0000"/>
          <w:sz w:val="22"/>
          <w:szCs w:val="22"/>
        </w:rPr>
      </w:pPr>
      <w:r w:rsidRPr="00C52CD9">
        <w:rPr>
          <w:color w:val="FF0000"/>
          <w:sz w:val="22"/>
          <w:szCs w:val="22"/>
        </w:rPr>
        <w:t xml:space="preserve">Any assets that, for purposes of risk-based capital C-1 reporting, are in the category of common stock, i.e., have a 30% or higher risk-based capital charge. </w:t>
      </w:r>
    </w:p>
    <w:p w14:paraId="2D2173A9" w14:textId="77777777" w:rsidR="006058A2" w:rsidRPr="00C52CD9" w:rsidRDefault="006058A2" w:rsidP="006058A2">
      <w:pPr>
        <w:pStyle w:val="Default"/>
        <w:numPr>
          <w:ilvl w:val="1"/>
          <w:numId w:val="4"/>
        </w:numPr>
        <w:spacing w:line="271" w:lineRule="auto"/>
        <w:rPr>
          <w:color w:val="FF0000"/>
          <w:sz w:val="22"/>
          <w:szCs w:val="22"/>
        </w:rPr>
      </w:pPr>
      <w:r w:rsidRPr="00C52CD9">
        <w:rPr>
          <w:color w:val="FF0000"/>
          <w:sz w:val="22"/>
          <w:szCs w:val="22"/>
        </w:rPr>
        <w:t>Any assets that are captured on Schedule A or Schedule BA of the annual statement.</w:t>
      </w:r>
    </w:p>
    <w:p w14:paraId="105A4465" w14:textId="44DB3059" w:rsidR="006058A2" w:rsidRPr="00C52CD9" w:rsidRDefault="006058A2" w:rsidP="006058A2">
      <w:pPr>
        <w:pStyle w:val="Default"/>
        <w:numPr>
          <w:ilvl w:val="1"/>
          <w:numId w:val="4"/>
        </w:numPr>
        <w:spacing w:line="271" w:lineRule="auto"/>
        <w:rPr>
          <w:color w:val="FF0000"/>
          <w:sz w:val="22"/>
          <w:szCs w:val="22"/>
        </w:rPr>
      </w:pPr>
      <w:r w:rsidRPr="00C52CD9">
        <w:rPr>
          <w:color w:val="FF0000"/>
          <w:sz w:val="22"/>
          <w:szCs w:val="22"/>
        </w:rPr>
        <w:t>Bond funds.</w:t>
      </w:r>
    </w:p>
    <w:p w14:paraId="452111A0" w14:textId="77777777" w:rsidR="006058A2" w:rsidRDefault="006058A2" w:rsidP="002A1D7D">
      <w:pPr>
        <w:widowControl w:val="0"/>
        <w:spacing w:line="271" w:lineRule="auto"/>
        <w:contextualSpacing/>
        <w:jc w:val="both"/>
        <w:rPr>
          <w:sz w:val="22"/>
          <w:szCs w:val="22"/>
        </w:rPr>
      </w:pPr>
    </w:p>
    <w:p w14:paraId="50ABE4D3" w14:textId="1AF11B44" w:rsidR="002A1D7D" w:rsidRPr="000B768B" w:rsidRDefault="002A1D7D" w:rsidP="006058A2">
      <w:pPr>
        <w:widowControl w:val="0"/>
        <w:spacing w:line="271" w:lineRule="auto"/>
        <w:ind w:firstLine="720"/>
        <w:contextualSpacing/>
        <w:jc w:val="both"/>
        <w:rPr>
          <w:rFonts w:eastAsia="Times New Roman"/>
        </w:rPr>
      </w:pPr>
      <w:r>
        <w:rPr>
          <w:sz w:val="22"/>
          <w:szCs w:val="22"/>
        </w:rPr>
        <w:t>Add the following subsection 3.B.7. and renumber the items below:</w:t>
      </w:r>
    </w:p>
    <w:p w14:paraId="6D76442C" w14:textId="77777777" w:rsidR="002A1D7D" w:rsidRDefault="002A1D7D" w:rsidP="002A1D7D">
      <w:pPr>
        <w:pStyle w:val="ListParagraph"/>
        <w:widowControl w:val="0"/>
        <w:spacing w:line="271" w:lineRule="auto"/>
        <w:contextualSpacing/>
        <w:jc w:val="both"/>
        <w:rPr>
          <w:rFonts w:eastAsia="Times New Roman"/>
        </w:rPr>
      </w:pPr>
    </w:p>
    <w:p w14:paraId="6D223DCC" w14:textId="77777777" w:rsidR="002A1D7D" w:rsidRPr="00C52CD9" w:rsidRDefault="002A1D7D" w:rsidP="002A1D7D">
      <w:pPr>
        <w:pStyle w:val="ListParagraph"/>
        <w:widowControl w:val="0"/>
        <w:numPr>
          <w:ilvl w:val="0"/>
          <w:numId w:val="1"/>
        </w:numPr>
        <w:spacing w:line="271" w:lineRule="auto"/>
        <w:ind w:left="1800"/>
        <w:contextualSpacing/>
        <w:jc w:val="both"/>
        <w:rPr>
          <w:rFonts w:eastAsia="Times New Roman"/>
          <w:color w:val="FF0000"/>
          <w:sz w:val="22"/>
          <w:szCs w:val="22"/>
        </w:rPr>
      </w:pPr>
      <w:r w:rsidRPr="00C52CD9">
        <w:rPr>
          <w:rFonts w:eastAsia="Times New Roman"/>
          <w:color w:val="FF0000"/>
          <w:sz w:val="22"/>
          <w:szCs w:val="22"/>
        </w:rPr>
        <w:t>When the form of asset adequacy analysis is cash-flow testing, investment return assumptions for equity-like instruments shall not solely project the anticipated long-term average return (e.g., a single level assumption set to the long-term average) but account for the volatility of such returns which may be expected in moderately adverse conditions.</w:t>
      </w:r>
    </w:p>
    <w:p w14:paraId="55A9B804" w14:textId="77777777" w:rsidR="002A1D7D" w:rsidRPr="00C52CD9" w:rsidRDefault="002A1D7D" w:rsidP="002A1D7D">
      <w:pPr>
        <w:pStyle w:val="ListParagraph"/>
        <w:spacing w:line="271" w:lineRule="auto"/>
        <w:ind w:left="1800"/>
        <w:jc w:val="both"/>
        <w:rPr>
          <w:rFonts w:eastAsia="Times New Roman"/>
          <w:color w:val="FF0000"/>
          <w:sz w:val="22"/>
          <w:szCs w:val="22"/>
        </w:rPr>
      </w:pPr>
    </w:p>
    <w:p w14:paraId="6B05437F" w14:textId="77777777" w:rsidR="002A1D7D" w:rsidRPr="00C52CD9" w:rsidRDefault="002A1D7D" w:rsidP="002A1D7D">
      <w:pPr>
        <w:pStyle w:val="ListParagraph"/>
        <w:widowControl w:val="0"/>
        <w:numPr>
          <w:ilvl w:val="1"/>
          <w:numId w:val="1"/>
        </w:numPr>
        <w:spacing w:line="271" w:lineRule="auto"/>
        <w:ind w:left="2520"/>
        <w:contextualSpacing/>
        <w:jc w:val="both"/>
        <w:rPr>
          <w:rFonts w:eastAsia="Times New Roman"/>
          <w:color w:val="FF0000"/>
          <w:sz w:val="22"/>
          <w:szCs w:val="22"/>
        </w:rPr>
      </w:pPr>
      <w:r w:rsidRPr="00C52CD9">
        <w:rPr>
          <w:rFonts w:eastAsia="Times New Roman"/>
          <w:color w:val="FF0000"/>
          <w:sz w:val="22"/>
          <w:szCs w:val="22"/>
        </w:rPr>
        <w:t>To accomplish the accounting for volatility, one or more of the following approaches may be employed, as appropriate:</w:t>
      </w:r>
    </w:p>
    <w:p w14:paraId="43FB5B5E" w14:textId="77777777" w:rsidR="002A1D7D" w:rsidRPr="00C52CD9" w:rsidRDefault="002A1D7D" w:rsidP="002A1D7D">
      <w:pPr>
        <w:pStyle w:val="ListParagraph"/>
        <w:spacing w:line="271" w:lineRule="auto"/>
        <w:ind w:left="2520"/>
        <w:jc w:val="both"/>
        <w:rPr>
          <w:rFonts w:eastAsia="Times New Roman"/>
          <w:color w:val="FF0000"/>
          <w:sz w:val="22"/>
          <w:szCs w:val="22"/>
        </w:rPr>
      </w:pPr>
    </w:p>
    <w:p w14:paraId="1CED0549" w14:textId="77777777" w:rsidR="002A1D7D" w:rsidRPr="00C52CD9" w:rsidRDefault="002A1D7D" w:rsidP="002A1D7D">
      <w:pPr>
        <w:pStyle w:val="ListParagraph"/>
        <w:widowControl w:val="0"/>
        <w:numPr>
          <w:ilvl w:val="2"/>
          <w:numId w:val="1"/>
        </w:numPr>
        <w:spacing w:line="271" w:lineRule="auto"/>
        <w:ind w:left="3240"/>
        <w:contextualSpacing/>
        <w:jc w:val="both"/>
        <w:rPr>
          <w:rFonts w:eastAsia="Times New Roman"/>
          <w:color w:val="FF0000"/>
          <w:sz w:val="22"/>
          <w:szCs w:val="22"/>
        </w:rPr>
      </w:pPr>
      <w:r w:rsidRPr="00C52CD9">
        <w:rPr>
          <w:rFonts w:eastAsia="Times New Roman"/>
          <w:color w:val="FF0000"/>
          <w:sz w:val="22"/>
          <w:szCs w:val="22"/>
        </w:rPr>
        <w:t>Stochastic modeling for equity returns, with accompanying analysis of risk metrics.</w:t>
      </w:r>
    </w:p>
    <w:p w14:paraId="4BF076B8" w14:textId="77777777" w:rsidR="002A1D7D" w:rsidRPr="00C52CD9" w:rsidRDefault="002A1D7D" w:rsidP="002A1D7D">
      <w:pPr>
        <w:pStyle w:val="ListParagraph"/>
        <w:spacing w:line="271" w:lineRule="auto"/>
        <w:ind w:left="3240"/>
        <w:jc w:val="both"/>
        <w:rPr>
          <w:rFonts w:eastAsia="Times New Roman"/>
          <w:color w:val="FF0000"/>
          <w:sz w:val="22"/>
          <w:szCs w:val="22"/>
        </w:rPr>
      </w:pPr>
    </w:p>
    <w:p w14:paraId="63074955" w14:textId="4BD646B2" w:rsidR="002A1D7D" w:rsidRPr="00C52CD9" w:rsidRDefault="002A1D7D" w:rsidP="002A1D7D">
      <w:pPr>
        <w:pStyle w:val="ListParagraph"/>
        <w:widowControl w:val="0"/>
        <w:numPr>
          <w:ilvl w:val="2"/>
          <w:numId w:val="1"/>
        </w:numPr>
        <w:spacing w:line="271" w:lineRule="auto"/>
        <w:ind w:left="3240"/>
        <w:contextualSpacing/>
        <w:jc w:val="both"/>
        <w:rPr>
          <w:rFonts w:eastAsia="Times New Roman"/>
          <w:color w:val="FF0000"/>
          <w:sz w:val="22"/>
          <w:szCs w:val="22"/>
        </w:rPr>
      </w:pPr>
      <w:r w:rsidRPr="00C52CD9">
        <w:rPr>
          <w:rFonts w:eastAsia="Times New Roman"/>
          <w:color w:val="FF0000"/>
          <w:sz w:val="22"/>
          <w:szCs w:val="22"/>
        </w:rPr>
        <w:t>As relevant to capture the risk, including up, down, and/or volatile equity return scenarios for each given set of interest rate paths.</w:t>
      </w:r>
    </w:p>
    <w:p w14:paraId="29952F93" w14:textId="77777777" w:rsidR="002A1D7D" w:rsidRPr="00C52CD9" w:rsidRDefault="002A1D7D" w:rsidP="002A1D7D">
      <w:pPr>
        <w:pStyle w:val="ListParagraph"/>
        <w:ind w:left="1800"/>
        <w:rPr>
          <w:rFonts w:eastAsia="Times New Roman"/>
          <w:color w:val="FF0000"/>
          <w:sz w:val="22"/>
          <w:szCs w:val="22"/>
        </w:rPr>
      </w:pPr>
    </w:p>
    <w:p w14:paraId="5B4EF13E" w14:textId="77777777" w:rsidR="002A1D7D" w:rsidRPr="00C52CD9" w:rsidRDefault="002A1D7D" w:rsidP="002A1D7D">
      <w:pPr>
        <w:pStyle w:val="ListParagraph"/>
        <w:widowControl w:val="0"/>
        <w:numPr>
          <w:ilvl w:val="2"/>
          <w:numId w:val="1"/>
        </w:numPr>
        <w:spacing w:line="271" w:lineRule="auto"/>
        <w:ind w:left="3240"/>
        <w:contextualSpacing/>
        <w:jc w:val="both"/>
        <w:rPr>
          <w:rFonts w:eastAsia="Times New Roman"/>
          <w:color w:val="FF0000"/>
          <w:sz w:val="22"/>
          <w:szCs w:val="22"/>
        </w:rPr>
      </w:pPr>
      <w:r w:rsidRPr="00C52CD9">
        <w:rPr>
          <w:rFonts w:eastAsia="Times New Roman"/>
          <w:color w:val="FF0000"/>
          <w:sz w:val="22"/>
          <w:szCs w:val="22"/>
        </w:rPr>
        <w:t>Projecting one or more market drops, taking into consideration future points at which cash-flow testing results could be vulnerable to market downturns.</w:t>
      </w:r>
    </w:p>
    <w:p w14:paraId="7E89C55D" w14:textId="77777777" w:rsidR="002A1D7D" w:rsidRPr="00C52CD9" w:rsidRDefault="002A1D7D" w:rsidP="002A1D7D">
      <w:pPr>
        <w:pStyle w:val="ListParagraph"/>
        <w:ind w:left="1800"/>
        <w:rPr>
          <w:rFonts w:eastAsia="Times New Roman"/>
          <w:color w:val="FF0000"/>
          <w:sz w:val="22"/>
          <w:szCs w:val="22"/>
        </w:rPr>
      </w:pPr>
    </w:p>
    <w:p w14:paraId="06658BEE" w14:textId="327F9D15" w:rsidR="002A1D7D" w:rsidRPr="00C52CD9" w:rsidRDefault="002A1D7D" w:rsidP="002A1D7D">
      <w:pPr>
        <w:pStyle w:val="ListParagraph"/>
        <w:widowControl w:val="0"/>
        <w:numPr>
          <w:ilvl w:val="2"/>
          <w:numId w:val="1"/>
        </w:numPr>
        <w:spacing w:line="271" w:lineRule="auto"/>
        <w:ind w:left="3240"/>
        <w:contextualSpacing/>
        <w:jc w:val="both"/>
        <w:rPr>
          <w:rFonts w:eastAsia="Times New Roman"/>
          <w:color w:val="FF0000"/>
          <w:sz w:val="22"/>
          <w:szCs w:val="22"/>
        </w:rPr>
      </w:pPr>
      <w:r w:rsidRPr="00C52CD9">
        <w:rPr>
          <w:rFonts w:eastAsia="Times New Roman"/>
          <w:color w:val="FF0000"/>
          <w:sz w:val="22"/>
          <w:szCs w:val="22"/>
        </w:rPr>
        <w:t>Reflecting a level return assumption set equal to a tail risk metric, for example, setting investment returns to the average of the worst 30% of future scenarios, i.e., CTE70.</w:t>
      </w:r>
    </w:p>
    <w:p w14:paraId="00B5E8C8" w14:textId="77777777" w:rsidR="002A1D7D" w:rsidRPr="00C52CD9" w:rsidRDefault="002A1D7D" w:rsidP="002A1D7D">
      <w:pPr>
        <w:pStyle w:val="ListParagraph"/>
        <w:ind w:left="1800"/>
        <w:rPr>
          <w:rFonts w:eastAsia="Times New Roman"/>
          <w:color w:val="FF0000"/>
          <w:sz w:val="22"/>
          <w:szCs w:val="22"/>
        </w:rPr>
      </w:pPr>
    </w:p>
    <w:p w14:paraId="5DAFE06D" w14:textId="777C7949" w:rsidR="002A1D7D" w:rsidRPr="00C52CD9" w:rsidRDefault="002A1D7D" w:rsidP="002A1D7D">
      <w:pPr>
        <w:pStyle w:val="ListParagraph"/>
        <w:widowControl w:val="0"/>
        <w:numPr>
          <w:ilvl w:val="1"/>
          <w:numId w:val="1"/>
        </w:numPr>
        <w:spacing w:after="200" w:line="276" w:lineRule="auto"/>
        <w:ind w:left="2520"/>
        <w:contextualSpacing/>
        <w:rPr>
          <w:rFonts w:eastAsia="Times New Roman"/>
          <w:color w:val="FF0000"/>
          <w:sz w:val="22"/>
          <w:szCs w:val="22"/>
        </w:rPr>
      </w:pPr>
      <w:r w:rsidRPr="00C52CD9">
        <w:rPr>
          <w:rFonts w:eastAsia="Times New Roman"/>
          <w:color w:val="FF0000"/>
          <w:sz w:val="22"/>
          <w:szCs w:val="22"/>
        </w:rPr>
        <w:t xml:space="preserve">A qualitative description of why the equity return scenario used in asset adequacy </w:t>
      </w:r>
      <w:r w:rsidR="00D43E21" w:rsidRPr="00C52CD9">
        <w:rPr>
          <w:rFonts w:eastAsia="Times New Roman"/>
          <w:color w:val="FF0000"/>
          <w:sz w:val="22"/>
          <w:szCs w:val="22"/>
        </w:rPr>
        <w:t>analysis</w:t>
      </w:r>
      <w:r w:rsidRPr="00C52CD9">
        <w:rPr>
          <w:rFonts w:eastAsia="Times New Roman"/>
          <w:color w:val="FF0000"/>
          <w:sz w:val="22"/>
          <w:szCs w:val="22"/>
        </w:rPr>
        <w:t xml:space="preserve"> is moderately adverse </w:t>
      </w:r>
      <w:proofErr w:type="gramStart"/>
      <w:r w:rsidRPr="00C52CD9">
        <w:rPr>
          <w:rFonts w:eastAsia="Times New Roman"/>
          <w:color w:val="FF0000"/>
          <w:sz w:val="22"/>
          <w:szCs w:val="22"/>
        </w:rPr>
        <w:t>in light of</w:t>
      </w:r>
      <w:proofErr w:type="gramEnd"/>
      <w:r w:rsidRPr="00C52CD9">
        <w:rPr>
          <w:rFonts w:eastAsia="Times New Roman"/>
          <w:color w:val="FF0000"/>
          <w:sz w:val="22"/>
          <w:szCs w:val="22"/>
        </w:rPr>
        <w:t xml:space="preserve"> the company’s portfolio should be provided.</w:t>
      </w:r>
    </w:p>
    <w:p w14:paraId="3F41900A" w14:textId="0757B2A2" w:rsidR="002A1D7D" w:rsidRDefault="002A1D7D" w:rsidP="002A1D7D">
      <w:pPr>
        <w:ind w:left="1152" w:hanging="576"/>
        <w:jc w:val="both"/>
        <w:rPr>
          <w:sz w:val="22"/>
          <w:szCs w:val="22"/>
        </w:rPr>
      </w:pPr>
    </w:p>
    <w:p w14:paraId="4A6CB496" w14:textId="77777777" w:rsidR="002A1D7D" w:rsidRPr="005B233B" w:rsidRDefault="002A1D7D" w:rsidP="002A1D7D">
      <w:pPr>
        <w:ind w:left="1152" w:hanging="576"/>
        <w:jc w:val="both"/>
        <w:rPr>
          <w:sz w:val="22"/>
          <w:szCs w:val="22"/>
        </w:rPr>
      </w:pPr>
    </w:p>
    <w:p w14:paraId="513F97CA" w14:textId="77777777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4.</w:t>
      </w:r>
      <w:r w:rsidRPr="005B233B">
        <w:rPr>
          <w:sz w:val="22"/>
          <w:szCs w:val="22"/>
        </w:rPr>
        <w:tab/>
        <w:t xml:space="preserve">State the reason for the proposed </w:t>
      </w:r>
      <w:proofErr w:type="gramStart"/>
      <w:r w:rsidRPr="005B233B">
        <w:rPr>
          <w:sz w:val="22"/>
          <w:szCs w:val="22"/>
        </w:rPr>
        <w:t>amendment?</w:t>
      </w:r>
      <w:proofErr w:type="gramEnd"/>
      <w:r w:rsidRPr="005B233B">
        <w:rPr>
          <w:sz w:val="22"/>
          <w:szCs w:val="22"/>
        </w:rPr>
        <w:t xml:space="preserve"> (You may do this through an attachment.)</w:t>
      </w:r>
    </w:p>
    <w:p w14:paraId="0FAEF727" w14:textId="77777777" w:rsidR="002A1D7D" w:rsidRDefault="002A1D7D" w:rsidP="002A1D7D">
      <w:pPr>
        <w:ind w:left="720"/>
        <w:jc w:val="both"/>
        <w:rPr>
          <w:sz w:val="22"/>
          <w:szCs w:val="22"/>
        </w:rPr>
      </w:pPr>
    </w:p>
    <w:p w14:paraId="464C53AE" w14:textId="77777777" w:rsidR="002A1D7D" w:rsidRDefault="002A1D7D" w:rsidP="002A1D7D">
      <w:pPr>
        <w:spacing w:line="259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As presented at the August 2023 NAIC meeting, Actuarial Guideline 53 reviews revealed usage of flat, high, unchanging equity return assumptions for the length of 30+ year projections by many industry members.</w:t>
      </w:r>
    </w:p>
    <w:p w14:paraId="7933231B" w14:textId="77777777" w:rsidR="002A1D7D" w:rsidRDefault="002A1D7D" w:rsidP="002A1D7D">
      <w:pPr>
        <w:spacing w:line="259" w:lineRule="auto"/>
        <w:ind w:left="720"/>
        <w:jc w:val="both"/>
        <w:rPr>
          <w:sz w:val="22"/>
          <w:szCs w:val="22"/>
        </w:rPr>
      </w:pPr>
    </w:p>
    <w:p w14:paraId="39D6CE67" w14:textId="77777777" w:rsidR="002A1D7D" w:rsidRDefault="002A1D7D" w:rsidP="002A1D7D">
      <w:pPr>
        <w:spacing w:line="259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We believe that, just as fixed securities should have their risks appropriately reflected in cash-flow testing, so should equity-like instruments.</w:t>
      </w:r>
    </w:p>
    <w:p w14:paraId="00B9082F" w14:textId="77777777" w:rsidR="002A1D7D" w:rsidRDefault="002A1D7D" w:rsidP="002A1D7D">
      <w:pPr>
        <w:spacing w:line="259" w:lineRule="auto"/>
        <w:ind w:left="720"/>
        <w:jc w:val="both"/>
        <w:rPr>
          <w:sz w:val="22"/>
          <w:szCs w:val="22"/>
        </w:rPr>
      </w:pPr>
    </w:p>
    <w:p w14:paraId="557BA07B" w14:textId="77777777" w:rsidR="002A1D7D" w:rsidRPr="00A449B5" w:rsidRDefault="002A1D7D" w:rsidP="002A1D7D">
      <w:pPr>
        <w:spacing w:line="259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This proposal stops short of establishing a guardrail on equity return assumptions (as exists in other Valuation Manual sections), but such a guardrail may also be a consideration if regulators do not see an appropriate reflection of equity market volatility.</w:t>
      </w:r>
    </w:p>
    <w:p w14:paraId="70EE6020" w14:textId="77777777" w:rsidR="00174DEC" w:rsidRDefault="00174D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088"/>
        <w:gridCol w:w="1980"/>
        <w:gridCol w:w="1955"/>
        <w:gridCol w:w="3862"/>
      </w:tblGrid>
      <w:tr w:rsidR="00DC0E65" w:rsidRPr="003036F1" w14:paraId="2B93D8A4" w14:textId="77777777" w:rsidTr="002325CF">
        <w:trPr>
          <w:trHeight w:val="197"/>
          <w:jc w:val="center"/>
        </w:trPr>
        <w:tc>
          <w:tcPr>
            <w:tcW w:w="2088" w:type="dxa"/>
            <w:shd w:val="clear" w:color="auto" w:fill="CCCCCC"/>
          </w:tcPr>
          <w:p w14:paraId="3CEEA43B" w14:textId="77777777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b/>
                <w:sz w:val="20"/>
                <w:szCs w:val="20"/>
              </w:rPr>
              <w:t xml:space="preserve">Dates: </w:t>
            </w:r>
            <w:r w:rsidRPr="003036F1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980" w:type="dxa"/>
            <w:shd w:val="clear" w:color="auto" w:fill="CCCCCC"/>
          </w:tcPr>
          <w:p w14:paraId="2A1F5216" w14:textId="77777777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Reviewed by Staff</w:t>
            </w:r>
          </w:p>
        </w:tc>
        <w:tc>
          <w:tcPr>
            <w:tcW w:w="1955" w:type="dxa"/>
            <w:shd w:val="clear" w:color="auto" w:fill="CCCCCC"/>
          </w:tcPr>
          <w:p w14:paraId="0E9CE9FD" w14:textId="77777777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Distributed</w:t>
            </w:r>
          </w:p>
        </w:tc>
        <w:tc>
          <w:tcPr>
            <w:tcW w:w="3862" w:type="dxa"/>
            <w:shd w:val="clear" w:color="auto" w:fill="CCCCCC"/>
          </w:tcPr>
          <w:p w14:paraId="34C95A24" w14:textId="77777777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Considered</w:t>
            </w:r>
          </w:p>
        </w:tc>
      </w:tr>
      <w:tr w:rsidR="00DC0E65" w:rsidRPr="003036F1" w14:paraId="238BE4E1" w14:textId="77777777" w:rsidTr="002325CF">
        <w:trPr>
          <w:trHeight w:val="323"/>
          <w:jc w:val="center"/>
        </w:trPr>
        <w:tc>
          <w:tcPr>
            <w:tcW w:w="2088" w:type="dxa"/>
            <w:shd w:val="clear" w:color="auto" w:fill="CCCCCC"/>
          </w:tcPr>
          <w:p w14:paraId="61EAE2F1" w14:textId="27CF0712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10/25/23</w:t>
            </w:r>
          </w:p>
        </w:tc>
        <w:tc>
          <w:tcPr>
            <w:tcW w:w="1980" w:type="dxa"/>
            <w:shd w:val="clear" w:color="auto" w:fill="CCCCCC"/>
          </w:tcPr>
          <w:p w14:paraId="0B112FD0" w14:textId="77777777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</w:t>
            </w:r>
          </w:p>
        </w:tc>
        <w:tc>
          <w:tcPr>
            <w:tcW w:w="1955" w:type="dxa"/>
            <w:shd w:val="clear" w:color="auto" w:fill="CCCCCC"/>
          </w:tcPr>
          <w:p w14:paraId="2D64067F" w14:textId="77777777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3862" w:type="dxa"/>
            <w:shd w:val="clear" w:color="auto" w:fill="CCCCCC"/>
          </w:tcPr>
          <w:p w14:paraId="7159F7FF" w14:textId="77777777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DC0E65" w:rsidRPr="003036F1" w14:paraId="2D1A5A57" w14:textId="77777777" w:rsidTr="002325CF">
        <w:trPr>
          <w:trHeight w:val="737"/>
          <w:jc w:val="center"/>
        </w:trPr>
        <w:tc>
          <w:tcPr>
            <w:tcW w:w="9885" w:type="dxa"/>
            <w:gridSpan w:val="4"/>
            <w:shd w:val="clear" w:color="auto" w:fill="CCCCCC"/>
          </w:tcPr>
          <w:p w14:paraId="48D84D4D" w14:textId="2DA220C2" w:rsidR="00DC0E65" w:rsidRPr="003036F1" w:rsidRDefault="00DC0E65" w:rsidP="002325CF">
            <w:pPr>
              <w:jc w:val="both"/>
              <w:rPr>
                <w:sz w:val="20"/>
                <w:szCs w:val="20"/>
              </w:rPr>
            </w:pPr>
            <w:r w:rsidRPr="003036F1">
              <w:rPr>
                <w:b/>
                <w:sz w:val="20"/>
                <w:szCs w:val="20"/>
              </w:rPr>
              <w:t>Notes:</w:t>
            </w:r>
            <w:r w:rsidRPr="003036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2023-</w:t>
            </w:r>
            <w:r>
              <w:rPr>
                <w:sz w:val="20"/>
                <w:szCs w:val="20"/>
              </w:rPr>
              <w:t>12</w:t>
            </w:r>
          </w:p>
        </w:tc>
      </w:tr>
    </w:tbl>
    <w:p w14:paraId="1C928B17" w14:textId="77777777" w:rsidR="00DC0E65" w:rsidRDefault="00DC0E65"/>
    <w:sectPr w:rsidR="00DC0E65" w:rsidSect="008D738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CAE"/>
    <w:multiLevelType w:val="hybridMultilevel"/>
    <w:tmpl w:val="3AEE3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16694C"/>
    <w:multiLevelType w:val="hybridMultilevel"/>
    <w:tmpl w:val="8ACC29A6"/>
    <w:lvl w:ilvl="0" w:tplc="1876C0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41A00"/>
    <w:multiLevelType w:val="hybridMultilevel"/>
    <w:tmpl w:val="649C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8515B"/>
    <w:multiLevelType w:val="hybridMultilevel"/>
    <w:tmpl w:val="365AA0F8"/>
    <w:lvl w:ilvl="0" w:tplc="F9340A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5643">
    <w:abstractNumId w:val="3"/>
  </w:num>
  <w:num w:numId="2" w16cid:durableId="1521969066">
    <w:abstractNumId w:val="2"/>
  </w:num>
  <w:num w:numId="3" w16cid:durableId="962156063">
    <w:abstractNumId w:val="2"/>
  </w:num>
  <w:num w:numId="4" w16cid:durableId="158204991">
    <w:abstractNumId w:val="0"/>
  </w:num>
  <w:num w:numId="5" w16cid:durableId="1089346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7D"/>
    <w:rsid w:val="00174DEC"/>
    <w:rsid w:val="002A1D7D"/>
    <w:rsid w:val="002E5538"/>
    <w:rsid w:val="006058A2"/>
    <w:rsid w:val="00A73D50"/>
    <w:rsid w:val="00B1399E"/>
    <w:rsid w:val="00C52CD9"/>
    <w:rsid w:val="00CF65BC"/>
    <w:rsid w:val="00D43E21"/>
    <w:rsid w:val="00D61913"/>
    <w:rsid w:val="00DC0E65"/>
    <w:rsid w:val="00D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2E00"/>
  <w15:chartTrackingRefBased/>
  <w15:docId w15:val="{BADA6345-4ABD-42AD-8D81-823699F0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7D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D7D"/>
    <w:pPr>
      <w:ind w:left="720"/>
    </w:pPr>
  </w:style>
  <w:style w:type="paragraph" w:customStyle="1" w:styleId="Default">
    <w:name w:val="Default"/>
    <w:rsid w:val="00605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19" ma:contentTypeDescription="Create a new document." ma:contentTypeScope="" ma:versionID="4a84ce98f31ef124f7d5f4ff38f6c155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b912b10eaa19c6bca361bd52fe9a5ff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17CF3-A8E1-4F8F-9182-64061620C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C7952-66D0-4D08-841B-691F4C674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Frederick (COMM)</dc:creator>
  <cp:keywords/>
  <dc:description/>
  <cp:lastModifiedBy>O'Neal, Scott</cp:lastModifiedBy>
  <cp:revision>8</cp:revision>
  <dcterms:created xsi:type="dcterms:W3CDTF">2023-10-25T14:36:00Z</dcterms:created>
  <dcterms:modified xsi:type="dcterms:W3CDTF">2023-10-30T17:49:00Z</dcterms:modified>
</cp:coreProperties>
</file>