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0385" w14:textId="77777777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and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77777777" w:rsidR="002A1D7D" w:rsidRPr="005B233B" w:rsidRDefault="002A1D7D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Fred Andersen, FSA, MAAA and Ben Slutsker, FSA, MAAA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77777777" w:rsidR="002A1D7D" w:rsidRPr="005B233B" w:rsidRDefault="002A1D7D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expectations on reflection of equity return volatility in VM-30 cash-flow testing.  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503540EC" w14:textId="739D5319" w:rsidR="00CF65BC" w:rsidRDefault="00CF65BC" w:rsidP="002A1D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VM-01</w:t>
      </w:r>
    </w:p>
    <w:p w14:paraId="7589E95A" w14:textId="77777777" w:rsidR="00CF65BC" w:rsidRDefault="00CF65BC" w:rsidP="002A1D7D">
      <w:pPr>
        <w:ind w:firstLine="720"/>
        <w:jc w:val="both"/>
        <w:rPr>
          <w:sz w:val="22"/>
          <w:szCs w:val="22"/>
        </w:rPr>
      </w:pPr>
    </w:p>
    <w:p w14:paraId="47B868C1" w14:textId="1978F3FF" w:rsidR="002A1D7D" w:rsidRDefault="002A1D7D" w:rsidP="002A1D7D">
      <w:pPr>
        <w:ind w:firstLine="720"/>
        <w:jc w:val="both"/>
        <w:rPr>
          <w:sz w:val="22"/>
          <w:szCs w:val="22"/>
        </w:rPr>
      </w:pPr>
      <w:r w:rsidRPr="00D3784D">
        <w:rPr>
          <w:sz w:val="22"/>
          <w:szCs w:val="22"/>
        </w:rPr>
        <w:t>VM-</w:t>
      </w:r>
      <w:r>
        <w:rPr>
          <w:sz w:val="22"/>
          <w:szCs w:val="22"/>
        </w:rPr>
        <w:t>3</w:t>
      </w:r>
      <w:r w:rsidRPr="00D3784D">
        <w:rPr>
          <w:sz w:val="22"/>
          <w:szCs w:val="22"/>
        </w:rPr>
        <w:t>0</w:t>
      </w:r>
      <w:r>
        <w:rPr>
          <w:sz w:val="22"/>
          <w:szCs w:val="22"/>
        </w:rPr>
        <w:t xml:space="preserve"> Section</w:t>
      </w:r>
      <w:r w:rsidRPr="00D378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3.B </w:t>
      </w:r>
      <w:r w:rsidRPr="000B768B">
        <w:rPr>
          <w:sz w:val="22"/>
          <w:szCs w:val="22"/>
        </w:rPr>
        <w:t>(new item 7 with items below renumbered)</w:t>
      </w:r>
    </w:p>
    <w:p w14:paraId="08977DFF" w14:textId="6DD39B8B" w:rsidR="002A1D7D" w:rsidRPr="005B233B" w:rsidRDefault="00B1399E" w:rsidP="00B1399E">
      <w:pPr>
        <w:tabs>
          <w:tab w:val="left" w:pos="235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C956DC" w14:textId="77777777" w:rsidR="002A1D7D" w:rsidRPr="005B233B" w:rsidRDefault="002A1D7D" w:rsidP="002A1D7D">
      <w:pPr>
        <w:ind w:left="720"/>
        <w:jc w:val="both"/>
        <w:rPr>
          <w:sz w:val="22"/>
          <w:szCs w:val="22"/>
        </w:rPr>
      </w:pPr>
      <w:r w:rsidRPr="1C720C32">
        <w:rPr>
          <w:sz w:val="22"/>
          <w:szCs w:val="22"/>
        </w:rPr>
        <w:t>January 1, 2023 NAIC Valuation Manual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5258014E" w14:textId="77777777" w:rsidR="00DE1E59" w:rsidRDefault="00DE1E59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636DB11A" w14:textId="092B047E" w:rsidR="006058A2" w:rsidRDefault="006058A2" w:rsidP="00DE1E59">
      <w:pPr>
        <w:widowControl w:val="0"/>
        <w:spacing w:line="271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Add the following definition to VM-01</w:t>
      </w:r>
    </w:p>
    <w:p w14:paraId="0B2E3D59" w14:textId="7D21AF98" w:rsidR="006058A2" w:rsidRDefault="006058A2" w:rsidP="006058A2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0AB62573" w14:textId="20EA6D7B" w:rsidR="006058A2" w:rsidRPr="00C52CD9" w:rsidRDefault="006058A2" w:rsidP="006058A2">
      <w:pPr>
        <w:pStyle w:val="Default"/>
        <w:numPr>
          <w:ilvl w:val="0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>The term “</w:t>
      </w:r>
      <w:r w:rsidR="00DF0DA9">
        <w:rPr>
          <w:color w:val="FF0000"/>
          <w:sz w:val="22"/>
          <w:szCs w:val="22"/>
        </w:rPr>
        <w:t>e</w:t>
      </w:r>
      <w:r w:rsidRPr="00C52CD9">
        <w:rPr>
          <w:color w:val="FF0000"/>
          <w:sz w:val="22"/>
          <w:szCs w:val="22"/>
        </w:rPr>
        <w:t>quity-</w:t>
      </w:r>
      <w:r w:rsidR="00DF0DA9">
        <w:rPr>
          <w:color w:val="FF0000"/>
          <w:sz w:val="22"/>
          <w:szCs w:val="22"/>
        </w:rPr>
        <w:t>l</w:t>
      </w:r>
      <w:r w:rsidRPr="00C52CD9">
        <w:rPr>
          <w:color w:val="FF0000"/>
          <w:sz w:val="22"/>
          <w:szCs w:val="22"/>
        </w:rPr>
        <w:t xml:space="preserve">ike </w:t>
      </w:r>
      <w:r w:rsidR="00DF0DA9">
        <w:rPr>
          <w:color w:val="FF0000"/>
          <w:sz w:val="22"/>
          <w:szCs w:val="22"/>
        </w:rPr>
        <w:t>i</w:t>
      </w:r>
      <w:r w:rsidRPr="00C52CD9">
        <w:rPr>
          <w:color w:val="FF0000"/>
          <w:sz w:val="22"/>
          <w:szCs w:val="22"/>
        </w:rPr>
        <w:t xml:space="preserve">nstruments” means assets </w:t>
      </w:r>
      <w:r w:rsidR="00C208A1">
        <w:rPr>
          <w:color w:val="FF0000"/>
          <w:sz w:val="22"/>
          <w:szCs w:val="22"/>
          <w:u w:val="single"/>
        </w:rPr>
        <w:t xml:space="preserve">excluding surplus notes, bond ETFs, and preferred stock ETFs </w:t>
      </w:r>
      <w:r w:rsidRPr="00C52CD9">
        <w:rPr>
          <w:color w:val="FF0000"/>
          <w:sz w:val="22"/>
          <w:szCs w:val="22"/>
        </w:rPr>
        <w:t>that include the following:</w:t>
      </w:r>
    </w:p>
    <w:p w14:paraId="484C70F9" w14:textId="77777777" w:rsidR="006058A2" w:rsidRPr="00C52CD9" w:rsidRDefault="006058A2" w:rsidP="006058A2">
      <w:pPr>
        <w:pStyle w:val="Default"/>
        <w:numPr>
          <w:ilvl w:val="1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 xml:space="preserve">Any assets that, for purposes of risk-based capital C-1 reporting, are in the category of common stock, i.e., have a 30% or higher risk-based capital charge. </w:t>
      </w:r>
    </w:p>
    <w:p w14:paraId="2D2173A9" w14:textId="77777777" w:rsidR="006058A2" w:rsidRPr="00C52CD9" w:rsidRDefault="006058A2" w:rsidP="006058A2">
      <w:pPr>
        <w:pStyle w:val="Default"/>
        <w:numPr>
          <w:ilvl w:val="1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>Any assets that are captured on Schedule A or Schedule BA of the annual statement.</w:t>
      </w:r>
    </w:p>
    <w:p w14:paraId="105A4465" w14:textId="44DB3059" w:rsidR="006058A2" w:rsidRPr="00C52CD9" w:rsidRDefault="006058A2" w:rsidP="006058A2">
      <w:pPr>
        <w:pStyle w:val="Default"/>
        <w:numPr>
          <w:ilvl w:val="1"/>
          <w:numId w:val="4"/>
        </w:numPr>
        <w:spacing w:line="271" w:lineRule="auto"/>
        <w:rPr>
          <w:color w:val="FF0000"/>
          <w:sz w:val="22"/>
          <w:szCs w:val="22"/>
        </w:rPr>
      </w:pPr>
      <w:r w:rsidRPr="00C52CD9">
        <w:rPr>
          <w:color w:val="FF0000"/>
          <w:sz w:val="22"/>
          <w:szCs w:val="22"/>
        </w:rPr>
        <w:t>Bond funds.</w:t>
      </w:r>
    </w:p>
    <w:p w14:paraId="452111A0" w14:textId="77777777" w:rsidR="006058A2" w:rsidRDefault="006058A2" w:rsidP="002A1D7D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50ABE4D3" w14:textId="1AF11B44" w:rsidR="002A1D7D" w:rsidRPr="000B768B" w:rsidRDefault="002A1D7D" w:rsidP="006058A2">
      <w:pPr>
        <w:widowControl w:val="0"/>
        <w:spacing w:line="271" w:lineRule="auto"/>
        <w:ind w:firstLine="720"/>
        <w:contextualSpacing/>
        <w:jc w:val="both"/>
        <w:rPr>
          <w:rFonts w:eastAsia="Times New Roman"/>
        </w:rPr>
      </w:pPr>
      <w:r>
        <w:rPr>
          <w:sz w:val="22"/>
          <w:szCs w:val="22"/>
        </w:rPr>
        <w:t>Add the following subsection 3.B.7. and renumber the items below:</w:t>
      </w:r>
    </w:p>
    <w:p w14:paraId="6D76442C" w14:textId="77777777" w:rsidR="002A1D7D" w:rsidRDefault="002A1D7D" w:rsidP="002A1D7D">
      <w:pPr>
        <w:pStyle w:val="ListParagraph"/>
        <w:widowControl w:val="0"/>
        <w:spacing w:line="271" w:lineRule="auto"/>
        <w:contextualSpacing/>
        <w:jc w:val="both"/>
        <w:rPr>
          <w:rFonts w:eastAsia="Times New Roman"/>
        </w:rPr>
      </w:pPr>
    </w:p>
    <w:p w14:paraId="6D223DCC" w14:textId="77777777" w:rsidR="002A1D7D" w:rsidRPr="00C52CD9" w:rsidRDefault="002A1D7D" w:rsidP="002A1D7D">
      <w:pPr>
        <w:pStyle w:val="ListParagraph"/>
        <w:widowControl w:val="0"/>
        <w:numPr>
          <w:ilvl w:val="0"/>
          <w:numId w:val="1"/>
        </w:numPr>
        <w:spacing w:line="271" w:lineRule="auto"/>
        <w:ind w:left="180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When the form of asset adequacy analysis is cash-flow testing, investment return assumptions for equity-like instruments shall not solely project the anticipated long-term average return (e.g., a single level assumption set to the long-term average) but account for the volatility of such returns which may be expected in moderately adverse conditions.</w:t>
      </w:r>
    </w:p>
    <w:p w14:paraId="55A9B804" w14:textId="77777777" w:rsidR="002A1D7D" w:rsidRPr="00C52CD9" w:rsidRDefault="002A1D7D" w:rsidP="002A1D7D">
      <w:pPr>
        <w:pStyle w:val="ListParagraph"/>
        <w:spacing w:line="271" w:lineRule="auto"/>
        <w:ind w:left="1800"/>
        <w:jc w:val="both"/>
        <w:rPr>
          <w:rFonts w:eastAsia="Times New Roman"/>
          <w:color w:val="FF0000"/>
          <w:sz w:val="22"/>
          <w:szCs w:val="22"/>
        </w:rPr>
      </w:pPr>
    </w:p>
    <w:p w14:paraId="6B05437F" w14:textId="77777777" w:rsidR="002A1D7D" w:rsidRPr="00C52CD9" w:rsidRDefault="002A1D7D" w:rsidP="002A1D7D">
      <w:pPr>
        <w:pStyle w:val="ListParagraph"/>
        <w:widowControl w:val="0"/>
        <w:numPr>
          <w:ilvl w:val="1"/>
          <w:numId w:val="1"/>
        </w:numPr>
        <w:spacing w:line="271" w:lineRule="auto"/>
        <w:ind w:left="252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To accomplish the accounting for volatility, one or more of the following approaches may be employed, as appropriate:</w:t>
      </w:r>
    </w:p>
    <w:p w14:paraId="43FB5B5E" w14:textId="77777777" w:rsidR="002A1D7D" w:rsidRPr="00C52CD9" w:rsidRDefault="002A1D7D" w:rsidP="002A1D7D">
      <w:pPr>
        <w:pStyle w:val="ListParagraph"/>
        <w:spacing w:line="271" w:lineRule="auto"/>
        <w:ind w:left="2520"/>
        <w:jc w:val="both"/>
        <w:rPr>
          <w:rFonts w:eastAsia="Times New Roman"/>
          <w:color w:val="FF0000"/>
          <w:sz w:val="22"/>
          <w:szCs w:val="22"/>
        </w:rPr>
      </w:pPr>
    </w:p>
    <w:p w14:paraId="1CED0549" w14:textId="77777777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Stochastic modeling for equity returns, with accompanying analysis of risk metrics.</w:t>
      </w:r>
    </w:p>
    <w:p w14:paraId="4BF076B8" w14:textId="77777777" w:rsidR="002A1D7D" w:rsidRPr="00C52CD9" w:rsidRDefault="002A1D7D" w:rsidP="002A1D7D">
      <w:pPr>
        <w:pStyle w:val="ListParagraph"/>
        <w:spacing w:line="271" w:lineRule="auto"/>
        <w:ind w:left="3240"/>
        <w:jc w:val="both"/>
        <w:rPr>
          <w:rFonts w:eastAsia="Times New Roman"/>
          <w:color w:val="FF0000"/>
          <w:sz w:val="22"/>
          <w:szCs w:val="22"/>
        </w:rPr>
      </w:pPr>
    </w:p>
    <w:p w14:paraId="63074955" w14:textId="4BD646B2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As relevant to capture the risk, including up, down, and/or volatile equity return scenarios for each given set of interest rate paths.</w:t>
      </w:r>
    </w:p>
    <w:p w14:paraId="29952F93" w14:textId="77777777" w:rsidR="002A1D7D" w:rsidRPr="00C52CD9" w:rsidRDefault="002A1D7D" w:rsidP="002A1D7D">
      <w:pPr>
        <w:pStyle w:val="ListParagraph"/>
        <w:ind w:left="1800"/>
        <w:rPr>
          <w:rFonts w:eastAsia="Times New Roman"/>
          <w:color w:val="FF0000"/>
          <w:sz w:val="22"/>
          <w:szCs w:val="22"/>
        </w:rPr>
      </w:pPr>
    </w:p>
    <w:p w14:paraId="5B4EF13E" w14:textId="77777777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 xml:space="preserve">Projecting one or more market drops, taking into consideration future points </w:t>
      </w:r>
      <w:r w:rsidRPr="00C52CD9">
        <w:rPr>
          <w:rFonts w:eastAsia="Times New Roman"/>
          <w:color w:val="FF0000"/>
          <w:sz w:val="22"/>
          <w:szCs w:val="22"/>
        </w:rPr>
        <w:lastRenderedPageBreak/>
        <w:t>at which cash-flow testing results could be vulnerable to market downturns.</w:t>
      </w:r>
    </w:p>
    <w:p w14:paraId="7E89C55D" w14:textId="77777777" w:rsidR="002A1D7D" w:rsidRPr="00C52CD9" w:rsidRDefault="002A1D7D" w:rsidP="002A1D7D">
      <w:pPr>
        <w:pStyle w:val="ListParagraph"/>
        <w:ind w:left="1800"/>
        <w:rPr>
          <w:rFonts w:eastAsia="Times New Roman"/>
          <w:color w:val="FF0000"/>
          <w:sz w:val="22"/>
          <w:szCs w:val="22"/>
        </w:rPr>
      </w:pPr>
    </w:p>
    <w:p w14:paraId="06658BEE" w14:textId="327F9D15" w:rsidR="002A1D7D" w:rsidRPr="00C52CD9" w:rsidRDefault="002A1D7D" w:rsidP="002A1D7D">
      <w:pPr>
        <w:pStyle w:val="ListParagraph"/>
        <w:widowControl w:val="0"/>
        <w:numPr>
          <w:ilvl w:val="2"/>
          <w:numId w:val="1"/>
        </w:numPr>
        <w:spacing w:line="271" w:lineRule="auto"/>
        <w:ind w:left="3240"/>
        <w:contextualSpacing/>
        <w:jc w:val="both"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>Reflecting a level return assumption set equal to a tail risk metric, for example, setting investment returns to the average of the worst 30% of future scenarios, i.e., CTE70.</w:t>
      </w:r>
    </w:p>
    <w:p w14:paraId="00B5E8C8" w14:textId="77777777" w:rsidR="002A1D7D" w:rsidRPr="00C52CD9" w:rsidRDefault="002A1D7D" w:rsidP="002A1D7D">
      <w:pPr>
        <w:pStyle w:val="ListParagraph"/>
        <w:ind w:left="1800"/>
        <w:rPr>
          <w:rFonts w:eastAsia="Times New Roman"/>
          <w:color w:val="FF0000"/>
          <w:sz w:val="22"/>
          <w:szCs w:val="22"/>
        </w:rPr>
      </w:pPr>
    </w:p>
    <w:p w14:paraId="5DAFE06D" w14:textId="69E70CFE" w:rsidR="002A1D7D" w:rsidRPr="00C52CD9" w:rsidRDefault="002A1D7D" w:rsidP="002A1D7D">
      <w:pPr>
        <w:pStyle w:val="ListParagraph"/>
        <w:widowControl w:val="0"/>
        <w:numPr>
          <w:ilvl w:val="1"/>
          <w:numId w:val="1"/>
        </w:numPr>
        <w:spacing w:after="200" w:line="276" w:lineRule="auto"/>
        <w:ind w:left="2520"/>
        <w:contextualSpacing/>
        <w:rPr>
          <w:rFonts w:eastAsia="Times New Roman"/>
          <w:color w:val="FF0000"/>
          <w:sz w:val="22"/>
          <w:szCs w:val="22"/>
        </w:rPr>
      </w:pPr>
      <w:r w:rsidRPr="00C52CD9">
        <w:rPr>
          <w:rFonts w:eastAsia="Times New Roman"/>
          <w:color w:val="FF0000"/>
          <w:sz w:val="22"/>
          <w:szCs w:val="22"/>
        </w:rPr>
        <w:t xml:space="preserve">A qualitative description of why the equity return scenario used in asset adequacy </w:t>
      </w:r>
      <w:r w:rsidR="00D43E21" w:rsidRPr="00C52CD9">
        <w:rPr>
          <w:rFonts w:eastAsia="Times New Roman"/>
          <w:color w:val="FF0000"/>
          <w:sz w:val="22"/>
          <w:szCs w:val="22"/>
        </w:rPr>
        <w:t>analysis</w:t>
      </w:r>
      <w:r w:rsidRPr="00C52CD9">
        <w:rPr>
          <w:rFonts w:eastAsia="Times New Roman"/>
          <w:color w:val="FF0000"/>
          <w:sz w:val="22"/>
          <w:szCs w:val="22"/>
        </w:rPr>
        <w:t xml:space="preserve"> is moderately adverse in light of the company’s</w:t>
      </w:r>
      <w:r w:rsidR="00C208A1">
        <w:rPr>
          <w:rFonts w:eastAsia="Times New Roman"/>
          <w:color w:val="FF0000"/>
          <w:sz w:val="22"/>
          <w:szCs w:val="22"/>
        </w:rPr>
        <w:t xml:space="preserve"> </w:t>
      </w:r>
      <w:r w:rsidR="00C208A1" w:rsidRPr="00C208A1">
        <w:rPr>
          <w:rFonts w:eastAsia="Times New Roman"/>
          <w:color w:val="FF0000"/>
          <w:sz w:val="22"/>
          <w:szCs w:val="22"/>
          <w:u w:val="single"/>
        </w:rPr>
        <w:t>current or reinvestment</w:t>
      </w:r>
      <w:r w:rsidRPr="00C52CD9">
        <w:rPr>
          <w:rFonts w:eastAsia="Times New Roman"/>
          <w:color w:val="FF0000"/>
          <w:sz w:val="22"/>
          <w:szCs w:val="22"/>
        </w:rPr>
        <w:t xml:space="preserve"> portfolio</w:t>
      </w:r>
      <w:r w:rsidR="00D106F1">
        <w:rPr>
          <w:rFonts w:eastAsia="Times New Roman"/>
          <w:color w:val="FF0000"/>
          <w:sz w:val="22"/>
          <w:szCs w:val="22"/>
        </w:rPr>
        <w:t xml:space="preserve"> </w:t>
      </w:r>
      <w:r w:rsidRPr="00C52CD9">
        <w:rPr>
          <w:rFonts w:eastAsia="Times New Roman"/>
          <w:color w:val="FF0000"/>
          <w:sz w:val="22"/>
          <w:szCs w:val="22"/>
        </w:rPr>
        <w:t>should be provided.</w:t>
      </w:r>
    </w:p>
    <w:p w14:paraId="3F41900A" w14:textId="0757B2A2" w:rsidR="002A1D7D" w:rsidRDefault="002A1D7D" w:rsidP="002A1D7D">
      <w:pPr>
        <w:ind w:left="1152" w:hanging="576"/>
        <w:jc w:val="both"/>
        <w:rPr>
          <w:sz w:val="22"/>
          <w:szCs w:val="22"/>
        </w:rPr>
      </w:pPr>
    </w:p>
    <w:p w14:paraId="4A6CB496" w14:textId="77777777" w:rsidR="002A1D7D" w:rsidRPr="005B233B" w:rsidRDefault="002A1D7D" w:rsidP="002A1D7D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  <w:t>State the reason for the proposed amendment? (You may do this through an attachment.)</w:t>
      </w:r>
    </w:p>
    <w:p w14:paraId="0FAEF727" w14:textId="2BA3B3D5" w:rsidR="002A1D7D" w:rsidRDefault="00C208A1" w:rsidP="00C208A1">
      <w:pPr>
        <w:tabs>
          <w:tab w:val="left" w:pos="4911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4C53AE" w14:textId="4BFC5DB5" w:rsidR="002A1D7D" w:rsidRPr="00C208A1" w:rsidRDefault="00397048" w:rsidP="002A1D7D">
      <w:pPr>
        <w:spacing w:line="259" w:lineRule="auto"/>
        <w:ind w:left="720"/>
        <w:jc w:val="both"/>
        <w:rPr>
          <w:sz w:val="22"/>
          <w:szCs w:val="22"/>
        </w:rPr>
      </w:pPr>
      <w:r w:rsidRPr="00C208A1">
        <w:rPr>
          <w:sz w:val="22"/>
          <w:szCs w:val="22"/>
        </w:rPr>
        <w:t>This is a next step after what w</w:t>
      </w:r>
      <w:r w:rsidR="00C208A1" w:rsidRPr="00C208A1">
        <w:rPr>
          <w:sz w:val="22"/>
          <w:szCs w:val="22"/>
        </w:rPr>
        <w:t>a</w:t>
      </w:r>
      <w:r w:rsidR="002A1D7D" w:rsidRPr="00C208A1">
        <w:rPr>
          <w:sz w:val="22"/>
          <w:szCs w:val="22"/>
        </w:rPr>
        <w:t xml:space="preserve">s presented at the August 2023 NAIC meeting, </w:t>
      </w:r>
      <w:r w:rsidRPr="00C208A1">
        <w:rPr>
          <w:sz w:val="22"/>
          <w:szCs w:val="22"/>
        </w:rPr>
        <w:t xml:space="preserve">where </w:t>
      </w:r>
      <w:r w:rsidR="002A1D7D" w:rsidRPr="00C208A1">
        <w:rPr>
          <w:sz w:val="22"/>
          <w:szCs w:val="22"/>
        </w:rPr>
        <w:t>Actuarial Guideline 53 reviews revealed usage of flat, high, unchanging equity return assumptions for the length of 30+ year projections by many industry members.</w:t>
      </w:r>
    </w:p>
    <w:p w14:paraId="0B738583" w14:textId="77777777" w:rsidR="00DE1E59" w:rsidRDefault="00DE1E59" w:rsidP="002265BB">
      <w:pPr>
        <w:spacing w:line="259" w:lineRule="auto"/>
        <w:ind w:left="720"/>
        <w:jc w:val="both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DC0E65" w:rsidRPr="003036F1" w14:paraId="2B93D8A4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3CEEA43B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2A1F5216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0E9CE9FD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34C95A24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DC0E65" w:rsidRPr="003036F1" w14:paraId="238BE4E1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61EAE2F1" w14:textId="56F1B970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8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C208A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shd w:val="clear" w:color="auto" w:fill="CCCCCC"/>
          </w:tcPr>
          <w:p w14:paraId="0B112FD0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</w:p>
        </w:tc>
        <w:tc>
          <w:tcPr>
            <w:tcW w:w="1955" w:type="dxa"/>
            <w:shd w:val="clear" w:color="auto" w:fill="CCCCCC"/>
          </w:tcPr>
          <w:p w14:paraId="2D64067F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7159F7FF" w14:textId="77777777" w:rsidR="00DC0E65" w:rsidRPr="003036F1" w:rsidRDefault="00DC0E65" w:rsidP="002325CF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DC0E65" w:rsidRPr="003036F1" w14:paraId="2D1A5A57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48D84D4D" w14:textId="2DA220C2" w:rsidR="00DC0E65" w:rsidRPr="003036F1" w:rsidRDefault="00DC0E65" w:rsidP="002325CF">
            <w:pPr>
              <w:jc w:val="both"/>
              <w:rPr>
                <w:sz w:val="20"/>
                <w:szCs w:val="20"/>
              </w:rPr>
            </w:pPr>
            <w:r w:rsidRPr="003036F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2023-12</w:t>
            </w:r>
          </w:p>
        </w:tc>
      </w:tr>
    </w:tbl>
    <w:p w14:paraId="1C928B17" w14:textId="77777777" w:rsidR="00DC0E65" w:rsidRDefault="00DC0E65"/>
    <w:sectPr w:rsidR="00DC0E65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CAE"/>
    <w:multiLevelType w:val="hybridMultilevel"/>
    <w:tmpl w:val="941A2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16694C"/>
    <w:multiLevelType w:val="hybridMultilevel"/>
    <w:tmpl w:val="8ACC29A6"/>
    <w:lvl w:ilvl="0" w:tplc="1876C0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41A00"/>
    <w:multiLevelType w:val="hybridMultilevel"/>
    <w:tmpl w:val="649C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3"/>
  </w:num>
  <w:num w:numId="2" w16cid:durableId="1521969066">
    <w:abstractNumId w:val="2"/>
  </w:num>
  <w:num w:numId="3" w16cid:durableId="962156063">
    <w:abstractNumId w:val="2"/>
  </w:num>
  <w:num w:numId="4" w16cid:durableId="158204991">
    <w:abstractNumId w:val="0"/>
  </w:num>
  <w:num w:numId="5" w16cid:durableId="108934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405A0"/>
    <w:rsid w:val="00174DEC"/>
    <w:rsid w:val="002265BB"/>
    <w:rsid w:val="002447F4"/>
    <w:rsid w:val="002A1D7D"/>
    <w:rsid w:val="002E5538"/>
    <w:rsid w:val="00397048"/>
    <w:rsid w:val="00495E75"/>
    <w:rsid w:val="006058A2"/>
    <w:rsid w:val="00A128A4"/>
    <w:rsid w:val="00A73D50"/>
    <w:rsid w:val="00B1399E"/>
    <w:rsid w:val="00C208A1"/>
    <w:rsid w:val="00C52CD9"/>
    <w:rsid w:val="00CF65BC"/>
    <w:rsid w:val="00D106F1"/>
    <w:rsid w:val="00D336F7"/>
    <w:rsid w:val="00D43E21"/>
    <w:rsid w:val="00D61913"/>
    <w:rsid w:val="00D829DA"/>
    <w:rsid w:val="00DC0E65"/>
    <w:rsid w:val="00DE1E59"/>
    <w:rsid w:val="00DF0DA9"/>
    <w:rsid w:val="00E1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customStyle="1" w:styleId="Default">
    <w:name w:val="Default"/>
    <w:rsid w:val="00605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19" ma:contentTypeDescription="Create a new document." ma:contentTypeScope="" ma:versionID="4a84ce98f31ef124f7d5f4ff38f6c155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b912b10eaa19c6bca361bd52fe9a5f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17CF3-A8E1-4F8F-9182-64061620C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C7952-66D0-4D08-841B-691F4C674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Frederick (COMM)</dc:creator>
  <cp:keywords/>
  <dc:description/>
  <cp:lastModifiedBy>O'Neal, Scott</cp:lastModifiedBy>
  <cp:revision>2</cp:revision>
  <dcterms:created xsi:type="dcterms:W3CDTF">2023-11-30T20:36:00Z</dcterms:created>
  <dcterms:modified xsi:type="dcterms:W3CDTF">2023-11-30T20:36:00Z</dcterms:modified>
</cp:coreProperties>
</file>