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7D1D1" w14:textId="77777777" w:rsidR="006169B8" w:rsidRDefault="006169B8" w:rsidP="006169B8">
      <w:pPr>
        <w:pStyle w:val="Heading5"/>
        <w:spacing w:before="79" w:line="480" w:lineRule="auto"/>
        <w:ind w:left="120" w:right="7246" w:hanging="1"/>
        <w:jc w:val="left"/>
      </w:pPr>
      <w:r>
        <w:t>Part III - S</w:t>
      </w:r>
      <w:bookmarkStart w:id="0" w:name="_GoBack"/>
      <w:bookmarkEnd w:id="0"/>
      <w:r>
        <w:t>ection I – Appendix C Continuing Education Reciprocity</w:t>
      </w:r>
    </w:p>
    <w:p w14:paraId="7CF92B58" w14:textId="77777777" w:rsidR="006169B8" w:rsidRDefault="006169B8" w:rsidP="006169B8">
      <w:pPr>
        <w:pStyle w:val="BodyText"/>
        <w:spacing w:before="56"/>
        <w:ind w:left="119" w:right="115"/>
        <w:jc w:val="both"/>
      </w:pPr>
      <w:r>
        <w:t xml:space="preserve">On July 1, 1998, the Midwest Zone launched a project to simplify continuing education (CE) course approval filings for regulators and CE providers. Members of the Midwest Zone signed a reciprocity agreement that provides, in essence, </w:t>
      </w:r>
      <w:proofErr w:type="gramStart"/>
      <w:r>
        <w:t>that  one</w:t>
      </w:r>
      <w:proofErr w:type="gramEnd"/>
      <w:r>
        <w:t xml:space="preserve"> member state will accept the CE credit award given to a course by another member state. As of March 31, 2004, 46 states and the District of Columbia had signed an addendum to the Midwest Zone Declaration regarding CE course approval and had agreed to participate in what is now referred to as the NAIC CE Reciprocity (CER) process. The agreement does not require any state to accept CE filings that are not otherwise approvable. For example, if a state does not award CE credit for a topic such as sales and marketing, that state is not required to give credits to that portion of a course that includes the prohibited</w:t>
      </w:r>
      <w:r>
        <w:rPr>
          <w:spacing w:val="-2"/>
        </w:rPr>
        <w:t xml:space="preserve"> </w:t>
      </w:r>
      <w:r>
        <w:t>topic.</w:t>
      </w:r>
      <w:r>
        <w:rPr>
          <w:spacing w:val="-3"/>
        </w:rPr>
        <w:t xml:space="preserve"> </w:t>
      </w:r>
      <w:r>
        <w:t>If</w:t>
      </w:r>
      <w:r>
        <w:rPr>
          <w:spacing w:val="-3"/>
        </w:rPr>
        <w:t xml:space="preserve"> </w:t>
      </w:r>
      <w:r>
        <w:t>your</w:t>
      </w:r>
      <w:r>
        <w:rPr>
          <w:spacing w:val="-3"/>
        </w:rPr>
        <w:t xml:space="preserve"> </w:t>
      </w:r>
      <w:r>
        <w:t>state</w:t>
      </w:r>
      <w:r>
        <w:rPr>
          <w:spacing w:val="-4"/>
        </w:rPr>
        <w:t xml:space="preserve"> </w:t>
      </w:r>
      <w:r>
        <w:t>is</w:t>
      </w:r>
      <w:r>
        <w:rPr>
          <w:spacing w:val="-3"/>
        </w:rPr>
        <w:t xml:space="preserve"> </w:t>
      </w:r>
      <w:r>
        <w:t>interested</w:t>
      </w:r>
      <w:r>
        <w:rPr>
          <w:spacing w:val="-3"/>
        </w:rPr>
        <w:t xml:space="preserve"> </w:t>
      </w:r>
      <w:r>
        <w:t>in</w:t>
      </w:r>
      <w:r>
        <w:rPr>
          <w:spacing w:val="-4"/>
        </w:rPr>
        <w:t xml:space="preserve"> </w:t>
      </w:r>
      <w:r>
        <w:t>participating,</w:t>
      </w:r>
      <w:r>
        <w:rPr>
          <w:spacing w:val="-3"/>
        </w:rPr>
        <w:t xml:space="preserve"> </w:t>
      </w:r>
      <w:r>
        <w:t>the</w:t>
      </w:r>
      <w:r>
        <w:rPr>
          <w:spacing w:val="-5"/>
        </w:rPr>
        <w:t xml:space="preserve"> </w:t>
      </w:r>
      <w:r>
        <w:t>process</w:t>
      </w:r>
      <w:r>
        <w:rPr>
          <w:spacing w:val="-3"/>
        </w:rPr>
        <w:t xml:space="preserve"> </w:t>
      </w:r>
      <w:r>
        <w:t>is</w:t>
      </w:r>
      <w:r>
        <w:rPr>
          <w:spacing w:val="-3"/>
        </w:rPr>
        <w:t xml:space="preserve"> </w:t>
      </w:r>
      <w:r>
        <w:t>as</w:t>
      </w:r>
      <w:r>
        <w:rPr>
          <w:spacing w:val="-3"/>
        </w:rPr>
        <w:t xml:space="preserve"> </w:t>
      </w:r>
      <w:r>
        <w:t>follows:</w:t>
      </w:r>
    </w:p>
    <w:p w14:paraId="7E00C8CC" w14:textId="77777777" w:rsidR="006169B8" w:rsidRDefault="006169B8" w:rsidP="006169B8">
      <w:pPr>
        <w:pStyle w:val="BodyText"/>
        <w:spacing w:before="4"/>
        <w:rPr>
          <w:sz w:val="24"/>
        </w:rPr>
      </w:pPr>
    </w:p>
    <w:p w14:paraId="7F2447CC" w14:textId="77777777" w:rsidR="006169B8" w:rsidRDefault="006169B8" w:rsidP="006169B8">
      <w:pPr>
        <w:pStyle w:val="ListParagraph"/>
        <w:numPr>
          <w:ilvl w:val="1"/>
          <w:numId w:val="1"/>
        </w:numPr>
        <w:tabs>
          <w:tab w:val="left" w:pos="839"/>
          <w:tab w:val="left" w:pos="840"/>
        </w:tabs>
        <w:spacing w:line="244" w:lineRule="exact"/>
        <w:ind w:hanging="361"/>
        <w:rPr>
          <w:sz w:val="20"/>
        </w:rPr>
      </w:pPr>
      <w:r>
        <w:rPr>
          <w:sz w:val="20"/>
        </w:rPr>
        <w:t>Review the information and forms on the NAIC Web</w:t>
      </w:r>
      <w:r>
        <w:rPr>
          <w:spacing w:val="-21"/>
          <w:sz w:val="20"/>
        </w:rPr>
        <w:t xml:space="preserve"> </w:t>
      </w:r>
      <w:r>
        <w:rPr>
          <w:sz w:val="20"/>
        </w:rPr>
        <w:t>site.</w:t>
      </w:r>
    </w:p>
    <w:p w14:paraId="2DE34988" w14:textId="77777777" w:rsidR="006169B8" w:rsidRDefault="006169B8" w:rsidP="006169B8">
      <w:pPr>
        <w:pStyle w:val="ListParagraph"/>
        <w:numPr>
          <w:ilvl w:val="1"/>
          <w:numId w:val="1"/>
        </w:numPr>
        <w:tabs>
          <w:tab w:val="left" w:pos="839"/>
          <w:tab w:val="left" w:pos="840"/>
        </w:tabs>
        <w:spacing w:line="244" w:lineRule="exact"/>
        <w:ind w:left="839" w:hanging="359"/>
        <w:rPr>
          <w:sz w:val="20"/>
        </w:rPr>
      </w:pPr>
      <w:r>
        <w:rPr>
          <w:sz w:val="20"/>
        </w:rPr>
        <w:t>Make any needed changes in policies or forms to comply with the</w:t>
      </w:r>
      <w:r>
        <w:rPr>
          <w:spacing w:val="-34"/>
          <w:sz w:val="20"/>
        </w:rPr>
        <w:t xml:space="preserve"> </w:t>
      </w:r>
      <w:r>
        <w:rPr>
          <w:sz w:val="20"/>
        </w:rPr>
        <w:t>agreement.</w:t>
      </w:r>
    </w:p>
    <w:p w14:paraId="0388B9F5" w14:textId="77777777" w:rsidR="006169B8" w:rsidRDefault="006169B8" w:rsidP="006169B8">
      <w:pPr>
        <w:pStyle w:val="ListParagraph"/>
        <w:numPr>
          <w:ilvl w:val="1"/>
          <w:numId w:val="1"/>
        </w:numPr>
        <w:tabs>
          <w:tab w:val="left" w:pos="839"/>
          <w:tab w:val="left" w:pos="840"/>
        </w:tabs>
        <w:ind w:right="116"/>
        <w:rPr>
          <w:sz w:val="20"/>
        </w:rPr>
      </w:pPr>
      <w:r>
        <w:rPr>
          <w:sz w:val="20"/>
        </w:rPr>
        <w:t>The commissioner signs an addendum to the NAIC CE Reciprocity Agreement and forwards it to the Midwest Zone Chair.</w:t>
      </w:r>
      <w:r>
        <w:rPr>
          <w:spacing w:val="-5"/>
          <w:sz w:val="20"/>
        </w:rPr>
        <w:t xml:space="preserve"> </w:t>
      </w:r>
      <w:r>
        <w:rPr>
          <w:sz w:val="20"/>
        </w:rPr>
        <w:t>Please</w:t>
      </w:r>
      <w:r>
        <w:rPr>
          <w:spacing w:val="-4"/>
          <w:sz w:val="20"/>
        </w:rPr>
        <w:t xml:space="preserve"> </w:t>
      </w:r>
      <w:r>
        <w:rPr>
          <w:sz w:val="20"/>
        </w:rPr>
        <w:t>include</w:t>
      </w:r>
      <w:r>
        <w:rPr>
          <w:spacing w:val="-4"/>
          <w:sz w:val="20"/>
        </w:rPr>
        <w:t xml:space="preserve"> </w:t>
      </w:r>
      <w:r>
        <w:rPr>
          <w:sz w:val="20"/>
        </w:rPr>
        <w:t>a</w:t>
      </w:r>
      <w:r>
        <w:rPr>
          <w:spacing w:val="-4"/>
          <w:sz w:val="20"/>
        </w:rPr>
        <w:t xml:space="preserve"> </w:t>
      </w:r>
      <w:r>
        <w:rPr>
          <w:sz w:val="20"/>
        </w:rPr>
        <w:t>letter</w:t>
      </w:r>
      <w:r>
        <w:rPr>
          <w:spacing w:val="-5"/>
          <w:sz w:val="20"/>
        </w:rPr>
        <w:t xml:space="preserve"> </w:t>
      </w:r>
      <w:r>
        <w:rPr>
          <w:sz w:val="20"/>
        </w:rPr>
        <w:t>stating</w:t>
      </w:r>
      <w:r>
        <w:rPr>
          <w:spacing w:val="-4"/>
          <w:sz w:val="20"/>
        </w:rPr>
        <w:t xml:space="preserve"> </w:t>
      </w:r>
      <w:r>
        <w:rPr>
          <w:sz w:val="20"/>
        </w:rPr>
        <w:t>the</w:t>
      </w:r>
      <w:r>
        <w:rPr>
          <w:spacing w:val="-5"/>
          <w:sz w:val="20"/>
        </w:rPr>
        <w:t xml:space="preserve"> </w:t>
      </w:r>
      <w:r>
        <w:rPr>
          <w:sz w:val="20"/>
        </w:rPr>
        <w:t>date</w:t>
      </w:r>
      <w:r>
        <w:rPr>
          <w:spacing w:val="-5"/>
          <w:sz w:val="20"/>
        </w:rPr>
        <w:t xml:space="preserve"> </w:t>
      </w:r>
      <w:r>
        <w:rPr>
          <w:sz w:val="20"/>
        </w:rPr>
        <w:t>your</w:t>
      </w:r>
      <w:r>
        <w:rPr>
          <w:spacing w:val="-6"/>
          <w:sz w:val="20"/>
        </w:rPr>
        <w:t xml:space="preserve"> </w:t>
      </w:r>
      <w:r>
        <w:rPr>
          <w:sz w:val="20"/>
        </w:rPr>
        <w:t>state</w:t>
      </w:r>
      <w:r>
        <w:rPr>
          <w:spacing w:val="-5"/>
          <w:sz w:val="20"/>
        </w:rPr>
        <w:t xml:space="preserve"> </w:t>
      </w:r>
      <w:r>
        <w:rPr>
          <w:sz w:val="20"/>
        </w:rPr>
        <w:t>will</w:t>
      </w:r>
      <w:r>
        <w:rPr>
          <w:spacing w:val="-4"/>
          <w:sz w:val="20"/>
        </w:rPr>
        <w:t xml:space="preserve"> </w:t>
      </w:r>
      <w:r>
        <w:rPr>
          <w:sz w:val="20"/>
        </w:rPr>
        <w:t>be</w:t>
      </w:r>
      <w:r>
        <w:rPr>
          <w:spacing w:val="-5"/>
          <w:sz w:val="20"/>
        </w:rPr>
        <w:t xml:space="preserve"> </w:t>
      </w:r>
      <w:r>
        <w:rPr>
          <w:sz w:val="20"/>
        </w:rPr>
        <w:t>prepared</w:t>
      </w:r>
      <w:r>
        <w:rPr>
          <w:spacing w:val="-4"/>
          <w:sz w:val="20"/>
        </w:rPr>
        <w:t xml:space="preserve"> </w:t>
      </w:r>
      <w:r>
        <w:rPr>
          <w:sz w:val="20"/>
        </w:rPr>
        <w:t>to</w:t>
      </w:r>
      <w:r>
        <w:rPr>
          <w:spacing w:val="-4"/>
          <w:sz w:val="20"/>
        </w:rPr>
        <w:t xml:space="preserve"> </w:t>
      </w:r>
      <w:r>
        <w:rPr>
          <w:sz w:val="20"/>
        </w:rPr>
        <w:t>accept</w:t>
      </w:r>
      <w:r>
        <w:rPr>
          <w:spacing w:val="-5"/>
          <w:sz w:val="20"/>
        </w:rPr>
        <w:t xml:space="preserve"> </w:t>
      </w:r>
      <w:r>
        <w:rPr>
          <w:sz w:val="20"/>
        </w:rPr>
        <w:t>reciprocity</w:t>
      </w:r>
      <w:r>
        <w:rPr>
          <w:spacing w:val="-4"/>
          <w:sz w:val="20"/>
        </w:rPr>
        <w:t xml:space="preserve"> </w:t>
      </w:r>
      <w:r>
        <w:rPr>
          <w:sz w:val="20"/>
        </w:rPr>
        <w:t>filings.</w:t>
      </w:r>
    </w:p>
    <w:p w14:paraId="2F528D6C" w14:textId="77777777" w:rsidR="006169B8" w:rsidRDefault="006169B8" w:rsidP="006169B8">
      <w:pPr>
        <w:pStyle w:val="ListParagraph"/>
        <w:numPr>
          <w:ilvl w:val="1"/>
          <w:numId w:val="1"/>
        </w:numPr>
        <w:tabs>
          <w:tab w:val="left" w:pos="839"/>
          <w:tab w:val="left" w:pos="840"/>
        </w:tabs>
        <w:ind w:right="117"/>
        <w:rPr>
          <w:sz w:val="20"/>
        </w:rPr>
      </w:pPr>
      <w:r>
        <w:rPr>
          <w:sz w:val="20"/>
        </w:rPr>
        <w:t>The Midwest Zone will act on requests to join the project at Zone meetings held at the NAIC quarterly national meetings.</w:t>
      </w:r>
    </w:p>
    <w:p w14:paraId="0D084287" w14:textId="77777777" w:rsidR="006169B8" w:rsidRDefault="006169B8" w:rsidP="006169B8">
      <w:pPr>
        <w:pStyle w:val="ListParagraph"/>
        <w:numPr>
          <w:ilvl w:val="1"/>
          <w:numId w:val="1"/>
        </w:numPr>
        <w:tabs>
          <w:tab w:val="left" w:pos="839"/>
          <w:tab w:val="left" w:pos="840"/>
        </w:tabs>
        <w:spacing w:before="1"/>
        <w:ind w:left="839" w:hanging="359"/>
        <w:rPr>
          <w:sz w:val="20"/>
        </w:rPr>
      </w:pPr>
      <w:r>
        <w:rPr>
          <w:sz w:val="20"/>
        </w:rPr>
        <w:t>Inform your providers of the start date for reciprocity</w:t>
      </w:r>
      <w:r>
        <w:rPr>
          <w:spacing w:val="-25"/>
          <w:sz w:val="20"/>
        </w:rPr>
        <w:t xml:space="preserve"> </w:t>
      </w:r>
      <w:r>
        <w:rPr>
          <w:sz w:val="20"/>
        </w:rPr>
        <w:t>filings.</w:t>
      </w:r>
    </w:p>
    <w:p w14:paraId="10ECE3CD" w14:textId="77777777" w:rsidR="006169B8" w:rsidRDefault="006169B8" w:rsidP="006169B8">
      <w:pPr>
        <w:pStyle w:val="BodyText"/>
        <w:spacing w:before="3"/>
        <w:rPr>
          <w:sz w:val="24"/>
        </w:rPr>
      </w:pPr>
    </w:p>
    <w:p w14:paraId="6AEBF022" w14:textId="77777777" w:rsidR="006169B8" w:rsidRDefault="006169B8" w:rsidP="006169B8">
      <w:pPr>
        <w:pStyle w:val="BodyText"/>
        <w:ind w:left="119"/>
        <w:jc w:val="both"/>
      </w:pPr>
      <w:r>
        <w:t>For the most current information, check the Producer Licensing (D) Task Force page on the NAIC Web site.</w:t>
      </w:r>
    </w:p>
    <w:p w14:paraId="0A6C5F5F" w14:textId="77777777" w:rsidR="005C4C4C" w:rsidRDefault="005C4C4C"/>
    <w:sectPr w:rsidR="005C4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91416"/>
    <w:multiLevelType w:val="hybridMultilevel"/>
    <w:tmpl w:val="816A5906"/>
    <w:lvl w:ilvl="0" w:tplc="AB4E703C">
      <w:start w:val="38"/>
      <w:numFmt w:val="decimal"/>
      <w:lvlText w:val="%1."/>
      <w:lvlJc w:val="left"/>
      <w:pPr>
        <w:ind w:left="440" w:hanging="301"/>
      </w:pPr>
      <w:rPr>
        <w:rFonts w:hint="default"/>
        <w:spacing w:val="-1"/>
        <w:w w:val="100"/>
        <w:u w:val="single" w:color="000000"/>
      </w:rPr>
    </w:lvl>
    <w:lvl w:ilvl="1" w:tplc="1CE87AB8">
      <w:numFmt w:val="bullet"/>
      <w:lvlText w:val=""/>
      <w:lvlJc w:val="left"/>
      <w:pPr>
        <w:ind w:left="840" w:hanging="360"/>
      </w:pPr>
      <w:rPr>
        <w:rFonts w:ascii="Symbol" w:eastAsia="Symbol" w:hAnsi="Symbol" w:cs="Symbol" w:hint="default"/>
        <w:w w:val="100"/>
        <w:sz w:val="20"/>
        <w:szCs w:val="20"/>
      </w:rPr>
    </w:lvl>
    <w:lvl w:ilvl="2" w:tplc="84A409AE">
      <w:numFmt w:val="bullet"/>
      <w:lvlText w:val="•"/>
      <w:lvlJc w:val="left"/>
      <w:pPr>
        <w:ind w:left="1893" w:hanging="360"/>
      </w:pPr>
      <w:rPr>
        <w:rFonts w:hint="default"/>
      </w:rPr>
    </w:lvl>
    <w:lvl w:ilvl="3" w:tplc="D45091BC">
      <w:numFmt w:val="bullet"/>
      <w:lvlText w:val="•"/>
      <w:lvlJc w:val="left"/>
      <w:pPr>
        <w:ind w:left="2946" w:hanging="360"/>
      </w:pPr>
      <w:rPr>
        <w:rFonts w:hint="default"/>
      </w:rPr>
    </w:lvl>
    <w:lvl w:ilvl="4" w:tplc="7B5C0290">
      <w:numFmt w:val="bullet"/>
      <w:lvlText w:val="•"/>
      <w:lvlJc w:val="left"/>
      <w:pPr>
        <w:ind w:left="4000" w:hanging="360"/>
      </w:pPr>
      <w:rPr>
        <w:rFonts w:hint="default"/>
      </w:rPr>
    </w:lvl>
    <w:lvl w:ilvl="5" w:tplc="B994E65C">
      <w:numFmt w:val="bullet"/>
      <w:lvlText w:val="•"/>
      <w:lvlJc w:val="left"/>
      <w:pPr>
        <w:ind w:left="5053" w:hanging="360"/>
      </w:pPr>
      <w:rPr>
        <w:rFonts w:hint="default"/>
      </w:rPr>
    </w:lvl>
    <w:lvl w:ilvl="6" w:tplc="1196FD5E">
      <w:numFmt w:val="bullet"/>
      <w:lvlText w:val="•"/>
      <w:lvlJc w:val="left"/>
      <w:pPr>
        <w:ind w:left="6106" w:hanging="360"/>
      </w:pPr>
      <w:rPr>
        <w:rFonts w:hint="default"/>
      </w:rPr>
    </w:lvl>
    <w:lvl w:ilvl="7" w:tplc="AC04B0AC">
      <w:numFmt w:val="bullet"/>
      <w:lvlText w:val="•"/>
      <w:lvlJc w:val="left"/>
      <w:pPr>
        <w:ind w:left="7160" w:hanging="360"/>
      </w:pPr>
      <w:rPr>
        <w:rFonts w:hint="default"/>
      </w:rPr>
    </w:lvl>
    <w:lvl w:ilvl="8" w:tplc="56AC9442">
      <w:numFmt w:val="bullet"/>
      <w:lvlText w:val="•"/>
      <w:lvlJc w:val="left"/>
      <w:pPr>
        <w:ind w:left="821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169B8"/>
    <w:rsid w:val="005C4C4C"/>
    <w:rsid w:val="0061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46C0"/>
  <w15:chartTrackingRefBased/>
  <w15:docId w15:val="{ADD2662C-8F4D-4FDF-AEC4-2E7E8AD9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1"/>
    <w:qFormat/>
    <w:rsid w:val="006169B8"/>
    <w:pPr>
      <w:widowControl w:val="0"/>
      <w:autoSpaceDE w:val="0"/>
      <w:autoSpaceDN w:val="0"/>
      <w:spacing w:after="0" w:line="240" w:lineRule="auto"/>
      <w:ind w:left="119"/>
      <w:jc w:val="both"/>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6169B8"/>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6169B8"/>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169B8"/>
    <w:rPr>
      <w:rFonts w:ascii="Times New Roman" w:eastAsia="Times New Roman" w:hAnsi="Times New Roman" w:cs="Times New Roman"/>
      <w:sz w:val="20"/>
      <w:szCs w:val="20"/>
    </w:rPr>
  </w:style>
  <w:style w:type="paragraph" w:styleId="ListParagraph">
    <w:name w:val="List Paragraph"/>
    <w:basedOn w:val="Normal"/>
    <w:uiPriority w:val="99"/>
    <w:qFormat/>
    <w:rsid w:val="006169B8"/>
    <w:pPr>
      <w:widowControl w:val="0"/>
      <w:autoSpaceDE w:val="0"/>
      <w:autoSpaceDN w:val="0"/>
      <w:spacing w:after="0" w:line="240" w:lineRule="auto"/>
      <w:ind w:left="840" w:hanging="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3A282F1F</Template>
  <TotalTime>0</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Seemann, Lacey</dc:creator>
  <cp:keywords/>
  <dc:description/>
  <cp:lastModifiedBy>Seemann, Lacey</cp:lastModifiedBy>
  <cp:revision>1</cp:revision>
  <dcterms:created xsi:type="dcterms:W3CDTF">2020-06-16T13:21:00Z</dcterms:created>
  <dcterms:modified xsi:type="dcterms:W3CDTF">2020-06-16T13:21:00Z</dcterms:modified>
</cp:coreProperties>
</file>