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626E6" w14:textId="77777777" w:rsidR="00D658A9" w:rsidRDefault="00D658A9" w:rsidP="00D658A9">
      <w:pPr>
        <w:pStyle w:val="Heading5"/>
        <w:spacing w:before="79"/>
        <w:ind w:left="100"/>
        <w:jc w:val="left"/>
      </w:pPr>
      <w:r>
        <w:t>Part III - Section I – Appendix G</w:t>
      </w:r>
    </w:p>
    <w:p w14:paraId="097EFC42" w14:textId="77777777" w:rsidR="00D658A9" w:rsidRDefault="00D658A9" w:rsidP="00D658A9">
      <w:pPr>
        <w:pStyle w:val="BodyText"/>
        <w:spacing w:before="7"/>
        <w:rPr>
          <w:b/>
          <w:sz w:val="21"/>
        </w:rPr>
      </w:pPr>
      <w:r>
        <w:rPr>
          <w:noProof/>
        </w:rPr>
        <w:drawing>
          <wp:anchor distT="0" distB="0" distL="0" distR="0" simplePos="0" relativeHeight="251659264" behindDoc="0" locked="0" layoutInCell="1" allowOverlap="1" wp14:anchorId="699A1272" wp14:editId="56C29054">
            <wp:simplePos x="0" y="0"/>
            <wp:positionH relativeFrom="page">
              <wp:posOffset>726948</wp:posOffset>
            </wp:positionH>
            <wp:positionV relativeFrom="paragraph">
              <wp:posOffset>182662</wp:posOffset>
            </wp:positionV>
            <wp:extent cx="2060448" cy="30480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5" cstate="print"/>
                    <a:stretch>
                      <a:fillRect/>
                    </a:stretch>
                  </pic:blipFill>
                  <pic:spPr>
                    <a:xfrm>
                      <a:off x="0" y="0"/>
                      <a:ext cx="2060448" cy="304800"/>
                    </a:xfrm>
                    <a:prstGeom prst="rect">
                      <a:avLst/>
                    </a:prstGeom>
                  </pic:spPr>
                </pic:pic>
              </a:graphicData>
            </a:graphic>
          </wp:anchor>
        </w:drawing>
      </w:r>
    </w:p>
    <w:p w14:paraId="67A01404" w14:textId="77777777" w:rsidR="00D658A9" w:rsidRDefault="00D658A9" w:rsidP="00D658A9">
      <w:pPr>
        <w:pStyle w:val="BodyText"/>
        <w:spacing w:before="6"/>
        <w:rPr>
          <w:b/>
          <w:sz w:val="6"/>
        </w:rPr>
      </w:pPr>
    </w:p>
    <w:p w14:paraId="032CC575" w14:textId="77777777" w:rsidR="00D658A9" w:rsidRDefault="00D658A9" w:rsidP="00D658A9">
      <w:pPr>
        <w:rPr>
          <w:sz w:val="6"/>
        </w:rPr>
        <w:sectPr w:rsidR="00D658A9">
          <w:pgSz w:w="12240" w:h="15840"/>
          <w:pgMar w:top="1000" w:right="960" w:bottom="280" w:left="980" w:header="720" w:footer="720" w:gutter="0"/>
          <w:cols w:space="720"/>
        </w:sectPr>
      </w:pPr>
    </w:p>
    <w:p w14:paraId="679FD179" w14:textId="77777777" w:rsidR="00D658A9" w:rsidRDefault="00D658A9" w:rsidP="00D658A9">
      <w:pPr>
        <w:pStyle w:val="BodyText"/>
        <w:spacing w:before="92"/>
        <w:ind w:left="100"/>
      </w:pPr>
      <w:r>
        <w:t>Date: 8/26/16</w:t>
      </w:r>
    </w:p>
    <w:p w14:paraId="79340318" w14:textId="77777777" w:rsidR="00D658A9" w:rsidRDefault="00D658A9" w:rsidP="00D658A9">
      <w:pPr>
        <w:pStyle w:val="BodyText"/>
        <w:spacing w:before="1"/>
        <w:rPr>
          <w:sz w:val="28"/>
        </w:rPr>
      </w:pPr>
      <w:r>
        <w:br w:type="column"/>
      </w:r>
    </w:p>
    <w:p w14:paraId="34A698F7" w14:textId="6B17E052" w:rsidR="00D658A9" w:rsidRPr="00D658A9" w:rsidRDefault="00D658A9" w:rsidP="00D658A9">
      <w:pPr>
        <w:ind w:left="100" w:right="2143" w:hanging="2"/>
        <w:jc w:val="center"/>
        <w:rPr>
          <w:i/>
          <w:sz w:val="20"/>
        </w:rPr>
        <w:sectPr w:rsidR="00D658A9" w:rsidRPr="00D658A9">
          <w:type w:val="continuous"/>
          <w:pgSz w:w="12240" w:h="15840"/>
          <w:pgMar w:top="1000" w:right="960" w:bottom="280" w:left="980" w:header="720" w:footer="720" w:gutter="0"/>
          <w:cols w:num="2" w:space="720" w:equalWidth="0">
            <w:col w:w="1195" w:space="831"/>
            <w:col w:w="8274"/>
          </w:cols>
        </w:sectPr>
      </w:pPr>
      <w:r>
        <w:rPr>
          <w:b/>
          <w:sz w:val="20"/>
          <w:u w:val="single"/>
        </w:rPr>
        <w:t xml:space="preserve">NAIC – Continuing Education Classroom Course Recommendations </w:t>
      </w:r>
      <w:r>
        <w:rPr>
          <w:i/>
          <w:sz w:val="20"/>
        </w:rPr>
        <w:t xml:space="preserve">Adopted by the Producer Licensing (EX) Working Group on May 16, 2016. </w:t>
      </w:r>
      <w:bookmarkStart w:id="0" w:name="_GoBack"/>
      <w:bookmarkEnd w:id="0"/>
      <w:r>
        <w:rPr>
          <w:i/>
          <w:sz w:val="20"/>
        </w:rPr>
        <w:t>Adopted by the Producer Licensing (EX) Task Force on August 26, 2016</w:t>
      </w:r>
    </w:p>
    <w:p w14:paraId="76471B30" w14:textId="77777777" w:rsidR="00D658A9" w:rsidRDefault="00D658A9" w:rsidP="00D658A9">
      <w:pPr>
        <w:pStyle w:val="BodyText"/>
        <w:spacing w:before="10"/>
        <w:rPr>
          <w:i/>
          <w:sz w:val="11"/>
        </w:rPr>
      </w:pPr>
    </w:p>
    <w:p w14:paraId="20EAEA04" w14:textId="77777777" w:rsidR="00D658A9" w:rsidRDefault="00D658A9" w:rsidP="00D658A9">
      <w:pPr>
        <w:pStyle w:val="ListParagraph"/>
        <w:numPr>
          <w:ilvl w:val="0"/>
          <w:numId w:val="1"/>
        </w:numPr>
        <w:tabs>
          <w:tab w:val="left" w:pos="820"/>
        </w:tabs>
        <w:spacing w:before="92"/>
        <w:ind w:right="138" w:hanging="361"/>
        <w:jc w:val="both"/>
        <w:rPr>
          <w:sz w:val="20"/>
        </w:rPr>
      </w:pPr>
      <w:r>
        <w:rPr>
          <w:sz w:val="20"/>
        </w:rPr>
        <w:t>The</w:t>
      </w:r>
      <w:r>
        <w:rPr>
          <w:spacing w:val="-3"/>
          <w:sz w:val="20"/>
        </w:rPr>
        <w:t xml:space="preserve"> </w:t>
      </w:r>
      <w:r>
        <w:rPr>
          <w:sz w:val="20"/>
        </w:rPr>
        <w:t>decision</w:t>
      </w:r>
      <w:r>
        <w:rPr>
          <w:spacing w:val="-3"/>
          <w:sz w:val="20"/>
        </w:rPr>
        <w:t xml:space="preserve"> </w:t>
      </w:r>
      <w:r>
        <w:rPr>
          <w:sz w:val="20"/>
        </w:rPr>
        <w:t>whether</w:t>
      </w:r>
      <w:r>
        <w:rPr>
          <w:spacing w:val="-2"/>
          <w:sz w:val="20"/>
        </w:rPr>
        <w:t xml:space="preserve"> </w:t>
      </w:r>
      <w:r>
        <w:rPr>
          <w:sz w:val="20"/>
        </w:rPr>
        <w:t>to</w:t>
      </w:r>
      <w:r>
        <w:rPr>
          <w:spacing w:val="-3"/>
          <w:sz w:val="20"/>
        </w:rPr>
        <w:t xml:space="preserve"> </w:t>
      </w:r>
      <w:r>
        <w:rPr>
          <w:sz w:val="20"/>
        </w:rPr>
        <w:t>use</w:t>
      </w:r>
      <w:r>
        <w:rPr>
          <w:spacing w:val="-3"/>
          <w:sz w:val="20"/>
        </w:rPr>
        <w:t xml:space="preserve"> </w:t>
      </w:r>
      <w:r>
        <w:rPr>
          <w:sz w:val="20"/>
        </w:rPr>
        <w:t>electronic</w:t>
      </w:r>
      <w:r>
        <w:rPr>
          <w:spacing w:val="-2"/>
          <w:sz w:val="20"/>
        </w:rPr>
        <w:t xml:space="preserve"> </w:t>
      </w:r>
      <w:r>
        <w:rPr>
          <w:sz w:val="20"/>
        </w:rPr>
        <w:t>devices</w:t>
      </w:r>
      <w:r>
        <w:rPr>
          <w:spacing w:val="-2"/>
          <w:sz w:val="20"/>
        </w:rPr>
        <w:t xml:space="preserve"> </w:t>
      </w:r>
      <w:r>
        <w:rPr>
          <w:sz w:val="20"/>
        </w:rPr>
        <w:t>for</w:t>
      </w:r>
      <w:r>
        <w:rPr>
          <w:spacing w:val="-3"/>
          <w:sz w:val="20"/>
        </w:rPr>
        <w:t xml:space="preserve"> </w:t>
      </w:r>
      <w:r>
        <w:rPr>
          <w:sz w:val="20"/>
        </w:rPr>
        <w:t>synchronous</w:t>
      </w:r>
      <w:r>
        <w:rPr>
          <w:spacing w:val="-3"/>
          <w:sz w:val="20"/>
        </w:rPr>
        <w:t xml:space="preserve"> </w:t>
      </w:r>
      <w:r>
        <w:rPr>
          <w:sz w:val="20"/>
        </w:rPr>
        <w:t>contact</w:t>
      </w:r>
      <w:r>
        <w:rPr>
          <w:spacing w:val="-2"/>
          <w:sz w:val="20"/>
        </w:rPr>
        <w:t xml:space="preserve"> </w:t>
      </w:r>
      <w:r>
        <w:rPr>
          <w:sz w:val="20"/>
        </w:rPr>
        <w:t>courses</w:t>
      </w:r>
      <w:r>
        <w:rPr>
          <w:spacing w:val="-3"/>
          <w:sz w:val="20"/>
        </w:rPr>
        <w:t xml:space="preserve"> </w:t>
      </w:r>
      <w:r>
        <w:rPr>
          <w:sz w:val="20"/>
        </w:rPr>
        <w:t>should</w:t>
      </w:r>
      <w:r>
        <w:rPr>
          <w:spacing w:val="-3"/>
          <w:sz w:val="20"/>
        </w:rPr>
        <w:t xml:space="preserve"> </w:t>
      </w:r>
      <w:r>
        <w:rPr>
          <w:sz w:val="20"/>
        </w:rPr>
        <w:t>be</w:t>
      </w:r>
      <w:r>
        <w:rPr>
          <w:spacing w:val="-2"/>
          <w:sz w:val="20"/>
        </w:rPr>
        <w:t xml:space="preserve"> </w:t>
      </w:r>
      <w:r>
        <w:rPr>
          <w:sz w:val="20"/>
        </w:rPr>
        <w:t>left</w:t>
      </w:r>
      <w:r>
        <w:rPr>
          <w:spacing w:val="-3"/>
          <w:sz w:val="20"/>
        </w:rPr>
        <w:t xml:space="preserve"> </w:t>
      </w:r>
      <w:r>
        <w:rPr>
          <w:sz w:val="20"/>
        </w:rPr>
        <w:t>to</w:t>
      </w:r>
      <w:r>
        <w:rPr>
          <w:spacing w:val="-1"/>
          <w:sz w:val="20"/>
        </w:rPr>
        <w:t xml:space="preserve"> </w:t>
      </w:r>
      <w:r>
        <w:rPr>
          <w:sz w:val="20"/>
        </w:rPr>
        <w:t>the</w:t>
      </w:r>
      <w:r>
        <w:rPr>
          <w:spacing w:val="-3"/>
          <w:sz w:val="20"/>
        </w:rPr>
        <w:t xml:space="preserve"> </w:t>
      </w:r>
      <w:r>
        <w:rPr>
          <w:sz w:val="20"/>
        </w:rPr>
        <w:t>discretion</w:t>
      </w:r>
      <w:r>
        <w:rPr>
          <w:spacing w:val="-3"/>
          <w:sz w:val="20"/>
        </w:rPr>
        <w:t xml:space="preserve"> </w:t>
      </w:r>
      <w:r>
        <w:rPr>
          <w:sz w:val="20"/>
        </w:rPr>
        <w:t>of</w:t>
      </w:r>
      <w:r>
        <w:rPr>
          <w:spacing w:val="-2"/>
          <w:sz w:val="20"/>
        </w:rPr>
        <w:t xml:space="preserve"> </w:t>
      </w:r>
      <w:r>
        <w:rPr>
          <w:sz w:val="20"/>
        </w:rPr>
        <w:t>the education</w:t>
      </w:r>
      <w:r>
        <w:rPr>
          <w:spacing w:val="-5"/>
          <w:sz w:val="20"/>
        </w:rPr>
        <w:t xml:space="preserve"> </w:t>
      </w:r>
      <w:r>
        <w:rPr>
          <w:sz w:val="20"/>
        </w:rPr>
        <w:t>provider.</w:t>
      </w:r>
    </w:p>
    <w:p w14:paraId="6F204C61" w14:textId="77777777" w:rsidR="00D658A9" w:rsidRDefault="00D658A9" w:rsidP="00D658A9">
      <w:pPr>
        <w:pStyle w:val="BodyText"/>
      </w:pPr>
    </w:p>
    <w:p w14:paraId="451F1688" w14:textId="77777777" w:rsidR="00D658A9" w:rsidRDefault="00D658A9" w:rsidP="00D658A9">
      <w:pPr>
        <w:pStyle w:val="ListParagraph"/>
        <w:numPr>
          <w:ilvl w:val="0"/>
          <w:numId w:val="1"/>
        </w:numPr>
        <w:tabs>
          <w:tab w:val="left" w:pos="820"/>
        </w:tabs>
        <w:ind w:right="116"/>
        <w:jc w:val="both"/>
        <w:rPr>
          <w:sz w:val="20"/>
        </w:rPr>
      </w:pPr>
      <w:r>
        <w:rPr>
          <w:sz w:val="20"/>
        </w:rPr>
        <w:t>States that require an education provider to submit notification of a course offering should require it to be provided no more than 10 calendar days in advance of the course offering</w:t>
      </w:r>
      <w:r>
        <w:rPr>
          <w:spacing w:val="-32"/>
          <w:sz w:val="20"/>
        </w:rPr>
        <w:t xml:space="preserve"> </w:t>
      </w:r>
      <w:r>
        <w:rPr>
          <w:sz w:val="20"/>
        </w:rPr>
        <w:t>date.</w:t>
      </w:r>
    </w:p>
    <w:p w14:paraId="54B02B75" w14:textId="77777777" w:rsidR="00D658A9" w:rsidRDefault="00D658A9" w:rsidP="00D658A9">
      <w:pPr>
        <w:pStyle w:val="BodyText"/>
      </w:pPr>
    </w:p>
    <w:p w14:paraId="05800F5C" w14:textId="77777777" w:rsidR="00D658A9" w:rsidRDefault="00D658A9" w:rsidP="00D658A9">
      <w:pPr>
        <w:pStyle w:val="ListParagraph"/>
        <w:numPr>
          <w:ilvl w:val="0"/>
          <w:numId w:val="1"/>
        </w:numPr>
        <w:tabs>
          <w:tab w:val="left" w:pos="820"/>
        </w:tabs>
        <w:ind w:left="819" w:right="116" w:hanging="359"/>
        <w:jc w:val="both"/>
        <w:rPr>
          <w:sz w:val="20"/>
        </w:rPr>
      </w:pPr>
      <w:r>
        <w:rPr>
          <w:sz w:val="20"/>
        </w:rPr>
        <w:t>States that require an education provider to give the state notification of a course offering cancellation should require it to be provided no more than 5 calendar days in advance of the course offering date. This requirement does not apply</w:t>
      </w:r>
      <w:r>
        <w:rPr>
          <w:spacing w:val="-4"/>
          <w:sz w:val="20"/>
        </w:rPr>
        <w:t xml:space="preserve"> </w:t>
      </w:r>
      <w:r>
        <w:rPr>
          <w:sz w:val="20"/>
        </w:rPr>
        <w:t>to</w:t>
      </w:r>
      <w:r>
        <w:rPr>
          <w:spacing w:val="-4"/>
          <w:sz w:val="20"/>
        </w:rPr>
        <w:t xml:space="preserve"> </w:t>
      </w:r>
      <w:r>
        <w:rPr>
          <w:sz w:val="20"/>
        </w:rPr>
        <w:t>emergency</w:t>
      </w:r>
      <w:r>
        <w:rPr>
          <w:spacing w:val="-4"/>
          <w:sz w:val="20"/>
        </w:rPr>
        <w:t xml:space="preserve"> </w:t>
      </w:r>
      <w:r>
        <w:rPr>
          <w:sz w:val="20"/>
        </w:rPr>
        <w:t>cancellations</w:t>
      </w:r>
      <w:r>
        <w:rPr>
          <w:spacing w:val="-5"/>
          <w:sz w:val="20"/>
        </w:rPr>
        <w:t xml:space="preserve"> </w:t>
      </w:r>
      <w:r>
        <w:rPr>
          <w:sz w:val="20"/>
        </w:rPr>
        <w:t>due</w:t>
      </w:r>
      <w:r>
        <w:rPr>
          <w:spacing w:val="-4"/>
          <w:sz w:val="20"/>
        </w:rPr>
        <w:t xml:space="preserve"> </w:t>
      </w:r>
      <w:r>
        <w:rPr>
          <w:sz w:val="20"/>
        </w:rPr>
        <w:t>to</w:t>
      </w:r>
      <w:r>
        <w:rPr>
          <w:spacing w:val="-3"/>
          <w:sz w:val="20"/>
        </w:rPr>
        <w:t xml:space="preserve"> </w:t>
      </w:r>
      <w:r>
        <w:rPr>
          <w:sz w:val="20"/>
        </w:rPr>
        <w:t>adverse</w:t>
      </w:r>
      <w:r>
        <w:rPr>
          <w:spacing w:val="-6"/>
          <w:sz w:val="20"/>
        </w:rPr>
        <w:t xml:space="preserve"> </w:t>
      </w:r>
      <w:r>
        <w:rPr>
          <w:sz w:val="20"/>
        </w:rPr>
        <w:t>weather,</w:t>
      </w:r>
      <w:r>
        <w:rPr>
          <w:spacing w:val="-6"/>
          <w:sz w:val="20"/>
        </w:rPr>
        <w:t xml:space="preserve"> </w:t>
      </w:r>
      <w:r>
        <w:rPr>
          <w:sz w:val="20"/>
        </w:rPr>
        <w:t>instructor</w:t>
      </w:r>
      <w:r>
        <w:rPr>
          <w:spacing w:val="-4"/>
          <w:sz w:val="20"/>
        </w:rPr>
        <w:t xml:space="preserve"> </w:t>
      </w:r>
      <w:r>
        <w:rPr>
          <w:sz w:val="20"/>
        </w:rPr>
        <w:t>illness,</w:t>
      </w:r>
      <w:r>
        <w:rPr>
          <w:spacing w:val="-4"/>
          <w:sz w:val="20"/>
        </w:rPr>
        <w:t xml:space="preserve"> </w:t>
      </w:r>
      <w:r>
        <w:rPr>
          <w:sz w:val="20"/>
        </w:rPr>
        <w:t>or</w:t>
      </w:r>
      <w:r>
        <w:rPr>
          <w:spacing w:val="-6"/>
          <w:sz w:val="20"/>
        </w:rPr>
        <w:t xml:space="preserve"> </w:t>
      </w:r>
      <w:r>
        <w:rPr>
          <w:sz w:val="20"/>
        </w:rPr>
        <w:t>other</w:t>
      </w:r>
      <w:r>
        <w:rPr>
          <w:spacing w:val="-6"/>
          <w:sz w:val="20"/>
        </w:rPr>
        <w:t xml:space="preserve"> </w:t>
      </w:r>
      <w:r>
        <w:rPr>
          <w:sz w:val="20"/>
        </w:rPr>
        <w:t>unforeseen</w:t>
      </w:r>
      <w:r>
        <w:rPr>
          <w:spacing w:val="-4"/>
          <w:sz w:val="20"/>
        </w:rPr>
        <w:t xml:space="preserve"> </w:t>
      </w:r>
      <w:r>
        <w:rPr>
          <w:sz w:val="20"/>
        </w:rPr>
        <w:t>events.</w:t>
      </w:r>
    </w:p>
    <w:p w14:paraId="1CD9E676" w14:textId="77777777" w:rsidR="00D658A9" w:rsidRDefault="00D658A9" w:rsidP="00D658A9">
      <w:pPr>
        <w:pStyle w:val="BodyText"/>
        <w:spacing w:before="10"/>
        <w:rPr>
          <w:sz w:val="19"/>
        </w:rPr>
      </w:pPr>
    </w:p>
    <w:p w14:paraId="6E6AEC85" w14:textId="77777777" w:rsidR="00D658A9" w:rsidRDefault="00D658A9" w:rsidP="00D658A9">
      <w:pPr>
        <w:pStyle w:val="ListParagraph"/>
        <w:numPr>
          <w:ilvl w:val="0"/>
          <w:numId w:val="1"/>
        </w:numPr>
        <w:tabs>
          <w:tab w:val="left" w:pos="871"/>
        </w:tabs>
        <w:spacing w:before="1"/>
        <w:ind w:left="819" w:right="116"/>
        <w:jc w:val="both"/>
        <w:rPr>
          <w:sz w:val="20"/>
        </w:rPr>
      </w:pPr>
      <w:r>
        <w:rPr>
          <w:sz w:val="20"/>
        </w:rPr>
        <w:t>An education provider should be considered in compliance if the state specified course completion roster reporting timeframes are met as a regular business practice. The state should consider reporting exceptions on a case by case basis and grant allowances to course completion roster reporting timeframes if the delay was due to factors outside of the education providers control or an unusual processing</w:t>
      </w:r>
      <w:r>
        <w:rPr>
          <w:spacing w:val="-23"/>
          <w:sz w:val="20"/>
        </w:rPr>
        <w:t xml:space="preserve"> </w:t>
      </w:r>
      <w:r>
        <w:rPr>
          <w:sz w:val="20"/>
        </w:rPr>
        <w:t>issue.</w:t>
      </w:r>
    </w:p>
    <w:p w14:paraId="1700983D" w14:textId="77777777" w:rsidR="00D658A9" w:rsidRDefault="00D658A9" w:rsidP="00D658A9">
      <w:pPr>
        <w:pStyle w:val="BodyText"/>
      </w:pPr>
    </w:p>
    <w:p w14:paraId="0CDD219F" w14:textId="77777777" w:rsidR="00D658A9" w:rsidRDefault="00D658A9" w:rsidP="00D658A9">
      <w:pPr>
        <w:pStyle w:val="ListParagraph"/>
        <w:numPr>
          <w:ilvl w:val="0"/>
          <w:numId w:val="1"/>
        </w:numPr>
        <w:tabs>
          <w:tab w:val="left" w:pos="820"/>
        </w:tabs>
        <w:spacing w:before="1"/>
        <w:ind w:left="819" w:right="117"/>
        <w:jc w:val="both"/>
        <w:rPr>
          <w:sz w:val="20"/>
        </w:rPr>
      </w:pPr>
      <w:r>
        <w:rPr>
          <w:sz w:val="20"/>
        </w:rPr>
        <w:t xml:space="preserve">States should establish procedures to audit classroom courses either directly or through a </w:t>
      </w:r>
      <w:proofErr w:type="gramStart"/>
      <w:r>
        <w:rPr>
          <w:sz w:val="20"/>
        </w:rPr>
        <w:t>third party</w:t>
      </w:r>
      <w:proofErr w:type="gramEnd"/>
      <w:r>
        <w:rPr>
          <w:sz w:val="20"/>
        </w:rPr>
        <w:t xml:space="preserve"> vendor. The course should be monitored for appropriate course time, adherence to course content outline, student attention and attendance.</w:t>
      </w:r>
    </w:p>
    <w:p w14:paraId="1A5F92DA" w14:textId="77777777" w:rsidR="00D658A9" w:rsidRDefault="00D658A9" w:rsidP="00D658A9">
      <w:pPr>
        <w:pStyle w:val="BodyText"/>
        <w:spacing w:before="11"/>
        <w:rPr>
          <w:sz w:val="19"/>
        </w:rPr>
      </w:pPr>
    </w:p>
    <w:p w14:paraId="5F91709D" w14:textId="77777777" w:rsidR="00D658A9" w:rsidRDefault="00D658A9" w:rsidP="00D658A9">
      <w:pPr>
        <w:pStyle w:val="ListParagraph"/>
        <w:numPr>
          <w:ilvl w:val="0"/>
          <w:numId w:val="1"/>
        </w:numPr>
        <w:tabs>
          <w:tab w:val="left" w:pos="820"/>
        </w:tabs>
        <w:ind w:right="115" w:hanging="361"/>
        <w:jc w:val="both"/>
        <w:rPr>
          <w:sz w:val="20"/>
        </w:rPr>
      </w:pPr>
      <w:r>
        <w:rPr>
          <w:sz w:val="20"/>
        </w:rPr>
        <w:t>State that required an education provider to authenticate identify of attendees should allow them discretions in procedures such as check of government issued photo ID, company issued photo ID, conference ID badge, attestation</w:t>
      </w:r>
      <w:r>
        <w:rPr>
          <w:spacing w:val="-10"/>
          <w:sz w:val="20"/>
        </w:rPr>
        <w:t xml:space="preserve"> </w:t>
      </w:r>
      <w:r>
        <w:rPr>
          <w:sz w:val="20"/>
        </w:rPr>
        <w:t>of</w:t>
      </w:r>
      <w:r>
        <w:rPr>
          <w:spacing w:val="-10"/>
          <w:sz w:val="20"/>
        </w:rPr>
        <w:t xml:space="preserve"> </w:t>
      </w:r>
      <w:r>
        <w:rPr>
          <w:sz w:val="20"/>
        </w:rPr>
        <w:t>company/association</w:t>
      </w:r>
      <w:r>
        <w:rPr>
          <w:spacing w:val="-12"/>
          <w:sz w:val="20"/>
        </w:rPr>
        <w:t xml:space="preserve"> </w:t>
      </w:r>
      <w:r>
        <w:rPr>
          <w:sz w:val="20"/>
        </w:rPr>
        <w:t>representative,</w:t>
      </w:r>
      <w:r>
        <w:rPr>
          <w:spacing w:val="-10"/>
          <w:sz w:val="20"/>
        </w:rPr>
        <w:t xml:space="preserve"> </w:t>
      </w:r>
      <w:r>
        <w:rPr>
          <w:sz w:val="20"/>
        </w:rPr>
        <w:t>etc.</w:t>
      </w:r>
    </w:p>
    <w:p w14:paraId="153813CC" w14:textId="77777777" w:rsidR="005C4C4C" w:rsidRDefault="005C4C4C"/>
    <w:sectPr w:rsidR="005C4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A90307"/>
    <w:multiLevelType w:val="hybridMultilevel"/>
    <w:tmpl w:val="AF805AF4"/>
    <w:lvl w:ilvl="0" w:tplc="C3006738">
      <w:start w:val="1"/>
      <w:numFmt w:val="decimal"/>
      <w:lvlText w:val="%1."/>
      <w:lvlJc w:val="left"/>
      <w:pPr>
        <w:ind w:left="820" w:hanging="360"/>
      </w:pPr>
      <w:rPr>
        <w:rFonts w:ascii="Times New Roman" w:eastAsia="Times New Roman" w:hAnsi="Times New Roman" w:cs="Times New Roman" w:hint="default"/>
        <w:w w:val="100"/>
        <w:sz w:val="20"/>
        <w:szCs w:val="20"/>
      </w:rPr>
    </w:lvl>
    <w:lvl w:ilvl="1" w:tplc="6EEE40BA">
      <w:numFmt w:val="bullet"/>
      <w:lvlText w:val="•"/>
      <w:lvlJc w:val="left"/>
      <w:pPr>
        <w:ind w:left="1768" w:hanging="360"/>
      </w:pPr>
      <w:rPr>
        <w:rFonts w:hint="default"/>
      </w:rPr>
    </w:lvl>
    <w:lvl w:ilvl="2" w:tplc="9F62DAE4">
      <w:numFmt w:val="bullet"/>
      <w:lvlText w:val="•"/>
      <w:lvlJc w:val="left"/>
      <w:pPr>
        <w:ind w:left="2716" w:hanging="360"/>
      </w:pPr>
      <w:rPr>
        <w:rFonts w:hint="default"/>
      </w:rPr>
    </w:lvl>
    <w:lvl w:ilvl="3" w:tplc="0D245988">
      <w:numFmt w:val="bullet"/>
      <w:lvlText w:val="•"/>
      <w:lvlJc w:val="left"/>
      <w:pPr>
        <w:ind w:left="3664" w:hanging="360"/>
      </w:pPr>
      <w:rPr>
        <w:rFonts w:hint="default"/>
      </w:rPr>
    </w:lvl>
    <w:lvl w:ilvl="4" w:tplc="09263950">
      <w:numFmt w:val="bullet"/>
      <w:lvlText w:val="•"/>
      <w:lvlJc w:val="left"/>
      <w:pPr>
        <w:ind w:left="4612" w:hanging="360"/>
      </w:pPr>
      <w:rPr>
        <w:rFonts w:hint="default"/>
      </w:rPr>
    </w:lvl>
    <w:lvl w:ilvl="5" w:tplc="31CEFAEA">
      <w:numFmt w:val="bullet"/>
      <w:lvlText w:val="•"/>
      <w:lvlJc w:val="left"/>
      <w:pPr>
        <w:ind w:left="5560" w:hanging="360"/>
      </w:pPr>
      <w:rPr>
        <w:rFonts w:hint="default"/>
      </w:rPr>
    </w:lvl>
    <w:lvl w:ilvl="6" w:tplc="9B126BFA">
      <w:numFmt w:val="bullet"/>
      <w:lvlText w:val="•"/>
      <w:lvlJc w:val="left"/>
      <w:pPr>
        <w:ind w:left="6508" w:hanging="360"/>
      </w:pPr>
      <w:rPr>
        <w:rFonts w:hint="default"/>
      </w:rPr>
    </w:lvl>
    <w:lvl w:ilvl="7" w:tplc="E286E8E2">
      <w:numFmt w:val="bullet"/>
      <w:lvlText w:val="•"/>
      <w:lvlJc w:val="left"/>
      <w:pPr>
        <w:ind w:left="7456" w:hanging="360"/>
      </w:pPr>
      <w:rPr>
        <w:rFonts w:hint="default"/>
      </w:rPr>
    </w:lvl>
    <w:lvl w:ilvl="8" w:tplc="B134A216">
      <w:numFmt w:val="bullet"/>
      <w:lvlText w:val="•"/>
      <w:lvlJc w:val="left"/>
      <w:pPr>
        <w:ind w:left="840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658A9"/>
    <w:rsid w:val="005C4C4C"/>
    <w:rsid w:val="00D6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ADBA"/>
  <w15:chartTrackingRefBased/>
  <w15:docId w15:val="{D9A0859E-93C8-4B7E-897F-5EAD2D63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658A9"/>
    <w:pPr>
      <w:widowControl w:val="0"/>
      <w:autoSpaceDE w:val="0"/>
      <w:autoSpaceDN w:val="0"/>
      <w:spacing w:after="0" w:line="240" w:lineRule="auto"/>
    </w:pPr>
    <w:rPr>
      <w:rFonts w:ascii="Times New Roman" w:eastAsia="Times New Roman" w:hAnsi="Times New Roman" w:cs="Times New Roman"/>
    </w:rPr>
  </w:style>
  <w:style w:type="paragraph" w:styleId="Heading5">
    <w:name w:val="heading 5"/>
    <w:basedOn w:val="Normal"/>
    <w:link w:val="Heading5Char"/>
    <w:uiPriority w:val="1"/>
    <w:qFormat/>
    <w:rsid w:val="00D658A9"/>
    <w:pPr>
      <w:ind w:left="119"/>
      <w:jc w:val="both"/>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D658A9"/>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D658A9"/>
    <w:rPr>
      <w:sz w:val="20"/>
      <w:szCs w:val="20"/>
    </w:rPr>
  </w:style>
  <w:style w:type="character" w:customStyle="1" w:styleId="BodyTextChar">
    <w:name w:val="Body Text Char"/>
    <w:basedOn w:val="DefaultParagraphFont"/>
    <w:link w:val="BodyText"/>
    <w:uiPriority w:val="1"/>
    <w:rsid w:val="00D658A9"/>
    <w:rPr>
      <w:rFonts w:ascii="Times New Roman" w:eastAsia="Times New Roman" w:hAnsi="Times New Roman" w:cs="Times New Roman"/>
      <w:sz w:val="20"/>
      <w:szCs w:val="20"/>
    </w:rPr>
  </w:style>
  <w:style w:type="paragraph" w:styleId="ListParagraph">
    <w:name w:val="List Paragraph"/>
    <w:basedOn w:val="Normal"/>
    <w:uiPriority w:val="99"/>
    <w:qFormat/>
    <w:rsid w:val="00D658A9"/>
    <w:pPr>
      <w:ind w:left="8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3A282F1F</Template>
  <TotalTime>1</TotalTime>
  <Pages>2</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Seemann, Lacey</dc:creator>
  <cp:keywords/>
  <dc:description/>
  <cp:lastModifiedBy>Seemann, Lacey</cp:lastModifiedBy>
  <cp:revision>1</cp:revision>
  <dcterms:created xsi:type="dcterms:W3CDTF">2020-06-16T13:34:00Z</dcterms:created>
  <dcterms:modified xsi:type="dcterms:W3CDTF">2020-06-16T13:36:00Z</dcterms:modified>
</cp:coreProperties>
</file>