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10C35" w14:textId="77777777" w:rsidR="00403C99" w:rsidRDefault="00403C99" w:rsidP="00403C99">
      <w:pPr>
        <w:pStyle w:val="Heading5"/>
        <w:spacing w:before="79"/>
        <w:ind w:left="160"/>
        <w:jc w:val="left"/>
      </w:pPr>
      <w:r>
        <w:t>Part III - Section I – Appendix J</w:t>
      </w:r>
    </w:p>
    <w:p w14:paraId="69CE1137" w14:textId="77777777" w:rsidR="00403C99" w:rsidRDefault="00403C99" w:rsidP="00403C99">
      <w:pPr>
        <w:pStyle w:val="BodyText"/>
        <w:rPr>
          <w:b/>
          <w:sz w:val="22"/>
        </w:rPr>
      </w:pPr>
    </w:p>
    <w:p w14:paraId="21775229" w14:textId="77777777" w:rsidR="00403C99" w:rsidRDefault="00403C99" w:rsidP="00403C99">
      <w:pPr>
        <w:pStyle w:val="BodyText"/>
        <w:spacing w:before="11"/>
        <w:rPr>
          <w:b/>
          <w:sz w:val="17"/>
        </w:rPr>
      </w:pPr>
    </w:p>
    <w:p w14:paraId="7997A6F0" w14:textId="77777777" w:rsidR="00403C99" w:rsidRDefault="00403C99" w:rsidP="00403C99">
      <w:pPr>
        <w:spacing w:after="19"/>
        <w:ind w:left="2952" w:right="2949"/>
        <w:jc w:val="center"/>
        <w:rPr>
          <w:b/>
          <w:sz w:val="20"/>
        </w:rPr>
      </w:pPr>
      <w:r>
        <w:rPr>
          <w:b/>
          <w:sz w:val="20"/>
        </w:rPr>
        <w:t>NAIC EMERGENCY INDEPENDENT ADJUSTER BEST PRACTICES AND GUIDELINES</w:t>
      </w:r>
    </w:p>
    <w:p w14:paraId="49EC404B" w14:textId="77777777" w:rsidR="00403C99" w:rsidRDefault="00403C99" w:rsidP="00403C99">
      <w:pPr>
        <w:pStyle w:val="BodyText"/>
        <w:spacing w:line="30" w:lineRule="exact"/>
        <w:ind w:left="115"/>
        <w:rPr>
          <w:sz w:val="3"/>
        </w:rPr>
      </w:pPr>
      <w:r>
        <w:rPr>
          <w:noProof/>
          <w:sz w:val="3"/>
        </w:rPr>
        <mc:AlternateContent>
          <mc:Choice Requires="wpg">
            <w:drawing>
              <wp:inline distT="0" distB="0" distL="0" distR="0" wp14:anchorId="7DDD0EF7" wp14:editId="24941238">
                <wp:extent cx="6457950" cy="19050"/>
                <wp:effectExtent l="0" t="0" r="9525" b="0"/>
                <wp:docPr id="14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19050"/>
                          <a:chOff x="0" y="0"/>
                          <a:chExt cx="10170" cy="30"/>
                        </a:xfrm>
                      </wpg:grpSpPr>
                      <wps:wsp>
                        <wps:cNvPr id="142" name="Line 280"/>
                        <wps:cNvCnPr/>
                        <wps:spPr bwMode="auto">
                          <a:xfrm>
                            <a:off x="15" y="15"/>
                            <a:ext cx="101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435D5" id="Group 279" o:spid="_x0000_s1026" style="width:508.5pt;height:1.5pt;mso-position-horizontal-relative:char;mso-position-vertical-relative:line" coordsize="101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">
                <v:line id="Line 280" o:spid="_x0000_s1027" style="position:absolute;visibility:visible;mso-wrap-style:square" from="15,15" to="10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9JwgAAANwAAAAPAAAAZHJzL2Rvd25yZXYueG1sRE9Na8JA&#10;EL0X/A/LCL3VjbYU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CYVW9JwgAAANwAAAAPAAAA&#10;AAAAAAAAAAAAAAcCAABkcnMvZG93bnJldi54bWxQSwUGAAAAAAMAAwC3AAAA9gIAAAAA&#10;" strokeweight="1.5pt"/>
                <w10:anchorlock/>
              </v:group>
            </w:pict>
          </mc:Fallback>
        </mc:AlternateContent>
      </w:r>
    </w:p>
    <w:p w14:paraId="076B67DF" w14:textId="77777777" w:rsidR="00403C99" w:rsidRDefault="00403C99" w:rsidP="00403C99">
      <w:pPr>
        <w:ind w:left="2328" w:right="2327" w:firstLine="1"/>
        <w:jc w:val="center"/>
        <w:rPr>
          <w:i/>
          <w:sz w:val="20"/>
        </w:rPr>
      </w:pPr>
      <w:r>
        <w:rPr>
          <w:i/>
          <w:sz w:val="20"/>
        </w:rPr>
        <w:t>Adopted by the Producer Licensing (EX) Task Force Nov. 17, 2014 Adopted by the Producer Licensing (EX) Working Group Nov. 17, 2014</w:t>
      </w:r>
    </w:p>
    <w:p w14:paraId="3E7C9BB2" w14:textId="77777777" w:rsidR="00403C99" w:rsidRDefault="00403C99" w:rsidP="00403C99">
      <w:pPr>
        <w:pStyle w:val="BodyText"/>
        <w:spacing w:before="1"/>
        <w:rPr>
          <w:i/>
        </w:rPr>
      </w:pPr>
    </w:p>
    <w:p w14:paraId="4D6DD2A8" w14:textId="77777777" w:rsidR="00403C99" w:rsidRDefault="00403C99" w:rsidP="00403C99">
      <w:pPr>
        <w:pStyle w:val="Heading5"/>
        <w:spacing w:before="1"/>
        <w:ind w:left="160"/>
        <w:jc w:val="left"/>
      </w:pPr>
      <w:r>
        <w:t>RECOMMENDED GUIDELINES AND BEST PRACTICES FOR REGULATORS</w:t>
      </w:r>
    </w:p>
    <w:p w14:paraId="09374C74" w14:textId="77777777" w:rsidR="00403C99" w:rsidRDefault="00403C99" w:rsidP="00403C99">
      <w:pPr>
        <w:pStyle w:val="BodyText"/>
        <w:spacing w:before="2"/>
        <w:rPr>
          <w:b/>
        </w:rPr>
      </w:pPr>
    </w:p>
    <w:p w14:paraId="297CB451" w14:textId="77777777" w:rsidR="00403C99" w:rsidRDefault="00403C99" w:rsidP="00403C99">
      <w:pPr>
        <w:pStyle w:val="ListParagraph"/>
        <w:numPr>
          <w:ilvl w:val="0"/>
          <w:numId w:val="2"/>
        </w:numPr>
        <w:tabs>
          <w:tab w:val="left" w:pos="701"/>
        </w:tabs>
        <w:spacing w:line="276" w:lineRule="auto"/>
        <w:ind w:right="158" w:hanging="540"/>
        <w:jc w:val="both"/>
        <w:rPr>
          <w:sz w:val="20"/>
        </w:rPr>
      </w:pPr>
      <w:r>
        <w:rPr>
          <w:sz w:val="20"/>
        </w:rPr>
        <w:t xml:space="preserve">Adopt Section 5 of the </w:t>
      </w:r>
      <w:r>
        <w:rPr>
          <w:i/>
          <w:sz w:val="20"/>
        </w:rPr>
        <w:t xml:space="preserve">Independent Adjuster Licensing Guideline </w:t>
      </w:r>
      <w:r>
        <w:rPr>
          <w:sz w:val="20"/>
        </w:rPr>
        <w:t>(#1224) to ensure consistency with standards and requirements.</w:t>
      </w:r>
    </w:p>
    <w:p w14:paraId="301E476A" w14:textId="77777777" w:rsidR="00403C99" w:rsidRDefault="00403C99" w:rsidP="00403C99">
      <w:pPr>
        <w:pStyle w:val="BodyText"/>
        <w:spacing w:before="1"/>
        <w:rPr>
          <w:sz w:val="23"/>
        </w:rPr>
      </w:pPr>
    </w:p>
    <w:p w14:paraId="14A68BFF" w14:textId="77777777" w:rsidR="00403C99" w:rsidRDefault="00403C99" w:rsidP="00403C99">
      <w:pPr>
        <w:pStyle w:val="ListParagraph"/>
        <w:numPr>
          <w:ilvl w:val="0"/>
          <w:numId w:val="2"/>
        </w:numPr>
        <w:tabs>
          <w:tab w:val="left" w:pos="701"/>
        </w:tabs>
        <w:spacing w:line="276" w:lineRule="auto"/>
        <w:ind w:left="699" w:right="157" w:hanging="539"/>
        <w:jc w:val="both"/>
        <w:rPr>
          <w:sz w:val="20"/>
        </w:rPr>
      </w:pPr>
      <w:r>
        <w:rPr>
          <w:sz w:val="20"/>
        </w:rPr>
        <w:t>License/Registration Qualification: Require the individual to be licensed in his/her home state or a designated home state.</w:t>
      </w:r>
    </w:p>
    <w:p w14:paraId="54556AFC" w14:textId="77777777" w:rsidR="00403C99" w:rsidRDefault="00403C99" w:rsidP="00403C99">
      <w:pPr>
        <w:pStyle w:val="BodyText"/>
      </w:pPr>
    </w:p>
    <w:p w14:paraId="6BF62BF9" w14:textId="77777777" w:rsidR="00403C99" w:rsidRDefault="00403C99" w:rsidP="00403C99">
      <w:pPr>
        <w:pStyle w:val="ListParagraph"/>
        <w:numPr>
          <w:ilvl w:val="0"/>
          <w:numId w:val="2"/>
        </w:numPr>
        <w:tabs>
          <w:tab w:val="left" w:pos="701"/>
        </w:tabs>
        <w:spacing w:line="276" w:lineRule="auto"/>
        <w:ind w:right="157" w:hanging="540"/>
        <w:jc w:val="both"/>
        <w:rPr>
          <w:sz w:val="20"/>
        </w:rPr>
      </w:pPr>
      <w:r>
        <w:rPr>
          <w:sz w:val="20"/>
        </w:rPr>
        <w:t>Create an electronic filing process for emergency/catastrophic adjusters. A state may consider utilizing the NIPR by updating state-specific business rules to allow for these types/classes of licenses or registrations or by contract with a third-party</w:t>
      </w:r>
      <w:r>
        <w:rPr>
          <w:spacing w:val="-9"/>
          <w:sz w:val="20"/>
        </w:rPr>
        <w:t xml:space="preserve"> </w:t>
      </w:r>
      <w:r>
        <w:rPr>
          <w:sz w:val="20"/>
        </w:rPr>
        <w:t>vendor.</w:t>
      </w:r>
    </w:p>
    <w:p w14:paraId="5E01D4E9" w14:textId="77777777" w:rsidR="00403C99" w:rsidRDefault="00403C99" w:rsidP="00403C99">
      <w:pPr>
        <w:pStyle w:val="BodyText"/>
        <w:spacing w:before="4"/>
        <w:rPr>
          <w:sz w:val="17"/>
        </w:rPr>
      </w:pPr>
    </w:p>
    <w:p w14:paraId="0751C664" w14:textId="77777777" w:rsidR="00403C99" w:rsidRDefault="00403C99" w:rsidP="00403C99">
      <w:pPr>
        <w:pStyle w:val="ListParagraph"/>
        <w:numPr>
          <w:ilvl w:val="0"/>
          <w:numId w:val="2"/>
        </w:numPr>
        <w:tabs>
          <w:tab w:val="left" w:pos="701"/>
        </w:tabs>
        <w:spacing w:before="1" w:line="276" w:lineRule="auto"/>
        <w:ind w:right="156" w:hanging="540"/>
        <w:jc w:val="both"/>
        <w:rPr>
          <w:sz w:val="20"/>
        </w:rPr>
      </w:pPr>
      <w:r>
        <w:rPr>
          <w:sz w:val="20"/>
        </w:rPr>
        <w:t>Submit emergency/catastrophic adjuster information to the NAIC Producer Database (PDB). This may occur by reviewing</w:t>
      </w:r>
      <w:r>
        <w:rPr>
          <w:spacing w:val="-3"/>
          <w:sz w:val="20"/>
        </w:rPr>
        <w:t xml:space="preserve"> </w:t>
      </w:r>
      <w:r>
        <w:rPr>
          <w:sz w:val="20"/>
        </w:rPr>
        <w:t>and</w:t>
      </w:r>
      <w:r>
        <w:rPr>
          <w:spacing w:val="-6"/>
          <w:sz w:val="20"/>
        </w:rPr>
        <w:t xml:space="preserve"> </w:t>
      </w:r>
      <w:r>
        <w:rPr>
          <w:sz w:val="20"/>
        </w:rPr>
        <w:t>updating</w:t>
      </w:r>
      <w:r>
        <w:rPr>
          <w:spacing w:val="-3"/>
          <w:sz w:val="20"/>
        </w:rPr>
        <w:t xml:space="preserve"> </w:t>
      </w:r>
      <w:r>
        <w:rPr>
          <w:sz w:val="20"/>
        </w:rPr>
        <w:t>the</w:t>
      </w:r>
      <w:r>
        <w:rPr>
          <w:spacing w:val="-4"/>
          <w:sz w:val="20"/>
        </w:rPr>
        <w:t xml:space="preserve"> </w:t>
      </w:r>
      <w:r>
        <w:rPr>
          <w:sz w:val="20"/>
        </w:rPr>
        <w:t>state-specific</w:t>
      </w:r>
      <w:r>
        <w:rPr>
          <w:spacing w:val="-6"/>
          <w:sz w:val="20"/>
        </w:rPr>
        <w:t xml:space="preserve"> </w:t>
      </w:r>
      <w:r>
        <w:rPr>
          <w:sz w:val="20"/>
        </w:rPr>
        <w:t>business</w:t>
      </w:r>
      <w:r>
        <w:rPr>
          <w:spacing w:val="-6"/>
          <w:sz w:val="20"/>
        </w:rPr>
        <w:t xml:space="preserve"> </w:t>
      </w:r>
      <w:r>
        <w:rPr>
          <w:sz w:val="20"/>
        </w:rPr>
        <w:t>rules</w:t>
      </w:r>
      <w:r>
        <w:rPr>
          <w:spacing w:val="-4"/>
          <w:sz w:val="20"/>
        </w:rPr>
        <w:t xml:space="preserve"> </w:t>
      </w:r>
      <w:r>
        <w:rPr>
          <w:sz w:val="20"/>
        </w:rPr>
        <w:t>on</w:t>
      </w:r>
      <w:r>
        <w:rPr>
          <w:spacing w:val="-5"/>
          <w:sz w:val="20"/>
        </w:rPr>
        <w:t xml:space="preserve"> </w:t>
      </w:r>
      <w:r>
        <w:rPr>
          <w:sz w:val="20"/>
        </w:rPr>
        <w:t>file</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NIPR.</w:t>
      </w:r>
    </w:p>
    <w:p w14:paraId="67349256" w14:textId="77777777" w:rsidR="00403C99" w:rsidRDefault="00403C99" w:rsidP="00403C99">
      <w:pPr>
        <w:pStyle w:val="BodyText"/>
        <w:spacing w:before="5"/>
        <w:rPr>
          <w:sz w:val="17"/>
        </w:rPr>
      </w:pPr>
    </w:p>
    <w:p w14:paraId="66DEED4B" w14:textId="77777777" w:rsidR="00403C99" w:rsidRDefault="00403C99" w:rsidP="00403C99">
      <w:pPr>
        <w:pStyle w:val="ListParagraph"/>
        <w:numPr>
          <w:ilvl w:val="0"/>
          <w:numId w:val="2"/>
        </w:numPr>
        <w:tabs>
          <w:tab w:val="left" w:pos="701"/>
        </w:tabs>
        <w:spacing w:line="276" w:lineRule="auto"/>
        <w:ind w:right="155" w:hanging="540"/>
        <w:jc w:val="both"/>
        <w:rPr>
          <w:sz w:val="20"/>
        </w:rPr>
      </w:pPr>
      <w:r>
        <w:rPr>
          <w:sz w:val="20"/>
        </w:rPr>
        <w:t>Ensure that the automated notification process is off-site, and preferably out of state, so that if the emergency occurs locally,</w:t>
      </w:r>
      <w:r>
        <w:rPr>
          <w:spacing w:val="-3"/>
          <w:sz w:val="20"/>
        </w:rPr>
        <w:t xml:space="preserve"> </w:t>
      </w:r>
      <w:r>
        <w:rPr>
          <w:sz w:val="20"/>
        </w:rPr>
        <w:t>adequate</w:t>
      </w:r>
      <w:r>
        <w:rPr>
          <w:spacing w:val="-3"/>
          <w:sz w:val="20"/>
        </w:rPr>
        <w:t xml:space="preserve"> </w:t>
      </w:r>
      <w:r>
        <w:rPr>
          <w:sz w:val="20"/>
        </w:rPr>
        <w:t>resources</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available</w:t>
      </w:r>
      <w:r>
        <w:rPr>
          <w:spacing w:val="-3"/>
          <w:sz w:val="20"/>
        </w:rPr>
        <w:t xml:space="preserve"> </w:t>
      </w:r>
      <w:r>
        <w:rPr>
          <w:sz w:val="20"/>
        </w:rPr>
        <w:t>to</w:t>
      </w:r>
      <w:r>
        <w:rPr>
          <w:spacing w:val="-4"/>
          <w:sz w:val="20"/>
        </w:rPr>
        <w:t xml:space="preserve"> </w:t>
      </w:r>
      <w:r>
        <w:rPr>
          <w:sz w:val="20"/>
        </w:rPr>
        <w:t>respond</w:t>
      </w:r>
      <w:r>
        <w:rPr>
          <w:spacing w:val="-3"/>
          <w:sz w:val="20"/>
        </w:rPr>
        <w:t xml:space="preserve"> </w:t>
      </w:r>
      <w:r>
        <w:rPr>
          <w:sz w:val="20"/>
        </w:rPr>
        <w:t>and</w:t>
      </w:r>
      <w:r>
        <w:rPr>
          <w:spacing w:val="-3"/>
          <w:sz w:val="20"/>
        </w:rPr>
        <w:t xml:space="preserve"> </w:t>
      </w:r>
      <w:r>
        <w:rPr>
          <w:sz w:val="20"/>
        </w:rPr>
        <w:t>issue</w:t>
      </w:r>
      <w:r>
        <w:rPr>
          <w:spacing w:val="-3"/>
          <w:sz w:val="20"/>
        </w:rPr>
        <w:t xml:space="preserve"> </w:t>
      </w:r>
      <w:r>
        <w:rPr>
          <w:sz w:val="20"/>
        </w:rPr>
        <w:t>approval</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emergency/catastrophic</w:t>
      </w:r>
      <w:r>
        <w:rPr>
          <w:spacing w:val="-5"/>
          <w:sz w:val="20"/>
        </w:rPr>
        <w:t xml:space="preserve"> </w:t>
      </w:r>
      <w:r>
        <w:rPr>
          <w:sz w:val="20"/>
        </w:rPr>
        <w:t>adjusters.</w:t>
      </w:r>
    </w:p>
    <w:p w14:paraId="11424059" w14:textId="77777777" w:rsidR="00403C99" w:rsidRDefault="00403C99" w:rsidP="00403C99">
      <w:pPr>
        <w:pStyle w:val="BodyText"/>
        <w:spacing w:before="5"/>
        <w:rPr>
          <w:sz w:val="17"/>
        </w:rPr>
      </w:pPr>
    </w:p>
    <w:p w14:paraId="35AB519A" w14:textId="77777777" w:rsidR="00403C99" w:rsidRDefault="00403C99" w:rsidP="00403C99">
      <w:pPr>
        <w:pStyle w:val="ListParagraph"/>
        <w:numPr>
          <w:ilvl w:val="0"/>
          <w:numId w:val="2"/>
        </w:numPr>
        <w:tabs>
          <w:tab w:val="left" w:pos="701"/>
        </w:tabs>
        <w:spacing w:line="276" w:lineRule="auto"/>
        <w:ind w:right="157" w:hanging="540"/>
        <w:jc w:val="both"/>
        <w:rPr>
          <w:sz w:val="20"/>
        </w:rPr>
      </w:pPr>
      <w:r>
        <w:rPr>
          <w:sz w:val="20"/>
        </w:rPr>
        <w:t>Develop NAIC uniform emergency/catastrophic adjuster applications/registrations consistent with the adopted guidelines. Until such time the application/registration is developed, the states should use the NAIC Uniform Application</w:t>
      </w:r>
      <w:r>
        <w:rPr>
          <w:spacing w:val="-5"/>
          <w:sz w:val="20"/>
        </w:rPr>
        <w:t xml:space="preserve"> </w:t>
      </w:r>
      <w:r>
        <w:rPr>
          <w:sz w:val="20"/>
        </w:rPr>
        <w:t>for</w:t>
      </w:r>
      <w:r>
        <w:rPr>
          <w:spacing w:val="-5"/>
          <w:sz w:val="20"/>
        </w:rPr>
        <w:t xml:space="preserve"> </w:t>
      </w:r>
      <w:r>
        <w:rPr>
          <w:sz w:val="20"/>
        </w:rPr>
        <w:t>Individual</w:t>
      </w:r>
      <w:r>
        <w:rPr>
          <w:spacing w:val="-5"/>
          <w:sz w:val="20"/>
        </w:rPr>
        <w:t xml:space="preserve"> </w:t>
      </w:r>
      <w:r>
        <w:rPr>
          <w:sz w:val="20"/>
        </w:rPr>
        <w:t>Adjuster</w:t>
      </w:r>
      <w:r>
        <w:rPr>
          <w:spacing w:val="-7"/>
          <w:sz w:val="20"/>
        </w:rPr>
        <w:t xml:space="preserve"> </w:t>
      </w:r>
      <w:r>
        <w:rPr>
          <w:sz w:val="20"/>
        </w:rPr>
        <w:t>or</w:t>
      </w:r>
      <w:r>
        <w:rPr>
          <w:spacing w:val="-7"/>
          <w:sz w:val="20"/>
        </w:rPr>
        <w:t xml:space="preserve"> </w:t>
      </w:r>
      <w:r>
        <w:rPr>
          <w:sz w:val="20"/>
        </w:rPr>
        <w:t>Apprentice</w:t>
      </w:r>
      <w:r>
        <w:rPr>
          <w:spacing w:val="-5"/>
          <w:sz w:val="20"/>
        </w:rPr>
        <w:t xml:space="preserve"> </w:t>
      </w:r>
      <w:r>
        <w:rPr>
          <w:sz w:val="20"/>
        </w:rPr>
        <w:t>License/Registration</w:t>
      </w:r>
      <w:r>
        <w:rPr>
          <w:spacing w:val="-5"/>
          <w:sz w:val="20"/>
        </w:rPr>
        <w:t xml:space="preserve"> </w:t>
      </w:r>
      <w:r>
        <w:rPr>
          <w:sz w:val="20"/>
        </w:rPr>
        <w:t>for</w:t>
      </w:r>
      <w:r>
        <w:rPr>
          <w:spacing w:val="-5"/>
          <w:sz w:val="20"/>
        </w:rPr>
        <w:t xml:space="preserve"> </w:t>
      </w:r>
      <w:r>
        <w:rPr>
          <w:sz w:val="20"/>
        </w:rPr>
        <w:t>individuals</w:t>
      </w:r>
      <w:r>
        <w:rPr>
          <w:spacing w:val="-7"/>
          <w:sz w:val="20"/>
        </w:rPr>
        <w:t xml:space="preserve"> </w:t>
      </w:r>
      <w:r>
        <w:rPr>
          <w:sz w:val="20"/>
        </w:rPr>
        <w:t>and</w:t>
      </w:r>
      <w:r>
        <w:rPr>
          <w:spacing w:val="-5"/>
          <w:sz w:val="20"/>
        </w:rPr>
        <w:t xml:space="preserve"> </w:t>
      </w:r>
      <w:r>
        <w:rPr>
          <w:sz w:val="20"/>
        </w:rPr>
        <w:t>business</w:t>
      </w:r>
      <w:r>
        <w:rPr>
          <w:spacing w:val="-5"/>
          <w:sz w:val="20"/>
        </w:rPr>
        <w:t xml:space="preserve"> </w:t>
      </w:r>
      <w:r>
        <w:rPr>
          <w:sz w:val="20"/>
        </w:rPr>
        <w:t>entities.</w:t>
      </w:r>
    </w:p>
    <w:p w14:paraId="08664E6D" w14:textId="77777777" w:rsidR="00403C99" w:rsidRDefault="00403C99" w:rsidP="00403C99">
      <w:pPr>
        <w:pStyle w:val="BodyText"/>
        <w:spacing w:before="5"/>
        <w:rPr>
          <w:sz w:val="17"/>
        </w:rPr>
      </w:pPr>
    </w:p>
    <w:p w14:paraId="57DB5807" w14:textId="77777777" w:rsidR="00403C99" w:rsidRDefault="00403C99" w:rsidP="00403C99">
      <w:pPr>
        <w:pStyle w:val="ListParagraph"/>
        <w:numPr>
          <w:ilvl w:val="0"/>
          <w:numId w:val="2"/>
        </w:numPr>
        <w:tabs>
          <w:tab w:val="left" w:pos="701"/>
        </w:tabs>
        <w:spacing w:line="276" w:lineRule="auto"/>
        <w:ind w:right="156" w:hanging="540"/>
        <w:jc w:val="both"/>
        <w:rPr>
          <w:sz w:val="20"/>
        </w:rPr>
      </w:pPr>
      <w:r>
        <w:rPr>
          <w:sz w:val="20"/>
        </w:rPr>
        <w:t>Work with state officials responsible for the oversight of emergency situations to coordinate its activities to determine if any other credentials (such as a photo ID and/or badge) are</w:t>
      </w:r>
      <w:r>
        <w:rPr>
          <w:spacing w:val="-29"/>
          <w:sz w:val="20"/>
        </w:rPr>
        <w:t xml:space="preserve"> </w:t>
      </w:r>
      <w:r>
        <w:rPr>
          <w:sz w:val="20"/>
        </w:rPr>
        <w:t>required.</w:t>
      </w:r>
    </w:p>
    <w:p w14:paraId="14CCF9BC" w14:textId="77777777" w:rsidR="00403C99" w:rsidRDefault="00403C99" w:rsidP="00403C99">
      <w:pPr>
        <w:pStyle w:val="ListParagraph"/>
        <w:numPr>
          <w:ilvl w:val="0"/>
          <w:numId w:val="2"/>
        </w:numPr>
        <w:tabs>
          <w:tab w:val="left" w:pos="701"/>
        </w:tabs>
        <w:spacing w:before="177" w:line="276" w:lineRule="auto"/>
        <w:ind w:right="155" w:hanging="540"/>
        <w:jc w:val="both"/>
        <w:rPr>
          <w:sz w:val="20"/>
        </w:rPr>
      </w:pPr>
      <w:r>
        <w:rPr>
          <w:sz w:val="20"/>
        </w:rPr>
        <w:t>Establish an “incident commander” for each disaster. Individuals wishing to access an emergency area must determine who the incident commander is in order to request and obtain permission to enter the scene. This person would determine who can access an area for purposes of adjusting, no matter what part of the country, including federal or tribal lands, and across state borders or countries (e.g., Canada). The incident commander would be responsible for the safety of all concerned and for the integrity of the scene and, as such, would be the ultimate authority for access to an emergency</w:t>
      </w:r>
      <w:r>
        <w:rPr>
          <w:spacing w:val="-7"/>
          <w:sz w:val="20"/>
        </w:rPr>
        <w:t xml:space="preserve"> </w:t>
      </w:r>
      <w:r>
        <w:rPr>
          <w:sz w:val="20"/>
        </w:rPr>
        <w:t>area.</w:t>
      </w:r>
    </w:p>
    <w:p w14:paraId="16955813" w14:textId="77777777" w:rsidR="00403C99" w:rsidRDefault="00403C99" w:rsidP="00403C99">
      <w:pPr>
        <w:pStyle w:val="BodyText"/>
        <w:spacing w:before="6"/>
        <w:rPr>
          <w:sz w:val="17"/>
        </w:rPr>
      </w:pPr>
    </w:p>
    <w:p w14:paraId="7A607BE8" w14:textId="77777777" w:rsidR="00403C99" w:rsidRDefault="00403C99" w:rsidP="00403C99">
      <w:pPr>
        <w:pStyle w:val="ListParagraph"/>
        <w:numPr>
          <w:ilvl w:val="0"/>
          <w:numId w:val="2"/>
        </w:numPr>
        <w:tabs>
          <w:tab w:val="left" w:pos="700"/>
          <w:tab w:val="left" w:pos="701"/>
        </w:tabs>
        <w:ind w:hanging="540"/>
        <w:rPr>
          <w:sz w:val="20"/>
        </w:rPr>
      </w:pPr>
      <w:r>
        <w:rPr>
          <w:sz w:val="20"/>
        </w:rPr>
        <w:t>Establish</w:t>
      </w:r>
      <w:r>
        <w:rPr>
          <w:spacing w:val="-2"/>
          <w:sz w:val="20"/>
        </w:rPr>
        <w:t xml:space="preserve"> </w:t>
      </w:r>
      <w:r>
        <w:rPr>
          <w:sz w:val="20"/>
        </w:rPr>
        <w:t>a</w:t>
      </w:r>
      <w:r>
        <w:rPr>
          <w:spacing w:val="-3"/>
          <w:sz w:val="20"/>
        </w:rPr>
        <w:t xml:space="preserve"> </w:t>
      </w:r>
      <w:r>
        <w:rPr>
          <w:sz w:val="20"/>
        </w:rPr>
        <w:t>one-time</w:t>
      </w:r>
      <w:r>
        <w:rPr>
          <w:spacing w:val="-3"/>
          <w:sz w:val="20"/>
        </w:rPr>
        <w:t xml:space="preserve"> </w:t>
      </w:r>
      <w:r>
        <w:rPr>
          <w:sz w:val="20"/>
        </w:rPr>
        <w:t>fee</w:t>
      </w:r>
      <w:r>
        <w:rPr>
          <w:spacing w:val="-3"/>
          <w:sz w:val="20"/>
        </w:rPr>
        <w:t xml:space="preserve"> </w:t>
      </w:r>
      <w:r>
        <w:rPr>
          <w:sz w:val="20"/>
        </w:rPr>
        <w:t>(if</w:t>
      </w:r>
      <w:r>
        <w:rPr>
          <w:spacing w:val="-3"/>
          <w:sz w:val="20"/>
        </w:rPr>
        <w:t xml:space="preserve"> </w:t>
      </w:r>
      <w:r>
        <w:rPr>
          <w:sz w:val="20"/>
        </w:rPr>
        <w:t>applicable)</w:t>
      </w:r>
      <w:r>
        <w:rPr>
          <w:spacing w:val="-5"/>
          <w:sz w:val="20"/>
        </w:rPr>
        <w:t xml:space="preserve"> </w:t>
      </w:r>
      <w:r>
        <w:rPr>
          <w:sz w:val="20"/>
        </w:rPr>
        <w:t>for</w:t>
      </w:r>
      <w:r>
        <w:rPr>
          <w:spacing w:val="-3"/>
          <w:sz w:val="20"/>
        </w:rPr>
        <w:t xml:space="preserve"> </w:t>
      </w:r>
      <w:r>
        <w:rPr>
          <w:sz w:val="20"/>
        </w:rPr>
        <w:t>a</w:t>
      </w:r>
      <w:r>
        <w:rPr>
          <w:spacing w:val="-5"/>
          <w:sz w:val="20"/>
        </w:rPr>
        <w:t xml:space="preserve"> </w:t>
      </w:r>
      <w:r>
        <w:rPr>
          <w:sz w:val="20"/>
        </w:rPr>
        <w:t>specified</w:t>
      </w:r>
      <w:r>
        <w:rPr>
          <w:spacing w:val="-3"/>
          <w:sz w:val="20"/>
        </w:rPr>
        <w:t xml:space="preserve"> </w:t>
      </w:r>
      <w:r>
        <w:rPr>
          <w:sz w:val="20"/>
        </w:rPr>
        <w:t>time</w:t>
      </w:r>
      <w:r>
        <w:rPr>
          <w:spacing w:val="-2"/>
          <w:sz w:val="20"/>
        </w:rPr>
        <w:t xml:space="preserve"> </w:t>
      </w:r>
      <w:r>
        <w:rPr>
          <w:sz w:val="20"/>
        </w:rPr>
        <w:t>period</w:t>
      </w:r>
      <w:r>
        <w:rPr>
          <w:spacing w:val="-3"/>
          <w:sz w:val="20"/>
        </w:rPr>
        <w:t xml:space="preserve"> </w:t>
      </w:r>
      <w:r>
        <w:rPr>
          <w:sz w:val="20"/>
        </w:rPr>
        <w:t>and</w:t>
      </w:r>
      <w:r>
        <w:rPr>
          <w:spacing w:val="-4"/>
          <w:sz w:val="20"/>
        </w:rPr>
        <w:t xml:space="preserve"> </w:t>
      </w:r>
      <w:r>
        <w:rPr>
          <w:sz w:val="20"/>
        </w:rPr>
        <w:t>not</w:t>
      </w:r>
      <w:r>
        <w:rPr>
          <w:spacing w:val="-5"/>
          <w:sz w:val="20"/>
        </w:rPr>
        <w:t xml:space="preserve"> </w:t>
      </w:r>
      <w:r>
        <w:rPr>
          <w:sz w:val="20"/>
        </w:rPr>
        <w:t>per</w:t>
      </w:r>
      <w:r>
        <w:rPr>
          <w:spacing w:val="-4"/>
          <w:sz w:val="20"/>
        </w:rPr>
        <w:t xml:space="preserve"> </w:t>
      </w:r>
      <w:r>
        <w:rPr>
          <w:sz w:val="20"/>
        </w:rPr>
        <w:t>disaster.</w:t>
      </w:r>
    </w:p>
    <w:p w14:paraId="627E7D86" w14:textId="77777777" w:rsidR="00403C99" w:rsidRDefault="00403C99" w:rsidP="00403C99">
      <w:pPr>
        <w:pStyle w:val="BodyText"/>
        <w:spacing w:before="4"/>
      </w:pPr>
    </w:p>
    <w:p w14:paraId="29A25C77" w14:textId="77777777" w:rsidR="00403C99" w:rsidRDefault="00403C99" w:rsidP="00403C99">
      <w:pPr>
        <w:pStyle w:val="ListParagraph"/>
        <w:numPr>
          <w:ilvl w:val="0"/>
          <w:numId w:val="2"/>
        </w:numPr>
        <w:tabs>
          <w:tab w:val="left" w:pos="701"/>
        </w:tabs>
        <w:spacing w:line="276" w:lineRule="auto"/>
        <w:ind w:right="155" w:hanging="540"/>
        <w:jc w:val="both"/>
        <w:rPr>
          <w:sz w:val="20"/>
        </w:rPr>
      </w:pPr>
      <w:r>
        <w:rPr>
          <w:sz w:val="20"/>
        </w:rPr>
        <w:t>Require either the insurer for whom the emergency adjuster represents (or an individual or business entity independent adjuster licensed in the state where the catastrophe has been declared) be responsible for the work performed by the emergency</w:t>
      </w:r>
      <w:r>
        <w:rPr>
          <w:spacing w:val="-6"/>
          <w:sz w:val="20"/>
        </w:rPr>
        <w:t xml:space="preserve"> </w:t>
      </w:r>
      <w:r>
        <w:rPr>
          <w:sz w:val="20"/>
        </w:rPr>
        <w:t>adjuster.</w:t>
      </w:r>
    </w:p>
    <w:p w14:paraId="54C21274" w14:textId="77777777" w:rsidR="00403C99" w:rsidRDefault="00403C99" w:rsidP="00403C99">
      <w:pPr>
        <w:pStyle w:val="BodyText"/>
        <w:rPr>
          <w:sz w:val="22"/>
        </w:rPr>
      </w:pPr>
    </w:p>
    <w:p w14:paraId="344AC216" w14:textId="77777777" w:rsidR="00403C99" w:rsidRDefault="00403C99" w:rsidP="00403C99">
      <w:pPr>
        <w:pStyle w:val="Heading5"/>
        <w:spacing w:before="180"/>
        <w:ind w:left="159"/>
        <w:jc w:val="left"/>
      </w:pPr>
      <w:r>
        <w:t>OTHER ISSUES TO CONSIDER/CROSS JURISDICTIONAL ISSUES</w:t>
      </w:r>
    </w:p>
    <w:p w14:paraId="33048695" w14:textId="77777777" w:rsidR="00403C99" w:rsidRDefault="00403C99" w:rsidP="00403C99">
      <w:pPr>
        <w:pStyle w:val="BodyText"/>
        <w:spacing w:before="8"/>
        <w:rPr>
          <w:b/>
          <w:sz w:val="19"/>
        </w:rPr>
      </w:pPr>
    </w:p>
    <w:p w14:paraId="4FABCBA2" w14:textId="77777777" w:rsidR="00403C99" w:rsidRDefault="00403C99" w:rsidP="00403C99">
      <w:pPr>
        <w:pStyle w:val="ListParagraph"/>
        <w:numPr>
          <w:ilvl w:val="1"/>
          <w:numId w:val="2"/>
        </w:numPr>
        <w:tabs>
          <w:tab w:val="left" w:pos="879"/>
          <w:tab w:val="left" w:pos="880"/>
        </w:tabs>
        <w:rPr>
          <w:sz w:val="20"/>
        </w:rPr>
      </w:pPr>
      <w:r>
        <w:rPr>
          <w:sz w:val="20"/>
        </w:rPr>
        <w:t>Process</w:t>
      </w:r>
      <w:r>
        <w:rPr>
          <w:spacing w:val="-3"/>
          <w:sz w:val="20"/>
        </w:rPr>
        <w:t xml:space="preserve"> </w:t>
      </w:r>
      <w:r>
        <w:rPr>
          <w:sz w:val="20"/>
        </w:rPr>
        <w:t>to</w:t>
      </w:r>
      <w:r>
        <w:rPr>
          <w:spacing w:val="-4"/>
          <w:sz w:val="20"/>
        </w:rPr>
        <w:t xml:space="preserve"> </w:t>
      </w:r>
      <w:r>
        <w:rPr>
          <w:sz w:val="20"/>
        </w:rPr>
        <w:t>obtain</w:t>
      </w:r>
      <w:r>
        <w:rPr>
          <w:spacing w:val="-3"/>
          <w:sz w:val="20"/>
        </w:rPr>
        <w:t xml:space="preserve"> </w:t>
      </w:r>
      <w:r>
        <w:rPr>
          <w:sz w:val="20"/>
        </w:rPr>
        <w:t>permission,</w:t>
      </w:r>
      <w:r>
        <w:rPr>
          <w:spacing w:val="-4"/>
          <w:sz w:val="20"/>
        </w:rPr>
        <w:t xml:space="preserve"> </w:t>
      </w:r>
      <w:r>
        <w:rPr>
          <w:sz w:val="20"/>
        </w:rPr>
        <w:t>certifications</w:t>
      </w:r>
      <w:r>
        <w:rPr>
          <w:spacing w:val="-4"/>
          <w:sz w:val="20"/>
        </w:rPr>
        <w:t xml:space="preserve"> </w:t>
      </w:r>
      <w:r>
        <w:rPr>
          <w:sz w:val="20"/>
        </w:rPr>
        <w:t>or</w:t>
      </w:r>
      <w:r>
        <w:rPr>
          <w:spacing w:val="-3"/>
          <w:sz w:val="20"/>
        </w:rPr>
        <w:t xml:space="preserve"> </w:t>
      </w:r>
      <w:r>
        <w:rPr>
          <w:sz w:val="20"/>
        </w:rPr>
        <w:t>approval</w:t>
      </w:r>
      <w:r>
        <w:rPr>
          <w:spacing w:val="-5"/>
          <w:sz w:val="20"/>
        </w:rPr>
        <w:t xml:space="preserve"> </w:t>
      </w:r>
      <w:r>
        <w:rPr>
          <w:sz w:val="20"/>
        </w:rPr>
        <w:t>on</w:t>
      </w:r>
      <w:r>
        <w:rPr>
          <w:spacing w:val="-4"/>
          <w:sz w:val="20"/>
        </w:rPr>
        <w:t xml:space="preserve"> </w:t>
      </w:r>
      <w:r>
        <w:rPr>
          <w:sz w:val="20"/>
        </w:rPr>
        <w:t>tribal</w:t>
      </w:r>
      <w:r>
        <w:rPr>
          <w:spacing w:val="-4"/>
          <w:sz w:val="20"/>
        </w:rPr>
        <w:t xml:space="preserve"> </w:t>
      </w:r>
      <w:r>
        <w:rPr>
          <w:sz w:val="20"/>
        </w:rPr>
        <w:t>lands</w:t>
      </w:r>
      <w:r>
        <w:rPr>
          <w:spacing w:val="-3"/>
          <w:sz w:val="20"/>
        </w:rPr>
        <w:t xml:space="preserve"> </w:t>
      </w:r>
      <w:r>
        <w:rPr>
          <w:sz w:val="20"/>
        </w:rPr>
        <w:t>and/or</w:t>
      </w:r>
      <w:r>
        <w:rPr>
          <w:spacing w:val="-4"/>
          <w:sz w:val="20"/>
        </w:rPr>
        <w:t xml:space="preserve"> </w:t>
      </w:r>
      <w:r>
        <w:rPr>
          <w:sz w:val="20"/>
        </w:rPr>
        <w:t>federal</w:t>
      </w:r>
      <w:r>
        <w:rPr>
          <w:spacing w:val="-3"/>
          <w:sz w:val="20"/>
        </w:rPr>
        <w:t xml:space="preserve"> </w:t>
      </w:r>
      <w:r>
        <w:rPr>
          <w:sz w:val="20"/>
        </w:rPr>
        <w:t>lands.</w:t>
      </w:r>
    </w:p>
    <w:p w14:paraId="0CAFE6F6" w14:textId="77777777" w:rsidR="00403C99" w:rsidRDefault="00403C99" w:rsidP="00403C99">
      <w:pPr>
        <w:rPr>
          <w:sz w:val="20"/>
        </w:rPr>
        <w:sectPr w:rsidR="00403C99">
          <w:pgSz w:w="12240" w:h="15840"/>
          <w:pgMar w:top="1000" w:right="920" w:bottom="280" w:left="920" w:header="720" w:footer="720" w:gutter="0"/>
          <w:cols w:space="720"/>
        </w:sectPr>
      </w:pPr>
    </w:p>
    <w:p w14:paraId="533C2E6D" w14:textId="77777777" w:rsidR="00403C99" w:rsidRDefault="00403C99" w:rsidP="00403C99">
      <w:pPr>
        <w:pStyle w:val="Heading5"/>
        <w:spacing w:before="79"/>
        <w:ind w:left="120"/>
        <w:jc w:val="left"/>
      </w:pPr>
      <w:r>
        <w:lastRenderedPageBreak/>
        <w:t>RECOMMENDATIONS</w:t>
      </w:r>
    </w:p>
    <w:p w14:paraId="46CDFB3E" w14:textId="77777777" w:rsidR="00403C99" w:rsidRDefault="00403C99" w:rsidP="00403C99">
      <w:pPr>
        <w:pStyle w:val="BodyText"/>
        <w:rPr>
          <w:b/>
          <w:sz w:val="22"/>
        </w:rPr>
      </w:pPr>
    </w:p>
    <w:p w14:paraId="672C45B9" w14:textId="77777777" w:rsidR="00403C99" w:rsidRDefault="00403C99" w:rsidP="00403C99">
      <w:pPr>
        <w:pStyle w:val="BodyText"/>
        <w:spacing w:before="2"/>
        <w:rPr>
          <w:b/>
          <w:sz w:val="18"/>
        </w:rPr>
      </w:pPr>
    </w:p>
    <w:p w14:paraId="287BBFFF" w14:textId="77777777" w:rsidR="00403C99" w:rsidRDefault="00403C99" w:rsidP="00403C99">
      <w:pPr>
        <w:pStyle w:val="ListParagraph"/>
        <w:numPr>
          <w:ilvl w:val="0"/>
          <w:numId w:val="1"/>
        </w:numPr>
        <w:tabs>
          <w:tab w:val="left" w:pos="668"/>
        </w:tabs>
        <w:spacing w:line="276" w:lineRule="auto"/>
        <w:ind w:right="112" w:hanging="547"/>
        <w:jc w:val="both"/>
        <w:rPr>
          <w:sz w:val="20"/>
        </w:rPr>
      </w:pPr>
      <w:r>
        <w:rPr>
          <w:sz w:val="20"/>
        </w:rPr>
        <w:t>Create a national Emergency Adjuster Database (NIPR/NAIC to create a central repository for emergency/catastrophic adjuster registration). Use of the database would be optional for the states; however, data elements would NOT be customized per</w:t>
      </w:r>
      <w:r>
        <w:rPr>
          <w:spacing w:val="-14"/>
          <w:sz w:val="20"/>
        </w:rPr>
        <w:t xml:space="preserve"> </w:t>
      </w:r>
      <w:r>
        <w:rPr>
          <w:sz w:val="20"/>
        </w:rPr>
        <w:t>state.</w:t>
      </w:r>
    </w:p>
    <w:p w14:paraId="2E8161CB" w14:textId="77777777" w:rsidR="00403C99" w:rsidRDefault="00403C99" w:rsidP="00403C99">
      <w:pPr>
        <w:pStyle w:val="BodyText"/>
        <w:rPr>
          <w:sz w:val="22"/>
        </w:rPr>
      </w:pPr>
    </w:p>
    <w:p w14:paraId="34917F84" w14:textId="77777777" w:rsidR="00403C99" w:rsidRDefault="00403C99" w:rsidP="00403C99">
      <w:pPr>
        <w:pStyle w:val="ListParagraph"/>
        <w:numPr>
          <w:ilvl w:val="0"/>
          <w:numId w:val="1"/>
        </w:numPr>
        <w:tabs>
          <w:tab w:val="left" w:pos="668"/>
        </w:tabs>
        <w:spacing w:before="177" w:line="276" w:lineRule="auto"/>
        <w:ind w:right="117" w:hanging="547"/>
        <w:jc w:val="both"/>
        <w:rPr>
          <w:sz w:val="20"/>
        </w:rPr>
      </w:pPr>
      <w:r>
        <w:rPr>
          <w:sz w:val="20"/>
        </w:rPr>
        <w:t>Create a national ID card (license with photo/disaster ID number. Determine whether this is this feasible, given that most licenses are now available for printing</w:t>
      </w:r>
      <w:r>
        <w:rPr>
          <w:spacing w:val="-29"/>
          <w:sz w:val="20"/>
        </w:rPr>
        <w:t xml:space="preserve"> </w:t>
      </w:r>
      <w:r>
        <w:rPr>
          <w:sz w:val="20"/>
        </w:rPr>
        <w:t>online.</w:t>
      </w:r>
    </w:p>
    <w:p w14:paraId="4CD5AB77" w14:textId="77777777" w:rsidR="00403C99" w:rsidRDefault="00403C99" w:rsidP="00403C99">
      <w:pPr>
        <w:pStyle w:val="BodyText"/>
        <w:rPr>
          <w:sz w:val="22"/>
        </w:rPr>
      </w:pPr>
    </w:p>
    <w:p w14:paraId="3C1FDD21" w14:textId="77777777" w:rsidR="00403C99" w:rsidRDefault="00403C99" w:rsidP="00403C99">
      <w:pPr>
        <w:pStyle w:val="ListParagraph"/>
        <w:numPr>
          <w:ilvl w:val="0"/>
          <w:numId w:val="1"/>
        </w:numPr>
        <w:tabs>
          <w:tab w:val="left" w:pos="668"/>
        </w:tabs>
        <w:spacing w:before="177" w:line="276" w:lineRule="auto"/>
        <w:ind w:right="117" w:hanging="547"/>
        <w:jc w:val="both"/>
        <w:rPr>
          <w:sz w:val="20"/>
        </w:rPr>
      </w:pPr>
      <w:r>
        <w:rPr>
          <w:sz w:val="20"/>
        </w:rPr>
        <w:t>Create a prior-approval process so that, when an emergency is triggered, the emergency/catastrophic adjuster has been preapproved</w:t>
      </w:r>
      <w:r>
        <w:rPr>
          <w:spacing w:val="-3"/>
          <w:sz w:val="20"/>
        </w:rPr>
        <w:t xml:space="preserve"> </w:t>
      </w:r>
      <w:r>
        <w:rPr>
          <w:sz w:val="20"/>
        </w:rPr>
        <w:t>by</w:t>
      </w:r>
      <w:r>
        <w:rPr>
          <w:spacing w:val="-3"/>
          <w:sz w:val="20"/>
        </w:rPr>
        <w:t xml:space="preserve"> </w:t>
      </w:r>
      <w:r>
        <w:rPr>
          <w:sz w:val="20"/>
        </w:rPr>
        <w:t>the</w:t>
      </w:r>
      <w:r>
        <w:rPr>
          <w:spacing w:val="-2"/>
          <w:sz w:val="20"/>
        </w:rPr>
        <w:t xml:space="preserve"> </w:t>
      </w:r>
      <w:r>
        <w:rPr>
          <w:sz w:val="20"/>
        </w:rPr>
        <w:t>state(s),</w:t>
      </w:r>
      <w:r>
        <w:rPr>
          <w:spacing w:val="-2"/>
          <w:sz w:val="20"/>
        </w:rPr>
        <w:t xml:space="preserve"> </w:t>
      </w:r>
      <w:r>
        <w:rPr>
          <w:sz w:val="20"/>
        </w:rPr>
        <w:t>the</w:t>
      </w:r>
      <w:r>
        <w:rPr>
          <w:spacing w:val="-2"/>
          <w:sz w:val="20"/>
        </w:rPr>
        <w:t xml:space="preserve"> </w:t>
      </w:r>
      <w:r>
        <w:rPr>
          <w:sz w:val="20"/>
        </w:rPr>
        <w:t>approval</w:t>
      </w:r>
      <w:r>
        <w:rPr>
          <w:spacing w:val="-2"/>
          <w:sz w:val="20"/>
        </w:rPr>
        <w:t xml:space="preserve"> </w:t>
      </w:r>
      <w:r>
        <w:rPr>
          <w:sz w:val="20"/>
        </w:rPr>
        <w:t>is</w:t>
      </w:r>
      <w:r>
        <w:rPr>
          <w:spacing w:val="-3"/>
          <w:sz w:val="20"/>
        </w:rPr>
        <w:t xml:space="preserve"> </w:t>
      </w:r>
      <w:r>
        <w:rPr>
          <w:sz w:val="20"/>
        </w:rPr>
        <w:t>posted</w:t>
      </w:r>
      <w:r>
        <w:rPr>
          <w:spacing w:val="-3"/>
          <w:sz w:val="20"/>
        </w:rPr>
        <w:t xml:space="preserve"> </w:t>
      </w:r>
      <w:proofErr w:type="gramStart"/>
      <w:r>
        <w:rPr>
          <w:sz w:val="20"/>
        </w:rPr>
        <w:t>online</w:t>
      </w:r>
      <w:proofErr w:type="gramEnd"/>
      <w:r>
        <w:rPr>
          <w:spacing w:val="-2"/>
          <w:sz w:val="20"/>
        </w:rPr>
        <w:t xml:space="preserve"> </w:t>
      </w:r>
      <w:r>
        <w:rPr>
          <w:sz w:val="20"/>
        </w:rPr>
        <w:t>and</w:t>
      </w:r>
      <w:r>
        <w:rPr>
          <w:spacing w:val="-3"/>
          <w:sz w:val="20"/>
        </w:rPr>
        <w:t xml:space="preserve"> </w:t>
      </w:r>
      <w:r>
        <w:rPr>
          <w:sz w:val="20"/>
        </w:rPr>
        <w:t>the</w:t>
      </w:r>
      <w:r>
        <w:rPr>
          <w:spacing w:val="-2"/>
          <w:sz w:val="20"/>
        </w:rPr>
        <w:t xml:space="preserve"> </w:t>
      </w:r>
      <w:r>
        <w:rPr>
          <w:sz w:val="20"/>
        </w:rPr>
        <w:t>adjuster</w:t>
      </w:r>
      <w:r>
        <w:rPr>
          <w:spacing w:val="-3"/>
          <w:sz w:val="20"/>
        </w:rPr>
        <w:t xml:space="preserve"> </w:t>
      </w:r>
      <w:r>
        <w:rPr>
          <w:sz w:val="20"/>
        </w:rPr>
        <w:t>is</w:t>
      </w:r>
      <w:r>
        <w:rPr>
          <w:spacing w:val="-2"/>
          <w:sz w:val="20"/>
        </w:rPr>
        <w:t xml:space="preserve"> </w:t>
      </w:r>
      <w:r>
        <w:rPr>
          <w:sz w:val="20"/>
        </w:rPr>
        <w:t>ready</w:t>
      </w:r>
      <w:r>
        <w:rPr>
          <w:spacing w:val="-4"/>
          <w:sz w:val="20"/>
        </w:rPr>
        <w:t xml:space="preserve"> </w:t>
      </w:r>
      <w:r>
        <w:rPr>
          <w:sz w:val="20"/>
        </w:rPr>
        <w:t>for</w:t>
      </w:r>
      <w:r>
        <w:rPr>
          <w:spacing w:val="-3"/>
          <w:sz w:val="20"/>
        </w:rPr>
        <w:t xml:space="preserve"> </w:t>
      </w:r>
      <w:r>
        <w:rPr>
          <w:sz w:val="20"/>
        </w:rPr>
        <w:t>deployment.</w:t>
      </w:r>
    </w:p>
    <w:p w14:paraId="2D732038" w14:textId="77777777" w:rsidR="00403C99" w:rsidRDefault="00403C99" w:rsidP="00403C99">
      <w:pPr>
        <w:pStyle w:val="BodyText"/>
        <w:rPr>
          <w:sz w:val="22"/>
        </w:rPr>
      </w:pPr>
    </w:p>
    <w:p w14:paraId="34A7C708" w14:textId="77777777" w:rsidR="00403C99" w:rsidRDefault="00403C99" w:rsidP="00403C99">
      <w:pPr>
        <w:pStyle w:val="ListParagraph"/>
        <w:numPr>
          <w:ilvl w:val="0"/>
          <w:numId w:val="1"/>
        </w:numPr>
        <w:tabs>
          <w:tab w:val="left" w:pos="668"/>
        </w:tabs>
        <w:spacing w:before="177" w:line="276" w:lineRule="auto"/>
        <w:ind w:right="116" w:hanging="547"/>
        <w:jc w:val="both"/>
        <w:rPr>
          <w:sz w:val="20"/>
        </w:rPr>
      </w:pPr>
      <w:r>
        <w:rPr>
          <w:sz w:val="20"/>
        </w:rPr>
        <w:t>Create a separate emergency/catastrophic adjuster licensing number system, which would be used in the Emergency Adjuster</w:t>
      </w:r>
      <w:r>
        <w:rPr>
          <w:spacing w:val="-2"/>
          <w:sz w:val="20"/>
        </w:rPr>
        <w:t xml:space="preserve"> </w:t>
      </w:r>
      <w:r>
        <w:rPr>
          <w:sz w:val="20"/>
        </w:rPr>
        <w:t>Database.</w:t>
      </w:r>
    </w:p>
    <w:p w14:paraId="238B4AB6" w14:textId="77777777" w:rsidR="00403C99" w:rsidRDefault="00403C99" w:rsidP="00403C99">
      <w:pPr>
        <w:pStyle w:val="BodyText"/>
        <w:rPr>
          <w:sz w:val="22"/>
        </w:rPr>
      </w:pPr>
    </w:p>
    <w:p w14:paraId="31BDE290" w14:textId="77777777" w:rsidR="00403C99" w:rsidRDefault="00403C99" w:rsidP="00403C99">
      <w:pPr>
        <w:pStyle w:val="ListParagraph"/>
        <w:numPr>
          <w:ilvl w:val="0"/>
          <w:numId w:val="1"/>
        </w:numPr>
        <w:tabs>
          <w:tab w:val="left" w:pos="668"/>
        </w:tabs>
        <w:spacing w:before="178" w:line="276" w:lineRule="auto"/>
        <w:ind w:right="119" w:hanging="547"/>
        <w:jc w:val="both"/>
        <w:rPr>
          <w:sz w:val="20"/>
        </w:rPr>
      </w:pPr>
      <w:r>
        <w:rPr>
          <w:sz w:val="20"/>
        </w:rPr>
        <w:t>Post a listing of the states that need emergency/catastrophic adjusters. Provide the type of disaster and what companies and/or</w:t>
      </w:r>
      <w:r>
        <w:rPr>
          <w:spacing w:val="-4"/>
          <w:sz w:val="20"/>
        </w:rPr>
        <w:t xml:space="preserve"> </w:t>
      </w:r>
      <w:r>
        <w:rPr>
          <w:sz w:val="20"/>
        </w:rPr>
        <w:t>federal</w:t>
      </w:r>
      <w:r>
        <w:rPr>
          <w:spacing w:val="-5"/>
          <w:sz w:val="20"/>
        </w:rPr>
        <w:t xml:space="preserve"> </w:t>
      </w:r>
      <w:r>
        <w:rPr>
          <w:sz w:val="20"/>
        </w:rPr>
        <w:t>agencies</w:t>
      </w:r>
      <w:r>
        <w:rPr>
          <w:spacing w:val="-4"/>
          <w:sz w:val="20"/>
        </w:rPr>
        <w:t xml:space="preserve"> </w:t>
      </w:r>
      <w:r>
        <w:rPr>
          <w:sz w:val="20"/>
        </w:rPr>
        <w:t>to</w:t>
      </w:r>
      <w:r>
        <w:rPr>
          <w:spacing w:val="-3"/>
          <w:sz w:val="20"/>
        </w:rPr>
        <w:t xml:space="preserve"> </w:t>
      </w:r>
      <w:r>
        <w:rPr>
          <w:sz w:val="20"/>
        </w:rPr>
        <w:t>contact</w:t>
      </w:r>
      <w:r>
        <w:rPr>
          <w:spacing w:val="-3"/>
          <w:sz w:val="20"/>
        </w:rPr>
        <w:t xml:space="preserve"> </w:t>
      </w:r>
      <w:r>
        <w:rPr>
          <w:sz w:val="20"/>
        </w:rPr>
        <w:t>in</w:t>
      </w:r>
      <w:r>
        <w:rPr>
          <w:spacing w:val="-4"/>
          <w:sz w:val="20"/>
        </w:rPr>
        <w:t xml:space="preserve"> </w:t>
      </w:r>
      <w:r>
        <w:rPr>
          <w:sz w:val="20"/>
        </w:rPr>
        <w:t>order</w:t>
      </w:r>
      <w:r>
        <w:rPr>
          <w:spacing w:val="-3"/>
          <w:sz w:val="20"/>
        </w:rPr>
        <w:t xml:space="preserve"> </w:t>
      </w:r>
      <w:r>
        <w:rPr>
          <w:sz w:val="20"/>
        </w:rPr>
        <w:t>to</w:t>
      </w:r>
      <w:r>
        <w:rPr>
          <w:spacing w:val="-4"/>
          <w:sz w:val="20"/>
        </w:rPr>
        <w:t xml:space="preserve"> </w:t>
      </w:r>
      <w:proofErr w:type="gramStart"/>
      <w:r>
        <w:rPr>
          <w:sz w:val="20"/>
        </w:rPr>
        <w:t>provide</w:t>
      </w:r>
      <w:r>
        <w:rPr>
          <w:spacing w:val="-3"/>
          <w:sz w:val="20"/>
        </w:rPr>
        <w:t xml:space="preserve"> </w:t>
      </w:r>
      <w:r>
        <w:rPr>
          <w:sz w:val="20"/>
        </w:rPr>
        <w:t>assistance</w:t>
      </w:r>
      <w:proofErr w:type="gramEnd"/>
      <w:r>
        <w:rPr>
          <w:spacing w:val="-3"/>
          <w:sz w:val="20"/>
        </w:rPr>
        <w:t xml:space="preserve"> </w:t>
      </w:r>
      <w:r>
        <w:rPr>
          <w:sz w:val="20"/>
        </w:rPr>
        <w:t>with</w:t>
      </w:r>
      <w:r>
        <w:rPr>
          <w:spacing w:val="-3"/>
          <w:sz w:val="20"/>
        </w:rPr>
        <w:t xml:space="preserve"> </w:t>
      </w:r>
      <w:r>
        <w:rPr>
          <w:sz w:val="20"/>
        </w:rPr>
        <w:t>the</w:t>
      </w:r>
      <w:r>
        <w:rPr>
          <w:spacing w:val="-6"/>
          <w:sz w:val="20"/>
        </w:rPr>
        <w:t xml:space="preserve"> </w:t>
      </w:r>
      <w:r>
        <w:rPr>
          <w:sz w:val="20"/>
        </w:rPr>
        <w:t>disaster.</w:t>
      </w:r>
    </w:p>
    <w:p w14:paraId="5CA97BDD" w14:textId="77777777" w:rsidR="00403C99" w:rsidRDefault="00403C99" w:rsidP="00403C99">
      <w:pPr>
        <w:pStyle w:val="BodyText"/>
        <w:rPr>
          <w:sz w:val="22"/>
        </w:rPr>
      </w:pPr>
    </w:p>
    <w:p w14:paraId="6D01A70C" w14:textId="77777777" w:rsidR="00403C99" w:rsidRDefault="00403C99" w:rsidP="00403C99">
      <w:pPr>
        <w:pStyle w:val="ListParagraph"/>
        <w:numPr>
          <w:ilvl w:val="0"/>
          <w:numId w:val="1"/>
        </w:numPr>
        <w:tabs>
          <w:tab w:val="left" w:pos="668"/>
        </w:tabs>
        <w:spacing w:before="178" w:line="276" w:lineRule="auto"/>
        <w:ind w:right="114" w:hanging="547"/>
        <w:jc w:val="both"/>
        <w:rPr>
          <w:sz w:val="20"/>
        </w:rPr>
      </w:pPr>
      <w:r>
        <w:rPr>
          <w:sz w:val="20"/>
        </w:rPr>
        <w:t>Allow an individual to post his/her permissions and/or certifications—such as Crop Adjuster Proficiency Program (CAPP) accreditation—for federal (national parks or forests) and/or tribal access</w:t>
      </w:r>
      <w:r>
        <w:rPr>
          <w:spacing w:val="-31"/>
          <w:sz w:val="20"/>
        </w:rPr>
        <w:t xml:space="preserve"> </w:t>
      </w:r>
      <w:r>
        <w:rPr>
          <w:sz w:val="20"/>
        </w:rPr>
        <w:t>permissions.</w:t>
      </w:r>
    </w:p>
    <w:p w14:paraId="7372686C" w14:textId="77777777" w:rsidR="00403C99" w:rsidRDefault="00403C99" w:rsidP="00403C99">
      <w:pPr>
        <w:pStyle w:val="BodyText"/>
        <w:rPr>
          <w:sz w:val="22"/>
        </w:rPr>
      </w:pPr>
    </w:p>
    <w:p w14:paraId="071CFB30" w14:textId="77777777" w:rsidR="00403C99" w:rsidRDefault="00403C99" w:rsidP="00403C99">
      <w:pPr>
        <w:pStyle w:val="ListParagraph"/>
        <w:numPr>
          <w:ilvl w:val="0"/>
          <w:numId w:val="1"/>
        </w:numPr>
        <w:tabs>
          <w:tab w:val="left" w:pos="668"/>
        </w:tabs>
        <w:spacing w:before="178" w:line="276" w:lineRule="auto"/>
        <w:ind w:right="117" w:hanging="547"/>
        <w:jc w:val="both"/>
        <w:rPr>
          <w:sz w:val="20"/>
        </w:rPr>
      </w:pPr>
      <w:r>
        <w:rPr>
          <w:sz w:val="20"/>
        </w:rPr>
        <w:t xml:space="preserve">Determine whether the NAIC can post emergency/catastrophic adjuster requirements based on where the </w:t>
      </w:r>
      <w:proofErr w:type="gramStart"/>
      <w:r>
        <w:rPr>
          <w:sz w:val="20"/>
        </w:rPr>
        <w:t>catastrophe  is</w:t>
      </w:r>
      <w:proofErr w:type="gramEnd"/>
      <w:r>
        <w:rPr>
          <w:sz w:val="20"/>
        </w:rPr>
        <w:t xml:space="preserve"> or whether this the companies’</w:t>
      </w:r>
      <w:r>
        <w:rPr>
          <w:spacing w:val="-26"/>
          <w:sz w:val="20"/>
        </w:rPr>
        <w:t xml:space="preserve"> </w:t>
      </w:r>
      <w:r>
        <w:rPr>
          <w:sz w:val="20"/>
        </w:rPr>
        <w:t>responsibility.</w:t>
      </w:r>
    </w:p>
    <w:p w14:paraId="7D2FE05F"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962"/>
    <w:multiLevelType w:val="hybridMultilevel"/>
    <w:tmpl w:val="8E2E134C"/>
    <w:lvl w:ilvl="0" w:tplc="97C27F6E">
      <w:start w:val="1"/>
      <w:numFmt w:val="decimal"/>
      <w:lvlText w:val="%1."/>
      <w:lvlJc w:val="left"/>
      <w:pPr>
        <w:ind w:left="700" w:hanging="541"/>
      </w:pPr>
      <w:rPr>
        <w:rFonts w:ascii="Times New Roman" w:eastAsia="Times New Roman" w:hAnsi="Times New Roman" w:cs="Times New Roman" w:hint="default"/>
        <w:w w:val="100"/>
        <w:sz w:val="20"/>
        <w:szCs w:val="20"/>
      </w:rPr>
    </w:lvl>
    <w:lvl w:ilvl="1" w:tplc="4702AF74">
      <w:numFmt w:val="bullet"/>
      <w:lvlText w:val=""/>
      <w:lvlJc w:val="left"/>
      <w:pPr>
        <w:ind w:left="879" w:hanging="360"/>
      </w:pPr>
      <w:rPr>
        <w:rFonts w:ascii="Symbol" w:eastAsia="Symbol" w:hAnsi="Symbol" w:cs="Symbol" w:hint="default"/>
        <w:w w:val="100"/>
        <w:sz w:val="20"/>
        <w:szCs w:val="20"/>
      </w:rPr>
    </w:lvl>
    <w:lvl w:ilvl="2" w:tplc="8376CFA6">
      <w:numFmt w:val="bullet"/>
      <w:lvlText w:val="•"/>
      <w:lvlJc w:val="left"/>
      <w:pPr>
        <w:ind w:left="1937" w:hanging="360"/>
      </w:pPr>
      <w:rPr>
        <w:rFonts w:hint="default"/>
      </w:rPr>
    </w:lvl>
    <w:lvl w:ilvl="3" w:tplc="8FB22DAA">
      <w:numFmt w:val="bullet"/>
      <w:lvlText w:val="•"/>
      <w:lvlJc w:val="left"/>
      <w:pPr>
        <w:ind w:left="2995" w:hanging="360"/>
      </w:pPr>
      <w:rPr>
        <w:rFonts w:hint="default"/>
      </w:rPr>
    </w:lvl>
    <w:lvl w:ilvl="4" w:tplc="40E894CE">
      <w:numFmt w:val="bullet"/>
      <w:lvlText w:val="•"/>
      <w:lvlJc w:val="left"/>
      <w:pPr>
        <w:ind w:left="4053" w:hanging="360"/>
      </w:pPr>
      <w:rPr>
        <w:rFonts w:hint="default"/>
      </w:rPr>
    </w:lvl>
    <w:lvl w:ilvl="5" w:tplc="1F00CEC8">
      <w:numFmt w:val="bullet"/>
      <w:lvlText w:val="•"/>
      <w:lvlJc w:val="left"/>
      <w:pPr>
        <w:ind w:left="5111" w:hanging="360"/>
      </w:pPr>
      <w:rPr>
        <w:rFonts w:hint="default"/>
      </w:rPr>
    </w:lvl>
    <w:lvl w:ilvl="6" w:tplc="6B201F96">
      <w:numFmt w:val="bullet"/>
      <w:lvlText w:val="•"/>
      <w:lvlJc w:val="left"/>
      <w:pPr>
        <w:ind w:left="6168" w:hanging="360"/>
      </w:pPr>
      <w:rPr>
        <w:rFonts w:hint="default"/>
      </w:rPr>
    </w:lvl>
    <w:lvl w:ilvl="7" w:tplc="222C4B20">
      <w:numFmt w:val="bullet"/>
      <w:lvlText w:val="•"/>
      <w:lvlJc w:val="left"/>
      <w:pPr>
        <w:ind w:left="7226" w:hanging="360"/>
      </w:pPr>
      <w:rPr>
        <w:rFonts w:hint="default"/>
      </w:rPr>
    </w:lvl>
    <w:lvl w:ilvl="8" w:tplc="58EE23B2">
      <w:numFmt w:val="bullet"/>
      <w:lvlText w:val="•"/>
      <w:lvlJc w:val="left"/>
      <w:pPr>
        <w:ind w:left="8284" w:hanging="360"/>
      </w:pPr>
      <w:rPr>
        <w:rFonts w:hint="default"/>
      </w:rPr>
    </w:lvl>
  </w:abstractNum>
  <w:abstractNum w:abstractNumId="1" w15:restartNumberingAfterBreak="0">
    <w:nsid w:val="582269FB"/>
    <w:multiLevelType w:val="hybridMultilevel"/>
    <w:tmpl w:val="2EFE4CAA"/>
    <w:lvl w:ilvl="0" w:tplc="8272B216">
      <w:start w:val="1"/>
      <w:numFmt w:val="decimal"/>
      <w:lvlText w:val="%1."/>
      <w:lvlJc w:val="left"/>
      <w:pPr>
        <w:ind w:left="667" w:hanging="548"/>
      </w:pPr>
      <w:rPr>
        <w:rFonts w:ascii="Times New Roman" w:eastAsia="Times New Roman" w:hAnsi="Times New Roman" w:cs="Times New Roman" w:hint="default"/>
        <w:w w:val="100"/>
        <w:sz w:val="20"/>
        <w:szCs w:val="20"/>
      </w:rPr>
    </w:lvl>
    <w:lvl w:ilvl="1" w:tplc="756C3F52">
      <w:numFmt w:val="bullet"/>
      <w:lvlText w:val="•"/>
      <w:lvlJc w:val="left"/>
      <w:pPr>
        <w:ind w:left="1626" w:hanging="548"/>
      </w:pPr>
      <w:rPr>
        <w:rFonts w:hint="default"/>
      </w:rPr>
    </w:lvl>
    <w:lvl w:ilvl="2" w:tplc="B2FAC80A">
      <w:numFmt w:val="bullet"/>
      <w:lvlText w:val="•"/>
      <w:lvlJc w:val="left"/>
      <w:pPr>
        <w:ind w:left="2592" w:hanging="548"/>
      </w:pPr>
      <w:rPr>
        <w:rFonts w:hint="default"/>
      </w:rPr>
    </w:lvl>
    <w:lvl w:ilvl="3" w:tplc="BECAE0DC">
      <w:numFmt w:val="bullet"/>
      <w:lvlText w:val="•"/>
      <w:lvlJc w:val="left"/>
      <w:pPr>
        <w:ind w:left="3558" w:hanging="548"/>
      </w:pPr>
      <w:rPr>
        <w:rFonts w:hint="default"/>
      </w:rPr>
    </w:lvl>
    <w:lvl w:ilvl="4" w:tplc="0520E494">
      <w:numFmt w:val="bullet"/>
      <w:lvlText w:val="•"/>
      <w:lvlJc w:val="left"/>
      <w:pPr>
        <w:ind w:left="4524" w:hanging="548"/>
      </w:pPr>
      <w:rPr>
        <w:rFonts w:hint="default"/>
      </w:rPr>
    </w:lvl>
    <w:lvl w:ilvl="5" w:tplc="9AA42E1A">
      <w:numFmt w:val="bullet"/>
      <w:lvlText w:val="•"/>
      <w:lvlJc w:val="left"/>
      <w:pPr>
        <w:ind w:left="5490" w:hanging="548"/>
      </w:pPr>
      <w:rPr>
        <w:rFonts w:hint="default"/>
      </w:rPr>
    </w:lvl>
    <w:lvl w:ilvl="6" w:tplc="1DE6475E">
      <w:numFmt w:val="bullet"/>
      <w:lvlText w:val="•"/>
      <w:lvlJc w:val="left"/>
      <w:pPr>
        <w:ind w:left="6456" w:hanging="548"/>
      </w:pPr>
      <w:rPr>
        <w:rFonts w:hint="default"/>
      </w:rPr>
    </w:lvl>
    <w:lvl w:ilvl="7" w:tplc="60DEAB82">
      <w:numFmt w:val="bullet"/>
      <w:lvlText w:val="•"/>
      <w:lvlJc w:val="left"/>
      <w:pPr>
        <w:ind w:left="7422" w:hanging="548"/>
      </w:pPr>
      <w:rPr>
        <w:rFonts w:hint="default"/>
      </w:rPr>
    </w:lvl>
    <w:lvl w:ilvl="8" w:tplc="39386D56">
      <w:numFmt w:val="bullet"/>
      <w:lvlText w:val="•"/>
      <w:lvlJc w:val="left"/>
      <w:pPr>
        <w:ind w:left="8388" w:hanging="5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03C99"/>
    <w:rsid w:val="00403C99"/>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A8F4"/>
  <w15:chartTrackingRefBased/>
  <w15:docId w15:val="{D32CFA58-E4C4-4AB1-A6DC-A128DD35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03C99"/>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403C99"/>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03C99"/>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03C99"/>
    <w:rPr>
      <w:sz w:val="20"/>
      <w:szCs w:val="20"/>
    </w:rPr>
  </w:style>
  <w:style w:type="character" w:customStyle="1" w:styleId="BodyTextChar">
    <w:name w:val="Body Text Char"/>
    <w:basedOn w:val="DefaultParagraphFont"/>
    <w:link w:val="BodyText"/>
    <w:uiPriority w:val="1"/>
    <w:rsid w:val="00403C99"/>
    <w:rPr>
      <w:rFonts w:ascii="Times New Roman" w:eastAsia="Times New Roman" w:hAnsi="Times New Roman" w:cs="Times New Roman"/>
      <w:sz w:val="20"/>
      <w:szCs w:val="20"/>
    </w:rPr>
  </w:style>
  <w:style w:type="paragraph" w:styleId="ListParagraph">
    <w:name w:val="List Paragraph"/>
    <w:basedOn w:val="Normal"/>
    <w:uiPriority w:val="99"/>
    <w:qFormat/>
    <w:rsid w:val="00403C99"/>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2020-06-16T13:39:00Z</dcterms:created>
  <dcterms:modified xsi:type="dcterms:W3CDTF">2020-06-16T13:39:00Z</dcterms:modified>
</cp:coreProperties>
</file>