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68D09" w14:textId="31555A70" w:rsidR="00192BAD" w:rsidRDefault="00192BAD" w:rsidP="00373FA3">
      <w:pPr>
        <w:rPr>
          <w:rFonts w:asciiTheme="minorHAnsi" w:hAnsiTheme="minorHAnsi" w:cstheme="minorHAnsi"/>
        </w:rPr>
      </w:pPr>
    </w:p>
    <w:p w14:paraId="0B5CC6FA" w14:textId="77777777" w:rsidR="00606B88" w:rsidRPr="00300287" w:rsidRDefault="00606B88" w:rsidP="00373FA3">
      <w:pPr>
        <w:rPr>
          <w:rFonts w:asciiTheme="minorHAnsi" w:hAnsiTheme="minorHAnsi" w:cstheme="minorHAnsi"/>
        </w:rPr>
      </w:pPr>
    </w:p>
    <w:p w14:paraId="29AC71D7" w14:textId="4D952499" w:rsidR="00F06609" w:rsidRPr="008E4659" w:rsidRDefault="00F06609" w:rsidP="00373FA3">
      <w:pPr>
        <w:rPr>
          <w:rFonts w:asciiTheme="minorHAnsi" w:hAnsiTheme="minorHAnsi" w:cstheme="minorHAnsi"/>
          <w:sz w:val="24"/>
          <w:szCs w:val="24"/>
        </w:rPr>
      </w:pPr>
      <w:r w:rsidRPr="008E4659">
        <w:rPr>
          <w:rFonts w:asciiTheme="minorHAnsi" w:hAnsiTheme="minorHAnsi" w:cstheme="minorHAnsi"/>
          <w:sz w:val="24"/>
          <w:szCs w:val="24"/>
        </w:rPr>
        <w:t>To:</w:t>
      </w:r>
      <w:r w:rsidR="00D86815" w:rsidRPr="008E4659">
        <w:rPr>
          <w:rFonts w:asciiTheme="minorHAnsi" w:hAnsiTheme="minorHAnsi" w:cstheme="minorHAnsi"/>
          <w:sz w:val="24"/>
          <w:szCs w:val="24"/>
        </w:rPr>
        <w:tab/>
      </w:r>
      <w:r w:rsidR="00436093">
        <w:rPr>
          <w:rFonts w:asciiTheme="minorHAnsi" w:hAnsiTheme="minorHAnsi" w:cstheme="minorHAnsi"/>
          <w:sz w:val="24"/>
          <w:szCs w:val="24"/>
        </w:rPr>
        <w:t>Non-U.S.</w:t>
      </w:r>
      <w:r w:rsidR="00436093" w:rsidRPr="008E4659">
        <w:rPr>
          <w:rFonts w:asciiTheme="minorHAnsi" w:hAnsiTheme="minorHAnsi" w:cstheme="minorHAnsi"/>
          <w:sz w:val="24"/>
          <w:szCs w:val="24"/>
        </w:rPr>
        <w:t xml:space="preserve"> </w:t>
      </w:r>
      <w:r w:rsidRPr="008E4659">
        <w:rPr>
          <w:rFonts w:asciiTheme="minorHAnsi" w:hAnsiTheme="minorHAnsi" w:cstheme="minorHAnsi"/>
          <w:sz w:val="24"/>
          <w:szCs w:val="24"/>
        </w:rPr>
        <w:t>Insurer</w:t>
      </w:r>
      <w:r w:rsidR="00D2767B" w:rsidRPr="008E4659">
        <w:rPr>
          <w:rFonts w:asciiTheme="minorHAnsi" w:hAnsiTheme="minorHAnsi" w:cstheme="minorHAnsi"/>
          <w:sz w:val="24"/>
          <w:szCs w:val="24"/>
        </w:rPr>
        <w:t xml:space="preserve"> Contacts</w:t>
      </w:r>
      <w:r w:rsidR="001041A6">
        <w:rPr>
          <w:rFonts w:asciiTheme="minorHAnsi" w:hAnsiTheme="minorHAnsi" w:cstheme="minorHAnsi"/>
          <w:sz w:val="24"/>
          <w:szCs w:val="24"/>
        </w:rPr>
        <w:t xml:space="preserve"> and U.S. </w:t>
      </w:r>
      <w:r w:rsidR="00D2767B" w:rsidRPr="008E4659">
        <w:rPr>
          <w:rFonts w:asciiTheme="minorHAnsi" w:hAnsiTheme="minorHAnsi" w:cstheme="minorHAnsi"/>
          <w:sz w:val="24"/>
          <w:szCs w:val="24"/>
        </w:rPr>
        <w:t>Representatives</w:t>
      </w:r>
    </w:p>
    <w:p w14:paraId="39A847CB" w14:textId="77777777" w:rsidR="005E11C4" w:rsidRPr="0006307D" w:rsidRDefault="005E11C4" w:rsidP="00373FA3">
      <w:pPr>
        <w:rPr>
          <w:rFonts w:asciiTheme="minorHAnsi" w:hAnsiTheme="minorHAnsi" w:cstheme="minorHAnsi"/>
          <w:sz w:val="10"/>
          <w:szCs w:val="10"/>
        </w:rPr>
      </w:pPr>
    </w:p>
    <w:p w14:paraId="40AB0718" w14:textId="07D700DB" w:rsidR="00F06609" w:rsidRPr="008E4659" w:rsidRDefault="00F06609" w:rsidP="00373FA3">
      <w:pPr>
        <w:rPr>
          <w:rFonts w:asciiTheme="minorHAnsi" w:hAnsiTheme="minorHAnsi" w:cstheme="minorHAnsi"/>
          <w:sz w:val="24"/>
          <w:szCs w:val="24"/>
        </w:rPr>
      </w:pPr>
      <w:r w:rsidRPr="008E4659">
        <w:rPr>
          <w:rFonts w:asciiTheme="minorHAnsi" w:hAnsiTheme="minorHAnsi" w:cstheme="minorHAnsi"/>
          <w:sz w:val="24"/>
          <w:szCs w:val="24"/>
        </w:rPr>
        <w:t>From:</w:t>
      </w:r>
      <w:r w:rsidR="00D86815" w:rsidRPr="008E4659">
        <w:rPr>
          <w:rFonts w:asciiTheme="minorHAnsi" w:hAnsiTheme="minorHAnsi" w:cstheme="minorHAnsi"/>
          <w:sz w:val="24"/>
          <w:szCs w:val="24"/>
        </w:rPr>
        <w:tab/>
      </w:r>
      <w:r w:rsidRPr="008E4659">
        <w:rPr>
          <w:rFonts w:asciiTheme="minorHAnsi" w:hAnsiTheme="minorHAnsi" w:cstheme="minorHAnsi"/>
          <w:sz w:val="24"/>
          <w:szCs w:val="24"/>
        </w:rPr>
        <w:t>NAIC International Insurers Department</w:t>
      </w:r>
    </w:p>
    <w:p w14:paraId="5E487752" w14:textId="77777777" w:rsidR="005E11C4" w:rsidRPr="0006307D" w:rsidRDefault="005E11C4" w:rsidP="00373FA3">
      <w:pPr>
        <w:rPr>
          <w:rFonts w:asciiTheme="minorHAnsi" w:hAnsiTheme="minorHAnsi" w:cstheme="minorHAnsi"/>
          <w:sz w:val="10"/>
          <w:szCs w:val="10"/>
        </w:rPr>
      </w:pPr>
    </w:p>
    <w:p w14:paraId="5D09B948" w14:textId="3B90DF50" w:rsidR="00F06609" w:rsidRPr="008E4659" w:rsidRDefault="00F06609" w:rsidP="00373FA3">
      <w:pPr>
        <w:rPr>
          <w:rFonts w:asciiTheme="minorHAnsi" w:hAnsiTheme="minorHAnsi" w:cstheme="minorHAnsi"/>
          <w:sz w:val="24"/>
          <w:szCs w:val="24"/>
        </w:rPr>
      </w:pPr>
      <w:r w:rsidRPr="008E4659">
        <w:rPr>
          <w:rFonts w:asciiTheme="minorHAnsi" w:hAnsiTheme="minorHAnsi" w:cstheme="minorHAnsi"/>
          <w:sz w:val="24"/>
          <w:szCs w:val="24"/>
        </w:rPr>
        <w:t>Re:</w:t>
      </w:r>
      <w:r w:rsidR="00D86815" w:rsidRPr="008E4659">
        <w:rPr>
          <w:rFonts w:asciiTheme="minorHAnsi" w:hAnsiTheme="minorHAnsi" w:cstheme="minorHAnsi"/>
          <w:sz w:val="24"/>
          <w:szCs w:val="24"/>
        </w:rPr>
        <w:tab/>
      </w:r>
      <w:r w:rsidRPr="008E4659">
        <w:rPr>
          <w:rFonts w:asciiTheme="minorHAnsi" w:hAnsiTheme="minorHAnsi" w:cstheme="minorHAnsi"/>
          <w:sz w:val="24"/>
          <w:szCs w:val="24"/>
        </w:rPr>
        <w:t xml:space="preserve">NAIC </w:t>
      </w:r>
      <w:r w:rsidRPr="008E4659">
        <w:rPr>
          <w:rFonts w:asciiTheme="minorHAnsi" w:hAnsiTheme="minorHAnsi" w:cstheme="minorHAnsi"/>
          <w:i/>
          <w:iCs/>
          <w:sz w:val="24"/>
          <w:szCs w:val="24"/>
        </w:rPr>
        <w:t>Quarterly Listing of Alien Insurers</w:t>
      </w:r>
      <w:r w:rsidR="00E75629">
        <w:rPr>
          <w:rFonts w:asciiTheme="minorHAnsi" w:hAnsiTheme="minorHAnsi" w:cstheme="minorHAnsi"/>
          <w:i/>
          <w:iCs/>
          <w:sz w:val="24"/>
          <w:szCs w:val="24"/>
        </w:rPr>
        <w:t xml:space="preserve"> </w:t>
      </w:r>
      <w:r w:rsidR="00E75629" w:rsidRPr="00E75629">
        <w:rPr>
          <w:rFonts w:asciiTheme="minorHAnsi" w:hAnsiTheme="minorHAnsi" w:cstheme="minorHAnsi"/>
          <w:sz w:val="24"/>
          <w:szCs w:val="24"/>
        </w:rPr>
        <w:t xml:space="preserve">– </w:t>
      </w:r>
      <w:r w:rsidR="00B113E0" w:rsidRPr="00B113E0">
        <w:rPr>
          <w:rFonts w:asciiTheme="minorHAnsi" w:hAnsiTheme="minorHAnsi" w:cstheme="minorHAnsi"/>
          <w:sz w:val="24"/>
          <w:szCs w:val="24"/>
        </w:rPr>
        <w:t>Application</w:t>
      </w:r>
      <w:r w:rsidR="00E75629" w:rsidRPr="00E75629">
        <w:rPr>
          <w:rFonts w:asciiTheme="minorHAnsi" w:hAnsiTheme="minorHAnsi" w:cstheme="minorHAnsi"/>
          <w:sz w:val="24"/>
          <w:szCs w:val="24"/>
        </w:rPr>
        <w:t xml:space="preserve"> Filing Requirements</w:t>
      </w:r>
    </w:p>
    <w:p w14:paraId="640E7A43" w14:textId="1D16739C" w:rsidR="00F06609" w:rsidRPr="008E4659" w:rsidRDefault="00F06609" w:rsidP="00373FA3">
      <w:pPr>
        <w:rPr>
          <w:rFonts w:asciiTheme="minorHAnsi" w:hAnsiTheme="minorHAnsi" w:cstheme="minorHAnsi"/>
        </w:rPr>
      </w:pPr>
    </w:p>
    <w:p w14:paraId="015DF3F4" w14:textId="77777777" w:rsidR="005E11C4" w:rsidRPr="008E4659" w:rsidRDefault="005E11C4" w:rsidP="00373FA3">
      <w:pPr>
        <w:rPr>
          <w:rFonts w:asciiTheme="minorHAnsi" w:hAnsiTheme="minorHAnsi" w:cstheme="minorHAnsi"/>
        </w:rPr>
      </w:pPr>
    </w:p>
    <w:p w14:paraId="1927E817" w14:textId="4BAAEF4E" w:rsidR="009C5D84" w:rsidRPr="00CE2EF5" w:rsidRDefault="009C5D84" w:rsidP="00131C91">
      <w:pPr>
        <w:jc w:val="both"/>
        <w:rPr>
          <w:rFonts w:asciiTheme="minorHAnsi" w:hAnsiTheme="minorHAnsi" w:cstheme="minorHAnsi"/>
          <w:sz w:val="22"/>
          <w:szCs w:val="22"/>
        </w:rPr>
      </w:pPr>
      <w:r w:rsidRPr="00CE2EF5">
        <w:rPr>
          <w:rFonts w:asciiTheme="minorHAnsi" w:hAnsiTheme="minorHAnsi" w:cstheme="minorHAnsi"/>
          <w:sz w:val="22"/>
          <w:szCs w:val="22"/>
        </w:rPr>
        <w:t xml:space="preserve">The following </w:t>
      </w:r>
      <w:r w:rsidR="00C732C4" w:rsidRPr="00CE2EF5">
        <w:rPr>
          <w:rFonts w:asciiTheme="minorHAnsi" w:hAnsiTheme="minorHAnsi" w:cstheme="minorHAnsi"/>
          <w:sz w:val="22"/>
          <w:szCs w:val="22"/>
        </w:rPr>
        <w:t xml:space="preserve">details </w:t>
      </w:r>
      <w:r w:rsidRPr="00CE2EF5">
        <w:rPr>
          <w:rFonts w:asciiTheme="minorHAnsi" w:hAnsiTheme="minorHAnsi" w:cstheme="minorHAnsi"/>
          <w:sz w:val="22"/>
          <w:szCs w:val="22"/>
        </w:rPr>
        <w:t xml:space="preserve">outline the </w:t>
      </w:r>
      <w:r w:rsidR="008A1D1C" w:rsidRPr="00CE2EF5">
        <w:rPr>
          <w:rFonts w:asciiTheme="minorHAnsi" w:hAnsiTheme="minorHAnsi" w:cstheme="minorHAnsi"/>
          <w:sz w:val="22"/>
          <w:szCs w:val="22"/>
        </w:rPr>
        <w:t>application requirements</w:t>
      </w:r>
      <w:r w:rsidRPr="00CE2EF5">
        <w:rPr>
          <w:rFonts w:asciiTheme="minorHAnsi" w:hAnsiTheme="minorHAnsi" w:cstheme="minorHAnsi"/>
          <w:sz w:val="22"/>
          <w:szCs w:val="22"/>
        </w:rPr>
        <w:t xml:space="preserve"> and fee to the NAIC International Insurers Department (IID) for application to the</w:t>
      </w:r>
      <w:r w:rsidR="00F06609" w:rsidRPr="00CE2EF5">
        <w:rPr>
          <w:rFonts w:asciiTheme="minorHAnsi" w:hAnsiTheme="minorHAnsi" w:cstheme="minorHAnsi"/>
          <w:sz w:val="22"/>
          <w:szCs w:val="22"/>
        </w:rPr>
        <w:t xml:space="preserve"> NAIC</w:t>
      </w:r>
      <w:r w:rsidRPr="00CE2EF5">
        <w:rPr>
          <w:rFonts w:asciiTheme="minorHAnsi" w:hAnsiTheme="minorHAnsi" w:cstheme="minorHAnsi"/>
          <w:sz w:val="22"/>
          <w:szCs w:val="22"/>
        </w:rPr>
        <w:t xml:space="preserve"> </w:t>
      </w:r>
      <w:hyperlink r:id="rId11" w:anchor="quarterly_alien" w:history="1">
        <w:r w:rsidRPr="00CE2EF5">
          <w:rPr>
            <w:rStyle w:val="Hyperlink"/>
            <w:rFonts w:asciiTheme="minorHAnsi" w:hAnsiTheme="minorHAnsi" w:cstheme="minorHAnsi"/>
            <w:i/>
            <w:iCs/>
            <w:sz w:val="22"/>
            <w:szCs w:val="22"/>
          </w:rPr>
          <w:t>Quarterly Li</w:t>
        </w:r>
        <w:bookmarkStart w:id="0" w:name="_Hlt100922219"/>
        <w:bookmarkStart w:id="1" w:name="_Hlt100922220"/>
        <w:r w:rsidRPr="00CE2EF5">
          <w:rPr>
            <w:rStyle w:val="Hyperlink"/>
            <w:rFonts w:asciiTheme="minorHAnsi" w:hAnsiTheme="minorHAnsi" w:cstheme="minorHAnsi"/>
            <w:i/>
            <w:iCs/>
            <w:sz w:val="22"/>
            <w:szCs w:val="22"/>
          </w:rPr>
          <w:t>s</w:t>
        </w:r>
        <w:bookmarkEnd w:id="0"/>
        <w:bookmarkEnd w:id="1"/>
        <w:r w:rsidRPr="00CE2EF5">
          <w:rPr>
            <w:rStyle w:val="Hyperlink"/>
            <w:rFonts w:asciiTheme="minorHAnsi" w:hAnsiTheme="minorHAnsi" w:cstheme="minorHAnsi"/>
            <w:i/>
            <w:iCs/>
            <w:sz w:val="22"/>
            <w:szCs w:val="22"/>
          </w:rPr>
          <w:t>ting of Alien Insurers</w:t>
        </w:r>
      </w:hyperlink>
      <w:r w:rsidRPr="00CE2EF5">
        <w:rPr>
          <w:rFonts w:asciiTheme="minorHAnsi" w:hAnsiTheme="minorHAnsi" w:cstheme="minorHAnsi"/>
          <w:sz w:val="22"/>
          <w:szCs w:val="22"/>
        </w:rPr>
        <w:t xml:space="preserve">. </w:t>
      </w:r>
    </w:p>
    <w:p w14:paraId="24E02DA6" w14:textId="77777777" w:rsidR="009C5D84" w:rsidRPr="00CE2EF5" w:rsidRDefault="009C5D84" w:rsidP="00300287">
      <w:pPr>
        <w:rPr>
          <w:rFonts w:asciiTheme="minorHAnsi" w:hAnsiTheme="minorHAnsi" w:cstheme="minorHAnsi"/>
          <w:b/>
          <w:bCs/>
          <w:sz w:val="22"/>
          <w:szCs w:val="22"/>
        </w:rPr>
      </w:pPr>
    </w:p>
    <w:p w14:paraId="643BF65B" w14:textId="3565C0C3" w:rsidR="00014BEE" w:rsidRDefault="0052618E" w:rsidP="00BC4E99">
      <w:pPr>
        <w:spacing w:after="120"/>
        <w:rPr>
          <w:rFonts w:asciiTheme="minorHAnsi" w:hAnsiTheme="minorHAnsi" w:cstheme="minorHAnsi"/>
          <w:b/>
          <w:bCs/>
          <w:sz w:val="22"/>
          <w:szCs w:val="22"/>
          <w:u w:val="single"/>
        </w:rPr>
      </w:pPr>
      <w:r>
        <w:rPr>
          <w:rFonts w:asciiTheme="minorHAnsi" w:hAnsiTheme="minorHAnsi" w:cstheme="minorHAnsi"/>
          <w:b/>
          <w:bCs/>
          <w:sz w:val="22"/>
          <w:szCs w:val="22"/>
          <w:u w:val="single"/>
        </w:rPr>
        <w:t>Application Required Documentation</w:t>
      </w:r>
    </w:p>
    <w:p w14:paraId="61F54835" w14:textId="39D5E750" w:rsidR="00472E5A" w:rsidRDefault="00472E5A" w:rsidP="00131C91">
      <w:pPr>
        <w:pStyle w:val="ListParagraph"/>
        <w:numPr>
          <w:ilvl w:val="0"/>
          <w:numId w:val="5"/>
        </w:numPr>
        <w:spacing w:after="60"/>
        <w:jc w:val="both"/>
        <w:rPr>
          <w:rFonts w:asciiTheme="minorHAnsi" w:hAnsiTheme="minorHAnsi" w:cstheme="minorBidi"/>
          <w:sz w:val="22"/>
          <w:szCs w:val="22"/>
        </w:rPr>
      </w:pPr>
      <w:r>
        <w:rPr>
          <w:rFonts w:asciiTheme="minorHAnsi" w:hAnsiTheme="minorHAnsi" w:cstheme="minorBidi"/>
          <w:sz w:val="22"/>
          <w:szCs w:val="22"/>
        </w:rPr>
        <w:t>Cover Letter</w:t>
      </w:r>
      <w:r w:rsidR="00811A4C">
        <w:rPr>
          <w:rFonts w:asciiTheme="minorHAnsi" w:hAnsiTheme="minorHAnsi" w:cstheme="minorBidi"/>
          <w:sz w:val="22"/>
          <w:szCs w:val="22"/>
        </w:rPr>
        <w:t xml:space="preserve"> (</w:t>
      </w:r>
      <w:r w:rsidR="0095273B">
        <w:rPr>
          <w:rFonts w:asciiTheme="minorHAnsi" w:hAnsiTheme="minorHAnsi" w:cstheme="minorBidi"/>
          <w:sz w:val="22"/>
          <w:szCs w:val="22"/>
        </w:rPr>
        <w:t>I</w:t>
      </w:r>
      <w:r w:rsidR="009300A0">
        <w:rPr>
          <w:rFonts w:asciiTheme="minorHAnsi" w:hAnsiTheme="minorHAnsi" w:cstheme="minorBidi"/>
          <w:sz w:val="22"/>
          <w:szCs w:val="22"/>
        </w:rPr>
        <w:t>nclud</w:t>
      </w:r>
      <w:r w:rsidR="0095273B">
        <w:rPr>
          <w:rFonts w:asciiTheme="minorHAnsi" w:hAnsiTheme="minorHAnsi" w:cstheme="minorBidi"/>
          <w:sz w:val="22"/>
          <w:szCs w:val="22"/>
        </w:rPr>
        <w:t>e</w:t>
      </w:r>
      <w:r w:rsidR="009300A0">
        <w:rPr>
          <w:rFonts w:asciiTheme="minorHAnsi" w:hAnsiTheme="minorHAnsi" w:cstheme="minorBidi"/>
          <w:sz w:val="22"/>
          <w:szCs w:val="22"/>
        </w:rPr>
        <w:t xml:space="preserve"> </w:t>
      </w:r>
      <w:r w:rsidR="00C54F81">
        <w:rPr>
          <w:rFonts w:asciiTheme="minorHAnsi" w:hAnsiTheme="minorHAnsi" w:cstheme="minorBidi"/>
          <w:sz w:val="22"/>
          <w:szCs w:val="22"/>
        </w:rPr>
        <w:t xml:space="preserve">the </w:t>
      </w:r>
      <w:r w:rsidR="008F2955">
        <w:rPr>
          <w:rFonts w:asciiTheme="minorHAnsi" w:hAnsiTheme="minorHAnsi" w:cstheme="minorBidi"/>
          <w:sz w:val="22"/>
          <w:szCs w:val="22"/>
        </w:rPr>
        <w:t>objective</w:t>
      </w:r>
      <w:r w:rsidR="00C54F81">
        <w:rPr>
          <w:rFonts w:asciiTheme="minorHAnsi" w:hAnsiTheme="minorHAnsi" w:cstheme="minorBidi"/>
          <w:sz w:val="22"/>
          <w:szCs w:val="22"/>
        </w:rPr>
        <w:t xml:space="preserve"> and </w:t>
      </w:r>
      <w:r w:rsidR="00B63A44">
        <w:rPr>
          <w:rFonts w:asciiTheme="minorHAnsi" w:hAnsiTheme="minorHAnsi" w:cstheme="minorBidi"/>
          <w:sz w:val="22"/>
          <w:szCs w:val="22"/>
        </w:rPr>
        <w:t>any explanatory details)</w:t>
      </w:r>
    </w:p>
    <w:p w14:paraId="66AA4523" w14:textId="77777777" w:rsidR="000368A8" w:rsidRPr="0062100F" w:rsidRDefault="000368A8" w:rsidP="00131C91">
      <w:pPr>
        <w:pStyle w:val="ListParagraph"/>
        <w:numPr>
          <w:ilvl w:val="0"/>
          <w:numId w:val="5"/>
        </w:numPr>
        <w:spacing w:after="60"/>
        <w:jc w:val="both"/>
        <w:rPr>
          <w:rFonts w:asciiTheme="minorHAnsi" w:hAnsiTheme="minorHAnsi" w:cstheme="minorBidi"/>
          <w:sz w:val="22"/>
          <w:szCs w:val="22"/>
        </w:rPr>
      </w:pPr>
      <w:r w:rsidRPr="4ABE119A">
        <w:rPr>
          <w:rFonts w:asciiTheme="minorHAnsi" w:hAnsiTheme="minorHAnsi" w:cstheme="minorBidi"/>
          <w:sz w:val="22"/>
          <w:szCs w:val="22"/>
        </w:rPr>
        <w:t xml:space="preserve">2021 </w:t>
      </w:r>
      <w:r w:rsidRPr="4ABE119A">
        <w:rPr>
          <w:rFonts w:asciiTheme="minorHAnsi" w:hAnsiTheme="minorHAnsi" w:cstheme="minorBidi"/>
          <w:b/>
          <w:color w:val="4F81BD" w:themeColor="accent1"/>
          <w:sz w:val="22"/>
          <w:szCs w:val="22"/>
        </w:rPr>
        <w:t>IID</w:t>
      </w:r>
      <w:r w:rsidRPr="4ABE119A">
        <w:rPr>
          <w:rFonts w:asciiTheme="minorHAnsi" w:hAnsiTheme="minorHAnsi" w:cstheme="minorBidi"/>
          <w:sz w:val="22"/>
          <w:szCs w:val="22"/>
        </w:rPr>
        <w:t>file – Annual Renewal and New Application Filing (Microsoft Access)</w:t>
      </w:r>
    </w:p>
    <w:p w14:paraId="2D2B2FC6" w14:textId="768E78F1" w:rsidR="000368A8" w:rsidRPr="0062100F" w:rsidRDefault="000368A8" w:rsidP="00131C91">
      <w:pPr>
        <w:pStyle w:val="ListParagraph"/>
        <w:numPr>
          <w:ilvl w:val="0"/>
          <w:numId w:val="5"/>
        </w:numPr>
        <w:spacing w:after="60"/>
        <w:contextualSpacing w:val="0"/>
        <w:jc w:val="both"/>
        <w:rPr>
          <w:rFonts w:asciiTheme="minorHAnsi" w:hAnsiTheme="minorHAnsi" w:cstheme="minorHAnsi"/>
          <w:sz w:val="22"/>
          <w:szCs w:val="22"/>
        </w:rPr>
      </w:pPr>
      <w:r>
        <w:rPr>
          <w:rFonts w:asciiTheme="minorHAnsi" w:hAnsiTheme="minorHAnsi" w:cstheme="minorHAnsi"/>
          <w:sz w:val="22"/>
          <w:szCs w:val="22"/>
        </w:rPr>
        <w:t xml:space="preserve">2021 </w:t>
      </w:r>
      <w:r w:rsidRPr="00A07477">
        <w:rPr>
          <w:rFonts w:asciiTheme="minorHAnsi" w:hAnsiTheme="minorHAnsi" w:cstheme="minorHAnsi"/>
          <w:b/>
          <w:bCs/>
          <w:color w:val="4F81BD" w:themeColor="accent1"/>
          <w:sz w:val="22"/>
          <w:szCs w:val="22"/>
        </w:rPr>
        <w:t>IID</w:t>
      </w:r>
      <w:r>
        <w:rPr>
          <w:rFonts w:asciiTheme="minorHAnsi" w:hAnsiTheme="minorHAnsi" w:cstheme="minorHAnsi"/>
          <w:sz w:val="22"/>
          <w:szCs w:val="22"/>
        </w:rPr>
        <w:t xml:space="preserve">file </w:t>
      </w:r>
      <w:r w:rsidR="00B57AE2" w:rsidRPr="4ABE119A">
        <w:rPr>
          <w:rFonts w:asciiTheme="minorHAnsi" w:hAnsiTheme="minorHAnsi" w:cstheme="minorBidi"/>
          <w:sz w:val="22"/>
          <w:szCs w:val="22"/>
        </w:rPr>
        <w:t>–</w:t>
      </w:r>
      <w:r w:rsidRPr="0062100F">
        <w:rPr>
          <w:rFonts w:asciiTheme="minorHAnsi" w:hAnsiTheme="minorHAnsi" w:cstheme="minorHAnsi"/>
          <w:sz w:val="22"/>
          <w:szCs w:val="22"/>
        </w:rPr>
        <w:t xml:space="preserve">TRIA </w:t>
      </w:r>
      <w:r>
        <w:rPr>
          <w:rFonts w:asciiTheme="minorHAnsi" w:hAnsiTheme="minorHAnsi" w:cstheme="minorHAnsi"/>
          <w:sz w:val="22"/>
          <w:szCs w:val="22"/>
        </w:rPr>
        <w:t>Filing (Microsoft Access)</w:t>
      </w:r>
    </w:p>
    <w:p w14:paraId="55ABC86B" w14:textId="77AF568F" w:rsidR="00BC4E99" w:rsidRDefault="00BC4E99" w:rsidP="00131C91">
      <w:pPr>
        <w:pStyle w:val="ListParagraph"/>
        <w:numPr>
          <w:ilvl w:val="0"/>
          <w:numId w:val="5"/>
        </w:numPr>
        <w:spacing w:after="60"/>
        <w:jc w:val="both"/>
        <w:rPr>
          <w:rFonts w:asciiTheme="minorHAnsi" w:hAnsiTheme="minorHAnsi" w:cstheme="minorBidi"/>
          <w:sz w:val="22"/>
          <w:szCs w:val="22"/>
        </w:rPr>
      </w:pPr>
      <w:r w:rsidRPr="348A41FB">
        <w:rPr>
          <w:rFonts w:asciiTheme="minorHAnsi" w:hAnsiTheme="minorHAnsi" w:cstheme="minorBidi"/>
          <w:sz w:val="22"/>
          <w:szCs w:val="22"/>
        </w:rPr>
        <w:t>Audited Financial Report</w:t>
      </w:r>
    </w:p>
    <w:p w14:paraId="6B5EB456" w14:textId="23773E40" w:rsidR="00BC4E99" w:rsidRDefault="00BC4E99" w:rsidP="00131C91">
      <w:pPr>
        <w:pStyle w:val="ListParagraph"/>
        <w:numPr>
          <w:ilvl w:val="0"/>
          <w:numId w:val="5"/>
        </w:numPr>
        <w:spacing w:after="60"/>
        <w:contextualSpacing w:val="0"/>
        <w:jc w:val="both"/>
        <w:rPr>
          <w:rFonts w:asciiTheme="minorHAnsi" w:hAnsiTheme="minorHAnsi" w:cstheme="minorHAnsi"/>
          <w:sz w:val="22"/>
          <w:szCs w:val="22"/>
        </w:rPr>
      </w:pPr>
      <w:r>
        <w:rPr>
          <w:rFonts w:asciiTheme="minorHAnsi" w:hAnsiTheme="minorHAnsi" w:cstheme="minorHAnsi"/>
          <w:sz w:val="22"/>
          <w:szCs w:val="22"/>
        </w:rPr>
        <w:t>Business Plan</w:t>
      </w:r>
      <w:r w:rsidR="00332B7C">
        <w:rPr>
          <w:rFonts w:asciiTheme="minorHAnsi" w:hAnsiTheme="minorHAnsi" w:cstheme="minorHAnsi"/>
          <w:sz w:val="22"/>
          <w:szCs w:val="22"/>
        </w:rPr>
        <w:t xml:space="preserve"> (See Attachment A)</w:t>
      </w:r>
    </w:p>
    <w:p w14:paraId="643B8A9B" w14:textId="7CDD821B" w:rsidR="000D25E0" w:rsidRDefault="000D25E0" w:rsidP="00131C91">
      <w:pPr>
        <w:pStyle w:val="ListParagraph"/>
        <w:numPr>
          <w:ilvl w:val="0"/>
          <w:numId w:val="5"/>
        </w:numPr>
        <w:spacing w:after="60"/>
        <w:contextualSpacing w:val="0"/>
        <w:jc w:val="both"/>
        <w:rPr>
          <w:rFonts w:asciiTheme="minorHAnsi" w:hAnsiTheme="minorHAnsi" w:cstheme="minorHAnsi"/>
          <w:sz w:val="22"/>
          <w:szCs w:val="22"/>
        </w:rPr>
      </w:pPr>
      <w:r w:rsidRPr="0062100F">
        <w:rPr>
          <w:rFonts w:asciiTheme="minorHAnsi" w:hAnsiTheme="minorHAnsi" w:cstheme="minorHAnsi"/>
          <w:sz w:val="22"/>
          <w:szCs w:val="22"/>
        </w:rPr>
        <w:t xml:space="preserve">Actuarial </w:t>
      </w:r>
      <w:r>
        <w:rPr>
          <w:rFonts w:asciiTheme="minorHAnsi" w:hAnsiTheme="minorHAnsi" w:cstheme="minorHAnsi"/>
          <w:sz w:val="22"/>
          <w:szCs w:val="22"/>
        </w:rPr>
        <w:t>Report</w:t>
      </w:r>
      <w:r w:rsidR="00167453">
        <w:rPr>
          <w:rFonts w:asciiTheme="minorHAnsi" w:hAnsiTheme="minorHAnsi" w:cstheme="minorHAnsi"/>
          <w:sz w:val="22"/>
          <w:szCs w:val="22"/>
        </w:rPr>
        <w:t xml:space="preserve">, </w:t>
      </w:r>
      <w:r w:rsidRPr="0062100F">
        <w:rPr>
          <w:rFonts w:asciiTheme="minorHAnsi" w:hAnsiTheme="minorHAnsi" w:cstheme="minorHAnsi"/>
          <w:sz w:val="22"/>
          <w:szCs w:val="22"/>
        </w:rPr>
        <w:t>including Loss Reserves Certification</w:t>
      </w:r>
      <w:r w:rsidR="00FB1A8E">
        <w:rPr>
          <w:rFonts w:asciiTheme="minorHAnsi" w:hAnsiTheme="minorHAnsi" w:cstheme="minorHAnsi"/>
          <w:sz w:val="22"/>
          <w:szCs w:val="22"/>
        </w:rPr>
        <w:t xml:space="preserve"> </w:t>
      </w:r>
      <w:r w:rsidR="00167453">
        <w:rPr>
          <w:rFonts w:asciiTheme="minorHAnsi" w:hAnsiTheme="minorHAnsi" w:cstheme="minorHAnsi"/>
          <w:sz w:val="22"/>
          <w:szCs w:val="22"/>
        </w:rPr>
        <w:t>(</w:t>
      </w:r>
      <w:r w:rsidR="00FB1A8E">
        <w:rPr>
          <w:rFonts w:asciiTheme="minorHAnsi" w:hAnsiTheme="minorHAnsi" w:cstheme="minorHAnsi"/>
          <w:sz w:val="22"/>
          <w:szCs w:val="22"/>
        </w:rPr>
        <w:t>See Attachment B</w:t>
      </w:r>
      <w:r w:rsidR="00167453">
        <w:rPr>
          <w:rFonts w:asciiTheme="minorHAnsi" w:hAnsiTheme="minorHAnsi" w:cstheme="minorHAnsi"/>
          <w:sz w:val="22"/>
          <w:szCs w:val="22"/>
        </w:rPr>
        <w:t>)</w:t>
      </w:r>
    </w:p>
    <w:p w14:paraId="4C6A7C4F" w14:textId="3C4E24F0" w:rsidR="00BC4E99" w:rsidRDefault="00BC4E99" w:rsidP="00131C91">
      <w:pPr>
        <w:pStyle w:val="ListParagraph"/>
        <w:numPr>
          <w:ilvl w:val="0"/>
          <w:numId w:val="5"/>
        </w:numPr>
        <w:spacing w:after="60"/>
        <w:contextualSpacing w:val="0"/>
        <w:jc w:val="both"/>
        <w:rPr>
          <w:rFonts w:asciiTheme="minorHAnsi" w:hAnsiTheme="minorHAnsi" w:cstheme="minorHAnsi"/>
          <w:sz w:val="22"/>
          <w:szCs w:val="22"/>
        </w:rPr>
      </w:pPr>
      <w:r>
        <w:rPr>
          <w:rFonts w:asciiTheme="minorHAnsi" w:hAnsiTheme="minorHAnsi" w:cstheme="minorHAnsi"/>
          <w:sz w:val="22"/>
          <w:szCs w:val="22"/>
        </w:rPr>
        <w:t>Biographical Affidavits</w:t>
      </w:r>
      <w:r w:rsidR="00CB3EF7">
        <w:rPr>
          <w:rFonts w:asciiTheme="minorHAnsi" w:hAnsiTheme="minorHAnsi" w:cstheme="minorHAnsi"/>
          <w:sz w:val="22"/>
          <w:szCs w:val="22"/>
        </w:rPr>
        <w:t xml:space="preserve"> (All key officers/directors</w:t>
      </w:r>
      <w:r w:rsidR="006D2B94">
        <w:rPr>
          <w:rFonts w:asciiTheme="minorHAnsi" w:hAnsiTheme="minorHAnsi" w:cstheme="minorHAnsi"/>
          <w:sz w:val="22"/>
          <w:szCs w:val="22"/>
        </w:rPr>
        <w:t xml:space="preserve"> of the applicant plus</w:t>
      </w:r>
      <w:r w:rsidR="00972E50">
        <w:rPr>
          <w:rFonts w:asciiTheme="minorHAnsi" w:hAnsiTheme="minorHAnsi" w:cstheme="minorHAnsi"/>
          <w:sz w:val="22"/>
          <w:szCs w:val="22"/>
        </w:rPr>
        <w:t xml:space="preserve"> affidavits for</w:t>
      </w:r>
      <w:r w:rsidR="006D2B94">
        <w:rPr>
          <w:rFonts w:asciiTheme="minorHAnsi" w:hAnsiTheme="minorHAnsi" w:cstheme="minorHAnsi"/>
          <w:sz w:val="22"/>
          <w:szCs w:val="22"/>
        </w:rPr>
        <w:t xml:space="preserve"> </w:t>
      </w:r>
      <w:r w:rsidR="00C309A7">
        <w:rPr>
          <w:rFonts w:asciiTheme="minorHAnsi" w:hAnsiTheme="minorHAnsi" w:cstheme="minorHAnsi"/>
          <w:sz w:val="22"/>
          <w:szCs w:val="22"/>
        </w:rPr>
        <w:t xml:space="preserve">any </w:t>
      </w:r>
      <w:r w:rsidR="00972E50">
        <w:rPr>
          <w:rFonts w:asciiTheme="minorHAnsi" w:hAnsiTheme="minorHAnsi" w:cstheme="minorHAnsi"/>
          <w:sz w:val="22"/>
          <w:szCs w:val="22"/>
        </w:rPr>
        <w:t>officers/directors</w:t>
      </w:r>
      <w:r w:rsidR="00842E9A">
        <w:rPr>
          <w:rFonts w:asciiTheme="minorHAnsi" w:hAnsiTheme="minorHAnsi" w:cstheme="minorHAnsi"/>
          <w:sz w:val="22"/>
          <w:szCs w:val="22"/>
        </w:rPr>
        <w:t xml:space="preserve"> that </w:t>
      </w:r>
      <w:r w:rsidR="00A30C5E">
        <w:rPr>
          <w:rFonts w:asciiTheme="minorHAnsi" w:hAnsiTheme="minorHAnsi" w:cstheme="minorHAnsi"/>
          <w:sz w:val="22"/>
          <w:szCs w:val="22"/>
        </w:rPr>
        <w:t>provide direction of operations</w:t>
      </w:r>
      <w:r w:rsidR="00972E50">
        <w:rPr>
          <w:rFonts w:asciiTheme="minorHAnsi" w:hAnsiTheme="minorHAnsi" w:cstheme="minorHAnsi"/>
          <w:sz w:val="22"/>
          <w:szCs w:val="22"/>
        </w:rPr>
        <w:t xml:space="preserve"> within</w:t>
      </w:r>
      <w:r w:rsidR="00A30C5E">
        <w:rPr>
          <w:rFonts w:asciiTheme="minorHAnsi" w:hAnsiTheme="minorHAnsi" w:cstheme="minorHAnsi"/>
          <w:sz w:val="22"/>
          <w:szCs w:val="22"/>
        </w:rPr>
        <w:t xml:space="preserve"> any</w:t>
      </w:r>
      <w:r w:rsidR="00972E50">
        <w:rPr>
          <w:rFonts w:asciiTheme="minorHAnsi" w:hAnsiTheme="minorHAnsi" w:cstheme="minorHAnsi"/>
          <w:sz w:val="22"/>
          <w:szCs w:val="22"/>
        </w:rPr>
        <w:t xml:space="preserve"> </w:t>
      </w:r>
      <w:r w:rsidR="00374210">
        <w:rPr>
          <w:rFonts w:asciiTheme="minorHAnsi" w:hAnsiTheme="minorHAnsi" w:cstheme="minorHAnsi"/>
          <w:sz w:val="22"/>
          <w:szCs w:val="22"/>
        </w:rPr>
        <w:t>immediate, intermediate, or</w:t>
      </w:r>
      <w:r w:rsidR="00DE7571">
        <w:rPr>
          <w:rFonts w:asciiTheme="minorHAnsi" w:hAnsiTheme="minorHAnsi" w:cstheme="minorHAnsi"/>
          <w:sz w:val="22"/>
          <w:szCs w:val="22"/>
        </w:rPr>
        <w:t xml:space="preserve"> the</w:t>
      </w:r>
      <w:r w:rsidR="00374210">
        <w:rPr>
          <w:rFonts w:asciiTheme="minorHAnsi" w:hAnsiTheme="minorHAnsi" w:cstheme="minorHAnsi"/>
          <w:sz w:val="22"/>
          <w:szCs w:val="22"/>
        </w:rPr>
        <w:t xml:space="preserve"> ultimate </w:t>
      </w:r>
      <w:r w:rsidR="00842E9A">
        <w:rPr>
          <w:rFonts w:asciiTheme="minorHAnsi" w:hAnsiTheme="minorHAnsi" w:cstheme="minorHAnsi"/>
          <w:sz w:val="22"/>
          <w:szCs w:val="22"/>
        </w:rPr>
        <w:t>holding compan</w:t>
      </w:r>
      <w:r w:rsidR="00FB633E">
        <w:rPr>
          <w:rFonts w:asciiTheme="minorHAnsi" w:hAnsiTheme="minorHAnsi" w:cstheme="minorHAnsi"/>
          <w:sz w:val="22"/>
          <w:szCs w:val="22"/>
        </w:rPr>
        <w:t>y</w:t>
      </w:r>
      <w:r w:rsidR="00CB3EF7">
        <w:rPr>
          <w:rFonts w:asciiTheme="minorHAnsi" w:hAnsiTheme="minorHAnsi" w:cstheme="minorHAnsi"/>
          <w:sz w:val="22"/>
          <w:szCs w:val="22"/>
        </w:rPr>
        <w:t>)</w:t>
      </w:r>
    </w:p>
    <w:p w14:paraId="232637D0" w14:textId="7086AED4" w:rsidR="00BC4E99" w:rsidRDefault="00BC4E99" w:rsidP="00131C91">
      <w:pPr>
        <w:pStyle w:val="ListParagraph"/>
        <w:numPr>
          <w:ilvl w:val="0"/>
          <w:numId w:val="5"/>
        </w:numPr>
        <w:spacing w:after="60"/>
        <w:contextualSpacing w:val="0"/>
        <w:jc w:val="both"/>
        <w:rPr>
          <w:rFonts w:asciiTheme="minorHAnsi" w:hAnsiTheme="minorHAnsi" w:cstheme="minorHAnsi"/>
          <w:sz w:val="22"/>
          <w:szCs w:val="22"/>
        </w:rPr>
      </w:pPr>
      <w:r>
        <w:rPr>
          <w:rFonts w:asciiTheme="minorHAnsi" w:hAnsiTheme="minorHAnsi" w:cstheme="minorHAnsi"/>
          <w:sz w:val="22"/>
          <w:szCs w:val="22"/>
        </w:rPr>
        <w:t xml:space="preserve">Certificate of </w:t>
      </w:r>
      <w:r w:rsidR="00822CE5">
        <w:rPr>
          <w:rFonts w:asciiTheme="minorHAnsi" w:hAnsiTheme="minorHAnsi" w:cstheme="minorHAnsi"/>
          <w:sz w:val="22"/>
          <w:szCs w:val="22"/>
        </w:rPr>
        <w:t>Registra</w:t>
      </w:r>
      <w:r w:rsidR="00C32D41">
        <w:rPr>
          <w:rFonts w:asciiTheme="minorHAnsi" w:hAnsiTheme="minorHAnsi" w:cstheme="minorHAnsi"/>
          <w:sz w:val="22"/>
          <w:szCs w:val="22"/>
        </w:rPr>
        <w:t>tion</w:t>
      </w:r>
    </w:p>
    <w:p w14:paraId="62772515" w14:textId="7A7BC00D" w:rsidR="00BC4E99" w:rsidRDefault="00FD257C" w:rsidP="00131C91">
      <w:pPr>
        <w:pStyle w:val="ListParagraph"/>
        <w:numPr>
          <w:ilvl w:val="0"/>
          <w:numId w:val="5"/>
        </w:numPr>
        <w:spacing w:after="60"/>
        <w:contextualSpacing w:val="0"/>
        <w:jc w:val="both"/>
        <w:rPr>
          <w:rFonts w:asciiTheme="minorHAnsi" w:hAnsiTheme="minorHAnsi" w:cstheme="minorHAnsi"/>
          <w:sz w:val="22"/>
          <w:szCs w:val="22"/>
        </w:rPr>
      </w:pPr>
      <w:r>
        <w:rPr>
          <w:rFonts w:asciiTheme="minorHAnsi" w:hAnsiTheme="minorHAnsi" w:cstheme="minorHAnsi"/>
          <w:sz w:val="22"/>
          <w:szCs w:val="22"/>
        </w:rPr>
        <w:t>Trust Agreement</w:t>
      </w:r>
      <w:r w:rsidR="00864085">
        <w:rPr>
          <w:rFonts w:asciiTheme="minorHAnsi" w:hAnsiTheme="minorHAnsi" w:cstheme="minorHAnsi"/>
          <w:sz w:val="22"/>
          <w:szCs w:val="22"/>
        </w:rPr>
        <w:t xml:space="preserve"> for Alien Excess </w:t>
      </w:r>
      <w:r w:rsidR="00130117">
        <w:rPr>
          <w:rFonts w:asciiTheme="minorHAnsi" w:hAnsiTheme="minorHAnsi" w:cstheme="minorHAnsi"/>
          <w:sz w:val="22"/>
          <w:szCs w:val="22"/>
        </w:rPr>
        <w:t>or Surplus Lines Insurers</w:t>
      </w:r>
      <w:r w:rsidR="007C0DCD">
        <w:rPr>
          <w:rFonts w:asciiTheme="minorHAnsi" w:hAnsiTheme="minorHAnsi" w:cstheme="minorHAnsi"/>
          <w:sz w:val="22"/>
          <w:szCs w:val="22"/>
        </w:rPr>
        <w:t xml:space="preserve"> (</w:t>
      </w:r>
      <w:r w:rsidR="00A75BEE">
        <w:rPr>
          <w:rFonts w:asciiTheme="minorHAnsi" w:hAnsiTheme="minorHAnsi" w:cstheme="minorHAnsi"/>
          <w:sz w:val="22"/>
          <w:szCs w:val="22"/>
        </w:rPr>
        <w:t>Executed prior to admittance)</w:t>
      </w:r>
    </w:p>
    <w:p w14:paraId="1B715443" w14:textId="2FF8CC57" w:rsidR="008F0FCD" w:rsidRPr="0062100F" w:rsidRDefault="008F0FCD" w:rsidP="00131C91">
      <w:pPr>
        <w:pStyle w:val="ListParagraph"/>
        <w:numPr>
          <w:ilvl w:val="0"/>
          <w:numId w:val="5"/>
        </w:numPr>
        <w:spacing w:after="60"/>
        <w:contextualSpacing w:val="0"/>
        <w:jc w:val="both"/>
        <w:rPr>
          <w:rFonts w:asciiTheme="minorHAnsi" w:hAnsiTheme="minorHAnsi" w:cstheme="minorHAnsi"/>
          <w:sz w:val="22"/>
          <w:szCs w:val="22"/>
        </w:rPr>
      </w:pPr>
      <w:r>
        <w:rPr>
          <w:rFonts w:asciiTheme="minorHAnsi" w:hAnsiTheme="minorHAnsi" w:cstheme="minorHAnsi"/>
          <w:sz w:val="22"/>
          <w:szCs w:val="22"/>
        </w:rPr>
        <w:t>Any Other Supplement</w:t>
      </w:r>
      <w:r w:rsidR="006417AB">
        <w:rPr>
          <w:rFonts w:asciiTheme="minorHAnsi" w:hAnsiTheme="minorHAnsi" w:cstheme="minorHAnsi"/>
          <w:sz w:val="22"/>
          <w:szCs w:val="22"/>
        </w:rPr>
        <w:t>al</w:t>
      </w:r>
      <w:r>
        <w:rPr>
          <w:rFonts w:asciiTheme="minorHAnsi" w:hAnsiTheme="minorHAnsi" w:cstheme="minorHAnsi"/>
          <w:sz w:val="22"/>
          <w:szCs w:val="22"/>
        </w:rPr>
        <w:t xml:space="preserve"> Documents (e.g., </w:t>
      </w:r>
      <w:r w:rsidR="00C06A79">
        <w:rPr>
          <w:rFonts w:asciiTheme="minorHAnsi" w:hAnsiTheme="minorHAnsi" w:cstheme="minorHAnsi"/>
          <w:sz w:val="22"/>
          <w:szCs w:val="22"/>
        </w:rPr>
        <w:t xml:space="preserve">Additional </w:t>
      </w:r>
      <w:r w:rsidR="00A21617">
        <w:rPr>
          <w:rFonts w:asciiTheme="minorHAnsi" w:hAnsiTheme="minorHAnsi" w:cstheme="minorHAnsi"/>
          <w:sz w:val="22"/>
          <w:szCs w:val="22"/>
        </w:rPr>
        <w:t>financial statements</w:t>
      </w:r>
      <w:r w:rsidR="005E4CF1">
        <w:rPr>
          <w:rFonts w:asciiTheme="minorHAnsi" w:hAnsiTheme="minorHAnsi" w:cstheme="minorHAnsi"/>
          <w:sz w:val="22"/>
          <w:szCs w:val="22"/>
        </w:rPr>
        <w:t xml:space="preserve"> or Organizational Charts</w:t>
      </w:r>
      <w:r>
        <w:rPr>
          <w:rFonts w:asciiTheme="minorHAnsi" w:hAnsiTheme="minorHAnsi" w:cstheme="minorHAnsi"/>
          <w:sz w:val="22"/>
          <w:szCs w:val="22"/>
        </w:rPr>
        <w:t>)</w:t>
      </w:r>
    </w:p>
    <w:p w14:paraId="1BA0C21F" w14:textId="0143EB78" w:rsidR="0052618E" w:rsidRDefault="0052618E" w:rsidP="00300287">
      <w:pPr>
        <w:rPr>
          <w:rFonts w:asciiTheme="minorHAnsi" w:hAnsiTheme="minorHAnsi" w:cstheme="minorHAnsi"/>
          <w:b/>
          <w:bCs/>
          <w:sz w:val="22"/>
          <w:szCs w:val="22"/>
          <w:u w:val="single"/>
        </w:rPr>
      </w:pPr>
    </w:p>
    <w:p w14:paraId="7C2E30F8" w14:textId="57A65E32" w:rsidR="00864B26" w:rsidRPr="008E4659" w:rsidRDefault="002B7403" w:rsidP="00131C91">
      <w:pPr>
        <w:jc w:val="both"/>
        <w:rPr>
          <w:rFonts w:asciiTheme="minorHAnsi" w:hAnsiTheme="minorHAnsi" w:cstheme="minorHAnsi"/>
          <w:sz w:val="22"/>
          <w:szCs w:val="22"/>
        </w:rPr>
      </w:pPr>
      <w:r>
        <w:rPr>
          <w:rFonts w:asciiTheme="minorHAnsi" w:hAnsiTheme="minorHAnsi" w:cstheme="minorHAnsi"/>
          <w:sz w:val="22"/>
          <w:szCs w:val="22"/>
        </w:rPr>
        <w:t>S</w:t>
      </w:r>
      <w:r w:rsidR="00864B26" w:rsidRPr="008E4659">
        <w:rPr>
          <w:rFonts w:asciiTheme="minorHAnsi" w:hAnsiTheme="minorHAnsi" w:cstheme="minorHAnsi"/>
          <w:sz w:val="22"/>
          <w:szCs w:val="22"/>
        </w:rPr>
        <w:t xml:space="preserve">ubmission of all required documentation and payment of the fee </w:t>
      </w:r>
      <w:r w:rsidR="00CD30B8">
        <w:rPr>
          <w:rFonts w:asciiTheme="minorHAnsi" w:hAnsiTheme="minorHAnsi" w:cstheme="minorHAnsi"/>
          <w:sz w:val="22"/>
          <w:szCs w:val="22"/>
        </w:rPr>
        <w:t xml:space="preserve">within </w:t>
      </w:r>
      <w:hyperlink r:id="rId12" w:history="1">
        <w:r w:rsidR="00576870">
          <w:rPr>
            <w:rStyle w:val="Hyperlink"/>
            <w:rFonts w:asciiTheme="minorHAnsi" w:hAnsiTheme="minorHAnsi" w:cstheme="minorHAnsi"/>
            <w:sz w:val="22"/>
            <w:szCs w:val="22"/>
          </w:rPr>
          <w:t>OPTins</w:t>
        </w:r>
      </w:hyperlink>
      <w:r w:rsidR="00864B26" w:rsidRPr="008E4659">
        <w:rPr>
          <w:rFonts w:asciiTheme="minorHAnsi" w:hAnsiTheme="minorHAnsi" w:cstheme="minorHAnsi"/>
          <w:sz w:val="22"/>
          <w:szCs w:val="22"/>
        </w:rPr>
        <w:t xml:space="preserve"> must be made before an application </w:t>
      </w:r>
      <w:r w:rsidR="00C732C4">
        <w:rPr>
          <w:rFonts w:asciiTheme="minorHAnsi" w:hAnsiTheme="minorHAnsi" w:cstheme="minorHAnsi"/>
          <w:sz w:val="22"/>
          <w:szCs w:val="22"/>
        </w:rPr>
        <w:t>is</w:t>
      </w:r>
      <w:r w:rsidR="00864B26" w:rsidRPr="008E4659">
        <w:rPr>
          <w:rFonts w:asciiTheme="minorHAnsi" w:hAnsiTheme="minorHAnsi" w:cstheme="minorHAnsi"/>
          <w:sz w:val="22"/>
          <w:szCs w:val="22"/>
        </w:rPr>
        <w:t xml:space="preserve"> considered (</w:t>
      </w:r>
      <w:r w:rsidR="00864B26" w:rsidRPr="008E4659">
        <w:rPr>
          <w:rFonts w:asciiTheme="minorHAnsi" w:hAnsiTheme="minorHAnsi" w:cstheme="minorHAnsi"/>
          <w:b/>
          <w:bCs/>
          <w:sz w:val="22"/>
          <w:szCs w:val="22"/>
        </w:rPr>
        <w:t>See</w:t>
      </w:r>
      <w:r w:rsidR="00864B26" w:rsidRPr="008E4659">
        <w:rPr>
          <w:rFonts w:asciiTheme="minorHAnsi" w:hAnsiTheme="minorHAnsi" w:cstheme="minorHAnsi"/>
          <w:sz w:val="22"/>
          <w:szCs w:val="22"/>
        </w:rPr>
        <w:t xml:space="preserve"> </w:t>
      </w:r>
      <w:hyperlink r:id="rId13" w:history="1">
        <w:r w:rsidR="00EF3149" w:rsidRPr="008E4659">
          <w:rPr>
            <w:rStyle w:val="Hyperlink"/>
            <w:rFonts w:asciiTheme="minorHAnsi" w:hAnsiTheme="minorHAnsi" w:cstheme="minorHAnsi"/>
            <w:sz w:val="22"/>
            <w:szCs w:val="22"/>
          </w:rPr>
          <w:t>IID Plan of Operation</w:t>
        </w:r>
      </w:hyperlink>
      <w:r w:rsidR="00864B26" w:rsidRPr="008E4659">
        <w:rPr>
          <w:rFonts w:asciiTheme="minorHAnsi" w:hAnsiTheme="minorHAnsi" w:cstheme="minorHAnsi"/>
          <w:b/>
          <w:bCs/>
          <w:i/>
          <w:iCs/>
          <w:sz w:val="22"/>
          <w:szCs w:val="22"/>
        </w:rPr>
        <w:t xml:space="preserve">, Section I – </w:t>
      </w:r>
      <w:r w:rsidR="00EF3149" w:rsidRPr="008E4659">
        <w:rPr>
          <w:rFonts w:asciiTheme="minorHAnsi" w:hAnsiTheme="minorHAnsi" w:cstheme="minorHAnsi"/>
          <w:b/>
          <w:bCs/>
          <w:i/>
          <w:iCs/>
          <w:sz w:val="22"/>
          <w:szCs w:val="22"/>
        </w:rPr>
        <w:t>Application Process</w:t>
      </w:r>
      <w:r w:rsidR="00864B26" w:rsidRPr="008E4659">
        <w:rPr>
          <w:rFonts w:asciiTheme="minorHAnsi" w:hAnsiTheme="minorHAnsi" w:cstheme="minorHAnsi"/>
          <w:sz w:val="22"/>
          <w:szCs w:val="22"/>
        </w:rPr>
        <w:t xml:space="preserve">). </w:t>
      </w:r>
      <w:r w:rsidR="000E52F5" w:rsidRPr="008E4659">
        <w:rPr>
          <w:rFonts w:asciiTheme="minorHAnsi" w:hAnsiTheme="minorHAnsi" w:cstheme="minorHAnsi"/>
          <w:sz w:val="22"/>
          <w:szCs w:val="22"/>
        </w:rPr>
        <w:t xml:space="preserve">The </w:t>
      </w:r>
      <w:r w:rsidR="00FE025A" w:rsidRPr="008E4659">
        <w:rPr>
          <w:rFonts w:asciiTheme="minorHAnsi" w:hAnsiTheme="minorHAnsi" w:cstheme="minorHAnsi"/>
          <w:sz w:val="22"/>
          <w:szCs w:val="22"/>
        </w:rPr>
        <w:t xml:space="preserve">application </w:t>
      </w:r>
      <w:r w:rsidR="000E52F5" w:rsidRPr="008E4659">
        <w:rPr>
          <w:rFonts w:asciiTheme="minorHAnsi" w:hAnsiTheme="minorHAnsi" w:cstheme="minorHAnsi"/>
          <w:sz w:val="22"/>
          <w:szCs w:val="22"/>
        </w:rPr>
        <w:t xml:space="preserve">fee is </w:t>
      </w:r>
      <w:r w:rsidR="00864B26" w:rsidRPr="008E4659">
        <w:rPr>
          <w:rFonts w:asciiTheme="minorHAnsi" w:hAnsiTheme="minorHAnsi" w:cstheme="minorHAnsi"/>
          <w:sz w:val="22"/>
          <w:szCs w:val="22"/>
        </w:rPr>
        <w:t>$</w:t>
      </w:r>
      <w:r w:rsidR="00FE025A" w:rsidRPr="008E4659">
        <w:rPr>
          <w:rFonts w:asciiTheme="minorHAnsi" w:hAnsiTheme="minorHAnsi" w:cstheme="minorHAnsi"/>
          <w:sz w:val="22"/>
          <w:szCs w:val="22"/>
        </w:rPr>
        <w:t>10</w:t>
      </w:r>
      <w:r w:rsidR="00864B26" w:rsidRPr="008E4659">
        <w:rPr>
          <w:rFonts w:asciiTheme="minorHAnsi" w:hAnsiTheme="minorHAnsi" w:cstheme="minorHAnsi"/>
          <w:sz w:val="22"/>
          <w:szCs w:val="22"/>
        </w:rPr>
        <w:t>,</w:t>
      </w:r>
      <w:r w:rsidR="00FE025A" w:rsidRPr="008E4659">
        <w:rPr>
          <w:rFonts w:asciiTheme="minorHAnsi" w:hAnsiTheme="minorHAnsi" w:cstheme="minorHAnsi"/>
          <w:sz w:val="22"/>
          <w:szCs w:val="22"/>
        </w:rPr>
        <w:t>124</w:t>
      </w:r>
      <w:r w:rsidR="000E52F5" w:rsidRPr="008E4659">
        <w:rPr>
          <w:rFonts w:asciiTheme="minorHAnsi" w:hAnsiTheme="minorHAnsi" w:cstheme="minorHAnsi"/>
          <w:sz w:val="22"/>
          <w:szCs w:val="22"/>
        </w:rPr>
        <w:t>.</w:t>
      </w:r>
    </w:p>
    <w:p w14:paraId="60076CB8" w14:textId="36677FA7" w:rsidR="00014BEE" w:rsidRPr="008E4659" w:rsidRDefault="00014BEE" w:rsidP="0008203E">
      <w:pPr>
        <w:rPr>
          <w:rFonts w:asciiTheme="minorHAnsi" w:hAnsiTheme="minorHAnsi" w:cstheme="minorHAnsi"/>
          <w:sz w:val="22"/>
          <w:szCs w:val="22"/>
        </w:rPr>
      </w:pPr>
    </w:p>
    <w:p w14:paraId="3B98FD37" w14:textId="6E035ED1" w:rsidR="001509CD" w:rsidRDefault="001509CD" w:rsidP="00131C91">
      <w:pPr>
        <w:jc w:val="both"/>
        <w:rPr>
          <w:rFonts w:asciiTheme="minorHAnsi" w:hAnsiTheme="minorHAnsi" w:cstheme="minorHAnsi"/>
          <w:sz w:val="22"/>
          <w:szCs w:val="22"/>
        </w:rPr>
      </w:pPr>
      <w:r w:rsidRPr="008E4659">
        <w:rPr>
          <w:rFonts w:asciiTheme="minorHAnsi" w:hAnsiTheme="minorHAnsi" w:cstheme="minorHAnsi"/>
          <w:sz w:val="22"/>
          <w:szCs w:val="22"/>
        </w:rPr>
        <w:t xml:space="preserve">Questions may be directed to Andy Daleo, Senior P/C Financial Analysis Manager, </w:t>
      </w:r>
      <w:hyperlink r:id="rId14" w:history="1">
        <w:r w:rsidRPr="008E4659">
          <w:rPr>
            <w:rStyle w:val="Hyperlink"/>
            <w:rFonts w:asciiTheme="minorHAnsi" w:hAnsiTheme="minorHAnsi" w:cstheme="minorHAnsi"/>
            <w:sz w:val="22"/>
            <w:szCs w:val="22"/>
          </w:rPr>
          <w:t>adaleo@naic.org</w:t>
        </w:r>
      </w:hyperlink>
      <w:r w:rsidRPr="008E4659">
        <w:rPr>
          <w:rFonts w:asciiTheme="minorHAnsi" w:hAnsiTheme="minorHAnsi" w:cstheme="minorHAnsi"/>
          <w:sz w:val="22"/>
          <w:szCs w:val="22"/>
        </w:rPr>
        <w:t>.</w:t>
      </w:r>
    </w:p>
    <w:p w14:paraId="684C1820" w14:textId="77777777" w:rsidR="00E42AED" w:rsidRDefault="00E42AED" w:rsidP="00300287">
      <w:pPr>
        <w:rPr>
          <w:rFonts w:asciiTheme="minorHAnsi" w:hAnsiTheme="minorHAnsi" w:cstheme="minorHAnsi"/>
          <w:sz w:val="22"/>
          <w:szCs w:val="22"/>
        </w:rPr>
      </w:pPr>
    </w:p>
    <w:p w14:paraId="091ADD5E" w14:textId="77777777" w:rsidR="00232C0B" w:rsidRDefault="00232C0B">
      <w:pPr>
        <w:rPr>
          <w:rFonts w:asciiTheme="minorHAnsi" w:hAnsiTheme="minorHAnsi" w:cstheme="minorHAnsi"/>
          <w:sz w:val="22"/>
          <w:szCs w:val="22"/>
        </w:rPr>
        <w:sectPr w:rsidR="00232C0B" w:rsidSect="00FE11A7">
          <w:headerReference w:type="default" r:id="rId15"/>
          <w:footerReference w:type="even" r:id="rId16"/>
          <w:footerReference w:type="default" r:id="rId17"/>
          <w:headerReference w:type="first" r:id="rId18"/>
          <w:footerReference w:type="first" r:id="rId19"/>
          <w:pgSz w:w="12240" w:h="15840" w:code="1"/>
          <w:pgMar w:top="1080" w:right="1080" w:bottom="1080" w:left="1080" w:header="720" w:footer="303" w:gutter="0"/>
          <w:cols w:space="720"/>
          <w:titlePg/>
          <w:docGrid w:linePitch="272"/>
        </w:sectPr>
      </w:pPr>
    </w:p>
    <w:p w14:paraId="0708E0F8" w14:textId="77777777" w:rsidR="00933938" w:rsidRDefault="00933938">
      <w:pPr>
        <w:rPr>
          <w:rFonts w:asciiTheme="minorHAnsi" w:hAnsiTheme="minorHAnsi" w:cstheme="minorHAnsi"/>
          <w:sz w:val="22"/>
          <w:szCs w:val="22"/>
        </w:rPr>
      </w:pPr>
    </w:p>
    <w:p w14:paraId="61F6499C" w14:textId="5FC10038" w:rsidR="00B4389F" w:rsidRPr="00B4389F" w:rsidRDefault="00B4389F" w:rsidP="00347B38">
      <w:pPr>
        <w:numPr>
          <w:ilvl w:val="0"/>
          <w:numId w:val="6"/>
        </w:numPr>
        <w:spacing w:after="120"/>
        <w:jc w:val="both"/>
        <w:rPr>
          <w:rFonts w:ascii="Calibri" w:eastAsia="Calibri" w:hAnsi="Calibri"/>
          <w:sz w:val="22"/>
          <w:szCs w:val="22"/>
        </w:rPr>
      </w:pPr>
      <w:r w:rsidRPr="00B4389F">
        <w:rPr>
          <w:rFonts w:ascii="Calibri" w:eastAsia="Calibri" w:hAnsi="Calibri"/>
          <w:sz w:val="22"/>
          <w:szCs w:val="22"/>
        </w:rPr>
        <w:t>Description of the applicant, including, but not limited to the following:</w:t>
      </w:r>
    </w:p>
    <w:p w14:paraId="4072C01C" w14:textId="77777777"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History of the company formation (including any name changes and/or mergers and acquisitions)</w:t>
      </w:r>
    </w:p>
    <w:p w14:paraId="0D40D53B" w14:textId="77777777"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Description of holding company structure (include diagram of structure)</w:t>
      </w:r>
    </w:p>
    <w:p w14:paraId="0B40F0DC" w14:textId="77777777"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Licensure and current standing with domiciliary regulator</w:t>
      </w:r>
    </w:p>
    <w:p w14:paraId="5564D2C8" w14:textId="77777777"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Discussion of Board and management</w:t>
      </w:r>
    </w:p>
    <w:p w14:paraId="17F7189A" w14:textId="77777777" w:rsidR="00B4389F" w:rsidRPr="00B4389F" w:rsidRDefault="00B4389F" w:rsidP="00347B38">
      <w:pPr>
        <w:numPr>
          <w:ilvl w:val="1"/>
          <w:numId w:val="6"/>
        </w:numPr>
        <w:spacing w:after="220"/>
        <w:jc w:val="both"/>
        <w:rPr>
          <w:rFonts w:ascii="Calibri" w:eastAsia="Calibri" w:hAnsi="Calibri"/>
          <w:sz w:val="22"/>
          <w:szCs w:val="22"/>
        </w:rPr>
      </w:pPr>
      <w:r w:rsidRPr="00B4389F">
        <w:rPr>
          <w:rFonts w:ascii="Calibri" w:eastAsia="Calibri" w:hAnsi="Calibri"/>
          <w:sz w:val="22"/>
          <w:szCs w:val="22"/>
        </w:rPr>
        <w:t>Current business written (including details on lines of business written, geographical distribution, and specific programs written)</w:t>
      </w:r>
    </w:p>
    <w:p w14:paraId="7D778C88" w14:textId="77777777" w:rsidR="00B4389F" w:rsidRPr="00B4389F" w:rsidRDefault="00B4389F" w:rsidP="00347B38">
      <w:pPr>
        <w:numPr>
          <w:ilvl w:val="0"/>
          <w:numId w:val="6"/>
        </w:numPr>
        <w:spacing w:after="120"/>
        <w:jc w:val="both"/>
        <w:rPr>
          <w:rFonts w:ascii="Calibri" w:eastAsia="Calibri" w:hAnsi="Calibri"/>
          <w:sz w:val="22"/>
          <w:szCs w:val="22"/>
        </w:rPr>
      </w:pPr>
      <w:r w:rsidRPr="00B4389F">
        <w:rPr>
          <w:rFonts w:ascii="Calibri" w:eastAsia="Calibri" w:hAnsi="Calibri"/>
          <w:sz w:val="22"/>
          <w:szCs w:val="22"/>
        </w:rPr>
        <w:t>Discussion of proposed operations, including, but not limited to the following:</w:t>
      </w:r>
    </w:p>
    <w:p w14:paraId="6E572D46" w14:textId="44054820"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Lines of business and types of coverages planned in the U.S. and any long-range plans to add additional lines of business</w:t>
      </w:r>
    </w:p>
    <w:p w14:paraId="2170B79D" w14:textId="19ACD556"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Target market and geographic distribution</w:t>
      </w:r>
    </w:p>
    <w:p w14:paraId="7C40CC23" w14:textId="1680F253"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Method(s) of business production (e.g., independent agents or managing general agencies)</w:t>
      </w:r>
    </w:p>
    <w:p w14:paraId="5CE44D34" w14:textId="6BDD28D3"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Three-year proforma that includes proposed premium by line of business, on a global and U.S. basis.</w:t>
      </w:r>
    </w:p>
    <w:p w14:paraId="3D72B2B6" w14:textId="1E741C38" w:rsidR="00B4389F" w:rsidRPr="00B4389F" w:rsidRDefault="00B4389F" w:rsidP="00347B38">
      <w:pPr>
        <w:numPr>
          <w:ilvl w:val="1"/>
          <w:numId w:val="6"/>
        </w:numPr>
        <w:spacing w:after="220"/>
        <w:jc w:val="both"/>
        <w:rPr>
          <w:rFonts w:ascii="Calibri" w:eastAsia="Calibri" w:hAnsi="Calibri"/>
          <w:sz w:val="22"/>
          <w:szCs w:val="22"/>
        </w:rPr>
      </w:pPr>
      <w:r w:rsidRPr="00B4389F">
        <w:rPr>
          <w:rFonts w:ascii="Calibri" w:eastAsia="Calibri" w:hAnsi="Calibri"/>
          <w:sz w:val="22"/>
          <w:szCs w:val="22"/>
        </w:rPr>
        <w:t>Projections of the balance sheet and income statement results for the current and two successive years</w:t>
      </w:r>
    </w:p>
    <w:p w14:paraId="743EBC64" w14:textId="77777777" w:rsidR="00B4389F" w:rsidRPr="00B4389F" w:rsidRDefault="00B4389F" w:rsidP="00347B38">
      <w:pPr>
        <w:numPr>
          <w:ilvl w:val="0"/>
          <w:numId w:val="6"/>
        </w:numPr>
        <w:spacing w:after="120"/>
        <w:jc w:val="both"/>
        <w:rPr>
          <w:rFonts w:ascii="Calibri" w:eastAsia="Calibri" w:hAnsi="Calibri"/>
          <w:sz w:val="22"/>
          <w:szCs w:val="22"/>
        </w:rPr>
      </w:pPr>
      <w:r w:rsidRPr="00B4389F">
        <w:rPr>
          <w:rFonts w:ascii="Calibri" w:eastAsia="Calibri" w:hAnsi="Calibri"/>
          <w:sz w:val="22"/>
          <w:szCs w:val="22"/>
        </w:rPr>
        <w:t>Details on the applicant’s reinsurance program, including, but not limited to the following:</w:t>
      </w:r>
    </w:p>
    <w:p w14:paraId="25CE4516" w14:textId="77777777"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Overall reinsurance strategy</w:t>
      </w:r>
    </w:p>
    <w:p w14:paraId="753D2119" w14:textId="77777777"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Details on reinsurance agreements, including, but not limited to the following:</w:t>
      </w:r>
    </w:p>
    <w:p w14:paraId="452BC08E" w14:textId="77777777" w:rsidR="00B4389F" w:rsidRPr="00B4389F" w:rsidRDefault="00B4389F" w:rsidP="00347B38">
      <w:pPr>
        <w:numPr>
          <w:ilvl w:val="2"/>
          <w:numId w:val="6"/>
        </w:numPr>
        <w:spacing w:after="120"/>
        <w:ind w:left="1800"/>
        <w:jc w:val="both"/>
        <w:rPr>
          <w:rFonts w:ascii="Calibri" w:eastAsia="Calibri" w:hAnsi="Calibri"/>
          <w:sz w:val="22"/>
          <w:szCs w:val="22"/>
        </w:rPr>
      </w:pPr>
      <w:r w:rsidRPr="00B4389F">
        <w:rPr>
          <w:rFonts w:ascii="Calibri" w:eastAsia="Calibri" w:hAnsi="Calibri"/>
          <w:sz w:val="22"/>
          <w:szCs w:val="22"/>
        </w:rPr>
        <w:t>Attachment points for the types of business written</w:t>
      </w:r>
    </w:p>
    <w:p w14:paraId="3A86E6D2" w14:textId="77777777" w:rsidR="00B4389F" w:rsidRPr="00B4389F" w:rsidRDefault="00B4389F" w:rsidP="00347B38">
      <w:pPr>
        <w:numPr>
          <w:ilvl w:val="2"/>
          <w:numId w:val="6"/>
        </w:numPr>
        <w:spacing w:after="120"/>
        <w:ind w:left="1800"/>
        <w:jc w:val="both"/>
        <w:rPr>
          <w:rFonts w:ascii="Calibri" w:eastAsia="Calibri" w:hAnsi="Calibri"/>
          <w:sz w:val="22"/>
          <w:szCs w:val="22"/>
        </w:rPr>
      </w:pPr>
      <w:r w:rsidRPr="00B4389F">
        <w:rPr>
          <w:rFonts w:ascii="Calibri" w:eastAsia="Calibri" w:hAnsi="Calibri"/>
          <w:sz w:val="22"/>
          <w:szCs w:val="22"/>
        </w:rPr>
        <w:t>Maximum limit of liability per type of business written</w:t>
      </w:r>
    </w:p>
    <w:p w14:paraId="6451DAF5" w14:textId="77777777" w:rsidR="00B4389F" w:rsidRPr="00B4389F" w:rsidRDefault="00B4389F" w:rsidP="00347B38">
      <w:pPr>
        <w:numPr>
          <w:ilvl w:val="2"/>
          <w:numId w:val="6"/>
        </w:numPr>
        <w:spacing w:after="220"/>
        <w:ind w:left="1814" w:hanging="187"/>
        <w:jc w:val="both"/>
        <w:rPr>
          <w:rFonts w:ascii="Calibri" w:eastAsia="Calibri" w:hAnsi="Calibri"/>
          <w:sz w:val="22"/>
          <w:szCs w:val="22"/>
        </w:rPr>
      </w:pPr>
      <w:r w:rsidRPr="00B4389F">
        <w:rPr>
          <w:rFonts w:ascii="Calibri" w:eastAsia="Calibri" w:hAnsi="Calibri"/>
          <w:sz w:val="22"/>
          <w:szCs w:val="22"/>
        </w:rPr>
        <w:t>Retention levels by line of business</w:t>
      </w:r>
    </w:p>
    <w:p w14:paraId="3349CC96" w14:textId="77777777" w:rsidR="00B4389F" w:rsidRPr="00B4389F" w:rsidRDefault="00B4389F" w:rsidP="00347B38">
      <w:pPr>
        <w:numPr>
          <w:ilvl w:val="0"/>
          <w:numId w:val="6"/>
        </w:numPr>
        <w:spacing w:after="120"/>
        <w:jc w:val="both"/>
        <w:rPr>
          <w:rFonts w:ascii="Calibri" w:eastAsia="Calibri" w:hAnsi="Calibri"/>
          <w:sz w:val="22"/>
          <w:szCs w:val="22"/>
        </w:rPr>
      </w:pPr>
      <w:r w:rsidRPr="00B4389F">
        <w:rPr>
          <w:rFonts w:ascii="Calibri" w:eastAsia="Calibri" w:hAnsi="Calibri"/>
          <w:sz w:val="22"/>
          <w:szCs w:val="22"/>
        </w:rPr>
        <w:t>Other considerations for inclusion</w:t>
      </w:r>
    </w:p>
    <w:p w14:paraId="313A5954" w14:textId="77777777"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Investment policy/philosophy</w:t>
      </w:r>
    </w:p>
    <w:p w14:paraId="2681C641" w14:textId="77777777"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Risk management and risk management goals</w:t>
      </w:r>
    </w:p>
    <w:p w14:paraId="5B9F842D" w14:textId="77777777"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Management of cybersecurity risk and climate risk</w:t>
      </w:r>
    </w:p>
    <w:p w14:paraId="119EA704" w14:textId="77777777" w:rsidR="00B4389F" w:rsidRPr="00B4389F" w:rsidRDefault="00B4389F" w:rsidP="00B4389F">
      <w:pPr>
        <w:numPr>
          <w:ilvl w:val="1"/>
          <w:numId w:val="6"/>
        </w:numPr>
        <w:spacing w:after="120" w:line="259" w:lineRule="auto"/>
        <w:jc w:val="both"/>
        <w:rPr>
          <w:rFonts w:ascii="Calibri" w:eastAsia="Calibri" w:hAnsi="Calibri"/>
          <w:sz w:val="22"/>
          <w:szCs w:val="22"/>
        </w:rPr>
      </w:pPr>
      <w:r w:rsidRPr="00B4389F">
        <w:rPr>
          <w:rFonts w:ascii="Calibri" w:eastAsia="Calibri" w:hAnsi="Calibri"/>
          <w:sz w:val="22"/>
          <w:szCs w:val="22"/>
        </w:rPr>
        <w:t>Financial strength/credit Ratings</w:t>
      </w:r>
    </w:p>
    <w:p w14:paraId="60CE5192" w14:textId="77777777" w:rsidR="00D200F5" w:rsidRDefault="00D200F5">
      <w:pPr>
        <w:rPr>
          <w:rFonts w:asciiTheme="minorHAnsi" w:hAnsiTheme="minorHAnsi" w:cstheme="minorHAnsi"/>
          <w:sz w:val="22"/>
          <w:szCs w:val="22"/>
        </w:rPr>
        <w:sectPr w:rsidR="00D200F5" w:rsidSect="00FE11A7">
          <w:headerReference w:type="first" r:id="rId20"/>
          <w:footerReference w:type="first" r:id="rId21"/>
          <w:pgSz w:w="12240" w:h="15840" w:code="1"/>
          <w:pgMar w:top="1080" w:right="1080" w:bottom="1080" w:left="1080" w:header="720" w:footer="303" w:gutter="0"/>
          <w:cols w:space="720"/>
          <w:titlePg/>
          <w:docGrid w:linePitch="272"/>
        </w:sectPr>
      </w:pPr>
    </w:p>
    <w:p w14:paraId="616A01E7" w14:textId="719AF5A3" w:rsidR="00BB717E" w:rsidRDefault="00BB717E">
      <w:pPr>
        <w:rPr>
          <w:rFonts w:asciiTheme="minorHAnsi" w:hAnsiTheme="minorHAnsi" w:cstheme="minorHAnsi"/>
          <w:sz w:val="22"/>
          <w:szCs w:val="22"/>
        </w:rPr>
      </w:pPr>
    </w:p>
    <w:p w14:paraId="68FCF953" w14:textId="0985F5E5" w:rsidR="00301598" w:rsidRPr="00301598" w:rsidRDefault="00301598" w:rsidP="00301598">
      <w:pPr>
        <w:spacing w:after="220"/>
        <w:jc w:val="both"/>
        <w:rPr>
          <w:rFonts w:ascii="Calibri" w:eastAsia="Calibri" w:hAnsi="Calibri"/>
          <w:sz w:val="22"/>
          <w:szCs w:val="22"/>
        </w:rPr>
      </w:pPr>
      <w:r w:rsidRPr="00301598">
        <w:rPr>
          <w:rFonts w:ascii="Calibri" w:eastAsia="Calibri" w:hAnsi="Calibri"/>
          <w:sz w:val="22"/>
          <w:szCs w:val="22"/>
        </w:rPr>
        <w:t>Provide an actuarial statement by an actuary, who is a member of a recognized professional actuarial body, setting forth his or her opinion relating to loss and loss adjustment expense reserves.</w:t>
      </w:r>
    </w:p>
    <w:p w14:paraId="4BF5C4FC" w14:textId="77777777" w:rsidR="00301598" w:rsidRPr="00301598" w:rsidRDefault="00301598" w:rsidP="00301598">
      <w:pPr>
        <w:spacing w:after="120"/>
        <w:rPr>
          <w:rFonts w:ascii="Calibri" w:eastAsia="Calibri" w:hAnsi="Calibri"/>
          <w:sz w:val="22"/>
          <w:szCs w:val="22"/>
        </w:rPr>
      </w:pPr>
      <w:r w:rsidRPr="00301598">
        <w:rPr>
          <w:rFonts w:ascii="Calibri" w:eastAsia="Calibri" w:hAnsi="Calibri"/>
          <w:sz w:val="22"/>
          <w:szCs w:val="22"/>
        </w:rPr>
        <w:t xml:space="preserve">The Certification must include: </w:t>
      </w:r>
    </w:p>
    <w:p w14:paraId="2E92DD9A" w14:textId="77777777" w:rsidR="00301598" w:rsidRPr="00301598" w:rsidRDefault="00301598" w:rsidP="00301598">
      <w:pPr>
        <w:spacing w:after="60"/>
        <w:ind w:left="720" w:hanging="360"/>
        <w:rPr>
          <w:rFonts w:ascii="Calibri" w:eastAsia="Calibri" w:hAnsi="Calibri"/>
          <w:sz w:val="22"/>
          <w:szCs w:val="22"/>
        </w:rPr>
      </w:pPr>
      <w:r w:rsidRPr="00301598">
        <w:rPr>
          <w:rFonts w:ascii="Calibri" w:eastAsia="Calibri" w:hAnsi="Calibri"/>
          <w:sz w:val="22"/>
          <w:szCs w:val="22"/>
        </w:rPr>
        <w:t>•</w:t>
      </w:r>
      <w:r w:rsidRPr="00301598">
        <w:rPr>
          <w:rFonts w:ascii="Calibri" w:eastAsia="Calibri" w:hAnsi="Calibri"/>
          <w:sz w:val="22"/>
          <w:szCs w:val="22"/>
        </w:rPr>
        <w:tab/>
        <w:t xml:space="preserve">A paragraph identifying the actuary; </w:t>
      </w:r>
    </w:p>
    <w:p w14:paraId="534C1F8E" w14:textId="77777777" w:rsidR="00301598" w:rsidRPr="00301598" w:rsidRDefault="00301598" w:rsidP="00301598">
      <w:pPr>
        <w:spacing w:after="60"/>
        <w:ind w:left="720" w:hanging="360"/>
        <w:rPr>
          <w:rFonts w:ascii="Calibri" w:eastAsia="Calibri" w:hAnsi="Calibri"/>
          <w:sz w:val="22"/>
          <w:szCs w:val="22"/>
        </w:rPr>
      </w:pPr>
      <w:r w:rsidRPr="00301598">
        <w:rPr>
          <w:rFonts w:ascii="Calibri" w:eastAsia="Calibri" w:hAnsi="Calibri"/>
          <w:sz w:val="22"/>
          <w:szCs w:val="22"/>
        </w:rPr>
        <w:t>•</w:t>
      </w:r>
      <w:r w:rsidRPr="00301598">
        <w:rPr>
          <w:rFonts w:ascii="Calibri" w:eastAsia="Calibri" w:hAnsi="Calibri"/>
          <w:sz w:val="22"/>
          <w:szCs w:val="22"/>
        </w:rPr>
        <w:tab/>
        <w:t>A paragraph describing the scope of the actuary's work; and</w:t>
      </w:r>
    </w:p>
    <w:p w14:paraId="2A6376C9" w14:textId="77777777" w:rsidR="00301598" w:rsidRPr="00301598" w:rsidRDefault="00301598" w:rsidP="00301598">
      <w:pPr>
        <w:spacing w:after="220"/>
        <w:ind w:left="720" w:hanging="360"/>
        <w:rPr>
          <w:rFonts w:ascii="Calibri" w:eastAsia="Calibri" w:hAnsi="Calibri"/>
          <w:sz w:val="22"/>
          <w:szCs w:val="22"/>
        </w:rPr>
      </w:pPr>
      <w:r w:rsidRPr="00301598">
        <w:rPr>
          <w:rFonts w:ascii="Calibri" w:eastAsia="Calibri" w:hAnsi="Calibri"/>
          <w:sz w:val="22"/>
          <w:szCs w:val="22"/>
        </w:rPr>
        <w:t>•</w:t>
      </w:r>
      <w:r w:rsidRPr="00301598">
        <w:rPr>
          <w:rFonts w:ascii="Calibri" w:eastAsia="Calibri" w:hAnsi="Calibri"/>
          <w:sz w:val="22"/>
          <w:szCs w:val="22"/>
        </w:rPr>
        <w:tab/>
        <w:t xml:space="preserve">A paragraph expressing the opinion. </w:t>
      </w:r>
    </w:p>
    <w:p w14:paraId="44D0BB96" w14:textId="77777777" w:rsidR="00301598" w:rsidRPr="00301598" w:rsidRDefault="00301598" w:rsidP="00301598">
      <w:pPr>
        <w:spacing w:after="220"/>
        <w:jc w:val="both"/>
        <w:rPr>
          <w:rFonts w:ascii="Calibri" w:eastAsia="Calibri" w:hAnsi="Calibri"/>
          <w:sz w:val="22"/>
          <w:szCs w:val="22"/>
        </w:rPr>
      </w:pPr>
      <w:r w:rsidRPr="00301598">
        <w:rPr>
          <w:rFonts w:ascii="Calibri" w:eastAsia="Calibri" w:hAnsi="Calibri"/>
          <w:sz w:val="22"/>
          <w:szCs w:val="22"/>
        </w:rPr>
        <w:t>Additional paragraphs may be needed to provide details on the qualification of the opinion or to explain any aspect of the financial statements. Provided below are examples of illustrative language:</w:t>
      </w:r>
    </w:p>
    <w:p w14:paraId="16B936AC" w14:textId="77777777" w:rsidR="00301598" w:rsidRPr="00301598" w:rsidRDefault="00301598" w:rsidP="00301598">
      <w:pPr>
        <w:spacing w:after="120"/>
        <w:jc w:val="both"/>
        <w:rPr>
          <w:rFonts w:ascii="Calibri" w:eastAsia="Calibri" w:hAnsi="Calibri"/>
          <w:b/>
          <w:bCs/>
          <w:sz w:val="22"/>
          <w:szCs w:val="22"/>
          <w:u w:val="single"/>
        </w:rPr>
      </w:pPr>
      <w:r w:rsidRPr="00301598">
        <w:rPr>
          <w:rFonts w:ascii="Calibri" w:eastAsia="Calibri" w:hAnsi="Calibri"/>
          <w:b/>
          <w:bCs/>
          <w:sz w:val="22"/>
          <w:szCs w:val="22"/>
          <w:u w:val="single"/>
        </w:rPr>
        <w:t>Identification of Actuary</w:t>
      </w:r>
    </w:p>
    <w:p w14:paraId="5A731B68" w14:textId="05A7F4CA" w:rsidR="00301598" w:rsidRPr="00301598" w:rsidRDefault="00301598" w:rsidP="00301598">
      <w:pPr>
        <w:spacing w:after="120"/>
        <w:jc w:val="both"/>
        <w:rPr>
          <w:rFonts w:ascii="Calibri" w:eastAsia="Calibri" w:hAnsi="Calibri"/>
          <w:sz w:val="22"/>
          <w:szCs w:val="22"/>
        </w:rPr>
      </w:pPr>
      <w:r w:rsidRPr="00301598">
        <w:rPr>
          <w:rFonts w:ascii="Calibri" w:eastAsia="Calibri" w:hAnsi="Calibri"/>
          <w:sz w:val="22"/>
          <w:szCs w:val="22"/>
        </w:rPr>
        <w:t>The opening paragraph of the Certification should indicate the actuary’s relationship to the insurer as follows</w:t>
      </w:r>
      <w:r w:rsidR="000941AA">
        <w:rPr>
          <w:rFonts w:ascii="Calibri" w:eastAsia="Calibri" w:hAnsi="Calibri"/>
          <w:sz w:val="22"/>
          <w:szCs w:val="22"/>
        </w:rPr>
        <w:t>:</w:t>
      </w:r>
    </w:p>
    <w:p w14:paraId="0CEF4418" w14:textId="77777777" w:rsidR="00301598" w:rsidRPr="00301598" w:rsidRDefault="00301598" w:rsidP="00301598">
      <w:pPr>
        <w:numPr>
          <w:ilvl w:val="0"/>
          <w:numId w:val="7"/>
        </w:numPr>
        <w:spacing w:after="220" w:line="259" w:lineRule="auto"/>
        <w:ind w:left="720"/>
        <w:jc w:val="both"/>
        <w:rPr>
          <w:rFonts w:ascii="Calibri" w:eastAsia="Calibri" w:hAnsi="Calibri"/>
          <w:sz w:val="22"/>
          <w:szCs w:val="22"/>
        </w:rPr>
      </w:pPr>
      <w:r w:rsidRPr="00301598">
        <w:rPr>
          <w:rFonts w:ascii="Calibri" w:eastAsia="Calibri" w:hAnsi="Calibri"/>
          <w:sz w:val="22"/>
          <w:szCs w:val="22"/>
        </w:rPr>
        <w:t xml:space="preserve">I, (name and title), am an employee of (name of insurer). I am a member of (name of recognized professional actuarial body) and meet its qualification standards to render this opinion. </w:t>
      </w:r>
    </w:p>
    <w:p w14:paraId="521401FE" w14:textId="77777777" w:rsidR="00301598" w:rsidRPr="00301598" w:rsidRDefault="00301598" w:rsidP="00301598">
      <w:pPr>
        <w:numPr>
          <w:ilvl w:val="0"/>
          <w:numId w:val="7"/>
        </w:numPr>
        <w:spacing w:after="220" w:line="259" w:lineRule="auto"/>
        <w:ind w:left="720"/>
        <w:jc w:val="both"/>
        <w:rPr>
          <w:rFonts w:ascii="Calibri" w:eastAsia="Calibri" w:hAnsi="Calibri"/>
          <w:sz w:val="22"/>
          <w:szCs w:val="22"/>
        </w:rPr>
      </w:pPr>
      <w:r w:rsidRPr="00301598">
        <w:rPr>
          <w:rFonts w:ascii="Calibri" w:eastAsia="Calibri" w:hAnsi="Calibri"/>
          <w:sz w:val="22"/>
          <w:szCs w:val="22"/>
        </w:rPr>
        <w:t xml:space="preserve">I, (name and title of consultant), am associated with (name of firm). I am a (name of recognized professional actuarial body) and meet its qualification standards. I was appointed by the Board of Directors of (name of insurer) on (date) to render this opinion. </w:t>
      </w:r>
    </w:p>
    <w:p w14:paraId="649D4CBB" w14:textId="77777777" w:rsidR="00301598" w:rsidRPr="00301598" w:rsidRDefault="00301598" w:rsidP="00301598">
      <w:pPr>
        <w:spacing w:after="120"/>
        <w:jc w:val="both"/>
        <w:rPr>
          <w:rFonts w:ascii="Calibri" w:eastAsia="Calibri" w:hAnsi="Calibri"/>
          <w:b/>
          <w:bCs/>
          <w:sz w:val="22"/>
          <w:szCs w:val="22"/>
          <w:u w:val="single"/>
        </w:rPr>
      </w:pPr>
      <w:r w:rsidRPr="00301598">
        <w:rPr>
          <w:rFonts w:ascii="Calibri" w:eastAsia="Calibri" w:hAnsi="Calibri"/>
          <w:b/>
          <w:bCs/>
          <w:sz w:val="22"/>
          <w:szCs w:val="22"/>
          <w:u w:val="single"/>
        </w:rPr>
        <w:t>Scope</w:t>
      </w:r>
    </w:p>
    <w:p w14:paraId="01958B83" w14:textId="77777777" w:rsidR="00301598" w:rsidRPr="00301598" w:rsidRDefault="00301598" w:rsidP="00301598">
      <w:pPr>
        <w:spacing w:after="120"/>
        <w:jc w:val="both"/>
        <w:rPr>
          <w:rFonts w:ascii="Calibri" w:eastAsia="Calibri" w:hAnsi="Calibri"/>
          <w:sz w:val="22"/>
          <w:szCs w:val="22"/>
        </w:rPr>
      </w:pPr>
      <w:r w:rsidRPr="00301598">
        <w:rPr>
          <w:rFonts w:ascii="Calibri" w:eastAsia="Calibri" w:hAnsi="Calibri"/>
          <w:sz w:val="22"/>
          <w:szCs w:val="22"/>
        </w:rPr>
        <w:t>The Scope paragraph should contain a sentence such as the following:</w:t>
      </w:r>
    </w:p>
    <w:p w14:paraId="6115D171" w14:textId="77777777" w:rsidR="00301598" w:rsidRPr="00301598" w:rsidRDefault="00301598" w:rsidP="00301598">
      <w:pPr>
        <w:numPr>
          <w:ilvl w:val="0"/>
          <w:numId w:val="8"/>
        </w:numPr>
        <w:spacing w:after="220" w:line="259" w:lineRule="auto"/>
        <w:jc w:val="both"/>
        <w:rPr>
          <w:rFonts w:ascii="Calibri" w:eastAsia="Calibri" w:hAnsi="Calibri"/>
          <w:sz w:val="22"/>
          <w:szCs w:val="22"/>
        </w:rPr>
      </w:pPr>
      <w:r w:rsidRPr="00301598">
        <w:rPr>
          <w:rFonts w:ascii="Calibri" w:eastAsia="Calibri" w:hAnsi="Calibri"/>
          <w:sz w:val="22"/>
          <w:szCs w:val="22"/>
        </w:rPr>
        <w:t xml:space="preserve">I have examined the actuarial assumptions and methods used in determining reserves listed below, as shown in the Financial Statement of the Company as prepared for filing with regulatory officials, as of December 31, 20xx. </w:t>
      </w:r>
    </w:p>
    <w:p w14:paraId="1D10C661" w14:textId="77777777" w:rsidR="00301598" w:rsidRPr="00301598" w:rsidRDefault="00301598" w:rsidP="00301598">
      <w:pPr>
        <w:spacing w:after="120"/>
        <w:jc w:val="both"/>
        <w:rPr>
          <w:rFonts w:ascii="Calibri" w:eastAsia="Calibri" w:hAnsi="Calibri"/>
          <w:sz w:val="22"/>
          <w:szCs w:val="22"/>
        </w:rPr>
      </w:pPr>
      <w:r w:rsidRPr="00301598">
        <w:rPr>
          <w:rFonts w:ascii="Calibri" w:eastAsia="Calibri" w:hAnsi="Calibri"/>
          <w:sz w:val="22"/>
          <w:szCs w:val="22"/>
        </w:rPr>
        <w:t>The paragraph should list items and amounts with respect to which the actuary is expressing an opinion. This list should include but not be limited to:</w:t>
      </w:r>
    </w:p>
    <w:p w14:paraId="27972C84" w14:textId="77777777" w:rsidR="00301598" w:rsidRPr="00301598" w:rsidRDefault="00301598" w:rsidP="00B073C4">
      <w:pPr>
        <w:numPr>
          <w:ilvl w:val="0"/>
          <w:numId w:val="9"/>
        </w:numPr>
        <w:spacing w:after="120" w:line="259" w:lineRule="auto"/>
        <w:ind w:left="720"/>
        <w:jc w:val="both"/>
        <w:rPr>
          <w:rFonts w:ascii="Calibri" w:eastAsia="Calibri" w:hAnsi="Calibri"/>
          <w:sz w:val="22"/>
          <w:szCs w:val="22"/>
        </w:rPr>
      </w:pPr>
      <w:r w:rsidRPr="00301598">
        <w:rPr>
          <w:rFonts w:ascii="Calibri" w:eastAsia="Calibri" w:hAnsi="Calibri"/>
          <w:sz w:val="22"/>
          <w:szCs w:val="22"/>
        </w:rPr>
        <w:t>Worldwide loss reserves for unpaid losses including incurred but not reported amounts</w:t>
      </w:r>
    </w:p>
    <w:p w14:paraId="6D937D0C" w14:textId="77777777" w:rsidR="00301598" w:rsidRPr="00301598" w:rsidRDefault="00301598" w:rsidP="00B073C4">
      <w:pPr>
        <w:numPr>
          <w:ilvl w:val="0"/>
          <w:numId w:val="9"/>
        </w:numPr>
        <w:spacing w:after="120" w:line="259" w:lineRule="auto"/>
        <w:ind w:left="720"/>
        <w:jc w:val="both"/>
        <w:rPr>
          <w:rFonts w:ascii="Calibri" w:eastAsia="Calibri" w:hAnsi="Calibri"/>
          <w:sz w:val="22"/>
          <w:szCs w:val="22"/>
        </w:rPr>
      </w:pPr>
      <w:r w:rsidRPr="00301598">
        <w:rPr>
          <w:rFonts w:ascii="Calibri" w:eastAsia="Calibri" w:hAnsi="Calibri"/>
          <w:sz w:val="22"/>
          <w:szCs w:val="22"/>
        </w:rPr>
        <w:t>Worldwide loss reserves for net unpaid loss adjustment expenses</w:t>
      </w:r>
    </w:p>
    <w:p w14:paraId="4E311EEF" w14:textId="0232B669" w:rsidR="00301598" w:rsidRPr="00301598" w:rsidRDefault="00301598" w:rsidP="00B073C4">
      <w:pPr>
        <w:numPr>
          <w:ilvl w:val="0"/>
          <w:numId w:val="9"/>
        </w:numPr>
        <w:spacing w:after="120" w:line="259" w:lineRule="auto"/>
        <w:ind w:left="720"/>
        <w:jc w:val="both"/>
        <w:rPr>
          <w:rFonts w:ascii="Calibri" w:eastAsia="Calibri" w:hAnsi="Calibri"/>
          <w:sz w:val="22"/>
          <w:szCs w:val="22"/>
        </w:rPr>
      </w:pPr>
      <w:r w:rsidRPr="00301598">
        <w:rPr>
          <w:rFonts w:ascii="Calibri" w:eastAsia="Calibri" w:hAnsi="Calibri"/>
          <w:sz w:val="22"/>
          <w:szCs w:val="22"/>
        </w:rPr>
        <w:t>For liabilities arising from business written on or after January 1, 1998</w:t>
      </w:r>
      <w:r w:rsidR="00344D50">
        <w:rPr>
          <w:rFonts w:ascii="Calibri" w:eastAsia="Calibri" w:hAnsi="Calibri"/>
          <w:sz w:val="22"/>
          <w:szCs w:val="22"/>
        </w:rPr>
        <w:t>,</w:t>
      </w:r>
      <w:r w:rsidRPr="00301598">
        <w:rPr>
          <w:rFonts w:ascii="Calibri" w:eastAsia="Calibri" w:hAnsi="Calibri"/>
          <w:sz w:val="22"/>
          <w:szCs w:val="22"/>
        </w:rPr>
        <w:t xml:space="preserve"> either:</w:t>
      </w:r>
    </w:p>
    <w:p w14:paraId="4D7C8E1D" w14:textId="77777777" w:rsidR="00301598" w:rsidRPr="00301598" w:rsidRDefault="00301598" w:rsidP="0031121D">
      <w:pPr>
        <w:numPr>
          <w:ilvl w:val="1"/>
          <w:numId w:val="10"/>
        </w:numPr>
        <w:spacing w:after="120" w:line="259" w:lineRule="auto"/>
        <w:ind w:left="1440"/>
        <w:jc w:val="both"/>
        <w:rPr>
          <w:rFonts w:ascii="Calibri" w:eastAsia="Calibri" w:hAnsi="Calibri"/>
          <w:sz w:val="22"/>
          <w:szCs w:val="22"/>
        </w:rPr>
      </w:pPr>
      <w:r w:rsidRPr="00301598">
        <w:rPr>
          <w:rFonts w:ascii="Calibri" w:eastAsia="Calibri" w:hAnsi="Calibri"/>
          <w:sz w:val="22"/>
          <w:szCs w:val="22"/>
        </w:rPr>
        <w:t>The Company’s U.S. gross surplus lines liabilities including unpaid loss adjustment expenses and incurred but not reported amounts, or</w:t>
      </w:r>
    </w:p>
    <w:p w14:paraId="3E64DFD4" w14:textId="77777777" w:rsidR="00301598" w:rsidRPr="00301598" w:rsidRDefault="00301598" w:rsidP="00B073C4">
      <w:pPr>
        <w:numPr>
          <w:ilvl w:val="1"/>
          <w:numId w:val="10"/>
        </w:numPr>
        <w:spacing w:after="220"/>
        <w:ind w:left="1440"/>
        <w:jc w:val="both"/>
        <w:rPr>
          <w:rFonts w:ascii="Calibri" w:eastAsia="Calibri" w:hAnsi="Calibri"/>
          <w:sz w:val="22"/>
          <w:szCs w:val="22"/>
        </w:rPr>
      </w:pPr>
      <w:r w:rsidRPr="00301598">
        <w:rPr>
          <w:rFonts w:ascii="Calibri" w:eastAsia="Calibri" w:hAnsi="Calibri"/>
          <w:sz w:val="22"/>
          <w:szCs w:val="22"/>
        </w:rPr>
        <w:t>The Company’s direct non-admitted U.S. liabilities excluding liabilities arising from aviation, wet marine and transportation insurance and direct procurement placements (specify)</w:t>
      </w:r>
    </w:p>
    <w:p w14:paraId="3EEB9411" w14:textId="77777777" w:rsidR="00301598" w:rsidRPr="00301598" w:rsidRDefault="00301598" w:rsidP="00301598">
      <w:pPr>
        <w:spacing w:after="220"/>
        <w:jc w:val="both"/>
        <w:rPr>
          <w:rFonts w:ascii="Calibri" w:eastAsia="Calibri" w:hAnsi="Calibri"/>
          <w:sz w:val="22"/>
          <w:szCs w:val="22"/>
        </w:rPr>
      </w:pPr>
      <w:r w:rsidRPr="00301598">
        <w:rPr>
          <w:rFonts w:ascii="Calibri" w:eastAsia="Calibri" w:hAnsi="Calibri"/>
          <w:sz w:val="22"/>
          <w:szCs w:val="22"/>
        </w:rPr>
        <w:t xml:space="preserve">The choice of which of the liabilities calculations above should be opined upon should correspond to that used by the company in its determination of its appropriate Trust Fund Minimum Amount. </w:t>
      </w:r>
    </w:p>
    <w:p w14:paraId="6E9C3806" w14:textId="77777777" w:rsidR="00301598" w:rsidRPr="00301598" w:rsidRDefault="00301598" w:rsidP="00301598">
      <w:pPr>
        <w:spacing w:after="120"/>
        <w:jc w:val="both"/>
        <w:rPr>
          <w:rFonts w:ascii="Calibri" w:eastAsia="Calibri" w:hAnsi="Calibri"/>
          <w:sz w:val="22"/>
          <w:szCs w:val="22"/>
        </w:rPr>
      </w:pPr>
      <w:r w:rsidRPr="00301598">
        <w:rPr>
          <w:rFonts w:ascii="Calibri" w:eastAsia="Calibri" w:hAnsi="Calibri"/>
          <w:sz w:val="22"/>
          <w:szCs w:val="22"/>
        </w:rPr>
        <w:t>If the actuary has examined the underlying records and/or summaries, the scope paragraph should include a sentence such as:</w:t>
      </w:r>
    </w:p>
    <w:p w14:paraId="7A1E34F0" w14:textId="77777777" w:rsidR="00301598" w:rsidRPr="00301598" w:rsidRDefault="00301598" w:rsidP="002E702F">
      <w:pPr>
        <w:numPr>
          <w:ilvl w:val="0"/>
          <w:numId w:val="11"/>
        </w:numPr>
        <w:spacing w:after="220"/>
        <w:jc w:val="both"/>
        <w:rPr>
          <w:rFonts w:ascii="Calibri" w:eastAsia="Calibri" w:hAnsi="Calibri"/>
          <w:sz w:val="22"/>
          <w:szCs w:val="22"/>
        </w:rPr>
      </w:pPr>
      <w:r w:rsidRPr="00301598">
        <w:rPr>
          <w:rFonts w:ascii="Calibri" w:eastAsia="Calibri" w:hAnsi="Calibri"/>
          <w:sz w:val="22"/>
          <w:szCs w:val="22"/>
        </w:rPr>
        <w:lastRenderedPageBreak/>
        <w:t>My examination included such review of the assumptions and methods used and of the underlying basic records and/or summaries and such tests and calculations as I considered necessary.</w:t>
      </w:r>
    </w:p>
    <w:p w14:paraId="73E1D7A4" w14:textId="77777777" w:rsidR="00301598" w:rsidRPr="00301598" w:rsidRDefault="00301598" w:rsidP="00075E76">
      <w:pPr>
        <w:spacing w:after="120"/>
        <w:jc w:val="both"/>
        <w:rPr>
          <w:rFonts w:ascii="Calibri" w:eastAsia="Calibri" w:hAnsi="Calibri"/>
          <w:sz w:val="22"/>
          <w:szCs w:val="22"/>
        </w:rPr>
      </w:pPr>
      <w:r w:rsidRPr="00301598">
        <w:rPr>
          <w:rFonts w:ascii="Calibri" w:eastAsia="Calibri" w:hAnsi="Calibri"/>
          <w:sz w:val="22"/>
          <w:szCs w:val="22"/>
        </w:rPr>
        <w:t>If the actuary has not examined the underlying records and/or summaries, but has relied upon those prepared by the company, the scope paragraph should include a sentence such as:</w:t>
      </w:r>
    </w:p>
    <w:p w14:paraId="3A1AA38B" w14:textId="77777777" w:rsidR="00301598" w:rsidRPr="00301598" w:rsidRDefault="00301598" w:rsidP="002E702F">
      <w:pPr>
        <w:numPr>
          <w:ilvl w:val="0"/>
          <w:numId w:val="11"/>
        </w:numPr>
        <w:spacing w:after="120" w:line="259" w:lineRule="auto"/>
        <w:jc w:val="both"/>
        <w:rPr>
          <w:rFonts w:ascii="Calibri" w:eastAsia="Calibri" w:hAnsi="Calibri"/>
          <w:sz w:val="22"/>
          <w:szCs w:val="22"/>
        </w:rPr>
      </w:pPr>
      <w:r w:rsidRPr="00301598">
        <w:rPr>
          <w:rFonts w:ascii="Calibri" w:eastAsia="Calibri" w:hAnsi="Calibri"/>
          <w:sz w:val="22"/>
          <w:szCs w:val="22"/>
        </w:rPr>
        <w:t>I relied upon underlying records and/or summaries prepared by the responsible officers or employees of the company or group to which it belongs.  In other respects, my examination included such review of the assumptions and methods used and such tests of the calculations as I considered necessary.</w:t>
      </w:r>
    </w:p>
    <w:p w14:paraId="2B00D3CE" w14:textId="77777777" w:rsidR="00301598" w:rsidRPr="00301598" w:rsidRDefault="00301598" w:rsidP="002E702F">
      <w:pPr>
        <w:numPr>
          <w:ilvl w:val="0"/>
          <w:numId w:val="11"/>
        </w:numPr>
        <w:spacing w:after="220" w:line="259" w:lineRule="auto"/>
        <w:jc w:val="both"/>
        <w:rPr>
          <w:rFonts w:ascii="Calibri" w:eastAsia="Calibri" w:hAnsi="Calibri"/>
          <w:sz w:val="22"/>
          <w:szCs w:val="22"/>
        </w:rPr>
      </w:pPr>
      <w:r w:rsidRPr="00301598">
        <w:rPr>
          <w:rFonts w:ascii="Calibri" w:eastAsia="Calibri" w:hAnsi="Calibri"/>
          <w:sz w:val="22"/>
          <w:szCs w:val="22"/>
        </w:rPr>
        <w:t>I relied upon (name of firm) for the accuracy of the underlying records and/or summaries.  In other respects, my examination included such review of the underlying assumptions and methods used and such texts of the calculations as I considered necessary.</w:t>
      </w:r>
    </w:p>
    <w:p w14:paraId="59CA442D" w14:textId="77777777" w:rsidR="00301598" w:rsidRPr="00301598" w:rsidRDefault="00301598" w:rsidP="00301598">
      <w:pPr>
        <w:spacing w:after="120"/>
        <w:jc w:val="both"/>
        <w:rPr>
          <w:rFonts w:ascii="Calibri" w:eastAsia="Calibri" w:hAnsi="Calibri"/>
          <w:b/>
          <w:bCs/>
          <w:sz w:val="22"/>
          <w:szCs w:val="22"/>
          <w:u w:val="single"/>
        </w:rPr>
      </w:pPr>
      <w:r w:rsidRPr="00301598">
        <w:rPr>
          <w:rFonts w:ascii="Calibri" w:eastAsia="Calibri" w:hAnsi="Calibri"/>
          <w:b/>
          <w:bCs/>
          <w:sz w:val="22"/>
          <w:szCs w:val="22"/>
          <w:u w:val="single"/>
        </w:rPr>
        <w:t>Opinion</w:t>
      </w:r>
    </w:p>
    <w:p w14:paraId="3FA650FC" w14:textId="77777777" w:rsidR="00301598" w:rsidRPr="00301598" w:rsidRDefault="00301598" w:rsidP="00301598">
      <w:pPr>
        <w:spacing w:after="120"/>
        <w:jc w:val="both"/>
        <w:rPr>
          <w:rFonts w:ascii="Calibri" w:eastAsia="Calibri" w:hAnsi="Calibri"/>
          <w:sz w:val="22"/>
          <w:szCs w:val="22"/>
        </w:rPr>
      </w:pPr>
      <w:r w:rsidRPr="00301598">
        <w:rPr>
          <w:rFonts w:ascii="Calibri" w:eastAsia="Calibri" w:hAnsi="Calibri"/>
          <w:sz w:val="22"/>
          <w:szCs w:val="22"/>
        </w:rPr>
        <w:t>The opinion paragraph should include a sentence which at least covers:</w:t>
      </w:r>
    </w:p>
    <w:p w14:paraId="6A7D96D5" w14:textId="77777777" w:rsidR="00301598" w:rsidRPr="00301598" w:rsidRDefault="00301598" w:rsidP="002E702F">
      <w:pPr>
        <w:numPr>
          <w:ilvl w:val="0"/>
          <w:numId w:val="12"/>
        </w:numPr>
        <w:spacing w:after="120" w:line="259" w:lineRule="auto"/>
        <w:jc w:val="both"/>
        <w:rPr>
          <w:rFonts w:ascii="Calibri" w:eastAsia="Calibri" w:hAnsi="Calibri"/>
          <w:sz w:val="22"/>
          <w:szCs w:val="22"/>
        </w:rPr>
      </w:pPr>
      <w:r w:rsidRPr="00301598">
        <w:rPr>
          <w:rFonts w:ascii="Calibri" w:eastAsia="Calibri" w:hAnsi="Calibri"/>
          <w:sz w:val="22"/>
          <w:szCs w:val="22"/>
        </w:rPr>
        <w:t>In my opinion, the amounts carried in the balance sheet on account of the items identified above</w:t>
      </w:r>
    </w:p>
    <w:p w14:paraId="6F104790" w14:textId="77777777" w:rsidR="00301598" w:rsidRPr="00301598" w:rsidRDefault="00301598" w:rsidP="002E702F">
      <w:pPr>
        <w:numPr>
          <w:ilvl w:val="0"/>
          <w:numId w:val="13"/>
        </w:numPr>
        <w:spacing w:after="120" w:line="259" w:lineRule="auto"/>
        <w:ind w:left="1530" w:hanging="450"/>
        <w:jc w:val="both"/>
        <w:rPr>
          <w:rFonts w:ascii="Calibri" w:eastAsia="Calibri" w:hAnsi="Calibri"/>
          <w:sz w:val="22"/>
          <w:szCs w:val="22"/>
        </w:rPr>
      </w:pPr>
      <w:r w:rsidRPr="00301598">
        <w:rPr>
          <w:rFonts w:ascii="Calibri" w:eastAsia="Calibri" w:hAnsi="Calibri"/>
          <w:sz w:val="22"/>
          <w:szCs w:val="22"/>
        </w:rPr>
        <w:t>Meet the requirements of the insurance laws of (country of domicile).</w:t>
      </w:r>
    </w:p>
    <w:p w14:paraId="5E964583" w14:textId="77777777" w:rsidR="00301598" w:rsidRPr="00301598" w:rsidRDefault="00301598" w:rsidP="002E702F">
      <w:pPr>
        <w:numPr>
          <w:ilvl w:val="0"/>
          <w:numId w:val="13"/>
        </w:numPr>
        <w:spacing w:after="120" w:line="259" w:lineRule="auto"/>
        <w:ind w:left="1530" w:hanging="450"/>
        <w:jc w:val="both"/>
        <w:rPr>
          <w:rFonts w:ascii="Calibri" w:eastAsia="Calibri" w:hAnsi="Calibri"/>
          <w:sz w:val="22"/>
          <w:szCs w:val="22"/>
        </w:rPr>
      </w:pPr>
      <w:r w:rsidRPr="00301598">
        <w:rPr>
          <w:rFonts w:ascii="Calibri" w:eastAsia="Calibri" w:hAnsi="Calibri"/>
          <w:sz w:val="22"/>
          <w:szCs w:val="22"/>
        </w:rPr>
        <w:t>Are computed in accordance with accepted actuarial standards and principles or similar language.</w:t>
      </w:r>
    </w:p>
    <w:p w14:paraId="45F5A980" w14:textId="77777777" w:rsidR="00301598" w:rsidRPr="00301598" w:rsidRDefault="00301598" w:rsidP="002E702F">
      <w:pPr>
        <w:numPr>
          <w:ilvl w:val="0"/>
          <w:numId w:val="13"/>
        </w:numPr>
        <w:spacing w:after="220" w:line="259" w:lineRule="auto"/>
        <w:ind w:left="1530" w:hanging="450"/>
        <w:jc w:val="both"/>
        <w:rPr>
          <w:rFonts w:ascii="Calibri" w:eastAsia="Calibri" w:hAnsi="Calibri"/>
          <w:sz w:val="22"/>
          <w:szCs w:val="22"/>
        </w:rPr>
      </w:pPr>
      <w:r w:rsidRPr="00301598">
        <w:rPr>
          <w:rFonts w:ascii="Calibri" w:eastAsia="Calibri" w:hAnsi="Calibri"/>
          <w:sz w:val="22"/>
          <w:szCs w:val="22"/>
        </w:rPr>
        <w:t>Make reasonable provision for all unpaid losses and loss expense obligations of the insurer under the terms of its contracts and agreements.</w:t>
      </w:r>
    </w:p>
    <w:p w14:paraId="7C747773" w14:textId="77777777" w:rsidR="00301598" w:rsidRPr="00301598" w:rsidRDefault="00301598" w:rsidP="00301598">
      <w:pPr>
        <w:spacing w:after="120"/>
        <w:jc w:val="both"/>
        <w:rPr>
          <w:rFonts w:ascii="Calibri" w:eastAsia="Calibri" w:hAnsi="Calibri"/>
          <w:sz w:val="22"/>
          <w:szCs w:val="22"/>
        </w:rPr>
      </w:pPr>
      <w:r w:rsidRPr="00301598">
        <w:rPr>
          <w:rFonts w:ascii="Calibri" w:eastAsia="Calibri" w:hAnsi="Calibri"/>
          <w:sz w:val="22"/>
          <w:szCs w:val="22"/>
        </w:rPr>
        <w:t>If there has been any material change in the assumptions and/or methods from those previously employed, that change should be described in the statement of opinion by including a statement such as:</w:t>
      </w:r>
    </w:p>
    <w:p w14:paraId="1B1782D2" w14:textId="77777777" w:rsidR="00301598" w:rsidRPr="00301598" w:rsidRDefault="00301598" w:rsidP="002E702F">
      <w:pPr>
        <w:numPr>
          <w:ilvl w:val="0"/>
          <w:numId w:val="12"/>
        </w:numPr>
        <w:spacing w:after="220" w:line="259" w:lineRule="auto"/>
        <w:jc w:val="both"/>
        <w:rPr>
          <w:rFonts w:ascii="Calibri" w:eastAsia="Calibri" w:hAnsi="Calibri"/>
          <w:sz w:val="22"/>
          <w:szCs w:val="22"/>
        </w:rPr>
      </w:pPr>
      <w:r w:rsidRPr="00301598">
        <w:rPr>
          <w:rFonts w:ascii="Calibri" w:eastAsia="Calibri" w:hAnsi="Calibri"/>
          <w:sz w:val="22"/>
          <w:szCs w:val="22"/>
        </w:rPr>
        <w:t>A material change in assumptions (and/or methods) was made during the past year, but such change accords with accepted loss reserving standards. A brief description of the change should follow.</w:t>
      </w:r>
    </w:p>
    <w:p w14:paraId="7002787F" w14:textId="77777777" w:rsidR="00301598" w:rsidRPr="00301598" w:rsidRDefault="00301598" w:rsidP="00301598">
      <w:pPr>
        <w:spacing w:after="220"/>
        <w:jc w:val="both"/>
        <w:rPr>
          <w:rFonts w:ascii="Calibri" w:eastAsia="Calibri" w:hAnsi="Calibri"/>
          <w:sz w:val="22"/>
          <w:szCs w:val="22"/>
        </w:rPr>
      </w:pPr>
      <w:r w:rsidRPr="00301598">
        <w:rPr>
          <w:rFonts w:ascii="Calibri" w:eastAsia="Calibri" w:hAnsi="Calibri"/>
          <w:sz w:val="22"/>
          <w:szCs w:val="22"/>
        </w:rPr>
        <w:t>The adoption of new issues or coverages requiring underlying assumptions which differ from assumptions used for prior issues or coverages is not a change in assumption within the meaning of this paragraph.</w:t>
      </w:r>
    </w:p>
    <w:p w14:paraId="29D5818C" w14:textId="6C6A9B0C" w:rsidR="00301598" w:rsidRPr="00301598" w:rsidRDefault="00301598" w:rsidP="00301598">
      <w:pPr>
        <w:spacing w:after="220"/>
        <w:jc w:val="both"/>
        <w:rPr>
          <w:rFonts w:ascii="Calibri" w:eastAsia="Calibri" w:hAnsi="Calibri"/>
          <w:sz w:val="22"/>
          <w:szCs w:val="22"/>
        </w:rPr>
      </w:pPr>
      <w:r w:rsidRPr="00301598">
        <w:rPr>
          <w:rFonts w:ascii="Calibri" w:eastAsia="Calibri" w:hAnsi="Calibri"/>
          <w:sz w:val="22"/>
          <w:szCs w:val="22"/>
        </w:rPr>
        <w:t>If the actuary is unable to form an opinion, they should refuse to issue a statement of opinion. If the opinion is adverse or qualified, the actuary should issue an adverse or qualified opinion explicitly stating the reason(s) for such opinion.</w:t>
      </w:r>
    </w:p>
    <w:p w14:paraId="73B395BC" w14:textId="77777777" w:rsidR="00E42AED" w:rsidRPr="008E4659" w:rsidRDefault="00E42AED" w:rsidP="00300287">
      <w:pPr>
        <w:rPr>
          <w:rFonts w:asciiTheme="minorHAnsi" w:hAnsiTheme="minorHAnsi" w:cstheme="minorHAnsi"/>
          <w:sz w:val="22"/>
          <w:szCs w:val="22"/>
        </w:rPr>
      </w:pPr>
    </w:p>
    <w:sectPr w:rsidR="00E42AED" w:rsidRPr="008E4659" w:rsidSect="001179A1">
      <w:headerReference w:type="default" r:id="rId22"/>
      <w:footerReference w:type="default" r:id="rId23"/>
      <w:headerReference w:type="first" r:id="rId24"/>
      <w:pgSz w:w="12240" w:h="15840" w:code="1"/>
      <w:pgMar w:top="1080" w:right="1080" w:bottom="1080" w:left="1080" w:header="720" w:footer="30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E5F24" w14:textId="77777777" w:rsidR="007750BC" w:rsidRDefault="007750BC">
      <w:r>
        <w:separator/>
      </w:r>
    </w:p>
  </w:endnote>
  <w:endnote w:type="continuationSeparator" w:id="0">
    <w:p w14:paraId="5FB3DF76" w14:textId="77777777" w:rsidR="007750BC" w:rsidRDefault="007750BC">
      <w:r>
        <w:continuationSeparator/>
      </w:r>
    </w:p>
  </w:endnote>
  <w:endnote w:type="continuationNotice" w:id="1">
    <w:p w14:paraId="524042E7" w14:textId="77777777" w:rsidR="007750BC" w:rsidRDefault="007750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5BCD" w14:textId="09FA390D" w:rsidR="00864B26" w:rsidRDefault="00864B26" w:rsidP="00717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74BF">
      <w:rPr>
        <w:rStyle w:val="PageNumber"/>
        <w:noProof/>
      </w:rPr>
      <w:t>2</w:t>
    </w:r>
    <w:r>
      <w:rPr>
        <w:rStyle w:val="PageNumber"/>
      </w:rPr>
      <w:fldChar w:fldCharType="end"/>
    </w:r>
  </w:p>
  <w:p w14:paraId="2866BD1D" w14:textId="77777777" w:rsidR="00864B26" w:rsidRDefault="00864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02BB" w14:textId="77777777" w:rsidR="00864B26" w:rsidRDefault="00864B26" w:rsidP="00717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7B08B63" w14:textId="77777777" w:rsidR="00864B26" w:rsidRDefault="00864B26" w:rsidP="001179A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CCFD" w14:textId="2C5595ED" w:rsidR="00864B26" w:rsidRPr="00D10199" w:rsidRDefault="002743C3" w:rsidP="00D10199">
    <w:pPr>
      <w:pStyle w:val="Footer"/>
      <w:rPr>
        <w:noProof/>
      </w:rPr>
    </w:pPr>
    <w:r>
      <w:rPr>
        <w:noProof/>
      </w:rPr>
      <w:drawing>
        <wp:anchor distT="0" distB="0" distL="114300" distR="114300" simplePos="0" relativeHeight="251658240" behindDoc="0" locked="0" layoutInCell="1" allowOverlap="1" wp14:anchorId="5A646423" wp14:editId="2B2EF8A3">
          <wp:simplePos x="0" y="0"/>
          <wp:positionH relativeFrom="margin">
            <wp:posOffset>76200</wp:posOffset>
          </wp:positionH>
          <wp:positionV relativeFrom="paragraph">
            <wp:posOffset>-581025</wp:posOffset>
          </wp:positionV>
          <wp:extent cx="6134100" cy="865725"/>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34100" cy="865725"/>
                  </a:xfrm>
                  <a:prstGeom prst="rect">
                    <a:avLst/>
                  </a:prstGeom>
                </pic:spPr>
              </pic:pic>
            </a:graphicData>
          </a:graphic>
          <wp14:sizeRelH relativeFrom="margin">
            <wp14:pctWidth>0</wp14:pctWidth>
          </wp14:sizeRelH>
          <wp14:sizeRelV relativeFrom="margin">
            <wp14:pctHeight>0</wp14:pctHeight>
          </wp14:sizeRelV>
        </wp:anchor>
      </w:drawing>
    </w:r>
  </w:p>
  <w:p w14:paraId="0F0ACBD3" w14:textId="77777777" w:rsidR="00864B26" w:rsidRDefault="00864B26" w:rsidP="002305A6">
    <w:pPr>
      <w:pStyle w:val="Footer"/>
      <w:jc w:val="center"/>
      <w:rPr>
        <w:lang w:eastAsia="zh-C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1772" w14:textId="4EF3B3AE" w:rsidR="00D200F5" w:rsidRPr="00D10199" w:rsidRDefault="00D200F5" w:rsidP="00D10199">
    <w:pPr>
      <w:pStyle w:val="Footer"/>
      <w:rPr>
        <w:noProof/>
      </w:rPr>
    </w:pPr>
  </w:p>
  <w:p w14:paraId="64765ACF" w14:textId="77777777" w:rsidR="00D200F5" w:rsidRDefault="00D200F5" w:rsidP="002305A6">
    <w:pPr>
      <w:pStyle w:val="Footer"/>
      <w:jc w:val="center"/>
      <w:rPr>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BA20" w14:textId="77777777" w:rsidR="00864B26" w:rsidRDefault="00864B26" w:rsidP="00717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1C7ACE" w14:textId="77777777" w:rsidR="00864B26" w:rsidRDefault="00864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B6692" w14:textId="77777777" w:rsidR="007750BC" w:rsidRDefault="007750BC">
      <w:r>
        <w:separator/>
      </w:r>
    </w:p>
  </w:footnote>
  <w:footnote w:type="continuationSeparator" w:id="0">
    <w:p w14:paraId="3E60B90F" w14:textId="77777777" w:rsidR="007750BC" w:rsidRDefault="007750BC">
      <w:r>
        <w:continuationSeparator/>
      </w:r>
    </w:p>
  </w:footnote>
  <w:footnote w:type="continuationNotice" w:id="1">
    <w:p w14:paraId="13F05FAA" w14:textId="77777777" w:rsidR="007750BC" w:rsidRDefault="007750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C8F4" w14:textId="77777777" w:rsidR="001179A1" w:rsidRPr="00F7307A" w:rsidRDefault="001179A1" w:rsidP="001179A1">
    <w:pPr>
      <w:jc w:val="right"/>
      <w:rPr>
        <w:rFonts w:ascii="Calibri" w:eastAsia="Calibri" w:hAnsi="Calibri"/>
        <w:b/>
        <w:bCs/>
      </w:rPr>
    </w:pPr>
    <w:r w:rsidRPr="00F7307A">
      <w:rPr>
        <w:rFonts w:ascii="Calibri" w:eastAsia="Calibri" w:hAnsi="Calibri"/>
        <w:b/>
        <w:bCs/>
      </w:rPr>
      <w:t xml:space="preserve">Attachment </w:t>
    </w:r>
    <w:r>
      <w:rPr>
        <w:rFonts w:ascii="Calibri" w:eastAsia="Calibri" w:hAnsi="Calibri"/>
        <w:b/>
        <w:bCs/>
      </w:rPr>
      <w:t>B</w:t>
    </w:r>
  </w:p>
  <w:p w14:paraId="485E341F" w14:textId="77777777" w:rsidR="001179A1" w:rsidRDefault="001179A1" w:rsidP="001179A1">
    <w:pPr>
      <w:jc w:val="right"/>
      <w:rPr>
        <w:rFonts w:ascii="Calibri" w:eastAsia="Calibri" w:hAnsi="Calibri"/>
        <w:b/>
        <w:bCs/>
        <w:sz w:val="28"/>
        <w:szCs w:val="28"/>
      </w:rPr>
    </w:pPr>
  </w:p>
  <w:p w14:paraId="61027049" w14:textId="77777777" w:rsidR="001179A1" w:rsidRPr="00F7307A" w:rsidRDefault="001179A1" w:rsidP="001179A1">
    <w:pPr>
      <w:jc w:val="center"/>
      <w:rPr>
        <w:rFonts w:ascii="Calibri" w:eastAsia="Calibri" w:hAnsi="Calibri"/>
        <w:b/>
        <w:bCs/>
        <w:sz w:val="28"/>
        <w:szCs w:val="28"/>
      </w:rPr>
    </w:pPr>
    <w:r w:rsidRPr="00F7307A">
      <w:rPr>
        <w:rFonts w:ascii="Calibri" w:eastAsia="Calibri" w:hAnsi="Calibri"/>
        <w:b/>
        <w:bCs/>
        <w:sz w:val="28"/>
        <w:szCs w:val="28"/>
      </w:rPr>
      <w:t>NAIC International Insurers Department</w:t>
    </w:r>
  </w:p>
  <w:p w14:paraId="359A975B" w14:textId="77777777" w:rsidR="001179A1" w:rsidRDefault="001179A1" w:rsidP="001179A1">
    <w:pPr>
      <w:jc w:val="center"/>
      <w:rPr>
        <w:rFonts w:ascii="Calibri" w:eastAsia="Calibri" w:hAnsi="Calibri"/>
        <w:b/>
        <w:bCs/>
        <w:sz w:val="22"/>
        <w:szCs w:val="22"/>
      </w:rPr>
    </w:pPr>
    <w:r w:rsidRPr="00BE5514">
      <w:rPr>
        <w:rFonts w:ascii="Calibri" w:eastAsia="Calibri" w:hAnsi="Calibri"/>
        <w:b/>
        <w:bCs/>
        <w:sz w:val="22"/>
        <w:szCs w:val="22"/>
      </w:rPr>
      <w:t>Loss Reserves Certification Requirement</w:t>
    </w:r>
  </w:p>
  <w:p w14:paraId="7D870667" w14:textId="77777777" w:rsidR="001179A1" w:rsidRDefault="00117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2B6F" w14:textId="77777777" w:rsidR="00864B26" w:rsidRDefault="00B966D4" w:rsidP="00D31C6E">
    <w:pPr>
      <w:pStyle w:val="Header"/>
      <w:pBdr>
        <w:bottom w:val="single" w:sz="12" w:space="2" w:color="auto"/>
      </w:pBdr>
    </w:pPr>
    <w:r>
      <w:rPr>
        <w:noProof/>
      </w:rPr>
      <w:drawing>
        <wp:inline distT="0" distB="0" distL="0" distR="0" wp14:anchorId="7625C760" wp14:editId="225EA071">
          <wp:extent cx="2997200" cy="35351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27823" cy="368923"/>
                  </a:xfrm>
                  <a:prstGeom prst="rect">
                    <a:avLst/>
                  </a:prstGeom>
                </pic:spPr>
              </pic:pic>
            </a:graphicData>
          </a:graphic>
        </wp:inline>
      </w:drawing>
    </w:r>
  </w:p>
  <w:p w14:paraId="74EF0C53" w14:textId="77777777" w:rsidR="00864B26" w:rsidRPr="00D31C6E" w:rsidRDefault="00864B26" w:rsidP="00D31C6E">
    <w:pPr>
      <w:pStyle w:val="Header"/>
      <w:pBdr>
        <w:bottom w:val="single" w:sz="12" w:space="2" w:color="auto"/>
      </w:pBdr>
      <w:rPr>
        <w:sz w:val="4"/>
        <w:szCs w:val="4"/>
      </w:rPr>
    </w:pPr>
  </w:p>
  <w:p w14:paraId="11B8C58A" w14:textId="77777777" w:rsidR="00864B26" w:rsidRPr="00D31C6E" w:rsidRDefault="00864B26" w:rsidP="00D31C6E">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5CB6" w14:textId="77777777" w:rsidR="00A97850" w:rsidRPr="009E558D" w:rsidRDefault="00A97850" w:rsidP="00A97850">
    <w:pPr>
      <w:spacing w:after="60"/>
      <w:jc w:val="right"/>
      <w:rPr>
        <w:rFonts w:ascii="Calibri" w:eastAsia="Calibri" w:hAnsi="Calibri"/>
        <w:b/>
        <w:bCs/>
      </w:rPr>
    </w:pPr>
    <w:r w:rsidRPr="009E558D">
      <w:rPr>
        <w:rFonts w:ascii="Calibri" w:eastAsia="Calibri" w:hAnsi="Calibri"/>
        <w:b/>
        <w:bCs/>
      </w:rPr>
      <w:t>Attachment A</w:t>
    </w:r>
  </w:p>
  <w:p w14:paraId="369F8477" w14:textId="77777777" w:rsidR="00A97850" w:rsidRPr="00933938" w:rsidRDefault="00A97850" w:rsidP="00A97850">
    <w:pPr>
      <w:spacing w:after="60"/>
      <w:jc w:val="center"/>
      <w:rPr>
        <w:rFonts w:ascii="Calibri" w:eastAsia="Calibri" w:hAnsi="Calibri"/>
        <w:b/>
        <w:bCs/>
        <w:sz w:val="28"/>
        <w:szCs w:val="28"/>
      </w:rPr>
    </w:pPr>
    <w:r w:rsidRPr="00933938">
      <w:rPr>
        <w:rFonts w:ascii="Calibri" w:eastAsia="Calibri" w:hAnsi="Calibri"/>
        <w:b/>
        <w:bCs/>
        <w:sz w:val="28"/>
        <w:szCs w:val="28"/>
      </w:rPr>
      <w:t>NAIC International Insurers Department</w:t>
    </w:r>
  </w:p>
  <w:p w14:paraId="20A9949C" w14:textId="77777777" w:rsidR="00A97850" w:rsidRDefault="00A97850" w:rsidP="00A97850">
    <w:pPr>
      <w:jc w:val="center"/>
      <w:rPr>
        <w:rFonts w:ascii="Calibri" w:eastAsia="Calibri" w:hAnsi="Calibri"/>
        <w:b/>
        <w:bCs/>
        <w:sz w:val="22"/>
        <w:szCs w:val="22"/>
      </w:rPr>
    </w:pPr>
    <w:r w:rsidRPr="00933938">
      <w:rPr>
        <w:rFonts w:ascii="Calibri" w:eastAsia="Calibri" w:hAnsi="Calibri"/>
        <w:b/>
        <w:bCs/>
        <w:sz w:val="22"/>
        <w:szCs w:val="22"/>
      </w:rPr>
      <w:t>Surplus Lines Business Plan Requirements</w:t>
    </w:r>
  </w:p>
  <w:p w14:paraId="7338A3C6" w14:textId="77777777" w:rsidR="007C2DD7" w:rsidRPr="00D31C6E" w:rsidRDefault="007C2DD7" w:rsidP="00D31C6E">
    <w:pPr>
      <w:pStyle w:val="Header"/>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F2937" w14:textId="77777777" w:rsidR="00C94627" w:rsidRPr="00F7307A" w:rsidRDefault="00C94627" w:rsidP="001179A1">
    <w:pPr>
      <w:jc w:val="right"/>
      <w:rPr>
        <w:rFonts w:ascii="Calibri" w:eastAsia="Calibri" w:hAnsi="Calibri"/>
        <w:b/>
        <w:bCs/>
      </w:rPr>
    </w:pPr>
    <w:r w:rsidRPr="00F7307A">
      <w:rPr>
        <w:rFonts w:ascii="Calibri" w:eastAsia="Calibri" w:hAnsi="Calibri"/>
        <w:b/>
        <w:bCs/>
      </w:rPr>
      <w:t xml:space="preserve">Attachment </w:t>
    </w:r>
    <w:r>
      <w:rPr>
        <w:rFonts w:ascii="Calibri" w:eastAsia="Calibri" w:hAnsi="Calibri"/>
        <w:b/>
        <w:bCs/>
      </w:rPr>
      <w:t>B</w:t>
    </w:r>
  </w:p>
  <w:p w14:paraId="71D66D3D" w14:textId="77777777" w:rsidR="00C94627" w:rsidRPr="00F7307A" w:rsidRDefault="00C94627" w:rsidP="001179A1">
    <w:pPr>
      <w:jc w:val="center"/>
      <w:rPr>
        <w:rFonts w:ascii="Calibri" w:eastAsia="Calibri" w:hAnsi="Calibri"/>
        <w:b/>
        <w:bCs/>
        <w:sz w:val="28"/>
        <w:szCs w:val="28"/>
      </w:rPr>
    </w:pPr>
    <w:r w:rsidRPr="00F7307A">
      <w:rPr>
        <w:rFonts w:ascii="Calibri" w:eastAsia="Calibri" w:hAnsi="Calibri"/>
        <w:b/>
        <w:bCs/>
        <w:sz w:val="28"/>
        <w:szCs w:val="28"/>
      </w:rPr>
      <w:t>NAIC International Insurers Department</w:t>
    </w:r>
  </w:p>
  <w:p w14:paraId="3A759705" w14:textId="73B02558" w:rsidR="00C94627" w:rsidRDefault="00C94627" w:rsidP="00C94627">
    <w:pPr>
      <w:jc w:val="center"/>
      <w:rPr>
        <w:rFonts w:ascii="Calibri" w:eastAsia="Calibri" w:hAnsi="Calibri"/>
        <w:b/>
        <w:bCs/>
        <w:sz w:val="22"/>
        <w:szCs w:val="22"/>
      </w:rPr>
    </w:pPr>
    <w:r w:rsidRPr="00BE5514">
      <w:rPr>
        <w:rFonts w:ascii="Calibri" w:eastAsia="Calibri" w:hAnsi="Calibri"/>
        <w:b/>
        <w:bCs/>
        <w:sz w:val="22"/>
        <w:szCs w:val="22"/>
      </w:rPr>
      <w:t>Loss Reserves Certification Requirement</w:t>
    </w:r>
  </w:p>
  <w:p w14:paraId="670FC30C" w14:textId="77777777" w:rsidR="004A0AA7" w:rsidRDefault="004A0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165C" w14:textId="77777777" w:rsidR="00D200F5" w:rsidRPr="00F7307A" w:rsidRDefault="00D200F5" w:rsidP="00D200F5">
    <w:pPr>
      <w:jc w:val="right"/>
      <w:rPr>
        <w:rFonts w:ascii="Calibri" w:eastAsia="Calibri" w:hAnsi="Calibri"/>
        <w:b/>
        <w:bCs/>
      </w:rPr>
    </w:pPr>
    <w:r w:rsidRPr="00F7307A">
      <w:rPr>
        <w:rFonts w:ascii="Calibri" w:eastAsia="Calibri" w:hAnsi="Calibri"/>
        <w:b/>
        <w:bCs/>
      </w:rPr>
      <w:t xml:space="preserve">Attachment </w:t>
    </w:r>
    <w:r>
      <w:rPr>
        <w:rFonts w:ascii="Calibri" w:eastAsia="Calibri" w:hAnsi="Calibri"/>
        <w:b/>
        <w:bCs/>
      </w:rPr>
      <w:t>B</w:t>
    </w:r>
  </w:p>
  <w:p w14:paraId="0C07B6C5" w14:textId="77777777" w:rsidR="00D200F5" w:rsidRDefault="00D200F5" w:rsidP="00D200F5">
    <w:pPr>
      <w:jc w:val="right"/>
      <w:rPr>
        <w:rFonts w:ascii="Calibri" w:eastAsia="Calibri" w:hAnsi="Calibri"/>
        <w:b/>
        <w:bCs/>
        <w:sz w:val="28"/>
        <w:szCs w:val="28"/>
      </w:rPr>
    </w:pPr>
  </w:p>
  <w:p w14:paraId="1EFB53E6" w14:textId="77777777" w:rsidR="00D200F5" w:rsidRPr="00F7307A" w:rsidRDefault="00D200F5" w:rsidP="00D200F5">
    <w:pPr>
      <w:jc w:val="center"/>
      <w:rPr>
        <w:rFonts w:ascii="Calibri" w:eastAsia="Calibri" w:hAnsi="Calibri"/>
        <w:b/>
        <w:bCs/>
        <w:sz w:val="28"/>
        <w:szCs w:val="28"/>
      </w:rPr>
    </w:pPr>
    <w:r w:rsidRPr="00F7307A">
      <w:rPr>
        <w:rFonts w:ascii="Calibri" w:eastAsia="Calibri" w:hAnsi="Calibri"/>
        <w:b/>
        <w:bCs/>
        <w:sz w:val="28"/>
        <w:szCs w:val="28"/>
      </w:rPr>
      <w:t>NAIC International Insurers Department</w:t>
    </w:r>
  </w:p>
  <w:p w14:paraId="2ACE581A" w14:textId="77777777" w:rsidR="00D200F5" w:rsidRDefault="00D200F5" w:rsidP="00D200F5">
    <w:pPr>
      <w:jc w:val="center"/>
      <w:rPr>
        <w:rFonts w:ascii="Calibri" w:eastAsia="Calibri" w:hAnsi="Calibri"/>
        <w:b/>
        <w:bCs/>
        <w:sz w:val="22"/>
        <w:szCs w:val="22"/>
      </w:rPr>
    </w:pPr>
    <w:r w:rsidRPr="00BE5514">
      <w:rPr>
        <w:rFonts w:ascii="Calibri" w:eastAsia="Calibri" w:hAnsi="Calibri"/>
        <w:b/>
        <w:bCs/>
        <w:sz w:val="22"/>
        <w:szCs w:val="22"/>
      </w:rPr>
      <w:t>Loss Reserves Certification Requirement</w:t>
    </w:r>
  </w:p>
  <w:p w14:paraId="6E8C425C" w14:textId="77777777" w:rsidR="00864B26" w:rsidRPr="00D31C6E" w:rsidRDefault="00864B26" w:rsidP="00D31C6E">
    <w:pPr>
      <w:pStyle w:val="Header"/>
      <w:pBdr>
        <w:bottom w:val="single" w:sz="12" w:space="2" w:color="auto"/>
      </w:pBdr>
      <w:rPr>
        <w:sz w:val="4"/>
        <w:szCs w:val="4"/>
      </w:rPr>
    </w:pPr>
  </w:p>
  <w:p w14:paraId="0491D2DA" w14:textId="77777777" w:rsidR="00864B26" w:rsidRPr="00D31C6E" w:rsidRDefault="00864B26" w:rsidP="00D31C6E">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C28"/>
    <w:multiLevelType w:val="hybridMultilevel"/>
    <w:tmpl w:val="197044C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0B2A7C6E"/>
    <w:multiLevelType w:val="hybridMultilevel"/>
    <w:tmpl w:val="C22E13AA"/>
    <w:lvl w:ilvl="0" w:tplc="0409000F">
      <w:start w:val="1"/>
      <w:numFmt w:val="decimal"/>
      <w:lvlText w:val="%1."/>
      <w:lvlJc w:val="left"/>
      <w:pPr>
        <w:ind w:left="905" w:hanging="360"/>
      </w:p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2" w15:restartNumberingAfterBreak="0">
    <w:nsid w:val="0C413CDC"/>
    <w:multiLevelType w:val="hybridMultilevel"/>
    <w:tmpl w:val="F8B4D9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5413C"/>
    <w:multiLevelType w:val="hybridMultilevel"/>
    <w:tmpl w:val="922AF112"/>
    <w:lvl w:ilvl="0" w:tplc="F0881128">
      <w:start w:val="1"/>
      <w:numFmt w:val="bullet"/>
      <w:lvlText w:val=""/>
      <w:lvlJc w:val="left"/>
      <w:pPr>
        <w:ind w:left="720" w:hanging="360"/>
      </w:pPr>
      <w:rPr>
        <w:rFonts w:ascii="Symbol" w:hAnsi="Symbol" w:hint="default"/>
      </w:rPr>
    </w:lvl>
    <w:lvl w:ilvl="1" w:tplc="F08811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87F8A"/>
    <w:multiLevelType w:val="hybridMultilevel"/>
    <w:tmpl w:val="8A069206"/>
    <w:lvl w:ilvl="0" w:tplc="FFFFFFFF">
      <w:start w:val="1"/>
      <w:numFmt w:val="bullet"/>
      <w:lvlText w:val=""/>
      <w:lvlJc w:val="left"/>
      <w:pPr>
        <w:ind w:left="1080" w:hanging="360"/>
      </w:pPr>
      <w:rPr>
        <w:rFonts w:ascii="Symbol" w:hAnsi="Symbol" w:hint="default"/>
      </w:rPr>
    </w:lvl>
    <w:lvl w:ilvl="1" w:tplc="06D8E1EE">
      <w:start w:val="1"/>
      <w:numFmt w:val="lowerRoman"/>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42C3624B"/>
    <w:multiLevelType w:val="hybridMultilevel"/>
    <w:tmpl w:val="F87C4C50"/>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45922C55"/>
    <w:multiLevelType w:val="hybridMultilevel"/>
    <w:tmpl w:val="1C7298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A0237"/>
    <w:multiLevelType w:val="hybridMultilevel"/>
    <w:tmpl w:val="E2BC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E5AFA"/>
    <w:multiLevelType w:val="hybridMultilevel"/>
    <w:tmpl w:val="3E34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AA3E22"/>
    <w:multiLevelType w:val="hybridMultilevel"/>
    <w:tmpl w:val="BB42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C31F2"/>
    <w:multiLevelType w:val="hybridMultilevel"/>
    <w:tmpl w:val="D998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35333C"/>
    <w:multiLevelType w:val="hybridMultilevel"/>
    <w:tmpl w:val="FEDCFB0C"/>
    <w:lvl w:ilvl="0" w:tplc="F276250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F5A7726"/>
    <w:multiLevelType w:val="hybridMultilevel"/>
    <w:tmpl w:val="FCB68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8227784">
    <w:abstractNumId w:val="0"/>
  </w:num>
  <w:num w:numId="2" w16cid:durableId="279457901">
    <w:abstractNumId w:val="1"/>
  </w:num>
  <w:num w:numId="3" w16cid:durableId="505286450">
    <w:abstractNumId w:val="6"/>
  </w:num>
  <w:num w:numId="4" w16cid:durableId="240678931">
    <w:abstractNumId w:val="7"/>
  </w:num>
  <w:num w:numId="5" w16cid:durableId="460730013">
    <w:abstractNumId w:val="3"/>
  </w:num>
  <w:num w:numId="6" w16cid:durableId="2089644567">
    <w:abstractNumId w:val="2"/>
  </w:num>
  <w:num w:numId="7" w16cid:durableId="520898204">
    <w:abstractNumId w:val="12"/>
  </w:num>
  <w:num w:numId="8" w16cid:durableId="623467727">
    <w:abstractNumId w:val="9"/>
  </w:num>
  <w:num w:numId="9" w16cid:durableId="969938638">
    <w:abstractNumId w:val="5"/>
  </w:num>
  <w:num w:numId="10" w16cid:durableId="832572070">
    <w:abstractNumId w:val="4"/>
  </w:num>
  <w:num w:numId="11" w16cid:durableId="28260305">
    <w:abstractNumId w:val="8"/>
  </w:num>
  <w:num w:numId="12" w16cid:durableId="1587574887">
    <w:abstractNumId w:val="10"/>
  </w:num>
  <w:num w:numId="13" w16cid:durableId="11278188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109"/>
    <w:rsid w:val="00005B13"/>
    <w:rsid w:val="00011134"/>
    <w:rsid w:val="00013799"/>
    <w:rsid w:val="00014BEE"/>
    <w:rsid w:val="00026228"/>
    <w:rsid w:val="0002787C"/>
    <w:rsid w:val="00033816"/>
    <w:rsid w:val="000368A8"/>
    <w:rsid w:val="00040690"/>
    <w:rsid w:val="00047E92"/>
    <w:rsid w:val="00052863"/>
    <w:rsid w:val="0006307D"/>
    <w:rsid w:val="00075E76"/>
    <w:rsid w:val="000762FA"/>
    <w:rsid w:val="0008203E"/>
    <w:rsid w:val="00086C47"/>
    <w:rsid w:val="000912F9"/>
    <w:rsid w:val="000941AA"/>
    <w:rsid w:val="000969AC"/>
    <w:rsid w:val="0009794D"/>
    <w:rsid w:val="000A5483"/>
    <w:rsid w:val="000C3F03"/>
    <w:rsid w:val="000D25E0"/>
    <w:rsid w:val="000E1209"/>
    <w:rsid w:val="000E52F5"/>
    <w:rsid w:val="000F20B6"/>
    <w:rsid w:val="000F3C56"/>
    <w:rsid w:val="000F73D3"/>
    <w:rsid w:val="001007AB"/>
    <w:rsid w:val="001041A6"/>
    <w:rsid w:val="00104F82"/>
    <w:rsid w:val="00106EBF"/>
    <w:rsid w:val="001105AD"/>
    <w:rsid w:val="00114E74"/>
    <w:rsid w:val="001179A1"/>
    <w:rsid w:val="001211D7"/>
    <w:rsid w:val="00125E21"/>
    <w:rsid w:val="00130117"/>
    <w:rsid w:val="00131C91"/>
    <w:rsid w:val="0013209D"/>
    <w:rsid w:val="00133440"/>
    <w:rsid w:val="00144046"/>
    <w:rsid w:val="001451F7"/>
    <w:rsid w:val="00145ADA"/>
    <w:rsid w:val="00147BE8"/>
    <w:rsid w:val="001509CD"/>
    <w:rsid w:val="0015240C"/>
    <w:rsid w:val="001611A1"/>
    <w:rsid w:val="001654E9"/>
    <w:rsid w:val="00167453"/>
    <w:rsid w:val="00171BD1"/>
    <w:rsid w:val="00172DF7"/>
    <w:rsid w:val="00183643"/>
    <w:rsid w:val="00183926"/>
    <w:rsid w:val="00192BAD"/>
    <w:rsid w:val="001937D2"/>
    <w:rsid w:val="00194916"/>
    <w:rsid w:val="001A3223"/>
    <w:rsid w:val="001A53B6"/>
    <w:rsid w:val="001C3291"/>
    <w:rsid w:val="001C7362"/>
    <w:rsid w:val="001F2BD2"/>
    <w:rsid w:val="0020244E"/>
    <w:rsid w:val="00205B78"/>
    <w:rsid w:val="002105BF"/>
    <w:rsid w:val="002305A6"/>
    <w:rsid w:val="00232C0B"/>
    <w:rsid w:val="0023665C"/>
    <w:rsid w:val="00236AB4"/>
    <w:rsid w:val="00244C13"/>
    <w:rsid w:val="0024746E"/>
    <w:rsid w:val="00252717"/>
    <w:rsid w:val="00254FCA"/>
    <w:rsid w:val="002606B6"/>
    <w:rsid w:val="00264B54"/>
    <w:rsid w:val="00265195"/>
    <w:rsid w:val="00270B56"/>
    <w:rsid w:val="002743C3"/>
    <w:rsid w:val="00275C15"/>
    <w:rsid w:val="002935B6"/>
    <w:rsid w:val="002A1E07"/>
    <w:rsid w:val="002A35D4"/>
    <w:rsid w:val="002A3A83"/>
    <w:rsid w:val="002A4266"/>
    <w:rsid w:val="002A50ED"/>
    <w:rsid w:val="002A7663"/>
    <w:rsid w:val="002B7403"/>
    <w:rsid w:val="002C2855"/>
    <w:rsid w:val="002C6D31"/>
    <w:rsid w:val="002D7E83"/>
    <w:rsid w:val="002E702F"/>
    <w:rsid w:val="002F266D"/>
    <w:rsid w:val="00300287"/>
    <w:rsid w:val="00301598"/>
    <w:rsid w:val="003043AB"/>
    <w:rsid w:val="0031121D"/>
    <w:rsid w:val="00311B5D"/>
    <w:rsid w:val="003215E7"/>
    <w:rsid w:val="00332B7C"/>
    <w:rsid w:val="00344D50"/>
    <w:rsid w:val="00344F2C"/>
    <w:rsid w:val="00347B38"/>
    <w:rsid w:val="00354265"/>
    <w:rsid w:val="003559E9"/>
    <w:rsid w:val="00373FA3"/>
    <w:rsid w:val="00374210"/>
    <w:rsid w:val="00382026"/>
    <w:rsid w:val="003956B7"/>
    <w:rsid w:val="003A0143"/>
    <w:rsid w:val="003C4F40"/>
    <w:rsid w:val="003D15C2"/>
    <w:rsid w:val="003D584A"/>
    <w:rsid w:val="003E1A52"/>
    <w:rsid w:val="003F3DDF"/>
    <w:rsid w:val="004016EF"/>
    <w:rsid w:val="0040469E"/>
    <w:rsid w:val="00436093"/>
    <w:rsid w:val="00450718"/>
    <w:rsid w:val="004656D1"/>
    <w:rsid w:val="004709FC"/>
    <w:rsid w:val="00471E8A"/>
    <w:rsid w:val="00472E5A"/>
    <w:rsid w:val="0048378C"/>
    <w:rsid w:val="00483793"/>
    <w:rsid w:val="0048727C"/>
    <w:rsid w:val="0049457B"/>
    <w:rsid w:val="004A0AA7"/>
    <w:rsid w:val="004A2063"/>
    <w:rsid w:val="004A43D8"/>
    <w:rsid w:val="004A76D7"/>
    <w:rsid w:val="004B4839"/>
    <w:rsid w:val="004C436A"/>
    <w:rsid w:val="004C5F22"/>
    <w:rsid w:val="004C725C"/>
    <w:rsid w:val="004D388C"/>
    <w:rsid w:val="004E7322"/>
    <w:rsid w:val="004F2365"/>
    <w:rsid w:val="00500EB7"/>
    <w:rsid w:val="0050342B"/>
    <w:rsid w:val="00507904"/>
    <w:rsid w:val="0051714C"/>
    <w:rsid w:val="005253D1"/>
    <w:rsid w:val="0052618E"/>
    <w:rsid w:val="00526A00"/>
    <w:rsid w:val="00530F84"/>
    <w:rsid w:val="00536D1F"/>
    <w:rsid w:val="0054145A"/>
    <w:rsid w:val="00543B97"/>
    <w:rsid w:val="00547574"/>
    <w:rsid w:val="00566117"/>
    <w:rsid w:val="00576870"/>
    <w:rsid w:val="0058230E"/>
    <w:rsid w:val="00582FD0"/>
    <w:rsid w:val="005837FD"/>
    <w:rsid w:val="00587360"/>
    <w:rsid w:val="0059277C"/>
    <w:rsid w:val="005B0B19"/>
    <w:rsid w:val="005C054A"/>
    <w:rsid w:val="005E11C4"/>
    <w:rsid w:val="005E4CF1"/>
    <w:rsid w:val="0060518E"/>
    <w:rsid w:val="00606B88"/>
    <w:rsid w:val="00624023"/>
    <w:rsid w:val="00627CFB"/>
    <w:rsid w:val="006417AB"/>
    <w:rsid w:val="0065077E"/>
    <w:rsid w:val="00664072"/>
    <w:rsid w:val="00673C52"/>
    <w:rsid w:val="00693581"/>
    <w:rsid w:val="0069393C"/>
    <w:rsid w:val="006968AF"/>
    <w:rsid w:val="006A6CB1"/>
    <w:rsid w:val="006C3202"/>
    <w:rsid w:val="006D2B94"/>
    <w:rsid w:val="006D3DAC"/>
    <w:rsid w:val="006E260B"/>
    <w:rsid w:val="006E27ED"/>
    <w:rsid w:val="006E2FAC"/>
    <w:rsid w:val="006E3B1A"/>
    <w:rsid w:val="006E7659"/>
    <w:rsid w:val="006F4D27"/>
    <w:rsid w:val="0070139C"/>
    <w:rsid w:val="0070397B"/>
    <w:rsid w:val="00703A65"/>
    <w:rsid w:val="00711374"/>
    <w:rsid w:val="00717DA4"/>
    <w:rsid w:val="0072659F"/>
    <w:rsid w:val="00730F14"/>
    <w:rsid w:val="0073226C"/>
    <w:rsid w:val="00742060"/>
    <w:rsid w:val="00743201"/>
    <w:rsid w:val="007529ED"/>
    <w:rsid w:val="00755F60"/>
    <w:rsid w:val="00757BC0"/>
    <w:rsid w:val="00760AB9"/>
    <w:rsid w:val="007612B8"/>
    <w:rsid w:val="007616F2"/>
    <w:rsid w:val="007750BC"/>
    <w:rsid w:val="007772E9"/>
    <w:rsid w:val="00781320"/>
    <w:rsid w:val="00793250"/>
    <w:rsid w:val="007C06EA"/>
    <w:rsid w:val="007C0DCD"/>
    <w:rsid w:val="007C2DD7"/>
    <w:rsid w:val="007C6AD0"/>
    <w:rsid w:val="007D4F62"/>
    <w:rsid w:val="007F11FF"/>
    <w:rsid w:val="00811A4C"/>
    <w:rsid w:val="008174FD"/>
    <w:rsid w:val="00822CE5"/>
    <w:rsid w:val="008278CC"/>
    <w:rsid w:val="00842E9A"/>
    <w:rsid w:val="00843097"/>
    <w:rsid w:val="00843E5F"/>
    <w:rsid w:val="00844BAB"/>
    <w:rsid w:val="00864085"/>
    <w:rsid w:val="00864B26"/>
    <w:rsid w:val="008662A1"/>
    <w:rsid w:val="0086646F"/>
    <w:rsid w:val="008751BA"/>
    <w:rsid w:val="008853B8"/>
    <w:rsid w:val="008915CE"/>
    <w:rsid w:val="00892F28"/>
    <w:rsid w:val="00895F07"/>
    <w:rsid w:val="008A1D1C"/>
    <w:rsid w:val="008A3EB5"/>
    <w:rsid w:val="008B73D9"/>
    <w:rsid w:val="008D2601"/>
    <w:rsid w:val="008E0B1D"/>
    <w:rsid w:val="008E4659"/>
    <w:rsid w:val="008F0FCD"/>
    <w:rsid w:val="008F2955"/>
    <w:rsid w:val="009017FC"/>
    <w:rsid w:val="00910252"/>
    <w:rsid w:val="00911DAF"/>
    <w:rsid w:val="00912D06"/>
    <w:rsid w:val="00914176"/>
    <w:rsid w:val="0092356E"/>
    <w:rsid w:val="009300A0"/>
    <w:rsid w:val="00930597"/>
    <w:rsid w:val="00933938"/>
    <w:rsid w:val="0095273B"/>
    <w:rsid w:val="00961187"/>
    <w:rsid w:val="00967427"/>
    <w:rsid w:val="00967CAE"/>
    <w:rsid w:val="00972E50"/>
    <w:rsid w:val="00973B5F"/>
    <w:rsid w:val="009740E7"/>
    <w:rsid w:val="0098568B"/>
    <w:rsid w:val="009878BD"/>
    <w:rsid w:val="00987DEE"/>
    <w:rsid w:val="00991599"/>
    <w:rsid w:val="0099219D"/>
    <w:rsid w:val="00993E6E"/>
    <w:rsid w:val="009A0461"/>
    <w:rsid w:val="009A14BF"/>
    <w:rsid w:val="009A6188"/>
    <w:rsid w:val="009A7722"/>
    <w:rsid w:val="009C20D3"/>
    <w:rsid w:val="009C52A3"/>
    <w:rsid w:val="009C5D84"/>
    <w:rsid w:val="009C7CF7"/>
    <w:rsid w:val="009D4983"/>
    <w:rsid w:val="009E06CE"/>
    <w:rsid w:val="009E558D"/>
    <w:rsid w:val="009E5B1B"/>
    <w:rsid w:val="009E5F5E"/>
    <w:rsid w:val="00A04827"/>
    <w:rsid w:val="00A15173"/>
    <w:rsid w:val="00A21427"/>
    <w:rsid w:val="00A21617"/>
    <w:rsid w:val="00A23109"/>
    <w:rsid w:val="00A30C5E"/>
    <w:rsid w:val="00A33D5E"/>
    <w:rsid w:val="00A467F2"/>
    <w:rsid w:val="00A46F86"/>
    <w:rsid w:val="00A50CF2"/>
    <w:rsid w:val="00A5243D"/>
    <w:rsid w:val="00A567B8"/>
    <w:rsid w:val="00A56FDB"/>
    <w:rsid w:val="00A576F3"/>
    <w:rsid w:val="00A57C3A"/>
    <w:rsid w:val="00A613A3"/>
    <w:rsid w:val="00A6168B"/>
    <w:rsid w:val="00A62643"/>
    <w:rsid w:val="00A658B0"/>
    <w:rsid w:val="00A736C0"/>
    <w:rsid w:val="00A75BEE"/>
    <w:rsid w:val="00A77B7F"/>
    <w:rsid w:val="00A84B97"/>
    <w:rsid w:val="00A8671A"/>
    <w:rsid w:val="00A93C83"/>
    <w:rsid w:val="00A97850"/>
    <w:rsid w:val="00AA2655"/>
    <w:rsid w:val="00AB29AC"/>
    <w:rsid w:val="00AB3B6B"/>
    <w:rsid w:val="00AB5A2E"/>
    <w:rsid w:val="00AD3C23"/>
    <w:rsid w:val="00AE0019"/>
    <w:rsid w:val="00AE2D92"/>
    <w:rsid w:val="00AE504D"/>
    <w:rsid w:val="00B073C4"/>
    <w:rsid w:val="00B113E0"/>
    <w:rsid w:val="00B11EB8"/>
    <w:rsid w:val="00B3230B"/>
    <w:rsid w:val="00B4361A"/>
    <w:rsid w:val="00B4389F"/>
    <w:rsid w:val="00B52946"/>
    <w:rsid w:val="00B538D3"/>
    <w:rsid w:val="00B57AE2"/>
    <w:rsid w:val="00B57C96"/>
    <w:rsid w:val="00B63800"/>
    <w:rsid w:val="00B63A44"/>
    <w:rsid w:val="00B8072E"/>
    <w:rsid w:val="00B966D4"/>
    <w:rsid w:val="00BA5935"/>
    <w:rsid w:val="00BB07F8"/>
    <w:rsid w:val="00BB5DB3"/>
    <w:rsid w:val="00BB717E"/>
    <w:rsid w:val="00BC1EA5"/>
    <w:rsid w:val="00BC4E99"/>
    <w:rsid w:val="00BC4F9E"/>
    <w:rsid w:val="00BC7E41"/>
    <w:rsid w:val="00BE5514"/>
    <w:rsid w:val="00C0133C"/>
    <w:rsid w:val="00C06A79"/>
    <w:rsid w:val="00C124A6"/>
    <w:rsid w:val="00C137A1"/>
    <w:rsid w:val="00C158D6"/>
    <w:rsid w:val="00C22D25"/>
    <w:rsid w:val="00C2713F"/>
    <w:rsid w:val="00C2716C"/>
    <w:rsid w:val="00C309A7"/>
    <w:rsid w:val="00C32D41"/>
    <w:rsid w:val="00C44F5A"/>
    <w:rsid w:val="00C54F81"/>
    <w:rsid w:val="00C732C4"/>
    <w:rsid w:val="00C94627"/>
    <w:rsid w:val="00CB3EF7"/>
    <w:rsid w:val="00CD0D0F"/>
    <w:rsid w:val="00CD30B8"/>
    <w:rsid w:val="00CE1DE9"/>
    <w:rsid w:val="00CE2DD5"/>
    <w:rsid w:val="00CE2EF5"/>
    <w:rsid w:val="00CE421E"/>
    <w:rsid w:val="00CE6397"/>
    <w:rsid w:val="00CF3D7D"/>
    <w:rsid w:val="00CF61F5"/>
    <w:rsid w:val="00D04788"/>
    <w:rsid w:val="00D10199"/>
    <w:rsid w:val="00D1313B"/>
    <w:rsid w:val="00D200F5"/>
    <w:rsid w:val="00D274BF"/>
    <w:rsid w:val="00D2767B"/>
    <w:rsid w:val="00D315C2"/>
    <w:rsid w:val="00D31C6E"/>
    <w:rsid w:val="00D33101"/>
    <w:rsid w:val="00D371C6"/>
    <w:rsid w:val="00D51A99"/>
    <w:rsid w:val="00D603D0"/>
    <w:rsid w:val="00D66EC4"/>
    <w:rsid w:val="00D736FF"/>
    <w:rsid w:val="00D75422"/>
    <w:rsid w:val="00D75D1F"/>
    <w:rsid w:val="00D86815"/>
    <w:rsid w:val="00DB3F53"/>
    <w:rsid w:val="00DC2BF4"/>
    <w:rsid w:val="00DD1713"/>
    <w:rsid w:val="00DE4122"/>
    <w:rsid w:val="00DE7571"/>
    <w:rsid w:val="00DF041D"/>
    <w:rsid w:val="00DF7745"/>
    <w:rsid w:val="00E057D7"/>
    <w:rsid w:val="00E111AF"/>
    <w:rsid w:val="00E25166"/>
    <w:rsid w:val="00E42AED"/>
    <w:rsid w:val="00E4416E"/>
    <w:rsid w:val="00E52144"/>
    <w:rsid w:val="00E5765A"/>
    <w:rsid w:val="00E60014"/>
    <w:rsid w:val="00E62CBD"/>
    <w:rsid w:val="00E635A7"/>
    <w:rsid w:val="00E648EC"/>
    <w:rsid w:val="00E67126"/>
    <w:rsid w:val="00E75629"/>
    <w:rsid w:val="00E759D5"/>
    <w:rsid w:val="00E85221"/>
    <w:rsid w:val="00E8655D"/>
    <w:rsid w:val="00E953FA"/>
    <w:rsid w:val="00EA2784"/>
    <w:rsid w:val="00EA5A4C"/>
    <w:rsid w:val="00EB43CB"/>
    <w:rsid w:val="00EC2290"/>
    <w:rsid w:val="00ED2586"/>
    <w:rsid w:val="00EE3AB3"/>
    <w:rsid w:val="00EE4704"/>
    <w:rsid w:val="00EE6C4D"/>
    <w:rsid w:val="00EF3149"/>
    <w:rsid w:val="00EF7D48"/>
    <w:rsid w:val="00F019A2"/>
    <w:rsid w:val="00F06609"/>
    <w:rsid w:val="00F215F3"/>
    <w:rsid w:val="00F21D8E"/>
    <w:rsid w:val="00F2222F"/>
    <w:rsid w:val="00F268D4"/>
    <w:rsid w:val="00F356FF"/>
    <w:rsid w:val="00F35DEF"/>
    <w:rsid w:val="00F407BE"/>
    <w:rsid w:val="00F458D2"/>
    <w:rsid w:val="00F534D6"/>
    <w:rsid w:val="00F5599B"/>
    <w:rsid w:val="00F70902"/>
    <w:rsid w:val="00F7307A"/>
    <w:rsid w:val="00F8487A"/>
    <w:rsid w:val="00F9017B"/>
    <w:rsid w:val="00FA0270"/>
    <w:rsid w:val="00FA285D"/>
    <w:rsid w:val="00FA3B56"/>
    <w:rsid w:val="00FB1A8E"/>
    <w:rsid w:val="00FB304C"/>
    <w:rsid w:val="00FB633E"/>
    <w:rsid w:val="00FC2B3D"/>
    <w:rsid w:val="00FC3FC3"/>
    <w:rsid w:val="00FD257C"/>
    <w:rsid w:val="00FD2EF7"/>
    <w:rsid w:val="00FE025A"/>
    <w:rsid w:val="00FE11A7"/>
    <w:rsid w:val="00FE124C"/>
    <w:rsid w:val="00FE2736"/>
    <w:rsid w:val="00FF4CA8"/>
    <w:rsid w:val="2F239E39"/>
    <w:rsid w:val="348A41FB"/>
    <w:rsid w:val="3CE51C6C"/>
    <w:rsid w:val="4A3ED3C9"/>
    <w:rsid w:val="4ABE11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A7B5F5"/>
  <w15:docId w15:val="{59D33173-3CB7-4AE6-B48F-0CA91627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after="10"/>
      <w:jc w:val="right"/>
      <w:outlineLvl w:val="0"/>
    </w:pPr>
    <w:rPr>
      <w:b/>
      <w:sz w:val="15"/>
    </w:rPr>
  </w:style>
  <w:style w:type="paragraph" w:styleId="Heading2">
    <w:name w:val="heading 2"/>
    <w:basedOn w:val="Normal"/>
    <w:next w:val="Normal"/>
    <w:qFormat/>
    <w:pPr>
      <w:keepNext/>
      <w:spacing w:after="4"/>
      <w:jc w:val="right"/>
      <w:outlineLvl w:val="1"/>
    </w:pPr>
    <w:rPr>
      <w:b/>
      <w:sz w:val="17"/>
    </w:rPr>
  </w:style>
  <w:style w:type="paragraph" w:styleId="Heading3">
    <w:name w:val="heading 3"/>
    <w:basedOn w:val="Normal"/>
    <w:next w:val="Normal"/>
    <w:qFormat/>
    <w:pPr>
      <w:keepNext/>
      <w:outlineLvl w:val="2"/>
    </w:pPr>
    <w:rPr>
      <w:b/>
      <w:i/>
      <w:sz w:val="72"/>
    </w:rPr>
  </w:style>
  <w:style w:type="paragraph" w:styleId="Heading4">
    <w:name w:val="heading 4"/>
    <w:basedOn w:val="Normal"/>
    <w:next w:val="Normal"/>
    <w:qFormat/>
    <w:pPr>
      <w:keepNext/>
      <w:pBdr>
        <w:left w:val="single" w:sz="4" w:space="4" w:color="auto"/>
        <w:bottom w:val="single" w:sz="4" w:space="1" w:color="auto"/>
        <w:right w:val="single" w:sz="4" w:space="4" w:color="auto"/>
      </w:pBdr>
      <w:outlineLvl w:val="3"/>
    </w:pPr>
    <w:rPr>
      <w:b/>
      <w:spacing w:val="2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rsid w:val="00192BAD"/>
    <w:pPr>
      <w:ind w:left="900" w:right="-720"/>
      <w:jc w:val="both"/>
    </w:pPr>
    <w:rPr>
      <w:sz w:val="24"/>
    </w:rPr>
  </w:style>
  <w:style w:type="paragraph" w:styleId="FootnoteText">
    <w:name w:val="footnote text"/>
    <w:basedOn w:val="Normal"/>
    <w:semiHidden/>
    <w:rsid w:val="00D75422"/>
    <w:rPr>
      <w:rFonts w:eastAsia="Times New Roman"/>
    </w:rPr>
  </w:style>
  <w:style w:type="character" w:styleId="FootnoteReference">
    <w:name w:val="footnote reference"/>
    <w:basedOn w:val="DefaultParagraphFont"/>
    <w:semiHidden/>
    <w:rsid w:val="00D75422"/>
    <w:rPr>
      <w:vertAlign w:val="superscript"/>
    </w:rPr>
  </w:style>
  <w:style w:type="character" w:customStyle="1" w:styleId="xesmall1">
    <w:name w:val="xesmall1"/>
    <w:basedOn w:val="DefaultParagraphFont"/>
    <w:rsid w:val="00D75422"/>
    <w:rPr>
      <w:color w:val="666666"/>
      <w:sz w:val="23"/>
      <w:szCs w:val="23"/>
    </w:rPr>
  </w:style>
  <w:style w:type="character" w:styleId="PageNumber">
    <w:name w:val="page number"/>
    <w:basedOn w:val="DefaultParagraphFont"/>
    <w:rsid w:val="00D75422"/>
  </w:style>
  <w:style w:type="character" w:styleId="Emphasis">
    <w:name w:val="Emphasis"/>
    <w:basedOn w:val="DefaultParagraphFont"/>
    <w:qFormat/>
    <w:rsid w:val="009E5B1B"/>
    <w:rPr>
      <w:b/>
      <w:bCs/>
      <w:i w:val="0"/>
      <w:iCs w:val="0"/>
    </w:rPr>
  </w:style>
  <w:style w:type="paragraph" w:styleId="BalloonText">
    <w:name w:val="Balloon Text"/>
    <w:basedOn w:val="Normal"/>
    <w:link w:val="BalloonTextChar"/>
    <w:rsid w:val="00C22D25"/>
    <w:rPr>
      <w:rFonts w:ascii="Tahoma" w:hAnsi="Tahoma" w:cs="Tahoma"/>
      <w:sz w:val="16"/>
      <w:szCs w:val="16"/>
    </w:rPr>
  </w:style>
  <w:style w:type="character" w:customStyle="1" w:styleId="BalloonTextChar">
    <w:name w:val="Balloon Text Char"/>
    <w:basedOn w:val="DefaultParagraphFont"/>
    <w:link w:val="BalloonText"/>
    <w:rsid w:val="00C22D25"/>
    <w:rPr>
      <w:rFonts w:ascii="Tahoma" w:hAnsi="Tahoma" w:cs="Tahoma"/>
      <w:sz w:val="16"/>
      <w:szCs w:val="16"/>
    </w:rPr>
  </w:style>
  <w:style w:type="paragraph" w:styleId="ListParagraph">
    <w:name w:val="List Paragraph"/>
    <w:basedOn w:val="Normal"/>
    <w:uiPriority w:val="34"/>
    <w:qFormat/>
    <w:rsid w:val="0060518E"/>
    <w:pPr>
      <w:ind w:left="720"/>
      <w:contextualSpacing/>
    </w:pPr>
  </w:style>
  <w:style w:type="character" w:styleId="UnresolvedMention">
    <w:name w:val="Unresolved Mention"/>
    <w:basedOn w:val="DefaultParagraphFont"/>
    <w:uiPriority w:val="99"/>
    <w:semiHidden/>
    <w:unhideWhenUsed/>
    <w:rsid w:val="009E06CE"/>
    <w:rPr>
      <w:color w:val="605E5C"/>
      <w:shd w:val="clear" w:color="auto" w:fill="E1DFDD"/>
    </w:rPr>
  </w:style>
  <w:style w:type="paragraph" w:customStyle="1" w:styleId="Default">
    <w:name w:val="Default"/>
    <w:rsid w:val="00014BEE"/>
    <w:pPr>
      <w:autoSpaceDE w:val="0"/>
      <w:autoSpaceDN w:val="0"/>
      <w:adjustRightInd w:val="0"/>
    </w:pPr>
    <w:rPr>
      <w:rFonts w:eastAsiaTheme="minorHAnsi"/>
      <w:color w:val="000000"/>
      <w:sz w:val="24"/>
      <w:szCs w:val="24"/>
    </w:rPr>
  </w:style>
  <w:style w:type="table" w:styleId="TableGrid">
    <w:name w:val="Table Grid"/>
    <w:basedOn w:val="TableNormal"/>
    <w:rsid w:val="003F3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B3EF7"/>
    <w:rPr>
      <w:sz w:val="16"/>
      <w:szCs w:val="16"/>
    </w:rPr>
  </w:style>
  <w:style w:type="paragraph" w:styleId="CommentText">
    <w:name w:val="annotation text"/>
    <w:basedOn w:val="Normal"/>
    <w:link w:val="CommentTextChar"/>
    <w:unhideWhenUsed/>
    <w:rsid w:val="00CB3EF7"/>
  </w:style>
  <w:style w:type="character" w:customStyle="1" w:styleId="CommentTextChar">
    <w:name w:val="Comment Text Char"/>
    <w:basedOn w:val="DefaultParagraphFont"/>
    <w:link w:val="CommentText"/>
    <w:rsid w:val="00CB3EF7"/>
  </w:style>
  <w:style w:type="paragraph" w:styleId="CommentSubject">
    <w:name w:val="annotation subject"/>
    <w:basedOn w:val="CommentText"/>
    <w:next w:val="CommentText"/>
    <w:link w:val="CommentSubjectChar"/>
    <w:semiHidden/>
    <w:unhideWhenUsed/>
    <w:rsid w:val="00CB3EF7"/>
    <w:rPr>
      <w:b/>
      <w:bCs/>
    </w:rPr>
  </w:style>
  <w:style w:type="character" w:customStyle="1" w:styleId="CommentSubjectChar">
    <w:name w:val="Comment Subject Char"/>
    <w:basedOn w:val="CommentTextChar"/>
    <w:link w:val="CommentSubject"/>
    <w:semiHidden/>
    <w:rsid w:val="00CB3EF7"/>
    <w:rPr>
      <w:b/>
      <w:bCs/>
    </w:rPr>
  </w:style>
  <w:style w:type="paragraph" w:styleId="Revision">
    <w:name w:val="Revision"/>
    <w:hidden/>
    <w:uiPriority w:val="99"/>
    <w:semiHidden/>
    <w:rsid w:val="00436093"/>
  </w:style>
  <w:style w:type="character" w:customStyle="1" w:styleId="HeaderChar">
    <w:name w:val="Header Char"/>
    <w:basedOn w:val="DefaultParagraphFont"/>
    <w:link w:val="Header"/>
    <w:rsid w:val="004A0AA7"/>
  </w:style>
  <w:style w:type="character" w:customStyle="1" w:styleId="FooterChar">
    <w:name w:val="Footer Char"/>
    <w:basedOn w:val="DefaultParagraphFont"/>
    <w:link w:val="Footer"/>
    <w:uiPriority w:val="99"/>
    <w:rsid w:val="004A0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7445">
      <w:bodyDiv w:val="1"/>
      <w:marLeft w:val="0"/>
      <w:marRight w:val="0"/>
      <w:marTop w:val="0"/>
      <w:marBottom w:val="0"/>
      <w:divBdr>
        <w:top w:val="none" w:sz="0" w:space="0" w:color="auto"/>
        <w:left w:val="none" w:sz="0" w:space="0" w:color="auto"/>
        <w:bottom w:val="none" w:sz="0" w:space="0" w:color="auto"/>
        <w:right w:val="none" w:sz="0" w:space="0" w:color="auto"/>
      </w:divBdr>
    </w:div>
    <w:div w:id="16461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tent.naic.org/sites/default/files/inline-files/%283%29%202019%20FINAL%20IID%20Plan%20of%20Operation.pdf"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optins.org/"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ic.org/prod_serv_alpha_listing.htm"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aleo@naic.org" TargetMode="External"/><Relationship Id="rId22"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wilkins\LOCALS~1\Temp\forms_naic_cipr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A98A9AF8AC8745BE8EA9C4763F33B2" ma:contentTypeVersion="10" ma:contentTypeDescription="Create a new document." ma:contentTypeScope="" ma:versionID="a02eeb4f489271447c9292646270c13b">
  <xsd:schema xmlns:xsd="http://www.w3.org/2001/XMLSchema" xmlns:xs="http://www.w3.org/2001/XMLSchema" xmlns:p="http://schemas.microsoft.com/office/2006/metadata/properties" xmlns:ns2="fddee51a-4dc5-419e-89dd-222a68aa4fb6" xmlns:ns3="826143e3-bbcb-45bb-8829-107013e701e5" targetNamespace="http://schemas.microsoft.com/office/2006/metadata/properties" ma:root="true" ma:fieldsID="beaadf8565fcb67162cd41acac3a3772" ns2:_="" ns3:_="">
    <xsd:import namespace="fddee51a-4dc5-419e-89dd-222a68aa4fb6"/>
    <xsd:import namespace="826143e3-bbcb-45bb-8829-107013e70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ee51a-4dc5-419e-89dd-222a68aa4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26143e3-bbcb-45bb-8829-107013e701e5">
      <UserInfo>
        <DisplayName>Arscott, Erin</DisplayName>
        <AccountId>52</AccountId>
        <AccountType/>
      </UserInfo>
      <UserInfo>
        <DisplayName>Hill, Kelly</DisplayName>
        <AccountId>53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CC095F-0F3C-47D5-AA89-61E749A6CEE0}">
  <ds:schemaRefs>
    <ds:schemaRef ds:uri="http://schemas.openxmlformats.org/officeDocument/2006/bibliography"/>
  </ds:schemaRefs>
</ds:datastoreItem>
</file>

<file path=customXml/itemProps2.xml><?xml version="1.0" encoding="utf-8"?>
<ds:datastoreItem xmlns:ds="http://schemas.openxmlformats.org/officeDocument/2006/customXml" ds:itemID="{E2AEBD10-8CBF-4A07-8539-F81B08413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ee51a-4dc5-419e-89dd-222a68aa4fb6"/>
    <ds:schemaRef ds:uri="826143e3-bbcb-45bb-8829-107013e70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02B3BD-1F16-4A56-A318-2442D1B9E821}">
  <ds:schemaRefs>
    <ds:schemaRef ds:uri="http://schemas.microsoft.com/office/2006/documentManagement/types"/>
    <ds:schemaRef ds:uri="http://purl.org/dc/dcmitype/"/>
    <ds:schemaRef ds:uri="fddee51a-4dc5-419e-89dd-222a68aa4fb6"/>
    <ds:schemaRef ds:uri="http://schemas.microsoft.com/office/2006/metadata/properties"/>
    <ds:schemaRef ds:uri="http://schemas.openxmlformats.org/package/2006/metadata/core-properties"/>
    <ds:schemaRef ds:uri="http://purl.org/dc/elements/1.1/"/>
    <ds:schemaRef ds:uri="http://www.w3.org/XML/1998/namespace"/>
    <ds:schemaRef ds:uri="826143e3-bbcb-45bb-8829-107013e701e5"/>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E49A9ACF-2EA8-466B-994F-8CCAF21E76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forms_naic_cipr_letterhead.dot</Template>
  <TotalTime>1</TotalTime>
  <Pages>4</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TO:</vt:lpstr>
    </vt:vector>
  </TitlesOfParts>
  <Company>NAIC</Company>
  <LinksUpToDate>false</LinksUpToDate>
  <CharactersWithSpaces>8020</CharactersWithSpaces>
  <SharedDoc>false</SharedDoc>
  <HLinks>
    <vt:vector size="24" baseType="variant">
      <vt:variant>
        <vt:i4>5046390</vt:i4>
      </vt:variant>
      <vt:variant>
        <vt:i4>9</vt:i4>
      </vt:variant>
      <vt:variant>
        <vt:i4>0</vt:i4>
      </vt:variant>
      <vt:variant>
        <vt:i4>5</vt:i4>
      </vt:variant>
      <vt:variant>
        <vt:lpwstr>mailto:adaleo@naic.org</vt:lpwstr>
      </vt:variant>
      <vt:variant>
        <vt:lpwstr/>
      </vt:variant>
      <vt:variant>
        <vt:i4>7667753</vt:i4>
      </vt:variant>
      <vt:variant>
        <vt:i4>6</vt:i4>
      </vt:variant>
      <vt:variant>
        <vt:i4>0</vt:i4>
      </vt:variant>
      <vt:variant>
        <vt:i4>5</vt:i4>
      </vt:variant>
      <vt:variant>
        <vt:lpwstr>https://content.naic.org/sites/default/files/inline-files/%283%29 2019 FINAL IID Plan of Operation.pdf</vt:lpwstr>
      </vt:variant>
      <vt:variant>
        <vt:lpwstr/>
      </vt:variant>
      <vt:variant>
        <vt:i4>2752617</vt:i4>
      </vt:variant>
      <vt:variant>
        <vt:i4>3</vt:i4>
      </vt:variant>
      <vt:variant>
        <vt:i4>0</vt:i4>
      </vt:variant>
      <vt:variant>
        <vt:i4>5</vt:i4>
      </vt:variant>
      <vt:variant>
        <vt:lpwstr>https://www.optins.org/</vt:lpwstr>
      </vt:variant>
      <vt:variant>
        <vt:lpwstr/>
      </vt:variant>
      <vt:variant>
        <vt:i4>2949225</vt:i4>
      </vt:variant>
      <vt:variant>
        <vt:i4>0</vt:i4>
      </vt:variant>
      <vt:variant>
        <vt:i4>0</vt:i4>
      </vt:variant>
      <vt:variant>
        <vt:i4>5</vt:i4>
      </vt:variant>
      <vt:variant>
        <vt:lpwstr>https://www.naic.org/prod_serv_alpha_listing.htm</vt:lpwstr>
      </vt:variant>
      <vt:variant>
        <vt:lpwstr>quarterly_alien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Wilkinson, Jeremy</dc:creator>
  <cp:keywords/>
  <cp:lastModifiedBy>Erin Arscott</cp:lastModifiedBy>
  <cp:revision>2</cp:revision>
  <cp:lastPrinted>2021-02-17T16:37:00Z</cp:lastPrinted>
  <dcterms:created xsi:type="dcterms:W3CDTF">2022-08-01T14:30:00Z</dcterms:created>
  <dcterms:modified xsi:type="dcterms:W3CDTF">2022-08-01T14:30:00Z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637704617</vt:i4>
  </property>
  <property fmtid="{D5CDD505-2E9C-101B-9397-08002B2CF9AE}" pid="3" name="_NewReviewCycle">
    <vt:lpwstr/>
  </property>
  <property fmtid="{D5CDD505-2E9C-101B-9397-08002B2CF9AE}" pid="4" name="_EmailSubject">
    <vt:lpwstr>New Letterhead</vt:lpwstr>
  </property>
  <property fmtid="{D5CDD505-2E9C-101B-9397-08002B2CF9AE}" pid="5" name="_AuthorEmail">
    <vt:lpwstr>jwilkins@naic.org</vt:lpwstr>
  </property>
  <property fmtid="{D5CDD505-2E9C-101B-9397-08002B2CF9AE}" pid="6" name="_AuthorEmailDisplayName">
    <vt:lpwstr>Wilkinson, Jeremy</vt:lpwstr>
  </property>
  <property fmtid="{D5CDD505-2E9C-101B-9397-08002B2CF9AE}" pid="7" name="_ReviewingToolsShownOnce">
    <vt:lpwstr/>
  </property>
  <property fmtid="{D5CDD505-2E9C-101B-9397-08002B2CF9AE}" pid="8" name="ContentTypeId">
    <vt:lpwstr>0x010100BBA98A9AF8AC8745BE8EA9C4763F33B2</vt:lpwstr>
  </property>
</Properties>
</file>