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68D09" w14:textId="31555A70" w:rsidR="00192BAD" w:rsidRDefault="00192BAD" w:rsidP="00373FA3">
      <w:pPr>
        <w:rPr>
          <w:rFonts w:asciiTheme="minorHAnsi" w:hAnsiTheme="minorHAnsi" w:cstheme="minorHAnsi"/>
        </w:rPr>
      </w:pPr>
    </w:p>
    <w:p w14:paraId="327B3C2D" w14:textId="4DEA4C4A" w:rsidR="00606B88" w:rsidRPr="001F7A76" w:rsidRDefault="001F7A76" w:rsidP="00606B88">
      <w:pPr>
        <w:rPr>
          <w:rFonts w:asciiTheme="minorHAnsi" w:hAnsiTheme="minorHAnsi" w:cstheme="minorHAnsi"/>
          <w:sz w:val="22"/>
          <w:szCs w:val="22"/>
        </w:rPr>
      </w:pPr>
      <w:r w:rsidRPr="001F7A76">
        <w:rPr>
          <w:rFonts w:asciiTheme="minorHAnsi" w:hAnsiTheme="minorHAnsi" w:cstheme="minorHAnsi"/>
          <w:sz w:val="22"/>
          <w:szCs w:val="22"/>
        </w:rPr>
        <w:t xml:space="preserve">March </w:t>
      </w:r>
      <w:r w:rsidR="00E25542">
        <w:rPr>
          <w:rFonts w:asciiTheme="minorHAnsi" w:hAnsiTheme="minorHAnsi" w:cstheme="minorHAnsi"/>
          <w:sz w:val="22"/>
          <w:szCs w:val="22"/>
        </w:rPr>
        <w:t>9</w:t>
      </w:r>
      <w:r w:rsidR="00606B88" w:rsidRPr="001F7A76">
        <w:rPr>
          <w:rFonts w:asciiTheme="minorHAnsi" w:hAnsiTheme="minorHAnsi" w:cstheme="minorHAnsi"/>
          <w:sz w:val="22"/>
          <w:szCs w:val="22"/>
        </w:rPr>
        <w:t>, 2021</w:t>
      </w:r>
    </w:p>
    <w:p w14:paraId="0B5CC6FA" w14:textId="036F5731" w:rsidR="00606B88" w:rsidRDefault="00606B88" w:rsidP="00373FA3">
      <w:pPr>
        <w:rPr>
          <w:rFonts w:asciiTheme="minorHAnsi" w:hAnsiTheme="minorHAnsi" w:cstheme="minorHAnsi"/>
        </w:rPr>
      </w:pPr>
    </w:p>
    <w:p w14:paraId="6170A18E" w14:textId="77777777" w:rsidR="001F7A76" w:rsidRPr="00300287" w:rsidRDefault="001F7A76" w:rsidP="00373FA3">
      <w:pPr>
        <w:rPr>
          <w:rFonts w:asciiTheme="minorHAnsi" w:hAnsiTheme="minorHAnsi" w:cstheme="minorHAnsi"/>
        </w:rPr>
      </w:pPr>
    </w:p>
    <w:p w14:paraId="29AC71D7" w14:textId="51EFA667" w:rsidR="00F06609" w:rsidRPr="008E4659" w:rsidRDefault="00F06609" w:rsidP="00373FA3">
      <w:pPr>
        <w:rPr>
          <w:rFonts w:asciiTheme="minorHAnsi" w:hAnsiTheme="minorHAnsi" w:cstheme="minorHAnsi"/>
          <w:sz w:val="24"/>
          <w:szCs w:val="24"/>
        </w:rPr>
      </w:pPr>
      <w:r w:rsidRPr="008E4659">
        <w:rPr>
          <w:rFonts w:asciiTheme="minorHAnsi" w:hAnsiTheme="minorHAnsi" w:cstheme="minorHAnsi"/>
          <w:sz w:val="24"/>
          <w:szCs w:val="24"/>
        </w:rPr>
        <w:t>To:</w:t>
      </w:r>
      <w:r w:rsidR="00D86815" w:rsidRPr="008E4659">
        <w:rPr>
          <w:rFonts w:asciiTheme="minorHAnsi" w:hAnsiTheme="minorHAnsi" w:cstheme="minorHAnsi"/>
          <w:sz w:val="24"/>
          <w:szCs w:val="24"/>
        </w:rPr>
        <w:tab/>
      </w:r>
      <w:r w:rsidR="001F7A76">
        <w:rPr>
          <w:rFonts w:asciiTheme="minorHAnsi" w:hAnsiTheme="minorHAnsi" w:cstheme="minorHAnsi"/>
          <w:sz w:val="24"/>
          <w:szCs w:val="24"/>
        </w:rPr>
        <w:t>Lloyd’s Syndicates</w:t>
      </w:r>
    </w:p>
    <w:p w14:paraId="39A847CB" w14:textId="77777777" w:rsidR="005E11C4" w:rsidRPr="008E4659" w:rsidRDefault="005E11C4" w:rsidP="00373FA3">
      <w:pPr>
        <w:rPr>
          <w:rFonts w:asciiTheme="minorHAnsi" w:hAnsiTheme="minorHAnsi" w:cstheme="minorHAnsi"/>
          <w:sz w:val="4"/>
          <w:szCs w:val="4"/>
        </w:rPr>
      </w:pPr>
    </w:p>
    <w:p w14:paraId="40AB0718" w14:textId="07D700DB" w:rsidR="00F06609" w:rsidRPr="008E4659" w:rsidRDefault="00F06609" w:rsidP="00373FA3">
      <w:pPr>
        <w:rPr>
          <w:rFonts w:asciiTheme="minorHAnsi" w:hAnsiTheme="minorHAnsi" w:cstheme="minorHAnsi"/>
          <w:sz w:val="24"/>
          <w:szCs w:val="24"/>
        </w:rPr>
      </w:pPr>
      <w:r w:rsidRPr="008E4659">
        <w:rPr>
          <w:rFonts w:asciiTheme="minorHAnsi" w:hAnsiTheme="minorHAnsi" w:cstheme="minorHAnsi"/>
          <w:sz w:val="24"/>
          <w:szCs w:val="24"/>
        </w:rPr>
        <w:t>From:</w:t>
      </w:r>
      <w:r w:rsidR="00D86815" w:rsidRPr="008E4659">
        <w:rPr>
          <w:rFonts w:asciiTheme="minorHAnsi" w:hAnsiTheme="minorHAnsi" w:cstheme="minorHAnsi"/>
          <w:sz w:val="24"/>
          <w:szCs w:val="24"/>
        </w:rPr>
        <w:tab/>
      </w:r>
      <w:r w:rsidRPr="008E4659">
        <w:rPr>
          <w:rFonts w:asciiTheme="minorHAnsi" w:hAnsiTheme="minorHAnsi" w:cstheme="minorHAnsi"/>
          <w:sz w:val="24"/>
          <w:szCs w:val="24"/>
        </w:rPr>
        <w:t>NAIC International Insurers Department</w:t>
      </w:r>
    </w:p>
    <w:p w14:paraId="5E487752" w14:textId="77777777" w:rsidR="005E11C4" w:rsidRPr="008E4659" w:rsidRDefault="005E11C4" w:rsidP="00373FA3">
      <w:pPr>
        <w:rPr>
          <w:rFonts w:asciiTheme="minorHAnsi" w:hAnsiTheme="minorHAnsi" w:cstheme="minorHAnsi"/>
          <w:sz w:val="4"/>
          <w:szCs w:val="4"/>
        </w:rPr>
      </w:pPr>
    </w:p>
    <w:p w14:paraId="5D09B948" w14:textId="6F454A8F" w:rsidR="00F06609" w:rsidRPr="008E4659" w:rsidRDefault="00F06609" w:rsidP="00373FA3">
      <w:pPr>
        <w:rPr>
          <w:rFonts w:asciiTheme="minorHAnsi" w:hAnsiTheme="minorHAnsi" w:cstheme="minorHAnsi"/>
          <w:sz w:val="24"/>
          <w:szCs w:val="24"/>
        </w:rPr>
      </w:pPr>
      <w:r w:rsidRPr="008E4659">
        <w:rPr>
          <w:rFonts w:asciiTheme="minorHAnsi" w:hAnsiTheme="minorHAnsi" w:cstheme="minorHAnsi"/>
          <w:sz w:val="24"/>
          <w:szCs w:val="24"/>
        </w:rPr>
        <w:t>Re:</w:t>
      </w:r>
      <w:r w:rsidR="00D86815" w:rsidRPr="008E4659">
        <w:rPr>
          <w:rFonts w:asciiTheme="minorHAnsi" w:hAnsiTheme="minorHAnsi" w:cstheme="minorHAnsi"/>
          <w:sz w:val="24"/>
          <w:szCs w:val="24"/>
        </w:rPr>
        <w:tab/>
      </w:r>
      <w:r w:rsidRPr="008E4659">
        <w:rPr>
          <w:rFonts w:asciiTheme="minorHAnsi" w:hAnsiTheme="minorHAnsi" w:cstheme="minorHAnsi"/>
          <w:sz w:val="24"/>
          <w:szCs w:val="24"/>
        </w:rPr>
        <w:t xml:space="preserve">NAIC </w:t>
      </w:r>
      <w:r w:rsidRPr="008E4659">
        <w:rPr>
          <w:rFonts w:asciiTheme="minorHAnsi" w:hAnsiTheme="minorHAnsi" w:cstheme="minorHAnsi"/>
          <w:i/>
          <w:iCs/>
          <w:sz w:val="24"/>
          <w:szCs w:val="24"/>
        </w:rPr>
        <w:t>Quarterly Listing of Alien Insurers</w:t>
      </w:r>
    </w:p>
    <w:p w14:paraId="640E7A43" w14:textId="1D16739C" w:rsidR="00F06609" w:rsidRPr="008E4659" w:rsidRDefault="00F06609" w:rsidP="00373FA3">
      <w:pPr>
        <w:rPr>
          <w:rFonts w:asciiTheme="minorHAnsi" w:hAnsiTheme="minorHAnsi" w:cstheme="minorHAnsi"/>
        </w:rPr>
      </w:pPr>
    </w:p>
    <w:p w14:paraId="015DF3F4" w14:textId="77777777" w:rsidR="005E11C4" w:rsidRPr="008E4659" w:rsidRDefault="005E11C4" w:rsidP="00373FA3">
      <w:pPr>
        <w:rPr>
          <w:rFonts w:asciiTheme="minorHAnsi" w:hAnsiTheme="minorHAnsi" w:cstheme="minorHAnsi"/>
        </w:rPr>
      </w:pPr>
    </w:p>
    <w:p w14:paraId="1927E817" w14:textId="022CD443" w:rsidR="009C5D84" w:rsidRPr="008E4659" w:rsidRDefault="009C5D84" w:rsidP="00373FA3">
      <w:pPr>
        <w:rPr>
          <w:rFonts w:asciiTheme="minorHAnsi" w:hAnsiTheme="minorHAnsi" w:cstheme="minorHAnsi"/>
          <w:sz w:val="22"/>
          <w:szCs w:val="22"/>
        </w:rPr>
      </w:pPr>
      <w:r w:rsidRPr="008E4659">
        <w:rPr>
          <w:rFonts w:asciiTheme="minorHAnsi" w:hAnsiTheme="minorHAnsi" w:cstheme="minorHAnsi"/>
          <w:sz w:val="22"/>
          <w:szCs w:val="22"/>
        </w:rPr>
        <w:t xml:space="preserve">The following </w:t>
      </w:r>
      <w:r w:rsidR="00C732C4">
        <w:rPr>
          <w:rFonts w:asciiTheme="minorHAnsi" w:hAnsiTheme="minorHAnsi" w:cstheme="minorHAnsi"/>
          <w:sz w:val="22"/>
          <w:szCs w:val="22"/>
        </w:rPr>
        <w:t xml:space="preserve">details </w:t>
      </w:r>
      <w:r w:rsidRPr="008E4659">
        <w:rPr>
          <w:rFonts w:asciiTheme="minorHAnsi" w:hAnsiTheme="minorHAnsi" w:cstheme="minorHAnsi"/>
          <w:sz w:val="22"/>
          <w:szCs w:val="22"/>
        </w:rPr>
        <w:t>outline the annual filing due date and the payment of fees to the NAIC International Insurers Department (IID) for continued listing o</w:t>
      </w:r>
      <w:r w:rsidR="00F06609" w:rsidRPr="008E4659">
        <w:rPr>
          <w:rFonts w:asciiTheme="minorHAnsi" w:hAnsiTheme="minorHAnsi" w:cstheme="minorHAnsi"/>
          <w:sz w:val="22"/>
          <w:szCs w:val="22"/>
        </w:rPr>
        <w:t>r</w:t>
      </w:r>
      <w:r w:rsidRPr="008E4659">
        <w:rPr>
          <w:rFonts w:asciiTheme="minorHAnsi" w:hAnsiTheme="minorHAnsi" w:cstheme="minorHAnsi"/>
          <w:sz w:val="22"/>
          <w:szCs w:val="22"/>
        </w:rPr>
        <w:t xml:space="preserve"> application to the</w:t>
      </w:r>
      <w:r w:rsidR="00F06609" w:rsidRPr="008E4659">
        <w:rPr>
          <w:rFonts w:asciiTheme="minorHAnsi" w:hAnsiTheme="minorHAnsi" w:cstheme="minorHAnsi"/>
          <w:sz w:val="22"/>
          <w:szCs w:val="22"/>
        </w:rPr>
        <w:t xml:space="preserve"> NAIC</w:t>
      </w:r>
      <w:r w:rsidRPr="008E4659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anchor="quarterly_alien" w:history="1">
        <w:r w:rsidRPr="008E4659">
          <w:rPr>
            <w:rStyle w:val="Hyperlink"/>
            <w:rFonts w:asciiTheme="minorHAnsi" w:hAnsiTheme="minorHAnsi" w:cstheme="minorHAnsi"/>
            <w:i/>
            <w:iCs/>
          </w:rPr>
          <w:t>Quarterly Listing of Alien Insurers</w:t>
        </w:r>
      </w:hyperlink>
      <w:r w:rsidRPr="008E465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4E02DA6" w14:textId="77777777" w:rsidR="009C5D84" w:rsidRPr="008E4659" w:rsidRDefault="009C5D84" w:rsidP="0030028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180B2FB" w14:textId="307D8322" w:rsidR="00B63800" w:rsidRPr="00265195" w:rsidRDefault="00265195" w:rsidP="00265195">
      <w:pPr>
        <w:rPr>
          <w:rFonts w:asciiTheme="minorHAnsi" w:hAnsiTheme="minorHAnsi" w:cstheme="minorHAnsi"/>
          <w:sz w:val="22"/>
          <w:szCs w:val="22"/>
        </w:rPr>
      </w:pPr>
      <w:r w:rsidRPr="00265195">
        <w:rPr>
          <w:rFonts w:asciiTheme="minorHAnsi" w:hAnsiTheme="minorHAnsi" w:cstheme="minorHAnsi"/>
          <w:sz w:val="22"/>
          <w:szCs w:val="22"/>
        </w:rPr>
        <w:t>The filing deadline for</w:t>
      </w:r>
      <w:r w:rsidR="007C06EA" w:rsidRPr="00265195">
        <w:rPr>
          <w:rFonts w:asciiTheme="minorHAnsi" w:hAnsiTheme="minorHAnsi" w:cstheme="minorHAnsi"/>
          <w:sz w:val="22"/>
          <w:szCs w:val="22"/>
        </w:rPr>
        <w:t xml:space="preserve"> </w:t>
      </w:r>
      <w:r w:rsidR="00781320" w:rsidRPr="00265195">
        <w:rPr>
          <w:rFonts w:asciiTheme="minorHAnsi" w:hAnsiTheme="minorHAnsi" w:cstheme="minorHAnsi"/>
          <w:sz w:val="22"/>
          <w:szCs w:val="22"/>
        </w:rPr>
        <w:t>submitting</w:t>
      </w:r>
      <w:r w:rsidR="00373FA3" w:rsidRPr="00265195">
        <w:rPr>
          <w:rFonts w:asciiTheme="minorHAnsi" w:hAnsiTheme="minorHAnsi" w:cstheme="minorHAnsi"/>
          <w:sz w:val="22"/>
          <w:szCs w:val="22"/>
        </w:rPr>
        <w:t xml:space="preserve"> YE20</w:t>
      </w:r>
      <w:r w:rsidR="00606B88" w:rsidRPr="00265195">
        <w:rPr>
          <w:rFonts w:asciiTheme="minorHAnsi" w:hAnsiTheme="minorHAnsi" w:cstheme="minorHAnsi"/>
          <w:sz w:val="22"/>
          <w:szCs w:val="22"/>
        </w:rPr>
        <w:t>20</w:t>
      </w:r>
      <w:r w:rsidR="007C06EA" w:rsidRPr="00265195">
        <w:rPr>
          <w:rFonts w:asciiTheme="minorHAnsi" w:hAnsiTheme="minorHAnsi" w:cstheme="minorHAnsi"/>
          <w:sz w:val="22"/>
          <w:szCs w:val="22"/>
        </w:rPr>
        <w:t xml:space="preserve"> IID </w:t>
      </w:r>
      <w:r w:rsidR="00144046">
        <w:rPr>
          <w:rFonts w:asciiTheme="minorHAnsi" w:hAnsiTheme="minorHAnsi" w:cstheme="minorHAnsi"/>
          <w:sz w:val="22"/>
          <w:szCs w:val="22"/>
        </w:rPr>
        <w:t>r</w:t>
      </w:r>
      <w:r w:rsidR="007C06EA" w:rsidRPr="00265195">
        <w:rPr>
          <w:rFonts w:asciiTheme="minorHAnsi" w:hAnsiTheme="minorHAnsi" w:cstheme="minorHAnsi"/>
          <w:sz w:val="22"/>
          <w:szCs w:val="22"/>
        </w:rPr>
        <w:t>enewal</w:t>
      </w:r>
      <w:r w:rsidR="00373FA3" w:rsidRPr="00265195">
        <w:rPr>
          <w:rFonts w:asciiTheme="minorHAnsi" w:hAnsiTheme="minorHAnsi" w:cstheme="minorHAnsi"/>
          <w:sz w:val="22"/>
          <w:szCs w:val="22"/>
        </w:rPr>
        <w:t>s</w:t>
      </w:r>
      <w:r w:rsidRPr="00265195">
        <w:rPr>
          <w:rFonts w:asciiTheme="minorHAnsi" w:hAnsiTheme="minorHAnsi" w:cstheme="minorHAnsi"/>
          <w:sz w:val="22"/>
          <w:szCs w:val="22"/>
        </w:rPr>
        <w:t xml:space="preserve"> which includes the </w:t>
      </w:r>
      <w:r w:rsidR="00C137A1">
        <w:rPr>
          <w:rFonts w:asciiTheme="minorHAnsi" w:hAnsiTheme="minorHAnsi" w:cstheme="minorHAnsi"/>
          <w:sz w:val="22"/>
          <w:szCs w:val="22"/>
        </w:rPr>
        <w:t>comprehensive annual</w:t>
      </w:r>
      <w:r w:rsidR="00014BEE" w:rsidRPr="00265195">
        <w:rPr>
          <w:rFonts w:asciiTheme="minorHAnsi" w:hAnsiTheme="minorHAnsi" w:cstheme="minorHAnsi"/>
          <w:sz w:val="22"/>
          <w:szCs w:val="22"/>
        </w:rPr>
        <w:t xml:space="preserve"> </w:t>
      </w:r>
      <w:r w:rsidR="00144046">
        <w:rPr>
          <w:rFonts w:asciiTheme="minorHAnsi" w:hAnsiTheme="minorHAnsi" w:cstheme="minorHAnsi"/>
          <w:sz w:val="22"/>
          <w:szCs w:val="22"/>
        </w:rPr>
        <w:t>f</w:t>
      </w:r>
      <w:r w:rsidR="00014BEE" w:rsidRPr="00265195">
        <w:rPr>
          <w:rFonts w:asciiTheme="minorHAnsi" w:hAnsiTheme="minorHAnsi" w:cstheme="minorHAnsi"/>
          <w:sz w:val="22"/>
          <w:szCs w:val="22"/>
        </w:rPr>
        <w:t>iling</w:t>
      </w:r>
      <w:r w:rsidRPr="00265195">
        <w:rPr>
          <w:rFonts w:asciiTheme="minorHAnsi" w:hAnsiTheme="minorHAnsi" w:cstheme="minorHAnsi"/>
          <w:sz w:val="22"/>
          <w:szCs w:val="22"/>
        </w:rPr>
        <w:t xml:space="preserve"> (</w:t>
      </w:r>
      <w:r w:rsidR="001F7A76">
        <w:rPr>
          <w:rFonts w:asciiTheme="minorHAnsi" w:hAnsiTheme="minorHAnsi" w:cstheme="minorHAnsi"/>
          <w:sz w:val="22"/>
          <w:szCs w:val="22"/>
        </w:rPr>
        <w:t>being revamped as of the present date</w:t>
      </w:r>
      <w:r w:rsidRPr="00265195">
        <w:rPr>
          <w:rFonts w:asciiTheme="minorHAnsi" w:hAnsiTheme="minorHAnsi" w:cstheme="minorHAnsi"/>
          <w:sz w:val="22"/>
          <w:szCs w:val="22"/>
        </w:rPr>
        <w:t xml:space="preserve">), </w:t>
      </w:r>
      <w:r w:rsidR="00144046">
        <w:rPr>
          <w:rFonts w:asciiTheme="minorHAnsi" w:hAnsiTheme="minorHAnsi" w:cstheme="minorHAnsi"/>
          <w:sz w:val="22"/>
          <w:szCs w:val="22"/>
        </w:rPr>
        <w:t>a</w:t>
      </w:r>
      <w:r w:rsidRPr="00265195">
        <w:rPr>
          <w:rFonts w:asciiTheme="minorHAnsi" w:hAnsiTheme="minorHAnsi" w:cstheme="minorHAnsi"/>
          <w:sz w:val="22"/>
          <w:szCs w:val="22"/>
        </w:rPr>
        <w:t xml:space="preserve">udit and </w:t>
      </w:r>
      <w:r w:rsidR="00144046">
        <w:rPr>
          <w:rFonts w:asciiTheme="minorHAnsi" w:hAnsiTheme="minorHAnsi" w:cstheme="minorHAnsi"/>
          <w:sz w:val="22"/>
          <w:szCs w:val="22"/>
        </w:rPr>
        <w:t>a</w:t>
      </w:r>
      <w:r w:rsidRPr="00265195">
        <w:rPr>
          <w:rFonts w:asciiTheme="minorHAnsi" w:hAnsiTheme="minorHAnsi" w:cstheme="minorHAnsi"/>
          <w:sz w:val="22"/>
          <w:szCs w:val="22"/>
        </w:rPr>
        <w:t xml:space="preserve">ctuarial </w:t>
      </w:r>
      <w:r w:rsidR="00144046">
        <w:rPr>
          <w:rFonts w:asciiTheme="minorHAnsi" w:hAnsiTheme="minorHAnsi" w:cstheme="minorHAnsi"/>
          <w:sz w:val="22"/>
          <w:szCs w:val="22"/>
        </w:rPr>
        <w:t>r</w:t>
      </w:r>
      <w:r w:rsidRPr="00265195">
        <w:rPr>
          <w:rFonts w:asciiTheme="minorHAnsi" w:hAnsiTheme="minorHAnsi" w:cstheme="minorHAnsi"/>
          <w:sz w:val="22"/>
          <w:szCs w:val="22"/>
        </w:rPr>
        <w:t>eports</w:t>
      </w:r>
      <w:r w:rsidR="00144046">
        <w:rPr>
          <w:rFonts w:asciiTheme="minorHAnsi" w:hAnsiTheme="minorHAnsi" w:cstheme="minorHAnsi"/>
          <w:sz w:val="22"/>
          <w:szCs w:val="22"/>
        </w:rPr>
        <w:t>,</w:t>
      </w:r>
      <w:r w:rsidRPr="00265195">
        <w:rPr>
          <w:rFonts w:asciiTheme="minorHAnsi" w:hAnsiTheme="minorHAnsi" w:cstheme="minorHAnsi"/>
          <w:sz w:val="22"/>
          <w:szCs w:val="22"/>
        </w:rPr>
        <w:t xml:space="preserve"> </w:t>
      </w:r>
      <w:r w:rsidR="00144046">
        <w:rPr>
          <w:rFonts w:asciiTheme="minorHAnsi" w:hAnsiTheme="minorHAnsi" w:cstheme="minorHAnsi"/>
          <w:sz w:val="22"/>
          <w:szCs w:val="22"/>
        </w:rPr>
        <w:t>any supplemental documents, and the</w:t>
      </w:r>
      <w:r w:rsidR="00014BEE" w:rsidRPr="0026519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</w:t>
      </w:r>
      <w:r w:rsidR="00014BEE" w:rsidRPr="00265195">
        <w:rPr>
          <w:rFonts w:asciiTheme="minorHAnsi" w:hAnsiTheme="minorHAnsi" w:cstheme="minorHAnsi"/>
          <w:sz w:val="22"/>
          <w:szCs w:val="22"/>
        </w:rPr>
        <w:t xml:space="preserve">enewal </w:t>
      </w:r>
      <w:r>
        <w:rPr>
          <w:rFonts w:asciiTheme="minorHAnsi" w:hAnsiTheme="minorHAnsi" w:cstheme="minorHAnsi"/>
          <w:sz w:val="22"/>
          <w:szCs w:val="22"/>
        </w:rPr>
        <w:t>p</w:t>
      </w:r>
      <w:r w:rsidR="00014BEE" w:rsidRPr="00265195">
        <w:rPr>
          <w:rFonts w:asciiTheme="minorHAnsi" w:hAnsiTheme="minorHAnsi" w:cstheme="minorHAnsi"/>
          <w:sz w:val="22"/>
          <w:szCs w:val="22"/>
        </w:rPr>
        <w:t>ayment</w:t>
      </w:r>
      <w:r w:rsidR="00AA2655" w:rsidRPr="00265195">
        <w:rPr>
          <w:rFonts w:asciiTheme="minorHAnsi" w:hAnsiTheme="minorHAnsi" w:cstheme="minorHAnsi"/>
          <w:sz w:val="22"/>
          <w:szCs w:val="22"/>
        </w:rPr>
        <w:t xml:space="preserve"> </w:t>
      </w:r>
      <w:r w:rsidR="00C732C4">
        <w:rPr>
          <w:rFonts w:asciiTheme="minorHAnsi" w:hAnsiTheme="minorHAnsi" w:cstheme="minorHAnsi"/>
          <w:sz w:val="22"/>
          <w:szCs w:val="22"/>
        </w:rPr>
        <w:t>is</w:t>
      </w:r>
      <w:r w:rsidR="00014BEE" w:rsidRPr="00265195">
        <w:rPr>
          <w:rFonts w:asciiTheme="minorHAnsi" w:hAnsiTheme="minorHAnsi" w:cstheme="minorHAnsi"/>
          <w:sz w:val="22"/>
          <w:szCs w:val="22"/>
        </w:rPr>
        <w:t xml:space="preserve"> </w:t>
      </w:r>
      <w:r w:rsidR="00606B88" w:rsidRPr="00265195">
        <w:rPr>
          <w:rFonts w:asciiTheme="minorHAnsi" w:hAnsiTheme="minorHAnsi" w:cstheme="minorHAnsi"/>
          <w:sz w:val="22"/>
          <w:szCs w:val="22"/>
        </w:rPr>
        <w:t>June 30</w:t>
      </w:r>
      <w:r w:rsidR="00014BEE" w:rsidRPr="00265195">
        <w:rPr>
          <w:rFonts w:asciiTheme="minorHAnsi" w:hAnsiTheme="minorHAnsi" w:cstheme="minorHAnsi"/>
          <w:sz w:val="22"/>
          <w:szCs w:val="22"/>
        </w:rPr>
        <w:t>, 202</w:t>
      </w:r>
      <w:r w:rsidR="00606B88" w:rsidRPr="00265195">
        <w:rPr>
          <w:rFonts w:asciiTheme="minorHAnsi" w:hAnsiTheme="minorHAnsi" w:cstheme="minorHAnsi"/>
          <w:sz w:val="22"/>
          <w:szCs w:val="22"/>
        </w:rPr>
        <w:t>1</w:t>
      </w:r>
      <w:r w:rsidR="00014BEE" w:rsidRPr="00265195">
        <w:rPr>
          <w:rFonts w:asciiTheme="minorHAnsi" w:hAnsiTheme="minorHAnsi" w:cstheme="minorHAnsi"/>
          <w:sz w:val="22"/>
          <w:szCs w:val="22"/>
        </w:rPr>
        <w:t>.</w:t>
      </w:r>
    </w:p>
    <w:p w14:paraId="441AFD81" w14:textId="1FD85E63" w:rsidR="00014BEE" w:rsidRPr="00300287" w:rsidRDefault="00014BEE" w:rsidP="00300287">
      <w:pPr>
        <w:rPr>
          <w:rFonts w:asciiTheme="minorHAnsi" w:hAnsiTheme="minorHAnsi" w:cstheme="minorHAnsi"/>
          <w:sz w:val="22"/>
          <w:szCs w:val="22"/>
        </w:rPr>
      </w:pPr>
    </w:p>
    <w:p w14:paraId="643BF65B" w14:textId="1D5A4EA6" w:rsidR="00014BEE" w:rsidRPr="008E4659" w:rsidRDefault="00C732C4" w:rsidP="0030028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Annual Renewal </w:t>
      </w:r>
      <w:r w:rsidR="00014BEE" w:rsidRPr="008E4659">
        <w:rPr>
          <w:rFonts w:asciiTheme="minorHAnsi" w:hAnsiTheme="minorHAnsi" w:cstheme="minorHAnsi"/>
          <w:b/>
          <w:bCs/>
          <w:sz w:val="22"/>
          <w:szCs w:val="22"/>
          <w:u w:val="single"/>
        </w:rPr>
        <w:t>Schedule of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Late</w:t>
      </w:r>
      <w:r w:rsidR="00014BEE" w:rsidRPr="008E465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Fees</w:t>
      </w:r>
    </w:p>
    <w:p w14:paraId="438AEF1F" w14:textId="77777777" w:rsidR="00781320" w:rsidRPr="008E4659" w:rsidRDefault="00781320" w:rsidP="00300287">
      <w:pPr>
        <w:rPr>
          <w:rFonts w:asciiTheme="minorHAnsi" w:hAnsiTheme="minorHAnsi" w:cstheme="minorHAnsi"/>
          <w:sz w:val="10"/>
          <w:szCs w:val="10"/>
        </w:rPr>
      </w:pPr>
    </w:p>
    <w:p w14:paraId="66717AEF" w14:textId="67FE9CF4" w:rsidR="00300287" w:rsidRPr="008E4659" w:rsidRDefault="00C732C4" w:rsidP="00373FA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3F3DDF" w:rsidRPr="008E4659">
        <w:rPr>
          <w:rFonts w:asciiTheme="minorHAnsi" w:hAnsiTheme="minorHAnsi" w:cstheme="minorHAnsi"/>
          <w:sz w:val="22"/>
          <w:szCs w:val="22"/>
        </w:rPr>
        <w:t xml:space="preserve">he following fees are only for the </w:t>
      </w:r>
      <w:r w:rsidR="00F8487A" w:rsidRPr="008E4659">
        <w:rPr>
          <w:rFonts w:asciiTheme="minorHAnsi" w:hAnsiTheme="minorHAnsi" w:cstheme="minorHAnsi"/>
          <w:sz w:val="22"/>
          <w:szCs w:val="22"/>
        </w:rPr>
        <w:t>YE</w:t>
      </w:r>
      <w:r w:rsidR="003F3DDF" w:rsidRPr="008E4659">
        <w:rPr>
          <w:rFonts w:asciiTheme="minorHAnsi" w:hAnsiTheme="minorHAnsi" w:cstheme="minorHAnsi"/>
          <w:sz w:val="22"/>
          <w:szCs w:val="22"/>
        </w:rPr>
        <w:t>2020 renewal season</w:t>
      </w:r>
      <w:r w:rsidR="0008203E" w:rsidRPr="008E4659">
        <w:rPr>
          <w:rFonts w:asciiTheme="minorHAnsi" w:hAnsiTheme="minorHAnsi" w:cstheme="minorHAnsi"/>
          <w:sz w:val="22"/>
          <w:szCs w:val="22"/>
        </w:rPr>
        <w:t xml:space="preserve">. The payment of all fees must be made through </w:t>
      </w:r>
      <w:hyperlink r:id="rId9" w:history="1">
        <w:proofErr w:type="spellStart"/>
        <w:r w:rsidR="0008203E" w:rsidRPr="008E4659">
          <w:rPr>
            <w:rStyle w:val="Hyperlink"/>
            <w:rFonts w:asciiTheme="minorHAnsi" w:hAnsiTheme="minorHAnsi" w:cstheme="minorHAnsi"/>
            <w:sz w:val="22"/>
            <w:szCs w:val="22"/>
          </w:rPr>
          <w:t>OPT</w:t>
        </w:r>
        <w:r w:rsidR="0008203E" w:rsidRPr="008E4659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ins</w:t>
        </w:r>
        <w:proofErr w:type="spellEnd"/>
      </w:hyperlink>
      <w:r w:rsidR="00144046" w:rsidRPr="008E465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="00144046" w:rsidRPr="008E4659">
        <w:rPr>
          <w:rFonts w:asciiTheme="minorHAnsi" w:hAnsiTheme="minorHAnsi" w:cstheme="minorHAnsi"/>
          <w:sz w:val="22"/>
          <w:szCs w:val="22"/>
        </w:rPr>
        <w:t xml:space="preserve"> No wire transfers will be accepted.</w:t>
      </w:r>
    </w:p>
    <w:p w14:paraId="0EE93ED0" w14:textId="77777777" w:rsidR="00300287" w:rsidRPr="00300287" w:rsidRDefault="00300287" w:rsidP="00373FA3">
      <w:pPr>
        <w:rPr>
          <w:rFonts w:asciiTheme="minorHAnsi" w:hAnsiTheme="minorHAnsi" w:cstheme="minorHAnsi"/>
          <w:sz w:val="10"/>
          <w:szCs w:val="10"/>
        </w:rPr>
      </w:pPr>
    </w:p>
    <w:p w14:paraId="3DC54BA6" w14:textId="2A862294" w:rsidR="003F3DDF" w:rsidRPr="00300287" w:rsidRDefault="003F3DDF" w:rsidP="00373FA3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530"/>
        <w:gridCol w:w="1620"/>
        <w:gridCol w:w="1080"/>
      </w:tblGrid>
      <w:tr w:rsidR="003F3DDF" w:rsidRPr="003F3DDF" w14:paraId="73FFE267" w14:textId="77777777" w:rsidTr="00606B88">
        <w:tc>
          <w:tcPr>
            <w:tcW w:w="1615" w:type="dxa"/>
          </w:tcPr>
          <w:p w14:paraId="40BAC8CD" w14:textId="2F14B37A" w:rsidR="003F3DDF" w:rsidRPr="00300287" w:rsidRDefault="003F3DDF" w:rsidP="0030028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02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Filed</w:t>
            </w:r>
          </w:p>
        </w:tc>
        <w:tc>
          <w:tcPr>
            <w:tcW w:w="1530" w:type="dxa"/>
          </w:tcPr>
          <w:p w14:paraId="0C9C75A4" w14:textId="77777777" w:rsidR="003F3DDF" w:rsidRPr="00300287" w:rsidRDefault="003F3DDF" w:rsidP="0030028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02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Renewal</w:t>
            </w:r>
          </w:p>
          <w:p w14:paraId="58B63B82" w14:textId="4513331B" w:rsidR="003F3DDF" w:rsidRPr="00300287" w:rsidRDefault="003F3DDF" w:rsidP="0030028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02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Fee</w:t>
            </w:r>
          </w:p>
        </w:tc>
        <w:tc>
          <w:tcPr>
            <w:tcW w:w="1620" w:type="dxa"/>
          </w:tcPr>
          <w:p w14:paraId="6215DEAA" w14:textId="7EFA618C" w:rsidR="003F3DDF" w:rsidRPr="00300287" w:rsidRDefault="003F3DDF" w:rsidP="0030028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02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Late Filing Penalty</w:t>
            </w:r>
          </w:p>
        </w:tc>
        <w:tc>
          <w:tcPr>
            <w:tcW w:w="1080" w:type="dxa"/>
          </w:tcPr>
          <w:p w14:paraId="2AB4A32D" w14:textId="77777777" w:rsidR="003F3DDF" w:rsidRPr="00300287" w:rsidRDefault="003F3DDF" w:rsidP="0030028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02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</w:t>
            </w:r>
          </w:p>
          <w:p w14:paraId="7C0C03EF" w14:textId="37B80C17" w:rsidR="003F3DDF" w:rsidRPr="00300287" w:rsidRDefault="003F3DDF" w:rsidP="0030028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02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Fees</w:t>
            </w:r>
          </w:p>
        </w:tc>
      </w:tr>
      <w:tr w:rsidR="00265195" w14:paraId="67C69995" w14:textId="77777777" w:rsidTr="00606B88">
        <w:tc>
          <w:tcPr>
            <w:tcW w:w="1615" w:type="dxa"/>
          </w:tcPr>
          <w:p w14:paraId="624289CC" w14:textId="00ECFC54" w:rsidR="00265195" w:rsidRDefault="00265195" w:rsidP="00144046">
            <w:pPr>
              <w:tabs>
                <w:tab w:val="left" w:pos="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June 30</w:t>
            </w:r>
          </w:p>
        </w:tc>
        <w:tc>
          <w:tcPr>
            <w:tcW w:w="1530" w:type="dxa"/>
          </w:tcPr>
          <w:p w14:paraId="2DAD4900" w14:textId="04FBDA4D" w:rsidR="00265195" w:rsidRDefault="00265195" w:rsidP="003002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$5,062</w:t>
            </w:r>
          </w:p>
        </w:tc>
        <w:tc>
          <w:tcPr>
            <w:tcW w:w="1620" w:type="dxa"/>
          </w:tcPr>
          <w:p w14:paraId="6BD6626F" w14:textId="4CF26FE6" w:rsidR="00265195" w:rsidRDefault="00265195" w:rsidP="003002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14:paraId="1A8B2993" w14:textId="1748DB68" w:rsidR="00265195" w:rsidRDefault="00265195" w:rsidP="003002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$5,062</w:t>
            </w:r>
          </w:p>
        </w:tc>
      </w:tr>
      <w:tr w:rsidR="003F3DDF" w14:paraId="78C39DB4" w14:textId="77777777" w:rsidTr="00606B88">
        <w:tc>
          <w:tcPr>
            <w:tcW w:w="1615" w:type="dxa"/>
          </w:tcPr>
          <w:p w14:paraId="3A9D8FEA" w14:textId="67911CAB" w:rsidR="003F3DDF" w:rsidRDefault="0073226C" w:rsidP="00144046">
            <w:pPr>
              <w:tabs>
                <w:tab w:val="left" w:pos="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July </w:t>
            </w:r>
            <w:r w:rsidR="003F3DDF">
              <w:rPr>
                <w:rFonts w:asciiTheme="minorHAnsi" w:hAnsiTheme="minorHAnsi" w:cstheme="minorHAnsi"/>
                <w:sz w:val="22"/>
                <w:szCs w:val="22"/>
              </w:rPr>
              <w:t>1-4</w:t>
            </w:r>
          </w:p>
        </w:tc>
        <w:tc>
          <w:tcPr>
            <w:tcW w:w="1530" w:type="dxa"/>
          </w:tcPr>
          <w:p w14:paraId="49A6DFA5" w14:textId="41B9AAD4" w:rsidR="003F3DDF" w:rsidRDefault="003F3DDF" w:rsidP="003002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606B8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06B88">
              <w:rPr>
                <w:rFonts w:asciiTheme="minorHAnsi" w:hAnsiTheme="minorHAnsi" w:cstheme="minorHAnsi"/>
                <w:sz w:val="22"/>
                <w:szCs w:val="22"/>
              </w:rPr>
              <w:t>062</w:t>
            </w:r>
          </w:p>
        </w:tc>
        <w:tc>
          <w:tcPr>
            <w:tcW w:w="1620" w:type="dxa"/>
          </w:tcPr>
          <w:p w14:paraId="21DE9C67" w14:textId="6B91DE6F" w:rsidR="003F3DDF" w:rsidRDefault="003F3DDF" w:rsidP="003002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A56FDB">
              <w:rPr>
                <w:rFonts w:asciiTheme="minorHAnsi" w:hAnsiTheme="minorHAnsi" w:cstheme="minorHAnsi"/>
                <w:sz w:val="22"/>
                <w:szCs w:val="22"/>
              </w:rPr>
              <w:t>506</w:t>
            </w:r>
          </w:p>
        </w:tc>
        <w:tc>
          <w:tcPr>
            <w:tcW w:w="1080" w:type="dxa"/>
          </w:tcPr>
          <w:p w14:paraId="7422DEA0" w14:textId="7C5C43C6" w:rsidR="003F3DDF" w:rsidRDefault="0073226C" w:rsidP="003002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$5,5</w:t>
            </w:r>
            <w:r w:rsidR="00A56FDB">
              <w:rPr>
                <w:rFonts w:asciiTheme="minorHAnsi" w:hAnsiTheme="minorHAnsi" w:cstheme="minorHAnsi"/>
                <w:sz w:val="22"/>
                <w:szCs w:val="22"/>
              </w:rPr>
              <w:t>68</w:t>
            </w:r>
          </w:p>
        </w:tc>
      </w:tr>
      <w:tr w:rsidR="003F3DDF" w14:paraId="3E9E3D3F" w14:textId="77777777" w:rsidTr="00606B88">
        <w:tc>
          <w:tcPr>
            <w:tcW w:w="1615" w:type="dxa"/>
          </w:tcPr>
          <w:p w14:paraId="0385ECB8" w14:textId="0A655EDD" w:rsidR="003F3DDF" w:rsidRDefault="003F3DDF" w:rsidP="001440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    “ 5-9</w:t>
            </w:r>
          </w:p>
        </w:tc>
        <w:tc>
          <w:tcPr>
            <w:tcW w:w="1530" w:type="dxa"/>
          </w:tcPr>
          <w:p w14:paraId="43D6F8BB" w14:textId="21D096EC" w:rsidR="003F3DDF" w:rsidRDefault="00606B88" w:rsidP="003002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$5,062</w:t>
            </w:r>
          </w:p>
        </w:tc>
        <w:tc>
          <w:tcPr>
            <w:tcW w:w="1620" w:type="dxa"/>
          </w:tcPr>
          <w:p w14:paraId="2910E604" w14:textId="6EC51C5D" w:rsidR="003F3DDF" w:rsidRDefault="003F3DDF" w:rsidP="003002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A56FDB">
              <w:rPr>
                <w:rFonts w:asciiTheme="minorHAnsi" w:hAnsiTheme="minorHAnsi" w:cstheme="minorHAnsi"/>
                <w:sz w:val="22"/>
                <w:szCs w:val="22"/>
              </w:rPr>
              <w:t>759</w:t>
            </w:r>
          </w:p>
        </w:tc>
        <w:tc>
          <w:tcPr>
            <w:tcW w:w="1080" w:type="dxa"/>
          </w:tcPr>
          <w:p w14:paraId="0854F741" w14:textId="0B1F426A" w:rsidR="003F3DDF" w:rsidRDefault="003F3DDF" w:rsidP="003002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$5,</w:t>
            </w:r>
            <w:r w:rsidR="00A56FDB">
              <w:rPr>
                <w:rFonts w:asciiTheme="minorHAnsi" w:hAnsiTheme="minorHAnsi" w:cstheme="minorHAnsi"/>
                <w:sz w:val="22"/>
                <w:szCs w:val="22"/>
              </w:rPr>
              <w:t>821</w:t>
            </w:r>
          </w:p>
        </w:tc>
      </w:tr>
      <w:tr w:rsidR="003F3DDF" w14:paraId="104783E0" w14:textId="77777777" w:rsidTr="00606B88">
        <w:tc>
          <w:tcPr>
            <w:tcW w:w="1615" w:type="dxa"/>
          </w:tcPr>
          <w:p w14:paraId="57A08269" w14:textId="68F18F99" w:rsidR="003F3DDF" w:rsidRDefault="003F3DDF" w:rsidP="001440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    “ 10-14</w:t>
            </w:r>
          </w:p>
        </w:tc>
        <w:tc>
          <w:tcPr>
            <w:tcW w:w="1530" w:type="dxa"/>
          </w:tcPr>
          <w:p w14:paraId="43B7DEE5" w14:textId="14B16F7D" w:rsidR="003F3DDF" w:rsidRDefault="00606B88" w:rsidP="003002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$5,062</w:t>
            </w:r>
          </w:p>
        </w:tc>
        <w:tc>
          <w:tcPr>
            <w:tcW w:w="1620" w:type="dxa"/>
          </w:tcPr>
          <w:p w14:paraId="7FEECE7B" w14:textId="1304C4EA" w:rsidR="003F3DDF" w:rsidRDefault="003F3DDF" w:rsidP="003002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A56FDB">
              <w:rPr>
                <w:rFonts w:asciiTheme="minorHAnsi" w:hAnsiTheme="minorHAnsi" w:cstheme="minorHAnsi"/>
                <w:sz w:val="22"/>
                <w:szCs w:val="22"/>
              </w:rPr>
              <w:t>1,012</w:t>
            </w:r>
          </w:p>
        </w:tc>
        <w:tc>
          <w:tcPr>
            <w:tcW w:w="1080" w:type="dxa"/>
          </w:tcPr>
          <w:p w14:paraId="077435FB" w14:textId="3FBE0ACE" w:rsidR="003F3DDF" w:rsidRDefault="003F3DDF" w:rsidP="003002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73226C">
              <w:rPr>
                <w:rFonts w:asciiTheme="minorHAnsi" w:hAnsiTheme="minorHAnsi" w:cstheme="minorHAnsi"/>
                <w:sz w:val="22"/>
                <w:szCs w:val="22"/>
              </w:rPr>
              <w:t>6,0</w:t>
            </w:r>
            <w:r w:rsidR="00A56FDB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</w:p>
        </w:tc>
      </w:tr>
      <w:tr w:rsidR="003F3DDF" w14:paraId="5EF3D3AD" w14:textId="77777777" w:rsidTr="00606B88">
        <w:tc>
          <w:tcPr>
            <w:tcW w:w="1615" w:type="dxa"/>
          </w:tcPr>
          <w:p w14:paraId="229AE9DD" w14:textId="35FEFA98" w:rsidR="003F3DDF" w:rsidRDefault="003F3DDF" w:rsidP="001440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    “ 15-31</w:t>
            </w:r>
          </w:p>
        </w:tc>
        <w:tc>
          <w:tcPr>
            <w:tcW w:w="1530" w:type="dxa"/>
          </w:tcPr>
          <w:p w14:paraId="2C0A93AF" w14:textId="31393BBB" w:rsidR="003F3DDF" w:rsidRDefault="00606B88" w:rsidP="003002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$5,062</w:t>
            </w:r>
          </w:p>
        </w:tc>
        <w:tc>
          <w:tcPr>
            <w:tcW w:w="1620" w:type="dxa"/>
          </w:tcPr>
          <w:p w14:paraId="2CD07698" w14:textId="1CF61DD0" w:rsidR="003F3DDF" w:rsidRDefault="003F3DDF" w:rsidP="003002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$1,2</w:t>
            </w:r>
            <w:r w:rsidR="00A56FDB">
              <w:rPr>
                <w:rFonts w:asciiTheme="minorHAnsi" w:hAnsiTheme="minorHAnsi" w:cstheme="minorHAnsi"/>
                <w:sz w:val="22"/>
                <w:szCs w:val="22"/>
              </w:rPr>
              <w:t>66</w:t>
            </w:r>
          </w:p>
        </w:tc>
        <w:tc>
          <w:tcPr>
            <w:tcW w:w="1080" w:type="dxa"/>
          </w:tcPr>
          <w:p w14:paraId="54626CC6" w14:textId="47B9A777" w:rsidR="003F3DDF" w:rsidRDefault="003F3DDF" w:rsidP="003002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73226C">
              <w:rPr>
                <w:rFonts w:asciiTheme="minorHAnsi" w:hAnsiTheme="minorHAnsi" w:cstheme="minorHAnsi"/>
                <w:sz w:val="22"/>
                <w:szCs w:val="22"/>
              </w:rPr>
              <w:t>6,</w:t>
            </w:r>
            <w:r w:rsidR="00A56FDB">
              <w:rPr>
                <w:rFonts w:asciiTheme="minorHAnsi" w:hAnsiTheme="minorHAnsi" w:cstheme="minorHAnsi"/>
                <w:sz w:val="22"/>
                <w:szCs w:val="22"/>
              </w:rPr>
              <w:t>328</w:t>
            </w:r>
          </w:p>
        </w:tc>
      </w:tr>
      <w:tr w:rsidR="00EB43CB" w14:paraId="6DDD4EB0" w14:textId="77777777" w:rsidTr="00606B88">
        <w:tc>
          <w:tcPr>
            <w:tcW w:w="1615" w:type="dxa"/>
          </w:tcPr>
          <w:p w14:paraId="0F7C4FC6" w14:textId="4C3EB2C4" w:rsidR="00EB43CB" w:rsidRDefault="00EB43CB" w:rsidP="001440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After </w:t>
            </w:r>
            <w:r w:rsidR="0073226C">
              <w:rPr>
                <w:rFonts w:asciiTheme="minorHAnsi" w:hAnsiTheme="minorHAnsi" w:cstheme="minorHAnsi"/>
                <w:sz w:val="22"/>
                <w:szCs w:val="22"/>
              </w:rPr>
              <w:t>July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31</w:t>
            </w:r>
          </w:p>
        </w:tc>
        <w:tc>
          <w:tcPr>
            <w:tcW w:w="1530" w:type="dxa"/>
          </w:tcPr>
          <w:p w14:paraId="2F0D0931" w14:textId="1EA3D2F8" w:rsidR="00EB43CB" w:rsidRDefault="00EB43CB" w:rsidP="00EB4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620" w:type="dxa"/>
          </w:tcPr>
          <w:p w14:paraId="2226615D" w14:textId="0DE1489E" w:rsidR="00EB43CB" w:rsidRDefault="00EB43CB" w:rsidP="00EB4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080" w:type="dxa"/>
          </w:tcPr>
          <w:p w14:paraId="3571E7FB" w14:textId="16AB84AE" w:rsidR="00EB43CB" w:rsidRDefault="00EB43CB" w:rsidP="00EB4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</w:tbl>
    <w:p w14:paraId="30C919AC" w14:textId="2DEAA943" w:rsidR="003F3DDF" w:rsidRPr="00300287" w:rsidRDefault="003F3DDF" w:rsidP="00373FA3">
      <w:pPr>
        <w:rPr>
          <w:rFonts w:asciiTheme="minorHAnsi" w:hAnsiTheme="minorHAnsi" w:cstheme="minorHAnsi"/>
          <w:sz w:val="10"/>
          <w:szCs w:val="10"/>
        </w:rPr>
      </w:pPr>
    </w:p>
    <w:p w14:paraId="5913B39D" w14:textId="03796782" w:rsidR="00014BEE" w:rsidRPr="0050342B" w:rsidRDefault="00EB43CB" w:rsidP="00300287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50342B">
        <w:rPr>
          <w:rFonts w:asciiTheme="minorHAnsi" w:hAnsiTheme="minorHAnsi" w:cstheme="minorHAnsi"/>
          <w:b/>
          <w:bCs/>
          <w:sz w:val="18"/>
          <w:szCs w:val="18"/>
        </w:rPr>
        <w:t>*</w:t>
      </w:r>
      <w:r w:rsidR="00C137A1" w:rsidRPr="0050342B">
        <w:rPr>
          <w:rFonts w:asciiTheme="minorHAnsi" w:hAnsiTheme="minorHAnsi" w:cstheme="minorHAnsi"/>
          <w:b/>
          <w:bCs/>
          <w:sz w:val="18"/>
          <w:szCs w:val="18"/>
        </w:rPr>
        <w:t>A</w:t>
      </w:r>
      <w:r w:rsidR="0008203E" w:rsidRPr="0050342B">
        <w:rPr>
          <w:rFonts w:asciiTheme="minorHAnsi" w:hAnsiTheme="minorHAnsi" w:cstheme="minorHAnsi"/>
          <w:b/>
          <w:bCs/>
          <w:sz w:val="18"/>
          <w:szCs w:val="18"/>
        </w:rPr>
        <w:t>nnual renewal</w:t>
      </w:r>
      <w:r w:rsidR="00C137A1" w:rsidRPr="0050342B">
        <w:rPr>
          <w:rFonts w:asciiTheme="minorHAnsi" w:hAnsiTheme="minorHAnsi" w:cstheme="minorHAnsi"/>
          <w:b/>
          <w:bCs/>
          <w:sz w:val="18"/>
          <w:szCs w:val="18"/>
        </w:rPr>
        <w:t>s submitted</w:t>
      </w:r>
      <w:r w:rsidR="0008203E" w:rsidRPr="0050342B">
        <w:rPr>
          <w:rFonts w:asciiTheme="minorHAnsi" w:hAnsiTheme="minorHAnsi" w:cstheme="minorHAnsi"/>
          <w:b/>
          <w:bCs/>
          <w:sz w:val="18"/>
          <w:szCs w:val="18"/>
        </w:rPr>
        <w:t xml:space="preserve"> more than 30 days late or</w:t>
      </w:r>
      <w:r w:rsidR="00014BEE" w:rsidRPr="0050342B">
        <w:rPr>
          <w:rFonts w:asciiTheme="minorHAnsi" w:hAnsiTheme="minorHAnsi" w:cstheme="minorHAnsi"/>
          <w:b/>
          <w:bCs/>
          <w:sz w:val="18"/>
          <w:szCs w:val="18"/>
        </w:rPr>
        <w:t xml:space="preserve"> after </w:t>
      </w:r>
      <w:r w:rsidR="0073226C" w:rsidRPr="0050342B">
        <w:rPr>
          <w:rFonts w:asciiTheme="minorHAnsi" w:hAnsiTheme="minorHAnsi" w:cstheme="minorHAnsi"/>
          <w:b/>
          <w:bCs/>
          <w:sz w:val="18"/>
          <w:szCs w:val="18"/>
        </w:rPr>
        <w:t>July</w:t>
      </w:r>
      <w:r w:rsidR="00014BEE" w:rsidRPr="0050342B">
        <w:rPr>
          <w:rFonts w:asciiTheme="minorHAnsi" w:hAnsiTheme="minorHAnsi" w:cstheme="minorHAnsi"/>
          <w:b/>
          <w:bCs/>
          <w:sz w:val="18"/>
          <w:szCs w:val="18"/>
        </w:rPr>
        <w:t xml:space="preserve"> 31</w:t>
      </w:r>
      <w:r w:rsidR="0065077E" w:rsidRPr="0050342B">
        <w:rPr>
          <w:rFonts w:asciiTheme="minorHAnsi" w:hAnsiTheme="minorHAnsi" w:cstheme="minorHAnsi"/>
          <w:b/>
          <w:bCs/>
          <w:sz w:val="18"/>
          <w:szCs w:val="18"/>
        </w:rPr>
        <w:t>, 202</w:t>
      </w:r>
      <w:r w:rsidR="0073226C" w:rsidRPr="0050342B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014BEE" w:rsidRPr="0050342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FE025A" w:rsidRPr="0050342B">
        <w:rPr>
          <w:rFonts w:asciiTheme="minorHAnsi" w:hAnsiTheme="minorHAnsi" w:cstheme="minorHAnsi"/>
          <w:b/>
          <w:bCs/>
          <w:sz w:val="18"/>
          <w:szCs w:val="18"/>
        </w:rPr>
        <w:t>may result in</w:t>
      </w:r>
      <w:r w:rsidR="00014BEE" w:rsidRPr="0050342B">
        <w:rPr>
          <w:rFonts w:asciiTheme="minorHAnsi" w:hAnsiTheme="minorHAnsi" w:cstheme="minorHAnsi"/>
          <w:b/>
          <w:bCs/>
          <w:sz w:val="18"/>
          <w:szCs w:val="18"/>
        </w:rPr>
        <w:t xml:space="preserve"> delisting</w:t>
      </w:r>
      <w:r w:rsidR="0008203E" w:rsidRPr="0050342B">
        <w:rPr>
          <w:rFonts w:asciiTheme="minorHAnsi" w:hAnsiTheme="minorHAnsi" w:cstheme="minorHAnsi"/>
          <w:b/>
          <w:bCs/>
          <w:sz w:val="18"/>
          <w:szCs w:val="18"/>
        </w:rPr>
        <w:t xml:space="preserve"> (</w:t>
      </w:r>
      <w:hyperlink r:id="rId10" w:history="1">
        <w:r w:rsidR="000E52F5" w:rsidRPr="0050342B">
          <w:rPr>
            <w:rStyle w:val="Hyperlink"/>
            <w:rFonts w:asciiTheme="minorHAnsi" w:hAnsiTheme="minorHAnsi" w:cstheme="minorHAnsi"/>
            <w:b/>
            <w:bCs/>
            <w:sz w:val="18"/>
            <w:szCs w:val="18"/>
          </w:rPr>
          <w:t>IID Plan of Operation</w:t>
        </w:r>
      </w:hyperlink>
      <w:r w:rsidR="0008203E" w:rsidRPr="0050342B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, Section </w:t>
      </w:r>
      <w:r w:rsidR="00014BEE" w:rsidRPr="0050342B">
        <w:rPr>
          <w:rFonts w:asciiTheme="minorHAnsi" w:hAnsiTheme="minorHAnsi" w:cstheme="minorHAnsi"/>
          <w:b/>
          <w:bCs/>
          <w:i/>
          <w:iCs/>
          <w:sz w:val="18"/>
          <w:szCs w:val="18"/>
        </w:rPr>
        <w:t>V</w:t>
      </w:r>
      <w:r w:rsidR="0008203E" w:rsidRPr="0050342B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–</w:t>
      </w:r>
      <w:r w:rsidR="002606B6" w:rsidRPr="0050342B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De-Listing and VI – Process for Reconsideration of De-Listing</w:t>
      </w:r>
      <w:r w:rsidR="0008203E" w:rsidRPr="0050342B">
        <w:rPr>
          <w:rFonts w:asciiTheme="minorHAnsi" w:hAnsiTheme="minorHAnsi" w:cstheme="minorHAnsi"/>
          <w:b/>
          <w:bCs/>
          <w:sz w:val="18"/>
          <w:szCs w:val="18"/>
        </w:rPr>
        <w:t>).</w:t>
      </w:r>
      <w:r w:rsidR="00014BEE" w:rsidRPr="0050342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20CD064F" w14:textId="77777777" w:rsidR="00864B26" w:rsidRPr="008E4659" w:rsidRDefault="00864B26" w:rsidP="00300287">
      <w:pPr>
        <w:rPr>
          <w:rFonts w:asciiTheme="minorHAnsi" w:hAnsiTheme="minorHAnsi" w:cstheme="minorHAnsi"/>
          <w:sz w:val="22"/>
          <w:szCs w:val="22"/>
        </w:rPr>
      </w:pPr>
    </w:p>
    <w:p w14:paraId="7C2E30F8" w14:textId="1F338EDD" w:rsidR="00864B26" w:rsidRPr="008E4659" w:rsidRDefault="00864B26" w:rsidP="00864B26">
      <w:pPr>
        <w:rPr>
          <w:rFonts w:asciiTheme="minorHAnsi" w:hAnsiTheme="minorHAnsi" w:cstheme="minorHAnsi"/>
          <w:sz w:val="22"/>
          <w:szCs w:val="22"/>
        </w:rPr>
      </w:pPr>
      <w:r w:rsidRPr="008E4659">
        <w:rPr>
          <w:rFonts w:asciiTheme="minorHAnsi" w:hAnsiTheme="minorHAnsi" w:cstheme="minorHAnsi"/>
          <w:sz w:val="22"/>
          <w:szCs w:val="22"/>
        </w:rPr>
        <w:t>Application</w:t>
      </w:r>
      <w:r w:rsidR="00C732C4">
        <w:rPr>
          <w:rFonts w:asciiTheme="minorHAnsi" w:hAnsiTheme="minorHAnsi" w:cstheme="minorHAnsi"/>
          <w:sz w:val="22"/>
          <w:szCs w:val="22"/>
        </w:rPr>
        <w:t>s</w:t>
      </w:r>
      <w:r w:rsidR="00C137A1" w:rsidRPr="008E4659">
        <w:rPr>
          <w:rFonts w:asciiTheme="minorHAnsi" w:hAnsiTheme="minorHAnsi" w:cstheme="minorHAnsi"/>
          <w:sz w:val="22"/>
          <w:szCs w:val="22"/>
        </w:rPr>
        <w:t xml:space="preserve"> for Quarterly Listing</w:t>
      </w:r>
      <w:r w:rsidRPr="008E4659">
        <w:rPr>
          <w:rFonts w:asciiTheme="minorHAnsi" w:hAnsiTheme="minorHAnsi" w:cstheme="minorHAnsi"/>
          <w:sz w:val="22"/>
          <w:szCs w:val="22"/>
        </w:rPr>
        <w:t xml:space="preserve"> </w:t>
      </w:r>
      <w:r w:rsidR="00C137A1" w:rsidRPr="008E4659">
        <w:rPr>
          <w:rFonts w:asciiTheme="minorHAnsi" w:hAnsiTheme="minorHAnsi" w:cstheme="minorHAnsi"/>
          <w:sz w:val="22"/>
          <w:szCs w:val="22"/>
        </w:rPr>
        <w:t>- s</w:t>
      </w:r>
      <w:r w:rsidRPr="008E4659">
        <w:rPr>
          <w:rFonts w:asciiTheme="minorHAnsi" w:hAnsiTheme="minorHAnsi" w:cstheme="minorHAnsi"/>
          <w:sz w:val="22"/>
          <w:szCs w:val="22"/>
        </w:rPr>
        <w:t xml:space="preserve">ubmission of all required documentation and payment of the application fee must be made before an application </w:t>
      </w:r>
      <w:r w:rsidR="00C732C4">
        <w:rPr>
          <w:rFonts w:asciiTheme="minorHAnsi" w:hAnsiTheme="minorHAnsi" w:cstheme="minorHAnsi"/>
          <w:sz w:val="22"/>
          <w:szCs w:val="22"/>
        </w:rPr>
        <w:t>is</w:t>
      </w:r>
      <w:r w:rsidRPr="008E4659">
        <w:rPr>
          <w:rFonts w:asciiTheme="minorHAnsi" w:hAnsiTheme="minorHAnsi" w:cstheme="minorHAnsi"/>
          <w:sz w:val="22"/>
          <w:szCs w:val="22"/>
        </w:rPr>
        <w:t xml:space="preserve"> considered (</w:t>
      </w:r>
      <w:r w:rsidRPr="008E4659">
        <w:rPr>
          <w:rFonts w:asciiTheme="minorHAnsi" w:hAnsiTheme="minorHAnsi" w:cstheme="minorHAnsi"/>
          <w:b/>
          <w:bCs/>
          <w:sz w:val="22"/>
          <w:szCs w:val="22"/>
        </w:rPr>
        <w:t>See</w:t>
      </w:r>
      <w:r w:rsidRPr="008E4659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="00EF3149" w:rsidRPr="008E4659">
          <w:rPr>
            <w:rStyle w:val="Hyperlink"/>
            <w:rFonts w:asciiTheme="minorHAnsi" w:hAnsiTheme="minorHAnsi" w:cstheme="minorHAnsi"/>
            <w:sz w:val="22"/>
            <w:szCs w:val="22"/>
          </w:rPr>
          <w:t>IID Plan of Operation</w:t>
        </w:r>
      </w:hyperlink>
      <w:r w:rsidRPr="008E465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Section I – </w:t>
      </w:r>
      <w:r w:rsidR="00EF3149" w:rsidRPr="008E4659">
        <w:rPr>
          <w:rFonts w:asciiTheme="minorHAnsi" w:hAnsiTheme="minorHAnsi" w:cstheme="minorHAnsi"/>
          <w:b/>
          <w:bCs/>
          <w:i/>
          <w:iCs/>
          <w:sz w:val="22"/>
          <w:szCs w:val="22"/>
        </w:rPr>
        <w:t>Application Process</w:t>
      </w:r>
      <w:r w:rsidRPr="008E4659">
        <w:rPr>
          <w:rFonts w:asciiTheme="minorHAnsi" w:hAnsiTheme="minorHAnsi" w:cstheme="minorHAnsi"/>
          <w:sz w:val="22"/>
          <w:szCs w:val="22"/>
        </w:rPr>
        <w:t xml:space="preserve">). </w:t>
      </w:r>
      <w:r w:rsidR="000E52F5" w:rsidRPr="008E4659">
        <w:rPr>
          <w:rFonts w:asciiTheme="minorHAnsi" w:hAnsiTheme="minorHAnsi" w:cstheme="minorHAnsi"/>
          <w:sz w:val="22"/>
          <w:szCs w:val="22"/>
        </w:rPr>
        <w:t xml:space="preserve">The </w:t>
      </w:r>
      <w:r w:rsidR="00FE025A" w:rsidRPr="008E4659">
        <w:rPr>
          <w:rFonts w:asciiTheme="minorHAnsi" w:hAnsiTheme="minorHAnsi" w:cstheme="minorHAnsi"/>
          <w:sz w:val="22"/>
          <w:szCs w:val="22"/>
        </w:rPr>
        <w:t xml:space="preserve">application </w:t>
      </w:r>
      <w:r w:rsidR="000E52F5" w:rsidRPr="008E4659">
        <w:rPr>
          <w:rFonts w:asciiTheme="minorHAnsi" w:hAnsiTheme="minorHAnsi" w:cstheme="minorHAnsi"/>
          <w:sz w:val="22"/>
          <w:szCs w:val="22"/>
        </w:rPr>
        <w:t xml:space="preserve">fee is </w:t>
      </w:r>
      <w:r w:rsidRPr="008E4659">
        <w:rPr>
          <w:rFonts w:asciiTheme="minorHAnsi" w:hAnsiTheme="minorHAnsi" w:cstheme="minorHAnsi"/>
          <w:sz w:val="22"/>
          <w:szCs w:val="22"/>
        </w:rPr>
        <w:t>$</w:t>
      </w:r>
      <w:r w:rsidR="00FE025A" w:rsidRPr="008E4659">
        <w:rPr>
          <w:rFonts w:asciiTheme="minorHAnsi" w:hAnsiTheme="minorHAnsi" w:cstheme="minorHAnsi"/>
          <w:sz w:val="22"/>
          <w:szCs w:val="22"/>
        </w:rPr>
        <w:t>10</w:t>
      </w:r>
      <w:r w:rsidRPr="008E4659">
        <w:rPr>
          <w:rFonts w:asciiTheme="minorHAnsi" w:hAnsiTheme="minorHAnsi" w:cstheme="minorHAnsi"/>
          <w:sz w:val="22"/>
          <w:szCs w:val="22"/>
        </w:rPr>
        <w:t>,</w:t>
      </w:r>
      <w:r w:rsidR="00FE025A" w:rsidRPr="008E4659">
        <w:rPr>
          <w:rFonts w:asciiTheme="minorHAnsi" w:hAnsiTheme="minorHAnsi" w:cstheme="minorHAnsi"/>
          <w:sz w:val="22"/>
          <w:szCs w:val="22"/>
        </w:rPr>
        <w:t>124</w:t>
      </w:r>
      <w:r w:rsidR="000E52F5" w:rsidRPr="008E4659">
        <w:rPr>
          <w:rFonts w:asciiTheme="minorHAnsi" w:hAnsiTheme="minorHAnsi" w:cstheme="minorHAnsi"/>
          <w:sz w:val="22"/>
          <w:szCs w:val="22"/>
        </w:rPr>
        <w:t>.</w:t>
      </w:r>
    </w:p>
    <w:p w14:paraId="60076CB8" w14:textId="36677FA7" w:rsidR="00014BEE" w:rsidRPr="008E4659" w:rsidRDefault="00014BEE" w:rsidP="0008203E">
      <w:pPr>
        <w:rPr>
          <w:rFonts w:asciiTheme="minorHAnsi" w:hAnsiTheme="minorHAnsi" w:cstheme="minorHAnsi"/>
          <w:sz w:val="22"/>
          <w:szCs w:val="22"/>
        </w:rPr>
      </w:pPr>
    </w:p>
    <w:p w14:paraId="3B98FD37" w14:textId="12F98CE1" w:rsidR="001509CD" w:rsidRPr="00255CDD" w:rsidRDefault="001509CD" w:rsidP="00300287">
      <w:pPr>
        <w:rPr>
          <w:rFonts w:asciiTheme="minorHAnsi" w:hAnsiTheme="minorHAnsi" w:cstheme="minorHAnsi"/>
          <w:sz w:val="22"/>
          <w:szCs w:val="22"/>
        </w:rPr>
      </w:pPr>
      <w:r w:rsidRPr="008E4659">
        <w:rPr>
          <w:rFonts w:asciiTheme="minorHAnsi" w:hAnsiTheme="minorHAnsi" w:cstheme="minorHAnsi"/>
          <w:sz w:val="22"/>
          <w:szCs w:val="22"/>
        </w:rPr>
        <w:t xml:space="preserve">Questions may be directed to Andy Daleo, Senior P/C Financial Analysis Manager, </w:t>
      </w:r>
      <w:hyperlink r:id="rId12" w:history="1">
        <w:r w:rsidRPr="008E4659">
          <w:rPr>
            <w:rStyle w:val="Hyperlink"/>
            <w:rFonts w:asciiTheme="minorHAnsi" w:hAnsiTheme="minorHAnsi" w:cstheme="minorHAnsi"/>
            <w:sz w:val="22"/>
            <w:szCs w:val="22"/>
          </w:rPr>
          <w:t>adaleo@naic.org</w:t>
        </w:r>
      </w:hyperlink>
      <w:r w:rsidR="00255CDD" w:rsidRPr="00255CDD"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, </w:t>
      </w:r>
      <w:r w:rsidR="00255CDD" w:rsidRPr="00255CDD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and Jason Farr, Sr. Reinsurance &amp; IID Financial Analyst,</w:t>
      </w:r>
      <w:r w:rsidR="00255CDD"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255CDD" w:rsidRPr="00255CDD">
        <w:rPr>
          <w:rStyle w:val="Hyperlink"/>
          <w:rFonts w:asciiTheme="minorHAnsi" w:hAnsiTheme="minorHAnsi" w:cstheme="minorHAnsi"/>
          <w:sz w:val="22"/>
          <w:szCs w:val="22"/>
        </w:rPr>
        <w:t>JFarr@naic.org</w:t>
      </w:r>
      <w:r w:rsidR="00255CDD">
        <w:rPr>
          <w:rStyle w:val="Hyperlink"/>
          <w:rFonts w:asciiTheme="minorHAnsi" w:hAnsiTheme="minorHAnsi" w:cstheme="minorHAnsi"/>
          <w:sz w:val="22"/>
          <w:szCs w:val="22"/>
          <w:u w:val="none"/>
        </w:rPr>
        <w:t>.</w:t>
      </w:r>
    </w:p>
    <w:sectPr w:rsidR="001509CD" w:rsidRPr="00255CDD" w:rsidSect="008174FD"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720" w:footer="30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35625" w14:textId="77777777" w:rsidR="00864B26" w:rsidRDefault="00864B26">
      <w:r>
        <w:separator/>
      </w:r>
    </w:p>
  </w:endnote>
  <w:endnote w:type="continuationSeparator" w:id="0">
    <w:p w14:paraId="39CDF2F5" w14:textId="77777777" w:rsidR="00864B26" w:rsidRDefault="0086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85BCD" w14:textId="77777777" w:rsidR="00864B26" w:rsidRDefault="00864B26" w:rsidP="00717D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66BD1D" w14:textId="77777777" w:rsidR="00864B26" w:rsidRDefault="00864B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CBA20" w14:textId="77777777" w:rsidR="00864B26" w:rsidRDefault="00864B26" w:rsidP="00717D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ABD1D63" w14:textId="77777777" w:rsidR="00864B26" w:rsidRDefault="00864B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ECCFD" w14:textId="77777777" w:rsidR="00864B26" w:rsidRPr="00D10199" w:rsidRDefault="00864B26" w:rsidP="00D10199">
    <w:pPr>
      <w:pStyle w:val="Footer"/>
      <w:rPr>
        <w:noProof/>
      </w:rPr>
    </w:pPr>
    <w:r w:rsidRPr="00D10199">
      <w:rPr>
        <w:noProof/>
      </w:rPr>
      <w:drawing>
        <wp:inline distT="0" distB="0" distL="0" distR="0" wp14:anchorId="4372DA18" wp14:editId="282592E0">
          <wp:extent cx="6400800" cy="758825"/>
          <wp:effectExtent l="0" t="0" r="0" b="3175"/>
          <wp:docPr id="2" name="Picture 2" descr="naic_cipr_letterhead_footer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ic_cipr_letterhead_footer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0ACBD3" w14:textId="77777777" w:rsidR="00864B26" w:rsidRDefault="00864B26" w:rsidP="002305A6">
    <w:pPr>
      <w:pStyle w:val="Footer"/>
      <w:jc w:val="cen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87D4B" w14:textId="77777777" w:rsidR="00864B26" w:rsidRDefault="00864B26">
      <w:r>
        <w:separator/>
      </w:r>
    </w:p>
  </w:footnote>
  <w:footnote w:type="continuationSeparator" w:id="0">
    <w:p w14:paraId="7329F4DF" w14:textId="77777777" w:rsidR="00864B26" w:rsidRDefault="00864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9025C" w14:textId="77777777" w:rsidR="00864B26" w:rsidRDefault="00864B26" w:rsidP="00D31C6E">
    <w:pPr>
      <w:pStyle w:val="Header"/>
      <w:pBdr>
        <w:bottom w:val="single" w:sz="12" w:space="2" w:color="auto"/>
      </w:pBdr>
    </w:pPr>
    <w:r>
      <w:rPr>
        <w:noProof/>
      </w:rPr>
      <w:drawing>
        <wp:inline distT="0" distB="0" distL="0" distR="0" wp14:anchorId="4ECECF98" wp14:editId="6EFEE3B7">
          <wp:extent cx="2562225" cy="733425"/>
          <wp:effectExtent l="0" t="0" r="9525" b="9525"/>
          <wp:docPr id="1" name="Picture 1" descr="NAIC_CIPR_horz_on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IC_CIPR_horz_on_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8C425C" w14:textId="77777777" w:rsidR="00864B26" w:rsidRPr="00D31C6E" w:rsidRDefault="00864B26" w:rsidP="00D31C6E">
    <w:pPr>
      <w:pStyle w:val="Header"/>
      <w:pBdr>
        <w:bottom w:val="single" w:sz="12" w:space="2" w:color="auto"/>
      </w:pBdr>
      <w:rPr>
        <w:sz w:val="4"/>
        <w:szCs w:val="4"/>
      </w:rPr>
    </w:pPr>
  </w:p>
  <w:p w14:paraId="15DAB371" w14:textId="77777777" w:rsidR="00864B26" w:rsidRPr="00D31C6E" w:rsidRDefault="00864B26" w:rsidP="00D31C6E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10C28"/>
    <w:multiLevelType w:val="hybridMultilevel"/>
    <w:tmpl w:val="197044C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B2A7C6E"/>
    <w:multiLevelType w:val="hybridMultilevel"/>
    <w:tmpl w:val="C22E13AA"/>
    <w:lvl w:ilvl="0" w:tplc="0409000F">
      <w:start w:val="1"/>
      <w:numFmt w:val="decimal"/>
      <w:lvlText w:val="%1."/>
      <w:lvlJc w:val="left"/>
      <w:pPr>
        <w:ind w:left="905" w:hanging="360"/>
      </w:pPr>
    </w:lvl>
    <w:lvl w:ilvl="1" w:tplc="04090019" w:tentative="1">
      <w:start w:val="1"/>
      <w:numFmt w:val="lowerLetter"/>
      <w:lvlText w:val="%2."/>
      <w:lvlJc w:val="left"/>
      <w:pPr>
        <w:ind w:left="1625" w:hanging="360"/>
      </w:pPr>
    </w:lvl>
    <w:lvl w:ilvl="2" w:tplc="0409001B" w:tentative="1">
      <w:start w:val="1"/>
      <w:numFmt w:val="lowerRoman"/>
      <w:lvlText w:val="%3."/>
      <w:lvlJc w:val="right"/>
      <w:pPr>
        <w:ind w:left="2345" w:hanging="180"/>
      </w:pPr>
    </w:lvl>
    <w:lvl w:ilvl="3" w:tplc="0409000F" w:tentative="1">
      <w:start w:val="1"/>
      <w:numFmt w:val="decimal"/>
      <w:lvlText w:val="%4."/>
      <w:lvlJc w:val="left"/>
      <w:pPr>
        <w:ind w:left="3065" w:hanging="360"/>
      </w:pPr>
    </w:lvl>
    <w:lvl w:ilvl="4" w:tplc="04090019" w:tentative="1">
      <w:start w:val="1"/>
      <w:numFmt w:val="lowerLetter"/>
      <w:lvlText w:val="%5."/>
      <w:lvlJc w:val="left"/>
      <w:pPr>
        <w:ind w:left="3785" w:hanging="360"/>
      </w:pPr>
    </w:lvl>
    <w:lvl w:ilvl="5" w:tplc="0409001B" w:tentative="1">
      <w:start w:val="1"/>
      <w:numFmt w:val="lowerRoman"/>
      <w:lvlText w:val="%6."/>
      <w:lvlJc w:val="right"/>
      <w:pPr>
        <w:ind w:left="4505" w:hanging="180"/>
      </w:pPr>
    </w:lvl>
    <w:lvl w:ilvl="6" w:tplc="0409000F" w:tentative="1">
      <w:start w:val="1"/>
      <w:numFmt w:val="decimal"/>
      <w:lvlText w:val="%7."/>
      <w:lvlJc w:val="left"/>
      <w:pPr>
        <w:ind w:left="5225" w:hanging="360"/>
      </w:pPr>
    </w:lvl>
    <w:lvl w:ilvl="7" w:tplc="04090019" w:tentative="1">
      <w:start w:val="1"/>
      <w:numFmt w:val="lowerLetter"/>
      <w:lvlText w:val="%8."/>
      <w:lvlJc w:val="left"/>
      <w:pPr>
        <w:ind w:left="5945" w:hanging="360"/>
      </w:pPr>
    </w:lvl>
    <w:lvl w:ilvl="8" w:tplc="040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2" w15:restartNumberingAfterBreak="0">
    <w:nsid w:val="45922C55"/>
    <w:multiLevelType w:val="hybridMultilevel"/>
    <w:tmpl w:val="1C7298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A0237"/>
    <w:multiLevelType w:val="hybridMultilevel"/>
    <w:tmpl w:val="E2BCD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09"/>
    <w:rsid w:val="00005B13"/>
    <w:rsid w:val="00011134"/>
    <w:rsid w:val="00013799"/>
    <w:rsid w:val="00014BEE"/>
    <w:rsid w:val="00026228"/>
    <w:rsid w:val="00047E92"/>
    <w:rsid w:val="00052863"/>
    <w:rsid w:val="0008203E"/>
    <w:rsid w:val="000912F9"/>
    <w:rsid w:val="0009794D"/>
    <w:rsid w:val="000E52F5"/>
    <w:rsid w:val="000F3C56"/>
    <w:rsid w:val="00104F82"/>
    <w:rsid w:val="001105AD"/>
    <w:rsid w:val="00114E74"/>
    <w:rsid w:val="001211D7"/>
    <w:rsid w:val="00125E21"/>
    <w:rsid w:val="00133440"/>
    <w:rsid w:val="00144046"/>
    <w:rsid w:val="00145ADA"/>
    <w:rsid w:val="001509CD"/>
    <w:rsid w:val="0015240C"/>
    <w:rsid w:val="001654E9"/>
    <w:rsid w:val="00171BD1"/>
    <w:rsid w:val="00172DF7"/>
    <w:rsid w:val="00192BAD"/>
    <w:rsid w:val="00194916"/>
    <w:rsid w:val="001A53B6"/>
    <w:rsid w:val="001C3291"/>
    <w:rsid w:val="001C7362"/>
    <w:rsid w:val="001F7A76"/>
    <w:rsid w:val="00205B78"/>
    <w:rsid w:val="002105BF"/>
    <w:rsid w:val="002305A6"/>
    <w:rsid w:val="0023665C"/>
    <w:rsid w:val="00236AB4"/>
    <w:rsid w:val="00244C13"/>
    <w:rsid w:val="00254FCA"/>
    <w:rsid w:val="00255CDD"/>
    <w:rsid w:val="002606B6"/>
    <w:rsid w:val="00265195"/>
    <w:rsid w:val="00275C15"/>
    <w:rsid w:val="002935B6"/>
    <w:rsid w:val="002A1E07"/>
    <w:rsid w:val="002A35D4"/>
    <w:rsid w:val="002A3A83"/>
    <w:rsid w:val="002A7663"/>
    <w:rsid w:val="002C2855"/>
    <w:rsid w:val="002C6D31"/>
    <w:rsid w:val="002D7E83"/>
    <w:rsid w:val="00300287"/>
    <w:rsid w:val="003043AB"/>
    <w:rsid w:val="00311B5D"/>
    <w:rsid w:val="00344F2C"/>
    <w:rsid w:val="003559E9"/>
    <w:rsid w:val="00373FA3"/>
    <w:rsid w:val="00382026"/>
    <w:rsid w:val="003A0143"/>
    <w:rsid w:val="003D584A"/>
    <w:rsid w:val="003F3DDF"/>
    <w:rsid w:val="0040469E"/>
    <w:rsid w:val="00450718"/>
    <w:rsid w:val="004709FC"/>
    <w:rsid w:val="0048378C"/>
    <w:rsid w:val="00483793"/>
    <w:rsid w:val="0048727C"/>
    <w:rsid w:val="0049457B"/>
    <w:rsid w:val="004A43D8"/>
    <w:rsid w:val="004A76D7"/>
    <w:rsid w:val="004B4839"/>
    <w:rsid w:val="004C436A"/>
    <w:rsid w:val="004E7322"/>
    <w:rsid w:val="00500EB7"/>
    <w:rsid w:val="0050342B"/>
    <w:rsid w:val="00507904"/>
    <w:rsid w:val="0051714C"/>
    <w:rsid w:val="00526A00"/>
    <w:rsid w:val="00530F84"/>
    <w:rsid w:val="00566117"/>
    <w:rsid w:val="00582FD0"/>
    <w:rsid w:val="00587360"/>
    <w:rsid w:val="0059277C"/>
    <w:rsid w:val="005C054A"/>
    <w:rsid w:val="005E11C4"/>
    <w:rsid w:val="0060518E"/>
    <w:rsid w:val="00606B88"/>
    <w:rsid w:val="00624023"/>
    <w:rsid w:val="0065077E"/>
    <w:rsid w:val="00664072"/>
    <w:rsid w:val="00673C52"/>
    <w:rsid w:val="0069393C"/>
    <w:rsid w:val="006A6CB1"/>
    <w:rsid w:val="006E260B"/>
    <w:rsid w:val="006E27ED"/>
    <w:rsid w:val="006E2FAC"/>
    <w:rsid w:val="006E7659"/>
    <w:rsid w:val="006F4D27"/>
    <w:rsid w:val="0070139C"/>
    <w:rsid w:val="0070397B"/>
    <w:rsid w:val="00711374"/>
    <w:rsid w:val="00717DA4"/>
    <w:rsid w:val="00730F14"/>
    <w:rsid w:val="0073226C"/>
    <w:rsid w:val="00742060"/>
    <w:rsid w:val="00743201"/>
    <w:rsid w:val="007612B8"/>
    <w:rsid w:val="007616F2"/>
    <w:rsid w:val="007772E9"/>
    <w:rsid w:val="00781320"/>
    <w:rsid w:val="00793250"/>
    <w:rsid w:val="007C06EA"/>
    <w:rsid w:val="007D4F62"/>
    <w:rsid w:val="007D7121"/>
    <w:rsid w:val="008174FD"/>
    <w:rsid w:val="00843097"/>
    <w:rsid w:val="00844BAB"/>
    <w:rsid w:val="00864B26"/>
    <w:rsid w:val="008662A1"/>
    <w:rsid w:val="0086646F"/>
    <w:rsid w:val="008751BA"/>
    <w:rsid w:val="00895F07"/>
    <w:rsid w:val="008A3EB5"/>
    <w:rsid w:val="008B73D9"/>
    <w:rsid w:val="008D2601"/>
    <w:rsid w:val="008E0B1D"/>
    <w:rsid w:val="008E4659"/>
    <w:rsid w:val="009017FC"/>
    <w:rsid w:val="00911DAF"/>
    <w:rsid w:val="00912D06"/>
    <w:rsid w:val="00914176"/>
    <w:rsid w:val="00930597"/>
    <w:rsid w:val="00961187"/>
    <w:rsid w:val="0098568B"/>
    <w:rsid w:val="009878BD"/>
    <w:rsid w:val="00991599"/>
    <w:rsid w:val="0099219D"/>
    <w:rsid w:val="00993E6E"/>
    <w:rsid w:val="009A14BF"/>
    <w:rsid w:val="009A6188"/>
    <w:rsid w:val="009A7722"/>
    <w:rsid w:val="009C20D3"/>
    <w:rsid w:val="009C5D84"/>
    <w:rsid w:val="009C7CF7"/>
    <w:rsid w:val="009E06CE"/>
    <w:rsid w:val="009E5B1B"/>
    <w:rsid w:val="00A23109"/>
    <w:rsid w:val="00A33D5E"/>
    <w:rsid w:val="00A467F2"/>
    <w:rsid w:val="00A46F86"/>
    <w:rsid w:val="00A567B8"/>
    <w:rsid w:val="00A56FDB"/>
    <w:rsid w:val="00A576F3"/>
    <w:rsid w:val="00A57C3A"/>
    <w:rsid w:val="00A658B0"/>
    <w:rsid w:val="00A736C0"/>
    <w:rsid w:val="00A77B7F"/>
    <w:rsid w:val="00A84B97"/>
    <w:rsid w:val="00A8671A"/>
    <w:rsid w:val="00A93C83"/>
    <w:rsid w:val="00AA2655"/>
    <w:rsid w:val="00AD3C23"/>
    <w:rsid w:val="00AE0019"/>
    <w:rsid w:val="00AE2D92"/>
    <w:rsid w:val="00AE504D"/>
    <w:rsid w:val="00B11EB8"/>
    <w:rsid w:val="00B4361A"/>
    <w:rsid w:val="00B52946"/>
    <w:rsid w:val="00B63800"/>
    <w:rsid w:val="00B8072E"/>
    <w:rsid w:val="00BB07F8"/>
    <w:rsid w:val="00BB5DB3"/>
    <w:rsid w:val="00BC1EA5"/>
    <w:rsid w:val="00BC7E41"/>
    <w:rsid w:val="00C0133C"/>
    <w:rsid w:val="00C137A1"/>
    <w:rsid w:val="00C158D6"/>
    <w:rsid w:val="00C22D25"/>
    <w:rsid w:val="00C2713F"/>
    <w:rsid w:val="00C732C4"/>
    <w:rsid w:val="00CE1DE9"/>
    <w:rsid w:val="00CE421E"/>
    <w:rsid w:val="00CE6397"/>
    <w:rsid w:val="00CF3D7D"/>
    <w:rsid w:val="00D04788"/>
    <w:rsid w:val="00D10199"/>
    <w:rsid w:val="00D1313B"/>
    <w:rsid w:val="00D2767B"/>
    <w:rsid w:val="00D315C2"/>
    <w:rsid w:val="00D31C6E"/>
    <w:rsid w:val="00D33101"/>
    <w:rsid w:val="00D371C6"/>
    <w:rsid w:val="00D51A99"/>
    <w:rsid w:val="00D603D0"/>
    <w:rsid w:val="00D66EC4"/>
    <w:rsid w:val="00D736FF"/>
    <w:rsid w:val="00D75422"/>
    <w:rsid w:val="00D75D1F"/>
    <w:rsid w:val="00D86815"/>
    <w:rsid w:val="00DB3F53"/>
    <w:rsid w:val="00DC2BF4"/>
    <w:rsid w:val="00DF041D"/>
    <w:rsid w:val="00E057D7"/>
    <w:rsid w:val="00E111AF"/>
    <w:rsid w:val="00E25542"/>
    <w:rsid w:val="00E5765A"/>
    <w:rsid w:val="00E60014"/>
    <w:rsid w:val="00E62CBD"/>
    <w:rsid w:val="00E635A7"/>
    <w:rsid w:val="00E67126"/>
    <w:rsid w:val="00E759D5"/>
    <w:rsid w:val="00E85221"/>
    <w:rsid w:val="00E8655D"/>
    <w:rsid w:val="00EB43CB"/>
    <w:rsid w:val="00EC2290"/>
    <w:rsid w:val="00ED2586"/>
    <w:rsid w:val="00EE6C4D"/>
    <w:rsid w:val="00EF3149"/>
    <w:rsid w:val="00F019A2"/>
    <w:rsid w:val="00F06609"/>
    <w:rsid w:val="00F215F3"/>
    <w:rsid w:val="00F21D8E"/>
    <w:rsid w:val="00F2222F"/>
    <w:rsid w:val="00F356FF"/>
    <w:rsid w:val="00F35DEF"/>
    <w:rsid w:val="00F458D2"/>
    <w:rsid w:val="00F534D6"/>
    <w:rsid w:val="00F70902"/>
    <w:rsid w:val="00F8487A"/>
    <w:rsid w:val="00FA0270"/>
    <w:rsid w:val="00FA285D"/>
    <w:rsid w:val="00FA3B56"/>
    <w:rsid w:val="00FB304C"/>
    <w:rsid w:val="00FC2B3D"/>
    <w:rsid w:val="00FC3FC3"/>
    <w:rsid w:val="00FE025A"/>
    <w:rsid w:val="00FE124C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0EA7B5F5"/>
  <w15:docId w15:val="{E6F08135-CD02-4C42-A807-0120A991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after="10"/>
      <w:jc w:val="right"/>
      <w:outlineLvl w:val="0"/>
    </w:pPr>
    <w:rPr>
      <w:b/>
      <w:sz w:val="15"/>
    </w:rPr>
  </w:style>
  <w:style w:type="paragraph" w:styleId="Heading2">
    <w:name w:val="heading 2"/>
    <w:basedOn w:val="Normal"/>
    <w:next w:val="Normal"/>
    <w:qFormat/>
    <w:pPr>
      <w:keepNext/>
      <w:spacing w:after="4"/>
      <w:jc w:val="right"/>
      <w:outlineLvl w:val="1"/>
    </w:pPr>
    <w:rPr>
      <w:b/>
      <w:sz w:val="17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72"/>
    </w:rPr>
  </w:style>
  <w:style w:type="paragraph" w:styleId="Heading4">
    <w:name w:val="heading 4"/>
    <w:basedOn w:val="Normal"/>
    <w:next w:val="Normal"/>
    <w:qFormat/>
    <w:pPr>
      <w:keepNext/>
      <w:pBdr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b/>
      <w:spacing w:val="2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lockText">
    <w:name w:val="Block Text"/>
    <w:basedOn w:val="Normal"/>
    <w:rsid w:val="00192BAD"/>
    <w:pPr>
      <w:ind w:left="900" w:right="-720"/>
      <w:jc w:val="both"/>
    </w:pPr>
    <w:rPr>
      <w:sz w:val="24"/>
    </w:rPr>
  </w:style>
  <w:style w:type="paragraph" w:styleId="FootnoteText">
    <w:name w:val="footnote text"/>
    <w:basedOn w:val="Normal"/>
    <w:semiHidden/>
    <w:rsid w:val="00D75422"/>
    <w:rPr>
      <w:rFonts w:eastAsia="Times New Roman"/>
    </w:rPr>
  </w:style>
  <w:style w:type="character" w:styleId="FootnoteReference">
    <w:name w:val="footnote reference"/>
    <w:basedOn w:val="DefaultParagraphFont"/>
    <w:semiHidden/>
    <w:rsid w:val="00D75422"/>
    <w:rPr>
      <w:vertAlign w:val="superscript"/>
    </w:rPr>
  </w:style>
  <w:style w:type="character" w:customStyle="1" w:styleId="xesmall1">
    <w:name w:val="xesmall1"/>
    <w:basedOn w:val="DefaultParagraphFont"/>
    <w:rsid w:val="00D75422"/>
    <w:rPr>
      <w:color w:val="666666"/>
      <w:sz w:val="23"/>
      <w:szCs w:val="23"/>
    </w:rPr>
  </w:style>
  <w:style w:type="character" w:styleId="PageNumber">
    <w:name w:val="page number"/>
    <w:basedOn w:val="DefaultParagraphFont"/>
    <w:rsid w:val="00D75422"/>
  </w:style>
  <w:style w:type="character" w:styleId="Emphasis">
    <w:name w:val="Emphasis"/>
    <w:basedOn w:val="DefaultParagraphFont"/>
    <w:qFormat/>
    <w:rsid w:val="009E5B1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C22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D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18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E06CE"/>
    <w:rPr>
      <w:color w:val="605E5C"/>
      <w:shd w:val="clear" w:color="auto" w:fill="E1DFDD"/>
    </w:rPr>
  </w:style>
  <w:style w:type="paragraph" w:customStyle="1" w:styleId="Default">
    <w:name w:val="Default"/>
    <w:rsid w:val="00014BE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table" w:styleId="TableGrid">
    <w:name w:val="Table Grid"/>
    <w:basedOn w:val="TableNormal"/>
    <w:rsid w:val="003F3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ic.org/prod_serv_alpha_listing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aleo@naic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ent.naic.org/sites/default/files/inline-files/%283%29%202019%20FINAL%20IID%20Plan%20of%20Operation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ontent.naic.org/sites/default/files/inline-files/%283%29%202019%20FINAL%20IID%20Plan%20of%20Operat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tins.org/alien_insurers.htm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wilkins\LOCALS~1\Temp\forms_naic_cipr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C095F-0F3C-47D5-AA89-61E749A6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forms_naic_cipr_letterhead.dot</Template>
  <TotalTime>35</TotalTime>
  <Pages>1</Pages>
  <Words>255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NAIC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Wilkinson, Jeremy</dc:creator>
  <cp:lastModifiedBy>Schump, Robert F.</cp:lastModifiedBy>
  <cp:revision>5</cp:revision>
  <cp:lastPrinted>2021-02-17T18:37:00Z</cp:lastPrinted>
  <dcterms:created xsi:type="dcterms:W3CDTF">2021-03-04T14:18:00Z</dcterms:created>
  <dcterms:modified xsi:type="dcterms:W3CDTF">2021-03-11T14:37:00Z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637704617</vt:i4>
  </property>
  <property fmtid="{D5CDD505-2E9C-101B-9397-08002B2CF9AE}" pid="3" name="_NewReviewCycle">
    <vt:lpwstr/>
  </property>
  <property fmtid="{D5CDD505-2E9C-101B-9397-08002B2CF9AE}" pid="4" name="_EmailSubject">
    <vt:lpwstr>New Letterhead</vt:lpwstr>
  </property>
  <property fmtid="{D5CDD505-2E9C-101B-9397-08002B2CF9AE}" pid="5" name="_AuthorEmail">
    <vt:lpwstr>jwilkins@naic.org</vt:lpwstr>
  </property>
  <property fmtid="{D5CDD505-2E9C-101B-9397-08002B2CF9AE}" pid="6" name="_AuthorEmailDisplayName">
    <vt:lpwstr>Wilkinson, Jeremy</vt:lpwstr>
  </property>
  <property fmtid="{D5CDD505-2E9C-101B-9397-08002B2CF9AE}" pid="7" name="_ReviewingToolsShownOnce">
    <vt:lpwstr/>
  </property>
</Properties>
</file>