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963D3" w14:textId="77777777" w:rsidR="00740ED2" w:rsidRPr="00EA6BC5" w:rsidRDefault="00740ED2" w:rsidP="00740ED2">
      <w:pPr>
        <w:jc w:val="center"/>
        <w:outlineLvl w:val="0"/>
        <w:rPr>
          <w:rFonts w:ascii="Times New Roman" w:hAnsi="Times New Roman" w:cs="Times New Roman"/>
          <w:b/>
          <w:bCs/>
          <w:sz w:val="24"/>
          <w:szCs w:val="24"/>
        </w:rPr>
      </w:pPr>
      <w:r w:rsidRPr="00EA6BC5">
        <w:rPr>
          <w:rFonts w:ascii="Times New Roman" w:hAnsi="Times New Roman" w:cs="Times New Roman"/>
          <w:b/>
          <w:bCs/>
          <w:sz w:val="24"/>
          <w:szCs w:val="24"/>
        </w:rPr>
        <w:t>LONGEVITY RISK</w:t>
      </w:r>
    </w:p>
    <w:p w14:paraId="39B77CC1" w14:textId="77777777" w:rsidR="00740ED2" w:rsidRPr="009A166B" w:rsidRDefault="00740ED2" w:rsidP="00740ED2">
      <w:pPr>
        <w:jc w:val="center"/>
        <w:outlineLvl w:val="0"/>
        <w:rPr>
          <w:rFonts w:ascii="Times New Roman" w:hAnsi="Times New Roman" w:cs="Times New Roman"/>
          <w:b/>
          <w:sz w:val="24"/>
          <w:szCs w:val="24"/>
          <w:u w:val="single"/>
        </w:rPr>
      </w:pPr>
      <w:r w:rsidRPr="009A166B">
        <w:rPr>
          <w:rFonts w:ascii="Times New Roman" w:hAnsi="Times New Roman" w:cs="Times New Roman"/>
          <w:sz w:val="24"/>
          <w:szCs w:val="24"/>
        </w:rPr>
        <w:t>LR025-A</w:t>
      </w:r>
    </w:p>
    <w:p w14:paraId="4F39CF8E" w14:textId="77777777" w:rsidR="00740ED2" w:rsidRPr="009A166B" w:rsidRDefault="00740ED2" w:rsidP="00740ED2">
      <w:pPr>
        <w:outlineLvl w:val="0"/>
        <w:rPr>
          <w:rFonts w:ascii="Times New Roman" w:hAnsi="Times New Roman" w:cs="Times New Roman"/>
          <w:i/>
          <w:sz w:val="24"/>
          <w:szCs w:val="24"/>
        </w:rPr>
      </w:pPr>
      <w:r w:rsidRPr="009A166B">
        <w:rPr>
          <w:rFonts w:ascii="Times New Roman" w:hAnsi="Times New Roman" w:cs="Times New Roman"/>
          <w:i/>
          <w:sz w:val="24"/>
          <w:szCs w:val="24"/>
        </w:rPr>
        <w:t>Basis of Factors</w:t>
      </w:r>
    </w:p>
    <w:p w14:paraId="77DC5373" w14:textId="77777777" w:rsidR="00740ED2" w:rsidRPr="009A166B" w:rsidRDefault="00740ED2" w:rsidP="00740ED2">
      <w:pPr>
        <w:spacing w:after="0"/>
        <w:rPr>
          <w:rFonts w:ascii="Times New Roman" w:hAnsi="Times New Roman" w:cs="Times New Roman"/>
          <w:b/>
          <w:sz w:val="24"/>
          <w:szCs w:val="24"/>
          <w:u w:val="single"/>
        </w:rPr>
      </w:pPr>
    </w:p>
    <w:p w14:paraId="5A7A4CF3" w14:textId="77777777" w:rsidR="00740ED2" w:rsidRPr="009A166B" w:rsidRDefault="00740ED2" w:rsidP="00740ED2">
      <w:pPr>
        <w:tabs>
          <w:tab w:val="left" w:pos="5130"/>
        </w:tabs>
        <w:spacing w:after="0"/>
        <w:jc w:val="both"/>
        <w:rPr>
          <w:rFonts w:ascii="Times New Roman" w:hAnsi="Times New Roman" w:cs="Times New Roman"/>
          <w:sz w:val="24"/>
          <w:szCs w:val="24"/>
        </w:rPr>
      </w:pPr>
      <w:r w:rsidRPr="009A166B">
        <w:rPr>
          <w:rFonts w:ascii="Times New Roman" w:hAnsi="Times New Roman" w:cs="Times New Roman"/>
          <w:sz w:val="24"/>
          <w:szCs w:val="24"/>
        </w:rPr>
        <w:t xml:space="preserve">The factors chosen represent surplus needed to provide for claims </w:t>
      </w:r>
      <w:proofErr w:type="gramStart"/>
      <w:r w:rsidRPr="009A166B">
        <w:rPr>
          <w:rFonts w:ascii="Times New Roman" w:hAnsi="Times New Roman" w:cs="Times New Roman"/>
          <w:sz w:val="24"/>
          <w:szCs w:val="24"/>
        </w:rPr>
        <w:t>in excess of</w:t>
      </w:r>
      <w:proofErr w:type="gramEnd"/>
      <w:r w:rsidRPr="009A166B">
        <w:rPr>
          <w:rFonts w:ascii="Times New Roman" w:hAnsi="Times New Roman" w:cs="Times New Roman"/>
          <w:sz w:val="24"/>
          <w:szCs w:val="24"/>
        </w:rPr>
        <w:t xml:space="preserve"> reserves resulting from increased policyholder longevity calibrated to a 95</w:t>
      </w:r>
      <w:r w:rsidRPr="009A166B">
        <w:rPr>
          <w:rFonts w:ascii="Times New Roman" w:hAnsi="Times New Roman" w:cs="Times New Roman"/>
          <w:sz w:val="24"/>
          <w:szCs w:val="24"/>
          <w:vertAlign w:val="superscript"/>
        </w:rPr>
        <w:t>th</w:t>
      </w:r>
      <w:r w:rsidRPr="009A166B">
        <w:rPr>
          <w:rFonts w:ascii="Times New Roman" w:hAnsi="Times New Roman" w:cs="Times New Roman"/>
          <w:sz w:val="24"/>
          <w:szCs w:val="24"/>
        </w:rPr>
        <w:t xml:space="preserve"> percentile level. </w:t>
      </w:r>
      <w:proofErr w:type="gramStart"/>
      <w:r w:rsidRPr="009A166B">
        <w:rPr>
          <w:rFonts w:ascii="Times New Roman" w:hAnsi="Times New Roman" w:cs="Times New Roman"/>
          <w:sz w:val="24"/>
          <w:szCs w:val="24"/>
        </w:rPr>
        <w:t>For the purpose of</w:t>
      </w:r>
      <w:proofErr w:type="gramEnd"/>
      <w:r w:rsidRPr="009A166B">
        <w:rPr>
          <w:rFonts w:ascii="Times New Roman" w:hAnsi="Times New Roman" w:cs="Times New Roman"/>
          <w:sz w:val="24"/>
          <w:szCs w:val="24"/>
        </w:rPr>
        <w:t xml:space="preserve"> this calibration aggregate reserves were assumed to provide for an 85</w:t>
      </w:r>
      <w:r w:rsidRPr="009A166B">
        <w:rPr>
          <w:rFonts w:ascii="Times New Roman" w:hAnsi="Times New Roman" w:cs="Times New Roman"/>
          <w:sz w:val="24"/>
          <w:szCs w:val="24"/>
          <w:vertAlign w:val="superscript"/>
        </w:rPr>
        <w:t>th</w:t>
      </w:r>
      <w:r w:rsidRPr="009A166B">
        <w:rPr>
          <w:rFonts w:ascii="Times New Roman" w:hAnsi="Times New Roman" w:cs="Times New Roman"/>
          <w:sz w:val="24"/>
          <w:szCs w:val="24"/>
        </w:rPr>
        <w:t xml:space="preserve"> percentile outcome.</w:t>
      </w:r>
    </w:p>
    <w:p w14:paraId="20E6EEF4" w14:textId="77777777" w:rsidR="00740ED2" w:rsidRPr="009A166B" w:rsidRDefault="00740ED2" w:rsidP="00740ED2">
      <w:pPr>
        <w:spacing w:after="0"/>
        <w:rPr>
          <w:rFonts w:ascii="Times New Roman" w:hAnsi="Times New Roman" w:cs="Times New Roman"/>
          <w:b/>
          <w:sz w:val="24"/>
          <w:szCs w:val="24"/>
          <w:u w:val="single"/>
        </w:rPr>
      </w:pPr>
    </w:p>
    <w:p w14:paraId="5669D6F6" w14:textId="77777777" w:rsidR="00740ED2" w:rsidRPr="009A166B" w:rsidRDefault="00740ED2" w:rsidP="00740ED2">
      <w:pPr>
        <w:tabs>
          <w:tab w:val="left" w:pos="5130"/>
        </w:tabs>
        <w:spacing w:after="0"/>
        <w:jc w:val="both"/>
        <w:rPr>
          <w:rFonts w:ascii="Times New Roman" w:hAnsi="Times New Roman" w:cs="Times New Roman"/>
          <w:sz w:val="24"/>
          <w:szCs w:val="24"/>
        </w:rPr>
      </w:pPr>
      <w:r w:rsidRPr="009A166B">
        <w:rPr>
          <w:rFonts w:ascii="Times New Roman" w:hAnsi="Times New Roman" w:cs="Times New Roman"/>
          <w:sz w:val="24"/>
          <w:szCs w:val="24"/>
        </w:rPr>
        <w:t>Longevity risk was considered over the entire lifetime of the policies since these annuity policies are generally not subject to repricing. Calibration of longevity risk considered both trend risk based on uncertainty in future population mortality improvements, as well as level or volatility risk which derives from misestimation of current population mortality rates or random fluctuations. Trend risk applies equally to all populations whereas level and volatility risk factors decrease with larger portfolios consistent with the law of large numbers.</w:t>
      </w:r>
    </w:p>
    <w:p w14:paraId="356890C8" w14:textId="77777777" w:rsidR="00740ED2" w:rsidRPr="009A166B" w:rsidRDefault="00740ED2" w:rsidP="00740ED2">
      <w:pPr>
        <w:spacing w:after="0"/>
        <w:rPr>
          <w:rFonts w:ascii="Times New Roman" w:hAnsi="Times New Roman" w:cs="Times New Roman"/>
          <w:b/>
          <w:sz w:val="24"/>
          <w:szCs w:val="24"/>
          <w:u w:val="single"/>
        </w:rPr>
      </w:pPr>
    </w:p>
    <w:p w14:paraId="07871456" w14:textId="77777777" w:rsidR="00740ED2" w:rsidRPr="009A166B" w:rsidRDefault="00740ED2" w:rsidP="00740ED2">
      <w:pPr>
        <w:tabs>
          <w:tab w:val="left" w:pos="5130"/>
        </w:tabs>
        <w:spacing w:after="0"/>
        <w:jc w:val="both"/>
        <w:rPr>
          <w:rFonts w:ascii="Times New Roman" w:hAnsi="Times New Roman" w:cs="Times New Roman"/>
          <w:sz w:val="24"/>
          <w:szCs w:val="24"/>
        </w:rPr>
      </w:pPr>
      <w:r w:rsidRPr="00912FAE">
        <w:rPr>
          <w:rFonts w:ascii="Times New Roman" w:hAnsi="Times New Roman" w:cs="Times New Roman"/>
          <w:color w:val="EE0000"/>
          <w:sz w:val="24"/>
          <w:szCs w:val="24"/>
          <w:u w:val="single"/>
        </w:rPr>
        <w:t>Except for longevity reinsurance,</w:t>
      </w:r>
      <w:r w:rsidRPr="009A166B">
        <w:rPr>
          <w:rFonts w:ascii="Times New Roman" w:hAnsi="Times New Roman" w:cs="Times New Roman"/>
          <w:sz w:val="24"/>
          <w:szCs w:val="24"/>
        </w:rPr>
        <w:t xml:space="preserve"> </w:t>
      </w:r>
      <w:proofErr w:type="spellStart"/>
      <w:r w:rsidRPr="00DC61AC">
        <w:rPr>
          <w:rFonts w:ascii="Times New Roman" w:hAnsi="Times New Roman" w:cs="Times New Roman"/>
          <w:strike/>
          <w:color w:val="EE0000"/>
          <w:sz w:val="24"/>
          <w:szCs w:val="24"/>
        </w:rPr>
        <w:t>S</w:t>
      </w:r>
      <w:r w:rsidRPr="00912FAE">
        <w:rPr>
          <w:rFonts w:ascii="Times New Roman" w:hAnsi="Times New Roman" w:cs="Times New Roman"/>
          <w:color w:val="EE0000"/>
          <w:sz w:val="24"/>
          <w:szCs w:val="24"/>
          <w:u w:val="single"/>
        </w:rPr>
        <w:t>s</w:t>
      </w:r>
      <w:r w:rsidRPr="009A166B">
        <w:rPr>
          <w:rFonts w:ascii="Times New Roman" w:hAnsi="Times New Roman" w:cs="Times New Roman"/>
          <w:sz w:val="24"/>
          <w:szCs w:val="24"/>
        </w:rPr>
        <w:t>tatutory</w:t>
      </w:r>
      <w:proofErr w:type="spellEnd"/>
      <w:r w:rsidRPr="009A166B">
        <w:rPr>
          <w:rFonts w:ascii="Times New Roman" w:hAnsi="Times New Roman" w:cs="Times New Roman"/>
          <w:sz w:val="24"/>
          <w:szCs w:val="24"/>
        </w:rPr>
        <w:t xml:space="preserve"> reserve was chosen as the exposure base as a consistent measure of the economic exposure to increased longevity. Factors were also scaled by reserve level since number of insured policyholders is a less accessible measure of company specific volatility risk. Factors provided are pre-tax and were developed assuming a 21% tax adjustment would be subsequently applied.</w:t>
      </w:r>
    </w:p>
    <w:p w14:paraId="6423EC40" w14:textId="77777777" w:rsidR="00740ED2" w:rsidRPr="009A166B" w:rsidRDefault="00740ED2" w:rsidP="00740ED2">
      <w:pPr>
        <w:tabs>
          <w:tab w:val="left" w:pos="5130"/>
        </w:tabs>
        <w:spacing w:after="0"/>
        <w:jc w:val="both"/>
        <w:rPr>
          <w:rFonts w:ascii="Times New Roman" w:hAnsi="Times New Roman" w:cs="Times New Roman"/>
          <w:sz w:val="24"/>
          <w:szCs w:val="24"/>
        </w:rPr>
      </w:pPr>
    </w:p>
    <w:p w14:paraId="512B3841" w14:textId="77777777" w:rsidR="00740ED2" w:rsidRPr="00912FAE" w:rsidRDefault="00740ED2" w:rsidP="00740ED2">
      <w:pPr>
        <w:spacing w:after="0"/>
        <w:rPr>
          <w:rFonts w:ascii="Times New Roman" w:hAnsi="Times New Roman" w:cs="Times New Roman"/>
          <w:b/>
          <w:color w:val="EE0000"/>
          <w:sz w:val="24"/>
          <w:szCs w:val="24"/>
          <w:u w:val="single"/>
        </w:rPr>
      </w:pPr>
      <w:r w:rsidRPr="00912FAE">
        <w:rPr>
          <w:rFonts w:ascii="Times New Roman" w:hAnsi="Times New Roman" w:cs="Times New Roman"/>
          <w:color w:val="EE0000"/>
          <w:sz w:val="24"/>
          <w:szCs w:val="24"/>
          <w:u w:val="single"/>
        </w:rPr>
        <w:t xml:space="preserve">For longevity reinsurance, shocks to mortality level and mortality trend are modeled to produce a present value of net cash flows. Net cash flows </w:t>
      </w:r>
      <w:r>
        <w:rPr>
          <w:rFonts w:ascii="Times New Roman" w:hAnsi="Times New Roman" w:cs="Times New Roman"/>
          <w:color w:val="EE0000"/>
          <w:sz w:val="24"/>
          <w:szCs w:val="24"/>
          <w:u w:val="single"/>
        </w:rPr>
        <w:t xml:space="preserve">are </w:t>
      </w:r>
      <w:r w:rsidRPr="00912FAE">
        <w:rPr>
          <w:rFonts w:ascii="Times New Roman" w:hAnsi="Times New Roman" w:cs="Times New Roman"/>
          <w:color w:val="EE0000"/>
          <w:sz w:val="24"/>
          <w:szCs w:val="24"/>
          <w:u w:val="single"/>
        </w:rPr>
        <w:t>benefits and expenses</w:t>
      </w:r>
      <w:r>
        <w:rPr>
          <w:rFonts w:ascii="Times New Roman" w:hAnsi="Times New Roman" w:cs="Times New Roman"/>
          <w:color w:val="EE0000"/>
          <w:sz w:val="24"/>
          <w:szCs w:val="24"/>
          <w:u w:val="single"/>
        </w:rPr>
        <w:t xml:space="preserve"> less</w:t>
      </w:r>
      <w:r w:rsidRPr="00912FAE">
        <w:rPr>
          <w:rFonts w:ascii="Times New Roman" w:hAnsi="Times New Roman" w:cs="Times New Roman"/>
          <w:color w:val="EE0000"/>
          <w:sz w:val="24"/>
          <w:szCs w:val="24"/>
          <w:u w:val="single"/>
        </w:rPr>
        <w:t xml:space="preserve"> premiums and reinsurance fee income. Shocks provided are pre-tax and were developed assuming a 21% tax adjustment would be subsequently applied.</w:t>
      </w:r>
      <w:r w:rsidRPr="00912FAE">
        <w:rPr>
          <w:rFonts w:ascii="Times New Roman" w:hAnsi="Times New Roman" w:cs="Times New Roman"/>
          <w:color w:val="EE0000"/>
          <w:sz w:val="24"/>
          <w:szCs w:val="24"/>
          <w:u w:val="single"/>
        </w:rPr>
        <w:br/>
      </w:r>
    </w:p>
    <w:p w14:paraId="0219E9C3" w14:textId="77777777" w:rsidR="00740ED2" w:rsidRPr="009A166B" w:rsidRDefault="00740ED2" w:rsidP="00740ED2">
      <w:pPr>
        <w:spacing w:after="0"/>
        <w:outlineLvl w:val="0"/>
        <w:rPr>
          <w:rFonts w:ascii="Times New Roman" w:hAnsi="Times New Roman" w:cs="Times New Roman"/>
          <w:i/>
          <w:sz w:val="24"/>
          <w:szCs w:val="24"/>
        </w:rPr>
      </w:pPr>
      <w:r w:rsidRPr="009A166B">
        <w:rPr>
          <w:rFonts w:ascii="Times New Roman" w:hAnsi="Times New Roman" w:cs="Times New Roman"/>
          <w:i/>
          <w:sz w:val="24"/>
          <w:szCs w:val="24"/>
        </w:rPr>
        <w:t>Specific Instructions for Application of the Formula</w:t>
      </w:r>
    </w:p>
    <w:p w14:paraId="372990A4" w14:textId="77777777" w:rsidR="00740ED2" w:rsidRPr="009A166B" w:rsidRDefault="00740ED2" w:rsidP="00740ED2">
      <w:pPr>
        <w:spacing w:after="0"/>
        <w:rPr>
          <w:rFonts w:ascii="Times New Roman" w:hAnsi="Times New Roman" w:cs="Times New Roman"/>
          <w:b/>
          <w:sz w:val="24"/>
          <w:szCs w:val="24"/>
          <w:u w:val="single"/>
        </w:rPr>
      </w:pPr>
    </w:p>
    <w:p w14:paraId="509EC343" w14:textId="77777777" w:rsidR="00740ED2" w:rsidRPr="009A166B" w:rsidRDefault="00740ED2" w:rsidP="00740ED2">
      <w:pPr>
        <w:spacing w:after="0"/>
        <w:jc w:val="both"/>
        <w:rPr>
          <w:rFonts w:ascii="Times New Roman" w:hAnsi="Times New Roman" w:cs="Times New Roman"/>
          <w:sz w:val="24"/>
          <w:szCs w:val="24"/>
        </w:rPr>
      </w:pPr>
      <w:r w:rsidRPr="00912FAE">
        <w:rPr>
          <w:rFonts w:ascii="Times New Roman" w:hAnsi="Times New Roman" w:cs="Times New Roman"/>
          <w:color w:val="EE0000"/>
          <w:sz w:val="24"/>
          <w:szCs w:val="24"/>
          <w:u w:val="single"/>
        </w:rPr>
        <w:t>Excluding longevity reinsurance,</w:t>
      </w:r>
      <w:r w:rsidRPr="00DC61AC">
        <w:rPr>
          <w:rFonts w:ascii="Times New Roman" w:hAnsi="Times New Roman" w:cs="Times New Roman"/>
          <w:color w:val="EE0000"/>
          <w:sz w:val="24"/>
          <w:szCs w:val="24"/>
        </w:rPr>
        <w:t xml:space="preserve"> </w:t>
      </w:r>
      <w:proofErr w:type="spellStart"/>
      <w:r w:rsidRPr="00912FAE">
        <w:rPr>
          <w:rFonts w:ascii="Times New Roman" w:hAnsi="Times New Roman" w:cs="Times New Roman"/>
          <w:strike/>
          <w:color w:val="EE0000"/>
          <w:sz w:val="24"/>
          <w:szCs w:val="24"/>
        </w:rPr>
        <w:t>A</w:t>
      </w:r>
      <w:r w:rsidRPr="00912FAE">
        <w:rPr>
          <w:rFonts w:ascii="Times New Roman" w:hAnsi="Times New Roman" w:cs="Times New Roman"/>
          <w:color w:val="EE0000"/>
          <w:sz w:val="24"/>
          <w:szCs w:val="24"/>
          <w:u w:val="single"/>
        </w:rPr>
        <w:t>a</w:t>
      </w:r>
      <w:r w:rsidRPr="009A166B">
        <w:rPr>
          <w:rFonts w:ascii="Times New Roman" w:hAnsi="Times New Roman" w:cs="Times New Roman"/>
          <w:sz w:val="24"/>
          <w:szCs w:val="24"/>
        </w:rPr>
        <w:t>nnual</w:t>
      </w:r>
      <w:proofErr w:type="spellEnd"/>
      <w:r w:rsidRPr="009A166B">
        <w:rPr>
          <w:rFonts w:ascii="Times New Roman" w:hAnsi="Times New Roman" w:cs="Times New Roman"/>
          <w:sz w:val="24"/>
          <w:szCs w:val="24"/>
        </w:rPr>
        <w:t xml:space="preserve"> statement reference is for the total reserve for the products in scope. The scope includes annuity products with life contingent payments where benefits are to be distributed in the form of </w:t>
      </w:r>
      <w:proofErr w:type="gramStart"/>
      <w:r w:rsidRPr="009A166B">
        <w:rPr>
          <w:rFonts w:ascii="Times New Roman" w:hAnsi="Times New Roman" w:cs="Times New Roman"/>
          <w:sz w:val="24"/>
          <w:szCs w:val="24"/>
        </w:rPr>
        <w:t>an annuity</w:t>
      </w:r>
      <w:proofErr w:type="gramEnd"/>
      <w:r w:rsidRPr="009A166B">
        <w:rPr>
          <w:rFonts w:ascii="Times New Roman" w:hAnsi="Times New Roman" w:cs="Times New Roman"/>
          <w:sz w:val="24"/>
          <w:szCs w:val="24"/>
        </w:rPr>
        <w:t xml:space="preserve">. The entire reserve amount for contracts in scope that include any life contingent payments are in scope. For example, under a certain-and-life style annuity, the entire reserve for both the certain payments and life contingent payments are in scope. Variable immediate annuity reserves under VM-21 are also in scope where there are life contingent payments. Scope does not include annuity products that are not life contingent, or deferred annuity products where the policyholder has a right but not an obligation to annuitize. A certain-and-life style annuity, where only certain payments remain (such as following the death of the annuitant), is out of scope. Variable deferred annuity contract reserves under VM-21 are out of scope, including reserves valued under VM-21 for any contracts where policyholder account value has reached zero, but a lifetime benefit may still be payable by the insurer. Line (3) for General Account Life Contingent Miscellaneous reserves is included in the event there are any </w:t>
      </w:r>
      <w:r w:rsidRPr="009A166B">
        <w:rPr>
          <w:rFonts w:ascii="Times New Roman" w:hAnsi="Times New Roman" w:cs="Times New Roman"/>
          <w:sz w:val="24"/>
          <w:szCs w:val="24"/>
        </w:rPr>
        <w:lastRenderedPageBreak/>
        <w:t>reserves for products in scope reported on Exhibit 5 line 0799999; it is not meant to include cash flow testing reserves reported on this line. Included in scope are:</w:t>
      </w:r>
    </w:p>
    <w:p w14:paraId="75B5D075" w14:textId="77777777" w:rsidR="00740ED2" w:rsidRPr="009A166B" w:rsidRDefault="00740ED2" w:rsidP="00740ED2">
      <w:pPr>
        <w:spacing w:after="0"/>
        <w:jc w:val="both"/>
        <w:rPr>
          <w:rFonts w:ascii="Times New Roman" w:hAnsi="Times New Roman" w:cs="Times New Roman"/>
          <w:sz w:val="24"/>
          <w:szCs w:val="24"/>
        </w:rPr>
      </w:pPr>
    </w:p>
    <w:p w14:paraId="5B0B00A7" w14:textId="77777777" w:rsidR="00740ED2" w:rsidRPr="009A166B" w:rsidRDefault="00740ED2" w:rsidP="00740ED2">
      <w:pPr>
        <w:numPr>
          <w:ilvl w:val="0"/>
          <w:numId w:val="1"/>
        </w:numPr>
        <w:spacing w:after="0"/>
        <w:contextualSpacing/>
        <w:jc w:val="both"/>
        <w:rPr>
          <w:rFonts w:ascii="Times New Roman" w:hAnsi="Times New Roman" w:cs="Times New Roman"/>
          <w:sz w:val="24"/>
          <w:szCs w:val="24"/>
        </w:rPr>
      </w:pPr>
      <w:r w:rsidRPr="009A166B">
        <w:rPr>
          <w:rFonts w:ascii="Times New Roman" w:hAnsi="Times New Roman" w:cs="Times New Roman"/>
          <w:sz w:val="24"/>
          <w:szCs w:val="24"/>
        </w:rPr>
        <w:t>Single Premium Immediate Annuities (SPIA) and other payout annuities in pay status</w:t>
      </w:r>
    </w:p>
    <w:p w14:paraId="5024F317" w14:textId="77777777" w:rsidR="00740ED2" w:rsidRPr="009A166B" w:rsidRDefault="00740ED2" w:rsidP="00740ED2">
      <w:pPr>
        <w:numPr>
          <w:ilvl w:val="0"/>
          <w:numId w:val="1"/>
        </w:numPr>
        <w:spacing w:after="0"/>
        <w:contextualSpacing/>
        <w:jc w:val="both"/>
        <w:rPr>
          <w:rFonts w:ascii="Times New Roman" w:hAnsi="Times New Roman" w:cs="Times New Roman"/>
          <w:sz w:val="24"/>
          <w:szCs w:val="24"/>
        </w:rPr>
      </w:pPr>
      <w:r w:rsidRPr="009A166B">
        <w:rPr>
          <w:rFonts w:ascii="Times New Roman" w:hAnsi="Times New Roman" w:cs="Times New Roman"/>
          <w:sz w:val="24"/>
          <w:szCs w:val="24"/>
        </w:rPr>
        <w:t xml:space="preserve">Deferred Income Annuities which will enter annuity pay status in the future </w:t>
      </w:r>
    </w:p>
    <w:p w14:paraId="348E8CD4" w14:textId="77777777" w:rsidR="00740ED2" w:rsidRPr="009A166B" w:rsidRDefault="00740ED2" w:rsidP="00740ED2">
      <w:pPr>
        <w:numPr>
          <w:ilvl w:val="0"/>
          <w:numId w:val="1"/>
        </w:numPr>
        <w:spacing w:after="0"/>
        <w:contextualSpacing/>
        <w:jc w:val="both"/>
        <w:rPr>
          <w:rFonts w:ascii="Times New Roman" w:hAnsi="Times New Roman" w:cs="Times New Roman"/>
          <w:sz w:val="24"/>
          <w:szCs w:val="24"/>
        </w:rPr>
      </w:pPr>
      <w:r w:rsidRPr="009A166B">
        <w:rPr>
          <w:rFonts w:ascii="Times New Roman" w:hAnsi="Times New Roman" w:cs="Times New Roman"/>
          <w:sz w:val="24"/>
          <w:szCs w:val="24"/>
        </w:rPr>
        <w:t>Structured Settlements for annuitants with any life contingent benefits</w:t>
      </w:r>
    </w:p>
    <w:p w14:paraId="5BBD61D4" w14:textId="77777777" w:rsidR="00740ED2" w:rsidRPr="009A166B" w:rsidRDefault="00740ED2" w:rsidP="00740ED2">
      <w:pPr>
        <w:numPr>
          <w:ilvl w:val="0"/>
          <w:numId w:val="1"/>
        </w:numPr>
        <w:spacing w:after="0"/>
        <w:contextualSpacing/>
        <w:jc w:val="both"/>
        <w:rPr>
          <w:rFonts w:ascii="Times New Roman" w:hAnsi="Times New Roman" w:cs="Times New Roman"/>
          <w:sz w:val="24"/>
          <w:szCs w:val="24"/>
        </w:rPr>
      </w:pPr>
      <w:r w:rsidRPr="009A166B">
        <w:rPr>
          <w:rFonts w:ascii="Times New Roman" w:hAnsi="Times New Roman" w:cs="Times New Roman"/>
          <w:sz w:val="24"/>
          <w:szCs w:val="24"/>
        </w:rPr>
        <w:t>Group Annuities, such as those associated with pension liabilities with both immediate and deferred benefits</w:t>
      </w:r>
    </w:p>
    <w:p w14:paraId="0B5EE06E" w14:textId="77777777" w:rsidR="00740ED2" w:rsidRPr="009A166B" w:rsidRDefault="00740ED2" w:rsidP="00740ED2">
      <w:pPr>
        <w:spacing w:after="0"/>
        <w:rPr>
          <w:rFonts w:ascii="Times New Roman" w:hAnsi="Times New Roman" w:cs="Times New Roman"/>
          <w:b/>
          <w:sz w:val="24"/>
          <w:szCs w:val="24"/>
          <w:u w:val="single"/>
        </w:rPr>
      </w:pPr>
    </w:p>
    <w:p w14:paraId="51D48A57" w14:textId="77777777" w:rsidR="00740ED2" w:rsidRDefault="00740ED2" w:rsidP="00740ED2">
      <w:pPr>
        <w:spacing w:after="0"/>
        <w:jc w:val="both"/>
        <w:rPr>
          <w:rFonts w:ascii="Times New Roman" w:hAnsi="Times New Roman" w:cs="Times New Roman"/>
          <w:sz w:val="24"/>
          <w:szCs w:val="24"/>
        </w:rPr>
      </w:pPr>
      <w:r w:rsidRPr="009A166B">
        <w:rPr>
          <w:rFonts w:ascii="Times New Roman" w:hAnsi="Times New Roman" w:cs="Times New Roman"/>
          <w:sz w:val="24"/>
          <w:szCs w:val="24"/>
        </w:rPr>
        <w:t>The total reserve exposure is then further broken down by size as in a tax table. This breakdown will not appear on the RBC filing software or on the printed copy, as the application of factors to reserves is completed automatically. The calculation is as follows:</w:t>
      </w:r>
    </w:p>
    <w:p w14:paraId="0A82AEAF" w14:textId="77777777" w:rsidR="00740ED2" w:rsidRPr="009A166B" w:rsidRDefault="00740ED2" w:rsidP="00740ED2">
      <w:pPr>
        <w:spacing w:after="0"/>
        <w:jc w:val="both"/>
        <w:rPr>
          <w:rFonts w:ascii="Times New Roman" w:hAnsi="Times New Roman" w:cs="Times New Roman"/>
          <w:sz w:val="24"/>
          <w:szCs w:val="24"/>
        </w:rPr>
      </w:pPr>
    </w:p>
    <w:tbl>
      <w:tblPr>
        <w:tblW w:w="11424" w:type="dxa"/>
        <w:tblInd w:w="-1030" w:type="dxa"/>
        <w:tblLayout w:type="fixed"/>
        <w:tblLook w:val="0000" w:firstRow="0" w:lastRow="0" w:firstColumn="0" w:lastColumn="0" w:noHBand="0" w:noVBand="0"/>
      </w:tblPr>
      <w:tblGrid>
        <w:gridCol w:w="1027"/>
        <w:gridCol w:w="4817"/>
        <w:gridCol w:w="1980"/>
        <w:gridCol w:w="1620"/>
        <w:gridCol w:w="1980"/>
      </w:tblGrid>
      <w:tr w:rsidR="00740ED2" w:rsidRPr="009A166B" w14:paraId="71CCFFAD" w14:textId="77777777" w:rsidTr="00740ED2">
        <w:trPr>
          <w:trHeight w:val="263"/>
        </w:trPr>
        <w:tc>
          <w:tcPr>
            <w:tcW w:w="1027" w:type="dxa"/>
          </w:tcPr>
          <w:p w14:paraId="61CC1627" w14:textId="77777777" w:rsidR="00740ED2" w:rsidRPr="009A166B" w:rsidRDefault="00740ED2" w:rsidP="001C6E43">
            <w:pPr>
              <w:spacing w:after="0"/>
              <w:rPr>
                <w:rFonts w:ascii="Times New Roman" w:hAnsi="Times New Roman" w:cs="Times New Roman"/>
                <w:sz w:val="24"/>
                <w:szCs w:val="24"/>
              </w:rPr>
            </w:pPr>
          </w:p>
        </w:tc>
        <w:tc>
          <w:tcPr>
            <w:tcW w:w="4817" w:type="dxa"/>
          </w:tcPr>
          <w:p w14:paraId="6D7ABB3E" w14:textId="77777777" w:rsidR="00740ED2" w:rsidRPr="009A166B" w:rsidRDefault="00740ED2" w:rsidP="001C6E43">
            <w:pPr>
              <w:spacing w:after="0"/>
              <w:rPr>
                <w:rFonts w:ascii="Times New Roman" w:hAnsi="Times New Roman" w:cs="Times New Roman"/>
                <w:sz w:val="24"/>
                <w:szCs w:val="24"/>
              </w:rPr>
            </w:pPr>
          </w:p>
        </w:tc>
        <w:tc>
          <w:tcPr>
            <w:tcW w:w="1980" w:type="dxa"/>
          </w:tcPr>
          <w:p w14:paraId="186E3B01" w14:textId="77777777" w:rsidR="00740ED2" w:rsidRPr="009A166B" w:rsidRDefault="00740ED2" w:rsidP="001C6E43">
            <w:pPr>
              <w:spacing w:after="0"/>
              <w:jc w:val="center"/>
              <w:rPr>
                <w:rFonts w:ascii="Times New Roman" w:hAnsi="Times New Roman" w:cs="Times New Roman"/>
                <w:sz w:val="24"/>
                <w:szCs w:val="24"/>
              </w:rPr>
            </w:pPr>
            <w:r w:rsidRPr="009A166B">
              <w:rPr>
                <w:rFonts w:ascii="Times New Roman" w:hAnsi="Times New Roman" w:cs="Times New Roman"/>
                <w:sz w:val="24"/>
                <w:szCs w:val="24"/>
              </w:rPr>
              <w:t>(1)</w:t>
            </w:r>
          </w:p>
        </w:tc>
        <w:tc>
          <w:tcPr>
            <w:tcW w:w="1620" w:type="dxa"/>
          </w:tcPr>
          <w:p w14:paraId="57DA440B" w14:textId="77777777" w:rsidR="00740ED2" w:rsidRPr="009A166B" w:rsidRDefault="00740ED2" w:rsidP="001C6E43">
            <w:pPr>
              <w:spacing w:after="0"/>
              <w:rPr>
                <w:rFonts w:ascii="Times New Roman" w:hAnsi="Times New Roman" w:cs="Times New Roman"/>
                <w:sz w:val="24"/>
                <w:szCs w:val="24"/>
              </w:rPr>
            </w:pPr>
          </w:p>
        </w:tc>
        <w:tc>
          <w:tcPr>
            <w:tcW w:w="1980" w:type="dxa"/>
          </w:tcPr>
          <w:p w14:paraId="6B713A0D" w14:textId="77777777" w:rsidR="00740ED2" w:rsidRPr="009A166B" w:rsidRDefault="00740ED2" w:rsidP="001C6E43">
            <w:pPr>
              <w:spacing w:after="0"/>
              <w:jc w:val="center"/>
              <w:rPr>
                <w:rFonts w:ascii="Times New Roman" w:hAnsi="Times New Roman" w:cs="Times New Roman"/>
                <w:i/>
                <w:sz w:val="24"/>
                <w:szCs w:val="24"/>
              </w:rPr>
            </w:pPr>
            <w:r w:rsidRPr="009A166B">
              <w:rPr>
                <w:rFonts w:ascii="Times New Roman" w:hAnsi="Times New Roman" w:cs="Times New Roman"/>
                <w:sz w:val="24"/>
                <w:szCs w:val="24"/>
              </w:rPr>
              <w:t>(2)</w:t>
            </w:r>
          </w:p>
        </w:tc>
      </w:tr>
      <w:tr w:rsidR="00740ED2" w:rsidRPr="009A166B" w14:paraId="6F5782CC" w14:textId="77777777" w:rsidTr="00740ED2">
        <w:trPr>
          <w:trHeight w:val="280"/>
        </w:trPr>
        <w:tc>
          <w:tcPr>
            <w:tcW w:w="1027" w:type="dxa"/>
          </w:tcPr>
          <w:p w14:paraId="607992E5" w14:textId="77777777" w:rsidR="00740ED2" w:rsidRPr="009A166B" w:rsidRDefault="00740ED2" w:rsidP="001C6E43">
            <w:pPr>
              <w:spacing w:after="0"/>
              <w:rPr>
                <w:rFonts w:ascii="Times New Roman" w:hAnsi="Times New Roman" w:cs="Times New Roman"/>
                <w:sz w:val="24"/>
                <w:szCs w:val="24"/>
              </w:rPr>
            </w:pPr>
            <w:r w:rsidRPr="009A166B">
              <w:rPr>
                <w:rFonts w:ascii="Times New Roman" w:hAnsi="Times New Roman" w:cs="Times New Roman"/>
                <w:sz w:val="24"/>
                <w:szCs w:val="24"/>
                <w:u w:val="single"/>
              </w:rPr>
              <w:t>Line (5)</w:t>
            </w:r>
          </w:p>
        </w:tc>
        <w:tc>
          <w:tcPr>
            <w:tcW w:w="4817" w:type="dxa"/>
          </w:tcPr>
          <w:p w14:paraId="33054F8E" w14:textId="77777777" w:rsidR="00740ED2" w:rsidRPr="009A166B" w:rsidRDefault="00740ED2" w:rsidP="001C6E43">
            <w:pPr>
              <w:spacing w:after="0"/>
              <w:rPr>
                <w:rFonts w:ascii="Times New Roman" w:hAnsi="Times New Roman" w:cs="Times New Roman"/>
                <w:sz w:val="24"/>
                <w:szCs w:val="24"/>
              </w:rPr>
            </w:pPr>
            <w:r w:rsidRPr="009A166B">
              <w:rPr>
                <w:rFonts w:ascii="Times New Roman" w:hAnsi="Times New Roman" w:cs="Times New Roman"/>
                <w:sz w:val="24"/>
                <w:szCs w:val="24"/>
                <w:u w:val="single"/>
              </w:rPr>
              <w:t>Life Contingent Annuity Reserves</w:t>
            </w:r>
            <w:r w:rsidRPr="00912FAE">
              <w:rPr>
                <w:rFonts w:ascii="Times New Roman" w:hAnsi="Times New Roman" w:cs="Times New Roman"/>
                <w:color w:val="EE0000"/>
                <w:sz w:val="24"/>
                <w:szCs w:val="24"/>
                <w:u w:val="single"/>
              </w:rPr>
              <w:t xml:space="preserve"> Excluding Longevity Reinsurance</w:t>
            </w:r>
          </w:p>
        </w:tc>
        <w:tc>
          <w:tcPr>
            <w:tcW w:w="1980" w:type="dxa"/>
          </w:tcPr>
          <w:p w14:paraId="6DC9D7CB" w14:textId="77777777" w:rsidR="00740ED2" w:rsidRPr="009A166B" w:rsidRDefault="00740ED2" w:rsidP="001C6E43">
            <w:pPr>
              <w:spacing w:after="0"/>
              <w:jc w:val="center"/>
              <w:rPr>
                <w:rFonts w:ascii="Times New Roman" w:hAnsi="Times New Roman" w:cs="Times New Roman"/>
                <w:sz w:val="24"/>
                <w:szCs w:val="24"/>
              </w:rPr>
            </w:pPr>
            <w:r w:rsidRPr="009A166B">
              <w:rPr>
                <w:rFonts w:ascii="Times New Roman" w:hAnsi="Times New Roman" w:cs="Times New Roman"/>
                <w:sz w:val="24"/>
                <w:szCs w:val="24"/>
                <w:u w:val="single"/>
              </w:rPr>
              <w:t>Statement Value</w:t>
            </w:r>
          </w:p>
        </w:tc>
        <w:tc>
          <w:tcPr>
            <w:tcW w:w="1620" w:type="dxa"/>
          </w:tcPr>
          <w:p w14:paraId="73688572" w14:textId="77777777" w:rsidR="00740ED2" w:rsidRPr="009A166B" w:rsidRDefault="00740ED2" w:rsidP="001C6E43">
            <w:pPr>
              <w:spacing w:after="0"/>
              <w:jc w:val="center"/>
              <w:rPr>
                <w:rFonts w:ascii="Times New Roman" w:hAnsi="Times New Roman" w:cs="Times New Roman"/>
                <w:sz w:val="24"/>
                <w:szCs w:val="24"/>
              </w:rPr>
            </w:pPr>
            <w:r w:rsidRPr="009A166B">
              <w:rPr>
                <w:rFonts w:ascii="Times New Roman" w:hAnsi="Times New Roman" w:cs="Times New Roman"/>
                <w:sz w:val="24"/>
                <w:szCs w:val="24"/>
                <w:u w:val="single"/>
              </w:rPr>
              <w:t>Factor</w:t>
            </w:r>
          </w:p>
        </w:tc>
        <w:tc>
          <w:tcPr>
            <w:tcW w:w="1980" w:type="dxa"/>
          </w:tcPr>
          <w:p w14:paraId="0BD46C9D" w14:textId="77777777" w:rsidR="00740ED2" w:rsidRPr="009A166B" w:rsidRDefault="00740ED2" w:rsidP="001C6E43">
            <w:pPr>
              <w:spacing w:after="0"/>
              <w:jc w:val="center"/>
              <w:rPr>
                <w:rFonts w:ascii="Times New Roman" w:hAnsi="Times New Roman" w:cs="Times New Roman"/>
                <w:i/>
                <w:sz w:val="24"/>
                <w:szCs w:val="24"/>
              </w:rPr>
            </w:pPr>
            <w:r w:rsidRPr="009A166B">
              <w:rPr>
                <w:rFonts w:ascii="Times New Roman" w:hAnsi="Times New Roman" w:cs="Times New Roman"/>
                <w:sz w:val="24"/>
                <w:szCs w:val="24"/>
                <w:u w:val="single"/>
              </w:rPr>
              <w:t>RBC Requirement</w:t>
            </w:r>
          </w:p>
        </w:tc>
      </w:tr>
      <w:tr w:rsidR="00740ED2" w:rsidRPr="009A166B" w14:paraId="54D0A6E3" w14:textId="77777777" w:rsidTr="00740ED2">
        <w:trPr>
          <w:trHeight w:val="263"/>
        </w:trPr>
        <w:tc>
          <w:tcPr>
            <w:tcW w:w="1027" w:type="dxa"/>
          </w:tcPr>
          <w:p w14:paraId="0B41BC0E" w14:textId="77777777" w:rsidR="00740ED2" w:rsidRPr="009A166B" w:rsidRDefault="00740ED2" w:rsidP="001C6E43">
            <w:pPr>
              <w:spacing w:after="0"/>
              <w:ind w:right="-18"/>
              <w:rPr>
                <w:rFonts w:ascii="Times New Roman" w:hAnsi="Times New Roman" w:cs="Times New Roman"/>
                <w:sz w:val="24"/>
                <w:szCs w:val="24"/>
              </w:rPr>
            </w:pPr>
          </w:p>
        </w:tc>
        <w:tc>
          <w:tcPr>
            <w:tcW w:w="4817" w:type="dxa"/>
          </w:tcPr>
          <w:p w14:paraId="73D826F2" w14:textId="77777777" w:rsidR="00740ED2" w:rsidRPr="009A166B" w:rsidRDefault="00740ED2" w:rsidP="001C6E43">
            <w:pPr>
              <w:spacing w:after="0"/>
              <w:ind w:right="-18"/>
              <w:rPr>
                <w:rFonts w:ascii="Times New Roman" w:hAnsi="Times New Roman" w:cs="Times New Roman"/>
                <w:sz w:val="24"/>
                <w:szCs w:val="24"/>
              </w:rPr>
            </w:pPr>
            <w:r w:rsidRPr="009A166B">
              <w:rPr>
                <w:rFonts w:ascii="Times New Roman" w:hAnsi="Times New Roman" w:cs="Times New Roman"/>
                <w:sz w:val="24"/>
                <w:szCs w:val="24"/>
              </w:rPr>
              <w:t xml:space="preserve">First 250 </w:t>
            </w:r>
            <w:proofErr w:type="gramStart"/>
            <w:r w:rsidRPr="009A166B">
              <w:rPr>
                <w:rFonts w:ascii="Times New Roman" w:hAnsi="Times New Roman" w:cs="Times New Roman"/>
                <w:sz w:val="24"/>
                <w:szCs w:val="24"/>
              </w:rPr>
              <w:t>Million</w:t>
            </w:r>
            <w:proofErr w:type="gramEnd"/>
          </w:p>
        </w:tc>
        <w:tc>
          <w:tcPr>
            <w:tcW w:w="1980" w:type="dxa"/>
          </w:tcPr>
          <w:p w14:paraId="465B0527" w14:textId="77777777" w:rsidR="00740ED2" w:rsidRPr="009A166B" w:rsidRDefault="00740ED2" w:rsidP="001C6E43">
            <w:pPr>
              <w:tabs>
                <w:tab w:val="right" w:pos="1692"/>
              </w:tabs>
              <w:spacing w:after="0"/>
              <w:rPr>
                <w:rFonts w:ascii="Times New Roman" w:hAnsi="Times New Roman" w:cs="Times New Roman"/>
                <w:sz w:val="24"/>
                <w:szCs w:val="24"/>
                <w:u w:val="single"/>
              </w:rPr>
            </w:pPr>
            <w:r w:rsidRPr="009A166B">
              <w:rPr>
                <w:rFonts w:ascii="Times New Roman" w:hAnsi="Times New Roman" w:cs="Times New Roman"/>
                <w:sz w:val="24"/>
                <w:szCs w:val="24"/>
                <w:u w:val="single"/>
              </w:rPr>
              <w:t xml:space="preserve">      </w:t>
            </w:r>
            <w:r w:rsidRPr="009A166B">
              <w:rPr>
                <w:rFonts w:ascii="Times New Roman" w:hAnsi="Times New Roman" w:cs="Times New Roman"/>
                <w:sz w:val="24"/>
                <w:szCs w:val="24"/>
                <w:u w:val="single"/>
              </w:rPr>
              <w:tab/>
            </w:r>
          </w:p>
        </w:tc>
        <w:tc>
          <w:tcPr>
            <w:tcW w:w="1620" w:type="dxa"/>
          </w:tcPr>
          <w:p w14:paraId="2CE19118" w14:textId="77777777" w:rsidR="00740ED2" w:rsidRPr="009A166B" w:rsidRDefault="00740ED2" w:rsidP="001C6E43">
            <w:pPr>
              <w:spacing w:after="0"/>
              <w:jc w:val="center"/>
              <w:rPr>
                <w:rFonts w:ascii="Times New Roman" w:hAnsi="Times New Roman" w:cs="Times New Roman"/>
                <w:sz w:val="24"/>
                <w:szCs w:val="24"/>
              </w:rPr>
            </w:pPr>
            <w:r w:rsidRPr="009A166B">
              <w:rPr>
                <w:rFonts w:ascii="Times New Roman" w:hAnsi="Times New Roman" w:cs="Times New Roman"/>
                <w:sz w:val="24"/>
                <w:szCs w:val="24"/>
              </w:rPr>
              <w:t>X  0.0171  =</w:t>
            </w:r>
          </w:p>
        </w:tc>
        <w:tc>
          <w:tcPr>
            <w:tcW w:w="1980" w:type="dxa"/>
          </w:tcPr>
          <w:p w14:paraId="64881D15" w14:textId="77777777" w:rsidR="00740ED2" w:rsidRPr="009A166B" w:rsidRDefault="00740ED2" w:rsidP="001C6E43">
            <w:pPr>
              <w:tabs>
                <w:tab w:val="right" w:pos="1692"/>
              </w:tabs>
              <w:spacing w:after="0"/>
              <w:rPr>
                <w:rFonts w:ascii="Times New Roman" w:hAnsi="Times New Roman" w:cs="Times New Roman"/>
                <w:sz w:val="24"/>
                <w:szCs w:val="24"/>
                <w:u w:val="single"/>
              </w:rPr>
            </w:pPr>
            <w:r w:rsidRPr="009A166B">
              <w:rPr>
                <w:rFonts w:ascii="Times New Roman" w:hAnsi="Times New Roman" w:cs="Times New Roman"/>
                <w:sz w:val="24"/>
                <w:szCs w:val="24"/>
                <w:u w:val="single"/>
              </w:rPr>
              <w:t xml:space="preserve">      </w:t>
            </w:r>
            <w:r w:rsidRPr="009A166B">
              <w:rPr>
                <w:rFonts w:ascii="Times New Roman" w:hAnsi="Times New Roman" w:cs="Times New Roman"/>
                <w:sz w:val="24"/>
                <w:szCs w:val="24"/>
                <w:u w:val="single"/>
              </w:rPr>
              <w:tab/>
            </w:r>
          </w:p>
        </w:tc>
      </w:tr>
      <w:tr w:rsidR="00740ED2" w:rsidRPr="009A166B" w14:paraId="78DF6E74" w14:textId="77777777" w:rsidTr="00740ED2">
        <w:trPr>
          <w:trHeight w:val="263"/>
        </w:trPr>
        <w:tc>
          <w:tcPr>
            <w:tcW w:w="1027" w:type="dxa"/>
          </w:tcPr>
          <w:p w14:paraId="639F40C2" w14:textId="77777777" w:rsidR="00740ED2" w:rsidRPr="009A166B" w:rsidRDefault="00740ED2" w:rsidP="001C6E43">
            <w:pPr>
              <w:spacing w:after="0"/>
              <w:rPr>
                <w:rFonts w:ascii="Times New Roman" w:hAnsi="Times New Roman" w:cs="Times New Roman"/>
                <w:sz w:val="24"/>
                <w:szCs w:val="24"/>
              </w:rPr>
            </w:pPr>
          </w:p>
        </w:tc>
        <w:tc>
          <w:tcPr>
            <w:tcW w:w="4817" w:type="dxa"/>
          </w:tcPr>
          <w:p w14:paraId="6F843AB3" w14:textId="77777777" w:rsidR="00740ED2" w:rsidRPr="009A166B" w:rsidRDefault="00740ED2" w:rsidP="001C6E43">
            <w:pPr>
              <w:spacing w:after="0"/>
              <w:rPr>
                <w:rFonts w:ascii="Times New Roman" w:hAnsi="Times New Roman" w:cs="Times New Roman"/>
                <w:sz w:val="24"/>
                <w:szCs w:val="24"/>
              </w:rPr>
            </w:pPr>
            <w:r w:rsidRPr="009A166B">
              <w:rPr>
                <w:rFonts w:ascii="Times New Roman" w:hAnsi="Times New Roman" w:cs="Times New Roman"/>
                <w:sz w:val="24"/>
                <w:szCs w:val="24"/>
              </w:rPr>
              <w:t xml:space="preserve">Next 250 </w:t>
            </w:r>
            <w:proofErr w:type="gramStart"/>
            <w:r w:rsidRPr="009A166B">
              <w:rPr>
                <w:rFonts w:ascii="Times New Roman" w:hAnsi="Times New Roman" w:cs="Times New Roman"/>
                <w:sz w:val="24"/>
                <w:szCs w:val="24"/>
              </w:rPr>
              <w:t>Million</w:t>
            </w:r>
            <w:proofErr w:type="gramEnd"/>
          </w:p>
        </w:tc>
        <w:tc>
          <w:tcPr>
            <w:tcW w:w="1980" w:type="dxa"/>
          </w:tcPr>
          <w:p w14:paraId="3ECCD844" w14:textId="77777777" w:rsidR="00740ED2" w:rsidRPr="009A166B" w:rsidRDefault="00740ED2" w:rsidP="001C6E43">
            <w:pPr>
              <w:tabs>
                <w:tab w:val="right" w:pos="1692"/>
              </w:tabs>
              <w:spacing w:after="0"/>
              <w:rPr>
                <w:rFonts w:ascii="Times New Roman" w:hAnsi="Times New Roman" w:cs="Times New Roman"/>
                <w:sz w:val="24"/>
                <w:szCs w:val="24"/>
                <w:u w:val="single"/>
              </w:rPr>
            </w:pPr>
            <w:r w:rsidRPr="009A166B">
              <w:rPr>
                <w:rFonts w:ascii="Times New Roman" w:hAnsi="Times New Roman" w:cs="Times New Roman"/>
                <w:sz w:val="24"/>
                <w:szCs w:val="24"/>
                <w:u w:val="single"/>
              </w:rPr>
              <w:t xml:space="preserve">      </w:t>
            </w:r>
            <w:r w:rsidRPr="009A166B">
              <w:rPr>
                <w:rFonts w:ascii="Times New Roman" w:hAnsi="Times New Roman" w:cs="Times New Roman"/>
                <w:sz w:val="24"/>
                <w:szCs w:val="24"/>
                <w:u w:val="single"/>
              </w:rPr>
              <w:tab/>
            </w:r>
          </w:p>
        </w:tc>
        <w:tc>
          <w:tcPr>
            <w:tcW w:w="1620" w:type="dxa"/>
          </w:tcPr>
          <w:p w14:paraId="539190A1" w14:textId="77777777" w:rsidR="00740ED2" w:rsidRPr="009A166B" w:rsidRDefault="00740ED2" w:rsidP="001C6E43">
            <w:pPr>
              <w:spacing w:after="0"/>
              <w:jc w:val="center"/>
              <w:rPr>
                <w:rFonts w:ascii="Times New Roman" w:hAnsi="Times New Roman" w:cs="Times New Roman"/>
                <w:sz w:val="24"/>
                <w:szCs w:val="24"/>
              </w:rPr>
            </w:pPr>
            <w:r w:rsidRPr="009A166B">
              <w:rPr>
                <w:rFonts w:ascii="Times New Roman" w:hAnsi="Times New Roman" w:cs="Times New Roman"/>
                <w:sz w:val="24"/>
                <w:szCs w:val="24"/>
              </w:rPr>
              <w:t>X  0.0108  =</w:t>
            </w:r>
          </w:p>
        </w:tc>
        <w:tc>
          <w:tcPr>
            <w:tcW w:w="1980" w:type="dxa"/>
          </w:tcPr>
          <w:p w14:paraId="126647DC" w14:textId="77777777" w:rsidR="00740ED2" w:rsidRPr="009A166B" w:rsidRDefault="00740ED2" w:rsidP="001C6E43">
            <w:pPr>
              <w:tabs>
                <w:tab w:val="right" w:pos="1692"/>
              </w:tabs>
              <w:spacing w:after="0"/>
              <w:rPr>
                <w:rFonts w:ascii="Times New Roman" w:hAnsi="Times New Roman" w:cs="Times New Roman"/>
                <w:sz w:val="24"/>
                <w:szCs w:val="24"/>
                <w:u w:val="single"/>
              </w:rPr>
            </w:pPr>
            <w:r w:rsidRPr="009A166B">
              <w:rPr>
                <w:rFonts w:ascii="Times New Roman" w:hAnsi="Times New Roman" w:cs="Times New Roman"/>
                <w:sz w:val="24"/>
                <w:szCs w:val="24"/>
                <w:u w:val="single"/>
              </w:rPr>
              <w:t xml:space="preserve">      </w:t>
            </w:r>
            <w:r w:rsidRPr="009A166B">
              <w:rPr>
                <w:rFonts w:ascii="Times New Roman" w:hAnsi="Times New Roman" w:cs="Times New Roman"/>
                <w:sz w:val="24"/>
                <w:szCs w:val="24"/>
                <w:u w:val="single"/>
              </w:rPr>
              <w:tab/>
            </w:r>
          </w:p>
        </w:tc>
      </w:tr>
      <w:tr w:rsidR="00740ED2" w:rsidRPr="009A166B" w14:paraId="5E3EE7D5" w14:textId="77777777" w:rsidTr="00740ED2">
        <w:trPr>
          <w:trHeight w:val="280"/>
        </w:trPr>
        <w:tc>
          <w:tcPr>
            <w:tcW w:w="1027" w:type="dxa"/>
          </w:tcPr>
          <w:p w14:paraId="2E9D4670" w14:textId="77777777" w:rsidR="00740ED2" w:rsidRPr="009A166B" w:rsidRDefault="00740ED2" w:rsidP="001C6E43">
            <w:pPr>
              <w:spacing w:after="0"/>
              <w:rPr>
                <w:rFonts w:ascii="Times New Roman" w:hAnsi="Times New Roman" w:cs="Times New Roman"/>
                <w:sz w:val="24"/>
                <w:szCs w:val="24"/>
              </w:rPr>
            </w:pPr>
          </w:p>
        </w:tc>
        <w:tc>
          <w:tcPr>
            <w:tcW w:w="4817" w:type="dxa"/>
          </w:tcPr>
          <w:p w14:paraId="62A3F88C" w14:textId="77777777" w:rsidR="00740ED2" w:rsidRPr="009A166B" w:rsidRDefault="00740ED2" w:rsidP="001C6E43">
            <w:pPr>
              <w:spacing w:after="0"/>
              <w:rPr>
                <w:rFonts w:ascii="Times New Roman" w:hAnsi="Times New Roman" w:cs="Times New Roman"/>
                <w:sz w:val="24"/>
                <w:szCs w:val="24"/>
              </w:rPr>
            </w:pPr>
            <w:r w:rsidRPr="009A166B">
              <w:rPr>
                <w:rFonts w:ascii="Times New Roman" w:hAnsi="Times New Roman" w:cs="Times New Roman"/>
                <w:sz w:val="24"/>
                <w:szCs w:val="24"/>
              </w:rPr>
              <w:t xml:space="preserve">Next 500 </w:t>
            </w:r>
            <w:proofErr w:type="gramStart"/>
            <w:r w:rsidRPr="009A166B">
              <w:rPr>
                <w:rFonts w:ascii="Times New Roman" w:hAnsi="Times New Roman" w:cs="Times New Roman"/>
                <w:sz w:val="24"/>
                <w:szCs w:val="24"/>
              </w:rPr>
              <w:t>Million</w:t>
            </w:r>
            <w:proofErr w:type="gramEnd"/>
          </w:p>
        </w:tc>
        <w:tc>
          <w:tcPr>
            <w:tcW w:w="1980" w:type="dxa"/>
          </w:tcPr>
          <w:p w14:paraId="47830619" w14:textId="77777777" w:rsidR="00740ED2" w:rsidRPr="009A166B" w:rsidRDefault="00740ED2" w:rsidP="001C6E43">
            <w:pPr>
              <w:tabs>
                <w:tab w:val="right" w:pos="1692"/>
              </w:tabs>
              <w:spacing w:after="0"/>
              <w:rPr>
                <w:rFonts w:ascii="Times New Roman" w:hAnsi="Times New Roman" w:cs="Times New Roman"/>
                <w:sz w:val="24"/>
                <w:szCs w:val="24"/>
                <w:u w:val="single"/>
              </w:rPr>
            </w:pPr>
            <w:r w:rsidRPr="009A166B">
              <w:rPr>
                <w:rFonts w:ascii="Times New Roman" w:hAnsi="Times New Roman" w:cs="Times New Roman"/>
                <w:sz w:val="24"/>
                <w:szCs w:val="24"/>
                <w:u w:val="single"/>
              </w:rPr>
              <w:t xml:space="preserve">      </w:t>
            </w:r>
            <w:r w:rsidRPr="009A166B">
              <w:rPr>
                <w:rFonts w:ascii="Times New Roman" w:hAnsi="Times New Roman" w:cs="Times New Roman"/>
                <w:sz w:val="24"/>
                <w:szCs w:val="24"/>
                <w:u w:val="single"/>
              </w:rPr>
              <w:tab/>
            </w:r>
          </w:p>
        </w:tc>
        <w:tc>
          <w:tcPr>
            <w:tcW w:w="1620" w:type="dxa"/>
          </w:tcPr>
          <w:p w14:paraId="088DD4DD" w14:textId="77777777" w:rsidR="00740ED2" w:rsidRPr="009A166B" w:rsidRDefault="00740ED2" w:rsidP="001C6E43">
            <w:pPr>
              <w:spacing w:after="0"/>
              <w:jc w:val="center"/>
              <w:rPr>
                <w:rFonts w:ascii="Times New Roman" w:hAnsi="Times New Roman" w:cs="Times New Roman"/>
                <w:sz w:val="24"/>
                <w:szCs w:val="24"/>
              </w:rPr>
            </w:pPr>
            <w:r w:rsidRPr="009A166B">
              <w:rPr>
                <w:rFonts w:ascii="Times New Roman" w:hAnsi="Times New Roman" w:cs="Times New Roman"/>
                <w:sz w:val="24"/>
                <w:szCs w:val="24"/>
              </w:rPr>
              <w:t>X  0.0095  =</w:t>
            </w:r>
          </w:p>
        </w:tc>
        <w:tc>
          <w:tcPr>
            <w:tcW w:w="1980" w:type="dxa"/>
          </w:tcPr>
          <w:p w14:paraId="442BC55A" w14:textId="77777777" w:rsidR="00740ED2" w:rsidRPr="009A166B" w:rsidRDefault="00740ED2" w:rsidP="001C6E43">
            <w:pPr>
              <w:tabs>
                <w:tab w:val="right" w:pos="1692"/>
              </w:tabs>
              <w:spacing w:after="0"/>
              <w:rPr>
                <w:rFonts w:ascii="Times New Roman" w:hAnsi="Times New Roman" w:cs="Times New Roman"/>
                <w:sz w:val="24"/>
                <w:szCs w:val="24"/>
                <w:u w:val="single"/>
              </w:rPr>
            </w:pPr>
            <w:r w:rsidRPr="009A166B">
              <w:rPr>
                <w:rFonts w:ascii="Times New Roman" w:hAnsi="Times New Roman" w:cs="Times New Roman"/>
                <w:sz w:val="24"/>
                <w:szCs w:val="24"/>
                <w:u w:val="single"/>
              </w:rPr>
              <w:t xml:space="preserve">      </w:t>
            </w:r>
            <w:r w:rsidRPr="009A166B">
              <w:rPr>
                <w:rFonts w:ascii="Times New Roman" w:hAnsi="Times New Roman" w:cs="Times New Roman"/>
                <w:sz w:val="24"/>
                <w:szCs w:val="24"/>
                <w:u w:val="single"/>
              </w:rPr>
              <w:tab/>
            </w:r>
          </w:p>
        </w:tc>
      </w:tr>
      <w:tr w:rsidR="00740ED2" w:rsidRPr="009A166B" w14:paraId="5E96F53E" w14:textId="77777777" w:rsidTr="00740ED2">
        <w:trPr>
          <w:trHeight w:val="263"/>
        </w:trPr>
        <w:tc>
          <w:tcPr>
            <w:tcW w:w="1027" w:type="dxa"/>
          </w:tcPr>
          <w:p w14:paraId="2E50C3ED" w14:textId="77777777" w:rsidR="00740ED2" w:rsidRPr="009A166B" w:rsidRDefault="00740ED2" w:rsidP="001C6E43">
            <w:pPr>
              <w:spacing w:after="0"/>
              <w:rPr>
                <w:rFonts w:ascii="Times New Roman" w:hAnsi="Times New Roman" w:cs="Times New Roman"/>
                <w:sz w:val="24"/>
                <w:szCs w:val="24"/>
              </w:rPr>
            </w:pPr>
          </w:p>
        </w:tc>
        <w:tc>
          <w:tcPr>
            <w:tcW w:w="4817" w:type="dxa"/>
          </w:tcPr>
          <w:p w14:paraId="6B792400" w14:textId="77777777" w:rsidR="00740ED2" w:rsidRPr="009A166B" w:rsidRDefault="00740ED2" w:rsidP="001C6E43">
            <w:pPr>
              <w:spacing w:after="0"/>
              <w:rPr>
                <w:rFonts w:ascii="Times New Roman" w:hAnsi="Times New Roman" w:cs="Times New Roman"/>
                <w:sz w:val="24"/>
                <w:szCs w:val="24"/>
              </w:rPr>
            </w:pPr>
            <w:r w:rsidRPr="009A166B">
              <w:rPr>
                <w:rFonts w:ascii="Times New Roman" w:hAnsi="Times New Roman" w:cs="Times New Roman"/>
                <w:sz w:val="24"/>
                <w:szCs w:val="24"/>
              </w:rPr>
              <w:t xml:space="preserve">Over 1,000 </w:t>
            </w:r>
            <w:proofErr w:type="gramStart"/>
            <w:r w:rsidRPr="009A166B">
              <w:rPr>
                <w:rFonts w:ascii="Times New Roman" w:hAnsi="Times New Roman" w:cs="Times New Roman"/>
                <w:sz w:val="24"/>
                <w:szCs w:val="24"/>
              </w:rPr>
              <w:t>Million</w:t>
            </w:r>
            <w:proofErr w:type="gramEnd"/>
          </w:p>
        </w:tc>
        <w:tc>
          <w:tcPr>
            <w:tcW w:w="1980" w:type="dxa"/>
          </w:tcPr>
          <w:p w14:paraId="21670A17" w14:textId="77777777" w:rsidR="00740ED2" w:rsidRPr="009A166B" w:rsidRDefault="00740ED2" w:rsidP="001C6E43">
            <w:pPr>
              <w:tabs>
                <w:tab w:val="right" w:pos="1692"/>
              </w:tabs>
              <w:spacing w:after="0"/>
              <w:rPr>
                <w:rFonts w:ascii="Times New Roman" w:hAnsi="Times New Roman" w:cs="Times New Roman"/>
                <w:sz w:val="24"/>
                <w:szCs w:val="24"/>
                <w:u w:val="single"/>
              </w:rPr>
            </w:pPr>
            <w:r w:rsidRPr="009A166B">
              <w:rPr>
                <w:rFonts w:ascii="Times New Roman" w:hAnsi="Times New Roman" w:cs="Times New Roman"/>
                <w:sz w:val="24"/>
                <w:szCs w:val="24"/>
                <w:u w:val="single"/>
              </w:rPr>
              <w:t xml:space="preserve">      </w:t>
            </w:r>
            <w:r w:rsidRPr="009A166B">
              <w:rPr>
                <w:rFonts w:ascii="Times New Roman" w:hAnsi="Times New Roman" w:cs="Times New Roman"/>
                <w:sz w:val="24"/>
                <w:szCs w:val="24"/>
                <w:u w:val="single"/>
              </w:rPr>
              <w:tab/>
            </w:r>
          </w:p>
        </w:tc>
        <w:tc>
          <w:tcPr>
            <w:tcW w:w="1620" w:type="dxa"/>
          </w:tcPr>
          <w:p w14:paraId="08FAD206" w14:textId="77777777" w:rsidR="00740ED2" w:rsidRPr="009A166B" w:rsidRDefault="00740ED2" w:rsidP="001C6E43">
            <w:pPr>
              <w:spacing w:after="0"/>
              <w:jc w:val="center"/>
              <w:rPr>
                <w:rFonts w:ascii="Times New Roman" w:hAnsi="Times New Roman" w:cs="Times New Roman"/>
                <w:sz w:val="24"/>
                <w:szCs w:val="24"/>
              </w:rPr>
            </w:pPr>
            <w:r w:rsidRPr="009A166B">
              <w:rPr>
                <w:rFonts w:ascii="Times New Roman" w:hAnsi="Times New Roman" w:cs="Times New Roman"/>
                <w:sz w:val="24"/>
                <w:szCs w:val="24"/>
              </w:rPr>
              <w:t>X  0.0089  =</w:t>
            </w:r>
          </w:p>
        </w:tc>
        <w:tc>
          <w:tcPr>
            <w:tcW w:w="1980" w:type="dxa"/>
          </w:tcPr>
          <w:p w14:paraId="1957F677" w14:textId="77777777" w:rsidR="00740ED2" w:rsidRPr="009A166B" w:rsidRDefault="00740ED2" w:rsidP="001C6E43">
            <w:pPr>
              <w:tabs>
                <w:tab w:val="right" w:pos="1692"/>
              </w:tabs>
              <w:spacing w:after="0"/>
              <w:rPr>
                <w:rFonts w:ascii="Times New Roman" w:hAnsi="Times New Roman" w:cs="Times New Roman"/>
                <w:sz w:val="24"/>
                <w:szCs w:val="24"/>
                <w:u w:val="single"/>
              </w:rPr>
            </w:pPr>
            <w:r w:rsidRPr="009A166B">
              <w:rPr>
                <w:rFonts w:ascii="Times New Roman" w:hAnsi="Times New Roman" w:cs="Times New Roman"/>
                <w:sz w:val="24"/>
                <w:szCs w:val="24"/>
                <w:u w:val="single"/>
              </w:rPr>
              <w:t xml:space="preserve">      </w:t>
            </w:r>
            <w:r w:rsidRPr="009A166B">
              <w:rPr>
                <w:rFonts w:ascii="Times New Roman" w:hAnsi="Times New Roman" w:cs="Times New Roman"/>
                <w:sz w:val="24"/>
                <w:szCs w:val="24"/>
                <w:u w:val="single"/>
              </w:rPr>
              <w:tab/>
            </w:r>
          </w:p>
        </w:tc>
      </w:tr>
      <w:tr w:rsidR="00740ED2" w:rsidRPr="009A166B" w14:paraId="61C53DE2" w14:textId="77777777" w:rsidTr="00740ED2">
        <w:trPr>
          <w:trHeight w:val="263"/>
        </w:trPr>
        <w:tc>
          <w:tcPr>
            <w:tcW w:w="1027" w:type="dxa"/>
          </w:tcPr>
          <w:p w14:paraId="604B2656" w14:textId="77777777" w:rsidR="00740ED2" w:rsidRPr="009A166B" w:rsidRDefault="00740ED2" w:rsidP="001C6E43">
            <w:pPr>
              <w:spacing w:after="0"/>
              <w:rPr>
                <w:rFonts w:ascii="Times New Roman" w:hAnsi="Times New Roman" w:cs="Times New Roman"/>
                <w:sz w:val="24"/>
                <w:szCs w:val="24"/>
              </w:rPr>
            </w:pPr>
          </w:p>
        </w:tc>
        <w:tc>
          <w:tcPr>
            <w:tcW w:w="4817" w:type="dxa"/>
          </w:tcPr>
          <w:p w14:paraId="3E0A90C7" w14:textId="77777777" w:rsidR="00740ED2" w:rsidRPr="009A166B" w:rsidRDefault="00740ED2" w:rsidP="001C6E43">
            <w:pPr>
              <w:spacing w:after="0"/>
              <w:rPr>
                <w:rFonts w:ascii="Times New Roman" w:hAnsi="Times New Roman" w:cs="Times New Roman"/>
                <w:sz w:val="24"/>
                <w:szCs w:val="24"/>
              </w:rPr>
            </w:pPr>
          </w:p>
        </w:tc>
        <w:tc>
          <w:tcPr>
            <w:tcW w:w="1980" w:type="dxa"/>
          </w:tcPr>
          <w:p w14:paraId="3660EC79" w14:textId="77777777" w:rsidR="00740ED2" w:rsidRPr="009A166B" w:rsidRDefault="00740ED2" w:rsidP="001C6E43">
            <w:pPr>
              <w:spacing w:after="0"/>
              <w:rPr>
                <w:rFonts w:ascii="Times New Roman" w:hAnsi="Times New Roman" w:cs="Times New Roman"/>
                <w:sz w:val="24"/>
                <w:szCs w:val="24"/>
              </w:rPr>
            </w:pPr>
          </w:p>
        </w:tc>
        <w:tc>
          <w:tcPr>
            <w:tcW w:w="1620" w:type="dxa"/>
          </w:tcPr>
          <w:p w14:paraId="3F5CB10E" w14:textId="77777777" w:rsidR="00740ED2" w:rsidRPr="009A166B" w:rsidRDefault="00740ED2" w:rsidP="001C6E43">
            <w:pPr>
              <w:spacing w:after="0"/>
              <w:rPr>
                <w:rFonts w:ascii="Times New Roman" w:hAnsi="Times New Roman" w:cs="Times New Roman"/>
                <w:sz w:val="24"/>
                <w:szCs w:val="24"/>
              </w:rPr>
            </w:pPr>
          </w:p>
        </w:tc>
        <w:tc>
          <w:tcPr>
            <w:tcW w:w="1980" w:type="dxa"/>
          </w:tcPr>
          <w:p w14:paraId="62012A6B" w14:textId="77777777" w:rsidR="00740ED2" w:rsidRPr="009A166B" w:rsidRDefault="00740ED2" w:rsidP="001C6E43">
            <w:pPr>
              <w:spacing w:after="0"/>
              <w:rPr>
                <w:rFonts w:ascii="Times New Roman" w:hAnsi="Times New Roman" w:cs="Times New Roman"/>
                <w:sz w:val="24"/>
                <w:szCs w:val="24"/>
              </w:rPr>
            </w:pPr>
          </w:p>
        </w:tc>
      </w:tr>
      <w:tr w:rsidR="00740ED2" w:rsidRPr="009A166B" w14:paraId="0BB1B212" w14:textId="77777777" w:rsidTr="00740ED2">
        <w:trPr>
          <w:trHeight w:val="280"/>
        </w:trPr>
        <w:tc>
          <w:tcPr>
            <w:tcW w:w="1027" w:type="dxa"/>
          </w:tcPr>
          <w:p w14:paraId="66E40055" w14:textId="77777777" w:rsidR="00740ED2" w:rsidRPr="009A166B" w:rsidRDefault="00740ED2" w:rsidP="001C6E43">
            <w:pPr>
              <w:spacing w:after="0"/>
              <w:rPr>
                <w:rFonts w:ascii="Times New Roman" w:hAnsi="Times New Roman" w:cs="Times New Roman"/>
                <w:sz w:val="24"/>
                <w:szCs w:val="24"/>
              </w:rPr>
            </w:pPr>
          </w:p>
        </w:tc>
        <w:tc>
          <w:tcPr>
            <w:tcW w:w="4817" w:type="dxa"/>
          </w:tcPr>
          <w:p w14:paraId="53EDB909" w14:textId="77777777" w:rsidR="00740ED2" w:rsidRPr="009A166B" w:rsidRDefault="00740ED2" w:rsidP="001C6E43">
            <w:pPr>
              <w:spacing w:after="0"/>
              <w:rPr>
                <w:rFonts w:ascii="Times New Roman" w:hAnsi="Times New Roman" w:cs="Times New Roman"/>
                <w:sz w:val="24"/>
                <w:szCs w:val="24"/>
              </w:rPr>
            </w:pPr>
            <w:r w:rsidRPr="009A166B">
              <w:rPr>
                <w:rFonts w:ascii="Times New Roman" w:hAnsi="Times New Roman" w:cs="Times New Roman"/>
                <w:sz w:val="24"/>
                <w:szCs w:val="24"/>
              </w:rPr>
              <w:t>Total Life Contingent Annuity Reserves</w:t>
            </w:r>
            <w:r w:rsidRPr="00912FAE">
              <w:rPr>
                <w:rFonts w:ascii="Times New Roman" w:hAnsi="Times New Roman" w:cs="Times New Roman"/>
                <w:color w:val="EE0000"/>
                <w:sz w:val="24"/>
                <w:szCs w:val="24"/>
              </w:rPr>
              <w:t xml:space="preserve"> </w:t>
            </w:r>
            <w:r w:rsidRPr="00D90A3E">
              <w:rPr>
                <w:rFonts w:ascii="Times New Roman" w:hAnsi="Times New Roman" w:cs="Times New Roman"/>
                <w:color w:val="EE0000"/>
                <w:sz w:val="24"/>
                <w:szCs w:val="24"/>
                <w:u w:val="single"/>
              </w:rPr>
              <w:t>Excluding Longevity Reinsurance </w:t>
            </w:r>
          </w:p>
        </w:tc>
        <w:tc>
          <w:tcPr>
            <w:tcW w:w="1980" w:type="dxa"/>
          </w:tcPr>
          <w:p w14:paraId="61E06748" w14:textId="77777777" w:rsidR="00740ED2" w:rsidRPr="009A166B" w:rsidRDefault="00740ED2" w:rsidP="001C6E43">
            <w:pPr>
              <w:tabs>
                <w:tab w:val="right" w:pos="1692"/>
              </w:tabs>
              <w:spacing w:after="0"/>
              <w:rPr>
                <w:rFonts w:ascii="Times New Roman" w:hAnsi="Times New Roman" w:cs="Times New Roman"/>
                <w:b/>
                <w:sz w:val="24"/>
                <w:szCs w:val="24"/>
                <w:u w:val="double"/>
              </w:rPr>
            </w:pPr>
            <w:r w:rsidRPr="009A166B">
              <w:rPr>
                <w:rFonts w:ascii="Times New Roman" w:hAnsi="Times New Roman" w:cs="Times New Roman"/>
                <w:b/>
                <w:sz w:val="24"/>
                <w:szCs w:val="24"/>
                <w:u w:val="double"/>
              </w:rPr>
              <w:t xml:space="preserve">      </w:t>
            </w:r>
            <w:r w:rsidRPr="009A166B">
              <w:rPr>
                <w:rFonts w:ascii="Times New Roman" w:hAnsi="Times New Roman" w:cs="Times New Roman"/>
                <w:b/>
                <w:sz w:val="24"/>
                <w:szCs w:val="24"/>
                <w:u w:val="double"/>
              </w:rPr>
              <w:tab/>
            </w:r>
          </w:p>
        </w:tc>
        <w:tc>
          <w:tcPr>
            <w:tcW w:w="1620" w:type="dxa"/>
          </w:tcPr>
          <w:p w14:paraId="78E72D43" w14:textId="77777777" w:rsidR="00740ED2" w:rsidRPr="009A166B" w:rsidRDefault="00740ED2" w:rsidP="001C6E43">
            <w:pPr>
              <w:spacing w:after="0"/>
              <w:rPr>
                <w:rFonts w:ascii="Times New Roman" w:hAnsi="Times New Roman" w:cs="Times New Roman"/>
                <w:sz w:val="24"/>
                <w:szCs w:val="24"/>
              </w:rPr>
            </w:pPr>
          </w:p>
        </w:tc>
        <w:tc>
          <w:tcPr>
            <w:tcW w:w="1980" w:type="dxa"/>
          </w:tcPr>
          <w:p w14:paraId="57C06A0F" w14:textId="77777777" w:rsidR="00740ED2" w:rsidRPr="009A166B" w:rsidRDefault="00740ED2" w:rsidP="001C6E43">
            <w:pPr>
              <w:tabs>
                <w:tab w:val="right" w:pos="1692"/>
              </w:tabs>
              <w:spacing w:after="0"/>
              <w:rPr>
                <w:rFonts w:ascii="Times New Roman" w:hAnsi="Times New Roman" w:cs="Times New Roman"/>
                <w:b/>
                <w:sz w:val="24"/>
                <w:szCs w:val="24"/>
                <w:u w:val="double"/>
              </w:rPr>
            </w:pPr>
            <w:r w:rsidRPr="009A166B">
              <w:rPr>
                <w:rFonts w:ascii="Times New Roman" w:hAnsi="Times New Roman" w:cs="Times New Roman"/>
                <w:b/>
                <w:sz w:val="24"/>
                <w:szCs w:val="24"/>
                <w:u w:val="double"/>
              </w:rPr>
              <w:t xml:space="preserve">      </w:t>
            </w:r>
            <w:r w:rsidRPr="009A166B">
              <w:rPr>
                <w:rFonts w:ascii="Times New Roman" w:hAnsi="Times New Roman" w:cs="Times New Roman"/>
                <w:b/>
                <w:sz w:val="24"/>
                <w:szCs w:val="24"/>
                <w:u w:val="double"/>
              </w:rPr>
              <w:tab/>
            </w:r>
          </w:p>
        </w:tc>
      </w:tr>
      <w:tr w:rsidR="00740ED2" w:rsidRPr="009A166B" w14:paraId="6C6D8193" w14:textId="77777777" w:rsidTr="00740ED2">
        <w:trPr>
          <w:trHeight w:val="280"/>
        </w:trPr>
        <w:tc>
          <w:tcPr>
            <w:tcW w:w="1027" w:type="dxa"/>
          </w:tcPr>
          <w:p w14:paraId="3B09103D" w14:textId="77777777" w:rsidR="00740ED2" w:rsidRPr="009A166B" w:rsidRDefault="00740ED2" w:rsidP="001C6E43">
            <w:pPr>
              <w:spacing w:after="0"/>
              <w:rPr>
                <w:rFonts w:ascii="Times New Roman" w:hAnsi="Times New Roman" w:cs="Times New Roman"/>
                <w:sz w:val="24"/>
                <w:szCs w:val="24"/>
              </w:rPr>
            </w:pPr>
          </w:p>
        </w:tc>
        <w:tc>
          <w:tcPr>
            <w:tcW w:w="4817" w:type="dxa"/>
          </w:tcPr>
          <w:p w14:paraId="65C0DABC" w14:textId="77777777" w:rsidR="00740ED2" w:rsidRPr="009A166B" w:rsidRDefault="00740ED2" w:rsidP="001C6E43">
            <w:pPr>
              <w:spacing w:after="0"/>
              <w:rPr>
                <w:rFonts w:ascii="Times New Roman" w:hAnsi="Times New Roman" w:cs="Times New Roman"/>
                <w:sz w:val="24"/>
                <w:szCs w:val="24"/>
              </w:rPr>
            </w:pPr>
          </w:p>
        </w:tc>
        <w:tc>
          <w:tcPr>
            <w:tcW w:w="1980" w:type="dxa"/>
          </w:tcPr>
          <w:p w14:paraId="329451B0" w14:textId="77777777" w:rsidR="00740ED2" w:rsidRPr="009A166B" w:rsidRDefault="00740ED2" w:rsidP="001C6E43">
            <w:pPr>
              <w:tabs>
                <w:tab w:val="right" w:pos="1692"/>
              </w:tabs>
              <w:spacing w:after="0"/>
              <w:rPr>
                <w:rFonts w:ascii="Times New Roman" w:hAnsi="Times New Roman" w:cs="Times New Roman"/>
                <w:b/>
                <w:sz w:val="24"/>
                <w:szCs w:val="24"/>
                <w:u w:val="double"/>
              </w:rPr>
            </w:pPr>
          </w:p>
        </w:tc>
        <w:tc>
          <w:tcPr>
            <w:tcW w:w="1620" w:type="dxa"/>
          </w:tcPr>
          <w:p w14:paraId="7F0E9C48" w14:textId="77777777" w:rsidR="00740ED2" w:rsidRPr="009A166B" w:rsidRDefault="00740ED2" w:rsidP="001C6E43">
            <w:pPr>
              <w:spacing w:after="0"/>
              <w:rPr>
                <w:rFonts w:ascii="Times New Roman" w:hAnsi="Times New Roman" w:cs="Times New Roman"/>
                <w:sz w:val="24"/>
                <w:szCs w:val="24"/>
              </w:rPr>
            </w:pPr>
          </w:p>
        </w:tc>
        <w:tc>
          <w:tcPr>
            <w:tcW w:w="1980" w:type="dxa"/>
          </w:tcPr>
          <w:p w14:paraId="6E8E8411" w14:textId="77777777" w:rsidR="00740ED2" w:rsidRPr="009A166B" w:rsidRDefault="00740ED2" w:rsidP="001C6E43">
            <w:pPr>
              <w:tabs>
                <w:tab w:val="right" w:pos="1692"/>
              </w:tabs>
              <w:spacing w:after="0"/>
              <w:rPr>
                <w:rFonts w:ascii="Times New Roman" w:hAnsi="Times New Roman" w:cs="Times New Roman"/>
                <w:b/>
                <w:sz w:val="24"/>
                <w:szCs w:val="24"/>
                <w:u w:val="double"/>
              </w:rPr>
            </w:pPr>
          </w:p>
        </w:tc>
      </w:tr>
    </w:tbl>
    <w:p w14:paraId="4E1AE841" w14:textId="77777777" w:rsidR="00740ED2" w:rsidRPr="009665A8" w:rsidRDefault="00740ED2" w:rsidP="00740ED2">
      <w:pPr>
        <w:spacing w:after="0"/>
        <w:rPr>
          <w:rFonts w:ascii="Times New Roman" w:hAnsi="Times New Roman" w:cs="Times New Roman"/>
          <w:color w:val="EE0000"/>
          <w:sz w:val="24"/>
          <w:szCs w:val="24"/>
          <w:u w:val="single"/>
        </w:rPr>
      </w:pPr>
    </w:p>
    <w:p w14:paraId="4010D8EB" w14:textId="52742E23" w:rsidR="00740ED2" w:rsidRPr="009665A8" w:rsidRDefault="00740ED2" w:rsidP="00740ED2">
      <w:pPr>
        <w:spacing w:after="0"/>
        <w:rPr>
          <w:rFonts w:ascii="Times New Roman" w:hAnsi="Times New Roman" w:cs="Times New Roman"/>
          <w:color w:val="EE0000"/>
          <w:sz w:val="24"/>
          <w:szCs w:val="24"/>
          <w:u w:val="single"/>
        </w:rPr>
      </w:pPr>
      <w:r w:rsidRPr="009665A8">
        <w:rPr>
          <w:rFonts w:ascii="Times New Roman" w:hAnsi="Times New Roman" w:cs="Times New Roman"/>
          <w:color w:val="EE0000"/>
          <w:sz w:val="24"/>
          <w:szCs w:val="24"/>
          <w:u w:val="single"/>
        </w:rPr>
        <w:t>Line (6)</w:t>
      </w:r>
    </w:p>
    <w:p w14:paraId="615E743A" w14:textId="77777777" w:rsidR="00740ED2" w:rsidRPr="009665A8" w:rsidRDefault="00740ED2" w:rsidP="00740ED2">
      <w:pPr>
        <w:spacing w:after="0"/>
        <w:rPr>
          <w:rFonts w:ascii="Times New Roman" w:hAnsi="Times New Roman" w:cs="Times New Roman"/>
          <w:color w:val="EE0000"/>
          <w:sz w:val="24"/>
          <w:szCs w:val="24"/>
          <w:u w:val="single"/>
        </w:rPr>
      </w:pPr>
      <w:r w:rsidRPr="009665A8">
        <w:rPr>
          <w:rFonts w:ascii="Times New Roman" w:hAnsi="Times New Roman" w:cs="Times New Roman"/>
          <w:color w:val="EE0000"/>
          <w:sz w:val="24"/>
          <w:szCs w:val="24"/>
          <w:u w:val="single"/>
        </w:rPr>
        <w:t>The statutory reserves used in Step 4 of Line (7) should equal the following:</w:t>
      </w:r>
    </w:p>
    <w:p w14:paraId="7F9DD27F" w14:textId="77777777" w:rsidR="00740ED2" w:rsidRPr="009665A8" w:rsidRDefault="00740ED2" w:rsidP="00740ED2">
      <w:pPr>
        <w:spacing w:after="0"/>
        <w:ind w:left="720"/>
        <w:rPr>
          <w:rFonts w:ascii="Times New Roman" w:hAnsi="Times New Roman" w:cs="Times New Roman"/>
          <w:color w:val="EE0000"/>
          <w:sz w:val="24"/>
          <w:szCs w:val="24"/>
          <w:u w:val="single"/>
        </w:rPr>
      </w:pPr>
      <w:r w:rsidRPr="009665A8">
        <w:rPr>
          <w:rFonts w:ascii="Times New Roman" w:hAnsi="Times New Roman" w:cs="Times New Roman"/>
          <w:color w:val="EE0000"/>
          <w:sz w:val="24"/>
          <w:szCs w:val="24"/>
          <w:u w:val="single"/>
        </w:rPr>
        <w:t>Exhibit 5 Column 2 Line 0299999, in part*</w:t>
      </w:r>
    </w:p>
    <w:p w14:paraId="64A154E2" w14:textId="77777777" w:rsidR="00740ED2" w:rsidRPr="009665A8" w:rsidRDefault="00740ED2" w:rsidP="00740ED2">
      <w:pPr>
        <w:spacing w:after="0"/>
        <w:ind w:left="720"/>
        <w:rPr>
          <w:rFonts w:ascii="Times New Roman" w:hAnsi="Times New Roman" w:cs="Times New Roman"/>
          <w:color w:val="EE0000"/>
          <w:sz w:val="24"/>
          <w:szCs w:val="24"/>
          <w:u w:val="single"/>
        </w:rPr>
      </w:pPr>
      <w:r w:rsidRPr="009665A8">
        <w:rPr>
          <w:rFonts w:ascii="Times New Roman" w:hAnsi="Times New Roman" w:cs="Times New Roman"/>
          <w:color w:val="EE0000"/>
          <w:sz w:val="24"/>
          <w:szCs w:val="24"/>
          <w:u w:val="single"/>
        </w:rPr>
        <w:t>+Exhibit 5 Column 2 Line 0399999, in part*</w:t>
      </w:r>
    </w:p>
    <w:p w14:paraId="1C4260F5" w14:textId="77777777" w:rsidR="00740ED2" w:rsidRPr="009665A8" w:rsidRDefault="00740ED2" w:rsidP="00740ED2">
      <w:pPr>
        <w:spacing w:after="0"/>
        <w:ind w:left="720"/>
        <w:rPr>
          <w:rFonts w:ascii="Times New Roman" w:hAnsi="Times New Roman" w:cs="Times New Roman"/>
          <w:color w:val="EE0000"/>
          <w:sz w:val="24"/>
          <w:szCs w:val="24"/>
          <w:u w:val="single"/>
        </w:rPr>
      </w:pPr>
      <w:r w:rsidRPr="009665A8">
        <w:rPr>
          <w:rFonts w:ascii="Times New Roman" w:hAnsi="Times New Roman" w:cs="Times New Roman"/>
          <w:color w:val="EE0000"/>
          <w:sz w:val="24"/>
          <w:szCs w:val="24"/>
          <w:u w:val="single"/>
        </w:rPr>
        <w:t>+Exhibit 5 Column 2 Line 0799999, in part*</w:t>
      </w:r>
    </w:p>
    <w:p w14:paraId="398E5E56" w14:textId="77777777" w:rsidR="00740ED2" w:rsidRPr="009665A8" w:rsidRDefault="00740ED2" w:rsidP="00740ED2">
      <w:pPr>
        <w:spacing w:after="0"/>
        <w:ind w:left="720"/>
        <w:rPr>
          <w:rFonts w:ascii="Times New Roman" w:hAnsi="Times New Roman" w:cs="Times New Roman"/>
          <w:color w:val="EE0000"/>
          <w:sz w:val="24"/>
          <w:szCs w:val="24"/>
          <w:u w:val="single"/>
        </w:rPr>
      </w:pPr>
      <w:r w:rsidRPr="009665A8">
        <w:rPr>
          <w:rFonts w:ascii="Times New Roman" w:hAnsi="Times New Roman" w:cs="Times New Roman"/>
          <w:color w:val="EE0000"/>
          <w:sz w:val="24"/>
          <w:szCs w:val="24"/>
          <w:u w:val="single"/>
        </w:rPr>
        <w:t>+S/A Exhibit 3 Column 2 Line 0299999, in part*</w:t>
      </w:r>
    </w:p>
    <w:p w14:paraId="25C5E016" w14:textId="77777777" w:rsidR="00740ED2" w:rsidRPr="009665A8" w:rsidRDefault="00740ED2" w:rsidP="00740ED2">
      <w:pPr>
        <w:spacing w:after="0"/>
        <w:rPr>
          <w:rFonts w:ascii="Times New Roman" w:hAnsi="Times New Roman" w:cs="Times New Roman"/>
          <w:color w:val="EE0000"/>
          <w:sz w:val="24"/>
          <w:szCs w:val="24"/>
          <w:u w:val="single"/>
        </w:rPr>
      </w:pPr>
    </w:p>
    <w:p w14:paraId="3332737A" w14:textId="77777777" w:rsidR="00740ED2" w:rsidRPr="009665A8" w:rsidRDefault="00740ED2" w:rsidP="00740ED2">
      <w:pPr>
        <w:spacing w:after="0"/>
        <w:rPr>
          <w:rFonts w:ascii="Times New Roman" w:hAnsi="Times New Roman" w:cs="Times New Roman"/>
          <w:color w:val="EE0000"/>
          <w:sz w:val="24"/>
          <w:szCs w:val="24"/>
          <w:u w:val="single"/>
        </w:rPr>
      </w:pPr>
      <w:r w:rsidRPr="009665A8">
        <w:rPr>
          <w:rFonts w:ascii="Times New Roman" w:hAnsi="Times New Roman" w:cs="Times New Roman"/>
          <w:color w:val="EE0000"/>
          <w:sz w:val="24"/>
          <w:szCs w:val="24"/>
          <w:u w:val="single"/>
        </w:rPr>
        <w:t>*Include only the portion of statutory reserves for longevity reinsurance.</w:t>
      </w:r>
    </w:p>
    <w:p w14:paraId="3184CDBD" w14:textId="77777777" w:rsidR="00740ED2" w:rsidRPr="009665A8" w:rsidRDefault="00740ED2" w:rsidP="00740ED2">
      <w:pPr>
        <w:spacing w:after="0"/>
        <w:rPr>
          <w:rFonts w:ascii="Times New Roman" w:hAnsi="Times New Roman" w:cs="Times New Roman"/>
          <w:color w:val="EE0000"/>
          <w:sz w:val="24"/>
          <w:szCs w:val="24"/>
          <w:u w:val="single"/>
        </w:rPr>
      </w:pPr>
    </w:p>
    <w:p w14:paraId="4ED58AE6" w14:textId="77777777" w:rsidR="00740ED2" w:rsidRPr="009665A8" w:rsidRDefault="00740ED2" w:rsidP="00740ED2">
      <w:pPr>
        <w:spacing w:after="0"/>
        <w:rPr>
          <w:rFonts w:ascii="Times New Roman" w:hAnsi="Times New Roman" w:cs="Times New Roman"/>
          <w:color w:val="EE0000"/>
          <w:sz w:val="24"/>
          <w:szCs w:val="24"/>
          <w:u w:val="single"/>
        </w:rPr>
      </w:pPr>
    </w:p>
    <w:p w14:paraId="713E7F14" w14:textId="77777777" w:rsidR="00740ED2" w:rsidRPr="00D90A3E" w:rsidRDefault="00740ED2" w:rsidP="00740ED2">
      <w:pPr>
        <w:spacing w:after="0"/>
        <w:rPr>
          <w:rFonts w:ascii="Times New Roman" w:hAnsi="Times New Roman" w:cs="Times New Roman"/>
          <w:color w:val="EE0000"/>
          <w:sz w:val="24"/>
          <w:szCs w:val="24"/>
          <w:u w:val="single"/>
        </w:rPr>
      </w:pPr>
      <w:r w:rsidRPr="009665A8">
        <w:rPr>
          <w:rFonts w:ascii="Times New Roman" w:hAnsi="Times New Roman" w:cs="Times New Roman"/>
          <w:color w:val="EE0000"/>
          <w:sz w:val="24"/>
          <w:szCs w:val="24"/>
          <w:u w:val="single"/>
        </w:rPr>
        <w:t>Line (7)</w:t>
      </w:r>
    </w:p>
    <w:p w14:paraId="059E2731" w14:textId="77777777" w:rsidR="00740ED2" w:rsidRDefault="00740ED2" w:rsidP="00740ED2">
      <w:pPr>
        <w:spacing w:after="0"/>
        <w:rPr>
          <w:rFonts w:ascii="Times New Roman" w:hAnsi="Times New Roman" w:cs="Times New Roman"/>
          <w:color w:val="EE0000"/>
          <w:sz w:val="24"/>
          <w:szCs w:val="24"/>
          <w:u w:val="single"/>
        </w:rPr>
      </w:pPr>
    </w:p>
    <w:p w14:paraId="1F523F45" w14:textId="77777777" w:rsidR="00740ED2" w:rsidRDefault="00740ED2" w:rsidP="001C6E43">
      <w:pPr>
        <w:spacing w:after="0"/>
        <w:jc w:val="both"/>
        <w:rPr>
          <w:rFonts w:ascii="Times New Roman" w:hAnsi="Times New Roman" w:cs="Times New Roman"/>
          <w:color w:val="EE0000"/>
          <w:sz w:val="24"/>
          <w:szCs w:val="24"/>
          <w:u w:val="single"/>
        </w:rPr>
      </w:pPr>
      <w:r>
        <w:rPr>
          <w:rFonts w:ascii="Times New Roman" w:hAnsi="Times New Roman" w:cs="Times New Roman"/>
          <w:color w:val="EE0000"/>
          <w:sz w:val="24"/>
          <w:szCs w:val="24"/>
          <w:u w:val="single"/>
        </w:rPr>
        <w:t xml:space="preserve">The company will calculate the Longevity Risk requirement for longevity reinsurance with the below steps, where TAR represents the Total Asset Requirement. </w:t>
      </w:r>
      <w:r w:rsidRPr="00D90A3E">
        <w:rPr>
          <w:rFonts w:ascii="Times New Roman" w:hAnsi="Times New Roman" w:cs="Times New Roman"/>
          <w:color w:val="EE0000"/>
          <w:sz w:val="24"/>
          <w:szCs w:val="24"/>
          <w:u w:val="single"/>
        </w:rPr>
        <w:t xml:space="preserve">For longevity reinsurance that is being reserved under PBR, </w:t>
      </w:r>
      <w:r>
        <w:rPr>
          <w:rFonts w:ascii="Times New Roman" w:hAnsi="Times New Roman" w:cs="Times New Roman"/>
          <w:color w:val="EE0000"/>
          <w:sz w:val="24"/>
          <w:szCs w:val="24"/>
          <w:u w:val="single"/>
        </w:rPr>
        <w:t>cash flows</w:t>
      </w:r>
      <w:r w:rsidRPr="00D90A3E">
        <w:rPr>
          <w:rFonts w:ascii="Times New Roman" w:hAnsi="Times New Roman" w:cs="Times New Roman"/>
          <w:color w:val="EE0000"/>
          <w:sz w:val="24"/>
          <w:szCs w:val="24"/>
          <w:u w:val="single"/>
        </w:rPr>
        <w:t xml:space="preserve"> should come from </w:t>
      </w:r>
      <w:r>
        <w:rPr>
          <w:rFonts w:ascii="Times New Roman" w:hAnsi="Times New Roman" w:cs="Times New Roman"/>
          <w:color w:val="EE0000"/>
          <w:sz w:val="24"/>
          <w:szCs w:val="24"/>
          <w:u w:val="single"/>
        </w:rPr>
        <w:t>the company’s</w:t>
      </w:r>
      <w:r w:rsidRPr="00D90A3E">
        <w:rPr>
          <w:rFonts w:ascii="Times New Roman" w:hAnsi="Times New Roman" w:cs="Times New Roman"/>
          <w:color w:val="EE0000"/>
          <w:sz w:val="24"/>
          <w:szCs w:val="24"/>
          <w:u w:val="single"/>
        </w:rPr>
        <w:t xml:space="preserve"> PBR model. For longevity reinsurance that is not being reserved under PBR, the company should use </w:t>
      </w:r>
      <w:r>
        <w:rPr>
          <w:rFonts w:ascii="Times New Roman" w:hAnsi="Times New Roman" w:cs="Times New Roman"/>
          <w:color w:val="EE0000"/>
          <w:sz w:val="24"/>
          <w:szCs w:val="24"/>
          <w:u w:val="single"/>
        </w:rPr>
        <w:t>its</w:t>
      </w:r>
      <w:r w:rsidRPr="00D90A3E">
        <w:rPr>
          <w:rFonts w:ascii="Times New Roman" w:hAnsi="Times New Roman" w:cs="Times New Roman"/>
          <w:color w:val="EE0000"/>
          <w:sz w:val="24"/>
          <w:szCs w:val="24"/>
          <w:u w:val="single"/>
        </w:rPr>
        <w:t xml:space="preserve"> Cash Flow Testing model.</w:t>
      </w:r>
      <w:r>
        <w:rPr>
          <w:rFonts w:ascii="Times New Roman" w:hAnsi="Times New Roman" w:cs="Times New Roman"/>
          <w:color w:val="EE0000"/>
          <w:sz w:val="24"/>
          <w:szCs w:val="24"/>
          <w:u w:val="single"/>
        </w:rPr>
        <w:t xml:space="preserve"> </w:t>
      </w:r>
      <w:r w:rsidRPr="00D90A3E">
        <w:rPr>
          <w:rFonts w:ascii="Times New Roman" w:hAnsi="Times New Roman" w:cs="Times New Roman"/>
          <w:color w:val="EE0000"/>
          <w:sz w:val="24"/>
          <w:szCs w:val="24"/>
          <w:u w:val="single"/>
        </w:rPr>
        <w:t xml:space="preserve">The discount rates used to calculate the present value shall be based on the model used to produce the projected benefits &amp; expenses.  For longevity reinsurance that is being reserved </w:t>
      </w:r>
      <w:r w:rsidRPr="00D90A3E">
        <w:rPr>
          <w:rFonts w:ascii="Times New Roman" w:hAnsi="Times New Roman" w:cs="Times New Roman"/>
          <w:color w:val="EE0000"/>
          <w:sz w:val="24"/>
          <w:szCs w:val="24"/>
          <w:u w:val="single"/>
        </w:rPr>
        <w:lastRenderedPageBreak/>
        <w:t>under PBR, the net asset earned rate (NAER) of SERT scenario 9 shall be used as the discount rate. For longevity reinsurance that is not being reserved under PBR, the applicable CARVM discount rate shall be used as the discount rate.</w:t>
      </w:r>
    </w:p>
    <w:p w14:paraId="315203F2" w14:textId="77777777" w:rsidR="00740ED2" w:rsidRDefault="00740ED2" w:rsidP="00740ED2">
      <w:pPr>
        <w:spacing w:after="0"/>
        <w:rPr>
          <w:rFonts w:ascii="Times New Roman" w:hAnsi="Times New Roman" w:cs="Times New Roman"/>
          <w:color w:val="EE0000"/>
          <w:sz w:val="24"/>
          <w:szCs w:val="24"/>
          <w:u w:val="single"/>
        </w:rPr>
      </w:pPr>
    </w:p>
    <w:p w14:paraId="326E3880" w14:textId="77777777" w:rsidR="00740ED2" w:rsidRPr="001C6E43" w:rsidRDefault="00740ED2" w:rsidP="00740ED2">
      <w:pPr>
        <w:spacing w:after="0"/>
        <w:rPr>
          <w:rFonts w:ascii="Times New Roman" w:hAnsi="Times New Roman" w:cs="Times New Roman"/>
          <w:color w:val="FF0000"/>
          <w:sz w:val="24"/>
          <w:szCs w:val="24"/>
          <w:u w:val="single"/>
        </w:rPr>
      </w:pPr>
      <w:r>
        <w:rPr>
          <w:rFonts w:ascii="Times New Roman" w:hAnsi="Times New Roman" w:cs="Times New Roman"/>
          <w:color w:val="EE0000"/>
          <w:sz w:val="24"/>
          <w:szCs w:val="24"/>
          <w:u w:val="single"/>
        </w:rPr>
        <w:t>Step 1: Calculate TAR</w:t>
      </w:r>
      <w:r w:rsidRPr="00AD7F78">
        <w:rPr>
          <w:rFonts w:ascii="Times New Roman" w:hAnsi="Times New Roman" w:cs="Times New Roman"/>
          <w:color w:val="EE0000"/>
          <w:sz w:val="24"/>
          <w:szCs w:val="24"/>
          <w:u w:val="single"/>
          <w:vertAlign w:val="subscript"/>
        </w:rPr>
        <w:t>0</w:t>
      </w:r>
      <w:r>
        <w:rPr>
          <w:rFonts w:ascii="Times New Roman" w:hAnsi="Times New Roman" w:cs="Times New Roman"/>
          <w:color w:val="EE0000"/>
          <w:sz w:val="24"/>
          <w:szCs w:val="24"/>
          <w:u w:val="single"/>
        </w:rPr>
        <w:t xml:space="preserve"> as the present value of the future benefits and expenses </w:t>
      </w:r>
      <w:proofErr w:type="gramStart"/>
      <w:r>
        <w:rPr>
          <w:rFonts w:ascii="Times New Roman" w:hAnsi="Times New Roman" w:cs="Times New Roman"/>
          <w:color w:val="EE0000"/>
          <w:sz w:val="24"/>
          <w:szCs w:val="24"/>
          <w:u w:val="single"/>
        </w:rPr>
        <w:t>less</w:t>
      </w:r>
      <w:proofErr w:type="gramEnd"/>
      <w:r>
        <w:rPr>
          <w:rFonts w:ascii="Times New Roman" w:hAnsi="Times New Roman" w:cs="Times New Roman"/>
          <w:color w:val="EE0000"/>
          <w:sz w:val="24"/>
          <w:szCs w:val="24"/>
          <w:u w:val="single"/>
        </w:rPr>
        <w:t xml:space="preserve"> future premiums and reinsurance fees, using baseline mortality assumptions used in statutory reserving. </w:t>
      </w:r>
      <w:r w:rsidRPr="001C6E43">
        <w:rPr>
          <w:rFonts w:ascii="Times New Roman" w:hAnsi="Times New Roman" w:cs="Times New Roman"/>
          <w:color w:val="FF0000"/>
          <w:sz w:val="24"/>
          <w:szCs w:val="24"/>
          <w:u w:val="single"/>
        </w:rPr>
        <w:t>[TAR</w:t>
      </w:r>
      <w:r w:rsidRPr="001C6E43">
        <w:rPr>
          <w:rFonts w:ascii="Times New Roman" w:hAnsi="Times New Roman" w:cs="Times New Roman"/>
          <w:color w:val="FF0000"/>
          <w:sz w:val="24"/>
          <w:szCs w:val="24"/>
          <w:u w:val="single"/>
          <w:vertAlign w:val="subscript"/>
        </w:rPr>
        <w:t>0</w:t>
      </w:r>
      <w:r w:rsidRPr="001C6E43">
        <w:rPr>
          <w:rFonts w:ascii="Times New Roman" w:hAnsi="Times New Roman" w:cs="Times New Roman"/>
          <w:color w:val="FF0000"/>
          <w:sz w:val="24"/>
          <w:szCs w:val="24"/>
          <w:u w:val="single"/>
        </w:rPr>
        <w:t xml:space="preserve"> is then floored at 2% of the scheduled longevity benefits payable by the benefit provider within the next 12 months from the date of valuation.] </w:t>
      </w:r>
      <w:r w:rsidRPr="001C6E43">
        <w:rPr>
          <w:rFonts w:ascii="Times New Roman" w:hAnsi="Times New Roman" w:cs="Times New Roman"/>
          <w:color w:val="FF0000"/>
          <w:sz w:val="24"/>
          <w:szCs w:val="24"/>
          <w:u w:val="single"/>
        </w:rPr>
        <w:br/>
      </w:r>
    </w:p>
    <w:p w14:paraId="497A5B52" w14:textId="77777777" w:rsidR="00740ED2" w:rsidRPr="001C6E43" w:rsidRDefault="00740ED2" w:rsidP="00740ED2">
      <w:pPr>
        <w:spacing w:after="0"/>
        <w:rPr>
          <w:rFonts w:ascii="Times New Roman" w:hAnsi="Times New Roman" w:cs="Times New Roman"/>
          <w:color w:val="FF0000"/>
          <w:sz w:val="24"/>
          <w:szCs w:val="24"/>
          <w:u w:val="single"/>
        </w:rPr>
      </w:pPr>
      <w:r>
        <w:rPr>
          <w:rFonts w:ascii="Times New Roman" w:hAnsi="Times New Roman" w:cs="Times New Roman"/>
          <w:color w:val="EE0000"/>
          <w:sz w:val="24"/>
          <w:szCs w:val="24"/>
          <w:u w:val="single"/>
        </w:rPr>
        <w:t>Step 2: Calculate TAR</w:t>
      </w:r>
      <w:r w:rsidRPr="00AD7F78">
        <w:rPr>
          <w:rFonts w:ascii="Times New Roman" w:hAnsi="Times New Roman" w:cs="Times New Roman"/>
          <w:color w:val="EE0000"/>
          <w:sz w:val="24"/>
          <w:szCs w:val="24"/>
          <w:u w:val="single"/>
          <w:vertAlign w:val="subscript"/>
        </w:rPr>
        <w:t>1</w:t>
      </w:r>
      <w:r>
        <w:rPr>
          <w:rFonts w:ascii="Times New Roman" w:hAnsi="Times New Roman" w:cs="Times New Roman"/>
          <w:color w:val="EE0000"/>
          <w:sz w:val="24"/>
          <w:szCs w:val="24"/>
          <w:u w:val="single"/>
        </w:rPr>
        <w:t xml:space="preserve"> as the present value of the future benefits and expenses</w:t>
      </w:r>
      <w:r w:rsidRPr="00AD7F78">
        <w:rPr>
          <w:rFonts w:ascii="Times New Roman" w:hAnsi="Times New Roman" w:cs="Times New Roman"/>
          <w:color w:val="EE0000"/>
          <w:sz w:val="24"/>
          <w:szCs w:val="24"/>
          <w:u w:val="single"/>
        </w:rPr>
        <w:t xml:space="preserve"> </w:t>
      </w:r>
      <w:proofErr w:type="gramStart"/>
      <w:r>
        <w:rPr>
          <w:rFonts w:ascii="Times New Roman" w:hAnsi="Times New Roman" w:cs="Times New Roman"/>
          <w:color w:val="EE0000"/>
          <w:sz w:val="24"/>
          <w:szCs w:val="24"/>
          <w:u w:val="single"/>
        </w:rPr>
        <w:t>less</w:t>
      </w:r>
      <w:proofErr w:type="gramEnd"/>
      <w:r>
        <w:rPr>
          <w:rFonts w:ascii="Times New Roman" w:hAnsi="Times New Roman" w:cs="Times New Roman"/>
          <w:color w:val="EE0000"/>
          <w:sz w:val="24"/>
          <w:szCs w:val="24"/>
          <w:u w:val="single"/>
        </w:rPr>
        <w:t xml:space="preserve"> future premiums and reinsurance fees, using the mortality level shock. T</w:t>
      </w:r>
      <w:r w:rsidRPr="00D90A3E">
        <w:rPr>
          <w:rFonts w:ascii="Times New Roman" w:hAnsi="Times New Roman" w:cs="Times New Roman"/>
          <w:color w:val="EE0000"/>
          <w:sz w:val="24"/>
          <w:szCs w:val="24"/>
          <w:u w:val="single"/>
        </w:rPr>
        <w:t>he mortality level shock is a [99.3%] multiplicative factor to all future mortality rates</w:t>
      </w:r>
      <w:r>
        <w:rPr>
          <w:rFonts w:ascii="Times New Roman" w:hAnsi="Times New Roman" w:cs="Times New Roman"/>
          <w:color w:val="EE0000"/>
          <w:sz w:val="24"/>
          <w:szCs w:val="24"/>
          <w:u w:val="single"/>
        </w:rPr>
        <w:t xml:space="preserve">. </w:t>
      </w:r>
      <w:r w:rsidRPr="001C6E43">
        <w:rPr>
          <w:rFonts w:ascii="Times New Roman" w:hAnsi="Times New Roman" w:cs="Times New Roman"/>
          <w:color w:val="FF0000"/>
          <w:sz w:val="24"/>
          <w:szCs w:val="24"/>
          <w:u w:val="single"/>
        </w:rPr>
        <w:t>[TAR</w:t>
      </w:r>
      <w:r w:rsidRPr="001C6E43">
        <w:rPr>
          <w:rFonts w:ascii="Times New Roman" w:hAnsi="Times New Roman" w:cs="Times New Roman"/>
          <w:color w:val="FF0000"/>
          <w:sz w:val="24"/>
          <w:szCs w:val="24"/>
          <w:u w:val="single"/>
          <w:vertAlign w:val="subscript"/>
        </w:rPr>
        <w:t>1</w:t>
      </w:r>
      <w:r w:rsidRPr="001C6E43">
        <w:rPr>
          <w:rFonts w:ascii="Times New Roman" w:hAnsi="Times New Roman" w:cs="Times New Roman"/>
          <w:color w:val="FF0000"/>
          <w:sz w:val="24"/>
          <w:szCs w:val="24"/>
          <w:u w:val="single"/>
        </w:rPr>
        <w:t xml:space="preserve"> is then floored at 2% of the scheduled longevity benefits payable by the benefit provider within the next 12 months from the date of valuation.]</w:t>
      </w:r>
      <w:r w:rsidRPr="001C6E43">
        <w:rPr>
          <w:rFonts w:ascii="Times New Roman" w:hAnsi="Times New Roman" w:cs="Times New Roman"/>
          <w:color w:val="FF0000"/>
          <w:sz w:val="24"/>
          <w:szCs w:val="24"/>
          <w:u w:val="single"/>
        </w:rPr>
        <w:br/>
      </w:r>
    </w:p>
    <w:p w14:paraId="760E23F0" w14:textId="77777777" w:rsidR="00740ED2" w:rsidRPr="001C6E43" w:rsidRDefault="00740ED2" w:rsidP="00740ED2">
      <w:pPr>
        <w:spacing w:after="0"/>
        <w:rPr>
          <w:rFonts w:ascii="Times New Roman" w:hAnsi="Times New Roman" w:cs="Times New Roman"/>
          <w:color w:val="FF0000"/>
          <w:sz w:val="24"/>
          <w:szCs w:val="24"/>
          <w:u w:val="single"/>
        </w:rPr>
      </w:pPr>
      <w:r w:rsidRPr="001C6E43">
        <w:rPr>
          <w:rFonts w:ascii="Times New Roman" w:hAnsi="Times New Roman" w:cs="Times New Roman"/>
          <w:color w:val="FF0000"/>
          <w:sz w:val="24"/>
          <w:szCs w:val="24"/>
          <w:u w:val="single"/>
        </w:rPr>
        <w:t>Step 3: Calculate TAR</w:t>
      </w:r>
      <w:r w:rsidRPr="001C6E43">
        <w:rPr>
          <w:rFonts w:ascii="Times New Roman" w:hAnsi="Times New Roman" w:cs="Times New Roman"/>
          <w:color w:val="FF0000"/>
          <w:sz w:val="24"/>
          <w:szCs w:val="24"/>
          <w:u w:val="single"/>
          <w:vertAlign w:val="subscript"/>
        </w:rPr>
        <w:t>2</w:t>
      </w:r>
      <w:r w:rsidRPr="001C6E43">
        <w:rPr>
          <w:rFonts w:ascii="Times New Roman" w:hAnsi="Times New Roman" w:cs="Times New Roman"/>
          <w:color w:val="FF0000"/>
          <w:sz w:val="24"/>
          <w:szCs w:val="24"/>
          <w:u w:val="single"/>
        </w:rPr>
        <w:t xml:space="preserve"> as the present value of the future benefits and expenses </w:t>
      </w:r>
      <w:proofErr w:type="gramStart"/>
      <w:r w:rsidRPr="001C6E43">
        <w:rPr>
          <w:rFonts w:ascii="Times New Roman" w:hAnsi="Times New Roman" w:cs="Times New Roman"/>
          <w:color w:val="FF0000"/>
          <w:sz w:val="24"/>
          <w:szCs w:val="24"/>
          <w:u w:val="single"/>
        </w:rPr>
        <w:t>less</w:t>
      </w:r>
      <w:proofErr w:type="gramEnd"/>
      <w:r w:rsidRPr="001C6E43">
        <w:rPr>
          <w:rFonts w:ascii="Times New Roman" w:hAnsi="Times New Roman" w:cs="Times New Roman"/>
          <w:color w:val="FF0000"/>
          <w:sz w:val="24"/>
          <w:szCs w:val="24"/>
          <w:u w:val="single"/>
        </w:rPr>
        <w:t xml:space="preserve"> future premiums and reinsurance fees, using the mortality level shock. The mortality trend shock is a [0.15%] additive factor to the mortality improvement factors in all future years. [TAR</w:t>
      </w:r>
      <w:r w:rsidRPr="001C6E43">
        <w:rPr>
          <w:rFonts w:ascii="Times New Roman" w:hAnsi="Times New Roman" w:cs="Times New Roman"/>
          <w:color w:val="FF0000"/>
          <w:sz w:val="24"/>
          <w:szCs w:val="24"/>
          <w:u w:val="single"/>
          <w:vertAlign w:val="subscript"/>
        </w:rPr>
        <w:t>2</w:t>
      </w:r>
      <w:r w:rsidRPr="001C6E43">
        <w:rPr>
          <w:rFonts w:ascii="Times New Roman" w:hAnsi="Times New Roman" w:cs="Times New Roman"/>
          <w:color w:val="FF0000"/>
          <w:sz w:val="24"/>
          <w:szCs w:val="24"/>
          <w:u w:val="single"/>
        </w:rPr>
        <w:t xml:space="preserve"> is then floored at 2% of the scheduled longevity benefits payable by the benefit provider within the next 12 months from the date of valuation.]</w:t>
      </w:r>
      <w:r w:rsidRPr="001C6E43">
        <w:rPr>
          <w:rFonts w:ascii="Times New Roman" w:hAnsi="Times New Roman" w:cs="Times New Roman"/>
          <w:color w:val="FF0000"/>
          <w:sz w:val="24"/>
          <w:szCs w:val="24"/>
          <w:u w:val="single"/>
        </w:rPr>
        <w:br/>
      </w:r>
    </w:p>
    <w:p w14:paraId="1785B583" w14:textId="77777777" w:rsidR="00740ED2" w:rsidRPr="001C6E43" w:rsidRDefault="00740ED2" w:rsidP="00740ED2">
      <w:pPr>
        <w:spacing w:after="0"/>
        <w:rPr>
          <w:rFonts w:ascii="Times New Roman" w:hAnsi="Times New Roman" w:cs="Times New Roman"/>
          <w:color w:val="FF0000"/>
          <w:sz w:val="24"/>
          <w:szCs w:val="24"/>
          <w:u w:val="single"/>
        </w:rPr>
      </w:pPr>
      <w:r w:rsidRPr="001C6E43">
        <w:rPr>
          <w:rFonts w:ascii="Times New Roman" w:hAnsi="Times New Roman" w:cs="Times New Roman"/>
          <w:color w:val="FF0000"/>
          <w:sz w:val="24"/>
          <w:szCs w:val="24"/>
          <w:u w:val="single"/>
        </w:rPr>
        <w:t>Step 4: Calculate TAR</w:t>
      </w:r>
      <w:r w:rsidRPr="001C6E43">
        <w:rPr>
          <w:rFonts w:ascii="Times New Roman" w:hAnsi="Times New Roman" w:cs="Times New Roman"/>
          <w:color w:val="FF0000"/>
          <w:sz w:val="24"/>
          <w:szCs w:val="24"/>
          <w:u w:val="single"/>
          <w:vertAlign w:val="subscript"/>
        </w:rPr>
        <w:t>0</w:t>
      </w:r>
      <w:r w:rsidRPr="001C6E43">
        <w:rPr>
          <w:rFonts w:ascii="Times New Roman" w:hAnsi="Times New Roman" w:cs="Times New Roman"/>
          <w:color w:val="FF0000"/>
          <w:sz w:val="24"/>
          <w:szCs w:val="24"/>
          <w:u w:val="single"/>
        </w:rPr>
        <w:t xml:space="preserve"> + [(TAR</w:t>
      </w:r>
      <w:r w:rsidRPr="001C6E43">
        <w:rPr>
          <w:rFonts w:ascii="Times New Roman" w:hAnsi="Times New Roman" w:cs="Times New Roman"/>
          <w:color w:val="FF0000"/>
          <w:sz w:val="24"/>
          <w:szCs w:val="24"/>
          <w:u w:val="single"/>
          <w:vertAlign w:val="subscript"/>
        </w:rPr>
        <w:t>1</w:t>
      </w:r>
      <w:r w:rsidRPr="001C6E43">
        <w:rPr>
          <w:rFonts w:ascii="Times New Roman" w:hAnsi="Times New Roman" w:cs="Times New Roman"/>
          <w:color w:val="FF0000"/>
          <w:sz w:val="24"/>
          <w:szCs w:val="24"/>
          <w:u w:val="single"/>
        </w:rPr>
        <w:t xml:space="preserve"> – TAR</w:t>
      </w:r>
      <w:r w:rsidRPr="001C6E43">
        <w:rPr>
          <w:rFonts w:ascii="Times New Roman" w:hAnsi="Times New Roman" w:cs="Times New Roman"/>
          <w:color w:val="FF0000"/>
          <w:sz w:val="24"/>
          <w:szCs w:val="24"/>
          <w:u w:val="single"/>
          <w:vertAlign w:val="subscript"/>
        </w:rPr>
        <w:t>0</w:t>
      </w:r>
      <w:r w:rsidRPr="001C6E43">
        <w:rPr>
          <w:rFonts w:ascii="Times New Roman" w:hAnsi="Times New Roman" w:cs="Times New Roman"/>
          <w:color w:val="FF0000"/>
          <w:sz w:val="24"/>
          <w:szCs w:val="24"/>
          <w:u w:val="single"/>
        </w:rPr>
        <w:t>)</w:t>
      </w:r>
      <w:r w:rsidRPr="001C6E43">
        <w:rPr>
          <w:rFonts w:ascii="Times New Roman" w:hAnsi="Times New Roman" w:cs="Times New Roman"/>
          <w:color w:val="FF0000"/>
          <w:sz w:val="24"/>
          <w:szCs w:val="24"/>
          <w:u w:val="single"/>
          <w:vertAlign w:val="superscript"/>
        </w:rPr>
        <w:t>2</w:t>
      </w:r>
      <w:r w:rsidRPr="001C6E43">
        <w:rPr>
          <w:rFonts w:ascii="Times New Roman" w:hAnsi="Times New Roman" w:cs="Times New Roman"/>
          <w:color w:val="FF0000"/>
          <w:sz w:val="24"/>
          <w:szCs w:val="24"/>
          <w:u w:val="single"/>
        </w:rPr>
        <w:t xml:space="preserve"> + (TAR</w:t>
      </w:r>
      <w:r w:rsidRPr="001C6E43">
        <w:rPr>
          <w:rFonts w:ascii="Times New Roman" w:hAnsi="Times New Roman" w:cs="Times New Roman"/>
          <w:color w:val="FF0000"/>
          <w:sz w:val="24"/>
          <w:szCs w:val="24"/>
          <w:u w:val="single"/>
          <w:vertAlign w:val="subscript"/>
        </w:rPr>
        <w:t>2</w:t>
      </w:r>
      <w:r w:rsidRPr="001C6E43">
        <w:rPr>
          <w:rFonts w:ascii="Times New Roman" w:hAnsi="Times New Roman" w:cs="Times New Roman"/>
          <w:color w:val="FF0000"/>
          <w:sz w:val="24"/>
          <w:szCs w:val="24"/>
          <w:u w:val="single"/>
        </w:rPr>
        <w:t xml:space="preserve"> – TAR</w:t>
      </w:r>
      <w:r w:rsidRPr="001C6E43">
        <w:rPr>
          <w:rFonts w:ascii="Times New Roman" w:hAnsi="Times New Roman" w:cs="Times New Roman"/>
          <w:color w:val="FF0000"/>
          <w:sz w:val="24"/>
          <w:szCs w:val="24"/>
          <w:u w:val="single"/>
          <w:vertAlign w:val="subscript"/>
        </w:rPr>
        <w:t>0</w:t>
      </w:r>
      <w:r w:rsidRPr="001C6E43">
        <w:rPr>
          <w:rFonts w:ascii="Times New Roman" w:hAnsi="Times New Roman" w:cs="Times New Roman"/>
          <w:color w:val="FF0000"/>
          <w:sz w:val="24"/>
          <w:szCs w:val="24"/>
          <w:u w:val="single"/>
        </w:rPr>
        <w:t>)</w:t>
      </w:r>
      <w:r w:rsidRPr="001C6E43">
        <w:rPr>
          <w:rFonts w:ascii="Times New Roman" w:hAnsi="Times New Roman" w:cs="Times New Roman"/>
          <w:color w:val="FF0000"/>
          <w:sz w:val="24"/>
          <w:szCs w:val="24"/>
          <w:u w:val="single"/>
          <w:vertAlign w:val="superscript"/>
        </w:rPr>
        <w:t>2</w:t>
      </w:r>
      <w:r w:rsidRPr="001C6E43">
        <w:rPr>
          <w:rFonts w:ascii="Times New Roman" w:hAnsi="Times New Roman" w:cs="Times New Roman"/>
          <w:color w:val="FF0000"/>
          <w:sz w:val="24"/>
          <w:szCs w:val="24"/>
          <w:u w:val="single"/>
        </w:rPr>
        <w:t>]</w:t>
      </w:r>
      <w:r w:rsidRPr="001C6E43">
        <w:rPr>
          <w:rFonts w:ascii="Times New Roman" w:hAnsi="Times New Roman" w:cs="Times New Roman"/>
          <w:color w:val="FF0000"/>
          <w:sz w:val="24"/>
          <w:szCs w:val="24"/>
          <w:u w:val="single"/>
          <w:vertAlign w:val="superscript"/>
        </w:rPr>
        <w:t>0.5</w:t>
      </w:r>
      <w:r w:rsidRPr="001C6E43">
        <w:rPr>
          <w:rFonts w:ascii="Times New Roman" w:hAnsi="Times New Roman" w:cs="Times New Roman"/>
          <w:color w:val="FF0000"/>
          <w:sz w:val="24"/>
          <w:szCs w:val="24"/>
          <w:u w:val="single"/>
        </w:rPr>
        <w:t xml:space="preserve"> – Statutory Reserve. This value is floored at zero. [Flooring at zero </w:t>
      </w:r>
      <w:proofErr w:type="gramStart"/>
      <w:r w:rsidRPr="001C6E43">
        <w:rPr>
          <w:rFonts w:ascii="Times New Roman" w:hAnsi="Times New Roman" w:cs="Times New Roman"/>
          <w:color w:val="FF0000"/>
          <w:sz w:val="24"/>
          <w:szCs w:val="24"/>
          <w:u w:val="single"/>
        </w:rPr>
        <w:t>not</w:t>
      </w:r>
      <w:proofErr w:type="gramEnd"/>
      <w:r w:rsidRPr="001C6E43">
        <w:rPr>
          <w:rFonts w:ascii="Times New Roman" w:hAnsi="Times New Roman" w:cs="Times New Roman"/>
          <w:color w:val="FF0000"/>
          <w:sz w:val="24"/>
          <w:szCs w:val="24"/>
          <w:u w:val="single"/>
        </w:rPr>
        <w:t xml:space="preserve"> needed if TAR floors are applied in Steps 1, 2, and 3]. Enter value into Line (7).</w:t>
      </w:r>
    </w:p>
    <w:p w14:paraId="7F9117DC" w14:textId="77777777" w:rsidR="00740ED2" w:rsidRPr="001C6E43" w:rsidRDefault="00740ED2" w:rsidP="00740ED2">
      <w:pPr>
        <w:spacing w:after="0"/>
        <w:rPr>
          <w:rFonts w:ascii="Times New Roman" w:hAnsi="Times New Roman" w:cs="Times New Roman"/>
          <w:color w:val="FF0000"/>
          <w:sz w:val="24"/>
          <w:szCs w:val="24"/>
        </w:rPr>
      </w:pPr>
    </w:p>
    <w:p w14:paraId="7C4D58BE" w14:textId="77777777" w:rsidR="00740ED2" w:rsidRPr="001C6E43" w:rsidRDefault="00740ED2" w:rsidP="00740ED2">
      <w:pPr>
        <w:rPr>
          <w:rFonts w:ascii="Times New Roman" w:hAnsi="Times New Roman" w:cs="Times New Roman"/>
          <w:color w:val="FF0000"/>
          <w:sz w:val="24"/>
          <w:szCs w:val="24"/>
          <w:u w:val="single"/>
        </w:rPr>
      </w:pPr>
      <w:r w:rsidRPr="001C6E43">
        <w:rPr>
          <w:rFonts w:ascii="Times New Roman" w:hAnsi="Times New Roman" w:cs="Times New Roman"/>
          <w:color w:val="FF0000"/>
          <w:sz w:val="24"/>
          <w:szCs w:val="24"/>
          <w:u w:val="single"/>
        </w:rPr>
        <w:t>Line (8)</w:t>
      </w:r>
    </w:p>
    <w:p w14:paraId="3E525ABF" w14:textId="12646800" w:rsidR="00740ED2" w:rsidRPr="001C6E43" w:rsidRDefault="00740ED2" w:rsidP="00740ED2">
      <w:pPr>
        <w:rPr>
          <w:rFonts w:ascii="Times New Roman" w:hAnsi="Times New Roman" w:cs="Times New Roman"/>
          <w:color w:val="FF0000"/>
          <w:sz w:val="24"/>
          <w:szCs w:val="24"/>
        </w:rPr>
      </w:pPr>
      <w:r w:rsidRPr="001C6E43">
        <w:rPr>
          <w:rFonts w:ascii="Times New Roman" w:hAnsi="Times New Roman" w:cs="Times New Roman"/>
          <w:color w:val="FF0000"/>
          <w:sz w:val="24"/>
          <w:szCs w:val="24"/>
        </w:rPr>
        <w:t>The Total Longevity Risk Capital Requirement is the sum of Lines (5) and (</w:t>
      </w:r>
      <w:r w:rsidR="00E43F4A" w:rsidRPr="001C6E43">
        <w:rPr>
          <w:rFonts w:ascii="Times New Roman" w:hAnsi="Times New Roman" w:cs="Times New Roman"/>
          <w:color w:val="FF0000"/>
          <w:sz w:val="24"/>
          <w:szCs w:val="24"/>
        </w:rPr>
        <w:t>7</w:t>
      </w:r>
      <w:r w:rsidRPr="001C6E43">
        <w:rPr>
          <w:rFonts w:ascii="Times New Roman" w:hAnsi="Times New Roman" w:cs="Times New Roman"/>
          <w:color w:val="FF0000"/>
          <w:sz w:val="24"/>
          <w:szCs w:val="24"/>
        </w:rPr>
        <w:t>).</w:t>
      </w:r>
    </w:p>
    <w:p w14:paraId="7870369D" w14:textId="77777777" w:rsidR="00740ED2" w:rsidRPr="001C6E43" w:rsidRDefault="00740ED2" w:rsidP="00740ED2">
      <w:pPr>
        <w:spacing w:after="0"/>
        <w:rPr>
          <w:rFonts w:ascii="Times New Roman" w:hAnsi="Times New Roman" w:cs="Times New Roman"/>
          <w:sz w:val="24"/>
          <w:szCs w:val="24"/>
        </w:rPr>
      </w:pPr>
    </w:p>
    <w:p w14:paraId="03EC0E17" w14:textId="77777777" w:rsidR="00740ED2" w:rsidRPr="009A166B" w:rsidRDefault="00740ED2" w:rsidP="00740ED2">
      <w:pPr>
        <w:spacing w:after="0"/>
        <w:rPr>
          <w:rFonts w:ascii="Times New Roman" w:hAnsi="Times New Roman" w:cs="Times New Roman"/>
          <w:sz w:val="24"/>
          <w:szCs w:val="24"/>
        </w:rPr>
      </w:pPr>
      <w:r w:rsidRPr="001C6E43">
        <w:rPr>
          <w:rFonts w:ascii="Times New Roman" w:hAnsi="Times New Roman" w:cs="Times New Roman"/>
          <w:sz w:val="24"/>
          <w:szCs w:val="24"/>
        </w:rPr>
        <w:t xml:space="preserve">The amount ultimately included in the authorized control level will be subject to a guardrail factor of 0 </w:t>
      </w:r>
      <w:r w:rsidRPr="001C6E43">
        <w:rPr>
          <w:rFonts w:ascii="Times New Roman" w:hAnsi="Times New Roman" w:cs="Times New Roman"/>
          <w:strike/>
          <w:color w:val="FF0000"/>
          <w:sz w:val="24"/>
          <w:szCs w:val="24"/>
        </w:rPr>
        <w:t>_</w:t>
      </w:r>
      <w:r w:rsidRPr="001C6E43">
        <w:rPr>
          <w:rFonts w:ascii="Times New Roman" w:hAnsi="Times New Roman" w:cs="Times New Roman"/>
          <w:sz w:val="24"/>
          <w:szCs w:val="24"/>
        </w:rPr>
        <w:t>and a correlation factor of -.25.</w:t>
      </w:r>
    </w:p>
    <w:p w14:paraId="41717C18" w14:textId="77777777" w:rsidR="009E5CEC" w:rsidRDefault="009E5CEC"/>
    <w:sectPr w:rsidR="009E5C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15885"/>
    <w:multiLevelType w:val="hybridMultilevel"/>
    <w:tmpl w:val="4DF2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4383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ED2"/>
    <w:rsid w:val="0010412C"/>
    <w:rsid w:val="001C6E43"/>
    <w:rsid w:val="002C0C34"/>
    <w:rsid w:val="003735C7"/>
    <w:rsid w:val="003B4E62"/>
    <w:rsid w:val="00521397"/>
    <w:rsid w:val="00574E30"/>
    <w:rsid w:val="005B7F45"/>
    <w:rsid w:val="006F13BD"/>
    <w:rsid w:val="00725C06"/>
    <w:rsid w:val="00740ED2"/>
    <w:rsid w:val="007B54A4"/>
    <w:rsid w:val="009665A8"/>
    <w:rsid w:val="009E5CEC"/>
    <w:rsid w:val="00AB613C"/>
    <w:rsid w:val="00AF4ADD"/>
    <w:rsid w:val="00D217F3"/>
    <w:rsid w:val="00D97D7E"/>
    <w:rsid w:val="00DA0E73"/>
    <w:rsid w:val="00DB7C10"/>
    <w:rsid w:val="00E219CC"/>
    <w:rsid w:val="00E43F4A"/>
    <w:rsid w:val="00E91CBC"/>
    <w:rsid w:val="00FE7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4967F"/>
  <w15:chartTrackingRefBased/>
  <w15:docId w15:val="{FAE2BB20-60A6-4F6B-B9B9-5DDB088CE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ED2"/>
    <w:pPr>
      <w:spacing w:line="259" w:lineRule="auto"/>
    </w:pPr>
    <w:rPr>
      <w:kern w:val="0"/>
      <w:sz w:val="22"/>
      <w:szCs w:val="22"/>
      <w14:ligatures w14:val="none"/>
    </w:rPr>
  </w:style>
  <w:style w:type="paragraph" w:styleId="Heading1">
    <w:name w:val="heading 1"/>
    <w:basedOn w:val="Normal"/>
    <w:next w:val="Normal"/>
    <w:link w:val="Heading1Char"/>
    <w:uiPriority w:val="9"/>
    <w:qFormat/>
    <w:rsid w:val="00740E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E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E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E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E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E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E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E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E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E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E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E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E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E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E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E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E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ED2"/>
    <w:rPr>
      <w:rFonts w:eastAsiaTheme="majorEastAsia" w:cstheme="majorBidi"/>
      <w:color w:val="272727" w:themeColor="text1" w:themeTint="D8"/>
    </w:rPr>
  </w:style>
  <w:style w:type="paragraph" w:styleId="Title">
    <w:name w:val="Title"/>
    <w:basedOn w:val="Normal"/>
    <w:next w:val="Normal"/>
    <w:link w:val="TitleChar"/>
    <w:uiPriority w:val="10"/>
    <w:qFormat/>
    <w:rsid w:val="00740E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E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E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E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ED2"/>
    <w:pPr>
      <w:spacing w:before="160"/>
      <w:jc w:val="center"/>
    </w:pPr>
    <w:rPr>
      <w:i/>
      <w:iCs/>
      <w:color w:val="404040" w:themeColor="text1" w:themeTint="BF"/>
    </w:rPr>
  </w:style>
  <w:style w:type="character" w:customStyle="1" w:styleId="QuoteChar">
    <w:name w:val="Quote Char"/>
    <w:basedOn w:val="DefaultParagraphFont"/>
    <w:link w:val="Quote"/>
    <w:uiPriority w:val="29"/>
    <w:rsid w:val="00740ED2"/>
    <w:rPr>
      <w:i/>
      <w:iCs/>
      <w:color w:val="404040" w:themeColor="text1" w:themeTint="BF"/>
    </w:rPr>
  </w:style>
  <w:style w:type="paragraph" w:styleId="ListParagraph">
    <w:name w:val="List Paragraph"/>
    <w:basedOn w:val="Normal"/>
    <w:uiPriority w:val="34"/>
    <w:qFormat/>
    <w:rsid w:val="00740ED2"/>
    <w:pPr>
      <w:ind w:left="720"/>
      <w:contextualSpacing/>
    </w:pPr>
  </w:style>
  <w:style w:type="character" w:styleId="IntenseEmphasis">
    <w:name w:val="Intense Emphasis"/>
    <w:basedOn w:val="DefaultParagraphFont"/>
    <w:uiPriority w:val="21"/>
    <w:qFormat/>
    <w:rsid w:val="00740ED2"/>
    <w:rPr>
      <w:i/>
      <w:iCs/>
      <w:color w:val="0F4761" w:themeColor="accent1" w:themeShade="BF"/>
    </w:rPr>
  </w:style>
  <w:style w:type="paragraph" w:styleId="IntenseQuote">
    <w:name w:val="Intense Quote"/>
    <w:basedOn w:val="Normal"/>
    <w:next w:val="Normal"/>
    <w:link w:val="IntenseQuoteChar"/>
    <w:uiPriority w:val="30"/>
    <w:qFormat/>
    <w:rsid w:val="00740E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ED2"/>
    <w:rPr>
      <w:i/>
      <w:iCs/>
      <w:color w:val="0F4761" w:themeColor="accent1" w:themeShade="BF"/>
    </w:rPr>
  </w:style>
  <w:style w:type="character" w:styleId="IntenseReference">
    <w:name w:val="Intense Reference"/>
    <w:basedOn w:val="DefaultParagraphFont"/>
    <w:uiPriority w:val="32"/>
    <w:qFormat/>
    <w:rsid w:val="00740E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2026-02-19T21:04:48+00:00</_EndDate>
    <StartDate xmlns="http://schemas.microsoft.com/sharepoint/v3">2026-02-19T21:04:48+00:00</StartDate>
    <Date xmlns="55eb7663-75cc-4f64-9609-52561375e7a6" xsi:nil="tru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56391B12-9439-45B2-AEB8-5338EE55AC6F}">
  <ds:schemaRefs>
    <ds:schemaRef ds:uri="http://schemas.microsoft.com/sharepoint/v3/contenttype/forms"/>
  </ds:schemaRefs>
</ds:datastoreItem>
</file>

<file path=customXml/itemProps2.xml><?xml version="1.0" encoding="utf-8"?>
<ds:datastoreItem xmlns:ds="http://schemas.openxmlformats.org/officeDocument/2006/customXml" ds:itemID="{7EA5C04B-A940-4EA8-A94B-B5C8FEA1D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79DA17-2183-4A1F-9CF0-2BFD92A919A6}">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826143e3-bbcb-45bb-8829-107013e701e5"/>
    <ds:schemaRef ds:uri="18972338-d0e8-45c6-b364-da1588a41c6d"/>
    <ds:schemaRef ds:uri="http://www.w3.org/XML/1998/namespace"/>
    <ds:schemaRef ds:uri="http://purl.org/dc/terms/"/>
    <ds:schemaRef ds:uri="http://purl.org/dc/elements/1.1/"/>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1091</Words>
  <Characters>5806</Characters>
  <Application>Microsoft Office Word</Application>
  <DocSecurity>0</DocSecurity>
  <Lines>156</Lines>
  <Paragraphs>55</Paragraphs>
  <ScaleCrop>false</ScaleCrop>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Okosun, Kazeem</dc:creator>
  <cp:keywords/>
  <dc:description/>
  <cp:lastModifiedBy>Fitzpatrick, Amy</cp:lastModifiedBy>
  <cp:revision>4</cp:revision>
  <dcterms:created xsi:type="dcterms:W3CDTF">2026-02-19T21:03:00Z</dcterms:created>
  <dcterms:modified xsi:type="dcterms:W3CDTF">2026-02-20T15:43:00Z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docLang">
    <vt:lpwstr>en</vt:lpwstr>
  </property>
  <property fmtid="{D5CDD505-2E9C-101B-9397-08002B2CF9AE}" pid="4" name="MediaServiceImageTags">
    <vt:lpwstr/>
  </property>
</Properties>
</file>