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0754" w14:textId="1220FFF6" w:rsidR="00D277C5" w:rsidRPr="003E3C2B" w:rsidRDefault="002520E4" w:rsidP="002520E4">
      <w:pPr>
        <w:jc w:val="center"/>
        <w:rPr>
          <w:b/>
          <w:bCs/>
        </w:rPr>
      </w:pPr>
      <w:r w:rsidRPr="003E3C2B">
        <w:rPr>
          <w:b/>
          <w:bCs/>
        </w:rPr>
        <w:t>MEMORANDUM</w:t>
      </w:r>
    </w:p>
    <w:p w14:paraId="6C5DB074" w14:textId="55B24812" w:rsidR="00C27E34" w:rsidRPr="00B52DF0" w:rsidRDefault="00C27E34" w:rsidP="000F4C0C">
      <w:r w:rsidRPr="00B52DF0">
        <w:rPr>
          <w:b/>
        </w:rPr>
        <w:t>To</w:t>
      </w:r>
      <w:proofErr w:type="gramStart"/>
      <w:r w:rsidRPr="00B52DF0">
        <w:rPr>
          <w:b/>
        </w:rPr>
        <w:t xml:space="preserve">: </w:t>
      </w:r>
      <w:r w:rsidR="002520E4" w:rsidRPr="00B52DF0">
        <w:rPr>
          <w:b/>
        </w:rPr>
        <w:tab/>
      </w:r>
      <w:r w:rsidR="00FF3883" w:rsidRPr="00B52DF0">
        <w:t>Diana</w:t>
      </w:r>
      <w:proofErr w:type="gramEnd"/>
      <w:r w:rsidR="00FF3883" w:rsidRPr="00B52DF0">
        <w:t xml:space="preserve"> Sherman</w:t>
      </w:r>
      <w:r w:rsidRPr="00B52DF0">
        <w:t>, Facilitator of the Chief Financial Regulator Forum</w:t>
      </w:r>
    </w:p>
    <w:p w14:paraId="1C9FF8B7" w14:textId="47D3A5CE" w:rsidR="00B1532D" w:rsidRPr="003E3C2B" w:rsidRDefault="00B1532D" w:rsidP="000F4C0C">
      <w:r w:rsidRPr="00B52DF0">
        <w:rPr>
          <w:b/>
        </w:rPr>
        <w:t>From</w:t>
      </w:r>
      <w:proofErr w:type="gramStart"/>
      <w:r w:rsidRPr="00B52DF0">
        <w:t xml:space="preserve">: </w:t>
      </w:r>
      <w:r w:rsidR="002520E4" w:rsidRPr="00B52DF0">
        <w:tab/>
      </w:r>
      <w:r w:rsidRPr="00B52DF0">
        <w:t>Michael</w:t>
      </w:r>
      <w:proofErr w:type="gramEnd"/>
      <w:r w:rsidRPr="00B52DF0">
        <w:t xml:space="preserve"> Peterson, Chair</w:t>
      </w:r>
      <w:r w:rsidR="007239A8" w:rsidRPr="00B52DF0">
        <w:t>, and Colton Schulz, Vice-Chair</w:t>
      </w:r>
      <w:r w:rsidRPr="00B52DF0">
        <w:t xml:space="preserve"> of the Cybersecurity (H) Working Group</w:t>
      </w:r>
    </w:p>
    <w:p w14:paraId="15B4DB41" w14:textId="730C93D5" w:rsidR="00B1532D" w:rsidRPr="003E3C2B" w:rsidRDefault="00B1532D" w:rsidP="000F4C0C">
      <w:r w:rsidRPr="003E3C2B">
        <w:rPr>
          <w:b/>
          <w:bCs/>
        </w:rPr>
        <w:t>Date</w:t>
      </w:r>
      <w:proofErr w:type="gramStart"/>
      <w:r w:rsidRPr="003E3C2B">
        <w:t xml:space="preserve">: </w:t>
      </w:r>
      <w:r w:rsidR="002520E4" w:rsidRPr="003E3C2B">
        <w:tab/>
      </w:r>
      <w:r w:rsidR="00057E2E">
        <w:t>Pending</w:t>
      </w:r>
      <w:proofErr w:type="gramEnd"/>
    </w:p>
    <w:p w14:paraId="54E126D5" w14:textId="3BF38871" w:rsidR="007214A8" w:rsidRPr="003E3C2B" w:rsidRDefault="00D277C5" w:rsidP="000F4C0C">
      <w:r w:rsidRPr="003E3C2B">
        <w:rPr>
          <w:b/>
          <w:bCs/>
          <w:noProof/>
        </w:rPr>
        <mc:AlternateContent>
          <mc:Choice Requires="wps">
            <w:drawing>
              <wp:anchor distT="0" distB="0" distL="114300" distR="114300" simplePos="0" relativeHeight="251658240" behindDoc="0" locked="0" layoutInCell="1" allowOverlap="1" wp14:anchorId="083E389D" wp14:editId="3EE3B59E">
                <wp:simplePos x="0" y="0"/>
                <wp:positionH relativeFrom="column">
                  <wp:posOffset>0</wp:posOffset>
                </wp:positionH>
                <wp:positionV relativeFrom="paragraph">
                  <wp:posOffset>274320</wp:posOffset>
                </wp:positionV>
                <wp:extent cx="5981700" cy="0"/>
                <wp:effectExtent l="0" t="0" r="0" b="0"/>
                <wp:wrapNone/>
                <wp:docPr id="1656193172" name="Straight Connector 2"/>
                <wp:cNvGraphicFramePr/>
                <a:graphic xmlns:a="http://schemas.openxmlformats.org/drawingml/2006/main">
                  <a:graphicData uri="http://schemas.microsoft.com/office/word/2010/wordprocessingShape">
                    <wps:wsp>
                      <wps:cNvCnPr/>
                      <wps:spPr>
                        <a:xfrm>
                          <a:off x="0" y="0"/>
                          <a:ext cx="59817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57CD330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1.6pt" to="47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" strokecolor="black [3200]" strokeweight=".5pt">
                <v:stroke joinstyle="miter"/>
              </v:line>
            </w:pict>
          </mc:Fallback>
        </mc:AlternateContent>
      </w:r>
      <w:r w:rsidR="00EC6BBE" w:rsidRPr="003E3C2B">
        <w:rPr>
          <w:b/>
          <w:bCs/>
        </w:rPr>
        <w:t>RE</w:t>
      </w:r>
      <w:proofErr w:type="gramStart"/>
      <w:r w:rsidR="000F4C0C" w:rsidRPr="003E3C2B">
        <w:rPr>
          <w:b/>
          <w:bCs/>
        </w:rPr>
        <w:t>:</w:t>
      </w:r>
      <w:r w:rsidR="000F4C0C" w:rsidRPr="003E3C2B">
        <w:t> </w:t>
      </w:r>
      <w:r w:rsidR="002520E4" w:rsidRPr="003E3C2B">
        <w:tab/>
      </w:r>
      <w:r w:rsidR="000F4C0C" w:rsidRPr="003E3C2B">
        <w:t>Response</w:t>
      </w:r>
      <w:proofErr w:type="gramEnd"/>
      <w:r w:rsidR="000F4C0C" w:rsidRPr="003E3C2B">
        <w:t xml:space="preserve"> to </w:t>
      </w:r>
      <w:r w:rsidR="00B360F2">
        <w:t xml:space="preserve">August 16, </w:t>
      </w:r>
      <w:proofErr w:type="gramStart"/>
      <w:r w:rsidR="00B360F2">
        <w:t>2024</w:t>
      </w:r>
      <w:proofErr w:type="gramEnd"/>
      <w:r w:rsidR="00B360F2">
        <w:t xml:space="preserve"> </w:t>
      </w:r>
      <w:r w:rsidR="000F4C0C" w:rsidRPr="003E3C2B">
        <w:t>Referral on Data Security Model Compliance Testing</w:t>
      </w:r>
    </w:p>
    <w:p w14:paraId="135EE5E9" w14:textId="77777777" w:rsidR="00F965DD" w:rsidRDefault="00F965DD" w:rsidP="000F4C0C"/>
    <w:p w14:paraId="1299ABCF" w14:textId="3F332877" w:rsidR="000F4C0C" w:rsidRPr="000F4C0C" w:rsidRDefault="000F4C0C" w:rsidP="000F4C0C">
      <w:r w:rsidRPr="000F4C0C">
        <w:t xml:space="preserve">Thank you for your referral regarding </w:t>
      </w:r>
      <w:r w:rsidR="00296502">
        <w:t>Data Security Compliance Testing.</w:t>
      </w:r>
      <w:r w:rsidRPr="000F4C0C">
        <w:t xml:space="preserve"> We appreciate the Chief Financial Regulator Forum's attention to this critical issue and the detailed considerations provided.</w:t>
      </w:r>
      <w:r w:rsidR="00296502">
        <w:t xml:space="preserve"> The observation that there </w:t>
      </w:r>
      <w:proofErr w:type="gramStart"/>
      <w:r w:rsidR="00296502">
        <w:t>lacks</w:t>
      </w:r>
      <w:proofErr w:type="gramEnd"/>
      <w:r w:rsidR="00296502">
        <w:t xml:space="preserve"> clear expectations for compliance testing and reporting made clear that what was required was formal guidance supported by a motion from the Cybersecurity (H) Working Group.</w:t>
      </w:r>
    </w:p>
    <w:p w14:paraId="1D66952E" w14:textId="28A437BF" w:rsidR="000F4C0C" w:rsidRPr="000F4C0C" w:rsidRDefault="000F4C0C" w:rsidP="000F4C0C">
      <w:r w:rsidRPr="000F4C0C">
        <w:t xml:space="preserve">Ensuring consistent and effective compliance testing for </w:t>
      </w:r>
      <w:r w:rsidR="001B66B3">
        <w:t xml:space="preserve">the Insurance Data Security </w:t>
      </w:r>
      <w:r w:rsidRPr="000F4C0C">
        <w:t>Model #668 is vital for maintaining robust cybersecurity practices across states, especially given the increasing adoption of the Model Law and the overlap with IT Review procedures in financial examinations.</w:t>
      </w:r>
    </w:p>
    <w:p w14:paraId="5AEBA2F5" w14:textId="3B3F8BC7" w:rsidR="000F4C0C" w:rsidRPr="000F4C0C" w:rsidRDefault="000F4C0C" w:rsidP="000F4C0C">
      <w:r w:rsidRPr="000F4C0C">
        <w:t xml:space="preserve">We </w:t>
      </w:r>
      <w:r w:rsidR="00D270A2" w:rsidRPr="003E3C2B">
        <w:t>have</w:t>
      </w:r>
      <w:r w:rsidRPr="000F4C0C">
        <w:t xml:space="preserve"> carefully </w:t>
      </w:r>
      <w:r w:rsidRPr="003E3C2B">
        <w:t>consider</w:t>
      </w:r>
      <w:r w:rsidR="00A81911" w:rsidRPr="003E3C2B">
        <w:t>ed</w:t>
      </w:r>
      <w:r w:rsidRPr="000F4C0C">
        <w:t xml:space="preserve"> the following key questions as part of our review:</w:t>
      </w:r>
    </w:p>
    <w:p w14:paraId="1CD764A0" w14:textId="4F3F8473" w:rsidR="000F4C0C" w:rsidRPr="000F4C0C" w:rsidRDefault="000F4C0C" w:rsidP="000F4C0C">
      <w:pPr>
        <w:numPr>
          <w:ilvl w:val="0"/>
          <w:numId w:val="1"/>
        </w:numPr>
      </w:pPr>
      <w:r w:rsidRPr="000F4C0C">
        <w:t>Should Model #668 compliance test procedures be incorporated into each full-scope financial condition examination</w:t>
      </w:r>
      <w:r w:rsidR="00CE0C4B">
        <w:t xml:space="preserve"> conducted by a domestic regulator in a state that has adopted</w:t>
      </w:r>
      <w:r w:rsidR="00D8644E">
        <w:t xml:space="preserve"> Model #668 or similar requirements, with foreign regulators relying on that work where appropriate?</w:t>
      </w:r>
    </w:p>
    <w:p w14:paraId="0E3C1CE1" w14:textId="77777777" w:rsidR="000F4C0C" w:rsidRPr="00EF49BF" w:rsidRDefault="000F4C0C" w:rsidP="000F4C0C">
      <w:pPr>
        <w:numPr>
          <w:ilvl w:val="0"/>
          <w:numId w:val="1"/>
        </w:numPr>
      </w:pPr>
      <w:r w:rsidRPr="000F4C0C">
        <w:t xml:space="preserve">Should Model #668 findings be incorporated into regulator-only management letters (or similar communication tools) with the results shared across all licensed </w:t>
      </w:r>
      <w:r w:rsidRPr="00EF49BF">
        <w:t>states?</w:t>
      </w:r>
    </w:p>
    <w:p w14:paraId="2C80BBAE" w14:textId="40C5B5B5" w:rsidR="00BD72C1" w:rsidRPr="0073764D" w:rsidRDefault="00D83F9A" w:rsidP="000F4C0C">
      <w:pPr>
        <w:numPr>
          <w:ilvl w:val="0"/>
          <w:numId w:val="1"/>
        </w:numPr>
      </w:pPr>
      <w:r w:rsidRPr="0073764D">
        <w:t xml:space="preserve">Whether and how additional training and information could further avoid duplication of regulatory efforts. </w:t>
      </w:r>
    </w:p>
    <w:p w14:paraId="27CEF7CD" w14:textId="6713C1EE" w:rsidR="00751A63" w:rsidRDefault="00751A63" w:rsidP="009F298E">
      <w:r w:rsidRPr="0073764D">
        <w:rPr>
          <w:b/>
          <w:bCs/>
        </w:rPr>
        <w:t xml:space="preserve">Suggested </w:t>
      </w:r>
      <w:r w:rsidR="00891F1F" w:rsidRPr="0073764D">
        <w:rPr>
          <w:b/>
          <w:bCs/>
        </w:rPr>
        <w:t>Procedural Updates</w:t>
      </w:r>
      <w:r w:rsidR="00891F1F">
        <w:t>:</w:t>
      </w:r>
    </w:p>
    <w:p w14:paraId="5DE03410" w14:textId="68410326" w:rsidR="009F298E" w:rsidRPr="000F4C0C" w:rsidRDefault="00EE2CCF" w:rsidP="009F298E">
      <w:r w:rsidRPr="003E3C2B">
        <w:lastRenderedPageBreak/>
        <w:t xml:space="preserve">The Cybersecurity (H) Working Group </w:t>
      </w:r>
      <w:r w:rsidR="00D270A2" w:rsidRPr="003E3C2B">
        <w:t>agrees</w:t>
      </w:r>
      <w:r w:rsidRPr="003E3C2B">
        <w:t xml:space="preserve"> that consistent and effective compliance testing for Model #668 is essential to strengthening cybersecurity oversight across states. As adoption of the Model Law continues to expand</w:t>
      </w:r>
      <w:proofErr w:type="gramStart"/>
      <w:r w:rsidR="006C3061" w:rsidRPr="003E3C2B">
        <w:t>, so</w:t>
      </w:r>
      <w:proofErr w:type="gramEnd"/>
      <w:r w:rsidR="006C3061" w:rsidRPr="003E3C2B">
        <w:t xml:space="preserve"> </w:t>
      </w:r>
      <w:r w:rsidRPr="003E3C2B">
        <w:t xml:space="preserve">too does the need for clear, coordinated expectations for how compliance is assessed—particularly in the context of financial condition examinations. </w:t>
      </w:r>
    </w:p>
    <w:p w14:paraId="56856781" w14:textId="76EA58BB" w:rsidR="00E11552" w:rsidRDefault="00E11552" w:rsidP="009F298E">
      <w:r w:rsidRPr="0073764D">
        <w:t xml:space="preserve">The Working Group supports incorporating Model #668 compliance testing into full-scope financial condition examinations conducted by domestic regulators in states that have adopted the Model Law. We recommend that foreign regulators </w:t>
      </w:r>
      <w:r w:rsidR="007012AC" w:rsidRPr="009E7690">
        <w:t>place primary</w:t>
      </w:r>
      <w:r w:rsidR="009E7690" w:rsidRPr="009E7690">
        <w:t xml:space="preserve"> reliance on this work, consistent with existing reliance principles and the IDSM Compliance Guide’s emphasis </w:t>
      </w:r>
      <w:r w:rsidR="00985C7B">
        <w:t>primary reliance on the work of the domestic regulator to reduce duplicative oversight and promote a seamless regulatory environment.</w:t>
      </w:r>
    </w:p>
    <w:p w14:paraId="08D5BD50" w14:textId="027D260C" w:rsidR="00B14AC9" w:rsidRDefault="00B14AC9" w:rsidP="009F298E">
      <w:r w:rsidRPr="00CD0FF6">
        <w:t xml:space="preserve">Our aim is to foster a culture where Model #668-related insights—whether derived from financial or market conduct examinations—are shared confidentially and constructively across jurisdictions, consistent with existing protocols. </w:t>
      </w:r>
      <w:r w:rsidR="005F4A9B">
        <w:t xml:space="preserve">To frame our approach, we </w:t>
      </w:r>
      <w:r w:rsidR="00A339CD">
        <w:t>emphasize two distinct but complementary objectives</w:t>
      </w:r>
      <w:r w:rsidRPr="00CD0FF6">
        <w:t xml:space="preserve">: (1) the sharing of details on work already performed, and (2) the sharing of findings that may inform other </w:t>
      </w:r>
      <w:proofErr w:type="gramStart"/>
      <w:r w:rsidRPr="00CD0FF6">
        <w:t>regulator’s</w:t>
      </w:r>
      <w:proofErr w:type="gramEnd"/>
      <w:r w:rsidRPr="00CD0FF6">
        <w:t xml:space="preserve"> supervisory activities.</w:t>
      </w:r>
      <w:r w:rsidR="00FA5756" w:rsidRPr="00CD0FF6">
        <w:t xml:space="preserve"> </w:t>
      </w:r>
      <w:r w:rsidR="009A6739">
        <w:t xml:space="preserve">This approach supports the IDSM Compliance Guide’s vision of a seamless regulatory environment where coordinated oversight reduces redundancy and enhances consumer protection. </w:t>
      </w:r>
      <w:r w:rsidR="00FA5756" w:rsidRPr="00CD0FF6">
        <w:t>Encouraging both practices can significantly enhance regulatory efficiency and reduce unnecessary duplication.</w:t>
      </w:r>
      <w:r w:rsidR="00A339CD">
        <w:br/>
      </w:r>
      <w:r w:rsidR="00A339CD">
        <w:br/>
      </w:r>
      <w:r w:rsidR="002B288B">
        <w:t xml:space="preserve">Importantly, we believe the communication </w:t>
      </w:r>
      <w:r w:rsidR="00F33D04">
        <w:t xml:space="preserve">of </w:t>
      </w:r>
      <w:r w:rsidR="002B288B">
        <w:t xml:space="preserve">both </w:t>
      </w:r>
      <w:proofErr w:type="gramStart"/>
      <w:r w:rsidR="002B288B">
        <w:t>work</w:t>
      </w:r>
      <w:proofErr w:type="gramEnd"/>
      <w:r w:rsidR="002B288B">
        <w:t xml:space="preserve"> performed and of findings should occur </w:t>
      </w:r>
      <w:r w:rsidR="00B029B4">
        <w:t xml:space="preserve">fluidly to and from </w:t>
      </w:r>
      <w:r w:rsidR="002B288B">
        <w:t xml:space="preserve">both market conduct examiners </w:t>
      </w:r>
      <w:r w:rsidR="00EF199E">
        <w:t>and</w:t>
      </w:r>
      <w:r w:rsidR="002B288B">
        <w:t xml:space="preserve"> financial examiners</w:t>
      </w:r>
      <w:r w:rsidR="00B029B4">
        <w:t xml:space="preserve"> because there may be situations where work performed or findings may be pertinent to shaping each function’s work.</w:t>
      </w:r>
      <w:r w:rsidR="002B288B">
        <w:t xml:space="preserve"> </w:t>
      </w:r>
    </w:p>
    <w:p w14:paraId="4AFF8707" w14:textId="741E8872" w:rsidR="00FA5756" w:rsidRPr="003E3C2B" w:rsidRDefault="00FA5756" w:rsidP="00DE1FF1">
      <w:pPr>
        <w:spacing w:after="0" w:line="240" w:lineRule="auto"/>
      </w:pPr>
      <w:r>
        <w:t>Accordingly, our recommendations and suggestions to you and other groups are as follows:</w:t>
      </w:r>
    </w:p>
    <w:p w14:paraId="4079E4F2" w14:textId="7656E41A" w:rsidR="00490A87" w:rsidRDefault="009D32C1">
      <w:pPr>
        <w:pStyle w:val="ListParagraph"/>
        <w:numPr>
          <w:ilvl w:val="0"/>
          <w:numId w:val="13"/>
        </w:numPr>
        <w:spacing w:after="0" w:line="240" w:lineRule="auto"/>
      </w:pPr>
      <w:r w:rsidRPr="009D32C1">
        <w:rPr>
          <w:b/>
          <w:bCs/>
        </w:rPr>
        <w:t xml:space="preserve">Cross-Referencing </w:t>
      </w:r>
      <w:r w:rsidR="001977F2">
        <w:rPr>
          <w:b/>
          <w:bCs/>
        </w:rPr>
        <w:t>Guidance</w:t>
      </w:r>
      <w:r>
        <w:t xml:space="preserve">: </w:t>
      </w:r>
      <w:r w:rsidR="007C390C">
        <w:t xml:space="preserve">To enhance examiner awareness and promote </w:t>
      </w:r>
      <w:r w:rsidR="00490A87">
        <w:t>leveraging of work</w:t>
      </w:r>
      <w:r w:rsidR="007C390C">
        <w:t>, we recommend that the</w:t>
      </w:r>
      <w:r w:rsidR="00490A87">
        <w:t>:</w:t>
      </w:r>
    </w:p>
    <w:p w14:paraId="394E0AC4" w14:textId="14A1F41A" w:rsidR="009D32C1" w:rsidRPr="00AB223C" w:rsidRDefault="007C390C" w:rsidP="00490A87">
      <w:pPr>
        <w:pStyle w:val="ListParagraph"/>
        <w:numPr>
          <w:ilvl w:val="1"/>
          <w:numId w:val="13"/>
        </w:numPr>
        <w:spacing w:after="0" w:line="240" w:lineRule="auto"/>
      </w:pPr>
      <w:r>
        <w:t xml:space="preserve">IT Examination (E) Working Group (ITEWG) consider incorporating visual indicators, such as asterisks, footnotes, or callouts, within Exhibit C to highlight controls that may support compliance with Model #668. These indicators should be designed to facilitate recognition of relevant controls without imposing new requirements or altering existing procedures. </w:t>
      </w:r>
      <w:r w:rsidR="00387641">
        <w:tab/>
      </w:r>
    </w:p>
    <w:p w14:paraId="0388D268" w14:textId="3D444582" w:rsidR="00490A87" w:rsidRDefault="00836A6F" w:rsidP="00DE1FF1">
      <w:pPr>
        <w:pStyle w:val="ListParagraph"/>
        <w:numPr>
          <w:ilvl w:val="1"/>
          <w:numId w:val="13"/>
        </w:numPr>
        <w:spacing w:after="0" w:line="240" w:lineRule="auto"/>
      </w:pPr>
      <w:r w:rsidRPr="00836A6F">
        <w:t>Market Conduct Examination Guidelines (D) Working Group</w:t>
      </w:r>
      <w:r>
        <w:t xml:space="preserve"> consider incorporating guidance encouraging examiners to </w:t>
      </w:r>
      <w:r w:rsidR="00703CFA">
        <w:t>understand work performed during a financial exam prior to the performance of compliance procedures.</w:t>
      </w:r>
    </w:p>
    <w:p w14:paraId="6F092824" w14:textId="7F4E83B1" w:rsidR="00AB223C" w:rsidRPr="00AB223C" w:rsidRDefault="009D32C1" w:rsidP="00607736">
      <w:pPr>
        <w:pStyle w:val="ListParagraph"/>
        <w:numPr>
          <w:ilvl w:val="0"/>
          <w:numId w:val="13"/>
        </w:numPr>
        <w:spacing w:after="0" w:line="240" w:lineRule="auto"/>
      </w:pPr>
      <w:r w:rsidRPr="00AB223C">
        <w:rPr>
          <w:b/>
          <w:bCs/>
        </w:rPr>
        <w:lastRenderedPageBreak/>
        <w:t>Scope Considerations</w:t>
      </w:r>
      <w:r w:rsidRPr="00AB223C">
        <w:t xml:space="preserve">: </w:t>
      </w:r>
      <w:r w:rsidR="00D1435C" w:rsidRPr="00AB223C">
        <w:t>To support thoughtful and consistent scoping decisions, we recommend including prompts that help examiners assess the applicability of Model #668 compliance based on the insurers domicile. In this context, we suggest evaluating whether revisions to Section 1, Part III.A- General Information Technology Review and Section 2, Phase 1-</w:t>
      </w:r>
      <w:r w:rsidR="00671A4E" w:rsidRPr="00AB223C">
        <w:t xml:space="preserve">Step 4: Consideration of Information Technology would be appropriate to encourage more deliberate inclusion of Model #668 considerations in the examination </w:t>
      </w:r>
      <w:r w:rsidR="006A7A12" w:rsidRPr="00AB223C">
        <w:t>scope</w:t>
      </w:r>
      <w:r w:rsidR="00AB223C">
        <w:t xml:space="preserve">. </w:t>
      </w:r>
    </w:p>
    <w:p w14:paraId="32640265" w14:textId="6E78E608" w:rsidR="00260F3B" w:rsidRPr="00607736" w:rsidRDefault="009D32C1" w:rsidP="006C72A3">
      <w:pPr>
        <w:pStyle w:val="ListParagraph"/>
        <w:numPr>
          <w:ilvl w:val="0"/>
          <w:numId w:val="13"/>
        </w:numPr>
        <w:spacing w:after="0" w:line="240" w:lineRule="auto"/>
      </w:pPr>
      <w:r w:rsidRPr="00AB223C">
        <w:rPr>
          <w:b/>
          <w:bCs/>
        </w:rPr>
        <w:t xml:space="preserve">Communication </w:t>
      </w:r>
      <w:r w:rsidR="00607736">
        <w:rPr>
          <w:b/>
          <w:bCs/>
        </w:rPr>
        <w:t xml:space="preserve">and Coordination </w:t>
      </w:r>
      <w:r w:rsidRPr="00AB223C">
        <w:rPr>
          <w:b/>
          <w:bCs/>
        </w:rPr>
        <w:t>Practices</w:t>
      </w:r>
      <w:r w:rsidRPr="00AB223C">
        <w:t xml:space="preserve">: We support </w:t>
      </w:r>
      <w:r w:rsidR="008557F1">
        <w:t xml:space="preserve">the consideration of updates </w:t>
      </w:r>
      <w:r w:rsidR="00925387">
        <w:t>to examination guidance</w:t>
      </w:r>
      <w:r w:rsidRPr="00AB223C">
        <w:t xml:space="preserve"> such as the </w:t>
      </w:r>
      <w:r w:rsidR="006D733C" w:rsidRPr="00AB223C">
        <w:t xml:space="preserve">Exhibit C </w:t>
      </w:r>
      <w:r w:rsidR="00A009D0" w:rsidRPr="00607736">
        <w:t>(including the Exhibit C Summary Review Memorandum (SRM)</w:t>
      </w:r>
      <w:r w:rsidR="003D049D" w:rsidRPr="00AB223C">
        <w:t xml:space="preserve">, Exhibit AA </w:t>
      </w:r>
      <w:r w:rsidRPr="00AB223C">
        <w:t>SRM</w:t>
      </w:r>
      <w:r w:rsidR="00280FDB" w:rsidRPr="00AB223C">
        <w:t>, the Management Letter</w:t>
      </w:r>
      <w:r w:rsidR="00D3071C" w:rsidRPr="00607736">
        <w:t xml:space="preserve">, </w:t>
      </w:r>
      <w:r w:rsidRPr="00AB223C">
        <w:t xml:space="preserve">to confidentially share details of </w:t>
      </w:r>
      <w:r w:rsidR="001977F2">
        <w:t>work performed</w:t>
      </w:r>
      <w:r w:rsidRPr="00AB223C">
        <w:t xml:space="preserve"> and resulting findings that may be relevant to other regulators</w:t>
      </w:r>
      <w:r w:rsidR="006C670C">
        <w:t>.</w:t>
      </w:r>
      <w:r w:rsidR="00B315B7" w:rsidRPr="00AB223C">
        <w:t xml:space="preserve"> </w:t>
      </w:r>
      <w:r w:rsidR="00A45442" w:rsidRPr="00607736">
        <w:t xml:space="preserve">We emphasize the importance of proactive communication, particularly where such insights can inform supervisory planning or reduce duplicative efforts. While we recognize the value of these tools, we defer to your judgement on which mechanism is most appropriate </w:t>
      </w:r>
      <w:proofErr w:type="gramStart"/>
      <w:r w:rsidR="00A45442" w:rsidRPr="00607736">
        <w:t>in a given</w:t>
      </w:r>
      <w:proofErr w:type="gramEnd"/>
      <w:r w:rsidR="00A45442" w:rsidRPr="00607736">
        <w:t xml:space="preserve"> context, </w:t>
      </w:r>
      <w:r w:rsidR="00260F3B" w:rsidRPr="00607736">
        <w:t>a</w:t>
      </w:r>
      <w:r w:rsidR="00A45442" w:rsidRPr="00607736">
        <w:t xml:space="preserve">cknowledging that different tools may be better suited to different circumstances. </w:t>
      </w:r>
    </w:p>
    <w:p w14:paraId="5CE53726" w14:textId="257403AC" w:rsidR="009D32C1" w:rsidRPr="00AB223C" w:rsidRDefault="009D32C1" w:rsidP="006C72A3">
      <w:pPr>
        <w:pStyle w:val="ListParagraph"/>
        <w:numPr>
          <w:ilvl w:val="0"/>
          <w:numId w:val="13"/>
        </w:numPr>
        <w:spacing w:after="0" w:line="240" w:lineRule="auto"/>
      </w:pPr>
      <w:r w:rsidRPr="00AB223C">
        <w:rPr>
          <w:b/>
          <w:bCs/>
        </w:rPr>
        <w:t>Market Conduct Coordination</w:t>
      </w:r>
      <w:r w:rsidRPr="00AB223C">
        <w:t xml:space="preserve">: </w:t>
      </w:r>
      <w:r w:rsidR="004721CC" w:rsidRPr="00AB223C">
        <w:t>We encourage the Market Conduct Examination Guidelines (D) Working Group to explore how existing pre- and post-incident checklists and questionnaires might be adapted to reflect cybersecurity governance and breach notification practices, particul</w:t>
      </w:r>
      <w:r w:rsidR="00ED426C" w:rsidRPr="00AB223C">
        <w:t>arly in states that have adopted Model #668.</w:t>
      </w:r>
      <w:r w:rsidR="009E0A66" w:rsidRPr="00AB223C">
        <w:t xml:space="preserve"> Specifically, we recommend that the Market Conduct Pre-Planning Checklist </w:t>
      </w:r>
      <w:r w:rsidR="004E7117" w:rsidRPr="00AB223C">
        <w:t>includes</w:t>
      </w:r>
      <w:r w:rsidR="009E0A66" w:rsidRPr="00AB223C">
        <w:t xml:space="preserve"> prompts to determine whether the insurer is domiciled in a Model #668 state and whether cybersecurity practice</w:t>
      </w:r>
      <w:r w:rsidR="004E7117" w:rsidRPr="00AB223C">
        <w:t xml:space="preserve">s should be reviewed. Similarly, the Post-Examination Questionnaire should include questions about cybersecurity governance and breach notification practices. </w:t>
      </w:r>
    </w:p>
    <w:p w14:paraId="39B2578E" w14:textId="63354899" w:rsidR="00E11552" w:rsidRPr="003E3C2B" w:rsidRDefault="002A54F1" w:rsidP="00EE455C">
      <w:pPr>
        <w:pStyle w:val="ListParagraph"/>
        <w:ind w:left="0"/>
      </w:pPr>
      <w:r w:rsidRPr="00AB223C">
        <w:br/>
      </w:r>
      <w:r w:rsidR="00004D10" w:rsidRPr="00AB223C">
        <w:t>We recommend that the Working Group consider how findings and procedures from financial condition examinations</w:t>
      </w:r>
      <w:r w:rsidR="003051FD" w:rsidRPr="00AB223C">
        <w:t xml:space="preserve"> can be levera</w:t>
      </w:r>
      <w:r w:rsidR="003051FD">
        <w:t xml:space="preserve">ged to inform market conduct reviews. This includes identifying opportunities to align expectations </w:t>
      </w:r>
      <w:r w:rsidR="00E45032">
        <w:t>and</w:t>
      </w:r>
      <w:r w:rsidR="003051FD">
        <w:t xml:space="preserve"> redundant testing across examination types. To further support this coordination, we suggest evaluating whether targeted training or guidance could help market conduct examiners better recognize when existing work products from financial exams may satisfy or inform their own review objectives. Such efforts would promote a more unified supervisory approach, reduce duplication, and enhance the overall effectiveness of cybersecurity oversight. </w:t>
      </w:r>
      <w:r w:rsidR="00736115">
        <w:br/>
      </w:r>
      <w:r w:rsidR="00736115">
        <w:br/>
        <w:t xml:space="preserve">To support these efforts, </w:t>
      </w:r>
      <w:r w:rsidR="00813153">
        <w:t>we suggest that</w:t>
      </w:r>
      <w:r w:rsidR="00736115">
        <w:t xml:space="preserve"> the Cybersecurity (H) Working Group collaborate with the IT</w:t>
      </w:r>
      <w:r w:rsidR="002100CB">
        <w:t xml:space="preserve">EWG, NAIC Staff, and other regulators to develop targeted training. This training will help examiners recognize when existing work products may satisfy or inform their own review objectives and promote a more unified supervisory approach. </w:t>
      </w:r>
    </w:p>
    <w:p w14:paraId="51ED7DEB" w14:textId="5F961282" w:rsidR="00DF42D4" w:rsidRDefault="00DF42D4" w:rsidP="00DF42D4">
      <w:r>
        <w:lastRenderedPageBreak/>
        <w:t xml:space="preserve">We encourage working groups to explore opportunities to align their practices in ways that reduce duplication and enhance the value of compliance efforts already undertaken. This includes considering how existing compliance review </w:t>
      </w:r>
      <w:r w:rsidR="00B52DF0">
        <w:t xml:space="preserve">procedures, </w:t>
      </w:r>
      <w:r>
        <w:t xml:space="preserve">particularly those conducted during financial condition </w:t>
      </w:r>
      <w:r w:rsidR="00DB03D0">
        <w:t xml:space="preserve">exams, </w:t>
      </w:r>
      <w:r>
        <w:t>can be leveraged to inform market conduct reviews, and vice versa.</w:t>
      </w:r>
    </w:p>
    <w:p w14:paraId="5182E21C" w14:textId="5F2D5919" w:rsidR="00A52FC5" w:rsidRPr="003E3C2B" w:rsidRDefault="00A52FC5" w:rsidP="00A52FC5">
      <w:pPr>
        <w:rPr>
          <w:b/>
          <w:bCs/>
        </w:rPr>
      </w:pPr>
      <w:r w:rsidRPr="003E3C2B">
        <w:rPr>
          <w:b/>
          <w:bCs/>
        </w:rPr>
        <w:t xml:space="preserve">Conclusion and Path </w:t>
      </w:r>
      <w:commentRangeStart w:id="0"/>
      <w:r w:rsidRPr="003E3C2B">
        <w:rPr>
          <w:b/>
          <w:bCs/>
        </w:rPr>
        <w:t>Forward</w:t>
      </w:r>
      <w:commentRangeEnd w:id="0"/>
      <w:r w:rsidR="00805650">
        <w:rPr>
          <w:rStyle w:val="CommentReference"/>
        </w:rPr>
        <w:commentReference w:id="0"/>
      </w:r>
    </w:p>
    <w:p w14:paraId="474F3978" w14:textId="15667651" w:rsidR="00E152ED" w:rsidRDefault="00E152ED" w:rsidP="00E152ED">
      <w:r>
        <w:t>The Cybersecurity (H) Working Group appreciates the Chief Financial Regulator Forum’s thoughtful referral and the opportunity to support a more unified approach to Model #668 compliance. As adoption of the Model Law continues to expand, we recognize the importance of fostering a regulatory environment that encourages the sharing of work and findings across jurisdictions and examination types.</w:t>
      </w:r>
    </w:p>
    <w:p w14:paraId="0A6593EE" w14:textId="09ADB7A4" w:rsidR="00E152ED" w:rsidRDefault="00480A6D" w:rsidP="00E152ED">
      <w:r>
        <w:t>We</w:t>
      </w:r>
      <w:r w:rsidR="00E152ED">
        <w:t xml:space="preserve"> support efforts that promote the use of existing compliance review </w:t>
      </w:r>
      <w:r w:rsidR="00B52DF0">
        <w:t xml:space="preserve">procedures, </w:t>
      </w:r>
      <w:r w:rsidR="00E152ED">
        <w:t>particularly those already conducted during financial condition examinations—as a foundation for broader regulatory coordination. Encouraging the confidential sharing of Model #668-related insights, where permitted, can help reduce duplication and enhance the overall effectiveness of cybersecurity oversight.</w:t>
      </w:r>
    </w:p>
    <w:p w14:paraId="7F64AB02" w14:textId="7C590917" w:rsidR="00E152ED" w:rsidRDefault="00E152ED" w:rsidP="00E152ED">
      <w:r>
        <w:t>Looking ahead, we will continue to engage with relevant NAIC working groups, including the IT Examination (E) Working Group and the Market Conduct Examination Guidelines (D) Working Group, to explore opportunities for alignment. This includes identifying areas where guidance can be clarified or enhanced to support examiners in recognizing and leveraging existing work, without imposing new mandates.</w:t>
      </w:r>
    </w:p>
    <w:p w14:paraId="01AEB7C0" w14:textId="38B10E83" w:rsidR="00EB3BC5" w:rsidRPr="003E3C2B" w:rsidRDefault="00E152ED">
      <w:r>
        <w:t>We remain committed to supporting a flexible, risk-based approach to Model #668 compliance that respects jurisdictional autonomy while advancing shared goals. For further discussion or clarification, please contact me or NAIC staff (Koty Henry at khenry@naic.org or Miguel Romero at maromero@naic.org).</w:t>
      </w:r>
      <w:r w:rsidR="00EB3BC5" w:rsidRPr="003E3C2B">
        <w:br w:type="page"/>
      </w:r>
    </w:p>
    <w:p w14:paraId="72EAF842" w14:textId="485EE502" w:rsidR="00E86051" w:rsidRDefault="00E86051" w:rsidP="00A52FC5">
      <w:r w:rsidRPr="00E86051">
        <w:rPr>
          <w:b/>
          <w:bCs/>
        </w:rPr>
        <w:lastRenderedPageBreak/>
        <w:t>Appendix A</w:t>
      </w:r>
    </w:p>
    <w:p w14:paraId="3C3557A2" w14:textId="537BA09A" w:rsidR="001E1262" w:rsidRDefault="003E3C2B">
      <w:r>
        <w:rPr>
          <w:noProof/>
        </w:rPr>
        <w:drawing>
          <wp:inline distT="0" distB="0" distL="0" distR="0" wp14:anchorId="60D16116" wp14:editId="2F3CE370">
            <wp:extent cx="4310886" cy="7099898"/>
            <wp:effectExtent l="0" t="0" r="0" b="6350"/>
            <wp:docPr id="1072986248" name="Picture 3"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986248" name="Picture 3" descr="A diagram of a flowchar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45596" cy="7157064"/>
                    </a:xfrm>
                    <a:prstGeom prst="rect">
                      <a:avLst/>
                    </a:prstGeom>
                  </pic:spPr>
                </pic:pic>
              </a:graphicData>
            </a:graphic>
          </wp:inline>
        </w:drawing>
      </w:r>
    </w:p>
    <w:sectPr w:rsidR="001E1262">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mero, Miguel" w:date="2025-06-18T14:08:00Z" w:initials="MR">
    <w:p w14:paraId="39559C50" w14:textId="4CBC3732" w:rsidR="00805650" w:rsidRDefault="00805650" w:rsidP="00805650">
      <w:pPr>
        <w:pStyle w:val="CommentText"/>
      </w:pPr>
      <w:r>
        <w:rPr>
          <w:rStyle w:val="CommentReference"/>
        </w:rPr>
        <w:annotationRef/>
      </w:r>
      <w:r>
        <w:t>Let’s add some acknowledgement of the training component suggesting that the CWG will work with the ITEWG, NAIC Staff, and other regulators, as appropriate, to develop training to support these shared goals.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559C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E6B67A" w16cex:dateUtc="2025-06-18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559C50" w16cid:durableId="7CE6B6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439A" w14:textId="77777777" w:rsidR="00255062" w:rsidRDefault="00255062" w:rsidP="003F7F30">
      <w:pPr>
        <w:spacing w:after="0" w:line="240" w:lineRule="auto"/>
      </w:pPr>
      <w:r>
        <w:separator/>
      </w:r>
    </w:p>
  </w:endnote>
  <w:endnote w:type="continuationSeparator" w:id="0">
    <w:p w14:paraId="42F6EB37" w14:textId="77777777" w:rsidR="00255062" w:rsidRDefault="00255062" w:rsidP="003F7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Next LT Pro Regular">
    <w:altName w:val="Calibri"/>
    <w:panose1 w:val="00000000000000000000"/>
    <w:charset w:val="4D"/>
    <w:family w:val="swiss"/>
    <w:notTrueType/>
    <w:pitch w:val="variable"/>
    <w:sig w:usb0="8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4988" w:type="pct"/>
      <w:tblBorders>
        <w:insideH w:val="single" w:sz="4" w:space="0" w:color="0F9ED5" w:themeColor="accent4"/>
      </w:tblBorders>
      <w:tblLook w:val="04A0" w:firstRow="1" w:lastRow="0" w:firstColumn="1" w:lastColumn="0" w:noHBand="0" w:noVBand="1"/>
    </w:tblPr>
    <w:tblGrid>
      <w:gridCol w:w="7796"/>
      <w:gridCol w:w="1542"/>
    </w:tblGrid>
    <w:tr w:rsidR="004008EA" w:rsidRPr="004008EA" w14:paraId="2AFAFD31" w14:textId="77777777">
      <w:trPr>
        <w:cantSplit/>
      </w:trPr>
      <w:tc>
        <w:tcPr>
          <w:tcW w:w="7795" w:type="dxa"/>
          <w:vAlign w:val="center"/>
        </w:tcPr>
        <w:p w14:paraId="0EC4C7C8" w14:textId="77777777" w:rsidR="006609D3" w:rsidRPr="004008EA" w:rsidRDefault="006609D3" w:rsidP="006609D3">
          <w:pPr>
            <w:pStyle w:val="Template-Address"/>
            <w:rPr>
              <w:color w:val="auto"/>
            </w:rPr>
          </w:pPr>
          <w:r w:rsidRPr="004008EA">
            <w:rPr>
              <w:b/>
              <w:color w:val="auto"/>
            </w:rPr>
            <w:t>Washington, DC</w:t>
          </w:r>
          <w:r w:rsidRPr="004008EA">
            <w:rPr>
              <w:color w:val="auto"/>
            </w:rPr>
            <w:t xml:space="preserve"> 1101 K Street NW, Suite 650, Washington, DC 20005-7032</w:t>
          </w:r>
        </w:p>
      </w:tc>
      <w:tc>
        <w:tcPr>
          <w:tcW w:w="1542" w:type="dxa"/>
          <w:vAlign w:val="center"/>
        </w:tcPr>
        <w:p w14:paraId="2E310E36" w14:textId="77777777" w:rsidR="006609D3" w:rsidRPr="004008EA" w:rsidRDefault="006609D3" w:rsidP="006609D3">
          <w:pPr>
            <w:pStyle w:val="Template-Address"/>
            <w:jc w:val="right"/>
            <w:rPr>
              <w:color w:val="auto"/>
            </w:rPr>
          </w:pPr>
          <w:r w:rsidRPr="004008EA">
            <w:rPr>
              <w:color w:val="auto"/>
            </w:rPr>
            <w:t>p | 202 471 3990</w:t>
          </w:r>
        </w:p>
      </w:tc>
    </w:tr>
    <w:tr w:rsidR="004008EA" w:rsidRPr="004008EA" w14:paraId="287FDD1C" w14:textId="77777777">
      <w:trPr>
        <w:cantSplit/>
      </w:trPr>
      <w:tc>
        <w:tcPr>
          <w:tcW w:w="7795" w:type="dxa"/>
          <w:vAlign w:val="center"/>
        </w:tcPr>
        <w:p w14:paraId="79D016E4" w14:textId="77777777" w:rsidR="006609D3" w:rsidRPr="004008EA" w:rsidRDefault="006609D3" w:rsidP="006609D3">
          <w:pPr>
            <w:pStyle w:val="Template-Address"/>
            <w:rPr>
              <w:color w:val="auto"/>
            </w:rPr>
          </w:pPr>
          <w:r w:rsidRPr="004008EA">
            <w:rPr>
              <w:b/>
              <w:color w:val="auto"/>
            </w:rPr>
            <w:t xml:space="preserve">Kansas City </w:t>
          </w:r>
          <w:r w:rsidRPr="004008EA">
            <w:rPr>
              <w:color w:val="auto"/>
            </w:rPr>
            <w:t>1100 Walnut Street, Suite 1000, Kansas City, MO 64106-2197</w:t>
          </w:r>
        </w:p>
      </w:tc>
      <w:tc>
        <w:tcPr>
          <w:tcW w:w="1542" w:type="dxa"/>
          <w:vAlign w:val="center"/>
        </w:tcPr>
        <w:p w14:paraId="3F0B1DB7" w14:textId="77777777" w:rsidR="006609D3" w:rsidRPr="004008EA" w:rsidRDefault="006609D3" w:rsidP="006609D3">
          <w:pPr>
            <w:pStyle w:val="Template-Address"/>
            <w:jc w:val="right"/>
            <w:rPr>
              <w:color w:val="auto"/>
            </w:rPr>
          </w:pPr>
          <w:r w:rsidRPr="004008EA">
            <w:rPr>
              <w:color w:val="auto"/>
            </w:rPr>
            <w:t>p | 816 842 3600</w:t>
          </w:r>
        </w:p>
      </w:tc>
    </w:tr>
    <w:tr w:rsidR="004008EA" w:rsidRPr="004008EA" w14:paraId="1213FD84" w14:textId="77777777">
      <w:trPr>
        <w:cantSplit/>
      </w:trPr>
      <w:tc>
        <w:tcPr>
          <w:tcW w:w="7795" w:type="dxa"/>
          <w:vAlign w:val="center"/>
        </w:tcPr>
        <w:p w14:paraId="4C5236AA" w14:textId="77777777" w:rsidR="006609D3" w:rsidRPr="004008EA" w:rsidRDefault="006609D3" w:rsidP="006609D3">
          <w:pPr>
            <w:pStyle w:val="Template-Address"/>
            <w:rPr>
              <w:color w:val="auto"/>
            </w:rPr>
          </w:pPr>
          <w:r w:rsidRPr="004008EA">
            <w:rPr>
              <w:b/>
              <w:color w:val="auto"/>
            </w:rPr>
            <w:t xml:space="preserve">New York </w:t>
          </w:r>
          <w:r w:rsidRPr="004008EA">
            <w:rPr>
              <w:color w:val="auto"/>
            </w:rPr>
            <w:t>One New York Plaza, Suite 4210, New York, NY 10004</w:t>
          </w:r>
        </w:p>
      </w:tc>
      <w:tc>
        <w:tcPr>
          <w:tcW w:w="1542" w:type="dxa"/>
          <w:vAlign w:val="center"/>
        </w:tcPr>
        <w:p w14:paraId="0907FA24" w14:textId="77777777" w:rsidR="006609D3" w:rsidRPr="004008EA" w:rsidRDefault="006609D3" w:rsidP="006609D3">
          <w:pPr>
            <w:pStyle w:val="Template-Address"/>
            <w:jc w:val="right"/>
            <w:rPr>
              <w:color w:val="auto"/>
            </w:rPr>
          </w:pPr>
          <w:r w:rsidRPr="004008EA">
            <w:rPr>
              <w:color w:val="auto"/>
            </w:rPr>
            <w:t>p | 212 398 9000</w:t>
          </w:r>
        </w:p>
      </w:tc>
    </w:tr>
  </w:tbl>
  <w:p w14:paraId="5C15A294" w14:textId="77777777" w:rsidR="003F7F30" w:rsidRPr="004008EA" w:rsidRDefault="006609D3" w:rsidP="006609D3">
    <w:pPr>
      <w:pStyle w:val="Webaddress"/>
      <w:ind w:left="-180"/>
      <w:rPr>
        <w:color w:val="auto"/>
      </w:rPr>
    </w:pPr>
    <w:r w:rsidRPr="004008EA">
      <w:rPr>
        <w:color w:val="auto"/>
      </w:rPr>
      <w:t>www.naic.org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FA952" w14:textId="77777777" w:rsidR="00255062" w:rsidRDefault="00255062" w:rsidP="003F7F30">
      <w:pPr>
        <w:spacing w:after="0" w:line="240" w:lineRule="auto"/>
      </w:pPr>
      <w:r>
        <w:separator/>
      </w:r>
    </w:p>
  </w:footnote>
  <w:footnote w:type="continuationSeparator" w:id="0">
    <w:p w14:paraId="7B38678D" w14:textId="77777777" w:rsidR="00255062" w:rsidRDefault="00255062" w:rsidP="003F7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1C11" w14:textId="70AAAA0A" w:rsidR="00F1798E" w:rsidRDefault="00F1798E" w:rsidP="00C77FB5">
    <w:pPr>
      <w:pStyle w:val="Header"/>
    </w:pPr>
    <w:r>
      <w:rPr>
        <w:noProof/>
      </w:rPr>
      <w:drawing>
        <wp:inline distT="0" distB="0" distL="0" distR="0" wp14:anchorId="378D9098" wp14:editId="4CF0D795">
          <wp:extent cx="3124200" cy="371475"/>
          <wp:effectExtent l="0" t="0" r="0" b="0"/>
          <wp:docPr id="506478890" name="Picture 506478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24200" cy="371475"/>
                  </a:xfrm>
                  <a:prstGeom prst="rect">
                    <a:avLst/>
                  </a:prstGeom>
                </pic:spPr>
              </pic:pic>
            </a:graphicData>
          </a:graphic>
        </wp:inline>
      </w:drawing>
    </w:r>
  </w:p>
  <w:p w14:paraId="478EB68E" w14:textId="48FE39E1" w:rsidR="003F7F30" w:rsidRDefault="00D277C5">
    <w:pPr>
      <w:pStyle w:val="Header"/>
    </w:pPr>
    <w:r>
      <w:rPr>
        <w:b/>
        <w:bCs/>
        <w:noProof/>
      </w:rPr>
      <mc:AlternateContent>
        <mc:Choice Requires="wps">
          <w:drawing>
            <wp:anchor distT="0" distB="0" distL="114300" distR="114300" simplePos="0" relativeHeight="251658240" behindDoc="0" locked="0" layoutInCell="1" allowOverlap="1" wp14:anchorId="5BFF53D7" wp14:editId="7DE547E5">
              <wp:simplePos x="0" y="0"/>
              <wp:positionH relativeFrom="column">
                <wp:posOffset>0</wp:posOffset>
              </wp:positionH>
              <wp:positionV relativeFrom="paragraph">
                <wp:posOffset>95250</wp:posOffset>
              </wp:positionV>
              <wp:extent cx="5981700" cy="0"/>
              <wp:effectExtent l="0" t="0" r="0" b="0"/>
              <wp:wrapNone/>
              <wp:docPr id="1732079334" name="Straight Connector 2"/>
              <wp:cNvGraphicFramePr/>
              <a:graphic xmlns:a="http://schemas.openxmlformats.org/drawingml/2006/main">
                <a:graphicData uri="http://schemas.microsoft.com/office/word/2010/wordprocessingShape">
                  <wps:wsp>
                    <wps:cNvCnPr/>
                    <wps:spPr>
                      <a:xfrm>
                        <a:off x="0" y="0"/>
                        <a:ext cx="59817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arto="http://schemas.microsoft.com/office/word/2006/arto">
          <w:pict>
            <v:line w14:anchorId="4FD4F9A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5pt" to="4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" strokecolor="black [320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389"/>
    <w:multiLevelType w:val="multilevel"/>
    <w:tmpl w:val="BE96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C00BE"/>
    <w:multiLevelType w:val="hybridMultilevel"/>
    <w:tmpl w:val="1A963DA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0539C3"/>
    <w:multiLevelType w:val="multilevel"/>
    <w:tmpl w:val="35BE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7D4F71"/>
    <w:multiLevelType w:val="multilevel"/>
    <w:tmpl w:val="C138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A80E71"/>
    <w:multiLevelType w:val="multilevel"/>
    <w:tmpl w:val="50DE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1A3825"/>
    <w:multiLevelType w:val="multilevel"/>
    <w:tmpl w:val="4AAE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0634AD"/>
    <w:multiLevelType w:val="hybridMultilevel"/>
    <w:tmpl w:val="42D43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E383F"/>
    <w:multiLevelType w:val="multilevel"/>
    <w:tmpl w:val="F7EA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502E4E"/>
    <w:multiLevelType w:val="multilevel"/>
    <w:tmpl w:val="4D1C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315CD2"/>
    <w:multiLevelType w:val="multilevel"/>
    <w:tmpl w:val="4390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3127F5"/>
    <w:multiLevelType w:val="hybridMultilevel"/>
    <w:tmpl w:val="3686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F6067"/>
    <w:multiLevelType w:val="multilevel"/>
    <w:tmpl w:val="17F0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2C0D19"/>
    <w:multiLevelType w:val="multilevel"/>
    <w:tmpl w:val="189C93A0"/>
    <w:lvl w:ilvl="0">
      <w:start w:val="1"/>
      <w:numFmt w:val="upperRoman"/>
      <w:lvlText w:val="%1."/>
      <w:lvlJc w:val="left"/>
      <w:pPr>
        <w:tabs>
          <w:tab w:val="num" w:pos="720"/>
        </w:tabs>
        <w:ind w:left="720" w:hanging="360"/>
      </w:pPr>
      <w:rPr>
        <w:rFonts w:ascii="Cambria" w:eastAsiaTheme="minorHAnsi" w:hAnsi="Cambria" w:cstheme="minorBidi"/>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8139806">
    <w:abstractNumId w:val="5"/>
  </w:num>
  <w:num w:numId="2" w16cid:durableId="2131824700">
    <w:abstractNumId w:val="12"/>
  </w:num>
  <w:num w:numId="3" w16cid:durableId="1662536758">
    <w:abstractNumId w:val="9"/>
  </w:num>
  <w:num w:numId="4" w16cid:durableId="1942377245">
    <w:abstractNumId w:val="0"/>
  </w:num>
  <w:num w:numId="5" w16cid:durableId="1190755121">
    <w:abstractNumId w:val="3"/>
  </w:num>
  <w:num w:numId="6" w16cid:durableId="442042802">
    <w:abstractNumId w:val="8"/>
  </w:num>
  <w:num w:numId="7" w16cid:durableId="447087203">
    <w:abstractNumId w:val="2"/>
  </w:num>
  <w:num w:numId="8" w16cid:durableId="649752622">
    <w:abstractNumId w:val="4"/>
  </w:num>
  <w:num w:numId="9" w16cid:durableId="1555582018">
    <w:abstractNumId w:val="11"/>
  </w:num>
  <w:num w:numId="10" w16cid:durableId="757671944">
    <w:abstractNumId w:val="7"/>
  </w:num>
  <w:num w:numId="11" w16cid:durableId="683633027">
    <w:abstractNumId w:val="1"/>
  </w:num>
  <w:num w:numId="12" w16cid:durableId="1243954899">
    <w:abstractNumId w:val="10"/>
  </w:num>
  <w:num w:numId="13" w16cid:durableId="1937342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mero, Miguel">
    <w15:presenceInfo w15:providerId="AD" w15:userId="S::maromero@naic.org::9ae97ec2-2311-41b0-b3c1-d89298324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0C"/>
    <w:rsid w:val="00004D10"/>
    <w:rsid w:val="00012D63"/>
    <w:rsid w:val="00025060"/>
    <w:rsid w:val="0002691D"/>
    <w:rsid w:val="00027ED8"/>
    <w:rsid w:val="00031E83"/>
    <w:rsid w:val="00034C61"/>
    <w:rsid w:val="000526A1"/>
    <w:rsid w:val="00057E2E"/>
    <w:rsid w:val="00070D1E"/>
    <w:rsid w:val="000821DF"/>
    <w:rsid w:val="000A04AB"/>
    <w:rsid w:val="000A52E2"/>
    <w:rsid w:val="000D29D3"/>
    <w:rsid w:val="000E7B65"/>
    <w:rsid w:val="000F2AD0"/>
    <w:rsid w:val="000F4C0C"/>
    <w:rsid w:val="00100732"/>
    <w:rsid w:val="001136FD"/>
    <w:rsid w:val="001328BA"/>
    <w:rsid w:val="001346E1"/>
    <w:rsid w:val="00144DAB"/>
    <w:rsid w:val="00153BFB"/>
    <w:rsid w:val="0016362C"/>
    <w:rsid w:val="00184D66"/>
    <w:rsid w:val="00187F89"/>
    <w:rsid w:val="0019052B"/>
    <w:rsid w:val="001962F8"/>
    <w:rsid w:val="001977F2"/>
    <w:rsid w:val="00197B51"/>
    <w:rsid w:val="001A293A"/>
    <w:rsid w:val="001A47E7"/>
    <w:rsid w:val="001B3C47"/>
    <w:rsid w:val="001B66B3"/>
    <w:rsid w:val="001C6511"/>
    <w:rsid w:val="001D7553"/>
    <w:rsid w:val="001E1262"/>
    <w:rsid w:val="001E3D30"/>
    <w:rsid w:val="00206040"/>
    <w:rsid w:val="00207439"/>
    <w:rsid w:val="002100CB"/>
    <w:rsid w:val="00215B91"/>
    <w:rsid w:val="00215CDF"/>
    <w:rsid w:val="00216574"/>
    <w:rsid w:val="00247981"/>
    <w:rsid w:val="002520E4"/>
    <w:rsid w:val="00255062"/>
    <w:rsid w:val="00257203"/>
    <w:rsid w:val="00260F3B"/>
    <w:rsid w:val="002629C4"/>
    <w:rsid w:val="00273099"/>
    <w:rsid w:val="00273DCF"/>
    <w:rsid w:val="00277FAF"/>
    <w:rsid w:val="00280FDB"/>
    <w:rsid w:val="00294F44"/>
    <w:rsid w:val="00296502"/>
    <w:rsid w:val="002A54F1"/>
    <w:rsid w:val="002B1ADB"/>
    <w:rsid w:val="002B288B"/>
    <w:rsid w:val="002C1B9F"/>
    <w:rsid w:val="002D1AE5"/>
    <w:rsid w:val="002D4CE8"/>
    <w:rsid w:val="003026DE"/>
    <w:rsid w:val="003051FD"/>
    <w:rsid w:val="003146D0"/>
    <w:rsid w:val="00317F44"/>
    <w:rsid w:val="00322DB1"/>
    <w:rsid w:val="0032389D"/>
    <w:rsid w:val="0032684E"/>
    <w:rsid w:val="00350B5A"/>
    <w:rsid w:val="00357889"/>
    <w:rsid w:val="0036087A"/>
    <w:rsid w:val="003655EE"/>
    <w:rsid w:val="00373503"/>
    <w:rsid w:val="003801FA"/>
    <w:rsid w:val="00383F1B"/>
    <w:rsid w:val="00387641"/>
    <w:rsid w:val="003907E6"/>
    <w:rsid w:val="003A0168"/>
    <w:rsid w:val="003A033A"/>
    <w:rsid w:val="003A3CEF"/>
    <w:rsid w:val="003D049D"/>
    <w:rsid w:val="003D62E0"/>
    <w:rsid w:val="003E1A2C"/>
    <w:rsid w:val="003E3C2B"/>
    <w:rsid w:val="003E63BC"/>
    <w:rsid w:val="003F7F30"/>
    <w:rsid w:val="004008EA"/>
    <w:rsid w:val="00427986"/>
    <w:rsid w:val="004370E0"/>
    <w:rsid w:val="00441AE5"/>
    <w:rsid w:val="0045322F"/>
    <w:rsid w:val="00467534"/>
    <w:rsid w:val="004721CC"/>
    <w:rsid w:val="00480A6D"/>
    <w:rsid w:val="00490A87"/>
    <w:rsid w:val="00493908"/>
    <w:rsid w:val="004A6A02"/>
    <w:rsid w:val="004B37D9"/>
    <w:rsid w:val="004C1584"/>
    <w:rsid w:val="004C2161"/>
    <w:rsid w:val="004C4A35"/>
    <w:rsid w:val="004C4C47"/>
    <w:rsid w:val="004D7DB3"/>
    <w:rsid w:val="004E7117"/>
    <w:rsid w:val="004E7E87"/>
    <w:rsid w:val="0050554E"/>
    <w:rsid w:val="00511A48"/>
    <w:rsid w:val="00524F7E"/>
    <w:rsid w:val="005262D3"/>
    <w:rsid w:val="005308FA"/>
    <w:rsid w:val="00532C4E"/>
    <w:rsid w:val="005376D2"/>
    <w:rsid w:val="00545705"/>
    <w:rsid w:val="00566620"/>
    <w:rsid w:val="00573F86"/>
    <w:rsid w:val="00574BFC"/>
    <w:rsid w:val="00576DCC"/>
    <w:rsid w:val="00584B8C"/>
    <w:rsid w:val="00593F8D"/>
    <w:rsid w:val="005A0FA4"/>
    <w:rsid w:val="005A2362"/>
    <w:rsid w:val="005C6946"/>
    <w:rsid w:val="005C6FBD"/>
    <w:rsid w:val="005D010C"/>
    <w:rsid w:val="005E3A06"/>
    <w:rsid w:val="005F3D17"/>
    <w:rsid w:val="005F4A9B"/>
    <w:rsid w:val="00601BD8"/>
    <w:rsid w:val="00607736"/>
    <w:rsid w:val="00617665"/>
    <w:rsid w:val="00625774"/>
    <w:rsid w:val="0062623D"/>
    <w:rsid w:val="0063251D"/>
    <w:rsid w:val="006407E5"/>
    <w:rsid w:val="00656454"/>
    <w:rsid w:val="006609D3"/>
    <w:rsid w:val="00670482"/>
    <w:rsid w:val="00671A4E"/>
    <w:rsid w:val="0068265E"/>
    <w:rsid w:val="00695176"/>
    <w:rsid w:val="00695E78"/>
    <w:rsid w:val="006A7A12"/>
    <w:rsid w:val="006B72DD"/>
    <w:rsid w:val="006C3061"/>
    <w:rsid w:val="006C670C"/>
    <w:rsid w:val="006C72A3"/>
    <w:rsid w:val="006D733C"/>
    <w:rsid w:val="006E66F6"/>
    <w:rsid w:val="006F02FF"/>
    <w:rsid w:val="007012AC"/>
    <w:rsid w:val="00702C76"/>
    <w:rsid w:val="00703350"/>
    <w:rsid w:val="00703CFA"/>
    <w:rsid w:val="00706E0C"/>
    <w:rsid w:val="00710B6D"/>
    <w:rsid w:val="007214A8"/>
    <w:rsid w:val="007239A8"/>
    <w:rsid w:val="00724BBF"/>
    <w:rsid w:val="00730CCA"/>
    <w:rsid w:val="00733BE0"/>
    <w:rsid w:val="00736115"/>
    <w:rsid w:val="0073764D"/>
    <w:rsid w:val="00751A63"/>
    <w:rsid w:val="00752F64"/>
    <w:rsid w:val="00764CD6"/>
    <w:rsid w:val="00776211"/>
    <w:rsid w:val="00777BCB"/>
    <w:rsid w:val="00780350"/>
    <w:rsid w:val="00785258"/>
    <w:rsid w:val="007A6E68"/>
    <w:rsid w:val="007B4BB8"/>
    <w:rsid w:val="007C0C5E"/>
    <w:rsid w:val="007C367F"/>
    <w:rsid w:val="007C390C"/>
    <w:rsid w:val="007E248D"/>
    <w:rsid w:val="007F1B0A"/>
    <w:rsid w:val="007F22B5"/>
    <w:rsid w:val="007F636B"/>
    <w:rsid w:val="0080380B"/>
    <w:rsid w:val="00803FA1"/>
    <w:rsid w:val="00805650"/>
    <w:rsid w:val="00813153"/>
    <w:rsid w:val="00825C7D"/>
    <w:rsid w:val="00826D24"/>
    <w:rsid w:val="00834347"/>
    <w:rsid w:val="00836A6F"/>
    <w:rsid w:val="00837254"/>
    <w:rsid w:val="0083764C"/>
    <w:rsid w:val="00847BE7"/>
    <w:rsid w:val="00851779"/>
    <w:rsid w:val="00852D72"/>
    <w:rsid w:val="008557F1"/>
    <w:rsid w:val="008743FD"/>
    <w:rsid w:val="008854C0"/>
    <w:rsid w:val="00891F1F"/>
    <w:rsid w:val="008A0079"/>
    <w:rsid w:val="008C35BE"/>
    <w:rsid w:val="008C60EF"/>
    <w:rsid w:val="008C70AF"/>
    <w:rsid w:val="008D0645"/>
    <w:rsid w:val="008E08DA"/>
    <w:rsid w:val="008E1D07"/>
    <w:rsid w:val="008E7070"/>
    <w:rsid w:val="008F3887"/>
    <w:rsid w:val="008F3EA7"/>
    <w:rsid w:val="008F553A"/>
    <w:rsid w:val="00906774"/>
    <w:rsid w:val="00910035"/>
    <w:rsid w:val="00925387"/>
    <w:rsid w:val="009335FF"/>
    <w:rsid w:val="00942CC1"/>
    <w:rsid w:val="00952DCD"/>
    <w:rsid w:val="00985C7B"/>
    <w:rsid w:val="00997611"/>
    <w:rsid w:val="009A1D2D"/>
    <w:rsid w:val="009A2659"/>
    <w:rsid w:val="009A4CB6"/>
    <w:rsid w:val="009A6739"/>
    <w:rsid w:val="009B0E5E"/>
    <w:rsid w:val="009B2F35"/>
    <w:rsid w:val="009D0923"/>
    <w:rsid w:val="009D32C1"/>
    <w:rsid w:val="009E0A66"/>
    <w:rsid w:val="009E7690"/>
    <w:rsid w:val="009F298E"/>
    <w:rsid w:val="009F309F"/>
    <w:rsid w:val="009F6DC9"/>
    <w:rsid w:val="009F76CF"/>
    <w:rsid w:val="00A009D0"/>
    <w:rsid w:val="00A12046"/>
    <w:rsid w:val="00A177E9"/>
    <w:rsid w:val="00A22DB8"/>
    <w:rsid w:val="00A325CC"/>
    <w:rsid w:val="00A326A3"/>
    <w:rsid w:val="00A339CD"/>
    <w:rsid w:val="00A36A45"/>
    <w:rsid w:val="00A45442"/>
    <w:rsid w:val="00A50218"/>
    <w:rsid w:val="00A50CE7"/>
    <w:rsid w:val="00A52E40"/>
    <w:rsid w:val="00A52FC5"/>
    <w:rsid w:val="00A53990"/>
    <w:rsid w:val="00A56CA8"/>
    <w:rsid w:val="00A7226F"/>
    <w:rsid w:val="00A804F2"/>
    <w:rsid w:val="00A81911"/>
    <w:rsid w:val="00A9183E"/>
    <w:rsid w:val="00AA35E8"/>
    <w:rsid w:val="00AA4CE5"/>
    <w:rsid w:val="00AB223C"/>
    <w:rsid w:val="00AB284F"/>
    <w:rsid w:val="00AC5AC7"/>
    <w:rsid w:val="00AE1B25"/>
    <w:rsid w:val="00AF2673"/>
    <w:rsid w:val="00AF5ABB"/>
    <w:rsid w:val="00B029B4"/>
    <w:rsid w:val="00B14AC9"/>
    <w:rsid w:val="00B1532D"/>
    <w:rsid w:val="00B21664"/>
    <w:rsid w:val="00B315B7"/>
    <w:rsid w:val="00B32F14"/>
    <w:rsid w:val="00B360F2"/>
    <w:rsid w:val="00B46B97"/>
    <w:rsid w:val="00B52DF0"/>
    <w:rsid w:val="00B632F9"/>
    <w:rsid w:val="00B734A5"/>
    <w:rsid w:val="00B85716"/>
    <w:rsid w:val="00B919DF"/>
    <w:rsid w:val="00BA65FD"/>
    <w:rsid w:val="00BA7E1B"/>
    <w:rsid w:val="00BB5C1E"/>
    <w:rsid w:val="00BB6E31"/>
    <w:rsid w:val="00BB71A1"/>
    <w:rsid w:val="00BD4AB4"/>
    <w:rsid w:val="00BD72C1"/>
    <w:rsid w:val="00BF1717"/>
    <w:rsid w:val="00BF2DB7"/>
    <w:rsid w:val="00BF2EF4"/>
    <w:rsid w:val="00C025F3"/>
    <w:rsid w:val="00C145F2"/>
    <w:rsid w:val="00C23688"/>
    <w:rsid w:val="00C27E34"/>
    <w:rsid w:val="00C34E37"/>
    <w:rsid w:val="00C37EAF"/>
    <w:rsid w:val="00C41CA1"/>
    <w:rsid w:val="00C43115"/>
    <w:rsid w:val="00C617AD"/>
    <w:rsid w:val="00C66EFD"/>
    <w:rsid w:val="00C77FB5"/>
    <w:rsid w:val="00C819F9"/>
    <w:rsid w:val="00C8550F"/>
    <w:rsid w:val="00CB28E1"/>
    <w:rsid w:val="00CD0FF6"/>
    <w:rsid w:val="00CD3441"/>
    <w:rsid w:val="00CD4332"/>
    <w:rsid w:val="00CD56A2"/>
    <w:rsid w:val="00CE0C4B"/>
    <w:rsid w:val="00CE2782"/>
    <w:rsid w:val="00D12502"/>
    <w:rsid w:val="00D12AC9"/>
    <w:rsid w:val="00D1435C"/>
    <w:rsid w:val="00D2143E"/>
    <w:rsid w:val="00D270A2"/>
    <w:rsid w:val="00D277C5"/>
    <w:rsid w:val="00D3071C"/>
    <w:rsid w:val="00D44E79"/>
    <w:rsid w:val="00D456EB"/>
    <w:rsid w:val="00D5012F"/>
    <w:rsid w:val="00D51AE4"/>
    <w:rsid w:val="00D64B5C"/>
    <w:rsid w:val="00D652B4"/>
    <w:rsid w:val="00D6584A"/>
    <w:rsid w:val="00D83F9A"/>
    <w:rsid w:val="00D8644E"/>
    <w:rsid w:val="00D874A5"/>
    <w:rsid w:val="00D9278B"/>
    <w:rsid w:val="00DA07A8"/>
    <w:rsid w:val="00DB03D0"/>
    <w:rsid w:val="00DB49A8"/>
    <w:rsid w:val="00DB7A93"/>
    <w:rsid w:val="00DD00B5"/>
    <w:rsid w:val="00DD133B"/>
    <w:rsid w:val="00DD774A"/>
    <w:rsid w:val="00DE1FF1"/>
    <w:rsid w:val="00DE42FB"/>
    <w:rsid w:val="00DE4A82"/>
    <w:rsid w:val="00DE69FC"/>
    <w:rsid w:val="00DF0EDC"/>
    <w:rsid w:val="00DF2335"/>
    <w:rsid w:val="00DF42D4"/>
    <w:rsid w:val="00E02E13"/>
    <w:rsid w:val="00E04E8E"/>
    <w:rsid w:val="00E11552"/>
    <w:rsid w:val="00E152ED"/>
    <w:rsid w:val="00E17580"/>
    <w:rsid w:val="00E21AAC"/>
    <w:rsid w:val="00E23698"/>
    <w:rsid w:val="00E30D82"/>
    <w:rsid w:val="00E32ACC"/>
    <w:rsid w:val="00E4132D"/>
    <w:rsid w:val="00E439F0"/>
    <w:rsid w:val="00E45032"/>
    <w:rsid w:val="00E51558"/>
    <w:rsid w:val="00E53A77"/>
    <w:rsid w:val="00E54637"/>
    <w:rsid w:val="00E55562"/>
    <w:rsid w:val="00E570CC"/>
    <w:rsid w:val="00E7420B"/>
    <w:rsid w:val="00E86051"/>
    <w:rsid w:val="00EB30AB"/>
    <w:rsid w:val="00EB3BC5"/>
    <w:rsid w:val="00EC4332"/>
    <w:rsid w:val="00EC6BBE"/>
    <w:rsid w:val="00ED13F7"/>
    <w:rsid w:val="00ED426C"/>
    <w:rsid w:val="00EE0E64"/>
    <w:rsid w:val="00EE1571"/>
    <w:rsid w:val="00EE2CCF"/>
    <w:rsid w:val="00EE455C"/>
    <w:rsid w:val="00EF199E"/>
    <w:rsid w:val="00EF3559"/>
    <w:rsid w:val="00EF49BF"/>
    <w:rsid w:val="00EF78AB"/>
    <w:rsid w:val="00F008B2"/>
    <w:rsid w:val="00F02CBC"/>
    <w:rsid w:val="00F06F17"/>
    <w:rsid w:val="00F11881"/>
    <w:rsid w:val="00F1798E"/>
    <w:rsid w:val="00F251A5"/>
    <w:rsid w:val="00F26297"/>
    <w:rsid w:val="00F33D04"/>
    <w:rsid w:val="00F36E24"/>
    <w:rsid w:val="00F47563"/>
    <w:rsid w:val="00F47FDF"/>
    <w:rsid w:val="00F67AE8"/>
    <w:rsid w:val="00F812AC"/>
    <w:rsid w:val="00F8719C"/>
    <w:rsid w:val="00F9492D"/>
    <w:rsid w:val="00F952B2"/>
    <w:rsid w:val="00F965DD"/>
    <w:rsid w:val="00F977BF"/>
    <w:rsid w:val="00FA3C1D"/>
    <w:rsid w:val="00FA4A14"/>
    <w:rsid w:val="00FA4A77"/>
    <w:rsid w:val="00FA4EA4"/>
    <w:rsid w:val="00FA5756"/>
    <w:rsid w:val="00FB4CCA"/>
    <w:rsid w:val="00FB6D5E"/>
    <w:rsid w:val="00FC07FA"/>
    <w:rsid w:val="00FC094E"/>
    <w:rsid w:val="00FC246B"/>
    <w:rsid w:val="00FD7E60"/>
    <w:rsid w:val="00FE29DA"/>
    <w:rsid w:val="00FE62EC"/>
    <w:rsid w:val="00FF12FB"/>
    <w:rsid w:val="00FF1F68"/>
    <w:rsid w:val="00FF38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2EBF"/>
  <w15:chartTrackingRefBased/>
  <w15:docId w15:val="{26257830-2B24-491D-B696-59F0CE8D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C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C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4C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4C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4C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4C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4C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C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C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4C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4C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4C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4C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4C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4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C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C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4C0C"/>
    <w:pPr>
      <w:spacing w:before="160"/>
      <w:jc w:val="center"/>
    </w:pPr>
    <w:rPr>
      <w:i/>
      <w:iCs/>
      <w:color w:val="404040" w:themeColor="text1" w:themeTint="BF"/>
    </w:rPr>
  </w:style>
  <w:style w:type="character" w:customStyle="1" w:styleId="QuoteChar">
    <w:name w:val="Quote Char"/>
    <w:basedOn w:val="DefaultParagraphFont"/>
    <w:link w:val="Quote"/>
    <w:uiPriority w:val="29"/>
    <w:rsid w:val="000F4C0C"/>
    <w:rPr>
      <w:i/>
      <w:iCs/>
      <w:color w:val="404040" w:themeColor="text1" w:themeTint="BF"/>
    </w:rPr>
  </w:style>
  <w:style w:type="paragraph" w:styleId="ListParagraph">
    <w:name w:val="List Paragraph"/>
    <w:basedOn w:val="Normal"/>
    <w:uiPriority w:val="34"/>
    <w:qFormat/>
    <w:rsid w:val="000F4C0C"/>
    <w:pPr>
      <w:ind w:left="720"/>
      <w:contextualSpacing/>
    </w:pPr>
  </w:style>
  <w:style w:type="character" w:styleId="IntenseEmphasis">
    <w:name w:val="Intense Emphasis"/>
    <w:basedOn w:val="DefaultParagraphFont"/>
    <w:uiPriority w:val="21"/>
    <w:qFormat/>
    <w:rsid w:val="000F4C0C"/>
    <w:rPr>
      <w:i/>
      <w:iCs/>
      <w:color w:val="0F4761" w:themeColor="accent1" w:themeShade="BF"/>
    </w:rPr>
  </w:style>
  <w:style w:type="paragraph" w:styleId="IntenseQuote">
    <w:name w:val="Intense Quote"/>
    <w:basedOn w:val="Normal"/>
    <w:next w:val="Normal"/>
    <w:link w:val="IntenseQuoteChar"/>
    <w:uiPriority w:val="30"/>
    <w:qFormat/>
    <w:rsid w:val="000F4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C0C"/>
    <w:rPr>
      <w:i/>
      <w:iCs/>
      <w:color w:val="0F4761" w:themeColor="accent1" w:themeShade="BF"/>
    </w:rPr>
  </w:style>
  <w:style w:type="character" w:styleId="IntenseReference">
    <w:name w:val="Intense Reference"/>
    <w:basedOn w:val="DefaultParagraphFont"/>
    <w:uiPriority w:val="32"/>
    <w:qFormat/>
    <w:rsid w:val="000F4C0C"/>
    <w:rPr>
      <w:b/>
      <w:bCs/>
      <w:smallCaps/>
      <w:color w:val="0F4761" w:themeColor="accent1" w:themeShade="BF"/>
      <w:spacing w:val="5"/>
    </w:rPr>
  </w:style>
  <w:style w:type="character" w:styleId="Hyperlink">
    <w:name w:val="Hyperlink"/>
    <w:basedOn w:val="DefaultParagraphFont"/>
    <w:uiPriority w:val="99"/>
    <w:unhideWhenUsed/>
    <w:rsid w:val="000F4C0C"/>
    <w:rPr>
      <w:color w:val="467886" w:themeColor="hyperlink"/>
      <w:u w:val="single"/>
    </w:rPr>
  </w:style>
  <w:style w:type="character" w:styleId="UnresolvedMention">
    <w:name w:val="Unresolved Mention"/>
    <w:basedOn w:val="DefaultParagraphFont"/>
    <w:uiPriority w:val="99"/>
    <w:semiHidden/>
    <w:unhideWhenUsed/>
    <w:rsid w:val="000F4C0C"/>
    <w:rPr>
      <w:color w:val="605E5C"/>
      <w:shd w:val="clear" w:color="auto" w:fill="E1DFDD"/>
    </w:rPr>
  </w:style>
  <w:style w:type="paragraph" w:styleId="Header">
    <w:name w:val="header"/>
    <w:basedOn w:val="Normal"/>
    <w:link w:val="HeaderChar"/>
    <w:uiPriority w:val="13"/>
    <w:unhideWhenUsed/>
    <w:rsid w:val="003F7F30"/>
    <w:pPr>
      <w:tabs>
        <w:tab w:val="center" w:pos="4680"/>
        <w:tab w:val="right" w:pos="9360"/>
      </w:tabs>
      <w:spacing w:after="0" w:line="240" w:lineRule="auto"/>
    </w:pPr>
  </w:style>
  <w:style w:type="character" w:customStyle="1" w:styleId="HeaderChar">
    <w:name w:val="Header Char"/>
    <w:basedOn w:val="DefaultParagraphFont"/>
    <w:link w:val="Header"/>
    <w:uiPriority w:val="13"/>
    <w:rsid w:val="003F7F30"/>
  </w:style>
  <w:style w:type="paragraph" w:styleId="Footer">
    <w:name w:val="footer"/>
    <w:basedOn w:val="Normal"/>
    <w:link w:val="FooterChar"/>
    <w:uiPriority w:val="99"/>
    <w:unhideWhenUsed/>
    <w:rsid w:val="003F7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F30"/>
  </w:style>
  <w:style w:type="paragraph" w:customStyle="1" w:styleId="HeaderSpacer">
    <w:name w:val="Header Spacer"/>
    <w:basedOn w:val="Header"/>
    <w:uiPriority w:val="13"/>
    <w:semiHidden/>
    <w:qFormat/>
    <w:rsid w:val="003F7F30"/>
    <w:pPr>
      <w:tabs>
        <w:tab w:val="clear" w:pos="4680"/>
        <w:tab w:val="clear" w:pos="9360"/>
      </w:tabs>
      <w:spacing w:after="820" w:line="200" w:lineRule="atLeast"/>
    </w:pPr>
    <w:rPr>
      <w:rFonts w:ascii="AvenirNext LT Pro Regular" w:hAnsi="AvenirNext LT Pro Regular" w:cs="Calibri"/>
      <w:bCs/>
      <w:kern w:val="0"/>
      <w:sz w:val="16"/>
      <w:szCs w:val="22"/>
      <w:lang w:val="da-DK"/>
      <w14:ligatures w14:val="none"/>
    </w:rPr>
  </w:style>
  <w:style w:type="paragraph" w:customStyle="1" w:styleId="Template-Address">
    <w:name w:val="Template - Address"/>
    <w:basedOn w:val="Normal"/>
    <w:uiPriority w:val="15"/>
    <w:semiHidden/>
    <w:rsid w:val="003F7F30"/>
    <w:pPr>
      <w:tabs>
        <w:tab w:val="left" w:pos="567"/>
      </w:tabs>
      <w:suppressAutoHyphens/>
      <w:spacing w:before="74" w:after="80" w:line="220" w:lineRule="atLeast"/>
    </w:pPr>
    <w:rPr>
      <w:rFonts w:ascii="AvenirNext LT Pro Regular" w:hAnsi="AvenirNext LT Pro Regular" w:cs="Calibri"/>
      <w:bCs/>
      <w:noProof/>
      <w:color w:val="0F9ED5" w:themeColor="accent4"/>
      <w:kern w:val="0"/>
      <w:sz w:val="16"/>
      <w:szCs w:val="22"/>
      <w14:ligatures w14:val="none"/>
    </w:rPr>
  </w:style>
  <w:style w:type="table" w:customStyle="1" w:styleId="Blank">
    <w:name w:val="Blank"/>
    <w:basedOn w:val="TableNormal"/>
    <w:uiPriority w:val="99"/>
    <w:rsid w:val="003F7F30"/>
    <w:pPr>
      <w:spacing w:after="0" w:line="280" w:lineRule="atLeast"/>
    </w:pPr>
    <w:rPr>
      <w:rFonts w:asciiTheme="minorHAnsi" w:hAnsiTheme="minorHAnsi" w:cs="Calibri"/>
      <w:bCs/>
      <w:kern w:val="0"/>
      <w:szCs w:val="22"/>
      <w:lang w:val="da-DK"/>
      <w14:ligatures w14:val="none"/>
    </w:rPr>
    <w:tblPr>
      <w:tblCellMar>
        <w:left w:w="0" w:type="dxa"/>
        <w:right w:w="0" w:type="dxa"/>
      </w:tblCellMar>
    </w:tblPr>
  </w:style>
  <w:style w:type="paragraph" w:customStyle="1" w:styleId="Webaddress">
    <w:name w:val="Web address"/>
    <w:basedOn w:val="Footer"/>
    <w:uiPriority w:val="99"/>
    <w:semiHidden/>
    <w:qFormat/>
    <w:rsid w:val="003F7F30"/>
    <w:pPr>
      <w:tabs>
        <w:tab w:val="clear" w:pos="4680"/>
        <w:tab w:val="clear" w:pos="9360"/>
      </w:tabs>
      <w:spacing w:before="40" w:line="200" w:lineRule="atLeast"/>
      <w:jc w:val="right"/>
    </w:pPr>
    <w:rPr>
      <w:rFonts w:ascii="AvenirNext LT Pro Regular" w:hAnsi="AvenirNext LT Pro Regular" w:cs="Calibri"/>
      <w:bCs/>
      <w:color w:val="0F9ED5" w:themeColor="accent4"/>
      <w:kern w:val="0"/>
      <w:sz w:val="16"/>
      <w:szCs w:val="22"/>
      <w:lang w:val="da-DK"/>
      <w14:ligatures w14:val="none"/>
    </w:rPr>
  </w:style>
  <w:style w:type="character" w:styleId="CommentReference">
    <w:name w:val="annotation reference"/>
    <w:basedOn w:val="DefaultParagraphFont"/>
    <w:uiPriority w:val="99"/>
    <w:semiHidden/>
    <w:unhideWhenUsed/>
    <w:rsid w:val="00F47563"/>
    <w:rPr>
      <w:sz w:val="16"/>
      <w:szCs w:val="16"/>
    </w:rPr>
  </w:style>
  <w:style w:type="paragraph" w:styleId="CommentText">
    <w:name w:val="annotation text"/>
    <w:basedOn w:val="Normal"/>
    <w:link w:val="CommentTextChar"/>
    <w:uiPriority w:val="99"/>
    <w:unhideWhenUsed/>
    <w:rsid w:val="00F47563"/>
    <w:pPr>
      <w:spacing w:line="240" w:lineRule="auto"/>
    </w:pPr>
    <w:rPr>
      <w:sz w:val="20"/>
      <w:szCs w:val="20"/>
    </w:rPr>
  </w:style>
  <w:style w:type="character" w:customStyle="1" w:styleId="CommentTextChar">
    <w:name w:val="Comment Text Char"/>
    <w:basedOn w:val="DefaultParagraphFont"/>
    <w:link w:val="CommentText"/>
    <w:uiPriority w:val="99"/>
    <w:rsid w:val="00F47563"/>
    <w:rPr>
      <w:sz w:val="20"/>
      <w:szCs w:val="20"/>
    </w:rPr>
  </w:style>
  <w:style w:type="paragraph" w:styleId="CommentSubject">
    <w:name w:val="annotation subject"/>
    <w:basedOn w:val="CommentText"/>
    <w:next w:val="CommentText"/>
    <w:link w:val="CommentSubjectChar"/>
    <w:uiPriority w:val="99"/>
    <w:semiHidden/>
    <w:unhideWhenUsed/>
    <w:rsid w:val="00F47563"/>
    <w:rPr>
      <w:b/>
      <w:bCs/>
    </w:rPr>
  </w:style>
  <w:style w:type="character" w:customStyle="1" w:styleId="CommentSubjectChar">
    <w:name w:val="Comment Subject Char"/>
    <w:basedOn w:val="CommentTextChar"/>
    <w:link w:val="CommentSubject"/>
    <w:uiPriority w:val="99"/>
    <w:semiHidden/>
    <w:rsid w:val="00F47563"/>
    <w:rPr>
      <w:b/>
      <w:bCs/>
      <w:sz w:val="20"/>
      <w:szCs w:val="20"/>
    </w:rPr>
  </w:style>
  <w:style w:type="paragraph" w:styleId="Revision">
    <w:name w:val="Revision"/>
    <w:hidden/>
    <w:uiPriority w:val="99"/>
    <w:semiHidden/>
    <w:rsid w:val="00F475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8145">
      <w:bodyDiv w:val="1"/>
      <w:marLeft w:val="0"/>
      <w:marRight w:val="0"/>
      <w:marTop w:val="0"/>
      <w:marBottom w:val="0"/>
      <w:divBdr>
        <w:top w:val="none" w:sz="0" w:space="0" w:color="auto"/>
        <w:left w:val="none" w:sz="0" w:space="0" w:color="auto"/>
        <w:bottom w:val="none" w:sz="0" w:space="0" w:color="auto"/>
        <w:right w:val="none" w:sz="0" w:space="0" w:color="auto"/>
      </w:divBdr>
    </w:div>
    <w:div w:id="701977554">
      <w:bodyDiv w:val="1"/>
      <w:marLeft w:val="0"/>
      <w:marRight w:val="0"/>
      <w:marTop w:val="0"/>
      <w:marBottom w:val="0"/>
      <w:divBdr>
        <w:top w:val="none" w:sz="0" w:space="0" w:color="auto"/>
        <w:left w:val="none" w:sz="0" w:space="0" w:color="auto"/>
        <w:bottom w:val="none" w:sz="0" w:space="0" w:color="auto"/>
        <w:right w:val="none" w:sz="0" w:space="0" w:color="auto"/>
      </w:divBdr>
    </w:div>
    <w:div w:id="872887786">
      <w:bodyDiv w:val="1"/>
      <w:marLeft w:val="0"/>
      <w:marRight w:val="0"/>
      <w:marTop w:val="0"/>
      <w:marBottom w:val="0"/>
      <w:divBdr>
        <w:top w:val="none" w:sz="0" w:space="0" w:color="auto"/>
        <w:left w:val="none" w:sz="0" w:space="0" w:color="auto"/>
        <w:bottom w:val="none" w:sz="0" w:space="0" w:color="auto"/>
        <w:right w:val="none" w:sz="0" w:space="0" w:color="auto"/>
      </w:divBdr>
    </w:div>
    <w:div w:id="16544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2025-08-13T05:00:00+00:00</_EndDate>
    <StartDate xmlns="http://schemas.microsoft.com/sharepoint/v3">2025-08-10T05:00:00+00:00</StartDate>
    <Location xmlns="http://schemas.microsoft.com/sharepoint/v3/fields">Minneapolis, Minnesota</Location>
    <Meeting_x0020_Type xmlns="734dc620-9a3c-4363-b6b2-552d0a5c0ad8">Summer National</Meeting_x0020_Type>
    <SharedWithUsers xmlns="734dc620-9a3c-4363-b6b2-552d0a5c0ad8">
      <UserInfo>
        <DisplayName/>
        <AccountId xsi:nil="true"/>
        <AccountType/>
      </UserInfo>
    </SharedWithUsers>
    <MediaLengthInSeconds xmlns="55eb7663-75cc-4f64-9609-52561375e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79B95-D0A9-40D0-B4C2-1C8EA2408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DB789-FA00-4332-9918-6CC0B8B87F0E}">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sharepoint/v3"/>
    <ds:schemaRef ds:uri="3c9e15a3-223f-4584-afb1-1dbe0b3878fa"/>
    <ds:schemaRef ds:uri="http://purl.org/dc/terms/"/>
    <ds:schemaRef ds:uri="http://purl.org/dc/elements/1.1/"/>
    <ds:schemaRef ds:uri="http://schemas.microsoft.com/office/infopath/2007/PartnerControls"/>
    <ds:schemaRef ds:uri="734dc620-9a3c-4363-b6b2-552d0a5c0ad8"/>
    <ds:schemaRef ds:uri="55eb7663-75cc-4f64-9609-52561375e7a6"/>
    <ds:schemaRef ds:uri="http://schemas.microsoft.com/sharepoint/v3/fields"/>
    <ds:schemaRef ds:uri="http://schemas.microsoft.com/office/2006/metadata/properties"/>
  </ds:schemaRefs>
</ds:datastoreItem>
</file>

<file path=customXml/itemProps3.xml><?xml version="1.0" encoding="utf-8"?>
<ds:datastoreItem xmlns:ds="http://schemas.openxmlformats.org/officeDocument/2006/customXml" ds:itemID="{E537A1BC-84E6-4B3A-97E1-C323907CF047}">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244</TotalTime>
  <Pages>5</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Koty</dc:creator>
  <cp:keywords/>
  <dc:description/>
  <cp:lastModifiedBy>Henry, Koty</cp:lastModifiedBy>
  <cp:revision>149</cp:revision>
  <dcterms:created xsi:type="dcterms:W3CDTF">2025-02-18T19:39:00Z</dcterms:created>
  <dcterms:modified xsi:type="dcterms:W3CDTF">2025-07-18T17:35:00Z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Order">
    <vt:r8>16559600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