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D8B1D" w14:textId="01287BED" w:rsidR="00C805CC" w:rsidRDefault="00C805CC" w:rsidP="00C805CC">
      <w:pPr>
        <w:spacing w:after="0" w:line="240" w:lineRule="auto"/>
        <w:jc w:val="both"/>
        <w:rPr>
          <w:rFonts w:ascii="Times New Roman" w:eastAsia="Times New Roman" w:hAnsi="Times New Roman" w:cs="Times New Roman"/>
          <w:sz w:val="24"/>
          <w:szCs w:val="24"/>
        </w:rPr>
      </w:pPr>
      <w:r w:rsidRPr="00C805CC">
        <w:rPr>
          <w:rFonts w:ascii="Times New Roman" w:eastAsia="Times New Roman" w:hAnsi="Times New Roman" w:cs="Times New Roman"/>
          <w:sz w:val="24"/>
          <w:szCs w:val="24"/>
        </w:rPr>
        <w:t xml:space="preserve">Comments are being requested on this draft on or before </w:t>
      </w:r>
      <w:r>
        <w:rPr>
          <w:rFonts w:ascii="Times New Roman" w:eastAsia="Times New Roman" w:hAnsi="Times New Roman" w:cs="Times New Roman"/>
          <w:sz w:val="24"/>
          <w:szCs w:val="24"/>
        </w:rPr>
        <w:t>Nov. 8</w:t>
      </w:r>
      <w:r w:rsidRPr="00C805CC">
        <w:rPr>
          <w:rFonts w:ascii="Times New Roman" w:eastAsia="Times New Roman" w:hAnsi="Times New Roman" w:cs="Times New Roman"/>
          <w:sz w:val="24"/>
          <w:szCs w:val="24"/>
        </w:rPr>
        <w:t>, 202</w:t>
      </w:r>
      <w:r>
        <w:rPr>
          <w:rFonts w:ascii="Times New Roman" w:eastAsia="Times New Roman" w:hAnsi="Times New Roman" w:cs="Times New Roman"/>
          <w:sz w:val="24"/>
          <w:szCs w:val="24"/>
        </w:rPr>
        <w:t>4</w:t>
      </w:r>
      <w:r w:rsidRPr="00C805CC">
        <w:rPr>
          <w:rFonts w:ascii="Times New Roman" w:eastAsia="Times New Roman" w:hAnsi="Times New Roman" w:cs="Times New Roman"/>
          <w:sz w:val="24"/>
          <w:szCs w:val="24"/>
        </w:rPr>
        <w:t xml:space="preserve">. Comments should be sent by email only to Jolie Matthews at </w:t>
      </w:r>
      <w:hyperlink r:id="rId8" w:history="1">
        <w:r w:rsidRPr="00C805CC">
          <w:rPr>
            <w:rFonts w:ascii="Times New Roman" w:eastAsia="Times New Roman" w:hAnsi="Times New Roman" w:cs="Times New Roman"/>
            <w:color w:val="0000FF"/>
            <w:sz w:val="24"/>
            <w:szCs w:val="24"/>
            <w:u w:val="single"/>
          </w:rPr>
          <w:t>jmatthews@naic.org</w:t>
        </w:r>
      </w:hyperlink>
      <w:r w:rsidRPr="00C805CC">
        <w:rPr>
          <w:rFonts w:ascii="Times New Roman" w:eastAsia="Times New Roman" w:hAnsi="Times New Roman" w:cs="Times New Roman"/>
          <w:sz w:val="24"/>
          <w:szCs w:val="24"/>
        </w:rPr>
        <w:t>.</w:t>
      </w:r>
    </w:p>
    <w:p w14:paraId="750214E5" w14:textId="77777777" w:rsidR="00C805CC" w:rsidRPr="00C805CC" w:rsidRDefault="00C805CC" w:rsidP="00C805CC">
      <w:pPr>
        <w:spacing w:after="0" w:line="240" w:lineRule="auto"/>
        <w:jc w:val="both"/>
        <w:rPr>
          <w:rFonts w:ascii="Times New Roman" w:eastAsia="Times New Roman" w:hAnsi="Times New Roman" w:cs="Times New Roman"/>
          <w:sz w:val="24"/>
          <w:szCs w:val="24"/>
        </w:rPr>
      </w:pPr>
    </w:p>
    <w:p w14:paraId="688814BE" w14:textId="2C61927A" w:rsidR="00FE413C" w:rsidRPr="004F0312" w:rsidRDefault="004F0312" w:rsidP="00494F3F">
      <w:pPr>
        <w:shd w:val="clear" w:color="auto" w:fill="FFFFFF"/>
        <w:spacing w:after="100" w:afterAutospacing="1" w:line="360" w:lineRule="atLeast"/>
        <w:jc w:val="center"/>
        <w:outlineLvl w:val="0"/>
        <w:rPr>
          <w:rFonts w:ascii="Times New Roman" w:eastAsia="Times New Roman" w:hAnsi="Times New Roman" w:cs="Times New Roman"/>
          <w:color w:val="1E1E1E"/>
          <w:spacing w:val="-26"/>
          <w:kern w:val="36"/>
          <w:sz w:val="32"/>
          <w:szCs w:val="32"/>
        </w:rPr>
      </w:pPr>
      <w:r w:rsidRPr="004F0312">
        <w:rPr>
          <w:rFonts w:ascii="Times New Roman" w:eastAsia="Times New Roman" w:hAnsi="Times New Roman" w:cs="Times New Roman"/>
          <w:color w:val="1E1E1E"/>
          <w:spacing w:val="-26"/>
          <w:kern w:val="36"/>
          <w:sz w:val="32"/>
          <w:szCs w:val="32"/>
        </w:rPr>
        <w:t xml:space="preserve">Annuity </w:t>
      </w:r>
      <w:r>
        <w:rPr>
          <w:rFonts w:ascii="Times New Roman" w:eastAsia="Times New Roman" w:hAnsi="Times New Roman" w:cs="Times New Roman"/>
          <w:color w:val="1E1E1E"/>
          <w:spacing w:val="-26"/>
          <w:kern w:val="36"/>
          <w:sz w:val="32"/>
          <w:szCs w:val="32"/>
        </w:rPr>
        <w:t>Best Interest Regulatory Guidance and Considerations</w:t>
      </w:r>
      <w:r w:rsidR="00494F3F" w:rsidRPr="004F0312">
        <w:rPr>
          <w:rFonts w:ascii="Times New Roman" w:eastAsia="Times New Roman" w:hAnsi="Times New Roman" w:cs="Times New Roman"/>
          <w:color w:val="1E1E1E"/>
          <w:spacing w:val="-26"/>
          <w:kern w:val="36"/>
          <w:sz w:val="32"/>
          <w:szCs w:val="32"/>
        </w:rPr>
        <w:t xml:space="preserve"> </w:t>
      </w:r>
    </w:p>
    <w:p w14:paraId="4790AAA5" w14:textId="77777777" w:rsidR="00FE413C" w:rsidRPr="00C7284A" w:rsidRDefault="00FE413C" w:rsidP="00FE413C">
      <w:pPr>
        <w:shd w:val="clear" w:color="auto" w:fill="FFFFFF"/>
        <w:spacing w:before="300" w:after="100" w:afterAutospacing="1" w:line="240" w:lineRule="auto"/>
        <w:outlineLvl w:val="1"/>
        <w:rPr>
          <w:rFonts w:ascii="Times New Roman" w:eastAsia="Times New Roman" w:hAnsi="Times New Roman" w:cs="Times New Roman"/>
          <w:b/>
          <w:color w:val="1E1E1E"/>
          <w:sz w:val="24"/>
          <w:szCs w:val="24"/>
        </w:rPr>
      </w:pPr>
      <w:r w:rsidRPr="00C7284A">
        <w:rPr>
          <w:rFonts w:ascii="Times New Roman" w:eastAsia="Times New Roman" w:hAnsi="Times New Roman" w:cs="Times New Roman"/>
          <w:b/>
          <w:color w:val="1E1E1E"/>
          <w:sz w:val="24"/>
          <w:szCs w:val="24"/>
        </w:rPr>
        <w:t>Summary</w:t>
      </w:r>
    </w:p>
    <w:p w14:paraId="5ACA5B39" w14:textId="07A7ABC7" w:rsidR="009A0B55" w:rsidRDefault="004F0312"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The </w:t>
      </w:r>
      <w:r w:rsidR="007C3FC5">
        <w:rPr>
          <w:rFonts w:ascii="Times New Roman" w:eastAsia="Times New Roman" w:hAnsi="Times New Roman" w:cs="Times New Roman"/>
          <w:color w:val="1E1E1E"/>
          <w:sz w:val="24"/>
          <w:szCs w:val="24"/>
        </w:rPr>
        <w:t xml:space="preserve">Life and Annuity (A) Committee of the </w:t>
      </w:r>
      <w:r>
        <w:rPr>
          <w:rFonts w:ascii="Times New Roman" w:eastAsia="Times New Roman" w:hAnsi="Times New Roman" w:cs="Times New Roman"/>
          <w:color w:val="1E1E1E"/>
          <w:sz w:val="24"/>
          <w:szCs w:val="24"/>
        </w:rPr>
        <w:t xml:space="preserve">National Association of Insurance Commissioners offers the following regulatory guidance for </w:t>
      </w:r>
      <w:r w:rsidR="009A0B55" w:rsidRPr="009A0B55">
        <w:rPr>
          <w:rFonts w:ascii="Times New Roman" w:eastAsia="Times New Roman" w:hAnsi="Times New Roman" w:cs="Times New Roman"/>
          <w:color w:val="1E1E1E"/>
          <w:sz w:val="24"/>
          <w:szCs w:val="24"/>
        </w:rPr>
        <w:t xml:space="preserve">state Departments of Insurance (DOIs) to use when reviewing </w:t>
      </w:r>
      <w:r>
        <w:rPr>
          <w:rFonts w:ascii="Times New Roman" w:eastAsia="Times New Roman" w:hAnsi="Times New Roman" w:cs="Times New Roman"/>
          <w:color w:val="1E1E1E"/>
          <w:sz w:val="24"/>
          <w:szCs w:val="24"/>
        </w:rPr>
        <w:t xml:space="preserve">a </w:t>
      </w:r>
      <w:r w:rsidR="009A0B55" w:rsidRPr="009A0B55">
        <w:rPr>
          <w:rFonts w:ascii="Times New Roman" w:eastAsia="Times New Roman" w:hAnsi="Times New Roman" w:cs="Times New Roman"/>
          <w:color w:val="1E1E1E"/>
          <w:sz w:val="24"/>
          <w:szCs w:val="24"/>
        </w:rPr>
        <w:t xml:space="preserve">life insurer’s </w:t>
      </w:r>
      <w:r>
        <w:rPr>
          <w:rFonts w:ascii="Times New Roman" w:eastAsia="Times New Roman" w:hAnsi="Times New Roman" w:cs="Times New Roman"/>
          <w:color w:val="1E1E1E"/>
          <w:sz w:val="24"/>
          <w:szCs w:val="24"/>
        </w:rPr>
        <w:t xml:space="preserve">compliance with the </w:t>
      </w:r>
      <w:r w:rsidRPr="001B4AD2">
        <w:rPr>
          <w:rFonts w:ascii="Times New Roman" w:eastAsia="Times New Roman" w:hAnsi="Times New Roman" w:cs="Times New Roman"/>
          <w:i/>
          <w:iCs/>
          <w:color w:val="1E1E1E"/>
          <w:sz w:val="24"/>
          <w:szCs w:val="24"/>
        </w:rPr>
        <w:t>Suitability in Annuity Transactions Model Regulation</w:t>
      </w:r>
      <w:r>
        <w:rPr>
          <w:rFonts w:ascii="Times New Roman" w:eastAsia="Times New Roman" w:hAnsi="Times New Roman" w:cs="Times New Roman"/>
          <w:color w:val="1E1E1E"/>
          <w:sz w:val="24"/>
          <w:szCs w:val="24"/>
        </w:rPr>
        <w:t>, Model 275-1 (the “Model Regulation”)</w:t>
      </w:r>
      <w:r w:rsidR="007C3FC5">
        <w:rPr>
          <w:rFonts w:ascii="Times New Roman" w:eastAsia="Times New Roman" w:hAnsi="Times New Roman" w:cs="Times New Roman"/>
          <w:color w:val="1E1E1E"/>
          <w:sz w:val="24"/>
          <w:szCs w:val="24"/>
        </w:rPr>
        <w:t xml:space="preserve">. </w:t>
      </w:r>
      <w:r w:rsidR="009A0B55" w:rsidRPr="009A0B55">
        <w:rPr>
          <w:rFonts w:ascii="Times New Roman" w:eastAsia="Times New Roman" w:hAnsi="Times New Roman" w:cs="Times New Roman"/>
          <w:color w:val="1E1E1E"/>
          <w:sz w:val="24"/>
          <w:szCs w:val="24"/>
        </w:rPr>
        <w:t xml:space="preserve">The regulatory guidance is </w:t>
      </w:r>
      <w:r w:rsidR="007C3FC5">
        <w:rPr>
          <w:rFonts w:ascii="Times New Roman" w:eastAsia="Times New Roman" w:hAnsi="Times New Roman" w:cs="Times New Roman"/>
          <w:color w:val="1E1E1E"/>
          <w:sz w:val="24"/>
          <w:szCs w:val="24"/>
        </w:rPr>
        <w:t xml:space="preserve">focused </w:t>
      </w:r>
      <w:r w:rsidR="006A4E2D">
        <w:rPr>
          <w:rFonts w:ascii="Times New Roman" w:eastAsia="Times New Roman" w:hAnsi="Times New Roman" w:cs="Times New Roman"/>
          <w:color w:val="1E1E1E"/>
          <w:sz w:val="24"/>
          <w:szCs w:val="24"/>
        </w:rPr>
        <w:t xml:space="preserve">on </w:t>
      </w:r>
      <w:r w:rsidR="007C3FC5">
        <w:rPr>
          <w:rFonts w:ascii="Times New Roman" w:eastAsia="Times New Roman" w:hAnsi="Times New Roman" w:cs="Times New Roman"/>
          <w:color w:val="1E1E1E"/>
          <w:sz w:val="24"/>
          <w:szCs w:val="24"/>
        </w:rPr>
        <w:t>offering guidance concerning insurance company obligations under the safe harbor provisions embodied in Section 6E</w:t>
      </w:r>
      <w:r w:rsidR="00B8435C">
        <w:rPr>
          <w:rFonts w:ascii="Times New Roman" w:eastAsia="Times New Roman" w:hAnsi="Times New Roman" w:cs="Times New Roman"/>
          <w:color w:val="1E1E1E"/>
          <w:sz w:val="24"/>
          <w:szCs w:val="24"/>
        </w:rPr>
        <w:t>—Safe Harbor</w:t>
      </w:r>
      <w:r w:rsidR="007C3FC5">
        <w:rPr>
          <w:rFonts w:ascii="Times New Roman" w:eastAsia="Times New Roman" w:hAnsi="Times New Roman" w:cs="Times New Roman"/>
          <w:color w:val="1E1E1E"/>
          <w:sz w:val="24"/>
          <w:szCs w:val="24"/>
        </w:rPr>
        <w:t xml:space="preserve"> of the Model Regulation</w:t>
      </w:r>
      <w:r w:rsidR="009E1B75">
        <w:rPr>
          <w:rFonts w:ascii="Times New Roman" w:eastAsia="Times New Roman" w:hAnsi="Times New Roman" w:cs="Times New Roman"/>
          <w:color w:val="1E1E1E"/>
          <w:sz w:val="24"/>
          <w:szCs w:val="24"/>
        </w:rPr>
        <w:t>, which provides:</w:t>
      </w:r>
      <w:r w:rsidR="007C3FC5">
        <w:rPr>
          <w:rFonts w:ascii="Times New Roman" w:eastAsia="Times New Roman" w:hAnsi="Times New Roman" w:cs="Times New Roman"/>
          <w:color w:val="1E1E1E"/>
          <w:sz w:val="24"/>
          <w:szCs w:val="24"/>
        </w:rPr>
        <w:t xml:space="preserve"> </w:t>
      </w:r>
    </w:p>
    <w:p w14:paraId="0BEBE0EF" w14:textId="52E8795F" w:rsidR="009E1B75" w:rsidRDefault="009E1B75" w:rsidP="009E1B75">
      <w:pPr>
        <w:shd w:val="clear" w:color="auto" w:fill="FFFFFF"/>
        <w:spacing w:after="100" w:afterAutospacing="1" w:line="360" w:lineRule="atLeast"/>
        <w:ind w:left="720" w:right="720"/>
        <w:rPr>
          <w:rFonts w:ascii="Times New Roman" w:eastAsia="Times New Roman" w:hAnsi="Times New Roman" w:cs="Times New Roman"/>
          <w:color w:val="1E1E1E"/>
          <w:sz w:val="24"/>
          <w:szCs w:val="24"/>
        </w:rPr>
      </w:pPr>
      <w:r w:rsidRPr="009E1B75">
        <w:rPr>
          <w:rFonts w:ascii="Times New Roman" w:eastAsia="Times New Roman" w:hAnsi="Times New Roman" w:cs="Times New Roman"/>
          <w:color w:val="1E1E1E"/>
          <w:sz w:val="24"/>
          <w:szCs w:val="24"/>
        </w:rPr>
        <w:t xml:space="preserve">Recommendations and sales of annuities made in compliance with comparable standards shall satisfy the requirements under this regulation. This subsection applies to all recommendations and sales of annuities made by financial professionals in compliance with business rules, controls and procedures that satisfy a comparable standard </w:t>
      </w:r>
      <w:bookmarkStart w:id="0" w:name="_Hlk176252751"/>
      <w:r w:rsidRPr="009E1B75">
        <w:rPr>
          <w:rFonts w:ascii="Times New Roman" w:eastAsia="Times New Roman" w:hAnsi="Times New Roman" w:cs="Times New Roman"/>
          <w:color w:val="1E1E1E"/>
          <w:sz w:val="24"/>
          <w:szCs w:val="24"/>
        </w:rPr>
        <w:t xml:space="preserve">even if such standard would not otherwise apply to the product or recommendation at issue. </w:t>
      </w:r>
      <w:bookmarkEnd w:id="0"/>
      <w:r w:rsidRPr="009E1B75">
        <w:rPr>
          <w:rFonts w:ascii="Times New Roman" w:eastAsia="Times New Roman" w:hAnsi="Times New Roman" w:cs="Times New Roman"/>
          <w:color w:val="1E1E1E"/>
          <w:sz w:val="24"/>
          <w:szCs w:val="24"/>
        </w:rPr>
        <w:t>However, nothing in this subsection shall limit the insurance commissioner’s ability to investigate and enforce the provisions of this regulation.</w:t>
      </w:r>
      <w:r w:rsidR="008D2FCF">
        <w:rPr>
          <w:rStyle w:val="FootnoteReference"/>
          <w:rFonts w:ascii="Times New Roman" w:eastAsia="Times New Roman" w:hAnsi="Times New Roman" w:cs="Times New Roman"/>
          <w:color w:val="1E1E1E"/>
          <w:sz w:val="24"/>
          <w:szCs w:val="24"/>
        </w:rPr>
        <w:footnoteReference w:id="1"/>
      </w:r>
    </w:p>
    <w:p w14:paraId="5BBC0BEE" w14:textId="7D515CBC" w:rsidR="000E67E9" w:rsidRDefault="00FE413C"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Generally, </w:t>
      </w:r>
      <w:r w:rsidR="00247F65">
        <w:rPr>
          <w:rFonts w:ascii="Times New Roman" w:eastAsia="Times New Roman" w:hAnsi="Times New Roman" w:cs="Times New Roman"/>
          <w:color w:val="1E1E1E"/>
          <w:sz w:val="24"/>
          <w:szCs w:val="24"/>
        </w:rPr>
        <w:t>the safe harbor would be available to an insurance producer who is also reg</w:t>
      </w:r>
      <w:r w:rsidR="006A4E2D">
        <w:rPr>
          <w:rFonts w:ascii="Times New Roman" w:eastAsia="Times New Roman" w:hAnsi="Times New Roman" w:cs="Times New Roman"/>
          <w:color w:val="1E1E1E"/>
          <w:sz w:val="24"/>
          <w:szCs w:val="24"/>
        </w:rPr>
        <w:t>istered</w:t>
      </w:r>
      <w:r w:rsidR="00247F65">
        <w:rPr>
          <w:rFonts w:ascii="Times New Roman" w:eastAsia="Times New Roman" w:hAnsi="Times New Roman" w:cs="Times New Roman"/>
          <w:color w:val="1E1E1E"/>
          <w:sz w:val="24"/>
          <w:szCs w:val="24"/>
        </w:rPr>
        <w:t xml:space="preserve"> </w:t>
      </w:r>
      <w:r w:rsidR="006A4E2D">
        <w:rPr>
          <w:rFonts w:ascii="Times New Roman" w:eastAsia="Times New Roman" w:hAnsi="Times New Roman" w:cs="Times New Roman"/>
          <w:color w:val="1E1E1E"/>
          <w:sz w:val="24"/>
          <w:szCs w:val="24"/>
        </w:rPr>
        <w:t xml:space="preserve">as a financial professional </w:t>
      </w:r>
      <w:r w:rsidR="00247F65">
        <w:rPr>
          <w:rFonts w:ascii="Times New Roman" w:eastAsia="Times New Roman" w:hAnsi="Times New Roman" w:cs="Times New Roman"/>
          <w:color w:val="1E1E1E"/>
          <w:sz w:val="24"/>
          <w:szCs w:val="24"/>
        </w:rPr>
        <w:t xml:space="preserve">under securities law and </w:t>
      </w:r>
      <w:r w:rsidR="006A4E2D">
        <w:rPr>
          <w:rFonts w:ascii="Times New Roman" w:eastAsia="Times New Roman" w:hAnsi="Times New Roman" w:cs="Times New Roman"/>
          <w:color w:val="1E1E1E"/>
          <w:sz w:val="24"/>
          <w:szCs w:val="24"/>
        </w:rPr>
        <w:t xml:space="preserve">is </w:t>
      </w:r>
      <w:r w:rsidR="00247F65">
        <w:rPr>
          <w:rFonts w:ascii="Times New Roman" w:eastAsia="Times New Roman" w:hAnsi="Times New Roman" w:cs="Times New Roman"/>
          <w:color w:val="1E1E1E"/>
          <w:sz w:val="24"/>
          <w:szCs w:val="24"/>
        </w:rPr>
        <w:t>subject to another</w:t>
      </w:r>
      <w:r w:rsidR="000E67E9">
        <w:rPr>
          <w:rFonts w:ascii="Times New Roman" w:eastAsia="Times New Roman" w:hAnsi="Times New Roman" w:cs="Times New Roman"/>
          <w:color w:val="1E1E1E"/>
          <w:sz w:val="24"/>
          <w:szCs w:val="24"/>
        </w:rPr>
        <w:t xml:space="preserve"> comparable</w:t>
      </w:r>
      <w:r w:rsidR="00247F65">
        <w:rPr>
          <w:rFonts w:ascii="Times New Roman" w:eastAsia="Times New Roman" w:hAnsi="Times New Roman" w:cs="Times New Roman"/>
          <w:color w:val="1E1E1E"/>
          <w:sz w:val="24"/>
          <w:szCs w:val="24"/>
        </w:rPr>
        <w:t xml:space="preserve"> supervisory </w:t>
      </w:r>
      <w:r w:rsidR="000E67E9">
        <w:rPr>
          <w:rFonts w:ascii="Times New Roman" w:eastAsia="Times New Roman" w:hAnsi="Times New Roman" w:cs="Times New Roman"/>
          <w:color w:val="1E1E1E"/>
          <w:sz w:val="24"/>
          <w:szCs w:val="24"/>
        </w:rPr>
        <w:t xml:space="preserve">control </w:t>
      </w:r>
      <w:r w:rsidR="00247F65">
        <w:rPr>
          <w:rFonts w:ascii="Times New Roman" w:eastAsia="Times New Roman" w:hAnsi="Times New Roman" w:cs="Times New Roman"/>
          <w:color w:val="1E1E1E"/>
          <w:sz w:val="24"/>
          <w:szCs w:val="24"/>
        </w:rPr>
        <w:t>system</w:t>
      </w:r>
      <w:r w:rsidR="006A4E2D">
        <w:rPr>
          <w:rFonts w:ascii="Times New Roman" w:eastAsia="Times New Roman" w:hAnsi="Times New Roman" w:cs="Times New Roman"/>
          <w:color w:val="1E1E1E"/>
          <w:sz w:val="24"/>
          <w:szCs w:val="24"/>
        </w:rPr>
        <w:t xml:space="preserve"> as a result</w:t>
      </w:r>
      <w:r w:rsidR="00247F65">
        <w:rPr>
          <w:rFonts w:ascii="Times New Roman" w:eastAsia="Times New Roman" w:hAnsi="Times New Roman" w:cs="Times New Roman"/>
          <w:color w:val="1E1E1E"/>
          <w:sz w:val="24"/>
          <w:szCs w:val="24"/>
        </w:rPr>
        <w:t>.</w:t>
      </w:r>
    </w:p>
    <w:p w14:paraId="7FD0A5A5" w14:textId="67C18EE9" w:rsidR="00F9632C" w:rsidRDefault="00F9632C" w:rsidP="00F9632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This regulatory guidance and consideration document addresses f</w:t>
      </w:r>
      <w:r w:rsidR="005C4656">
        <w:rPr>
          <w:rFonts w:ascii="Times New Roman" w:eastAsia="Times New Roman" w:hAnsi="Times New Roman" w:cs="Times New Roman"/>
          <w:color w:val="1E1E1E"/>
          <w:sz w:val="24"/>
          <w:szCs w:val="24"/>
        </w:rPr>
        <w:t>ive</w:t>
      </w:r>
      <w:r>
        <w:rPr>
          <w:rFonts w:ascii="Times New Roman" w:eastAsia="Times New Roman" w:hAnsi="Times New Roman" w:cs="Times New Roman"/>
          <w:color w:val="1E1E1E"/>
          <w:sz w:val="24"/>
          <w:szCs w:val="24"/>
        </w:rPr>
        <w:t xml:space="preserve"> elements of the safe harbor in the Model Regulation</w:t>
      </w:r>
      <w:r w:rsidR="00DC047B">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First, to avail </w:t>
      </w:r>
      <w:r w:rsidR="00860D0A">
        <w:rPr>
          <w:rFonts w:ascii="Times New Roman" w:eastAsia="Times New Roman" w:hAnsi="Times New Roman" w:cs="Times New Roman"/>
          <w:color w:val="1E1E1E"/>
          <w:sz w:val="24"/>
          <w:szCs w:val="24"/>
        </w:rPr>
        <w:t xml:space="preserve">itself </w:t>
      </w:r>
      <w:r>
        <w:rPr>
          <w:rFonts w:ascii="Times New Roman" w:eastAsia="Times New Roman" w:hAnsi="Times New Roman" w:cs="Times New Roman"/>
          <w:color w:val="1E1E1E"/>
          <w:sz w:val="24"/>
          <w:szCs w:val="24"/>
        </w:rPr>
        <w:t>of the safe harbor</w:t>
      </w:r>
      <w:r w:rsidR="00860D0A">
        <w:rPr>
          <w:rFonts w:ascii="Times New Roman" w:eastAsia="Times New Roman" w:hAnsi="Times New Roman" w:cs="Times New Roman"/>
          <w:color w:val="1E1E1E"/>
          <w:sz w:val="24"/>
          <w:szCs w:val="24"/>
        </w:rPr>
        <w:t>, and to create a circumstance where an insurance producer may reasonably rely on the safe harbor</w:t>
      </w:r>
      <w:r>
        <w:rPr>
          <w:rFonts w:ascii="Times New Roman" w:eastAsia="Times New Roman" w:hAnsi="Times New Roman" w:cs="Times New Roman"/>
          <w:color w:val="1E1E1E"/>
          <w:sz w:val="24"/>
          <w:szCs w:val="24"/>
        </w:rPr>
        <w:t>, the insurance company must determine that the conditions of the safe harbor have been met.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Second, in each annuity transaction the insurance company must still have “a</w:t>
      </w:r>
      <w:r w:rsidRPr="00FE413C">
        <w:rPr>
          <w:rFonts w:ascii="Times New Roman" w:eastAsia="Times New Roman" w:hAnsi="Times New Roman" w:cs="Times New Roman"/>
          <w:color w:val="1E1E1E"/>
          <w:sz w:val="24"/>
          <w:szCs w:val="24"/>
        </w:rPr>
        <w:t xml:space="preserve"> </w:t>
      </w:r>
      <w:r w:rsidRPr="00B91D6D">
        <w:rPr>
          <w:rFonts w:ascii="Times New Roman" w:eastAsia="Times New Roman" w:hAnsi="Times New Roman" w:cs="Times New Roman"/>
          <w:color w:val="1E1E1E"/>
          <w:sz w:val="24"/>
          <w:szCs w:val="24"/>
        </w:rPr>
        <w:t>reasonable basis to believe the annuity would effectively address the particular consumer’s financial situation, insurance needs and financial objectives based on the consumer’s consumer profile information</w:t>
      </w:r>
      <w:r>
        <w:rPr>
          <w:rFonts w:ascii="Times New Roman" w:eastAsia="Times New Roman" w:hAnsi="Times New Roman" w:cs="Times New Roman"/>
          <w:color w:val="1E1E1E"/>
          <w:sz w:val="24"/>
          <w:szCs w:val="24"/>
        </w:rPr>
        <w:t>,”</w:t>
      </w:r>
      <w:r>
        <w:rPr>
          <w:rStyle w:val="FootnoteReference"/>
          <w:rFonts w:ascii="Times New Roman" w:eastAsia="Times New Roman" w:hAnsi="Times New Roman" w:cs="Times New Roman"/>
          <w:color w:val="1E1E1E"/>
          <w:sz w:val="24"/>
          <w:szCs w:val="24"/>
        </w:rPr>
        <w:footnoteReference w:id="2"/>
      </w:r>
      <w:r>
        <w:rPr>
          <w:rFonts w:ascii="Times New Roman" w:eastAsia="Times New Roman" w:hAnsi="Times New Roman" w:cs="Times New Roman"/>
          <w:color w:val="1E1E1E"/>
          <w:sz w:val="24"/>
          <w:szCs w:val="24"/>
        </w:rPr>
        <w:t xml:space="preserve"> although the </w:t>
      </w:r>
      <w:r>
        <w:rPr>
          <w:rFonts w:ascii="Times New Roman" w:eastAsia="Times New Roman" w:hAnsi="Times New Roman" w:cs="Times New Roman"/>
          <w:color w:val="1E1E1E"/>
          <w:sz w:val="24"/>
          <w:szCs w:val="24"/>
        </w:rPr>
        <w:lastRenderedPageBreak/>
        <w:t>insurer may base its analysis on information received from either the financial professional</w:t>
      </w:r>
      <w:r>
        <w:rPr>
          <w:rStyle w:val="FootnoteReference"/>
          <w:rFonts w:ascii="Times New Roman" w:eastAsia="Times New Roman" w:hAnsi="Times New Roman" w:cs="Times New Roman"/>
          <w:color w:val="1E1E1E"/>
          <w:sz w:val="24"/>
          <w:szCs w:val="24"/>
        </w:rPr>
        <w:footnoteReference w:id="3"/>
      </w:r>
      <w:r>
        <w:rPr>
          <w:rFonts w:ascii="Times New Roman" w:eastAsia="Times New Roman" w:hAnsi="Times New Roman" w:cs="Times New Roman"/>
          <w:color w:val="1E1E1E"/>
          <w:sz w:val="24"/>
          <w:szCs w:val="24"/>
        </w:rPr>
        <w:t xml:space="preserve"> or the entity supervising the financial professional.</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Third, </w:t>
      </w:r>
      <w:r w:rsidR="00746108">
        <w:rPr>
          <w:rFonts w:ascii="Times New Roman" w:eastAsia="Times New Roman" w:hAnsi="Times New Roman" w:cs="Times New Roman"/>
          <w:color w:val="1E1E1E"/>
          <w:sz w:val="24"/>
          <w:szCs w:val="24"/>
        </w:rPr>
        <w:t>for</w:t>
      </w:r>
      <w:r>
        <w:rPr>
          <w:rFonts w:ascii="Times New Roman" w:eastAsia="Times New Roman" w:hAnsi="Times New Roman" w:cs="Times New Roman"/>
          <w:color w:val="1E1E1E"/>
          <w:sz w:val="24"/>
          <w:szCs w:val="24"/>
        </w:rPr>
        <w:t xml:space="preserve"> the safe harbor to apply, an insur</w:t>
      </w:r>
      <w:r w:rsidR="00860D0A">
        <w:rPr>
          <w:rFonts w:ascii="Times New Roman" w:eastAsia="Times New Roman" w:hAnsi="Times New Roman" w:cs="Times New Roman"/>
          <w:color w:val="1E1E1E"/>
          <w:sz w:val="24"/>
          <w:szCs w:val="24"/>
        </w:rPr>
        <w:t>ance company</w:t>
      </w:r>
      <w:r>
        <w:rPr>
          <w:rFonts w:ascii="Times New Roman" w:eastAsia="Times New Roman" w:hAnsi="Times New Roman" w:cs="Times New Roman"/>
          <w:color w:val="1E1E1E"/>
          <w:sz w:val="24"/>
          <w:szCs w:val="24"/>
        </w:rPr>
        <w:t xml:space="preserve"> must “[m]</w:t>
      </w:r>
      <w:r w:rsidRPr="00FE413C">
        <w:rPr>
          <w:rFonts w:ascii="Times New Roman" w:eastAsia="Times New Roman" w:hAnsi="Times New Roman" w:cs="Times New Roman"/>
          <w:color w:val="1E1E1E"/>
          <w:sz w:val="24"/>
          <w:szCs w:val="24"/>
        </w:rPr>
        <w:t>onitor the relevant conduct of the financial professional</w:t>
      </w:r>
      <w:r>
        <w:rPr>
          <w:rFonts w:ascii="Times New Roman" w:eastAsia="Times New Roman" w:hAnsi="Times New Roman" w:cs="Times New Roman"/>
          <w:color w:val="1E1E1E"/>
          <w:sz w:val="24"/>
          <w:szCs w:val="24"/>
        </w:rPr>
        <w:t>. . . or the entity supervising the financial professional.”</w:t>
      </w:r>
      <w:r>
        <w:rPr>
          <w:rStyle w:val="FootnoteReference"/>
          <w:rFonts w:ascii="Times New Roman" w:eastAsia="Times New Roman" w:hAnsi="Times New Roman" w:cs="Times New Roman"/>
          <w:color w:val="1E1E1E"/>
          <w:sz w:val="24"/>
          <w:szCs w:val="24"/>
        </w:rPr>
        <w:footnoteReference w:id="4"/>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Fourth, an insur</w:t>
      </w:r>
      <w:r w:rsidR="00860D0A">
        <w:rPr>
          <w:rFonts w:ascii="Times New Roman" w:eastAsia="Times New Roman" w:hAnsi="Times New Roman" w:cs="Times New Roman"/>
          <w:color w:val="1E1E1E"/>
          <w:sz w:val="24"/>
          <w:szCs w:val="24"/>
        </w:rPr>
        <w:t>ance company</w:t>
      </w:r>
      <w:r>
        <w:rPr>
          <w:rFonts w:ascii="Times New Roman" w:eastAsia="Times New Roman" w:hAnsi="Times New Roman" w:cs="Times New Roman"/>
          <w:color w:val="1E1E1E"/>
          <w:sz w:val="24"/>
          <w:szCs w:val="24"/>
        </w:rPr>
        <w:t xml:space="preserve"> must also “[p]</w:t>
      </w:r>
      <w:r w:rsidRPr="00FE413C">
        <w:rPr>
          <w:rFonts w:ascii="Times New Roman" w:eastAsia="Times New Roman" w:hAnsi="Times New Roman" w:cs="Times New Roman"/>
          <w:color w:val="1E1E1E"/>
          <w:sz w:val="24"/>
          <w:szCs w:val="24"/>
        </w:rPr>
        <w:t xml:space="preserve">rovide to the entity responsible for supervising the financial professional </w:t>
      </w:r>
      <w:r>
        <w:rPr>
          <w:rFonts w:ascii="Times New Roman" w:eastAsia="Times New Roman" w:hAnsi="Times New Roman" w:cs="Times New Roman"/>
          <w:color w:val="1E1E1E"/>
          <w:sz w:val="24"/>
          <w:szCs w:val="24"/>
        </w:rPr>
        <w:t>. . .</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i</w:t>
      </w:r>
      <w:r w:rsidRPr="00FE413C">
        <w:rPr>
          <w:rFonts w:ascii="Times New Roman" w:eastAsia="Times New Roman" w:hAnsi="Times New Roman" w:cs="Times New Roman"/>
          <w:color w:val="1E1E1E"/>
          <w:sz w:val="24"/>
          <w:szCs w:val="24"/>
        </w:rPr>
        <w:t>nformation and reports that are reasonably appropriate to assist such entity to maintain its supervision system.</w:t>
      </w:r>
      <w:r>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5C4656">
        <w:rPr>
          <w:rFonts w:ascii="Times New Roman" w:eastAsia="Times New Roman" w:hAnsi="Times New Roman" w:cs="Times New Roman"/>
          <w:color w:val="1E1E1E"/>
          <w:sz w:val="24"/>
          <w:szCs w:val="24"/>
        </w:rPr>
        <w:t>Finally, an insurance company must distinguish between its obligations under the safe harbor from the situation where it has contracted with a third party for supervision.</w:t>
      </w:r>
    </w:p>
    <w:p w14:paraId="3F339139" w14:textId="1E812C71" w:rsidR="000E67E9" w:rsidRPr="000E67E9" w:rsidRDefault="00F97D26" w:rsidP="00FE413C">
      <w:pPr>
        <w:shd w:val="clear" w:color="auto" w:fill="FFFFFF"/>
        <w:spacing w:after="100" w:afterAutospacing="1" w:line="360" w:lineRule="atLeast"/>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Requirements of the Safe Harbor</w:t>
      </w:r>
    </w:p>
    <w:p w14:paraId="5269A2EC" w14:textId="7A1DEBB0" w:rsidR="007C3FC5" w:rsidRDefault="00247F65"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One of the most common situations</w:t>
      </w:r>
      <w:r w:rsidR="00860D0A">
        <w:rPr>
          <w:rFonts w:ascii="Times New Roman" w:eastAsia="Times New Roman" w:hAnsi="Times New Roman" w:cs="Times New Roman"/>
          <w:color w:val="1E1E1E"/>
          <w:sz w:val="24"/>
          <w:szCs w:val="24"/>
        </w:rPr>
        <w:t xml:space="preserve"> that will generate the use of the safe harbor</w:t>
      </w:r>
      <w:r>
        <w:rPr>
          <w:rFonts w:ascii="Times New Roman" w:eastAsia="Times New Roman" w:hAnsi="Times New Roman" w:cs="Times New Roman"/>
          <w:color w:val="1E1E1E"/>
          <w:sz w:val="24"/>
          <w:szCs w:val="24"/>
        </w:rPr>
        <w:t xml:space="preserve"> is the licensed insurance producer who is also registered as a securities agent and</w:t>
      </w:r>
      <w:r w:rsidR="00860D0A">
        <w:rPr>
          <w:rFonts w:ascii="Times New Roman" w:eastAsia="Times New Roman" w:hAnsi="Times New Roman" w:cs="Times New Roman"/>
          <w:color w:val="1E1E1E"/>
          <w:sz w:val="24"/>
          <w:szCs w:val="24"/>
        </w:rPr>
        <w:t xml:space="preserve"> is</w:t>
      </w:r>
      <w:r>
        <w:rPr>
          <w:rFonts w:ascii="Times New Roman" w:eastAsia="Times New Roman" w:hAnsi="Times New Roman" w:cs="Times New Roman"/>
          <w:color w:val="1E1E1E"/>
          <w:sz w:val="24"/>
          <w:szCs w:val="24"/>
        </w:rPr>
        <w:t xml:space="preserve"> subject to </w:t>
      </w:r>
      <w:r w:rsidR="00860D0A">
        <w:rPr>
          <w:rFonts w:ascii="Times New Roman" w:eastAsia="Times New Roman" w:hAnsi="Times New Roman" w:cs="Times New Roman"/>
          <w:color w:val="1E1E1E"/>
          <w:sz w:val="24"/>
          <w:szCs w:val="24"/>
        </w:rPr>
        <w:t xml:space="preserve">the </w:t>
      </w:r>
      <w:r>
        <w:rPr>
          <w:rFonts w:ascii="Times New Roman" w:eastAsia="Times New Roman" w:hAnsi="Times New Roman" w:cs="Times New Roman"/>
          <w:color w:val="1E1E1E"/>
          <w:sz w:val="24"/>
          <w:szCs w:val="24"/>
        </w:rPr>
        <w:t xml:space="preserve">supervisory </w:t>
      </w:r>
      <w:r w:rsidR="00860D0A">
        <w:rPr>
          <w:rFonts w:ascii="Times New Roman" w:eastAsia="Times New Roman" w:hAnsi="Times New Roman" w:cs="Times New Roman"/>
          <w:color w:val="1E1E1E"/>
          <w:sz w:val="24"/>
          <w:szCs w:val="24"/>
        </w:rPr>
        <w:t xml:space="preserve">control </w:t>
      </w:r>
      <w:r>
        <w:rPr>
          <w:rFonts w:ascii="Times New Roman" w:eastAsia="Times New Roman" w:hAnsi="Times New Roman" w:cs="Times New Roman"/>
          <w:color w:val="1E1E1E"/>
          <w:sz w:val="24"/>
          <w:szCs w:val="24"/>
        </w:rPr>
        <w:t xml:space="preserve">system of a </w:t>
      </w:r>
      <w:r w:rsidR="000E67E9">
        <w:rPr>
          <w:rFonts w:ascii="Times New Roman" w:eastAsia="Times New Roman" w:hAnsi="Times New Roman" w:cs="Times New Roman"/>
          <w:color w:val="1E1E1E"/>
          <w:sz w:val="24"/>
          <w:szCs w:val="24"/>
        </w:rPr>
        <w:t xml:space="preserve">registered </w:t>
      </w:r>
      <w:r>
        <w:rPr>
          <w:rFonts w:ascii="Times New Roman" w:eastAsia="Times New Roman" w:hAnsi="Times New Roman" w:cs="Times New Roman"/>
          <w:color w:val="1E1E1E"/>
          <w:sz w:val="24"/>
          <w:szCs w:val="24"/>
        </w:rPr>
        <w:t>securities broker-dealer.</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P</w:t>
      </w:r>
      <w:r w:rsidR="00FE413C">
        <w:rPr>
          <w:rFonts w:ascii="Times New Roman" w:eastAsia="Times New Roman" w:hAnsi="Times New Roman" w:cs="Times New Roman"/>
          <w:color w:val="1E1E1E"/>
          <w:sz w:val="24"/>
          <w:szCs w:val="24"/>
        </w:rPr>
        <w:t>ursuant to the safe harbor, r</w:t>
      </w:r>
      <w:r w:rsidR="00FE413C" w:rsidRPr="00FE413C">
        <w:rPr>
          <w:rFonts w:ascii="Times New Roman" w:eastAsia="Times New Roman" w:hAnsi="Times New Roman" w:cs="Times New Roman"/>
          <w:color w:val="1E1E1E"/>
          <w:sz w:val="24"/>
          <w:szCs w:val="24"/>
        </w:rPr>
        <w:t xml:space="preserve">ecommendations and sales of annuities made in compliance with </w:t>
      </w:r>
      <w:r w:rsidR="009E1B75">
        <w:rPr>
          <w:rFonts w:ascii="Times New Roman" w:eastAsia="Times New Roman" w:hAnsi="Times New Roman" w:cs="Times New Roman"/>
          <w:color w:val="1E1E1E"/>
          <w:sz w:val="24"/>
          <w:szCs w:val="24"/>
        </w:rPr>
        <w:t xml:space="preserve">business rules, controls and procedures that would satisfy </w:t>
      </w:r>
      <w:r w:rsidR="00FE413C" w:rsidRPr="00FE413C">
        <w:rPr>
          <w:rFonts w:ascii="Times New Roman" w:eastAsia="Times New Roman" w:hAnsi="Times New Roman" w:cs="Times New Roman"/>
          <w:color w:val="1E1E1E"/>
          <w:sz w:val="24"/>
          <w:szCs w:val="24"/>
        </w:rPr>
        <w:t>comparable standards</w:t>
      </w:r>
      <w:r w:rsidR="00FE413C">
        <w:rPr>
          <w:rStyle w:val="FootnoteReference"/>
          <w:rFonts w:ascii="Times New Roman" w:eastAsia="Times New Roman" w:hAnsi="Times New Roman" w:cs="Times New Roman"/>
          <w:color w:val="1E1E1E"/>
          <w:sz w:val="24"/>
          <w:szCs w:val="24"/>
        </w:rPr>
        <w:footnoteReference w:id="5"/>
      </w:r>
      <w:r w:rsidR="00FE413C">
        <w:rPr>
          <w:rFonts w:ascii="Times New Roman" w:eastAsia="Times New Roman" w:hAnsi="Times New Roman" w:cs="Times New Roman"/>
          <w:color w:val="1E1E1E"/>
          <w:sz w:val="24"/>
          <w:szCs w:val="24"/>
        </w:rPr>
        <w:t xml:space="preserve"> </w:t>
      </w:r>
      <w:r w:rsidR="00415A17">
        <w:rPr>
          <w:rFonts w:ascii="Times New Roman" w:eastAsia="Times New Roman" w:hAnsi="Times New Roman" w:cs="Times New Roman"/>
          <w:color w:val="1E1E1E"/>
          <w:sz w:val="24"/>
          <w:szCs w:val="24"/>
        </w:rPr>
        <w:t>are deemed to be complian</w:t>
      </w:r>
      <w:r w:rsidR="00BC0A00">
        <w:rPr>
          <w:rFonts w:ascii="Times New Roman" w:eastAsia="Times New Roman" w:hAnsi="Times New Roman" w:cs="Times New Roman"/>
          <w:color w:val="1E1E1E"/>
          <w:sz w:val="24"/>
          <w:szCs w:val="24"/>
        </w:rPr>
        <w:t>t</w:t>
      </w:r>
      <w:r w:rsidR="00415A17">
        <w:rPr>
          <w:rFonts w:ascii="Times New Roman" w:eastAsia="Times New Roman" w:hAnsi="Times New Roman" w:cs="Times New Roman"/>
          <w:color w:val="1E1E1E"/>
          <w:sz w:val="24"/>
          <w:szCs w:val="24"/>
        </w:rPr>
        <w:t xml:space="preserve"> with </w:t>
      </w:r>
      <w:r w:rsidR="00FE413C" w:rsidRPr="00FE413C">
        <w:rPr>
          <w:rFonts w:ascii="Times New Roman" w:eastAsia="Times New Roman" w:hAnsi="Times New Roman" w:cs="Times New Roman"/>
          <w:color w:val="1E1E1E"/>
          <w:sz w:val="24"/>
          <w:szCs w:val="24"/>
        </w:rPr>
        <w:t>the requirements under th</w:t>
      </w:r>
      <w:r w:rsidR="003078BC">
        <w:rPr>
          <w:rFonts w:ascii="Times New Roman" w:eastAsia="Times New Roman" w:hAnsi="Times New Roman" w:cs="Times New Roman"/>
          <w:color w:val="1E1E1E"/>
          <w:sz w:val="24"/>
          <w:szCs w:val="24"/>
        </w:rPr>
        <w:t>e</w:t>
      </w:r>
      <w:r w:rsidR="00FE413C" w:rsidRPr="00FE413C">
        <w:rPr>
          <w:rFonts w:ascii="Times New Roman" w:eastAsia="Times New Roman" w:hAnsi="Times New Roman" w:cs="Times New Roman"/>
          <w:color w:val="1E1E1E"/>
          <w:sz w:val="24"/>
          <w:szCs w:val="24"/>
        </w:rPr>
        <w:t xml:space="preserve"> </w:t>
      </w:r>
      <w:r w:rsidR="003078BC">
        <w:rPr>
          <w:rFonts w:ascii="Times New Roman" w:eastAsia="Times New Roman" w:hAnsi="Times New Roman" w:cs="Times New Roman"/>
          <w:color w:val="1E1E1E"/>
          <w:sz w:val="24"/>
          <w:szCs w:val="24"/>
        </w:rPr>
        <w:t>Model R</w:t>
      </w:r>
      <w:r w:rsidR="00FE413C" w:rsidRPr="00FE413C">
        <w:rPr>
          <w:rFonts w:ascii="Times New Roman" w:eastAsia="Times New Roman" w:hAnsi="Times New Roman" w:cs="Times New Roman"/>
          <w:color w:val="1E1E1E"/>
          <w:sz w:val="24"/>
          <w:szCs w:val="24"/>
        </w:rPr>
        <w:t>egulation</w:t>
      </w:r>
      <w:r w:rsidR="00ED6275" w:rsidRPr="00FE413C">
        <w:rPr>
          <w:rFonts w:ascii="Times New Roman" w:eastAsia="Times New Roman" w:hAnsi="Times New Roman" w:cs="Times New Roman"/>
          <w:color w:val="1E1E1E"/>
          <w:sz w:val="24"/>
          <w:szCs w:val="24"/>
        </w:rPr>
        <w:t>.</w:t>
      </w:r>
      <w:r w:rsidR="00ED6275">
        <w:rPr>
          <w:rFonts w:ascii="Times New Roman" w:eastAsia="Times New Roman" w:hAnsi="Times New Roman" w:cs="Times New Roman"/>
          <w:color w:val="1E1E1E"/>
          <w:sz w:val="24"/>
          <w:szCs w:val="24"/>
        </w:rPr>
        <w:t xml:space="preserve"> </w:t>
      </w:r>
      <w:r w:rsidR="007D193A">
        <w:rPr>
          <w:rFonts w:ascii="Times New Roman" w:eastAsia="Times New Roman" w:hAnsi="Times New Roman" w:cs="Times New Roman"/>
          <w:color w:val="1E1E1E"/>
          <w:sz w:val="24"/>
          <w:szCs w:val="24"/>
        </w:rPr>
        <w:t xml:space="preserve">As an example, </w:t>
      </w:r>
      <w:r w:rsidR="000A4E6C">
        <w:rPr>
          <w:rFonts w:ascii="Times New Roman" w:eastAsia="Times New Roman" w:hAnsi="Times New Roman" w:cs="Times New Roman"/>
          <w:color w:val="1E1E1E"/>
          <w:sz w:val="24"/>
          <w:szCs w:val="24"/>
        </w:rPr>
        <w:t xml:space="preserve">a financial professional recommending </w:t>
      </w:r>
      <w:r>
        <w:rPr>
          <w:rFonts w:ascii="Times New Roman" w:eastAsia="Times New Roman" w:hAnsi="Times New Roman" w:cs="Times New Roman"/>
          <w:color w:val="1E1E1E"/>
          <w:sz w:val="24"/>
          <w:szCs w:val="24"/>
        </w:rPr>
        <w:t>a variable annuity</w:t>
      </w:r>
      <w:r w:rsidR="007D193A">
        <w:rPr>
          <w:rFonts w:ascii="Times New Roman" w:eastAsia="Times New Roman" w:hAnsi="Times New Roman" w:cs="Times New Roman"/>
          <w:color w:val="1E1E1E"/>
          <w:sz w:val="24"/>
          <w:szCs w:val="24"/>
        </w:rPr>
        <w:t xml:space="preserve"> registered with the United States Securities and Exchange Commission</w:t>
      </w:r>
      <w:r w:rsidR="000E67E9">
        <w:rPr>
          <w:rFonts w:ascii="Times New Roman" w:eastAsia="Times New Roman" w:hAnsi="Times New Roman" w:cs="Times New Roman"/>
          <w:color w:val="1E1E1E"/>
          <w:sz w:val="24"/>
          <w:szCs w:val="24"/>
        </w:rPr>
        <w:t xml:space="preserve"> (the “SEC”) </w:t>
      </w:r>
      <w:r>
        <w:rPr>
          <w:rFonts w:ascii="Times New Roman" w:eastAsia="Times New Roman" w:hAnsi="Times New Roman" w:cs="Times New Roman"/>
          <w:color w:val="1E1E1E"/>
          <w:sz w:val="24"/>
          <w:szCs w:val="24"/>
        </w:rPr>
        <w:t xml:space="preserve">under the safe harbor </w:t>
      </w:r>
      <w:r w:rsidR="007D193A">
        <w:rPr>
          <w:rFonts w:ascii="Times New Roman" w:eastAsia="Times New Roman" w:hAnsi="Times New Roman" w:cs="Times New Roman"/>
          <w:color w:val="1E1E1E"/>
          <w:sz w:val="24"/>
          <w:szCs w:val="24"/>
        </w:rPr>
        <w:t>is</w:t>
      </w:r>
      <w:r>
        <w:rPr>
          <w:rFonts w:ascii="Times New Roman" w:eastAsia="Times New Roman" w:hAnsi="Times New Roman" w:cs="Times New Roman"/>
          <w:color w:val="1E1E1E"/>
          <w:sz w:val="24"/>
          <w:szCs w:val="24"/>
        </w:rPr>
        <w:t xml:space="preserve"> deemed to </w:t>
      </w:r>
      <w:r w:rsidR="007D193A">
        <w:rPr>
          <w:rFonts w:ascii="Times New Roman" w:eastAsia="Times New Roman" w:hAnsi="Times New Roman" w:cs="Times New Roman"/>
          <w:color w:val="1E1E1E"/>
          <w:sz w:val="24"/>
          <w:szCs w:val="24"/>
        </w:rPr>
        <w:t>comply with</w:t>
      </w:r>
      <w:r>
        <w:rPr>
          <w:rFonts w:ascii="Times New Roman" w:eastAsia="Times New Roman" w:hAnsi="Times New Roman" w:cs="Times New Roman"/>
          <w:color w:val="1E1E1E"/>
          <w:sz w:val="24"/>
          <w:szCs w:val="24"/>
        </w:rPr>
        <w:t xml:space="preserve"> the Model Regulation if </w:t>
      </w:r>
      <w:r w:rsidR="000E67E9">
        <w:rPr>
          <w:rFonts w:ascii="Times New Roman" w:eastAsia="Times New Roman" w:hAnsi="Times New Roman" w:cs="Times New Roman"/>
          <w:color w:val="1E1E1E"/>
          <w:sz w:val="24"/>
          <w:szCs w:val="24"/>
        </w:rPr>
        <w:t>the securities agent’s</w:t>
      </w:r>
      <w:r w:rsidR="007D193A">
        <w:rPr>
          <w:rFonts w:ascii="Times New Roman" w:eastAsia="Times New Roman" w:hAnsi="Times New Roman" w:cs="Times New Roman"/>
          <w:color w:val="1E1E1E"/>
          <w:sz w:val="24"/>
          <w:szCs w:val="24"/>
        </w:rPr>
        <w:t xml:space="preserve"> broker-dealer has established “business rules, controls and procedures”</w:t>
      </w:r>
      <w:r w:rsidR="000A4E6C">
        <w:rPr>
          <w:rFonts w:ascii="Times New Roman" w:eastAsia="Times New Roman" w:hAnsi="Times New Roman" w:cs="Times New Roman"/>
          <w:color w:val="1E1E1E"/>
          <w:sz w:val="24"/>
          <w:szCs w:val="24"/>
        </w:rPr>
        <w:t xml:space="preserve"> </w:t>
      </w:r>
      <w:r w:rsidR="000A4E6C">
        <w:rPr>
          <w:rFonts w:ascii="Times New Roman" w:eastAsia="Times New Roman" w:hAnsi="Times New Roman" w:cs="Times New Roman"/>
          <w:color w:val="1E1E1E"/>
          <w:sz w:val="24"/>
          <w:szCs w:val="24"/>
        </w:rPr>
        <w:lastRenderedPageBreak/>
        <w:t>or a</w:t>
      </w:r>
      <w:r w:rsidR="007D193A">
        <w:rPr>
          <w:rFonts w:ascii="Times New Roman" w:eastAsia="Times New Roman" w:hAnsi="Times New Roman" w:cs="Times New Roman"/>
          <w:color w:val="1E1E1E"/>
          <w:sz w:val="24"/>
          <w:szCs w:val="24"/>
        </w:rPr>
        <w:t xml:space="preserve"> supervisory control system</w:t>
      </w:r>
      <w:r w:rsidR="000A4E6C">
        <w:rPr>
          <w:rFonts w:ascii="Times New Roman" w:eastAsia="Times New Roman" w:hAnsi="Times New Roman" w:cs="Times New Roman"/>
          <w:color w:val="1E1E1E"/>
          <w:sz w:val="24"/>
          <w:szCs w:val="24"/>
        </w:rPr>
        <w:t xml:space="preserve"> </w:t>
      </w:r>
      <w:r w:rsidR="007D193A">
        <w:rPr>
          <w:rFonts w:ascii="Times New Roman" w:eastAsia="Times New Roman" w:hAnsi="Times New Roman" w:cs="Times New Roman"/>
          <w:color w:val="1E1E1E"/>
          <w:sz w:val="24"/>
          <w:szCs w:val="24"/>
        </w:rPr>
        <w:t>pursuant to FINRA Rule</w:t>
      </w:r>
      <w:r w:rsidR="00F97D26">
        <w:rPr>
          <w:rFonts w:ascii="Times New Roman" w:eastAsia="Times New Roman" w:hAnsi="Times New Roman" w:cs="Times New Roman"/>
          <w:color w:val="1E1E1E"/>
          <w:sz w:val="24"/>
          <w:szCs w:val="24"/>
        </w:rPr>
        <w:t>s</w:t>
      </w:r>
      <w:r w:rsidR="007D193A">
        <w:rPr>
          <w:rFonts w:ascii="Times New Roman" w:eastAsia="Times New Roman" w:hAnsi="Times New Roman" w:cs="Times New Roman"/>
          <w:color w:val="1E1E1E"/>
          <w:sz w:val="24"/>
          <w:szCs w:val="24"/>
        </w:rPr>
        <w:t xml:space="preserve"> 3110</w:t>
      </w:r>
      <w:r w:rsidR="00F97D26">
        <w:rPr>
          <w:rFonts w:ascii="Times New Roman" w:eastAsia="Times New Roman" w:hAnsi="Times New Roman" w:cs="Times New Roman"/>
          <w:color w:val="1E1E1E"/>
          <w:sz w:val="24"/>
          <w:szCs w:val="24"/>
        </w:rPr>
        <w:t>, 3120 and 3130</w:t>
      </w:r>
      <w:r w:rsidR="007D193A">
        <w:rPr>
          <w:rStyle w:val="FootnoteReference"/>
          <w:rFonts w:ascii="Times New Roman" w:eastAsia="Times New Roman" w:hAnsi="Times New Roman" w:cs="Times New Roman"/>
          <w:color w:val="1E1E1E"/>
          <w:sz w:val="24"/>
          <w:szCs w:val="24"/>
        </w:rPr>
        <w:footnoteReference w:id="6"/>
      </w:r>
      <w:r w:rsidR="007D193A">
        <w:rPr>
          <w:rFonts w:ascii="Times New Roman" w:eastAsia="Times New Roman" w:hAnsi="Times New Roman" w:cs="Times New Roman"/>
          <w:color w:val="1E1E1E"/>
          <w:sz w:val="24"/>
          <w:szCs w:val="24"/>
        </w:rPr>
        <w:t xml:space="preserve"> that </w:t>
      </w:r>
      <w:r w:rsidR="000A4E6C">
        <w:rPr>
          <w:rFonts w:ascii="Times New Roman" w:eastAsia="Times New Roman" w:hAnsi="Times New Roman" w:cs="Times New Roman"/>
          <w:color w:val="1E1E1E"/>
          <w:sz w:val="24"/>
          <w:szCs w:val="24"/>
        </w:rPr>
        <w:t xml:space="preserve">(1) </w:t>
      </w:r>
      <w:r w:rsidR="000E67E9">
        <w:rPr>
          <w:rFonts w:ascii="Times New Roman" w:eastAsia="Times New Roman" w:hAnsi="Times New Roman" w:cs="Times New Roman"/>
          <w:color w:val="1E1E1E"/>
          <w:sz w:val="24"/>
          <w:szCs w:val="24"/>
        </w:rPr>
        <w:t>govern the</w:t>
      </w:r>
      <w:r w:rsidR="000A4E6C">
        <w:rPr>
          <w:rFonts w:ascii="Times New Roman" w:eastAsia="Times New Roman" w:hAnsi="Times New Roman" w:cs="Times New Roman"/>
          <w:color w:val="1E1E1E"/>
          <w:sz w:val="24"/>
          <w:szCs w:val="24"/>
        </w:rPr>
        <w:t xml:space="preserve"> </w:t>
      </w:r>
      <w:r w:rsidR="000E67E9">
        <w:rPr>
          <w:rFonts w:ascii="Times New Roman" w:eastAsia="Times New Roman" w:hAnsi="Times New Roman" w:cs="Times New Roman"/>
          <w:color w:val="1E1E1E"/>
          <w:sz w:val="24"/>
          <w:szCs w:val="24"/>
        </w:rPr>
        <w:t>appropriate recommendation of a</w:t>
      </w:r>
      <w:r w:rsidR="000A4E6C">
        <w:rPr>
          <w:rFonts w:ascii="Times New Roman" w:eastAsia="Times New Roman" w:hAnsi="Times New Roman" w:cs="Times New Roman"/>
          <w:color w:val="1E1E1E"/>
          <w:sz w:val="24"/>
          <w:szCs w:val="24"/>
        </w:rPr>
        <w:t>n</w:t>
      </w:r>
      <w:r w:rsidR="000E67E9">
        <w:rPr>
          <w:rFonts w:ascii="Times New Roman" w:eastAsia="Times New Roman" w:hAnsi="Times New Roman" w:cs="Times New Roman"/>
          <w:color w:val="1E1E1E"/>
          <w:sz w:val="24"/>
          <w:szCs w:val="24"/>
        </w:rPr>
        <w:t xml:space="preserve"> SEC registered variable annuity and </w:t>
      </w:r>
      <w:r w:rsidR="000A4E6C">
        <w:rPr>
          <w:rFonts w:ascii="Times New Roman" w:eastAsia="Times New Roman" w:hAnsi="Times New Roman" w:cs="Times New Roman"/>
          <w:color w:val="1E1E1E"/>
          <w:sz w:val="24"/>
          <w:szCs w:val="24"/>
        </w:rPr>
        <w:t xml:space="preserve">(2) </w:t>
      </w:r>
      <w:r w:rsidR="000E67E9">
        <w:rPr>
          <w:rFonts w:ascii="Times New Roman" w:eastAsia="Times New Roman" w:hAnsi="Times New Roman" w:cs="Times New Roman"/>
          <w:color w:val="1E1E1E"/>
          <w:sz w:val="24"/>
          <w:szCs w:val="24"/>
        </w:rPr>
        <w:t xml:space="preserve">that </w:t>
      </w:r>
      <w:r w:rsidR="000A4E6C">
        <w:rPr>
          <w:rFonts w:ascii="Times New Roman" w:eastAsia="Times New Roman" w:hAnsi="Times New Roman" w:cs="Times New Roman"/>
          <w:color w:val="1E1E1E"/>
          <w:sz w:val="24"/>
          <w:szCs w:val="24"/>
        </w:rPr>
        <w:t>satisfies</w:t>
      </w:r>
      <w:r w:rsidR="000E67E9">
        <w:rPr>
          <w:rFonts w:ascii="Times New Roman" w:eastAsia="Times New Roman" w:hAnsi="Times New Roman" w:cs="Times New Roman"/>
          <w:color w:val="1E1E1E"/>
          <w:sz w:val="24"/>
          <w:szCs w:val="24"/>
        </w:rPr>
        <w:t xml:space="preserve"> the SEC’s Regulation Best Interest</w:t>
      </w:r>
      <w:r w:rsidR="004F51ED">
        <w:rPr>
          <w:rFonts w:ascii="Times New Roman" w:eastAsia="Times New Roman" w:hAnsi="Times New Roman" w:cs="Times New Roman"/>
          <w:color w:val="1E1E1E"/>
          <w:sz w:val="24"/>
          <w:szCs w:val="24"/>
        </w:rPr>
        <w:t xml:space="preserve"> (“Reg B</w:t>
      </w:r>
      <w:r w:rsidR="000A4E6C">
        <w:rPr>
          <w:rFonts w:ascii="Times New Roman" w:eastAsia="Times New Roman" w:hAnsi="Times New Roman" w:cs="Times New Roman"/>
          <w:color w:val="1E1E1E"/>
          <w:sz w:val="24"/>
          <w:szCs w:val="24"/>
        </w:rPr>
        <w:t>I</w:t>
      </w:r>
      <w:r w:rsidR="004F51ED">
        <w:rPr>
          <w:rFonts w:ascii="Times New Roman" w:eastAsia="Times New Roman" w:hAnsi="Times New Roman" w:cs="Times New Roman"/>
          <w:color w:val="1E1E1E"/>
          <w:sz w:val="24"/>
          <w:szCs w:val="24"/>
        </w:rPr>
        <w:t>”)</w:t>
      </w:r>
      <w:r w:rsidR="000E67E9">
        <w:rPr>
          <w:rFonts w:ascii="Times New Roman" w:eastAsia="Times New Roman" w:hAnsi="Times New Roman" w:cs="Times New Roman"/>
          <w:color w:val="1E1E1E"/>
          <w:sz w:val="24"/>
          <w:szCs w:val="24"/>
        </w:rPr>
        <w:t>.</w:t>
      </w:r>
      <w:r w:rsidR="004F51ED">
        <w:rPr>
          <w:rStyle w:val="FootnoteReference"/>
          <w:rFonts w:ascii="Times New Roman" w:eastAsia="Times New Roman" w:hAnsi="Times New Roman" w:cs="Times New Roman"/>
          <w:color w:val="1E1E1E"/>
          <w:sz w:val="24"/>
          <w:szCs w:val="24"/>
        </w:rPr>
        <w:footnoteReference w:id="7"/>
      </w:r>
    </w:p>
    <w:p w14:paraId="5E3C5C87" w14:textId="74AF5BD4" w:rsidR="00B91D6D" w:rsidRDefault="00B91D6D"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Ma</w:t>
      </w:r>
      <w:r w:rsidR="003078BC">
        <w:rPr>
          <w:rFonts w:ascii="Times New Roman" w:eastAsia="Times New Roman" w:hAnsi="Times New Roman" w:cs="Times New Roman"/>
          <w:color w:val="1E1E1E"/>
          <w:sz w:val="24"/>
          <w:szCs w:val="24"/>
        </w:rPr>
        <w:t>king a recommendation</w:t>
      </w:r>
      <w:r>
        <w:rPr>
          <w:rFonts w:ascii="Times New Roman" w:eastAsia="Times New Roman" w:hAnsi="Times New Roman" w:cs="Times New Roman"/>
          <w:color w:val="1E1E1E"/>
          <w:sz w:val="24"/>
          <w:szCs w:val="24"/>
        </w:rPr>
        <w:t xml:space="preserve"> in compliance with comparable standards means in compliance with the “</w:t>
      </w:r>
      <w:r w:rsidR="00FE413C" w:rsidRPr="00FE413C">
        <w:rPr>
          <w:rFonts w:ascii="Times New Roman" w:eastAsia="Times New Roman" w:hAnsi="Times New Roman" w:cs="Times New Roman"/>
          <w:color w:val="1E1E1E"/>
          <w:sz w:val="24"/>
          <w:szCs w:val="24"/>
        </w:rPr>
        <w:t>business rules, controls and procedures that satisfy a comparable standard</w:t>
      </w:r>
      <w:r w:rsidR="00860D0A">
        <w:rPr>
          <w:rFonts w:ascii="Times New Roman" w:eastAsia="Times New Roman" w:hAnsi="Times New Roman" w:cs="Times New Roman"/>
          <w:color w:val="1E1E1E"/>
          <w:sz w:val="24"/>
          <w:szCs w:val="24"/>
        </w:rPr>
        <w:t>…</w:t>
      </w:r>
      <w:r w:rsidR="003078BC">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247F65">
        <w:rPr>
          <w:rFonts w:ascii="Times New Roman" w:eastAsia="Times New Roman" w:hAnsi="Times New Roman" w:cs="Times New Roman"/>
          <w:color w:val="1E1E1E"/>
          <w:sz w:val="24"/>
          <w:szCs w:val="24"/>
        </w:rPr>
        <w:t xml:space="preserve">To avail </w:t>
      </w:r>
      <w:r w:rsidR="000A4E6C">
        <w:rPr>
          <w:rFonts w:ascii="Times New Roman" w:eastAsia="Times New Roman" w:hAnsi="Times New Roman" w:cs="Times New Roman"/>
          <w:color w:val="1E1E1E"/>
          <w:sz w:val="24"/>
          <w:szCs w:val="24"/>
        </w:rPr>
        <w:t>itself</w:t>
      </w:r>
      <w:r w:rsidR="00247F65">
        <w:rPr>
          <w:rFonts w:ascii="Times New Roman" w:eastAsia="Times New Roman" w:hAnsi="Times New Roman" w:cs="Times New Roman"/>
          <w:color w:val="1E1E1E"/>
          <w:sz w:val="24"/>
          <w:szCs w:val="24"/>
        </w:rPr>
        <w:t xml:space="preserve"> of the safe harbor, the</w:t>
      </w:r>
      <w:r w:rsidR="00640FAD">
        <w:rPr>
          <w:rFonts w:ascii="Times New Roman" w:eastAsia="Times New Roman" w:hAnsi="Times New Roman" w:cs="Times New Roman"/>
          <w:color w:val="1E1E1E"/>
          <w:sz w:val="24"/>
          <w:szCs w:val="24"/>
        </w:rPr>
        <w:t xml:space="preserve"> insurance company </w:t>
      </w:r>
      <w:r w:rsidR="00CA56A6">
        <w:rPr>
          <w:rFonts w:ascii="Times New Roman" w:eastAsia="Times New Roman" w:hAnsi="Times New Roman" w:cs="Times New Roman"/>
          <w:color w:val="1E1E1E"/>
          <w:sz w:val="24"/>
          <w:szCs w:val="24"/>
        </w:rPr>
        <w:t>should review the broker-dealer’s business rules, processes, and procedures that pertain to the firm’s supervisory control system over the registered variable annuities to ensure that they are adequate and that they provide comparable controls as those required under the Model Regulation.</w:t>
      </w:r>
      <w:r w:rsidR="001D4183">
        <w:rPr>
          <w:rFonts w:ascii="Times New Roman" w:eastAsia="Times New Roman" w:hAnsi="Times New Roman" w:cs="Times New Roman"/>
          <w:color w:val="1E1E1E"/>
          <w:sz w:val="24"/>
          <w:szCs w:val="24"/>
        </w:rPr>
        <w:t xml:space="preserve"> </w:t>
      </w:r>
    </w:p>
    <w:p w14:paraId="61088E3A" w14:textId="0DD1923D" w:rsidR="00F97D26" w:rsidRDefault="00CA56A6"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Another common dual license situation involves a licensed insurance</w:t>
      </w:r>
      <w:r w:rsidR="004807E1">
        <w:rPr>
          <w:rFonts w:ascii="Times New Roman" w:eastAsia="Times New Roman" w:hAnsi="Times New Roman" w:cs="Times New Roman"/>
          <w:color w:val="1E1E1E"/>
          <w:sz w:val="24"/>
          <w:szCs w:val="24"/>
        </w:rPr>
        <w:t xml:space="preserve"> agent</w:t>
      </w:r>
      <w:r>
        <w:rPr>
          <w:rFonts w:ascii="Times New Roman" w:eastAsia="Times New Roman" w:hAnsi="Times New Roman" w:cs="Times New Roman"/>
          <w:color w:val="1E1E1E"/>
          <w:sz w:val="24"/>
          <w:szCs w:val="24"/>
        </w:rPr>
        <w:t xml:space="preserve"> who is also registered as an investment adviser representative.</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To avail </w:t>
      </w:r>
      <w:r w:rsidR="0091755D">
        <w:rPr>
          <w:rFonts w:ascii="Times New Roman" w:eastAsia="Times New Roman" w:hAnsi="Times New Roman" w:cs="Times New Roman"/>
          <w:color w:val="1E1E1E"/>
          <w:sz w:val="24"/>
          <w:szCs w:val="24"/>
        </w:rPr>
        <w:t>itself</w:t>
      </w:r>
      <w:r>
        <w:rPr>
          <w:rFonts w:ascii="Times New Roman" w:eastAsia="Times New Roman" w:hAnsi="Times New Roman" w:cs="Times New Roman"/>
          <w:color w:val="1E1E1E"/>
          <w:sz w:val="24"/>
          <w:szCs w:val="24"/>
        </w:rPr>
        <w:t xml:space="preserve"> of the safe harbor in this circumstance in</w:t>
      </w:r>
      <w:r w:rsidR="000E3AC3">
        <w:rPr>
          <w:rFonts w:ascii="Times New Roman" w:eastAsia="Times New Roman" w:hAnsi="Times New Roman" w:cs="Times New Roman"/>
          <w:color w:val="1E1E1E"/>
          <w:sz w:val="24"/>
          <w:szCs w:val="24"/>
        </w:rPr>
        <w:t xml:space="preserve"> a</w:t>
      </w:r>
      <w:r>
        <w:rPr>
          <w:rFonts w:ascii="Times New Roman" w:eastAsia="Times New Roman" w:hAnsi="Times New Roman" w:cs="Times New Roman"/>
          <w:color w:val="1E1E1E"/>
          <w:sz w:val="24"/>
          <w:szCs w:val="24"/>
        </w:rPr>
        <w:t xml:space="preserve"> recommendation involving a SEC registered variable annuity, the insurance company should review the business rules, </w:t>
      </w:r>
      <w:r w:rsidR="001D7CD6">
        <w:rPr>
          <w:rFonts w:ascii="Times New Roman" w:eastAsia="Times New Roman" w:hAnsi="Times New Roman" w:cs="Times New Roman"/>
          <w:color w:val="1E1E1E"/>
          <w:sz w:val="24"/>
          <w:szCs w:val="24"/>
        </w:rPr>
        <w:t>controls,</w:t>
      </w:r>
      <w:r>
        <w:rPr>
          <w:rFonts w:ascii="Times New Roman" w:eastAsia="Times New Roman" w:hAnsi="Times New Roman" w:cs="Times New Roman"/>
          <w:color w:val="1E1E1E"/>
          <w:sz w:val="24"/>
          <w:szCs w:val="24"/>
        </w:rPr>
        <w:t xml:space="preserve"> and procedures of the investment adviser to ensure they are adequate and provide comparable controls as those required under the Model Regulation.</w:t>
      </w:r>
      <w:r w:rsidR="001D4183">
        <w:rPr>
          <w:rFonts w:ascii="Times New Roman" w:eastAsia="Times New Roman" w:hAnsi="Times New Roman" w:cs="Times New Roman"/>
          <w:color w:val="1E1E1E"/>
          <w:sz w:val="24"/>
          <w:szCs w:val="24"/>
        </w:rPr>
        <w:t xml:space="preserve"> </w:t>
      </w:r>
      <w:r w:rsidR="0091755D">
        <w:rPr>
          <w:rFonts w:ascii="Times New Roman" w:eastAsia="Times New Roman" w:hAnsi="Times New Roman" w:cs="Times New Roman"/>
          <w:color w:val="1E1E1E"/>
          <w:sz w:val="24"/>
          <w:szCs w:val="24"/>
        </w:rPr>
        <w:t>T</w:t>
      </w:r>
      <w:r>
        <w:rPr>
          <w:rFonts w:ascii="Times New Roman" w:eastAsia="Times New Roman" w:hAnsi="Times New Roman" w:cs="Times New Roman"/>
          <w:color w:val="1E1E1E"/>
          <w:sz w:val="24"/>
          <w:szCs w:val="24"/>
        </w:rPr>
        <w:t xml:space="preserve">he fact that an investment adviser by law is a fiduciary and carries potential liabilities for breach of those duties </w:t>
      </w:r>
      <w:r w:rsidR="00F97D26">
        <w:rPr>
          <w:rFonts w:ascii="Times New Roman" w:eastAsia="Times New Roman" w:hAnsi="Times New Roman" w:cs="Times New Roman"/>
          <w:color w:val="1E1E1E"/>
          <w:sz w:val="24"/>
          <w:szCs w:val="24"/>
        </w:rPr>
        <w:t>does not</w:t>
      </w:r>
      <w:r w:rsidR="0091755D">
        <w:rPr>
          <w:rFonts w:ascii="Times New Roman" w:eastAsia="Times New Roman" w:hAnsi="Times New Roman" w:cs="Times New Roman"/>
          <w:color w:val="1E1E1E"/>
          <w:sz w:val="24"/>
          <w:szCs w:val="24"/>
        </w:rPr>
        <w:t xml:space="preserve"> in and of itself</w:t>
      </w:r>
      <w:r w:rsidR="00F97D26">
        <w:rPr>
          <w:rFonts w:ascii="Times New Roman" w:eastAsia="Times New Roman" w:hAnsi="Times New Roman" w:cs="Times New Roman"/>
          <w:color w:val="1E1E1E"/>
          <w:sz w:val="24"/>
          <w:szCs w:val="24"/>
        </w:rPr>
        <w:t xml:space="preserve"> meet the requirements of the safe harbor.</w:t>
      </w:r>
      <w:r w:rsidR="001D4183">
        <w:rPr>
          <w:rFonts w:ascii="Times New Roman" w:eastAsia="Times New Roman" w:hAnsi="Times New Roman" w:cs="Times New Roman"/>
          <w:color w:val="1E1E1E"/>
          <w:sz w:val="24"/>
          <w:szCs w:val="24"/>
        </w:rPr>
        <w:t xml:space="preserve"> </w:t>
      </w:r>
      <w:r w:rsidR="00F97D26">
        <w:rPr>
          <w:rFonts w:ascii="Times New Roman" w:eastAsia="Times New Roman" w:hAnsi="Times New Roman" w:cs="Times New Roman"/>
          <w:color w:val="1E1E1E"/>
          <w:sz w:val="24"/>
          <w:szCs w:val="24"/>
        </w:rPr>
        <w:t xml:space="preserve">The investment adviser that is in the contractual relationship with the investment adviser representative must have </w:t>
      </w:r>
      <w:r w:rsidR="004F51ED">
        <w:rPr>
          <w:rFonts w:ascii="Times New Roman" w:eastAsia="Times New Roman" w:hAnsi="Times New Roman" w:cs="Times New Roman"/>
          <w:color w:val="1E1E1E"/>
          <w:sz w:val="24"/>
          <w:szCs w:val="24"/>
        </w:rPr>
        <w:t xml:space="preserve">written </w:t>
      </w:r>
      <w:r w:rsidR="00F97D26">
        <w:rPr>
          <w:rFonts w:ascii="Times New Roman" w:eastAsia="Times New Roman" w:hAnsi="Times New Roman" w:cs="Times New Roman"/>
          <w:color w:val="1E1E1E"/>
          <w:sz w:val="24"/>
          <w:szCs w:val="24"/>
        </w:rPr>
        <w:t xml:space="preserve">business rules, controls and procedures that pertain to recommendations of the registered variable annuity </w:t>
      </w:r>
      <w:r w:rsidR="0091755D">
        <w:rPr>
          <w:rFonts w:ascii="Times New Roman" w:eastAsia="Times New Roman" w:hAnsi="Times New Roman" w:cs="Times New Roman"/>
          <w:color w:val="1E1E1E"/>
          <w:sz w:val="24"/>
          <w:szCs w:val="24"/>
        </w:rPr>
        <w:t xml:space="preserve">that </w:t>
      </w:r>
      <w:r w:rsidR="00F97D26">
        <w:rPr>
          <w:rFonts w:ascii="Times New Roman" w:eastAsia="Times New Roman" w:hAnsi="Times New Roman" w:cs="Times New Roman"/>
          <w:color w:val="1E1E1E"/>
          <w:sz w:val="24"/>
          <w:szCs w:val="24"/>
        </w:rPr>
        <w:t xml:space="preserve">are comparable to the controls that the insurance company would need to directly establish </w:t>
      </w:r>
      <w:r w:rsidR="004F51ED">
        <w:rPr>
          <w:rFonts w:ascii="Times New Roman" w:eastAsia="Times New Roman" w:hAnsi="Times New Roman" w:cs="Times New Roman"/>
          <w:color w:val="1E1E1E"/>
          <w:sz w:val="24"/>
          <w:szCs w:val="24"/>
        </w:rPr>
        <w:t xml:space="preserve">under the Model Regulation </w:t>
      </w:r>
      <w:r w:rsidR="00F97D26">
        <w:rPr>
          <w:rFonts w:ascii="Times New Roman" w:eastAsia="Times New Roman" w:hAnsi="Times New Roman" w:cs="Times New Roman"/>
          <w:color w:val="1E1E1E"/>
          <w:sz w:val="24"/>
          <w:szCs w:val="24"/>
        </w:rPr>
        <w:t>but for the safe harbor.</w:t>
      </w:r>
      <w:r w:rsidR="001D4183">
        <w:rPr>
          <w:rFonts w:ascii="Times New Roman" w:eastAsia="Times New Roman" w:hAnsi="Times New Roman" w:cs="Times New Roman"/>
          <w:color w:val="1E1E1E"/>
          <w:sz w:val="24"/>
          <w:szCs w:val="24"/>
        </w:rPr>
        <w:t xml:space="preserve"> </w:t>
      </w:r>
    </w:p>
    <w:p w14:paraId="398D7142" w14:textId="2D972C3C" w:rsidR="00415A17" w:rsidRDefault="004F51ED"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The safe harbor is also available for recommendations of fixed indexed annuities if the insurance company has been able to determine that the securities broker-dealer or investment adviser has established business rules, controls and procedures that were specifically and expressly designed to apply to fixed indexed annuities. </w:t>
      </w:r>
      <w:r w:rsidR="00860D0A">
        <w:rPr>
          <w:rFonts w:ascii="Times New Roman" w:eastAsia="Times New Roman" w:hAnsi="Times New Roman" w:cs="Times New Roman"/>
          <w:color w:val="1E1E1E"/>
          <w:sz w:val="24"/>
          <w:szCs w:val="24"/>
        </w:rPr>
        <w:t>As stated in the Model Regulation, an insurance company and insurance producer may avail themselves of the comparable standards safe harbor “</w:t>
      </w:r>
      <w:r w:rsidR="00860D0A" w:rsidRPr="009E1B75">
        <w:rPr>
          <w:rFonts w:ascii="Times New Roman" w:eastAsia="Times New Roman" w:hAnsi="Times New Roman" w:cs="Times New Roman"/>
          <w:color w:val="1E1E1E"/>
          <w:sz w:val="24"/>
          <w:szCs w:val="24"/>
        </w:rPr>
        <w:t>even if such standard would not otherwise apply to the product or recommendation at issue.</w:t>
      </w:r>
      <w:r w:rsidR="00860D0A">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Even though Reg</w:t>
      </w:r>
      <w:r w:rsidR="0091755D">
        <w:rPr>
          <w:rFonts w:ascii="Times New Roman" w:eastAsia="Times New Roman" w:hAnsi="Times New Roman" w:cs="Times New Roman"/>
          <w:color w:val="1E1E1E"/>
          <w:sz w:val="24"/>
          <w:szCs w:val="24"/>
        </w:rPr>
        <w:t xml:space="preserve"> BI</w:t>
      </w:r>
      <w:r>
        <w:rPr>
          <w:rFonts w:ascii="Times New Roman" w:eastAsia="Times New Roman" w:hAnsi="Times New Roman" w:cs="Times New Roman"/>
          <w:color w:val="1E1E1E"/>
          <w:sz w:val="24"/>
          <w:szCs w:val="24"/>
        </w:rPr>
        <w:t xml:space="preserve"> does not apply to insurance products, the safe harbor </w:t>
      </w:r>
      <w:r w:rsidR="00A17CAE">
        <w:rPr>
          <w:rFonts w:ascii="Times New Roman" w:eastAsia="Times New Roman" w:hAnsi="Times New Roman" w:cs="Times New Roman"/>
          <w:color w:val="1E1E1E"/>
          <w:sz w:val="24"/>
          <w:szCs w:val="24"/>
        </w:rPr>
        <w:t xml:space="preserve">allows insurance producers </w:t>
      </w:r>
      <w:r w:rsidR="00FB4898">
        <w:rPr>
          <w:rFonts w:ascii="Times New Roman" w:eastAsia="Times New Roman" w:hAnsi="Times New Roman" w:cs="Times New Roman"/>
          <w:color w:val="1E1E1E"/>
          <w:sz w:val="24"/>
          <w:szCs w:val="24"/>
        </w:rPr>
        <w:t>who are also</w:t>
      </w:r>
      <w:r w:rsidR="00A17CAE">
        <w:rPr>
          <w:rFonts w:ascii="Times New Roman" w:eastAsia="Times New Roman" w:hAnsi="Times New Roman" w:cs="Times New Roman"/>
          <w:color w:val="1E1E1E"/>
          <w:sz w:val="24"/>
          <w:szCs w:val="24"/>
        </w:rPr>
        <w:t xml:space="preserve"> regulated under securities laws to </w:t>
      </w:r>
      <w:r w:rsidR="00FB4898">
        <w:rPr>
          <w:rFonts w:ascii="Times New Roman" w:eastAsia="Times New Roman" w:hAnsi="Times New Roman" w:cs="Times New Roman"/>
          <w:color w:val="1E1E1E"/>
          <w:sz w:val="24"/>
          <w:szCs w:val="24"/>
        </w:rPr>
        <w:t xml:space="preserve">operate under </w:t>
      </w:r>
      <w:r w:rsidR="0091755D">
        <w:rPr>
          <w:rFonts w:ascii="Times New Roman" w:eastAsia="Times New Roman" w:hAnsi="Times New Roman" w:cs="Times New Roman"/>
          <w:color w:val="1E1E1E"/>
          <w:sz w:val="24"/>
          <w:szCs w:val="24"/>
        </w:rPr>
        <w:t>those securities</w:t>
      </w:r>
      <w:r w:rsidR="00A17CAE">
        <w:rPr>
          <w:rFonts w:ascii="Times New Roman" w:eastAsia="Times New Roman" w:hAnsi="Times New Roman" w:cs="Times New Roman"/>
          <w:color w:val="1E1E1E"/>
          <w:sz w:val="24"/>
          <w:szCs w:val="24"/>
        </w:rPr>
        <w:t xml:space="preserve"> business rules, </w:t>
      </w:r>
      <w:r w:rsidR="001D7CD6">
        <w:rPr>
          <w:rFonts w:ascii="Times New Roman" w:eastAsia="Times New Roman" w:hAnsi="Times New Roman" w:cs="Times New Roman"/>
          <w:color w:val="1E1E1E"/>
          <w:sz w:val="24"/>
          <w:szCs w:val="24"/>
        </w:rPr>
        <w:t>controls,</w:t>
      </w:r>
      <w:r w:rsidR="00A17CAE">
        <w:rPr>
          <w:rFonts w:ascii="Times New Roman" w:eastAsia="Times New Roman" w:hAnsi="Times New Roman" w:cs="Times New Roman"/>
          <w:color w:val="1E1E1E"/>
          <w:sz w:val="24"/>
          <w:szCs w:val="24"/>
        </w:rPr>
        <w:t xml:space="preserve"> and procedures </w:t>
      </w:r>
      <w:r w:rsidR="0091755D">
        <w:rPr>
          <w:rFonts w:ascii="Times New Roman" w:eastAsia="Times New Roman" w:hAnsi="Times New Roman" w:cs="Times New Roman"/>
          <w:color w:val="1E1E1E"/>
          <w:sz w:val="24"/>
          <w:szCs w:val="24"/>
        </w:rPr>
        <w:t>so long as they</w:t>
      </w:r>
      <w:r w:rsidR="00A17CAE">
        <w:rPr>
          <w:rFonts w:ascii="Times New Roman" w:eastAsia="Times New Roman" w:hAnsi="Times New Roman" w:cs="Times New Roman"/>
          <w:color w:val="1E1E1E"/>
          <w:sz w:val="24"/>
          <w:szCs w:val="24"/>
        </w:rPr>
        <w:t xml:space="preserve"> are substantially </w:t>
      </w:r>
      <w:proofErr w:type="gramStart"/>
      <w:r w:rsidR="00A17CAE">
        <w:rPr>
          <w:rFonts w:ascii="Times New Roman" w:eastAsia="Times New Roman" w:hAnsi="Times New Roman" w:cs="Times New Roman"/>
          <w:color w:val="1E1E1E"/>
          <w:sz w:val="24"/>
          <w:szCs w:val="24"/>
        </w:rPr>
        <w:t>similar to</w:t>
      </w:r>
      <w:proofErr w:type="gramEnd"/>
      <w:r w:rsidR="00A17CAE">
        <w:rPr>
          <w:rFonts w:ascii="Times New Roman" w:eastAsia="Times New Roman" w:hAnsi="Times New Roman" w:cs="Times New Roman"/>
          <w:color w:val="1E1E1E"/>
          <w:sz w:val="24"/>
          <w:szCs w:val="24"/>
        </w:rPr>
        <w:t xml:space="preserve"> those otherwise required </w:t>
      </w:r>
      <w:r w:rsidR="00A17CAE">
        <w:rPr>
          <w:rFonts w:ascii="Times New Roman" w:eastAsia="Times New Roman" w:hAnsi="Times New Roman" w:cs="Times New Roman"/>
          <w:color w:val="1E1E1E"/>
          <w:sz w:val="24"/>
          <w:szCs w:val="24"/>
        </w:rPr>
        <w:lastRenderedPageBreak/>
        <w:t>under the Model Regulation.</w:t>
      </w:r>
      <w:r w:rsidR="001D4183">
        <w:rPr>
          <w:rFonts w:ascii="Times New Roman" w:eastAsia="Times New Roman" w:hAnsi="Times New Roman" w:cs="Times New Roman"/>
          <w:color w:val="1E1E1E"/>
          <w:sz w:val="24"/>
          <w:szCs w:val="24"/>
        </w:rPr>
        <w:t xml:space="preserve"> </w:t>
      </w:r>
      <w:r w:rsidR="00A17CAE">
        <w:rPr>
          <w:rFonts w:ascii="Times New Roman" w:eastAsia="Times New Roman" w:hAnsi="Times New Roman" w:cs="Times New Roman"/>
          <w:color w:val="1E1E1E"/>
          <w:sz w:val="24"/>
          <w:szCs w:val="24"/>
        </w:rPr>
        <w:t>It is important to note that these systems must be adapted to recognize the very significant differences in features and characteristics of fixed index annuities from securities.</w:t>
      </w:r>
      <w:r w:rsidR="001D4183">
        <w:rPr>
          <w:rFonts w:ascii="Times New Roman" w:eastAsia="Times New Roman" w:hAnsi="Times New Roman" w:cs="Times New Roman"/>
          <w:color w:val="1E1E1E"/>
          <w:sz w:val="24"/>
          <w:szCs w:val="24"/>
        </w:rPr>
        <w:t xml:space="preserve"> </w:t>
      </w:r>
      <w:r w:rsidR="00A17CAE">
        <w:rPr>
          <w:rFonts w:ascii="Times New Roman" w:eastAsia="Times New Roman" w:hAnsi="Times New Roman" w:cs="Times New Roman"/>
          <w:color w:val="1E1E1E"/>
          <w:sz w:val="24"/>
          <w:szCs w:val="24"/>
        </w:rPr>
        <w:t>I</w:t>
      </w:r>
      <w:r w:rsidR="00415A17">
        <w:rPr>
          <w:rFonts w:ascii="Times New Roman" w:eastAsia="Times New Roman" w:hAnsi="Times New Roman" w:cs="Times New Roman"/>
          <w:color w:val="1E1E1E"/>
          <w:sz w:val="24"/>
          <w:szCs w:val="24"/>
        </w:rPr>
        <w:t>t would be problematic for an insur</w:t>
      </w:r>
      <w:r w:rsidR="00A17CAE">
        <w:rPr>
          <w:rFonts w:ascii="Times New Roman" w:eastAsia="Times New Roman" w:hAnsi="Times New Roman" w:cs="Times New Roman"/>
          <w:color w:val="1E1E1E"/>
          <w:sz w:val="24"/>
          <w:szCs w:val="24"/>
        </w:rPr>
        <w:t>ance company</w:t>
      </w:r>
      <w:r w:rsidR="00415A17">
        <w:rPr>
          <w:rFonts w:ascii="Times New Roman" w:eastAsia="Times New Roman" w:hAnsi="Times New Roman" w:cs="Times New Roman"/>
          <w:color w:val="1E1E1E"/>
          <w:sz w:val="24"/>
          <w:szCs w:val="24"/>
        </w:rPr>
        <w:t xml:space="preserve"> to allow a broker-dealer </w:t>
      </w:r>
      <w:r w:rsidR="00FB4898">
        <w:rPr>
          <w:rFonts w:ascii="Times New Roman" w:eastAsia="Times New Roman" w:hAnsi="Times New Roman" w:cs="Times New Roman"/>
          <w:color w:val="1E1E1E"/>
          <w:sz w:val="24"/>
          <w:szCs w:val="24"/>
        </w:rPr>
        <w:t xml:space="preserve">agent/insurance producer </w:t>
      </w:r>
      <w:r w:rsidR="00415A17">
        <w:rPr>
          <w:rFonts w:ascii="Times New Roman" w:eastAsia="Times New Roman" w:hAnsi="Times New Roman" w:cs="Times New Roman"/>
          <w:color w:val="1E1E1E"/>
          <w:sz w:val="24"/>
          <w:szCs w:val="24"/>
        </w:rPr>
        <w:t>to</w:t>
      </w:r>
      <w:r w:rsidR="00FB4898">
        <w:rPr>
          <w:rFonts w:ascii="Times New Roman" w:eastAsia="Times New Roman" w:hAnsi="Times New Roman" w:cs="Times New Roman"/>
          <w:color w:val="1E1E1E"/>
          <w:sz w:val="24"/>
          <w:szCs w:val="24"/>
        </w:rPr>
        <w:t xml:space="preserve"> recommend</w:t>
      </w:r>
      <w:r w:rsidR="00415A17">
        <w:rPr>
          <w:rFonts w:ascii="Times New Roman" w:eastAsia="Times New Roman" w:hAnsi="Times New Roman" w:cs="Times New Roman"/>
          <w:color w:val="1E1E1E"/>
          <w:sz w:val="24"/>
          <w:szCs w:val="24"/>
        </w:rPr>
        <w:t xml:space="preserve"> its fixed index annuities</w:t>
      </w:r>
      <w:r w:rsidR="00A17CAE">
        <w:rPr>
          <w:rFonts w:ascii="Times New Roman" w:eastAsia="Times New Roman" w:hAnsi="Times New Roman" w:cs="Times New Roman"/>
          <w:color w:val="1E1E1E"/>
          <w:sz w:val="24"/>
          <w:szCs w:val="24"/>
        </w:rPr>
        <w:t xml:space="preserve"> under the terms of the safe harbor</w:t>
      </w:r>
      <w:r w:rsidR="00415A17">
        <w:rPr>
          <w:rFonts w:ascii="Times New Roman" w:eastAsia="Times New Roman" w:hAnsi="Times New Roman" w:cs="Times New Roman"/>
          <w:color w:val="1E1E1E"/>
          <w:sz w:val="24"/>
          <w:szCs w:val="24"/>
        </w:rPr>
        <w:t xml:space="preserve"> if the broker-dealer’s policies and procedures were </w:t>
      </w:r>
      <w:r w:rsidR="00B77DFF">
        <w:rPr>
          <w:rFonts w:ascii="Times New Roman" w:eastAsia="Times New Roman" w:hAnsi="Times New Roman" w:cs="Times New Roman"/>
          <w:color w:val="1E1E1E"/>
          <w:sz w:val="24"/>
          <w:szCs w:val="24"/>
        </w:rPr>
        <w:t xml:space="preserve">narrowly </w:t>
      </w:r>
      <w:r w:rsidR="00415A17">
        <w:rPr>
          <w:rFonts w:ascii="Times New Roman" w:eastAsia="Times New Roman" w:hAnsi="Times New Roman" w:cs="Times New Roman"/>
          <w:color w:val="1E1E1E"/>
          <w:sz w:val="24"/>
          <w:szCs w:val="24"/>
        </w:rPr>
        <w:t xml:space="preserve">designed to address </w:t>
      </w:r>
      <w:r w:rsidR="00B77DFF">
        <w:rPr>
          <w:rFonts w:ascii="Times New Roman" w:eastAsia="Times New Roman" w:hAnsi="Times New Roman" w:cs="Times New Roman"/>
          <w:color w:val="1E1E1E"/>
          <w:sz w:val="24"/>
          <w:szCs w:val="24"/>
        </w:rPr>
        <w:t xml:space="preserve">the sale of securities under </w:t>
      </w:r>
      <w:r w:rsidR="00415A17">
        <w:rPr>
          <w:rFonts w:ascii="Times New Roman" w:eastAsia="Times New Roman" w:hAnsi="Times New Roman" w:cs="Times New Roman"/>
          <w:color w:val="1E1E1E"/>
          <w:sz w:val="24"/>
          <w:szCs w:val="24"/>
        </w:rPr>
        <w:t>Reg</w:t>
      </w:r>
      <w:r w:rsidR="0091755D">
        <w:rPr>
          <w:rFonts w:ascii="Times New Roman" w:eastAsia="Times New Roman" w:hAnsi="Times New Roman" w:cs="Times New Roman"/>
          <w:color w:val="1E1E1E"/>
          <w:sz w:val="24"/>
          <w:szCs w:val="24"/>
        </w:rPr>
        <w:t xml:space="preserve"> BI</w:t>
      </w:r>
      <w:r w:rsidR="00B77DFF">
        <w:rPr>
          <w:rFonts w:ascii="Times New Roman" w:eastAsia="Times New Roman" w:hAnsi="Times New Roman" w:cs="Times New Roman"/>
          <w:color w:val="1E1E1E"/>
          <w:sz w:val="24"/>
          <w:szCs w:val="24"/>
        </w:rPr>
        <w:t xml:space="preserve">, but do </w:t>
      </w:r>
      <w:r w:rsidR="004B227F">
        <w:rPr>
          <w:rFonts w:ascii="Times New Roman" w:eastAsia="Times New Roman" w:hAnsi="Times New Roman" w:cs="Times New Roman"/>
          <w:color w:val="1E1E1E"/>
          <w:sz w:val="24"/>
          <w:szCs w:val="24"/>
        </w:rPr>
        <w:t xml:space="preserve">not </w:t>
      </w:r>
      <w:r w:rsidR="006358E4">
        <w:rPr>
          <w:rFonts w:ascii="Times New Roman" w:eastAsia="Times New Roman" w:hAnsi="Times New Roman" w:cs="Times New Roman"/>
          <w:color w:val="1E1E1E"/>
          <w:sz w:val="24"/>
          <w:szCs w:val="24"/>
        </w:rPr>
        <w:t xml:space="preserve">reference </w:t>
      </w:r>
      <w:r w:rsidR="00415A17">
        <w:rPr>
          <w:rFonts w:ascii="Times New Roman" w:eastAsia="Times New Roman" w:hAnsi="Times New Roman" w:cs="Times New Roman"/>
          <w:color w:val="1E1E1E"/>
          <w:sz w:val="24"/>
          <w:szCs w:val="24"/>
        </w:rPr>
        <w:t>fixed index annuities</w:t>
      </w:r>
      <w:r w:rsidR="0091755D">
        <w:rPr>
          <w:rFonts w:ascii="Times New Roman" w:eastAsia="Times New Roman" w:hAnsi="Times New Roman" w:cs="Times New Roman"/>
          <w:color w:val="1E1E1E"/>
          <w:sz w:val="24"/>
          <w:szCs w:val="24"/>
        </w:rPr>
        <w:t xml:space="preserve"> or </w:t>
      </w:r>
      <w:r w:rsidR="00E73803">
        <w:rPr>
          <w:rFonts w:ascii="Times New Roman" w:eastAsia="Times New Roman" w:hAnsi="Times New Roman" w:cs="Times New Roman"/>
          <w:color w:val="1E1E1E"/>
          <w:sz w:val="24"/>
          <w:szCs w:val="24"/>
        </w:rPr>
        <w:t xml:space="preserve">consider </w:t>
      </w:r>
      <w:r w:rsidR="0091755D">
        <w:rPr>
          <w:rFonts w:ascii="Times New Roman" w:eastAsia="Times New Roman" w:hAnsi="Times New Roman" w:cs="Times New Roman"/>
          <w:color w:val="1E1E1E"/>
          <w:sz w:val="24"/>
          <w:szCs w:val="24"/>
        </w:rPr>
        <w:t xml:space="preserve">their </w:t>
      </w:r>
      <w:proofErr w:type="gramStart"/>
      <w:r w:rsidR="0091755D">
        <w:rPr>
          <w:rFonts w:ascii="Times New Roman" w:eastAsia="Times New Roman" w:hAnsi="Times New Roman" w:cs="Times New Roman"/>
          <w:color w:val="1E1E1E"/>
          <w:sz w:val="24"/>
          <w:szCs w:val="24"/>
        </w:rPr>
        <w:t xml:space="preserve">particular </w:t>
      </w:r>
      <w:r w:rsidR="00B77DFF">
        <w:rPr>
          <w:rFonts w:ascii="Times New Roman" w:eastAsia="Times New Roman" w:hAnsi="Times New Roman" w:cs="Times New Roman"/>
          <w:color w:val="1E1E1E"/>
          <w:sz w:val="24"/>
          <w:szCs w:val="24"/>
        </w:rPr>
        <w:t>features</w:t>
      </w:r>
      <w:proofErr w:type="gramEnd"/>
      <w:r w:rsidR="00B77DFF">
        <w:rPr>
          <w:rFonts w:ascii="Times New Roman" w:eastAsia="Times New Roman" w:hAnsi="Times New Roman" w:cs="Times New Roman"/>
          <w:color w:val="1E1E1E"/>
          <w:sz w:val="24"/>
          <w:szCs w:val="24"/>
        </w:rPr>
        <w:t xml:space="preserve"> and </w:t>
      </w:r>
      <w:r w:rsidR="0091755D">
        <w:rPr>
          <w:rFonts w:ascii="Times New Roman" w:eastAsia="Times New Roman" w:hAnsi="Times New Roman" w:cs="Times New Roman"/>
          <w:color w:val="1E1E1E"/>
          <w:sz w:val="24"/>
          <w:szCs w:val="24"/>
        </w:rPr>
        <w:t>characteristics</w:t>
      </w:r>
      <w:r w:rsidR="00415A17">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415A17">
        <w:rPr>
          <w:rFonts w:ascii="Times New Roman" w:eastAsia="Times New Roman" w:hAnsi="Times New Roman" w:cs="Times New Roman"/>
          <w:color w:val="1E1E1E"/>
          <w:sz w:val="24"/>
          <w:szCs w:val="24"/>
        </w:rPr>
        <w:t xml:space="preserve">Insurers may want to provide guidelines with which the partner must comply as part of the onboarding process to ensure that the entity’s processes are </w:t>
      </w:r>
      <w:r w:rsidR="00331F79">
        <w:rPr>
          <w:rFonts w:ascii="Times New Roman" w:eastAsia="Times New Roman" w:hAnsi="Times New Roman" w:cs="Times New Roman"/>
          <w:color w:val="1E1E1E"/>
          <w:sz w:val="24"/>
          <w:szCs w:val="24"/>
        </w:rPr>
        <w:t>adequate.</w:t>
      </w:r>
    </w:p>
    <w:p w14:paraId="1DACEAE8" w14:textId="77777777" w:rsidR="00C7284A" w:rsidRDefault="00C7284A"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sidRPr="00C7284A">
        <w:rPr>
          <w:rFonts w:ascii="Times New Roman" w:eastAsia="Times New Roman" w:hAnsi="Times New Roman" w:cs="Times New Roman"/>
          <w:b/>
          <w:color w:val="1E1E1E"/>
          <w:sz w:val="24"/>
          <w:szCs w:val="24"/>
        </w:rPr>
        <w:t>Reasonable Basis</w:t>
      </w:r>
    </w:p>
    <w:p w14:paraId="0DBC7C9C" w14:textId="6C56A7D5" w:rsidR="007D68CB" w:rsidRPr="001D136F" w:rsidRDefault="004E1025" w:rsidP="0026734B">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When analyzing a safe harbor transaction, the model regulation is not proscriptive about how an insurer comes to have a reasonable basis to believe that </w:t>
      </w:r>
      <w:bookmarkStart w:id="1" w:name="_Hlk176271510"/>
      <w:r>
        <w:rPr>
          <w:rFonts w:ascii="Times New Roman" w:eastAsia="Times New Roman" w:hAnsi="Times New Roman" w:cs="Times New Roman"/>
          <w:color w:val="1E1E1E"/>
          <w:sz w:val="24"/>
          <w:szCs w:val="24"/>
        </w:rPr>
        <w:t xml:space="preserve">an annuity would effectively address the </w:t>
      </w:r>
      <w:proofErr w:type="gramStart"/>
      <w:r>
        <w:rPr>
          <w:rFonts w:ascii="Times New Roman" w:eastAsia="Times New Roman" w:hAnsi="Times New Roman" w:cs="Times New Roman"/>
          <w:color w:val="1E1E1E"/>
          <w:sz w:val="24"/>
          <w:szCs w:val="24"/>
        </w:rPr>
        <w:t>particular consumer’s</w:t>
      </w:r>
      <w:proofErr w:type="gramEnd"/>
      <w:r>
        <w:rPr>
          <w:rFonts w:ascii="Times New Roman" w:eastAsia="Times New Roman" w:hAnsi="Times New Roman" w:cs="Times New Roman"/>
          <w:color w:val="1E1E1E"/>
          <w:sz w:val="24"/>
          <w:szCs w:val="24"/>
        </w:rPr>
        <w:t xml:space="preserve"> financial situation</w:t>
      </w:r>
      <w:r w:rsidR="00FF1DAD">
        <w:rPr>
          <w:rFonts w:ascii="Times New Roman" w:eastAsia="Times New Roman" w:hAnsi="Times New Roman" w:cs="Times New Roman"/>
          <w:color w:val="1E1E1E"/>
          <w:sz w:val="24"/>
          <w:szCs w:val="24"/>
        </w:rPr>
        <w:t xml:space="preserve">, </w:t>
      </w:r>
      <w:r w:rsidR="00EE2EAB">
        <w:rPr>
          <w:rFonts w:ascii="Times New Roman" w:eastAsia="Times New Roman" w:hAnsi="Times New Roman" w:cs="Times New Roman"/>
          <w:color w:val="1E1E1E"/>
          <w:sz w:val="24"/>
          <w:szCs w:val="24"/>
        </w:rPr>
        <w:t xml:space="preserve">insurance </w:t>
      </w:r>
      <w:r w:rsidR="00FF1DAD">
        <w:rPr>
          <w:rFonts w:ascii="Times New Roman" w:eastAsia="Times New Roman" w:hAnsi="Times New Roman" w:cs="Times New Roman"/>
          <w:color w:val="1E1E1E"/>
          <w:sz w:val="24"/>
          <w:szCs w:val="24"/>
        </w:rPr>
        <w:t>needs and objectives</w:t>
      </w:r>
      <w:bookmarkEnd w:id="1"/>
      <w:r>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That said, </w:t>
      </w:r>
      <w:r w:rsidR="00490BA6">
        <w:rPr>
          <w:rFonts w:ascii="Times New Roman" w:eastAsia="Times New Roman" w:hAnsi="Times New Roman" w:cs="Times New Roman"/>
          <w:color w:val="1E1E1E"/>
          <w:sz w:val="24"/>
          <w:szCs w:val="24"/>
        </w:rPr>
        <w:t>given that the rule says that the insurer may base its</w:t>
      </w:r>
      <w:r w:rsidR="0091755D">
        <w:rPr>
          <w:rFonts w:ascii="Times New Roman" w:eastAsia="Times New Roman" w:hAnsi="Times New Roman" w:cs="Times New Roman"/>
          <w:color w:val="1E1E1E"/>
          <w:sz w:val="24"/>
          <w:szCs w:val="24"/>
        </w:rPr>
        <w:t xml:space="preserve"> </w:t>
      </w:r>
      <w:r w:rsidR="00490BA6">
        <w:rPr>
          <w:rFonts w:ascii="Times New Roman" w:eastAsia="Times New Roman" w:hAnsi="Times New Roman" w:cs="Times New Roman"/>
          <w:color w:val="1E1E1E"/>
          <w:sz w:val="24"/>
          <w:szCs w:val="24"/>
        </w:rPr>
        <w:t xml:space="preserve">analysis on information received from the financial professional or the entity supervising the financial professional, </w:t>
      </w:r>
      <w:proofErr w:type="gramStart"/>
      <w:r>
        <w:rPr>
          <w:rFonts w:ascii="Times New Roman" w:eastAsia="Times New Roman" w:hAnsi="Times New Roman" w:cs="Times New Roman"/>
          <w:color w:val="1E1E1E"/>
          <w:sz w:val="24"/>
          <w:szCs w:val="24"/>
        </w:rPr>
        <w:t>it is clear that the</w:t>
      </w:r>
      <w:proofErr w:type="gramEnd"/>
      <w:r>
        <w:rPr>
          <w:rFonts w:ascii="Times New Roman" w:eastAsia="Times New Roman" w:hAnsi="Times New Roman" w:cs="Times New Roman"/>
          <w:color w:val="1E1E1E"/>
          <w:sz w:val="24"/>
          <w:szCs w:val="24"/>
        </w:rPr>
        <w:t xml:space="preserve"> rule expects </w:t>
      </w:r>
      <w:r w:rsidR="00490BA6">
        <w:rPr>
          <w:rFonts w:ascii="Times New Roman" w:eastAsia="Times New Roman" w:hAnsi="Times New Roman" w:cs="Times New Roman"/>
          <w:color w:val="1E1E1E"/>
          <w:sz w:val="24"/>
          <w:szCs w:val="24"/>
        </w:rPr>
        <w:t>the insurer to conduct an analysis that goes</w:t>
      </w:r>
      <w:r>
        <w:rPr>
          <w:rFonts w:ascii="Times New Roman" w:eastAsia="Times New Roman" w:hAnsi="Times New Roman" w:cs="Times New Roman"/>
          <w:color w:val="1E1E1E"/>
          <w:sz w:val="24"/>
          <w:szCs w:val="24"/>
        </w:rPr>
        <w:t xml:space="preserve"> beyond blind adherence to the analysis and conclusions of the entity supervising the financial professional.</w:t>
      </w:r>
      <w:r w:rsidR="007D68CB" w:rsidRPr="001D136F">
        <w:rPr>
          <w:rFonts w:ascii="Times New Roman" w:eastAsia="Times New Roman" w:hAnsi="Times New Roman" w:cs="Times New Roman"/>
          <w:color w:val="1E1E1E"/>
          <w:sz w:val="24"/>
          <w:szCs w:val="24"/>
        </w:rPr>
        <w:t xml:space="preserve"> </w:t>
      </w:r>
    </w:p>
    <w:p w14:paraId="1305143D" w14:textId="12EB5FB4" w:rsidR="00C7284A" w:rsidRDefault="00BF33E6" w:rsidP="0026734B">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What</w:t>
      </w:r>
      <w:r w:rsidR="0026734B">
        <w:rPr>
          <w:rFonts w:ascii="Times New Roman" w:eastAsia="Times New Roman" w:hAnsi="Times New Roman" w:cs="Times New Roman"/>
          <w:color w:val="1E1E1E"/>
          <w:sz w:val="24"/>
          <w:szCs w:val="24"/>
        </w:rPr>
        <w:t xml:space="preserve"> should this analysis consist</w:t>
      </w:r>
      <w:r>
        <w:rPr>
          <w:rFonts w:ascii="Times New Roman" w:eastAsia="Times New Roman" w:hAnsi="Times New Roman" w:cs="Times New Roman"/>
          <w:color w:val="1E1E1E"/>
          <w:sz w:val="24"/>
          <w:szCs w:val="24"/>
        </w:rPr>
        <w:t xml:space="preserve"> of</w:t>
      </w:r>
      <w:r w:rsidR="0026734B">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494F3F">
        <w:rPr>
          <w:rFonts w:ascii="Times New Roman" w:eastAsia="Times New Roman" w:hAnsi="Times New Roman" w:cs="Times New Roman"/>
          <w:color w:val="1E1E1E"/>
          <w:sz w:val="24"/>
          <w:szCs w:val="24"/>
        </w:rPr>
        <w:t>A</w:t>
      </w:r>
      <w:r w:rsidR="0026734B">
        <w:rPr>
          <w:rFonts w:ascii="Times New Roman" w:eastAsia="Times New Roman" w:hAnsi="Times New Roman" w:cs="Times New Roman"/>
          <w:color w:val="1E1E1E"/>
          <w:sz w:val="24"/>
          <w:szCs w:val="24"/>
        </w:rPr>
        <w:t>n insur</w:t>
      </w:r>
      <w:r w:rsidR="00FB4898">
        <w:rPr>
          <w:rFonts w:ascii="Times New Roman" w:eastAsia="Times New Roman" w:hAnsi="Times New Roman" w:cs="Times New Roman"/>
          <w:color w:val="1E1E1E"/>
          <w:sz w:val="24"/>
          <w:szCs w:val="24"/>
        </w:rPr>
        <w:t>ance company</w:t>
      </w:r>
      <w:r w:rsidR="0026734B">
        <w:rPr>
          <w:rFonts w:ascii="Times New Roman" w:eastAsia="Times New Roman" w:hAnsi="Times New Roman" w:cs="Times New Roman"/>
          <w:color w:val="1E1E1E"/>
          <w:sz w:val="24"/>
          <w:szCs w:val="24"/>
        </w:rPr>
        <w:t xml:space="preserve"> must </w:t>
      </w:r>
      <w:r w:rsidR="00494F3F">
        <w:rPr>
          <w:rFonts w:ascii="Times New Roman" w:eastAsia="Times New Roman" w:hAnsi="Times New Roman" w:cs="Times New Roman"/>
          <w:color w:val="1E1E1E"/>
          <w:sz w:val="24"/>
          <w:szCs w:val="24"/>
        </w:rPr>
        <w:t>as</w:t>
      </w:r>
      <w:r w:rsidR="0026734B">
        <w:rPr>
          <w:rFonts w:ascii="Times New Roman" w:eastAsia="Times New Roman" w:hAnsi="Times New Roman" w:cs="Times New Roman"/>
          <w:color w:val="1E1E1E"/>
          <w:sz w:val="24"/>
          <w:szCs w:val="24"/>
        </w:rPr>
        <w:t xml:space="preserve">certain that a recommendation was made and documented </w:t>
      </w:r>
      <w:r w:rsidR="0026734B" w:rsidRPr="001D136F">
        <w:rPr>
          <w:rFonts w:ascii="Times New Roman" w:eastAsia="Times New Roman" w:hAnsi="Times New Roman" w:cs="Times New Roman"/>
          <w:color w:val="1E1E1E"/>
          <w:sz w:val="24"/>
          <w:szCs w:val="24"/>
        </w:rPr>
        <w:t>as required by the other</w:t>
      </w:r>
      <w:r w:rsidR="0026734B">
        <w:rPr>
          <w:rFonts w:ascii="Times New Roman" w:eastAsia="Times New Roman" w:hAnsi="Times New Roman" w:cs="Times New Roman"/>
          <w:color w:val="1E1E1E"/>
          <w:sz w:val="24"/>
          <w:szCs w:val="24"/>
        </w:rPr>
        <w:t xml:space="preserve"> </w:t>
      </w:r>
      <w:r w:rsidR="0026734B" w:rsidRPr="001D136F">
        <w:rPr>
          <w:rFonts w:ascii="Times New Roman" w:eastAsia="Times New Roman" w:hAnsi="Times New Roman" w:cs="Times New Roman"/>
          <w:color w:val="1E1E1E"/>
          <w:sz w:val="24"/>
          <w:szCs w:val="24"/>
        </w:rPr>
        <w:t>comparable standard</w:t>
      </w:r>
      <w:r w:rsidR="00494F3F">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494F3F">
        <w:rPr>
          <w:rFonts w:ascii="Times New Roman" w:eastAsia="Times New Roman" w:hAnsi="Times New Roman" w:cs="Times New Roman"/>
          <w:color w:val="1E1E1E"/>
          <w:sz w:val="24"/>
          <w:szCs w:val="24"/>
        </w:rPr>
        <w:t>The insurer</w:t>
      </w:r>
      <w:r w:rsidR="0026734B">
        <w:rPr>
          <w:rFonts w:ascii="Times New Roman" w:eastAsia="Times New Roman" w:hAnsi="Times New Roman" w:cs="Times New Roman"/>
          <w:color w:val="1E1E1E"/>
          <w:sz w:val="24"/>
          <w:szCs w:val="24"/>
        </w:rPr>
        <w:t xml:space="preserve"> must receive adequate </w:t>
      </w:r>
      <w:r w:rsidR="0026734B" w:rsidRPr="001D136F">
        <w:rPr>
          <w:rFonts w:ascii="Times New Roman" w:eastAsia="Times New Roman" w:hAnsi="Times New Roman" w:cs="Times New Roman"/>
          <w:color w:val="1E1E1E"/>
          <w:sz w:val="24"/>
          <w:szCs w:val="24"/>
        </w:rPr>
        <w:t xml:space="preserve">consumer profile information </w:t>
      </w:r>
      <w:r w:rsidR="0026734B">
        <w:rPr>
          <w:rFonts w:ascii="Times New Roman" w:eastAsia="Times New Roman" w:hAnsi="Times New Roman" w:cs="Times New Roman"/>
          <w:color w:val="1E1E1E"/>
          <w:sz w:val="24"/>
          <w:szCs w:val="24"/>
        </w:rPr>
        <w:t xml:space="preserve">and other evidence of a good faith basis for the transaction to determine that the annuity </w:t>
      </w:r>
      <w:r w:rsidR="00FB4898">
        <w:rPr>
          <w:rFonts w:ascii="Times New Roman" w:eastAsia="Times New Roman" w:hAnsi="Times New Roman" w:cs="Times New Roman"/>
          <w:color w:val="1E1E1E"/>
          <w:sz w:val="24"/>
          <w:szCs w:val="24"/>
        </w:rPr>
        <w:t xml:space="preserve">would effectively address the </w:t>
      </w:r>
      <w:r w:rsidR="00EE2EAB">
        <w:rPr>
          <w:rFonts w:ascii="Times New Roman" w:eastAsia="Times New Roman" w:hAnsi="Times New Roman" w:cs="Times New Roman"/>
          <w:color w:val="1E1E1E"/>
          <w:sz w:val="24"/>
          <w:szCs w:val="24"/>
        </w:rPr>
        <w:t>consumer’s financial situation, insurance needs and objectives</w:t>
      </w:r>
      <w:r w:rsidR="0026734B">
        <w:rPr>
          <w:rFonts w:ascii="Times New Roman" w:eastAsia="Times New Roman" w:hAnsi="Times New Roman" w:cs="Times New Roman"/>
          <w:color w:val="1E1E1E"/>
          <w:sz w:val="24"/>
          <w:szCs w:val="24"/>
        </w:rPr>
        <w:t xml:space="preserve">. </w:t>
      </w:r>
      <w:proofErr w:type="gramStart"/>
      <w:r w:rsidR="00494F3F">
        <w:rPr>
          <w:rFonts w:ascii="Times New Roman" w:eastAsia="Times New Roman" w:hAnsi="Times New Roman" w:cs="Times New Roman"/>
          <w:color w:val="1E1E1E"/>
          <w:sz w:val="24"/>
          <w:szCs w:val="24"/>
        </w:rPr>
        <w:t>In light of</w:t>
      </w:r>
      <w:proofErr w:type="gramEnd"/>
      <w:r w:rsidR="0067634B">
        <w:rPr>
          <w:rFonts w:ascii="Times New Roman" w:eastAsia="Times New Roman" w:hAnsi="Times New Roman" w:cs="Times New Roman"/>
          <w:color w:val="1E1E1E"/>
          <w:sz w:val="24"/>
          <w:szCs w:val="24"/>
        </w:rPr>
        <w:t xml:space="preserve"> this responsibility and</w:t>
      </w:r>
      <w:r w:rsidR="00494F3F">
        <w:rPr>
          <w:rFonts w:ascii="Times New Roman" w:eastAsia="Times New Roman" w:hAnsi="Times New Roman" w:cs="Times New Roman"/>
          <w:color w:val="1E1E1E"/>
          <w:sz w:val="24"/>
          <w:szCs w:val="24"/>
        </w:rPr>
        <w:t xml:space="preserve"> its </w:t>
      </w:r>
      <w:r w:rsidR="0067634B">
        <w:rPr>
          <w:rFonts w:ascii="Times New Roman" w:eastAsia="Times New Roman" w:hAnsi="Times New Roman" w:cs="Times New Roman"/>
          <w:color w:val="1E1E1E"/>
          <w:sz w:val="24"/>
          <w:szCs w:val="24"/>
        </w:rPr>
        <w:t xml:space="preserve">more general </w:t>
      </w:r>
      <w:r w:rsidR="00494F3F">
        <w:rPr>
          <w:rFonts w:ascii="Times New Roman" w:eastAsia="Times New Roman" w:hAnsi="Times New Roman" w:cs="Times New Roman"/>
          <w:color w:val="1E1E1E"/>
          <w:sz w:val="24"/>
          <w:szCs w:val="24"/>
        </w:rPr>
        <w:t xml:space="preserve">underwriting responsibilities, </w:t>
      </w:r>
      <w:r w:rsidR="00190CBF">
        <w:rPr>
          <w:rFonts w:ascii="Times New Roman" w:eastAsia="Times New Roman" w:hAnsi="Times New Roman" w:cs="Times New Roman"/>
          <w:color w:val="1E1E1E"/>
          <w:sz w:val="24"/>
          <w:szCs w:val="24"/>
        </w:rPr>
        <w:t xml:space="preserve">an insurer </w:t>
      </w:r>
      <w:r w:rsidR="0067634B">
        <w:rPr>
          <w:rFonts w:ascii="Times New Roman" w:eastAsia="Times New Roman" w:hAnsi="Times New Roman" w:cs="Times New Roman"/>
          <w:color w:val="1E1E1E"/>
          <w:sz w:val="24"/>
          <w:szCs w:val="24"/>
        </w:rPr>
        <w:t>should rec</w:t>
      </w:r>
      <w:r w:rsidR="00B77DFF">
        <w:rPr>
          <w:rFonts w:ascii="Times New Roman" w:eastAsia="Times New Roman" w:hAnsi="Times New Roman" w:cs="Times New Roman"/>
          <w:color w:val="1E1E1E"/>
          <w:sz w:val="24"/>
          <w:szCs w:val="24"/>
        </w:rPr>
        <w:t>eive</w:t>
      </w:r>
      <w:r w:rsidR="00FA378C">
        <w:rPr>
          <w:rFonts w:ascii="Times New Roman" w:eastAsia="Times New Roman" w:hAnsi="Times New Roman" w:cs="Times New Roman"/>
          <w:color w:val="1E1E1E"/>
          <w:sz w:val="24"/>
          <w:szCs w:val="24"/>
        </w:rPr>
        <w:t>,</w:t>
      </w:r>
      <w:r w:rsidR="00B77DFF">
        <w:rPr>
          <w:rFonts w:ascii="Times New Roman" w:eastAsia="Times New Roman" w:hAnsi="Times New Roman" w:cs="Times New Roman"/>
          <w:color w:val="1E1E1E"/>
          <w:sz w:val="24"/>
          <w:szCs w:val="24"/>
        </w:rPr>
        <w:t xml:space="preserve"> review</w:t>
      </w:r>
      <w:r w:rsidR="00FA378C">
        <w:rPr>
          <w:rFonts w:ascii="Times New Roman" w:eastAsia="Times New Roman" w:hAnsi="Times New Roman" w:cs="Times New Roman"/>
          <w:color w:val="1E1E1E"/>
          <w:sz w:val="24"/>
          <w:szCs w:val="24"/>
        </w:rPr>
        <w:t>, and retain</w:t>
      </w:r>
      <w:r w:rsidR="00B77DFF">
        <w:rPr>
          <w:rFonts w:ascii="Times New Roman" w:eastAsia="Times New Roman" w:hAnsi="Times New Roman" w:cs="Times New Roman"/>
          <w:color w:val="1E1E1E"/>
          <w:sz w:val="24"/>
          <w:szCs w:val="24"/>
        </w:rPr>
        <w:t xml:space="preserve"> transactional customer profile and underwriting information.</w:t>
      </w:r>
      <w:r w:rsidR="001D4183">
        <w:rPr>
          <w:rFonts w:ascii="Times New Roman" w:eastAsia="Times New Roman" w:hAnsi="Times New Roman" w:cs="Times New Roman"/>
          <w:color w:val="1E1E1E"/>
          <w:sz w:val="24"/>
          <w:szCs w:val="24"/>
        </w:rPr>
        <w:t xml:space="preserve"> </w:t>
      </w:r>
      <w:r w:rsidR="00190CBF">
        <w:rPr>
          <w:rFonts w:ascii="Times New Roman" w:eastAsia="Times New Roman" w:hAnsi="Times New Roman" w:cs="Times New Roman"/>
          <w:color w:val="1E1E1E"/>
          <w:sz w:val="24"/>
          <w:szCs w:val="24"/>
        </w:rPr>
        <w:t xml:space="preserve">Of course, </w:t>
      </w:r>
      <w:r w:rsidR="0026734B">
        <w:rPr>
          <w:rFonts w:ascii="Times New Roman" w:eastAsia="Times New Roman" w:hAnsi="Times New Roman" w:cs="Times New Roman"/>
          <w:color w:val="1E1E1E"/>
          <w:sz w:val="24"/>
          <w:szCs w:val="24"/>
        </w:rPr>
        <w:t xml:space="preserve">insurers </w:t>
      </w:r>
      <w:r w:rsidR="00E556AA">
        <w:rPr>
          <w:rFonts w:ascii="Times New Roman" w:eastAsia="Times New Roman" w:hAnsi="Times New Roman" w:cs="Times New Roman"/>
          <w:color w:val="1E1E1E"/>
          <w:sz w:val="24"/>
          <w:szCs w:val="24"/>
        </w:rPr>
        <w:t>may</w:t>
      </w:r>
      <w:r w:rsidR="0026734B">
        <w:rPr>
          <w:rFonts w:ascii="Times New Roman" w:eastAsia="Times New Roman" w:hAnsi="Times New Roman" w:cs="Times New Roman"/>
          <w:color w:val="1E1E1E"/>
          <w:sz w:val="24"/>
          <w:szCs w:val="24"/>
        </w:rPr>
        <w:t xml:space="preserve"> not always receive precisely</w:t>
      </w:r>
      <w:r w:rsidR="00190CBF">
        <w:rPr>
          <w:rFonts w:ascii="Times New Roman" w:eastAsia="Times New Roman" w:hAnsi="Times New Roman" w:cs="Times New Roman"/>
          <w:color w:val="1E1E1E"/>
          <w:sz w:val="24"/>
          <w:szCs w:val="24"/>
        </w:rPr>
        <w:t xml:space="preserve"> the same </w:t>
      </w:r>
      <w:r>
        <w:rPr>
          <w:rFonts w:ascii="Times New Roman" w:eastAsia="Times New Roman" w:hAnsi="Times New Roman" w:cs="Times New Roman"/>
          <w:color w:val="1E1E1E"/>
          <w:sz w:val="24"/>
          <w:szCs w:val="24"/>
        </w:rPr>
        <w:t>data points</w:t>
      </w:r>
      <w:r w:rsidR="00190CBF">
        <w:rPr>
          <w:rFonts w:ascii="Times New Roman" w:eastAsia="Times New Roman" w:hAnsi="Times New Roman" w:cs="Times New Roman"/>
          <w:color w:val="1E1E1E"/>
          <w:sz w:val="24"/>
          <w:szCs w:val="24"/>
        </w:rPr>
        <w:t xml:space="preserve"> from the entity supervising the financial professional as it collects on the transactions it </w:t>
      </w:r>
      <w:r w:rsidR="00494F3F">
        <w:rPr>
          <w:rFonts w:ascii="Times New Roman" w:eastAsia="Times New Roman" w:hAnsi="Times New Roman" w:cs="Times New Roman"/>
          <w:color w:val="1E1E1E"/>
          <w:sz w:val="24"/>
          <w:szCs w:val="24"/>
        </w:rPr>
        <w:t xml:space="preserve">directly </w:t>
      </w:r>
      <w:r w:rsidR="00190CBF">
        <w:rPr>
          <w:rFonts w:ascii="Times New Roman" w:eastAsia="Times New Roman" w:hAnsi="Times New Roman" w:cs="Times New Roman"/>
          <w:color w:val="1E1E1E"/>
          <w:sz w:val="24"/>
          <w:szCs w:val="24"/>
        </w:rPr>
        <w:t>supervises.</w:t>
      </w:r>
      <w:r w:rsidR="004E1025">
        <w:rPr>
          <w:rFonts w:ascii="Times New Roman" w:eastAsia="Times New Roman" w:hAnsi="Times New Roman" w:cs="Times New Roman"/>
          <w:color w:val="1E1E1E"/>
          <w:sz w:val="24"/>
          <w:szCs w:val="24"/>
        </w:rPr>
        <w:t xml:space="preserve"> </w:t>
      </w:r>
      <w:r w:rsidR="004A6136">
        <w:rPr>
          <w:rFonts w:ascii="Times New Roman" w:eastAsia="Times New Roman" w:hAnsi="Times New Roman" w:cs="Times New Roman"/>
          <w:color w:val="1E1E1E"/>
          <w:sz w:val="24"/>
          <w:szCs w:val="24"/>
        </w:rPr>
        <w:t xml:space="preserve">The more divergent the data an insurer reviews on safe harbor transactions compared to transactions it </w:t>
      </w:r>
      <w:r w:rsidR="00494F3F">
        <w:rPr>
          <w:rFonts w:ascii="Times New Roman" w:eastAsia="Times New Roman" w:hAnsi="Times New Roman" w:cs="Times New Roman"/>
          <w:color w:val="1E1E1E"/>
          <w:sz w:val="24"/>
          <w:szCs w:val="24"/>
        </w:rPr>
        <w:t xml:space="preserve">directly </w:t>
      </w:r>
      <w:r w:rsidR="004A6136">
        <w:rPr>
          <w:rFonts w:ascii="Times New Roman" w:eastAsia="Times New Roman" w:hAnsi="Times New Roman" w:cs="Times New Roman"/>
          <w:color w:val="1E1E1E"/>
          <w:sz w:val="24"/>
          <w:szCs w:val="24"/>
        </w:rPr>
        <w:t xml:space="preserve">supervises, the more questions a regulator may have about whether the company is </w:t>
      </w:r>
      <w:r w:rsidR="0026734B">
        <w:rPr>
          <w:rFonts w:ascii="Times New Roman" w:eastAsia="Times New Roman" w:hAnsi="Times New Roman" w:cs="Times New Roman"/>
          <w:color w:val="1E1E1E"/>
          <w:sz w:val="24"/>
          <w:szCs w:val="24"/>
        </w:rPr>
        <w:t xml:space="preserve">able to comply </w:t>
      </w:r>
      <w:r w:rsidR="004A6136">
        <w:rPr>
          <w:rFonts w:ascii="Times New Roman" w:eastAsia="Times New Roman" w:hAnsi="Times New Roman" w:cs="Times New Roman"/>
          <w:color w:val="1E1E1E"/>
          <w:sz w:val="24"/>
          <w:szCs w:val="24"/>
        </w:rPr>
        <w:t xml:space="preserve">with Section 6(C)(1) </w:t>
      </w:r>
      <w:r w:rsidR="00B44E97">
        <w:rPr>
          <w:rFonts w:ascii="Times New Roman" w:eastAsia="Times New Roman" w:hAnsi="Times New Roman" w:cs="Times New Roman"/>
          <w:color w:val="1E1E1E"/>
          <w:sz w:val="24"/>
          <w:szCs w:val="24"/>
        </w:rPr>
        <w:t xml:space="preserve">of the Model Regulation </w:t>
      </w:r>
      <w:r w:rsidR="004A6136">
        <w:rPr>
          <w:rFonts w:ascii="Times New Roman" w:eastAsia="Times New Roman" w:hAnsi="Times New Roman" w:cs="Times New Roman"/>
          <w:color w:val="1E1E1E"/>
          <w:sz w:val="24"/>
          <w:szCs w:val="24"/>
        </w:rPr>
        <w:t>on safe harbor transactions.</w:t>
      </w:r>
    </w:p>
    <w:p w14:paraId="7150BC1A" w14:textId="77777777" w:rsidR="00C7284A" w:rsidRDefault="00C7284A" w:rsidP="001D136F">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Monitor the Relevant Conduct</w:t>
      </w:r>
    </w:p>
    <w:p w14:paraId="414D140D" w14:textId="584ABD7A" w:rsidR="00F30B48" w:rsidRDefault="006259E7" w:rsidP="00F07083">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To</w:t>
      </w:r>
      <w:r w:rsidR="00FA7A88">
        <w:rPr>
          <w:rFonts w:ascii="Times New Roman" w:eastAsia="Times New Roman" w:hAnsi="Times New Roman" w:cs="Times New Roman"/>
          <w:color w:val="1E1E1E"/>
          <w:sz w:val="24"/>
          <w:szCs w:val="24"/>
        </w:rPr>
        <w:t xml:space="preserve"> avail themselves of the safe harbor, insurance companies must</w:t>
      </w:r>
      <w:r w:rsidR="00EE2EAB">
        <w:rPr>
          <w:rFonts w:ascii="Times New Roman" w:eastAsia="Times New Roman" w:hAnsi="Times New Roman" w:cs="Times New Roman"/>
          <w:color w:val="1E1E1E"/>
          <w:sz w:val="24"/>
          <w:szCs w:val="24"/>
        </w:rPr>
        <w:t xml:space="preserve"> </w:t>
      </w:r>
      <w:r w:rsidR="00F30B48">
        <w:rPr>
          <w:rFonts w:ascii="Times New Roman" w:eastAsia="Times New Roman" w:hAnsi="Times New Roman" w:cs="Times New Roman"/>
          <w:color w:val="1E1E1E"/>
          <w:sz w:val="24"/>
          <w:szCs w:val="24"/>
        </w:rPr>
        <w:t xml:space="preserve">monitor the </w:t>
      </w:r>
      <w:r w:rsidR="00850C1C">
        <w:rPr>
          <w:rFonts w:ascii="Times New Roman" w:eastAsia="Times New Roman" w:hAnsi="Times New Roman" w:cs="Times New Roman"/>
          <w:color w:val="1E1E1E"/>
          <w:sz w:val="24"/>
          <w:szCs w:val="24"/>
        </w:rPr>
        <w:t xml:space="preserve">business </w:t>
      </w:r>
      <w:r w:rsidR="00F30B48">
        <w:rPr>
          <w:rFonts w:ascii="Times New Roman" w:eastAsia="Times New Roman" w:hAnsi="Times New Roman" w:cs="Times New Roman"/>
          <w:color w:val="1E1E1E"/>
          <w:sz w:val="24"/>
          <w:szCs w:val="24"/>
        </w:rPr>
        <w:t xml:space="preserve">conduct of the </w:t>
      </w:r>
      <w:r w:rsidR="00F30B48" w:rsidRPr="00F30B48">
        <w:rPr>
          <w:rFonts w:ascii="Times New Roman" w:eastAsia="Times New Roman" w:hAnsi="Times New Roman" w:cs="Times New Roman"/>
          <w:color w:val="1E1E1E"/>
          <w:sz w:val="24"/>
          <w:szCs w:val="24"/>
        </w:rPr>
        <w:t>financial p</w:t>
      </w:r>
      <w:r w:rsidR="00F30B48">
        <w:rPr>
          <w:rFonts w:ascii="Times New Roman" w:eastAsia="Times New Roman" w:hAnsi="Times New Roman" w:cs="Times New Roman"/>
          <w:color w:val="1E1E1E"/>
          <w:sz w:val="24"/>
          <w:szCs w:val="24"/>
        </w:rPr>
        <w:t>rofessional</w:t>
      </w:r>
      <w:r w:rsidR="00F30B48" w:rsidRPr="00F30B48">
        <w:rPr>
          <w:rFonts w:ascii="Times New Roman" w:eastAsia="Times New Roman" w:hAnsi="Times New Roman" w:cs="Times New Roman"/>
          <w:color w:val="1E1E1E"/>
          <w:sz w:val="24"/>
          <w:szCs w:val="24"/>
        </w:rPr>
        <w:t xml:space="preserve"> or the entity supervising</w:t>
      </w:r>
      <w:r w:rsidR="00F30B48">
        <w:rPr>
          <w:rFonts w:ascii="Times New Roman" w:eastAsia="Times New Roman" w:hAnsi="Times New Roman" w:cs="Times New Roman"/>
          <w:color w:val="1E1E1E"/>
          <w:sz w:val="24"/>
          <w:szCs w:val="24"/>
        </w:rPr>
        <w:t xml:space="preserve"> the financial professional</w:t>
      </w:r>
      <w:r w:rsidR="00850C1C">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8D2FCF">
        <w:rPr>
          <w:rFonts w:ascii="Times New Roman" w:eastAsia="Times New Roman" w:hAnsi="Times New Roman" w:cs="Times New Roman"/>
          <w:color w:val="1E1E1E"/>
          <w:sz w:val="24"/>
          <w:szCs w:val="24"/>
        </w:rPr>
        <w:t xml:space="preserve">As the following aspects of a successful monitoring program will make clear, simply relying on the statement of a </w:t>
      </w:r>
      <w:r w:rsidR="008D2FCF">
        <w:rPr>
          <w:rFonts w:ascii="Times New Roman" w:eastAsia="Times New Roman" w:hAnsi="Times New Roman" w:cs="Times New Roman"/>
          <w:color w:val="1E1E1E"/>
          <w:sz w:val="24"/>
          <w:szCs w:val="24"/>
        </w:rPr>
        <w:lastRenderedPageBreak/>
        <w:t xml:space="preserve">financial professional that he or she complied with a </w:t>
      </w:r>
      <w:proofErr w:type="gramStart"/>
      <w:r w:rsidR="008D2FCF">
        <w:rPr>
          <w:rFonts w:ascii="Times New Roman" w:eastAsia="Times New Roman" w:hAnsi="Times New Roman" w:cs="Times New Roman"/>
          <w:color w:val="1E1E1E"/>
          <w:sz w:val="24"/>
          <w:szCs w:val="24"/>
        </w:rPr>
        <w:t>comparable standard falls</w:t>
      </w:r>
      <w:proofErr w:type="gramEnd"/>
      <w:r w:rsidR="008D2FCF">
        <w:rPr>
          <w:rFonts w:ascii="Times New Roman" w:eastAsia="Times New Roman" w:hAnsi="Times New Roman" w:cs="Times New Roman"/>
          <w:color w:val="1E1E1E"/>
          <w:sz w:val="24"/>
          <w:szCs w:val="24"/>
        </w:rPr>
        <w:t xml:space="preserve"> short of the monitoring required of an insurer.</w:t>
      </w:r>
      <w:r w:rsidR="001D4183">
        <w:rPr>
          <w:rFonts w:ascii="Times New Roman" w:eastAsia="Times New Roman" w:hAnsi="Times New Roman" w:cs="Times New Roman"/>
          <w:color w:val="1E1E1E"/>
          <w:sz w:val="24"/>
          <w:szCs w:val="24"/>
        </w:rPr>
        <w:t xml:space="preserve"> </w:t>
      </w:r>
      <w:r w:rsidR="00F30B48">
        <w:rPr>
          <w:rFonts w:ascii="Times New Roman" w:eastAsia="Times New Roman" w:hAnsi="Times New Roman" w:cs="Times New Roman"/>
          <w:color w:val="1E1E1E"/>
          <w:sz w:val="24"/>
          <w:szCs w:val="24"/>
        </w:rPr>
        <w:t>Aspects of a successful monitoring program include:</w:t>
      </w:r>
    </w:p>
    <w:p w14:paraId="4507120F" w14:textId="4653C684" w:rsidR="00F07083" w:rsidRDefault="00F07083" w:rsidP="00F07083">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F07083">
        <w:rPr>
          <w:rFonts w:ascii="Times New Roman" w:eastAsia="Times New Roman" w:hAnsi="Times New Roman" w:cs="Times New Roman"/>
          <w:b/>
          <w:color w:val="1E1E1E"/>
          <w:sz w:val="24"/>
          <w:szCs w:val="24"/>
        </w:rPr>
        <w:t>Onboarding</w:t>
      </w:r>
      <w:r w:rsidRPr="00F07083">
        <w:rPr>
          <w:rFonts w:ascii="Times New Roman" w:eastAsia="Times New Roman" w:hAnsi="Times New Roman" w:cs="Times New Roman"/>
          <w:color w:val="1E1E1E"/>
          <w:sz w:val="24"/>
          <w:szCs w:val="24"/>
        </w:rPr>
        <w:t xml:space="preserve">: </w:t>
      </w:r>
      <w:proofErr w:type="gramStart"/>
      <w:r>
        <w:rPr>
          <w:rFonts w:ascii="Times New Roman" w:eastAsia="Times New Roman" w:hAnsi="Times New Roman" w:cs="Times New Roman"/>
          <w:color w:val="1E1E1E"/>
          <w:sz w:val="24"/>
          <w:szCs w:val="24"/>
        </w:rPr>
        <w:t>Entering into</w:t>
      </w:r>
      <w:proofErr w:type="gramEnd"/>
      <w:r>
        <w:rPr>
          <w:rFonts w:ascii="Times New Roman" w:eastAsia="Times New Roman" w:hAnsi="Times New Roman" w:cs="Times New Roman"/>
          <w:color w:val="1E1E1E"/>
          <w:sz w:val="24"/>
          <w:szCs w:val="24"/>
        </w:rPr>
        <w:t xml:space="preserve"> a new contractual relationship with an entity to sell annuities should involve a review of the entity’s business rules, processes, and procedures to ensure that they are adequate and that they address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the annuities that will be sold under the contractual arrangement.</w:t>
      </w:r>
      <w:r w:rsidR="001D4183">
        <w:rPr>
          <w:rFonts w:ascii="Times New Roman" w:eastAsia="Times New Roman" w:hAnsi="Times New Roman" w:cs="Times New Roman"/>
          <w:color w:val="1E1E1E"/>
          <w:sz w:val="24"/>
          <w:szCs w:val="24"/>
        </w:rPr>
        <w:t xml:space="preserve"> </w:t>
      </w:r>
      <w:r w:rsidR="002629AE">
        <w:rPr>
          <w:rFonts w:ascii="Times New Roman" w:eastAsia="Times New Roman" w:hAnsi="Times New Roman" w:cs="Times New Roman"/>
          <w:color w:val="1E1E1E"/>
          <w:sz w:val="24"/>
          <w:szCs w:val="24"/>
        </w:rPr>
        <w:t>Insurers may want to provide guidelines with which the partner must comply as part of the onboarding process to ensure that the en</w:t>
      </w:r>
      <w:r w:rsidR="003E73CF">
        <w:rPr>
          <w:rFonts w:ascii="Times New Roman" w:eastAsia="Times New Roman" w:hAnsi="Times New Roman" w:cs="Times New Roman"/>
          <w:color w:val="1E1E1E"/>
          <w:sz w:val="24"/>
          <w:szCs w:val="24"/>
        </w:rPr>
        <w:t>tity’s processes are adequate.</w:t>
      </w:r>
    </w:p>
    <w:p w14:paraId="3B4CB366" w14:textId="16F37D96" w:rsidR="002629AE" w:rsidRDefault="00DA5704" w:rsidP="007519C7">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7519C7">
        <w:rPr>
          <w:rFonts w:ascii="Times New Roman" w:eastAsia="Times New Roman" w:hAnsi="Times New Roman" w:cs="Times New Roman"/>
          <w:b/>
          <w:color w:val="1E1E1E"/>
          <w:sz w:val="24"/>
          <w:szCs w:val="24"/>
        </w:rPr>
        <w:t>Audits</w:t>
      </w:r>
      <w:r w:rsidRPr="007519C7">
        <w:rPr>
          <w:rFonts w:ascii="Times New Roman" w:eastAsia="Times New Roman" w:hAnsi="Times New Roman" w:cs="Times New Roman"/>
          <w:color w:val="1E1E1E"/>
          <w:sz w:val="24"/>
          <w:szCs w:val="24"/>
        </w:rPr>
        <w:t>: After onboarding a financial p</w:t>
      </w:r>
      <w:r w:rsidR="002629AE" w:rsidRPr="007519C7">
        <w:rPr>
          <w:rFonts w:ascii="Times New Roman" w:eastAsia="Times New Roman" w:hAnsi="Times New Roman" w:cs="Times New Roman"/>
          <w:color w:val="1E1E1E"/>
          <w:sz w:val="24"/>
          <w:szCs w:val="24"/>
        </w:rPr>
        <w:t xml:space="preserve">artner, insurers need to ensure that the entity’s policies and procedures remain </w:t>
      </w:r>
      <w:r w:rsidR="00372CD5" w:rsidRPr="007519C7">
        <w:rPr>
          <w:rFonts w:ascii="Times New Roman" w:eastAsia="Times New Roman" w:hAnsi="Times New Roman" w:cs="Times New Roman"/>
          <w:color w:val="1E1E1E"/>
          <w:sz w:val="24"/>
          <w:szCs w:val="24"/>
        </w:rPr>
        <w:t>adequate,</w:t>
      </w:r>
      <w:r w:rsidR="002629AE" w:rsidRPr="007519C7">
        <w:rPr>
          <w:rFonts w:ascii="Times New Roman" w:eastAsia="Times New Roman" w:hAnsi="Times New Roman" w:cs="Times New Roman"/>
          <w:color w:val="1E1E1E"/>
          <w:sz w:val="24"/>
          <w:szCs w:val="24"/>
        </w:rPr>
        <w:t xml:space="preserve"> and that the entity is doing what it says it will do.</w:t>
      </w:r>
      <w:r w:rsidR="001D4183">
        <w:rPr>
          <w:rFonts w:ascii="Times New Roman" w:eastAsia="Times New Roman" w:hAnsi="Times New Roman" w:cs="Times New Roman"/>
          <w:color w:val="1E1E1E"/>
          <w:sz w:val="24"/>
          <w:szCs w:val="24"/>
        </w:rPr>
        <w:t xml:space="preserve"> </w:t>
      </w:r>
      <w:r w:rsidR="002629AE" w:rsidRPr="007519C7">
        <w:rPr>
          <w:rFonts w:ascii="Times New Roman" w:eastAsia="Times New Roman" w:hAnsi="Times New Roman" w:cs="Times New Roman"/>
          <w:color w:val="1E1E1E"/>
          <w:sz w:val="24"/>
          <w:szCs w:val="24"/>
        </w:rPr>
        <w:t>This will likely involve creating a strong audit program.</w:t>
      </w:r>
      <w:r w:rsidR="001D4183">
        <w:rPr>
          <w:rFonts w:ascii="Times New Roman" w:eastAsia="Times New Roman" w:hAnsi="Times New Roman" w:cs="Times New Roman"/>
          <w:color w:val="1E1E1E"/>
          <w:sz w:val="24"/>
          <w:szCs w:val="24"/>
        </w:rPr>
        <w:t xml:space="preserve"> </w:t>
      </w:r>
      <w:r w:rsidR="002629AE" w:rsidRPr="007519C7">
        <w:rPr>
          <w:rFonts w:ascii="Times New Roman" w:eastAsia="Times New Roman" w:hAnsi="Times New Roman" w:cs="Times New Roman"/>
          <w:color w:val="1E1E1E"/>
          <w:sz w:val="24"/>
          <w:szCs w:val="24"/>
        </w:rPr>
        <w:t>Hallmarks of a strong audit program include selecting an adequate sample size, auditing each financial partner frequently enough, and escalation procedures for a</w:t>
      </w:r>
      <w:r w:rsidR="00727A71" w:rsidRPr="007519C7">
        <w:rPr>
          <w:rFonts w:ascii="Times New Roman" w:eastAsia="Times New Roman" w:hAnsi="Times New Roman" w:cs="Times New Roman"/>
          <w:color w:val="1E1E1E"/>
          <w:sz w:val="24"/>
          <w:szCs w:val="24"/>
        </w:rPr>
        <w:t>ny</w:t>
      </w:r>
      <w:r w:rsidR="002629AE" w:rsidRPr="00952198">
        <w:rPr>
          <w:rFonts w:ascii="Times New Roman" w:eastAsia="Times New Roman" w:hAnsi="Times New Roman" w:cs="Times New Roman"/>
          <w:color w:val="1E1E1E"/>
          <w:sz w:val="24"/>
          <w:szCs w:val="24"/>
        </w:rPr>
        <w:t xml:space="preserve"> </w:t>
      </w:r>
      <w:r w:rsidR="00F23C94">
        <w:rPr>
          <w:rFonts w:ascii="Times New Roman" w:eastAsia="Times New Roman" w:hAnsi="Times New Roman" w:cs="Times New Roman"/>
          <w:color w:val="1E1E1E"/>
          <w:sz w:val="24"/>
          <w:szCs w:val="24"/>
        </w:rPr>
        <w:t>financial partner that fails to respond,</w:t>
      </w:r>
      <w:r w:rsidR="002629AE" w:rsidRPr="00952198">
        <w:rPr>
          <w:rFonts w:ascii="Times New Roman" w:eastAsia="Times New Roman" w:hAnsi="Times New Roman" w:cs="Times New Roman"/>
          <w:color w:val="1E1E1E"/>
          <w:sz w:val="24"/>
          <w:szCs w:val="24"/>
        </w:rPr>
        <w:t xml:space="preserve"> up to and including termination of the relationship.</w:t>
      </w:r>
      <w:r w:rsidR="001D4183">
        <w:rPr>
          <w:rFonts w:ascii="Times New Roman" w:eastAsia="Times New Roman" w:hAnsi="Times New Roman" w:cs="Times New Roman"/>
          <w:color w:val="1E1E1E"/>
          <w:sz w:val="24"/>
          <w:szCs w:val="24"/>
        </w:rPr>
        <w:t xml:space="preserve"> </w:t>
      </w:r>
      <w:r w:rsidR="007D68CB" w:rsidRPr="00952198">
        <w:rPr>
          <w:rFonts w:ascii="Times New Roman" w:eastAsia="Times New Roman" w:hAnsi="Times New Roman" w:cs="Times New Roman"/>
          <w:color w:val="1E1E1E"/>
          <w:sz w:val="24"/>
          <w:szCs w:val="24"/>
        </w:rPr>
        <w:t>Selection of audit frequency should be risk-based based on the volume that comes through the channel as well as other risk factors available to the insurer</w:t>
      </w:r>
      <w:r w:rsidR="007D68CB" w:rsidRPr="007519C7">
        <w:rPr>
          <w:rFonts w:ascii="Times New Roman" w:eastAsia="Times New Roman" w:hAnsi="Times New Roman" w:cs="Times New Roman"/>
          <w:color w:val="1E1E1E"/>
          <w:sz w:val="24"/>
          <w:szCs w:val="24"/>
        </w:rPr>
        <w:t>.</w:t>
      </w:r>
      <w:r w:rsidR="00727A71" w:rsidRPr="007519C7">
        <w:rPr>
          <w:rFonts w:ascii="Times New Roman" w:eastAsia="Times New Roman" w:hAnsi="Times New Roman" w:cs="Times New Roman"/>
          <w:color w:val="1E1E1E"/>
          <w:sz w:val="24"/>
          <w:szCs w:val="24"/>
        </w:rPr>
        <w:t xml:space="preserve"> </w:t>
      </w:r>
      <w:r w:rsidR="00F23C94">
        <w:rPr>
          <w:rFonts w:ascii="Times New Roman" w:eastAsia="Times New Roman" w:hAnsi="Times New Roman" w:cs="Times New Roman"/>
          <w:color w:val="1E1E1E"/>
          <w:sz w:val="24"/>
          <w:szCs w:val="24"/>
        </w:rPr>
        <w:t>An appropriate audit program will also ensure that all partners are audited on a regular cycle.</w:t>
      </w:r>
    </w:p>
    <w:p w14:paraId="088B23C1" w14:textId="44814320" w:rsidR="00DA5704" w:rsidRPr="007519C7" w:rsidRDefault="002629AE" w:rsidP="007519C7">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7519C7">
        <w:rPr>
          <w:rFonts w:ascii="Times New Roman" w:eastAsia="Times New Roman" w:hAnsi="Times New Roman" w:cs="Times New Roman"/>
          <w:b/>
          <w:color w:val="1E1E1E"/>
          <w:sz w:val="24"/>
          <w:szCs w:val="24"/>
        </w:rPr>
        <w:t xml:space="preserve">Due Diligence </w:t>
      </w:r>
      <w:r w:rsidR="007D68CB" w:rsidRPr="007519C7">
        <w:rPr>
          <w:rFonts w:ascii="Times New Roman" w:eastAsia="Times New Roman" w:hAnsi="Times New Roman" w:cs="Times New Roman"/>
          <w:b/>
          <w:color w:val="1E1E1E"/>
          <w:sz w:val="24"/>
          <w:szCs w:val="24"/>
        </w:rPr>
        <w:t>Questionnaires</w:t>
      </w:r>
      <w:r w:rsidRPr="007519C7">
        <w:rPr>
          <w:rFonts w:ascii="Times New Roman" w:eastAsia="Times New Roman" w:hAnsi="Times New Roman" w:cs="Times New Roman"/>
          <w:color w:val="1E1E1E"/>
          <w:sz w:val="24"/>
          <w:szCs w:val="24"/>
        </w:rPr>
        <w:t xml:space="preserve">: </w:t>
      </w:r>
      <w:r w:rsidR="007D68CB" w:rsidRPr="007519C7">
        <w:rPr>
          <w:rFonts w:ascii="Times New Roman" w:eastAsia="Times New Roman" w:hAnsi="Times New Roman" w:cs="Times New Roman"/>
          <w:color w:val="1E1E1E"/>
          <w:sz w:val="24"/>
          <w:szCs w:val="24"/>
        </w:rPr>
        <w:t>As a supplement to audits, insurers may use due diligence questionnaires as part of their monitoring of their financial partners.</w:t>
      </w:r>
      <w:r w:rsidR="001D4183">
        <w:rPr>
          <w:rFonts w:ascii="Times New Roman" w:eastAsia="Times New Roman" w:hAnsi="Times New Roman" w:cs="Times New Roman"/>
          <w:color w:val="1E1E1E"/>
          <w:sz w:val="24"/>
          <w:szCs w:val="24"/>
        </w:rPr>
        <w:t xml:space="preserve"> </w:t>
      </w:r>
      <w:r w:rsidR="007D68CB" w:rsidRPr="007519C7">
        <w:rPr>
          <w:rFonts w:ascii="Times New Roman" w:eastAsia="Times New Roman" w:hAnsi="Times New Roman" w:cs="Times New Roman"/>
          <w:color w:val="1E1E1E"/>
          <w:sz w:val="24"/>
          <w:szCs w:val="24"/>
        </w:rPr>
        <w:t>These questionnaires may be stand</w:t>
      </w:r>
      <w:r w:rsidR="00EE2EAB">
        <w:rPr>
          <w:rFonts w:ascii="Times New Roman" w:eastAsia="Times New Roman" w:hAnsi="Times New Roman" w:cs="Times New Roman"/>
          <w:color w:val="1E1E1E"/>
          <w:sz w:val="24"/>
          <w:szCs w:val="24"/>
        </w:rPr>
        <w:t>-</w:t>
      </w:r>
      <w:r w:rsidR="007D68CB" w:rsidRPr="007519C7">
        <w:rPr>
          <w:rFonts w:ascii="Times New Roman" w:eastAsia="Times New Roman" w:hAnsi="Times New Roman" w:cs="Times New Roman"/>
          <w:color w:val="1E1E1E"/>
          <w:sz w:val="24"/>
          <w:szCs w:val="24"/>
        </w:rPr>
        <w:t>alone safe harbor questionnaires or wrapped into a larger vendor due diligen</w:t>
      </w:r>
      <w:r w:rsidR="007D68CB" w:rsidRPr="00952198">
        <w:rPr>
          <w:rFonts w:ascii="Times New Roman" w:eastAsia="Times New Roman" w:hAnsi="Times New Roman" w:cs="Times New Roman"/>
          <w:color w:val="1E1E1E"/>
          <w:sz w:val="24"/>
          <w:szCs w:val="24"/>
        </w:rPr>
        <w:t>ce process that could include cybersecurity, state specific requirements, and other issues.</w:t>
      </w:r>
      <w:r w:rsidR="001D4183">
        <w:rPr>
          <w:rFonts w:ascii="Times New Roman" w:eastAsia="Times New Roman" w:hAnsi="Times New Roman" w:cs="Times New Roman"/>
          <w:color w:val="1E1E1E"/>
          <w:sz w:val="24"/>
          <w:szCs w:val="24"/>
        </w:rPr>
        <w:t xml:space="preserve"> </w:t>
      </w:r>
      <w:r w:rsidR="007D68CB" w:rsidRPr="00952198">
        <w:rPr>
          <w:rFonts w:ascii="Times New Roman" w:eastAsia="Times New Roman" w:hAnsi="Times New Roman" w:cs="Times New Roman"/>
          <w:color w:val="1E1E1E"/>
          <w:sz w:val="24"/>
          <w:szCs w:val="24"/>
        </w:rPr>
        <w:t xml:space="preserve">Due diligence questionnaires are </w:t>
      </w:r>
      <w:r w:rsidR="00C17000">
        <w:rPr>
          <w:rFonts w:ascii="Times New Roman" w:eastAsia="Times New Roman" w:hAnsi="Times New Roman" w:cs="Times New Roman"/>
          <w:color w:val="1E1E1E"/>
          <w:sz w:val="24"/>
          <w:szCs w:val="24"/>
        </w:rPr>
        <w:t xml:space="preserve">a </w:t>
      </w:r>
      <w:r w:rsidR="007D68CB" w:rsidRPr="007519C7">
        <w:rPr>
          <w:rFonts w:ascii="Times New Roman" w:eastAsia="Times New Roman" w:hAnsi="Times New Roman" w:cs="Times New Roman"/>
          <w:color w:val="1E1E1E"/>
          <w:sz w:val="24"/>
          <w:szCs w:val="24"/>
        </w:rPr>
        <w:t>stronger form of monitoring than certifications</w:t>
      </w:r>
      <w:r w:rsidR="004F57BF" w:rsidRPr="007519C7">
        <w:rPr>
          <w:rFonts w:ascii="Times New Roman" w:eastAsia="Times New Roman" w:hAnsi="Times New Roman" w:cs="Times New Roman"/>
          <w:color w:val="1E1E1E"/>
          <w:sz w:val="24"/>
          <w:szCs w:val="24"/>
        </w:rPr>
        <w:t>.</w:t>
      </w:r>
    </w:p>
    <w:p w14:paraId="57C4712F" w14:textId="1625AFD9" w:rsidR="006A4E2D" w:rsidRPr="006A4E2D" w:rsidRDefault="006A4E2D" w:rsidP="006A4E2D">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6A4E2D">
        <w:rPr>
          <w:rFonts w:ascii="Times New Roman" w:eastAsia="Times New Roman" w:hAnsi="Times New Roman" w:cs="Times New Roman"/>
          <w:b/>
          <w:bCs/>
          <w:color w:val="1E1E1E"/>
          <w:sz w:val="24"/>
          <w:szCs w:val="24"/>
        </w:rPr>
        <w:t>Ongoing Monitoring</w:t>
      </w:r>
      <w:r w:rsidRPr="006A4E2D">
        <w:rPr>
          <w:rFonts w:ascii="Times New Roman" w:eastAsia="Times New Roman" w:hAnsi="Times New Roman" w:cs="Times New Roman"/>
          <w:color w:val="1E1E1E"/>
          <w:sz w:val="24"/>
          <w:szCs w:val="24"/>
        </w:rPr>
        <w:t>: Due diligence questionnaires are not the only form of ongoing</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 xml:space="preserve">monitoring. Sales data, both aggregated and as segregated by partner, can be </w:t>
      </w:r>
      <w:r w:rsidR="00FD4686" w:rsidRPr="006A4E2D">
        <w:rPr>
          <w:rFonts w:ascii="Times New Roman" w:eastAsia="Times New Roman" w:hAnsi="Times New Roman" w:cs="Times New Roman"/>
          <w:color w:val="1E1E1E"/>
          <w:sz w:val="24"/>
          <w:szCs w:val="24"/>
        </w:rPr>
        <w:t>categorized,</w:t>
      </w:r>
      <w:r w:rsidRPr="006A4E2D">
        <w:rPr>
          <w:rFonts w:ascii="Times New Roman" w:eastAsia="Times New Roman" w:hAnsi="Times New Roman" w:cs="Times New Roman"/>
          <w:color w:val="1E1E1E"/>
          <w:sz w:val="24"/>
          <w:szCs w:val="24"/>
        </w:rPr>
        <w:t xml:space="preserve"> and</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sorted by number of contracts and by premiums to risk rate producers and partners for key</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elements such as sales to older consumers, free-look cancellations, early surrenders,</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replacements, and others.</w:t>
      </w:r>
    </w:p>
    <w:p w14:paraId="5CE75277" w14:textId="165BC54F" w:rsidR="004F57BF" w:rsidRDefault="006A4E2D" w:rsidP="006A4E2D">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6A4E2D">
        <w:rPr>
          <w:rFonts w:ascii="Times New Roman" w:eastAsia="Times New Roman" w:hAnsi="Times New Roman" w:cs="Times New Roman"/>
          <w:b/>
          <w:bCs/>
          <w:color w:val="1E1E1E"/>
          <w:sz w:val="24"/>
          <w:szCs w:val="24"/>
        </w:rPr>
        <w:t>Receiving Data</w:t>
      </w:r>
      <w:r w:rsidRPr="006A4E2D">
        <w:rPr>
          <w:rFonts w:ascii="Times New Roman" w:eastAsia="Times New Roman" w:hAnsi="Times New Roman" w:cs="Times New Roman"/>
          <w:color w:val="1E1E1E"/>
          <w:sz w:val="24"/>
          <w:szCs w:val="24"/>
        </w:rPr>
        <w:t>: Insurers</w:t>
      </w:r>
      <w:r w:rsidR="004F57BF">
        <w:rPr>
          <w:rFonts w:ascii="Times New Roman" w:eastAsia="Times New Roman" w:hAnsi="Times New Roman" w:cs="Times New Roman"/>
          <w:color w:val="1E1E1E"/>
          <w:sz w:val="24"/>
          <w:szCs w:val="24"/>
        </w:rPr>
        <w:t xml:space="preserve"> might also request data on an ongoing, perhaps quarterly, basis to aid in their monitoring, including:</w:t>
      </w:r>
    </w:p>
    <w:p w14:paraId="315397A4"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commissions paid to the producer;</w:t>
      </w:r>
    </w:p>
    <w:p w14:paraId="6EED4472"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policies issued;</w:t>
      </w:r>
    </w:p>
    <w:p w14:paraId="1F67A966"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replacements issued;</w:t>
      </w:r>
    </w:p>
    <w:p w14:paraId="66DA7BC1" w14:textId="30C1EBCF"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replacements subject to surrender charges at the prior company</w:t>
      </w:r>
      <w:r w:rsidR="003C17A6">
        <w:rPr>
          <w:rFonts w:ascii="Times New Roman" w:eastAsia="Times New Roman" w:hAnsi="Times New Roman" w:cs="Times New Roman"/>
          <w:color w:val="1E1E1E"/>
          <w:sz w:val="24"/>
          <w:szCs w:val="24"/>
        </w:rPr>
        <w:t>;</w:t>
      </w:r>
    </w:p>
    <w:p w14:paraId="66CA82D0"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Applications that were turned down due to suitability or other concerns;</w:t>
      </w:r>
      <w:r>
        <w:rPr>
          <w:rFonts w:ascii="Times New Roman" w:eastAsia="Times New Roman" w:hAnsi="Times New Roman" w:cs="Times New Roman"/>
          <w:color w:val="1E1E1E"/>
          <w:sz w:val="24"/>
          <w:szCs w:val="24"/>
        </w:rPr>
        <w:t xml:space="preserve"> and</w:t>
      </w:r>
    </w:p>
    <w:p w14:paraId="47A0BC15" w14:textId="053299AD" w:rsidR="003B2F0B" w:rsidRDefault="004F57BF" w:rsidP="003B2F0B">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 xml:space="preserve">Number of consumer complaints related to annuity </w:t>
      </w:r>
      <w:r>
        <w:rPr>
          <w:rFonts w:ascii="Times New Roman" w:eastAsia="Times New Roman" w:hAnsi="Times New Roman" w:cs="Times New Roman"/>
          <w:color w:val="1E1E1E"/>
          <w:sz w:val="24"/>
          <w:szCs w:val="24"/>
        </w:rPr>
        <w:t>sales</w:t>
      </w:r>
      <w:r w:rsidR="006A4E2D">
        <w:rPr>
          <w:rFonts w:ascii="Times New Roman" w:eastAsia="Times New Roman" w:hAnsi="Times New Roman" w:cs="Times New Roman"/>
          <w:color w:val="1E1E1E"/>
          <w:sz w:val="24"/>
          <w:szCs w:val="24"/>
        </w:rPr>
        <w:t xml:space="preserve"> received by the entity supervising the financial professional</w:t>
      </w:r>
      <w:r>
        <w:rPr>
          <w:rFonts w:ascii="Times New Roman" w:eastAsia="Times New Roman" w:hAnsi="Times New Roman" w:cs="Times New Roman"/>
          <w:color w:val="1E1E1E"/>
          <w:sz w:val="24"/>
          <w:szCs w:val="24"/>
        </w:rPr>
        <w:t>.</w:t>
      </w:r>
    </w:p>
    <w:p w14:paraId="6C12C867" w14:textId="434F2A8F" w:rsidR="003B2F0B" w:rsidRPr="003B2F0B" w:rsidRDefault="003B2F0B" w:rsidP="003B2F0B">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3B2F0B">
        <w:rPr>
          <w:rFonts w:ascii="Times New Roman" w:eastAsia="Times New Roman" w:hAnsi="Times New Roman" w:cs="Times New Roman"/>
          <w:color w:val="1E1E1E"/>
          <w:sz w:val="24"/>
          <w:szCs w:val="24"/>
        </w:rPr>
        <w:lastRenderedPageBreak/>
        <w:t>Insur</w:t>
      </w:r>
      <w:r w:rsidR="00EE2EAB">
        <w:rPr>
          <w:rFonts w:ascii="Times New Roman" w:eastAsia="Times New Roman" w:hAnsi="Times New Roman" w:cs="Times New Roman"/>
          <w:color w:val="1E1E1E"/>
          <w:sz w:val="24"/>
          <w:szCs w:val="24"/>
        </w:rPr>
        <w:t>ance companies</w:t>
      </w:r>
      <w:r w:rsidRPr="003B2F0B">
        <w:rPr>
          <w:rFonts w:ascii="Times New Roman" w:eastAsia="Times New Roman" w:hAnsi="Times New Roman" w:cs="Times New Roman"/>
          <w:color w:val="1E1E1E"/>
          <w:sz w:val="24"/>
          <w:szCs w:val="24"/>
        </w:rPr>
        <w:t xml:space="preserve"> may have some of this data, of course, such a</w:t>
      </w:r>
      <w:r w:rsidR="00FA7A88">
        <w:rPr>
          <w:rFonts w:ascii="Times New Roman" w:eastAsia="Times New Roman" w:hAnsi="Times New Roman" w:cs="Times New Roman"/>
          <w:color w:val="1E1E1E"/>
          <w:sz w:val="24"/>
          <w:szCs w:val="24"/>
        </w:rPr>
        <w:t>s</w:t>
      </w:r>
      <w:r w:rsidRPr="003B2F0B">
        <w:rPr>
          <w:rFonts w:ascii="Times New Roman" w:eastAsia="Times New Roman" w:hAnsi="Times New Roman" w:cs="Times New Roman"/>
          <w:color w:val="1E1E1E"/>
          <w:sz w:val="24"/>
          <w:szCs w:val="24"/>
        </w:rPr>
        <w:t xml:space="preserve"> commission paid on an annuity, but the idea of this information sharing is </w:t>
      </w:r>
      <w:r>
        <w:rPr>
          <w:rFonts w:ascii="Times New Roman" w:eastAsia="Times New Roman" w:hAnsi="Times New Roman" w:cs="Times New Roman"/>
          <w:color w:val="1E1E1E"/>
          <w:sz w:val="24"/>
          <w:szCs w:val="24"/>
        </w:rPr>
        <w:t>broader than re-sharing individual transaction data.</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It is, rather, </w:t>
      </w:r>
      <w:r w:rsidRPr="003B2F0B">
        <w:rPr>
          <w:rFonts w:ascii="Times New Roman" w:eastAsia="Times New Roman" w:hAnsi="Times New Roman" w:cs="Times New Roman"/>
          <w:color w:val="1E1E1E"/>
          <w:sz w:val="24"/>
          <w:szCs w:val="24"/>
        </w:rPr>
        <w:t>to ensure that both the insurer and entity supervising the financial professional have the holistic information necessary to make supervision decisions.</w:t>
      </w:r>
    </w:p>
    <w:p w14:paraId="4367B02B" w14:textId="06BADDD1" w:rsidR="00C7284A" w:rsidRDefault="00C7284A" w:rsidP="001D136F">
      <w:pPr>
        <w:shd w:val="clear" w:color="auto" w:fill="FFFFFF"/>
        <w:spacing w:before="100" w:beforeAutospacing="1" w:after="100" w:afterAutospacing="1" w:line="360" w:lineRule="atLeast"/>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Provide Information and Reports</w:t>
      </w:r>
    </w:p>
    <w:p w14:paraId="7BDE3CE1" w14:textId="2FFC48EA" w:rsidR="004F57BF" w:rsidRPr="001D136F" w:rsidRDefault="004F57BF" w:rsidP="004F57BF">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The insur</w:t>
      </w:r>
      <w:r w:rsidR="00EE2EAB">
        <w:rPr>
          <w:rFonts w:ascii="Times New Roman" w:eastAsia="Times New Roman" w:hAnsi="Times New Roman" w:cs="Times New Roman"/>
          <w:color w:val="1E1E1E"/>
          <w:sz w:val="24"/>
          <w:szCs w:val="24"/>
        </w:rPr>
        <w:t>ance company</w:t>
      </w:r>
      <w:r>
        <w:rPr>
          <w:rFonts w:ascii="Times New Roman" w:eastAsia="Times New Roman" w:hAnsi="Times New Roman" w:cs="Times New Roman"/>
          <w:color w:val="1E1E1E"/>
          <w:sz w:val="24"/>
          <w:szCs w:val="24"/>
        </w:rPr>
        <w:t xml:space="preserve"> must also give information to the entity supervising the financial professional to ensure that that entity has as much information as possible in making </w:t>
      </w:r>
      <w:r w:rsidR="00567318">
        <w:rPr>
          <w:rFonts w:ascii="Times New Roman" w:eastAsia="Times New Roman" w:hAnsi="Times New Roman" w:cs="Times New Roman"/>
          <w:color w:val="1E1E1E"/>
          <w:sz w:val="24"/>
          <w:szCs w:val="24"/>
        </w:rPr>
        <w:t>supervisory decisions</w:t>
      </w:r>
      <w:r>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Information the insurer might </w:t>
      </w:r>
      <w:r w:rsidR="007519C7">
        <w:rPr>
          <w:rFonts w:ascii="Times New Roman" w:eastAsia="Times New Roman" w:hAnsi="Times New Roman" w:cs="Times New Roman"/>
          <w:color w:val="1E1E1E"/>
          <w:sz w:val="24"/>
          <w:szCs w:val="24"/>
        </w:rPr>
        <w:t xml:space="preserve">share </w:t>
      </w:r>
      <w:r w:rsidRPr="001D136F">
        <w:rPr>
          <w:rFonts w:ascii="Times New Roman" w:eastAsia="Times New Roman" w:hAnsi="Times New Roman" w:cs="Times New Roman"/>
          <w:color w:val="1E1E1E"/>
          <w:sz w:val="24"/>
          <w:szCs w:val="24"/>
        </w:rPr>
        <w:t xml:space="preserve">with the </w:t>
      </w:r>
      <w:r w:rsidR="00850C1C">
        <w:rPr>
          <w:rFonts w:ascii="Times New Roman" w:eastAsia="Times New Roman" w:hAnsi="Times New Roman" w:cs="Times New Roman"/>
          <w:color w:val="1E1E1E"/>
          <w:sz w:val="24"/>
          <w:szCs w:val="24"/>
        </w:rPr>
        <w:t>supervising entity</w:t>
      </w:r>
      <w:r w:rsidRPr="001D136F">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includes </w:t>
      </w:r>
      <w:r w:rsidRPr="001D136F">
        <w:rPr>
          <w:rFonts w:ascii="Times New Roman" w:eastAsia="Times New Roman" w:hAnsi="Times New Roman" w:cs="Times New Roman"/>
          <w:color w:val="1E1E1E"/>
          <w:sz w:val="24"/>
          <w:szCs w:val="24"/>
        </w:rPr>
        <w:t>the following:</w:t>
      </w:r>
    </w:p>
    <w:p w14:paraId="17D28D16"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Total contracts issued through the producer over the period, including number and type of annuity;</w:t>
      </w:r>
    </w:p>
    <w:p w14:paraId="037B3686" w14:textId="1CC3847B"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proofErr w:type="gramStart"/>
      <w:r w:rsidRPr="004F57BF">
        <w:rPr>
          <w:rFonts w:ascii="Times New Roman" w:eastAsia="Times New Roman" w:hAnsi="Times New Roman" w:cs="Times New Roman"/>
          <w:color w:val="1E1E1E"/>
          <w:sz w:val="24"/>
          <w:szCs w:val="24"/>
        </w:rPr>
        <w:t>Amount</w:t>
      </w:r>
      <w:proofErr w:type="gramEnd"/>
      <w:r w:rsidRPr="004F57BF">
        <w:rPr>
          <w:rFonts w:ascii="Times New Roman" w:eastAsia="Times New Roman" w:hAnsi="Times New Roman" w:cs="Times New Roman"/>
          <w:color w:val="1E1E1E"/>
          <w:sz w:val="24"/>
          <w:szCs w:val="24"/>
        </w:rPr>
        <w:t xml:space="preserve"> </w:t>
      </w:r>
      <w:r w:rsidR="00850C1C">
        <w:rPr>
          <w:rFonts w:ascii="Times New Roman" w:eastAsia="Times New Roman" w:hAnsi="Times New Roman" w:cs="Times New Roman"/>
          <w:color w:val="1E1E1E"/>
          <w:sz w:val="24"/>
          <w:szCs w:val="24"/>
        </w:rPr>
        <w:t>of c</w:t>
      </w:r>
      <w:r w:rsidRPr="004F57BF">
        <w:rPr>
          <w:rFonts w:ascii="Times New Roman" w:eastAsia="Times New Roman" w:hAnsi="Times New Roman" w:cs="Times New Roman"/>
          <w:color w:val="1E1E1E"/>
          <w:sz w:val="24"/>
          <w:szCs w:val="24"/>
        </w:rPr>
        <w:t>ommissions paid for each sale to that producer over the period;</w:t>
      </w:r>
    </w:p>
    <w:p w14:paraId="28E768A1"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Identify whether the insurer issued any other annuities for the same producer, and if so, how many;</w:t>
      </w:r>
    </w:p>
    <w:p w14:paraId="50A5B9EF"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Identify how many internal replacements were issued by the same producer;</w:t>
      </w:r>
    </w:p>
    <w:p w14:paraId="00DAF0AD"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consumer complaints or lawsuits received by the insurer related to the producer;</w:t>
      </w:r>
    </w:p>
    <w:p w14:paraId="6A4FD112"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contracts for the producer that were surrendered less than 2 years from policy issue, years 2-5, years 6-10 and more than 10 years from issuance;</w:t>
      </w:r>
    </w:p>
    <w:p w14:paraId="2FD4E494" w14:textId="786D83AA" w:rsidR="003B2F0B" w:rsidRPr="003B2F0B" w:rsidRDefault="004F57BF" w:rsidP="003B2F0B">
      <w:pPr>
        <w:pStyle w:val="ListParagraph"/>
        <w:numPr>
          <w:ilvl w:val="0"/>
          <w:numId w:val="6"/>
        </w:numPr>
        <w:shd w:val="clear" w:color="auto" w:fill="FFFFFF"/>
        <w:spacing w:before="100" w:beforeAutospacing="1" w:after="0" w:line="360" w:lineRule="atLeast"/>
        <w:rPr>
          <w:rFonts w:ascii="Times New Roman" w:eastAsia="Times New Roman" w:hAnsi="Times New Roman" w:cs="Times New Roman"/>
          <w:b/>
          <w:color w:val="1E1E1E"/>
          <w:sz w:val="24"/>
          <w:szCs w:val="24"/>
        </w:rPr>
      </w:pPr>
      <w:r w:rsidRPr="004F57BF">
        <w:rPr>
          <w:rFonts w:ascii="Times New Roman" w:eastAsia="Times New Roman" w:hAnsi="Times New Roman" w:cs="Times New Roman"/>
          <w:color w:val="1E1E1E"/>
          <w:sz w:val="24"/>
          <w:szCs w:val="24"/>
        </w:rPr>
        <w:t>Whether any surrenders were subject to surrender charges.</w:t>
      </w:r>
    </w:p>
    <w:p w14:paraId="42B6557E" w14:textId="77777777" w:rsidR="00561789" w:rsidRPr="00561789" w:rsidRDefault="00561789" w:rsidP="00561789">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561789">
        <w:rPr>
          <w:rFonts w:ascii="Times New Roman" w:eastAsia="Times New Roman" w:hAnsi="Times New Roman" w:cs="Times New Roman"/>
          <w:color w:val="1E1E1E"/>
          <w:sz w:val="24"/>
          <w:szCs w:val="24"/>
        </w:rPr>
        <w:t>Insurers may be able to offer partners detailed reports and charts that illustrate customer profile factors for fixed and variable annuities, including issue age, share class, withdrawal charges, rider elections, and free look information.</w:t>
      </w:r>
    </w:p>
    <w:p w14:paraId="1C60FCA8" w14:textId="3F121A8E" w:rsidR="003B2F0B" w:rsidRPr="003B2F0B" w:rsidRDefault="00561789" w:rsidP="003B2F0B">
      <w:pPr>
        <w:shd w:val="clear" w:color="auto" w:fill="FFFFFF"/>
        <w:spacing w:after="100" w:afterAutospacing="1" w:line="360" w:lineRule="atLeast"/>
        <w:rPr>
          <w:rFonts w:ascii="Times New Roman" w:eastAsia="Times New Roman" w:hAnsi="Times New Roman" w:cs="Times New Roman"/>
          <w:b/>
          <w:color w:val="1E1E1E"/>
          <w:sz w:val="24"/>
          <w:szCs w:val="24"/>
        </w:rPr>
      </w:pPr>
      <w:r>
        <w:rPr>
          <w:rFonts w:ascii="Times New Roman" w:eastAsia="Times New Roman" w:hAnsi="Times New Roman" w:cs="Times New Roman"/>
          <w:color w:val="1E1E1E"/>
          <w:sz w:val="24"/>
          <w:szCs w:val="24"/>
        </w:rPr>
        <w:t>As mentioned in the last section, t</w:t>
      </w:r>
      <w:r w:rsidR="003B2F0B" w:rsidRPr="003B2F0B">
        <w:rPr>
          <w:rFonts w:ascii="Times New Roman" w:eastAsia="Times New Roman" w:hAnsi="Times New Roman" w:cs="Times New Roman"/>
          <w:color w:val="1E1E1E"/>
          <w:sz w:val="24"/>
          <w:szCs w:val="24"/>
        </w:rPr>
        <w:t>he idea of this information sharing requirement is not to duplicate individual transaction data the other party already has.</w:t>
      </w:r>
      <w:r w:rsidR="001D4183">
        <w:rPr>
          <w:rFonts w:ascii="Times New Roman" w:eastAsia="Times New Roman" w:hAnsi="Times New Roman" w:cs="Times New Roman"/>
          <w:color w:val="1E1E1E"/>
          <w:sz w:val="24"/>
          <w:szCs w:val="24"/>
        </w:rPr>
        <w:t xml:space="preserve"> </w:t>
      </w:r>
      <w:r w:rsidR="003B2F0B" w:rsidRPr="003B2F0B">
        <w:rPr>
          <w:rFonts w:ascii="Times New Roman" w:eastAsia="Times New Roman" w:hAnsi="Times New Roman" w:cs="Times New Roman"/>
          <w:color w:val="1E1E1E"/>
          <w:sz w:val="24"/>
          <w:szCs w:val="24"/>
        </w:rPr>
        <w:t>It is, rather, to ensure that both the insurer and entity supervising the financial professional have the holistic information necessary to make supervision decisions.</w:t>
      </w:r>
    </w:p>
    <w:p w14:paraId="7F991375" w14:textId="140438B6" w:rsidR="004F57BF" w:rsidRDefault="00C906AF" w:rsidP="001D136F">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 xml:space="preserve">Safe Harbor </w:t>
      </w:r>
      <w:r w:rsidR="005C4656">
        <w:rPr>
          <w:rFonts w:ascii="Times New Roman" w:eastAsia="Times New Roman" w:hAnsi="Times New Roman" w:cs="Times New Roman"/>
          <w:b/>
          <w:color w:val="1E1E1E"/>
          <w:sz w:val="24"/>
          <w:szCs w:val="24"/>
        </w:rPr>
        <w:t>or</w:t>
      </w:r>
      <w:r>
        <w:rPr>
          <w:rFonts w:ascii="Times New Roman" w:eastAsia="Times New Roman" w:hAnsi="Times New Roman" w:cs="Times New Roman"/>
          <w:b/>
          <w:color w:val="1E1E1E"/>
          <w:sz w:val="24"/>
          <w:szCs w:val="24"/>
        </w:rPr>
        <w:t xml:space="preserve"> Contracting for Performance</w:t>
      </w:r>
      <w:r w:rsidR="005C4656">
        <w:rPr>
          <w:rFonts w:ascii="Times New Roman" w:eastAsia="Times New Roman" w:hAnsi="Times New Roman" w:cs="Times New Roman"/>
          <w:b/>
          <w:color w:val="1E1E1E"/>
          <w:sz w:val="24"/>
          <w:szCs w:val="24"/>
        </w:rPr>
        <w:t xml:space="preserve"> of Supervision</w:t>
      </w:r>
    </w:p>
    <w:p w14:paraId="7303719F" w14:textId="7826814A" w:rsidR="0046638E" w:rsidRDefault="00C906AF" w:rsidP="00C906AF">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The Model Regulation has two different mechanisms in which third parties perform part or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the supervisory process for insurers.</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They appear superficially similar, but are </w:t>
      </w:r>
      <w:proofErr w:type="gramStart"/>
      <w:r>
        <w:rPr>
          <w:rFonts w:ascii="Times New Roman" w:eastAsia="Times New Roman" w:hAnsi="Times New Roman" w:cs="Times New Roman"/>
          <w:color w:val="1E1E1E"/>
          <w:sz w:val="24"/>
          <w:szCs w:val="24"/>
        </w:rPr>
        <w:t>actually quite</w:t>
      </w:r>
      <w:proofErr w:type="gramEnd"/>
      <w:r>
        <w:rPr>
          <w:rFonts w:ascii="Times New Roman" w:eastAsia="Times New Roman" w:hAnsi="Times New Roman" w:cs="Times New Roman"/>
          <w:color w:val="1E1E1E"/>
          <w:sz w:val="24"/>
          <w:szCs w:val="24"/>
        </w:rPr>
        <w:t xml:space="preserve"> different, and it is important that insurers understand under which provision of the Model </w:t>
      </w:r>
      <w:r>
        <w:rPr>
          <w:rFonts w:ascii="Times New Roman" w:eastAsia="Times New Roman" w:hAnsi="Times New Roman" w:cs="Times New Roman"/>
          <w:color w:val="1E1E1E"/>
          <w:sz w:val="24"/>
          <w:szCs w:val="24"/>
        </w:rPr>
        <w:lastRenderedPageBreak/>
        <w:t>Regulation they are operating.</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In addition to the safe harbor, insurers may contract for performance of a part or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its supervisory function pursuant to Section 6(C)(3)(a).</w:t>
      </w:r>
      <w:r w:rsidR="001D4183">
        <w:rPr>
          <w:rFonts w:ascii="Times New Roman" w:eastAsia="Times New Roman" w:hAnsi="Times New Roman" w:cs="Times New Roman"/>
          <w:color w:val="1E1E1E"/>
          <w:sz w:val="24"/>
          <w:szCs w:val="24"/>
        </w:rPr>
        <w:t xml:space="preserve"> </w:t>
      </w:r>
      <w:r w:rsidR="0046638E">
        <w:rPr>
          <w:rFonts w:ascii="Times New Roman" w:eastAsia="Times New Roman" w:hAnsi="Times New Roman" w:cs="Times New Roman"/>
          <w:color w:val="1E1E1E"/>
          <w:sz w:val="24"/>
          <w:szCs w:val="24"/>
        </w:rPr>
        <w:t>Where a</w:t>
      </w:r>
      <w:r>
        <w:rPr>
          <w:rFonts w:ascii="Times New Roman" w:eastAsia="Times New Roman" w:hAnsi="Times New Roman" w:cs="Times New Roman"/>
          <w:color w:val="1E1E1E"/>
          <w:sz w:val="24"/>
          <w:szCs w:val="24"/>
        </w:rPr>
        <w:t xml:space="preserve">n insurer </w:t>
      </w:r>
      <w:r w:rsidR="0046638E">
        <w:rPr>
          <w:rFonts w:ascii="Times New Roman" w:eastAsia="Times New Roman" w:hAnsi="Times New Roman" w:cs="Times New Roman"/>
          <w:color w:val="1E1E1E"/>
          <w:sz w:val="24"/>
          <w:szCs w:val="24"/>
        </w:rPr>
        <w:t xml:space="preserve">contracts for performance, it </w:t>
      </w:r>
      <w:r>
        <w:rPr>
          <w:rFonts w:ascii="Times New Roman" w:eastAsia="Times New Roman" w:hAnsi="Times New Roman" w:cs="Times New Roman"/>
          <w:color w:val="1E1E1E"/>
          <w:sz w:val="24"/>
          <w:szCs w:val="24"/>
        </w:rPr>
        <w:t>must monitor the conduct of the party to whom it outsourced its supervision, including by conducting audits, as appropriate.</w:t>
      </w:r>
      <w:r>
        <w:rPr>
          <w:rStyle w:val="FootnoteReference"/>
          <w:rFonts w:ascii="Times New Roman" w:eastAsia="Times New Roman" w:hAnsi="Times New Roman" w:cs="Times New Roman"/>
          <w:color w:val="1E1E1E"/>
          <w:sz w:val="24"/>
          <w:szCs w:val="24"/>
        </w:rPr>
        <w:footnoteReference w:id="8"/>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As a result, these two circumstances seem similar, but they differ in important ways.</w:t>
      </w:r>
    </w:p>
    <w:p w14:paraId="7F06F58A" w14:textId="5E9734AE" w:rsidR="00C906AF" w:rsidRDefault="00C906AF" w:rsidP="00C906AF">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In a safe harbor transaction, although the financial professional and the entity supervising the financial professional make </w:t>
      </w:r>
      <w:r w:rsidR="00EE2EAB">
        <w:rPr>
          <w:rFonts w:ascii="Times New Roman" w:eastAsia="Times New Roman" w:hAnsi="Times New Roman" w:cs="Times New Roman"/>
          <w:color w:val="1E1E1E"/>
          <w:sz w:val="24"/>
          <w:szCs w:val="24"/>
        </w:rPr>
        <w:t xml:space="preserve">the </w:t>
      </w:r>
      <w:r>
        <w:rPr>
          <w:rFonts w:ascii="Times New Roman" w:eastAsia="Times New Roman" w:hAnsi="Times New Roman" w:cs="Times New Roman"/>
          <w:color w:val="1E1E1E"/>
          <w:sz w:val="24"/>
          <w:szCs w:val="24"/>
        </w:rPr>
        <w:t>decision</w:t>
      </w:r>
      <w:r w:rsidR="0046638E">
        <w:rPr>
          <w:rFonts w:ascii="Times New Roman" w:eastAsia="Times New Roman" w:hAnsi="Times New Roman" w:cs="Times New Roman"/>
          <w:color w:val="1E1E1E"/>
          <w:sz w:val="24"/>
          <w:szCs w:val="24"/>
        </w:rPr>
        <w:t xml:space="preserve"> that the annuity is in the best interest of the customer</w:t>
      </w:r>
      <w:r>
        <w:rPr>
          <w:rFonts w:ascii="Times New Roman" w:eastAsia="Times New Roman" w:hAnsi="Times New Roman" w:cs="Times New Roman"/>
          <w:color w:val="1E1E1E"/>
          <w:sz w:val="24"/>
          <w:szCs w:val="24"/>
        </w:rPr>
        <w:t>,</w:t>
      </w:r>
      <w:r w:rsidR="00EE2EAB">
        <w:rPr>
          <w:rFonts w:ascii="Times New Roman" w:eastAsia="Times New Roman" w:hAnsi="Times New Roman" w:cs="Times New Roman"/>
          <w:color w:val="1E1E1E"/>
          <w:sz w:val="24"/>
          <w:szCs w:val="24"/>
        </w:rPr>
        <w:t xml:space="preserve"> the final responsibility to decide whether an annuity would effectively address the </w:t>
      </w:r>
      <w:proofErr w:type="gramStart"/>
      <w:r w:rsidR="00EE2EAB">
        <w:rPr>
          <w:rFonts w:ascii="Times New Roman" w:eastAsia="Times New Roman" w:hAnsi="Times New Roman" w:cs="Times New Roman"/>
          <w:color w:val="1E1E1E"/>
          <w:sz w:val="24"/>
          <w:szCs w:val="24"/>
        </w:rPr>
        <w:t>particular consumer’s</w:t>
      </w:r>
      <w:proofErr w:type="gramEnd"/>
      <w:r w:rsidR="00EE2EAB">
        <w:rPr>
          <w:rFonts w:ascii="Times New Roman" w:eastAsia="Times New Roman" w:hAnsi="Times New Roman" w:cs="Times New Roman"/>
          <w:color w:val="1E1E1E"/>
          <w:sz w:val="24"/>
          <w:szCs w:val="24"/>
        </w:rPr>
        <w:t xml:space="preserve"> financial situation, insurance needs and objectives </w:t>
      </w:r>
      <w:r>
        <w:rPr>
          <w:rFonts w:ascii="Times New Roman" w:eastAsia="Times New Roman" w:hAnsi="Times New Roman" w:cs="Times New Roman"/>
          <w:color w:val="1E1E1E"/>
          <w:sz w:val="24"/>
          <w:szCs w:val="24"/>
        </w:rPr>
        <w:t>resides with the insur</w:t>
      </w:r>
      <w:r w:rsidR="00EE2EAB">
        <w:rPr>
          <w:rFonts w:ascii="Times New Roman" w:eastAsia="Times New Roman" w:hAnsi="Times New Roman" w:cs="Times New Roman"/>
          <w:color w:val="1E1E1E"/>
          <w:sz w:val="24"/>
          <w:szCs w:val="24"/>
        </w:rPr>
        <w:t>ance company</w:t>
      </w:r>
      <w:r w:rsidR="00C76E5A">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The insurer is almost certainly </w:t>
      </w:r>
      <w:r>
        <w:rPr>
          <w:rFonts w:ascii="Times New Roman" w:eastAsia="Times New Roman" w:hAnsi="Times New Roman" w:cs="Times New Roman"/>
          <w:color w:val="1E1E1E"/>
          <w:sz w:val="24"/>
          <w:szCs w:val="24"/>
        </w:rPr>
        <w:t xml:space="preserve">basing </w:t>
      </w:r>
      <w:r w:rsidR="00561789">
        <w:rPr>
          <w:rFonts w:ascii="Times New Roman" w:eastAsia="Times New Roman" w:hAnsi="Times New Roman" w:cs="Times New Roman"/>
          <w:color w:val="1E1E1E"/>
          <w:sz w:val="24"/>
          <w:szCs w:val="24"/>
        </w:rPr>
        <w:t>its</w:t>
      </w:r>
      <w:r>
        <w:rPr>
          <w:rFonts w:ascii="Times New Roman" w:eastAsia="Times New Roman" w:hAnsi="Times New Roman" w:cs="Times New Roman"/>
          <w:color w:val="1E1E1E"/>
          <w:sz w:val="24"/>
          <w:szCs w:val="24"/>
        </w:rPr>
        <w:t xml:space="preserve"> decision on customer profile information </w:t>
      </w:r>
      <w:r w:rsidR="0046638E">
        <w:rPr>
          <w:rFonts w:ascii="Times New Roman" w:eastAsia="Times New Roman" w:hAnsi="Times New Roman" w:cs="Times New Roman"/>
          <w:color w:val="1E1E1E"/>
          <w:sz w:val="24"/>
          <w:szCs w:val="24"/>
        </w:rPr>
        <w:t xml:space="preserve">and the basis for the transaction </w:t>
      </w:r>
      <w:r>
        <w:rPr>
          <w:rFonts w:ascii="Times New Roman" w:eastAsia="Times New Roman" w:hAnsi="Times New Roman" w:cs="Times New Roman"/>
          <w:color w:val="1E1E1E"/>
          <w:sz w:val="24"/>
          <w:szCs w:val="24"/>
        </w:rPr>
        <w:t>collected by the entity supervising the financial professional</w:t>
      </w:r>
      <w:r w:rsidR="00C76E5A">
        <w:rPr>
          <w:rFonts w:ascii="Times New Roman" w:eastAsia="Times New Roman" w:hAnsi="Times New Roman" w:cs="Times New Roman"/>
          <w:color w:val="1E1E1E"/>
          <w:sz w:val="24"/>
          <w:szCs w:val="24"/>
        </w:rPr>
        <w:t>, but the safe harbor does not relieve the insurer of its obligation to only issue annuities where it has a reasonable basis to believe “</w:t>
      </w:r>
      <w:r w:rsidR="00C76E5A" w:rsidRPr="00C76E5A">
        <w:rPr>
          <w:rFonts w:ascii="Times New Roman" w:eastAsia="Times New Roman" w:hAnsi="Times New Roman" w:cs="Times New Roman"/>
          <w:color w:val="1E1E1E"/>
          <w:sz w:val="24"/>
          <w:szCs w:val="24"/>
        </w:rPr>
        <w:t>the annuity would effectively address the particular consumer’s financial situation, insurance needs and financial objectives based on the consumer’s consumer profile information.</w:t>
      </w:r>
      <w:r w:rsidR="00C76E5A">
        <w:rPr>
          <w:rFonts w:ascii="Times New Roman" w:eastAsia="Times New Roman" w:hAnsi="Times New Roman" w:cs="Times New Roman"/>
          <w:color w:val="1E1E1E"/>
          <w:sz w:val="24"/>
          <w:szCs w:val="24"/>
        </w:rPr>
        <w:t>”</w:t>
      </w:r>
      <w:r w:rsidR="00C76E5A">
        <w:rPr>
          <w:rStyle w:val="FootnoteReference"/>
          <w:rFonts w:ascii="Times New Roman" w:eastAsia="Times New Roman" w:hAnsi="Times New Roman" w:cs="Times New Roman"/>
          <w:color w:val="1E1E1E"/>
          <w:sz w:val="24"/>
          <w:szCs w:val="24"/>
        </w:rPr>
        <w:footnoteReference w:id="9"/>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Because of the safe harbor, however, </w:t>
      </w:r>
      <w:r w:rsidR="005C4656">
        <w:rPr>
          <w:rFonts w:ascii="Times New Roman" w:eastAsia="Times New Roman" w:hAnsi="Times New Roman" w:cs="Times New Roman"/>
          <w:color w:val="1E1E1E"/>
          <w:sz w:val="24"/>
          <w:szCs w:val="24"/>
        </w:rPr>
        <w:t xml:space="preserve">the intent of the </w:t>
      </w:r>
      <w:r w:rsidR="00EE2EAB">
        <w:rPr>
          <w:rFonts w:ascii="Times New Roman" w:eastAsia="Times New Roman" w:hAnsi="Times New Roman" w:cs="Times New Roman"/>
          <w:color w:val="1E1E1E"/>
          <w:sz w:val="24"/>
          <w:szCs w:val="24"/>
        </w:rPr>
        <w:t xml:space="preserve">disclosure and procedural requirements </w:t>
      </w:r>
      <w:r w:rsidR="00573FC7">
        <w:rPr>
          <w:rFonts w:ascii="Times New Roman" w:eastAsia="Times New Roman" w:hAnsi="Times New Roman" w:cs="Times New Roman"/>
          <w:color w:val="1E1E1E"/>
          <w:sz w:val="24"/>
          <w:szCs w:val="24"/>
        </w:rPr>
        <w:t xml:space="preserve">that </w:t>
      </w:r>
      <w:r w:rsidR="005C4656">
        <w:rPr>
          <w:rFonts w:ascii="Times New Roman" w:eastAsia="Times New Roman" w:hAnsi="Times New Roman" w:cs="Times New Roman"/>
          <w:color w:val="1E1E1E"/>
          <w:sz w:val="24"/>
          <w:szCs w:val="24"/>
        </w:rPr>
        <w:t>are found in t</w:t>
      </w:r>
      <w:r w:rsidR="00EE2EAB">
        <w:rPr>
          <w:rFonts w:ascii="Times New Roman" w:eastAsia="Times New Roman" w:hAnsi="Times New Roman" w:cs="Times New Roman"/>
          <w:color w:val="1E1E1E"/>
          <w:sz w:val="24"/>
          <w:szCs w:val="24"/>
        </w:rPr>
        <w:t xml:space="preserve">he Model Regulation </w:t>
      </w:r>
      <w:r w:rsidR="005C4656">
        <w:rPr>
          <w:rFonts w:ascii="Times New Roman" w:eastAsia="Times New Roman" w:hAnsi="Times New Roman" w:cs="Times New Roman"/>
          <w:color w:val="1E1E1E"/>
          <w:sz w:val="24"/>
          <w:szCs w:val="24"/>
        </w:rPr>
        <w:t>may be achieved by comparable business rules and procedures.</w:t>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For example, a broker-dealer agent would have given Form CRS to his or her client but would not have to give Appendix A to the client when selling an </w:t>
      </w:r>
      <w:r w:rsidR="007B7C9D">
        <w:rPr>
          <w:rFonts w:ascii="Times New Roman" w:eastAsia="Times New Roman" w:hAnsi="Times New Roman" w:cs="Times New Roman"/>
          <w:color w:val="1E1E1E"/>
          <w:sz w:val="24"/>
          <w:szCs w:val="24"/>
        </w:rPr>
        <w:t>a</w:t>
      </w:r>
      <w:r w:rsidR="00C76E5A">
        <w:rPr>
          <w:rFonts w:ascii="Times New Roman" w:eastAsia="Times New Roman" w:hAnsi="Times New Roman" w:cs="Times New Roman"/>
          <w:color w:val="1E1E1E"/>
          <w:sz w:val="24"/>
          <w:szCs w:val="24"/>
        </w:rPr>
        <w:t>nnuity.</w:t>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The onboarding, audits, due diligence questionnaires, contractual policies, and other </w:t>
      </w:r>
      <w:r w:rsidR="00A92493">
        <w:rPr>
          <w:rFonts w:ascii="Times New Roman" w:eastAsia="Times New Roman" w:hAnsi="Times New Roman" w:cs="Times New Roman"/>
          <w:color w:val="1E1E1E"/>
          <w:sz w:val="24"/>
          <w:szCs w:val="24"/>
        </w:rPr>
        <w:t>methods an insurer uses to monitor the entity are to ensure that the entity’s policies, procedures, and implementation of those policies and procedures are truly “</w:t>
      </w:r>
      <w:r w:rsidR="00485450">
        <w:rPr>
          <w:rFonts w:ascii="Times New Roman" w:eastAsia="Times New Roman" w:hAnsi="Times New Roman" w:cs="Times New Roman"/>
          <w:color w:val="1E1E1E"/>
          <w:sz w:val="24"/>
          <w:szCs w:val="24"/>
        </w:rPr>
        <w:t xml:space="preserve">comparable” to what </w:t>
      </w:r>
      <w:r w:rsidR="00A92493">
        <w:rPr>
          <w:rFonts w:ascii="Times New Roman" w:eastAsia="Times New Roman" w:hAnsi="Times New Roman" w:cs="Times New Roman"/>
          <w:color w:val="1E1E1E"/>
          <w:sz w:val="24"/>
          <w:szCs w:val="24"/>
        </w:rPr>
        <w:t>is required under the Model Regulation.</w:t>
      </w:r>
    </w:p>
    <w:p w14:paraId="5E4522AD" w14:textId="148ECD2D" w:rsidR="00C545BE" w:rsidRDefault="00C906AF" w:rsidP="00C906AF">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On the other hand, where an insurer has contracted for performance,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the provisions of the Model Regulation apply</w:t>
      </w:r>
      <w:r w:rsidR="00A92493">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A92493">
        <w:rPr>
          <w:rFonts w:ascii="Times New Roman" w:eastAsia="Times New Roman" w:hAnsi="Times New Roman" w:cs="Times New Roman"/>
          <w:color w:val="1E1E1E"/>
          <w:sz w:val="24"/>
          <w:szCs w:val="24"/>
        </w:rPr>
        <w:t xml:space="preserve">If the insurer has delegated the entire supervisory process by contract, the </w:t>
      </w:r>
      <w:r>
        <w:rPr>
          <w:rFonts w:ascii="Times New Roman" w:eastAsia="Times New Roman" w:hAnsi="Times New Roman" w:cs="Times New Roman"/>
          <w:color w:val="1E1E1E"/>
          <w:sz w:val="24"/>
          <w:szCs w:val="24"/>
        </w:rPr>
        <w:t xml:space="preserve">entity with which the insurer has contracted for performance </w:t>
      </w:r>
      <w:r w:rsidR="00A92493">
        <w:rPr>
          <w:rFonts w:ascii="Times New Roman" w:eastAsia="Times New Roman" w:hAnsi="Times New Roman" w:cs="Times New Roman"/>
          <w:color w:val="1E1E1E"/>
          <w:sz w:val="24"/>
          <w:szCs w:val="24"/>
        </w:rPr>
        <w:t>would be</w:t>
      </w:r>
      <w:r w:rsidR="00C76E5A">
        <w:rPr>
          <w:rFonts w:ascii="Times New Roman" w:eastAsia="Times New Roman" w:hAnsi="Times New Roman" w:cs="Times New Roman"/>
          <w:color w:val="1E1E1E"/>
          <w:sz w:val="24"/>
          <w:szCs w:val="24"/>
        </w:rPr>
        <w:t xml:space="preserve"> the one </w:t>
      </w:r>
      <w:r w:rsidR="00A92493">
        <w:rPr>
          <w:rFonts w:ascii="Times New Roman" w:eastAsia="Times New Roman" w:hAnsi="Times New Roman" w:cs="Times New Roman"/>
          <w:color w:val="1E1E1E"/>
          <w:sz w:val="24"/>
          <w:szCs w:val="24"/>
        </w:rPr>
        <w:t>that decides</w:t>
      </w:r>
      <w:r w:rsidR="00C76E5A">
        <w:rPr>
          <w:rFonts w:ascii="Times New Roman" w:eastAsia="Times New Roman" w:hAnsi="Times New Roman" w:cs="Times New Roman"/>
          <w:color w:val="1E1E1E"/>
          <w:sz w:val="24"/>
          <w:szCs w:val="24"/>
        </w:rPr>
        <w:t xml:space="preserve"> whether the annuity is in the best interest of the consumer on behalf of the insurer.</w:t>
      </w:r>
      <w:r w:rsidR="001D4183">
        <w:rPr>
          <w:rFonts w:ascii="Times New Roman" w:eastAsia="Times New Roman" w:hAnsi="Times New Roman" w:cs="Times New Roman"/>
          <w:color w:val="1E1E1E"/>
          <w:sz w:val="24"/>
          <w:szCs w:val="24"/>
        </w:rPr>
        <w:t xml:space="preserve"> </w:t>
      </w:r>
      <w:r w:rsidR="00C545BE" w:rsidRPr="00C545BE">
        <w:rPr>
          <w:rFonts w:ascii="Times New Roman" w:eastAsia="Times New Roman" w:hAnsi="Times New Roman" w:cs="Times New Roman"/>
          <w:color w:val="1E1E1E"/>
          <w:sz w:val="24"/>
          <w:szCs w:val="24"/>
        </w:rPr>
        <w:t>This delegated supervision cannot just be simply transactions-based and must incorporate all aspects of the supervision that the insurer would have incorporated.</w:t>
      </w:r>
      <w:r w:rsidR="00C545BE">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The insurer </w:t>
      </w:r>
      <w:r w:rsidR="00FD4686">
        <w:rPr>
          <w:rFonts w:ascii="Times New Roman" w:eastAsia="Times New Roman" w:hAnsi="Times New Roman" w:cs="Times New Roman"/>
          <w:color w:val="1E1E1E"/>
          <w:sz w:val="24"/>
          <w:szCs w:val="24"/>
        </w:rPr>
        <w:t>must</w:t>
      </w:r>
      <w:r>
        <w:rPr>
          <w:rFonts w:ascii="Times New Roman" w:eastAsia="Times New Roman" w:hAnsi="Times New Roman" w:cs="Times New Roman"/>
          <w:color w:val="1E1E1E"/>
          <w:sz w:val="24"/>
          <w:szCs w:val="24"/>
        </w:rPr>
        <w:t xml:space="preserve"> monitor the entity’s conduct</w:t>
      </w:r>
      <w:r w:rsidR="00A92493">
        <w:rPr>
          <w:rFonts w:ascii="Times New Roman" w:eastAsia="Times New Roman" w:hAnsi="Times New Roman" w:cs="Times New Roman"/>
          <w:color w:val="1E1E1E"/>
          <w:sz w:val="24"/>
          <w:szCs w:val="24"/>
        </w:rPr>
        <w:t>, including audits, as appropriate,</w:t>
      </w:r>
      <w:r>
        <w:rPr>
          <w:rFonts w:ascii="Times New Roman" w:eastAsia="Times New Roman" w:hAnsi="Times New Roman" w:cs="Times New Roman"/>
          <w:color w:val="1E1E1E"/>
          <w:sz w:val="24"/>
          <w:szCs w:val="24"/>
        </w:rPr>
        <w:t xml:space="preserve"> to ensure </w:t>
      </w:r>
      <w:r w:rsidR="00485450">
        <w:rPr>
          <w:rFonts w:ascii="Times New Roman" w:eastAsia="Times New Roman" w:hAnsi="Times New Roman" w:cs="Times New Roman"/>
          <w:color w:val="1E1E1E"/>
          <w:sz w:val="24"/>
          <w:szCs w:val="24"/>
        </w:rPr>
        <w:t xml:space="preserve">that </w:t>
      </w:r>
      <w:r w:rsidR="00A92493">
        <w:rPr>
          <w:rFonts w:ascii="Times New Roman" w:eastAsia="Times New Roman" w:hAnsi="Times New Roman" w:cs="Times New Roman"/>
          <w:color w:val="1E1E1E"/>
          <w:sz w:val="24"/>
          <w:szCs w:val="24"/>
        </w:rPr>
        <w:t>the supervisory system the entity has built “</w:t>
      </w:r>
      <w:r w:rsidR="00A92493" w:rsidRPr="00A92493">
        <w:rPr>
          <w:rFonts w:ascii="Times New Roman" w:eastAsia="Times New Roman" w:hAnsi="Times New Roman" w:cs="Times New Roman"/>
          <w:color w:val="1E1E1E"/>
          <w:sz w:val="24"/>
          <w:szCs w:val="24"/>
        </w:rPr>
        <w:t xml:space="preserve">is reasonably designed to achieve the </w:t>
      </w:r>
      <w:proofErr w:type="gramStart"/>
      <w:r w:rsidR="00A92493" w:rsidRPr="00A92493">
        <w:rPr>
          <w:rFonts w:ascii="Times New Roman" w:eastAsia="Times New Roman" w:hAnsi="Times New Roman" w:cs="Times New Roman"/>
          <w:color w:val="1E1E1E"/>
          <w:sz w:val="24"/>
          <w:szCs w:val="24"/>
        </w:rPr>
        <w:t>insurer’s</w:t>
      </w:r>
      <w:proofErr w:type="gramEnd"/>
      <w:r w:rsidR="00A92493" w:rsidRPr="00A92493">
        <w:rPr>
          <w:rFonts w:ascii="Times New Roman" w:eastAsia="Times New Roman" w:hAnsi="Times New Roman" w:cs="Times New Roman"/>
          <w:color w:val="1E1E1E"/>
          <w:sz w:val="24"/>
          <w:szCs w:val="24"/>
        </w:rPr>
        <w:t xml:space="preserve"> and its producers’ compliance with this </w:t>
      </w:r>
      <w:r w:rsidR="00A92493" w:rsidRPr="00A92493">
        <w:rPr>
          <w:rFonts w:ascii="Times New Roman" w:eastAsia="Times New Roman" w:hAnsi="Times New Roman" w:cs="Times New Roman"/>
          <w:color w:val="1E1E1E"/>
          <w:sz w:val="24"/>
          <w:szCs w:val="24"/>
        </w:rPr>
        <w:lastRenderedPageBreak/>
        <w:t>regulation</w:t>
      </w:r>
      <w:r>
        <w:rPr>
          <w:rFonts w:ascii="Times New Roman" w:eastAsia="Times New Roman" w:hAnsi="Times New Roman" w:cs="Times New Roman"/>
          <w:color w:val="1E1E1E"/>
          <w:sz w:val="24"/>
          <w:szCs w:val="24"/>
        </w:rPr>
        <w:t>.</w:t>
      </w:r>
      <w:r w:rsidR="00A92493">
        <w:rPr>
          <w:rFonts w:ascii="Times New Roman" w:eastAsia="Times New Roman" w:hAnsi="Times New Roman" w:cs="Times New Roman"/>
          <w:color w:val="1E1E1E"/>
          <w:sz w:val="24"/>
          <w:szCs w:val="24"/>
        </w:rPr>
        <w:t>”</w:t>
      </w:r>
      <w:r w:rsidR="00A92493">
        <w:rPr>
          <w:rStyle w:val="FootnoteReference"/>
          <w:rFonts w:ascii="Times New Roman" w:eastAsia="Times New Roman" w:hAnsi="Times New Roman" w:cs="Times New Roman"/>
          <w:color w:val="1E1E1E"/>
          <w:sz w:val="24"/>
          <w:szCs w:val="24"/>
        </w:rPr>
        <w:footnoteReference w:id="10"/>
      </w:r>
      <w:r w:rsidR="00C545BE">
        <w:rPr>
          <w:rFonts w:ascii="Times New Roman" w:eastAsia="Times New Roman" w:hAnsi="Times New Roman" w:cs="Times New Roman"/>
          <w:color w:val="1E1E1E"/>
          <w:sz w:val="24"/>
          <w:szCs w:val="24"/>
        </w:rPr>
        <w:t xml:space="preserve"> </w:t>
      </w:r>
      <w:r w:rsidR="00C545BE" w:rsidRPr="00C545BE">
        <w:rPr>
          <w:rFonts w:ascii="Times New Roman" w:eastAsia="Times New Roman" w:hAnsi="Times New Roman" w:cs="Times New Roman"/>
          <w:color w:val="1E1E1E"/>
          <w:sz w:val="24"/>
          <w:szCs w:val="24"/>
        </w:rPr>
        <w:t>And if the insurer is delegating to an entity that otherwise stands to benefit from the transaction, that potential conflict must be reasonably addressed.</w:t>
      </w:r>
    </w:p>
    <w:sectPr w:rsidR="00C545B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76D67" w14:textId="77777777" w:rsidR="00644159" w:rsidRDefault="00644159" w:rsidP="00FE413C">
      <w:pPr>
        <w:spacing w:after="0" w:line="240" w:lineRule="auto"/>
      </w:pPr>
      <w:r>
        <w:separator/>
      </w:r>
    </w:p>
  </w:endnote>
  <w:endnote w:type="continuationSeparator" w:id="0">
    <w:p w14:paraId="3380C0FF" w14:textId="77777777" w:rsidR="00644159" w:rsidRDefault="00644159" w:rsidP="00FE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18370"/>
      <w:docPartObj>
        <w:docPartGallery w:val="Page Numbers (Bottom of Page)"/>
        <w:docPartUnique/>
      </w:docPartObj>
    </w:sdtPr>
    <w:sdtEndPr>
      <w:rPr>
        <w:noProof/>
      </w:rPr>
    </w:sdtEndPr>
    <w:sdtContent>
      <w:p w14:paraId="767AAF6D" w14:textId="775170BD" w:rsidR="00E80A58" w:rsidRDefault="00E80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AA3E5" w14:textId="77777777" w:rsidR="00E80A58" w:rsidRDefault="00E8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CD329" w14:textId="77777777" w:rsidR="00644159" w:rsidRDefault="00644159" w:rsidP="00FE413C">
      <w:pPr>
        <w:spacing w:after="0" w:line="240" w:lineRule="auto"/>
      </w:pPr>
      <w:r>
        <w:separator/>
      </w:r>
    </w:p>
  </w:footnote>
  <w:footnote w:type="continuationSeparator" w:id="0">
    <w:p w14:paraId="6E50B5F3" w14:textId="77777777" w:rsidR="00644159" w:rsidRDefault="00644159" w:rsidP="00FE413C">
      <w:pPr>
        <w:spacing w:after="0" w:line="240" w:lineRule="auto"/>
      </w:pPr>
      <w:r>
        <w:continuationSeparator/>
      </w:r>
    </w:p>
  </w:footnote>
  <w:footnote w:id="1">
    <w:p w14:paraId="3B851791" w14:textId="2CF03D0A" w:rsidR="008D2FCF" w:rsidRDefault="008D2FCF">
      <w:pPr>
        <w:pStyle w:val="FootnoteText"/>
      </w:pPr>
      <w:r>
        <w:rPr>
          <w:rStyle w:val="FootnoteReference"/>
        </w:rPr>
        <w:footnoteRef/>
      </w:r>
      <w:r>
        <w:t xml:space="preserve"> Section 6(E)(1).</w:t>
      </w:r>
      <w:r w:rsidR="001D4183">
        <w:t xml:space="preserve"> </w:t>
      </w:r>
      <w:r>
        <w:t>The prohibited practices in Section 6(D) still apply in Safe Harbor transactions.</w:t>
      </w:r>
    </w:p>
  </w:footnote>
  <w:footnote w:id="2">
    <w:p w14:paraId="026FA873" w14:textId="77777777" w:rsidR="00F9632C" w:rsidRPr="00B91D6D" w:rsidRDefault="00F9632C" w:rsidP="00F9632C">
      <w:pPr>
        <w:pStyle w:val="FootnoteText"/>
      </w:pPr>
      <w:r>
        <w:rPr>
          <w:rStyle w:val="FootnoteReference"/>
        </w:rPr>
        <w:footnoteRef/>
      </w:r>
      <w:r>
        <w:t xml:space="preserve"> </w:t>
      </w:r>
      <w:r>
        <w:rPr>
          <w:i/>
        </w:rPr>
        <w:t xml:space="preserve">See </w:t>
      </w:r>
      <w:r>
        <w:t xml:space="preserve">Section 6(C)(1); </w:t>
      </w:r>
      <w:r>
        <w:rPr>
          <w:i/>
        </w:rPr>
        <w:t>see also</w:t>
      </w:r>
      <w:r>
        <w:t xml:space="preserve"> Section 6(E)(2)(“Nothing in </w:t>
      </w:r>
      <w:r w:rsidRPr="00B91D6D">
        <w:t>Paragraph (1) shall limit the insurer’s obligation to comply with Section 6(C)(1) of this regulation</w:t>
      </w:r>
      <w:r>
        <w:t>. . . .”</w:t>
      </w:r>
    </w:p>
  </w:footnote>
  <w:footnote w:id="3">
    <w:p w14:paraId="109E00D9" w14:textId="77777777" w:rsidR="00F9632C" w:rsidRDefault="00F9632C" w:rsidP="00F9632C">
      <w:pPr>
        <w:pStyle w:val="FootnoteText"/>
      </w:pPr>
      <w:r>
        <w:rPr>
          <w:rStyle w:val="FootnoteReference"/>
        </w:rPr>
        <w:footnoteRef/>
      </w:r>
      <w:r>
        <w:t xml:space="preserve"> A financial professional is a producer that is regulated and acting as</w:t>
      </w:r>
    </w:p>
    <w:p w14:paraId="189339BD" w14:textId="77777777" w:rsidR="00F9632C" w:rsidRDefault="00F9632C" w:rsidP="00F9632C">
      <w:pPr>
        <w:pStyle w:val="FootnoteText"/>
        <w:numPr>
          <w:ilvl w:val="0"/>
          <w:numId w:val="4"/>
        </w:numPr>
      </w:pPr>
      <w:r w:rsidRPr="00BF3370">
        <w:t>A broker-dealer registered under federal [or state] securities laws or a registered representative of a broker-dealer;</w:t>
      </w:r>
    </w:p>
    <w:p w14:paraId="631AB4EA" w14:textId="77777777" w:rsidR="00F9632C" w:rsidRDefault="00F9632C" w:rsidP="00F9632C">
      <w:pPr>
        <w:pStyle w:val="FootnoteText"/>
        <w:numPr>
          <w:ilvl w:val="0"/>
          <w:numId w:val="4"/>
        </w:numPr>
      </w:pPr>
      <w:r w:rsidRPr="00BF3370">
        <w:t>An investment adviser registered under federal [or state] securities laws or an investment adviser representative associated with the federal [or state] registered investment adviser; or</w:t>
      </w:r>
    </w:p>
    <w:p w14:paraId="129B6A20" w14:textId="77777777" w:rsidR="00F9632C" w:rsidRDefault="00F9632C" w:rsidP="00F9632C">
      <w:pPr>
        <w:pStyle w:val="FootnoteText"/>
        <w:numPr>
          <w:ilvl w:val="0"/>
          <w:numId w:val="4"/>
        </w:numPr>
      </w:pPr>
      <w:r w:rsidRPr="00BF3370">
        <w:t>A plan fiduciary under Section 3(21) of the Employee Retirement Income Security Act of 1974 (ERISA) or fiduciary under Section 4975(e)(3) of the Internal Revenue Code (IRC) or any amendments or successor statutes thereto.</w:t>
      </w:r>
    </w:p>
  </w:footnote>
  <w:footnote w:id="4">
    <w:p w14:paraId="6F42FD6D" w14:textId="77777777" w:rsidR="00F9632C" w:rsidRPr="00476EFF" w:rsidRDefault="00F9632C" w:rsidP="00F9632C">
      <w:pPr>
        <w:pStyle w:val="FootnoteText"/>
      </w:pPr>
      <w:r>
        <w:rPr>
          <w:rStyle w:val="FootnoteReference"/>
        </w:rPr>
        <w:footnoteRef/>
      </w:r>
      <w:r>
        <w:t xml:space="preserve"> </w:t>
      </w:r>
      <w:r>
        <w:rPr>
          <w:i/>
        </w:rPr>
        <w:t>See</w:t>
      </w:r>
      <w:r>
        <w:t xml:space="preserve"> Section 6(E)(3)(a).</w:t>
      </w:r>
    </w:p>
  </w:footnote>
  <w:footnote w:id="5">
    <w:p w14:paraId="2870F768" w14:textId="32632A5F" w:rsidR="00FE413C" w:rsidRDefault="00FE413C">
      <w:pPr>
        <w:pStyle w:val="FootnoteText"/>
      </w:pPr>
      <w:r>
        <w:rPr>
          <w:rStyle w:val="FootnoteReference"/>
        </w:rPr>
        <w:footnoteRef/>
      </w:r>
      <w:r>
        <w:t xml:space="preserve"> </w:t>
      </w:r>
      <w:r w:rsidR="000F7A4E">
        <w:t>“</w:t>
      </w:r>
      <w:r>
        <w:t>Comparable standards</w:t>
      </w:r>
      <w:r w:rsidR="000F7A4E">
        <w:t>”</w:t>
      </w:r>
      <w:r>
        <w:t xml:space="preserve"> is def</w:t>
      </w:r>
      <w:r w:rsidR="00942A0C">
        <w:t>ined in the Model Regulation in Section 6(E)(5) to mean:</w:t>
      </w:r>
    </w:p>
    <w:p w14:paraId="10D00A1B" w14:textId="77777777" w:rsidR="00942A0C" w:rsidRDefault="00942A0C" w:rsidP="00942A0C">
      <w:pPr>
        <w:pStyle w:val="FootnoteText"/>
        <w:ind w:left="540" w:hanging="540"/>
      </w:pPr>
      <w:r w:rsidRPr="00942A0C">
        <w:t>(a) With respect to broker-dealers and registered representatives of broker-dealers, applicable SEC and FINRA rules pertaining to best interest obligations and supervision of annuity recommendations and sales, including, but not limited to, Regulation Best Interest and any amendments or successor regulations thereto;</w:t>
      </w:r>
    </w:p>
    <w:p w14:paraId="18205F90" w14:textId="77777777" w:rsidR="00942A0C" w:rsidRDefault="00942A0C" w:rsidP="00942A0C">
      <w:pPr>
        <w:pStyle w:val="FootnoteText"/>
        <w:ind w:left="540" w:hanging="540"/>
      </w:pPr>
      <w:r w:rsidRPr="00942A0C">
        <w:t>(b) With respect to investment advisers registered under federal [or state] securities laws or investment adviser representatives, the fiduciary duties and all other requirements imposed on such investment advisers or investment adviser representatives by contract or under the Investment Advisers Act of 1940 [or applicable state securities law], including but not limited to, the Form ADV and interpretations; and</w:t>
      </w:r>
    </w:p>
    <w:p w14:paraId="2CFEE22B" w14:textId="0DEC599E" w:rsidR="00942A0C" w:rsidRDefault="00942A0C" w:rsidP="00942A0C">
      <w:pPr>
        <w:pStyle w:val="FootnoteText"/>
        <w:ind w:left="540" w:hanging="540"/>
      </w:pPr>
      <w:r w:rsidRPr="00942A0C">
        <w:t xml:space="preserve">(c) With respect to plan fiduciaries or fiduciaries, means the duties, obligations, </w:t>
      </w:r>
      <w:r w:rsidR="008E36A2" w:rsidRPr="00942A0C">
        <w:t>prohibitions,</w:t>
      </w:r>
      <w:r w:rsidRPr="00942A0C">
        <w:t xml:space="preserve"> and all other requirements attendant to such status under ERISA or the IRC and any amendments or successor statutes thereto.</w:t>
      </w:r>
      <w:r w:rsidR="001D4183">
        <w:t xml:space="preserve"> </w:t>
      </w:r>
    </w:p>
  </w:footnote>
  <w:footnote w:id="6">
    <w:p w14:paraId="3A782A94" w14:textId="076C19A5" w:rsidR="007D193A" w:rsidRDefault="007D193A">
      <w:pPr>
        <w:pStyle w:val="FootnoteText"/>
      </w:pPr>
      <w:r>
        <w:rPr>
          <w:rStyle w:val="FootnoteReference"/>
        </w:rPr>
        <w:footnoteRef/>
      </w:r>
      <w:r>
        <w:t xml:space="preserve"> </w:t>
      </w:r>
      <w:hyperlink r:id="rId1" w:history="1">
        <w:r w:rsidRPr="00115AFA">
          <w:rPr>
            <w:rStyle w:val="Hyperlink"/>
          </w:rPr>
          <w:t>https://www.finra.org/finramanual/rules/r3110</w:t>
        </w:r>
      </w:hyperlink>
      <w:r w:rsidR="00F97D26">
        <w:t xml:space="preserve">; </w:t>
      </w:r>
      <w:hyperlink r:id="rId2" w:history="1">
        <w:r w:rsidR="00F97D26" w:rsidRPr="00115AFA">
          <w:rPr>
            <w:rStyle w:val="Hyperlink"/>
          </w:rPr>
          <w:t>https://www.finra.org/finramanual/rules/r3120</w:t>
        </w:r>
      </w:hyperlink>
      <w:r w:rsidR="00F97D26">
        <w:t>;</w:t>
      </w:r>
      <w:r w:rsidR="001D4183">
        <w:t xml:space="preserve"> </w:t>
      </w:r>
      <w:hyperlink r:id="rId3" w:history="1">
        <w:r w:rsidR="00F97D26" w:rsidRPr="00115AFA">
          <w:rPr>
            <w:rStyle w:val="Hyperlink"/>
          </w:rPr>
          <w:t>https://www.finra.org/finramanual/rules/r3130</w:t>
        </w:r>
      </w:hyperlink>
      <w:r w:rsidR="00F97D26">
        <w:t xml:space="preserve"> </w:t>
      </w:r>
    </w:p>
  </w:footnote>
  <w:footnote w:id="7">
    <w:p w14:paraId="6FDD7D10" w14:textId="22FF24C2" w:rsidR="004F51ED" w:rsidRDefault="004F51ED">
      <w:pPr>
        <w:pStyle w:val="FootnoteText"/>
      </w:pPr>
      <w:r>
        <w:rPr>
          <w:rStyle w:val="FootnoteReference"/>
        </w:rPr>
        <w:footnoteRef/>
      </w:r>
      <w:r>
        <w:t xml:space="preserve"> </w:t>
      </w:r>
      <w:r w:rsidR="00914776">
        <w:t>17 CFR 240.</w:t>
      </w:r>
      <w:r w:rsidR="00843907">
        <w:t>15l-1 (</w:t>
      </w:r>
      <w:r w:rsidR="00843907">
        <w:rPr>
          <w:rFonts w:cstheme="minorHAnsi"/>
        </w:rPr>
        <w:t>§</w:t>
      </w:r>
      <w:r w:rsidR="00843907">
        <w:t xml:space="preserve"> 240.15l-1 Regulation best interest) </w:t>
      </w:r>
    </w:p>
  </w:footnote>
  <w:footnote w:id="8">
    <w:p w14:paraId="1E5C409E" w14:textId="77777777" w:rsidR="00C906AF" w:rsidRDefault="00C906AF" w:rsidP="00C906AF">
      <w:pPr>
        <w:pStyle w:val="FootnoteText"/>
      </w:pPr>
      <w:r>
        <w:rPr>
          <w:rStyle w:val="FootnoteReference"/>
        </w:rPr>
        <w:footnoteRef/>
      </w:r>
      <w:r>
        <w:t xml:space="preserve"> Section </w:t>
      </w:r>
      <w:r w:rsidRPr="005F786E">
        <w:t>6(C)(3)(</w:t>
      </w:r>
      <w:r>
        <w:t>b</w:t>
      </w:r>
      <w:r w:rsidRPr="005F786E">
        <w:t>)</w:t>
      </w:r>
      <w:r>
        <w:t>(1).</w:t>
      </w:r>
    </w:p>
  </w:footnote>
  <w:footnote w:id="9">
    <w:p w14:paraId="7DD6DC75" w14:textId="4F5ED7A4" w:rsidR="00C76E5A" w:rsidRDefault="00C76E5A">
      <w:pPr>
        <w:pStyle w:val="FootnoteText"/>
      </w:pPr>
      <w:r>
        <w:rPr>
          <w:rStyle w:val="FootnoteReference"/>
        </w:rPr>
        <w:footnoteRef/>
      </w:r>
      <w:r>
        <w:t xml:space="preserve"> </w:t>
      </w:r>
      <w:r>
        <w:rPr>
          <w:i/>
        </w:rPr>
        <w:t xml:space="preserve">See </w:t>
      </w:r>
      <w:r>
        <w:t xml:space="preserve">Section 6(C)(1); </w:t>
      </w:r>
      <w:r>
        <w:rPr>
          <w:i/>
        </w:rPr>
        <w:t>see also</w:t>
      </w:r>
      <w:r>
        <w:t xml:space="preserve"> Section 6(E)(2)(“Nothing in </w:t>
      </w:r>
      <w:r w:rsidRPr="00B91D6D">
        <w:t>Paragraph (1) shall limit the insurer’s obligation to comply with Section 6(C)(1) of this regulation</w:t>
      </w:r>
      <w:r>
        <w:t>. . . .”</w:t>
      </w:r>
    </w:p>
  </w:footnote>
  <w:footnote w:id="10">
    <w:p w14:paraId="7AD2554A" w14:textId="23528879" w:rsidR="00A92493" w:rsidRDefault="00A92493">
      <w:pPr>
        <w:pStyle w:val="FootnoteText"/>
      </w:pPr>
      <w:r>
        <w:rPr>
          <w:rStyle w:val="FootnoteReference"/>
        </w:rPr>
        <w:footnoteRef/>
      </w:r>
      <w:r>
        <w:t xml:space="preserve"> Section 6(C)(2).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4353" w14:textId="72F6BDAB" w:rsidR="00E80A58" w:rsidRDefault="00E80A58">
    <w:pPr>
      <w:pStyle w:val="Header"/>
    </w:pPr>
    <w:r>
      <w:t xml:space="preserve">Chair Draft – September </w:t>
    </w:r>
    <w:r w:rsidR="004B227F">
      <w:t>2</w:t>
    </w:r>
    <w:r w:rsidR="00BC0A00">
      <w:t>3</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E299F"/>
    <w:multiLevelType w:val="hybridMultilevel"/>
    <w:tmpl w:val="44C49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869B3"/>
    <w:multiLevelType w:val="hybridMultilevel"/>
    <w:tmpl w:val="997C9DCC"/>
    <w:lvl w:ilvl="0" w:tplc="91F28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27FCB"/>
    <w:multiLevelType w:val="multilevel"/>
    <w:tmpl w:val="DD6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72305"/>
    <w:multiLevelType w:val="hybridMultilevel"/>
    <w:tmpl w:val="82C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B7FC7"/>
    <w:multiLevelType w:val="multilevel"/>
    <w:tmpl w:val="6E94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51614"/>
    <w:multiLevelType w:val="multilevel"/>
    <w:tmpl w:val="62D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958170">
    <w:abstractNumId w:val="5"/>
  </w:num>
  <w:num w:numId="2" w16cid:durableId="116222748">
    <w:abstractNumId w:val="4"/>
  </w:num>
  <w:num w:numId="3" w16cid:durableId="603881048">
    <w:abstractNumId w:val="2"/>
  </w:num>
  <w:num w:numId="4" w16cid:durableId="657344549">
    <w:abstractNumId w:val="1"/>
  </w:num>
  <w:num w:numId="5" w16cid:durableId="663360744">
    <w:abstractNumId w:val="3"/>
  </w:num>
  <w:num w:numId="6" w16cid:durableId="173365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AE"/>
    <w:rsid w:val="00057A8C"/>
    <w:rsid w:val="000928E1"/>
    <w:rsid w:val="000A4E6C"/>
    <w:rsid w:val="000B3B4F"/>
    <w:rsid w:val="000B4DA8"/>
    <w:rsid w:val="000E1DCE"/>
    <w:rsid w:val="000E3AC3"/>
    <w:rsid w:val="000E67E9"/>
    <w:rsid w:val="000F7A4E"/>
    <w:rsid w:val="0016427F"/>
    <w:rsid w:val="00186E38"/>
    <w:rsid w:val="00190CBF"/>
    <w:rsid w:val="001919F8"/>
    <w:rsid w:val="001B4AD2"/>
    <w:rsid w:val="001D136F"/>
    <w:rsid w:val="001D4183"/>
    <w:rsid w:val="001D7CD6"/>
    <w:rsid w:val="00205EB1"/>
    <w:rsid w:val="002227B1"/>
    <w:rsid w:val="00247F65"/>
    <w:rsid w:val="0025618A"/>
    <w:rsid w:val="002629AE"/>
    <w:rsid w:val="0026734B"/>
    <w:rsid w:val="002C20FB"/>
    <w:rsid w:val="003078BC"/>
    <w:rsid w:val="00307B3C"/>
    <w:rsid w:val="00331F79"/>
    <w:rsid w:val="00372CD5"/>
    <w:rsid w:val="0038470F"/>
    <w:rsid w:val="00386AA2"/>
    <w:rsid w:val="003B2F0B"/>
    <w:rsid w:val="003C17A6"/>
    <w:rsid w:val="003C7DAE"/>
    <w:rsid w:val="003E73CF"/>
    <w:rsid w:val="00415A17"/>
    <w:rsid w:val="00454FEB"/>
    <w:rsid w:val="0046638E"/>
    <w:rsid w:val="00476EFF"/>
    <w:rsid w:val="004807E1"/>
    <w:rsid w:val="00485450"/>
    <w:rsid w:val="00490BA6"/>
    <w:rsid w:val="00494F3F"/>
    <w:rsid w:val="004A6136"/>
    <w:rsid w:val="004B227F"/>
    <w:rsid w:val="004E1025"/>
    <w:rsid w:val="004F0312"/>
    <w:rsid w:val="004F1F15"/>
    <w:rsid w:val="004F51ED"/>
    <w:rsid w:val="004F57BF"/>
    <w:rsid w:val="00517EB7"/>
    <w:rsid w:val="00561789"/>
    <w:rsid w:val="00567318"/>
    <w:rsid w:val="00573FC7"/>
    <w:rsid w:val="005775F5"/>
    <w:rsid w:val="005903A5"/>
    <w:rsid w:val="005C4656"/>
    <w:rsid w:val="005F786E"/>
    <w:rsid w:val="006259E7"/>
    <w:rsid w:val="0062721A"/>
    <w:rsid w:val="006358E4"/>
    <w:rsid w:val="00640FAD"/>
    <w:rsid w:val="00644159"/>
    <w:rsid w:val="0064719B"/>
    <w:rsid w:val="00657B25"/>
    <w:rsid w:val="0067634B"/>
    <w:rsid w:val="00685DD2"/>
    <w:rsid w:val="006A4E2D"/>
    <w:rsid w:val="007006EC"/>
    <w:rsid w:val="00727A71"/>
    <w:rsid w:val="00746108"/>
    <w:rsid w:val="007519C7"/>
    <w:rsid w:val="007639C9"/>
    <w:rsid w:val="00775C77"/>
    <w:rsid w:val="00775DD6"/>
    <w:rsid w:val="0079173D"/>
    <w:rsid w:val="007A23E3"/>
    <w:rsid w:val="007B7C9D"/>
    <w:rsid w:val="007C3FC5"/>
    <w:rsid w:val="007D193A"/>
    <w:rsid w:val="007D68CB"/>
    <w:rsid w:val="007E5A75"/>
    <w:rsid w:val="00843907"/>
    <w:rsid w:val="00850C1C"/>
    <w:rsid w:val="00860D0A"/>
    <w:rsid w:val="00863BFF"/>
    <w:rsid w:val="008A71CF"/>
    <w:rsid w:val="008D2FCF"/>
    <w:rsid w:val="008E36A2"/>
    <w:rsid w:val="00914776"/>
    <w:rsid w:val="0091755D"/>
    <w:rsid w:val="00935566"/>
    <w:rsid w:val="00942A0C"/>
    <w:rsid w:val="009511BB"/>
    <w:rsid w:val="00952198"/>
    <w:rsid w:val="00971E60"/>
    <w:rsid w:val="0098071E"/>
    <w:rsid w:val="009A0B55"/>
    <w:rsid w:val="009B7304"/>
    <w:rsid w:val="009C47F1"/>
    <w:rsid w:val="009E1B75"/>
    <w:rsid w:val="00A17CAE"/>
    <w:rsid w:val="00A32FB2"/>
    <w:rsid w:val="00A634A2"/>
    <w:rsid w:val="00A92493"/>
    <w:rsid w:val="00A97465"/>
    <w:rsid w:val="00AD2E4A"/>
    <w:rsid w:val="00B44E97"/>
    <w:rsid w:val="00B62825"/>
    <w:rsid w:val="00B77DFF"/>
    <w:rsid w:val="00B8435C"/>
    <w:rsid w:val="00B91780"/>
    <w:rsid w:val="00B91D6D"/>
    <w:rsid w:val="00BA0B20"/>
    <w:rsid w:val="00BA505D"/>
    <w:rsid w:val="00BB45D0"/>
    <w:rsid w:val="00BB7086"/>
    <w:rsid w:val="00BC0A00"/>
    <w:rsid w:val="00BE5FDC"/>
    <w:rsid w:val="00BE7AE9"/>
    <w:rsid w:val="00BF3370"/>
    <w:rsid w:val="00BF33E6"/>
    <w:rsid w:val="00C17000"/>
    <w:rsid w:val="00C45ADA"/>
    <w:rsid w:val="00C545BE"/>
    <w:rsid w:val="00C7284A"/>
    <w:rsid w:val="00C76550"/>
    <w:rsid w:val="00C76E5A"/>
    <w:rsid w:val="00C805CC"/>
    <w:rsid w:val="00C906AF"/>
    <w:rsid w:val="00CA56A6"/>
    <w:rsid w:val="00D02B31"/>
    <w:rsid w:val="00D17A19"/>
    <w:rsid w:val="00DA5704"/>
    <w:rsid w:val="00DA6FF8"/>
    <w:rsid w:val="00DC047B"/>
    <w:rsid w:val="00DE729A"/>
    <w:rsid w:val="00E556AA"/>
    <w:rsid w:val="00E73803"/>
    <w:rsid w:val="00E77A61"/>
    <w:rsid w:val="00E80A58"/>
    <w:rsid w:val="00E95504"/>
    <w:rsid w:val="00ED6275"/>
    <w:rsid w:val="00EE2EAB"/>
    <w:rsid w:val="00F00EC2"/>
    <w:rsid w:val="00F07083"/>
    <w:rsid w:val="00F23C94"/>
    <w:rsid w:val="00F30B48"/>
    <w:rsid w:val="00F52612"/>
    <w:rsid w:val="00F72D03"/>
    <w:rsid w:val="00F9632C"/>
    <w:rsid w:val="00F97D26"/>
    <w:rsid w:val="00FA378C"/>
    <w:rsid w:val="00FA7A88"/>
    <w:rsid w:val="00FB4898"/>
    <w:rsid w:val="00FD4686"/>
    <w:rsid w:val="00FE413C"/>
    <w:rsid w:val="00FF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7ACF"/>
  <w15:chartTrackingRefBased/>
  <w15:docId w15:val="{850EBB68-6012-4DFF-B1B3-E7A7344A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4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4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41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1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41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413C"/>
    <w:rPr>
      <w:rFonts w:ascii="Times New Roman" w:eastAsia="Times New Roman" w:hAnsi="Times New Roman" w:cs="Times New Roman"/>
      <w:b/>
      <w:bCs/>
      <w:sz w:val="27"/>
      <w:szCs w:val="27"/>
    </w:rPr>
  </w:style>
  <w:style w:type="character" w:customStyle="1" w:styleId="red-title">
    <w:name w:val="red-title"/>
    <w:basedOn w:val="DefaultParagraphFont"/>
    <w:rsid w:val="00FE413C"/>
  </w:style>
  <w:style w:type="paragraph" w:styleId="NormalWeb">
    <w:name w:val="Normal (Web)"/>
    <w:basedOn w:val="Normal"/>
    <w:uiPriority w:val="99"/>
    <w:semiHidden/>
    <w:unhideWhenUsed/>
    <w:rsid w:val="00FE41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13C"/>
    <w:rPr>
      <w:i/>
      <w:iCs/>
    </w:rPr>
  </w:style>
  <w:style w:type="character" w:styleId="Hyperlink">
    <w:name w:val="Hyperlink"/>
    <w:basedOn w:val="DefaultParagraphFont"/>
    <w:uiPriority w:val="99"/>
    <w:unhideWhenUsed/>
    <w:rsid w:val="00FE413C"/>
    <w:rPr>
      <w:color w:val="0000FF"/>
      <w:u w:val="single"/>
    </w:rPr>
  </w:style>
  <w:style w:type="character" w:styleId="Strong">
    <w:name w:val="Strong"/>
    <w:basedOn w:val="DefaultParagraphFont"/>
    <w:uiPriority w:val="22"/>
    <w:qFormat/>
    <w:rsid w:val="00FE413C"/>
    <w:rPr>
      <w:b/>
      <w:bCs/>
    </w:rPr>
  </w:style>
  <w:style w:type="paragraph" w:styleId="FootnoteText">
    <w:name w:val="footnote text"/>
    <w:basedOn w:val="Normal"/>
    <w:link w:val="FootnoteTextChar"/>
    <w:uiPriority w:val="99"/>
    <w:semiHidden/>
    <w:unhideWhenUsed/>
    <w:rsid w:val="00FE4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13C"/>
    <w:rPr>
      <w:sz w:val="20"/>
      <w:szCs w:val="20"/>
    </w:rPr>
  </w:style>
  <w:style w:type="character" w:styleId="FootnoteReference">
    <w:name w:val="footnote reference"/>
    <w:basedOn w:val="DefaultParagraphFont"/>
    <w:uiPriority w:val="99"/>
    <w:semiHidden/>
    <w:unhideWhenUsed/>
    <w:rsid w:val="00FE413C"/>
    <w:rPr>
      <w:vertAlign w:val="superscript"/>
    </w:rPr>
  </w:style>
  <w:style w:type="paragraph" w:styleId="ListParagraph">
    <w:name w:val="List Paragraph"/>
    <w:basedOn w:val="Normal"/>
    <w:uiPriority w:val="34"/>
    <w:qFormat/>
    <w:rsid w:val="00F30B48"/>
    <w:pPr>
      <w:ind w:left="720"/>
      <w:contextualSpacing/>
    </w:pPr>
  </w:style>
  <w:style w:type="character" w:styleId="CommentReference">
    <w:name w:val="annotation reference"/>
    <w:basedOn w:val="DefaultParagraphFont"/>
    <w:uiPriority w:val="99"/>
    <w:semiHidden/>
    <w:unhideWhenUsed/>
    <w:rsid w:val="00727A71"/>
    <w:rPr>
      <w:sz w:val="16"/>
      <w:szCs w:val="16"/>
    </w:rPr>
  </w:style>
  <w:style w:type="paragraph" w:styleId="CommentText">
    <w:name w:val="annotation text"/>
    <w:basedOn w:val="Normal"/>
    <w:link w:val="CommentTextChar"/>
    <w:uiPriority w:val="99"/>
    <w:unhideWhenUsed/>
    <w:rsid w:val="00727A71"/>
    <w:pPr>
      <w:spacing w:line="240" w:lineRule="auto"/>
    </w:pPr>
    <w:rPr>
      <w:sz w:val="20"/>
      <w:szCs w:val="20"/>
    </w:rPr>
  </w:style>
  <w:style w:type="character" w:customStyle="1" w:styleId="CommentTextChar">
    <w:name w:val="Comment Text Char"/>
    <w:basedOn w:val="DefaultParagraphFont"/>
    <w:link w:val="CommentText"/>
    <w:uiPriority w:val="99"/>
    <w:rsid w:val="00727A71"/>
    <w:rPr>
      <w:sz w:val="20"/>
      <w:szCs w:val="20"/>
    </w:rPr>
  </w:style>
  <w:style w:type="paragraph" w:styleId="CommentSubject">
    <w:name w:val="annotation subject"/>
    <w:basedOn w:val="CommentText"/>
    <w:next w:val="CommentText"/>
    <w:link w:val="CommentSubjectChar"/>
    <w:uiPriority w:val="99"/>
    <w:semiHidden/>
    <w:unhideWhenUsed/>
    <w:rsid w:val="00727A71"/>
    <w:rPr>
      <w:b/>
      <w:bCs/>
    </w:rPr>
  </w:style>
  <w:style w:type="character" w:customStyle="1" w:styleId="CommentSubjectChar">
    <w:name w:val="Comment Subject Char"/>
    <w:basedOn w:val="CommentTextChar"/>
    <w:link w:val="CommentSubject"/>
    <w:uiPriority w:val="99"/>
    <w:semiHidden/>
    <w:rsid w:val="00727A71"/>
    <w:rPr>
      <w:b/>
      <w:bCs/>
      <w:sz w:val="20"/>
      <w:szCs w:val="20"/>
    </w:rPr>
  </w:style>
  <w:style w:type="paragraph" w:styleId="BalloonText">
    <w:name w:val="Balloon Text"/>
    <w:basedOn w:val="Normal"/>
    <w:link w:val="BalloonTextChar"/>
    <w:uiPriority w:val="99"/>
    <w:semiHidden/>
    <w:unhideWhenUsed/>
    <w:rsid w:val="0072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A71"/>
    <w:rPr>
      <w:rFonts w:ascii="Segoe UI" w:hAnsi="Segoe UI" w:cs="Segoe UI"/>
      <w:sz w:val="18"/>
      <w:szCs w:val="18"/>
    </w:rPr>
  </w:style>
  <w:style w:type="paragraph" w:styleId="Revision">
    <w:name w:val="Revision"/>
    <w:hidden/>
    <w:uiPriority w:val="99"/>
    <w:semiHidden/>
    <w:rsid w:val="00567318"/>
    <w:pPr>
      <w:spacing w:after="0" w:line="240" w:lineRule="auto"/>
    </w:pPr>
  </w:style>
  <w:style w:type="character" w:styleId="UnresolvedMention">
    <w:name w:val="Unresolved Mention"/>
    <w:basedOn w:val="DefaultParagraphFont"/>
    <w:uiPriority w:val="99"/>
    <w:semiHidden/>
    <w:unhideWhenUsed/>
    <w:rsid w:val="007D193A"/>
    <w:rPr>
      <w:color w:val="605E5C"/>
      <w:shd w:val="clear" w:color="auto" w:fill="E1DFDD"/>
    </w:rPr>
  </w:style>
  <w:style w:type="character" w:styleId="FollowedHyperlink">
    <w:name w:val="FollowedHyperlink"/>
    <w:basedOn w:val="DefaultParagraphFont"/>
    <w:uiPriority w:val="99"/>
    <w:semiHidden/>
    <w:unhideWhenUsed/>
    <w:rsid w:val="000A4E6C"/>
    <w:rPr>
      <w:color w:val="954F72" w:themeColor="followedHyperlink"/>
      <w:u w:val="single"/>
    </w:rPr>
  </w:style>
  <w:style w:type="paragraph" w:styleId="Header">
    <w:name w:val="header"/>
    <w:basedOn w:val="Normal"/>
    <w:link w:val="HeaderChar"/>
    <w:uiPriority w:val="99"/>
    <w:unhideWhenUsed/>
    <w:rsid w:val="00E8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A58"/>
  </w:style>
  <w:style w:type="paragraph" w:styleId="Footer">
    <w:name w:val="footer"/>
    <w:basedOn w:val="Normal"/>
    <w:link w:val="FooterChar"/>
    <w:uiPriority w:val="99"/>
    <w:unhideWhenUsed/>
    <w:rsid w:val="00E8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433756">
      <w:bodyDiv w:val="1"/>
      <w:marLeft w:val="0"/>
      <w:marRight w:val="0"/>
      <w:marTop w:val="0"/>
      <w:marBottom w:val="0"/>
      <w:divBdr>
        <w:top w:val="none" w:sz="0" w:space="0" w:color="auto"/>
        <w:left w:val="none" w:sz="0" w:space="0" w:color="auto"/>
        <w:bottom w:val="none" w:sz="0" w:space="0" w:color="auto"/>
        <w:right w:val="none" w:sz="0" w:space="0" w:color="auto"/>
      </w:divBdr>
      <w:divsChild>
        <w:div w:id="1369182382">
          <w:marLeft w:val="-225"/>
          <w:marRight w:val="-225"/>
          <w:marTop w:val="0"/>
          <w:marBottom w:val="0"/>
          <w:divBdr>
            <w:top w:val="none" w:sz="0" w:space="0" w:color="auto"/>
            <w:left w:val="none" w:sz="0" w:space="0" w:color="auto"/>
            <w:bottom w:val="none" w:sz="0" w:space="0" w:color="auto"/>
            <w:right w:val="none" w:sz="0" w:space="0" w:color="auto"/>
          </w:divBdr>
          <w:divsChild>
            <w:div w:id="785194415">
              <w:marLeft w:val="0"/>
              <w:marRight w:val="0"/>
              <w:marTop w:val="0"/>
              <w:marBottom w:val="0"/>
              <w:divBdr>
                <w:top w:val="none" w:sz="0" w:space="0" w:color="auto"/>
                <w:left w:val="none" w:sz="0" w:space="0" w:color="auto"/>
                <w:bottom w:val="none" w:sz="0" w:space="0" w:color="auto"/>
                <w:right w:val="none" w:sz="0" w:space="0" w:color="auto"/>
              </w:divBdr>
              <w:divsChild>
                <w:div w:id="1363748968">
                  <w:marLeft w:val="0"/>
                  <w:marRight w:val="0"/>
                  <w:marTop w:val="0"/>
                  <w:marBottom w:val="0"/>
                  <w:divBdr>
                    <w:top w:val="none" w:sz="0" w:space="0" w:color="auto"/>
                    <w:left w:val="none" w:sz="0" w:space="0" w:color="auto"/>
                    <w:bottom w:val="none" w:sz="0" w:space="0" w:color="auto"/>
                    <w:right w:val="none" w:sz="0" w:space="0" w:color="auto"/>
                  </w:divBdr>
                  <w:divsChild>
                    <w:div w:id="461576890">
                      <w:marLeft w:val="0"/>
                      <w:marRight w:val="0"/>
                      <w:marTop w:val="0"/>
                      <w:marBottom w:val="0"/>
                      <w:divBdr>
                        <w:top w:val="none" w:sz="0" w:space="0" w:color="auto"/>
                        <w:left w:val="none" w:sz="0" w:space="0" w:color="auto"/>
                        <w:bottom w:val="none" w:sz="0" w:space="0" w:color="auto"/>
                        <w:right w:val="none" w:sz="0" w:space="0" w:color="auto"/>
                      </w:divBdr>
                      <w:divsChild>
                        <w:div w:id="801849189">
                          <w:marLeft w:val="0"/>
                          <w:marRight w:val="0"/>
                          <w:marTop w:val="0"/>
                          <w:marBottom w:val="0"/>
                          <w:divBdr>
                            <w:top w:val="none" w:sz="0" w:space="0" w:color="auto"/>
                            <w:left w:val="none" w:sz="0" w:space="0" w:color="auto"/>
                            <w:bottom w:val="none" w:sz="0" w:space="0" w:color="auto"/>
                            <w:right w:val="none" w:sz="0" w:space="0" w:color="auto"/>
                          </w:divBdr>
                        </w:div>
                      </w:divsChild>
                    </w:div>
                    <w:div w:id="456681278">
                      <w:marLeft w:val="0"/>
                      <w:marRight w:val="0"/>
                      <w:marTop w:val="0"/>
                      <w:marBottom w:val="0"/>
                      <w:divBdr>
                        <w:top w:val="none" w:sz="0" w:space="0" w:color="auto"/>
                        <w:left w:val="none" w:sz="0" w:space="0" w:color="auto"/>
                        <w:bottom w:val="none" w:sz="0" w:space="0" w:color="auto"/>
                        <w:right w:val="none" w:sz="0" w:space="0" w:color="auto"/>
                      </w:divBdr>
                      <w:divsChild>
                        <w:div w:id="1089498854">
                          <w:marLeft w:val="0"/>
                          <w:marRight w:val="0"/>
                          <w:marTop w:val="0"/>
                          <w:marBottom w:val="0"/>
                          <w:divBdr>
                            <w:top w:val="none" w:sz="0" w:space="0" w:color="auto"/>
                            <w:left w:val="none" w:sz="0" w:space="0" w:color="auto"/>
                            <w:bottom w:val="none" w:sz="0" w:space="0" w:color="auto"/>
                            <w:right w:val="none" w:sz="0" w:space="0" w:color="auto"/>
                          </w:divBdr>
                          <w:divsChild>
                            <w:div w:id="1768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25">
                      <w:marLeft w:val="0"/>
                      <w:marRight w:val="0"/>
                      <w:marTop w:val="0"/>
                      <w:marBottom w:val="0"/>
                      <w:divBdr>
                        <w:top w:val="none" w:sz="0" w:space="0" w:color="auto"/>
                        <w:left w:val="none" w:sz="0" w:space="0" w:color="auto"/>
                        <w:bottom w:val="none" w:sz="0" w:space="0" w:color="auto"/>
                        <w:right w:val="none" w:sz="0" w:space="0" w:color="auto"/>
                      </w:divBdr>
                      <w:divsChild>
                        <w:div w:id="1855074816">
                          <w:marLeft w:val="0"/>
                          <w:marRight w:val="0"/>
                          <w:marTop w:val="0"/>
                          <w:marBottom w:val="0"/>
                          <w:divBdr>
                            <w:top w:val="none" w:sz="0" w:space="0" w:color="auto"/>
                            <w:left w:val="none" w:sz="0" w:space="0" w:color="auto"/>
                            <w:bottom w:val="none" w:sz="0" w:space="0" w:color="auto"/>
                            <w:right w:val="none" w:sz="0" w:space="0" w:color="auto"/>
                          </w:divBdr>
                          <w:divsChild>
                            <w:div w:id="535896322">
                              <w:marLeft w:val="0"/>
                              <w:marRight w:val="0"/>
                              <w:marTop w:val="0"/>
                              <w:marBottom w:val="0"/>
                              <w:divBdr>
                                <w:top w:val="none" w:sz="0" w:space="0" w:color="auto"/>
                                <w:left w:val="none" w:sz="0" w:space="0" w:color="auto"/>
                                <w:bottom w:val="none" w:sz="0" w:space="0" w:color="auto"/>
                                <w:right w:val="none" w:sz="0" w:space="0" w:color="auto"/>
                              </w:divBdr>
                              <w:divsChild>
                                <w:div w:id="1514491672">
                                  <w:marLeft w:val="0"/>
                                  <w:marRight w:val="0"/>
                                  <w:marTop w:val="0"/>
                                  <w:marBottom w:val="0"/>
                                  <w:divBdr>
                                    <w:top w:val="none" w:sz="0" w:space="0" w:color="auto"/>
                                    <w:left w:val="none" w:sz="0" w:space="0" w:color="auto"/>
                                    <w:bottom w:val="none" w:sz="0" w:space="0" w:color="auto"/>
                                    <w:right w:val="none" w:sz="0" w:space="0" w:color="auto"/>
                                  </w:divBdr>
                                </w:div>
                                <w:div w:id="19712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59202">
                      <w:marLeft w:val="0"/>
                      <w:marRight w:val="0"/>
                      <w:marTop w:val="0"/>
                      <w:marBottom w:val="0"/>
                      <w:divBdr>
                        <w:top w:val="none" w:sz="0" w:space="0" w:color="auto"/>
                        <w:left w:val="none" w:sz="0" w:space="0" w:color="auto"/>
                        <w:bottom w:val="none" w:sz="0" w:space="0" w:color="auto"/>
                        <w:right w:val="none" w:sz="0" w:space="0" w:color="auto"/>
                      </w:divBdr>
                      <w:divsChild>
                        <w:div w:id="821315651">
                          <w:marLeft w:val="0"/>
                          <w:marRight w:val="0"/>
                          <w:marTop w:val="0"/>
                          <w:marBottom w:val="0"/>
                          <w:divBdr>
                            <w:top w:val="none" w:sz="0" w:space="0" w:color="auto"/>
                            <w:left w:val="none" w:sz="0" w:space="0" w:color="auto"/>
                            <w:bottom w:val="none" w:sz="0" w:space="0" w:color="auto"/>
                            <w:right w:val="none" w:sz="0" w:space="0" w:color="auto"/>
                          </w:divBdr>
                          <w:divsChild>
                            <w:div w:id="14863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993">
          <w:marLeft w:val="-225"/>
          <w:marRight w:val="-225"/>
          <w:marTop w:val="0"/>
          <w:marBottom w:val="0"/>
          <w:divBdr>
            <w:top w:val="none" w:sz="0" w:space="0" w:color="auto"/>
            <w:left w:val="none" w:sz="0" w:space="0" w:color="auto"/>
            <w:bottom w:val="none" w:sz="0" w:space="0" w:color="auto"/>
            <w:right w:val="none" w:sz="0" w:space="0" w:color="auto"/>
          </w:divBdr>
          <w:divsChild>
            <w:div w:id="473715784">
              <w:marLeft w:val="0"/>
              <w:marRight w:val="0"/>
              <w:marTop w:val="0"/>
              <w:marBottom w:val="0"/>
              <w:divBdr>
                <w:top w:val="none" w:sz="0" w:space="0" w:color="auto"/>
                <w:left w:val="none" w:sz="0" w:space="0" w:color="auto"/>
                <w:bottom w:val="none" w:sz="0" w:space="0" w:color="auto"/>
                <w:right w:val="none" w:sz="0" w:space="0" w:color="auto"/>
              </w:divBdr>
              <w:divsChild>
                <w:div w:id="1180267792">
                  <w:marLeft w:val="0"/>
                  <w:marRight w:val="0"/>
                  <w:marTop w:val="0"/>
                  <w:marBottom w:val="0"/>
                  <w:divBdr>
                    <w:top w:val="none" w:sz="0" w:space="0" w:color="auto"/>
                    <w:left w:val="none" w:sz="0" w:space="0" w:color="auto"/>
                    <w:bottom w:val="none" w:sz="0" w:space="0" w:color="auto"/>
                    <w:right w:val="none" w:sz="0" w:space="0" w:color="auto"/>
                  </w:divBdr>
                  <w:divsChild>
                    <w:div w:id="1008484455">
                      <w:marLeft w:val="0"/>
                      <w:marRight w:val="0"/>
                      <w:marTop w:val="0"/>
                      <w:marBottom w:val="0"/>
                      <w:divBdr>
                        <w:top w:val="none" w:sz="0" w:space="0" w:color="auto"/>
                        <w:left w:val="none" w:sz="0" w:space="0" w:color="auto"/>
                        <w:bottom w:val="none" w:sz="0" w:space="0" w:color="auto"/>
                        <w:right w:val="none" w:sz="0" w:space="0" w:color="auto"/>
                      </w:divBdr>
                      <w:divsChild>
                        <w:div w:id="743800662">
                          <w:marLeft w:val="0"/>
                          <w:marRight w:val="0"/>
                          <w:marTop w:val="0"/>
                          <w:marBottom w:val="0"/>
                          <w:divBdr>
                            <w:top w:val="none" w:sz="0" w:space="0" w:color="auto"/>
                            <w:left w:val="none" w:sz="0" w:space="0" w:color="auto"/>
                            <w:bottom w:val="none" w:sz="0" w:space="0" w:color="auto"/>
                            <w:right w:val="none" w:sz="0" w:space="0" w:color="auto"/>
                          </w:divBdr>
                          <w:divsChild>
                            <w:div w:id="1439443598">
                              <w:marLeft w:val="0"/>
                              <w:marRight w:val="0"/>
                              <w:marTop w:val="0"/>
                              <w:marBottom w:val="0"/>
                              <w:divBdr>
                                <w:top w:val="none" w:sz="0" w:space="0" w:color="auto"/>
                                <w:left w:val="none" w:sz="0" w:space="0" w:color="auto"/>
                                <w:bottom w:val="none" w:sz="0" w:space="0" w:color="auto"/>
                                <w:right w:val="none" w:sz="0" w:space="0" w:color="auto"/>
                              </w:divBdr>
                              <w:divsChild>
                                <w:div w:id="1906333227">
                                  <w:marLeft w:val="0"/>
                                  <w:marRight w:val="0"/>
                                  <w:marTop w:val="0"/>
                                  <w:marBottom w:val="0"/>
                                  <w:divBdr>
                                    <w:top w:val="none" w:sz="0" w:space="0" w:color="auto"/>
                                    <w:left w:val="none" w:sz="0" w:space="0" w:color="auto"/>
                                    <w:bottom w:val="none" w:sz="0" w:space="0" w:color="auto"/>
                                    <w:right w:val="none" w:sz="0" w:space="0" w:color="auto"/>
                                  </w:divBdr>
                                  <w:divsChild>
                                    <w:div w:id="1706055432">
                                      <w:marLeft w:val="0"/>
                                      <w:marRight w:val="0"/>
                                      <w:marTop w:val="0"/>
                                      <w:marBottom w:val="0"/>
                                      <w:divBdr>
                                        <w:top w:val="none" w:sz="0" w:space="0" w:color="auto"/>
                                        <w:left w:val="none" w:sz="0" w:space="0" w:color="auto"/>
                                        <w:bottom w:val="none" w:sz="0" w:space="0" w:color="auto"/>
                                        <w:right w:val="none" w:sz="0" w:space="0" w:color="auto"/>
                                      </w:divBdr>
                                      <w:divsChild>
                                        <w:div w:id="905264145">
                                          <w:marLeft w:val="0"/>
                                          <w:marRight w:val="0"/>
                                          <w:marTop w:val="0"/>
                                          <w:marBottom w:val="0"/>
                                          <w:divBdr>
                                            <w:top w:val="none" w:sz="0" w:space="0" w:color="auto"/>
                                            <w:left w:val="none" w:sz="0" w:space="0" w:color="auto"/>
                                            <w:bottom w:val="none" w:sz="0" w:space="0" w:color="auto"/>
                                            <w:right w:val="none" w:sz="0" w:space="0" w:color="auto"/>
                                          </w:divBdr>
                                          <w:divsChild>
                                            <w:div w:id="2134247115">
                                              <w:marLeft w:val="0"/>
                                              <w:marRight w:val="0"/>
                                              <w:marTop w:val="0"/>
                                              <w:marBottom w:val="0"/>
                                              <w:divBdr>
                                                <w:top w:val="none" w:sz="0" w:space="0" w:color="auto"/>
                                                <w:left w:val="none" w:sz="0" w:space="0" w:color="auto"/>
                                                <w:bottom w:val="none" w:sz="0" w:space="0" w:color="auto"/>
                                                <w:right w:val="none" w:sz="0" w:space="0" w:color="auto"/>
                                              </w:divBdr>
                                              <w:divsChild>
                                                <w:div w:id="1275550546">
                                                  <w:marLeft w:val="0"/>
                                                  <w:marRight w:val="0"/>
                                                  <w:marTop w:val="0"/>
                                                  <w:marBottom w:val="0"/>
                                                  <w:divBdr>
                                                    <w:top w:val="none" w:sz="0" w:space="0" w:color="auto"/>
                                                    <w:left w:val="none" w:sz="0" w:space="0" w:color="auto"/>
                                                    <w:bottom w:val="none" w:sz="0" w:space="0" w:color="auto"/>
                                                    <w:right w:val="none" w:sz="0" w:space="0" w:color="auto"/>
                                                  </w:divBdr>
                                                  <w:divsChild>
                                                    <w:div w:id="5776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7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tthews@nai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inra.org/finramanual/rules/r3130" TargetMode="External"/><Relationship Id="rId2" Type="http://schemas.openxmlformats.org/officeDocument/2006/relationships/hyperlink" Target="https://www.finra.org/finramanual/rules/r3120" TargetMode="External"/><Relationship Id="rId1" Type="http://schemas.openxmlformats.org/officeDocument/2006/relationships/hyperlink" Target="https://www.finra.org/finramanual/rules/r3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5AAE-3C0A-4099-807E-6444B9BE1600}">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33</TotalTime>
  <Pages>8</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Hartnett, Andrew</dc:creator>
  <cp:keywords/>
  <dc:description/>
  <cp:lastModifiedBy>Matthews, Jolie</cp:lastModifiedBy>
  <cp:revision>12</cp:revision>
  <dcterms:created xsi:type="dcterms:W3CDTF">2024-09-20T19:01:00Z</dcterms:created>
  <dcterms:modified xsi:type="dcterms:W3CDTF">2024-09-25T19:42:00Z</dcterms:modified>
</cp:coreProperties>
</file>