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2AD7" w14:textId="77777777" w:rsidR="00844245" w:rsidRDefault="00E61BAF">
      <w:pPr>
        <w:pStyle w:val="Title"/>
      </w:pPr>
      <w:r>
        <w:t>Chapter</w:t>
      </w:r>
      <w:r>
        <w:rPr>
          <w:spacing w:val="-9"/>
        </w:rPr>
        <w:t xml:space="preserve"> </w:t>
      </w:r>
      <w:r>
        <w:rPr>
          <w:spacing w:val="-5"/>
        </w:rPr>
        <w:t>24</w:t>
      </w:r>
    </w:p>
    <w:p w14:paraId="4B96543E" w14:textId="77777777" w:rsidR="00844245" w:rsidRDefault="00E61BAF">
      <w:pPr>
        <w:pStyle w:val="Title"/>
        <w:spacing w:before="229"/>
      </w:pPr>
      <w:r>
        <w:t>Managing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2"/>
        </w:rPr>
        <w:t>Agents</w:t>
      </w:r>
    </w:p>
    <w:p w14:paraId="612ABC11" w14:textId="77777777" w:rsidR="00844245" w:rsidRDefault="00844245">
      <w:pPr>
        <w:pStyle w:val="BodyText"/>
        <w:spacing w:before="49"/>
        <w:rPr>
          <w:b/>
        </w:rPr>
      </w:pPr>
    </w:p>
    <w:p w14:paraId="3F7DC772" w14:textId="77777777" w:rsidR="00844245" w:rsidRDefault="00E61BAF">
      <w:pPr>
        <w:pStyle w:val="BodyText"/>
        <w:spacing w:line="242" w:lineRule="auto"/>
        <w:ind w:left="120" w:right="114"/>
        <w:jc w:val="both"/>
      </w:pPr>
      <w:r>
        <w:t>A</w:t>
      </w:r>
      <w:r>
        <w:rPr>
          <w:spacing w:val="-7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(MGA)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producer</w:t>
      </w:r>
      <w:r>
        <w:rPr>
          <w:spacing w:val="-8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part of the</w:t>
      </w:r>
      <w:r>
        <w:rPr>
          <w:spacing w:val="-3"/>
        </w:rPr>
        <w:t xml:space="preserve"> </w:t>
      </w:r>
      <w:r>
        <w:t>insurer’s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 a specific geographic territory.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on behalf</w:t>
      </w:r>
      <w:r>
        <w:rPr>
          <w:spacing w:val="-2"/>
        </w:rPr>
        <w:t xml:space="preserve"> </w:t>
      </w:r>
      <w:r>
        <w:t>of the insurer may</w:t>
      </w:r>
      <w:r>
        <w:rPr>
          <w:spacing w:val="-2"/>
        </w:rPr>
        <w:t xml:space="preserve"> </w:t>
      </w:r>
      <w:r>
        <w:t>include marketing, underwriting, issuing policies, collecting premiums, appointing and supervising other agents, paying claims, and negotiating reinsurance. Many states regulate the activities and contracts of MGAs.</w:t>
      </w:r>
    </w:p>
    <w:p w14:paraId="57593023" w14:textId="77777777" w:rsidR="00844245" w:rsidRDefault="00844245">
      <w:pPr>
        <w:pStyle w:val="BodyText"/>
        <w:spacing w:before="43"/>
      </w:pPr>
    </w:p>
    <w:p w14:paraId="139892BF" w14:textId="77777777" w:rsidR="00844245" w:rsidRDefault="00E61BAF">
      <w:pPr>
        <w:pStyle w:val="BodyText"/>
        <w:ind w:left="119"/>
      </w:pPr>
      <w:r>
        <w:t xml:space="preserve">The NAIC has adopted the </w:t>
      </w:r>
      <w:r>
        <w:rPr>
          <w:i/>
        </w:rPr>
        <w:t xml:space="preserve">Managing General Agents Act </w:t>
      </w:r>
      <w:r>
        <w:t>(#225) to guide the states in regulating MGAs. Under the model, an MGA is defined as any person who engages in all of the following:</w:t>
      </w:r>
    </w:p>
    <w:p w14:paraId="5F426FAB" w14:textId="77777777" w:rsidR="00844245" w:rsidRDefault="00844245">
      <w:pPr>
        <w:pStyle w:val="BodyText"/>
        <w:spacing w:before="49"/>
      </w:pPr>
    </w:p>
    <w:p w14:paraId="12C2DB80" w14:textId="77777777" w:rsidR="00844245" w:rsidRDefault="00E61BAF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Negotiates and binds ceding reinsurance contracts on behalf of an insurer or manages all or part of the insurance business of an insurer—including the management of a separate division, department or underwriting</w:t>
      </w:r>
      <w:r>
        <w:rPr>
          <w:spacing w:val="-4"/>
          <w:sz w:val="20"/>
        </w:rPr>
        <w:t xml:space="preserve"> </w:t>
      </w:r>
      <w:r>
        <w:rPr>
          <w:sz w:val="20"/>
        </w:rPr>
        <w:t>office—and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acts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insurer</w:t>
      </w:r>
      <w:r>
        <w:rPr>
          <w:spacing w:val="-5"/>
          <w:sz w:val="20"/>
        </w:rPr>
        <w:t xml:space="preserve"> </w:t>
      </w:r>
      <w:r>
        <w:rPr>
          <w:sz w:val="20"/>
        </w:rPr>
        <w:t>whether</w:t>
      </w:r>
      <w:r>
        <w:rPr>
          <w:spacing w:val="-7"/>
          <w:sz w:val="20"/>
        </w:rPr>
        <w:t xml:space="preserve"> </w:t>
      </w:r>
      <w:r>
        <w:rPr>
          <w:sz w:val="20"/>
        </w:rPr>
        <w:t>known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agent, manager or other similar term or title.</w:t>
      </w:r>
    </w:p>
    <w:p w14:paraId="586B71F3" w14:textId="77777777" w:rsidR="00844245" w:rsidRDefault="00E61BAF">
      <w:pPr>
        <w:pStyle w:val="ListParagraph"/>
        <w:numPr>
          <w:ilvl w:val="0"/>
          <w:numId w:val="2"/>
        </w:numPr>
        <w:tabs>
          <w:tab w:val="left" w:pos="839"/>
        </w:tabs>
        <w:spacing w:before="2"/>
        <w:ind w:right="113"/>
        <w:jc w:val="both"/>
        <w:rPr>
          <w:sz w:val="20"/>
        </w:rPr>
      </w:pP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z w:val="20"/>
        </w:rPr>
        <w:t>authority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either</w:t>
      </w:r>
      <w:r>
        <w:rPr>
          <w:spacing w:val="-5"/>
          <w:sz w:val="20"/>
        </w:rPr>
        <w:t xml:space="preserve"> </w:t>
      </w:r>
      <w:r>
        <w:rPr>
          <w:sz w:val="20"/>
        </w:rPr>
        <w:t>separately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together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affiliates,</w:t>
      </w:r>
      <w:r>
        <w:rPr>
          <w:spacing w:val="-5"/>
          <w:sz w:val="20"/>
        </w:rPr>
        <w:t xml:space="preserve"> </w:t>
      </w:r>
      <w:r>
        <w:rPr>
          <w:sz w:val="20"/>
        </w:rPr>
        <w:t>directly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indirectly</w:t>
      </w:r>
      <w:r>
        <w:rPr>
          <w:spacing w:val="-4"/>
          <w:sz w:val="20"/>
        </w:rPr>
        <w:t xml:space="preserve"> </w:t>
      </w:r>
      <w:r>
        <w:rPr>
          <w:sz w:val="20"/>
        </w:rPr>
        <w:t>produces</w:t>
      </w:r>
      <w:r>
        <w:rPr>
          <w:spacing w:val="-6"/>
          <w:sz w:val="20"/>
        </w:rPr>
        <w:t xml:space="preserve"> </w:t>
      </w:r>
      <w:r>
        <w:rPr>
          <w:sz w:val="20"/>
        </w:rPr>
        <w:t>and underwrites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z w:val="20"/>
        </w:rPr>
        <w:t>amount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gross</w:t>
      </w:r>
      <w:r>
        <w:rPr>
          <w:spacing w:val="-13"/>
          <w:sz w:val="20"/>
        </w:rPr>
        <w:t xml:space="preserve"> </w:t>
      </w:r>
      <w:r>
        <w:rPr>
          <w:sz w:val="20"/>
        </w:rPr>
        <w:t>direct</w:t>
      </w:r>
      <w:r>
        <w:rPr>
          <w:spacing w:val="-12"/>
          <w:sz w:val="20"/>
        </w:rPr>
        <w:t xml:space="preserve"> </w:t>
      </w:r>
      <w:r>
        <w:rPr>
          <w:sz w:val="20"/>
        </w:rPr>
        <w:t>written</w:t>
      </w:r>
      <w:r>
        <w:rPr>
          <w:spacing w:val="-13"/>
          <w:sz w:val="20"/>
        </w:rPr>
        <w:t xml:space="preserve"> </w:t>
      </w:r>
      <w:r>
        <w:rPr>
          <w:sz w:val="20"/>
        </w:rPr>
        <w:t>premium</w:t>
      </w:r>
      <w:r>
        <w:rPr>
          <w:spacing w:val="-12"/>
          <w:sz w:val="20"/>
        </w:rPr>
        <w:t xml:space="preserve"> </w:t>
      </w:r>
      <w:r>
        <w:rPr>
          <w:sz w:val="20"/>
        </w:rPr>
        <w:t>equal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greater</w:t>
      </w:r>
      <w:r>
        <w:rPr>
          <w:spacing w:val="-12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>5%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policyholder</w:t>
      </w:r>
      <w:r>
        <w:rPr>
          <w:spacing w:val="-13"/>
          <w:sz w:val="20"/>
        </w:rPr>
        <w:t xml:space="preserve"> </w:t>
      </w:r>
      <w:r>
        <w:rPr>
          <w:sz w:val="20"/>
        </w:rPr>
        <w:t>surplus in any one quarter or year, as reported in the last annual statement of the insurer.</w:t>
      </w:r>
    </w:p>
    <w:p w14:paraId="2CFF56D0" w14:textId="77777777" w:rsidR="00844245" w:rsidRDefault="00E61BAF">
      <w:pPr>
        <w:pStyle w:val="ListParagraph"/>
        <w:numPr>
          <w:ilvl w:val="0"/>
          <w:numId w:val="2"/>
        </w:numPr>
        <w:tabs>
          <w:tab w:val="left" w:pos="838"/>
        </w:tabs>
        <w:spacing w:line="229" w:lineRule="exact"/>
        <w:ind w:left="838" w:hanging="359"/>
        <w:jc w:val="both"/>
        <w:rPr>
          <w:sz w:val="20"/>
        </w:rPr>
      </w:pPr>
      <w:r>
        <w:rPr>
          <w:sz w:val="20"/>
        </w:rPr>
        <w:t>Engages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either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5AB233BD" w14:textId="77777777" w:rsidR="00844245" w:rsidRDefault="00844245">
      <w:pPr>
        <w:pStyle w:val="BodyText"/>
        <w:spacing w:before="51"/>
      </w:pPr>
    </w:p>
    <w:p w14:paraId="0177D320" w14:textId="77777777" w:rsidR="00844245" w:rsidRDefault="00E61BAF">
      <w:pPr>
        <w:pStyle w:val="ListParagraph"/>
        <w:numPr>
          <w:ilvl w:val="1"/>
          <w:numId w:val="2"/>
        </w:numPr>
        <w:tabs>
          <w:tab w:val="left" w:pos="1161"/>
        </w:tabs>
        <w:spacing w:line="229" w:lineRule="exact"/>
        <w:ind w:left="1161" w:hanging="322"/>
        <w:rPr>
          <w:sz w:val="20"/>
        </w:rPr>
      </w:pPr>
      <w:r>
        <w:rPr>
          <w:sz w:val="20"/>
        </w:rPr>
        <w:t>Adjusts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pays</w:t>
      </w:r>
      <w:r>
        <w:rPr>
          <w:spacing w:val="-6"/>
          <w:sz w:val="20"/>
        </w:rPr>
        <w:t xml:space="preserve"> </w:t>
      </w:r>
      <w:r>
        <w:rPr>
          <w:sz w:val="20"/>
        </w:rPr>
        <w:t>claims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commissioner.</w:t>
      </w:r>
    </w:p>
    <w:p w14:paraId="6CEB1098" w14:textId="77777777" w:rsidR="00844245" w:rsidRDefault="00E61BAF">
      <w:pPr>
        <w:pStyle w:val="ListParagraph"/>
        <w:numPr>
          <w:ilvl w:val="1"/>
          <w:numId w:val="2"/>
        </w:numPr>
        <w:tabs>
          <w:tab w:val="left" w:pos="1173"/>
        </w:tabs>
        <w:spacing w:line="229" w:lineRule="exact"/>
        <w:ind w:left="1173" w:hanging="334"/>
        <w:rPr>
          <w:sz w:val="20"/>
        </w:rPr>
      </w:pPr>
      <w:r>
        <w:rPr>
          <w:sz w:val="20"/>
        </w:rPr>
        <w:t>Negotiates</w:t>
      </w:r>
      <w:r>
        <w:rPr>
          <w:spacing w:val="-7"/>
          <w:sz w:val="20"/>
        </w:rPr>
        <w:t xml:space="preserve"> </w:t>
      </w:r>
      <w:r>
        <w:rPr>
          <w:sz w:val="20"/>
        </w:rPr>
        <w:t>reinsurance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behalf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insurer.</w:t>
      </w:r>
    </w:p>
    <w:p w14:paraId="10E88A3D" w14:textId="77777777" w:rsidR="00844245" w:rsidRDefault="00844245">
      <w:pPr>
        <w:pStyle w:val="BodyText"/>
        <w:spacing w:before="51"/>
      </w:pPr>
    </w:p>
    <w:p w14:paraId="440BFE48" w14:textId="77777777" w:rsidR="00844245" w:rsidRDefault="00E61BAF">
      <w:pPr>
        <w:pStyle w:val="BodyText"/>
        <w:ind w:left="119"/>
      </w:pP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MGA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1B26EBDF" w14:textId="77777777" w:rsidR="00844245" w:rsidRDefault="00844245">
      <w:pPr>
        <w:pStyle w:val="BodyText"/>
        <w:spacing w:before="49"/>
      </w:pPr>
    </w:p>
    <w:p w14:paraId="3F338A13" w14:textId="77777777" w:rsidR="00844245" w:rsidRDefault="00E61BAF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jc w:val="both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insurer.</w:t>
      </w:r>
    </w:p>
    <w:p w14:paraId="3744E05B" w14:textId="77777777" w:rsidR="00844245" w:rsidRDefault="00E61BAF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branch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alien</w:t>
      </w:r>
      <w:r>
        <w:rPr>
          <w:spacing w:val="-2"/>
          <w:sz w:val="20"/>
        </w:rPr>
        <w:t xml:space="preserve"> </w:t>
      </w:r>
      <w:r>
        <w:rPr>
          <w:sz w:val="20"/>
        </w:rPr>
        <w:t>insurer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resides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country.</w:t>
      </w:r>
    </w:p>
    <w:p w14:paraId="685FDAA6" w14:textId="77777777" w:rsidR="00844245" w:rsidRDefault="00E61BAF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underwriting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2"/>
          <w:sz w:val="20"/>
        </w:rPr>
        <w:t xml:space="preserve"> </w:t>
      </w:r>
      <w:r>
        <w:rPr>
          <w:sz w:val="20"/>
        </w:rPr>
        <w:t>who,</w:t>
      </w:r>
      <w:r>
        <w:rPr>
          <w:spacing w:val="-2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contract,</w:t>
      </w:r>
      <w:r>
        <w:rPr>
          <w:spacing w:val="-5"/>
          <w:sz w:val="20"/>
        </w:rPr>
        <w:t xml:space="preserve"> </w:t>
      </w:r>
      <w:r>
        <w:rPr>
          <w:sz w:val="20"/>
        </w:rPr>
        <w:t>manages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insurer,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 under common control with the insurer, subject to [cite to state law] relating to the regulation of insurance holding company systems, and who is not compensated based upon the volume of premiums written.</w:t>
      </w:r>
    </w:p>
    <w:p w14:paraId="4053F91B" w14:textId="77777777" w:rsidR="00844245" w:rsidRDefault="00E61BAF">
      <w:pPr>
        <w:pStyle w:val="ListParagraph"/>
        <w:numPr>
          <w:ilvl w:val="0"/>
          <w:numId w:val="1"/>
        </w:numPr>
        <w:tabs>
          <w:tab w:val="left" w:pos="838"/>
        </w:tabs>
        <w:spacing w:line="229" w:lineRule="exact"/>
        <w:ind w:left="838" w:hanging="359"/>
        <w:jc w:val="both"/>
        <w:rPr>
          <w:sz w:val="20"/>
        </w:rPr>
      </w:pP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insurance</w:t>
      </w:r>
      <w:r>
        <w:rPr>
          <w:spacing w:val="-9"/>
          <w:sz w:val="20"/>
        </w:rPr>
        <w:t xml:space="preserve"> </w:t>
      </w:r>
      <w:r>
        <w:rPr>
          <w:sz w:val="20"/>
        </w:rPr>
        <w:t>company,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connection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acceptance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rejection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reinsurance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block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708862BD" w14:textId="77777777" w:rsidR="00844245" w:rsidRDefault="00E61BAF">
      <w:pPr>
        <w:pStyle w:val="ListParagraph"/>
        <w:numPr>
          <w:ilvl w:val="0"/>
          <w:numId w:val="1"/>
        </w:numPr>
        <w:tabs>
          <w:tab w:val="left" w:pos="839"/>
        </w:tabs>
        <w:ind w:right="115"/>
        <w:jc w:val="both"/>
        <w:rPr>
          <w:sz w:val="20"/>
        </w:rPr>
      </w:pPr>
      <w:r>
        <w:rPr>
          <w:sz w:val="20"/>
        </w:rPr>
        <w:t xml:space="preserve">The attorney-in-fact authorized by or acting for the subscribers of a reciprocal insurer or interinsurance exchange under </w:t>
      </w:r>
      <w:proofErr w:type="gramStart"/>
      <w:r>
        <w:rPr>
          <w:sz w:val="20"/>
        </w:rPr>
        <w:t>a power</w:t>
      </w:r>
      <w:proofErr w:type="gramEnd"/>
      <w:r>
        <w:rPr>
          <w:sz w:val="20"/>
        </w:rPr>
        <w:t xml:space="preserve"> of attorney.</w:t>
      </w:r>
    </w:p>
    <w:p w14:paraId="3B40D603" w14:textId="77777777" w:rsidR="00844245" w:rsidRDefault="00844245">
      <w:pPr>
        <w:pStyle w:val="BodyText"/>
        <w:spacing w:before="52"/>
      </w:pPr>
    </w:p>
    <w:p w14:paraId="415EF38D" w14:textId="77777777" w:rsidR="00844245" w:rsidRDefault="00E61BAF">
      <w:pPr>
        <w:pStyle w:val="BodyText"/>
        <w:ind w:left="119" w:right="117"/>
        <w:jc w:val="both"/>
      </w:pPr>
      <w:r>
        <w:t xml:space="preserve">In most states, MGAs must be licensed as producers and are not allowed to place business until a written contract exists among all parties. Under Model #225, insurers are required to monitor the financial stability of MGAs under </w:t>
      </w:r>
      <w:r>
        <w:rPr>
          <w:spacing w:val="-2"/>
        </w:rPr>
        <w:t>contract.</w:t>
      </w:r>
    </w:p>
    <w:sectPr w:rsidR="00844245">
      <w:headerReference w:type="default" r:id="rId7"/>
      <w:footerReference w:type="default" r:id="rId8"/>
      <w:type w:val="continuous"/>
      <w:pgSz w:w="12240" w:h="15840"/>
      <w:pgMar w:top="1340" w:right="1320" w:bottom="720" w:left="1320" w:header="499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B081" w14:textId="77777777" w:rsidR="00E61BAF" w:rsidRDefault="00E61BAF">
      <w:r>
        <w:separator/>
      </w:r>
    </w:p>
  </w:endnote>
  <w:endnote w:type="continuationSeparator" w:id="0">
    <w:p w14:paraId="3066A286" w14:textId="77777777" w:rsidR="00E61BAF" w:rsidRDefault="00E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2939" w14:textId="77777777" w:rsidR="00844245" w:rsidRDefault="00E61B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3AF1FCA7" wp14:editId="70766A8E">
              <wp:simplePos x="0" y="0"/>
              <wp:positionH relativeFrom="page">
                <wp:posOffset>901700</wp:posOffset>
              </wp:positionH>
              <wp:positionV relativeFrom="page">
                <wp:posOffset>9587790</wp:posOffset>
              </wp:positionV>
              <wp:extent cx="253555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55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715CA" w14:textId="77777777" w:rsidR="00844245" w:rsidRDefault="00E61BA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2009-20 National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Association of Insurance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Commissioners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1FC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54.95pt;width:199.65pt;height:10.9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" filled="f" stroked="f">
              <v:textbox inset="0,0,0,0">
                <w:txbxContent>
                  <w:p w14:paraId="5AA715CA" w14:textId="77777777" w:rsidR="00844245" w:rsidRDefault="00E61BA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2009-20 National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Association of Insurance </w:t>
                    </w:r>
                    <w:r>
                      <w:rPr>
                        <w:spacing w:val="-2"/>
                        <w:sz w:val="16"/>
                      </w:rPr>
                      <w:t>Commissioners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09E2CC44" wp14:editId="5CC2F7C9">
              <wp:simplePos x="0" y="0"/>
              <wp:positionH relativeFrom="page">
                <wp:posOffset>3822700</wp:posOffset>
              </wp:positionH>
              <wp:positionV relativeFrom="page">
                <wp:posOffset>9587790</wp:posOffset>
              </wp:positionV>
              <wp:extent cx="12700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BA213" w14:textId="77777777" w:rsidR="00844245" w:rsidRDefault="00E61BA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91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2CC44" id="Textbox 4" o:spid="_x0000_s1028" type="#_x0000_t202" style="position:absolute;margin-left:301pt;margin-top:754.95pt;width:10pt;height:10.9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" filled="f" stroked="f">
              <v:textbox inset="0,0,0,0">
                <w:txbxContent>
                  <w:p w14:paraId="128BA213" w14:textId="77777777" w:rsidR="00844245" w:rsidRDefault="00E61BA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C9DB" w14:textId="77777777" w:rsidR="00E61BAF" w:rsidRDefault="00E61BAF">
      <w:r>
        <w:separator/>
      </w:r>
    </w:p>
  </w:footnote>
  <w:footnote w:type="continuationSeparator" w:id="0">
    <w:p w14:paraId="4D0E61BF" w14:textId="77777777" w:rsidR="00E61BAF" w:rsidRDefault="00E6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C29BD" w14:textId="77777777" w:rsidR="00844245" w:rsidRDefault="00E61B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D1DEC7E" wp14:editId="700678CF">
              <wp:simplePos x="0" y="0"/>
              <wp:positionH relativeFrom="page">
                <wp:posOffset>920216</wp:posOffset>
              </wp:positionH>
              <wp:positionV relativeFrom="page">
                <wp:posOffset>441845</wp:posOffset>
              </wp:positionV>
              <wp:extent cx="59124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24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2485">
                            <a:moveTo>
                              <a:pt x="0" y="0"/>
                            </a:moveTo>
                            <a:lnTo>
                              <a:pt x="5912383" y="0"/>
                            </a:lnTo>
                          </a:path>
                        </a:pathLst>
                      </a:custGeom>
                      <a:ln w="438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62745" id="Graphic 1" o:spid="_x0000_s1026" style="position:absolute;margin-left:72.45pt;margin-top:34.8pt;width:465.55pt;height:.1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2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" path="m,l5912383,e" filled="f" strokeweight=".12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435591A3" wp14:editId="44C0FE8B">
              <wp:simplePos x="0" y="0"/>
              <wp:positionH relativeFrom="page">
                <wp:posOffset>5479516</wp:posOffset>
              </wp:positionH>
              <wp:positionV relativeFrom="page">
                <wp:posOffset>303922</wp:posOffset>
              </wp:positionV>
              <wp:extent cx="136652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65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8C4DE" w14:textId="77777777" w:rsidR="00844245" w:rsidRDefault="00E61BAF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State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Licensing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591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1.45pt;margin-top:23.95pt;width:107.6pt;height:13.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" filled="f" stroked="f">
              <v:textbox inset="0,0,0,0">
                <w:txbxContent>
                  <w:p w14:paraId="3EA8C4DE" w14:textId="77777777" w:rsidR="00844245" w:rsidRDefault="00E61BAF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State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Licensing </w:t>
                    </w:r>
                    <w:r>
                      <w:rPr>
                        <w:i/>
                        <w:spacing w:val="-2"/>
                        <w:sz w:val="20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51B8"/>
    <w:multiLevelType w:val="hybridMultilevel"/>
    <w:tmpl w:val="9C96D3F8"/>
    <w:lvl w:ilvl="0" w:tplc="863C323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9291D4">
      <w:start w:val="1"/>
      <w:numFmt w:val="lowerLetter"/>
      <w:lvlText w:val="(%2)"/>
      <w:lvlJc w:val="left"/>
      <w:pPr>
        <w:ind w:left="1163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EB4FD74">
      <w:numFmt w:val="bullet"/>
      <w:lvlText w:val="•"/>
      <w:lvlJc w:val="left"/>
      <w:pPr>
        <w:ind w:left="2097" w:hanging="324"/>
      </w:pPr>
      <w:rPr>
        <w:rFonts w:hint="default"/>
        <w:lang w:val="en-US" w:eastAsia="en-US" w:bidi="ar-SA"/>
      </w:rPr>
    </w:lvl>
    <w:lvl w:ilvl="3" w:tplc="1258F918">
      <w:numFmt w:val="bullet"/>
      <w:lvlText w:val="•"/>
      <w:lvlJc w:val="left"/>
      <w:pPr>
        <w:ind w:left="3035" w:hanging="324"/>
      </w:pPr>
      <w:rPr>
        <w:rFonts w:hint="default"/>
        <w:lang w:val="en-US" w:eastAsia="en-US" w:bidi="ar-SA"/>
      </w:rPr>
    </w:lvl>
    <w:lvl w:ilvl="4" w:tplc="CA00D6FC">
      <w:numFmt w:val="bullet"/>
      <w:lvlText w:val="•"/>
      <w:lvlJc w:val="left"/>
      <w:pPr>
        <w:ind w:left="3973" w:hanging="324"/>
      </w:pPr>
      <w:rPr>
        <w:rFonts w:hint="default"/>
        <w:lang w:val="en-US" w:eastAsia="en-US" w:bidi="ar-SA"/>
      </w:rPr>
    </w:lvl>
    <w:lvl w:ilvl="5" w:tplc="32AC64A6">
      <w:numFmt w:val="bullet"/>
      <w:lvlText w:val="•"/>
      <w:lvlJc w:val="left"/>
      <w:pPr>
        <w:ind w:left="4911" w:hanging="324"/>
      </w:pPr>
      <w:rPr>
        <w:rFonts w:hint="default"/>
        <w:lang w:val="en-US" w:eastAsia="en-US" w:bidi="ar-SA"/>
      </w:rPr>
    </w:lvl>
    <w:lvl w:ilvl="6" w:tplc="BE543F68">
      <w:numFmt w:val="bullet"/>
      <w:lvlText w:val="•"/>
      <w:lvlJc w:val="left"/>
      <w:pPr>
        <w:ind w:left="5848" w:hanging="324"/>
      </w:pPr>
      <w:rPr>
        <w:rFonts w:hint="default"/>
        <w:lang w:val="en-US" w:eastAsia="en-US" w:bidi="ar-SA"/>
      </w:rPr>
    </w:lvl>
    <w:lvl w:ilvl="7" w:tplc="07049F3E">
      <w:numFmt w:val="bullet"/>
      <w:lvlText w:val="•"/>
      <w:lvlJc w:val="left"/>
      <w:pPr>
        <w:ind w:left="6786" w:hanging="324"/>
      </w:pPr>
      <w:rPr>
        <w:rFonts w:hint="default"/>
        <w:lang w:val="en-US" w:eastAsia="en-US" w:bidi="ar-SA"/>
      </w:rPr>
    </w:lvl>
    <w:lvl w:ilvl="8" w:tplc="B5E24F4E">
      <w:numFmt w:val="bullet"/>
      <w:lvlText w:val="•"/>
      <w:lvlJc w:val="left"/>
      <w:pPr>
        <w:ind w:left="7724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65827157"/>
    <w:multiLevelType w:val="hybridMultilevel"/>
    <w:tmpl w:val="DF5676E2"/>
    <w:lvl w:ilvl="0" w:tplc="5DA8834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AEAC4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4A0E5B0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E5EC88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A1CF11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903A748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F94957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0B4A47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F6A82D7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311715710">
    <w:abstractNumId w:val="1"/>
  </w:num>
  <w:num w:numId="2" w16cid:durableId="13770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5"/>
    <w:rsid w:val="00844245"/>
    <w:rsid w:val="008F3343"/>
    <w:rsid w:val="00E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45E3"/>
  <w15:docId w15:val="{08CD2CF2-8ABB-4679-8A32-C9532E0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2024-11-07T18:28:44+00:00</_EndDate>
    <StartDate xmlns="http://schemas.microsoft.com/sharepoint/v3">2024-11-07T18:28:44+00:00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DD8BF58D-A2F7-4354-B581-AD116FE24246}"/>
</file>

<file path=customXml/itemProps2.xml><?xml version="1.0" encoding="utf-8"?>
<ds:datastoreItem xmlns:ds="http://schemas.openxmlformats.org/officeDocument/2006/customXml" ds:itemID="{7240FBB9-4C39-4562-AAE3-90C82EF1A184}"/>
</file>

<file path=customXml/itemProps3.xml><?xml version="1.0" encoding="utf-8"?>
<ds:datastoreItem xmlns:ds="http://schemas.openxmlformats.org/officeDocument/2006/customXml" ds:itemID="{4920BB5E-2DCC-41E9-969D-62658660F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2118</Characters>
  <Application>Microsoft Office Word</Application>
  <DocSecurity>0</DocSecurity>
  <Lines>192</Lines>
  <Paragraphs>153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Seemann, Lacey</dc:creator>
  <cp:lastModifiedBy>Welker, Greg</cp:lastModifiedBy>
  <cp:revision>2</cp:revision>
  <dcterms:created xsi:type="dcterms:W3CDTF">2024-11-07T18:28:00Z</dcterms:created>
  <dcterms:modified xsi:type="dcterms:W3CDTF">2024-11-07T18:28:00Z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Acrobat Pro DC 20.13.20066</vt:lpwstr>
  </property>
  <property fmtid="{D5CDD505-2E9C-101B-9397-08002B2CF9AE}" pid="6" name="ContentTypeId">
    <vt:lpwstr>0x010100376674D47D81254AAE898D727025BAAD</vt:lpwstr>
  </property>
</Properties>
</file>