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3059" w14:textId="59E58891" w:rsidR="003E5182" w:rsidRDefault="003E5182" w:rsidP="003E5182">
      <w:pPr>
        <w:pStyle w:val="BodyText"/>
        <w:pBdr>
          <w:bottom w:val="single" w:sz="4" w:space="1" w:color="auto"/>
        </w:pBdr>
        <w:spacing w:after="120"/>
        <w:rPr>
          <w:rFonts w:asciiTheme="minorHAnsi" w:hAnsiTheme="minorHAnsi"/>
          <w:b/>
          <w:bCs/>
          <w:color w:val="000000" w:themeColor="text1"/>
          <w:sz w:val="28"/>
          <w:szCs w:val="28"/>
        </w:rPr>
      </w:pPr>
      <w:r>
        <w:rPr>
          <w:rFonts w:asciiTheme="minorHAnsi" w:hAnsiTheme="minorHAnsi"/>
          <w:b/>
          <w:bCs/>
          <w:color w:val="000000" w:themeColor="text1"/>
          <w:sz w:val="28"/>
          <w:szCs w:val="28"/>
        </w:rPr>
        <w:t xml:space="preserve">Purpose of the Group Capital Calculation </w:t>
      </w:r>
      <w:r w:rsidR="00C869A3">
        <w:rPr>
          <w:rFonts w:asciiTheme="minorHAnsi" w:hAnsiTheme="minorHAnsi"/>
          <w:b/>
          <w:bCs/>
          <w:color w:val="000000" w:themeColor="text1"/>
          <w:sz w:val="28"/>
          <w:szCs w:val="28"/>
        </w:rPr>
        <w:t xml:space="preserve">(GCC) </w:t>
      </w:r>
      <w:r>
        <w:rPr>
          <w:rFonts w:asciiTheme="minorHAnsi" w:hAnsiTheme="minorHAnsi"/>
          <w:b/>
          <w:bCs/>
          <w:color w:val="000000" w:themeColor="text1"/>
          <w:sz w:val="28"/>
          <w:szCs w:val="28"/>
        </w:rPr>
        <w:t>in Holding Company Analysis</w:t>
      </w:r>
    </w:p>
    <w:p w14:paraId="293C6FDB" w14:textId="68D00BF8" w:rsidR="003E5182" w:rsidRDefault="003E5182" w:rsidP="003514EB">
      <w:pPr>
        <w:pStyle w:val="BodyText"/>
        <w:rPr>
          <w:rFonts w:asciiTheme="minorHAnsi" w:hAnsiTheme="minorHAnsi"/>
          <w:bCs/>
          <w:iCs/>
          <w:color w:val="000000" w:themeColor="text1"/>
        </w:rPr>
      </w:pPr>
    </w:p>
    <w:p w14:paraId="499365A5" w14:textId="39CCADCF" w:rsidR="003514EB" w:rsidRDefault="003514EB"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The following information is intended to provide </w:t>
      </w:r>
      <w:r w:rsidR="00D077AE">
        <w:rPr>
          <w:rFonts w:asciiTheme="minorHAnsi" w:hAnsiTheme="minorHAnsi"/>
          <w:bCs/>
          <w:iCs/>
          <w:color w:val="000000" w:themeColor="text1"/>
        </w:rPr>
        <w:t xml:space="preserve">background and context </w:t>
      </w:r>
      <w:r w:rsidR="00102C9F">
        <w:rPr>
          <w:rFonts w:asciiTheme="minorHAnsi" w:hAnsiTheme="minorHAnsi"/>
          <w:bCs/>
          <w:iCs/>
          <w:color w:val="000000" w:themeColor="text1"/>
        </w:rPr>
        <w:t xml:space="preserve">concerning </w:t>
      </w:r>
      <w:r>
        <w:rPr>
          <w:rFonts w:asciiTheme="minorHAnsi" w:hAnsiTheme="minorHAnsi"/>
          <w:bCs/>
          <w:iCs/>
          <w:color w:val="000000" w:themeColor="text1"/>
        </w:rPr>
        <w:t xml:space="preserve">the issues/considerations for analysts when utilizing the NAIC Group Capital Calculation (GCC) for an insurance holding company </w:t>
      </w:r>
      <w:r w:rsidR="00102C9F">
        <w:rPr>
          <w:rFonts w:asciiTheme="minorHAnsi" w:hAnsiTheme="minorHAnsi"/>
          <w:bCs/>
          <w:iCs/>
          <w:color w:val="000000" w:themeColor="text1"/>
        </w:rPr>
        <w:t xml:space="preserve">group </w:t>
      </w:r>
      <w:r>
        <w:rPr>
          <w:rFonts w:asciiTheme="minorHAnsi" w:hAnsiTheme="minorHAnsi"/>
          <w:bCs/>
          <w:iCs/>
          <w:color w:val="000000" w:themeColor="text1"/>
        </w:rPr>
        <w:t xml:space="preserve">(hereafter referred to as </w:t>
      </w:r>
      <w:r w:rsidR="00D077AE">
        <w:rPr>
          <w:rFonts w:asciiTheme="minorHAnsi" w:hAnsiTheme="minorHAnsi"/>
          <w:bCs/>
          <w:iCs/>
          <w:color w:val="000000" w:themeColor="text1"/>
        </w:rPr>
        <w:t>“</w:t>
      </w:r>
      <w:r>
        <w:rPr>
          <w:rFonts w:asciiTheme="minorHAnsi" w:hAnsiTheme="minorHAnsi"/>
          <w:bCs/>
          <w:iCs/>
          <w:color w:val="000000" w:themeColor="text1"/>
        </w:rPr>
        <w:t>group</w:t>
      </w:r>
      <w:r w:rsidR="00D077AE">
        <w:rPr>
          <w:rFonts w:asciiTheme="minorHAnsi" w:hAnsiTheme="minorHAnsi"/>
          <w:bCs/>
          <w:iCs/>
          <w:color w:val="000000" w:themeColor="text1"/>
        </w:rPr>
        <w:t>”</w:t>
      </w:r>
      <w:r>
        <w:rPr>
          <w:rFonts w:asciiTheme="minorHAnsi" w:hAnsiTheme="minorHAnsi"/>
          <w:bCs/>
          <w:iCs/>
          <w:color w:val="000000" w:themeColor="text1"/>
        </w:rPr>
        <w:t>) completing the GCC where required.</w:t>
      </w:r>
      <w:r w:rsidR="00D40F9A">
        <w:rPr>
          <w:rFonts w:asciiTheme="minorHAnsi" w:hAnsiTheme="minorHAnsi"/>
          <w:bCs/>
          <w:iCs/>
          <w:color w:val="000000" w:themeColor="text1"/>
        </w:rPr>
        <w:t xml:space="preserve"> The GCC is a “tool” to quantitatively understand the group’s capital and the mathematically calculated risks within. The GCC framework is built on the RBC model; </w:t>
      </w:r>
      <w:r w:rsidR="00966A3B">
        <w:rPr>
          <w:rFonts w:asciiTheme="minorHAnsi" w:hAnsiTheme="minorHAnsi"/>
          <w:bCs/>
          <w:iCs/>
          <w:color w:val="000000" w:themeColor="text1"/>
        </w:rPr>
        <w:t>however,</w:t>
      </w:r>
      <w:r w:rsidR="00D40F9A">
        <w:rPr>
          <w:rFonts w:asciiTheme="minorHAnsi" w:hAnsiTheme="minorHAnsi"/>
          <w:bCs/>
          <w:iCs/>
          <w:color w:val="000000" w:themeColor="text1"/>
        </w:rPr>
        <w:t xml:space="preserve"> while the RBC has triggers with states’ laws to make formal actions as a capital requirement, the GCC is not designed with that purpose and is instead designed as an analytical tool.</w:t>
      </w:r>
    </w:p>
    <w:p w14:paraId="36AF4F6C" w14:textId="08D8A113" w:rsidR="003514EB" w:rsidRDefault="003514EB" w:rsidP="003514EB">
      <w:pPr>
        <w:pStyle w:val="BodyText"/>
        <w:rPr>
          <w:rFonts w:asciiTheme="minorHAnsi" w:hAnsiTheme="minorHAnsi"/>
          <w:bCs/>
          <w:iCs/>
          <w:color w:val="000000" w:themeColor="text1"/>
        </w:rPr>
      </w:pPr>
    </w:p>
    <w:p w14:paraId="57BD8302" w14:textId="64D1A672" w:rsidR="00C869A3" w:rsidRPr="00E93DC5" w:rsidRDefault="00C869A3" w:rsidP="00C869A3">
      <w:pPr>
        <w:pStyle w:val="BodyText"/>
        <w:rPr>
          <w:rFonts w:asciiTheme="minorHAnsi" w:hAnsiTheme="minorHAnsi"/>
          <w:b/>
          <w:iCs/>
          <w:color w:val="000000" w:themeColor="text1"/>
        </w:rPr>
      </w:pPr>
      <w:r>
        <w:rPr>
          <w:rFonts w:asciiTheme="minorHAnsi" w:hAnsiTheme="minorHAnsi"/>
          <w:b/>
          <w:iCs/>
          <w:color w:val="000000" w:themeColor="text1"/>
        </w:rPr>
        <w:t>Background Information</w:t>
      </w:r>
    </w:p>
    <w:p w14:paraId="28581F82" w14:textId="77777777" w:rsidR="00C869A3" w:rsidRDefault="00C869A3" w:rsidP="003514EB">
      <w:pPr>
        <w:pStyle w:val="BodyText"/>
        <w:rPr>
          <w:rFonts w:asciiTheme="minorHAnsi" w:hAnsiTheme="minorHAnsi"/>
          <w:bCs/>
          <w:iCs/>
          <w:color w:val="000000" w:themeColor="text1"/>
        </w:rPr>
      </w:pPr>
    </w:p>
    <w:p w14:paraId="5BB87C14" w14:textId="7C587C46" w:rsidR="00EF67F0" w:rsidRDefault="00102C9F" w:rsidP="003514EB">
      <w:pPr>
        <w:pStyle w:val="BodyText"/>
        <w:rPr>
          <w:rFonts w:asciiTheme="minorHAnsi" w:hAnsiTheme="minorHAnsi"/>
          <w:bCs/>
          <w:iCs/>
          <w:color w:val="000000" w:themeColor="text1"/>
        </w:rPr>
      </w:pPr>
      <w:r>
        <w:rPr>
          <w:rFonts w:asciiTheme="minorHAnsi" w:hAnsiTheme="minorHAnsi"/>
          <w:bCs/>
          <w:iCs/>
          <w:color w:val="000000" w:themeColor="text1"/>
        </w:rPr>
        <w:t>In</w:t>
      </w:r>
      <w:r w:rsidR="003514EB">
        <w:rPr>
          <w:rFonts w:asciiTheme="minorHAnsi" w:hAnsiTheme="minorHAnsi"/>
          <w:bCs/>
          <w:iCs/>
          <w:color w:val="000000" w:themeColor="text1"/>
        </w:rPr>
        <w:t xml:space="preserve"> 2008, the </w:t>
      </w:r>
      <w:r w:rsidR="003514EB" w:rsidRPr="00C869A3">
        <w:rPr>
          <w:rFonts w:asciiTheme="minorHAnsi" w:hAnsiTheme="minorHAnsi"/>
          <w:bCs/>
          <w:iCs/>
          <w:color w:val="000000" w:themeColor="text1"/>
        </w:rPr>
        <w:t xml:space="preserve">NAIC </w:t>
      </w:r>
      <w:hyperlink r:id="rId8" w:history="1">
        <w:r w:rsidR="003514EB" w:rsidRPr="00C869A3">
          <w:rPr>
            <w:rStyle w:val="Hyperlink"/>
            <w:rFonts w:asciiTheme="minorHAnsi" w:hAnsiTheme="minorHAnsi"/>
            <w:bCs/>
            <w:iCs/>
            <w:color w:val="000000" w:themeColor="text1"/>
            <w:u w:val="none"/>
          </w:rPr>
          <w:t>Solvency Modernization Initiative</w:t>
        </w:r>
      </w:hyperlink>
      <w:r w:rsidR="003514EB">
        <w:rPr>
          <w:rFonts w:asciiTheme="minorHAnsi" w:hAnsiTheme="minorHAnsi"/>
          <w:bCs/>
          <w:iCs/>
          <w:color w:val="000000" w:themeColor="text1"/>
        </w:rPr>
        <w:t xml:space="preserve"> (SMI) began to consider whether there were any lessons learned from the financial crisis that would cause the solvency framework to be modified. The NAIC determined that changes should be made in the area of group supervision, starting with the new annual requirement for the Lead State of each group operating in the U.S. to complete a written holding company analysis. Since that time, other changes to state laws have been made to further enhance group supervision (</w:t>
      </w:r>
      <w:r w:rsidR="00966A3B">
        <w:rPr>
          <w:rFonts w:asciiTheme="minorHAnsi" w:hAnsiTheme="minorHAnsi"/>
          <w:bCs/>
          <w:iCs/>
          <w:color w:val="000000" w:themeColor="text1"/>
        </w:rPr>
        <w:t>e.g.,</w:t>
      </w:r>
      <w:r w:rsidR="003514EB">
        <w:rPr>
          <w:rFonts w:asciiTheme="minorHAnsi" w:hAnsiTheme="minorHAnsi"/>
          <w:bCs/>
          <w:iCs/>
          <w:color w:val="000000" w:themeColor="text1"/>
        </w:rPr>
        <w:t xml:space="preserve"> Form F, ORSA, </w:t>
      </w:r>
      <w:r w:rsidR="00D077AE">
        <w:rPr>
          <w:rFonts w:asciiTheme="minorHAnsi" w:hAnsiTheme="minorHAnsi"/>
          <w:bCs/>
          <w:iCs/>
          <w:color w:val="000000" w:themeColor="text1"/>
        </w:rPr>
        <w:t xml:space="preserve">and </w:t>
      </w:r>
      <w:r w:rsidR="003514EB">
        <w:rPr>
          <w:rFonts w:asciiTheme="minorHAnsi" w:hAnsiTheme="minorHAnsi"/>
          <w:bCs/>
          <w:iCs/>
          <w:color w:val="000000" w:themeColor="text1"/>
        </w:rPr>
        <w:t xml:space="preserve">Corporate Governance reporting). All of these new tools are inputs into the previously mentioned holding company analysis, which is now summarized into a consistent tool used by all states </w:t>
      </w:r>
      <w:r>
        <w:rPr>
          <w:rFonts w:asciiTheme="minorHAnsi" w:hAnsiTheme="minorHAnsi"/>
          <w:bCs/>
          <w:iCs/>
          <w:color w:val="000000" w:themeColor="text1"/>
        </w:rPr>
        <w:t xml:space="preserve">that </w:t>
      </w:r>
      <w:r w:rsidR="003514EB">
        <w:rPr>
          <w:rFonts w:asciiTheme="minorHAnsi" w:hAnsiTheme="minorHAnsi"/>
          <w:bCs/>
          <w:iCs/>
          <w:color w:val="000000" w:themeColor="text1"/>
        </w:rPr>
        <w:t>is known as the Group Profile Summary (GPS).</w:t>
      </w:r>
    </w:p>
    <w:p w14:paraId="0795F5A7" w14:textId="09FA4C53" w:rsidR="00EF67F0" w:rsidRDefault="00EF67F0" w:rsidP="003514EB">
      <w:pPr>
        <w:pStyle w:val="BodyText"/>
        <w:rPr>
          <w:rFonts w:asciiTheme="minorHAnsi" w:hAnsiTheme="minorHAnsi"/>
          <w:bCs/>
          <w:iCs/>
          <w:color w:val="000000" w:themeColor="text1"/>
        </w:rPr>
      </w:pPr>
    </w:p>
    <w:p w14:paraId="624EB2BD" w14:textId="64D9E4B5" w:rsidR="00577A59" w:rsidRPr="00577A59" w:rsidRDefault="00577A59" w:rsidP="003514EB">
      <w:pPr>
        <w:pStyle w:val="BodyText"/>
        <w:rPr>
          <w:rFonts w:asciiTheme="minorHAnsi" w:hAnsiTheme="minorHAnsi"/>
          <w:b/>
          <w:iCs/>
          <w:color w:val="000000" w:themeColor="text1"/>
        </w:rPr>
      </w:pPr>
      <w:r>
        <w:rPr>
          <w:rFonts w:asciiTheme="minorHAnsi" w:hAnsiTheme="minorHAnsi"/>
          <w:b/>
          <w:iCs/>
          <w:color w:val="000000" w:themeColor="text1"/>
        </w:rPr>
        <w:t xml:space="preserve">Benefits of the GCC &amp; Methods </w:t>
      </w:r>
      <w:r w:rsidR="00102C9F">
        <w:rPr>
          <w:rFonts w:asciiTheme="minorHAnsi" w:hAnsiTheme="minorHAnsi"/>
          <w:b/>
          <w:iCs/>
          <w:color w:val="000000" w:themeColor="text1"/>
        </w:rPr>
        <w:t>to Achieve Them</w:t>
      </w:r>
    </w:p>
    <w:p w14:paraId="7CDB73E6" w14:textId="77777777" w:rsidR="00577A59" w:rsidRDefault="00577A59" w:rsidP="003514EB">
      <w:pPr>
        <w:pStyle w:val="BodyText"/>
        <w:rPr>
          <w:rFonts w:asciiTheme="minorHAnsi" w:hAnsiTheme="minorHAnsi"/>
          <w:bCs/>
          <w:iCs/>
          <w:color w:val="000000" w:themeColor="text1"/>
        </w:rPr>
      </w:pPr>
    </w:p>
    <w:p w14:paraId="0BAF85DB" w14:textId="424D5054" w:rsidR="00EA4E41" w:rsidRDefault="00EF67F0" w:rsidP="003514EB">
      <w:pPr>
        <w:pStyle w:val="BodyText"/>
        <w:rPr>
          <w:rFonts w:asciiTheme="minorHAnsi" w:hAnsiTheme="minorHAnsi"/>
          <w:bCs/>
          <w:iCs/>
          <w:color w:val="000000" w:themeColor="text1"/>
        </w:rPr>
      </w:pPr>
      <w:r w:rsidRPr="003E5182">
        <w:rPr>
          <w:rFonts w:asciiTheme="minorHAnsi" w:hAnsiTheme="minorHAnsi"/>
          <w:bCs/>
          <w:iCs/>
          <w:color w:val="000000" w:themeColor="text1"/>
        </w:rPr>
        <w:t xml:space="preserve">The Group Capital Calculation Instructions describes the background, </w:t>
      </w:r>
      <w:r w:rsidR="00406067" w:rsidRPr="003E5182">
        <w:rPr>
          <w:rFonts w:asciiTheme="minorHAnsi" w:hAnsiTheme="minorHAnsi"/>
          <w:bCs/>
          <w:iCs/>
          <w:color w:val="000000" w:themeColor="text1"/>
        </w:rPr>
        <w:t>intent,</w:t>
      </w:r>
      <w:r w:rsidRPr="003E5182">
        <w:rPr>
          <w:rFonts w:asciiTheme="minorHAnsi" w:hAnsiTheme="minorHAnsi"/>
          <w:bCs/>
          <w:iCs/>
          <w:color w:val="000000" w:themeColor="text1"/>
        </w:rPr>
        <w:t xml:space="preserve"> and calculation for the GCC in detail. </w:t>
      </w:r>
      <w:r w:rsidR="003E5182" w:rsidRPr="003E5182">
        <w:rPr>
          <w:rFonts w:asciiTheme="minorHAnsi" w:hAnsiTheme="minorHAnsi"/>
          <w:bCs/>
          <w:iCs/>
          <w:color w:val="000000" w:themeColor="text1"/>
        </w:rPr>
        <w:t>As stated in the Group Capital Calculation Instructions</w:t>
      </w:r>
      <w:r w:rsidRPr="003E5182">
        <w:rPr>
          <w:rFonts w:asciiTheme="minorHAnsi" w:hAnsiTheme="minorHAnsi"/>
          <w:bCs/>
          <w:iCs/>
          <w:color w:val="000000" w:themeColor="text1"/>
        </w:rPr>
        <w:t xml:space="preserve">, the GCC and related reporting provides more transparency </w:t>
      </w:r>
      <w:r w:rsidR="00102C9F">
        <w:rPr>
          <w:rFonts w:asciiTheme="minorHAnsi" w:hAnsiTheme="minorHAnsi"/>
          <w:bCs/>
          <w:iCs/>
          <w:color w:val="000000" w:themeColor="text1"/>
        </w:rPr>
        <w:t xml:space="preserve">about a </w:t>
      </w:r>
      <w:r w:rsidR="00D077AE">
        <w:rPr>
          <w:rFonts w:asciiTheme="minorHAnsi" w:hAnsiTheme="minorHAnsi"/>
          <w:bCs/>
          <w:iCs/>
          <w:color w:val="000000" w:themeColor="text1"/>
        </w:rPr>
        <w:t xml:space="preserve">group’s structure and related risks </w:t>
      </w:r>
      <w:r w:rsidRPr="003E5182">
        <w:rPr>
          <w:rFonts w:asciiTheme="minorHAnsi" w:hAnsiTheme="minorHAnsi"/>
          <w:bCs/>
          <w:iCs/>
          <w:color w:val="000000" w:themeColor="text1"/>
        </w:rPr>
        <w:t xml:space="preserve">to insurance regulators and makes </w:t>
      </w:r>
      <w:r w:rsidR="00D077AE">
        <w:rPr>
          <w:rFonts w:asciiTheme="minorHAnsi" w:hAnsiTheme="minorHAnsi"/>
          <w:bCs/>
          <w:iCs/>
          <w:color w:val="000000" w:themeColor="text1"/>
        </w:rPr>
        <w:t xml:space="preserve">those </w:t>
      </w:r>
      <w:r w:rsidRPr="003E5182">
        <w:rPr>
          <w:rFonts w:asciiTheme="minorHAnsi" w:hAnsiTheme="minorHAnsi"/>
          <w:bCs/>
          <w:iCs/>
          <w:color w:val="000000" w:themeColor="text1"/>
        </w:rPr>
        <w:t xml:space="preserve">risks more identifiable and more easily quantified. In this regard, </w:t>
      </w:r>
      <w:r w:rsidR="003E5182" w:rsidRPr="003E5182">
        <w:rPr>
          <w:rFonts w:asciiTheme="minorHAnsi" w:hAnsiTheme="minorHAnsi"/>
          <w:bCs/>
          <w:iCs/>
          <w:color w:val="000000" w:themeColor="text1"/>
        </w:rPr>
        <w:t>th</w:t>
      </w:r>
      <w:r w:rsidR="00D40F9A">
        <w:rPr>
          <w:rFonts w:asciiTheme="minorHAnsi" w:hAnsiTheme="minorHAnsi"/>
          <w:bCs/>
          <w:iCs/>
          <w:color w:val="000000" w:themeColor="text1"/>
        </w:rPr>
        <w:t>is</w:t>
      </w:r>
      <w:r w:rsidR="003E5182" w:rsidRPr="003E5182">
        <w:rPr>
          <w:rFonts w:asciiTheme="minorHAnsi" w:hAnsiTheme="minorHAnsi"/>
          <w:bCs/>
          <w:iCs/>
          <w:color w:val="000000" w:themeColor="text1"/>
        </w:rPr>
        <w:t xml:space="preserve"> tool is intended to assist</w:t>
      </w:r>
      <w:r w:rsidRPr="003E5182">
        <w:rPr>
          <w:rFonts w:asciiTheme="minorHAnsi" w:hAnsiTheme="minorHAnsi"/>
          <w:bCs/>
          <w:iCs/>
          <w:color w:val="000000" w:themeColor="text1"/>
        </w:rPr>
        <w:t xml:space="preserve"> regulators in </w:t>
      </w:r>
      <w:r w:rsidR="00102C9F">
        <w:rPr>
          <w:rFonts w:asciiTheme="minorHAnsi" w:hAnsiTheme="minorHAnsi"/>
          <w:bCs/>
          <w:iCs/>
          <w:color w:val="000000" w:themeColor="text1"/>
        </w:rPr>
        <w:t xml:space="preserve">better </w:t>
      </w:r>
      <w:r w:rsidRPr="003E5182">
        <w:rPr>
          <w:rFonts w:asciiTheme="minorHAnsi" w:hAnsiTheme="minorHAnsi"/>
          <w:bCs/>
          <w:iCs/>
          <w:color w:val="000000" w:themeColor="text1"/>
        </w:rPr>
        <w:t xml:space="preserve">understanding the </w:t>
      </w:r>
      <w:r w:rsidR="00102C9F">
        <w:rPr>
          <w:rFonts w:asciiTheme="minorHAnsi" w:hAnsiTheme="minorHAnsi"/>
          <w:bCs/>
          <w:iCs/>
          <w:color w:val="000000" w:themeColor="text1"/>
        </w:rPr>
        <w:t xml:space="preserve">risks </w:t>
      </w:r>
      <w:r w:rsidR="002206A3">
        <w:rPr>
          <w:rFonts w:asciiTheme="minorHAnsi" w:hAnsiTheme="minorHAnsi"/>
          <w:bCs/>
          <w:iCs/>
          <w:color w:val="000000" w:themeColor="text1"/>
        </w:rPr>
        <w:t xml:space="preserve">that the </w:t>
      </w:r>
      <w:r w:rsidRPr="003E5182">
        <w:rPr>
          <w:rFonts w:asciiTheme="minorHAnsi" w:hAnsiTheme="minorHAnsi"/>
          <w:bCs/>
          <w:iCs/>
          <w:color w:val="000000" w:themeColor="text1"/>
        </w:rPr>
        <w:t>non-insurance entities</w:t>
      </w:r>
      <w:r w:rsidR="002206A3">
        <w:rPr>
          <w:rFonts w:asciiTheme="minorHAnsi" w:hAnsiTheme="minorHAnsi"/>
          <w:bCs/>
          <w:iCs/>
          <w:color w:val="000000" w:themeColor="text1"/>
        </w:rPr>
        <w:t xml:space="preserve"> may pose to the group</w:t>
      </w:r>
      <w:r w:rsidRPr="003E5182">
        <w:rPr>
          <w:rFonts w:asciiTheme="minorHAnsi" w:hAnsiTheme="minorHAnsi"/>
          <w:bCs/>
          <w:iCs/>
          <w:color w:val="000000" w:themeColor="text1"/>
        </w:rPr>
        <w:t>, how capital is distributed across an entire group, and whether and to what degree insurance companies</w:t>
      </w:r>
      <w:r w:rsidR="00D077AE">
        <w:rPr>
          <w:rFonts w:asciiTheme="minorHAnsi" w:hAnsiTheme="minorHAnsi"/>
          <w:bCs/>
          <w:iCs/>
          <w:color w:val="000000" w:themeColor="text1"/>
        </w:rPr>
        <w:t>’ capital</w:t>
      </w:r>
      <w:r w:rsidRPr="003E5182">
        <w:rPr>
          <w:rFonts w:asciiTheme="minorHAnsi" w:hAnsiTheme="minorHAnsi"/>
          <w:bCs/>
          <w:iCs/>
          <w:color w:val="000000" w:themeColor="text1"/>
        </w:rPr>
        <w:t xml:space="preserve"> may be </w:t>
      </w:r>
      <w:r w:rsidR="00D077AE">
        <w:rPr>
          <w:rFonts w:asciiTheme="minorHAnsi" w:hAnsiTheme="minorHAnsi"/>
          <w:bCs/>
          <w:iCs/>
          <w:color w:val="000000" w:themeColor="text1"/>
        </w:rPr>
        <w:t xml:space="preserve">put at risk from </w:t>
      </w:r>
      <w:r w:rsidRPr="003E5182">
        <w:rPr>
          <w:rFonts w:asciiTheme="minorHAnsi" w:hAnsiTheme="minorHAnsi"/>
          <w:bCs/>
          <w:iCs/>
          <w:color w:val="000000" w:themeColor="text1"/>
        </w:rPr>
        <w:t xml:space="preserve">the operations of non-insurance entities, potentially undermining the insurance company’s financial condition and/or placing upward pressure on </w:t>
      </w:r>
      <w:r w:rsidR="002206A3">
        <w:rPr>
          <w:rFonts w:asciiTheme="minorHAnsi" w:hAnsiTheme="minorHAnsi"/>
          <w:bCs/>
          <w:iCs/>
          <w:color w:val="000000" w:themeColor="text1"/>
        </w:rPr>
        <w:t xml:space="preserve">the insurers in the group. </w:t>
      </w:r>
      <w:r w:rsidR="00D40F9A">
        <w:rPr>
          <w:rFonts w:asciiTheme="minorHAnsi" w:hAnsiTheme="minorHAnsi"/>
          <w:bCs/>
          <w:iCs/>
          <w:color w:val="000000" w:themeColor="text1"/>
        </w:rPr>
        <w:t xml:space="preserve">An analyst is not expected to understand non-insurance industries represented within the </w:t>
      </w:r>
      <w:r w:rsidR="00966A3B">
        <w:rPr>
          <w:rFonts w:asciiTheme="minorHAnsi" w:hAnsiTheme="minorHAnsi"/>
          <w:bCs/>
          <w:iCs/>
          <w:color w:val="000000" w:themeColor="text1"/>
        </w:rPr>
        <w:t>group but</w:t>
      </w:r>
      <w:r w:rsidR="00D40F9A">
        <w:rPr>
          <w:rFonts w:asciiTheme="minorHAnsi" w:hAnsiTheme="minorHAnsi"/>
          <w:bCs/>
          <w:iCs/>
          <w:color w:val="000000" w:themeColor="text1"/>
        </w:rPr>
        <w:t xml:space="preserve"> is expected to understand through this calculation if a non-regulated entity could place pressure on or provide relief to a regulated entity.</w:t>
      </w:r>
    </w:p>
    <w:p w14:paraId="39E88259" w14:textId="77777777" w:rsidR="00EA4E41" w:rsidRDefault="00EA4E41" w:rsidP="003514EB">
      <w:pPr>
        <w:pStyle w:val="BodyText"/>
        <w:rPr>
          <w:rFonts w:asciiTheme="minorHAnsi" w:hAnsiTheme="minorHAnsi"/>
          <w:bCs/>
          <w:iCs/>
          <w:color w:val="000000" w:themeColor="text1"/>
        </w:rPr>
      </w:pPr>
    </w:p>
    <w:p w14:paraId="7DAF8D0D" w14:textId="05F89D44" w:rsidR="00E8324A" w:rsidRDefault="00DA41C9"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The manner in which the GCC achieves some of these benefits </w:t>
      </w:r>
      <w:r w:rsidR="002206A3">
        <w:rPr>
          <w:rFonts w:asciiTheme="minorHAnsi" w:hAnsiTheme="minorHAnsi"/>
          <w:bCs/>
          <w:iCs/>
          <w:color w:val="000000" w:themeColor="text1"/>
        </w:rPr>
        <w:t xml:space="preserve">or points </w:t>
      </w:r>
      <w:r>
        <w:rPr>
          <w:rFonts w:asciiTheme="minorHAnsi" w:hAnsiTheme="minorHAnsi"/>
          <w:bCs/>
          <w:iCs/>
          <w:color w:val="000000" w:themeColor="text1"/>
        </w:rPr>
        <w:t>varies. For example, with regard to understanding how capital is distributed across an entire group</w:t>
      </w:r>
      <w:r w:rsidR="002206A3">
        <w:rPr>
          <w:rFonts w:asciiTheme="minorHAnsi" w:hAnsiTheme="minorHAnsi"/>
          <w:bCs/>
          <w:iCs/>
          <w:color w:val="000000" w:themeColor="text1"/>
        </w:rPr>
        <w:t>, this</w:t>
      </w:r>
      <w:r>
        <w:rPr>
          <w:rFonts w:asciiTheme="minorHAnsi" w:hAnsiTheme="minorHAnsi"/>
          <w:bCs/>
          <w:iCs/>
          <w:color w:val="000000" w:themeColor="text1"/>
        </w:rPr>
        <w:t xml:space="preserve"> can be seen in two ways</w:t>
      </w:r>
      <w:r w:rsidR="002206A3">
        <w:rPr>
          <w:rFonts w:asciiTheme="minorHAnsi" w:hAnsiTheme="minorHAnsi"/>
          <w:bCs/>
          <w:iCs/>
          <w:color w:val="000000" w:themeColor="text1"/>
        </w:rPr>
        <w:t>. One,  is</w:t>
      </w:r>
      <w:r w:rsidR="00F10A48">
        <w:rPr>
          <w:rFonts w:asciiTheme="minorHAnsi" w:hAnsiTheme="minorHAnsi"/>
          <w:bCs/>
          <w:iCs/>
          <w:color w:val="000000" w:themeColor="text1"/>
        </w:rPr>
        <w:t xml:space="preserve"> by viewing the Tab titled “Input 4-Analytics”</w:t>
      </w:r>
      <w:r w:rsidR="00EA4E41">
        <w:rPr>
          <w:rFonts w:asciiTheme="minorHAnsi" w:hAnsiTheme="minorHAnsi"/>
          <w:bCs/>
          <w:iCs/>
          <w:color w:val="000000" w:themeColor="text1"/>
        </w:rPr>
        <w:t xml:space="preserve"> </w:t>
      </w:r>
      <w:r w:rsidR="002206A3">
        <w:rPr>
          <w:rFonts w:asciiTheme="minorHAnsi" w:hAnsiTheme="minorHAnsi"/>
          <w:bCs/>
          <w:iCs/>
          <w:color w:val="000000" w:themeColor="text1"/>
        </w:rPr>
        <w:t xml:space="preserve">in </w:t>
      </w:r>
      <w:r>
        <w:rPr>
          <w:rFonts w:asciiTheme="minorHAnsi" w:hAnsiTheme="minorHAnsi"/>
          <w:bCs/>
          <w:iCs/>
          <w:color w:val="000000" w:themeColor="text1"/>
        </w:rPr>
        <w:t xml:space="preserve">the display of </w:t>
      </w:r>
      <w:r w:rsidR="00F10A48">
        <w:rPr>
          <w:rFonts w:asciiTheme="minorHAnsi" w:hAnsiTheme="minorHAnsi"/>
          <w:bCs/>
          <w:iCs/>
          <w:color w:val="000000" w:themeColor="text1"/>
        </w:rPr>
        <w:t>the “Ratio of Actual to Required Capital”</w:t>
      </w:r>
      <w:r w:rsidR="002206A3">
        <w:rPr>
          <w:rFonts w:asciiTheme="minorHAnsi" w:hAnsiTheme="minorHAnsi"/>
          <w:bCs/>
          <w:iCs/>
          <w:color w:val="000000" w:themeColor="text1"/>
        </w:rPr>
        <w:t>. Two is by viewing the same Tab and in the</w:t>
      </w:r>
      <w:r w:rsidR="00F10A48">
        <w:rPr>
          <w:rFonts w:asciiTheme="minorHAnsi" w:hAnsiTheme="minorHAnsi"/>
          <w:bCs/>
          <w:iCs/>
          <w:color w:val="000000" w:themeColor="text1"/>
        </w:rPr>
        <w:t xml:space="preserve"> display of “Required Capital” in a separate column. The degree of subsidization can also be seen in the “Input 4-Analytics” tab, with the </w:t>
      </w:r>
      <w:r w:rsidR="0030578B">
        <w:rPr>
          <w:rFonts w:asciiTheme="minorHAnsi" w:hAnsiTheme="minorHAnsi"/>
          <w:bCs/>
          <w:iCs/>
          <w:color w:val="000000" w:themeColor="text1"/>
        </w:rPr>
        <w:t xml:space="preserve">display of the </w:t>
      </w:r>
      <w:r w:rsidR="00F10A48">
        <w:rPr>
          <w:rFonts w:asciiTheme="minorHAnsi" w:hAnsiTheme="minorHAnsi"/>
          <w:bCs/>
          <w:iCs/>
          <w:color w:val="000000" w:themeColor="text1"/>
        </w:rPr>
        <w:t xml:space="preserve">columns </w:t>
      </w:r>
      <w:r w:rsidR="00EA4E41">
        <w:rPr>
          <w:rFonts w:asciiTheme="minorHAnsi" w:hAnsiTheme="minorHAnsi"/>
          <w:bCs/>
          <w:iCs/>
          <w:color w:val="000000" w:themeColor="text1"/>
        </w:rPr>
        <w:t>as follows:</w:t>
      </w:r>
      <w:r w:rsidR="00F10A48">
        <w:rPr>
          <w:rFonts w:asciiTheme="minorHAnsi" w:hAnsiTheme="minorHAnsi"/>
          <w:bCs/>
          <w:iCs/>
          <w:color w:val="000000" w:themeColor="text1"/>
        </w:rPr>
        <w:t xml:space="preserve"> 1) Capital Contributions Received/(Paid)</w:t>
      </w:r>
      <w:r w:rsidR="00EA4E41">
        <w:rPr>
          <w:rFonts w:asciiTheme="minorHAnsi" w:hAnsiTheme="minorHAnsi"/>
          <w:bCs/>
          <w:iCs/>
          <w:color w:val="000000" w:themeColor="text1"/>
        </w:rPr>
        <w:t>;</w:t>
      </w:r>
      <w:r w:rsidR="00F10A48">
        <w:rPr>
          <w:rFonts w:asciiTheme="minorHAnsi" w:hAnsiTheme="minorHAnsi"/>
          <w:bCs/>
          <w:iCs/>
          <w:color w:val="000000" w:themeColor="text1"/>
        </w:rPr>
        <w:t xml:space="preserve"> 2) </w:t>
      </w:r>
      <w:r w:rsidR="0030578B">
        <w:rPr>
          <w:rFonts w:asciiTheme="minorHAnsi" w:hAnsiTheme="minorHAnsi"/>
          <w:bCs/>
          <w:iCs/>
          <w:color w:val="000000" w:themeColor="text1"/>
        </w:rPr>
        <w:t xml:space="preserve">Net Income. While one year of information can show this exists, most will not be seen until after further years of the GCC are reported </w:t>
      </w:r>
      <w:r w:rsidR="00B235E5">
        <w:rPr>
          <w:rFonts w:asciiTheme="minorHAnsi" w:hAnsiTheme="minorHAnsi"/>
          <w:bCs/>
          <w:iCs/>
          <w:color w:val="000000" w:themeColor="text1"/>
        </w:rPr>
        <w:t>within the template</w:t>
      </w:r>
      <w:r w:rsidR="0030578B">
        <w:rPr>
          <w:rFonts w:asciiTheme="minorHAnsi" w:hAnsiTheme="minorHAnsi"/>
          <w:bCs/>
          <w:iCs/>
          <w:color w:val="000000" w:themeColor="text1"/>
        </w:rPr>
        <w:t>.</w:t>
      </w:r>
      <w:r w:rsidR="00B235E5">
        <w:rPr>
          <w:rFonts w:asciiTheme="minorHAnsi" w:hAnsiTheme="minorHAnsi"/>
          <w:bCs/>
          <w:iCs/>
          <w:color w:val="000000" w:themeColor="text1"/>
        </w:rPr>
        <w:t xml:space="preserve"> </w:t>
      </w:r>
      <w:r w:rsidR="00EA4E41">
        <w:rPr>
          <w:rFonts w:asciiTheme="minorHAnsi" w:hAnsiTheme="minorHAnsi"/>
          <w:bCs/>
          <w:iCs/>
          <w:color w:val="000000" w:themeColor="text1"/>
        </w:rPr>
        <w:t xml:space="preserve">Once </w:t>
      </w:r>
      <w:r w:rsidR="002206A3">
        <w:rPr>
          <w:rFonts w:asciiTheme="minorHAnsi" w:hAnsiTheme="minorHAnsi"/>
          <w:bCs/>
          <w:iCs/>
          <w:color w:val="000000" w:themeColor="text1"/>
        </w:rPr>
        <w:t xml:space="preserve">at least </w:t>
      </w:r>
      <w:r w:rsidR="00EA4E41">
        <w:rPr>
          <w:rFonts w:asciiTheme="minorHAnsi" w:hAnsiTheme="minorHAnsi"/>
          <w:bCs/>
          <w:iCs/>
          <w:color w:val="000000" w:themeColor="text1"/>
        </w:rPr>
        <w:t>five years of data are displayed in this “Input 4-Analytics” tab</w:t>
      </w:r>
      <w:r w:rsidR="00B235E5">
        <w:rPr>
          <w:rFonts w:asciiTheme="minorHAnsi" w:hAnsiTheme="minorHAnsi"/>
          <w:bCs/>
          <w:iCs/>
          <w:color w:val="000000" w:themeColor="text1"/>
        </w:rPr>
        <w:t xml:space="preserve">, </w:t>
      </w:r>
      <w:r w:rsidR="00EA4E41">
        <w:rPr>
          <w:rFonts w:asciiTheme="minorHAnsi" w:hAnsiTheme="minorHAnsi"/>
          <w:bCs/>
          <w:iCs/>
          <w:color w:val="000000" w:themeColor="text1"/>
        </w:rPr>
        <w:t xml:space="preserve">it </w:t>
      </w:r>
      <w:r w:rsidR="00B235E5">
        <w:rPr>
          <w:rFonts w:asciiTheme="minorHAnsi" w:hAnsiTheme="minorHAnsi"/>
          <w:bCs/>
          <w:iCs/>
          <w:color w:val="000000" w:themeColor="text1"/>
        </w:rPr>
        <w:t xml:space="preserve">will allow the analyst to better understand the financial condition of the group as a whole as well as the </w:t>
      </w:r>
      <w:r w:rsidR="002206A3">
        <w:rPr>
          <w:rFonts w:asciiTheme="minorHAnsi" w:hAnsiTheme="minorHAnsi"/>
          <w:bCs/>
          <w:iCs/>
          <w:color w:val="000000" w:themeColor="text1"/>
        </w:rPr>
        <w:t xml:space="preserve">risks posed by </w:t>
      </w:r>
      <w:r w:rsidR="00B235E5">
        <w:rPr>
          <w:rFonts w:asciiTheme="minorHAnsi" w:hAnsiTheme="minorHAnsi"/>
          <w:bCs/>
          <w:iCs/>
          <w:color w:val="000000" w:themeColor="text1"/>
        </w:rPr>
        <w:t>non-insurance entities</w:t>
      </w:r>
      <w:r w:rsidR="002206A3">
        <w:rPr>
          <w:rFonts w:asciiTheme="minorHAnsi" w:hAnsiTheme="minorHAnsi"/>
          <w:bCs/>
          <w:iCs/>
          <w:color w:val="000000" w:themeColor="text1"/>
        </w:rPr>
        <w:t xml:space="preserve"> in the group</w:t>
      </w:r>
      <w:r w:rsidR="00B235E5">
        <w:rPr>
          <w:rFonts w:asciiTheme="minorHAnsi" w:hAnsiTheme="minorHAnsi"/>
          <w:bCs/>
          <w:iCs/>
          <w:color w:val="000000" w:themeColor="text1"/>
        </w:rPr>
        <w:t>.</w:t>
      </w:r>
      <w:r w:rsidR="007D5842">
        <w:rPr>
          <w:rFonts w:asciiTheme="minorHAnsi" w:hAnsiTheme="minorHAnsi"/>
          <w:bCs/>
          <w:iCs/>
          <w:color w:val="000000" w:themeColor="text1"/>
        </w:rPr>
        <w:t xml:space="preserve"> Of course</w:t>
      </w:r>
      <w:r w:rsidR="00AA10D2">
        <w:rPr>
          <w:rFonts w:asciiTheme="minorHAnsi" w:hAnsiTheme="minorHAnsi"/>
          <w:bCs/>
          <w:iCs/>
          <w:color w:val="000000" w:themeColor="text1"/>
        </w:rPr>
        <w:t>,</w:t>
      </w:r>
      <w:r w:rsidR="007D5842">
        <w:rPr>
          <w:rFonts w:asciiTheme="minorHAnsi" w:hAnsiTheme="minorHAnsi"/>
          <w:bCs/>
          <w:iCs/>
          <w:color w:val="000000" w:themeColor="text1"/>
        </w:rPr>
        <w:t xml:space="preserve"> such conclusions can only be made once the analyst </w:t>
      </w:r>
      <w:r w:rsidR="002206A3">
        <w:rPr>
          <w:rFonts w:asciiTheme="minorHAnsi" w:hAnsiTheme="minorHAnsi"/>
          <w:bCs/>
          <w:iCs/>
          <w:color w:val="000000" w:themeColor="text1"/>
        </w:rPr>
        <w:t>sees the</w:t>
      </w:r>
      <w:r w:rsidR="007D5842">
        <w:rPr>
          <w:rFonts w:asciiTheme="minorHAnsi" w:hAnsiTheme="minorHAnsi"/>
          <w:bCs/>
          <w:iCs/>
          <w:color w:val="000000" w:themeColor="text1"/>
        </w:rPr>
        <w:t xml:space="preserve"> data </w:t>
      </w:r>
      <w:r w:rsidR="002206A3">
        <w:rPr>
          <w:rFonts w:asciiTheme="minorHAnsi" w:hAnsiTheme="minorHAnsi"/>
          <w:bCs/>
          <w:iCs/>
          <w:color w:val="000000" w:themeColor="text1"/>
        </w:rPr>
        <w:t>and</w:t>
      </w:r>
      <w:r w:rsidR="007D5842">
        <w:rPr>
          <w:rFonts w:asciiTheme="minorHAnsi" w:hAnsiTheme="minorHAnsi"/>
          <w:bCs/>
          <w:iCs/>
          <w:color w:val="000000" w:themeColor="text1"/>
        </w:rPr>
        <w:t xml:space="preserve"> understand</w:t>
      </w:r>
      <w:r w:rsidR="002206A3">
        <w:rPr>
          <w:rFonts w:asciiTheme="minorHAnsi" w:hAnsiTheme="minorHAnsi"/>
          <w:bCs/>
          <w:iCs/>
          <w:color w:val="000000" w:themeColor="text1"/>
        </w:rPr>
        <w:t>s</w:t>
      </w:r>
      <w:r w:rsidR="007D5842">
        <w:rPr>
          <w:rFonts w:asciiTheme="minorHAnsi" w:hAnsiTheme="minorHAnsi"/>
          <w:bCs/>
          <w:iCs/>
          <w:color w:val="000000" w:themeColor="text1"/>
        </w:rPr>
        <w:t xml:space="preserve"> from the group what is occurring that is leading to such figures.</w:t>
      </w:r>
    </w:p>
    <w:p w14:paraId="6F3007FC" w14:textId="20AF3C78" w:rsidR="00E8324A" w:rsidRDefault="0030578B"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 </w:t>
      </w:r>
    </w:p>
    <w:p w14:paraId="4274EB65" w14:textId="5697906A" w:rsidR="00EA4E41" w:rsidRDefault="002206A3" w:rsidP="003514EB">
      <w:pPr>
        <w:pStyle w:val="BodyText"/>
        <w:rPr>
          <w:rFonts w:asciiTheme="minorHAnsi" w:hAnsiTheme="minorHAnsi"/>
          <w:bCs/>
          <w:iCs/>
          <w:color w:val="000000" w:themeColor="text1"/>
        </w:rPr>
      </w:pPr>
      <w:r>
        <w:rPr>
          <w:rFonts w:asciiTheme="minorHAnsi" w:hAnsiTheme="minorHAnsi"/>
          <w:bCs/>
          <w:iCs/>
          <w:color w:val="000000" w:themeColor="text1"/>
        </w:rPr>
        <w:lastRenderedPageBreak/>
        <w:t>Recognizing that legal entity supervision and related tools (</w:t>
      </w:r>
      <w:r w:rsidR="00966A3B">
        <w:rPr>
          <w:rFonts w:asciiTheme="minorHAnsi" w:hAnsiTheme="minorHAnsi"/>
          <w:bCs/>
          <w:iCs/>
          <w:color w:val="000000" w:themeColor="text1"/>
        </w:rPr>
        <w:t>e.g.,</w:t>
      </w:r>
      <w:r>
        <w:rPr>
          <w:rFonts w:asciiTheme="minorHAnsi" w:hAnsiTheme="minorHAnsi"/>
          <w:bCs/>
          <w:iCs/>
          <w:color w:val="000000" w:themeColor="text1"/>
        </w:rPr>
        <w:t xml:space="preserve"> RBC) is the primary means to address inadequate capital, the GCC may provide </w:t>
      </w:r>
      <w:r w:rsidR="00EF67F0" w:rsidRPr="003E5182">
        <w:rPr>
          <w:rFonts w:asciiTheme="minorHAnsi" w:hAnsiTheme="minorHAnsi"/>
          <w:bCs/>
          <w:iCs/>
          <w:color w:val="000000" w:themeColor="text1"/>
        </w:rPr>
        <w:t xml:space="preserve">an additional early warning signal to regulators </w:t>
      </w:r>
      <w:r>
        <w:rPr>
          <w:rFonts w:asciiTheme="minorHAnsi" w:hAnsiTheme="minorHAnsi"/>
          <w:bCs/>
          <w:iCs/>
          <w:color w:val="000000" w:themeColor="text1"/>
        </w:rPr>
        <w:t xml:space="preserve">regarding risks or activities of non-insurers within the group that may pose material risk to the insurance operations. </w:t>
      </w:r>
      <w:r w:rsidR="007D5842">
        <w:rPr>
          <w:rFonts w:asciiTheme="minorHAnsi" w:hAnsiTheme="minorHAnsi"/>
          <w:bCs/>
          <w:iCs/>
          <w:color w:val="000000" w:themeColor="text1"/>
        </w:rPr>
        <w:t>This early warning signal can be seen with the trending of the financial information in the “Input 4-Analytics” tab</w:t>
      </w:r>
      <w:r w:rsidR="00904878">
        <w:rPr>
          <w:rFonts w:asciiTheme="minorHAnsi" w:hAnsiTheme="minorHAnsi"/>
          <w:bCs/>
          <w:iCs/>
          <w:color w:val="000000" w:themeColor="text1"/>
        </w:rPr>
        <w:t xml:space="preserve"> as well as through the application of sensitivity analysis in the Input 5 Tab and inclusion of other relevant information in the Input 6 Tab</w:t>
      </w:r>
      <w:r w:rsidR="007D5842">
        <w:rPr>
          <w:rFonts w:asciiTheme="minorHAnsi" w:hAnsiTheme="minorHAnsi"/>
          <w:bCs/>
          <w:iCs/>
          <w:color w:val="000000" w:themeColor="text1"/>
        </w:rPr>
        <w:t>. However, the analyst should also understand that other “qualitative tools”</w:t>
      </w:r>
      <w:r w:rsidR="00FE4E1C">
        <w:rPr>
          <w:rFonts w:asciiTheme="minorHAnsi" w:hAnsiTheme="minorHAnsi"/>
          <w:bCs/>
          <w:iCs/>
          <w:color w:val="000000" w:themeColor="text1"/>
        </w:rPr>
        <w:t>,</w:t>
      </w:r>
      <w:r w:rsidR="007D5842">
        <w:rPr>
          <w:rFonts w:asciiTheme="minorHAnsi" w:hAnsiTheme="minorHAnsi"/>
          <w:bCs/>
          <w:iCs/>
          <w:color w:val="000000" w:themeColor="text1"/>
        </w:rPr>
        <w:t xml:space="preserve"> such as the Form F, are capable of also providing early warning signals if properly reported by the group. In addition, since most holding company systems may have a larger percentage of their operations in the insurance businesses, the insurance trends for the U.S. insurers in the group should already be known</w:t>
      </w:r>
      <w:r w:rsidR="00A16B4A">
        <w:rPr>
          <w:rFonts w:asciiTheme="minorHAnsi" w:hAnsiTheme="minorHAnsi"/>
          <w:bCs/>
          <w:iCs/>
          <w:color w:val="000000" w:themeColor="text1"/>
        </w:rPr>
        <w:t xml:space="preserve"> and made available to the lead-state by the legal entity regulator</w:t>
      </w:r>
      <w:r w:rsidR="00FE4E1C">
        <w:rPr>
          <w:rFonts w:asciiTheme="minorHAnsi" w:hAnsiTheme="minorHAnsi"/>
          <w:bCs/>
          <w:iCs/>
          <w:color w:val="000000" w:themeColor="text1"/>
        </w:rPr>
        <w:t xml:space="preserve"> of the insurer(s)</w:t>
      </w:r>
      <w:r w:rsidR="007D5842">
        <w:rPr>
          <w:rFonts w:asciiTheme="minorHAnsi" w:hAnsiTheme="minorHAnsi"/>
          <w:bCs/>
          <w:iCs/>
          <w:color w:val="000000" w:themeColor="text1"/>
        </w:rPr>
        <w:t xml:space="preserve">. </w:t>
      </w:r>
      <w:r w:rsidR="00A16B4A">
        <w:rPr>
          <w:rFonts w:asciiTheme="minorHAnsi" w:hAnsiTheme="minorHAnsi"/>
          <w:bCs/>
          <w:iCs/>
          <w:color w:val="000000" w:themeColor="text1"/>
        </w:rPr>
        <w:t xml:space="preserve">However, in the context of added policyholder protection, this </w:t>
      </w:r>
      <w:r w:rsidR="00FE4E1C">
        <w:rPr>
          <w:rFonts w:asciiTheme="minorHAnsi" w:hAnsiTheme="minorHAnsi"/>
          <w:bCs/>
          <w:iCs/>
          <w:color w:val="000000" w:themeColor="text1"/>
        </w:rPr>
        <w:t xml:space="preserve">may </w:t>
      </w:r>
      <w:r w:rsidR="00A16B4A">
        <w:rPr>
          <w:rFonts w:asciiTheme="minorHAnsi" w:hAnsiTheme="minorHAnsi"/>
          <w:bCs/>
          <w:iCs/>
          <w:color w:val="000000" w:themeColor="text1"/>
        </w:rPr>
        <w:t xml:space="preserve">largely come into play with respect to the added quantitative data </w:t>
      </w:r>
      <w:r w:rsidR="00FE4E1C">
        <w:rPr>
          <w:rFonts w:asciiTheme="minorHAnsi" w:hAnsiTheme="minorHAnsi"/>
          <w:bCs/>
          <w:iCs/>
          <w:color w:val="000000" w:themeColor="text1"/>
        </w:rPr>
        <w:t>from non-</w:t>
      </w:r>
      <w:r w:rsidR="00A16B4A">
        <w:rPr>
          <w:rFonts w:asciiTheme="minorHAnsi" w:hAnsiTheme="minorHAnsi"/>
          <w:bCs/>
          <w:iCs/>
          <w:color w:val="000000" w:themeColor="text1"/>
        </w:rPr>
        <w:t>insurers.</w:t>
      </w:r>
    </w:p>
    <w:p w14:paraId="6E923280" w14:textId="77777777" w:rsidR="00EA4E41" w:rsidRDefault="00EA4E41" w:rsidP="003514EB">
      <w:pPr>
        <w:pStyle w:val="BodyText"/>
        <w:rPr>
          <w:rFonts w:asciiTheme="minorHAnsi" w:hAnsiTheme="minorHAnsi"/>
          <w:bCs/>
          <w:iCs/>
          <w:color w:val="000000" w:themeColor="text1"/>
        </w:rPr>
      </w:pPr>
    </w:p>
    <w:p w14:paraId="14EF0EBC" w14:textId="224D343D" w:rsidR="00CA5F5C" w:rsidRDefault="00EF67F0" w:rsidP="003514EB">
      <w:pPr>
        <w:pStyle w:val="BodyText"/>
        <w:rPr>
          <w:rFonts w:asciiTheme="minorHAnsi" w:hAnsiTheme="minorHAnsi"/>
          <w:bCs/>
          <w:iCs/>
          <w:color w:val="000000" w:themeColor="text1"/>
        </w:rPr>
      </w:pPr>
      <w:r w:rsidRPr="003E5182">
        <w:rPr>
          <w:rFonts w:asciiTheme="minorHAnsi" w:hAnsiTheme="minorHAnsi"/>
          <w:bCs/>
          <w:iCs/>
          <w:color w:val="000000" w:themeColor="text1"/>
        </w:rPr>
        <w:t>The GCC is an additional reporting requirement but with important confidentiality protections built into the legal authority</w:t>
      </w:r>
      <w:r w:rsidR="00D077AE">
        <w:rPr>
          <w:rFonts w:asciiTheme="minorHAnsi" w:hAnsiTheme="minorHAnsi"/>
          <w:bCs/>
          <w:iCs/>
          <w:color w:val="000000" w:themeColor="text1"/>
        </w:rPr>
        <w:t xml:space="preserve"> to require such reporting</w:t>
      </w:r>
      <w:r w:rsidRPr="003E5182">
        <w:rPr>
          <w:rFonts w:asciiTheme="minorHAnsi" w:hAnsiTheme="minorHAnsi"/>
          <w:bCs/>
          <w:iCs/>
          <w:color w:val="000000" w:themeColor="text1"/>
        </w:rPr>
        <w:t>. State insurance regulators already have broad authority to take action when an insurer is financially distressed, and the GCC is designed to provide regulators with further insights to allow them to make informed decisions on both the need for action, and the type of action to take</w:t>
      </w:r>
      <w:r w:rsidR="003E5182" w:rsidRPr="003E5182">
        <w:rPr>
          <w:rFonts w:asciiTheme="minorHAnsi" w:hAnsiTheme="minorHAnsi"/>
          <w:bCs/>
          <w:iCs/>
          <w:color w:val="000000" w:themeColor="text1"/>
        </w:rPr>
        <w:t>.</w:t>
      </w:r>
      <w:r w:rsidR="007D5842">
        <w:rPr>
          <w:rFonts w:asciiTheme="minorHAnsi" w:hAnsiTheme="minorHAnsi"/>
          <w:bCs/>
          <w:iCs/>
          <w:color w:val="000000" w:themeColor="text1"/>
        </w:rPr>
        <w:t xml:space="preserve"> </w:t>
      </w:r>
      <w:r w:rsidR="00CA5F5C">
        <w:rPr>
          <w:rFonts w:asciiTheme="minorHAnsi" w:hAnsiTheme="minorHAnsi"/>
          <w:bCs/>
          <w:iCs/>
          <w:color w:val="000000" w:themeColor="text1"/>
        </w:rPr>
        <w:t>That said, the GCC and its related provisions in the NAICs Model Holding Company Act and corresponding regulation are not designed or otherwise intended for regulators to take regulatory action based on the reported level of a group’s GCC. Regulators will use other existing tools and authorities to take action, primarily at the legal entity level.</w:t>
      </w:r>
    </w:p>
    <w:p w14:paraId="6D612DD8" w14:textId="77777777" w:rsidR="00CA5F5C" w:rsidRDefault="00CA5F5C" w:rsidP="003514EB">
      <w:pPr>
        <w:pStyle w:val="BodyText"/>
        <w:rPr>
          <w:rFonts w:asciiTheme="minorHAnsi" w:hAnsiTheme="minorHAnsi"/>
          <w:bCs/>
          <w:iCs/>
          <w:color w:val="000000" w:themeColor="text1"/>
        </w:rPr>
      </w:pPr>
    </w:p>
    <w:p w14:paraId="6DC95776" w14:textId="7C84FD02" w:rsidR="00EF67F0" w:rsidRPr="003E5182" w:rsidRDefault="007D5842" w:rsidP="003514EB">
      <w:pPr>
        <w:pStyle w:val="BodyText"/>
        <w:rPr>
          <w:rFonts w:asciiTheme="minorHAnsi" w:hAnsiTheme="minorHAnsi"/>
          <w:bCs/>
          <w:iCs/>
          <w:color w:val="000000" w:themeColor="text1"/>
        </w:rPr>
      </w:pPr>
      <w:r>
        <w:rPr>
          <w:rFonts w:asciiTheme="minorHAnsi" w:hAnsiTheme="minorHAnsi"/>
          <w:bCs/>
          <w:iCs/>
          <w:color w:val="000000" w:themeColor="text1"/>
        </w:rPr>
        <w:t>While the new information from the GCC</w:t>
      </w:r>
      <w:r w:rsidR="005F2CA0">
        <w:rPr>
          <w:rFonts w:asciiTheme="minorHAnsi" w:hAnsiTheme="minorHAnsi"/>
          <w:bCs/>
          <w:iCs/>
          <w:color w:val="000000" w:themeColor="text1"/>
        </w:rPr>
        <w:t xml:space="preserve"> may offer new insights,</w:t>
      </w:r>
      <w:r w:rsidR="00CA5F5C">
        <w:rPr>
          <w:rFonts w:asciiTheme="minorHAnsi" w:hAnsiTheme="minorHAnsi"/>
          <w:bCs/>
          <w:iCs/>
          <w:color w:val="000000" w:themeColor="text1"/>
        </w:rPr>
        <w:t xml:space="preserve"> it is</w:t>
      </w:r>
      <w:r>
        <w:rPr>
          <w:rFonts w:asciiTheme="minorHAnsi" w:hAnsiTheme="minorHAnsi"/>
          <w:bCs/>
          <w:iCs/>
          <w:color w:val="000000" w:themeColor="text1"/>
        </w:rPr>
        <w:t xml:space="preserve"> equally important to understand that </w:t>
      </w:r>
      <w:r w:rsidR="005F2CA0">
        <w:rPr>
          <w:rFonts w:asciiTheme="minorHAnsi" w:hAnsiTheme="minorHAnsi"/>
          <w:bCs/>
          <w:iCs/>
          <w:color w:val="000000" w:themeColor="text1"/>
        </w:rPr>
        <w:t xml:space="preserve">it will be up to the analyst to work with the insurance group to actually understand what is leading to the </w:t>
      </w:r>
      <w:r w:rsidR="005017AF">
        <w:rPr>
          <w:rFonts w:asciiTheme="minorHAnsi" w:hAnsiTheme="minorHAnsi"/>
          <w:bCs/>
          <w:iCs/>
          <w:color w:val="000000" w:themeColor="text1"/>
        </w:rPr>
        <w:t>figures reported in the GCC</w:t>
      </w:r>
      <w:r w:rsidR="005F2CA0">
        <w:rPr>
          <w:rFonts w:asciiTheme="minorHAnsi" w:hAnsiTheme="minorHAnsi"/>
          <w:bCs/>
          <w:iCs/>
          <w:color w:val="000000" w:themeColor="text1"/>
        </w:rPr>
        <w:t>, and from that perspective</w:t>
      </w:r>
      <w:r w:rsidR="005017AF">
        <w:rPr>
          <w:rFonts w:asciiTheme="minorHAnsi" w:hAnsiTheme="minorHAnsi"/>
          <w:bCs/>
          <w:iCs/>
          <w:color w:val="000000" w:themeColor="text1"/>
        </w:rPr>
        <w:t>, especially</w:t>
      </w:r>
      <w:r w:rsidR="005F2CA0">
        <w:rPr>
          <w:rFonts w:asciiTheme="minorHAnsi" w:hAnsiTheme="minorHAnsi"/>
          <w:bCs/>
          <w:iCs/>
          <w:color w:val="000000" w:themeColor="text1"/>
        </w:rPr>
        <w:t xml:space="preserve"> in the early years of the GCC, it will require learning by both the analyst and the group to really be able to utilize the GCC in a manner as suggested in these introductory paragraphs.</w:t>
      </w:r>
    </w:p>
    <w:p w14:paraId="429F5BCF" w14:textId="77777777" w:rsidR="00EF67F0" w:rsidRDefault="00EF67F0" w:rsidP="003514EB">
      <w:pPr>
        <w:pStyle w:val="BodyText"/>
      </w:pPr>
    </w:p>
    <w:p w14:paraId="54C326F3" w14:textId="77777777" w:rsidR="00577A59" w:rsidRDefault="00577A59" w:rsidP="00577A59">
      <w:pPr>
        <w:pStyle w:val="BodyText"/>
        <w:rPr>
          <w:rFonts w:asciiTheme="minorHAnsi" w:hAnsiTheme="minorHAnsi"/>
          <w:b/>
          <w:iCs/>
          <w:color w:val="000000" w:themeColor="text1"/>
        </w:rPr>
      </w:pPr>
    </w:p>
    <w:p w14:paraId="4A59AA1A" w14:textId="41B165A8" w:rsidR="00577A59" w:rsidRPr="00577A59" w:rsidRDefault="00577A59" w:rsidP="00577A59">
      <w:pPr>
        <w:pStyle w:val="BodyText"/>
        <w:rPr>
          <w:rFonts w:asciiTheme="minorHAnsi" w:hAnsiTheme="minorHAnsi"/>
          <w:b/>
          <w:iCs/>
          <w:color w:val="000000" w:themeColor="text1"/>
        </w:rPr>
      </w:pPr>
      <w:r>
        <w:rPr>
          <w:rFonts w:asciiTheme="minorHAnsi" w:hAnsiTheme="minorHAnsi"/>
          <w:b/>
          <w:iCs/>
          <w:color w:val="000000" w:themeColor="text1"/>
        </w:rPr>
        <w:t>Other Considerations When Considering Such Benefits</w:t>
      </w:r>
    </w:p>
    <w:p w14:paraId="133744DE" w14:textId="77777777" w:rsidR="00577A59" w:rsidRDefault="00577A59" w:rsidP="003514EB">
      <w:pPr>
        <w:pStyle w:val="BodyText"/>
        <w:rPr>
          <w:rFonts w:asciiTheme="minorHAnsi" w:hAnsiTheme="minorHAnsi"/>
          <w:bCs/>
          <w:iCs/>
          <w:color w:val="000000" w:themeColor="text1"/>
        </w:rPr>
      </w:pPr>
    </w:p>
    <w:p w14:paraId="3A825060" w14:textId="70A8D0D0" w:rsidR="003514EB" w:rsidRDefault="00966A3B" w:rsidP="003514EB">
      <w:pPr>
        <w:pStyle w:val="BodyText"/>
        <w:rPr>
          <w:rFonts w:asciiTheme="minorHAnsi" w:hAnsiTheme="minorHAnsi"/>
          <w:bCs/>
          <w:iCs/>
          <w:color w:val="000000" w:themeColor="text1"/>
        </w:rPr>
      </w:pPr>
      <w:r>
        <w:rPr>
          <w:rFonts w:asciiTheme="minorHAnsi" w:hAnsiTheme="minorHAnsi"/>
          <w:bCs/>
          <w:iCs/>
          <w:color w:val="000000" w:themeColor="text1"/>
        </w:rPr>
        <w:t>Unforeseen</w:t>
      </w:r>
      <w:r w:rsidR="00CA5F5C">
        <w:rPr>
          <w:rFonts w:asciiTheme="minorHAnsi" w:hAnsiTheme="minorHAnsi"/>
          <w:bCs/>
          <w:iCs/>
          <w:color w:val="000000" w:themeColor="text1"/>
        </w:rPr>
        <w:t xml:space="preserve"> </w:t>
      </w:r>
      <w:r w:rsidR="003514EB">
        <w:rPr>
          <w:rFonts w:asciiTheme="minorHAnsi" w:hAnsiTheme="minorHAnsi"/>
          <w:bCs/>
          <w:iCs/>
          <w:color w:val="000000" w:themeColor="text1"/>
        </w:rPr>
        <w:t>events and economic conditions (</w:t>
      </w:r>
      <w:r>
        <w:rPr>
          <w:rFonts w:asciiTheme="minorHAnsi" w:hAnsiTheme="minorHAnsi"/>
          <w:bCs/>
          <w:iCs/>
          <w:color w:val="000000" w:themeColor="text1"/>
        </w:rPr>
        <w:t>e.g.,</w:t>
      </w:r>
      <w:r w:rsidR="003514EB">
        <w:rPr>
          <w:rFonts w:asciiTheme="minorHAnsi" w:hAnsiTheme="minorHAnsi"/>
          <w:bCs/>
          <w:iCs/>
          <w:color w:val="000000" w:themeColor="text1"/>
        </w:rPr>
        <w:t xml:space="preserve"> pandemic, recession, etc.) </w:t>
      </w:r>
      <w:r w:rsidR="00CA5F5C">
        <w:rPr>
          <w:rFonts w:asciiTheme="minorHAnsi" w:hAnsiTheme="minorHAnsi"/>
          <w:bCs/>
          <w:iCs/>
          <w:color w:val="000000" w:themeColor="text1"/>
        </w:rPr>
        <w:t>may also</w:t>
      </w:r>
      <w:r w:rsidR="003514EB">
        <w:rPr>
          <w:rFonts w:asciiTheme="minorHAnsi" w:hAnsiTheme="minorHAnsi"/>
          <w:bCs/>
          <w:iCs/>
          <w:color w:val="000000" w:themeColor="text1"/>
        </w:rPr>
        <w:t xml:space="preserve"> create stresses on</w:t>
      </w:r>
      <w:r w:rsidR="00D077AE">
        <w:rPr>
          <w:rFonts w:asciiTheme="minorHAnsi" w:hAnsiTheme="minorHAnsi"/>
          <w:bCs/>
          <w:iCs/>
          <w:color w:val="000000" w:themeColor="text1"/>
        </w:rPr>
        <w:t xml:space="preserve"> a group</w:t>
      </w:r>
      <w:r w:rsidR="003514EB">
        <w:rPr>
          <w:rFonts w:asciiTheme="minorHAnsi" w:hAnsiTheme="minorHAnsi"/>
          <w:bCs/>
          <w:iCs/>
          <w:color w:val="000000" w:themeColor="text1"/>
        </w:rPr>
        <w:t>, reinforcing the value of the quantitative dat</w:t>
      </w:r>
      <w:r w:rsidR="005017AF">
        <w:rPr>
          <w:rFonts w:asciiTheme="minorHAnsi" w:hAnsiTheme="minorHAnsi"/>
          <w:bCs/>
          <w:iCs/>
          <w:color w:val="000000" w:themeColor="text1"/>
        </w:rPr>
        <w:t>a</w:t>
      </w:r>
      <w:r w:rsidR="003514EB">
        <w:rPr>
          <w:rFonts w:asciiTheme="minorHAnsi" w:hAnsiTheme="minorHAnsi"/>
          <w:bCs/>
          <w:iCs/>
          <w:color w:val="000000" w:themeColor="text1"/>
        </w:rPr>
        <w:t xml:space="preserve"> included in the GCC. Some stresses are similar to those experienced during the financial crisis and others are more unique. </w:t>
      </w:r>
      <w:r w:rsidR="00FC33A3">
        <w:rPr>
          <w:rFonts w:asciiTheme="minorHAnsi" w:hAnsiTheme="minorHAnsi"/>
          <w:bCs/>
          <w:iCs/>
          <w:color w:val="000000" w:themeColor="text1"/>
        </w:rPr>
        <w:t xml:space="preserve">However, because the GCC is based upon a methodology that gets its inputs from individual legal entities, the capital calculated for each legal entity certainly can only capture the allowed capital resources of the legal entities in the group. While such an aggregation-based methodology is an appropriate group-level capital measure, until experience is gained with the GCC, it is not known as to how the GCC will behave in response to business cycles and various risk events,  in part because it </w:t>
      </w:r>
      <w:r w:rsidR="00EA4E41">
        <w:rPr>
          <w:rFonts w:asciiTheme="minorHAnsi" w:hAnsiTheme="minorHAnsi"/>
          <w:bCs/>
          <w:iCs/>
          <w:color w:val="000000" w:themeColor="text1"/>
        </w:rPr>
        <w:t xml:space="preserve">only recognizes limited </w:t>
      </w:r>
      <w:r w:rsidR="00FC33A3">
        <w:rPr>
          <w:rFonts w:asciiTheme="minorHAnsi" w:hAnsiTheme="minorHAnsi"/>
          <w:bCs/>
          <w:iCs/>
          <w:color w:val="000000" w:themeColor="text1"/>
        </w:rPr>
        <w:t>diversification benefits among entities in the group</w:t>
      </w:r>
      <w:r w:rsidR="004B09EE">
        <w:rPr>
          <w:rFonts w:asciiTheme="minorHAnsi" w:hAnsiTheme="minorHAnsi"/>
          <w:bCs/>
          <w:iCs/>
          <w:color w:val="000000" w:themeColor="text1"/>
        </w:rPr>
        <w:t xml:space="preserve"> except for the diversification embedded in existing entity specific regulatory capital requirements</w:t>
      </w:r>
      <w:r w:rsidR="00FC33A3">
        <w:rPr>
          <w:rFonts w:asciiTheme="minorHAnsi" w:hAnsiTheme="minorHAnsi"/>
          <w:bCs/>
          <w:iCs/>
          <w:color w:val="000000" w:themeColor="text1"/>
        </w:rPr>
        <w:t xml:space="preserve">. And while the GCC is not meant to be used in a way that compares groups to each other, </w:t>
      </w:r>
      <w:r w:rsidR="00555D7F">
        <w:rPr>
          <w:rFonts w:asciiTheme="minorHAnsi" w:hAnsiTheme="minorHAnsi"/>
          <w:bCs/>
          <w:iCs/>
          <w:color w:val="000000" w:themeColor="text1"/>
        </w:rPr>
        <w:t xml:space="preserve">it is </w:t>
      </w:r>
      <w:r w:rsidR="00FC33A3">
        <w:rPr>
          <w:rFonts w:asciiTheme="minorHAnsi" w:hAnsiTheme="minorHAnsi"/>
          <w:bCs/>
          <w:iCs/>
          <w:color w:val="000000" w:themeColor="text1"/>
        </w:rPr>
        <w:t xml:space="preserve"> also true that </w:t>
      </w:r>
      <w:r w:rsidR="00555D7F">
        <w:rPr>
          <w:rFonts w:asciiTheme="minorHAnsi" w:hAnsiTheme="minorHAnsi"/>
          <w:bCs/>
          <w:iCs/>
          <w:color w:val="000000" w:themeColor="text1"/>
        </w:rPr>
        <w:t>it is</w:t>
      </w:r>
      <w:r w:rsidR="00FC33A3">
        <w:rPr>
          <w:rFonts w:asciiTheme="minorHAnsi" w:hAnsiTheme="minorHAnsi"/>
          <w:bCs/>
          <w:iCs/>
          <w:color w:val="000000" w:themeColor="text1"/>
        </w:rPr>
        <w:t xml:space="preserve"> unknown how it will behave across groups, peers and even sectors. This is true  because of its l</w:t>
      </w:r>
      <w:r w:rsidR="004B09EE">
        <w:rPr>
          <w:rFonts w:asciiTheme="minorHAnsi" w:hAnsiTheme="minorHAnsi"/>
          <w:bCs/>
          <w:iCs/>
          <w:color w:val="000000" w:themeColor="text1"/>
        </w:rPr>
        <w:t>imited</w:t>
      </w:r>
      <w:r w:rsidR="00FC33A3">
        <w:rPr>
          <w:rFonts w:asciiTheme="minorHAnsi" w:hAnsiTheme="minorHAnsi"/>
          <w:bCs/>
          <w:iCs/>
          <w:color w:val="000000" w:themeColor="text1"/>
        </w:rPr>
        <w:t xml:space="preserve"> diversification benefit, </w:t>
      </w:r>
      <w:r w:rsidR="004B09EE">
        <w:rPr>
          <w:rFonts w:asciiTheme="minorHAnsi" w:hAnsiTheme="minorHAnsi"/>
          <w:bCs/>
          <w:iCs/>
          <w:color w:val="000000" w:themeColor="text1"/>
        </w:rPr>
        <w:t>the differences between group types (mutual v. stock holding company</w:t>
      </w:r>
      <w:r w:rsidR="00145E48">
        <w:rPr>
          <w:rFonts w:asciiTheme="minorHAnsi" w:hAnsiTheme="minorHAnsi"/>
          <w:bCs/>
          <w:iCs/>
          <w:color w:val="000000" w:themeColor="text1"/>
        </w:rPr>
        <w:t>)</w:t>
      </w:r>
      <w:r w:rsidR="004B09EE">
        <w:rPr>
          <w:rFonts w:asciiTheme="minorHAnsi" w:hAnsiTheme="minorHAnsi"/>
          <w:bCs/>
          <w:iCs/>
          <w:color w:val="000000" w:themeColor="text1"/>
        </w:rPr>
        <w:t>, grouping of entities</w:t>
      </w:r>
      <w:r w:rsidR="008B2C4A">
        <w:rPr>
          <w:rFonts w:asciiTheme="minorHAnsi" w:hAnsiTheme="minorHAnsi"/>
          <w:bCs/>
          <w:iCs/>
          <w:color w:val="000000" w:themeColor="text1"/>
        </w:rPr>
        <w:t xml:space="preserve">, and scope of entities included in the calculation. </w:t>
      </w:r>
      <w:r w:rsidR="00555D7F">
        <w:rPr>
          <w:rFonts w:asciiTheme="minorHAnsi" w:hAnsiTheme="minorHAnsi"/>
          <w:bCs/>
          <w:iCs/>
          <w:color w:val="000000" w:themeColor="text1"/>
        </w:rPr>
        <w:t>It is</w:t>
      </w:r>
      <w:r w:rsidR="00FC33A3">
        <w:rPr>
          <w:rFonts w:asciiTheme="minorHAnsi" w:hAnsiTheme="minorHAnsi"/>
          <w:bCs/>
          <w:iCs/>
          <w:color w:val="000000" w:themeColor="text1"/>
        </w:rPr>
        <w:t xml:space="preserve"> also </w:t>
      </w:r>
      <w:r w:rsidR="00555D7F">
        <w:rPr>
          <w:rFonts w:asciiTheme="minorHAnsi" w:hAnsiTheme="minorHAnsi"/>
          <w:bCs/>
          <w:iCs/>
          <w:color w:val="000000" w:themeColor="text1"/>
        </w:rPr>
        <w:t xml:space="preserve">true </w:t>
      </w:r>
      <w:r w:rsidR="00FC33A3">
        <w:rPr>
          <w:rFonts w:asciiTheme="minorHAnsi" w:hAnsiTheme="minorHAnsi"/>
          <w:bCs/>
          <w:iCs/>
          <w:color w:val="000000" w:themeColor="text1"/>
        </w:rPr>
        <w:t xml:space="preserve">because </w:t>
      </w:r>
      <w:r w:rsidR="008B2C4A">
        <w:rPr>
          <w:rFonts w:asciiTheme="minorHAnsi" w:hAnsiTheme="minorHAnsi"/>
          <w:bCs/>
          <w:iCs/>
          <w:color w:val="000000" w:themeColor="text1"/>
        </w:rPr>
        <w:t xml:space="preserve">application of </w:t>
      </w:r>
      <w:r w:rsidR="00145E48">
        <w:rPr>
          <w:rFonts w:asciiTheme="minorHAnsi" w:hAnsiTheme="minorHAnsi"/>
          <w:bCs/>
          <w:iCs/>
          <w:color w:val="000000" w:themeColor="text1"/>
        </w:rPr>
        <w:t>jurisdictional accounting pri</w:t>
      </w:r>
      <w:r w:rsidR="0066031F">
        <w:rPr>
          <w:rFonts w:asciiTheme="minorHAnsi" w:hAnsiTheme="minorHAnsi"/>
          <w:bCs/>
          <w:iCs/>
          <w:color w:val="000000" w:themeColor="text1"/>
        </w:rPr>
        <w:t xml:space="preserve">nciples and use of </w:t>
      </w:r>
      <w:r w:rsidR="00FC33A3">
        <w:rPr>
          <w:rFonts w:asciiTheme="minorHAnsi" w:hAnsiTheme="minorHAnsi"/>
          <w:bCs/>
          <w:iCs/>
          <w:color w:val="000000" w:themeColor="text1"/>
        </w:rPr>
        <w:t>scalar</w:t>
      </w:r>
      <w:r w:rsidR="008B2C4A">
        <w:rPr>
          <w:rFonts w:asciiTheme="minorHAnsi" w:hAnsiTheme="minorHAnsi"/>
          <w:bCs/>
          <w:iCs/>
          <w:color w:val="000000" w:themeColor="text1"/>
        </w:rPr>
        <w:t>s</w:t>
      </w:r>
      <w:r w:rsidR="00FC33A3">
        <w:rPr>
          <w:rFonts w:asciiTheme="minorHAnsi" w:hAnsiTheme="minorHAnsi"/>
          <w:bCs/>
          <w:iCs/>
          <w:color w:val="000000" w:themeColor="text1"/>
        </w:rPr>
        <w:t xml:space="preserve"> could have an impact on this as well</w:t>
      </w:r>
      <w:r w:rsidR="008B2C4A">
        <w:rPr>
          <w:rFonts w:asciiTheme="minorHAnsi" w:hAnsiTheme="minorHAnsi"/>
          <w:bCs/>
          <w:iCs/>
          <w:color w:val="000000" w:themeColor="text1"/>
        </w:rPr>
        <w:t xml:space="preserve"> via the foreign insurer profile of the group</w:t>
      </w:r>
      <w:r w:rsidR="00FC33A3">
        <w:rPr>
          <w:rFonts w:asciiTheme="minorHAnsi" w:hAnsiTheme="minorHAnsi"/>
          <w:bCs/>
          <w:iCs/>
          <w:color w:val="000000" w:themeColor="text1"/>
        </w:rPr>
        <w:t xml:space="preserve">. </w:t>
      </w:r>
      <w:r w:rsidR="003514EB">
        <w:rPr>
          <w:rFonts w:asciiTheme="minorHAnsi" w:hAnsiTheme="minorHAnsi"/>
          <w:bCs/>
          <w:iCs/>
          <w:color w:val="000000" w:themeColor="text1"/>
        </w:rPr>
        <w:t>The quantitative data collected in the GCC will evolve as state insurance regulators and  groups increase their understanding of the impact on available capital and calculated capital.</w:t>
      </w:r>
    </w:p>
    <w:p w14:paraId="34524440" w14:textId="7D1BA651" w:rsidR="003514EB" w:rsidRDefault="003514EB" w:rsidP="003514EB">
      <w:pPr>
        <w:pStyle w:val="BodyText"/>
        <w:rPr>
          <w:rFonts w:asciiTheme="minorHAnsi" w:hAnsiTheme="minorHAnsi"/>
          <w:bCs/>
          <w:iCs/>
          <w:color w:val="000000" w:themeColor="text1"/>
        </w:rPr>
      </w:pPr>
    </w:p>
    <w:p w14:paraId="2E6B2BD6" w14:textId="07FB025F" w:rsidR="005017AF" w:rsidRDefault="005017AF" w:rsidP="005017AF">
      <w:pPr>
        <w:pStyle w:val="BodyText"/>
        <w:rPr>
          <w:rFonts w:asciiTheme="minorHAnsi" w:hAnsiTheme="minorHAnsi"/>
          <w:bCs/>
          <w:iCs/>
          <w:color w:val="000000" w:themeColor="text1"/>
        </w:rPr>
      </w:pPr>
      <w:r>
        <w:rPr>
          <w:rFonts w:asciiTheme="minorHAnsi" w:hAnsiTheme="minorHAnsi"/>
          <w:bCs/>
          <w:iCs/>
          <w:color w:val="000000" w:themeColor="text1"/>
        </w:rPr>
        <w:lastRenderedPageBreak/>
        <w:t xml:space="preserve">The following guidance on the GCC is intended to be utilized in a manner that allows the GCC to enhance group-wide financial analysis and to be used as an additional input into the GPS. The GCC provides the quantification of risk within the group and when combined with the information from the ORSA on the amount of capital needed to run the company’s current business model, puts the regulator in a much better position to understand the </w:t>
      </w:r>
      <w:r w:rsidR="00D077AE">
        <w:rPr>
          <w:rFonts w:asciiTheme="minorHAnsi" w:hAnsiTheme="minorHAnsi"/>
          <w:bCs/>
          <w:iCs/>
          <w:color w:val="000000" w:themeColor="text1"/>
        </w:rPr>
        <w:t xml:space="preserve">available capital and calculated capital within a group, as well as the </w:t>
      </w:r>
      <w:r>
        <w:rPr>
          <w:rFonts w:asciiTheme="minorHAnsi" w:hAnsiTheme="minorHAnsi"/>
          <w:bCs/>
          <w:iCs/>
          <w:color w:val="000000" w:themeColor="text1"/>
        </w:rPr>
        <w:t xml:space="preserve">financial condition of the group. </w:t>
      </w:r>
      <w:r w:rsidR="000D1FE6">
        <w:rPr>
          <w:rFonts w:asciiTheme="minorHAnsi" w:hAnsiTheme="minorHAnsi"/>
          <w:bCs/>
          <w:iCs/>
          <w:color w:val="000000" w:themeColor="text1"/>
        </w:rPr>
        <w:t>Both are complimentary tools to each other</w:t>
      </w:r>
      <w:r w:rsidR="006F4767">
        <w:rPr>
          <w:rFonts w:asciiTheme="minorHAnsi" w:hAnsiTheme="minorHAnsi"/>
          <w:bCs/>
          <w:iCs/>
          <w:color w:val="000000" w:themeColor="text1"/>
        </w:rPr>
        <w:t>. The</w:t>
      </w:r>
      <w:r w:rsidR="000D1FE6">
        <w:rPr>
          <w:rFonts w:asciiTheme="minorHAnsi" w:hAnsiTheme="minorHAnsi"/>
          <w:bCs/>
          <w:iCs/>
          <w:color w:val="000000" w:themeColor="text1"/>
        </w:rPr>
        <w:t xml:space="preserve"> ORSA provid</w:t>
      </w:r>
      <w:r w:rsidR="006F4767">
        <w:rPr>
          <w:rFonts w:asciiTheme="minorHAnsi" w:hAnsiTheme="minorHAnsi"/>
          <w:bCs/>
          <w:iCs/>
          <w:color w:val="000000" w:themeColor="text1"/>
        </w:rPr>
        <w:t>es</w:t>
      </w:r>
      <w:r w:rsidR="000D1FE6">
        <w:rPr>
          <w:rFonts w:asciiTheme="minorHAnsi" w:hAnsiTheme="minorHAnsi"/>
          <w:bCs/>
          <w:iCs/>
          <w:color w:val="000000" w:themeColor="text1"/>
        </w:rPr>
        <w:t xml:space="preserve"> management’s internal approach to capital management and </w:t>
      </w:r>
      <w:r w:rsidR="006F4767">
        <w:rPr>
          <w:rFonts w:asciiTheme="minorHAnsi" w:hAnsiTheme="minorHAnsi"/>
          <w:bCs/>
          <w:iCs/>
          <w:color w:val="000000" w:themeColor="text1"/>
        </w:rPr>
        <w:t>an</w:t>
      </w:r>
      <w:r w:rsidR="000D1FE6">
        <w:rPr>
          <w:rFonts w:asciiTheme="minorHAnsi" w:hAnsiTheme="minorHAnsi"/>
          <w:bCs/>
          <w:iCs/>
          <w:color w:val="000000" w:themeColor="text1"/>
        </w:rPr>
        <w:t xml:space="preserve"> understanding </w:t>
      </w:r>
      <w:r w:rsidR="004778D5">
        <w:rPr>
          <w:rFonts w:asciiTheme="minorHAnsi" w:hAnsiTheme="minorHAnsi"/>
          <w:bCs/>
          <w:iCs/>
          <w:color w:val="000000" w:themeColor="text1"/>
        </w:rPr>
        <w:t xml:space="preserve">of </w:t>
      </w:r>
      <w:r w:rsidR="000D1FE6">
        <w:rPr>
          <w:rFonts w:asciiTheme="minorHAnsi" w:hAnsiTheme="minorHAnsi"/>
          <w:bCs/>
          <w:iCs/>
          <w:color w:val="000000" w:themeColor="text1"/>
        </w:rPr>
        <w:t>the economics of the group</w:t>
      </w:r>
      <w:r w:rsidR="006F4767">
        <w:rPr>
          <w:rFonts w:asciiTheme="minorHAnsi" w:hAnsiTheme="minorHAnsi"/>
          <w:bCs/>
          <w:iCs/>
          <w:color w:val="000000" w:themeColor="text1"/>
        </w:rPr>
        <w:t>. The</w:t>
      </w:r>
      <w:r w:rsidR="000D1FE6">
        <w:rPr>
          <w:rFonts w:asciiTheme="minorHAnsi" w:hAnsiTheme="minorHAnsi"/>
          <w:bCs/>
          <w:iCs/>
          <w:color w:val="000000" w:themeColor="text1"/>
        </w:rPr>
        <w:t xml:space="preserve"> GCC provides </w:t>
      </w:r>
      <w:r w:rsidR="007E5742">
        <w:rPr>
          <w:rFonts w:asciiTheme="minorHAnsi" w:hAnsiTheme="minorHAnsi"/>
          <w:bCs/>
          <w:iCs/>
          <w:color w:val="000000" w:themeColor="text1"/>
        </w:rPr>
        <w:t xml:space="preserve">a </w:t>
      </w:r>
      <w:r w:rsidR="000D1FE6">
        <w:rPr>
          <w:rFonts w:asciiTheme="minorHAnsi" w:hAnsiTheme="minorHAnsi"/>
          <w:bCs/>
          <w:iCs/>
          <w:color w:val="000000" w:themeColor="text1"/>
        </w:rPr>
        <w:t xml:space="preserve">standard model that can better enable the analyst to understand where the entire group stands with respect to existing legal entity requirements as well as broad measures of risk for non-insurers. </w:t>
      </w:r>
      <w:r w:rsidR="006F4767">
        <w:rPr>
          <w:rFonts w:asciiTheme="minorHAnsi" w:hAnsiTheme="minorHAnsi"/>
          <w:bCs/>
          <w:iCs/>
          <w:color w:val="000000" w:themeColor="text1"/>
        </w:rPr>
        <w:t xml:space="preserve">Analysts should be mindful of the differences between the ORSA and the GCC. For example, in the case of a group with predominantly U.S. operations, the GCC will largely be based </w:t>
      </w:r>
      <w:r w:rsidR="002E599D">
        <w:rPr>
          <w:rFonts w:asciiTheme="minorHAnsi" w:hAnsiTheme="minorHAnsi"/>
          <w:bCs/>
          <w:iCs/>
          <w:color w:val="000000" w:themeColor="text1"/>
        </w:rPr>
        <w:t>o</w:t>
      </w:r>
      <w:r w:rsidR="006F4767">
        <w:rPr>
          <w:rFonts w:asciiTheme="minorHAnsi" w:hAnsiTheme="minorHAnsi"/>
          <w:bCs/>
          <w:iCs/>
          <w:color w:val="000000" w:themeColor="text1"/>
        </w:rPr>
        <w:t>n the standard model/RBC of the U.S. subsidiaries. However, the ORSA is not constrained by a standard model and will reflect management</w:t>
      </w:r>
      <w:r w:rsidR="002E599D">
        <w:rPr>
          <w:rFonts w:asciiTheme="minorHAnsi" w:hAnsiTheme="minorHAnsi"/>
          <w:bCs/>
          <w:iCs/>
          <w:color w:val="000000" w:themeColor="text1"/>
        </w:rPr>
        <w:t>’</w:t>
      </w:r>
      <w:r w:rsidR="006F4767">
        <w:rPr>
          <w:rFonts w:asciiTheme="minorHAnsi" w:hAnsiTheme="minorHAnsi"/>
          <w:bCs/>
          <w:iCs/>
          <w:color w:val="000000" w:themeColor="text1"/>
        </w:rPr>
        <w:t>s internal approach to capital management and may utilize or benefit from an economic capital model, other internal models, stress testing and other means. As a result, while the GCC is an additional input into the GPS, it may provide data and signals that don’t align with the risk measures within the ORSA.</w:t>
      </w:r>
    </w:p>
    <w:p w14:paraId="28C87CDE" w14:textId="216876EB" w:rsidR="005017AF" w:rsidRDefault="005017AF" w:rsidP="003514EB">
      <w:pPr>
        <w:pStyle w:val="BodyText"/>
        <w:rPr>
          <w:rFonts w:asciiTheme="minorHAnsi" w:hAnsiTheme="minorHAnsi"/>
          <w:bCs/>
          <w:iCs/>
          <w:color w:val="000000" w:themeColor="text1"/>
        </w:rPr>
      </w:pPr>
    </w:p>
    <w:p w14:paraId="6FC0E27F" w14:textId="18A6CFF1" w:rsidR="006F4767" w:rsidRPr="00577A59" w:rsidRDefault="008E64A0" w:rsidP="006F4767">
      <w:pPr>
        <w:pStyle w:val="BodyText"/>
        <w:rPr>
          <w:rFonts w:asciiTheme="minorHAnsi" w:hAnsiTheme="minorHAnsi"/>
          <w:b/>
          <w:iCs/>
          <w:color w:val="000000" w:themeColor="text1"/>
        </w:rPr>
      </w:pPr>
      <w:r>
        <w:rPr>
          <w:rFonts w:asciiTheme="minorHAnsi" w:hAnsiTheme="minorHAnsi"/>
          <w:b/>
          <w:iCs/>
          <w:color w:val="000000" w:themeColor="text1"/>
        </w:rPr>
        <w:t>Overall Theme of Remaining Guidance</w:t>
      </w:r>
    </w:p>
    <w:p w14:paraId="3FA6D7AF" w14:textId="7EAD24E5" w:rsidR="001A75FE" w:rsidRPr="001A75FE" w:rsidRDefault="001A75FE" w:rsidP="001A75FE"/>
    <w:p w14:paraId="536D5A9A" w14:textId="75E718F8" w:rsidR="001A75FE" w:rsidRDefault="008E64A0" w:rsidP="00391580">
      <w:pPr>
        <w:jc w:val="both"/>
        <w:rPr>
          <w:rFonts w:asciiTheme="minorHAnsi" w:hAnsiTheme="minorHAnsi"/>
          <w:bCs/>
          <w:iCs/>
          <w:color w:val="000000" w:themeColor="text1"/>
          <w:sz w:val="22"/>
        </w:rPr>
      </w:pPr>
      <w:r>
        <w:rPr>
          <w:rFonts w:asciiTheme="minorHAnsi" w:hAnsiTheme="minorHAnsi"/>
          <w:bCs/>
          <w:iCs/>
          <w:color w:val="000000" w:themeColor="text1"/>
          <w:sz w:val="22"/>
        </w:rPr>
        <w:t>The previous information describes the purpose for considering the GCC within the context of the states holding company analysis and corresponding GPS. In general, the remainder of this guidance provides more depth to the specific information included in the GPS; provides the analyst with a basic understanding of the GCC including why the entities included within the GCC may be a subset of those entities that are within the holding company structure; whether the trends within the GCC suggests questions should be raised with the group’s management</w:t>
      </w:r>
      <w:r w:rsidR="002E599D">
        <w:rPr>
          <w:rFonts w:asciiTheme="minorHAnsi" w:hAnsiTheme="minorHAnsi"/>
          <w:bCs/>
          <w:iCs/>
          <w:color w:val="000000" w:themeColor="text1"/>
          <w:sz w:val="22"/>
        </w:rPr>
        <w:t xml:space="preserve"> to understand</w:t>
      </w:r>
      <w:r>
        <w:rPr>
          <w:rFonts w:asciiTheme="minorHAnsi" w:hAnsiTheme="minorHAnsi"/>
          <w:bCs/>
          <w:iCs/>
          <w:color w:val="000000" w:themeColor="text1"/>
          <w:sz w:val="22"/>
        </w:rPr>
        <w:t>; whether the underlying data suggests trends exist that should likewise suggests questions should be raised with the group or with the respective legal entity’s supervisor; whether the information in the GCC</w:t>
      </w:r>
      <w:r w:rsidR="00391580">
        <w:rPr>
          <w:rFonts w:asciiTheme="minorHAnsi" w:hAnsiTheme="minorHAnsi"/>
          <w:bCs/>
          <w:iCs/>
          <w:color w:val="000000" w:themeColor="text1"/>
          <w:sz w:val="22"/>
        </w:rPr>
        <w:t xml:space="preserve"> filing is generally aligned with other information available to the analyst, and if not, why not, and whether that evidences other questions or concerns that should be addressed, or how they may already have been resolved. Notably, the purpose of the GCC is </w:t>
      </w:r>
      <w:r w:rsidR="005A5BD1">
        <w:rPr>
          <w:rFonts w:asciiTheme="minorHAnsi" w:hAnsiTheme="minorHAnsi"/>
          <w:bCs/>
          <w:iCs/>
          <w:color w:val="000000" w:themeColor="text1"/>
          <w:sz w:val="22"/>
        </w:rPr>
        <w:t>NOT</w:t>
      </w:r>
      <w:r w:rsidR="00391580">
        <w:rPr>
          <w:rFonts w:asciiTheme="minorHAnsi" w:hAnsiTheme="minorHAnsi"/>
          <w:bCs/>
          <w:iCs/>
          <w:color w:val="000000" w:themeColor="text1"/>
          <w:sz w:val="22"/>
        </w:rPr>
        <w:t xml:space="preserve"> to trigger regulatory action. Thus, even though the GCC is intended as a group-wide measure and provides insights as to capital adequacy and risks across the group, any regulatory action would have to result from other information made available to the regulator and based on legislative authority.  </w:t>
      </w:r>
    </w:p>
    <w:p w14:paraId="6062E438" w14:textId="77777777" w:rsidR="001A75FE" w:rsidRPr="001A75FE" w:rsidRDefault="001A75FE" w:rsidP="001A75FE">
      <w:pPr>
        <w:jc w:val="center"/>
      </w:pPr>
    </w:p>
    <w:p w14:paraId="325709CA" w14:textId="77777777" w:rsidR="001A75FE" w:rsidRPr="001A75FE" w:rsidRDefault="001A75FE" w:rsidP="001A75FE"/>
    <w:p w14:paraId="531108C4" w14:textId="77777777" w:rsidR="003514EB" w:rsidRDefault="003514EB" w:rsidP="00AB079B">
      <w:pPr>
        <w:pStyle w:val="BodyText"/>
        <w:keepNext/>
        <w:pBdr>
          <w:bottom w:val="single" w:sz="4" w:space="1" w:color="auto"/>
        </w:pBdr>
        <w:spacing w:after="120"/>
        <w:rPr>
          <w:rFonts w:asciiTheme="minorHAnsi" w:hAnsiTheme="minorHAnsi"/>
          <w:b/>
          <w:bCs/>
          <w:color w:val="000000" w:themeColor="text1"/>
          <w:sz w:val="28"/>
          <w:szCs w:val="28"/>
        </w:rPr>
      </w:pPr>
      <w:r>
        <w:rPr>
          <w:rFonts w:asciiTheme="minorHAnsi" w:hAnsiTheme="minorHAnsi"/>
          <w:b/>
          <w:bCs/>
          <w:color w:val="000000" w:themeColor="text1"/>
          <w:sz w:val="28"/>
          <w:szCs w:val="28"/>
        </w:rPr>
        <w:t>Utilization of the Group Capital Calculation in the Lead State’s Responsibilities</w:t>
      </w:r>
    </w:p>
    <w:p w14:paraId="57D755DB" w14:textId="4396BE85" w:rsidR="00D077AE" w:rsidRDefault="003514EB" w:rsidP="00AB079B">
      <w:pPr>
        <w:pStyle w:val="BodyText"/>
        <w:keepNext/>
        <w:rPr>
          <w:rFonts w:asciiTheme="minorHAnsi" w:hAnsiTheme="minorHAnsi"/>
          <w:bCs/>
          <w:color w:val="000000" w:themeColor="text1"/>
          <w:szCs w:val="22"/>
        </w:rPr>
      </w:pPr>
      <w:r>
        <w:rPr>
          <w:rFonts w:asciiTheme="minorHAnsi" w:hAnsiTheme="minorHAnsi"/>
          <w:bCs/>
          <w:color w:val="000000" w:themeColor="text1"/>
          <w:szCs w:val="22"/>
        </w:rPr>
        <w:t>The lead state is responsible for completing the holding company analysis and documenting a summary of that analysis in the GPS. The depth and frequency of the holding company analysis will depend on the characteristics (i.e., sophistication, complexity, financial strength) of the insurance holding company (group) system (or parts thereof), and the existing or potential issues and problems found during review of the insurance holding company filings.</w:t>
      </w:r>
    </w:p>
    <w:p w14:paraId="2315469F" w14:textId="77777777" w:rsidR="00D077AE" w:rsidRDefault="00D077AE" w:rsidP="003514EB">
      <w:pPr>
        <w:pStyle w:val="BodyText"/>
        <w:rPr>
          <w:rFonts w:asciiTheme="minorHAnsi" w:hAnsiTheme="minorHAnsi"/>
          <w:bCs/>
          <w:color w:val="000000" w:themeColor="text1"/>
          <w:szCs w:val="22"/>
        </w:rPr>
      </w:pPr>
    </w:p>
    <w:p w14:paraId="158B2C38" w14:textId="2D918805" w:rsidR="00E56911" w:rsidRDefault="0007391B" w:rsidP="003514EB">
      <w:pPr>
        <w:pStyle w:val="BodyText"/>
        <w:rPr>
          <w:rFonts w:asciiTheme="minorHAnsi" w:hAnsiTheme="minorHAnsi"/>
          <w:bCs/>
          <w:color w:val="000000" w:themeColor="text1"/>
          <w:szCs w:val="22"/>
        </w:rPr>
      </w:pPr>
      <w:r>
        <w:rPr>
          <w:rFonts w:asciiTheme="minorHAnsi" w:hAnsiTheme="minorHAnsi"/>
          <w:bCs/>
          <w:color w:val="000000" w:themeColor="text1"/>
          <w:szCs w:val="22"/>
        </w:rPr>
        <w:t>Similarly, in t</w:t>
      </w:r>
      <w:r w:rsidR="00E56911">
        <w:rPr>
          <w:rFonts w:asciiTheme="minorHAnsi" w:hAnsiTheme="minorHAnsi"/>
          <w:bCs/>
          <w:color w:val="000000" w:themeColor="text1"/>
          <w:szCs w:val="22"/>
        </w:rPr>
        <w:t>he analysis of the GCC</w:t>
      </w:r>
      <w:r w:rsidR="004778D5">
        <w:rPr>
          <w:rFonts w:asciiTheme="minorHAnsi" w:hAnsiTheme="minorHAnsi"/>
          <w:bCs/>
          <w:color w:val="000000" w:themeColor="text1"/>
          <w:szCs w:val="22"/>
        </w:rPr>
        <w:t>,</w:t>
      </w:r>
      <w:r w:rsidR="00E56911">
        <w:rPr>
          <w:rFonts w:asciiTheme="minorHAnsi" w:hAnsiTheme="minorHAnsi"/>
          <w:bCs/>
          <w:color w:val="000000" w:themeColor="text1"/>
          <w:szCs w:val="22"/>
        </w:rPr>
        <w:t xml:space="preserve"> the depth of the review in the “five-step process”</w:t>
      </w:r>
      <w:r w:rsidR="00577A59">
        <w:rPr>
          <w:rFonts w:asciiTheme="minorHAnsi" w:hAnsiTheme="minorHAnsi"/>
          <w:bCs/>
          <w:color w:val="000000" w:themeColor="text1"/>
          <w:szCs w:val="22"/>
        </w:rPr>
        <w:t xml:space="preserve"> </w:t>
      </w:r>
      <w:r>
        <w:rPr>
          <w:rFonts w:asciiTheme="minorHAnsi" w:hAnsiTheme="minorHAnsi"/>
          <w:bCs/>
          <w:color w:val="000000" w:themeColor="text1"/>
          <w:szCs w:val="22"/>
        </w:rPr>
        <w:t xml:space="preserve">and specific inquiries </w:t>
      </w:r>
      <w:r w:rsidR="00577A59">
        <w:rPr>
          <w:rFonts w:asciiTheme="minorHAnsi" w:hAnsiTheme="minorHAnsi"/>
          <w:bCs/>
          <w:color w:val="000000" w:themeColor="text1"/>
          <w:szCs w:val="22"/>
        </w:rPr>
        <w:t xml:space="preserve">will vary </w:t>
      </w:r>
      <w:r>
        <w:rPr>
          <w:rFonts w:asciiTheme="minorHAnsi" w:hAnsiTheme="minorHAnsi"/>
          <w:bCs/>
          <w:color w:val="000000" w:themeColor="text1"/>
          <w:szCs w:val="22"/>
        </w:rPr>
        <w:t xml:space="preserve">based on each </w:t>
      </w:r>
      <w:r w:rsidR="00577A59">
        <w:rPr>
          <w:rFonts w:asciiTheme="minorHAnsi" w:hAnsiTheme="minorHAnsi"/>
          <w:bCs/>
          <w:color w:val="000000" w:themeColor="text1"/>
          <w:szCs w:val="22"/>
        </w:rPr>
        <w:t>group</w:t>
      </w:r>
      <w:r>
        <w:rPr>
          <w:rFonts w:asciiTheme="minorHAnsi" w:hAnsiTheme="minorHAnsi"/>
          <w:bCs/>
          <w:color w:val="000000" w:themeColor="text1"/>
          <w:szCs w:val="22"/>
        </w:rPr>
        <w:t>’s unique</w:t>
      </w:r>
      <w:r w:rsidR="00577A59">
        <w:rPr>
          <w:rFonts w:asciiTheme="minorHAnsi" w:hAnsiTheme="minorHAnsi"/>
          <w:bCs/>
          <w:color w:val="000000" w:themeColor="text1"/>
          <w:szCs w:val="22"/>
        </w:rPr>
        <w:t xml:space="preserve"> and situation</w:t>
      </w:r>
      <w:r w:rsidR="000E576D">
        <w:rPr>
          <w:rFonts w:asciiTheme="minorHAnsi" w:hAnsiTheme="minorHAnsi"/>
          <w:bCs/>
          <w:color w:val="000000" w:themeColor="text1"/>
          <w:szCs w:val="22"/>
        </w:rPr>
        <w:t>. F</w:t>
      </w:r>
      <w:r w:rsidR="00577A59">
        <w:rPr>
          <w:rFonts w:asciiTheme="minorHAnsi" w:hAnsiTheme="minorHAnsi"/>
          <w:bCs/>
          <w:color w:val="000000" w:themeColor="text1"/>
          <w:szCs w:val="22"/>
        </w:rPr>
        <w:t>or example</w:t>
      </w:r>
      <w:r w:rsidR="000E576D">
        <w:rPr>
          <w:rFonts w:asciiTheme="minorHAnsi" w:hAnsiTheme="minorHAnsi"/>
          <w:bCs/>
          <w:color w:val="000000" w:themeColor="text1"/>
          <w:szCs w:val="22"/>
        </w:rPr>
        <w:t>,</w:t>
      </w:r>
      <w:r w:rsidR="00577A59">
        <w:rPr>
          <w:rFonts w:asciiTheme="minorHAnsi" w:hAnsiTheme="minorHAnsi"/>
          <w:bCs/>
          <w:color w:val="000000" w:themeColor="text1"/>
          <w:szCs w:val="22"/>
        </w:rPr>
        <w:t xml:space="preserve"> in some groups, very little if any work (inquiries of the group) will be done after the first step due to generally positive trends of the ratio over time</w:t>
      </w:r>
      <w:r>
        <w:rPr>
          <w:rFonts w:asciiTheme="minorHAnsi" w:hAnsiTheme="minorHAnsi"/>
          <w:bCs/>
          <w:color w:val="000000" w:themeColor="text1"/>
          <w:szCs w:val="22"/>
        </w:rPr>
        <w:t xml:space="preserve">. </w:t>
      </w:r>
      <w:r w:rsidR="00966A3B">
        <w:rPr>
          <w:rFonts w:asciiTheme="minorHAnsi" w:hAnsiTheme="minorHAnsi"/>
          <w:bCs/>
          <w:color w:val="000000" w:themeColor="text1"/>
          <w:szCs w:val="22"/>
        </w:rPr>
        <w:t>While</w:t>
      </w:r>
      <w:r>
        <w:rPr>
          <w:rFonts w:asciiTheme="minorHAnsi" w:hAnsiTheme="minorHAnsi"/>
          <w:bCs/>
          <w:color w:val="000000" w:themeColor="text1"/>
          <w:szCs w:val="22"/>
        </w:rPr>
        <w:t xml:space="preserve"> </w:t>
      </w:r>
      <w:r w:rsidR="00577A59">
        <w:rPr>
          <w:rFonts w:asciiTheme="minorHAnsi" w:hAnsiTheme="minorHAnsi"/>
          <w:bCs/>
          <w:color w:val="000000" w:themeColor="text1"/>
          <w:szCs w:val="22"/>
        </w:rPr>
        <w:t>in other groups, the analyst may need to proceed through each of the five steps. Exactly how the analyst proceeds through the guidance will be dictated by a multitude of factors</w:t>
      </w:r>
      <w:r w:rsidR="007E5742">
        <w:rPr>
          <w:rFonts w:asciiTheme="minorHAnsi" w:hAnsiTheme="minorHAnsi"/>
          <w:bCs/>
          <w:color w:val="000000" w:themeColor="text1"/>
          <w:szCs w:val="22"/>
        </w:rPr>
        <w:t xml:space="preserve"> and requires judgement</w:t>
      </w:r>
      <w:r w:rsidR="007B1D27">
        <w:rPr>
          <w:rFonts w:asciiTheme="minorHAnsi" w:hAnsiTheme="minorHAnsi"/>
          <w:bCs/>
          <w:color w:val="000000" w:themeColor="text1"/>
          <w:szCs w:val="22"/>
        </w:rPr>
        <w:t xml:space="preserve"> and as a result, the steps </w:t>
      </w:r>
      <w:r w:rsidR="007B1D27">
        <w:rPr>
          <w:rFonts w:asciiTheme="minorHAnsi" w:hAnsiTheme="minorHAnsi"/>
          <w:bCs/>
          <w:color w:val="000000" w:themeColor="text1"/>
          <w:szCs w:val="22"/>
        </w:rPr>
        <w:lastRenderedPageBreak/>
        <w:t xml:space="preserve">and sub procedures should not be used as checklist, but rather as a guide in how to utilize the GCC to increase the analysts understanding of the group. </w:t>
      </w:r>
    </w:p>
    <w:p w14:paraId="11E7269E" w14:textId="77777777" w:rsidR="00E56911" w:rsidRDefault="00E56911" w:rsidP="003514EB">
      <w:pPr>
        <w:pStyle w:val="BodyText"/>
        <w:rPr>
          <w:rFonts w:asciiTheme="minorHAnsi" w:hAnsiTheme="minorHAnsi"/>
          <w:bCs/>
          <w:color w:val="000000" w:themeColor="text1"/>
          <w:szCs w:val="22"/>
        </w:rPr>
      </w:pPr>
    </w:p>
    <w:p w14:paraId="058A82DE" w14:textId="760B3D63" w:rsidR="00577A59" w:rsidRDefault="00577A59" w:rsidP="00577A59">
      <w:pPr>
        <w:pStyle w:val="BodyText"/>
        <w:rPr>
          <w:rFonts w:asciiTheme="minorHAnsi" w:hAnsiTheme="minorHAnsi"/>
          <w:b/>
          <w:iCs/>
          <w:color w:val="000000" w:themeColor="text1"/>
        </w:rPr>
      </w:pPr>
      <w:r>
        <w:rPr>
          <w:rFonts w:asciiTheme="minorHAnsi" w:hAnsiTheme="minorHAnsi"/>
          <w:b/>
          <w:iCs/>
          <w:color w:val="000000" w:themeColor="text1"/>
        </w:rPr>
        <w:t>GCC Construction</w:t>
      </w:r>
      <w:r w:rsidR="00C13864">
        <w:rPr>
          <w:rFonts w:asciiTheme="minorHAnsi" w:hAnsiTheme="minorHAnsi"/>
          <w:b/>
          <w:iCs/>
          <w:color w:val="000000" w:themeColor="text1"/>
        </w:rPr>
        <w:t xml:space="preserve"> That Also Impact its Utilization and Review</w:t>
      </w:r>
    </w:p>
    <w:p w14:paraId="58C9C55C" w14:textId="77777777" w:rsidR="00577A59" w:rsidRPr="00E93DC5" w:rsidRDefault="00577A59" w:rsidP="00577A59">
      <w:pPr>
        <w:pStyle w:val="BodyText"/>
        <w:rPr>
          <w:rFonts w:asciiTheme="minorHAnsi" w:hAnsiTheme="minorHAnsi"/>
          <w:b/>
          <w:iCs/>
          <w:color w:val="000000" w:themeColor="text1"/>
        </w:rPr>
      </w:pPr>
    </w:p>
    <w:p w14:paraId="486B47DE" w14:textId="03F0CE19" w:rsidR="00C13864" w:rsidRPr="00C13864" w:rsidRDefault="00620AB2" w:rsidP="00C13864">
      <w:pPr>
        <w:pStyle w:val="BodyText"/>
        <w:rPr>
          <w:rFonts w:asciiTheme="minorHAnsi" w:hAnsiTheme="minorHAnsi"/>
          <w:bCs/>
          <w:iCs/>
          <w:color w:val="000000" w:themeColor="text1"/>
        </w:rPr>
      </w:pPr>
      <w:r w:rsidRPr="00C13864">
        <w:rPr>
          <w:rFonts w:asciiTheme="minorHAnsi" w:hAnsiTheme="minorHAnsi"/>
          <w:bCs/>
          <w:iCs/>
          <w:color w:val="000000" w:themeColor="text1"/>
        </w:rPr>
        <w:t xml:space="preserve">Some decision points </w:t>
      </w:r>
      <w:r w:rsidR="00716810" w:rsidRPr="00C13864">
        <w:rPr>
          <w:rFonts w:asciiTheme="minorHAnsi" w:hAnsiTheme="minorHAnsi"/>
          <w:bCs/>
          <w:iCs/>
          <w:color w:val="000000" w:themeColor="text1"/>
        </w:rPr>
        <w:t>may be addressed prior to the submission of a GCC</w:t>
      </w:r>
      <w:r w:rsidR="00716E3D" w:rsidRPr="00C13864">
        <w:rPr>
          <w:rFonts w:asciiTheme="minorHAnsi" w:hAnsiTheme="minorHAnsi"/>
          <w:bCs/>
          <w:iCs/>
          <w:color w:val="000000" w:themeColor="text1"/>
        </w:rPr>
        <w:t xml:space="preserve"> template.  These include</w:t>
      </w:r>
      <w:r w:rsidR="00B40404" w:rsidRPr="00C13864">
        <w:rPr>
          <w:rFonts w:asciiTheme="minorHAnsi" w:hAnsiTheme="minorHAnsi"/>
          <w:bCs/>
          <w:iCs/>
          <w:color w:val="000000" w:themeColor="text1"/>
        </w:rPr>
        <w:t>:</w:t>
      </w:r>
      <w:r w:rsidR="00716E3D" w:rsidRPr="00C13864">
        <w:rPr>
          <w:rFonts w:asciiTheme="minorHAnsi" w:hAnsiTheme="minorHAnsi"/>
          <w:bCs/>
          <w:iCs/>
          <w:color w:val="000000" w:themeColor="text1"/>
        </w:rPr>
        <w:t xml:space="preserve"> the scope of application (</w:t>
      </w:r>
      <w:r w:rsidR="00966A3B" w:rsidRPr="00C13864">
        <w:rPr>
          <w:rFonts w:asciiTheme="minorHAnsi" w:hAnsiTheme="minorHAnsi"/>
          <w:bCs/>
          <w:iCs/>
          <w:color w:val="000000" w:themeColor="text1"/>
        </w:rPr>
        <w:t>e.g.,</w:t>
      </w:r>
      <w:r w:rsidR="00716E3D" w:rsidRPr="00C13864">
        <w:rPr>
          <w:rFonts w:asciiTheme="minorHAnsi" w:hAnsiTheme="minorHAnsi"/>
          <w:bCs/>
          <w:iCs/>
          <w:color w:val="000000" w:themeColor="text1"/>
        </w:rPr>
        <w:t xml:space="preserve"> whether </w:t>
      </w:r>
      <w:r w:rsidR="0011645D" w:rsidRPr="00C13864">
        <w:rPr>
          <w:rFonts w:asciiTheme="minorHAnsi" w:hAnsiTheme="minorHAnsi"/>
          <w:bCs/>
          <w:iCs/>
          <w:color w:val="000000" w:themeColor="text1"/>
        </w:rPr>
        <w:t xml:space="preserve">segments of the holding company system </w:t>
      </w:r>
      <w:r w:rsidR="006E0319">
        <w:rPr>
          <w:rFonts w:asciiTheme="minorHAnsi" w:hAnsiTheme="minorHAnsi"/>
          <w:bCs/>
          <w:iCs/>
          <w:color w:val="000000" w:themeColor="text1"/>
        </w:rPr>
        <w:t xml:space="preserve">(group) </w:t>
      </w:r>
      <w:r w:rsidR="0011645D" w:rsidRPr="00C13864">
        <w:rPr>
          <w:rFonts w:asciiTheme="minorHAnsi" w:hAnsiTheme="minorHAnsi"/>
          <w:bCs/>
          <w:iCs/>
          <w:color w:val="000000" w:themeColor="text1"/>
        </w:rPr>
        <w:t>should be excluded</w:t>
      </w:r>
      <w:r w:rsidR="00B40404" w:rsidRPr="00C13864">
        <w:rPr>
          <w:rFonts w:asciiTheme="minorHAnsi" w:hAnsiTheme="minorHAnsi"/>
          <w:bCs/>
          <w:iCs/>
          <w:color w:val="000000" w:themeColor="text1"/>
        </w:rPr>
        <w:t xml:space="preserve"> for financial conglomerates); whether a limited filing will be </w:t>
      </w:r>
      <w:r w:rsidR="00CF4C92" w:rsidRPr="00C13864">
        <w:rPr>
          <w:rFonts w:asciiTheme="minorHAnsi" w:hAnsiTheme="minorHAnsi"/>
          <w:bCs/>
          <w:iCs/>
          <w:color w:val="000000" w:themeColor="text1"/>
        </w:rPr>
        <w:t>allowed (as permitted in Model Law #440 and Model Regulation #450</w:t>
      </w:r>
      <w:r w:rsidR="0052619C" w:rsidRPr="00C13864">
        <w:rPr>
          <w:rFonts w:asciiTheme="minorHAnsi" w:hAnsiTheme="minorHAnsi"/>
          <w:bCs/>
          <w:iCs/>
          <w:color w:val="000000" w:themeColor="text1"/>
        </w:rPr>
        <w:t xml:space="preserve">); and whether subgroup reporting </w:t>
      </w:r>
      <w:r w:rsidR="00687B62" w:rsidRPr="00C13864">
        <w:rPr>
          <w:rFonts w:asciiTheme="minorHAnsi" w:hAnsiTheme="minorHAnsi"/>
          <w:bCs/>
          <w:iCs/>
          <w:color w:val="000000" w:themeColor="text1"/>
        </w:rPr>
        <w:t>(as defined in the GCC instructions</w:t>
      </w:r>
      <w:r w:rsidR="00513461" w:rsidRPr="00C13864">
        <w:rPr>
          <w:rFonts w:asciiTheme="minorHAnsi" w:hAnsiTheme="minorHAnsi"/>
          <w:bCs/>
          <w:iCs/>
          <w:color w:val="000000" w:themeColor="text1"/>
        </w:rPr>
        <w:t xml:space="preserve">) </w:t>
      </w:r>
      <w:r w:rsidR="0052619C" w:rsidRPr="00C13864">
        <w:rPr>
          <w:rFonts w:asciiTheme="minorHAnsi" w:hAnsiTheme="minorHAnsi"/>
          <w:bCs/>
          <w:iCs/>
          <w:color w:val="000000" w:themeColor="text1"/>
        </w:rPr>
        <w:t xml:space="preserve">of a foreign insurance </w:t>
      </w:r>
      <w:r w:rsidR="00687B62" w:rsidRPr="00C13864">
        <w:rPr>
          <w:rFonts w:asciiTheme="minorHAnsi" w:hAnsiTheme="minorHAnsi"/>
          <w:bCs/>
          <w:iCs/>
          <w:color w:val="000000" w:themeColor="text1"/>
        </w:rPr>
        <w:t>group will be required</w:t>
      </w:r>
      <w:r w:rsidR="00513461" w:rsidRPr="00C13864">
        <w:rPr>
          <w:rFonts w:asciiTheme="minorHAnsi" w:hAnsiTheme="minorHAnsi"/>
          <w:bCs/>
          <w:iCs/>
          <w:color w:val="000000" w:themeColor="text1"/>
        </w:rPr>
        <w:t xml:space="preserve">. </w:t>
      </w:r>
      <w:r w:rsidR="00E3477A" w:rsidRPr="00C13864">
        <w:rPr>
          <w:rFonts w:asciiTheme="minorHAnsi" w:hAnsiTheme="minorHAnsi"/>
          <w:bCs/>
          <w:iCs/>
          <w:color w:val="000000" w:themeColor="text1"/>
        </w:rPr>
        <w:t xml:space="preserve">In </w:t>
      </w:r>
      <w:r w:rsidR="00406067" w:rsidRPr="00C13864">
        <w:rPr>
          <w:rFonts w:asciiTheme="minorHAnsi" w:hAnsiTheme="minorHAnsi"/>
          <w:bCs/>
          <w:iCs/>
          <w:color w:val="000000" w:themeColor="text1"/>
        </w:rPr>
        <w:t>general,</w:t>
      </w:r>
      <w:r w:rsidR="00E3477A" w:rsidRPr="00C13864">
        <w:rPr>
          <w:rFonts w:asciiTheme="minorHAnsi" w:hAnsiTheme="minorHAnsi"/>
          <w:bCs/>
          <w:iCs/>
          <w:color w:val="000000" w:themeColor="text1"/>
        </w:rPr>
        <w:t xml:space="preserve"> the analytics provided by the GCC will be similar </w:t>
      </w:r>
      <w:r w:rsidR="002B5684" w:rsidRPr="00C13864">
        <w:rPr>
          <w:rFonts w:asciiTheme="minorHAnsi" w:hAnsiTheme="minorHAnsi"/>
          <w:bCs/>
          <w:iCs/>
          <w:color w:val="000000" w:themeColor="text1"/>
        </w:rPr>
        <w:t xml:space="preserve">for all entities included in the template. </w:t>
      </w:r>
      <w:r w:rsidR="00687B62" w:rsidRPr="00C13864">
        <w:rPr>
          <w:rFonts w:asciiTheme="minorHAnsi" w:hAnsiTheme="minorHAnsi"/>
          <w:bCs/>
          <w:iCs/>
          <w:color w:val="000000" w:themeColor="text1"/>
        </w:rPr>
        <w:t xml:space="preserve"> </w:t>
      </w:r>
      <w:r w:rsidR="006E0319">
        <w:rPr>
          <w:rFonts w:asciiTheme="minorHAnsi" w:hAnsiTheme="minorHAnsi"/>
          <w:bCs/>
          <w:iCs/>
          <w:color w:val="000000" w:themeColor="text1"/>
        </w:rPr>
        <w:t>(</w:t>
      </w:r>
      <w:r w:rsidR="00C13864" w:rsidRPr="00C13864">
        <w:rPr>
          <w:rFonts w:asciiTheme="minorHAnsi" w:hAnsiTheme="minorHAnsi"/>
          <w:bCs/>
          <w:iCs/>
          <w:color w:val="000000" w:themeColor="text1"/>
        </w:rPr>
        <w:t xml:space="preserve">See the Primer on the Group Capital Calculation Formula) </w:t>
      </w:r>
      <w:r w:rsidR="006E0319">
        <w:rPr>
          <w:rFonts w:asciiTheme="minorHAnsi" w:hAnsiTheme="minorHAnsi"/>
          <w:bCs/>
          <w:iCs/>
          <w:color w:val="000000" w:themeColor="text1"/>
        </w:rPr>
        <w:t xml:space="preserve">at the end of this section </w:t>
      </w:r>
      <w:r w:rsidR="00C13864" w:rsidRPr="00C13864">
        <w:rPr>
          <w:rFonts w:asciiTheme="minorHAnsi" w:hAnsiTheme="minorHAnsi"/>
          <w:bCs/>
          <w:iCs/>
          <w:color w:val="000000" w:themeColor="text1"/>
        </w:rPr>
        <w:t>to better understand these points.</w:t>
      </w:r>
    </w:p>
    <w:p w14:paraId="01BCC520" w14:textId="77777777" w:rsidR="006E0319" w:rsidRDefault="006E0319" w:rsidP="003514EB">
      <w:pPr>
        <w:pStyle w:val="BodyText"/>
        <w:rPr>
          <w:rFonts w:asciiTheme="minorHAnsi" w:hAnsiTheme="minorHAnsi"/>
          <w:bCs/>
          <w:iCs/>
          <w:color w:val="000000" w:themeColor="text1"/>
        </w:rPr>
      </w:pPr>
    </w:p>
    <w:p w14:paraId="0A77D776" w14:textId="41E31319" w:rsidR="003514EB" w:rsidRDefault="003514EB" w:rsidP="003514EB">
      <w:pPr>
        <w:pStyle w:val="BodyText"/>
        <w:rPr>
          <w:rFonts w:asciiTheme="minorHAnsi" w:hAnsiTheme="minorHAnsi"/>
          <w:bCs/>
          <w:iCs/>
          <w:color w:val="000000" w:themeColor="text1"/>
        </w:rPr>
      </w:pPr>
      <w:r w:rsidRPr="00C13864">
        <w:rPr>
          <w:rFonts w:asciiTheme="minorHAnsi" w:hAnsiTheme="minorHAnsi"/>
          <w:bCs/>
          <w:iCs/>
          <w:color w:val="000000" w:themeColor="text1"/>
        </w:rPr>
        <w:t>These fact</w:t>
      </w:r>
      <w:r w:rsidR="006E0319">
        <w:rPr>
          <w:rFonts w:asciiTheme="minorHAnsi" w:hAnsiTheme="minorHAnsi"/>
          <w:bCs/>
          <w:iCs/>
          <w:color w:val="000000" w:themeColor="text1"/>
        </w:rPr>
        <w:t>or</w:t>
      </w:r>
      <w:r w:rsidRPr="00C13864">
        <w:rPr>
          <w:rFonts w:asciiTheme="minorHAnsi" w:hAnsiTheme="minorHAnsi"/>
          <w:bCs/>
          <w:iCs/>
          <w:color w:val="000000" w:themeColor="text1"/>
        </w:rPr>
        <w:t>s are also a consideration in determining the depth of the analysis of the GCC and subsequent correspondence with the group. Refer to chapter VI.B. Roles and Responsibilities of Group-wide Supervisor/Lead State for details on responsibilities for completing the GPS.</w:t>
      </w:r>
    </w:p>
    <w:p w14:paraId="77EF519B" w14:textId="77777777" w:rsidR="003514EB" w:rsidRDefault="003514EB" w:rsidP="00597BAB">
      <w:pPr>
        <w:pStyle w:val="BodyText"/>
        <w:rPr>
          <w:rFonts w:asciiTheme="minorHAnsi" w:hAnsiTheme="minorHAnsi"/>
          <w:bCs/>
          <w:iCs/>
          <w:color w:val="000000" w:themeColor="text1"/>
        </w:rPr>
      </w:pPr>
    </w:p>
    <w:p w14:paraId="3D66DFAC" w14:textId="494C9536" w:rsidR="003514EB" w:rsidRDefault="00C13864" w:rsidP="00597BAB">
      <w:pPr>
        <w:pStyle w:val="BodyText"/>
        <w:rPr>
          <w:rFonts w:asciiTheme="minorHAnsi" w:hAnsiTheme="minorHAnsi"/>
          <w:bCs/>
          <w:iCs/>
          <w:color w:val="000000" w:themeColor="text1"/>
        </w:rPr>
      </w:pPr>
      <w:r>
        <w:rPr>
          <w:rFonts w:asciiTheme="minorHAnsi" w:hAnsiTheme="minorHAnsi"/>
          <w:bCs/>
          <w:iCs/>
          <w:color w:val="000000" w:themeColor="text1"/>
        </w:rPr>
        <w:t xml:space="preserve">The utilization of the GCC can be summarized as an </w:t>
      </w:r>
      <w:r w:rsidR="00A26272">
        <w:rPr>
          <w:rFonts w:asciiTheme="minorHAnsi" w:hAnsiTheme="minorHAnsi"/>
          <w:bCs/>
          <w:iCs/>
          <w:color w:val="000000" w:themeColor="text1"/>
        </w:rPr>
        <w:t xml:space="preserve">additional input into the GPS. More specifically, </w:t>
      </w:r>
      <w:r w:rsidR="00147B3F">
        <w:rPr>
          <w:rFonts w:asciiTheme="minorHAnsi" w:hAnsiTheme="minorHAnsi"/>
          <w:bCs/>
          <w:iCs/>
          <w:color w:val="000000" w:themeColor="text1"/>
        </w:rPr>
        <w:t>once</w:t>
      </w:r>
      <w:r w:rsidR="00A26272">
        <w:rPr>
          <w:rFonts w:asciiTheme="minorHAnsi" w:hAnsiTheme="minorHAnsi"/>
          <w:bCs/>
          <w:iCs/>
          <w:color w:val="000000" w:themeColor="text1"/>
        </w:rPr>
        <w:t xml:space="preserve"> the analyst completes their </w:t>
      </w:r>
      <w:r w:rsidR="001528A3">
        <w:rPr>
          <w:rFonts w:asciiTheme="minorHAnsi" w:hAnsiTheme="minorHAnsi"/>
          <w:bCs/>
          <w:iCs/>
          <w:color w:val="000000" w:themeColor="text1"/>
        </w:rPr>
        <w:t xml:space="preserve">review </w:t>
      </w:r>
      <w:r w:rsidR="00A26272">
        <w:rPr>
          <w:rFonts w:asciiTheme="minorHAnsi" w:hAnsiTheme="minorHAnsi"/>
          <w:bCs/>
          <w:iCs/>
          <w:color w:val="000000" w:themeColor="text1"/>
        </w:rPr>
        <w:t>of the GCC</w:t>
      </w:r>
      <w:r w:rsidR="006A796D">
        <w:rPr>
          <w:rFonts w:asciiTheme="minorHAnsi" w:hAnsiTheme="minorHAnsi"/>
          <w:bCs/>
          <w:iCs/>
          <w:color w:val="000000" w:themeColor="text1"/>
        </w:rPr>
        <w:t xml:space="preserve"> </w:t>
      </w:r>
      <w:r w:rsidR="00A26272">
        <w:rPr>
          <w:rFonts w:asciiTheme="minorHAnsi" w:hAnsiTheme="minorHAnsi"/>
          <w:bCs/>
          <w:iCs/>
          <w:color w:val="000000" w:themeColor="text1"/>
        </w:rPr>
        <w:t xml:space="preserve"> </w:t>
      </w:r>
      <w:r w:rsidR="006A796D">
        <w:rPr>
          <w:rFonts w:asciiTheme="minorHAnsi" w:hAnsiTheme="minorHAnsi"/>
          <w:bCs/>
          <w:iCs/>
          <w:color w:val="000000" w:themeColor="text1"/>
        </w:rPr>
        <w:t xml:space="preserve">and </w:t>
      </w:r>
      <w:r w:rsidR="00A26272">
        <w:rPr>
          <w:rFonts w:asciiTheme="minorHAnsi" w:hAnsiTheme="minorHAnsi"/>
          <w:bCs/>
          <w:iCs/>
          <w:color w:val="000000" w:themeColor="text1"/>
        </w:rPr>
        <w:t>trend of the ratio</w:t>
      </w:r>
      <w:r>
        <w:rPr>
          <w:rFonts w:asciiTheme="minorHAnsi" w:hAnsiTheme="minorHAnsi"/>
          <w:bCs/>
          <w:iCs/>
          <w:color w:val="000000" w:themeColor="text1"/>
        </w:rPr>
        <w:t xml:space="preserve">, a </w:t>
      </w:r>
      <w:r w:rsidR="00147B3F">
        <w:rPr>
          <w:rFonts w:asciiTheme="minorHAnsi" w:hAnsiTheme="minorHAnsi"/>
          <w:bCs/>
          <w:iCs/>
          <w:color w:val="000000" w:themeColor="text1"/>
        </w:rPr>
        <w:t>summary</w:t>
      </w:r>
      <w:r w:rsidR="00A26272">
        <w:rPr>
          <w:rFonts w:asciiTheme="minorHAnsi" w:hAnsiTheme="minorHAnsi"/>
          <w:bCs/>
          <w:iCs/>
          <w:color w:val="000000" w:themeColor="text1"/>
        </w:rPr>
        <w:t xml:space="preserve"> should be incorporated into the GPS to help support the assessment of strategic risk.</w:t>
      </w:r>
    </w:p>
    <w:p w14:paraId="272FB5E0" w14:textId="77777777" w:rsidR="00774C16" w:rsidRDefault="00774C16" w:rsidP="004E3CE5">
      <w:pPr>
        <w:pStyle w:val="BodyText"/>
        <w:rPr>
          <w:rFonts w:asciiTheme="minorHAnsi" w:hAnsiTheme="minorHAnsi"/>
          <w:b/>
          <w:iCs/>
          <w:color w:val="000000" w:themeColor="text1"/>
        </w:rPr>
      </w:pPr>
    </w:p>
    <w:p w14:paraId="5BA90E4B" w14:textId="7D43A577" w:rsidR="004E3CE5" w:rsidRPr="00E93DC5" w:rsidRDefault="004E3CE5" w:rsidP="004E3CE5">
      <w:pPr>
        <w:pStyle w:val="BodyText"/>
        <w:rPr>
          <w:rFonts w:asciiTheme="minorHAnsi" w:hAnsiTheme="minorHAnsi"/>
          <w:b/>
          <w:iCs/>
          <w:color w:val="000000" w:themeColor="text1"/>
        </w:rPr>
      </w:pPr>
      <w:r w:rsidRPr="00E93DC5">
        <w:rPr>
          <w:rFonts w:asciiTheme="minorHAnsi" w:hAnsiTheme="minorHAnsi"/>
          <w:b/>
          <w:iCs/>
          <w:color w:val="000000" w:themeColor="text1"/>
        </w:rPr>
        <w:t>Documentation of Review of the GCC</w:t>
      </w:r>
      <w:r w:rsidR="00147B3F">
        <w:rPr>
          <w:rFonts w:asciiTheme="minorHAnsi" w:hAnsiTheme="minorHAnsi"/>
          <w:b/>
          <w:iCs/>
          <w:color w:val="000000" w:themeColor="text1"/>
        </w:rPr>
        <w:t xml:space="preserve"> in the Group Profile Summary (GPS)</w:t>
      </w:r>
    </w:p>
    <w:p w14:paraId="24065D0C" w14:textId="77777777" w:rsidR="00E93DC5" w:rsidRDefault="00E93DC5" w:rsidP="00616C5B">
      <w:pPr>
        <w:pStyle w:val="BodyText"/>
        <w:rPr>
          <w:rFonts w:asciiTheme="minorHAnsi" w:hAnsiTheme="minorHAnsi"/>
          <w:b/>
          <w:i/>
          <w:color w:val="000000" w:themeColor="text1"/>
        </w:rPr>
      </w:pPr>
    </w:p>
    <w:p w14:paraId="1356D833" w14:textId="134B2292" w:rsidR="00774C16" w:rsidRDefault="00774C16" w:rsidP="00774C16">
      <w:pPr>
        <w:pStyle w:val="BodyText"/>
        <w:rPr>
          <w:rFonts w:asciiTheme="minorHAnsi" w:hAnsiTheme="minorHAnsi"/>
          <w:bCs/>
          <w:iCs/>
          <w:color w:val="000000" w:themeColor="text1"/>
        </w:rPr>
      </w:pPr>
      <w:r>
        <w:rPr>
          <w:rFonts w:asciiTheme="minorHAnsi" w:hAnsiTheme="minorHAnsi"/>
          <w:bCs/>
          <w:iCs/>
          <w:color w:val="000000" w:themeColor="text1"/>
        </w:rPr>
        <w:t xml:space="preserve">The purpose of </w:t>
      </w:r>
      <w:r w:rsidR="008410E9">
        <w:rPr>
          <w:rFonts w:asciiTheme="minorHAnsi" w:hAnsiTheme="minorHAnsi"/>
          <w:bCs/>
          <w:iCs/>
          <w:color w:val="000000" w:themeColor="text1"/>
        </w:rPr>
        <w:t xml:space="preserve">these </w:t>
      </w:r>
      <w:r>
        <w:rPr>
          <w:rFonts w:asciiTheme="minorHAnsi" w:hAnsiTheme="minorHAnsi"/>
          <w:bCs/>
          <w:iCs/>
          <w:color w:val="000000" w:themeColor="text1"/>
        </w:rPr>
        <w:t xml:space="preserve">procedures is to document the GCC into the GPS. </w:t>
      </w:r>
      <w:r w:rsidR="00232217">
        <w:rPr>
          <w:rFonts w:asciiTheme="minorHAnsi" w:hAnsiTheme="minorHAnsi"/>
          <w:bCs/>
          <w:iCs/>
          <w:color w:val="000000" w:themeColor="text1"/>
        </w:rPr>
        <w:t xml:space="preserve">The following provides an example of </w:t>
      </w:r>
      <w:r w:rsidR="00BB70F9">
        <w:rPr>
          <w:rFonts w:asciiTheme="minorHAnsi" w:hAnsiTheme="minorHAnsi"/>
          <w:bCs/>
          <w:iCs/>
          <w:color w:val="000000" w:themeColor="text1"/>
        </w:rPr>
        <w:t xml:space="preserve">a GCC Summary that </w:t>
      </w:r>
      <w:r>
        <w:rPr>
          <w:rFonts w:asciiTheme="minorHAnsi" w:hAnsiTheme="minorHAnsi"/>
          <w:bCs/>
          <w:iCs/>
          <w:color w:val="000000" w:themeColor="text1"/>
        </w:rPr>
        <w:t xml:space="preserve">represents the minimum expected input of the GCC into the GPS, with </w:t>
      </w:r>
      <w:r w:rsidR="008410E9">
        <w:rPr>
          <w:rFonts w:asciiTheme="minorHAnsi" w:hAnsiTheme="minorHAnsi"/>
          <w:bCs/>
          <w:iCs/>
          <w:color w:val="000000" w:themeColor="text1"/>
        </w:rPr>
        <w:t>new</w:t>
      </w:r>
      <w:r>
        <w:rPr>
          <w:rFonts w:asciiTheme="minorHAnsi" w:hAnsiTheme="minorHAnsi"/>
          <w:bCs/>
          <w:iCs/>
          <w:color w:val="000000" w:themeColor="text1"/>
        </w:rPr>
        <w:t xml:space="preserve"> information reported within the Strategic branded risk classification. The other purpose of this section is to determine if more follow-up </w:t>
      </w:r>
      <w:r w:rsidR="008410E9">
        <w:rPr>
          <w:rFonts w:asciiTheme="minorHAnsi" w:hAnsiTheme="minorHAnsi"/>
          <w:bCs/>
          <w:iCs/>
          <w:color w:val="000000" w:themeColor="text1"/>
        </w:rPr>
        <w:t xml:space="preserve">with the group </w:t>
      </w:r>
      <w:r>
        <w:rPr>
          <w:rFonts w:asciiTheme="minorHAnsi" w:hAnsiTheme="minorHAnsi"/>
          <w:bCs/>
          <w:iCs/>
          <w:color w:val="000000" w:themeColor="text1"/>
        </w:rPr>
        <w:t>should be performed and</w:t>
      </w:r>
      <w:r w:rsidR="00212708">
        <w:rPr>
          <w:rFonts w:asciiTheme="minorHAnsi" w:hAnsiTheme="minorHAnsi"/>
          <w:bCs/>
          <w:iCs/>
          <w:color w:val="000000" w:themeColor="text1"/>
        </w:rPr>
        <w:t>, if so, to</w:t>
      </w:r>
      <w:r>
        <w:rPr>
          <w:rFonts w:asciiTheme="minorHAnsi" w:hAnsiTheme="minorHAnsi"/>
          <w:bCs/>
          <w:iCs/>
          <w:color w:val="000000" w:themeColor="text1"/>
        </w:rPr>
        <w:t xml:space="preserve"> assess the </w:t>
      </w:r>
      <w:r w:rsidR="008410E9">
        <w:rPr>
          <w:rFonts w:asciiTheme="minorHAnsi" w:hAnsiTheme="minorHAnsi"/>
          <w:bCs/>
          <w:iCs/>
          <w:color w:val="000000" w:themeColor="text1"/>
        </w:rPr>
        <w:t xml:space="preserve">information obtained from </w:t>
      </w:r>
      <w:r>
        <w:rPr>
          <w:rFonts w:asciiTheme="minorHAnsi" w:hAnsiTheme="minorHAnsi"/>
          <w:bCs/>
          <w:iCs/>
          <w:color w:val="000000" w:themeColor="text1"/>
        </w:rPr>
        <w:t xml:space="preserve">that additional review. </w:t>
      </w:r>
      <w:r w:rsidR="00C13864">
        <w:rPr>
          <w:rFonts w:asciiTheme="minorHAnsi" w:hAnsiTheme="minorHAnsi"/>
          <w:bCs/>
          <w:iCs/>
          <w:color w:val="000000" w:themeColor="text1"/>
        </w:rPr>
        <w:t xml:space="preserve">The following is </w:t>
      </w:r>
      <w:r w:rsidR="009B0D62">
        <w:rPr>
          <w:rFonts w:asciiTheme="minorHAnsi" w:hAnsiTheme="minorHAnsi"/>
          <w:bCs/>
          <w:iCs/>
          <w:color w:val="000000" w:themeColor="text1"/>
        </w:rPr>
        <w:t xml:space="preserve">intended to assist in </w:t>
      </w:r>
      <w:r w:rsidR="00FB664B">
        <w:rPr>
          <w:rFonts w:asciiTheme="minorHAnsi" w:hAnsiTheme="minorHAnsi"/>
          <w:bCs/>
          <w:iCs/>
          <w:color w:val="000000" w:themeColor="text1"/>
        </w:rPr>
        <w:t xml:space="preserve">documenting the analysts’ </w:t>
      </w:r>
      <w:r w:rsidR="009B0D62">
        <w:rPr>
          <w:rFonts w:asciiTheme="minorHAnsi" w:hAnsiTheme="minorHAnsi"/>
          <w:bCs/>
          <w:iCs/>
          <w:color w:val="000000" w:themeColor="text1"/>
        </w:rPr>
        <w:t xml:space="preserve">understanding of the </w:t>
      </w:r>
      <w:r w:rsidR="00FB664B">
        <w:rPr>
          <w:rFonts w:asciiTheme="minorHAnsi" w:hAnsiTheme="minorHAnsi"/>
          <w:bCs/>
          <w:iCs/>
          <w:color w:val="000000" w:themeColor="text1"/>
        </w:rPr>
        <w:t xml:space="preserve">group’s </w:t>
      </w:r>
      <w:r w:rsidR="009B0D62">
        <w:rPr>
          <w:rFonts w:asciiTheme="minorHAnsi" w:hAnsiTheme="minorHAnsi"/>
          <w:bCs/>
          <w:iCs/>
          <w:color w:val="000000" w:themeColor="text1"/>
        </w:rPr>
        <w:t xml:space="preserve">GCC </w:t>
      </w:r>
      <w:r w:rsidR="00C13864">
        <w:rPr>
          <w:rFonts w:asciiTheme="minorHAnsi" w:hAnsiTheme="minorHAnsi"/>
          <w:bCs/>
          <w:iCs/>
          <w:color w:val="000000" w:themeColor="text1"/>
        </w:rPr>
        <w:t>in the GPS.</w:t>
      </w:r>
    </w:p>
    <w:p w14:paraId="75932CE2" w14:textId="53C86B05" w:rsidR="00212708" w:rsidRDefault="00212708">
      <w:pPr>
        <w:rPr>
          <w:rFonts w:asciiTheme="minorHAnsi" w:hAnsiTheme="minorHAnsi"/>
          <w:bCs/>
          <w:iCs/>
          <w:color w:val="000000" w:themeColor="text1"/>
          <w:sz w:val="22"/>
        </w:rPr>
      </w:pPr>
      <w:r>
        <w:rPr>
          <w:rFonts w:asciiTheme="minorHAnsi" w:hAnsiTheme="minorHAnsi"/>
          <w:bCs/>
          <w:iCs/>
          <w:color w:val="000000" w:themeColor="text1"/>
        </w:rPr>
        <w:br w:type="page"/>
      </w:r>
    </w:p>
    <w:p w14:paraId="4ABE90EF" w14:textId="77777777" w:rsidR="00232217" w:rsidRDefault="00232217" w:rsidP="00232217">
      <w:pPr>
        <w:pStyle w:val="BodyText"/>
        <w:rPr>
          <w:rFonts w:asciiTheme="minorHAnsi" w:hAnsiTheme="minorHAnsi"/>
          <w:bCs/>
          <w:iCs/>
          <w:color w:val="000000" w:themeColor="text1"/>
        </w:rPr>
      </w:pPr>
    </w:p>
    <w:p w14:paraId="1C9959FA" w14:textId="26C167A9" w:rsidR="005B64D6" w:rsidRDefault="005B64D6" w:rsidP="00F91641">
      <w:pPr>
        <w:pBdr>
          <w:top w:val="single" w:sz="4" w:space="1" w:color="auto"/>
          <w:left w:val="single" w:sz="4" w:space="4" w:color="auto"/>
          <w:right w:val="single" w:sz="4" w:space="4" w:color="auto"/>
        </w:pBdr>
        <w:spacing w:after="120"/>
        <w:jc w:val="both"/>
        <w:rPr>
          <w:rFonts w:asciiTheme="minorHAnsi" w:hAnsiTheme="minorHAnsi"/>
          <w:b/>
          <w:color w:val="000000" w:themeColor="text1"/>
          <w:sz w:val="22"/>
          <w:szCs w:val="22"/>
        </w:rPr>
      </w:pPr>
      <w:r>
        <w:rPr>
          <w:rFonts w:asciiTheme="minorHAnsi" w:hAnsiTheme="minorHAnsi"/>
          <w:b/>
          <w:color w:val="000000" w:themeColor="text1"/>
          <w:sz w:val="22"/>
          <w:szCs w:val="22"/>
        </w:rPr>
        <w:t>Group Capital Calculation (GCC) Summary</w:t>
      </w:r>
    </w:p>
    <w:p w14:paraId="404234F1" w14:textId="12C91DB4" w:rsidR="005B64D6" w:rsidRPr="005B64D6" w:rsidRDefault="00BB70F9"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Cs/>
          <w:color w:val="000000" w:themeColor="text1"/>
          <w:sz w:val="22"/>
          <w:szCs w:val="22"/>
        </w:rPr>
      </w:pPr>
      <w:r>
        <w:rPr>
          <w:rFonts w:asciiTheme="minorHAnsi" w:hAnsiTheme="minorHAnsi"/>
          <w:bCs/>
          <w:color w:val="000000" w:themeColor="text1"/>
          <w:sz w:val="22"/>
          <w:szCs w:val="22"/>
        </w:rPr>
        <w:t>Summarize your assessment of the GCC both quantitative</w:t>
      </w:r>
      <w:r w:rsidR="00212708">
        <w:rPr>
          <w:rFonts w:asciiTheme="minorHAnsi" w:hAnsiTheme="minorHAnsi"/>
          <w:bCs/>
          <w:color w:val="000000" w:themeColor="text1"/>
          <w:sz w:val="22"/>
          <w:szCs w:val="22"/>
        </w:rPr>
        <w:t>ly</w:t>
      </w:r>
      <w:r>
        <w:rPr>
          <w:rFonts w:asciiTheme="minorHAnsi" w:hAnsiTheme="minorHAnsi"/>
          <w:bCs/>
          <w:color w:val="000000" w:themeColor="text1"/>
          <w:sz w:val="22"/>
          <w:szCs w:val="22"/>
        </w:rPr>
        <w:t xml:space="preserve"> and qualitative</w:t>
      </w:r>
      <w:r w:rsidR="00212708">
        <w:rPr>
          <w:rFonts w:asciiTheme="minorHAnsi" w:hAnsiTheme="minorHAnsi"/>
          <w:bCs/>
          <w:color w:val="000000" w:themeColor="text1"/>
          <w:sz w:val="22"/>
          <w:szCs w:val="22"/>
        </w:rPr>
        <w:t>ly</w:t>
      </w:r>
      <w:r>
        <w:rPr>
          <w:rFonts w:asciiTheme="minorHAnsi" w:hAnsiTheme="minorHAnsi"/>
          <w:bCs/>
          <w:color w:val="000000" w:themeColor="text1"/>
          <w:sz w:val="22"/>
          <w:szCs w:val="22"/>
        </w:rPr>
        <w:t>, including any such items as may not be applicable to a branded risk category. For example, it may be appropriate to indicate “</w:t>
      </w:r>
      <w:r w:rsidRPr="00BB70F9">
        <w:rPr>
          <w:rFonts w:asciiTheme="minorHAnsi" w:hAnsiTheme="minorHAnsi"/>
          <w:bCs/>
          <w:i/>
          <w:iCs/>
          <w:color w:val="000000" w:themeColor="text1"/>
          <w:sz w:val="22"/>
          <w:szCs w:val="22"/>
        </w:rPr>
        <w:t>The review of the group’s GCC indicated the scope of the application is consistent with the lead state’s determination</w:t>
      </w:r>
      <w:r>
        <w:rPr>
          <w:rFonts w:asciiTheme="minorHAnsi" w:hAnsiTheme="minorHAnsi"/>
          <w:bCs/>
          <w:color w:val="000000" w:themeColor="text1"/>
          <w:sz w:val="22"/>
          <w:szCs w:val="22"/>
        </w:rPr>
        <w:t>”</w:t>
      </w:r>
      <w:r w:rsidR="00147B3F">
        <w:rPr>
          <w:rFonts w:asciiTheme="minorHAnsi" w:hAnsiTheme="minorHAnsi"/>
          <w:bCs/>
          <w:color w:val="000000" w:themeColor="text1"/>
          <w:sz w:val="22"/>
          <w:szCs w:val="22"/>
        </w:rPr>
        <w:t xml:space="preserve"> and if </w:t>
      </w:r>
      <w:r w:rsidR="00966A3B">
        <w:rPr>
          <w:rFonts w:asciiTheme="minorHAnsi" w:hAnsiTheme="minorHAnsi"/>
          <w:bCs/>
          <w:color w:val="000000" w:themeColor="text1"/>
          <w:sz w:val="22"/>
          <w:szCs w:val="22"/>
        </w:rPr>
        <w:t>possible,</w:t>
      </w:r>
      <w:r w:rsidR="00F91641">
        <w:rPr>
          <w:rFonts w:asciiTheme="minorHAnsi" w:hAnsiTheme="minorHAnsi"/>
          <w:bCs/>
          <w:color w:val="000000" w:themeColor="text1"/>
          <w:sz w:val="22"/>
          <w:szCs w:val="22"/>
        </w:rPr>
        <w:t xml:space="preserve"> to </w:t>
      </w:r>
      <w:r w:rsidR="00147B3F">
        <w:rPr>
          <w:rFonts w:asciiTheme="minorHAnsi" w:hAnsiTheme="minorHAnsi"/>
          <w:bCs/>
          <w:color w:val="000000" w:themeColor="text1"/>
          <w:sz w:val="22"/>
          <w:szCs w:val="22"/>
        </w:rPr>
        <w:t>summarize succinctly, the general scope of the GCC.</w:t>
      </w:r>
      <w:r>
        <w:rPr>
          <w:rFonts w:asciiTheme="minorHAnsi" w:hAnsiTheme="minorHAnsi"/>
          <w:bCs/>
          <w:color w:val="000000" w:themeColor="text1"/>
          <w:sz w:val="22"/>
          <w:szCs w:val="22"/>
        </w:rPr>
        <w:t xml:space="preserve"> </w:t>
      </w:r>
      <w:r w:rsidR="00F91641">
        <w:rPr>
          <w:rFonts w:asciiTheme="minorHAnsi" w:hAnsiTheme="minorHAnsi"/>
          <w:bCs/>
          <w:color w:val="000000" w:themeColor="text1"/>
          <w:sz w:val="22"/>
          <w:szCs w:val="22"/>
        </w:rPr>
        <w:t>For example, “</w:t>
      </w:r>
      <w:r w:rsidR="00F91641" w:rsidRPr="00F91641">
        <w:rPr>
          <w:rFonts w:asciiTheme="minorHAnsi" w:hAnsiTheme="minorHAnsi"/>
          <w:bCs/>
          <w:i/>
          <w:iCs/>
          <w:color w:val="000000" w:themeColor="text1"/>
          <w:sz w:val="22"/>
          <w:szCs w:val="22"/>
        </w:rPr>
        <w:t>the GCC includes all U.S. and Bermuda</w:t>
      </w:r>
      <w:r w:rsidR="00A62081" w:rsidRPr="00A62081">
        <w:rPr>
          <w:rFonts w:asciiTheme="minorHAnsi" w:hAnsiTheme="minorHAnsi"/>
          <w:bCs/>
          <w:i/>
          <w:iCs/>
          <w:color w:val="000000" w:themeColor="text1"/>
          <w:sz w:val="22"/>
          <w:szCs w:val="22"/>
        </w:rPr>
        <w:t xml:space="preserve"> </w:t>
      </w:r>
      <w:r w:rsidR="00A62081" w:rsidRPr="00F91641">
        <w:rPr>
          <w:rFonts w:asciiTheme="minorHAnsi" w:hAnsiTheme="minorHAnsi"/>
          <w:bCs/>
          <w:i/>
          <w:iCs/>
          <w:color w:val="000000" w:themeColor="text1"/>
          <w:sz w:val="22"/>
          <w:szCs w:val="22"/>
        </w:rPr>
        <w:t>operations</w:t>
      </w:r>
      <w:r w:rsidR="00F91641" w:rsidRPr="00F91641">
        <w:rPr>
          <w:rFonts w:asciiTheme="minorHAnsi" w:hAnsiTheme="minorHAnsi"/>
          <w:bCs/>
          <w:i/>
          <w:iCs/>
          <w:color w:val="000000" w:themeColor="text1"/>
          <w:sz w:val="22"/>
          <w:szCs w:val="22"/>
        </w:rPr>
        <w:t>, but excludes ABC non-insurance operations in South American countries</w:t>
      </w:r>
      <w:r w:rsidR="00F91641">
        <w:rPr>
          <w:rFonts w:asciiTheme="minorHAnsi" w:hAnsiTheme="minorHAnsi"/>
          <w:bCs/>
          <w:i/>
          <w:iCs/>
          <w:color w:val="000000" w:themeColor="text1"/>
          <w:sz w:val="22"/>
          <w:szCs w:val="22"/>
        </w:rPr>
        <w:t>”</w:t>
      </w:r>
      <w:r w:rsidR="00F9164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It may also be appropriate to identify key drivers of risks for the group within the GCC that are discussed later in the branded risk categories, as </w:t>
      </w:r>
      <w:r w:rsidR="00212708">
        <w:rPr>
          <w:rFonts w:asciiTheme="minorHAnsi" w:hAnsiTheme="minorHAnsi"/>
          <w:bCs/>
          <w:color w:val="000000" w:themeColor="text1"/>
          <w:sz w:val="22"/>
          <w:szCs w:val="22"/>
        </w:rPr>
        <w:t>those risks</w:t>
      </w:r>
      <w:r>
        <w:rPr>
          <w:rFonts w:asciiTheme="minorHAnsi" w:hAnsiTheme="minorHAnsi"/>
          <w:bCs/>
          <w:color w:val="000000" w:themeColor="text1"/>
          <w:sz w:val="22"/>
          <w:szCs w:val="22"/>
        </w:rPr>
        <w:t xml:space="preserve"> may be related </w:t>
      </w:r>
      <w:r w:rsidR="00966A3B">
        <w:rPr>
          <w:rFonts w:asciiTheme="minorHAnsi" w:hAnsiTheme="minorHAnsi"/>
          <w:bCs/>
          <w:color w:val="000000" w:themeColor="text1"/>
          <w:sz w:val="22"/>
          <w:szCs w:val="22"/>
        </w:rPr>
        <w:t>to,</w:t>
      </w:r>
      <w:r>
        <w:rPr>
          <w:rFonts w:asciiTheme="minorHAnsi" w:hAnsiTheme="minorHAnsi"/>
          <w:bCs/>
          <w:color w:val="000000" w:themeColor="text1"/>
          <w:sz w:val="22"/>
          <w:szCs w:val="22"/>
        </w:rPr>
        <w:t xml:space="preserve"> and supplement existing risk assessments derived from holding company analysis or they may be new risks that warrant further review. “</w:t>
      </w:r>
      <w:r w:rsidR="005B64D6" w:rsidRPr="00BB70F9">
        <w:rPr>
          <w:rFonts w:asciiTheme="minorHAnsi" w:hAnsiTheme="minorHAnsi"/>
          <w:bCs/>
          <w:i/>
          <w:iCs/>
          <w:color w:val="000000" w:themeColor="text1"/>
          <w:sz w:val="22"/>
          <w:szCs w:val="22"/>
        </w:rPr>
        <w:t>The group’s GCC of 201% in the current year was impacted by a decline in Total Available Capital of $X which is related to group’s non-insurance operations</w:t>
      </w:r>
      <w:r w:rsidRPr="00BB70F9">
        <w:rPr>
          <w:rFonts w:asciiTheme="minorHAnsi" w:hAnsiTheme="minorHAnsi"/>
          <w:bCs/>
          <w:i/>
          <w:iCs/>
          <w:color w:val="000000" w:themeColor="text1"/>
          <w:sz w:val="22"/>
          <w:szCs w:val="22"/>
        </w:rPr>
        <w:t xml:space="preserve"> </w:t>
      </w:r>
      <w:r w:rsidR="00EF67F0">
        <w:rPr>
          <w:rFonts w:asciiTheme="minorHAnsi" w:hAnsiTheme="minorHAnsi"/>
          <w:bCs/>
          <w:i/>
          <w:iCs/>
          <w:color w:val="000000" w:themeColor="text1"/>
          <w:sz w:val="22"/>
          <w:szCs w:val="22"/>
        </w:rPr>
        <w:t xml:space="preserve">in Bermuda and </w:t>
      </w:r>
      <w:r w:rsidRPr="00BB70F9">
        <w:rPr>
          <w:rFonts w:asciiTheme="minorHAnsi" w:hAnsiTheme="minorHAnsi"/>
          <w:bCs/>
          <w:i/>
          <w:iCs/>
          <w:color w:val="000000" w:themeColor="text1"/>
          <w:sz w:val="22"/>
          <w:szCs w:val="22"/>
        </w:rPr>
        <w:t xml:space="preserve">as well as </w:t>
      </w:r>
      <w:r w:rsidR="00C516E5">
        <w:rPr>
          <w:rFonts w:asciiTheme="minorHAnsi" w:hAnsiTheme="minorHAnsi"/>
          <w:bCs/>
          <w:i/>
          <w:iCs/>
          <w:color w:val="000000" w:themeColor="text1"/>
          <w:sz w:val="22"/>
          <w:szCs w:val="22"/>
        </w:rPr>
        <w:t xml:space="preserve">the negative impact </w:t>
      </w:r>
      <w:r w:rsidR="00212708">
        <w:rPr>
          <w:rFonts w:asciiTheme="minorHAnsi" w:hAnsiTheme="minorHAnsi"/>
          <w:bCs/>
          <w:i/>
          <w:iCs/>
          <w:color w:val="000000" w:themeColor="text1"/>
          <w:sz w:val="22"/>
          <w:szCs w:val="22"/>
        </w:rPr>
        <w:t>of</w:t>
      </w:r>
      <w:r w:rsidR="00C516E5">
        <w:rPr>
          <w:rFonts w:asciiTheme="minorHAnsi" w:hAnsiTheme="minorHAnsi"/>
          <w:bCs/>
          <w:i/>
          <w:iCs/>
          <w:color w:val="000000" w:themeColor="text1"/>
          <w:sz w:val="22"/>
          <w:szCs w:val="22"/>
        </w:rPr>
        <w:t xml:space="preserve"> market risks in the</w:t>
      </w:r>
      <w:r w:rsidR="00EF67F0">
        <w:rPr>
          <w:rFonts w:asciiTheme="minorHAnsi" w:hAnsiTheme="minorHAnsi"/>
          <w:bCs/>
          <w:i/>
          <w:iCs/>
          <w:color w:val="000000" w:themeColor="text1"/>
          <w:sz w:val="22"/>
          <w:szCs w:val="22"/>
        </w:rPr>
        <w:t xml:space="preserve"> U.S. insurance legal entity</w:t>
      </w:r>
      <w:r w:rsidR="00C516E5">
        <w:rPr>
          <w:rFonts w:asciiTheme="minorHAnsi" w:hAnsiTheme="minorHAnsi"/>
          <w:bCs/>
          <w:i/>
          <w:iCs/>
          <w:color w:val="000000" w:themeColor="text1"/>
          <w:sz w:val="22"/>
          <w:szCs w:val="22"/>
        </w:rPr>
        <w:t xml:space="preserve"> ratio components</w:t>
      </w:r>
      <w:r w:rsidR="00EF67F0">
        <w:rPr>
          <w:rFonts w:asciiTheme="minorHAnsi" w:hAnsiTheme="minorHAnsi"/>
          <w:bCs/>
          <w:i/>
          <w:iCs/>
          <w:color w:val="000000" w:themeColor="text1"/>
          <w:sz w:val="22"/>
          <w:szCs w:val="22"/>
        </w:rPr>
        <w:t xml:space="preserve">, which based on further analysis has </w:t>
      </w:r>
      <w:r w:rsidR="00C516E5">
        <w:rPr>
          <w:rFonts w:asciiTheme="minorHAnsi" w:hAnsiTheme="minorHAnsi"/>
          <w:bCs/>
          <w:i/>
          <w:iCs/>
          <w:color w:val="000000" w:themeColor="text1"/>
          <w:sz w:val="22"/>
          <w:szCs w:val="22"/>
        </w:rPr>
        <w:t>result</w:t>
      </w:r>
      <w:r w:rsidR="00EF67F0">
        <w:rPr>
          <w:rFonts w:asciiTheme="minorHAnsi" w:hAnsiTheme="minorHAnsi"/>
          <w:bCs/>
          <w:i/>
          <w:iCs/>
          <w:color w:val="000000" w:themeColor="text1"/>
          <w:sz w:val="22"/>
          <w:szCs w:val="22"/>
        </w:rPr>
        <w:t>ed</w:t>
      </w:r>
      <w:r w:rsidR="00C516E5">
        <w:rPr>
          <w:rFonts w:asciiTheme="minorHAnsi" w:hAnsiTheme="minorHAnsi"/>
          <w:bCs/>
          <w:i/>
          <w:iCs/>
          <w:color w:val="000000" w:themeColor="text1"/>
          <w:sz w:val="22"/>
          <w:szCs w:val="22"/>
        </w:rPr>
        <w:t xml:space="preserve"> from the recent financial market volatility</w:t>
      </w:r>
      <w:r>
        <w:rPr>
          <w:rFonts w:asciiTheme="minorHAnsi" w:hAnsiTheme="minorHAnsi"/>
          <w:bCs/>
          <w:color w:val="000000" w:themeColor="text1"/>
          <w:sz w:val="22"/>
          <w:szCs w:val="22"/>
        </w:rPr>
        <w:t>”</w:t>
      </w:r>
      <w:r w:rsidR="005B64D6">
        <w:rPr>
          <w:rFonts w:asciiTheme="minorHAnsi" w:hAnsiTheme="minorHAnsi"/>
          <w:bCs/>
          <w:color w:val="000000" w:themeColor="text1"/>
          <w:sz w:val="22"/>
          <w:szCs w:val="22"/>
        </w:rPr>
        <w:t>.</w:t>
      </w:r>
    </w:p>
    <w:p w14:paraId="0407B17D" w14:textId="5D69D3FD" w:rsidR="005B64D6" w:rsidRDefault="005B64D6"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color w:val="000000" w:themeColor="text1"/>
          <w:sz w:val="22"/>
          <w:szCs w:val="22"/>
        </w:rPr>
      </w:pPr>
    </w:p>
    <w:p w14:paraId="3FF6874C" w14:textId="7A5CC616" w:rsidR="00F91641" w:rsidRDefault="00F91641" w:rsidP="00F91641">
      <w:pPr>
        <w:pBdr>
          <w:top w:val="single" w:sz="4" w:space="1" w:color="auto"/>
          <w:left w:val="single" w:sz="4" w:space="4" w:color="auto"/>
          <w:right w:val="single" w:sz="4" w:space="4" w:color="auto"/>
        </w:pBdr>
        <w:spacing w:after="120"/>
        <w:jc w:val="both"/>
        <w:rPr>
          <w:rFonts w:asciiTheme="minorHAnsi" w:hAnsiTheme="minorHAnsi"/>
          <w:b/>
          <w:color w:val="000000" w:themeColor="text1"/>
          <w:sz w:val="22"/>
          <w:szCs w:val="22"/>
        </w:rPr>
      </w:pPr>
      <w:r>
        <w:rPr>
          <w:rFonts w:asciiTheme="minorHAnsi" w:hAnsiTheme="minorHAnsi"/>
          <w:b/>
          <w:color w:val="000000" w:themeColor="text1"/>
          <w:sz w:val="22"/>
          <w:szCs w:val="22"/>
        </w:rPr>
        <w:t>Branded Risk Assessment</w:t>
      </w:r>
    </w:p>
    <w:p w14:paraId="1D38C57C" w14:textId="3A61CC75" w:rsidR="00A463DD" w:rsidRPr="00CC1412" w:rsidRDefault="003D6827" w:rsidP="00A463DD">
      <w:pPr>
        <w:spacing w:after="120"/>
        <w:jc w:val="both"/>
        <w:rPr>
          <w:rFonts w:asciiTheme="minorHAnsi" w:hAnsiTheme="minorHAnsi" w:cstheme="minorHAnsi"/>
          <w:i/>
          <w:iCs/>
          <w:color w:val="000000"/>
          <w:sz w:val="22"/>
          <w:szCs w:val="22"/>
        </w:rPr>
      </w:pPr>
      <w:r w:rsidRPr="00CC1412">
        <w:rPr>
          <w:rFonts w:asciiTheme="minorHAnsi" w:hAnsiTheme="minorHAnsi" w:cstheme="minorHAnsi"/>
          <w:i/>
          <w:color w:val="000000" w:themeColor="text1"/>
          <w:sz w:val="22"/>
          <w:szCs w:val="22"/>
        </w:rPr>
        <w:t xml:space="preserve"> </w:t>
      </w:r>
      <w:r w:rsidR="00A463DD" w:rsidRPr="00CC1412">
        <w:rPr>
          <w:rFonts w:asciiTheme="minorHAnsi" w:hAnsiTheme="minorHAnsi" w:cstheme="minorHAnsi"/>
          <w:b/>
          <w:bCs/>
          <w:color w:val="000000"/>
          <w:sz w:val="22"/>
          <w:szCs w:val="22"/>
        </w:rPr>
        <w:t xml:space="preserve">Strategic: </w:t>
      </w:r>
      <w:r w:rsidR="00A463DD" w:rsidRPr="00CC1412">
        <w:rPr>
          <w:rFonts w:asciiTheme="minorHAnsi" w:hAnsiTheme="minorHAnsi" w:cstheme="minorHAnsi"/>
          <w:i/>
          <w:iCs/>
          <w:color w:val="000000"/>
          <w:sz w:val="22"/>
          <w:szCs w:val="22"/>
        </w:rPr>
        <w:t xml:space="preserve">The group’s Group Capital Calculation is assessed as low and </w:t>
      </w:r>
      <w:r w:rsidR="00966A3B" w:rsidRPr="00CC1412">
        <w:rPr>
          <w:rFonts w:asciiTheme="minorHAnsi" w:hAnsiTheme="minorHAnsi" w:cstheme="minorHAnsi"/>
          <w:i/>
          <w:iCs/>
          <w:color w:val="000000"/>
          <w:sz w:val="22"/>
          <w:szCs w:val="22"/>
        </w:rPr>
        <w:t>stable and</w:t>
      </w:r>
      <w:r w:rsidR="00A463DD" w:rsidRPr="00CC1412">
        <w:rPr>
          <w:rFonts w:asciiTheme="minorHAnsi" w:hAnsiTheme="minorHAnsi" w:cstheme="minorHAnsi"/>
          <w:i/>
          <w:iCs/>
          <w:color w:val="000000"/>
          <w:sz w:val="22"/>
          <w:szCs w:val="22"/>
        </w:rPr>
        <w:t xml:space="preserve"> is a positive consideration in the overall assessment of strategic risk.  The GCC has generally been </w:t>
      </w:r>
      <w:r w:rsidR="006A796D">
        <w:rPr>
          <w:rFonts w:asciiTheme="minorHAnsi" w:hAnsiTheme="minorHAnsi" w:cstheme="minorHAnsi"/>
          <w:i/>
          <w:iCs/>
          <w:color w:val="000000"/>
          <w:sz w:val="22"/>
          <w:szCs w:val="22"/>
        </w:rPr>
        <w:t xml:space="preserve">reasonable </w:t>
      </w:r>
      <w:r w:rsidR="00A463DD" w:rsidRPr="00CC1412">
        <w:rPr>
          <w:rFonts w:asciiTheme="minorHAnsi" w:hAnsiTheme="minorHAnsi" w:cstheme="minorHAnsi"/>
          <w:i/>
          <w:iCs/>
          <w:color w:val="000000"/>
          <w:sz w:val="22"/>
          <w:szCs w:val="22"/>
        </w:rPr>
        <w:t xml:space="preserve">and consistent over the past five years as illustrated in the following table. Additionally, refer to the GCC Summary for further details. </w:t>
      </w:r>
    </w:p>
    <w:p w14:paraId="39C27F24" w14:textId="25FCF0AD" w:rsidR="00232217"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i/>
          <w:color w:val="000000" w:themeColor="text1"/>
          <w:sz w:val="22"/>
          <w:szCs w:val="22"/>
        </w:rPr>
      </w:pPr>
    </w:p>
    <w:p w14:paraId="759451F4" w14:textId="014B88D6" w:rsidR="00232217" w:rsidRPr="004E59FA"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i/>
          <w:color w:val="000000" w:themeColor="text1"/>
          <w:sz w:val="22"/>
          <w:szCs w:val="22"/>
          <w:u w:val="single"/>
        </w:rPr>
      </w:pP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u w:val="single"/>
        </w:rPr>
        <w:t>CY</w:t>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PY1</w:t>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PY2</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 xml:space="preserve">PY3   </w:t>
      </w:r>
    </w:p>
    <w:p w14:paraId="56190197" w14:textId="0289E415" w:rsidR="00232217" w:rsidRPr="004E59FA"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i/>
          <w:color w:val="000000" w:themeColor="text1"/>
          <w:sz w:val="22"/>
          <w:szCs w:val="22"/>
        </w:rPr>
      </w:pP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Pr>
          <w:rFonts w:asciiTheme="minorHAnsi" w:hAnsiTheme="minorHAnsi"/>
          <w:b/>
          <w:i/>
          <w:color w:val="000000" w:themeColor="text1"/>
          <w:sz w:val="22"/>
          <w:szCs w:val="22"/>
        </w:rPr>
        <w:t xml:space="preserve">GCC Ratio                        </w:t>
      </w:r>
      <w:r w:rsidRPr="00034859">
        <w:rPr>
          <w:rFonts w:asciiTheme="minorHAnsi" w:hAnsiTheme="minorHAnsi"/>
          <w:i/>
          <w:color w:val="000000" w:themeColor="text1"/>
          <w:sz w:val="22"/>
          <w:szCs w:val="22"/>
        </w:rPr>
        <w:t>20</w:t>
      </w:r>
      <w:r w:rsidR="005B64D6">
        <w:rPr>
          <w:rFonts w:asciiTheme="minorHAnsi" w:hAnsiTheme="minorHAnsi"/>
          <w:i/>
          <w:color w:val="000000" w:themeColor="text1"/>
          <w:sz w:val="22"/>
          <w:szCs w:val="22"/>
        </w:rPr>
        <w:t>1</w:t>
      </w:r>
      <w:r w:rsidRPr="00034859">
        <w:rPr>
          <w:rFonts w:asciiTheme="minorHAnsi" w:hAnsiTheme="minorHAnsi"/>
          <w:i/>
          <w:color w:val="000000" w:themeColor="text1"/>
          <w:sz w:val="22"/>
          <w:szCs w:val="22"/>
        </w:rPr>
        <w:t>%</w:t>
      </w:r>
      <w:r>
        <w:rPr>
          <w:rFonts w:asciiTheme="minorHAnsi" w:hAnsiTheme="minorHAnsi"/>
          <w:i/>
          <w:color w:val="000000" w:themeColor="text1"/>
          <w:sz w:val="22"/>
          <w:szCs w:val="22"/>
        </w:rPr>
        <w:t xml:space="preserve">    20</w:t>
      </w:r>
      <w:r w:rsidR="005B64D6">
        <w:rPr>
          <w:rFonts w:asciiTheme="minorHAnsi" w:hAnsiTheme="minorHAnsi"/>
          <w:i/>
          <w:color w:val="000000" w:themeColor="text1"/>
          <w:sz w:val="22"/>
          <w:szCs w:val="22"/>
        </w:rPr>
        <w:t>7</w:t>
      </w:r>
      <w:r>
        <w:rPr>
          <w:rFonts w:asciiTheme="minorHAnsi" w:hAnsiTheme="minorHAnsi"/>
          <w:i/>
          <w:color w:val="000000" w:themeColor="text1"/>
          <w:sz w:val="22"/>
          <w:szCs w:val="22"/>
        </w:rPr>
        <w:t xml:space="preserve">%     </w:t>
      </w:r>
      <w:r w:rsidR="008A2193">
        <w:rPr>
          <w:rFonts w:asciiTheme="minorHAnsi" w:hAnsiTheme="minorHAnsi"/>
          <w:i/>
          <w:color w:val="000000" w:themeColor="text1"/>
          <w:sz w:val="22"/>
          <w:szCs w:val="22"/>
        </w:rPr>
        <w:t>163</w:t>
      </w:r>
      <w:r w:rsidRPr="004E59FA">
        <w:rPr>
          <w:rFonts w:asciiTheme="minorHAnsi" w:hAnsiTheme="minorHAnsi"/>
          <w:i/>
          <w:color w:val="000000" w:themeColor="text1"/>
          <w:sz w:val="22"/>
          <w:szCs w:val="22"/>
        </w:rPr>
        <w:t>%</w:t>
      </w:r>
      <w:r w:rsidRPr="004E59FA">
        <w:rPr>
          <w:rFonts w:asciiTheme="minorHAnsi" w:hAnsiTheme="minorHAnsi"/>
          <w:i/>
          <w:color w:val="000000" w:themeColor="text1"/>
          <w:sz w:val="22"/>
          <w:szCs w:val="22"/>
        </w:rPr>
        <w:tab/>
      </w:r>
      <w:r>
        <w:rPr>
          <w:rFonts w:asciiTheme="minorHAnsi" w:hAnsiTheme="minorHAnsi"/>
          <w:i/>
          <w:color w:val="000000" w:themeColor="text1"/>
          <w:sz w:val="22"/>
          <w:szCs w:val="22"/>
        </w:rPr>
        <w:t xml:space="preserve">  202%      197</w:t>
      </w:r>
      <w:r w:rsidRPr="004E59FA">
        <w:rPr>
          <w:rFonts w:asciiTheme="minorHAnsi" w:hAnsiTheme="minorHAnsi"/>
          <w:i/>
          <w:color w:val="000000" w:themeColor="text1"/>
          <w:sz w:val="22"/>
          <w:szCs w:val="22"/>
        </w:rPr>
        <w:t>%</w:t>
      </w:r>
    </w:p>
    <w:p w14:paraId="30201106" w14:textId="1203717C" w:rsidR="00232217" w:rsidRDefault="00232217" w:rsidP="00232217">
      <w:pPr>
        <w:pStyle w:val="BodyText"/>
        <w:rPr>
          <w:rFonts w:asciiTheme="minorHAnsi" w:hAnsiTheme="minorHAnsi"/>
          <w:bCs/>
          <w:iCs/>
          <w:color w:val="000000" w:themeColor="text1"/>
        </w:rPr>
      </w:pPr>
    </w:p>
    <w:p w14:paraId="71452EE3" w14:textId="3D1229D5" w:rsidR="00A62081" w:rsidRDefault="00A62081" w:rsidP="00616C5B">
      <w:pPr>
        <w:pStyle w:val="BodyText"/>
        <w:rPr>
          <w:rFonts w:asciiTheme="minorHAnsi" w:hAnsiTheme="minorHAnsi"/>
          <w:b/>
          <w:iCs/>
          <w:color w:val="000000" w:themeColor="text1"/>
        </w:rPr>
      </w:pPr>
      <w:r w:rsidRPr="00A62081">
        <w:rPr>
          <w:rFonts w:asciiTheme="minorHAnsi" w:hAnsiTheme="minorHAnsi"/>
          <w:bCs/>
          <w:iCs/>
          <w:color w:val="000000" w:themeColor="text1"/>
          <w:u w:val="single"/>
        </w:rPr>
        <w:t>GCC Summary and Strategic Branded Risk</w:t>
      </w:r>
      <w:r>
        <w:rPr>
          <w:rFonts w:asciiTheme="minorHAnsi" w:hAnsiTheme="minorHAnsi"/>
          <w:bCs/>
          <w:iCs/>
          <w:color w:val="000000" w:themeColor="text1"/>
          <w:u w:val="single"/>
        </w:rPr>
        <w:t xml:space="preserve"> Documentation</w:t>
      </w:r>
      <w:r w:rsidRPr="00A62081">
        <w:rPr>
          <w:rFonts w:asciiTheme="minorHAnsi" w:hAnsiTheme="minorHAnsi"/>
          <w:bCs/>
          <w:iCs/>
          <w:color w:val="000000" w:themeColor="text1"/>
          <w:u w:val="single"/>
        </w:rPr>
        <w:t>:</w:t>
      </w:r>
      <w:r>
        <w:rPr>
          <w:rFonts w:asciiTheme="minorHAnsi" w:hAnsiTheme="minorHAnsi"/>
          <w:b/>
          <w:iCs/>
          <w:color w:val="000000" w:themeColor="text1"/>
        </w:rPr>
        <w:t xml:space="preserve"> </w:t>
      </w:r>
    </w:p>
    <w:p w14:paraId="1A207267" w14:textId="06A1D829" w:rsidR="00616C5B" w:rsidRDefault="00616C5B" w:rsidP="00616C5B">
      <w:pPr>
        <w:pStyle w:val="BodyText"/>
        <w:rPr>
          <w:rFonts w:asciiTheme="minorHAnsi" w:hAnsiTheme="minorHAnsi"/>
          <w:bCs/>
          <w:iCs/>
          <w:color w:val="000000" w:themeColor="text1"/>
        </w:rPr>
      </w:pPr>
      <w:r w:rsidRPr="00A62081">
        <w:rPr>
          <w:rFonts w:asciiTheme="minorHAnsi" w:hAnsiTheme="minorHAnsi"/>
          <w:bCs/>
          <w:iCs/>
          <w:color w:val="000000" w:themeColor="text1"/>
        </w:rPr>
        <w:t>The above information documented in</w:t>
      </w:r>
      <w:r w:rsidR="005855B8" w:rsidRPr="00A62081">
        <w:rPr>
          <w:rFonts w:asciiTheme="minorHAnsi" w:hAnsiTheme="minorHAnsi"/>
          <w:bCs/>
          <w:iCs/>
          <w:color w:val="000000" w:themeColor="text1"/>
        </w:rPr>
        <w:t xml:space="preserve"> a summary section of the GPS </w:t>
      </w:r>
      <w:r w:rsidR="005853EC">
        <w:rPr>
          <w:rFonts w:asciiTheme="minorHAnsi" w:hAnsiTheme="minorHAnsi"/>
          <w:bCs/>
          <w:iCs/>
          <w:color w:val="000000" w:themeColor="text1"/>
        </w:rPr>
        <w:t>a</w:t>
      </w:r>
      <w:r w:rsidR="005855B8" w:rsidRPr="00A62081">
        <w:rPr>
          <w:rFonts w:asciiTheme="minorHAnsi" w:hAnsiTheme="minorHAnsi"/>
          <w:bCs/>
          <w:iCs/>
          <w:color w:val="000000" w:themeColor="text1"/>
        </w:rPr>
        <w:t>nd in</w:t>
      </w:r>
      <w:r w:rsidRPr="00A62081">
        <w:rPr>
          <w:rFonts w:asciiTheme="minorHAnsi" w:hAnsiTheme="minorHAnsi"/>
          <w:bCs/>
          <w:iCs/>
          <w:color w:val="000000" w:themeColor="text1"/>
        </w:rPr>
        <w:t xml:space="preserve">to the </w:t>
      </w:r>
      <w:r w:rsidR="008D714D">
        <w:rPr>
          <w:rFonts w:asciiTheme="minorHAnsi" w:hAnsiTheme="minorHAnsi"/>
          <w:bCs/>
          <w:iCs/>
          <w:color w:val="000000" w:themeColor="text1"/>
        </w:rPr>
        <w:t>s</w:t>
      </w:r>
      <w:r w:rsidRPr="00A62081">
        <w:rPr>
          <w:rFonts w:asciiTheme="minorHAnsi" w:hAnsiTheme="minorHAnsi"/>
          <w:bCs/>
          <w:iCs/>
          <w:color w:val="000000" w:themeColor="text1"/>
        </w:rPr>
        <w:t xml:space="preserve">trategic </w:t>
      </w:r>
      <w:r w:rsidR="005855B8" w:rsidRPr="00A62081">
        <w:rPr>
          <w:rFonts w:asciiTheme="minorHAnsi" w:hAnsiTheme="minorHAnsi"/>
          <w:bCs/>
          <w:iCs/>
          <w:color w:val="000000" w:themeColor="text1"/>
        </w:rPr>
        <w:t>branded risk</w:t>
      </w:r>
      <w:r w:rsidRPr="00A62081">
        <w:rPr>
          <w:rFonts w:asciiTheme="minorHAnsi" w:hAnsiTheme="minorHAnsi"/>
          <w:bCs/>
          <w:iCs/>
          <w:color w:val="000000" w:themeColor="text1"/>
        </w:rPr>
        <w:t xml:space="preserve"> </w:t>
      </w:r>
      <w:r w:rsidR="008D714D">
        <w:rPr>
          <w:rFonts w:asciiTheme="minorHAnsi" w:hAnsiTheme="minorHAnsi"/>
          <w:bCs/>
          <w:iCs/>
          <w:color w:val="000000" w:themeColor="text1"/>
        </w:rPr>
        <w:t xml:space="preserve">classification </w:t>
      </w:r>
      <w:r w:rsidRPr="00A62081">
        <w:rPr>
          <w:rFonts w:asciiTheme="minorHAnsi" w:hAnsiTheme="minorHAnsi"/>
          <w:bCs/>
          <w:iCs/>
          <w:color w:val="000000" w:themeColor="text1"/>
        </w:rPr>
        <w:t>is expected to be the primary type of information that is always documented into the GPS</w:t>
      </w:r>
      <w:r w:rsidR="008D714D">
        <w:rPr>
          <w:rFonts w:asciiTheme="minorHAnsi" w:hAnsiTheme="minorHAnsi"/>
          <w:bCs/>
          <w:iCs/>
          <w:color w:val="000000" w:themeColor="text1"/>
        </w:rPr>
        <w:t>.</w:t>
      </w:r>
      <w:r w:rsidRPr="00A62081">
        <w:rPr>
          <w:rFonts w:asciiTheme="minorHAnsi" w:hAnsiTheme="minorHAnsi"/>
          <w:bCs/>
          <w:iCs/>
          <w:color w:val="000000" w:themeColor="text1"/>
        </w:rPr>
        <w:t xml:space="preserve"> </w:t>
      </w:r>
      <w:r w:rsidR="008D714D">
        <w:rPr>
          <w:rFonts w:asciiTheme="minorHAnsi" w:hAnsiTheme="minorHAnsi"/>
          <w:bCs/>
          <w:iCs/>
          <w:color w:val="000000" w:themeColor="text1"/>
        </w:rPr>
        <w:t>T</w:t>
      </w:r>
      <w:r w:rsidRPr="00A62081">
        <w:rPr>
          <w:rFonts w:asciiTheme="minorHAnsi" w:hAnsiTheme="minorHAnsi"/>
          <w:bCs/>
          <w:iCs/>
          <w:color w:val="000000" w:themeColor="text1"/>
        </w:rPr>
        <w:t>he GCC provide</w:t>
      </w:r>
      <w:r w:rsidR="008D714D">
        <w:rPr>
          <w:rFonts w:asciiTheme="minorHAnsi" w:hAnsiTheme="minorHAnsi"/>
          <w:bCs/>
          <w:iCs/>
          <w:color w:val="000000" w:themeColor="text1"/>
        </w:rPr>
        <w:t>s</w:t>
      </w:r>
      <w:r w:rsidRPr="00A62081">
        <w:rPr>
          <w:rFonts w:asciiTheme="minorHAnsi" w:hAnsiTheme="minorHAnsi"/>
          <w:bCs/>
          <w:iCs/>
          <w:color w:val="000000" w:themeColor="text1"/>
        </w:rPr>
        <w:t xml:space="preserve"> a capital measurement of the group and</w:t>
      </w:r>
      <w:r w:rsidR="006A796D">
        <w:rPr>
          <w:rFonts w:asciiTheme="minorHAnsi" w:hAnsiTheme="minorHAnsi"/>
          <w:bCs/>
          <w:iCs/>
          <w:color w:val="000000" w:themeColor="text1"/>
        </w:rPr>
        <w:t>,</w:t>
      </w:r>
      <w:r w:rsidRPr="00A62081">
        <w:rPr>
          <w:rFonts w:asciiTheme="minorHAnsi" w:hAnsiTheme="minorHAnsi"/>
          <w:bCs/>
          <w:iCs/>
          <w:color w:val="000000" w:themeColor="text1"/>
        </w:rPr>
        <w:t xml:space="preserve"> consistent with the branded risk categories, should be reported in the strategic risk section.</w:t>
      </w:r>
      <w:r>
        <w:rPr>
          <w:rFonts w:asciiTheme="minorHAnsi" w:hAnsiTheme="minorHAnsi"/>
          <w:bCs/>
          <w:iCs/>
          <w:color w:val="000000" w:themeColor="text1"/>
        </w:rPr>
        <w:t xml:space="preserve"> </w:t>
      </w:r>
      <w:r w:rsidR="00212708">
        <w:rPr>
          <w:rFonts w:asciiTheme="minorHAnsi" w:hAnsiTheme="minorHAnsi"/>
          <w:bCs/>
          <w:iCs/>
          <w:color w:val="000000" w:themeColor="text1"/>
        </w:rPr>
        <w:t>Similar to</w:t>
      </w:r>
      <w:r>
        <w:rPr>
          <w:rFonts w:asciiTheme="minorHAnsi" w:hAnsiTheme="minorHAnsi"/>
          <w:bCs/>
          <w:iCs/>
          <w:color w:val="000000" w:themeColor="text1"/>
        </w:rPr>
        <w:t xml:space="preserve"> how RBC for </w:t>
      </w:r>
      <w:r w:rsidR="008D714D">
        <w:rPr>
          <w:rFonts w:asciiTheme="minorHAnsi" w:hAnsiTheme="minorHAnsi"/>
          <w:bCs/>
          <w:iCs/>
          <w:color w:val="000000" w:themeColor="text1"/>
        </w:rPr>
        <w:t xml:space="preserve">an </w:t>
      </w:r>
      <w:r>
        <w:rPr>
          <w:rFonts w:asciiTheme="minorHAnsi" w:hAnsiTheme="minorHAnsi"/>
          <w:bCs/>
          <w:iCs/>
          <w:color w:val="000000" w:themeColor="text1"/>
        </w:rPr>
        <w:t xml:space="preserve">individual insurance company </w:t>
      </w:r>
      <w:r w:rsidR="008D714D">
        <w:rPr>
          <w:rFonts w:asciiTheme="minorHAnsi" w:hAnsiTheme="minorHAnsi"/>
          <w:bCs/>
          <w:iCs/>
          <w:color w:val="000000" w:themeColor="text1"/>
        </w:rPr>
        <w:t xml:space="preserve">entity </w:t>
      </w:r>
      <w:r>
        <w:rPr>
          <w:rFonts w:asciiTheme="minorHAnsi" w:hAnsiTheme="minorHAnsi"/>
          <w:bCs/>
          <w:iCs/>
          <w:color w:val="000000" w:themeColor="text1"/>
        </w:rPr>
        <w:t xml:space="preserve">is helpful in allowing the analyst to better </w:t>
      </w:r>
      <w:r w:rsidR="00067691">
        <w:rPr>
          <w:rFonts w:asciiTheme="minorHAnsi" w:hAnsiTheme="minorHAnsi"/>
          <w:bCs/>
          <w:iCs/>
          <w:color w:val="000000" w:themeColor="text1"/>
        </w:rPr>
        <w:t>understand</w:t>
      </w:r>
      <w:r>
        <w:rPr>
          <w:rFonts w:asciiTheme="minorHAnsi" w:hAnsiTheme="minorHAnsi"/>
          <w:bCs/>
          <w:iCs/>
          <w:color w:val="000000" w:themeColor="text1"/>
        </w:rPr>
        <w:t xml:space="preserve"> other potential issues given capital represents a relative measure of cushion</w:t>
      </w:r>
      <w:r w:rsidR="001453E9">
        <w:rPr>
          <w:rFonts w:asciiTheme="minorHAnsi" w:hAnsiTheme="minorHAnsi"/>
          <w:bCs/>
          <w:iCs/>
          <w:color w:val="000000" w:themeColor="text1"/>
        </w:rPr>
        <w:t xml:space="preserve"> for adverse risks</w:t>
      </w:r>
      <w:r>
        <w:rPr>
          <w:rFonts w:asciiTheme="minorHAnsi" w:hAnsiTheme="minorHAnsi"/>
          <w:bCs/>
          <w:iCs/>
          <w:color w:val="000000" w:themeColor="text1"/>
        </w:rPr>
        <w:t>, the GCC and inclusion herein helps regulators to understand the same</w:t>
      </w:r>
      <w:r w:rsidR="006A796D">
        <w:rPr>
          <w:rFonts w:asciiTheme="minorHAnsi" w:hAnsiTheme="minorHAnsi"/>
          <w:bCs/>
          <w:iCs/>
          <w:color w:val="000000" w:themeColor="text1"/>
        </w:rPr>
        <w:t>,</w:t>
      </w:r>
      <w:r>
        <w:rPr>
          <w:rFonts w:asciiTheme="minorHAnsi" w:hAnsiTheme="minorHAnsi"/>
          <w:bCs/>
          <w:iCs/>
          <w:color w:val="000000" w:themeColor="text1"/>
        </w:rPr>
        <w:t xml:space="preserve"> relative to a group. </w:t>
      </w:r>
      <w:r w:rsidR="001453E9">
        <w:rPr>
          <w:rFonts w:asciiTheme="minorHAnsi" w:hAnsiTheme="minorHAnsi"/>
          <w:bCs/>
          <w:iCs/>
          <w:color w:val="000000" w:themeColor="text1"/>
        </w:rPr>
        <w:t xml:space="preserve">While the GCC is not a capital requirement, with specified ladders of intervention, each of the insurance legal entity figures are relative to individual company requirements, and therefore the GCC can provide a relative measure of </w:t>
      </w:r>
      <w:r w:rsidR="006A796D">
        <w:rPr>
          <w:rFonts w:asciiTheme="minorHAnsi" w:hAnsiTheme="minorHAnsi"/>
          <w:bCs/>
          <w:iCs/>
          <w:color w:val="000000" w:themeColor="text1"/>
        </w:rPr>
        <w:t xml:space="preserve">risks </w:t>
      </w:r>
      <w:r w:rsidR="001453E9">
        <w:rPr>
          <w:rFonts w:asciiTheme="minorHAnsi" w:hAnsiTheme="minorHAnsi"/>
          <w:bCs/>
          <w:iCs/>
          <w:color w:val="000000" w:themeColor="text1"/>
        </w:rPr>
        <w:t>against such minimum capital levels of the insurers.</w:t>
      </w:r>
    </w:p>
    <w:p w14:paraId="292561AA" w14:textId="77777777" w:rsidR="00616C5B" w:rsidRDefault="00616C5B" w:rsidP="00232217">
      <w:pPr>
        <w:pStyle w:val="BodyText"/>
        <w:rPr>
          <w:rFonts w:asciiTheme="minorHAnsi" w:hAnsiTheme="minorHAnsi"/>
          <w:bCs/>
          <w:iCs/>
          <w:color w:val="000000" w:themeColor="text1"/>
        </w:rPr>
      </w:pPr>
    </w:p>
    <w:p w14:paraId="4A7BBF78" w14:textId="77777777" w:rsidR="00A62081" w:rsidRDefault="00A62081" w:rsidP="004E3CE5">
      <w:pPr>
        <w:pStyle w:val="BodyText"/>
        <w:rPr>
          <w:rFonts w:asciiTheme="minorHAnsi" w:hAnsiTheme="minorHAnsi"/>
          <w:bCs/>
          <w:iCs/>
          <w:color w:val="000000" w:themeColor="text1"/>
          <w:u w:val="single"/>
        </w:rPr>
      </w:pPr>
      <w:r w:rsidRPr="00A62081">
        <w:rPr>
          <w:rFonts w:asciiTheme="minorHAnsi" w:hAnsiTheme="minorHAnsi"/>
          <w:bCs/>
          <w:iCs/>
          <w:color w:val="000000" w:themeColor="text1"/>
          <w:u w:val="single"/>
        </w:rPr>
        <w:t>Other Branded Risk Documentation:</w:t>
      </w:r>
    </w:p>
    <w:p w14:paraId="03AE5764" w14:textId="3B69097D" w:rsidR="004E3CE5" w:rsidRDefault="004E3CE5" w:rsidP="004E3CE5">
      <w:pPr>
        <w:pStyle w:val="BodyText"/>
        <w:rPr>
          <w:rFonts w:asciiTheme="minorHAnsi" w:hAnsiTheme="minorHAnsi"/>
          <w:bCs/>
          <w:iCs/>
          <w:color w:val="000000" w:themeColor="text1"/>
        </w:rPr>
      </w:pPr>
      <w:r>
        <w:rPr>
          <w:rFonts w:asciiTheme="minorHAnsi" w:hAnsiTheme="minorHAnsi"/>
          <w:bCs/>
          <w:iCs/>
          <w:color w:val="000000" w:themeColor="text1"/>
        </w:rPr>
        <w:t xml:space="preserve">To the extent the ratio </w:t>
      </w:r>
      <w:r w:rsidR="00BF539D">
        <w:rPr>
          <w:rFonts w:asciiTheme="minorHAnsi" w:hAnsiTheme="minorHAnsi"/>
          <w:bCs/>
          <w:iCs/>
          <w:color w:val="000000" w:themeColor="text1"/>
        </w:rPr>
        <w:t>is</w:t>
      </w:r>
      <w:r>
        <w:rPr>
          <w:rFonts w:asciiTheme="minorHAnsi" w:hAnsiTheme="minorHAnsi"/>
          <w:bCs/>
          <w:iCs/>
          <w:color w:val="000000" w:themeColor="text1"/>
        </w:rPr>
        <w:t xml:space="preserve"> trending negatively, or available capital was decreasing, the analyst may choose to include more information in the strategic </w:t>
      </w:r>
      <w:r w:rsidR="00BF539D">
        <w:rPr>
          <w:rFonts w:asciiTheme="minorHAnsi" w:hAnsiTheme="minorHAnsi"/>
          <w:bCs/>
          <w:iCs/>
          <w:color w:val="000000" w:themeColor="text1"/>
        </w:rPr>
        <w:t xml:space="preserve">branded risk </w:t>
      </w:r>
      <w:r>
        <w:rPr>
          <w:rFonts w:asciiTheme="minorHAnsi" w:hAnsiTheme="minorHAnsi"/>
          <w:bCs/>
          <w:iCs/>
          <w:color w:val="000000" w:themeColor="text1"/>
        </w:rPr>
        <w:t xml:space="preserve">section of the GPS that summarizes any key drivers of such </w:t>
      </w:r>
      <w:r w:rsidR="00BF539D">
        <w:rPr>
          <w:rFonts w:asciiTheme="minorHAnsi" w:hAnsiTheme="minorHAnsi"/>
          <w:bCs/>
          <w:iCs/>
          <w:color w:val="000000" w:themeColor="text1"/>
        </w:rPr>
        <w:t xml:space="preserve">findings </w:t>
      </w:r>
      <w:r>
        <w:rPr>
          <w:rFonts w:asciiTheme="minorHAnsi" w:hAnsiTheme="minorHAnsi"/>
          <w:bCs/>
          <w:iCs/>
          <w:color w:val="000000" w:themeColor="text1"/>
        </w:rPr>
        <w:t xml:space="preserve">if they did not fall into one of the branded risk categories. Those drivers of the change would likely be documented in other specific branded risk categories, </w:t>
      </w:r>
      <w:r w:rsidR="005853EC">
        <w:rPr>
          <w:rFonts w:asciiTheme="minorHAnsi" w:hAnsiTheme="minorHAnsi"/>
          <w:bCs/>
          <w:iCs/>
          <w:color w:val="000000" w:themeColor="text1"/>
        </w:rPr>
        <w:t xml:space="preserve">for example </w:t>
      </w:r>
      <w:r>
        <w:rPr>
          <w:rFonts w:asciiTheme="minorHAnsi" w:hAnsiTheme="minorHAnsi"/>
          <w:bCs/>
          <w:iCs/>
          <w:color w:val="000000" w:themeColor="text1"/>
        </w:rPr>
        <w:t xml:space="preserve">Pricing/Underwriting if driven by </w:t>
      </w:r>
      <w:r w:rsidR="006A796D">
        <w:rPr>
          <w:rFonts w:asciiTheme="minorHAnsi" w:hAnsiTheme="minorHAnsi"/>
          <w:bCs/>
          <w:iCs/>
          <w:color w:val="000000" w:themeColor="text1"/>
        </w:rPr>
        <w:t xml:space="preserve">group-wide </w:t>
      </w:r>
      <w:r>
        <w:rPr>
          <w:rFonts w:asciiTheme="minorHAnsi" w:hAnsiTheme="minorHAnsi"/>
          <w:bCs/>
          <w:iCs/>
          <w:color w:val="000000" w:themeColor="text1"/>
        </w:rPr>
        <w:t xml:space="preserve">weak insurance underwriting, or </w:t>
      </w:r>
      <w:r w:rsidR="00966A3B">
        <w:rPr>
          <w:rFonts w:asciiTheme="minorHAnsi" w:hAnsiTheme="minorHAnsi"/>
          <w:bCs/>
          <w:iCs/>
          <w:color w:val="000000" w:themeColor="text1"/>
        </w:rPr>
        <w:t>reserving</w:t>
      </w:r>
      <w:r>
        <w:rPr>
          <w:rFonts w:asciiTheme="minorHAnsi" w:hAnsiTheme="minorHAnsi"/>
          <w:bCs/>
          <w:iCs/>
          <w:color w:val="000000" w:themeColor="text1"/>
        </w:rPr>
        <w:t xml:space="preserve"> if the </w:t>
      </w:r>
      <w:r w:rsidR="006A796D">
        <w:rPr>
          <w:rFonts w:asciiTheme="minorHAnsi" w:hAnsiTheme="minorHAnsi"/>
          <w:bCs/>
          <w:iCs/>
          <w:color w:val="000000" w:themeColor="text1"/>
        </w:rPr>
        <w:t xml:space="preserve">group-wide </w:t>
      </w:r>
      <w:r>
        <w:rPr>
          <w:rFonts w:asciiTheme="minorHAnsi" w:hAnsiTheme="minorHAnsi"/>
          <w:bCs/>
          <w:iCs/>
          <w:color w:val="000000" w:themeColor="text1"/>
        </w:rPr>
        <w:t xml:space="preserve">drivers were reserve deficiencies, etc. </w:t>
      </w:r>
      <w:r w:rsidR="005853EC">
        <w:rPr>
          <w:rFonts w:asciiTheme="minorHAnsi" w:hAnsiTheme="minorHAnsi"/>
          <w:bCs/>
          <w:iCs/>
          <w:color w:val="000000" w:themeColor="text1"/>
        </w:rPr>
        <w:t>R</w:t>
      </w:r>
      <w:r>
        <w:rPr>
          <w:rFonts w:asciiTheme="minorHAnsi" w:hAnsiTheme="minorHAnsi"/>
          <w:bCs/>
          <w:iCs/>
          <w:color w:val="000000" w:themeColor="text1"/>
        </w:rPr>
        <w:t xml:space="preserve">eferences to other branded risk categories may also be appropriate. </w:t>
      </w:r>
      <w:r w:rsidR="00CB6203">
        <w:rPr>
          <w:rFonts w:asciiTheme="minorHAnsi" w:hAnsiTheme="minorHAnsi"/>
          <w:bCs/>
          <w:iCs/>
          <w:color w:val="000000" w:themeColor="text1"/>
        </w:rPr>
        <w:t>However, this may not always occur or be possible for the analyst to pinpoint given the multitude of risks within any insurer</w:t>
      </w:r>
      <w:r w:rsidR="00BF539D">
        <w:rPr>
          <w:rFonts w:asciiTheme="minorHAnsi" w:hAnsiTheme="minorHAnsi"/>
          <w:bCs/>
          <w:iCs/>
          <w:color w:val="000000" w:themeColor="text1"/>
        </w:rPr>
        <w:t>’</w:t>
      </w:r>
      <w:r w:rsidR="00CB6203">
        <w:rPr>
          <w:rFonts w:asciiTheme="minorHAnsi" w:hAnsiTheme="minorHAnsi"/>
          <w:bCs/>
          <w:iCs/>
          <w:color w:val="000000" w:themeColor="text1"/>
        </w:rPr>
        <w:t xml:space="preserve">s regulatory capital requirement formulas. </w:t>
      </w:r>
      <w:r w:rsidR="00A42A32">
        <w:rPr>
          <w:rFonts w:asciiTheme="minorHAnsi" w:hAnsiTheme="minorHAnsi"/>
          <w:bCs/>
          <w:iCs/>
          <w:color w:val="000000" w:themeColor="text1"/>
        </w:rPr>
        <w:t xml:space="preserve">This guidance is simply meant to suggest that if the GCC does in fact appear to show </w:t>
      </w:r>
      <w:r w:rsidR="00A42A32">
        <w:rPr>
          <w:rFonts w:asciiTheme="minorHAnsi" w:hAnsiTheme="minorHAnsi"/>
          <w:bCs/>
          <w:iCs/>
          <w:color w:val="000000" w:themeColor="text1"/>
        </w:rPr>
        <w:lastRenderedPageBreak/>
        <w:t xml:space="preserve">particular trends that are noteworthy on specific risks , further documentation into </w:t>
      </w:r>
      <w:r w:rsidR="007E5742">
        <w:rPr>
          <w:rFonts w:asciiTheme="minorHAnsi" w:hAnsiTheme="minorHAnsi"/>
          <w:bCs/>
          <w:iCs/>
          <w:color w:val="000000" w:themeColor="text1"/>
        </w:rPr>
        <w:t>that (</w:t>
      </w:r>
      <w:r w:rsidR="00A42A32">
        <w:rPr>
          <w:rFonts w:asciiTheme="minorHAnsi" w:hAnsiTheme="minorHAnsi"/>
          <w:bCs/>
          <w:iCs/>
          <w:color w:val="000000" w:themeColor="text1"/>
        </w:rPr>
        <w:t>applicable</w:t>
      </w:r>
      <w:r w:rsidR="007E5742">
        <w:rPr>
          <w:rFonts w:asciiTheme="minorHAnsi" w:hAnsiTheme="minorHAnsi"/>
          <w:bCs/>
          <w:iCs/>
          <w:color w:val="000000" w:themeColor="text1"/>
        </w:rPr>
        <w:t>)</w:t>
      </w:r>
      <w:r w:rsidR="00A42A32">
        <w:rPr>
          <w:rFonts w:asciiTheme="minorHAnsi" w:hAnsiTheme="minorHAnsi"/>
          <w:bCs/>
          <w:iCs/>
          <w:color w:val="000000" w:themeColor="text1"/>
        </w:rPr>
        <w:t xml:space="preserve"> branded risk may be appropriate.</w:t>
      </w:r>
    </w:p>
    <w:p w14:paraId="525B37C5" w14:textId="77777777" w:rsidR="004E3CE5" w:rsidRDefault="004E3CE5" w:rsidP="004E3CE5">
      <w:pPr>
        <w:pStyle w:val="BodyText"/>
        <w:rPr>
          <w:rFonts w:asciiTheme="minorHAnsi" w:hAnsiTheme="minorHAnsi"/>
          <w:bCs/>
          <w:iCs/>
          <w:color w:val="000000" w:themeColor="text1"/>
        </w:rPr>
      </w:pPr>
    </w:p>
    <w:p w14:paraId="29CA4289" w14:textId="4E3AEAD8" w:rsidR="00A62081" w:rsidRDefault="004E3CE5" w:rsidP="004E3CE5">
      <w:pPr>
        <w:pStyle w:val="BodyText"/>
        <w:rPr>
          <w:rFonts w:asciiTheme="minorHAnsi" w:hAnsiTheme="minorHAnsi"/>
          <w:bCs/>
          <w:iCs/>
          <w:color w:val="000000" w:themeColor="text1"/>
        </w:rPr>
      </w:pPr>
      <w:r w:rsidRPr="004A0051">
        <w:rPr>
          <w:rFonts w:asciiTheme="minorHAnsi" w:hAnsiTheme="minorHAnsi"/>
          <w:bCs/>
          <w:iCs/>
          <w:color w:val="000000" w:themeColor="text1"/>
        </w:rPr>
        <w:t xml:space="preserve">A determination for when documentation of risks from the GCC into other branded risk categories may be appropriate is driven by both the question of whether any of the thresholds in Procedures 1 were met, and the  rest of the GCC information as described in Procedures 2-4. </w:t>
      </w:r>
      <w:r w:rsidR="005853EC" w:rsidRPr="004A0051">
        <w:rPr>
          <w:rFonts w:asciiTheme="minorHAnsi" w:hAnsiTheme="minorHAnsi"/>
          <w:bCs/>
          <w:iCs/>
          <w:color w:val="000000" w:themeColor="text1"/>
          <w:shd w:val="clear" w:color="auto" w:fill="FFFFFF" w:themeFill="background1"/>
        </w:rPr>
        <w:t>T</w:t>
      </w:r>
      <w:r w:rsidR="00E36E73" w:rsidRPr="004A0051">
        <w:rPr>
          <w:rFonts w:asciiTheme="minorHAnsi" w:hAnsiTheme="minorHAnsi"/>
          <w:bCs/>
          <w:iCs/>
          <w:color w:val="000000" w:themeColor="text1"/>
          <w:shd w:val="clear" w:color="auto" w:fill="FFFFFF" w:themeFill="background1"/>
        </w:rPr>
        <w:t>he GCC Summary is intended to be high-level,</w:t>
      </w:r>
      <w:r w:rsidRPr="004A0051">
        <w:rPr>
          <w:rFonts w:asciiTheme="minorHAnsi" w:hAnsiTheme="minorHAnsi"/>
          <w:bCs/>
          <w:iCs/>
          <w:color w:val="000000" w:themeColor="text1"/>
          <w:shd w:val="clear" w:color="auto" w:fill="FFFFFF" w:themeFill="background1"/>
        </w:rPr>
        <w:t xml:space="preserve"> </w:t>
      </w:r>
      <w:r w:rsidR="00E36E73" w:rsidRPr="004A0051">
        <w:rPr>
          <w:rFonts w:asciiTheme="minorHAnsi" w:hAnsiTheme="minorHAnsi"/>
          <w:bCs/>
          <w:iCs/>
          <w:color w:val="000000" w:themeColor="text1"/>
          <w:shd w:val="clear" w:color="auto" w:fill="FFFFFF" w:themeFill="background1"/>
        </w:rPr>
        <w:t>therefore</w:t>
      </w:r>
      <w:r w:rsidR="00E36E73" w:rsidRPr="004A0051">
        <w:rPr>
          <w:rFonts w:asciiTheme="minorHAnsi" w:hAnsiTheme="minorHAnsi"/>
          <w:bCs/>
          <w:iCs/>
          <w:color w:val="000000" w:themeColor="text1"/>
        </w:rPr>
        <w:t xml:space="preserve"> </w:t>
      </w:r>
      <w:r w:rsidRPr="004A0051">
        <w:rPr>
          <w:rFonts w:asciiTheme="minorHAnsi" w:hAnsiTheme="minorHAnsi"/>
          <w:bCs/>
          <w:iCs/>
          <w:color w:val="000000" w:themeColor="text1"/>
        </w:rPr>
        <w:t xml:space="preserve">other more detailed observations from reviewing the GCC should generally not be documented into the GPS unless they are </w:t>
      </w:r>
      <w:r w:rsidR="00212708">
        <w:rPr>
          <w:rFonts w:asciiTheme="minorHAnsi" w:hAnsiTheme="minorHAnsi"/>
          <w:bCs/>
          <w:iCs/>
          <w:color w:val="000000" w:themeColor="text1"/>
        </w:rPr>
        <w:t>specifically insightful</w:t>
      </w:r>
      <w:r w:rsidR="00E36E73" w:rsidRPr="004A0051">
        <w:rPr>
          <w:rFonts w:asciiTheme="minorHAnsi" w:hAnsiTheme="minorHAnsi"/>
          <w:bCs/>
          <w:iCs/>
          <w:color w:val="000000" w:themeColor="text1"/>
        </w:rPr>
        <w:t>,</w:t>
      </w:r>
      <w:r w:rsidRPr="004A0051">
        <w:rPr>
          <w:rFonts w:asciiTheme="minorHAnsi" w:hAnsiTheme="minorHAnsi"/>
          <w:bCs/>
          <w:iCs/>
          <w:color w:val="000000" w:themeColor="text1"/>
        </w:rPr>
        <w:t xml:space="preserve"> add to a high-level understanding of the group’s financial condition</w:t>
      </w:r>
      <w:r w:rsidR="005855B8" w:rsidRPr="004A0051">
        <w:rPr>
          <w:rFonts w:asciiTheme="minorHAnsi" w:hAnsiTheme="minorHAnsi"/>
          <w:bCs/>
          <w:iCs/>
          <w:color w:val="000000" w:themeColor="text1"/>
        </w:rPr>
        <w:t xml:space="preserve">, </w:t>
      </w:r>
      <w:r w:rsidR="00E36E73" w:rsidRPr="004A0051">
        <w:rPr>
          <w:rFonts w:asciiTheme="minorHAnsi" w:hAnsiTheme="minorHAnsi"/>
          <w:bCs/>
          <w:iCs/>
          <w:color w:val="000000" w:themeColor="text1"/>
        </w:rPr>
        <w:t>or are specific to a branded risk category as stated</w:t>
      </w:r>
      <w:r w:rsidRPr="004A0051">
        <w:rPr>
          <w:rFonts w:asciiTheme="minorHAnsi" w:hAnsiTheme="minorHAnsi"/>
          <w:bCs/>
          <w:iCs/>
          <w:color w:val="000000" w:themeColor="text1"/>
        </w:rPr>
        <w:t>.</w:t>
      </w:r>
    </w:p>
    <w:p w14:paraId="4B3AE0F5" w14:textId="5358933F" w:rsidR="00A62081" w:rsidRDefault="00A62081" w:rsidP="004E3CE5">
      <w:pPr>
        <w:pStyle w:val="BodyText"/>
        <w:rPr>
          <w:rFonts w:asciiTheme="minorHAnsi" w:hAnsiTheme="minorHAnsi"/>
          <w:bCs/>
          <w:iCs/>
          <w:color w:val="000000" w:themeColor="text1"/>
        </w:rPr>
      </w:pPr>
    </w:p>
    <w:p w14:paraId="42792CD3" w14:textId="009D0C99" w:rsidR="00802F37" w:rsidRDefault="00802F37" w:rsidP="00802F37">
      <w:pPr>
        <w:pStyle w:val="BodyText"/>
        <w:rPr>
          <w:rFonts w:asciiTheme="minorHAnsi" w:hAnsiTheme="minorHAnsi"/>
          <w:bCs/>
          <w:iCs/>
          <w:color w:val="000000" w:themeColor="text1"/>
          <w:u w:val="single"/>
        </w:rPr>
      </w:pPr>
      <w:r w:rsidRPr="00A62081">
        <w:rPr>
          <w:rFonts w:asciiTheme="minorHAnsi" w:hAnsiTheme="minorHAnsi"/>
          <w:bCs/>
          <w:iCs/>
          <w:color w:val="000000" w:themeColor="text1"/>
          <w:u w:val="single"/>
        </w:rPr>
        <w:t xml:space="preserve">Other </w:t>
      </w:r>
      <w:r>
        <w:rPr>
          <w:rFonts w:asciiTheme="minorHAnsi" w:hAnsiTheme="minorHAnsi"/>
          <w:bCs/>
          <w:iCs/>
          <w:color w:val="000000" w:themeColor="text1"/>
          <w:u w:val="single"/>
        </w:rPr>
        <w:t>Considerations</w:t>
      </w:r>
      <w:r w:rsidRPr="00A62081">
        <w:rPr>
          <w:rFonts w:asciiTheme="minorHAnsi" w:hAnsiTheme="minorHAnsi"/>
          <w:bCs/>
          <w:iCs/>
          <w:color w:val="000000" w:themeColor="text1"/>
          <w:u w:val="single"/>
        </w:rPr>
        <w:t>:</w:t>
      </w:r>
    </w:p>
    <w:p w14:paraId="0815CC8E" w14:textId="33694865" w:rsidR="00802F37" w:rsidRDefault="00802F37" w:rsidP="004E3CE5">
      <w:pPr>
        <w:pStyle w:val="BodyText"/>
        <w:rPr>
          <w:rFonts w:asciiTheme="minorHAnsi" w:hAnsiTheme="minorHAnsi"/>
          <w:bCs/>
          <w:iCs/>
          <w:color w:val="000000" w:themeColor="text1"/>
        </w:rPr>
      </w:pPr>
      <w:r>
        <w:rPr>
          <w:rFonts w:asciiTheme="minorHAnsi" w:hAnsiTheme="minorHAnsi"/>
          <w:bCs/>
          <w:iCs/>
          <w:color w:val="000000" w:themeColor="text1"/>
        </w:rPr>
        <w:t xml:space="preserve">In addition to the broad guidance provided herein on the documentation of </w:t>
      </w:r>
      <w:r w:rsidR="00D27476">
        <w:rPr>
          <w:rFonts w:asciiTheme="minorHAnsi" w:hAnsiTheme="minorHAnsi"/>
          <w:bCs/>
          <w:iCs/>
          <w:color w:val="000000" w:themeColor="text1"/>
        </w:rPr>
        <w:t>the GCC into the GPS, the analyst should also understand the following more general points that could impact the GCC result for a particular group</w:t>
      </w:r>
      <w:r w:rsidR="006A796D">
        <w:rPr>
          <w:rFonts w:asciiTheme="minorHAnsi" w:hAnsiTheme="minorHAnsi"/>
          <w:bCs/>
          <w:iCs/>
          <w:color w:val="000000" w:themeColor="text1"/>
        </w:rPr>
        <w:t>.</w:t>
      </w:r>
      <w:r w:rsidR="00D27476">
        <w:rPr>
          <w:rFonts w:asciiTheme="minorHAnsi" w:hAnsiTheme="minorHAnsi"/>
          <w:bCs/>
          <w:iCs/>
          <w:color w:val="000000" w:themeColor="text1"/>
        </w:rPr>
        <w:t xml:space="preserve"> </w:t>
      </w:r>
      <w:r w:rsidR="006A796D">
        <w:rPr>
          <w:rFonts w:asciiTheme="minorHAnsi" w:hAnsiTheme="minorHAnsi"/>
          <w:bCs/>
          <w:iCs/>
          <w:color w:val="000000" w:themeColor="text1"/>
        </w:rPr>
        <w:t>J</w:t>
      </w:r>
      <w:r w:rsidR="00D27476">
        <w:rPr>
          <w:rFonts w:asciiTheme="minorHAnsi" w:hAnsiTheme="minorHAnsi"/>
          <w:bCs/>
          <w:iCs/>
          <w:color w:val="000000" w:themeColor="text1"/>
        </w:rPr>
        <w:t>udgement is required when considering these points:</w:t>
      </w:r>
    </w:p>
    <w:p w14:paraId="01FDC812" w14:textId="7FF10E9C" w:rsidR="00D27476" w:rsidRDefault="00D27476" w:rsidP="004E3CE5">
      <w:pPr>
        <w:pStyle w:val="BodyText"/>
        <w:rPr>
          <w:rFonts w:asciiTheme="minorHAnsi" w:hAnsiTheme="minorHAnsi"/>
          <w:bCs/>
          <w:iCs/>
          <w:color w:val="000000" w:themeColor="text1"/>
        </w:rPr>
      </w:pPr>
    </w:p>
    <w:p w14:paraId="742B9AA2" w14:textId="47463801" w:rsidR="00D27476" w:rsidRPr="00D27476"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D27476">
        <w:rPr>
          <w:rFonts w:ascii="CIDFont+F2" w:hAnsi="CIDFont+F2" w:cs="CIDFont+F2"/>
          <w:color w:val="000000"/>
        </w:rPr>
        <w:t>If the group has a significant amount of business in legal entities that are domiciled in jurisdictions whose capital regime is based on market-based valuations, the GCC will inherently be more volatile (as compared to a pure U.S.-based group for which RBC and statutory valuations are the norm).</w:t>
      </w:r>
    </w:p>
    <w:p w14:paraId="3F277875" w14:textId="2C8DAF3F" w:rsidR="00D27476" w:rsidRPr="00D27476"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D27476">
        <w:rPr>
          <w:rFonts w:ascii="CIDFont+F2" w:hAnsi="CIDFont+F2" w:cs="CIDFont+F2"/>
          <w:color w:val="000000"/>
        </w:rPr>
        <w:t>Similarly, a group may have legal entities that are solely based in jurisdictions that utilize a standard model for capital requirements or have entities in jurisdictions where the use of internal models has been approved. All else being equal, the manner in which capital measures quantify requirements and behave over time will differ to some extent between the two. Also, a change from a standard method to one based on internal models for a key subsidiary will likely produce a noticeable change in the GCC that is not reflective of changes in the entity’s</w:t>
      </w:r>
      <w:r>
        <w:rPr>
          <w:rFonts w:ascii="CIDFont+F2" w:hAnsi="CIDFont+F2" w:cs="CIDFont+F2"/>
          <w:color w:val="000000"/>
        </w:rPr>
        <w:t xml:space="preserve"> </w:t>
      </w:r>
      <w:r w:rsidRPr="00D27476">
        <w:rPr>
          <w:rFonts w:ascii="CIDFont+F2" w:hAnsi="CIDFont+F2" w:cs="CIDFont+F2"/>
          <w:color w:val="000000"/>
        </w:rPr>
        <w:t>underlying business.</w:t>
      </w:r>
    </w:p>
    <w:p w14:paraId="10A9C042" w14:textId="6BD8A353" w:rsidR="00967F41"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624A87">
        <w:rPr>
          <w:rFonts w:ascii="CIDFont+F2" w:hAnsi="CIDFont+F2" w:cs="CIDFont+F2"/>
          <w:color w:val="000000"/>
        </w:rPr>
        <w:t>The GCC provides a means for analysts to identify non-insurance operations outside of the</w:t>
      </w:r>
      <w:r w:rsidR="00624A87" w:rsidRPr="00624A87">
        <w:rPr>
          <w:rFonts w:ascii="CIDFont+F2" w:hAnsi="CIDFont+F2" w:cs="CIDFont+F2"/>
          <w:color w:val="000000"/>
        </w:rPr>
        <w:t xml:space="preserve"> </w:t>
      </w:r>
      <w:r w:rsidRPr="00624A87">
        <w:rPr>
          <w:rFonts w:ascii="CIDFont+F2" w:hAnsi="CIDFont+F2" w:cs="CIDFont+F2"/>
          <w:color w:val="000000"/>
        </w:rPr>
        <w:t>insurance group and to determine the extent of risk they may pose to the insures within the</w:t>
      </w:r>
      <w:r w:rsidR="00624A87" w:rsidRPr="00624A87">
        <w:rPr>
          <w:rFonts w:ascii="CIDFont+F2" w:hAnsi="CIDFont+F2" w:cs="CIDFont+F2"/>
          <w:color w:val="000000"/>
        </w:rPr>
        <w:t xml:space="preserve"> </w:t>
      </w:r>
      <w:r w:rsidRPr="00624A87">
        <w:rPr>
          <w:rFonts w:ascii="CIDFont+F2" w:hAnsi="CIDFont+F2" w:cs="CIDFont+F2"/>
          <w:color w:val="000000"/>
        </w:rPr>
        <w:t xml:space="preserve">group. However, in doing so, analysts should </w:t>
      </w:r>
      <w:r w:rsidR="00624A87">
        <w:rPr>
          <w:rFonts w:ascii="CIDFont+F2" w:hAnsi="CIDFont+F2" w:cs="CIDFont+F2"/>
          <w:color w:val="000000"/>
        </w:rPr>
        <w:t xml:space="preserve">understand that </w:t>
      </w:r>
      <w:r w:rsidRPr="00624A87">
        <w:rPr>
          <w:rFonts w:ascii="CIDFont+F2" w:hAnsi="CIDFont+F2" w:cs="CIDFont+F2"/>
          <w:color w:val="000000"/>
        </w:rPr>
        <w:t>findings from review of Forms B</w:t>
      </w:r>
      <w:r w:rsidR="00624A87">
        <w:rPr>
          <w:rFonts w:ascii="CIDFont+F2" w:hAnsi="CIDFont+F2" w:cs="CIDFont+F2"/>
          <w:color w:val="000000"/>
        </w:rPr>
        <w:t>, D and F might be equally valuable in these situations.</w:t>
      </w:r>
    </w:p>
    <w:p w14:paraId="0FAD9FE4" w14:textId="70FEA27B" w:rsidR="00D46F65" w:rsidRDefault="00967F41" w:rsidP="007E5742">
      <w:pPr>
        <w:pStyle w:val="ListParagraph"/>
        <w:numPr>
          <w:ilvl w:val="0"/>
          <w:numId w:val="10"/>
        </w:numPr>
        <w:autoSpaceDE w:val="0"/>
        <w:autoSpaceDN w:val="0"/>
        <w:adjustRightInd w:val="0"/>
        <w:jc w:val="both"/>
        <w:rPr>
          <w:rFonts w:ascii="CIDFont+F2" w:hAnsi="CIDFont+F2" w:cs="CIDFont+F2"/>
          <w:color w:val="000000"/>
        </w:rPr>
      </w:pPr>
      <w:r>
        <w:rPr>
          <w:rFonts w:ascii="CIDFont+F2" w:hAnsi="CIDFont+F2" w:cs="CIDFont+F2"/>
          <w:color w:val="000000"/>
        </w:rPr>
        <w:t xml:space="preserve">When </w:t>
      </w:r>
      <w:r w:rsidR="006A796D">
        <w:rPr>
          <w:rFonts w:ascii="CIDFont+F2" w:hAnsi="CIDFont+F2" w:cs="CIDFont+F2"/>
          <w:color w:val="000000"/>
        </w:rPr>
        <w:t>understanding</w:t>
      </w:r>
      <w:r>
        <w:rPr>
          <w:rFonts w:ascii="CIDFont+F2" w:hAnsi="CIDFont+F2" w:cs="CIDFont+F2"/>
          <w:color w:val="000000"/>
        </w:rPr>
        <w:t xml:space="preserve"> capital requirements for non-insurer financial entities that are not subject to regulatory capital requirements, consideration should be given to the appropriateness of </w:t>
      </w:r>
      <w:r w:rsidR="00D46F65">
        <w:rPr>
          <w:rFonts w:ascii="CIDFont+F2" w:hAnsi="CIDFont+F2" w:cs="CIDFont+F2"/>
          <w:color w:val="000000"/>
        </w:rPr>
        <w:t>the GCC’s capital</w:t>
      </w:r>
      <w:r>
        <w:rPr>
          <w:rFonts w:ascii="CIDFont+F2" w:hAnsi="CIDFont+F2" w:cs="CIDFont+F2"/>
          <w:color w:val="000000"/>
        </w:rPr>
        <w:t xml:space="preserve"> charge for a specific entit</w:t>
      </w:r>
      <w:r w:rsidR="00D46F65">
        <w:rPr>
          <w:rFonts w:ascii="CIDFont+F2" w:hAnsi="CIDFont+F2" w:cs="CIDFont+F2"/>
          <w:color w:val="000000"/>
        </w:rPr>
        <w:t xml:space="preserve">y’s </w:t>
      </w:r>
      <w:r>
        <w:rPr>
          <w:rFonts w:ascii="CIDFont+F2" w:hAnsi="CIDFont+F2" w:cs="CIDFont+F2"/>
          <w:color w:val="000000"/>
        </w:rPr>
        <w:t>financial operations (e.g.</w:t>
      </w:r>
      <w:r w:rsidR="008B07CA">
        <w:rPr>
          <w:rFonts w:ascii="CIDFont+F2" w:hAnsi="CIDFont+F2" w:cs="CIDFont+F2"/>
          <w:color w:val="000000"/>
        </w:rPr>
        <w:t>,</w:t>
      </w:r>
      <w:r>
        <w:rPr>
          <w:rFonts w:ascii="CIDFont+F2" w:hAnsi="CIDFont+F2" w:cs="CIDFont+F2"/>
          <w:color w:val="000000"/>
        </w:rPr>
        <w:t xml:space="preserve"> an entity </w:t>
      </w:r>
      <w:r w:rsidR="00D46F65">
        <w:rPr>
          <w:rFonts w:ascii="CIDFont+F2" w:hAnsi="CIDFont+F2" w:cs="CIDFont+F2"/>
          <w:color w:val="000000"/>
        </w:rPr>
        <w:t>conducting large volume or size of complex transactions but with little net revenue or equity).</w:t>
      </w:r>
    </w:p>
    <w:p w14:paraId="65C48A61" w14:textId="335DFF3F" w:rsidR="00D27476" w:rsidRPr="00624A87" w:rsidRDefault="00D46F65" w:rsidP="007E5742">
      <w:pPr>
        <w:pStyle w:val="ListParagraph"/>
        <w:numPr>
          <w:ilvl w:val="0"/>
          <w:numId w:val="10"/>
        </w:numPr>
        <w:autoSpaceDE w:val="0"/>
        <w:autoSpaceDN w:val="0"/>
        <w:adjustRightInd w:val="0"/>
        <w:jc w:val="both"/>
        <w:rPr>
          <w:rFonts w:ascii="CIDFont+F2" w:hAnsi="CIDFont+F2" w:cs="CIDFont+F2"/>
          <w:color w:val="000000"/>
        </w:rPr>
      </w:pPr>
      <w:r>
        <w:rPr>
          <w:rFonts w:ascii="CIDFont+F2" w:hAnsi="CIDFont+F2" w:cs="CIDFont+F2"/>
          <w:color w:val="000000"/>
        </w:rPr>
        <w:t xml:space="preserve">When </w:t>
      </w:r>
      <w:r w:rsidR="00892FF5">
        <w:rPr>
          <w:rFonts w:ascii="CIDFont+F2" w:hAnsi="CIDFont+F2" w:cs="CIDFont+F2"/>
          <w:color w:val="000000"/>
        </w:rPr>
        <w:t>understanding</w:t>
      </w:r>
      <w:r>
        <w:rPr>
          <w:rFonts w:ascii="CIDFont+F2" w:hAnsi="CIDFont+F2" w:cs="CIDFont+F2"/>
          <w:color w:val="000000"/>
        </w:rPr>
        <w:t xml:space="preserve"> capital requirements for non-insurer / non-financial entities</w:t>
      </w:r>
      <w:r w:rsidR="008B07CA">
        <w:rPr>
          <w:rFonts w:ascii="CIDFont+F2" w:hAnsi="CIDFont+F2" w:cs="CIDFont+F2"/>
          <w:color w:val="000000"/>
        </w:rPr>
        <w:t>,</w:t>
      </w:r>
      <w:r>
        <w:rPr>
          <w:rFonts w:ascii="CIDFont+F2" w:hAnsi="CIDFont+F2" w:cs="CIDFont+F2"/>
          <w:color w:val="000000"/>
        </w:rPr>
        <w:t xml:space="preserve"> consideration should be given to the appropriateness of the level of risk assigned to specific entities.</w:t>
      </w:r>
    </w:p>
    <w:p w14:paraId="02F46C0E" w14:textId="77777777" w:rsidR="00A62081" w:rsidRDefault="00A62081" w:rsidP="004E3CE5">
      <w:pPr>
        <w:pStyle w:val="BodyText"/>
        <w:rPr>
          <w:rFonts w:asciiTheme="minorHAnsi" w:hAnsiTheme="minorHAnsi"/>
          <w:bCs/>
          <w:iCs/>
          <w:color w:val="000000" w:themeColor="text1"/>
        </w:rPr>
      </w:pPr>
      <w:r w:rsidRPr="00A62081">
        <w:rPr>
          <w:rFonts w:asciiTheme="minorHAnsi" w:hAnsiTheme="minorHAnsi"/>
          <w:bCs/>
          <w:iCs/>
          <w:color w:val="000000" w:themeColor="text1"/>
          <w:u w:val="single"/>
        </w:rPr>
        <w:t>Detailed Observation Documentation:</w:t>
      </w:r>
      <w:r>
        <w:rPr>
          <w:rFonts w:asciiTheme="minorHAnsi" w:hAnsiTheme="minorHAnsi"/>
          <w:bCs/>
          <w:iCs/>
          <w:color w:val="000000" w:themeColor="text1"/>
        </w:rPr>
        <w:t xml:space="preserve"> </w:t>
      </w:r>
    </w:p>
    <w:p w14:paraId="1077735C" w14:textId="5BBF42EB" w:rsidR="004E3CE5" w:rsidRDefault="00A62081" w:rsidP="004E3CE5">
      <w:pPr>
        <w:pStyle w:val="BodyText"/>
        <w:rPr>
          <w:rFonts w:asciiTheme="minorHAnsi" w:hAnsiTheme="minorHAnsi"/>
          <w:bCs/>
          <w:iCs/>
          <w:color w:val="000000" w:themeColor="text1"/>
        </w:rPr>
      </w:pPr>
      <w:r w:rsidRPr="00A62081">
        <w:rPr>
          <w:rFonts w:asciiTheme="minorHAnsi" w:hAnsiTheme="minorHAnsi"/>
          <w:bCs/>
          <w:iCs/>
          <w:color w:val="000000" w:themeColor="text1"/>
        </w:rPr>
        <w:t>More d</w:t>
      </w:r>
      <w:r w:rsidR="004E3CE5" w:rsidRPr="00A62081">
        <w:rPr>
          <w:rFonts w:asciiTheme="minorHAnsi" w:hAnsiTheme="minorHAnsi"/>
          <w:bCs/>
          <w:iCs/>
          <w:color w:val="000000" w:themeColor="text1"/>
        </w:rPr>
        <w:t xml:space="preserve">etailed observations shall be documented separately from the GPS and in a form not dictated by </w:t>
      </w:r>
      <w:r w:rsidR="003C2E35">
        <w:rPr>
          <w:rFonts w:asciiTheme="minorHAnsi" w:hAnsiTheme="minorHAnsi"/>
          <w:bCs/>
          <w:iCs/>
          <w:color w:val="000000" w:themeColor="text1"/>
        </w:rPr>
        <w:t>this handbook</w:t>
      </w:r>
      <w:r w:rsidR="004E3CE5" w:rsidRPr="00A62081">
        <w:rPr>
          <w:rFonts w:asciiTheme="minorHAnsi" w:hAnsiTheme="minorHAnsi"/>
          <w:bCs/>
          <w:iCs/>
          <w:color w:val="000000" w:themeColor="text1"/>
        </w:rPr>
        <w:t>.</w:t>
      </w:r>
      <w:r w:rsidR="004E3CE5">
        <w:rPr>
          <w:rFonts w:asciiTheme="minorHAnsi" w:hAnsiTheme="minorHAnsi"/>
          <w:bCs/>
          <w:iCs/>
          <w:color w:val="000000" w:themeColor="text1"/>
        </w:rPr>
        <w:t xml:space="preserve"> </w:t>
      </w:r>
      <w:r>
        <w:rPr>
          <w:rFonts w:asciiTheme="minorHAnsi" w:hAnsiTheme="minorHAnsi"/>
          <w:bCs/>
          <w:iCs/>
          <w:color w:val="000000" w:themeColor="text1"/>
        </w:rPr>
        <w:t xml:space="preserve"> As in all holding company analysis, the level of documentation is determined by the </w:t>
      </w:r>
      <w:r w:rsidR="008B07CA">
        <w:rPr>
          <w:rFonts w:asciiTheme="minorHAnsi" w:hAnsiTheme="minorHAnsi"/>
          <w:bCs/>
          <w:iCs/>
          <w:color w:val="000000" w:themeColor="text1"/>
        </w:rPr>
        <w:t xml:space="preserve">lead </w:t>
      </w:r>
      <w:r>
        <w:rPr>
          <w:rFonts w:asciiTheme="minorHAnsi" w:hAnsiTheme="minorHAnsi"/>
          <w:bCs/>
          <w:iCs/>
          <w:color w:val="000000" w:themeColor="text1"/>
        </w:rPr>
        <w:t xml:space="preserve">state insurance department and is dependent on the characteristics and complexity of the group and its risks. </w:t>
      </w:r>
      <w:r w:rsidR="004E3CE5">
        <w:rPr>
          <w:rFonts w:asciiTheme="minorHAnsi" w:hAnsiTheme="minorHAnsi"/>
          <w:bCs/>
          <w:iCs/>
          <w:color w:val="000000" w:themeColor="text1"/>
        </w:rPr>
        <w:t xml:space="preserve">These detailed observations generally need to only note </w:t>
      </w:r>
      <w:r w:rsidR="008B07CA">
        <w:rPr>
          <w:rFonts w:asciiTheme="minorHAnsi" w:hAnsiTheme="minorHAnsi"/>
          <w:bCs/>
          <w:iCs/>
          <w:color w:val="000000" w:themeColor="text1"/>
        </w:rPr>
        <w:t>those</w:t>
      </w:r>
      <w:r w:rsidR="004E3CE5">
        <w:rPr>
          <w:rFonts w:asciiTheme="minorHAnsi" w:hAnsiTheme="minorHAnsi"/>
          <w:bCs/>
          <w:iCs/>
          <w:color w:val="000000" w:themeColor="text1"/>
        </w:rPr>
        <w:t xml:space="preserve"> that are indicative of drivers of trends and/or actions being taken by the group to mitigate</w:t>
      </w:r>
      <w:r w:rsidR="00A27388">
        <w:rPr>
          <w:rFonts w:asciiTheme="minorHAnsi" w:hAnsiTheme="minorHAnsi"/>
          <w:bCs/>
          <w:iCs/>
          <w:color w:val="000000" w:themeColor="text1"/>
        </w:rPr>
        <w:t xml:space="preserve"> risks</w:t>
      </w:r>
      <w:r w:rsidR="004E3CE5">
        <w:rPr>
          <w:rFonts w:asciiTheme="minorHAnsi" w:hAnsiTheme="minorHAnsi"/>
          <w:bCs/>
          <w:iCs/>
          <w:color w:val="000000" w:themeColor="text1"/>
        </w:rPr>
        <w:t>. In some cases, these points can be easily summarized into the GPS</w:t>
      </w:r>
      <w:r w:rsidR="008B07CA">
        <w:rPr>
          <w:rFonts w:asciiTheme="minorHAnsi" w:hAnsiTheme="minorHAnsi"/>
          <w:bCs/>
          <w:iCs/>
          <w:color w:val="000000" w:themeColor="text1"/>
        </w:rPr>
        <w:t>. I</w:t>
      </w:r>
      <w:r w:rsidR="004E3CE5">
        <w:rPr>
          <w:rFonts w:asciiTheme="minorHAnsi" w:hAnsiTheme="minorHAnsi"/>
          <w:bCs/>
          <w:iCs/>
          <w:color w:val="000000" w:themeColor="text1"/>
        </w:rPr>
        <w:t xml:space="preserve">n other cases they are too detailed and should be documented instead within </w:t>
      </w:r>
      <w:r w:rsidR="00196F17">
        <w:rPr>
          <w:rFonts w:asciiTheme="minorHAnsi" w:hAnsiTheme="minorHAnsi"/>
          <w:bCs/>
          <w:iCs/>
          <w:color w:val="000000" w:themeColor="text1"/>
        </w:rPr>
        <w:t>a</w:t>
      </w:r>
      <w:r w:rsidR="004E3CE5">
        <w:rPr>
          <w:rFonts w:asciiTheme="minorHAnsi" w:hAnsiTheme="minorHAnsi"/>
          <w:bCs/>
          <w:iCs/>
          <w:color w:val="000000" w:themeColor="text1"/>
        </w:rPr>
        <w:t xml:space="preserve"> separate document not dictated in form by </w:t>
      </w:r>
      <w:r w:rsidR="003C2E35">
        <w:rPr>
          <w:rFonts w:asciiTheme="minorHAnsi" w:hAnsiTheme="minorHAnsi"/>
          <w:bCs/>
          <w:iCs/>
          <w:color w:val="000000" w:themeColor="text1"/>
        </w:rPr>
        <w:t>this handbook</w:t>
      </w:r>
      <w:r w:rsidR="004E3CE5">
        <w:rPr>
          <w:rFonts w:asciiTheme="minorHAnsi" w:hAnsiTheme="minorHAnsi"/>
          <w:bCs/>
          <w:iCs/>
          <w:color w:val="000000" w:themeColor="text1"/>
        </w:rPr>
        <w:t>. The analyst</w:t>
      </w:r>
      <w:r w:rsidR="00A27388">
        <w:rPr>
          <w:rFonts w:asciiTheme="minorHAnsi" w:hAnsiTheme="minorHAnsi"/>
          <w:bCs/>
          <w:iCs/>
          <w:color w:val="000000" w:themeColor="text1"/>
        </w:rPr>
        <w:t>s</w:t>
      </w:r>
      <w:r w:rsidR="004E3CE5">
        <w:rPr>
          <w:rFonts w:asciiTheme="minorHAnsi" w:hAnsiTheme="minorHAnsi"/>
          <w:bCs/>
          <w:iCs/>
          <w:color w:val="000000" w:themeColor="text1"/>
        </w:rPr>
        <w:t xml:space="preserve"> </w:t>
      </w:r>
      <w:r w:rsidR="00A27388">
        <w:rPr>
          <w:rFonts w:asciiTheme="minorHAnsi" w:hAnsiTheme="minorHAnsi"/>
          <w:bCs/>
          <w:iCs/>
          <w:color w:val="000000" w:themeColor="text1"/>
        </w:rPr>
        <w:t>are</w:t>
      </w:r>
      <w:r w:rsidR="004E3CE5">
        <w:rPr>
          <w:rFonts w:asciiTheme="minorHAnsi" w:hAnsiTheme="minorHAnsi"/>
          <w:bCs/>
          <w:iCs/>
          <w:color w:val="000000" w:themeColor="text1"/>
        </w:rPr>
        <w:t xml:space="preserve"> not expected, nor should they spend time documenting subtle changes within either the GCC or individual company movements that either </w:t>
      </w:r>
      <w:r w:rsidR="00406067">
        <w:rPr>
          <w:rFonts w:asciiTheme="minorHAnsi" w:hAnsiTheme="minorHAnsi"/>
          <w:bCs/>
          <w:iCs/>
          <w:color w:val="000000" w:themeColor="text1"/>
        </w:rPr>
        <w:t>do not</w:t>
      </w:r>
      <w:r w:rsidR="004E3CE5">
        <w:rPr>
          <w:rFonts w:asciiTheme="minorHAnsi" w:hAnsiTheme="minorHAnsi"/>
          <w:bCs/>
          <w:iCs/>
          <w:color w:val="000000" w:themeColor="text1"/>
        </w:rPr>
        <w:t xml:space="preserve"> create a trend at the group </w:t>
      </w:r>
      <w:r w:rsidR="004E3CE5">
        <w:rPr>
          <w:rFonts w:asciiTheme="minorHAnsi" w:hAnsiTheme="minorHAnsi"/>
          <w:bCs/>
          <w:iCs/>
          <w:color w:val="000000" w:themeColor="text1"/>
        </w:rPr>
        <w:lastRenderedPageBreak/>
        <w:t xml:space="preserve">level or identify a growing weakness in the group. However, judgment is required to make this determination. For example, a 10% </w:t>
      </w:r>
      <w:r w:rsidR="00D74318">
        <w:rPr>
          <w:rFonts w:asciiTheme="minorHAnsi" w:hAnsiTheme="minorHAnsi"/>
          <w:bCs/>
          <w:iCs/>
          <w:color w:val="000000" w:themeColor="text1"/>
        </w:rPr>
        <w:t xml:space="preserve">(not point change) </w:t>
      </w:r>
      <w:r w:rsidR="004E3CE5">
        <w:rPr>
          <w:rFonts w:asciiTheme="minorHAnsi" w:hAnsiTheme="minorHAnsi"/>
          <w:bCs/>
          <w:iCs/>
          <w:color w:val="000000" w:themeColor="text1"/>
        </w:rPr>
        <w:t>decrease in an RBC ratio of one of the smaller insurers within the group generally would not be documented</w:t>
      </w:r>
      <w:r w:rsidR="002D0F3C">
        <w:rPr>
          <w:rFonts w:asciiTheme="minorHAnsi" w:hAnsiTheme="minorHAnsi"/>
          <w:bCs/>
          <w:iCs/>
          <w:color w:val="000000" w:themeColor="text1"/>
        </w:rPr>
        <w:t>. By contrast</w:t>
      </w:r>
      <w:r w:rsidR="004E3CE5">
        <w:rPr>
          <w:rFonts w:asciiTheme="minorHAnsi" w:hAnsiTheme="minorHAnsi"/>
          <w:bCs/>
          <w:iCs/>
          <w:color w:val="000000" w:themeColor="text1"/>
        </w:rPr>
        <w:t xml:space="preserve">,  a 10% decrease </w:t>
      </w:r>
      <w:r w:rsidR="00D74318">
        <w:rPr>
          <w:rFonts w:asciiTheme="minorHAnsi" w:hAnsiTheme="minorHAnsi"/>
          <w:bCs/>
          <w:iCs/>
          <w:color w:val="000000" w:themeColor="text1"/>
        </w:rPr>
        <w:t xml:space="preserve">(not point change) </w:t>
      </w:r>
      <w:r w:rsidR="004E3CE5">
        <w:rPr>
          <w:rFonts w:asciiTheme="minorHAnsi" w:hAnsiTheme="minorHAnsi"/>
          <w:bCs/>
          <w:iCs/>
          <w:color w:val="000000" w:themeColor="text1"/>
        </w:rPr>
        <w:t xml:space="preserve">in an RBC ratio in one of the larger insurers in the group that causes, </w:t>
      </w:r>
      <w:r w:rsidR="002D0F3C">
        <w:rPr>
          <w:rFonts w:asciiTheme="minorHAnsi" w:hAnsiTheme="minorHAnsi"/>
          <w:bCs/>
          <w:iCs/>
          <w:color w:val="000000" w:themeColor="text1"/>
        </w:rPr>
        <w:t xml:space="preserve">either alone </w:t>
      </w:r>
      <w:r w:rsidR="004E3CE5">
        <w:rPr>
          <w:rFonts w:asciiTheme="minorHAnsi" w:hAnsiTheme="minorHAnsi"/>
          <w:bCs/>
          <w:iCs/>
          <w:color w:val="000000" w:themeColor="text1"/>
        </w:rPr>
        <w:t xml:space="preserve">or jointly with other insurers,  a 10% decrease in the GCC </w:t>
      </w:r>
      <w:r w:rsidR="00A27388">
        <w:rPr>
          <w:rFonts w:asciiTheme="minorHAnsi" w:hAnsiTheme="minorHAnsi"/>
          <w:bCs/>
          <w:iCs/>
          <w:color w:val="000000" w:themeColor="text1"/>
        </w:rPr>
        <w:t>sh</w:t>
      </w:r>
      <w:r w:rsidR="004E3CE5">
        <w:rPr>
          <w:rFonts w:asciiTheme="minorHAnsi" w:hAnsiTheme="minorHAnsi"/>
          <w:bCs/>
          <w:iCs/>
          <w:color w:val="000000" w:themeColor="text1"/>
        </w:rPr>
        <w:t xml:space="preserve">ould be noted. </w:t>
      </w:r>
      <w:r w:rsidR="007E718F">
        <w:rPr>
          <w:rFonts w:asciiTheme="minorHAnsi" w:hAnsiTheme="minorHAnsi"/>
          <w:bCs/>
          <w:iCs/>
          <w:color w:val="000000" w:themeColor="text1"/>
        </w:rPr>
        <w:t xml:space="preserve">However, it should be understood also that this 10% threshold is not intended to be a </w:t>
      </w:r>
      <w:r w:rsidR="003B46CC">
        <w:rPr>
          <w:rFonts w:asciiTheme="minorHAnsi" w:hAnsiTheme="minorHAnsi"/>
          <w:bCs/>
          <w:iCs/>
          <w:color w:val="000000" w:themeColor="text1"/>
        </w:rPr>
        <w:t>used as a “</w:t>
      </w:r>
      <w:r w:rsidR="007E718F">
        <w:rPr>
          <w:rFonts w:asciiTheme="minorHAnsi" w:hAnsiTheme="minorHAnsi"/>
          <w:bCs/>
          <w:iCs/>
          <w:color w:val="000000" w:themeColor="text1"/>
        </w:rPr>
        <w:t>bright</w:t>
      </w:r>
      <w:r w:rsidR="003B46CC">
        <w:rPr>
          <w:rFonts w:asciiTheme="minorHAnsi" w:hAnsiTheme="minorHAnsi"/>
          <w:bCs/>
          <w:iCs/>
          <w:color w:val="000000" w:themeColor="text1"/>
        </w:rPr>
        <w:t>-</w:t>
      </w:r>
      <w:r w:rsidR="007E718F">
        <w:rPr>
          <w:rFonts w:asciiTheme="minorHAnsi" w:hAnsiTheme="minorHAnsi"/>
          <w:bCs/>
          <w:iCs/>
          <w:color w:val="000000" w:themeColor="text1"/>
        </w:rPr>
        <w:t>line</w:t>
      </w:r>
      <w:r w:rsidR="002D0F3C">
        <w:rPr>
          <w:rFonts w:asciiTheme="minorHAnsi" w:hAnsiTheme="minorHAnsi"/>
          <w:bCs/>
          <w:iCs/>
          <w:color w:val="000000" w:themeColor="text1"/>
        </w:rPr>
        <w:t>.</w:t>
      </w:r>
      <w:r w:rsidR="003B46CC">
        <w:rPr>
          <w:rFonts w:asciiTheme="minorHAnsi" w:hAnsiTheme="minorHAnsi"/>
          <w:bCs/>
          <w:iCs/>
          <w:color w:val="000000" w:themeColor="text1"/>
        </w:rPr>
        <w:t>”</w:t>
      </w:r>
      <w:r w:rsidR="002D0F3C">
        <w:rPr>
          <w:rFonts w:asciiTheme="minorHAnsi" w:hAnsiTheme="minorHAnsi"/>
          <w:bCs/>
          <w:iCs/>
          <w:color w:val="000000" w:themeColor="text1"/>
        </w:rPr>
        <w:t xml:space="preserve"> I</w:t>
      </w:r>
      <w:r w:rsidR="007E718F">
        <w:rPr>
          <w:rFonts w:asciiTheme="minorHAnsi" w:hAnsiTheme="minorHAnsi"/>
          <w:bCs/>
          <w:iCs/>
          <w:color w:val="000000" w:themeColor="text1"/>
        </w:rPr>
        <w:t xml:space="preserve">n fact </w:t>
      </w:r>
      <w:r w:rsidR="002D0F3C">
        <w:rPr>
          <w:rFonts w:asciiTheme="minorHAnsi" w:hAnsiTheme="minorHAnsi"/>
          <w:bCs/>
          <w:iCs/>
          <w:color w:val="000000" w:themeColor="text1"/>
        </w:rPr>
        <w:t>it is</w:t>
      </w:r>
      <w:r w:rsidR="007E718F">
        <w:rPr>
          <w:rFonts w:asciiTheme="minorHAnsi" w:hAnsiTheme="minorHAnsi"/>
          <w:bCs/>
          <w:iCs/>
          <w:color w:val="000000" w:themeColor="text1"/>
        </w:rPr>
        <w:t xml:space="preserve"> possible the 10% is not necessarily indicative of any negative trends at all</w:t>
      </w:r>
      <w:r w:rsidR="003B46CC">
        <w:rPr>
          <w:rFonts w:asciiTheme="minorHAnsi" w:hAnsiTheme="minorHAnsi"/>
          <w:bCs/>
          <w:iCs/>
          <w:color w:val="000000" w:themeColor="text1"/>
        </w:rPr>
        <w:t>. This could be the case when for example there was a change in the regulatory capital requirement. Therefore, again, judgement is required in making these determinations</w:t>
      </w:r>
      <w:r w:rsidR="00424DD0">
        <w:rPr>
          <w:rFonts w:asciiTheme="minorHAnsi" w:hAnsiTheme="minorHAnsi"/>
          <w:bCs/>
          <w:iCs/>
          <w:color w:val="000000" w:themeColor="text1"/>
        </w:rPr>
        <w:t xml:space="preserve"> and this, as well as other thresholds used in this guidance are not meant to be </w:t>
      </w:r>
      <w:r w:rsidR="00966A3B">
        <w:rPr>
          <w:rFonts w:asciiTheme="minorHAnsi" w:hAnsiTheme="minorHAnsi"/>
          <w:bCs/>
          <w:iCs/>
          <w:color w:val="000000" w:themeColor="text1"/>
        </w:rPr>
        <w:t>bright lines</w:t>
      </w:r>
      <w:r w:rsidR="00424DD0">
        <w:rPr>
          <w:rFonts w:asciiTheme="minorHAnsi" w:hAnsiTheme="minorHAnsi"/>
          <w:bCs/>
          <w:iCs/>
          <w:color w:val="000000" w:themeColor="text1"/>
        </w:rPr>
        <w:t xml:space="preserve">. As the GCC is used more, both by the individual analyst, </w:t>
      </w:r>
      <w:r w:rsidR="002D0F3C">
        <w:rPr>
          <w:rFonts w:asciiTheme="minorHAnsi" w:hAnsiTheme="minorHAnsi"/>
          <w:bCs/>
          <w:iCs/>
          <w:color w:val="000000" w:themeColor="text1"/>
        </w:rPr>
        <w:t xml:space="preserve">and by the various </w:t>
      </w:r>
      <w:r w:rsidR="00424DD0">
        <w:rPr>
          <w:rFonts w:asciiTheme="minorHAnsi" w:hAnsiTheme="minorHAnsi"/>
          <w:bCs/>
          <w:iCs/>
          <w:color w:val="000000" w:themeColor="text1"/>
        </w:rPr>
        <w:t xml:space="preserve"> states, using judgement around these threshold</w:t>
      </w:r>
      <w:r w:rsidR="00D74318">
        <w:rPr>
          <w:rFonts w:asciiTheme="minorHAnsi" w:hAnsiTheme="minorHAnsi"/>
          <w:bCs/>
          <w:iCs/>
          <w:color w:val="000000" w:themeColor="text1"/>
        </w:rPr>
        <w:t>s</w:t>
      </w:r>
      <w:r w:rsidR="00424DD0">
        <w:rPr>
          <w:rFonts w:asciiTheme="minorHAnsi" w:hAnsiTheme="minorHAnsi"/>
          <w:bCs/>
          <w:iCs/>
          <w:color w:val="000000" w:themeColor="text1"/>
        </w:rPr>
        <w:t xml:space="preserve"> are expected to become easier</w:t>
      </w:r>
      <w:r w:rsidR="002D0F3C">
        <w:rPr>
          <w:rFonts w:asciiTheme="minorHAnsi" w:hAnsiTheme="minorHAnsi"/>
          <w:bCs/>
          <w:iCs/>
          <w:color w:val="000000" w:themeColor="text1"/>
        </w:rPr>
        <w:t xml:space="preserve"> as the judgement is informed with experience</w:t>
      </w:r>
      <w:r w:rsidR="00424DD0">
        <w:rPr>
          <w:rFonts w:asciiTheme="minorHAnsi" w:hAnsiTheme="minorHAnsi"/>
          <w:bCs/>
          <w:iCs/>
          <w:color w:val="000000" w:themeColor="text1"/>
        </w:rPr>
        <w:t>.</w:t>
      </w:r>
    </w:p>
    <w:p w14:paraId="775D1B7A" w14:textId="77777777" w:rsidR="004E3CE5" w:rsidRDefault="004E3CE5" w:rsidP="004E3CE5">
      <w:pPr>
        <w:pStyle w:val="BodyText"/>
        <w:rPr>
          <w:rFonts w:asciiTheme="minorHAnsi" w:hAnsiTheme="minorHAnsi"/>
          <w:b/>
          <w:i/>
          <w:color w:val="000000" w:themeColor="text1"/>
        </w:rPr>
      </w:pPr>
    </w:p>
    <w:p w14:paraId="35FD1E8F" w14:textId="5D9DC8EF" w:rsidR="00A62081" w:rsidRDefault="00A62081" w:rsidP="00A62081">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Specific Procedures for Completing </w:t>
      </w:r>
      <w:r w:rsidR="00D74318">
        <w:rPr>
          <w:rFonts w:asciiTheme="minorHAnsi" w:hAnsiTheme="minorHAnsi"/>
          <w:color w:val="000000" w:themeColor="text1"/>
          <w:sz w:val="28"/>
          <w:szCs w:val="28"/>
        </w:rPr>
        <w:t xml:space="preserve">Review and Understanding </w:t>
      </w:r>
      <w:r>
        <w:rPr>
          <w:rFonts w:asciiTheme="minorHAnsi" w:hAnsiTheme="minorHAnsi"/>
          <w:color w:val="000000" w:themeColor="text1"/>
          <w:sz w:val="28"/>
          <w:szCs w:val="28"/>
        </w:rPr>
        <w:t xml:space="preserve">of the GCC </w:t>
      </w:r>
    </w:p>
    <w:p w14:paraId="143CEC17" w14:textId="74DA8EB7" w:rsidR="008015A0" w:rsidRDefault="002D0F3C" w:rsidP="008015A0">
      <w:pPr>
        <w:pStyle w:val="BodyText"/>
        <w:spacing w:after="120"/>
        <w:rPr>
          <w:rFonts w:asciiTheme="minorHAnsi" w:hAnsiTheme="minorHAnsi"/>
          <w:color w:val="000000" w:themeColor="text1"/>
          <w:szCs w:val="22"/>
        </w:rPr>
      </w:pPr>
      <w:r>
        <w:rPr>
          <w:rFonts w:asciiTheme="minorHAnsi" w:hAnsiTheme="minorHAnsi"/>
          <w:color w:val="000000" w:themeColor="text1"/>
          <w:szCs w:val="22"/>
        </w:rPr>
        <w:t>The following procedures should be used</w:t>
      </w:r>
      <w:r w:rsidR="00625464">
        <w:rPr>
          <w:rFonts w:asciiTheme="minorHAnsi" w:hAnsiTheme="minorHAnsi"/>
          <w:color w:val="000000" w:themeColor="text1"/>
          <w:szCs w:val="22"/>
        </w:rPr>
        <w:t xml:space="preserve"> by</w:t>
      </w:r>
      <w:r>
        <w:rPr>
          <w:rFonts w:asciiTheme="minorHAnsi" w:hAnsiTheme="minorHAnsi"/>
          <w:color w:val="000000" w:themeColor="text1"/>
          <w:szCs w:val="22"/>
        </w:rPr>
        <w:t xml:space="preserve"> the analyst in their review and documentation of results of the GCC. However, </w:t>
      </w:r>
      <w:r w:rsidR="008015A0">
        <w:rPr>
          <w:rFonts w:asciiTheme="minorHAnsi" w:hAnsiTheme="minorHAnsi"/>
          <w:color w:val="000000" w:themeColor="text1"/>
          <w:szCs w:val="22"/>
        </w:rPr>
        <w:t xml:space="preserve">if the analyst determines after completing any of the above procedures (steps), that no further work is deemed necessary to fully document the material risks of the group observable from the GCC (as well as the required information to be included in </w:t>
      </w:r>
      <w:r w:rsidR="007C21EA">
        <w:rPr>
          <w:rFonts w:asciiTheme="minorHAnsi" w:hAnsiTheme="minorHAnsi"/>
          <w:color w:val="000000" w:themeColor="text1"/>
          <w:szCs w:val="22"/>
        </w:rPr>
        <w:t>the</w:t>
      </w:r>
      <w:r w:rsidR="008015A0">
        <w:rPr>
          <w:rFonts w:asciiTheme="minorHAnsi" w:hAnsiTheme="minorHAnsi"/>
          <w:color w:val="000000" w:themeColor="text1"/>
          <w:szCs w:val="22"/>
        </w:rPr>
        <w:t xml:space="preserve"> GPS from the GCC), this should be documented by the analyst in any workpapers deemed appropriate by the state and the general reasons </w:t>
      </w:r>
      <w:r w:rsidR="007C21EA">
        <w:rPr>
          <w:rFonts w:asciiTheme="minorHAnsi" w:hAnsiTheme="minorHAnsi"/>
          <w:color w:val="000000" w:themeColor="text1"/>
          <w:szCs w:val="22"/>
        </w:rPr>
        <w:t>supporting that conclusion</w:t>
      </w:r>
      <w:r w:rsidR="008015A0">
        <w:rPr>
          <w:rFonts w:asciiTheme="minorHAnsi" w:hAnsiTheme="minorHAnsi"/>
          <w:color w:val="000000" w:themeColor="text1"/>
          <w:szCs w:val="22"/>
        </w:rPr>
        <w:t>. In making this determination, it should be reiterated these procedures are not intended to be used in a checklist manner and judgement based upon existing information on the group obtained from the Form F, ORSA, or any other source is certainly part of that  decision.</w:t>
      </w:r>
    </w:p>
    <w:p w14:paraId="0AB2B3D9" w14:textId="0170F1D0" w:rsidR="004E3CE5" w:rsidRPr="004A0051" w:rsidRDefault="004E3CE5" w:rsidP="004E3CE5">
      <w:pPr>
        <w:pStyle w:val="BodyText"/>
        <w:rPr>
          <w:rFonts w:asciiTheme="minorHAnsi" w:hAnsiTheme="minorHAnsi"/>
          <w:b/>
          <w:iCs/>
          <w:color w:val="000000" w:themeColor="text1"/>
        </w:rPr>
      </w:pPr>
      <w:r w:rsidRPr="004A0051">
        <w:rPr>
          <w:rFonts w:asciiTheme="minorHAnsi" w:hAnsiTheme="minorHAnsi"/>
          <w:b/>
          <w:i/>
          <w:color w:val="000000" w:themeColor="text1"/>
        </w:rPr>
        <w:t>Procedures Step 1</w:t>
      </w:r>
    </w:p>
    <w:p w14:paraId="48F9C027" w14:textId="70F8A9BF" w:rsidR="003B46CC" w:rsidRDefault="004E3CE5" w:rsidP="00597BAB">
      <w:pPr>
        <w:pStyle w:val="BodyText"/>
        <w:rPr>
          <w:rFonts w:asciiTheme="minorHAnsi" w:hAnsiTheme="minorHAnsi"/>
          <w:bCs/>
          <w:iCs/>
          <w:color w:val="000000" w:themeColor="text1"/>
        </w:rPr>
      </w:pPr>
      <w:r w:rsidRPr="004A0051">
        <w:rPr>
          <w:rFonts w:asciiTheme="minorHAnsi" w:hAnsiTheme="minorHAnsi"/>
          <w:bCs/>
          <w:iCs/>
          <w:color w:val="000000" w:themeColor="text1"/>
        </w:rPr>
        <w:t>The purpose of procedures 1 is to</w:t>
      </w:r>
      <w:r w:rsidR="007B7001" w:rsidRPr="004A0051">
        <w:rPr>
          <w:rFonts w:asciiTheme="minorHAnsi" w:hAnsiTheme="minorHAnsi"/>
          <w:bCs/>
          <w:iCs/>
          <w:color w:val="000000" w:themeColor="text1"/>
        </w:rPr>
        <w:t xml:space="preserve"> assess the GCC level</w:t>
      </w:r>
      <w:r w:rsidR="00D74318">
        <w:rPr>
          <w:rFonts w:asciiTheme="minorHAnsi" w:hAnsiTheme="minorHAnsi"/>
          <w:bCs/>
          <w:iCs/>
          <w:color w:val="000000" w:themeColor="text1"/>
        </w:rPr>
        <w:t>,</w:t>
      </w:r>
      <w:r w:rsidR="007B7001" w:rsidRPr="004A0051">
        <w:rPr>
          <w:rFonts w:asciiTheme="minorHAnsi" w:hAnsiTheme="minorHAnsi"/>
          <w:bCs/>
          <w:iCs/>
          <w:color w:val="000000" w:themeColor="text1"/>
        </w:rPr>
        <w:t xml:space="preserve"> and to identify the drivers of any changes in </w:t>
      </w:r>
      <w:r w:rsidRPr="004A0051">
        <w:rPr>
          <w:rFonts w:asciiTheme="minorHAnsi" w:hAnsiTheme="minorHAnsi"/>
          <w:bCs/>
          <w:iCs/>
          <w:color w:val="000000" w:themeColor="text1"/>
        </w:rPr>
        <w:t>the GCC</w:t>
      </w:r>
      <w:r w:rsidR="007B7001" w:rsidRPr="004A0051">
        <w:rPr>
          <w:rFonts w:asciiTheme="minorHAnsi" w:hAnsiTheme="minorHAnsi"/>
          <w:bCs/>
          <w:iCs/>
          <w:color w:val="000000" w:themeColor="text1"/>
        </w:rPr>
        <w:t xml:space="preserve">, in order to summarize and to document that overall assessment </w:t>
      </w:r>
      <w:r w:rsidRPr="004A0051">
        <w:rPr>
          <w:rFonts w:asciiTheme="minorHAnsi" w:hAnsiTheme="minorHAnsi"/>
          <w:bCs/>
          <w:iCs/>
          <w:color w:val="000000" w:themeColor="text1"/>
        </w:rPr>
        <w:t xml:space="preserve">in the </w:t>
      </w:r>
      <w:r w:rsidR="007B7001" w:rsidRPr="004A0051">
        <w:rPr>
          <w:rFonts w:asciiTheme="minorHAnsi" w:hAnsiTheme="minorHAnsi"/>
          <w:bCs/>
          <w:iCs/>
          <w:color w:val="000000" w:themeColor="text1"/>
        </w:rPr>
        <w:t xml:space="preserve">GPS and its </w:t>
      </w:r>
      <w:r w:rsidRPr="004A0051">
        <w:rPr>
          <w:rFonts w:asciiTheme="minorHAnsi" w:hAnsiTheme="minorHAnsi"/>
          <w:bCs/>
          <w:iCs/>
          <w:color w:val="000000" w:themeColor="text1"/>
        </w:rPr>
        <w:t>strategic risk category, which is the minimum expected input of the GCC into the GPS</w:t>
      </w:r>
      <w:r w:rsidR="007B7001" w:rsidRPr="004A0051">
        <w:rPr>
          <w:rFonts w:asciiTheme="minorHAnsi" w:hAnsiTheme="minorHAnsi"/>
          <w:bCs/>
          <w:iCs/>
          <w:color w:val="000000" w:themeColor="text1"/>
        </w:rPr>
        <w:t xml:space="preserve">. </w:t>
      </w:r>
      <w:r w:rsidR="003B46CC">
        <w:rPr>
          <w:rFonts w:asciiTheme="minorHAnsi" w:hAnsiTheme="minorHAnsi"/>
          <w:bCs/>
          <w:iCs/>
          <w:color w:val="000000" w:themeColor="text1"/>
        </w:rPr>
        <w:t>However, the analyst should understand that in the early years of the GCC, limited amount of prior year(s) comparative data will be available</w:t>
      </w:r>
      <w:r w:rsidR="00424DD0">
        <w:rPr>
          <w:rFonts w:asciiTheme="minorHAnsi" w:hAnsiTheme="minorHAnsi"/>
          <w:bCs/>
          <w:iCs/>
          <w:color w:val="000000" w:themeColor="text1"/>
        </w:rPr>
        <w:t xml:space="preserve">, therefore requiring more judgement in determining </w:t>
      </w:r>
      <w:r w:rsidR="00D74318">
        <w:rPr>
          <w:rFonts w:asciiTheme="minorHAnsi" w:hAnsiTheme="minorHAnsi"/>
          <w:bCs/>
          <w:iCs/>
          <w:color w:val="000000" w:themeColor="text1"/>
        </w:rPr>
        <w:t xml:space="preserve">if or </w:t>
      </w:r>
      <w:r w:rsidR="00424DD0">
        <w:rPr>
          <w:rFonts w:asciiTheme="minorHAnsi" w:hAnsiTheme="minorHAnsi"/>
          <w:bCs/>
          <w:iCs/>
          <w:color w:val="000000" w:themeColor="text1"/>
        </w:rPr>
        <w:t>where further analysis is warranted. Such judgement may need to be based upon various factors, including but not limited to other known information regarding the applicable group obtained from other sources (</w:t>
      </w:r>
      <w:r w:rsidR="00966A3B">
        <w:rPr>
          <w:rFonts w:asciiTheme="minorHAnsi" w:hAnsiTheme="minorHAnsi"/>
          <w:bCs/>
          <w:iCs/>
          <w:color w:val="000000" w:themeColor="text1"/>
        </w:rPr>
        <w:t>e.g.,</w:t>
      </w:r>
      <w:r w:rsidR="00424DD0">
        <w:rPr>
          <w:rFonts w:asciiTheme="minorHAnsi" w:hAnsiTheme="minorHAnsi"/>
          <w:bCs/>
          <w:iCs/>
          <w:color w:val="000000" w:themeColor="text1"/>
        </w:rPr>
        <w:t xml:space="preserve"> ORSA, Form F, Form B, </w:t>
      </w:r>
      <w:r w:rsidR="00966A3B">
        <w:rPr>
          <w:rFonts w:asciiTheme="minorHAnsi" w:hAnsiTheme="minorHAnsi"/>
          <w:bCs/>
          <w:iCs/>
          <w:color w:val="000000" w:themeColor="text1"/>
        </w:rPr>
        <w:t>etc.</w:t>
      </w:r>
      <w:r w:rsidR="00424DD0">
        <w:rPr>
          <w:rFonts w:asciiTheme="minorHAnsi" w:hAnsiTheme="minorHAnsi"/>
          <w:bCs/>
          <w:iCs/>
          <w:color w:val="000000" w:themeColor="text1"/>
        </w:rPr>
        <w:t>).</w:t>
      </w:r>
    </w:p>
    <w:p w14:paraId="58DD04E2" w14:textId="77777777" w:rsidR="003B46CC" w:rsidRDefault="003B46CC" w:rsidP="00597BAB">
      <w:pPr>
        <w:pStyle w:val="BodyText"/>
        <w:rPr>
          <w:rFonts w:asciiTheme="minorHAnsi" w:hAnsiTheme="minorHAnsi"/>
          <w:bCs/>
          <w:iCs/>
          <w:color w:val="000000" w:themeColor="text1"/>
        </w:rPr>
      </w:pPr>
    </w:p>
    <w:p w14:paraId="4776D67A" w14:textId="72C6D084" w:rsidR="00232217" w:rsidRDefault="007B7001" w:rsidP="00597BAB">
      <w:pPr>
        <w:pStyle w:val="BodyText"/>
        <w:rPr>
          <w:rFonts w:asciiTheme="minorHAnsi" w:hAnsiTheme="minorHAnsi"/>
          <w:bCs/>
          <w:iCs/>
          <w:color w:val="000000" w:themeColor="text1"/>
        </w:rPr>
      </w:pPr>
      <w:r w:rsidRPr="004A0051">
        <w:rPr>
          <w:rFonts w:asciiTheme="minorHAnsi" w:hAnsiTheme="minorHAnsi"/>
          <w:bCs/>
          <w:iCs/>
          <w:color w:val="000000" w:themeColor="text1"/>
        </w:rPr>
        <w:t xml:space="preserve">Procedure 1 is also intended </w:t>
      </w:r>
      <w:r w:rsidR="004E3CE5" w:rsidRPr="004A0051">
        <w:rPr>
          <w:rFonts w:asciiTheme="minorHAnsi" w:hAnsiTheme="minorHAnsi"/>
          <w:bCs/>
          <w:iCs/>
          <w:color w:val="000000" w:themeColor="text1"/>
        </w:rPr>
        <w:t xml:space="preserve">to </w:t>
      </w:r>
      <w:r w:rsidRPr="004A0051">
        <w:rPr>
          <w:rFonts w:asciiTheme="minorHAnsi" w:hAnsiTheme="minorHAnsi"/>
          <w:bCs/>
          <w:iCs/>
          <w:color w:val="000000" w:themeColor="text1"/>
        </w:rPr>
        <w:t xml:space="preserve">help the analyst </w:t>
      </w:r>
      <w:r w:rsidR="004E3CE5" w:rsidRPr="004A0051">
        <w:rPr>
          <w:rFonts w:asciiTheme="minorHAnsi" w:hAnsiTheme="minorHAnsi"/>
          <w:bCs/>
          <w:iCs/>
          <w:color w:val="000000" w:themeColor="text1"/>
        </w:rPr>
        <w:t>determine if more follow</w:t>
      </w:r>
      <w:r w:rsidR="00557BD5" w:rsidRPr="004A0051">
        <w:rPr>
          <w:rFonts w:asciiTheme="minorHAnsi" w:hAnsiTheme="minorHAnsi"/>
          <w:bCs/>
          <w:iCs/>
          <w:color w:val="000000" w:themeColor="text1"/>
        </w:rPr>
        <w:t>-</w:t>
      </w:r>
      <w:r w:rsidR="004E3CE5" w:rsidRPr="004A0051">
        <w:rPr>
          <w:rFonts w:asciiTheme="minorHAnsi" w:hAnsiTheme="minorHAnsi"/>
          <w:bCs/>
          <w:iCs/>
          <w:color w:val="000000" w:themeColor="text1"/>
        </w:rPr>
        <w:t xml:space="preserve">up </w:t>
      </w:r>
      <w:r w:rsidR="00D74318">
        <w:rPr>
          <w:rFonts w:asciiTheme="minorHAnsi" w:hAnsiTheme="minorHAnsi"/>
          <w:bCs/>
          <w:iCs/>
          <w:color w:val="000000" w:themeColor="text1"/>
        </w:rPr>
        <w:t xml:space="preserve">review </w:t>
      </w:r>
      <w:r w:rsidRPr="004A0051">
        <w:rPr>
          <w:rFonts w:asciiTheme="minorHAnsi" w:hAnsiTheme="minorHAnsi"/>
          <w:bCs/>
          <w:iCs/>
          <w:color w:val="000000" w:themeColor="text1"/>
        </w:rPr>
        <w:t xml:space="preserve">work </w:t>
      </w:r>
      <w:r w:rsidR="004E3CE5" w:rsidRPr="004A0051">
        <w:rPr>
          <w:rFonts w:asciiTheme="minorHAnsi" w:hAnsiTheme="minorHAnsi"/>
          <w:bCs/>
          <w:iCs/>
          <w:color w:val="000000" w:themeColor="text1"/>
        </w:rPr>
        <w:t xml:space="preserve">should be performed. </w:t>
      </w:r>
      <w:r w:rsidR="00616C5B" w:rsidRPr="004A0051">
        <w:rPr>
          <w:rFonts w:asciiTheme="minorHAnsi" w:hAnsiTheme="minorHAnsi"/>
          <w:bCs/>
          <w:iCs/>
          <w:color w:val="000000" w:themeColor="text1"/>
        </w:rPr>
        <w:t>However, i</w:t>
      </w:r>
      <w:r w:rsidR="00232217" w:rsidRPr="004A0051">
        <w:rPr>
          <w:rFonts w:asciiTheme="minorHAnsi" w:hAnsiTheme="minorHAnsi"/>
          <w:bCs/>
          <w:iCs/>
          <w:color w:val="000000" w:themeColor="text1"/>
        </w:rPr>
        <w:t xml:space="preserve">f the answer to any of the questions </w:t>
      </w:r>
      <w:r w:rsidR="00616C5B" w:rsidRPr="004A0051">
        <w:rPr>
          <w:rFonts w:asciiTheme="minorHAnsi" w:hAnsiTheme="minorHAnsi"/>
          <w:bCs/>
          <w:iCs/>
          <w:color w:val="000000" w:themeColor="text1"/>
        </w:rPr>
        <w:t xml:space="preserve">in </w:t>
      </w:r>
      <w:r w:rsidR="009040A4" w:rsidRPr="004A0051">
        <w:rPr>
          <w:rFonts w:asciiTheme="minorHAnsi" w:hAnsiTheme="minorHAnsi"/>
          <w:bCs/>
          <w:iCs/>
          <w:color w:val="000000" w:themeColor="text1"/>
        </w:rPr>
        <w:t>1</w:t>
      </w:r>
      <w:r w:rsidR="00616C5B" w:rsidRPr="004A0051">
        <w:rPr>
          <w:rFonts w:asciiTheme="minorHAnsi" w:hAnsiTheme="minorHAnsi"/>
          <w:bCs/>
          <w:iCs/>
          <w:color w:val="000000" w:themeColor="text1"/>
        </w:rPr>
        <w:t xml:space="preserve"> </w:t>
      </w:r>
      <w:r w:rsidR="00232217" w:rsidRPr="004A0051">
        <w:rPr>
          <w:rFonts w:asciiTheme="minorHAnsi" w:hAnsiTheme="minorHAnsi"/>
          <w:bCs/>
          <w:iCs/>
          <w:color w:val="000000" w:themeColor="text1"/>
        </w:rPr>
        <w:t xml:space="preserve">is </w:t>
      </w:r>
      <w:r w:rsidR="00E93DC5" w:rsidRPr="004A0051">
        <w:rPr>
          <w:rFonts w:asciiTheme="minorHAnsi" w:hAnsiTheme="minorHAnsi"/>
          <w:bCs/>
          <w:iCs/>
          <w:color w:val="000000" w:themeColor="text1"/>
        </w:rPr>
        <w:t>“</w:t>
      </w:r>
      <w:r w:rsidR="00232217" w:rsidRPr="004A0051">
        <w:rPr>
          <w:rFonts w:asciiTheme="minorHAnsi" w:hAnsiTheme="minorHAnsi"/>
          <w:bCs/>
          <w:iCs/>
          <w:color w:val="000000" w:themeColor="text1"/>
        </w:rPr>
        <w:t>yes</w:t>
      </w:r>
      <w:r w:rsidR="00E93DC5" w:rsidRPr="004A0051">
        <w:rPr>
          <w:rFonts w:asciiTheme="minorHAnsi" w:hAnsiTheme="minorHAnsi"/>
          <w:bCs/>
          <w:iCs/>
          <w:color w:val="000000" w:themeColor="text1"/>
        </w:rPr>
        <w:t>”</w:t>
      </w:r>
      <w:r w:rsidR="00232217" w:rsidRPr="004A0051">
        <w:rPr>
          <w:rFonts w:asciiTheme="minorHAnsi" w:hAnsiTheme="minorHAnsi"/>
          <w:bCs/>
          <w:iCs/>
          <w:color w:val="000000" w:themeColor="text1"/>
        </w:rPr>
        <w:t xml:space="preserve">, the analyst should proceed with step </w:t>
      </w:r>
      <w:r w:rsidR="00E93DC5" w:rsidRPr="004A0051">
        <w:rPr>
          <w:rFonts w:asciiTheme="minorHAnsi" w:hAnsiTheme="minorHAnsi"/>
          <w:bCs/>
          <w:iCs/>
          <w:color w:val="000000" w:themeColor="text1"/>
        </w:rPr>
        <w:t>2</w:t>
      </w:r>
      <w:r w:rsidR="00232217" w:rsidRPr="004A0051">
        <w:rPr>
          <w:rFonts w:asciiTheme="minorHAnsi" w:hAnsiTheme="minorHAnsi"/>
          <w:bCs/>
          <w:iCs/>
          <w:color w:val="000000" w:themeColor="text1"/>
        </w:rPr>
        <w:t xml:space="preserve">, </w:t>
      </w:r>
      <w:r w:rsidR="00D74318">
        <w:rPr>
          <w:rFonts w:asciiTheme="minorHAnsi" w:hAnsiTheme="minorHAnsi"/>
          <w:bCs/>
          <w:iCs/>
          <w:color w:val="000000" w:themeColor="text1"/>
        </w:rPr>
        <w:t xml:space="preserve">understanding </w:t>
      </w:r>
      <w:r w:rsidR="00232217" w:rsidRPr="004A0051">
        <w:rPr>
          <w:rFonts w:asciiTheme="minorHAnsi" w:hAnsiTheme="minorHAnsi"/>
          <w:bCs/>
          <w:iCs/>
          <w:color w:val="000000" w:themeColor="text1"/>
        </w:rPr>
        <w:t xml:space="preserve">decreases in total available capital and/or step </w:t>
      </w:r>
      <w:r w:rsidR="00E93DC5" w:rsidRPr="004A0051">
        <w:rPr>
          <w:rFonts w:asciiTheme="minorHAnsi" w:hAnsiTheme="minorHAnsi"/>
          <w:bCs/>
          <w:iCs/>
          <w:color w:val="000000" w:themeColor="text1"/>
        </w:rPr>
        <w:t>3</w:t>
      </w:r>
      <w:r w:rsidR="00232217" w:rsidRPr="004A0051">
        <w:rPr>
          <w:rFonts w:asciiTheme="minorHAnsi" w:hAnsiTheme="minorHAnsi"/>
          <w:bCs/>
          <w:iCs/>
          <w:color w:val="000000" w:themeColor="text1"/>
        </w:rPr>
        <w:t xml:space="preserve">, </w:t>
      </w:r>
      <w:r w:rsidR="00D74318">
        <w:rPr>
          <w:rFonts w:asciiTheme="minorHAnsi" w:hAnsiTheme="minorHAnsi"/>
          <w:bCs/>
          <w:iCs/>
          <w:color w:val="000000" w:themeColor="text1"/>
        </w:rPr>
        <w:t xml:space="preserve">understanding </w:t>
      </w:r>
      <w:r w:rsidR="00232217" w:rsidRPr="004A0051">
        <w:rPr>
          <w:rFonts w:asciiTheme="minorHAnsi" w:hAnsiTheme="minorHAnsi"/>
          <w:bCs/>
          <w:iCs/>
          <w:color w:val="000000" w:themeColor="text1"/>
        </w:rPr>
        <w:t xml:space="preserve">increases in leverage to determine the cause(s) of the negative trends. </w:t>
      </w:r>
      <w:r w:rsidR="00A26272" w:rsidRPr="004A0051">
        <w:rPr>
          <w:rFonts w:asciiTheme="minorHAnsi" w:hAnsiTheme="minorHAnsi"/>
          <w:bCs/>
          <w:iCs/>
          <w:color w:val="000000" w:themeColor="text1"/>
        </w:rPr>
        <w:t xml:space="preserve">In the example provided above, the trends are positive with no decreases in the base ratio </w:t>
      </w:r>
      <w:r w:rsidR="00176D01">
        <w:rPr>
          <w:rFonts w:asciiTheme="minorHAnsi" w:hAnsiTheme="minorHAnsi"/>
          <w:bCs/>
          <w:iCs/>
          <w:color w:val="000000" w:themeColor="text1"/>
        </w:rPr>
        <w:t xml:space="preserve">except </w:t>
      </w:r>
      <w:r w:rsidR="00A26272" w:rsidRPr="004A0051">
        <w:rPr>
          <w:rFonts w:asciiTheme="minorHAnsi" w:hAnsiTheme="minorHAnsi"/>
          <w:bCs/>
          <w:iCs/>
          <w:color w:val="000000" w:themeColor="text1"/>
        </w:rPr>
        <w:t>in PY1</w:t>
      </w:r>
      <w:r w:rsidR="00176D01">
        <w:rPr>
          <w:rFonts w:asciiTheme="minorHAnsi" w:hAnsiTheme="minorHAnsi"/>
          <w:bCs/>
          <w:iCs/>
          <w:color w:val="000000" w:themeColor="text1"/>
        </w:rPr>
        <w:t>;</w:t>
      </w:r>
      <w:r w:rsidR="00A26272" w:rsidRPr="004A0051">
        <w:rPr>
          <w:rFonts w:asciiTheme="minorHAnsi" w:hAnsiTheme="minorHAnsi"/>
          <w:bCs/>
          <w:iCs/>
          <w:color w:val="000000" w:themeColor="text1"/>
        </w:rPr>
        <w:t xml:space="preserve"> presumably the analyst may have performed some level of inquiry to the holding company to understand the driver of the drop</w:t>
      </w:r>
      <w:r w:rsidR="00E93DC5" w:rsidRPr="004A0051">
        <w:rPr>
          <w:rFonts w:asciiTheme="minorHAnsi" w:hAnsiTheme="minorHAnsi"/>
          <w:bCs/>
          <w:iCs/>
          <w:color w:val="000000" w:themeColor="text1"/>
        </w:rPr>
        <w:t xml:space="preserve">. </w:t>
      </w:r>
    </w:p>
    <w:p w14:paraId="0924B558" w14:textId="77777777" w:rsidR="003B46CC" w:rsidRDefault="003B46CC" w:rsidP="00597BAB">
      <w:pPr>
        <w:pStyle w:val="BodyText"/>
        <w:rPr>
          <w:rFonts w:asciiTheme="minorHAnsi" w:hAnsiTheme="minorHAnsi"/>
          <w:bCs/>
          <w:iCs/>
          <w:color w:val="000000" w:themeColor="text1"/>
        </w:rPr>
      </w:pPr>
    </w:p>
    <w:p w14:paraId="0AD92BC1" w14:textId="4E8EBD2B" w:rsidR="000579B4" w:rsidRPr="00F46226" w:rsidRDefault="000579B4" w:rsidP="000579B4">
      <w:pPr>
        <w:pStyle w:val="BodyText"/>
        <w:rPr>
          <w:rFonts w:asciiTheme="minorHAnsi" w:hAnsiTheme="minorHAnsi"/>
          <w:b/>
          <w:i/>
          <w:color w:val="000000" w:themeColor="text1"/>
        </w:rPr>
      </w:pPr>
      <w:r w:rsidRPr="00F46226">
        <w:rPr>
          <w:rFonts w:asciiTheme="minorHAnsi" w:hAnsiTheme="minorHAnsi"/>
          <w:b/>
          <w:i/>
          <w:color w:val="000000" w:themeColor="text1"/>
        </w:rPr>
        <w:t xml:space="preserve">Procedures Step </w:t>
      </w:r>
      <w:r w:rsidR="007B7001">
        <w:rPr>
          <w:rFonts w:asciiTheme="minorHAnsi" w:hAnsiTheme="minorHAnsi"/>
          <w:b/>
          <w:i/>
          <w:color w:val="000000" w:themeColor="text1"/>
        </w:rPr>
        <w:t>2a-2m</w:t>
      </w:r>
    </w:p>
    <w:p w14:paraId="3A297A22" w14:textId="501DD547" w:rsidR="00C0738E" w:rsidRDefault="000579B4" w:rsidP="000579B4">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Unlike step </w:t>
      </w:r>
      <w:r w:rsidR="007B7001" w:rsidRPr="004A0051">
        <w:rPr>
          <w:rFonts w:asciiTheme="minorHAnsi" w:hAnsiTheme="minorHAnsi"/>
          <w:color w:val="000000" w:themeColor="text1"/>
          <w:sz w:val="22"/>
        </w:rPr>
        <w:t>1</w:t>
      </w:r>
      <w:r w:rsidRPr="004A0051">
        <w:rPr>
          <w:rFonts w:asciiTheme="minorHAnsi" w:hAnsiTheme="minorHAnsi"/>
          <w:color w:val="000000" w:themeColor="text1"/>
          <w:sz w:val="22"/>
        </w:rPr>
        <w:t xml:space="preserve">, the intent of step </w:t>
      </w:r>
      <w:r w:rsidR="007B7001" w:rsidRPr="004A0051">
        <w:rPr>
          <w:rFonts w:asciiTheme="minorHAnsi" w:hAnsiTheme="minorHAnsi"/>
          <w:color w:val="000000" w:themeColor="text1"/>
          <w:sz w:val="22"/>
        </w:rPr>
        <w:t>2</w:t>
      </w:r>
      <w:r w:rsidRPr="004A0051">
        <w:rPr>
          <w:rFonts w:asciiTheme="minorHAnsi" w:hAnsiTheme="minorHAnsi"/>
          <w:color w:val="000000" w:themeColor="text1"/>
          <w:sz w:val="22"/>
        </w:rPr>
        <w:t xml:space="preserve"> (and </w:t>
      </w:r>
      <w:r w:rsidR="007B7001" w:rsidRPr="004A0051">
        <w:rPr>
          <w:rFonts w:asciiTheme="minorHAnsi" w:hAnsiTheme="minorHAnsi"/>
          <w:color w:val="000000" w:themeColor="text1"/>
          <w:sz w:val="22"/>
        </w:rPr>
        <w:t>3</w:t>
      </w:r>
      <w:r w:rsidRPr="004A0051">
        <w:rPr>
          <w:rFonts w:asciiTheme="minorHAnsi" w:hAnsiTheme="minorHAnsi"/>
          <w:color w:val="000000" w:themeColor="text1"/>
          <w:sz w:val="22"/>
        </w:rPr>
        <w:t>) is to determine the actual source of the negative issues</w:t>
      </w:r>
      <w:r w:rsidR="001043B4" w:rsidRPr="004A0051">
        <w:rPr>
          <w:rFonts w:asciiTheme="minorHAnsi" w:hAnsiTheme="minorHAnsi"/>
          <w:color w:val="000000" w:themeColor="text1"/>
          <w:sz w:val="22"/>
        </w:rPr>
        <w:t xml:space="preserve"> and where </w:t>
      </w:r>
      <w:r w:rsidR="00121521">
        <w:rPr>
          <w:rFonts w:asciiTheme="minorHAnsi" w:hAnsiTheme="minorHAnsi"/>
          <w:color w:val="000000" w:themeColor="text1"/>
          <w:sz w:val="22"/>
        </w:rPr>
        <w:t xml:space="preserve">they should be </w:t>
      </w:r>
      <w:r w:rsidR="001043B4" w:rsidRPr="004A0051">
        <w:rPr>
          <w:rFonts w:asciiTheme="minorHAnsi" w:hAnsiTheme="minorHAnsi"/>
          <w:color w:val="000000" w:themeColor="text1"/>
          <w:sz w:val="22"/>
        </w:rPr>
        <w:t>document</w:t>
      </w:r>
      <w:r w:rsidR="00121521">
        <w:rPr>
          <w:rFonts w:asciiTheme="minorHAnsi" w:hAnsiTheme="minorHAnsi"/>
          <w:color w:val="000000" w:themeColor="text1"/>
          <w:sz w:val="22"/>
        </w:rPr>
        <w:t>ed</w:t>
      </w:r>
      <w:r w:rsidR="001043B4" w:rsidRPr="004A0051">
        <w:rPr>
          <w:rFonts w:asciiTheme="minorHAnsi" w:hAnsiTheme="minorHAnsi"/>
          <w:color w:val="000000" w:themeColor="text1"/>
          <w:sz w:val="22"/>
        </w:rPr>
        <w:t xml:space="preserve"> in the GPS</w:t>
      </w:r>
      <w:r w:rsidRPr="004A0051">
        <w:rPr>
          <w:rFonts w:asciiTheme="minorHAnsi" w:hAnsiTheme="minorHAnsi"/>
          <w:color w:val="000000" w:themeColor="text1"/>
          <w:sz w:val="22"/>
        </w:rPr>
        <w:t xml:space="preserve">. </w:t>
      </w:r>
      <w:r w:rsidR="001043B4"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2a</w:t>
      </w:r>
      <w:r w:rsidR="001043B4" w:rsidRPr="004A0051">
        <w:rPr>
          <w:rFonts w:asciiTheme="minorHAnsi" w:hAnsiTheme="minorHAnsi"/>
          <w:color w:val="000000" w:themeColor="text1"/>
          <w:sz w:val="22"/>
        </w:rPr>
        <w:t xml:space="preserve"> is specifically focused on identifying the category of legal entities (and subsequently the individual legal entities) that might be driving the issues by looking at the ratio of actual</w:t>
      </w:r>
      <w:r w:rsidR="00541D5B">
        <w:rPr>
          <w:rFonts w:asciiTheme="minorHAnsi" w:hAnsiTheme="minorHAnsi"/>
          <w:color w:val="000000" w:themeColor="text1"/>
          <w:sz w:val="22"/>
        </w:rPr>
        <w:t>-</w:t>
      </w:r>
      <w:r w:rsidR="001043B4" w:rsidRPr="004A0051">
        <w:rPr>
          <w:rFonts w:asciiTheme="minorHAnsi" w:hAnsiTheme="minorHAnsi"/>
          <w:color w:val="000000" w:themeColor="text1"/>
          <w:sz w:val="22"/>
        </w:rPr>
        <w:t>to</w:t>
      </w:r>
      <w:r w:rsidR="00541D5B">
        <w:rPr>
          <w:rFonts w:asciiTheme="minorHAnsi" w:hAnsiTheme="minorHAnsi"/>
          <w:color w:val="000000" w:themeColor="text1"/>
          <w:sz w:val="22"/>
        </w:rPr>
        <w:t>-</w:t>
      </w:r>
      <w:r w:rsidR="001043B4" w:rsidRPr="004A0051">
        <w:rPr>
          <w:rFonts w:asciiTheme="minorHAnsi" w:hAnsiTheme="minorHAnsi"/>
          <w:color w:val="000000" w:themeColor="text1"/>
          <w:sz w:val="22"/>
        </w:rPr>
        <w:t xml:space="preserve">required capital for the legal entity insurers over the available years reported. </w:t>
      </w:r>
      <w:r w:rsidR="00C0738E" w:rsidRPr="004A0051">
        <w:rPr>
          <w:rFonts w:asciiTheme="minorHAnsi" w:hAnsiTheme="minorHAnsi"/>
          <w:color w:val="000000" w:themeColor="text1"/>
          <w:sz w:val="22"/>
        </w:rPr>
        <w:t xml:space="preserve">The following </w:t>
      </w:r>
      <w:r w:rsidR="003E5182" w:rsidRPr="004A0051">
        <w:rPr>
          <w:rFonts w:asciiTheme="minorHAnsi" w:hAnsiTheme="minorHAnsi"/>
          <w:color w:val="000000" w:themeColor="text1"/>
          <w:sz w:val="22"/>
        </w:rPr>
        <w:t xml:space="preserve">sample of a </w:t>
      </w:r>
      <w:r w:rsidR="00C0738E" w:rsidRPr="004A0051">
        <w:rPr>
          <w:rFonts w:asciiTheme="minorHAnsi" w:hAnsiTheme="minorHAnsi"/>
          <w:color w:val="000000" w:themeColor="text1"/>
          <w:sz w:val="22"/>
        </w:rPr>
        <w:t>table from the GCC calculation completed by the group from the data in Schedule 1 can be helpful in determining the source of the issues</w:t>
      </w:r>
      <w:r w:rsidR="007B7001" w:rsidRPr="004A0051">
        <w:rPr>
          <w:rFonts w:asciiTheme="minorHAnsi" w:hAnsiTheme="minorHAnsi"/>
          <w:color w:val="000000" w:themeColor="text1"/>
          <w:sz w:val="22"/>
        </w:rPr>
        <w:t>.</w:t>
      </w:r>
    </w:p>
    <w:p w14:paraId="45542B8F" w14:textId="4917E85D" w:rsidR="00EF67F0" w:rsidRDefault="00EF67F0" w:rsidP="000579B4">
      <w:pPr>
        <w:tabs>
          <w:tab w:val="left" w:pos="360"/>
        </w:tabs>
        <w:jc w:val="both"/>
        <w:rPr>
          <w:rFonts w:asciiTheme="minorHAnsi" w:hAnsiTheme="minorHAnsi"/>
          <w:color w:val="000000" w:themeColor="text1"/>
          <w:sz w:val="22"/>
        </w:rPr>
      </w:pPr>
    </w:p>
    <w:tbl>
      <w:tblPr>
        <w:tblW w:w="6120" w:type="dxa"/>
        <w:tblLook w:val="04A0" w:firstRow="1" w:lastRow="0" w:firstColumn="1" w:lastColumn="0" w:noHBand="0" w:noVBand="1"/>
      </w:tblPr>
      <w:tblGrid>
        <w:gridCol w:w="2438"/>
        <w:gridCol w:w="542"/>
        <w:gridCol w:w="632"/>
        <w:gridCol w:w="632"/>
        <w:gridCol w:w="632"/>
        <w:gridCol w:w="622"/>
        <w:gridCol w:w="622"/>
      </w:tblGrid>
      <w:tr w:rsidR="00C0738E" w14:paraId="60A172A3" w14:textId="77777777" w:rsidTr="00843B8C">
        <w:trPr>
          <w:trHeight w:val="255"/>
        </w:trPr>
        <w:tc>
          <w:tcPr>
            <w:tcW w:w="2980" w:type="dxa"/>
            <w:gridSpan w:val="2"/>
            <w:tcBorders>
              <w:top w:val="single" w:sz="4" w:space="0" w:color="auto"/>
              <w:left w:val="single" w:sz="4" w:space="0" w:color="auto"/>
              <w:bottom w:val="nil"/>
              <w:right w:val="single" w:sz="4" w:space="0" w:color="000000"/>
            </w:tcBorders>
            <w:shd w:val="clear" w:color="000000" w:fill="D9D9D9"/>
            <w:vAlign w:val="center"/>
            <w:hideMark/>
          </w:tcPr>
          <w:p w14:paraId="292E375C" w14:textId="77777777" w:rsidR="00C0738E" w:rsidRDefault="00C0738E" w:rsidP="00C0738E">
            <w:pPr>
              <w:jc w:val="center"/>
              <w:rPr>
                <w:rFonts w:ascii="Calibri" w:hAnsi="Calibri" w:cs="Calibri"/>
                <w:b/>
                <w:bCs/>
                <w:sz w:val="20"/>
                <w:szCs w:val="20"/>
              </w:rPr>
            </w:pPr>
            <w:r>
              <w:rPr>
                <w:rFonts w:ascii="Calibri" w:hAnsi="Calibri" w:cs="Calibri"/>
                <w:b/>
                <w:bCs/>
                <w:sz w:val="20"/>
                <w:szCs w:val="20"/>
              </w:rPr>
              <w:lastRenderedPageBreak/>
              <w:t>Insurance Capital Table</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6D0E8216"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Ratio of Actual to Required Capital</w:t>
            </w:r>
          </w:p>
        </w:tc>
      </w:tr>
      <w:tr w:rsidR="00C0738E" w14:paraId="29C7D0E3" w14:textId="77777777" w:rsidTr="00843B8C">
        <w:trPr>
          <w:trHeight w:val="255"/>
        </w:trPr>
        <w:tc>
          <w:tcPr>
            <w:tcW w:w="298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2CB7BFB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20439E6A" w14:textId="238BD2B8"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632" w:type="dxa"/>
            <w:tcBorders>
              <w:top w:val="nil"/>
              <w:left w:val="nil"/>
              <w:bottom w:val="single" w:sz="4" w:space="0" w:color="auto"/>
              <w:right w:val="single" w:sz="4" w:space="0" w:color="auto"/>
            </w:tcBorders>
            <w:shd w:val="clear" w:color="000000" w:fill="D9D9D9"/>
            <w:vAlign w:val="center"/>
            <w:hideMark/>
          </w:tcPr>
          <w:p w14:paraId="5D20F96F" w14:textId="461FB316" w:rsidR="00C0738E" w:rsidRDefault="00C0738E" w:rsidP="00C0738E">
            <w:pPr>
              <w:jc w:val="center"/>
              <w:rPr>
                <w:rFonts w:ascii="Calibri" w:hAnsi="Calibri" w:cs="Calibri"/>
                <w:b/>
                <w:bCs/>
                <w:sz w:val="20"/>
                <w:szCs w:val="20"/>
              </w:rPr>
            </w:pPr>
            <w:r>
              <w:rPr>
                <w:rFonts w:ascii="Calibri" w:hAnsi="Calibri" w:cs="Calibri"/>
                <w:b/>
                <w:bCs/>
                <w:sz w:val="20"/>
                <w:szCs w:val="20"/>
              </w:rPr>
              <w:t>20</w:t>
            </w:r>
            <w:r w:rsidR="00FE0989">
              <w:rPr>
                <w:rFonts w:ascii="Calibri" w:hAnsi="Calibri" w:cs="Calibri"/>
                <w:b/>
                <w:bCs/>
                <w:sz w:val="20"/>
                <w:szCs w:val="20"/>
              </w:rPr>
              <w:t>25</w:t>
            </w:r>
          </w:p>
        </w:tc>
        <w:tc>
          <w:tcPr>
            <w:tcW w:w="632" w:type="dxa"/>
            <w:tcBorders>
              <w:top w:val="nil"/>
              <w:left w:val="nil"/>
              <w:bottom w:val="single" w:sz="4" w:space="0" w:color="auto"/>
              <w:right w:val="single" w:sz="4" w:space="0" w:color="auto"/>
            </w:tcBorders>
            <w:shd w:val="clear" w:color="000000" w:fill="D9D9D9"/>
            <w:vAlign w:val="center"/>
            <w:hideMark/>
          </w:tcPr>
          <w:p w14:paraId="550E089D" w14:textId="49262F74" w:rsidR="00C0738E" w:rsidRDefault="00C0738E" w:rsidP="00C0738E">
            <w:pPr>
              <w:jc w:val="center"/>
              <w:rPr>
                <w:rFonts w:ascii="Calibri" w:hAnsi="Calibri" w:cs="Calibri"/>
                <w:b/>
                <w:bCs/>
                <w:sz w:val="20"/>
                <w:szCs w:val="20"/>
              </w:rPr>
            </w:pPr>
            <w:r>
              <w:rPr>
                <w:rFonts w:ascii="Calibri" w:hAnsi="Calibri" w:cs="Calibri"/>
                <w:b/>
                <w:bCs/>
                <w:sz w:val="20"/>
                <w:szCs w:val="20"/>
              </w:rPr>
              <w:t>20</w:t>
            </w:r>
            <w:r w:rsidR="00FE0989">
              <w:rPr>
                <w:rFonts w:ascii="Calibri" w:hAnsi="Calibri" w:cs="Calibri"/>
                <w:b/>
                <w:bCs/>
                <w:sz w:val="20"/>
                <w:szCs w:val="20"/>
              </w:rPr>
              <w:t>23</w:t>
            </w:r>
          </w:p>
        </w:tc>
        <w:tc>
          <w:tcPr>
            <w:tcW w:w="622" w:type="dxa"/>
            <w:tcBorders>
              <w:top w:val="nil"/>
              <w:left w:val="nil"/>
              <w:bottom w:val="single" w:sz="4" w:space="0" w:color="auto"/>
              <w:right w:val="single" w:sz="4" w:space="0" w:color="auto"/>
            </w:tcBorders>
            <w:shd w:val="clear" w:color="000000" w:fill="D9D9D9"/>
            <w:vAlign w:val="center"/>
            <w:hideMark/>
          </w:tcPr>
          <w:p w14:paraId="166D6174" w14:textId="58F75486" w:rsidR="00C0738E" w:rsidRDefault="00C0738E" w:rsidP="00C0738E">
            <w:pPr>
              <w:jc w:val="center"/>
              <w:rPr>
                <w:rFonts w:ascii="Calibri" w:hAnsi="Calibri" w:cs="Calibri"/>
                <w:b/>
                <w:bCs/>
                <w:sz w:val="20"/>
                <w:szCs w:val="20"/>
              </w:rPr>
            </w:pPr>
            <w:r>
              <w:rPr>
                <w:rFonts w:ascii="Calibri" w:hAnsi="Calibri" w:cs="Calibri"/>
                <w:b/>
                <w:bCs/>
                <w:sz w:val="20"/>
                <w:szCs w:val="20"/>
              </w:rPr>
              <w:t>20</w:t>
            </w:r>
            <w:r w:rsidR="00FE0989">
              <w:rPr>
                <w:rFonts w:ascii="Calibri" w:hAnsi="Calibri" w:cs="Calibri"/>
                <w:b/>
                <w:bCs/>
                <w:sz w:val="20"/>
                <w:szCs w:val="20"/>
              </w:rPr>
              <w:t>22</w:t>
            </w:r>
          </w:p>
        </w:tc>
        <w:tc>
          <w:tcPr>
            <w:tcW w:w="622" w:type="dxa"/>
            <w:tcBorders>
              <w:top w:val="nil"/>
              <w:left w:val="nil"/>
              <w:bottom w:val="single" w:sz="4" w:space="0" w:color="auto"/>
              <w:right w:val="single" w:sz="4" w:space="0" w:color="auto"/>
            </w:tcBorders>
            <w:shd w:val="clear" w:color="000000" w:fill="D9D9D9"/>
            <w:vAlign w:val="center"/>
            <w:hideMark/>
          </w:tcPr>
          <w:p w14:paraId="7D4060A0" w14:textId="23727B4A" w:rsidR="00C0738E" w:rsidRDefault="00C0738E" w:rsidP="00C0738E">
            <w:pPr>
              <w:jc w:val="center"/>
              <w:rPr>
                <w:rFonts w:ascii="Calibri" w:hAnsi="Calibri" w:cs="Calibri"/>
                <w:b/>
                <w:bCs/>
                <w:sz w:val="20"/>
                <w:szCs w:val="20"/>
              </w:rPr>
            </w:pPr>
            <w:r>
              <w:rPr>
                <w:rFonts w:ascii="Calibri" w:hAnsi="Calibri" w:cs="Calibri"/>
                <w:b/>
                <w:bCs/>
                <w:sz w:val="20"/>
                <w:szCs w:val="20"/>
              </w:rPr>
              <w:t>20</w:t>
            </w:r>
            <w:r w:rsidR="00FE0989">
              <w:rPr>
                <w:rFonts w:ascii="Calibri" w:hAnsi="Calibri" w:cs="Calibri"/>
                <w:b/>
                <w:bCs/>
                <w:sz w:val="20"/>
                <w:szCs w:val="20"/>
              </w:rPr>
              <w:t>21</w:t>
            </w:r>
          </w:p>
        </w:tc>
      </w:tr>
      <w:tr w:rsidR="00C0738E" w14:paraId="0CA56063" w14:textId="77777777" w:rsidTr="00843B8C">
        <w:trPr>
          <w:trHeight w:val="260"/>
        </w:trPr>
        <w:tc>
          <w:tcPr>
            <w:tcW w:w="2980" w:type="dxa"/>
            <w:gridSpan w:val="2"/>
            <w:vMerge/>
            <w:tcBorders>
              <w:top w:val="nil"/>
              <w:left w:val="single" w:sz="4" w:space="0" w:color="auto"/>
              <w:bottom w:val="single" w:sz="4" w:space="0" w:color="000000"/>
              <w:right w:val="single" w:sz="4" w:space="0" w:color="000000"/>
            </w:tcBorders>
            <w:vAlign w:val="center"/>
            <w:hideMark/>
          </w:tcPr>
          <w:p w14:paraId="71A56A8E" w14:textId="77777777" w:rsidR="00C0738E" w:rsidRDefault="00C0738E" w:rsidP="00C0738E">
            <w:pPr>
              <w:rPr>
                <w:rFonts w:ascii="Calibri" w:hAnsi="Calibri" w:cs="Calibri"/>
                <w:b/>
                <w:bCs/>
                <w:sz w:val="20"/>
                <w:szCs w:val="20"/>
              </w:rPr>
            </w:pPr>
          </w:p>
        </w:tc>
        <w:tc>
          <w:tcPr>
            <w:tcW w:w="632" w:type="dxa"/>
            <w:tcBorders>
              <w:top w:val="nil"/>
              <w:left w:val="single" w:sz="4" w:space="0" w:color="auto"/>
              <w:bottom w:val="nil"/>
              <w:right w:val="nil"/>
            </w:tcBorders>
            <w:shd w:val="clear" w:color="000000" w:fill="D9D9D9"/>
            <w:noWrap/>
            <w:vAlign w:val="center"/>
            <w:hideMark/>
          </w:tcPr>
          <w:p w14:paraId="71F5BE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7B990F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39F7A91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6D1D8DD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21D893A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658E25B6"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3F6F6CF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30B3FFA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046334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CE04C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3DD65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0F83D76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FEA2B5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873F797"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949A74A"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39A3722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4E5E81A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AA0D4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710EDA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F7AF5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39EE3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A103438"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53EE264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723E99F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66A5EA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614CE6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3E54E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D4AF5F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FCA970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328C7D1"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AB011E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6FAC72C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45BD548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5FA28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EA90F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7C967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4A0AD6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F64615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E868BB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7AABEA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305652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A9A664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0528FE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A6770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465CD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E14EFC5"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8F6701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4135F78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4E657DC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96708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46747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9217C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BCE7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345E5E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343F4C0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7B54A54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79563F0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BC06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6056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ED3189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363B5E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3439E7"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B910B2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2666DC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5317672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3DC3CF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1BEA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0F008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7D9E7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208961A"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F9E3F7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14F67F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4F9253D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BA7FE1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CB395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D63333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1B0ADC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92FA7D2"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E7303E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3D690E4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0254CEF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A93F30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8DE46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233607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809C0A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BD81B44"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445FA2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2B99B1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42481D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3936D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9CE96E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7F14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73A8A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268DB09"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7C9AC62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58AFFC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727CD8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86CEA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0B35BA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BCFCD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E1979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E0988A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4BA7CE1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7F9A69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61C0CF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E006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96C867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6F73D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5BC25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093CF4D"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5ECBC4A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4A43588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14A7756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4ED14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5BF256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10A921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938C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593A78A"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6184824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3386DE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5819302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58D61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1A9B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7C8B73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A2918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E5605BE"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C8F28A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0B169D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7DB752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E386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FAB023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E80B0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9F670E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2C43D6C"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52709D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15B233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707B565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ABE08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AD294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B8AA3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0C00D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7D7525EE" w14:textId="77777777" w:rsidR="00C0738E" w:rsidRDefault="00C0738E" w:rsidP="00C0738E"/>
    <w:p w14:paraId="1163AAA6" w14:textId="19A60D83" w:rsidR="00C0738E" w:rsidRDefault="001043B4" w:rsidP="00C0738E">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2b</w:t>
      </w:r>
      <w:r w:rsidRPr="004A0051">
        <w:rPr>
          <w:rFonts w:asciiTheme="minorHAnsi" w:hAnsiTheme="minorHAnsi"/>
          <w:color w:val="000000" w:themeColor="text1"/>
          <w:sz w:val="22"/>
        </w:rPr>
        <w:t xml:space="preserve"> recogniz</w:t>
      </w:r>
      <w:r w:rsidR="00541D5B">
        <w:rPr>
          <w:rFonts w:asciiTheme="minorHAnsi" w:hAnsiTheme="minorHAnsi"/>
          <w:color w:val="000000" w:themeColor="text1"/>
          <w:sz w:val="22"/>
        </w:rPr>
        <w:t>es</w:t>
      </w:r>
      <w:r w:rsidRPr="004A0051">
        <w:rPr>
          <w:rFonts w:asciiTheme="minorHAnsi" w:hAnsiTheme="minorHAnsi"/>
          <w:color w:val="000000" w:themeColor="text1"/>
          <w:sz w:val="22"/>
        </w:rPr>
        <w:t xml:space="preserve"> that the GCC does allow some debt to be included in capital </w:t>
      </w:r>
      <w:r w:rsidR="00212513">
        <w:rPr>
          <w:rFonts w:asciiTheme="minorHAnsi" w:hAnsiTheme="minorHAnsi"/>
          <w:color w:val="000000" w:themeColor="text1"/>
          <w:sz w:val="22"/>
        </w:rPr>
        <w:t xml:space="preserve">up to a predetermined limit </w:t>
      </w:r>
      <w:r w:rsidRPr="004A0051">
        <w:rPr>
          <w:rFonts w:asciiTheme="minorHAnsi" w:hAnsiTheme="minorHAnsi"/>
          <w:color w:val="000000" w:themeColor="text1"/>
          <w:sz w:val="22"/>
        </w:rPr>
        <w:t xml:space="preserve">and can drive </w:t>
      </w:r>
      <w:r w:rsidR="00C0738E" w:rsidRPr="004A0051">
        <w:rPr>
          <w:rFonts w:asciiTheme="minorHAnsi" w:hAnsiTheme="minorHAnsi"/>
          <w:color w:val="000000" w:themeColor="text1"/>
          <w:sz w:val="22"/>
        </w:rPr>
        <w:t xml:space="preserve">the overall GCC ratio. The following </w:t>
      </w:r>
      <w:r w:rsidR="004B39C8" w:rsidRPr="004A0051">
        <w:rPr>
          <w:rFonts w:asciiTheme="minorHAnsi" w:hAnsiTheme="minorHAnsi"/>
          <w:color w:val="000000" w:themeColor="text1"/>
          <w:sz w:val="22"/>
        </w:rPr>
        <w:t xml:space="preserve">sample </w:t>
      </w:r>
      <w:r w:rsidR="00C0738E" w:rsidRPr="004A0051">
        <w:rPr>
          <w:rFonts w:asciiTheme="minorHAnsi" w:hAnsiTheme="minorHAnsi"/>
          <w:color w:val="000000" w:themeColor="text1"/>
          <w:sz w:val="22"/>
        </w:rPr>
        <w:t xml:space="preserve">table </w:t>
      </w:r>
      <w:r w:rsidR="00541D5B">
        <w:rPr>
          <w:rFonts w:asciiTheme="minorHAnsi" w:hAnsiTheme="minorHAnsi"/>
          <w:color w:val="000000" w:themeColor="text1"/>
          <w:sz w:val="22"/>
        </w:rPr>
        <w:t xml:space="preserve">taken </w:t>
      </w:r>
      <w:r w:rsidR="00C0738E" w:rsidRPr="004A0051">
        <w:rPr>
          <w:rFonts w:asciiTheme="minorHAnsi" w:hAnsiTheme="minorHAnsi"/>
          <w:color w:val="000000" w:themeColor="text1"/>
          <w:sz w:val="22"/>
        </w:rPr>
        <w:t xml:space="preserve">from the GCC calculation </w:t>
      </w:r>
      <w:r w:rsidR="00541D5B">
        <w:rPr>
          <w:rFonts w:asciiTheme="minorHAnsi" w:hAnsiTheme="minorHAnsi"/>
          <w:color w:val="000000" w:themeColor="text1"/>
          <w:sz w:val="22"/>
        </w:rPr>
        <w:t xml:space="preserve">using </w:t>
      </w:r>
      <w:r w:rsidR="00C0738E" w:rsidRPr="004A0051">
        <w:rPr>
          <w:rFonts w:asciiTheme="minorHAnsi" w:hAnsiTheme="minorHAnsi"/>
          <w:color w:val="000000" w:themeColor="text1"/>
          <w:sz w:val="22"/>
        </w:rPr>
        <w:t>the data in Schedule 1 can be helpful in making this determination.</w:t>
      </w:r>
      <w:r w:rsidR="00C0738E">
        <w:rPr>
          <w:rFonts w:asciiTheme="minorHAnsi" w:hAnsiTheme="minorHAnsi"/>
          <w:color w:val="000000" w:themeColor="text1"/>
          <w:sz w:val="22"/>
        </w:rPr>
        <w:t xml:space="preserve"> </w:t>
      </w:r>
      <w:r w:rsidR="00212513">
        <w:rPr>
          <w:rFonts w:asciiTheme="minorHAnsi" w:hAnsiTheme="minorHAnsi"/>
          <w:color w:val="000000" w:themeColor="text1"/>
          <w:sz w:val="22"/>
        </w:rPr>
        <w:t>Cases where debt is issued to address risk</w:t>
      </w:r>
      <w:r w:rsidR="00121521">
        <w:rPr>
          <w:rFonts w:asciiTheme="minorHAnsi" w:hAnsiTheme="minorHAnsi"/>
          <w:color w:val="000000" w:themeColor="text1"/>
          <w:sz w:val="22"/>
        </w:rPr>
        <w:t>-</w:t>
      </w:r>
      <w:r w:rsidR="00212513">
        <w:rPr>
          <w:rFonts w:asciiTheme="minorHAnsi" w:hAnsiTheme="minorHAnsi"/>
          <w:color w:val="000000" w:themeColor="text1"/>
          <w:sz w:val="22"/>
        </w:rPr>
        <w:t xml:space="preserve"> driven reductions in the GCC ratio </w:t>
      </w:r>
      <w:r w:rsidR="003C500A">
        <w:rPr>
          <w:rFonts w:asciiTheme="minorHAnsi" w:hAnsiTheme="minorHAnsi"/>
          <w:color w:val="000000" w:themeColor="text1"/>
          <w:sz w:val="22"/>
        </w:rPr>
        <w:t>may not offset those reductions.</w:t>
      </w:r>
      <w:r w:rsidR="00212513">
        <w:rPr>
          <w:rFonts w:asciiTheme="minorHAnsi" w:hAnsiTheme="minorHAnsi"/>
          <w:color w:val="000000" w:themeColor="text1"/>
          <w:sz w:val="22"/>
        </w:rPr>
        <w:t xml:space="preserve"> </w:t>
      </w:r>
      <w:r w:rsidR="007C31C5">
        <w:rPr>
          <w:rFonts w:asciiTheme="minorHAnsi" w:hAnsiTheme="minorHAnsi"/>
          <w:color w:val="000000" w:themeColor="text1"/>
          <w:sz w:val="22"/>
        </w:rPr>
        <w:t>Th</w:t>
      </w:r>
      <w:r w:rsidR="000C05CA">
        <w:rPr>
          <w:rFonts w:asciiTheme="minorHAnsi" w:hAnsiTheme="minorHAnsi"/>
          <w:color w:val="000000" w:themeColor="text1"/>
          <w:sz w:val="22"/>
        </w:rPr>
        <w:t>is data metric may not be available in the case of a “limited filing”.</w:t>
      </w:r>
    </w:p>
    <w:p w14:paraId="7F321332" w14:textId="77777777" w:rsidR="00C0738E" w:rsidRDefault="00C0738E" w:rsidP="00C0738E">
      <w:pPr>
        <w:tabs>
          <w:tab w:val="left" w:pos="360"/>
        </w:tabs>
        <w:jc w:val="both"/>
        <w:rPr>
          <w:rFonts w:asciiTheme="minorHAnsi" w:hAnsiTheme="minorHAnsi"/>
          <w:color w:val="000000" w:themeColor="text1"/>
          <w:sz w:val="22"/>
        </w:rPr>
      </w:pPr>
    </w:p>
    <w:tbl>
      <w:tblPr>
        <w:tblW w:w="6180" w:type="dxa"/>
        <w:tblLook w:val="04A0" w:firstRow="1" w:lastRow="0" w:firstColumn="1" w:lastColumn="0" w:noHBand="0" w:noVBand="1"/>
      </w:tblPr>
      <w:tblGrid>
        <w:gridCol w:w="1860"/>
        <w:gridCol w:w="500"/>
        <w:gridCol w:w="660"/>
        <w:gridCol w:w="700"/>
        <w:gridCol w:w="700"/>
        <w:gridCol w:w="1040"/>
        <w:gridCol w:w="720"/>
      </w:tblGrid>
      <w:tr w:rsidR="00C0738E" w14:paraId="473D2606" w14:textId="77777777" w:rsidTr="00C0738E">
        <w:trPr>
          <w:trHeight w:val="260"/>
        </w:trPr>
        <w:tc>
          <w:tcPr>
            <w:tcW w:w="2360" w:type="dxa"/>
            <w:gridSpan w:val="2"/>
            <w:tcBorders>
              <w:top w:val="single" w:sz="4" w:space="0" w:color="auto"/>
              <w:left w:val="single" w:sz="4" w:space="0" w:color="auto"/>
              <w:bottom w:val="nil"/>
              <w:right w:val="nil"/>
            </w:tcBorders>
            <w:shd w:val="clear" w:color="000000" w:fill="D9D9D9"/>
            <w:vAlign w:val="center"/>
            <w:hideMark/>
          </w:tcPr>
          <w:p w14:paraId="3F17700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Debt/Equity Table </w:t>
            </w:r>
          </w:p>
        </w:tc>
        <w:tc>
          <w:tcPr>
            <w:tcW w:w="3820" w:type="dxa"/>
            <w:gridSpan w:val="5"/>
            <w:tcBorders>
              <w:top w:val="single" w:sz="4" w:space="0" w:color="auto"/>
              <w:left w:val="single" w:sz="4" w:space="0" w:color="auto"/>
              <w:bottom w:val="single" w:sz="4" w:space="0" w:color="auto"/>
              <w:right w:val="single" w:sz="4" w:space="0" w:color="auto"/>
            </w:tcBorders>
            <w:shd w:val="clear" w:color="000000" w:fill="948A54"/>
            <w:vAlign w:val="center"/>
            <w:hideMark/>
          </w:tcPr>
          <w:p w14:paraId="0130C689"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Debt/Equity ($)</w:t>
            </w:r>
          </w:p>
        </w:tc>
      </w:tr>
      <w:tr w:rsidR="00C0738E" w14:paraId="46021B5F" w14:textId="77777777" w:rsidTr="00C0738E">
        <w:trPr>
          <w:trHeight w:val="240"/>
        </w:trPr>
        <w:tc>
          <w:tcPr>
            <w:tcW w:w="1860" w:type="dxa"/>
            <w:vMerge w:val="restart"/>
            <w:tcBorders>
              <w:top w:val="nil"/>
              <w:left w:val="single" w:sz="4" w:space="0" w:color="auto"/>
              <w:bottom w:val="single" w:sz="4" w:space="0" w:color="000000"/>
              <w:right w:val="nil"/>
            </w:tcBorders>
            <w:shd w:val="clear" w:color="000000" w:fill="D9D9D9"/>
            <w:vAlign w:val="center"/>
            <w:hideMark/>
          </w:tcPr>
          <w:p w14:paraId="0FE88D2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500" w:type="dxa"/>
            <w:vMerge w:val="restart"/>
            <w:tcBorders>
              <w:top w:val="nil"/>
              <w:left w:val="nil"/>
              <w:bottom w:val="single" w:sz="4" w:space="0" w:color="000000"/>
              <w:right w:val="nil"/>
            </w:tcBorders>
            <w:shd w:val="clear" w:color="000000" w:fill="D9D9D9"/>
            <w:vAlign w:val="center"/>
            <w:hideMark/>
          </w:tcPr>
          <w:p w14:paraId="677AB48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w:t>
            </w:r>
          </w:p>
        </w:tc>
        <w:tc>
          <w:tcPr>
            <w:tcW w:w="660" w:type="dxa"/>
            <w:tcBorders>
              <w:top w:val="nil"/>
              <w:left w:val="single" w:sz="4" w:space="0" w:color="auto"/>
              <w:bottom w:val="single" w:sz="4" w:space="0" w:color="auto"/>
              <w:right w:val="single" w:sz="4" w:space="0" w:color="auto"/>
            </w:tcBorders>
            <w:shd w:val="clear" w:color="000000" w:fill="D9D9D9"/>
            <w:vAlign w:val="center"/>
            <w:hideMark/>
          </w:tcPr>
          <w:p w14:paraId="696B9553" w14:textId="12610813"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700" w:type="dxa"/>
            <w:tcBorders>
              <w:top w:val="nil"/>
              <w:left w:val="nil"/>
              <w:bottom w:val="single" w:sz="4" w:space="0" w:color="auto"/>
              <w:right w:val="single" w:sz="4" w:space="0" w:color="auto"/>
            </w:tcBorders>
            <w:shd w:val="clear" w:color="000000" w:fill="D9D9D9"/>
            <w:vAlign w:val="center"/>
            <w:hideMark/>
          </w:tcPr>
          <w:p w14:paraId="5F4C7089" w14:textId="2F7F7E32"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4</w:t>
            </w:r>
          </w:p>
        </w:tc>
        <w:tc>
          <w:tcPr>
            <w:tcW w:w="700" w:type="dxa"/>
            <w:tcBorders>
              <w:top w:val="nil"/>
              <w:left w:val="nil"/>
              <w:bottom w:val="single" w:sz="4" w:space="0" w:color="auto"/>
              <w:right w:val="single" w:sz="4" w:space="0" w:color="auto"/>
            </w:tcBorders>
            <w:shd w:val="clear" w:color="000000" w:fill="D9D9D9"/>
            <w:vAlign w:val="center"/>
            <w:hideMark/>
          </w:tcPr>
          <w:p w14:paraId="12861A61" w14:textId="49190DF8"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3</w:t>
            </w:r>
          </w:p>
        </w:tc>
        <w:tc>
          <w:tcPr>
            <w:tcW w:w="1040" w:type="dxa"/>
            <w:tcBorders>
              <w:top w:val="nil"/>
              <w:left w:val="nil"/>
              <w:bottom w:val="single" w:sz="4" w:space="0" w:color="auto"/>
              <w:right w:val="single" w:sz="4" w:space="0" w:color="auto"/>
            </w:tcBorders>
            <w:shd w:val="clear" w:color="000000" w:fill="D9D9D9"/>
            <w:vAlign w:val="center"/>
            <w:hideMark/>
          </w:tcPr>
          <w:p w14:paraId="3DAEB037" w14:textId="6139B9B6"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2</w:t>
            </w:r>
          </w:p>
        </w:tc>
        <w:tc>
          <w:tcPr>
            <w:tcW w:w="720" w:type="dxa"/>
            <w:tcBorders>
              <w:top w:val="nil"/>
              <w:left w:val="nil"/>
              <w:bottom w:val="single" w:sz="4" w:space="0" w:color="auto"/>
              <w:right w:val="single" w:sz="4" w:space="0" w:color="auto"/>
            </w:tcBorders>
            <w:shd w:val="clear" w:color="000000" w:fill="D9D9D9"/>
            <w:vAlign w:val="center"/>
            <w:hideMark/>
          </w:tcPr>
          <w:p w14:paraId="71AAF190" w14:textId="7E96540E"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1</w:t>
            </w:r>
          </w:p>
        </w:tc>
      </w:tr>
      <w:tr w:rsidR="00C0738E" w14:paraId="61DB49F0" w14:textId="77777777" w:rsidTr="00C0738E">
        <w:trPr>
          <w:trHeight w:val="240"/>
        </w:trPr>
        <w:tc>
          <w:tcPr>
            <w:tcW w:w="1860" w:type="dxa"/>
            <w:vMerge/>
            <w:tcBorders>
              <w:top w:val="nil"/>
              <w:left w:val="single" w:sz="4" w:space="0" w:color="auto"/>
              <w:bottom w:val="single" w:sz="4" w:space="0" w:color="000000"/>
              <w:right w:val="nil"/>
            </w:tcBorders>
            <w:vAlign w:val="center"/>
            <w:hideMark/>
          </w:tcPr>
          <w:p w14:paraId="59E0E14E" w14:textId="77777777" w:rsidR="00C0738E" w:rsidRDefault="00C0738E" w:rsidP="00C0738E">
            <w:pPr>
              <w:rPr>
                <w:rFonts w:ascii="Calibri" w:hAnsi="Calibri" w:cs="Calibri"/>
                <w:b/>
                <w:bCs/>
                <w:sz w:val="20"/>
                <w:szCs w:val="20"/>
              </w:rPr>
            </w:pPr>
          </w:p>
        </w:tc>
        <w:tc>
          <w:tcPr>
            <w:tcW w:w="500" w:type="dxa"/>
            <w:vMerge/>
            <w:tcBorders>
              <w:top w:val="nil"/>
              <w:left w:val="nil"/>
              <w:bottom w:val="single" w:sz="4" w:space="0" w:color="000000"/>
              <w:right w:val="nil"/>
            </w:tcBorders>
            <w:vAlign w:val="center"/>
            <w:hideMark/>
          </w:tcPr>
          <w:p w14:paraId="2330465A" w14:textId="77777777" w:rsidR="00C0738E" w:rsidRDefault="00C0738E" w:rsidP="00C0738E">
            <w:pPr>
              <w:rPr>
                <w:rFonts w:ascii="Calibri" w:hAnsi="Calibri" w:cs="Calibri"/>
                <w:b/>
                <w:bCs/>
                <w:sz w:val="20"/>
                <w:szCs w:val="20"/>
              </w:rPr>
            </w:pPr>
          </w:p>
        </w:tc>
        <w:tc>
          <w:tcPr>
            <w:tcW w:w="660" w:type="dxa"/>
            <w:tcBorders>
              <w:top w:val="nil"/>
              <w:left w:val="single" w:sz="4" w:space="0" w:color="auto"/>
              <w:bottom w:val="nil"/>
              <w:right w:val="nil"/>
            </w:tcBorders>
            <w:shd w:val="clear" w:color="000000" w:fill="D9D9D9"/>
            <w:noWrap/>
            <w:vAlign w:val="center"/>
            <w:hideMark/>
          </w:tcPr>
          <w:p w14:paraId="0E07BC7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700" w:type="dxa"/>
            <w:tcBorders>
              <w:top w:val="nil"/>
              <w:left w:val="single" w:sz="4" w:space="0" w:color="auto"/>
              <w:bottom w:val="nil"/>
              <w:right w:val="nil"/>
            </w:tcBorders>
            <w:shd w:val="clear" w:color="000000" w:fill="D9D9D9"/>
            <w:noWrap/>
            <w:vAlign w:val="center"/>
            <w:hideMark/>
          </w:tcPr>
          <w:p w14:paraId="59D51B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700" w:type="dxa"/>
            <w:tcBorders>
              <w:top w:val="nil"/>
              <w:left w:val="single" w:sz="4" w:space="0" w:color="auto"/>
              <w:bottom w:val="nil"/>
              <w:right w:val="nil"/>
            </w:tcBorders>
            <w:shd w:val="clear" w:color="000000" w:fill="D9D9D9"/>
            <w:noWrap/>
            <w:vAlign w:val="center"/>
            <w:hideMark/>
          </w:tcPr>
          <w:p w14:paraId="5F89553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1040" w:type="dxa"/>
            <w:tcBorders>
              <w:top w:val="nil"/>
              <w:left w:val="single" w:sz="4" w:space="0" w:color="auto"/>
              <w:bottom w:val="nil"/>
              <w:right w:val="nil"/>
            </w:tcBorders>
            <w:shd w:val="clear" w:color="000000" w:fill="D9D9D9"/>
            <w:noWrap/>
            <w:vAlign w:val="center"/>
            <w:hideMark/>
          </w:tcPr>
          <w:p w14:paraId="3298446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720" w:type="dxa"/>
            <w:tcBorders>
              <w:top w:val="nil"/>
              <w:left w:val="single" w:sz="4" w:space="0" w:color="auto"/>
              <w:bottom w:val="nil"/>
              <w:right w:val="nil"/>
            </w:tcBorders>
            <w:shd w:val="clear" w:color="000000" w:fill="D9D9D9"/>
            <w:noWrap/>
            <w:vAlign w:val="center"/>
            <w:hideMark/>
          </w:tcPr>
          <w:p w14:paraId="168405B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65E952B7" w14:textId="77777777" w:rsidTr="00C0738E">
        <w:trPr>
          <w:trHeight w:val="240"/>
        </w:trPr>
        <w:tc>
          <w:tcPr>
            <w:tcW w:w="1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B078F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Total</w:t>
            </w:r>
          </w:p>
        </w:tc>
        <w:tc>
          <w:tcPr>
            <w:tcW w:w="500" w:type="dxa"/>
            <w:tcBorders>
              <w:top w:val="nil"/>
              <w:left w:val="nil"/>
              <w:bottom w:val="single" w:sz="4" w:space="0" w:color="auto"/>
              <w:right w:val="single" w:sz="4" w:space="0" w:color="auto"/>
            </w:tcBorders>
            <w:shd w:val="clear" w:color="000000" w:fill="D9D9D9"/>
            <w:noWrap/>
            <w:vAlign w:val="center"/>
            <w:hideMark/>
          </w:tcPr>
          <w:p w14:paraId="711C9FF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60" w:type="dxa"/>
            <w:tcBorders>
              <w:top w:val="nil"/>
              <w:left w:val="nil"/>
              <w:bottom w:val="single" w:sz="4" w:space="0" w:color="7F7F7F"/>
              <w:right w:val="single" w:sz="4" w:space="0" w:color="7F7F7F"/>
            </w:tcBorders>
            <w:shd w:val="clear" w:color="000000" w:fill="FFFF99"/>
            <w:noWrap/>
            <w:vAlign w:val="center"/>
            <w:hideMark/>
          </w:tcPr>
          <w:p w14:paraId="723104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D83604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141245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1040" w:type="dxa"/>
            <w:tcBorders>
              <w:top w:val="nil"/>
              <w:left w:val="single" w:sz="4" w:space="0" w:color="auto"/>
              <w:bottom w:val="single" w:sz="4" w:space="0" w:color="7F7F7F"/>
              <w:right w:val="single" w:sz="4" w:space="0" w:color="7F7F7F"/>
            </w:tcBorders>
            <w:shd w:val="clear" w:color="000000" w:fill="FFFF99"/>
            <w:noWrap/>
            <w:vAlign w:val="center"/>
            <w:hideMark/>
          </w:tcPr>
          <w:p w14:paraId="1BF9D1A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72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9ECA1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r>
    </w:tbl>
    <w:p w14:paraId="43172EE4" w14:textId="77777777" w:rsidR="00C0738E" w:rsidRDefault="00C0738E" w:rsidP="00C0738E">
      <w:pPr>
        <w:tabs>
          <w:tab w:val="left" w:pos="360"/>
        </w:tabs>
        <w:jc w:val="both"/>
        <w:rPr>
          <w:rFonts w:asciiTheme="minorHAnsi" w:hAnsiTheme="minorHAnsi"/>
          <w:color w:val="000000" w:themeColor="text1"/>
          <w:sz w:val="22"/>
        </w:rPr>
      </w:pPr>
    </w:p>
    <w:p w14:paraId="2CF5EB58" w14:textId="68238E3A" w:rsidR="00C0738E" w:rsidRDefault="00C0738E" w:rsidP="00C0738E">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2c</w:t>
      </w:r>
      <w:r w:rsidRPr="004A0051">
        <w:rPr>
          <w:rFonts w:asciiTheme="minorHAnsi" w:hAnsiTheme="minorHAnsi"/>
          <w:color w:val="000000" w:themeColor="text1"/>
          <w:sz w:val="22"/>
        </w:rPr>
        <w:t xml:space="preserve"> recognizes that profitability is generally </w:t>
      </w:r>
      <w:r w:rsidR="00541D5B">
        <w:rPr>
          <w:rFonts w:asciiTheme="minorHAnsi" w:hAnsiTheme="minorHAnsi"/>
          <w:color w:val="000000" w:themeColor="text1"/>
          <w:sz w:val="22"/>
        </w:rPr>
        <w:t xml:space="preserve">one of </w:t>
      </w:r>
      <w:r w:rsidRPr="004A0051">
        <w:rPr>
          <w:rFonts w:asciiTheme="minorHAnsi" w:hAnsiTheme="minorHAnsi"/>
          <w:color w:val="000000" w:themeColor="text1"/>
          <w:sz w:val="22"/>
        </w:rPr>
        <w:t>the biggest driver</w:t>
      </w:r>
      <w:r w:rsidR="00541D5B">
        <w:rPr>
          <w:rFonts w:asciiTheme="minorHAnsi" w:hAnsiTheme="minorHAnsi"/>
          <w:color w:val="000000" w:themeColor="text1"/>
          <w:sz w:val="22"/>
        </w:rPr>
        <w:t>s</w:t>
      </w:r>
      <w:r w:rsidRPr="004A0051">
        <w:rPr>
          <w:rFonts w:asciiTheme="minorHAnsi" w:hAnsiTheme="minorHAnsi"/>
          <w:color w:val="000000" w:themeColor="text1"/>
          <w:sz w:val="22"/>
        </w:rPr>
        <w:t xml:space="preserve"> of changes in </w:t>
      </w:r>
      <w:r w:rsidR="00336B54" w:rsidRPr="004A0051">
        <w:rPr>
          <w:rFonts w:asciiTheme="minorHAnsi" w:hAnsiTheme="minorHAnsi"/>
          <w:color w:val="000000" w:themeColor="text1"/>
          <w:sz w:val="22"/>
        </w:rPr>
        <w:t>capital and</w:t>
      </w:r>
      <w:r w:rsidRPr="004A0051">
        <w:rPr>
          <w:rFonts w:asciiTheme="minorHAnsi" w:hAnsiTheme="minorHAnsi"/>
          <w:color w:val="000000" w:themeColor="text1"/>
          <w:sz w:val="22"/>
        </w:rPr>
        <w:t xml:space="preserve"> utilizing the following table from the GCC can assist in identifying if there are entities reporting net losses that may be driving the decreases in capital. The following table </w:t>
      </w:r>
      <w:r w:rsidR="00541D5B">
        <w:rPr>
          <w:rFonts w:asciiTheme="minorHAnsi" w:hAnsiTheme="minorHAnsi"/>
          <w:color w:val="000000" w:themeColor="text1"/>
          <w:sz w:val="22"/>
        </w:rPr>
        <w:t xml:space="preserve">taken </w:t>
      </w:r>
      <w:r w:rsidRPr="004A0051">
        <w:rPr>
          <w:rFonts w:asciiTheme="minorHAnsi" w:hAnsiTheme="minorHAnsi"/>
          <w:color w:val="000000" w:themeColor="text1"/>
          <w:sz w:val="22"/>
        </w:rPr>
        <w:t xml:space="preserve">from the GCC </w:t>
      </w:r>
      <w:r w:rsidR="00541D5B">
        <w:rPr>
          <w:rFonts w:asciiTheme="minorHAnsi" w:hAnsiTheme="minorHAnsi"/>
          <w:color w:val="000000" w:themeColor="text1"/>
          <w:sz w:val="22"/>
        </w:rPr>
        <w:t xml:space="preserve">using </w:t>
      </w:r>
      <w:r w:rsidRPr="004A0051">
        <w:rPr>
          <w:rFonts w:asciiTheme="minorHAnsi" w:hAnsiTheme="minorHAnsi"/>
          <w:color w:val="000000" w:themeColor="text1"/>
          <w:sz w:val="22"/>
        </w:rPr>
        <w:t>the data in Schedule 1 can be helpful in determining the source of the issues.</w:t>
      </w:r>
    </w:p>
    <w:p w14:paraId="5F7E1990" w14:textId="77777777" w:rsidR="00297802" w:rsidRDefault="00297802" w:rsidP="00C0738E">
      <w:pPr>
        <w:tabs>
          <w:tab w:val="left" w:pos="360"/>
        </w:tabs>
        <w:jc w:val="both"/>
        <w:rPr>
          <w:rFonts w:asciiTheme="minorHAnsi" w:hAnsiTheme="minorHAnsi"/>
          <w:color w:val="000000" w:themeColor="text1"/>
          <w:sz w:val="22"/>
        </w:rPr>
      </w:pPr>
    </w:p>
    <w:p w14:paraId="425B153A" w14:textId="77777777" w:rsidR="00C0738E" w:rsidRDefault="00C0738E" w:rsidP="00C0738E">
      <w:pPr>
        <w:tabs>
          <w:tab w:val="left" w:pos="360"/>
        </w:tabs>
        <w:jc w:val="both"/>
        <w:rPr>
          <w:rFonts w:asciiTheme="minorHAnsi" w:hAnsiTheme="minorHAnsi"/>
          <w:color w:val="000000" w:themeColor="text1"/>
          <w:sz w:val="22"/>
        </w:rPr>
      </w:pPr>
    </w:p>
    <w:tbl>
      <w:tblPr>
        <w:tblW w:w="9440" w:type="dxa"/>
        <w:tblLook w:val="04A0" w:firstRow="1" w:lastRow="0" w:firstColumn="1" w:lastColumn="0" w:noHBand="0" w:noVBand="1"/>
      </w:tblPr>
      <w:tblGrid>
        <w:gridCol w:w="2200"/>
        <w:gridCol w:w="500"/>
        <w:gridCol w:w="660"/>
        <w:gridCol w:w="700"/>
        <w:gridCol w:w="700"/>
        <w:gridCol w:w="700"/>
        <w:gridCol w:w="720"/>
        <w:gridCol w:w="640"/>
        <w:gridCol w:w="680"/>
        <w:gridCol w:w="660"/>
        <w:gridCol w:w="640"/>
        <w:gridCol w:w="640"/>
      </w:tblGrid>
      <w:tr w:rsidR="00C0738E" w14:paraId="5D20A404" w14:textId="77777777" w:rsidTr="00C0738E">
        <w:trPr>
          <w:trHeight w:val="260"/>
        </w:trPr>
        <w:tc>
          <w:tcPr>
            <w:tcW w:w="2700" w:type="dxa"/>
            <w:gridSpan w:val="2"/>
            <w:tcBorders>
              <w:top w:val="single" w:sz="4" w:space="0" w:color="auto"/>
              <w:left w:val="single" w:sz="4" w:space="0" w:color="auto"/>
              <w:bottom w:val="nil"/>
              <w:right w:val="nil"/>
            </w:tcBorders>
            <w:shd w:val="clear" w:color="000000" w:fill="D9D9D9"/>
            <w:vAlign w:val="center"/>
            <w:hideMark/>
          </w:tcPr>
          <w:p w14:paraId="3B4A2DB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Income &amp; Leverage Table </w:t>
            </w:r>
          </w:p>
        </w:tc>
        <w:tc>
          <w:tcPr>
            <w:tcW w:w="3480" w:type="dxa"/>
            <w:gridSpan w:val="5"/>
            <w:tcBorders>
              <w:top w:val="single" w:sz="4" w:space="0" w:color="auto"/>
              <w:left w:val="single" w:sz="4" w:space="0" w:color="auto"/>
              <w:bottom w:val="single" w:sz="4" w:space="0" w:color="auto"/>
              <w:right w:val="single" w:sz="4" w:space="0" w:color="auto"/>
            </w:tcBorders>
            <w:shd w:val="clear" w:color="000000" w:fill="948A54"/>
            <w:vAlign w:val="center"/>
            <w:hideMark/>
          </w:tcPr>
          <w:p w14:paraId="27C85837"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Net Income ($)</w:t>
            </w:r>
          </w:p>
        </w:tc>
        <w:tc>
          <w:tcPr>
            <w:tcW w:w="3260" w:type="dxa"/>
            <w:gridSpan w:val="5"/>
            <w:tcBorders>
              <w:top w:val="single" w:sz="4" w:space="0" w:color="auto"/>
              <w:left w:val="nil"/>
              <w:bottom w:val="single" w:sz="4" w:space="0" w:color="auto"/>
              <w:right w:val="single" w:sz="4" w:space="0" w:color="000000"/>
            </w:tcBorders>
            <w:shd w:val="clear" w:color="000000" w:fill="948A54"/>
            <w:vAlign w:val="center"/>
            <w:hideMark/>
          </w:tcPr>
          <w:p w14:paraId="4BECF931"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Return on Capital</w:t>
            </w:r>
          </w:p>
        </w:tc>
      </w:tr>
      <w:tr w:rsidR="00C0738E" w14:paraId="3E6203C5" w14:textId="77777777" w:rsidTr="00C0738E">
        <w:trPr>
          <w:trHeight w:val="240"/>
        </w:trPr>
        <w:tc>
          <w:tcPr>
            <w:tcW w:w="2200" w:type="dxa"/>
            <w:vMerge w:val="restart"/>
            <w:tcBorders>
              <w:top w:val="nil"/>
              <w:left w:val="single" w:sz="4" w:space="0" w:color="auto"/>
              <w:bottom w:val="single" w:sz="4" w:space="0" w:color="000000"/>
              <w:right w:val="nil"/>
            </w:tcBorders>
            <w:shd w:val="clear" w:color="000000" w:fill="D9D9D9"/>
            <w:vAlign w:val="center"/>
            <w:hideMark/>
          </w:tcPr>
          <w:p w14:paraId="484117C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500" w:type="dxa"/>
            <w:vMerge w:val="restart"/>
            <w:tcBorders>
              <w:top w:val="nil"/>
              <w:left w:val="nil"/>
              <w:bottom w:val="single" w:sz="4" w:space="0" w:color="000000"/>
              <w:right w:val="nil"/>
            </w:tcBorders>
            <w:shd w:val="clear" w:color="000000" w:fill="D9D9D9"/>
            <w:vAlign w:val="center"/>
            <w:hideMark/>
          </w:tcPr>
          <w:p w14:paraId="0439FD7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w:t>
            </w:r>
          </w:p>
        </w:tc>
        <w:tc>
          <w:tcPr>
            <w:tcW w:w="660" w:type="dxa"/>
            <w:tcBorders>
              <w:top w:val="nil"/>
              <w:left w:val="single" w:sz="4" w:space="0" w:color="auto"/>
              <w:bottom w:val="single" w:sz="4" w:space="0" w:color="auto"/>
              <w:right w:val="single" w:sz="4" w:space="0" w:color="auto"/>
            </w:tcBorders>
            <w:shd w:val="clear" w:color="000000" w:fill="D9D9D9"/>
            <w:vAlign w:val="center"/>
            <w:hideMark/>
          </w:tcPr>
          <w:p w14:paraId="3FBDA5B5" w14:textId="37142BB3"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700" w:type="dxa"/>
            <w:tcBorders>
              <w:top w:val="nil"/>
              <w:left w:val="nil"/>
              <w:bottom w:val="single" w:sz="4" w:space="0" w:color="auto"/>
              <w:right w:val="single" w:sz="4" w:space="0" w:color="auto"/>
            </w:tcBorders>
            <w:shd w:val="clear" w:color="000000" w:fill="D9D9D9"/>
            <w:vAlign w:val="center"/>
            <w:hideMark/>
          </w:tcPr>
          <w:p w14:paraId="698AE4AC" w14:textId="1BDD49B2"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4</w:t>
            </w:r>
          </w:p>
        </w:tc>
        <w:tc>
          <w:tcPr>
            <w:tcW w:w="700" w:type="dxa"/>
            <w:tcBorders>
              <w:top w:val="nil"/>
              <w:left w:val="nil"/>
              <w:bottom w:val="single" w:sz="4" w:space="0" w:color="auto"/>
              <w:right w:val="single" w:sz="4" w:space="0" w:color="auto"/>
            </w:tcBorders>
            <w:shd w:val="clear" w:color="000000" w:fill="D9D9D9"/>
            <w:vAlign w:val="center"/>
            <w:hideMark/>
          </w:tcPr>
          <w:p w14:paraId="1073851C" w14:textId="1360F913"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3</w:t>
            </w:r>
          </w:p>
        </w:tc>
        <w:tc>
          <w:tcPr>
            <w:tcW w:w="700" w:type="dxa"/>
            <w:tcBorders>
              <w:top w:val="nil"/>
              <w:left w:val="nil"/>
              <w:bottom w:val="single" w:sz="4" w:space="0" w:color="auto"/>
              <w:right w:val="single" w:sz="4" w:space="0" w:color="auto"/>
            </w:tcBorders>
            <w:shd w:val="clear" w:color="000000" w:fill="D9D9D9"/>
            <w:vAlign w:val="center"/>
            <w:hideMark/>
          </w:tcPr>
          <w:p w14:paraId="3AC648DB" w14:textId="0A40055A"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2</w:t>
            </w:r>
          </w:p>
        </w:tc>
        <w:tc>
          <w:tcPr>
            <w:tcW w:w="720" w:type="dxa"/>
            <w:tcBorders>
              <w:top w:val="nil"/>
              <w:left w:val="nil"/>
              <w:bottom w:val="single" w:sz="4" w:space="0" w:color="auto"/>
              <w:right w:val="single" w:sz="4" w:space="0" w:color="auto"/>
            </w:tcBorders>
            <w:shd w:val="clear" w:color="000000" w:fill="D9D9D9"/>
            <w:vAlign w:val="center"/>
            <w:hideMark/>
          </w:tcPr>
          <w:p w14:paraId="63E5D08C" w14:textId="551A110E"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1</w:t>
            </w:r>
          </w:p>
        </w:tc>
        <w:tc>
          <w:tcPr>
            <w:tcW w:w="640" w:type="dxa"/>
            <w:tcBorders>
              <w:top w:val="nil"/>
              <w:left w:val="nil"/>
              <w:bottom w:val="single" w:sz="4" w:space="0" w:color="auto"/>
              <w:right w:val="single" w:sz="4" w:space="0" w:color="auto"/>
            </w:tcBorders>
            <w:shd w:val="clear" w:color="000000" w:fill="D9D9D9"/>
            <w:vAlign w:val="center"/>
            <w:hideMark/>
          </w:tcPr>
          <w:p w14:paraId="027E86A5" w14:textId="640D2B3D"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680" w:type="dxa"/>
            <w:tcBorders>
              <w:top w:val="nil"/>
              <w:left w:val="nil"/>
              <w:bottom w:val="single" w:sz="4" w:space="0" w:color="auto"/>
              <w:right w:val="single" w:sz="4" w:space="0" w:color="auto"/>
            </w:tcBorders>
            <w:shd w:val="clear" w:color="000000" w:fill="D9D9D9"/>
            <w:vAlign w:val="center"/>
            <w:hideMark/>
          </w:tcPr>
          <w:p w14:paraId="4B001E1D" w14:textId="6840A53D"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4</w:t>
            </w:r>
          </w:p>
        </w:tc>
        <w:tc>
          <w:tcPr>
            <w:tcW w:w="660" w:type="dxa"/>
            <w:tcBorders>
              <w:top w:val="nil"/>
              <w:left w:val="nil"/>
              <w:bottom w:val="single" w:sz="4" w:space="0" w:color="auto"/>
              <w:right w:val="single" w:sz="4" w:space="0" w:color="auto"/>
            </w:tcBorders>
            <w:shd w:val="clear" w:color="000000" w:fill="D9D9D9"/>
            <w:vAlign w:val="center"/>
            <w:hideMark/>
          </w:tcPr>
          <w:p w14:paraId="5E9024E3" w14:textId="13100C73"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3</w:t>
            </w:r>
          </w:p>
        </w:tc>
        <w:tc>
          <w:tcPr>
            <w:tcW w:w="640" w:type="dxa"/>
            <w:tcBorders>
              <w:top w:val="nil"/>
              <w:left w:val="nil"/>
              <w:bottom w:val="single" w:sz="4" w:space="0" w:color="auto"/>
              <w:right w:val="single" w:sz="4" w:space="0" w:color="auto"/>
            </w:tcBorders>
            <w:shd w:val="clear" w:color="000000" w:fill="D9D9D9"/>
            <w:vAlign w:val="center"/>
            <w:hideMark/>
          </w:tcPr>
          <w:p w14:paraId="5AE40DF3" w14:textId="69BA51D8"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2</w:t>
            </w:r>
          </w:p>
        </w:tc>
        <w:tc>
          <w:tcPr>
            <w:tcW w:w="640" w:type="dxa"/>
            <w:tcBorders>
              <w:top w:val="nil"/>
              <w:left w:val="nil"/>
              <w:bottom w:val="single" w:sz="4" w:space="0" w:color="auto"/>
              <w:right w:val="single" w:sz="4" w:space="0" w:color="auto"/>
            </w:tcBorders>
            <w:shd w:val="clear" w:color="000000" w:fill="D9D9D9"/>
            <w:vAlign w:val="center"/>
            <w:hideMark/>
          </w:tcPr>
          <w:p w14:paraId="79F81C49" w14:textId="2BE2C2E8"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1</w:t>
            </w:r>
          </w:p>
        </w:tc>
      </w:tr>
      <w:tr w:rsidR="00C0738E" w14:paraId="53EC3401" w14:textId="77777777" w:rsidTr="00C0738E">
        <w:trPr>
          <w:trHeight w:val="240"/>
        </w:trPr>
        <w:tc>
          <w:tcPr>
            <w:tcW w:w="2200" w:type="dxa"/>
            <w:vMerge/>
            <w:tcBorders>
              <w:top w:val="nil"/>
              <w:left w:val="single" w:sz="4" w:space="0" w:color="auto"/>
              <w:bottom w:val="single" w:sz="4" w:space="0" w:color="000000"/>
              <w:right w:val="nil"/>
            </w:tcBorders>
            <w:vAlign w:val="center"/>
            <w:hideMark/>
          </w:tcPr>
          <w:p w14:paraId="51378218" w14:textId="77777777" w:rsidR="00C0738E" w:rsidRDefault="00C0738E" w:rsidP="00C0738E">
            <w:pPr>
              <w:rPr>
                <w:rFonts w:ascii="Calibri" w:hAnsi="Calibri" w:cs="Calibri"/>
                <w:b/>
                <w:bCs/>
                <w:sz w:val="20"/>
                <w:szCs w:val="20"/>
              </w:rPr>
            </w:pPr>
          </w:p>
        </w:tc>
        <w:tc>
          <w:tcPr>
            <w:tcW w:w="500" w:type="dxa"/>
            <w:vMerge/>
            <w:tcBorders>
              <w:top w:val="nil"/>
              <w:left w:val="nil"/>
              <w:bottom w:val="single" w:sz="4" w:space="0" w:color="000000"/>
              <w:right w:val="nil"/>
            </w:tcBorders>
            <w:vAlign w:val="center"/>
            <w:hideMark/>
          </w:tcPr>
          <w:p w14:paraId="5986B147" w14:textId="77777777" w:rsidR="00C0738E" w:rsidRDefault="00C0738E" w:rsidP="00C0738E">
            <w:pPr>
              <w:rPr>
                <w:rFonts w:ascii="Calibri" w:hAnsi="Calibri" w:cs="Calibri"/>
                <w:b/>
                <w:bCs/>
                <w:sz w:val="20"/>
                <w:szCs w:val="20"/>
              </w:rPr>
            </w:pPr>
          </w:p>
        </w:tc>
        <w:tc>
          <w:tcPr>
            <w:tcW w:w="660" w:type="dxa"/>
            <w:tcBorders>
              <w:top w:val="nil"/>
              <w:left w:val="single" w:sz="4" w:space="0" w:color="auto"/>
              <w:bottom w:val="nil"/>
              <w:right w:val="nil"/>
            </w:tcBorders>
            <w:shd w:val="clear" w:color="000000" w:fill="D9D9D9"/>
            <w:noWrap/>
            <w:vAlign w:val="center"/>
            <w:hideMark/>
          </w:tcPr>
          <w:p w14:paraId="1F4BD3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700" w:type="dxa"/>
            <w:tcBorders>
              <w:top w:val="nil"/>
              <w:left w:val="single" w:sz="4" w:space="0" w:color="auto"/>
              <w:bottom w:val="nil"/>
              <w:right w:val="nil"/>
            </w:tcBorders>
            <w:shd w:val="clear" w:color="000000" w:fill="D9D9D9"/>
            <w:noWrap/>
            <w:vAlign w:val="center"/>
            <w:hideMark/>
          </w:tcPr>
          <w:p w14:paraId="3AFCAB4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700" w:type="dxa"/>
            <w:tcBorders>
              <w:top w:val="nil"/>
              <w:left w:val="single" w:sz="4" w:space="0" w:color="auto"/>
              <w:bottom w:val="nil"/>
              <w:right w:val="nil"/>
            </w:tcBorders>
            <w:shd w:val="clear" w:color="000000" w:fill="D9D9D9"/>
            <w:noWrap/>
            <w:vAlign w:val="center"/>
            <w:hideMark/>
          </w:tcPr>
          <w:p w14:paraId="0A430F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700" w:type="dxa"/>
            <w:tcBorders>
              <w:top w:val="nil"/>
              <w:left w:val="single" w:sz="4" w:space="0" w:color="auto"/>
              <w:bottom w:val="nil"/>
              <w:right w:val="nil"/>
            </w:tcBorders>
            <w:shd w:val="clear" w:color="000000" w:fill="D9D9D9"/>
            <w:noWrap/>
            <w:vAlign w:val="center"/>
            <w:hideMark/>
          </w:tcPr>
          <w:p w14:paraId="49A9B8B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720" w:type="dxa"/>
            <w:tcBorders>
              <w:top w:val="nil"/>
              <w:left w:val="single" w:sz="4" w:space="0" w:color="auto"/>
              <w:bottom w:val="nil"/>
              <w:right w:val="nil"/>
            </w:tcBorders>
            <w:shd w:val="clear" w:color="000000" w:fill="D9D9D9"/>
            <w:noWrap/>
            <w:vAlign w:val="center"/>
            <w:hideMark/>
          </w:tcPr>
          <w:p w14:paraId="0F1F308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40" w:type="dxa"/>
            <w:tcBorders>
              <w:top w:val="nil"/>
              <w:left w:val="single" w:sz="4" w:space="0" w:color="auto"/>
              <w:bottom w:val="nil"/>
              <w:right w:val="nil"/>
            </w:tcBorders>
            <w:shd w:val="clear" w:color="000000" w:fill="D9D9D9"/>
            <w:noWrap/>
            <w:vAlign w:val="center"/>
            <w:hideMark/>
          </w:tcPr>
          <w:p w14:paraId="3A945B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80" w:type="dxa"/>
            <w:tcBorders>
              <w:top w:val="nil"/>
              <w:left w:val="single" w:sz="4" w:space="0" w:color="auto"/>
              <w:bottom w:val="nil"/>
              <w:right w:val="nil"/>
            </w:tcBorders>
            <w:shd w:val="clear" w:color="000000" w:fill="D9D9D9"/>
            <w:noWrap/>
            <w:vAlign w:val="center"/>
            <w:hideMark/>
          </w:tcPr>
          <w:p w14:paraId="6898044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60" w:type="dxa"/>
            <w:tcBorders>
              <w:top w:val="nil"/>
              <w:left w:val="single" w:sz="4" w:space="0" w:color="auto"/>
              <w:bottom w:val="nil"/>
              <w:right w:val="nil"/>
            </w:tcBorders>
            <w:shd w:val="clear" w:color="000000" w:fill="D9D9D9"/>
            <w:noWrap/>
            <w:vAlign w:val="center"/>
            <w:hideMark/>
          </w:tcPr>
          <w:p w14:paraId="2AE97F9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40" w:type="dxa"/>
            <w:tcBorders>
              <w:top w:val="nil"/>
              <w:left w:val="single" w:sz="4" w:space="0" w:color="auto"/>
              <w:bottom w:val="nil"/>
              <w:right w:val="nil"/>
            </w:tcBorders>
            <w:shd w:val="clear" w:color="000000" w:fill="D9D9D9"/>
            <w:noWrap/>
            <w:vAlign w:val="center"/>
            <w:hideMark/>
          </w:tcPr>
          <w:p w14:paraId="5AD1D07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40" w:type="dxa"/>
            <w:tcBorders>
              <w:top w:val="nil"/>
              <w:left w:val="single" w:sz="4" w:space="0" w:color="auto"/>
              <w:bottom w:val="nil"/>
              <w:right w:val="nil"/>
            </w:tcBorders>
            <w:shd w:val="clear" w:color="000000" w:fill="D9D9D9"/>
            <w:noWrap/>
            <w:vAlign w:val="center"/>
            <w:hideMark/>
          </w:tcPr>
          <w:p w14:paraId="3E36B5E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70363594" w14:textId="77777777" w:rsidTr="00C0738E">
        <w:trPr>
          <w:trHeight w:val="240"/>
        </w:trPr>
        <w:tc>
          <w:tcPr>
            <w:tcW w:w="22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93FE3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US Ins</w:t>
            </w:r>
          </w:p>
        </w:tc>
        <w:tc>
          <w:tcPr>
            <w:tcW w:w="500" w:type="dxa"/>
            <w:tcBorders>
              <w:top w:val="nil"/>
              <w:left w:val="nil"/>
              <w:bottom w:val="nil"/>
              <w:right w:val="single" w:sz="4" w:space="0" w:color="auto"/>
            </w:tcBorders>
            <w:shd w:val="clear" w:color="000000" w:fill="D9D9D9"/>
            <w:noWrap/>
            <w:vAlign w:val="center"/>
            <w:hideMark/>
          </w:tcPr>
          <w:p w14:paraId="738BE3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60" w:type="dxa"/>
            <w:tcBorders>
              <w:top w:val="single" w:sz="4" w:space="0" w:color="7F7F7F"/>
              <w:left w:val="nil"/>
              <w:bottom w:val="single" w:sz="4" w:space="0" w:color="7F7F7F"/>
              <w:right w:val="single" w:sz="4" w:space="0" w:color="7F7F7F"/>
            </w:tcBorders>
            <w:shd w:val="clear" w:color="000000" w:fill="FFFF99"/>
            <w:noWrap/>
            <w:vAlign w:val="center"/>
            <w:hideMark/>
          </w:tcPr>
          <w:p w14:paraId="58AAA5C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25A606F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D66763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ED119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single" w:sz="4" w:space="0" w:color="7F7F7F"/>
              <w:left w:val="nil"/>
              <w:bottom w:val="single" w:sz="4" w:space="0" w:color="7F7F7F"/>
              <w:right w:val="single" w:sz="4" w:space="0" w:color="auto"/>
            </w:tcBorders>
            <w:shd w:val="clear" w:color="000000" w:fill="FFFF99"/>
            <w:noWrap/>
            <w:vAlign w:val="center"/>
            <w:hideMark/>
          </w:tcPr>
          <w:p w14:paraId="06D307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7F7F7F"/>
              <w:right w:val="single" w:sz="4" w:space="0" w:color="7F7F7F"/>
            </w:tcBorders>
            <w:shd w:val="clear" w:color="000000" w:fill="FFFF99"/>
            <w:noWrap/>
            <w:vAlign w:val="center"/>
            <w:hideMark/>
          </w:tcPr>
          <w:p w14:paraId="68C035D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30DF0ED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84A1B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single" w:sz="4" w:space="0" w:color="7F7F7F"/>
              <w:left w:val="nil"/>
              <w:bottom w:val="single" w:sz="4" w:space="0" w:color="7F7F7F"/>
              <w:right w:val="single" w:sz="4" w:space="0" w:color="7F7F7F"/>
            </w:tcBorders>
            <w:shd w:val="clear" w:color="000000" w:fill="FFFF99"/>
            <w:noWrap/>
            <w:vAlign w:val="center"/>
            <w:hideMark/>
          </w:tcPr>
          <w:p w14:paraId="4E03BC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7F7F7F"/>
              <w:right w:val="single" w:sz="4" w:space="0" w:color="auto"/>
            </w:tcBorders>
            <w:shd w:val="clear" w:color="000000" w:fill="FFFF99"/>
            <w:noWrap/>
            <w:vAlign w:val="center"/>
            <w:hideMark/>
          </w:tcPr>
          <w:p w14:paraId="0069A6F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B00587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B25A4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Non-US Ins</w:t>
            </w:r>
          </w:p>
        </w:tc>
        <w:tc>
          <w:tcPr>
            <w:tcW w:w="500" w:type="dxa"/>
            <w:tcBorders>
              <w:top w:val="nil"/>
              <w:left w:val="nil"/>
              <w:bottom w:val="nil"/>
              <w:right w:val="single" w:sz="4" w:space="0" w:color="auto"/>
            </w:tcBorders>
            <w:shd w:val="clear" w:color="000000" w:fill="D9D9D9"/>
            <w:noWrap/>
            <w:vAlign w:val="center"/>
            <w:hideMark/>
          </w:tcPr>
          <w:p w14:paraId="573EA3E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60" w:type="dxa"/>
            <w:tcBorders>
              <w:top w:val="nil"/>
              <w:left w:val="nil"/>
              <w:bottom w:val="single" w:sz="4" w:space="0" w:color="7F7F7F"/>
              <w:right w:val="single" w:sz="4" w:space="0" w:color="7F7F7F"/>
            </w:tcBorders>
            <w:shd w:val="clear" w:color="000000" w:fill="FFFF99"/>
            <w:noWrap/>
            <w:vAlign w:val="center"/>
            <w:hideMark/>
          </w:tcPr>
          <w:p w14:paraId="192362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D92836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8C6F47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039D0CA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3AFAA4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3C931EA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30BD6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2826DF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76623F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23D76B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A33150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4ED573" w14:textId="77777777" w:rsidR="00C0738E" w:rsidRDefault="00C0738E" w:rsidP="00C0738E">
            <w:pPr>
              <w:jc w:val="center"/>
              <w:rPr>
                <w:rFonts w:ascii="Calibri" w:hAnsi="Calibri" w:cs="Calibri"/>
                <w:b/>
                <w:bCs/>
                <w:sz w:val="20"/>
                <w:szCs w:val="20"/>
              </w:rPr>
            </w:pPr>
            <w:r>
              <w:rPr>
                <w:rFonts w:ascii="Calibri" w:hAnsi="Calibri" w:cs="Calibri"/>
                <w:b/>
                <w:bCs/>
                <w:sz w:val="20"/>
                <w:szCs w:val="20"/>
              </w:rPr>
              <w:lastRenderedPageBreak/>
              <w:t>Non-Financial Entities</w:t>
            </w:r>
          </w:p>
        </w:tc>
        <w:tc>
          <w:tcPr>
            <w:tcW w:w="500" w:type="dxa"/>
            <w:tcBorders>
              <w:top w:val="nil"/>
              <w:left w:val="nil"/>
              <w:bottom w:val="nil"/>
              <w:right w:val="single" w:sz="4" w:space="0" w:color="auto"/>
            </w:tcBorders>
            <w:shd w:val="clear" w:color="000000" w:fill="D9D9D9"/>
            <w:noWrap/>
            <w:vAlign w:val="center"/>
            <w:hideMark/>
          </w:tcPr>
          <w:p w14:paraId="065F7F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60" w:type="dxa"/>
            <w:tcBorders>
              <w:top w:val="nil"/>
              <w:left w:val="nil"/>
              <w:bottom w:val="single" w:sz="4" w:space="0" w:color="7F7F7F"/>
              <w:right w:val="single" w:sz="4" w:space="0" w:color="7F7F7F"/>
            </w:tcBorders>
            <w:shd w:val="clear" w:color="000000" w:fill="FFFF99"/>
            <w:noWrap/>
            <w:vAlign w:val="center"/>
            <w:hideMark/>
          </w:tcPr>
          <w:p w14:paraId="18A3CE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F25503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35845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309F4E7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6A931E6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29030F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57A057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652FCE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760BB7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A7A203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8815BA2"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BAA41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Bank</w:t>
            </w:r>
          </w:p>
        </w:tc>
        <w:tc>
          <w:tcPr>
            <w:tcW w:w="500" w:type="dxa"/>
            <w:tcBorders>
              <w:top w:val="nil"/>
              <w:left w:val="nil"/>
              <w:bottom w:val="nil"/>
              <w:right w:val="single" w:sz="4" w:space="0" w:color="auto"/>
            </w:tcBorders>
            <w:shd w:val="clear" w:color="000000" w:fill="D9D9D9"/>
            <w:noWrap/>
            <w:vAlign w:val="center"/>
            <w:hideMark/>
          </w:tcPr>
          <w:p w14:paraId="57357AE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60" w:type="dxa"/>
            <w:tcBorders>
              <w:top w:val="nil"/>
              <w:left w:val="nil"/>
              <w:bottom w:val="single" w:sz="4" w:space="0" w:color="7F7F7F"/>
              <w:right w:val="single" w:sz="4" w:space="0" w:color="7F7F7F"/>
            </w:tcBorders>
            <w:shd w:val="clear" w:color="000000" w:fill="FFFF99"/>
            <w:noWrap/>
            <w:vAlign w:val="center"/>
            <w:hideMark/>
          </w:tcPr>
          <w:p w14:paraId="39B85E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11541F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7901A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E530AA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62CBE1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42A1BC4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51C1BF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10DB55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49609A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1A0DA5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26E4092"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5180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Asset Manager</w:t>
            </w:r>
          </w:p>
        </w:tc>
        <w:tc>
          <w:tcPr>
            <w:tcW w:w="500" w:type="dxa"/>
            <w:tcBorders>
              <w:top w:val="nil"/>
              <w:left w:val="nil"/>
              <w:bottom w:val="nil"/>
              <w:right w:val="single" w:sz="4" w:space="0" w:color="auto"/>
            </w:tcBorders>
            <w:shd w:val="clear" w:color="000000" w:fill="D9D9D9"/>
            <w:noWrap/>
            <w:vAlign w:val="center"/>
            <w:hideMark/>
          </w:tcPr>
          <w:p w14:paraId="199713D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60" w:type="dxa"/>
            <w:tcBorders>
              <w:top w:val="nil"/>
              <w:left w:val="nil"/>
              <w:bottom w:val="single" w:sz="4" w:space="0" w:color="7F7F7F"/>
              <w:right w:val="single" w:sz="4" w:space="0" w:color="7F7F7F"/>
            </w:tcBorders>
            <w:shd w:val="clear" w:color="000000" w:fill="FFFF99"/>
            <w:noWrap/>
            <w:vAlign w:val="center"/>
            <w:hideMark/>
          </w:tcPr>
          <w:p w14:paraId="53E0F66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85971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1A769C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362818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050F2F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32A1AC1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F54C2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71C327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66C542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8940A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F93C804"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AFF76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Other Financial w/Capital Requirement</w:t>
            </w:r>
          </w:p>
        </w:tc>
        <w:tc>
          <w:tcPr>
            <w:tcW w:w="500" w:type="dxa"/>
            <w:tcBorders>
              <w:top w:val="nil"/>
              <w:left w:val="nil"/>
              <w:bottom w:val="single" w:sz="4" w:space="0" w:color="auto"/>
              <w:right w:val="single" w:sz="4" w:space="0" w:color="auto"/>
            </w:tcBorders>
            <w:shd w:val="clear" w:color="000000" w:fill="D9D9D9"/>
            <w:noWrap/>
            <w:vAlign w:val="center"/>
            <w:hideMark/>
          </w:tcPr>
          <w:p w14:paraId="4BB421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60" w:type="dxa"/>
            <w:tcBorders>
              <w:top w:val="nil"/>
              <w:left w:val="nil"/>
              <w:bottom w:val="single" w:sz="4" w:space="0" w:color="7F7F7F"/>
              <w:right w:val="single" w:sz="4" w:space="0" w:color="7F7F7F"/>
            </w:tcBorders>
            <w:shd w:val="clear" w:color="000000" w:fill="FFFF99"/>
            <w:noWrap/>
            <w:vAlign w:val="center"/>
            <w:hideMark/>
          </w:tcPr>
          <w:p w14:paraId="58709D9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35980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BA9F46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2126D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auto"/>
              <w:right w:val="single" w:sz="4" w:space="0" w:color="auto"/>
            </w:tcBorders>
            <w:shd w:val="clear" w:color="000000" w:fill="FFFF99"/>
            <w:noWrap/>
            <w:vAlign w:val="center"/>
            <w:hideMark/>
          </w:tcPr>
          <w:p w14:paraId="2806B0F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23C088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2C3969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318E860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auto"/>
              <w:right w:val="single" w:sz="4" w:space="0" w:color="7F7F7F"/>
            </w:tcBorders>
            <w:shd w:val="clear" w:color="000000" w:fill="FFFF99"/>
            <w:noWrap/>
            <w:vAlign w:val="center"/>
            <w:hideMark/>
          </w:tcPr>
          <w:p w14:paraId="43B908B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auto"/>
              <w:right w:val="single" w:sz="4" w:space="0" w:color="auto"/>
            </w:tcBorders>
            <w:shd w:val="clear" w:color="000000" w:fill="FFFF99"/>
            <w:noWrap/>
            <w:vAlign w:val="center"/>
            <w:hideMark/>
          </w:tcPr>
          <w:p w14:paraId="2C915C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BAE37CB"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tcPr>
          <w:p w14:paraId="436D3C6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Financial Entities w/o Capital Requirements</w:t>
            </w:r>
          </w:p>
        </w:tc>
        <w:tc>
          <w:tcPr>
            <w:tcW w:w="500" w:type="dxa"/>
            <w:tcBorders>
              <w:top w:val="nil"/>
              <w:left w:val="nil"/>
              <w:bottom w:val="single" w:sz="4" w:space="0" w:color="auto"/>
              <w:right w:val="single" w:sz="4" w:space="0" w:color="auto"/>
            </w:tcBorders>
            <w:shd w:val="clear" w:color="000000" w:fill="D9D9D9"/>
            <w:noWrap/>
            <w:vAlign w:val="center"/>
          </w:tcPr>
          <w:p w14:paraId="50B364C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60" w:type="dxa"/>
            <w:tcBorders>
              <w:top w:val="nil"/>
              <w:left w:val="nil"/>
              <w:bottom w:val="single" w:sz="4" w:space="0" w:color="7F7F7F"/>
              <w:right w:val="single" w:sz="4" w:space="0" w:color="7F7F7F"/>
            </w:tcBorders>
            <w:shd w:val="clear" w:color="000000" w:fill="FFFF99"/>
            <w:noWrap/>
            <w:vAlign w:val="center"/>
          </w:tcPr>
          <w:p w14:paraId="0D2D2D70"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1934D5B1"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1AF69D07"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01F2D217" w14:textId="77777777" w:rsidR="00C0738E" w:rsidRDefault="00C0738E" w:rsidP="00C0738E">
            <w:pPr>
              <w:jc w:val="center"/>
              <w:rPr>
                <w:rFonts w:ascii="Calibri" w:hAnsi="Calibri" w:cs="Calibri"/>
                <w:color w:val="000000"/>
                <w:sz w:val="20"/>
                <w:szCs w:val="20"/>
              </w:rPr>
            </w:pPr>
          </w:p>
        </w:tc>
        <w:tc>
          <w:tcPr>
            <w:tcW w:w="720" w:type="dxa"/>
            <w:tcBorders>
              <w:top w:val="nil"/>
              <w:left w:val="nil"/>
              <w:bottom w:val="single" w:sz="4" w:space="0" w:color="auto"/>
              <w:right w:val="single" w:sz="4" w:space="0" w:color="auto"/>
            </w:tcBorders>
            <w:shd w:val="clear" w:color="000000" w:fill="FFFF99"/>
            <w:noWrap/>
            <w:vAlign w:val="center"/>
          </w:tcPr>
          <w:p w14:paraId="5B7266D7"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7F7F7F"/>
              <w:right w:val="single" w:sz="4" w:space="0" w:color="7F7F7F"/>
            </w:tcBorders>
            <w:shd w:val="clear" w:color="000000" w:fill="FFFF99"/>
            <w:noWrap/>
            <w:vAlign w:val="center"/>
          </w:tcPr>
          <w:p w14:paraId="4EE01F92" w14:textId="77777777" w:rsidR="00C0738E" w:rsidRDefault="00C0738E" w:rsidP="00C0738E">
            <w:pPr>
              <w:jc w:val="center"/>
              <w:rPr>
                <w:rFonts w:ascii="Calibri" w:hAnsi="Calibri" w:cs="Calibri"/>
                <w:color w:val="000000"/>
                <w:sz w:val="20"/>
                <w:szCs w:val="20"/>
              </w:rPr>
            </w:pPr>
          </w:p>
        </w:tc>
        <w:tc>
          <w:tcPr>
            <w:tcW w:w="680" w:type="dxa"/>
            <w:tcBorders>
              <w:top w:val="nil"/>
              <w:left w:val="single" w:sz="4" w:space="0" w:color="auto"/>
              <w:bottom w:val="single" w:sz="4" w:space="0" w:color="7F7F7F"/>
              <w:right w:val="single" w:sz="4" w:space="0" w:color="7F7F7F"/>
            </w:tcBorders>
            <w:shd w:val="clear" w:color="000000" w:fill="FFFF99"/>
            <w:noWrap/>
            <w:vAlign w:val="center"/>
          </w:tcPr>
          <w:p w14:paraId="0728103D" w14:textId="77777777" w:rsidR="00C0738E" w:rsidRDefault="00C0738E" w:rsidP="00C0738E">
            <w:pPr>
              <w:jc w:val="center"/>
              <w:rPr>
                <w:rFonts w:ascii="Calibri" w:hAnsi="Calibri" w:cs="Calibri"/>
                <w:color w:val="000000"/>
                <w:sz w:val="20"/>
                <w:szCs w:val="20"/>
              </w:rPr>
            </w:pPr>
          </w:p>
        </w:tc>
        <w:tc>
          <w:tcPr>
            <w:tcW w:w="660" w:type="dxa"/>
            <w:tcBorders>
              <w:top w:val="nil"/>
              <w:left w:val="single" w:sz="4" w:space="0" w:color="auto"/>
              <w:bottom w:val="single" w:sz="4" w:space="0" w:color="7F7F7F"/>
              <w:right w:val="single" w:sz="4" w:space="0" w:color="7F7F7F"/>
            </w:tcBorders>
            <w:shd w:val="clear" w:color="000000" w:fill="FFFF99"/>
            <w:noWrap/>
            <w:vAlign w:val="center"/>
          </w:tcPr>
          <w:p w14:paraId="2703B2B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7F7F7F"/>
            </w:tcBorders>
            <w:shd w:val="clear" w:color="000000" w:fill="FFFF99"/>
            <w:noWrap/>
            <w:vAlign w:val="center"/>
          </w:tcPr>
          <w:p w14:paraId="53EC56BF"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auto"/>
            </w:tcBorders>
            <w:shd w:val="clear" w:color="000000" w:fill="FFFF99"/>
            <w:noWrap/>
            <w:vAlign w:val="center"/>
          </w:tcPr>
          <w:p w14:paraId="2CC8BAAD" w14:textId="77777777" w:rsidR="00C0738E" w:rsidRDefault="00C0738E" w:rsidP="00C0738E">
            <w:pPr>
              <w:jc w:val="center"/>
              <w:rPr>
                <w:rFonts w:ascii="Calibri" w:hAnsi="Calibri" w:cs="Calibri"/>
                <w:color w:val="000000"/>
                <w:sz w:val="20"/>
                <w:szCs w:val="20"/>
              </w:rPr>
            </w:pPr>
          </w:p>
        </w:tc>
      </w:tr>
      <w:tr w:rsidR="00C0738E" w14:paraId="2AAD656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tcPr>
          <w:p w14:paraId="559F4262" w14:textId="77777777" w:rsidR="00C0738E" w:rsidDel="000D468C" w:rsidRDefault="00C0738E" w:rsidP="00C0738E">
            <w:pPr>
              <w:jc w:val="center"/>
              <w:rPr>
                <w:rFonts w:ascii="Calibri" w:hAnsi="Calibri" w:cs="Calibri"/>
                <w:b/>
                <w:bCs/>
                <w:sz w:val="20"/>
                <w:szCs w:val="20"/>
              </w:rPr>
            </w:pPr>
          </w:p>
        </w:tc>
        <w:tc>
          <w:tcPr>
            <w:tcW w:w="500" w:type="dxa"/>
            <w:tcBorders>
              <w:top w:val="nil"/>
              <w:left w:val="nil"/>
              <w:bottom w:val="single" w:sz="4" w:space="0" w:color="auto"/>
              <w:right w:val="single" w:sz="4" w:space="0" w:color="auto"/>
            </w:tcBorders>
            <w:shd w:val="clear" w:color="000000" w:fill="D9D9D9"/>
            <w:noWrap/>
            <w:vAlign w:val="center"/>
          </w:tcPr>
          <w:p w14:paraId="59C2890F" w14:textId="77777777" w:rsidR="00C0738E" w:rsidRDefault="00C0738E" w:rsidP="00C0738E">
            <w:pPr>
              <w:jc w:val="center"/>
              <w:rPr>
                <w:rFonts w:ascii="Calibri" w:hAnsi="Calibri" w:cs="Calibri"/>
                <w:color w:val="000000"/>
                <w:sz w:val="20"/>
                <w:szCs w:val="20"/>
              </w:rPr>
            </w:pPr>
          </w:p>
        </w:tc>
        <w:tc>
          <w:tcPr>
            <w:tcW w:w="660" w:type="dxa"/>
            <w:tcBorders>
              <w:top w:val="nil"/>
              <w:left w:val="nil"/>
              <w:bottom w:val="single" w:sz="4" w:space="0" w:color="7F7F7F"/>
              <w:right w:val="single" w:sz="4" w:space="0" w:color="7F7F7F"/>
            </w:tcBorders>
            <w:shd w:val="clear" w:color="000000" w:fill="FFFF99"/>
            <w:noWrap/>
            <w:vAlign w:val="center"/>
          </w:tcPr>
          <w:p w14:paraId="1710EE07"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7F883365"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27289404"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5AC32DB3" w14:textId="77777777" w:rsidR="00C0738E" w:rsidRDefault="00C0738E" w:rsidP="00C0738E">
            <w:pPr>
              <w:jc w:val="center"/>
              <w:rPr>
                <w:rFonts w:ascii="Calibri" w:hAnsi="Calibri" w:cs="Calibri"/>
                <w:color w:val="000000"/>
                <w:sz w:val="20"/>
                <w:szCs w:val="20"/>
              </w:rPr>
            </w:pPr>
          </w:p>
        </w:tc>
        <w:tc>
          <w:tcPr>
            <w:tcW w:w="720" w:type="dxa"/>
            <w:tcBorders>
              <w:top w:val="nil"/>
              <w:left w:val="nil"/>
              <w:bottom w:val="single" w:sz="4" w:space="0" w:color="auto"/>
              <w:right w:val="single" w:sz="4" w:space="0" w:color="auto"/>
            </w:tcBorders>
            <w:shd w:val="clear" w:color="000000" w:fill="FFFF99"/>
            <w:noWrap/>
            <w:vAlign w:val="center"/>
          </w:tcPr>
          <w:p w14:paraId="0CBD1A7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7F7F7F"/>
              <w:right w:val="single" w:sz="4" w:space="0" w:color="7F7F7F"/>
            </w:tcBorders>
            <w:shd w:val="clear" w:color="000000" w:fill="FFFF99"/>
            <w:noWrap/>
            <w:vAlign w:val="center"/>
          </w:tcPr>
          <w:p w14:paraId="4DAD63C1" w14:textId="77777777" w:rsidR="00C0738E" w:rsidRDefault="00C0738E" w:rsidP="00C0738E">
            <w:pPr>
              <w:jc w:val="center"/>
              <w:rPr>
                <w:rFonts w:ascii="Calibri" w:hAnsi="Calibri" w:cs="Calibri"/>
                <w:color w:val="000000"/>
                <w:sz w:val="20"/>
                <w:szCs w:val="20"/>
              </w:rPr>
            </w:pPr>
          </w:p>
        </w:tc>
        <w:tc>
          <w:tcPr>
            <w:tcW w:w="680" w:type="dxa"/>
            <w:tcBorders>
              <w:top w:val="nil"/>
              <w:left w:val="single" w:sz="4" w:space="0" w:color="auto"/>
              <w:bottom w:val="single" w:sz="4" w:space="0" w:color="7F7F7F"/>
              <w:right w:val="single" w:sz="4" w:space="0" w:color="7F7F7F"/>
            </w:tcBorders>
            <w:shd w:val="clear" w:color="000000" w:fill="FFFF99"/>
            <w:noWrap/>
            <w:vAlign w:val="center"/>
          </w:tcPr>
          <w:p w14:paraId="0FD8CE1D" w14:textId="77777777" w:rsidR="00C0738E" w:rsidRDefault="00C0738E" w:rsidP="00C0738E">
            <w:pPr>
              <w:jc w:val="center"/>
              <w:rPr>
                <w:rFonts w:ascii="Calibri" w:hAnsi="Calibri" w:cs="Calibri"/>
                <w:color w:val="000000"/>
                <w:sz w:val="20"/>
                <w:szCs w:val="20"/>
              </w:rPr>
            </w:pPr>
          </w:p>
        </w:tc>
        <w:tc>
          <w:tcPr>
            <w:tcW w:w="660" w:type="dxa"/>
            <w:tcBorders>
              <w:top w:val="nil"/>
              <w:left w:val="single" w:sz="4" w:space="0" w:color="auto"/>
              <w:bottom w:val="single" w:sz="4" w:space="0" w:color="7F7F7F"/>
              <w:right w:val="single" w:sz="4" w:space="0" w:color="7F7F7F"/>
            </w:tcBorders>
            <w:shd w:val="clear" w:color="000000" w:fill="FFFF99"/>
            <w:noWrap/>
            <w:vAlign w:val="center"/>
          </w:tcPr>
          <w:p w14:paraId="0B67F0B3"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7F7F7F"/>
            </w:tcBorders>
            <w:shd w:val="clear" w:color="000000" w:fill="FFFF99"/>
            <w:noWrap/>
            <w:vAlign w:val="center"/>
          </w:tcPr>
          <w:p w14:paraId="2D89C56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auto"/>
            </w:tcBorders>
            <w:shd w:val="clear" w:color="000000" w:fill="FFFF99"/>
            <w:noWrap/>
            <w:vAlign w:val="center"/>
          </w:tcPr>
          <w:p w14:paraId="19674ACD" w14:textId="77777777" w:rsidR="00C0738E" w:rsidRDefault="00C0738E" w:rsidP="00C0738E">
            <w:pPr>
              <w:jc w:val="center"/>
              <w:rPr>
                <w:rFonts w:ascii="Calibri" w:hAnsi="Calibri" w:cs="Calibri"/>
                <w:color w:val="000000"/>
                <w:sz w:val="20"/>
                <w:szCs w:val="20"/>
              </w:rPr>
            </w:pPr>
          </w:p>
        </w:tc>
      </w:tr>
      <w:tr w:rsidR="00C0738E" w14:paraId="0D5E4BBA"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17EC7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Total</w:t>
            </w:r>
          </w:p>
        </w:tc>
        <w:tc>
          <w:tcPr>
            <w:tcW w:w="500" w:type="dxa"/>
            <w:tcBorders>
              <w:top w:val="nil"/>
              <w:left w:val="nil"/>
              <w:bottom w:val="single" w:sz="4" w:space="0" w:color="auto"/>
              <w:right w:val="single" w:sz="4" w:space="0" w:color="auto"/>
            </w:tcBorders>
            <w:shd w:val="clear" w:color="000000" w:fill="D9D9D9"/>
            <w:noWrap/>
            <w:vAlign w:val="center"/>
            <w:hideMark/>
          </w:tcPr>
          <w:p w14:paraId="05D79F7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60" w:type="dxa"/>
            <w:tcBorders>
              <w:top w:val="nil"/>
              <w:left w:val="nil"/>
              <w:bottom w:val="single" w:sz="4" w:space="0" w:color="7F7F7F"/>
              <w:right w:val="single" w:sz="4" w:space="0" w:color="7F7F7F"/>
            </w:tcBorders>
            <w:shd w:val="clear" w:color="000000" w:fill="FFFF99"/>
            <w:noWrap/>
            <w:vAlign w:val="center"/>
            <w:hideMark/>
          </w:tcPr>
          <w:p w14:paraId="3C0CA8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CB509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83D60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5B3055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72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FDFFC4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640" w:type="dxa"/>
            <w:tcBorders>
              <w:top w:val="nil"/>
              <w:left w:val="single" w:sz="4" w:space="0" w:color="auto"/>
              <w:bottom w:val="single" w:sz="4" w:space="0" w:color="7F7F7F"/>
              <w:right w:val="single" w:sz="4" w:space="0" w:color="7F7F7F"/>
            </w:tcBorders>
            <w:shd w:val="clear" w:color="000000" w:fill="FFFF99"/>
            <w:noWrap/>
            <w:vAlign w:val="center"/>
            <w:hideMark/>
          </w:tcPr>
          <w:p w14:paraId="4EDDC8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2D73AD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49C5BF6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single" w:sz="4" w:space="0" w:color="7F7F7F"/>
              <w:left w:val="nil"/>
              <w:bottom w:val="single" w:sz="4" w:space="0" w:color="auto"/>
              <w:right w:val="single" w:sz="4" w:space="0" w:color="7F7F7F"/>
            </w:tcBorders>
            <w:shd w:val="clear" w:color="000000" w:fill="FFFF99"/>
            <w:noWrap/>
            <w:vAlign w:val="center"/>
            <w:hideMark/>
          </w:tcPr>
          <w:p w14:paraId="424D9C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auto"/>
              <w:right w:val="single" w:sz="4" w:space="0" w:color="7F7F7F"/>
            </w:tcBorders>
            <w:shd w:val="clear" w:color="000000" w:fill="FFFF99"/>
            <w:noWrap/>
            <w:vAlign w:val="center"/>
            <w:hideMark/>
          </w:tcPr>
          <w:p w14:paraId="3684528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758BD3C4" w14:textId="77777777" w:rsidR="00C0738E" w:rsidRDefault="00C0738E" w:rsidP="00C0738E">
      <w:pPr>
        <w:tabs>
          <w:tab w:val="left" w:pos="360"/>
        </w:tabs>
        <w:jc w:val="both"/>
        <w:rPr>
          <w:rFonts w:asciiTheme="minorHAnsi" w:hAnsiTheme="minorHAnsi"/>
          <w:color w:val="000000" w:themeColor="text1"/>
          <w:sz w:val="22"/>
        </w:rPr>
      </w:pPr>
    </w:p>
    <w:p w14:paraId="60FE7FD0" w14:textId="355C064A" w:rsidR="00C0738E" w:rsidRDefault="00C0738E" w:rsidP="00C0738E">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If the source of the issues is the insurers, the following </w:t>
      </w:r>
      <w:r w:rsidR="004B39C8">
        <w:rPr>
          <w:rFonts w:asciiTheme="minorHAnsi" w:hAnsiTheme="minorHAnsi"/>
          <w:color w:val="000000" w:themeColor="text1"/>
          <w:sz w:val="22"/>
        </w:rPr>
        <w:t xml:space="preserve">sample from a </w:t>
      </w:r>
      <w:r>
        <w:rPr>
          <w:rFonts w:asciiTheme="minorHAnsi" w:hAnsiTheme="minorHAnsi"/>
          <w:color w:val="000000" w:themeColor="text1"/>
          <w:sz w:val="22"/>
        </w:rPr>
        <w:t xml:space="preserve">table from the GCC </w:t>
      </w:r>
      <w:r w:rsidR="00541D5B">
        <w:rPr>
          <w:rFonts w:asciiTheme="minorHAnsi" w:hAnsiTheme="minorHAnsi"/>
          <w:color w:val="000000" w:themeColor="text1"/>
          <w:sz w:val="22"/>
        </w:rPr>
        <w:t xml:space="preserve">using </w:t>
      </w:r>
      <w:r>
        <w:rPr>
          <w:rFonts w:asciiTheme="minorHAnsi" w:hAnsiTheme="minorHAnsi"/>
          <w:color w:val="000000" w:themeColor="text1"/>
          <w:sz w:val="22"/>
        </w:rPr>
        <w:t>the data in Schedule 1 can be helpful in determining the source of the issues</w:t>
      </w:r>
      <w:r w:rsidR="00541D5B">
        <w:rPr>
          <w:rFonts w:asciiTheme="minorHAnsi" w:hAnsiTheme="minorHAnsi"/>
          <w:color w:val="000000" w:themeColor="text1"/>
          <w:sz w:val="22"/>
        </w:rPr>
        <w:t xml:space="preserve"> among the insurers</w:t>
      </w:r>
      <w:r>
        <w:rPr>
          <w:rFonts w:asciiTheme="minorHAnsi" w:hAnsiTheme="minorHAnsi"/>
          <w:color w:val="000000" w:themeColor="text1"/>
          <w:sz w:val="22"/>
        </w:rPr>
        <w:t>.</w:t>
      </w:r>
    </w:p>
    <w:p w14:paraId="0B88EE5D" w14:textId="77777777" w:rsidR="00C0738E" w:rsidRDefault="00C0738E" w:rsidP="00C0738E">
      <w:pPr>
        <w:tabs>
          <w:tab w:val="left" w:pos="360"/>
        </w:tabs>
        <w:jc w:val="both"/>
        <w:rPr>
          <w:rFonts w:asciiTheme="minorHAnsi" w:hAnsiTheme="minorHAnsi"/>
          <w:color w:val="000000" w:themeColor="text1"/>
          <w:sz w:val="22"/>
        </w:rPr>
      </w:pPr>
    </w:p>
    <w:tbl>
      <w:tblPr>
        <w:tblW w:w="8620" w:type="dxa"/>
        <w:tblLook w:val="04A0" w:firstRow="1" w:lastRow="0" w:firstColumn="1" w:lastColumn="0" w:noHBand="0" w:noVBand="1"/>
      </w:tblPr>
      <w:tblGrid>
        <w:gridCol w:w="1798"/>
        <w:gridCol w:w="542"/>
        <w:gridCol w:w="632"/>
        <w:gridCol w:w="632"/>
        <w:gridCol w:w="632"/>
        <w:gridCol w:w="622"/>
        <w:gridCol w:w="622"/>
        <w:gridCol w:w="632"/>
        <w:gridCol w:w="632"/>
        <w:gridCol w:w="632"/>
        <w:gridCol w:w="622"/>
        <w:gridCol w:w="622"/>
      </w:tblGrid>
      <w:tr w:rsidR="00C0738E" w14:paraId="750C3E7F" w14:textId="77777777" w:rsidTr="00C0738E">
        <w:trPr>
          <w:trHeight w:val="255"/>
        </w:trPr>
        <w:tc>
          <w:tcPr>
            <w:tcW w:w="2340" w:type="dxa"/>
            <w:gridSpan w:val="2"/>
            <w:tcBorders>
              <w:top w:val="single" w:sz="4" w:space="0" w:color="auto"/>
              <w:left w:val="single" w:sz="4" w:space="0" w:color="auto"/>
              <w:bottom w:val="nil"/>
              <w:right w:val="single" w:sz="4" w:space="0" w:color="000000"/>
            </w:tcBorders>
            <w:shd w:val="clear" w:color="000000" w:fill="D9D9D9"/>
            <w:vAlign w:val="center"/>
            <w:hideMark/>
          </w:tcPr>
          <w:p w14:paraId="1F2D23D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Core Insurance Table 1</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21C43EC7"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Net Income ($)</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00A92C11"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Return on Capital</w:t>
            </w:r>
          </w:p>
        </w:tc>
      </w:tr>
      <w:tr w:rsidR="00C0738E" w14:paraId="727880E6" w14:textId="77777777" w:rsidTr="00C0738E">
        <w:trPr>
          <w:trHeight w:val="255"/>
        </w:trPr>
        <w:tc>
          <w:tcPr>
            <w:tcW w:w="234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71C6826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67867161" w14:textId="266A0DB7"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632" w:type="dxa"/>
            <w:tcBorders>
              <w:top w:val="nil"/>
              <w:left w:val="nil"/>
              <w:bottom w:val="single" w:sz="4" w:space="0" w:color="auto"/>
              <w:right w:val="single" w:sz="4" w:space="0" w:color="auto"/>
            </w:tcBorders>
            <w:shd w:val="clear" w:color="000000" w:fill="D9D9D9"/>
            <w:vAlign w:val="center"/>
            <w:hideMark/>
          </w:tcPr>
          <w:p w14:paraId="2BB871BA" w14:textId="4D9CEE3C"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4</w:t>
            </w:r>
          </w:p>
        </w:tc>
        <w:tc>
          <w:tcPr>
            <w:tcW w:w="632" w:type="dxa"/>
            <w:tcBorders>
              <w:top w:val="nil"/>
              <w:left w:val="nil"/>
              <w:bottom w:val="single" w:sz="4" w:space="0" w:color="auto"/>
              <w:right w:val="single" w:sz="4" w:space="0" w:color="auto"/>
            </w:tcBorders>
            <w:shd w:val="clear" w:color="000000" w:fill="D9D9D9"/>
            <w:vAlign w:val="center"/>
            <w:hideMark/>
          </w:tcPr>
          <w:p w14:paraId="5DEFBE17" w14:textId="186C5BF3"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3</w:t>
            </w:r>
          </w:p>
        </w:tc>
        <w:tc>
          <w:tcPr>
            <w:tcW w:w="622" w:type="dxa"/>
            <w:tcBorders>
              <w:top w:val="nil"/>
              <w:left w:val="nil"/>
              <w:bottom w:val="single" w:sz="4" w:space="0" w:color="auto"/>
              <w:right w:val="single" w:sz="4" w:space="0" w:color="auto"/>
            </w:tcBorders>
            <w:shd w:val="clear" w:color="000000" w:fill="D9D9D9"/>
            <w:vAlign w:val="center"/>
            <w:hideMark/>
          </w:tcPr>
          <w:p w14:paraId="515C6A2C" w14:textId="10103F30"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2</w:t>
            </w:r>
          </w:p>
        </w:tc>
        <w:tc>
          <w:tcPr>
            <w:tcW w:w="622" w:type="dxa"/>
            <w:tcBorders>
              <w:top w:val="nil"/>
              <w:left w:val="nil"/>
              <w:bottom w:val="single" w:sz="4" w:space="0" w:color="auto"/>
              <w:right w:val="single" w:sz="4" w:space="0" w:color="auto"/>
            </w:tcBorders>
            <w:shd w:val="clear" w:color="000000" w:fill="D9D9D9"/>
            <w:vAlign w:val="center"/>
            <w:hideMark/>
          </w:tcPr>
          <w:p w14:paraId="6161F073" w14:textId="5A54D9F8"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1</w:t>
            </w:r>
          </w:p>
        </w:tc>
        <w:tc>
          <w:tcPr>
            <w:tcW w:w="632" w:type="dxa"/>
            <w:tcBorders>
              <w:top w:val="nil"/>
              <w:left w:val="nil"/>
              <w:bottom w:val="single" w:sz="4" w:space="0" w:color="auto"/>
              <w:right w:val="single" w:sz="4" w:space="0" w:color="auto"/>
            </w:tcBorders>
            <w:shd w:val="clear" w:color="000000" w:fill="D9D9D9"/>
            <w:vAlign w:val="center"/>
            <w:hideMark/>
          </w:tcPr>
          <w:p w14:paraId="05525D26" w14:textId="043AEE84"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5</w:t>
            </w:r>
          </w:p>
        </w:tc>
        <w:tc>
          <w:tcPr>
            <w:tcW w:w="632" w:type="dxa"/>
            <w:tcBorders>
              <w:top w:val="nil"/>
              <w:left w:val="nil"/>
              <w:bottom w:val="single" w:sz="4" w:space="0" w:color="auto"/>
              <w:right w:val="single" w:sz="4" w:space="0" w:color="auto"/>
            </w:tcBorders>
            <w:shd w:val="clear" w:color="000000" w:fill="D9D9D9"/>
            <w:vAlign w:val="center"/>
            <w:hideMark/>
          </w:tcPr>
          <w:p w14:paraId="43CC2776" w14:textId="63DCF540"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4</w:t>
            </w:r>
          </w:p>
        </w:tc>
        <w:tc>
          <w:tcPr>
            <w:tcW w:w="632" w:type="dxa"/>
            <w:tcBorders>
              <w:top w:val="nil"/>
              <w:left w:val="nil"/>
              <w:bottom w:val="single" w:sz="4" w:space="0" w:color="auto"/>
              <w:right w:val="single" w:sz="4" w:space="0" w:color="auto"/>
            </w:tcBorders>
            <w:shd w:val="clear" w:color="000000" w:fill="D9D9D9"/>
            <w:vAlign w:val="center"/>
            <w:hideMark/>
          </w:tcPr>
          <w:p w14:paraId="0A12BD9A" w14:textId="2EB9740A"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3</w:t>
            </w:r>
          </w:p>
        </w:tc>
        <w:tc>
          <w:tcPr>
            <w:tcW w:w="622" w:type="dxa"/>
            <w:tcBorders>
              <w:top w:val="nil"/>
              <w:left w:val="nil"/>
              <w:bottom w:val="single" w:sz="4" w:space="0" w:color="auto"/>
              <w:right w:val="single" w:sz="4" w:space="0" w:color="auto"/>
            </w:tcBorders>
            <w:shd w:val="clear" w:color="000000" w:fill="D9D9D9"/>
            <w:vAlign w:val="center"/>
            <w:hideMark/>
          </w:tcPr>
          <w:p w14:paraId="0C00675C" w14:textId="1BA56AAB"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2</w:t>
            </w:r>
          </w:p>
        </w:tc>
        <w:tc>
          <w:tcPr>
            <w:tcW w:w="622" w:type="dxa"/>
            <w:tcBorders>
              <w:top w:val="nil"/>
              <w:left w:val="nil"/>
              <w:bottom w:val="single" w:sz="4" w:space="0" w:color="auto"/>
              <w:right w:val="single" w:sz="4" w:space="0" w:color="auto"/>
            </w:tcBorders>
            <w:shd w:val="clear" w:color="000000" w:fill="D9D9D9"/>
            <w:vAlign w:val="center"/>
            <w:hideMark/>
          </w:tcPr>
          <w:p w14:paraId="0689E08F" w14:textId="33F9DD17" w:rsidR="00C0738E" w:rsidRDefault="00C0738E" w:rsidP="00C0738E">
            <w:pPr>
              <w:jc w:val="center"/>
              <w:rPr>
                <w:rFonts w:ascii="Calibri" w:hAnsi="Calibri" w:cs="Calibri"/>
                <w:b/>
                <w:bCs/>
                <w:sz w:val="20"/>
                <w:szCs w:val="20"/>
              </w:rPr>
            </w:pPr>
            <w:r>
              <w:rPr>
                <w:rFonts w:ascii="Calibri" w:hAnsi="Calibri" w:cs="Calibri"/>
                <w:b/>
                <w:bCs/>
                <w:sz w:val="20"/>
                <w:szCs w:val="20"/>
              </w:rPr>
              <w:t>202</w:t>
            </w:r>
            <w:r w:rsidR="00FE0989">
              <w:rPr>
                <w:rFonts w:ascii="Calibri" w:hAnsi="Calibri" w:cs="Calibri"/>
                <w:b/>
                <w:bCs/>
                <w:sz w:val="20"/>
                <w:szCs w:val="20"/>
              </w:rPr>
              <w:t>1</w:t>
            </w:r>
          </w:p>
        </w:tc>
      </w:tr>
      <w:tr w:rsidR="00C0738E" w14:paraId="05617ADE" w14:textId="77777777" w:rsidTr="00C0738E">
        <w:trPr>
          <w:trHeight w:val="260"/>
        </w:trPr>
        <w:tc>
          <w:tcPr>
            <w:tcW w:w="2340" w:type="dxa"/>
            <w:gridSpan w:val="2"/>
            <w:vMerge/>
            <w:tcBorders>
              <w:top w:val="nil"/>
              <w:left w:val="single" w:sz="4" w:space="0" w:color="auto"/>
              <w:bottom w:val="single" w:sz="4" w:space="0" w:color="000000"/>
              <w:right w:val="single" w:sz="4" w:space="0" w:color="000000"/>
            </w:tcBorders>
            <w:vAlign w:val="center"/>
            <w:hideMark/>
          </w:tcPr>
          <w:p w14:paraId="13F5E52E" w14:textId="77777777" w:rsidR="00C0738E" w:rsidRDefault="00C0738E" w:rsidP="00C0738E">
            <w:pPr>
              <w:rPr>
                <w:rFonts w:ascii="Calibri" w:hAnsi="Calibri" w:cs="Calibri"/>
                <w:b/>
                <w:bCs/>
                <w:sz w:val="20"/>
                <w:szCs w:val="20"/>
              </w:rPr>
            </w:pPr>
          </w:p>
        </w:tc>
        <w:tc>
          <w:tcPr>
            <w:tcW w:w="632" w:type="dxa"/>
            <w:tcBorders>
              <w:top w:val="nil"/>
              <w:left w:val="single" w:sz="4" w:space="0" w:color="auto"/>
              <w:bottom w:val="nil"/>
              <w:right w:val="nil"/>
            </w:tcBorders>
            <w:shd w:val="clear" w:color="000000" w:fill="D9D9D9"/>
            <w:noWrap/>
            <w:vAlign w:val="center"/>
            <w:hideMark/>
          </w:tcPr>
          <w:p w14:paraId="5B65BF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6968992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6CC959F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038E4E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0570D22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single" w:sz="4" w:space="0" w:color="auto"/>
              <w:bottom w:val="nil"/>
              <w:right w:val="nil"/>
            </w:tcBorders>
            <w:shd w:val="clear" w:color="000000" w:fill="D9D9D9"/>
            <w:noWrap/>
            <w:vAlign w:val="center"/>
            <w:hideMark/>
          </w:tcPr>
          <w:p w14:paraId="543BF6C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1B77998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564A547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7C984E4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7A00A25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3E1E5DCC"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7B3493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040D00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01E6695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F62EBC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0FC9A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45BC08C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59A8BB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393A036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1A0CB3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0A136E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13C3222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002951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26E7C5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E01336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7F1CC2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0D64D6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9788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04CA3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722F1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287A0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824351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160F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94EE89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3D918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C054D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C55BBBC"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3A5942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5230DD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37BDC2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5EC00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D81E0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304A54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44520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B0774E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81C56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235EA6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96DB30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078FB8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AC3A30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01011C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63861F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2B85DE9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B90A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ADDE43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D8970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CB423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5C91E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B35E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F37AC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5D2B35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F36220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66CFE60"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E5250D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26F4D16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191323B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4D99D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12B03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1FEAD7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25130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FCEE29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ED89E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3898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13139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86E31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1F63AD4"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E675AC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0E125D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7189D1E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46A4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433A9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F35F7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FA341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5079A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FB7AF6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D1C39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E4832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2C31B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824EDF7"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E3BBAA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047522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1CB147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13B24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6AC6DB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FFA10B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75F69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2550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28F1DD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7806D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2AA3E4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82395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6F61E16"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CA01E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2FB71D2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1EE765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E1A6B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8A629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5F5E9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5FA13D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5D774C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5A791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8E05C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B7F82A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5C3E3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5E3605"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AECE76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5D76BA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2EED114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7BB9C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64CD4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D2350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EDA74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DC698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6CBABA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E8464A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8155B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65927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2B95A48"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A4B461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64CDC0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44681CA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921090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363B5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3264C7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F50D5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B19F45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BFC41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D169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CC7B0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DB64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E91185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BC980D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C611F6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04FECE6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E41BF7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5AA42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F582B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9A39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B9BEC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C78C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D77D0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87820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8E8B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031003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F6030D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783EF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222B8D5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DB09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CFD7A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34E230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7A29A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406AF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F8A834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DC063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6E6BB9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CB6E9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D83C90D"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2E2766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44E441C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03BB4C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37D39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176B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B750A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42B6C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0FEAAD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EE00A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9B15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D988B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01DAD0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57563FD"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3C4B39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C2A86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567EF2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F30824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303D1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48F2C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B4418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5429CF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8D00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66A9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88DDC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547E1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DCCF7E"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389A68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52C60C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12D43F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874A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45DF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A8481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1E27B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89BC7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4D29F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4FB3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EA386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2788D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18CBCA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310F55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1CA19A1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7EA081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98BB5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4582D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D2D4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421F9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67107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45E7B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D65A6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F57DB5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88781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2E6220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F2EC25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4FE3463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5D0ABE4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0323FA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C184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1156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26443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814CF8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6A08B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DD47C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318259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065F7F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41B4774E" w14:textId="77777777" w:rsidR="00C0738E" w:rsidRDefault="00C0738E" w:rsidP="00C0738E">
      <w:pPr>
        <w:tabs>
          <w:tab w:val="left" w:pos="360"/>
        </w:tabs>
        <w:jc w:val="both"/>
        <w:rPr>
          <w:rFonts w:asciiTheme="minorHAnsi" w:hAnsiTheme="minorHAnsi"/>
          <w:color w:val="000000" w:themeColor="text1"/>
          <w:sz w:val="22"/>
        </w:rPr>
      </w:pPr>
    </w:p>
    <w:p w14:paraId="6194F04F" w14:textId="3B506DBA" w:rsidR="00C0738E" w:rsidRDefault="00A94406" w:rsidP="000579B4">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2d</w:t>
      </w:r>
      <w:r w:rsidRPr="004A0051">
        <w:rPr>
          <w:rFonts w:asciiTheme="minorHAnsi" w:hAnsiTheme="minorHAnsi"/>
          <w:color w:val="000000" w:themeColor="text1"/>
          <w:sz w:val="22"/>
        </w:rPr>
        <w:t xml:space="preserve"> is focused on requesting more specific information from the legal entity regulator or the group to better </w:t>
      </w:r>
      <w:r w:rsidR="00541D5B">
        <w:rPr>
          <w:rFonts w:asciiTheme="minorHAnsi" w:hAnsiTheme="minorHAnsi"/>
          <w:color w:val="000000" w:themeColor="text1"/>
          <w:sz w:val="22"/>
        </w:rPr>
        <w:t xml:space="preserve">identify </w:t>
      </w:r>
      <w:r w:rsidRPr="004A0051">
        <w:rPr>
          <w:rFonts w:asciiTheme="minorHAnsi" w:hAnsiTheme="minorHAnsi"/>
          <w:color w:val="000000" w:themeColor="text1"/>
          <w:sz w:val="22"/>
        </w:rPr>
        <w:t xml:space="preserve">the source of the issue(s). Procedures </w:t>
      </w:r>
      <w:r w:rsidR="007B7001" w:rsidRPr="004A0051">
        <w:rPr>
          <w:rFonts w:asciiTheme="minorHAnsi" w:hAnsiTheme="minorHAnsi"/>
          <w:color w:val="000000" w:themeColor="text1"/>
          <w:sz w:val="22"/>
        </w:rPr>
        <w:t>2e</w:t>
      </w:r>
      <w:r w:rsidRPr="004A0051">
        <w:rPr>
          <w:rFonts w:asciiTheme="minorHAnsi" w:hAnsiTheme="minorHAnsi"/>
          <w:color w:val="000000" w:themeColor="text1"/>
          <w:sz w:val="22"/>
        </w:rPr>
        <w:t>-</w:t>
      </w:r>
      <w:r w:rsidR="004B39C8" w:rsidRPr="004A0051">
        <w:rPr>
          <w:rFonts w:asciiTheme="minorHAnsi" w:hAnsiTheme="minorHAnsi"/>
          <w:color w:val="000000" w:themeColor="text1"/>
          <w:sz w:val="22"/>
        </w:rPr>
        <w:t>2</w:t>
      </w:r>
      <w:r w:rsidR="003E5182" w:rsidRPr="004A0051">
        <w:rPr>
          <w:rFonts w:asciiTheme="minorHAnsi" w:hAnsiTheme="minorHAnsi"/>
          <w:color w:val="000000" w:themeColor="text1"/>
          <w:sz w:val="22"/>
        </w:rPr>
        <w:t>l</w:t>
      </w:r>
      <w:r w:rsidRPr="004A0051">
        <w:rPr>
          <w:rFonts w:asciiTheme="minorHAnsi" w:hAnsiTheme="minorHAnsi"/>
          <w:color w:val="000000" w:themeColor="text1"/>
          <w:sz w:val="22"/>
        </w:rPr>
        <w:t xml:space="preserve"> simply contemplates that if the source of the issues can be identified into one of the branded risk categories, </w:t>
      </w:r>
      <w:r w:rsidR="00C47272">
        <w:rPr>
          <w:rFonts w:asciiTheme="minorHAnsi" w:hAnsiTheme="minorHAnsi"/>
          <w:color w:val="000000" w:themeColor="text1"/>
          <w:sz w:val="22"/>
        </w:rPr>
        <w:t xml:space="preserve">it should be documented </w:t>
      </w:r>
      <w:r w:rsidRPr="004A0051">
        <w:rPr>
          <w:rFonts w:asciiTheme="minorHAnsi" w:hAnsiTheme="minorHAnsi"/>
          <w:color w:val="000000" w:themeColor="text1"/>
          <w:sz w:val="22"/>
        </w:rPr>
        <w:t xml:space="preserve">in the detailed workpapers and into </w:t>
      </w:r>
      <w:r w:rsidR="00541D5B">
        <w:rPr>
          <w:rFonts w:asciiTheme="minorHAnsi" w:hAnsiTheme="minorHAnsi"/>
          <w:color w:val="000000" w:themeColor="text1"/>
          <w:sz w:val="22"/>
        </w:rPr>
        <w:t>the appropriate</w:t>
      </w:r>
      <w:r w:rsidRPr="004A0051">
        <w:rPr>
          <w:rFonts w:asciiTheme="minorHAnsi" w:hAnsiTheme="minorHAnsi"/>
          <w:color w:val="000000" w:themeColor="text1"/>
          <w:sz w:val="22"/>
        </w:rPr>
        <w:t xml:space="preserve"> </w:t>
      </w:r>
      <w:r w:rsidR="00C47272">
        <w:rPr>
          <w:rFonts w:asciiTheme="minorHAnsi" w:hAnsiTheme="minorHAnsi"/>
          <w:color w:val="000000" w:themeColor="text1"/>
          <w:sz w:val="22"/>
        </w:rPr>
        <w:t xml:space="preserve">branded risk </w:t>
      </w:r>
      <w:r w:rsidRPr="004A0051">
        <w:rPr>
          <w:rFonts w:asciiTheme="minorHAnsi" w:hAnsiTheme="minorHAnsi"/>
          <w:color w:val="000000" w:themeColor="text1"/>
          <w:sz w:val="22"/>
        </w:rPr>
        <w:t>category of the GPS. However,</w:t>
      </w:r>
      <w:r w:rsidR="00C47272">
        <w:rPr>
          <w:rFonts w:asciiTheme="minorHAnsi" w:hAnsiTheme="minorHAnsi"/>
          <w:color w:val="000000" w:themeColor="text1"/>
          <w:sz w:val="22"/>
        </w:rPr>
        <w:t xml:space="preserve"> it is</w:t>
      </w:r>
      <w:r w:rsidRPr="004A0051">
        <w:rPr>
          <w:rFonts w:asciiTheme="minorHAnsi" w:hAnsiTheme="minorHAnsi"/>
          <w:color w:val="000000" w:themeColor="text1"/>
          <w:sz w:val="22"/>
        </w:rPr>
        <w:t xml:space="preserve"> recognized that the source of issues may be in multiple branded risk categories, in which case documentation of each of the sources into the detailed </w:t>
      </w:r>
      <w:r w:rsidRPr="004A0051">
        <w:rPr>
          <w:rFonts w:asciiTheme="minorHAnsi" w:hAnsiTheme="minorHAnsi"/>
          <w:color w:val="000000" w:themeColor="text1"/>
          <w:sz w:val="22"/>
        </w:rPr>
        <w:lastRenderedPageBreak/>
        <w:t>workpapers is still appropriate</w:t>
      </w:r>
      <w:r w:rsidR="00255E19">
        <w:rPr>
          <w:rFonts w:asciiTheme="minorHAnsi" w:hAnsiTheme="minorHAnsi"/>
          <w:color w:val="000000" w:themeColor="text1"/>
          <w:sz w:val="22"/>
        </w:rPr>
        <w:t xml:space="preserve">. However, </w:t>
      </w:r>
      <w:r w:rsidRPr="004A0051">
        <w:rPr>
          <w:rFonts w:asciiTheme="minorHAnsi" w:hAnsiTheme="minorHAnsi"/>
          <w:color w:val="000000" w:themeColor="text1"/>
          <w:sz w:val="22"/>
        </w:rPr>
        <w:t xml:space="preserve">documentation into one of the single branded risk </w:t>
      </w:r>
      <w:r w:rsidR="00966A3B">
        <w:rPr>
          <w:rFonts w:asciiTheme="minorHAnsi" w:hAnsiTheme="minorHAnsi"/>
          <w:color w:val="000000" w:themeColor="text1"/>
          <w:sz w:val="22"/>
        </w:rPr>
        <w:t>categories</w:t>
      </w:r>
      <w:r w:rsidR="00F35752">
        <w:rPr>
          <w:rFonts w:asciiTheme="minorHAnsi" w:hAnsiTheme="minorHAnsi"/>
          <w:color w:val="000000" w:themeColor="text1"/>
          <w:sz w:val="22"/>
        </w:rPr>
        <w:t xml:space="preserve"> </w:t>
      </w:r>
      <w:r w:rsidRPr="004A0051">
        <w:rPr>
          <w:rFonts w:asciiTheme="minorHAnsi" w:hAnsiTheme="minorHAnsi"/>
          <w:color w:val="000000" w:themeColor="text1"/>
          <w:sz w:val="22"/>
        </w:rPr>
        <w:t xml:space="preserve">of the GPS is only appropriate if that risk category is a material driver of the negative trends. </w:t>
      </w:r>
      <w:r w:rsidR="003E5182" w:rsidRPr="004A0051">
        <w:rPr>
          <w:rFonts w:asciiTheme="minorHAnsi" w:hAnsiTheme="minorHAnsi"/>
          <w:color w:val="000000" w:themeColor="text1"/>
          <w:sz w:val="22"/>
        </w:rPr>
        <w:t xml:space="preserve">Procedure 2m is intended to identify if the source of the issues </w:t>
      </w:r>
      <w:r w:rsidR="00406067" w:rsidRPr="004A0051">
        <w:rPr>
          <w:rFonts w:asciiTheme="minorHAnsi" w:hAnsiTheme="minorHAnsi"/>
          <w:color w:val="000000" w:themeColor="text1"/>
          <w:sz w:val="22"/>
        </w:rPr>
        <w:t>is</w:t>
      </w:r>
      <w:r w:rsidR="003E5182" w:rsidRPr="004A0051">
        <w:rPr>
          <w:rFonts w:asciiTheme="minorHAnsi" w:hAnsiTheme="minorHAnsi"/>
          <w:color w:val="000000" w:themeColor="text1"/>
          <w:sz w:val="22"/>
        </w:rPr>
        <w:t xml:space="preserve"> related to non-insurance operations</w:t>
      </w:r>
      <w:r w:rsidR="004B39C8" w:rsidRPr="004A0051">
        <w:rPr>
          <w:rFonts w:asciiTheme="minorHAnsi" w:hAnsiTheme="minorHAnsi"/>
          <w:color w:val="000000" w:themeColor="text1"/>
          <w:sz w:val="22"/>
        </w:rPr>
        <w:t>. The GCC is intended to provide for more consistent analysis of risks to the insurer that may originate from non-insurance entities within the holding company system.</w:t>
      </w:r>
    </w:p>
    <w:p w14:paraId="4350BDAA" w14:textId="77777777" w:rsidR="00C0738E" w:rsidRDefault="00C0738E" w:rsidP="000579B4">
      <w:pPr>
        <w:tabs>
          <w:tab w:val="left" w:pos="360"/>
        </w:tabs>
        <w:jc w:val="both"/>
        <w:rPr>
          <w:rFonts w:asciiTheme="minorHAnsi" w:hAnsiTheme="minorHAnsi"/>
          <w:color w:val="000000" w:themeColor="text1"/>
          <w:sz w:val="22"/>
        </w:rPr>
      </w:pPr>
    </w:p>
    <w:p w14:paraId="05F7E880" w14:textId="2A2EFEBC" w:rsidR="00C3504E" w:rsidRPr="00F46226" w:rsidRDefault="00C3504E" w:rsidP="00C3504E">
      <w:pPr>
        <w:pStyle w:val="BodyText"/>
        <w:rPr>
          <w:rFonts w:asciiTheme="minorHAnsi" w:hAnsiTheme="minorHAnsi"/>
          <w:b/>
          <w:i/>
          <w:color w:val="000000" w:themeColor="text1"/>
        </w:rPr>
      </w:pPr>
      <w:r w:rsidRPr="00F46226">
        <w:rPr>
          <w:rFonts w:asciiTheme="minorHAnsi" w:hAnsiTheme="minorHAnsi"/>
          <w:b/>
          <w:i/>
          <w:color w:val="000000" w:themeColor="text1"/>
        </w:rPr>
        <w:t xml:space="preserve">Procedures Step </w:t>
      </w:r>
      <w:r w:rsidR="007B7001">
        <w:rPr>
          <w:rFonts w:asciiTheme="minorHAnsi" w:hAnsiTheme="minorHAnsi"/>
          <w:b/>
          <w:i/>
          <w:color w:val="000000" w:themeColor="text1"/>
        </w:rPr>
        <w:t>3a-3f</w:t>
      </w:r>
    </w:p>
    <w:p w14:paraId="34B132DC" w14:textId="178E545C" w:rsidR="00025B65" w:rsidRDefault="00025B65" w:rsidP="00025B65">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3a</w:t>
      </w:r>
      <w:r w:rsidRPr="004A0051">
        <w:rPr>
          <w:rFonts w:asciiTheme="minorHAnsi" w:hAnsiTheme="minorHAnsi"/>
          <w:color w:val="000000" w:themeColor="text1"/>
          <w:sz w:val="22"/>
        </w:rPr>
        <w:t xml:space="preserve"> is specifically focused on identifying the category of legal entities (and subsequently the individual legal entities) that might be driving the issues by looking at</w:t>
      </w:r>
      <w:r w:rsidR="00F35752">
        <w:rPr>
          <w:rFonts w:asciiTheme="minorHAnsi" w:hAnsiTheme="minorHAnsi"/>
          <w:color w:val="000000" w:themeColor="text1"/>
          <w:sz w:val="22"/>
        </w:rPr>
        <w:t xml:space="preserve"> indicators of leverage, </w:t>
      </w:r>
      <w:r w:rsidR="00966A3B">
        <w:rPr>
          <w:rFonts w:asciiTheme="minorHAnsi" w:hAnsiTheme="minorHAnsi"/>
          <w:color w:val="000000" w:themeColor="text1"/>
          <w:sz w:val="22"/>
        </w:rPr>
        <w:t>e.g.,</w:t>
      </w:r>
      <w:r w:rsidRPr="004A0051">
        <w:rPr>
          <w:rFonts w:asciiTheme="minorHAnsi" w:hAnsiTheme="minorHAnsi"/>
          <w:color w:val="000000" w:themeColor="text1"/>
          <w:sz w:val="22"/>
        </w:rPr>
        <w:t xml:space="preserve"> </w:t>
      </w:r>
      <w:r w:rsidR="007762E0" w:rsidRPr="004A0051">
        <w:rPr>
          <w:rFonts w:asciiTheme="minorHAnsi" w:hAnsiTheme="minorHAnsi"/>
          <w:color w:val="000000" w:themeColor="text1"/>
          <w:sz w:val="22"/>
        </w:rPr>
        <w:t>leverage ratios</w:t>
      </w:r>
      <w:r w:rsidR="00F35752">
        <w:rPr>
          <w:rFonts w:asciiTheme="minorHAnsi" w:hAnsiTheme="minorHAnsi"/>
          <w:color w:val="000000" w:themeColor="text1"/>
          <w:sz w:val="22"/>
        </w:rPr>
        <w:t>, where this risk may manifest itself either though increased writings or exposure, or through increased balances relative to capital and surplus</w:t>
      </w:r>
      <w:r w:rsidR="007762E0" w:rsidRPr="004A0051">
        <w:rPr>
          <w:rFonts w:asciiTheme="minorHAnsi" w:hAnsiTheme="minorHAnsi"/>
          <w:color w:val="000000" w:themeColor="text1"/>
          <w:sz w:val="22"/>
        </w:rPr>
        <w:t xml:space="preserve">. </w:t>
      </w:r>
      <w:r w:rsidRPr="004A0051">
        <w:rPr>
          <w:rFonts w:asciiTheme="minorHAnsi" w:hAnsiTheme="minorHAnsi"/>
          <w:color w:val="000000" w:themeColor="text1"/>
          <w:sz w:val="22"/>
        </w:rPr>
        <w:t xml:space="preserve">The following </w:t>
      </w:r>
      <w:r w:rsidR="004B39C8" w:rsidRPr="004A0051">
        <w:rPr>
          <w:rFonts w:asciiTheme="minorHAnsi" w:hAnsiTheme="minorHAnsi"/>
          <w:color w:val="000000" w:themeColor="text1"/>
          <w:sz w:val="22"/>
        </w:rPr>
        <w:t xml:space="preserve">sample of a </w:t>
      </w:r>
      <w:r w:rsidRPr="004A0051">
        <w:rPr>
          <w:rFonts w:asciiTheme="minorHAnsi" w:hAnsiTheme="minorHAnsi"/>
          <w:color w:val="000000" w:themeColor="text1"/>
          <w:sz w:val="22"/>
        </w:rPr>
        <w:t xml:space="preserve">table from the GCC calculation </w:t>
      </w:r>
      <w:r w:rsidR="00255E19">
        <w:rPr>
          <w:rFonts w:asciiTheme="minorHAnsi" w:hAnsiTheme="minorHAnsi"/>
          <w:color w:val="000000" w:themeColor="text1"/>
          <w:sz w:val="22"/>
        </w:rPr>
        <w:t xml:space="preserve">using </w:t>
      </w:r>
      <w:r w:rsidRPr="004A0051">
        <w:rPr>
          <w:rFonts w:asciiTheme="minorHAnsi" w:hAnsiTheme="minorHAnsi"/>
          <w:color w:val="000000" w:themeColor="text1"/>
          <w:sz w:val="22"/>
        </w:rPr>
        <w:t>the data in Schedule 1 can be helpful in determining the source of the issues</w:t>
      </w:r>
      <w:r w:rsidR="00952B1D" w:rsidRPr="004A0051">
        <w:rPr>
          <w:rFonts w:asciiTheme="minorHAnsi" w:hAnsiTheme="minorHAnsi"/>
          <w:color w:val="000000" w:themeColor="text1"/>
          <w:sz w:val="22"/>
        </w:rPr>
        <w:t>.</w:t>
      </w:r>
    </w:p>
    <w:p w14:paraId="7DE30561" w14:textId="4D79FC7E" w:rsidR="00773E66" w:rsidRDefault="00773E66" w:rsidP="007D61B1">
      <w:pPr>
        <w:tabs>
          <w:tab w:val="left" w:pos="360"/>
        </w:tabs>
        <w:jc w:val="both"/>
        <w:rPr>
          <w:rFonts w:asciiTheme="minorHAnsi" w:hAnsiTheme="minorHAnsi"/>
          <w:color w:val="000000" w:themeColor="text1"/>
          <w:sz w:val="22"/>
        </w:rPr>
      </w:pPr>
    </w:p>
    <w:tbl>
      <w:tblPr>
        <w:tblW w:w="8620" w:type="dxa"/>
        <w:tblLook w:val="04A0" w:firstRow="1" w:lastRow="0" w:firstColumn="1" w:lastColumn="0" w:noHBand="0" w:noVBand="1"/>
      </w:tblPr>
      <w:tblGrid>
        <w:gridCol w:w="1798"/>
        <w:gridCol w:w="542"/>
        <w:gridCol w:w="632"/>
        <w:gridCol w:w="632"/>
        <w:gridCol w:w="632"/>
        <w:gridCol w:w="622"/>
        <w:gridCol w:w="622"/>
        <w:gridCol w:w="632"/>
        <w:gridCol w:w="632"/>
        <w:gridCol w:w="632"/>
        <w:gridCol w:w="622"/>
        <w:gridCol w:w="622"/>
      </w:tblGrid>
      <w:tr w:rsidR="007762E0" w14:paraId="4F811BFA" w14:textId="77777777" w:rsidTr="007762E0">
        <w:trPr>
          <w:trHeight w:val="255"/>
        </w:trPr>
        <w:tc>
          <w:tcPr>
            <w:tcW w:w="2340" w:type="dxa"/>
            <w:gridSpan w:val="2"/>
            <w:tcBorders>
              <w:top w:val="single" w:sz="4" w:space="0" w:color="auto"/>
              <w:left w:val="single" w:sz="4" w:space="0" w:color="auto"/>
              <w:bottom w:val="nil"/>
              <w:right w:val="single" w:sz="4" w:space="0" w:color="000000"/>
            </w:tcBorders>
            <w:shd w:val="clear" w:color="000000" w:fill="D9D9D9"/>
            <w:vAlign w:val="center"/>
            <w:hideMark/>
          </w:tcPr>
          <w:p w14:paraId="6430FD55" w14:textId="77777777" w:rsidR="007762E0" w:rsidRDefault="007762E0" w:rsidP="007762E0">
            <w:pPr>
              <w:jc w:val="center"/>
              <w:rPr>
                <w:rFonts w:ascii="Calibri" w:hAnsi="Calibri" w:cs="Calibri"/>
                <w:b/>
                <w:bCs/>
                <w:sz w:val="20"/>
                <w:szCs w:val="20"/>
              </w:rPr>
            </w:pPr>
            <w:r>
              <w:rPr>
                <w:rFonts w:ascii="Calibri" w:hAnsi="Calibri" w:cs="Calibri"/>
                <w:b/>
                <w:bCs/>
                <w:sz w:val="20"/>
                <w:szCs w:val="20"/>
              </w:rPr>
              <w:t>Insurance Leverage Table</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467395E6" w14:textId="77777777" w:rsidR="007762E0" w:rsidRDefault="007762E0" w:rsidP="007762E0">
            <w:pPr>
              <w:jc w:val="center"/>
              <w:rPr>
                <w:rFonts w:ascii="Calibri" w:hAnsi="Calibri" w:cs="Calibri"/>
                <w:b/>
                <w:bCs/>
                <w:color w:val="000000"/>
                <w:sz w:val="20"/>
                <w:szCs w:val="20"/>
              </w:rPr>
            </w:pPr>
            <w:r>
              <w:rPr>
                <w:rFonts w:ascii="Calibri" w:hAnsi="Calibri" w:cs="Calibri"/>
                <w:b/>
                <w:bCs/>
                <w:color w:val="000000"/>
                <w:sz w:val="20"/>
                <w:szCs w:val="20"/>
              </w:rPr>
              <w:t>Net Premium Written ($)</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5B4A613C" w14:textId="77777777" w:rsidR="007762E0" w:rsidRDefault="007762E0" w:rsidP="007762E0">
            <w:pPr>
              <w:jc w:val="center"/>
              <w:rPr>
                <w:rFonts w:ascii="Calibri" w:hAnsi="Calibri" w:cs="Calibri"/>
                <w:b/>
                <w:bCs/>
                <w:color w:val="000000"/>
                <w:sz w:val="20"/>
                <w:szCs w:val="20"/>
              </w:rPr>
            </w:pPr>
            <w:r>
              <w:rPr>
                <w:rFonts w:ascii="Calibri" w:hAnsi="Calibri" w:cs="Calibri"/>
                <w:b/>
                <w:bCs/>
                <w:color w:val="000000"/>
                <w:sz w:val="20"/>
                <w:szCs w:val="20"/>
              </w:rPr>
              <w:t>Liabilities ($)/Capital &amp; Surplus</w:t>
            </w:r>
          </w:p>
        </w:tc>
      </w:tr>
      <w:tr w:rsidR="007762E0" w14:paraId="01CB3E47" w14:textId="77777777" w:rsidTr="007762E0">
        <w:trPr>
          <w:trHeight w:val="255"/>
        </w:trPr>
        <w:tc>
          <w:tcPr>
            <w:tcW w:w="234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271B363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59FBA123" w14:textId="4A471474"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5</w:t>
            </w:r>
          </w:p>
        </w:tc>
        <w:tc>
          <w:tcPr>
            <w:tcW w:w="632" w:type="dxa"/>
            <w:tcBorders>
              <w:top w:val="nil"/>
              <w:left w:val="nil"/>
              <w:bottom w:val="single" w:sz="4" w:space="0" w:color="auto"/>
              <w:right w:val="single" w:sz="4" w:space="0" w:color="auto"/>
            </w:tcBorders>
            <w:shd w:val="clear" w:color="000000" w:fill="D9D9D9"/>
            <w:vAlign w:val="center"/>
            <w:hideMark/>
          </w:tcPr>
          <w:p w14:paraId="2561AEA8" w14:textId="23E88779"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4</w:t>
            </w:r>
          </w:p>
        </w:tc>
        <w:tc>
          <w:tcPr>
            <w:tcW w:w="632" w:type="dxa"/>
            <w:tcBorders>
              <w:top w:val="nil"/>
              <w:left w:val="nil"/>
              <w:bottom w:val="single" w:sz="4" w:space="0" w:color="auto"/>
              <w:right w:val="single" w:sz="4" w:space="0" w:color="auto"/>
            </w:tcBorders>
            <w:shd w:val="clear" w:color="000000" w:fill="D9D9D9"/>
            <w:vAlign w:val="center"/>
            <w:hideMark/>
          </w:tcPr>
          <w:p w14:paraId="2F762EEF" w14:textId="2AA204ED"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3</w:t>
            </w:r>
          </w:p>
        </w:tc>
        <w:tc>
          <w:tcPr>
            <w:tcW w:w="622" w:type="dxa"/>
            <w:tcBorders>
              <w:top w:val="nil"/>
              <w:left w:val="nil"/>
              <w:bottom w:val="single" w:sz="4" w:space="0" w:color="auto"/>
              <w:right w:val="single" w:sz="4" w:space="0" w:color="auto"/>
            </w:tcBorders>
            <w:shd w:val="clear" w:color="000000" w:fill="D9D9D9"/>
            <w:vAlign w:val="center"/>
            <w:hideMark/>
          </w:tcPr>
          <w:p w14:paraId="63F360BC" w14:textId="24A3B504"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2</w:t>
            </w:r>
          </w:p>
        </w:tc>
        <w:tc>
          <w:tcPr>
            <w:tcW w:w="622" w:type="dxa"/>
            <w:tcBorders>
              <w:top w:val="nil"/>
              <w:left w:val="nil"/>
              <w:bottom w:val="single" w:sz="4" w:space="0" w:color="auto"/>
              <w:right w:val="single" w:sz="4" w:space="0" w:color="auto"/>
            </w:tcBorders>
            <w:shd w:val="clear" w:color="000000" w:fill="D9D9D9"/>
            <w:vAlign w:val="center"/>
            <w:hideMark/>
          </w:tcPr>
          <w:p w14:paraId="0AD30B4E" w14:textId="376427C8"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1</w:t>
            </w:r>
          </w:p>
        </w:tc>
        <w:tc>
          <w:tcPr>
            <w:tcW w:w="632" w:type="dxa"/>
            <w:tcBorders>
              <w:top w:val="nil"/>
              <w:left w:val="nil"/>
              <w:bottom w:val="single" w:sz="4" w:space="0" w:color="auto"/>
              <w:right w:val="single" w:sz="4" w:space="0" w:color="auto"/>
            </w:tcBorders>
            <w:shd w:val="clear" w:color="000000" w:fill="D9D9D9"/>
            <w:vAlign w:val="center"/>
            <w:hideMark/>
          </w:tcPr>
          <w:p w14:paraId="5D655E3D" w14:textId="1856E885"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5</w:t>
            </w:r>
          </w:p>
        </w:tc>
        <w:tc>
          <w:tcPr>
            <w:tcW w:w="632" w:type="dxa"/>
            <w:tcBorders>
              <w:top w:val="nil"/>
              <w:left w:val="nil"/>
              <w:bottom w:val="single" w:sz="4" w:space="0" w:color="auto"/>
              <w:right w:val="single" w:sz="4" w:space="0" w:color="auto"/>
            </w:tcBorders>
            <w:shd w:val="clear" w:color="000000" w:fill="D9D9D9"/>
            <w:vAlign w:val="center"/>
            <w:hideMark/>
          </w:tcPr>
          <w:p w14:paraId="14DD3F20" w14:textId="5922E705"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4</w:t>
            </w:r>
          </w:p>
        </w:tc>
        <w:tc>
          <w:tcPr>
            <w:tcW w:w="632" w:type="dxa"/>
            <w:tcBorders>
              <w:top w:val="nil"/>
              <w:left w:val="nil"/>
              <w:bottom w:val="single" w:sz="4" w:space="0" w:color="auto"/>
              <w:right w:val="single" w:sz="4" w:space="0" w:color="auto"/>
            </w:tcBorders>
            <w:shd w:val="clear" w:color="000000" w:fill="D9D9D9"/>
            <w:vAlign w:val="center"/>
            <w:hideMark/>
          </w:tcPr>
          <w:p w14:paraId="06CB76DC" w14:textId="2B058734"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3</w:t>
            </w:r>
          </w:p>
        </w:tc>
        <w:tc>
          <w:tcPr>
            <w:tcW w:w="622" w:type="dxa"/>
            <w:tcBorders>
              <w:top w:val="nil"/>
              <w:left w:val="nil"/>
              <w:bottom w:val="single" w:sz="4" w:space="0" w:color="auto"/>
              <w:right w:val="single" w:sz="4" w:space="0" w:color="auto"/>
            </w:tcBorders>
            <w:shd w:val="clear" w:color="000000" w:fill="D9D9D9"/>
            <w:vAlign w:val="center"/>
            <w:hideMark/>
          </w:tcPr>
          <w:p w14:paraId="469B8D4B" w14:textId="0E20AE4F"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2</w:t>
            </w:r>
          </w:p>
        </w:tc>
        <w:tc>
          <w:tcPr>
            <w:tcW w:w="622" w:type="dxa"/>
            <w:tcBorders>
              <w:top w:val="nil"/>
              <w:left w:val="nil"/>
              <w:bottom w:val="single" w:sz="4" w:space="0" w:color="auto"/>
              <w:right w:val="single" w:sz="4" w:space="0" w:color="auto"/>
            </w:tcBorders>
            <w:shd w:val="clear" w:color="000000" w:fill="D9D9D9"/>
            <w:vAlign w:val="center"/>
            <w:hideMark/>
          </w:tcPr>
          <w:p w14:paraId="58885900" w14:textId="16CBCD11" w:rsidR="007762E0" w:rsidRDefault="007762E0" w:rsidP="007762E0">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1</w:t>
            </w:r>
          </w:p>
        </w:tc>
      </w:tr>
      <w:tr w:rsidR="007762E0" w14:paraId="17436D97" w14:textId="77777777" w:rsidTr="007762E0">
        <w:trPr>
          <w:trHeight w:val="260"/>
        </w:trPr>
        <w:tc>
          <w:tcPr>
            <w:tcW w:w="2340" w:type="dxa"/>
            <w:gridSpan w:val="2"/>
            <w:vMerge/>
            <w:tcBorders>
              <w:top w:val="nil"/>
              <w:left w:val="single" w:sz="4" w:space="0" w:color="auto"/>
              <w:bottom w:val="single" w:sz="4" w:space="0" w:color="000000"/>
              <w:right w:val="single" w:sz="4" w:space="0" w:color="000000"/>
            </w:tcBorders>
            <w:vAlign w:val="center"/>
            <w:hideMark/>
          </w:tcPr>
          <w:p w14:paraId="6D20E522" w14:textId="77777777" w:rsidR="007762E0" w:rsidRDefault="007762E0" w:rsidP="007762E0">
            <w:pPr>
              <w:rPr>
                <w:rFonts w:ascii="Calibri" w:hAnsi="Calibri" w:cs="Calibri"/>
                <w:b/>
                <w:bCs/>
                <w:sz w:val="20"/>
                <w:szCs w:val="20"/>
              </w:rPr>
            </w:pPr>
          </w:p>
        </w:tc>
        <w:tc>
          <w:tcPr>
            <w:tcW w:w="632" w:type="dxa"/>
            <w:tcBorders>
              <w:top w:val="nil"/>
              <w:left w:val="nil"/>
              <w:bottom w:val="nil"/>
              <w:right w:val="nil"/>
            </w:tcBorders>
            <w:shd w:val="clear" w:color="000000" w:fill="D9D9D9"/>
            <w:noWrap/>
            <w:vAlign w:val="center"/>
            <w:hideMark/>
          </w:tcPr>
          <w:p w14:paraId="220344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725ABE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1E4DD3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2AB9093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17A319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single" w:sz="4" w:space="0" w:color="auto"/>
              <w:bottom w:val="nil"/>
              <w:right w:val="nil"/>
            </w:tcBorders>
            <w:shd w:val="clear" w:color="000000" w:fill="D9D9D9"/>
            <w:noWrap/>
            <w:vAlign w:val="center"/>
            <w:hideMark/>
          </w:tcPr>
          <w:p w14:paraId="670ECA7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3D7AC8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2A61D5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063594A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5095A0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r>
      <w:tr w:rsidR="007762E0" w14:paraId="4F2CBB0A"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0CFFCE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16268CA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5FEEAED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2B7706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326140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80175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AFB65A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2978606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A1674D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A8CD21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2763A2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347031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C12483C"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210486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45B63BC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7B1F5EF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8BF4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39C98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CF6625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3288DE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5D7F9D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992FD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CCF71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62FF8B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96613C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D023B5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469F87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006CEE4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6DFEE5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6B17E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47DFE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A64E7F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C24137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F0CD96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AFC74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20740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53E8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1796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428B7A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9ABBAB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3C27FD1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65243A2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9D9021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5318D6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90ACE4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998C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3AB63B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11D54B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471C1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0E4A2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3F3D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547ECA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919E69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61B125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63FE1A8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4BD8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C9EA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B2A6E4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D6A6F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6D10D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CEDAC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5022D8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F98D7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5930C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DC21E4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34E7A44"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14B5540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0B6460E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E6AD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99EB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BE0E11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D28EA5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5B370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E4A8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23EAE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6F6FE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C888E2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9C17AD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102E6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56D22B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57D8929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A7BB7B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42D4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9D271C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963B84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1A280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2675C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80F7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691E06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55A718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BED4E4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E936D0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48CB031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2F4300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88716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17B0C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8ADB66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B3B50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D82A8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815D4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5E3A1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8BCE3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168C8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62BC00D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9E0A46E"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5A10D0F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522EB9F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5A08E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7541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3C5E32E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4D471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51CFA2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3B508A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1AA74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08FD46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8D4B1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4F8077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178DCBE" w14:textId="77777777" w:rsidR="007762E0" w:rsidRDefault="007762E0" w:rsidP="007762E0">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74B95E6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06679F8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5F357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91E32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AC4245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1B3CB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992741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27C95F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91BEA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24C07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9B662C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F418CC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A445B24" w14:textId="77777777" w:rsidR="007762E0" w:rsidRDefault="007762E0" w:rsidP="007762E0">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B69634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65123D2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7C21C3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C1A2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B963C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A427E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D9B804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9579B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6B2B5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06B462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E6F4F4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1B8BAF1"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0C3298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6A1CFB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74E782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7549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E7F416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2FDA8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84073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BABDCD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4499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B8D27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A70113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851B5D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25E068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6E862E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4C26157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6C12A4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4102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30349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034006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600B76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488BC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CB5D6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04C3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DE5C2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9822F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341DD4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C2D233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5AABC0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0A03F2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7D943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ACFA1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37044A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AB6AF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D668D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24939F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E41A02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6A905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D3D49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CA76C93"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0D3BB6C" w14:textId="77777777" w:rsidR="007762E0" w:rsidRDefault="007762E0" w:rsidP="007762E0">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65CA000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116F74D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E333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630217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F80A8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5CC06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F1F16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A59E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AB3A5A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8E7EE2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4A86E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511FC5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DFD1573"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612CB2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0ACE43E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10A8B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825A1F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C2612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A1533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A5B75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1B71D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F15A8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E29FA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B80BE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11010AA"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E0BA559"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7FD3233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61FA03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583F8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78A96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AC8387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E2B59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01221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91B9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B89919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7A292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2ECCA0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2212357"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05C2F9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Hong Kong - Life</w:t>
            </w:r>
          </w:p>
        </w:tc>
        <w:tc>
          <w:tcPr>
            <w:tcW w:w="542" w:type="dxa"/>
            <w:tcBorders>
              <w:top w:val="nil"/>
              <w:left w:val="single" w:sz="4" w:space="0" w:color="auto"/>
              <w:bottom w:val="nil"/>
              <w:right w:val="single" w:sz="4" w:space="0" w:color="auto"/>
            </w:tcBorders>
            <w:shd w:val="clear" w:color="000000" w:fill="D9D9D9"/>
            <w:noWrap/>
            <w:vAlign w:val="center"/>
            <w:hideMark/>
          </w:tcPr>
          <w:p w14:paraId="3B9A61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[18]</w:t>
            </w:r>
          </w:p>
        </w:tc>
        <w:tc>
          <w:tcPr>
            <w:tcW w:w="632" w:type="dxa"/>
            <w:tcBorders>
              <w:top w:val="nil"/>
              <w:left w:val="nil"/>
              <w:bottom w:val="single" w:sz="4" w:space="0" w:color="7F7F7F"/>
              <w:right w:val="single" w:sz="4" w:space="0" w:color="7F7F7F"/>
            </w:tcBorders>
            <w:shd w:val="clear" w:color="000000" w:fill="FFFF99"/>
            <w:noWrap/>
            <w:vAlign w:val="center"/>
            <w:hideMark/>
          </w:tcPr>
          <w:p w14:paraId="2CA083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DCFFE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52D8D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E55EE0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19A2D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2DC23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25C4BF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DB14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49C2D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6889DF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01AD8C0"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C5577D3" w14:textId="77777777" w:rsidR="007762E0" w:rsidRDefault="007762E0" w:rsidP="007762E0">
            <w:pPr>
              <w:jc w:val="center"/>
              <w:rPr>
                <w:rFonts w:ascii="Calibri" w:hAnsi="Calibri" w:cs="Calibri"/>
                <w:b/>
                <w:bCs/>
                <w:sz w:val="20"/>
                <w:szCs w:val="20"/>
              </w:rPr>
            </w:pPr>
            <w:r>
              <w:rPr>
                <w:rFonts w:ascii="Calibri" w:hAnsi="Calibri" w:cs="Calibri"/>
                <w:b/>
                <w:bCs/>
                <w:sz w:val="20"/>
                <w:szCs w:val="20"/>
              </w:rPr>
              <w:t>Hong Kong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25E2D4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[19]</w:t>
            </w:r>
          </w:p>
        </w:tc>
        <w:tc>
          <w:tcPr>
            <w:tcW w:w="632" w:type="dxa"/>
            <w:tcBorders>
              <w:top w:val="nil"/>
              <w:left w:val="nil"/>
              <w:bottom w:val="single" w:sz="4" w:space="0" w:color="7F7F7F"/>
              <w:right w:val="single" w:sz="4" w:space="0" w:color="7F7F7F"/>
            </w:tcBorders>
            <w:shd w:val="clear" w:color="000000" w:fill="FFFF99"/>
            <w:noWrap/>
            <w:vAlign w:val="center"/>
            <w:hideMark/>
          </w:tcPr>
          <w:p w14:paraId="0A0BE0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4BF922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456974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8F6E9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372F6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C54F44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2C5F8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596AB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05F38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0113B3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69603998"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0F9FF16"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Singapore - All</w:t>
            </w:r>
          </w:p>
        </w:tc>
        <w:tc>
          <w:tcPr>
            <w:tcW w:w="542" w:type="dxa"/>
            <w:tcBorders>
              <w:top w:val="nil"/>
              <w:left w:val="single" w:sz="4" w:space="0" w:color="auto"/>
              <w:bottom w:val="nil"/>
              <w:right w:val="single" w:sz="4" w:space="0" w:color="auto"/>
            </w:tcBorders>
            <w:shd w:val="clear" w:color="000000" w:fill="D9D9D9"/>
            <w:noWrap/>
            <w:vAlign w:val="center"/>
            <w:hideMark/>
          </w:tcPr>
          <w:p w14:paraId="41BBD7D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[20]</w:t>
            </w:r>
          </w:p>
        </w:tc>
        <w:tc>
          <w:tcPr>
            <w:tcW w:w="632" w:type="dxa"/>
            <w:tcBorders>
              <w:top w:val="nil"/>
              <w:left w:val="nil"/>
              <w:bottom w:val="single" w:sz="4" w:space="0" w:color="7F7F7F"/>
              <w:right w:val="single" w:sz="4" w:space="0" w:color="7F7F7F"/>
            </w:tcBorders>
            <w:shd w:val="clear" w:color="000000" w:fill="FFFF99"/>
            <w:noWrap/>
            <w:vAlign w:val="center"/>
            <w:hideMark/>
          </w:tcPr>
          <w:p w14:paraId="5E534B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7B171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32A23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85899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BFC6AD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D9C16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253AA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747FED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009819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7BC2E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C29C2E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B8E68B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Chinese Taipei - All</w:t>
            </w:r>
          </w:p>
        </w:tc>
        <w:tc>
          <w:tcPr>
            <w:tcW w:w="542" w:type="dxa"/>
            <w:tcBorders>
              <w:top w:val="nil"/>
              <w:left w:val="single" w:sz="4" w:space="0" w:color="auto"/>
              <w:bottom w:val="nil"/>
              <w:right w:val="single" w:sz="4" w:space="0" w:color="auto"/>
            </w:tcBorders>
            <w:shd w:val="clear" w:color="000000" w:fill="D9D9D9"/>
            <w:noWrap/>
            <w:vAlign w:val="center"/>
            <w:hideMark/>
          </w:tcPr>
          <w:p w14:paraId="11540EE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[21]</w:t>
            </w:r>
          </w:p>
        </w:tc>
        <w:tc>
          <w:tcPr>
            <w:tcW w:w="632" w:type="dxa"/>
            <w:tcBorders>
              <w:top w:val="nil"/>
              <w:left w:val="nil"/>
              <w:bottom w:val="single" w:sz="4" w:space="0" w:color="7F7F7F"/>
              <w:right w:val="single" w:sz="4" w:space="0" w:color="7F7F7F"/>
            </w:tcBorders>
            <w:shd w:val="clear" w:color="000000" w:fill="FFFF99"/>
            <w:noWrap/>
            <w:vAlign w:val="center"/>
            <w:hideMark/>
          </w:tcPr>
          <w:p w14:paraId="60CD306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C7A4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FA14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FFDB89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39F86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9EB0F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C3CF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7F5D80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D6D70D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A8DC77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6221252"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927B566" w14:textId="77777777" w:rsidR="007762E0" w:rsidRDefault="007762E0" w:rsidP="007762E0">
            <w:pPr>
              <w:jc w:val="center"/>
              <w:rPr>
                <w:rFonts w:ascii="Calibri" w:hAnsi="Calibri" w:cs="Calibri"/>
                <w:b/>
                <w:bCs/>
                <w:sz w:val="20"/>
                <w:szCs w:val="20"/>
              </w:rPr>
            </w:pPr>
            <w:r>
              <w:rPr>
                <w:rFonts w:ascii="Calibri" w:hAnsi="Calibri" w:cs="Calibri"/>
                <w:b/>
                <w:bCs/>
                <w:sz w:val="20"/>
                <w:szCs w:val="20"/>
              </w:rPr>
              <w:lastRenderedPageBreak/>
              <w:t>South Africa - Life</w:t>
            </w:r>
          </w:p>
        </w:tc>
        <w:tc>
          <w:tcPr>
            <w:tcW w:w="542" w:type="dxa"/>
            <w:tcBorders>
              <w:top w:val="nil"/>
              <w:left w:val="single" w:sz="4" w:space="0" w:color="auto"/>
              <w:bottom w:val="nil"/>
              <w:right w:val="single" w:sz="4" w:space="0" w:color="auto"/>
            </w:tcBorders>
            <w:shd w:val="clear" w:color="000000" w:fill="D9D9D9"/>
            <w:noWrap/>
            <w:vAlign w:val="center"/>
            <w:hideMark/>
          </w:tcPr>
          <w:p w14:paraId="5366BF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[22]</w:t>
            </w:r>
          </w:p>
        </w:tc>
        <w:tc>
          <w:tcPr>
            <w:tcW w:w="632" w:type="dxa"/>
            <w:tcBorders>
              <w:top w:val="nil"/>
              <w:left w:val="nil"/>
              <w:bottom w:val="single" w:sz="4" w:space="0" w:color="7F7F7F"/>
              <w:right w:val="single" w:sz="4" w:space="0" w:color="7F7F7F"/>
            </w:tcBorders>
            <w:shd w:val="clear" w:color="000000" w:fill="FFFF99"/>
            <w:noWrap/>
            <w:vAlign w:val="center"/>
            <w:hideMark/>
          </w:tcPr>
          <w:p w14:paraId="27CC98B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0B85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19548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ECCA27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81D7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7F2A627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810A1B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118905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6674A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39E2C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D10E611"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425AFB9"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Africa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64D3478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[23]</w:t>
            </w:r>
          </w:p>
        </w:tc>
        <w:tc>
          <w:tcPr>
            <w:tcW w:w="632" w:type="dxa"/>
            <w:tcBorders>
              <w:top w:val="nil"/>
              <w:left w:val="nil"/>
              <w:bottom w:val="single" w:sz="4" w:space="0" w:color="7F7F7F"/>
              <w:right w:val="single" w:sz="4" w:space="0" w:color="7F7F7F"/>
            </w:tcBorders>
            <w:shd w:val="clear" w:color="000000" w:fill="FFFF99"/>
            <w:noWrap/>
            <w:vAlign w:val="center"/>
            <w:hideMark/>
          </w:tcPr>
          <w:p w14:paraId="186C526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A0ED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EB7384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5F5E0D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4BF80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19F8A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88715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706B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CD6DC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9DB4C7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4CF4049"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C56F18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Africa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3E7D336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[24]</w:t>
            </w:r>
          </w:p>
        </w:tc>
        <w:tc>
          <w:tcPr>
            <w:tcW w:w="632" w:type="dxa"/>
            <w:tcBorders>
              <w:top w:val="nil"/>
              <w:left w:val="nil"/>
              <w:bottom w:val="single" w:sz="4" w:space="0" w:color="7F7F7F"/>
              <w:right w:val="single" w:sz="4" w:space="0" w:color="7F7F7F"/>
            </w:tcBorders>
            <w:shd w:val="clear" w:color="000000" w:fill="FFFF99"/>
            <w:noWrap/>
            <w:vAlign w:val="center"/>
            <w:hideMark/>
          </w:tcPr>
          <w:p w14:paraId="6429719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F8C8F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435EC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E982CC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FB579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B5D03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A51455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ADF390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09BDA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62782B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FFA90B9"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DE2102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Mexico</w:t>
            </w:r>
          </w:p>
        </w:tc>
        <w:tc>
          <w:tcPr>
            <w:tcW w:w="542" w:type="dxa"/>
            <w:tcBorders>
              <w:top w:val="nil"/>
              <w:left w:val="single" w:sz="4" w:space="0" w:color="auto"/>
              <w:bottom w:val="nil"/>
              <w:right w:val="single" w:sz="4" w:space="0" w:color="auto"/>
            </w:tcBorders>
            <w:shd w:val="clear" w:color="000000" w:fill="D9D9D9"/>
            <w:noWrap/>
            <w:vAlign w:val="center"/>
            <w:hideMark/>
          </w:tcPr>
          <w:p w14:paraId="5491932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[25]</w:t>
            </w:r>
          </w:p>
        </w:tc>
        <w:tc>
          <w:tcPr>
            <w:tcW w:w="632" w:type="dxa"/>
            <w:tcBorders>
              <w:top w:val="nil"/>
              <w:left w:val="nil"/>
              <w:bottom w:val="single" w:sz="4" w:space="0" w:color="7F7F7F"/>
              <w:right w:val="single" w:sz="4" w:space="0" w:color="7F7F7F"/>
            </w:tcBorders>
            <w:shd w:val="clear" w:color="000000" w:fill="FFFF99"/>
            <w:noWrap/>
            <w:vAlign w:val="center"/>
            <w:hideMark/>
          </w:tcPr>
          <w:p w14:paraId="6FC674B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B776F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EA8F4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4881BD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4A101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FB0BE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A7EDE3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02086D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AE237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8A69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56DAA5C"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A8EF028"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China</w:t>
            </w:r>
          </w:p>
        </w:tc>
        <w:tc>
          <w:tcPr>
            <w:tcW w:w="542" w:type="dxa"/>
            <w:tcBorders>
              <w:top w:val="nil"/>
              <w:left w:val="single" w:sz="4" w:space="0" w:color="auto"/>
              <w:bottom w:val="nil"/>
              <w:right w:val="single" w:sz="4" w:space="0" w:color="auto"/>
            </w:tcBorders>
            <w:shd w:val="clear" w:color="000000" w:fill="D9D9D9"/>
            <w:noWrap/>
            <w:vAlign w:val="center"/>
            <w:hideMark/>
          </w:tcPr>
          <w:p w14:paraId="38A01E6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[26]</w:t>
            </w:r>
          </w:p>
        </w:tc>
        <w:tc>
          <w:tcPr>
            <w:tcW w:w="632" w:type="dxa"/>
            <w:tcBorders>
              <w:top w:val="nil"/>
              <w:left w:val="nil"/>
              <w:bottom w:val="single" w:sz="4" w:space="0" w:color="7F7F7F"/>
              <w:right w:val="single" w:sz="4" w:space="0" w:color="7F7F7F"/>
            </w:tcBorders>
            <w:shd w:val="clear" w:color="000000" w:fill="FFFF99"/>
            <w:noWrap/>
            <w:vAlign w:val="center"/>
            <w:hideMark/>
          </w:tcPr>
          <w:p w14:paraId="71BB102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067DE5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C8B92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E7393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2F2B9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4BD07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2CA7C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D23C58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05DB73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649B9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72AC36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2D644A"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Korea</w:t>
            </w:r>
          </w:p>
        </w:tc>
        <w:tc>
          <w:tcPr>
            <w:tcW w:w="542" w:type="dxa"/>
            <w:tcBorders>
              <w:top w:val="nil"/>
              <w:left w:val="single" w:sz="4" w:space="0" w:color="auto"/>
              <w:bottom w:val="nil"/>
              <w:right w:val="single" w:sz="4" w:space="0" w:color="auto"/>
            </w:tcBorders>
            <w:shd w:val="clear" w:color="000000" w:fill="D9D9D9"/>
            <w:noWrap/>
            <w:vAlign w:val="center"/>
            <w:hideMark/>
          </w:tcPr>
          <w:p w14:paraId="376D2EB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[27]</w:t>
            </w:r>
          </w:p>
        </w:tc>
        <w:tc>
          <w:tcPr>
            <w:tcW w:w="632" w:type="dxa"/>
            <w:tcBorders>
              <w:top w:val="nil"/>
              <w:left w:val="nil"/>
              <w:bottom w:val="single" w:sz="4" w:space="0" w:color="7F7F7F"/>
              <w:right w:val="single" w:sz="4" w:space="0" w:color="7F7F7F"/>
            </w:tcBorders>
            <w:shd w:val="clear" w:color="000000" w:fill="FFFF99"/>
            <w:noWrap/>
            <w:vAlign w:val="center"/>
            <w:hideMark/>
          </w:tcPr>
          <w:p w14:paraId="72A524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4857B4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D6FFA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1B621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9003A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6E9B11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3C278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C66F1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A1A78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A54A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E695D5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E96B2E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Malaysia</w:t>
            </w:r>
          </w:p>
        </w:tc>
        <w:tc>
          <w:tcPr>
            <w:tcW w:w="542" w:type="dxa"/>
            <w:tcBorders>
              <w:top w:val="nil"/>
              <w:left w:val="single" w:sz="4" w:space="0" w:color="auto"/>
              <w:bottom w:val="nil"/>
              <w:right w:val="single" w:sz="4" w:space="0" w:color="auto"/>
            </w:tcBorders>
            <w:shd w:val="clear" w:color="000000" w:fill="D9D9D9"/>
            <w:noWrap/>
            <w:vAlign w:val="center"/>
            <w:hideMark/>
          </w:tcPr>
          <w:p w14:paraId="565B72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[28]</w:t>
            </w:r>
          </w:p>
        </w:tc>
        <w:tc>
          <w:tcPr>
            <w:tcW w:w="632" w:type="dxa"/>
            <w:tcBorders>
              <w:top w:val="nil"/>
              <w:left w:val="nil"/>
              <w:bottom w:val="single" w:sz="4" w:space="0" w:color="7F7F7F"/>
              <w:right w:val="single" w:sz="4" w:space="0" w:color="7F7F7F"/>
            </w:tcBorders>
            <w:shd w:val="clear" w:color="000000" w:fill="FFFF99"/>
            <w:noWrap/>
            <w:vAlign w:val="center"/>
            <w:hideMark/>
          </w:tcPr>
          <w:p w14:paraId="0D3E1C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CD55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44C3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B01F9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5D1AD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7F3AA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D3D2A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E44BF0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E62885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515BFB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2221C8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B2FE9D8"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Chile</w:t>
            </w:r>
          </w:p>
        </w:tc>
        <w:tc>
          <w:tcPr>
            <w:tcW w:w="542" w:type="dxa"/>
            <w:tcBorders>
              <w:top w:val="nil"/>
              <w:left w:val="single" w:sz="4" w:space="0" w:color="auto"/>
              <w:bottom w:val="nil"/>
              <w:right w:val="single" w:sz="4" w:space="0" w:color="auto"/>
            </w:tcBorders>
            <w:shd w:val="clear" w:color="000000" w:fill="D9D9D9"/>
            <w:noWrap/>
            <w:vAlign w:val="center"/>
            <w:hideMark/>
          </w:tcPr>
          <w:p w14:paraId="482ABF4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[29]</w:t>
            </w:r>
          </w:p>
        </w:tc>
        <w:tc>
          <w:tcPr>
            <w:tcW w:w="632" w:type="dxa"/>
            <w:tcBorders>
              <w:top w:val="nil"/>
              <w:left w:val="nil"/>
              <w:bottom w:val="single" w:sz="4" w:space="0" w:color="7F7F7F"/>
              <w:right w:val="single" w:sz="4" w:space="0" w:color="7F7F7F"/>
            </w:tcBorders>
            <w:shd w:val="clear" w:color="000000" w:fill="FFFF99"/>
            <w:noWrap/>
            <w:vAlign w:val="center"/>
            <w:hideMark/>
          </w:tcPr>
          <w:p w14:paraId="2AF8453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184C4C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D7CA4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1CC6A3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A140DA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E5CD70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B1D7B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ADA62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7CD01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EC3A1C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0BAE39F"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1ADE4C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Brazil</w:t>
            </w:r>
          </w:p>
        </w:tc>
        <w:tc>
          <w:tcPr>
            <w:tcW w:w="542" w:type="dxa"/>
            <w:tcBorders>
              <w:top w:val="nil"/>
              <w:left w:val="single" w:sz="4" w:space="0" w:color="auto"/>
              <w:bottom w:val="nil"/>
              <w:right w:val="single" w:sz="4" w:space="0" w:color="auto"/>
            </w:tcBorders>
            <w:shd w:val="clear" w:color="000000" w:fill="D9D9D9"/>
            <w:noWrap/>
            <w:vAlign w:val="center"/>
            <w:hideMark/>
          </w:tcPr>
          <w:p w14:paraId="072D74F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[30]</w:t>
            </w:r>
          </w:p>
        </w:tc>
        <w:tc>
          <w:tcPr>
            <w:tcW w:w="632" w:type="dxa"/>
            <w:tcBorders>
              <w:top w:val="nil"/>
              <w:left w:val="nil"/>
              <w:bottom w:val="single" w:sz="4" w:space="0" w:color="7F7F7F"/>
              <w:right w:val="single" w:sz="4" w:space="0" w:color="7F7F7F"/>
            </w:tcBorders>
            <w:shd w:val="clear" w:color="000000" w:fill="FFFF99"/>
            <w:noWrap/>
            <w:vAlign w:val="center"/>
            <w:hideMark/>
          </w:tcPr>
          <w:p w14:paraId="75EBF7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87752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A335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44D6DA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975804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BC71C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978C8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0F5E23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F532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0AE7B3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68C19FF"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5CBB2C65" w14:textId="77777777" w:rsidR="007762E0" w:rsidRDefault="007762E0" w:rsidP="007762E0">
            <w:pPr>
              <w:jc w:val="center"/>
              <w:rPr>
                <w:rFonts w:ascii="Calibri" w:hAnsi="Calibri" w:cs="Calibri"/>
                <w:b/>
                <w:bCs/>
                <w:sz w:val="20"/>
                <w:szCs w:val="20"/>
              </w:rPr>
            </w:pPr>
            <w:r>
              <w:rPr>
                <w:rFonts w:ascii="Calibri" w:hAnsi="Calibri" w:cs="Calibri"/>
                <w:b/>
                <w:bCs/>
                <w:sz w:val="20"/>
                <w:szCs w:val="20"/>
              </w:rPr>
              <w:t>India</w:t>
            </w:r>
          </w:p>
        </w:tc>
        <w:tc>
          <w:tcPr>
            <w:tcW w:w="542" w:type="dxa"/>
            <w:tcBorders>
              <w:top w:val="nil"/>
              <w:left w:val="single" w:sz="4" w:space="0" w:color="auto"/>
              <w:bottom w:val="nil"/>
              <w:right w:val="single" w:sz="4" w:space="0" w:color="auto"/>
            </w:tcBorders>
            <w:shd w:val="clear" w:color="000000" w:fill="D9D9D9"/>
            <w:noWrap/>
            <w:vAlign w:val="center"/>
            <w:hideMark/>
          </w:tcPr>
          <w:p w14:paraId="13A2F7A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[31]</w:t>
            </w:r>
          </w:p>
        </w:tc>
        <w:tc>
          <w:tcPr>
            <w:tcW w:w="632" w:type="dxa"/>
            <w:tcBorders>
              <w:top w:val="nil"/>
              <w:left w:val="nil"/>
              <w:bottom w:val="single" w:sz="4" w:space="0" w:color="7F7F7F"/>
              <w:right w:val="single" w:sz="4" w:space="0" w:color="7F7F7F"/>
            </w:tcBorders>
            <w:shd w:val="clear" w:color="000000" w:fill="FFFF99"/>
            <w:noWrap/>
            <w:vAlign w:val="center"/>
            <w:hideMark/>
          </w:tcPr>
          <w:p w14:paraId="6E02CC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7120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0A93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FD8B53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7AE11C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BED85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3195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3026A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947DC6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E0939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9C28DC5"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7CE204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Other Regime</w:t>
            </w:r>
          </w:p>
        </w:tc>
        <w:tc>
          <w:tcPr>
            <w:tcW w:w="542" w:type="dxa"/>
            <w:tcBorders>
              <w:top w:val="nil"/>
              <w:left w:val="single" w:sz="4" w:space="0" w:color="auto"/>
              <w:bottom w:val="nil"/>
              <w:right w:val="single" w:sz="4" w:space="0" w:color="auto"/>
            </w:tcBorders>
            <w:shd w:val="clear" w:color="000000" w:fill="D9D9D9"/>
            <w:noWrap/>
            <w:vAlign w:val="center"/>
            <w:hideMark/>
          </w:tcPr>
          <w:p w14:paraId="09BA33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[32]</w:t>
            </w:r>
          </w:p>
        </w:tc>
        <w:tc>
          <w:tcPr>
            <w:tcW w:w="632" w:type="dxa"/>
            <w:tcBorders>
              <w:top w:val="nil"/>
              <w:left w:val="nil"/>
              <w:bottom w:val="single" w:sz="4" w:space="0" w:color="7F7F7F"/>
              <w:right w:val="single" w:sz="4" w:space="0" w:color="7F7F7F"/>
            </w:tcBorders>
            <w:shd w:val="clear" w:color="000000" w:fill="FFFF99"/>
            <w:noWrap/>
            <w:vAlign w:val="center"/>
            <w:hideMark/>
          </w:tcPr>
          <w:p w14:paraId="4766813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77A8F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39AF0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A1636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132068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7304AB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2AF562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89D4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1A2E4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11EE8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DE373E3"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7C57019" w14:textId="77777777" w:rsidR="007762E0" w:rsidRDefault="007762E0" w:rsidP="007762E0">
            <w:pPr>
              <w:jc w:val="center"/>
              <w:rPr>
                <w:rFonts w:ascii="Calibri" w:hAnsi="Calibri" w:cs="Calibri"/>
                <w:b/>
                <w:bCs/>
                <w:sz w:val="20"/>
                <w:szCs w:val="20"/>
              </w:rPr>
            </w:pPr>
            <w:r>
              <w:rPr>
                <w:rFonts w:ascii="Calibri" w:hAnsi="Calibri" w:cs="Calibri"/>
                <w:b/>
                <w:bCs/>
                <w:sz w:val="20"/>
                <w:szCs w:val="20"/>
              </w:rPr>
              <w:t>TOTAL</w:t>
            </w:r>
          </w:p>
        </w:tc>
        <w:tc>
          <w:tcPr>
            <w:tcW w:w="542" w:type="dxa"/>
            <w:tcBorders>
              <w:top w:val="nil"/>
              <w:left w:val="single" w:sz="4" w:space="0" w:color="auto"/>
              <w:bottom w:val="nil"/>
              <w:right w:val="single" w:sz="4" w:space="0" w:color="auto"/>
            </w:tcBorders>
            <w:shd w:val="clear" w:color="000000" w:fill="D9D9D9"/>
            <w:noWrap/>
            <w:vAlign w:val="center"/>
            <w:hideMark/>
          </w:tcPr>
          <w:p w14:paraId="3C6A25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[33]</w:t>
            </w:r>
          </w:p>
        </w:tc>
        <w:tc>
          <w:tcPr>
            <w:tcW w:w="632" w:type="dxa"/>
            <w:tcBorders>
              <w:top w:val="nil"/>
              <w:left w:val="nil"/>
              <w:bottom w:val="single" w:sz="4" w:space="0" w:color="7F7F7F"/>
              <w:right w:val="single" w:sz="4" w:space="0" w:color="7F7F7F"/>
            </w:tcBorders>
            <w:shd w:val="clear" w:color="000000" w:fill="FFFF99"/>
            <w:noWrap/>
            <w:vAlign w:val="center"/>
            <w:hideMark/>
          </w:tcPr>
          <w:p w14:paraId="4F1B75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B71E8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F2F71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2FDD1B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62772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282C73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20D5C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B717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707CE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18DF4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bl>
    <w:p w14:paraId="79E1B3D6" w14:textId="77777777" w:rsidR="007762E0" w:rsidRPr="00E5685D" w:rsidRDefault="007762E0" w:rsidP="007762E0"/>
    <w:p w14:paraId="5BD84CC8" w14:textId="4968F593" w:rsidR="007762E0" w:rsidRPr="004A0051" w:rsidRDefault="007762E0" w:rsidP="007D61B1">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3b</w:t>
      </w:r>
      <w:r w:rsidRPr="004A0051">
        <w:rPr>
          <w:rFonts w:asciiTheme="minorHAnsi" w:hAnsiTheme="minorHAnsi"/>
          <w:color w:val="000000" w:themeColor="text1"/>
          <w:sz w:val="22"/>
        </w:rPr>
        <w:t xml:space="preserve"> is more forward looking by suggest</w:t>
      </w:r>
      <w:r w:rsidR="004B39C8" w:rsidRPr="004A0051">
        <w:rPr>
          <w:rFonts w:asciiTheme="minorHAnsi" w:hAnsiTheme="minorHAnsi"/>
          <w:color w:val="000000" w:themeColor="text1"/>
          <w:sz w:val="22"/>
        </w:rPr>
        <w:t>ing</w:t>
      </w:r>
      <w:r w:rsidRPr="004A0051">
        <w:rPr>
          <w:rFonts w:asciiTheme="minorHAnsi" w:hAnsiTheme="minorHAnsi"/>
          <w:color w:val="000000" w:themeColor="text1"/>
          <w:sz w:val="22"/>
        </w:rPr>
        <w:t xml:space="preserve"> the analyst look at the same leverage ratios used in </w:t>
      </w:r>
      <w:r w:rsidR="007B7001" w:rsidRPr="004A0051">
        <w:rPr>
          <w:rFonts w:asciiTheme="minorHAnsi" w:hAnsiTheme="minorHAnsi"/>
          <w:color w:val="000000" w:themeColor="text1"/>
          <w:sz w:val="22"/>
        </w:rPr>
        <w:t>3a</w:t>
      </w:r>
      <w:r w:rsidRPr="004A0051">
        <w:rPr>
          <w:rFonts w:asciiTheme="minorHAnsi" w:hAnsiTheme="minorHAnsi"/>
          <w:color w:val="000000" w:themeColor="text1"/>
          <w:sz w:val="22"/>
        </w:rPr>
        <w:t xml:space="preserve"> to determine if the trends might continue and lead to further decreases in the GCC ratio. Procedure </w:t>
      </w:r>
      <w:r w:rsidR="007B7001" w:rsidRPr="004A0051">
        <w:rPr>
          <w:rFonts w:asciiTheme="minorHAnsi" w:hAnsiTheme="minorHAnsi"/>
          <w:color w:val="000000" w:themeColor="text1"/>
          <w:sz w:val="22"/>
        </w:rPr>
        <w:t>3c</w:t>
      </w:r>
      <w:r w:rsidRPr="004A0051">
        <w:rPr>
          <w:rFonts w:asciiTheme="minorHAnsi" w:hAnsiTheme="minorHAnsi"/>
          <w:color w:val="000000" w:themeColor="text1"/>
          <w:sz w:val="22"/>
        </w:rPr>
        <w:t xml:space="preserve"> simply requests the analyst use the leverage information to </w:t>
      </w:r>
      <w:r w:rsidR="00255E19">
        <w:rPr>
          <w:rFonts w:asciiTheme="minorHAnsi" w:hAnsiTheme="minorHAnsi"/>
          <w:color w:val="000000" w:themeColor="text1"/>
          <w:sz w:val="22"/>
        </w:rPr>
        <w:t xml:space="preserve">target </w:t>
      </w:r>
      <w:r w:rsidRPr="004A0051">
        <w:rPr>
          <w:rFonts w:asciiTheme="minorHAnsi" w:hAnsiTheme="minorHAnsi"/>
          <w:color w:val="000000" w:themeColor="text1"/>
          <w:sz w:val="22"/>
        </w:rPr>
        <w:t xml:space="preserve">questions to the group to better </w:t>
      </w:r>
      <w:r w:rsidR="00255E19">
        <w:rPr>
          <w:rFonts w:asciiTheme="minorHAnsi" w:hAnsiTheme="minorHAnsi"/>
          <w:color w:val="000000" w:themeColor="text1"/>
          <w:sz w:val="22"/>
        </w:rPr>
        <w:t>identify</w:t>
      </w:r>
      <w:r w:rsidRPr="004A0051">
        <w:rPr>
          <w:rFonts w:asciiTheme="minorHAnsi" w:hAnsiTheme="minorHAnsi"/>
          <w:color w:val="000000" w:themeColor="text1"/>
          <w:sz w:val="22"/>
        </w:rPr>
        <w:t xml:space="preserve"> the drivers. Procedure </w:t>
      </w:r>
      <w:r w:rsidR="007B7001" w:rsidRPr="004A0051">
        <w:rPr>
          <w:rFonts w:asciiTheme="minorHAnsi" w:hAnsiTheme="minorHAnsi"/>
          <w:color w:val="000000" w:themeColor="text1"/>
          <w:sz w:val="22"/>
        </w:rPr>
        <w:t>3d</w:t>
      </w:r>
      <w:r w:rsidRPr="004A0051">
        <w:rPr>
          <w:rFonts w:asciiTheme="minorHAnsi" w:hAnsiTheme="minorHAnsi"/>
          <w:color w:val="000000" w:themeColor="text1"/>
          <w:sz w:val="22"/>
        </w:rPr>
        <w:t>-</w:t>
      </w:r>
      <w:r w:rsidR="007B7001" w:rsidRPr="004A0051">
        <w:rPr>
          <w:rFonts w:asciiTheme="minorHAnsi" w:hAnsiTheme="minorHAnsi"/>
          <w:color w:val="000000" w:themeColor="text1"/>
          <w:sz w:val="22"/>
        </w:rPr>
        <w:t>3f</w:t>
      </w:r>
      <w:r w:rsidRPr="004A0051">
        <w:rPr>
          <w:rFonts w:asciiTheme="minorHAnsi" w:hAnsiTheme="minorHAnsi"/>
          <w:color w:val="000000" w:themeColor="text1"/>
          <w:sz w:val="22"/>
        </w:rPr>
        <w:t xml:space="preserve"> are all questions designed to help the analyst consider whether the changes in leverage will lead to greater underwriting risk, reserving risk, or market and credit risk. </w:t>
      </w:r>
      <w:r w:rsidR="008E44AF" w:rsidRPr="004A0051">
        <w:rPr>
          <w:rFonts w:asciiTheme="minorHAnsi" w:hAnsiTheme="minorHAnsi"/>
          <w:color w:val="000000" w:themeColor="text1"/>
          <w:sz w:val="22"/>
        </w:rPr>
        <w:t xml:space="preserve">Procedures </w:t>
      </w:r>
      <w:r w:rsidR="007B7001" w:rsidRPr="004A0051">
        <w:rPr>
          <w:rFonts w:asciiTheme="minorHAnsi" w:hAnsiTheme="minorHAnsi"/>
          <w:color w:val="000000" w:themeColor="text1"/>
          <w:sz w:val="22"/>
        </w:rPr>
        <w:t>3d-3f</w:t>
      </w:r>
      <w:r w:rsidR="008E44AF"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 xml:space="preserve">provide </w:t>
      </w:r>
      <w:r w:rsidR="008E44AF" w:rsidRPr="004A0051">
        <w:rPr>
          <w:rFonts w:asciiTheme="minorHAnsi" w:hAnsiTheme="minorHAnsi"/>
          <w:color w:val="000000" w:themeColor="text1"/>
          <w:sz w:val="22"/>
        </w:rPr>
        <w:t xml:space="preserve">general inquiries for </w:t>
      </w:r>
      <w:r w:rsidR="004B39C8" w:rsidRPr="004A0051">
        <w:rPr>
          <w:rFonts w:asciiTheme="minorHAnsi" w:hAnsiTheme="minorHAnsi"/>
          <w:color w:val="000000" w:themeColor="text1"/>
          <w:sz w:val="22"/>
        </w:rPr>
        <w:t xml:space="preserve">additional information for </w:t>
      </w:r>
      <w:r w:rsidR="008E44AF" w:rsidRPr="004A0051">
        <w:rPr>
          <w:rFonts w:asciiTheme="minorHAnsi" w:hAnsiTheme="minorHAnsi"/>
          <w:color w:val="000000" w:themeColor="text1"/>
          <w:sz w:val="22"/>
        </w:rPr>
        <w:t>the analys</w:t>
      </w:r>
      <w:r w:rsidR="00C21661">
        <w:rPr>
          <w:rFonts w:asciiTheme="minorHAnsi" w:hAnsiTheme="minorHAnsi"/>
          <w:color w:val="000000" w:themeColor="text1"/>
          <w:sz w:val="22"/>
        </w:rPr>
        <w:t>t</w:t>
      </w:r>
      <w:r w:rsidR="00003252">
        <w:rPr>
          <w:rFonts w:asciiTheme="minorHAnsi" w:hAnsiTheme="minorHAnsi"/>
          <w:color w:val="000000" w:themeColor="text1"/>
          <w:sz w:val="22"/>
        </w:rPr>
        <w:t>. H</w:t>
      </w:r>
      <w:r w:rsidR="004B39C8" w:rsidRPr="004A0051">
        <w:rPr>
          <w:rFonts w:asciiTheme="minorHAnsi" w:hAnsiTheme="minorHAnsi"/>
          <w:color w:val="000000" w:themeColor="text1"/>
          <w:sz w:val="22"/>
        </w:rPr>
        <w:t xml:space="preserve">owever, </w:t>
      </w:r>
      <w:r w:rsidR="00255E19">
        <w:rPr>
          <w:rFonts w:asciiTheme="minorHAnsi" w:hAnsiTheme="minorHAnsi"/>
          <w:color w:val="000000" w:themeColor="text1"/>
          <w:sz w:val="22"/>
        </w:rPr>
        <w:t xml:space="preserve">these inquiries </w:t>
      </w:r>
      <w:r w:rsidR="008E44AF" w:rsidRPr="004A0051">
        <w:rPr>
          <w:rFonts w:asciiTheme="minorHAnsi" w:hAnsiTheme="minorHAnsi"/>
          <w:color w:val="000000" w:themeColor="text1"/>
          <w:sz w:val="22"/>
        </w:rPr>
        <w:t>may also  appropriate</w:t>
      </w:r>
      <w:r w:rsidR="00255E19">
        <w:rPr>
          <w:rFonts w:asciiTheme="minorHAnsi" w:hAnsiTheme="minorHAnsi"/>
          <w:color w:val="000000" w:themeColor="text1"/>
          <w:sz w:val="22"/>
        </w:rPr>
        <w:t>ly</w:t>
      </w:r>
      <w:r w:rsidR="008E44AF" w:rsidRPr="004A0051">
        <w:rPr>
          <w:rFonts w:asciiTheme="minorHAnsi" w:hAnsiTheme="minorHAnsi"/>
          <w:color w:val="000000" w:themeColor="text1"/>
          <w:sz w:val="22"/>
        </w:rPr>
        <w:t xml:space="preserve"> </w:t>
      </w:r>
      <w:r w:rsidR="00255E19">
        <w:rPr>
          <w:rFonts w:asciiTheme="minorHAnsi" w:hAnsiTheme="minorHAnsi"/>
          <w:color w:val="000000" w:themeColor="text1"/>
          <w:sz w:val="22"/>
        </w:rPr>
        <w:t xml:space="preserve">provide a basis </w:t>
      </w:r>
      <w:r w:rsidR="0084331E" w:rsidRPr="004A0051">
        <w:rPr>
          <w:rFonts w:asciiTheme="minorHAnsi" w:hAnsiTheme="minorHAnsi"/>
          <w:color w:val="000000" w:themeColor="text1"/>
          <w:sz w:val="22"/>
        </w:rPr>
        <w:t xml:space="preserve">for the analyst </w:t>
      </w:r>
      <w:r w:rsidR="008E44AF" w:rsidRPr="004A0051">
        <w:rPr>
          <w:rFonts w:asciiTheme="minorHAnsi" w:hAnsiTheme="minorHAnsi"/>
          <w:color w:val="000000" w:themeColor="text1"/>
          <w:sz w:val="22"/>
        </w:rPr>
        <w:t xml:space="preserve">to </w:t>
      </w:r>
      <w:r w:rsidR="00003252">
        <w:rPr>
          <w:rFonts w:asciiTheme="minorHAnsi" w:hAnsiTheme="minorHAnsi"/>
          <w:color w:val="000000" w:themeColor="text1"/>
          <w:sz w:val="22"/>
        </w:rPr>
        <w:t xml:space="preserve">hold </w:t>
      </w:r>
      <w:r w:rsidR="008E44AF" w:rsidRPr="004A0051">
        <w:rPr>
          <w:rFonts w:asciiTheme="minorHAnsi" w:hAnsiTheme="minorHAnsi"/>
          <w:color w:val="000000" w:themeColor="text1"/>
          <w:sz w:val="22"/>
        </w:rPr>
        <w:t xml:space="preserve"> conversations with the group on the same topics to understand how the</w:t>
      </w:r>
      <w:r w:rsidR="004B39C8" w:rsidRPr="004A0051">
        <w:rPr>
          <w:rFonts w:asciiTheme="minorHAnsi" w:hAnsiTheme="minorHAnsi"/>
          <w:color w:val="000000" w:themeColor="text1"/>
          <w:sz w:val="22"/>
        </w:rPr>
        <w:t xml:space="preserve"> group</w:t>
      </w:r>
      <w:r w:rsidR="008E44AF" w:rsidRPr="004A0051">
        <w:rPr>
          <w:rFonts w:asciiTheme="minorHAnsi" w:hAnsiTheme="minorHAnsi"/>
          <w:color w:val="000000" w:themeColor="text1"/>
          <w:sz w:val="22"/>
        </w:rPr>
        <w:t xml:space="preserve"> view</w:t>
      </w:r>
      <w:r w:rsidR="004B39C8" w:rsidRPr="004A0051">
        <w:rPr>
          <w:rFonts w:asciiTheme="minorHAnsi" w:hAnsiTheme="minorHAnsi"/>
          <w:color w:val="000000" w:themeColor="text1"/>
          <w:sz w:val="22"/>
        </w:rPr>
        <w:t>s</w:t>
      </w:r>
      <w:r w:rsidR="008E44AF" w:rsidRPr="004A0051">
        <w:rPr>
          <w:rFonts w:asciiTheme="minorHAnsi" w:hAnsiTheme="minorHAnsi"/>
          <w:color w:val="000000" w:themeColor="text1"/>
          <w:sz w:val="22"/>
        </w:rPr>
        <w:t xml:space="preserve"> these topics and how the</w:t>
      </w:r>
      <w:r w:rsidR="004B39C8" w:rsidRPr="004A0051">
        <w:rPr>
          <w:rFonts w:asciiTheme="minorHAnsi" w:hAnsiTheme="minorHAnsi"/>
          <w:color w:val="000000" w:themeColor="text1"/>
          <w:sz w:val="22"/>
        </w:rPr>
        <w:t xml:space="preserve"> group</w:t>
      </w:r>
      <w:r w:rsidR="008E44AF"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is</w:t>
      </w:r>
      <w:r w:rsidR="008E44AF" w:rsidRPr="004A0051">
        <w:rPr>
          <w:rFonts w:asciiTheme="minorHAnsi" w:hAnsiTheme="minorHAnsi"/>
          <w:color w:val="000000" w:themeColor="text1"/>
          <w:sz w:val="22"/>
        </w:rPr>
        <w:t xml:space="preserve"> managing and monitoring these risks. For groups filing an ORSA, see also documentation within </w:t>
      </w:r>
      <w:r w:rsidR="00255E19">
        <w:rPr>
          <w:rFonts w:asciiTheme="minorHAnsi" w:hAnsiTheme="minorHAnsi"/>
          <w:color w:val="000000" w:themeColor="text1"/>
          <w:sz w:val="22"/>
        </w:rPr>
        <w:t xml:space="preserve">the </w:t>
      </w:r>
      <w:r w:rsidR="004B39C8" w:rsidRPr="004A0051">
        <w:rPr>
          <w:rFonts w:asciiTheme="minorHAnsi" w:hAnsiTheme="minorHAnsi"/>
          <w:color w:val="000000" w:themeColor="text1"/>
          <w:sz w:val="22"/>
        </w:rPr>
        <w:t xml:space="preserve">ORSA </w:t>
      </w:r>
      <w:r w:rsidR="00255E19">
        <w:rPr>
          <w:rFonts w:asciiTheme="minorHAnsi" w:hAnsiTheme="minorHAnsi"/>
          <w:color w:val="000000" w:themeColor="text1"/>
          <w:sz w:val="22"/>
        </w:rPr>
        <w:t xml:space="preserve">report for additional information on the identified risks </w:t>
      </w:r>
      <w:r w:rsidR="008E44AF" w:rsidRPr="004A0051">
        <w:rPr>
          <w:rFonts w:asciiTheme="minorHAnsi" w:hAnsiTheme="minorHAnsi"/>
          <w:color w:val="000000" w:themeColor="text1"/>
          <w:sz w:val="22"/>
        </w:rPr>
        <w:t xml:space="preserve">and </w:t>
      </w:r>
      <w:r w:rsidR="004B39C8" w:rsidRPr="004A0051">
        <w:rPr>
          <w:rFonts w:asciiTheme="minorHAnsi" w:hAnsiTheme="minorHAnsi"/>
          <w:color w:val="000000" w:themeColor="text1"/>
          <w:sz w:val="22"/>
        </w:rPr>
        <w:t xml:space="preserve">the </w:t>
      </w:r>
      <w:r w:rsidR="008E44AF" w:rsidRPr="004A0051">
        <w:rPr>
          <w:rFonts w:asciiTheme="minorHAnsi" w:hAnsiTheme="minorHAnsi"/>
          <w:color w:val="000000" w:themeColor="text1"/>
          <w:sz w:val="22"/>
        </w:rPr>
        <w:t>group</w:t>
      </w:r>
      <w:r w:rsidR="004B39C8" w:rsidRPr="004A0051">
        <w:rPr>
          <w:rFonts w:asciiTheme="minorHAnsi" w:hAnsiTheme="minorHAnsi"/>
          <w:color w:val="000000" w:themeColor="text1"/>
          <w:sz w:val="22"/>
        </w:rPr>
        <w:t>’s</w:t>
      </w:r>
      <w:r w:rsidR="008E44AF" w:rsidRPr="004A0051">
        <w:rPr>
          <w:rFonts w:asciiTheme="minorHAnsi" w:hAnsiTheme="minorHAnsi"/>
          <w:color w:val="000000" w:themeColor="text1"/>
          <w:sz w:val="22"/>
        </w:rPr>
        <w:t xml:space="preserve"> monitoring of risks</w:t>
      </w:r>
      <w:r w:rsidR="00255E19">
        <w:rPr>
          <w:rFonts w:asciiTheme="minorHAnsi" w:hAnsiTheme="minorHAnsi"/>
          <w:color w:val="000000" w:themeColor="text1"/>
          <w:sz w:val="22"/>
        </w:rPr>
        <w:t>, as well as consistency of the discussion with management and management</w:t>
      </w:r>
      <w:r w:rsidR="00003252">
        <w:rPr>
          <w:rFonts w:asciiTheme="minorHAnsi" w:hAnsiTheme="minorHAnsi"/>
          <w:color w:val="000000" w:themeColor="text1"/>
          <w:sz w:val="22"/>
        </w:rPr>
        <w:t>’</w:t>
      </w:r>
      <w:r w:rsidR="00255E19">
        <w:rPr>
          <w:rFonts w:asciiTheme="minorHAnsi" w:hAnsiTheme="minorHAnsi"/>
          <w:color w:val="000000" w:themeColor="text1"/>
          <w:sz w:val="22"/>
        </w:rPr>
        <w:t>s observations in the ORSA Summary report</w:t>
      </w:r>
      <w:r w:rsidR="008E44AF" w:rsidRPr="004A0051">
        <w:rPr>
          <w:rFonts w:asciiTheme="minorHAnsi" w:hAnsiTheme="minorHAnsi"/>
          <w:color w:val="000000" w:themeColor="text1"/>
          <w:sz w:val="22"/>
        </w:rPr>
        <w:t>.</w:t>
      </w:r>
    </w:p>
    <w:p w14:paraId="5A0E42C7" w14:textId="1A0D52BC" w:rsidR="009E0073" w:rsidRPr="004A0051" w:rsidRDefault="009E0073" w:rsidP="000D4C69"/>
    <w:p w14:paraId="12773E37" w14:textId="4040DAE7" w:rsidR="00952B1D" w:rsidRDefault="00952B1D" w:rsidP="00952B1D">
      <w:pPr>
        <w:tabs>
          <w:tab w:val="left" w:pos="360"/>
        </w:tabs>
        <w:jc w:val="both"/>
        <w:rPr>
          <w:rFonts w:asciiTheme="minorHAnsi" w:hAnsiTheme="minorHAnsi"/>
          <w:color w:val="000000" w:themeColor="text1"/>
          <w:sz w:val="22"/>
        </w:rPr>
      </w:pPr>
      <w:r w:rsidRPr="004A0051">
        <w:rPr>
          <w:rFonts w:asciiTheme="minorHAnsi" w:hAnsiTheme="minorHAnsi"/>
          <w:b/>
          <w:bCs/>
          <w:color w:val="000000" w:themeColor="text1"/>
          <w:sz w:val="22"/>
        </w:rPr>
        <w:t xml:space="preserve">Procedures Step </w:t>
      </w:r>
      <w:r w:rsidR="007B7001" w:rsidRPr="004A0051">
        <w:rPr>
          <w:rFonts w:asciiTheme="minorHAnsi" w:hAnsiTheme="minorHAnsi"/>
          <w:b/>
          <w:bCs/>
          <w:color w:val="000000" w:themeColor="text1"/>
          <w:sz w:val="22"/>
        </w:rPr>
        <w:t>4a-4b</w:t>
      </w:r>
      <w:r w:rsidRPr="004A0051">
        <w:rPr>
          <w:rFonts w:asciiTheme="minorHAnsi" w:hAnsiTheme="minorHAnsi"/>
          <w:color w:val="000000" w:themeColor="text1"/>
          <w:sz w:val="22"/>
        </w:rPr>
        <w:t xml:space="preserve">. Procedure </w:t>
      </w:r>
      <w:r w:rsidR="007B7001" w:rsidRPr="004A0051">
        <w:rPr>
          <w:rFonts w:asciiTheme="minorHAnsi" w:hAnsiTheme="minorHAnsi"/>
          <w:color w:val="000000" w:themeColor="text1"/>
          <w:sz w:val="22"/>
        </w:rPr>
        <w:t>4a</w:t>
      </w:r>
      <w:r w:rsidRPr="004A0051">
        <w:rPr>
          <w:rFonts w:asciiTheme="minorHAnsi" w:hAnsiTheme="minorHAnsi"/>
          <w:color w:val="000000" w:themeColor="text1"/>
          <w:sz w:val="22"/>
        </w:rPr>
        <w:t xml:space="preserve"> is intended to help the lead state </w:t>
      </w:r>
      <w:r w:rsidR="000D4C69" w:rsidRPr="004A0051">
        <w:rPr>
          <w:rFonts w:asciiTheme="minorHAnsi" w:hAnsiTheme="minorHAnsi"/>
          <w:color w:val="000000" w:themeColor="text1"/>
          <w:sz w:val="22"/>
        </w:rPr>
        <w:t xml:space="preserve">understand the </w:t>
      </w:r>
      <w:r w:rsidR="00B41AE8" w:rsidRPr="004A0051">
        <w:rPr>
          <w:rFonts w:asciiTheme="minorHAnsi" w:hAnsiTheme="minorHAnsi"/>
          <w:color w:val="000000" w:themeColor="text1"/>
          <w:sz w:val="22"/>
        </w:rPr>
        <w:t xml:space="preserve">historical </w:t>
      </w:r>
      <w:r w:rsidR="000D4C69" w:rsidRPr="004A0051">
        <w:rPr>
          <w:rFonts w:asciiTheme="minorHAnsi" w:hAnsiTheme="minorHAnsi"/>
          <w:color w:val="000000" w:themeColor="text1"/>
          <w:sz w:val="22"/>
        </w:rPr>
        <w:t xml:space="preserve">capital allocation patterns or </w:t>
      </w:r>
      <w:r w:rsidR="009E1895" w:rsidRPr="004A0051">
        <w:rPr>
          <w:rFonts w:asciiTheme="minorHAnsi" w:hAnsiTheme="minorHAnsi"/>
          <w:color w:val="000000" w:themeColor="text1"/>
          <w:sz w:val="22"/>
        </w:rPr>
        <w:t xml:space="preserve">the </w:t>
      </w:r>
      <w:r w:rsidR="000D4C69" w:rsidRPr="004A0051">
        <w:rPr>
          <w:rFonts w:asciiTheme="minorHAnsi" w:hAnsiTheme="minorHAnsi"/>
          <w:color w:val="000000" w:themeColor="text1"/>
          <w:sz w:val="22"/>
        </w:rPr>
        <w:t xml:space="preserve">likely </w:t>
      </w:r>
      <w:r w:rsidR="00B41AE8" w:rsidRPr="004A0051">
        <w:rPr>
          <w:rFonts w:asciiTheme="minorHAnsi" w:hAnsiTheme="minorHAnsi"/>
          <w:color w:val="000000" w:themeColor="text1"/>
          <w:sz w:val="22"/>
        </w:rPr>
        <w:t xml:space="preserve">future </w:t>
      </w:r>
      <w:r w:rsidR="000D4C69" w:rsidRPr="004A0051">
        <w:rPr>
          <w:rFonts w:asciiTheme="minorHAnsi" w:hAnsiTheme="minorHAnsi"/>
          <w:color w:val="000000" w:themeColor="text1"/>
          <w:sz w:val="22"/>
        </w:rPr>
        <w:t>needed capital allocation patterns</w:t>
      </w:r>
      <w:r w:rsidRPr="004A0051">
        <w:rPr>
          <w:rFonts w:asciiTheme="minorHAnsi" w:hAnsiTheme="minorHAnsi"/>
          <w:color w:val="000000" w:themeColor="text1"/>
          <w:sz w:val="22"/>
        </w:rPr>
        <w:t xml:space="preserve"> by simply documenting in the detail </w:t>
      </w:r>
      <w:r w:rsidR="004B39C8" w:rsidRPr="004A0051">
        <w:rPr>
          <w:rFonts w:asciiTheme="minorHAnsi" w:hAnsiTheme="minorHAnsi"/>
          <w:color w:val="000000" w:themeColor="text1"/>
          <w:sz w:val="22"/>
        </w:rPr>
        <w:t xml:space="preserve">analysis </w:t>
      </w:r>
      <w:r w:rsidRPr="004A0051">
        <w:rPr>
          <w:rFonts w:asciiTheme="minorHAnsi" w:hAnsiTheme="minorHAnsi"/>
          <w:color w:val="000000" w:themeColor="text1"/>
          <w:sz w:val="22"/>
        </w:rPr>
        <w:t>workpapers</w:t>
      </w:r>
      <w:r w:rsidR="000D4C69" w:rsidRPr="004A0051">
        <w:rPr>
          <w:rFonts w:asciiTheme="minorHAnsi" w:hAnsiTheme="minorHAnsi"/>
          <w:color w:val="000000" w:themeColor="text1"/>
          <w:sz w:val="22"/>
        </w:rPr>
        <w:t xml:space="preserve">. </w:t>
      </w:r>
      <w:r w:rsidRPr="004A0051">
        <w:rPr>
          <w:rFonts w:asciiTheme="minorHAnsi" w:hAnsiTheme="minorHAnsi"/>
          <w:color w:val="000000" w:themeColor="text1"/>
          <w:sz w:val="22"/>
        </w:rPr>
        <w:t>This includes</w:t>
      </w:r>
      <w:r w:rsidR="004B39C8"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for example</w:t>
      </w:r>
      <w:r w:rsidR="004B39C8"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noting that there is consistency in the entities generating net income and distributing it further through the group, and in some cases may require distribution through other insurers, which in the US often require</w:t>
      </w:r>
      <w:r w:rsidR="004B39C8" w:rsidRPr="004A0051">
        <w:rPr>
          <w:rFonts w:asciiTheme="minorHAnsi" w:hAnsiTheme="minorHAnsi"/>
          <w:color w:val="000000" w:themeColor="text1"/>
          <w:sz w:val="22"/>
        </w:rPr>
        <w:t>s</w:t>
      </w:r>
      <w:r w:rsidRPr="004A0051">
        <w:rPr>
          <w:rFonts w:asciiTheme="minorHAnsi" w:hAnsiTheme="minorHAnsi"/>
          <w:color w:val="000000" w:themeColor="text1"/>
          <w:sz w:val="22"/>
        </w:rPr>
        <w:t xml:space="preserve"> approval if considered extraordinary. Procedure </w:t>
      </w:r>
      <w:r w:rsidR="007B7001" w:rsidRPr="004A0051">
        <w:rPr>
          <w:rFonts w:asciiTheme="minorHAnsi" w:hAnsiTheme="minorHAnsi"/>
          <w:color w:val="000000" w:themeColor="text1"/>
          <w:sz w:val="22"/>
        </w:rPr>
        <w:t>4a</w:t>
      </w:r>
      <w:r w:rsidRPr="004A0051">
        <w:rPr>
          <w:rFonts w:asciiTheme="minorHAnsi" w:hAnsiTheme="minorHAnsi"/>
          <w:color w:val="000000" w:themeColor="text1"/>
          <w:sz w:val="22"/>
        </w:rPr>
        <w:t xml:space="preserve"> is intended to utilize that knowledge, along with other planned actions of the group, to understand whether problems with </w:t>
      </w:r>
      <w:r w:rsidR="00255E19">
        <w:rPr>
          <w:rFonts w:asciiTheme="minorHAnsi" w:hAnsiTheme="minorHAnsi"/>
          <w:color w:val="000000" w:themeColor="text1"/>
          <w:sz w:val="22"/>
        </w:rPr>
        <w:t>repaying</w:t>
      </w:r>
      <w:r w:rsidRPr="004A0051">
        <w:rPr>
          <w:rFonts w:asciiTheme="minorHAnsi" w:hAnsiTheme="minorHAnsi"/>
          <w:color w:val="000000" w:themeColor="text1"/>
          <w:sz w:val="22"/>
        </w:rPr>
        <w:t xml:space="preserve"> debt or other obligations in the group could occur. The intent is to be in a better position for </w:t>
      </w:r>
      <w:r w:rsidR="002C1FFF" w:rsidRPr="004A0051">
        <w:rPr>
          <w:rFonts w:asciiTheme="minorHAnsi" w:hAnsiTheme="minorHAnsi"/>
          <w:color w:val="000000" w:themeColor="text1"/>
          <w:sz w:val="22"/>
        </w:rPr>
        <w:t>discussions</w:t>
      </w:r>
      <w:r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with the</w:t>
      </w:r>
      <w:r w:rsidRPr="004A0051">
        <w:rPr>
          <w:rFonts w:asciiTheme="minorHAnsi" w:hAnsiTheme="minorHAnsi"/>
          <w:color w:val="000000" w:themeColor="text1"/>
          <w:sz w:val="22"/>
        </w:rPr>
        <w:t xml:space="preserve"> group </w:t>
      </w:r>
      <w:r w:rsidR="002C1FFF" w:rsidRPr="004A0051">
        <w:rPr>
          <w:rFonts w:asciiTheme="minorHAnsi" w:hAnsiTheme="minorHAnsi"/>
          <w:color w:val="000000" w:themeColor="text1"/>
          <w:sz w:val="22"/>
        </w:rPr>
        <w:t xml:space="preserve">on where </w:t>
      </w:r>
      <w:r w:rsidR="00473B21">
        <w:rPr>
          <w:rFonts w:asciiTheme="minorHAnsi" w:hAnsiTheme="minorHAnsi"/>
          <w:color w:val="000000" w:themeColor="text1"/>
          <w:sz w:val="22"/>
        </w:rPr>
        <w:t xml:space="preserve">the group may deem </w:t>
      </w:r>
      <w:r w:rsidR="002C1FFF" w:rsidRPr="004A0051">
        <w:rPr>
          <w:rFonts w:asciiTheme="minorHAnsi" w:hAnsiTheme="minorHAnsi"/>
          <w:color w:val="000000" w:themeColor="text1"/>
          <w:sz w:val="22"/>
        </w:rPr>
        <w:t xml:space="preserve">capital </w:t>
      </w:r>
      <w:r w:rsidR="00473B21">
        <w:rPr>
          <w:rFonts w:asciiTheme="minorHAnsi" w:hAnsiTheme="minorHAnsi"/>
          <w:color w:val="000000" w:themeColor="text1"/>
          <w:sz w:val="22"/>
        </w:rPr>
        <w:t xml:space="preserve">come from </w:t>
      </w:r>
      <w:r w:rsidR="00255E19">
        <w:rPr>
          <w:rFonts w:asciiTheme="minorHAnsi" w:hAnsiTheme="minorHAnsi"/>
          <w:color w:val="000000" w:themeColor="text1"/>
          <w:sz w:val="22"/>
        </w:rPr>
        <w:t xml:space="preserve">to support </w:t>
      </w:r>
      <w:r w:rsidR="002C1FFF" w:rsidRPr="004A0051">
        <w:rPr>
          <w:rFonts w:asciiTheme="minorHAnsi" w:hAnsiTheme="minorHAnsi"/>
          <w:color w:val="000000" w:themeColor="text1"/>
          <w:sz w:val="22"/>
        </w:rPr>
        <w:t xml:space="preserve">future </w:t>
      </w:r>
      <w:r w:rsidRPr="004A0051">
        <w:rPr>
          <w:rFonts w:asciiTheme="minorHAnsi" w:hAnsiTheme="minorHAnsi"/>
          <w:color w:val="000000" w:themeColor="text1"/>
          <w:sz w:val="22"/>
        </w:rPr>
        <w:t xml:space="preserve">expected activity or future </w:t>
      </w:r>
      <w:r w:rsidR="002C1FFF" w:rsidRPr="004A0051">
        <w:rPr>
          <w:rFonts w:asciiTheme="minorHAnsi" w:hAnsiTheme="minorHAnsi"/>
          <w:color w:val="000000" w:themeColor="text1"/>
          <w:sz w:val="22"/>
        </w:rPr>
        <w:t>unexpected material event</w:t>
      </w:r>
      <w:r w:rsidR="004B39C8" w:rsidRPr="004A0051">
        <w:rPr>
          <w:rFonts w:asciiTheme="minorHAnsi" w:hAnsiTheme="minorHAnsi"/>
          <w:color w:val="000000" w:themeColor="text1"/>
          <w:sz w:val="22"/>
        </w:rPr>
        <w:t>s</w:t>
      </w:r>
      <w:r w:rsidR="002C1FFF"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The following </w:t>
      </w:r>
      <w:r w:rsidR="004B39C8" w:rsidRPr="004A0051">
        <w:rPr>
          <w:rFonts w:asciiTheme="minorHAnsi" w:hAnsiTheme="minorHAnsi"/>
          <w:color w:val="000000" w:themeColor="text1"/>
          <w:sz w:val="22"/>
        </w:rPr>
        <w:t xml:space="preserve">sample of </w:t>
      </w:r>
      <w:r w:rsidRPr="004A0051">
        <w:rPr>
          <w:rFonts w:asciiTheme="minorHAnsi" w:hAnsiTheme="minorHAnsi"/>
          <w:color w:val="000000" w:themeColor="text1"/>
          <w:sz w:val="22"/>
        </w:rPr>
        <w:t>table</w:t>
      </w:r>
      <w:r w:rsidR="004B39C8" w:rsidRPr="004A0051">
        <w:rPr>
          <w:rFonts w:asciiTheme="minorHAnsi" w:hAnsiTheme="minorHAnsi"/>
          <w:color w:val="000000" w:themeColor="text1"/>
          <w:sz w:val="22"/>
        </w:rPr>
        <w:t>s</w:t>
      </w:r>
      <w:r w:rsidRPr="004A0051">
        <w:rPr>
          <w:rFonts w:asciiTheme="minorHAnsi" w:hAnsiTheme="minorHAnsi"/>
          <w:color w:val="000000" w:themeColor="text1"/>
          <w:sz w:val="22"/>
        </w:rPr>
        <w:t xml:space="preserve"> from the GCC calculation </w:t>
      </w:r>
      <w:r w:rsidR="00255E19">
        <w:rPr>
          <w:rFonts w:asciiTheme="minorHAnsi" w:hAnsiTheme="minorHAnsi"/>
          <w:color w:val="000000" w:themeColor="text1"/>
          <w:sz w:val="22"/>
        </w:rPr>
        <w:t xml:space="preserve">using </w:t>
      </w:r>
      <w:r w:rsidRPr="004A0051">
        <w:rPr>
          <w:rFonts w:asciiTheme="minorHAnsi" w:hAnsiTheme="minorHAnsi"/>
          <w:color w:val="000000" w:themeColor="text1"/>
          <w:sz w:val="22"/>
        </w:rPr>
        <w:t xml:space="preserve">data in Schedule 1 can be helpful in determining the source of the </w:t>
      </w:r>
      <w:r w:rsidR="00406067" w:rsidRPr="004A0051">
        <w:rPr>
          <w:rFonts w:asciiTheme="minorHAnsi" w:hAnsiTheme="minorHAnsi"/>
          <w:color w:val="000000" w:themeColor="text1"/>
          <w:sz w:val="22"/>
        </w:rPr>
        <w:t>issues.</w:t>
      </w:r>
    </w:p>
    <w:p w14:paraId="33EB3AA7" w14:textId="57447EB2" w:rsidR="000D4C69" w:rsidRDefault="000D4C69" w:rsidP="00D8104C">
      <w:pPr>
        <w:tabs>
          <w:tab w:val="left" w:pos="360"/>
        </w:tabs>
        <w:jc w:val="both"/>
        <w:rPr>
          <w:rFonts w:asciiTheme="minorHAnsi" w:hAnsiTheme="minorHAnsi"/>
          <w:color w:val="000000" w:themeColor="text1"/>
          <w:sz w:val="22"/>
        </w:rPr>
      </w:pPr>
    </w:p>
    <w:tbl>
      <w:tblPr>
        <w:tblW w:w="8420" w:type="dxa"/>
        <w:tblLook w:val="04A0" w:firstRow="1" w:lastRow="0" w:firstColumn="1" w:lastColumn="0" w:noHBand="0" w:noVBand="1"/>
      </w:tblPr>
      <w:tblGrid>
        <w:gridCol w:w="3078"/>
        <w:gridCol w:w="542"/>
        <w:gridCol w:w="960"/>
        <w:gridCol w:w="960"/>
        <w:gridCol w:w="960"/>
        <w:gridCol w:w="960"/>
        <w:gridCol w:w="960"/>
      </w:tblGrid>
      <w:tr w:rsidR="0030520B" w14:paraId="7C33399D" w14:textId="77777777" w:rsidTr="0030520B">
        <w:trPr>
          <w:trHeight w:val="255"/>
        </w:trPr>
        <w:tc>
          <w:tcPr>
            <w:tcW w:w="3620" w:type="dxa"/>
            <w:gridSpan w:val="2"/>
            <w:tcBorders>
              <w:top w:val="single" w:sz="4" w:space="0" w:color="auto"/>
              <w:left w:val="single" w:sz="4" w:space="0" w:color="auto"/>
              <w:bottom w:val="nil"/>
              <w:right w:val="single" w:sz="4" w:space="0" w:color="000000"/>
            </w:tcBorders>
            <w:shd w:val="clear" w:color="000000" w:fill="D9D9D9"/>
            <w:vAlign w:val="center"/>
            <w:hideMark/>
          </w:tcPr>
          <w:p w14:paraId="0B02DEBE" w14:textId="77777777" w:rsidR="0030520B" w:rsidRDefault="0030520B">
            <w:pPr>
              <w:jc w:val="center"/>
              <w:rPr>
                <w:rFonts w:ascii="Calibri" w:hAnsi="Calibri" w:cs="Calibri"/>
                <w:b/>
                <w:bCs/>
                <w:sz w:val="20"/>
                <w:szCs w:val="20"/>
              </w:rPr>
            </w:pPr>
            <w:r>
              <w:rPr>
                <w:rFonts w:ascii="Calibri" w:hAnsi="Calibri" w:cs="Calibri"/>
                <w:b/>
                <w:bCs/>
                <w:sz w:val="20"/>
                <w:szCs w:val="20"/>
              </w:rPr>
              <w:t>Insurance Capital Table</w:t>
            </w:r>
          </w:p>
        </w:tc>
        <w:tc>
          <w:tcPr>
            <w:tcW w:w="4800" w:type="dxa"/>
            <w:gridSpan w:val="5"/>
            <w:tcBorders>
              <w:top w:val="single" w:sz="4" w:space="0" w:color="auto"/>
              <w:left w:val="nil"/>
              <w:bottom w:val="single" w:sz="4" w:space="0" w:color="auto"/>
              <w:right w:val="single" w:sz="4" w:space="0" w:color="auto"/>
            </w:tcBorders>
            <w:shd w:val="clear" w:color="000000" w:fill="948A54"/>
            <w:vAlign w:val="center"/>
            <w:hideMark/>
          </w:tcPr>
          <w:p w14:paraId="0827DC18" w14:textId="77777777" w:rsidR="0030520B" w:rsidRDefault="0030520B">
            <w:pPr>
              <w:jc w:val="center"/>
              <w:rPr>
                <w:rFonts w:ascii="Calibri" w:hAnsi="Calibri" w:cs="Calibri"/>
                <w:b/>
                <w:bCs/>
                <w:color w:val="000000"/>
                <w:sz w:val="20"/>
                <w:szCs w:val="20"/>
              </w:rPr>
            </w:pPr>
            <w:r>
              <w:rPr>
                <w:rFonts w:ascii="Calibri" w:hAnsi="Calibri" w:cs="Calibri"/>
                <w:b/>
                <w:bCs/>
                <w:color w:val="000000"/>
                <w:sz w:val="20"/>
                <w:szCs w:val="20"/>
              </w:rPr>
              <w:t>Capital Contributions $ Received/(Paid)</w:t>
            </w:r>
          </w:p>
        </w:tc>
      </w:tr>
      <w:tr w:rsidR="0030520B" w14:paraId="4E0B4FF4" w14:textId="77777777" w:rsidTr="0030520B">
        <w:trPr>
          <w:trHeight w:val="255"/>
        </w:trPr>
        <w:tc>
          <w:tcPr>
            <w:tcW w:w="362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54364561" w14:textId="77777777" w:rsidR="0030520B" w:rsidRDefault="0030520B">
            <w:pPr>
              <w:jc w:val="center"/>
              <w:rPr>
                <w:rFonts w:ascii="Calibri" w:hAnsi="Calibri" w:cs="Calibri"/>
                <w:b/>
                <w:bCs/>
                <w:sz w:val="20"/>
                <w:szCs w:val="20"/>
              </w:rPr>
            </w:pPr>
            <w:r>
              <w:rPr>
                <w:rFonts w:ascii="Calibri" w:hAnsi="Calibri" w:cs="Calibri"/>
                <w:b/>
                <w:bCs/>
                <w:sz w:val="20"/>
                <w:szCs w:val="20"/>
              </w:rPr>
              <w:t>Template Groupings</w:t>
            </w:r>
          </w:p>
        </w:tc>
        <w:tc>
          <w:tcPr>
            <w:tcW w:w="960" w:type="dxa"/>
            <w:tcBorders>
              <w:top w:val="nil"/>
              <w:left w:val="nil"/>
              <w:bottom w:val="single" w:sz="4" w:space="0" w:color="auto"/>
              <w:right w:val="single" w:sz="4" w:space="0" w:color="auto"/>
            </w:tcBorders>
            <w:shd w:val="clear" w:color="000000" w:fill="D9D9D9"/>
            <w:vAlign w:val="center"/>
            <w:hideMark/>
          </w:tcPr>
          <w:p w14:paraId="41107221" w14:textId="5090B34E" w:rsidR="0030520B" w:rsidRDefault="0030520B">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5</w:t>
            </w:r>
            <w:r>
              <w:rPr>
                <w:rFonts w:ascii="Calibri" w:hAnsi="Calibri" w:cs="Calibri"/>
                <w:b/>
                <w:bCs/>
                <w:sz w:val="20"/>
                <w:szCs w:val="20"/>
              </w:rPr>
              <w:t>4</w:t>
            </w:r>
          </w:p>
        </w:tc>
        <w:tc>
          <w:tcPr>
            <w:tcW w:w="960" w:type="dxa"/>
            <w:tcBorders>
              <w:top w:val="nil"/>
              <w:left w:val="nil"/>
              <w:bottom w:val="single" w:sz="4" w:space="0" w:color="auto"/>
              <w:right w:val="single" w:sz="4" w:space="0" w:color="auto"/>
            </w:tcBorders>
            <w:shd w:val="clear" w:color="000000" w:fill="D9D9D9"/>
            <w:vAlign w:val="center"/>
            <w:hideMark/>
          </w:tcPr>
          <w:p w14:paraId="2EF7384D" w14:textId="131AB500" w:rsidR="0030520B" w:rsidRDefault="0030520B">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4</w:t>
            </w:r>
          </w:p>
        </w:tc>
        <w:tc>
          <w:tcPr>
            <w:tcW w:w="960" w:type="dxa"/>
            <w:tcBorders>
              <w:top w:val="nil"/>
              <w:left w:val="nil"/>
              <w:bottom w:val="single" w:sz="4" w:space="0" w:color="auto"/>
              <w:right w:val="single" w:sz="4" w:space="0" w:color="auto"/>
            </w:tcBorders>
            <w:shd w:val="clear" w:color="000000" w:fill="D9D9D9"/>
            <w:vAlign w:val="center"/>
            <w:hideMark/>
          </w:tcPr>
          <w:p w14:paraId="5D37B36B" w14:textId="029E75C1" w:rsidR="0030520B" w:rsidRDefault="0030520B">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3</w:t>
            </w:r>
          </w:p>
        </w:tc>
        <w:tc>
          <w:tcPr>
            <w:tcW w:w="960" w:type="dxa"/>
            <w:tcBorders>
              <w:top w:val="nil"/>
              <w:left w:val="nil"/>
              <w:bottom w:val="single" w:sz="4" w:space="0" w:color="auto"/>
              <w:right w:val="single" w:sz="4" w:space="0" w:color="auto"/>
            </w:tcBorders>
            <w:shd w:val="clear" w:color="000000" w:fill="D9D9D9"/>
            <w:vAlign w:val="center"/>
            <w:hideMark/>
          </w:tcPr>
          <w:p w14:paraId="3CEAFAB8" w14:textId="14181BCC" w:rsidR="0030520B" w:rsidRDefault="0030520B">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2</w:t>
            </w:r>
          </w:p>
        </w:tc>
        <w:tc>
          <w:tcPr>
            <w:tcW w:w="960" w:type="dxa"/>
            <w:tcBorders>
              <w:top w:val="nil"/>
              <w:left w:val="nil"/>
              <w:bottom w:val="single" w:sz="4" w:space="0" w:color="auto"/>
              <w:right w:val="single" w:sz="4" w:space="0" w:color="auto"/>
            </w:tcBorders>
            <w:shd w:val="clear" w:color="000000" w:fill="D9D9D9"/>
            <w:vAlign w:val="center"/>
            <w:hideMark/>
          </w:tcPr>
          <w:p w14:paraId="1DA13F6F" w14:textId="7BEF1ACE" w:rsidR="0030520B" w:rsidRDefault="0030520B">
            <w:pPr>
              <w:jc w:val="center"/>
              <w:rPr>
                <w:rFonts w:ascii="Calibri" w:hAnsi="Calibri" w:cs="Calibri"/>
                <w:b/>
                <w:bCs/>
                <w:sz w:val="20"/>
                <w:szCs w:val="20"/>
              </w:rPr>
            </w:pPr>
            <w:r>
              <w:rPr>
                <w:rFonts w:ascii="Calibri" w:hAnsi="Calibri" w:cs="Calibri"/>
                <w:b/>
                <w:bCs/>
                <w:sz w:val="20"/>
                <w:szCs w:val="20"/>
              </w:rPr>
              <w:t>202</w:t>
            </w:r>
            <w:r w:rsidR="00473B21">
              <w:rPr>
                <w:rFonts w:ascii="Calibri" w:hAnsi="Calibri" w:cs="Calibri"/>
                <w:b/>
                <w:bCs/>
                <w:sz w:val="20"/>
                <w:szCs w:val="20"/>
              </w:rPr>
              <w:t>1</w:t>
            </w:r>
          </w:p>
        </w:tc>
      </w:tr>
      <w:tr w:rsidR="0030520B" w14:paraId="0CCED277" w14:textId="77777777" w:rsidTr="0030520B">
        <w:trPr>
          <w:trHeight w:val="260"/>
        </w:trPr>
        <w:tc>
          <w:tcPr>
            <w:tcW w:w="3620" w:type="dxa"/>
            <w:gridSpan w:val="2"/>
            <w:vMerge/>
            <w:tcBorders>
              <w:top w:val="nil"/>
              <w:left w:val="single" w:sz="4" w:space="0" w:color="auto"/>
              <w:bottom w:val="single" w:sz="4" w:space="0" w:color="000000"/>
              <w:right w:val="single" w:sz="4" w:space="0" w:color="000000"/>
            </w:tcBorders>
            <w:vAlign w:val="center"/>
            <w:hideMark/>
          </w:tcPr>
          <w:p w14:paraId="23071A2F" w14:textId="77777777" w:rsidR="0030520B" w:rsidRDefault="0030520B">
            <w:pPr>
              <w:rPr>
                <w:rFonts w:ascii="Calibri" w:hAnsi="Calibri" w:cs="Calibri"/>
                <w:b/>
                <w:bCs/>
                <w:sz w:val="20"/>
                <w:szCs w:val="20"/>
              </w:rPr>
            </w:pPr>
          </w:p>
        </w:tc>
        <w:tc>
          <w:tcPr>
            <w:tcW w:w="960" w:type="dxa"/>
            <w:tcBorders>
              <w:top w:val="nil"/>
              <w:left w:val="single" w:sz="4" w:space="0" w:color="auto"/>
              <w:bottom w:val="nil"/>
              <w:right w:val="nil"/>
            </w:tcBorders>
            <w:shd w:val="clear" w:color="000000" w:fill="D9D9D9"/>
            <w:noWrap/>
            <w:vAlign w:val="center"/>
            <w:hideMark/>
          </w:tcPr>
          <w:p w14:paraId="62844F0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single" w:sz="4" w:space="0" w:color="auto"/>
              <w:bottom w:val="nil"/>
              <w:right w:val="nil"/>
            </w:tcBorders>
            <w:shd w:val="clear" w:color="000000" w:fill="D9D9D9"/>
            <w:noWrap/>
            <w:vAlign w:val="center"/>
            <w:hideMark/>
          </w:tcPr>
          <w:p w14:paraId="08D94E4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single" w:sz="4" w:space="0" w:color="auto"/>
              <w:bottom w:val="nil"/>
              <w:right w:val="nil"/>
            </w:tcBorders>
            <w:shd w:val="clear" w:color="000000" w:fill="D9D9D9"/>
            <w:noWrap/>
            <w:vAlign w:val="center"/>
            <w:hideMark/>
          </w:tcPr>
          <w:p w14:paraId="139C1E15"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single" w:sz="4" w:space="0" w:color="auto"/>
              <w:bottom w:val="nil"/>
              <w:right w:val="nil"/>
            </w:tcBorders>
            <w:shd w:val="clear" w:color="000000" w:fill="D9D9D9"/>
            <w:noWrap/>
            <w:vAlign w:val="center"/>
            <w:hideMark/>
          </w:tcPr>
          <w:p w14:paraId="673AD8E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single" w:sz="4" w:space="0" w:color="auto"/>
              <w:bottom w:val="nil"/>
              <w:right w:val="nil"/>
            </w:tcBorders>
            <w:shd w:val="clear" w:color="000000" w:fill="D9D9D9"/>
            <w:noWrap/>
            <w:vAlign w:val="center"/>
            <w:hideMark/>
          </w:tcPr>
          <w:p w14:paraId="579F13F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[5]</w:t>
            </w:r>
          </w:p>
        </w:tc>
      </w:tr>
      <w:tr w:rsidR="0030520B" w14:paraId="3831024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756CD4E0"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(P&amp;C)</w:t>
            </w:r>
          </w:p>
        </w:tc>
        <w:tc>
          <w:tcPr>
            <w:tcW w:w="480" w:type="dxa"/>
            <w:tcBorders>
              <w:top w:val="nil"/>
              <w:left w:val="single" w:sz="4" w:space="0" w:color="auto"/>
              <w:bottom w:val="nil"/>
              <w:right w:val="single" w:sz="4" w:space="0" w:color="auto"/>
            </w:tcBorders>
            <w:shd w:val="clear" w:color="000000" w:fill="D9D9D9"/>
            <w:noWrap/>
            <w:vAlign w:val="center"/>
            <w:hideMark/>
          </w:tcPr>
          <w:p w14:paraId="6B2F97A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1BDA9CE5"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2CC1B6F6"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E94D6E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4F0640F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single" w:sz="4" w:space="0" w:color="7F7F7F"/>
              <w:left w:val="nil"/>
              <w:bottom w:val="single" w:sz="4" w:space="0" w:color="7F7F7F"/>
              <w:right w:val="single" w:sz="4" w:space="0" w:color="auto"/>
            </w:tcBorders>
            <w:shd w:val="clear" w:color="000000" w:fill="FFFF99"/>
            <w:noWrap/>
            <w:vAlign w:val="center"/>
            <w:hideMark/>
          </w:tcPr>
          <w:p w14:paraId="3DF697F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5E42312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B320B74"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(Life)</w:t>
            </w:r>
          </w:p>
        </w:tc>
        <w:tc>
          <w:tcPr>
            <w:tcW w:w="480" w:type="dxa"/>
            <w:tcBorders>
              <w:top w:val="nil"/>
              <w:left w:val="single" w:sz="4" w:space="0" w:color="auto"/>
              <w:bottom w:val="nil"/>
              <w:right w:val="single" w:sz="4" w:space="0" w:color="auto"/>
            </w:tcBorders>
            <w:shd w:val="clear" w:color="000000" w:fill="D9D9D9"/>
            <w:noWrap/>
            <w:vAlign w:val="center"/>
            <w:hideMark/>
          </w:tcPr>
          <w:p w14:paraId="59EE45E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7F7F7F"/>
              <w:right w:val="single" w:sz="4" w:space="0" w:color="7F7F7F"/>
            </w:tcBorders>
            <w:shd w:val="clear" w:color="000000" w:fill="FFFF99"/>
            <w:noWrap/>
            <w:vAlign w:val="center"/>
            <w:hideMark/>
          </w:tcPr>
          <w:p w14:paraId="24FD2DF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FD98EF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84F381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228467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E250BC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6A066303"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C6581A9"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(Health)</w:t>
            </w:r>
          </w:p>
        </w:tc>
        <w:tc>
          <w:tcPr>
            <w:tcW w:w="480" w:type="dxa"/>
            <w:tcBorders>
              <w:top w:val="nil"/>
              <w:left w:val="single" w:sz="4" w:space="0" w:color="auto"/>
              <w:bottom w:val="nil"/>
              <w:right w:val="single" w:sz="4" w:space="0" w:color="auto"/>
            </w:tcBorders>
            <w:shd w:val="clear" w:color="000000" w:fill="D9D9D9"/>
            <w:noWrap/>
            <w:vAlign w:val="center"/>
            <w:hideMark/>
          </w:tcPr>
          <w:p w14:paraId="4D2C02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nil"/>
              <w:bottom w:val="single" w:sz="4" w:space="0" w:color="7F7F7F"/>
              <w:right w:val="single" w:sz="4" w:space="0" w:color="7F7F7F"/>
            </w:tcBorders>
            <w:shd w:val="clear" w:color="000000" w:fill="FFFF99"/>
            <w:noWrap/>
            <w:vAlign w:val="center"/>
            <w:hideMark/>
          </w:tcPr>
          <w:p w14:paraId="2C7A9E0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70CC296"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F91EB1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BF532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8B1047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2D9FF779"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21152FE"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(Captive)</w:t>
            </w:r>
          </w:p>
        </w:tc>
        <w:tc>
          <w:tcPr>
            <w:tcW w:w="480" w:type="dxa"/>
            <w:tcBorders>
              <w:top w:val="nil"/>
              <w:left w:val="single" w:sz="4" w:space="0" w:color="auto"/>
              <w:bottom w:val="nil"/>
              <w:right w:val="single" w:sz="4" w:space="0" w:color="auto"/>
            </w:tcBorders>
            <w:shd w:val="clear" w:color="000000" w:fill="D9D9D9"/>
            <w:noWrap/>
            <w:vAlign w:val="center"/>
            <w:hideMark/>
          </w:tcPr>
          <w:p w14:paraId="3DA9992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nil"/>
              <w:bottom w:val="single" w:sz="4" w:space="0" w:color="7F7F7F"/>
              <w:right w:val="single" w:sz="4" w:space="0" w:color="7F7F7F"/>
            </w:tcBorders>
            <w:shd w:val="clear" w:color="000000" w:fill="FFFF99"/>
            <w:noWrap/>
            <w:vAlign w:val="center"/>
            <w:hideMark/>
          </w:tcPr>
          <w:p w14:paraId="2E64BCC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9AA780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BCA9F2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749288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CA4E98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64977C47"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CE5BA77" w14:textId="08ACE04B" w:rsidR="0030520B" w:rsidRDefault="0030520B">
            <w:pPr>
              <w:jc w:val="center"/>
              <w:rPr>
                <w:rFonts w:ascii="Calibri" w:hAnsi="Calibri" w:cs="Calibri"/>
                <w:b/>
                <w:bCs/>
                <w:sz w:val="20"/>
                <w:szCs w:val="20"/>
              </w:rPr>
            </w:pPr>
            <w:r>
              <w:rPr>
                <w:rFonts w:ascii="Calibri" w:hAnsi="Calibri" w:cs="Calibri"/>
                <w:b/>
                <w:bCs/>
                <w:sz w:val="20"/>
                <w:szCs w:val="20"/>
              </w:rPr>
              <w:t>Non</w:t>
            </w:r>
            <w:r w:rsidR="0002482B">
              <w:rPr>
                <w:rFonts w:ascii="Calibri" w:hAnsi="Calibri" w:cs="Calibri"/>
                <w:b/>
                <w:bCs/>
                <w:sz w:val="20"/>
                <w:szCs w:val="20"/>
              </w:rPr>
              <w:t>-</w:t>
            </w:r>
            <w:r>
              <w:rPr>
                <w:rFonts w:ascii="Calibri" w:hAnsi="Calibri" w:cs="Calibri"/>
                <w:b/>
                <w:bCs/>
                <w:sz w:val="20"/>
                <w:szCs w:val="20"/>
              </w:rPr>
              <w:t xml:space="preserve">RBC filing US. Insurer </w:t>
            </w:r>
          </w:p>
        </w:tc>
        <w:tc>
          <w:tcPr>
            <w:tcW w:w="480" w:type="dxa"/>
            <w:tcBorders>
              <w:top w:val="nil"/>
              <w:left w:val="single" w:sz="4" w:space="0" w:color="auto"/>
              <w:bottom w:val="nil"/>
              <w:right w:val="single" w:sz="4" w:space="0" w:color="auto"/>
            </w:tcBorders>
            <w:shd w:val="clear" w:color="000000" w:fill="D9D9D9"/>
            <w:noWrap/>
            <w:vAlign w:val="center"/>
            <w:hideMark/>
          </w:tcPr>
          <w:p w14:paraId="442F5B7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[5]</w:t>
            </w:r>
          </w:p>
        </w:tc>
        <w:tc>
          <w:tcPr>
            <w:tcW w:w="960" w:type="dxa"/>
            <w:tcBorders>
              <w:top w:val="nil"/>
              <w:left w:val="nil"/>
              <w:bottom w:val="single" w:sz="4" w:space="0" w:color="7F7F7F"/>
              <w:right w:val="single" w:sz="4" w:space="0" w:color="7F7F7F"/>
            </w:tcBorders>
            <w:shd w:val="clear" w:color="000000" w:fill="FFFF99"/>
            <w:noWrap/>
            <w:vAlign w:val="center"/>
            <w:hideMark/>
          </w:tcPr>
          <w:p w14:paraId="67D3F3C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93B676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6FA423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9CB1E7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05D4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66DB201"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28796F9" w14:textId="77777777" w:rsidR="0030520B" w:rsidRDefault="0030520B">
            <w:pPr>
              <w:jc w:val="center"/>
              <w:rPr>
                <w:rFonts w:ascii="Calibri" w:hAnsi="Calibri" w:cs="Calibri"/>
                <w:b/>
                <w:bCs/>
                <w:sz w:val="20"/>
                <w:szCs w:val="20"/>
              </w:rPr>
            </w:pPr>
            <w:r>
              <w:rPr>
                <w:rFonts w:ascii="Calibri" w:hAnsi="Calibri" w:cs="Calibri"/>
                <w:b/>
                <w:bCs/>
                <w:sz w:val="20"/>
                <w:szCs w:val="20"/>
              </w:rPr>
              <w:t>Canada - Life</w:t>
            </w:r>
          </w:p>
        </w:tc>
        <w:tc>
          <w:tcPr>
            <w:tcW w:w="480" w:type="dxa"/>
            <w:tcBorders>
              <w:top w:val="nil"/>
              <w:left w:val="single" w:sz="4" w:space="0" w:color="auto"/>
              <w:bottom w:val="nil"/>
              <w:right w:val="single" w:sz="4" w:space="0" w:color="auto"/>
            </w:tcBorders>
            <w:shd w:val="clear" w:color="000000" w:fill="D9D9D9"/>
            <w:noWrap/>
            <w:vAlign w:val="center"/>
            <w:hideMark/>
          </w:tcPr>
          <w:p w14:paraId="46B7868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[6]</w:t>
            </w:r>
          </w:p>
        </w:tc>
        <w:tc>
          <w:tcPr>
            <w:tcW w:w="960" w:type="dxa"/>
            <w:tcBorders>
              <w:top w:val="nil"/>
              <w:left w:val="nil"/>
              <w:bottom w:val="single" w:sz="4" w:space="0" w:color="7F7F7F"/>
              <w:right w:val="single" w:sz="4" w:space="0" w:color="7F7F7F"/>
            </w:tcBorders>
            <w:shd w:val="clear" w:color="000000" w:fill="FFFF99"/>
            <w:noWrap/>
            <w:vAlign w:val="center"/>
            <w:hideMark/>
          </w:tcPr>
          <w:p w14:paraId="09AFD79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9EF3FD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A7199A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631FDD5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87AB48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05AFD01F"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952CB52" w14:textId="6B256267" w:rsidR="0030520B" w:rsidRDefault="0030520B">
            <w:pPr>
              <w:jc w:val="center"/>
              <w:rPr>
                <w:rFonts w:ascii="Calibri" w:hAnsi="Calibri" w:cs="Calibri"/>
                <w:b/>
                <w:bCs/>
                <w:sz w:val="20"/>
                <w:szCs w:val="20"/>
              </w:rPr>
            </w:pPr>
            <w:r>
              <w:rPr>
                <w:rFonts w:ascii="Calibri" w:hAnsi="Calibri" w:cs="Calibri"/>
                <w:b/>
                <w:bCs/>
                <w:sz w:val="20"/>
                <w:szCs w:val="20"/>
              </w:rPr>
              <w:lastRenderedPageBreak/>
              <w:t>Canadian - P&amp;C</w:t>
            </w:r>
          </w:p>
        </w:tc>
        <w:tc>
          <w:tcPr>
            <w:tcW w:w="480" w:type="dxa"/>
            <w:tcBorders>
              <w:top w:val="nil"/>
              <w:left w:val="single" w:sz="4" w:space="0" w:color="auto"/>
              <w:bottom w:val="nil"/>
              <w:right w:val="single" w:sz="4" w:space="0" w:color="auto"/>
            </w:tcBorders>
            <w:shd w:val="clear" w:color="000000" w:fill="D9D9D9"/>
            <w:noWrap/>
            <w:vAlign w:val="center"/>
            <w:hideMark/>
          </w:tcPr>
          <w:p w14:paraId="284EE57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[7]</w:t>
            </w:r>
          </w:p>
        </w:tc>
        <w:tc>
          <w:tcPr>
            <w:tcW w:w="960" w:type="dxa"/>
            <w:tcBorders>
              <w:top w:val="nil"/>
              <w:left w:val="nil"/>
              <w:bottom w:val="single" w:sz="4" w:space="0" w:color="7F7F7F"/>
              <w:right w:val="single" w:sz="4" w:space="0" w:color="7F7F7F"/>
            </w:tcBorders>
            <w:shd w:val="clear" w:color="000000" w:fill="FFFF99"/>
            <w:noWrap/>
            <w:vAlign w:val="center"/>
            <w:hideMark/>
          </w:tcPr>
          <w:p w14:paraId="75C6473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2A8122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4CC588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E6CF30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4B4586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4033BAF3"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4CFD5EE" w14:textId="77777777" w:rsidR="0030520B" w:rsidRDefault="0030520B">
            <w:pPr>
              <w:jc w:val="center"/>
              <w:rPr>
                <w:rFonts w:ascii="Calibri" w:hAnsi="Calibri" w:cs="Calibri"/>
                <w:b/>
                <w:bCs/>
                <w:sz w:val="20"/>
                <w:szCs w:val="20"/>
              </w:rPr>
            </w:pPr>
            <w:r>
              <w:rPr>
                <w:rFonts w:ascii="Calibri" w:hAnsi="Calibri" w:cs="Calibri"/>
                <w:b/>
                <w:bCs/>
                <w:sz w:val="20"/>
                <w:szCs w:val="20"/>
              </w:rPr>
              <w:t>Bermuda - Other</w:t>
            </w:r>
          </w:p>
        </w:tc>
        <w:tc>
          <w:tcPr>
            <w:tcW w:w="480" w:type="dxa"/>
            <w:tcBorders>
              <w:top w:val="nil"/>
              <w:left w:val="single" w:sz="4" w:space="0" w:color="auto"/>
              <w:bottom w:val="nil"/>
              <w:right w:val="single" w:sz="4" w:space="0" w:color="auto"/>
            </w:tcBorders>
            <w:shd w:val="clear" w:color="000000" w:fill="D9D9D9"/>
            <w:noWrap/>
            <w:vAlign w:val="center"/>
            <w:hideMark/>
          </w:tcPr>
          <w:p w14:paraId="744EECC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[8]</w:t>
            </w:r>
          </w:p>
        </w:tc>
        <w:tc>
          <w:tcPr>
            <w:tcW w:w="960" w:type="dxa"/>
            <w:tcBorders>
              <w:top w:val="nil"/>
              <w:left w:val="nil"/>
              <w:bottom w:val="single" w:sz="4" w:space="0" w:color="7F7F7F"/>
              <w:right w:val="single" w:sz="4" w:space="0" w:color="7F7F7F"/>
            </w:tcBorders>
            <w:shd w:val="clear" w:color="000000" w:fill="FFFF99"/>
            <w:noWrap/>
            <w:vAlign w:val="center"/>
            <w:hideMark/>
          </w:tcPr>
          <w:p w14:paraId="12DEFFB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004CC8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327F22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E80723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0AB8C5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EFA7F41"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B97D1D9" w14:textId="77777777" w:rsidR="0030520B" w:rsidRDefault="0030520B">
            <w:pPr>
              <w:jc w:val="center"/>
              <w:rPr>
                <w:rFonts w:ascii="Calibri" w:hAnsi="Calibri" w:cs="Calibri"/>
                <w:b/>
                <w:bCs/>
                <w:sz w:val="20"/>
                <w:szCs w:val="20"/>
              </w:rPr>
            </w:pPr>
            <w:r>
              <w:rPr>
                <w:rFonts w:ascii="Calibri" w:hAnsi="Calibri" w:cs="Calibri"/>
                <w:b/>
                <w:bCs/>
                <w:sz w:val="20"/>
                <w:szCs w:val="20"/>
              </w:rPr>
              <w:t>Bermuda - Commercial Insurers</w:t>
            </w:r>
          </w:p>
        </w:tc>
        <w:tc>
          <w:tcPr>
            <w:tcW w:w="480" w:type="dxa"/>
            <w:tcBorders>
              <w:top w:val="nil"/>
              <w:left w:val="single" w:sz="4" w:space="0" w:color="auto"/>
              <w:bottom w:val="nil"/>
              <w:right w:val="single" w:sz="4" w:space="0" w:color="auto"/>
            </w:tcBorders>
            <w:shd w:val="clear" w:color="000000" w:fill="D9D9D9"/>
            <w:noWrap/>
            <w:vAlign w:val="center"/>
            <w:hideMark/>
          </w:tcPr>
          <w:p w14:paraId="2A5A35F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[9]</w:t>
            </w:r>
          </w:p>
        </w:tc>
        <w:tc>
          <w:tcPr>
            <w:tcW w:w="960" w:type="dxa"/>
            <w:tcBorders>
              <w:top w:val="nil"/>
              <w:left w:val="nil"/>
              <w:bottom w:val="single" w:sz="4" w:space="0" w:color="7F7F7F"/>
              <w:right w:val="single" w:sz="4" w:space="0" w:color="7F7F7F"/>
            </w:tcBorders>
            <w:shd w:val="clear" w:color="000000" w:fill="FFFF99"/>
            <w:noWrap/>
            <w:vAlign w:val="center"/>
            <w:hideMark/>
          </w:tcPr>
          <w:p w14:paraId="61D43CA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27FEA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7603B2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1CA5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996885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52B0769"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AF092E5" w14:textId="77777777" w:rsidR="0030520B" w:rsidRDefault="0030520B">
            <w:pPr>
              <w:jc w:val="center"/>
              <w:rPr>
                <w:rFonts w:ascii="Calibri" w:hAnsi="Calibri" w:cs="Calibri"/>
                <w:b/>
                <w:bCs/>
                <w:sz w:val="20"/>
                <w:szCs w:val="20"/>
              </w:rPr>
            </w:pPr>
            <w:r>
              <w:rPr>
                <w:rFonts w:ascii="Calibri" w:hAnsi="Calibri" w:cs="Calibri"/>
                <w:b/>
                <w:bCs/>
                <w:sz w:val="20"/>
                <w:szCs w:val="20"/>
              </w:rPr>
              <w:t>Japan - Life</w:t>
            </w:r>
          </w:p>
        </w:tc>
        <w:tc>
          <w:tcPr>
            <w:tcW w:w="480" w:type="dxa"/>
            <w:tcBorders>
              <w:top w:val="nil"/>
              <w:left w:val="single" w:sz="4" w:space="0" w:color="auto"/>
              <w:bottom w:val="nil"/>
              <w:right w:val="single" w:sz="4" w:space="0" w:color="auto"/>
            </w:tcBorders>
            <w:shd w:val="clear" w:color="000000" w:fill="D9D9D9"/>
            <w:noWrap/>
            <w:vAlign w:val="center"/>
            <w:hideMark/>
          </w:tcPr>
          <w:p w14:paraId="4A400A1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[10]</w:t>
            </w:r>
          </w:p>
        </w:tc>
        <w:tc>
          <w:tcPr>
            <w:tcW w:w="960" w:type="dxa"/>
            <w:tcBorders>
              <w:top w:val="nil"/>
              <w:left w:val="nil"/>
              <w:bottom w:val="single" w:sz="4" w:space="0" w:color="7F7F7F"/>
              <w:right w:val="single" w:sz="4" w:space="0" w:color="7F7F7F"/>
            </w:tcBorders>
            <w:shd w:val="clear" w:color="000000" w:fill="FFFF99"/>
            <w:noWrap/>
            <w:vAlign w:val="center"/>
            <w:hideMark/>
          </w:tcPr>
          <w:p w14:paraId="15D02FA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EC214C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A5009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313C3D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84E0BE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26CB1CBB"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EC84254" w14:textId="77777777" w:rsidR="0030520B" w:rsidRDefault="0030520B">
            <w:pPr>
              <w:jc w:val="center"/>
              <w:rPr>
                <w:rFonts w:ascii="Calibri" w:hAnsi="Calibri" w:cs="Calibri"/>
                <w:b/>
                <w:bCs/>
                <w:sz w:val="20"/>
                <w:szCs w:val="20"/>
              </w:rPr>
            </w:pPr>
            <w:r>
              <w:rPr>
                <w:rFonts w:ascii="Calibri" w:hAnsi="Calibri" w:cs="Calibri"/>
                <w:b/>
                <w:bCs/>
                <w:sz w:val="20"/>
                <w:szCs w:val="20"/>
              </w:rPr>
              <w:t>Japan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33A55BA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[11]</w:t>
            </w:r>
          </w:p>
        </w:tc>
        <w:tc>
          <w:tcPr>
            <w:tcW w:w="960" w:type="dxa"/>
            <w:tcBorders>
              <w:top w:val="nil"/>
              <w:left w:val="nil"/>
              <w:bottom w:val="single" w:sz="4" w:space="0" w:color="7F7F7F"/>
              <w:right w:val="single" w:sz="4" w:space="0" w:color="7F7F7F"/>
            </w:tcBorders>
            <w:shd w:val="clear" w:color="000000" w:fill="FFFF99"/>
            <w:noWrap/>
            <w:vAlign w:val="center"/>
            <w:hideMark/>
          </w:tcPr>
          <w:p w14:paraId="69BA901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5362AC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A12FFA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5E5DBA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E2905A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CC49FF2"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591A00D5" w14:textId="77777777" w:rsidR="0030520B" w:rsidRDefault="0030520B">
            <w:pPr>
              <w:jc w:val="center"/>
              <w:rPr>
                <w:rFonts w:ascii="Calibri" w:hAnsi="Calibri" w:cs="Calibri"/>
                <w:b/>
                <w:bCs/>
                <w:sz w:val="20"/>
                <w:szCs w:val="20"/>
              </w:rPr>
            </w:pPr>
            <w:r>
              <w:rPr>
                <w:rFonts w:ascii="Calibri" w:hAnsi="Calibri" w:cs="Calibri"/>
                <w:b/>
                <w:bCs/>
                <w:sz w:val="20"/>
                <w:szCs w:val="20"/>
              </w:rPr>
              <w:t>Solvency II - Life</w:t>
            </w:r>
          </w:p>
        </w:tc>
        <w:tc>
          <w:tcPr>
            <w:tcW w:w="480" w:type="dxa"/>
            <w:tcBorders>
              <w:top w:val="nil"/>
              <w:left w:val="single" w:sz="4" w:space="0" w:color="auto"/>
              <w:bottom w:val="nil"/>
              <w:right w:val="single" w:sz="4" w:space="0" w:color="auto"/>
            </w:tcBorders>
            <w:shd w:val="clear" w:color="000000" w:fill="D9D9D9"/>
            <w:noWrap/>
            <w:vAlign w:val="center"/>
            <w:hideMark/>
          </w:tcPr>
          <w:p w14:paraId="559ECF7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[12]</w:t>
            </w:r>
          </w:p>
        </w:tc>
        <w:tc>
          <w:tcPr>
            <w:tcW w:w="960" w:type="dxa"/>
            <w:tcBorders>
              <w:top w:val="nil"/>
              <w:left w:val="nil"/>
              <w:bottom w:val="single" w:sz="4" w:space="0" w:color="7F7F7F"/>
              <w:right w:val="single" w:sz="4" w:space="0" w:color="7F7F7F"/>
            </w:tcBorders>
            <w:shd w:val="clear" w:color="000000" w:fill="FFFF99"/>
            <w:noWrap/>
            <w:vAlign w:val="center"/>
            <w:hideMark/>
          </w:tcPr>
          <w:p w14:paraId="488A954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78E68D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D59C17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7601A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CF7780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70E95CC"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E390D56" w14:textId="77777777" w:rsidR="0030520B" w:rsidRDefault="0030520B">
            <w:pPr>
              <w:jc w:val="center"/>
              <w:rPr>
                <w:rFonts w:ascii="Calibri" w:hAnsi="Calibri" w:cs="Calibri"/>
                <w:b/>
                <w:bCs/>
                <w:sz w:val="20"/>
                <w:szCs w:val="20"/>
              </w:rPr>
            </w:pPr>
            <w:r>
              <w:rPr>
                <w:rFonts w:ascii="Calibri" w:hAnsi="Calibri" w:cs="Calibri"/>
                <w:b/>
                <w:bCs/>
                <w:sz w:val="20"/>
                <w:szCs w:val="20"/>
              </w:rPr>
              <w:t>Solvency II -- Composite</w:t>
            </w:r>
          </w:p>
        </w:tc>
        <w:tc>
          <w:tcPr>
            <w:tcW w:w="480" w:type="dxa"/>
            <w:tcBorders>
              <w:top w:val="nil"/>
              <w:left w:val="single" w:sz="4" w:space="0" w:color="auto"/>
              <w:bottom w:val="nil"/>
              <w:right w:val="single" w:sz="4" w:space="0" w:color="auto"/>
            </w:tcBorders>
            <w:shd w:val="clear" w:color="000000" w:fill="D9D9D9"/>
            <w:noWrap/>
            <w:vAlign w:val="center"/>
            <w:hideMark/>
          </w:tcPr>
          <w:p w14:paraId="0DC170F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[13]</w:t>
            </w:r>
          </w:p>
        </w:tc>
        <w:tc>
          <w:tcPr>
            <w:tcW w:w="960" w:type="dxa"/>
            <w:tcBorders>
              <w:top w:val="nil"/>
              <w:left w:val="nil"/>
              <w:bottom w:val="single" w:sz="4" w:space="0" w:color="7F7F7F"/>
              <w:right w:val="single" w:sz="4" w:space="0" w:color="7F7F7F"/>
            </w:tcBorders>
            <w:shd w:val="clear" w:color="000000" w:fill="FFFF99"/>
            <w:noWrap/>
            <w:vAlign w:val="center"/>
            <w:hideMark/>
          </w:tcPr>
          <w:p w14:paraId="51185E1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EDEA3C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E3EA43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42EF3C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849ECD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415F8E9B"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595695C" w14:textId="77777777" w:rsidR="0030520B" w:rsidRDefault="0030520B">
            <w:pPr>
              <w:jc w:val="center"/>
              <w:rPr>
                <w:rFonts w:ascii="Calibri" w:hAnsi="Calibri" w:cs="Calibri"/>
                <w:b/>
                <w:bCs/>
                <w:sz w:val="20"/>
                <w:szCs w:val="20"/>
              </w:rPr>
            </w:pPr>
            <w:r>
              <w:rPr>
                <w:rFonts w:ascii="Calibri" w:hAnsi="Calibri" w:cs="Calibri"/>
                <w:b/>
                <w:bCs/>
                <w:sz w:val="20"/>
                <w:szCs w:val="20"/>
              </w:rPr>
              <w:t>Solvency II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6FF7B56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[14]</w:t>
            </w:r>
          </w:p>
        </w:tc>
        <w:tc>
          <w:tcPr>
            <w:tcW w:w="960" w:type="dxa"/>
            <w:tcBorders>
              <w:top w:val="nil"/>
              <w:left w:val="nil"/>
              <w:bottom w:val="single" w:sz="4" w:space="0" w:color="7F7F7F"/>
              <w:right w:val="single" w:sz="4" w:space="0" w:color="7F7F7F"/>
            </w:tcBorders>
            <w:shd w:val="clear" w:color="000000" w:fill="FFFF99"/>
            <w:noWrap/>
            <w:vAlign w:val="center"/>
            <w:hideMark/>
          </w:tcPr>
          <w:p w14:paraId="0CF6249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9E7042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E98498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34A953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F4A530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99D6C9A"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9EEAC19" w14:textId="77777777" w:rsidR="0030520B" w:rsidRDefault="0030520B">
            <w:pPr>
              <w:jc w:val="center"/>
              <w:rPr>
                <w:rFonts w:ascii="Calibri" w:hAnsi="Calibri" w:cs="Calibri"/>
                <w:b/>
                <w:bCs/>
                <w:sz w:val="20"/>
                <w:szCs w:val="20"/>
              </w:rPr>
            </w:pPr>
            <w:r>
              <w:rPr>
                <w:rFonts w:ascii="Calibri" w:hAnsi="Calibri" w:cs="Calibri"/>
                <w:b/>
                <w:bCs/>
                <w:sz w:val="20"/>
                <w:szCs w:val="20"/>
              </w:rPr>
              <w:t>Australia - All</w:t>
            </w:r>
          </w:p>
        </w:tc>
        <w:tc>
          <w:tcPr>
            <w:tcW w:w="480" w:type="dxa"/>
            <w:tcBorders>
              <w:top w:val="nil"/>
              <w:left w:val="single" w:sz="4" w:space="0" w:color="auto"/>
              <w:bottom w:val="nil"/>
              <w:right w:val="single" w:sz="4" w:space="0" w:color="auto"/>
            </w:tcBorders>
            <w:shd w:val="clear" w:color="000000" w:fill="D9D9D9"/>
            <w:noWrap/>
            <w:vAlign w:val="center"/>
            <w:hideMark/>
          </w:tcPr>
          <w:p w14:paraId="244D021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[15]</w:t>
            </w:r>
          </w:p>
        </w:tc>
        <w:tc>
          <w:tcPr>
            <w:tcW w:w="960" w:type="dxa"/>
            <w:tcBorders>
              <w:top w:val="nil"/>
              <w:left w:val="nil"/>
              <w:bottom w:val="single" w:sz="4" w:space="0" w:color="7F7F7F"/>
              <w:right w:val="single" w:sz="4" w:space="0" w:color="7F7F7F"/>
            </w:tcBorders>
            <w:shd w:val="clear" w:color="000000" w:fill="FFFF99"/>
            <w:noWrap/>
            <w:vAlign w:val="center"/>
            <w:hideMark/>
          </w:tcPr>
          <w:p w14:paraId="3956F3D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7D6639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6B8615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A7A2DC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C3A09F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5854725E"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75C0CF0" w14:textId="77777777" w:rsidR="0030520B" w:rsidRDefault="0030520B">
            <w:pPr>
              <w:jc w:val="center"/>
              <w:rPr>
                <w:rFonts w:ascii="Calibri" w:hAnsi="Calibri" w:cs="Calibri"/>
                <w:b/>
                <w:bCs/>
                <w:sz w:val="20"/>
                <w:szCs w:val="20"/>
              </w:rPr>
            </w:pPr>
            <w:r>
              <w:rPr>
                <w:rFonts w:ascii="Calibri" w:hAnsi="Calibri" w:cs="Calibri"/>
                <w:b/>
                <w:bCs/>
                <w:sz w:val="20"/>
                <w:szCs w:val="20"/>
              </w:rPr>
              <w:t>Switzerland - Life</w:t>
            </w:r>
          </w:p>
        </w:tc>
        <w:tc>
          <w:tcPr>
            <w:tcW w:w="480" w:type="dxa"/>
            <w:tcBorders>
              <w:top w:val="nil"/>
              <w:left w:val="single" w:sz="4" w:space="0" w:color="auto"/>
              <w:bottom w:val="nil"/>
              <w:right w:val="single" w:sz="4" w:space="0" w:color="auto"/>
            </w:tcBorders>
            <w:shd w:val="clear" w:color="000000" w:fill="D9D9D9"/>
            <w:noWrap/>
            <w:vAlign w:val="center"/>
            <w:hideMark/>
          </w:tcPr>
          <w:p w14:paraId="3169277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[16]</w:t>
            </w:r>
          </w:p>
        </w:tc>
        <w:tc>
          <w:tcPr>
            <w:tcW w:w="960" w:type="dxa"/>
            <w:tcBorders>
              <w:top w:val="nil"/>
              <w:left w:val="nil"/>
              <w:bottom w:val="single" w:sz="4" w:space="0" w:color="7F7F7F"/>
              <w:right w:val="single" w:sz="4" w:space="0" w:color="7F7F7F"/>
            </w:tcBorders>
            <w:shd w:val="clear" w:color="000000" w:fill="FFFF99"/>
            <w:noWrap/>
            <w:vAlign w:val="center"/>
            <w:hideMark/>
          </w:tcPr>
          <w:p w14:paraId="2A1C80C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285767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51E65B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A31A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CFE717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3C8935D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AB47590" w14:textId="77777777" w:rsidR="0030520B" w:rsidRDefault="0030520B">
            <w:pPr>
              <w:jc w:val="center"/>
              <w:rPr>
                <w:rFonts w:ascii="Calibri" w:hAnsi="Calibri" w:cs="Calibri"/>
                <w:b/>
                <w:bCs/>
                <w:sz w:val="20"/>
                <w:szCs w:val="20"/>
              </w:rPr>
            </w:pPr>
            <w:r>
              <w:rPr>
                <w:rFonts w:ascii="Calibri" w:hAnsi="Calibri" w:cs="Calibri"/>
                <w:b/>
                <w:bCs/>
                <w:sz w:val="20"/>
                <w:szCs w:val="20"/>
              </w:rPr>
              <w:t>Switzerland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380EE0F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[17]</w:t>
            </w:r>
          </w:p>
        </w:tc>
        <w:tc>
          <w:tcPr>
            <w:tcW w:w="960" w:type="dxa"/>
            <w:tcBorders>
              <w:top w:val="nil"/>
              <w:left w:val="nil"/>
              <w:bottom w:val="single" w:sz="4" w:space="0" w:color="7F7F7F"/>
              <w:right w:val="single" w:sz="4" w:space="0" w:color="7F7F7F"/>
            </w:tcBorders>
            <w:shd w:val="clear" w:color="000000" w:fill="FFFF99"/>
            <w:noWrap/>
            <w:vAlign w:val="center"/>
            <w:hideMark/>
          </w:tcPr>
          <w:p w14:paraId="2DDA354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73AF02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B1C290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25F3DC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AD29AC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bl>
    <w:p w14:paraId="79BD617B" w14:textId="7A4A3BDA" w:rsidR="0030520B" w:rsidRDefault="0030520B" w:rsidP="00D8104C">
      <w:pPr>
        <w:tabs>
          <w:tab w:val="left" w:pos="360"/>
        </w:tabs>
        <w:jc w:val="both"/>
        <w:rPr>
          <w:rFonts w:asciiTheme="minorHAnsi" w:hAnsiTheme="minorHAnsi"/>
          <w:color w:val="000000" w:themeColor="text1"/>
          <w:sz w:val="22"/>
        </w:rPr>
      </w:pPr>
    </w:p>
    <w:p w14:paraId="0CE7075F" w14:textId="55F145FB" w:rsidR="00605593" w:rsidRDefault="00605593" w:rsidP="00D8104C">
      <w:pPr>
        <w:tabs>
          <w:tab w:val="left" w:pos="360"/>
        </w:tabs>
        <w:jc w:val="both"/>
        <w:rPr>
          <w:rFonts w:asciiTheme="minorHAnsi" w:hAnsiTheme="minorHAnsi"/>
          <w:color w:val="000000" w:themeColor="text1"/>
          <w:sz w:val="22"/>
        </w:rPr>
      </w:pPr>
    </w:p>
    <w:tbl>
      <w:tblPr>
        <w:tblW w:w="8420" w:type="dxa"/>
        <w:tblLook w:val="04A0" w:firstRow="1" w:lastRow="0" w:firstColumn="1" w:lastColumn="0" w:noHBand="0" w:noVBand="1"/>
      </w:tblPr>
      <w:tblGrid>
        <w:gridCol w:w="3078"/>
        <w:gridCol w:w="542"/>
        <w:gridCol w:w="960"/>
        <w:gridCol w:w="960"/>
        <w:gridCol w:w="960"/>
        <w:gridCol w:w="960"/>
        <w:gridCol w:w="960"/>
      </w:tblGrid>
      <w:tr w:rsidR="00605593" w14:paraId="4491FF76" w14:textId="77777777" w:rsidTr="00605593">
        <w:trPr>
          <w:trHeight w:val="255"/>
        </w:trPr>
        <w:tc>
          <w:tcPr>
            <w:tcW w:w="3620" w:type="dxa"/>
            <w:gridSpan w:val="2"/>
            <w:tcBorders>
              <w:top w:val="single" w:sz="4" w:space="0" w:color="auto"/>
              <w:left w:val="single" w:sz="4" w:space="0" w:color="auto"/>
              <w:bottom w:val="nil"/>
              <w:right w:val="single" w:sz="4" w:space="0" w:color="000000"/>
            </w:tcBorders>
            <w:shd w:val="clear" w:color="000000" w:fill="D9D9D9"/>
            <w:vAlign w:val="center"/>
            <w:hideMark/>
          </w:tcPr>
          <w:p w14:paraId="0F30C292" w14:textId="77777777" w:rsidR="00605593" w:rsidRDefault="00605593" w:rsidP="00605593">
            <w:pPr>
              <w:jc w:val="center"/>
              <w:rPr>
                <w:rFonts w:ascii="Calibri" w:hAnsi="Calibri" w:cs="Calibri"/>
                <w:b/>
                <w:bCs/>
                <w:sz w:val="20"/>
                <w:szCs w:val="20"/>
              </w:rPr>
            </w:pPr>
            <w:r>
              <w:rPr>
                <w:rFonts w:ascii="Calibri" w:hAnsi="Calibri" w:cs="Calibri"/>
                <w:b/>
                <w:bCs/>
                <w:sz w:val="20"/>
                <w:szCs w:val="20"/>
              </w:rPr>
              <w:t>Insurance Capital Table</w:t>
            </w:r>
          </w:p>
        </w:tc>
        <w:tc>
          <w:tcPr>
            <w:tcW w:w="4800" w:type="dxa"/>
            <w:gridSpan w:val="5"/>
            <w:tcBorders>
              <w:top w:val="single" w:sz="4" w:space="0" w:color="auto"/>
              <w:left w:val="nil"/>
              <w:bottom w:val="single" w:sz="4" w:space="0" w:color="auto"/>
              <w:right w:val="single" w:sz="4" w:space="0" w:color="auto"/>
            </w:tcBorders>
            <w:shd w:val="clear" w:color="000000" w:fill="948A54"/>
            <w:vAlign w:val="center"/>
            <w:hideMark/>
          </w:tcPr>
          <w:p w14:paraId="5CA517E1" w14:textId="78D3A023" w:rsidR="00605593" w:rsidRDefault="00605593" w:rsidP="00605593">
            <w:pPr>
              <w:jc w:val="center"/>
              <w:rPr>
                <w:rFonts w:ascii="Calibri" w:hAnsi="Calibri" w:cs="Calibri"/>
                <w:b/>
                <w:bCs/>
                <w:color w:val="000000"/>
                <w:sz w:val="20"/>
                <w:szCs w:val="20"/>
              </w:rPr>
            </w:pPr>
            <w:r>
              <w:rPr>
                <w:rFonts w:ascii="Calibri" w:hAnsi="Calibri" w:cs="Calibri"/>
                <w:b/>
                <w:bCs/>
                <w:color w:val="000000"/>
                <w:sz w:val="20"/>
                <w:szCs w:val="20"/>
              </w:rPr>
              <w:t>Intragroup Dividends $ Received/(Paid)</w:t>
            </w:r>
          </w:p>
        </w:tc>
      </w:tr>
      <w:tr w:rsidR="00605593" w14:paraId="63587A2B" w14:textId="77777777" w:rsidTr="00605593">
        <w:trPr>
          <w:trHeight w:val="255"/>
        </w:trPr>
        <w:tc>
          <w:tcPr>
            <w:tcW w:w="362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30021AD9" w14:textId="77777777" w:rsidR="00605593" w:rsidRDefault="00605593" w:rsidP="00605593">
            <w:pPr>
              <w:jc w:val="center"/>
              <w:rPr>
                <w:rFonts w:ascii="Calibri" w:hAnsi="Calibri" w:cs="Calibri"/>
                <w:b/>
                <w:bCs/>
                <w:sz w:val="20"/>
                <w:szCs w:val="20"/>
              </w:rPr>
            </w:pPr>
            <w:r>
              <w:rPr>
                <w:rFonts w:ascii="Calibri" w:hAnsi="Calibri" w:cs="Calibri"/>
                <w:b/>
                <w:bCs/>
                <w:sz w:val="20"/>
                <w:szCs w:val="20"/>
              </w:rPr>
              <w:t>Template Groupings</w:t>
            </w:r>
          </w:p>
        </w:tc>
        <w:tc>
          <w:tcPr>
            <w:tcW w:w="960" w:type="dxa"/>
            <w:tcBorders>
              <w:top w:val="nil"/>
              <w:left w:val="nil"/>
              <w:bottom w:val="single" w:sz="4" w:space="0" w:color="auto"/>
              <w:right w:val="single" w:sz="4" w:space="0" w:color="auto"/>
            </w:tcBorders>
            <w:shd w:val="clear" w:color="000000" w:fill="D9D9D9"/>
            <w:vAlign w:val="center"/>
            <w:hideMark/>
          </w:tcPr>
          <w:p w14:paraId="5BCCCD86" w14:textId="1EE43C6F" w:rsidR="00605593" w:rsidRDefault="00605593" w:rsidP="00605593">
            <w:pPr>
              <w:jc w:val="center"/>
              <w:rPr>
                <w:rFonts w:ascii="Calibri" w:hAnsi="Calibri" w:cs="Calibri"/>
                <w:b/>
                <w:bCs/>
                <w:sz w:val="20"/>
                <w:szCs w:val="20"/>
              </w:rPr>
            </w:pPr>
            <w:r>
              <w:rPr>
                <w:rFonts w:ascii="Calibri" w:hAnsi="Calibri" w:cs="Calibri"/>
                <w:b/>
                <w:bCs/>
                <w:sz w:val="20"/>
                <w:szCs w:val="20"/>
              </w:rPr>
              <w:t>202</w:t>
            </w:r>
            <w:r w:rsidR="006C61FF">
              <w:rPr>
                <w:rFonts w:ascii="Calibri" w:hAnsi="Calibri" w:cs="Calibri"/>
                <w:b/>
                <w:bCs/>
                <w:sz w:val="20"/>
                <w:szCs w:val="20"/>
              </w:rPr>
              <w:t>5</w:t>
            </w:r>
          </w:p>
        </w:tc>
        <w:tc>
          <w:tcPr>
            <w:tcW w:w="960" w:type="dxa"/>
            <w:tcBorders>
              <w:top w:val="nil"/>
              <w:left w:val="nil"/>
              <w:bottom w:val="single" w:sz="4" w:space="0" w:color="auto"/>
              <w:right w:val="single" w:sz="4" w:space="0" w:color="auto"/>
            </w:tcBorders>
            <w:shd w:val="clear" w:color="000000" w:fill="D9D9D9"/>
            <w:vAlign w:val="center"/>
            <w:hideMark/>
          </w:tcPr>
          <w:p w14:paraId="5AF56D96" w14:textId="34EF41DF" w:rsidR="00605593" w:rsidRDefault="00605593" w:rsidP="00605593">
            <w:pPr>
              <w:jc w:val="center"/>
              <w:rPr>
                <w:rFonts w:ascii="Calibri" w:hAnsi="Calibri" w:cs="Calibri"/>
                <w:b/>
                <w:bCs/>
                <w:sz w:val="20"/>
                <w:szCs w:val="20"/>
              </w:rPr>
            </w:pPr>
            <w:r>
              <w:rPr>
                <w:rFonts w:ascii="Calibri" w:hAnsi="Calibri" w:cs="Calibri"/>
                <w:b/>
                <w:bCs/>
                <w:sz w:val="20"/>
                <w:szCs w:val="20"/>
              </w:rPr>
              <w:t>202</w:t>
            </w:r>
            <w:r w:rsidR="006C61FF">
              <w:rPr>
                <w:rFonts w:ascii="Calibri" w:hAnsi="Calibri" w:cs="Calibri"/>
                <w:b/>
                <w:bCs/>
                <w:sz w:val="20"/>
                <w:szCs w:val="20"/>
              </w:rPr>
              <w:t>4</w:t>
            </w:r>
          </w:p>
        </w:tc>
        <w:tc>
          <w:tcPr>
            <w:tcW w:w="960" w:type="dxa"/>
            <w:tcBorders>
              <w:top w:val="nil"/>
              <w:left w:val="nil"/>
              <w:bottom w:val="single" w:sz="4" w:space="0" w:color="auto"/>
              <w:right w:val="single" w:sz="4" w:space="0" w:color="auto"/>
            </w:tcBorders>
            <w:shd w:val="clear" w:color="000000" w:fill="D9D9D9"/>
            <w:vAlign w:val="center"/>
            <w:hideMark/>
          </w:tcPr>
          <w:p w14:paraId="147A0084" w14:textId="59BECFCB" w:rsidR="00605593" w:rsidRDefault="00605593" w:rsidP="00605593">
            <w:pPr>
              <w:jc w:val="center"/>
              <w:rPr>
                <w:rFonts w:ascii="Calibri" w:hAnsi="Calibri" w:cs="Calibri"/>
                <w:b/>
                <w:bCs/>
                <w:sz w:val="20"/>
                <w:szCs w:val="20"/>
              </w:rPr>
            </w:pPr>
            <w:r>
              <w:rPr>
                <w:rFonts w:ascii="Calibri" w:hAnsi="Calibri" w:cs="Calibri"/>
                <w:b/>
                <w:bCs/>
                <w:sz w:val="20"/>
                <w:szCs w:val="20"/>
              </w:rPr>
              <w:t>202</w:t>
            </w:r>
            <w:r w:rsidR="006C61FF">
              <w:rPr>
                <w:rFonts w:ascii="Calibri" w:hAnsi="Calibri" w:cs="Calibri"/>
                <w:b/>
                <w:bCs/>
                <w:sz w:val="20"/>
                <w:szCs w:val="20"/>
              </w:rPr>
              <w:t>3</w:t>
            </w:r>
          </w:p>
        </w:tc>
        <w:tc>
          <w:tcPr>
            <w:tcW w:w="960" w:type="dxa"/>
            <w:tcBorders>
              <w:top w:val="nil"/>
              <w:left w:val="nil"/>
              <w:bottom w:val="single" w:sz="4" w:space="0" w:color="auto"/>
              <w:right w:val="single" w:sz="4" w:space="0" w:color="auto"/>
            </w:tcBorders>
            <w:shd w:val="clear" w:color="000000" w:fill="D9D9D9"/>
            <w:vAlign w:val="center"/>
            <w:hideMark/>
          </w:tcPr>
          <w:p w14:paraId="27728672" w14:textId="0836790A" w:rsidR="00605593" w:rsidRDefault="00605593" w:rsidP="00605593">
            <w:pPr>
              <w:jc w:val="center"/>
              <w:rPr>
                <w:rFonts w:ascii="Calibri" w:hAnsi="Calibri" w:cs="Calibri"/>
                <w:b/>
                <w:bCs/>
                <w:sz w:val="20"/>
                <w:szCs w:val="20"/>
              </w:rPr>
            </w:pPr>
            <w:r>
              <w:rPr>
                <w:rFonts w:ascii="Calibri" w:hAnsi="Calibri" w:cs="Calibri"/>
                <w:b/>
                <w:bCs/>
                <w:sz w:val="20"/>
                <w:szCs w:val="20"/>
              </w:rPr>
              <w:t>202</w:t>
            </w:r>
            <w:r w:rsidR="006C61FF">
              <w:rPr>
                <w:rFonts w:ascii="Calibri" w:hAnsi="Calibri" w:cs="Calibri"/>
                <w:b/>
                <w:bCs/>
                <w:sz w:val="20"/>
                <w:szCs w:val="20"/>
              </w:rPr>
              <w:t>2</w:t>
            </w:r>
          </w:p>
        </w:tc>
        <w:tc>
          <w:tcPr>
            <w:tcW w:w="960" w:type="dxa"/>
            <w:tcBorders>
              <w:top w:val="nil"/>
              <w:left w:val="nil"/>
              <w:bottom w:val="single" w:sz="4" w:space="0" w:color="auto"/>
              <w:right w:val="single" w:sz="4" w:space="0" w:color="auto"/>
            </w:tcBorders>
            <w:shd w:val="clear" w:color="000000" w:fill="D9D9D9"/>
            <w:vAlign w:val="center"/>
            <w:hideMark/>
          </w:tcPr>
          <w:p w14:paraId="6F9C899F" w14:textId="2CCE2364" w:rsidR="00605593" w:rsidRDefault="00605593" w:rsidP="00605593">
            <w:pPr>
              <w:jc w:val="center"/>
              <w:rPr>
                <w:rFonts w:ascii="Calibri" w:hAnsi="Calibri" w:cs="Calibri"/>
                <w:b/>
                <w:bCs/>
                <w:sz w:val="20"/>
                <w:szCs w:val="20"/>
              </w:rPr>
            </w:pPr>
            <w:r>
              <w:rPr>
                <w:rFonts w:ascii="Calibri" w:hAnsi="Calibri" w:cs="Calibri"/>
                <w:b/>
                <w:bCs/>
                <w:sz w:val="20"/>
                <w:szCs w:val="20"/>
              </w:rPr>
              <w:t>202</w:t>
            </w:r>
            <w:r w:rsidR="006C61FF">
              <w:rPr>
                <w:rFonts w:ascii="Calibri" w:hAnsi="Calibri" w:cs="Calibri"/>
                <w:b/>
                <w:bCs/>
                <w:sz w:val="20"/>
                <w:szCs w:val="20"/>
              </w:rPr>
              <w:t>1</w:t>
            </w:r>
          </w:p>
        </w:tc>
      </w:tr>
      <w:tr w:rsidR="00605593" w14:paraId="5FC13324" w14:textId="77777777" w:rsidTr="00605593">
        <w:trPr>
          <w:trHeight w:val="260"/>
        </w:trPr>
        <w:tc>
          <w:tcPr>
            <w:tcW w:w="3620" w:type="dxa"/>
            <w:gridSpan w:val="2"/>
            <w:vMerge/>
            <w:tcBorders>
              <w:top w:val="nil"/>
              <w:left w:val="single" w:sz="4" w:space="0" w:color="auto"/>
              <w:bottom w:val="single" w:sz="4" w:space="0" w:color="000000"/>
              <w:right w:val="single" w:sz="4" w:space="0" w:color="000000"/>
            </w:tcBorders>
            <w:vAlign w:val="center"/>
            <w:hideMark/>
          </w:tcPr>
          <w:p w14:paraId="5453A28E" w14:textId="77777777" w:rsidR="00605593" w:rsidRDefault="00605593" w:rsidP="00605593">
            <w:pPr>
              <w:rPr>
                <w:rFonts w:ascii="Calibri" w:hAnsi="Calibri" w:cs="Calibri"/>
                <w:b/>
                <w:bCs/>
                <w:sz w:val="20"/>
                <w:szCs w:val="20"/>
              </w:rPr>
            </w:pPr>
          </w:p>
        </w:tc>
        <w:tc>
          <w:tcPr>
            <w:tcW w:w="960" w:type="dxa"/>
            <w:tcBorders>
              <w:top w:val="nil"/>
              <w:left w:val="single" w:sz="4" w:space="0" w:color="auto"/>
              <w:bottom w:val="nil"/>
              <w:right w:val="nil"/>
            </w:tcBorders>
            <w:shd w:val="clear" w:color="000000" w:fill="D9D9D9"/>
            <w:noWrap/>
            <w:vAlign w:val="center"/>
            <w:hideMark/>
          </w:tcPr>
          <w:p w14:paraId="279000B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single" w:sz="4" w:space="0" w:color="auto"/>
              <w:bottom w:val="nil"/>
              <w:right w:val="nil"/>
            </w:tcBorders>
            <w:shd w:val="clear" w:color="000000" w:fill="D9D9D9"/>
            <w:noWrap/>
            <w:vAlign w:val="center"/>
            <w:hideMark/>
          </w:tcPr>
          <w:p w14:paraId="5A796D1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single" w:sz="4" w:space="0" w:color="auto"/>
              <w:bottom w:val="nil"/>
              <w:right w:val="nil"/>
            </w:tcBorders>
            <w:shd w:val="clear" w:color="000000" w:fill="D9D9D9"/>
            <w:noWrap/>
            <w:vAlign w:val="center"/>
            <w:hideMark/>
          </w:tcPr>
          <w:p w14:paraId="7F5ACCB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single" w:sz="4" w:space="0" w:color="auto"/>
              <w:bottom w:val="nil"/>
              <w:right w:val="nil"/>
            </w:tcBorders>
            <w:shd w:val="clear" w:color="000000" w:fill="D9D9D9"/>
            <w:noWrap/>
            <w:vAlign w:val="center"/>
            <w:hideMark/>
          </w:tcPr>
          <w:p w14:paraId="596B8B2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single" w:sz="4" w:space="0" w:color="auto"/>
              <w:bottom w:val="nil"/>
              <w:right w:val="nil"/>
            </w:tcBorders>
            <w:shd w:val="clear" w:color="000000" w:fill="D9D9D9"/>
            <w:noWrap/>
            <w:vAlign w:val="center"/>
            <w:hideMark/>
          </w:tcPr>
          <w:p w14:paraId="0DC528F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[5]</w:t>
            </w:r>
          </w:p>
        </w:tc>
      </w:tr>
      <w:tr w:rsidR="00605593" w14:paraId="45E8B74E"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1D3DAC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(P&amp;C)</w:t>
            </w:r>
          </w:p>
        </w:tc>
        <w:tc>
          <w:tcPr>
            <w:tcW w:w="480" w:type="dxa"/>
            <w:tcBorders>
              <w:top w:val="nil"/>
              <w:left w:val="single" w:sz="4" w:space="0" w:color="auto"/>
              <w:bottom w:val="nil"/>
              <w:right w:val="single" w:sz="4" w:space="0" w:color="auto"/>
            </w:tcBorders>
            <w:shd w:val="clear" w:color="000000" w:fill="D9D9D9"/>
            <w:noWrap/>
            <w:vAlign w:val="center"/>
            <w:hideMark/>
          </w:tcPr>
          <w:p w14:paraId="077BB6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30056EF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B7FC98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064512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33896B8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single" w:sz="4" w:space="0" w:color="7F7F7F"/>
              <w:left w:val="nil"/>
              <w:bottom w:val="single" w:sz="4" w:space="0" w:color="7F7F7F"/>
              <w:right w:val="single" w:sz="4" w:space="0" w:color="auto"/>
            </w:tcBorders>
            <w:shd w:val="clear" w:color="000000" w:fill="FFFF99"/>
            <w:noWrap/>
            <w:vAlign w:val="center"/>
            <w:hideMark/>
          </w:tcPr>
          <w:p w14:paraId="39EFF72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587370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BCD110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(Life)</w:t>
            </w:r>
          </w:p>
        </w:tc>
        <w:tc>
          <w:tcPr>
            <w:tcW w:w="480" w:type="dxa"/>
            <w:tcBorders>
              <w:top w:val="nil"/>
              <w:left w:val="single" w:sz="4" w:space="0" w:color="auto"/>
              <w:bottom w:val="nil"/>
              <w:right w:val="single" w:sz="4" w:space="0" w:color="auto"/>
            </w:tcBorders>
            <w:shd w:val="clear" w:color="000000" w:fill="D9D9D9"/>
            <w:noWrap/>
            <w:vAlign w:val="center"/>
            <w:hideMark/>
          </w:tcPr>
          <w:p w14:paraId="55128C9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7F7F7F"/>
              <w:right w:val="single" w:sz="4" w:space="0" w:color="7F7F7F"/>
            </w:tcBorders>
            <w:shd w:val="clear" w:color="000000" w:fill="FFFF99"/>
            <w:noWrap/>
            <w:vAlign w:val="center"/>
            <w:hideMark/>
          </w:tcPr>
          <w:p w14:paraId="43A830E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69FD8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B2F8FB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AAA16E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A3CB20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529743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F56B1A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(Health)</w:t>
            </w:r>
          </w:p>
        </w:tc>
        <w:tc>
          <w:tcPr>
            <w:tcW w:w="480" w:type="dxa"/>
            <w:tcBorders>
              <w:top w:val="nil"/>
              <w:left w:val="single" w:sz="4" w:space="0" w:color="auto"/>
              <w:bottom w:val="nil"/>
              <w:right w:val="single" w:sz="4" w:space="0" w:color="auto"/>
            </w:tcBorders>
            <w:shd w:val="clear" w:color="000000" w:fill="D9D9D9"/>
            <w:noWrap/>
            <w:vAlign w:val="center"/>
            <w:hideMark/>
          </w:tcPr>
          <w:p w14:paraId="5BEA30A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nil"/>
              <w:bottom w:val="single" w:sz="4" w:space="0" w:color="7F7F7F"/>
              <w:right w:val="single" w:sz="4" w:space="0" w:color="7F7F7F"/>
            </w:tcBorders>
            <w:shd w:val="clear" w:color="000000" w:fill="FFFF99"/>
            <w:noWrap/>
            <w:vAlign w:val="center"/>
            <w:hideMark/>
          </w:tcPr>
          <w:p w14:paraId="4259607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9D6A159"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9F8D7A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A76197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FBC482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45709A5A"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25C064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(Captive)</w:t>
            </w:r>
          </w:p>
        </w:tc>
        <w:tc>
          <w:tcPr>
            <w:tcW w:w="480" w:type="dxa"/>
            <w:tcBorders>
              <w:top w:val="nil"/>
              <w:left w:val="single" w:sz="4" w:space="0" w:color="auto"/>
              <w:bottom w:val="nil"/>
              <w:right w:val="single" w:sz="4" w:space="0" w:color="auto"/>
            </w:tcBorders>
            <w:shd w:val="clear" w:color="000000" w:fill="D9D9D9"/>
            <w:noWrap/>
            <w:vAlign w:val="center"/>
            <w:hideMark/>
          </w:tcPr>
          <w:p w14:paraId="6F68756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nil"/>
              <w:bottom w:val="single" w:sz="4" w:space="0" w:color="7F7F7F"/>
              <w:right w:val="single" w:sz="4" w:space="0" w:color="7F7F7F"/>
            </w:tcBorders>
            <w:shd w:val="clear" w:color="000000" w:fill="FFFF99"/>
            <w:noWrap/>
            <w:vAlign w:val="center"/>
            <w:hideMark/>
          </w:tcPr>
          <w:p w14:paraId="156DCEE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0A875E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9BEDE0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A5984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72D71B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7D815355"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BDE47DD" w14:textId="143CFC5C" w:rsidR="00605593" w:rsidRDefault="00605593" w:rsidP="00605593">
            <w:pPr>
              <w:jc w:val="center"/>
              <w:rPr>
                <w:rFonts w:ascii="Calibri" w:hAnsi="Calibri" w:cs="Calibri"/>
                <w:b/>
                <w:bCs/>
                <w:sz w:val="20"/>
                <w:szCs w:val="20"/>
              </w:rPr>
            </w:pPr>
            <w:r>
              <w:rPr>
                <w:rFonts w:ascii="Calibri" w:hAnsi="Calibri" w:cs="Calibri"/>
                <w:b/>
                <w:bCs/>
                <w:sz w:val="20"/>
                <w:szCs w:val="20"/>
              </w:rPr>
              <w:t>Non</w:t>
            </w:r>
            <w:r w:rsidR="0002482B">
              <w:rPr>
                <w:rFonts w:ascii="Calibri" w:hAnsi="Calibri" w:cs="Calibri"/>
                <w:b/>
                <w:bCs/>
                <w:sz w:val="20"/>
                <w:szCs w:val="20"/>
              </w:rPr>
              <w:t>-</w:t>
            </w:r>
            <w:r>
              <w:rPr>
                <w:rFonts w:ascii="Calibri" w:hAnsi="Calibri" w:cs="Calibri"/>
                <w:b/>
                <w:bCs/>
                <w:sz w:val="20"/>
                <w:szCs w:val="20"/>
              </w:rPr>
              <w:t xml:space="preserve">RBC filing US. Insurer </w:t>
            </w:r>
          </w:p>
        </w:tc>
        <w:tc>
          <w:tcPr>
            <w:tcW w:w="480" w:type="dxa"/>
            <w:tcBorders>
              <w:top w:val="nil"/>
              <w:left w:val="single" w:sz="4" w:space="0" w:color="auto"/>
              <w:bottom w:val="nil"/>
              <w:right w:val="single" w:sz="4" w:space="0" w:color="auto"/>
            </w:tcBorders>
            <w:shd w:val="clear" w:color="000000" w:fill="D9D9D9"/>
            <w:noWrap/>
            <w:vAlign w:val="center"/>
            <w:hideMark/>
          </w:tcPr>
          <w:p w14:paraId="6977A29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[5]</w:t>
            </w:r>
          </w:p>
        </w:tc>
        <w:tc>
          <w:tcPr>
            <w:tcW w:w="960" w:type="dxa"/>
            <w:tcBorders>
              <w:top w:val="nil"/>
              <w:left w:val="nil"/>
              <w:bottom w:val="single" w:sz="4" w:space="0" w:color="7F7F7F"/>
              <w:right w:val="single" w:sz="4" w:space="0" w:color="7F7F7F"/>
            </w:tcBorders>
            <w:shd w:val="clear" w:color="000000" w:fill="FFFF99"/>
            <w:noWrap/>
            <w:vAlign w:val="center"/>
            <w:hideMark/>
          </w:tcPr>
          <w:p w14:paraId="2DA5EC6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16BDC7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1F5133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1EF5DA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6E9AC3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04DBBD3"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566E67A" w14:textId="77777777" w:rsidR="00605593" w:rsidRDefault="00605593" w:rsidP="00605593">
            <w:pPr>
              <w:jc w:val="center"/>
              <w:rPr>
                <w:rFonts w:ascii="Calibri" w:hAnsi="Calibri" w:cs="Calibri"/>
                <w:b/>
                <w:bCs/>
                <w:sz w:val="20"/>
                <w:szCs w:val="20"/>
              </w:rPr>
            </w:pPr>
            <w:r>
              <w:rPr>
                <w:rFonts w:ascii="Calibri" w:hAnsi="Calibri" w:cs="Calibri"/>
                <w:b/>
                <w:bCs/>
                <w:sz w:val="20"/>
                <w:szCs w:val="20"/>
              </w:rPr>
              <w:t>Canada - Life</w:t>
            </w:r>
          </w:p>
        </w:tc>
        <w:tc>
          <w:tcPr>
            <w:tcW w:w="480" w:type="dxa"/>
            <w:tcBorders>
              <w:top w:val="nil"/>
              <w:left w:val="single" w:sz="4" w:space="0" w:color="auto"/>
              <w:bottom w:val="nil"/>
              <w:right w:val="single" w:sz="4" w:space="0" w:color="auto"/>
            </w:tcBorders>
            <w:shd w:val="clear" w:color="000000" w:fill="D9D9D9"/>
            <w:noWrap/>
            <w:vAlign w:val="center"/>
            <w:hideMark/>
          </w:tcPr>
          <w:p w14:paraId="37A4C73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[6]</w:t>
            </w:r>
          </w:p>
        </w:tc>
        <w:tc>
          <w:tcPr>
            <w:tcW w:w="960" w:type="dxa"/>
            <w:tcBorders>
              <w:top w:val="nil"/>
              <w:left w:val="nil"/>
              <w:bottom w:val="single" w:sz="4" w:space="0" w:color="7F7F7F"/>
              <w:right w:val="single" w:sz="4" w:space="0" w:color="7F7F7F"/>
            </w:tcBorders>
            <w:shd w:val="clear" w:color="000000" w:fill="FFFF99"/>
            <w:noWrap/>
            <w:vAlign w:val="center"/>
            <w:hideMark/>
          </w:tcPr>
          <w:p w14:paraId="477C3EB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47F886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A032D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BCBBCD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217A62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439399A8"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12B5416" w14:textId="02AA217A" w:rsidR="00605593" w:rsidRDefault="00605593" w:rsidP="00605593">
            <w:pPr>
              <w:jc w:val="center"/>
              <w:rPr>
                <w:rFonts w:ascii="Calibri" w:hAnsi="Calibri" w:cs="Calibri"/>
                <w:b/>
                <w:bCs/>
                <w:sz w:val="20"/>
                <w:szCs w:val="20"/>
              </w:rPr>
            </w:pPr>
            <w:r>
              <w:rPr>
                <w:rFonts w:ascii="Calibri" w:hAnsi="Calibri" w:cs="Calibri"/>
                <w:b/>
                <w:bCs/>
                <w:sz w:val="20"/>
                <w:szCs w:val="20"/>
              </w:rPr>
              <w:t>Canadian - P&amp;C</w:t>
            </w:r>
          </w:p>
        </w:tc>
        <w:tc>
          <w:tcPr>
            <w:tcW w:w="480" w:type="dxa"/>
            <w:tcBorders>
              <w:top w:val="nil"/>
              <w:left w:val="single" w:sz="4" w:space="0" w:color="auto"/>
              <w:bottom w:val="nil"/>
              <w:right w:val="single" w:sz="4" w:space="0" w:color="auto"/>
            </w:tcBorders>
            <w:shd w:val="clear" w:color="000000" w:fill="D9D9D9"/>
            <w:noWrap/>
            <w:vAlign w:val="center"/>
            <w:hideMark/>
          </w:tcPr>
          <w:p w14:paraId="66459FF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[7]</w:t>
            </w:r>
          </w:p>
        </w:tc>
        <w:tc>
          <w:tcPr>
            <w:tcW w:w="960" w:type="dxa"/>
            <w:tcBorders>
              <w:top w:val="nil"/>
              <w:left w:val="nil"/>
              <w:bottom w:val="single" w:sz="4" w:space="0" w:color="7F7F7F"/>
              <w:right w:val="single" w:sz="4" w:space="0" w:color="7F7F7F"/>
            </w:tcBorders>
            <w:shd w:val="clear" w:color="000000" w:fill="FFFF99"/>
            <w:noWrap/>
            <w:vAlign w:val="center"/>
            <w:hideMark/>
          </w:tcPr>
          <w:p w14:paraId="1815B32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858C8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56D9A0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8B99BE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39E1B8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59E773D"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07AAD0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Bermuda - Other</w:t>
            </w:r>
          </w:p>
        </w:tc>
        <w:tc>
          <w:tcPr>
            <w:tcW w:w="480" w:type="dxa"/>
            <w:tcBorders>
              <w:top w:val="nil"/>
              <w:left w:val="single" w:sz="4" w:space="0" w:color="auto"/>
              <w:bottom w:val="nil"/>
              <w:right w:val="single" w:sz="4" w:space="0" w:color="auto"/>
            </w:tcBorders>
            <w:shd w:val="clear" w:color="000000" w:fill="D9D9D9"/>
            <w:noWrap/>
            <w:vAlign w:val="center"/>
            <w:hideMark/>
          </w:tcPr>
          <w:p w14:paraId="4D4CCE1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[8]</w:t>
            </w:r>
          </w:p>
        </w:tc>
        <w:tc>
          <w:tcPr>
            <w:tcW w:w="960" w:type="dxa"/>
            <w:tcBorders>
              <w:top w:val="nil"/>
              <w:left w:val="nil"/>
              <w:bottom w:val="single" w:sz="4" w:space="0" w:color="7F7F7F"/>
              <w:right w:val="single" w:sz="4" w:space="0" w:color="7F7F7F"/>
            </w:tcBorders>
            <w:shd w:val="clear" w:color="000000" w:fill="FFFF99"/>
            <w:noWrap/>
            <w:vAlign w:val="center"/>
            <w:hideMark/>
          </w:tcPr>
          <w:p w14:paraId="168A4AE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2693D6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A64F04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D61E00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EDC546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D750B0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B51431D" w14:textId="77777777" w:rsidR="00605593" w:rsidRDefault="00605593" w:rsidP="00605593">
            <w:pPr>
              <w:jc w:val="center"/>
              <w:rPr>
                <w:rFonts w:ascii="Calibri" w:hAnsi="Calibri" w:cs="Calibri"/>
                <w:b/>
                <w:bCs/>
                <w:sz w:val="20"/>
                <w:szCs w:val="20"/>
              </w:rPr>
            </w:pPr>
            <w:r>
              <w:rPr>
                <w:rFonts w:ascii="Calibri" w:hAnsi="Calibri" w:cs="Calibri"/>
                <w:b/>
                <w:bCs/>
                <w:sz w:val="20"/>
                <w:szCs w:val="20"/>
              </w:rPr>
              <w:t>Bermuda - Commercial Insurers</w:t>
            </w:r>
          </w:p>
        </w:tc>
        <w:tc>
          <w:tcPr>
            <w:tcW w:w="480" w:type="dxa"/>
            <w:tcBorders>
              <w:top w:val="nil"/>
              <w:left w:val="single" w:sz="4" w:space="0" w:color="auto"/>
              <w:bottom w:val="nil"/>
              <w:right w:val="single" w:sz="4" w:space="0" w:color="auto"/>
            </w:tcBorders>
            <w:shd w:val="clear" w:color="000000" w:fill="D9D9D9"/>
            <w:noWrap/>
            <w:vAlign w:val="center"/>
            <w:hideMark/>
          </w:tcPr>
          <w:p w14:paraId="3788953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[9]</w:t>
            </w:r>
          </w:p>
        </w:tc>
        <w:tc>
          <w:tcPr>
            <w:tcW w:w="960" w:type="dxa"/>
            <w:tcBorders>
              <w:top w:val="nil"/>
              <w:left w:val="nil"/>
              <w:bottom w:val="single" w:sz="4" w:space="0" w:color="7F7F7F"/>
              <w:right w:val="single" w:sz="4" w:space="0" w:color="7F7F7F"/>
            </w:tcBorders>
            <w:shd w:val="clear" w:color="000000" w:fill="FFFF99"/>
            <w:noWrap/>
            <w:vAlign w:val="center"/>
            <w:hideMark/>
          </w:tcPr>
          <w:p w14:paraId="0DD1251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89A3F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A646A8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957025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A02EE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CEAA37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E34CC3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Japan - Life</w:t>
            </w:r>
          </w:p>
        </w:tc>
        <w:tc>
          <w:tcPr>
            <w:tcW w:w="480" w:type="dxa"/>
            <w:tcBorders>
              <w:top w:val="nil"/>
              <w:left w:val="single" w:sz="4" w:space="0" w:color="auto"/>
              <w:bottom w:val="nil"/>
              <w:right w:val="single" w:sz="4" w:space="0" w:color="auto"/>
            </w:tcBorders>
            <w:shd w:val="clear" w:color="000000" w:fill="D9D9D9"/>
            <w:noWrap/>
            <w:vAlign w:val="center"/>
            <w:hideMark/>
          </w:tcPr>
          <w:p w14:paraId="7A8ADDB9"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[10]</w:t>
            </w:r>
          </w:p>
        </w:tc>
        <w:tc>
          <w:tcPr>
            <w:tcW w:w="960" w:type="dxa"/>
            <w:tcBorders>
              <w:top w:val="nil"/>
              <w:left w:val="nil"/>
              <w:bottom w:val="single" w:sz="4" w:space="0" w:color="7F7F7F"/>
              <w:right w:val="single" w:sz="4" w:space="0" w:color="7F7F7F"/>
            </w:tcBorders>
            <w:shd w:val="clear" w:color="000000" w:fill="FFFF99"/>
            <w:noWrap/>
            <w:vAlign w:val="center"/>
            <w:hideMark/>
          </w:tcPr>
          <w:p w14:paraId="3C6905B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40CC23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883096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60B827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298D9D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1125ADF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08DDE3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Japan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1D923FC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[11]</w:t>
            </w:r>
          </w:p>
        </w:tc>
        <w:tc>
          <w:tcPr>
            <w:tcW w:w="960" w:type="dxa"/>
            <w:tcBorders>
              <w:top w:val="nil"/>
              <w:left w:val="nil"/>
              <w:bottom w:val="single" w:sz="4" w:space="0" w:color="7F7F7F"/>
              <w:right w:val="single" w:sz="4" w:space="0" w:color="7F7F7F"/>
            </w:tcBorders>
            <w:shd w:val="clear" w:color="000000" w:fill="FFFF99"/>
            <w:noWrap/>
            <w:vAlign w:val="center"/>
            <w:hideMark/>
          </w:tcPr>
          <w:p w14:paraId="0EA60C7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39E4A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F060BA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5F9BA7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8744FC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5CE9EC5"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D8F64F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Life</w:t>
            </w:r>
          </w:p>
        </w:tc>
        <w:tc>
          <w:tcPr>
            <w:tcW w:w="480" w:type="dxa"/>
            <w:tcBorders>
              <w:top w:val="nil"/>
              <w:left w:val="single" w:sz="4" w:space="0" w:color="auto"/>
              <w:bottom w:val="nil"/>
              <w:right w:val="single" w:sz="4" w:space="0" w:color="auto"/>
            </w:tcBorders>
            <w:shd w:val="clear" w:color="000000" w:fill="D9D9D9"/>
            <w:noWrap/>
            <w:vAlign w:val="center"/>
            <w:hideMark/>
          </w:tcPr>
          <w:p w14:paraId="31217D8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[12]</w:t>
            </w:r>
          </w:p>
        </w:tc>
        <w:tc>
          <w:tcPr>
            <w:tcW w:w="960" w:type="dxa"/>
            <w:tcBorders>
              <w:top w:val="nil"/>
              <w:left w:val="nil"/>
              <w:bottom w:val="single" w:sz="4" w:space="0" w:color="7F7F7F"/>
              <w:right w:val="single" w:sz="4" w:space="0" w:color="7F7F7F"/>
            </w:tcBorders>
            <w:shd w:val="clear" w:color="000000" w:fill="FFFF99"/>
            <w:noWrap/>
            <w:vAlign w:val="center"/>
            <w:hideMark/>
          </w:tcPr>
          <w:p w14:paraId="6CDA3CA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B558F8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C6F5AF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700E54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867EBD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0D0D15B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72ADD05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Composite</w:t>
            </w:r>
          </w:p>
        </w:tc>
        <w:tc>
          <w:tcPr>
            <w:tcW w:w="480" w:type="dxa"/>
            <w:tcBorders>
              <w:top w:val="nil"/>
              <w:left w:val="single" w:sz="4" w:space="0" w:color="auto"/>
              <w:bottom w:val="nil"/>
              <w:right w:val="single" w:sz="4" w:space="0" w:color="auto"/>
            </w:tcBorders>
            <w:shd w:val="clear" w:color="000000" w:fill="D9D9D9"/>
            <w:noWrap/>
            <w:vAlign w:val="center"/>
            <w:hideMark/>
          </w:tcPr>
          <w:p w14:paraId="111EA59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[13]</w:t>
            </w:r>
          </w:p>
        </w:tc>
        <w:tc>
          <w:tcPr>
            <w:tcW w:w="960" w:type="dxa"/>
            <w:tcBorders>
              <w:top w:val="nil"/>
              <w:left w:val="nil"/>
              <w:bottom w:val="single" w:sz="4" w:space="0" w:color="7F7F7F"/>
              <w:right w:val="single" w:sz="4" w:space="0" w:color="7F7F7F"/>
            </w:tcBorders>
            <w:shd w:val="clear" w:color="000000" w:fill="FFFF99"/>
            <w:noWrap/>
            <w:vAlign w:val="center"/>
            <w:hideMark/>
          </w:tcPr>
          <w:p w14:paraId="5FC2B79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C09143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5A247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4363EA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00D65F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7EB8DB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A06B95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7F0015D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[14]</w:t>
            </w:r>
          </w:p>
        </w:tc>
        <w:tc>
          <w:tcPr>
            <w:tcW w:w="960" w:type="dxa"/>
            <w:tcBorders>
              <w:top w:val="nil"/>
              <w:left w:val="nil"/>
              <w:bottom w:val="single" w:sz="4" w:space="0" w:color="7F7F7F"/>
              <w:right w:val="single" w:sz="4" w:space="0" w:color="7F7F7F"/>
            </w:tcBorders>
            <w:shd w:val="clear" w:color="000000" w:fill="FFFF99"/>
            <w:noWrap/>
            <w:vAlign w:val="center"/>
            <w:hideMark/>
          </w:tcPr>
          <w:p w14:paraId="4153BD6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49573C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48779F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C5E454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793B09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CB0CB6B"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2A88A0A" w14:textId="77777777" w:rsidR="00605593" w:rsidRDefault="00605593" w:rsidP="00605593">
            <w:pPr>
              <w:jc w:val="center"/>
              <w:rPr>
                <w:rFonts w:ascii="Calibri" w:hAnsi="Calibri" w:cs="Calibri"/>
                <w:b/>
                <w:bCs/>
                <w:sz w:val="20"/>
                <w:szCs w:val="20"/>
              </w:rPr>
            </w:pPr>
            <w:r>
              <w:rPr>
                <w:rFonts w:ascii="Calibri" w:hAnsi="Calibri" w:cs="Calibri"/>
                <w:b/>
                <w:bCs/>
                <w:sz w:val="20"/>
                <w:szCs w:val="20"/>
              </w:rPr>
              <w:t>Australia - All</w:t>
            </w:r>
          </w:p>
        </w:tc>
        <w:tc>
          <w:tcPr>
            <w:tcW w:w="480" w:type="dxa"/>
            <w:tcBorders>
              <w:top w:val="nil"/>
              <w:left w:val="single" w:sz="4" w:space="0" w:color="auto"/>
              <w:bottom w:val="nil"/>
              <w:right w:val="single" w:sz="4" w:space="0" w:color="auto"/>
            </w:tcBorders>
            <w:shd w:val="clear" w:color="000000" w:fill="D9D9D9"/>
            <w:noWrap/>
            <w:vAlign w:val="center"/>
            <w:hideMark/>
          </w:tcPr>
          <w:p w14:paraId="16C44BF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[15]</w:t>
            </w:r>
          </w:p>
        </w:tc>
        <w:tc>
          <w:tcPr>
            <w:tcW w:w="960" w:type="dxa"/>
            <w:tcBorders>
              <w:top w:val="nil"/>
              <w:left w:val="nil"/>
              <w:bottom w:val="single" w:sz="4" w:space="0" w:color="7F7F7F"/>
              <w:right w:val="single" w:sz="4" w:space="0" w:color="7F7F7F"/>
            </w:tcBorders>
            <w:shd w:val="clear" w:color="000000" w:fill="FFFF99"/>
            <w:noWrap/>
            <w:vAlign w:val="center"/>
            <w:hideMark/>
          </w:tcPr>
          <w:p w14:paraId="03A334A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726AC3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1A904B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C2667F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86F9B9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0A272CC"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578A05C"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Switzerland - Life</w:t>
            </w:r>
          </w:p>
        </w:tc>
        <w:tc>
          <w:tcPr>
            <w:tcW w:w="480" w:type="dxa"/>
            <w:tcBorders>
              <w:top w:val="nil"/>
              <w:left w:val="single" w:sz="4" w:space="0" w:color="auto"/>
              <w:bottom w:val="nil"/>
              <w:right w:val="single" w:sz="4" w:space="0" w:color="auto"/>
            </w:tcBorders>
            <w:shd w:val="clear" w:color="000000" w:fill="D9D9D9"/>
            <w:noWrap/>
            <w:vAlign w:val="center"/>
            <w:hideMark/>
          </w:tcPr>
          <w:p w14:paraId="5FACD71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[16]</w:t>
            </w:r>
          </w:p>
        </w:tc>
        <w:tc>
          <w:tcPr>
            <w:tcW w:w="960" w:type="dxa"/>
            <w:tcBorders>
              <w:top w:val="nil"/>
              <w:left w:val="nil"/>
              <w:bottom w:val="single" w:sz="4" w:space="0" w:color="7F7F7F"/>
              <w:right w:val="single" w:sz="4" w:space="0" w:color="7F7F7F"/>
            </w:tcBorders>
            <w:shd w:val="clear" w:color="000000" w:fill="FFFF99"/>
            <w:noWrap/>
            <w:vAlign w:val="center"/>
            <w:hideMark/>
          </w:tcPr>
          <w:p w14:paraId="04C570B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582F08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5169A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6D4E9E2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C17303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14B1269"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31ABF79"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Switzerland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043043C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[17]</w:t>
            </w:r>
          </w:p>
        </w:tc>
        <w:tc>
          <w:tcPr>
            <w:tcW w:w="960" w:type="dxa"/>
            <w:tcBorders>
              <w:top w:val="nil"/>
              <w:left w:val="nil"/>
              <w:bottom w:val="single" w:sz="4" w:space="0" w:color="7F7F7F"/>
              <w:right w:val="single" w:sz="4" w:space="0" w:color="7F7F7F"/>
            </w:tcBorders>
            <w:shd w:val="clear" w:color="000000" w:fill="FFFF99"/>
            <w:noWrap/>
            <w:vAlign w:val="center"/>
            <w:hideMark/>
          </w:tcPr>
          <w:p w14:paraId="4AA3D87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AB4448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0B55C6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8A6130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6352EA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bl>
    <w:p w14:paraId="24168673" w14:textId="77777777" w:rsidR="00605593" w:rsidRDefault="00605593" w:rsidP="00D8104C">
      <w:pPr>
        <w:tabs>
          <w:tab w:val="left" w:pos="360"/>
        </w:tabs>
        <w:jc w:val="both"/>
        <w:rPr>
          <w:rFonts w:asciiTheme="minorHAnsi" w:hAnsiTheme="minorHAnsi"/>
          <w:color w:val="000000" w:themeColor="text1"/>
          <w:sz w:val="22"/>
        </w:rPr>
      </w:pPr>
    </w:p>
    <w:p w14:paraId="5F09F915" w14:textId="070943A2" w:rsidR="006A64B1" w:rsidRDefault="00A35AE8" w:rsidP="00A35AE8">
      <w:pPr>
        <w:tabs>
          <w:tab w:val="left" w:pos="360"/>
        </w:tabs>
        <w:jc w:val="both"/>
        <w:rPr>
          <w:rFonts w:asciiTheme="minorHAnsi" w:hAnsiTheme="minorHAnsi"/>
          <w:color w:val="000000" w:themeColor="text1"/>
          <w:sz w:val="22"/>
        </w:rPr>
      </w:pPr>
      <w:r w:rsidRPr="004A0051">
        <w:rPr>
          <w:rFonts w:asciiTheme="minorHAnsi" w:hAnsiTheme="minorHAnsi"/>
          <w:b/>
          <w:bCs/>
          <w:color w:val="000000" w:themeColor="text1"/>
          <w:sz w:val="22"/>
        </w:rPr>
        <w:t xml:space="preserve">Procedures Step </w:t>
      </w:r>
      <w:r w:rsidR="007B7001" w:rsidRPr="004A0051">
        <w:rPr>
          <w:rFonts w:asciiTheme="minorHAnsi" w:hAnsiTheme="minorHAnsi"/>
          <w:b/>
          <w:bCs/>
          <w:color w:val="000000" w:themeColor="text1"/>
          <w:sz w:val="22"/>
        </w:rPr>
        <w:t>5a-5h</w:t>
      </w:r>
      <w:r w:rsidRPr="004A0051">
        <w:rPr>
          <w:rFonts w:asciiTheme="minorHAnsi" w:hAnsiTheme="minorHAnsi"/>
          <w:color w:val="000000" w:themeColor="text1"/>
          <w:sz w:val="22"/>
        </w:rPr>
        <w:t xml:space="preserve">. </w:t>
      </w:r>
      <w:r w:rsidR="00534499" w:rsidRPr="004A0051">
        <w:rPr>
          <w:rFonts w:asciiTheme="minorHAnsi" w:hAnsiTheme="minorHAnsi"/>
          <w:color w:val="000000" w:themeColor="text1"/>
          <w:sz w:val="22"/>
        </w:rPr>
        <w:t xml:space="preserve">Procedures </w:t>
      </w:r>
      <w:r w:rsidR="004B39C8" w:rsidRPr="004A0051">
        <w:rPr>
          <w:rFonts w:asciiTheme="minorHAnsi" w:hAnsiTheme="minorHAnsi"/>
          <w:color w:val="000000" w:themeColor="text1"/>
          <w:sz w:val="22"/>
        </w:rPr>
        <w:t>5a-5h</w:t>
      </w:r>
      <w:r w:rsidR="00534499" w:rsidRPr="004A0051">
        <w:rPr>
          <w:rFonts w:asciiTheme="minorHAnsi" w:hAnsiTheme="minorHAnsi"/>
          <w:color w:val="000000" w:themeColor="text1"/>
          <w:sz w:val="22"/>
        </w:rPr>
        <w:t xml:space="preserve"> are designed for those </w:t>
      </w:r>
      <w:r w:rsidR="00596F3C">
        <w:rPr>
          <w:rFonts w:asciiTheme="minorHAnsi" w:hAnsiTheme="minorHAnsi"/>
          <w:color w:val="000000" w:themeColor="text1"/>
          <w:sz w:val="22"/>
        </w:rPr>
        <w:t>uncommon</w:t>
      </w:r>
      <w:r w:rsidR="00534499" w:rsidRPr="004A0051">
        <w:rPr>
          <w:rFonts w:asciiTheme="minorHAnsi" w:hAnsiTheme="minorHAnsi"/>
          <w:color w:val="000000" w:themeColor="text1"/>
          <w:sz w:val="22"/>
        </w:rPr>
        <w:t xml:space="preserve"> situations where the group </w:t>
      </w:r>
      <w:r w:rsidR="006C61FF">
        <w:rPr>
          <w:rFonts w:asciiTheme="minorHAnsi" w:hAnsiTheme="minorHAnsi"/>
          <w:color w:val="000000" w:themeColor="text1"/>
          <w:sz w:val="22"/>
        </w:rPr>
        <w:t xml:space="preserve">believes they </w:t>
      </w:r>
      <w:r w:rsidR="00534499" w:rsidRPr="004A0051">
        <w:rPr>
          <w:rFonts w:asciiTheme="minorHAnsi" w:hAnsiTheme="minorHAnsi"/>
          <w:color w:val="000000" w:themeColor="text1"/>
          <w:sz w:val="22"/>
        </w:rPr>
        <w:t xml:space="preserve"> need to reduce risk </w:t>
      </w:r>
      <w:r w:rsidR="00596F3C">
        <w:rPr>
          <w:rFonts w:asciiTheme="minorHAnsi" w:hAnsiTheme="minorHAnsi"/>
          <w:color w:val="000000" w:themeColor="text1"/>
          <w:sz w:val="22"/>
        </w:rPr>
        <w:t>because</w:t>
      </w:r>
      <w:r w:rsidR="00534499" w:rsidRPr="004A0051">
        <w:rPr>
          <w:rFonts w:asciiTheme="minorHAnsi" w:hAnsiTheme="minorHAnsi"/>
          <w:color w:val="000000" w:themeColor="text1"/>
          <w:sz w:val="22"/>
        </w:rPr>
        <w:t xml:space="preserve"> raising capital may be unlikely (see appendix for further discussion on that topic). </w:t>
      </w:r>
      <w:r w:rsidR="00385B85">
        <w:rPr>
          <w:rFonts w:asciiTheme="minorHAnsi" w:hAnsiTheme="minorHAnsi"/>
          <w:color w:val="000000" w:themeColor="text1"/>
          <w:sz w:val="22"/>
        </w:rPr>
        <w:t xml:space="preserve">In performing this procedure, </w:t>
      </w:r>
      <w:r w:rsidR="00C21661">
        <w:rPr>
          <w:rFonts w:asciiTheme="minorHAnsi" w:hAnsiTheme="minorHAnsi"/>
          <w:color w:val="000000" w:themeColor="text1"/>
          <w:sz w:val="22"/>
        </w:rPr>
        <w:t>the analyst</w:t>
      </w:r>
      <w:r w:rsidR="00385B85">
        <w:rPr>
          <w:rFonts w:asciiTheme="minorHAnsi" w:hAnsiTheme="minorHAnsi"/>
          <w:color w:val="000000" w:themeColor="text1"/>
          <w:sz w:val="22"/>
        </w:rPr>
        <w:t xml:space="preserve"> should underst</w:t>
      </w:r>
      <w:r w:rsidR="00C21661">
        <w:rPr>
          <w:rFonts w:asciiTheme="minorHAnsi" w:hAnsiTheme="minorHAnsi"/>
          <w:color w:val="000000" w:themeColor="text1"/>
          <w:sz w:val="22"/>
        </w:rPr>
        <w:t>and</w:t>
      </w:r>
      <w:r w:rsidR="00385B85">
        <w:rPr>
          <w:rFonts w:asciiTheme="minorHAnsi" w:hAnsiTheme="minorHAnsi"/>
          <w:color w:val="000000" w:themeColor="text1"/>
          <w:sz w:val="22"/>
        </w:rPr>
        <w:t xml:space="preserve"> that </w:t>
      </w:r>
      <w:r w:rsidR="00596F3C">
        <w:rPr>
          <w:rFonts w:asciiTheme="minorHAnsi" w:hAnsiTheme="minorHAnsi"/>
          <w:color w:val="000000" w:themeColor="text1"/>
          <w:sz w:val="22"/>
        </w:rPr>
        <w:t>P</w:t>
      </w:r>
      <w:r w:rsidR="00385B85">
        <w:rPr>
          <w:rFonts w:asciiTheme="minorHAnsi" w:hAnsiTheme="minorHAnsi"/>
          <w:color w:val="000000" w:themeColor="text1"/>
          <w:sz w:val="22"/>
        </w:rPr>
        <w:t xml:space="preserve">rocedure </w:t>
      </w:r>
      <w:r w:rsidR="00C21661">
        <w:rPr>
          <w:rFonts w:asciiTheme="minorHAnsi" w:hAnsiTheme="minorHAnsi"/>
          <w:color w:val="000000" w:themeColor="text1"/>
          <w:sz w:val="22"/>
        </w:rPr>
        <w:t xml:space="preserve">step </w:t>
      </w:r>
      <w:r w:rsidR="00385B85">
        <w:rPr>
          <w:rFonts w:asciiTheme="minorHAnsi" w:hAnsiTheme="minorHAnsi"/>
          <w:color w:val="000000" w:themeColor="text1"/>
          <w:sz w:val="22"/>
        </w:rPr>
        <w:t xml:space="preserve">2 (Evaluating Decreases in Total Capital) and Procedure </w:t>
      </w:r>
      <w:r w:rsidR="00C21661">
        <w:rPr>
          <w:rFonts w:asciiTheme="minorHAnsi" w:hAnsiTheme="minorHAnsi"/>
          <w:color w:val="000000" w:themeColor="text1"/>
          <w:sz w:val="22"/>
        </w:rPr>
        <w:t xml:space="preserve">step </w:t>
      </w:r>
      <w:r w:rsidR="00385B85">
        <w:rPr>
          <w:rFonts w:asciiTheme="minorHAnsi" w:hAnsiTheme="minorHAnsi"/>
          <w:color w:val="000000" w:themeColor="text1"/>
          <w:sz w:val="22"/>
        </w:rPr>
        <w:t xml:space="preserve">3 (Evaluating Increases in Operating Leverage) have already been considered, and therefore </w:t>
      </w:r>
      <w:r w:rsidR="006A64B1">
        <w:rPr>
          <w:rFonts w:asciiTheme="minorHAnsi" w:hAnsiTheme="minorHAnsi"/>
          <w:color w:val="000000" w:themeColor="text1"/>
          <w:sz w:val="22"/>
        </w:rPr>
        <w:t xml:space="preserve">concluded that </w:t>
      </w:r>
      <w:r w:rsidR="00385B85">
        <w:rPr>
          <w:rFonts w:asciiTheme="minorHAnsi" w:hAnsiTheme="minorHAnsi"/>
          <w:color w:val="000000" w:themeColor="text1"/>
          <w:sz w:val="22"/>
        </w:rPr>
        <w:t xml:space="preserve">either capital is </w:t>
      </w:r>
      <w:r w:rsidR="00966A3B">
        <w:rPr>
          <w:rFonts w:asciiTheme="minorHAnsi" w:hAnsiTheme="minorHAnsi"/>
          <w:color w:val="000000" w:themeColor="text1"/>
          <w:sz w:val="22"/>
        </w:rPr>
        <w:t>decreasing,</w:t>
      </w:r>
      <w:r w:rsidR="00385B85">
        <w:rPr>
          <w:rFonts w:asciiTheme="minorHAnsi" w:hAnsiTheme="minorHAnsi"/>
          <w:color w:val="000000" w:themeColor="text1"/>
          <w:sz w:val="22"/>
        </w:rPr>
        <w:t xml:space="preserve"> or operating leverage is increasing. As such, after considering information that may already be available </w:t>
      </w:r>
      <w:r w:rsidR="006A64B1">
        <w:rPr>
          <w:rFonts w:asciiTheme="minorHAnsi" w:hAnsiTheme="minorHAnsi"/>
          <w:color w:val="000000" w:themeColor="text1"/>
          <w:sz w:val="22"/>
        </w:rPr>
        <w:t xml:space="preserve">to the regulator </w:t>
      </w:r>
      <w:r w:rsidR="00385B85">
        <w:rPr>
          <w:rFonts w:asciiTheme="minorHAnsi" w:hAnsiTheme="minorHAnsi"/>
          <w:color w:val="000000" w:themeColor="text1"/>
          <w:sz w:val="22"/>
        </w:rPr>
        <w:t>on the business plan, Procedure 5</w:t>
      </w:r>
      <w:r w:rsidR="006A64B1">
        <w:rPr>
          <w:rFonts w:asciiTheme="minorHAnsi" w:hAnsiTheme="minorHAnsi"/>
          <w:color w:val="000000" w:themeColor="text1"/>
          <w:sz w:val="22"/>
        </w:rPr>
        <w:t xml:space="preserve">b </w:t>
      </w:r>
      <w:r w:rsidR="00385B85">
        <w:rPr>
          <w:rFonts w:asciiTheme="minorHAnsi" w:hAnsiTheme="minorHAnsi"/>
          <w:color w:val="000000" w:themeColor="text1"/>
          <w:sz w:val="22"/>
        </w:rPr>
        <w:t xml:space="preserve">is largely focused on better understanding directly from the group the </w:t>
      </w:r>
      <w:r w:rsidR="006A64B1">
        <w:rPr>
          <w:rFonts w:asciiTheme="minorHAnsi" w:hAnsiTheme="minorHAnsi"/>
          <w:color w:val="000000" w:themeColor="text1"/>
          <w:sz w:val="22"/>
        </w:rPr>
        <w:t xml:space="preserve">drivers of the apparent negative trends. </w:t>
      </w:r>
      <w:r w:rsidR="00C21661">
        <w:rPr>
          <w:rFonts w:asciiTheme="minorHAnsi" w:hAnsiTheme="minorHAnsi"/>
          <w:color w:val="000000" w:themeColor="text1"/>
          <w:sz w:val="22"/>
        </w:rPr>
        <w:t xml:space="preserve">The analyst </w:t>
      </w:r>
      <w:r w:rsidR="002C69DA">
        <w:rPr>
          <w:rFonts w:asciiTheme="minorHAnsi" w:hAnsiTheme="minorHAnsi"/>
          <w:color w:val="000000" w:themeColor="text1"/>
          <w:sz w:val="22"/>
        </w:rPr>
        <w:t>should underst</w:t>
      </w:r>
      <w:r w:rsidR="00C21661">
        <w:rPr>
          <w:rFonts w:asciiTheme="minorHAnsi" w:hAnsiTheme="minorHAnsi"/>
          <w:color w:val="000000" w:themeColor="text1"/>
          <w:sz w:val="22"/>
        </w:rPr>
        <w:t>and</w:t>
      </w:r>
      <w:r w:rsidR="002C69DA">
        <w:rPr>
          <w:rFonts w:asciiTheme="minorHAnsi" w:hAnsiTheme="minorHAnsi"/>
          <w:color w:val="000000" w:themeColor="text1"/>
          <w:sz w:val="22"/>
        </w:rPr>
        <w:t xml:space="preserve"> that some of these trends may have already been known, through for example the ORSA</w:t>
      </w:r>
      <w:r w:rsidR="00596F3C">
        <w:rPr>
          <w:rFonts w:asciiTheme="minorHAnsi" w:hAnsiTheme="minorHAnsi"/>
          <w:color w:val="000000" w:themeColor="text1"/>
          <w:sz w:val="22"/>
        </w:rPr>
        <w:t xml:space="preserve"> review</w:t>
      </w:r>
      <w:r w:rsidR="002C69DA">
        <w:rPr>
          <w:rFonts w:asciiTheme="minorHAnsi" w:hAnsiTheme="minorHAnsi"/>
          <w:color w:val="000000" w:themeColor="text1"/>
          <w:sz w:val="22"/>
        </w:rPr>
        <w:t xml:space="preserve"> and discussions by the lead state </w:t>
      </w:r>
      <w:r w:rsidR="00596F3C">
        <w:rPr>
          <w:rFonts w:asciiTheme="minorHAnsi" w:hAnsiTheme="minorHAnsi"/>
          <w:color w:val="000000" w:themeColor="text1"/>
          <w:sz w:val="22"/>
        </w:rPr>
        <w:t>of the ORSA</w:t>
      </w:r>
      <w:r w:rsidR="002C69DA">
        <w:rPr>
          <w:rFonts w:asciiTheme="minorHAnsi" w:hAnsiTheme="minorHAnsi"/>
          <w:color w:val="000000" w:themeColor="text1"/>
          <w:sz w:val="22"/>
        </w:rPr>
        <w:t xml:space="preserve">. In fact,  the key takeaways may already be documented in the GPS and therefore the remaining procedures in this section may be irrelevant and could be skipped if recently considered and </w:t>
      </w:r>
      <w:r w:rsidR="00067691">
        <w:rPr>
          <w:rFonts w:asciiTheme="minorHAnsi" w:hAnsiTheme="minorHAnsi"/>
          <w:color w:val="000000" w:themeColor="text1"/>
          <w:sz w:val="22"/>
        </w:rPr>
        <w:t>understood</w:t>
      </w:r>
      <w:r w:rsidR="002C69DA">
        <w:rPr>
          <w:rFonts w:asciiTheme="minorHAnsi" w:hAnsiTheme="minorHAnsi"/>
          <w:color w:val="000000" w:themeColor="text1"/>
          <w:sz w:val="22"/>
        </w:rPr>
        <w:t xml:space="preserve">. In addition, </w:t>
      </w:r>
      <w:r w:rsidR="006A64B1">
        <w:rPr>
          <w:rFonts w:asciiTheme="minorHAnsi" w:hAnsiTheme="minorHAnsi"/>
          <w:color w:val="000000" w:themeColor="text1"/>
          <w:sz w:val="22"/>
        </w:rPr>
        <w:t xml:space="preserve">such trends from Procedure </w:t>
      </w:r>
      <w:r w:rsidR="00C21661">
        <w:rPr>
          <w:rFonts w:asciiTheme="minorHAnsi" w:hAnsiTheme="minorHAnsi"/>
          <w:color w:val="000000" w:themeColor="text1"/>
          <w:sz w:val="22"/>
        </w:rPr>
        <w:t xml:space="preserve">Steps </w:t>
      </w:r>
      <w:r w:rsidR="006A64B1">
        <w:rPr>
          <w:rFonts w:asciiTheme="minorHAnsi" w:hAnsiTheme="minorHAnsi"/>
          <w:color w:val="000000" w:themeColor="text1"/>
          <w:sz w:val="22"/>
        </w:rPr>
        <w:t xml:space="preserve">2 and 3 may suggest </w:t>
      </w:r>
      <w:r w:rsidR="00596F3C">
        <w:rPr>
          <w:rFonts w:asciiTheme="minorHAnsi" w:hAnsiTheme="minorHAnsi"/>
          <w:color w:val="000000" w:themeColor="text1"/>
          <w:sz w:val="22"/>
        </w:rPr>
        <w:t>no additional understanding</w:t>
      </w:r>
      <w:r w:rsidR="006A64B1">
        <w:rPr>
          <w:rFonts w:asciiTheme="minorHAnsi" w:hAnsiTheme="minorHAnsi"/>
          <w:color w:val="000000" w:themeColor="text1"/>
          <w:sz w:val="22"/>
        </w:rPr>
        <w:t xml:space="preserve"> is </w:t>
      </w:r>
      <w:r w:rsidR="00596F3C">
        <w:rPr>
          <w:rFonts w:asciiTheme="minorHAnsi" w:hAnsiTheme="minorHAnsi"/>
          <w:color w:val="000000" w:themeColor="text1"/>
          <w:sz w:val="22"/>
        </w:rPr>
        <w:t xml:space="preserve">necessary. It is for this reason </w:t>
      </w:r>
      <w:r w:rsidR="006A64B1">
        <w:rPr>
          <w:rFonts w:asciiTheme="minorHAnsi" w:hAnsiTheme="minorHAnsi"/>
          <w:color w:val="000000" w:themeColor="text1"/>
          <w:sz w:val="22"/>
        </w:rPr>
        <w:t xml:space="preserve"> the first procedure is focused on </w:t>
      </w:r>
      <w:r w:rsidR="00966A3B">
        <w:rPr>
          <w:rFonts w:asciiTheme="minorHAnsi" w:hAnsiTheme="minorHAnsi"/>
          <w:color w:val="000000" w:themeColor="text1"/>
          <w:sz w:val="22"/>
        </w:rPr>
        <w:t>the</w:t>
      </w:r>
      <w:r w:rsidR="00B1242A">
        <w:rPr>
          <w:rFonts w:asciiTheme="minorHAnsi" w:hAnsiTheme="minorHAnsi"/>
          <w:color w:val="000000" w:themeColor="text1"/>
          <w:sz w:val="22"/>
        </w:rPr>
        <w:t xml:space="preserve"> group’s </w:t>
      </w:r>
      <w:r w:rsidR="006A64B1">
        <w:rPr>
          <w:rFonts w:asciiTheme="minorHAnsi" w:hAnsiTheme="minorHAnsi"/>
          <w:color w:val="000000" w:themeColor="text1"/>
          <w:sz w:val="22"/>
        </w:rPr>
        <w:t xml:space="preserve">existing business plan </w:t>
      </w:r>
      <w:r w:rsidR="00596F3C">
        <w:rPr>
          <w:rFonts w:asciiTheme="minorHAnsi" w:hAnsiTheme="minorHAnsi"/>
          <w:color w:val="000000" w:themeColor="text1"/>
          <w:sz w:val="22"/>
        </w:rPr>
        <w:t xml:space="preserve">as it is </w:t>
      </w:r>
      <w:r w:rsidR="006A64B1">
        <w:rPr>
          <w:rFonts w:asciiTheme="minorHAnsi" w:hAnsiTheme="minorHAnsi"/>
          <w:color w:val="000000" w:themeColor="text1"/>
          <w:sz w:val="22"/>
        </w:rPr>
        <w:t xml:space="preserve"> possible th</w:t>
      </w:r>
      <w:r w:rsidR="002C69DA">
        <w:rPr>
          <w:rFonts w:asciiTheme="minorHAnsi" w:hAnsiTheme="minorHAnsi"/>
          <w:color w:val="000000" w:themeColor="text1"/>
          <w:sz w:val="22"/>
        </w:rPr>
        <w:t>ese</w:t>
      </w:r>
      <w:r w:rsidR="006A64B1">
        <w:rPr>
          <w:rFonts w:asciiTheme="minorHAnsi" w:hAnsiTheme="minorHAnsi"/>
          <w:color w:val="000000" w:themeColor="text1"/>
          <w:sz w:val="22"/>
        </w:rPr>
        <w:t xml:space="preserve"> trends may have been expected. </w:t>
      </w:r>
      <w:r w:rsidR="00596F3C">
        <w:rPr>
          <w:rFonts w:asciiTheme="minorHAnsi" w:hAnsiTheme="minorHAnsi"/>
          <w:color w:val="000000" w:themeColor="text1"/>
          <w:sz w:val="22"/>
        </w:rPr>
        <w:t>Further</w:t>
      </w:r>
      <w:r w:rsidR="006A64B1">
        <w:rPr>
          <w:rFonts w:asciiTheme="minorHAnsi" w:hAnsiTheme="minorHAnsi"/>
          <w:color w:val="000000" w:themeColor="text1"/>
          <w:sz w:val="22"/>
        </w:rPr>
        <w:t xml:space="preserve">, </w:t>
      </w:r>
      <w:r w:rsidR="00534499" w:rsidRPr="004A0051">
        <w:rPr>
          <w:rFonts w:asciiTheme="minorHAnsi" w:hAnsiTheme="minorHAnsi"/>
          <w:color w:val="000000" w:themeColor="text1"/>
          <w:sz w:val="22"/>
        </w:rPr>
        <w:t xml:space="preserve">Procedure </w:t>
      </w:r>
      <w:r w:rsidR="004B39C8" w:rsidRPr="004A0051">
        <w:rPr>
          <w:rFonts w:asciiTheme="minorHAnsi" w:hAnsiTheme="minorHAnsi"/>
          <w:color w:val="000000" w:themeColor="text1"/>
          <w:sz w:val="22"/>
        </w:rPr>
        <w:lastRenderedPageBreak/>
        <w:t>5a</w:t>
      </w:r>
      <w:r w:rsidR="00534499" w:rsidRPr="004A0051">
        <w:rPr>
          <w:rFonts w:asciiTheme="minorHAnsi" w:hAnsiTheme="minorHAnsi"/>
          <w:color w:val="000000" w:themeColor="text1"/>
          <w:sz w:val="22"/>
        </w:rPr>
        <w:t xml:space="preserve"> is based </w:t>
      </w:r>
      <w:r w:rsidR="00596F3C">
        <w:rPr>
          <w:rFonts w:asciiTheme="minorHAnsi" w:hAnsiTheme="minorHAnsi"/>
          <w:color w:val="000000" w:themeColor="text1"/>
          <w:sz w:val="22"/>
        </w:rPr>
        <w:t>on</w:t>
      </w:r>
      <w:r w:rsidR="00534499" w:rsidRPr="004A0051">
        <w:rPr>
          <w:rFonts w:asciiTheme="minorHAnsi" w:hAnsiTheme="minorHAnsi"/>
          <w:color w:val="000000" w:themeColor="text1"/>
          <w:sz w:val="22"/>
        </w:rPr>
        <w:t xml:space="preserve"> the belief that reducing risk by the group may have been </w:t>
      </w:r>
      <w:r w:rsidR="00596F3C">
        <w:rPr>
          <w:rFonts w:asciiTheme="minorHAnsi" w:hAnsiTheme="minorHAnsi"/>
          <w:color w:val="000000" w:themeColor="text1"/>
          <w:sz w:val="22"/>
        </w:rPr>
        <w:t xml:space="preserve">previously </w:t>
      </w:r>
      <w:r w:rsidR="00534499" w:rsidRPr="004A0051">
        <w:rPr>
          <w:rFonts w:asciiTheme="minorHAnsi" w:hAnsiTheme="minorHAnsi"/>
          <w:color w:val="000000" w:themeColor="text1"/>
          <w:sz w:val="22"/>
        </w:rPr>
        <w:t>incorporated into the group’s latest business plan, which may have  been obtained from the Annual Form F Filing.</w:t>
      </w:r>
    </w:p>
    <w:p w14:paraId="14E49513" w14:textId="77777777" w:rsidR="006A64B1" w:rsidRDefault="006A64B1" w:rsidP="00A35AE8">
      <w:pPr>
        <w:tabs>
          <w:tab w:val="left" w:pos="360"/>
        </w:tabs>
        <w:jc w:val="both"/>
        <w:rPr>
          <w:rFonts w:asciiTheme="minorHAnsi" w:hAnsiTheme="minorHAnsi"/>
          <w:color w:val="000000" w:themeColor="text1"/>
          <w:sz w:val="22"/>
        </w:rPr>
      </w:pPr>
    </w:p>
    <w:p w14:paraId="09D8AA47" w14:textId="13DE8FD5" w:rsidR="006A64B1" w:rsidRDefault="00534499" w:rsidP="00A35AE8">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Procedure</w:t>
      </w:r>
      <w:r w:rsidR="004B39C8" w:rsidRPr="004A0051">
        <w:rPr>
          <w:rFonts w:asciiTheme="minorHAnsi" w:hAnsiTheme="minorHAnsi"/>
          <w:color w:val="000000" w:themeColor="text1"/>
          <w:sz w:val="22"/>
        </w:rPr>
        <w:t xml:space="preserve"> 5b</w:t>
      </w:r>
      <w:r w:rsidRPr="004A0051">
        <w:rPr>
          <w:rFonts w:asciiTheme="minorHAnsi" w:hAnsiTheme="minorHAnsi"/>
          <w:color w:val="000000" w:themeColor="text1"/>
          <w:sz w:val="22"/>
        </w:rPr>
        <w:t xml:space="preserve"> on the other hand contemplates that the manner to address any </w:t>
      </w:r>
      <w:r w:rsidR="00D12D4B">
        <w:rPr>
          <w:rFonts w:asciiTheme="minorHAnsi" w:hAnsiTheme="minorHAnsi"/>
          <w:color w:val="000000" w:themeColor="text1"/>
          <w:sz w:val="22"/>
        </w:rPr>
        <w:t xml:space="preserve">unexpected </w:t>
      </w:r>
      <w:r w:rsidRPr="004A0051">
        <w:rPr>
          <w:rFonts w:asciiTheme="minorHAnsi" w:hAnsiTheme="minorHAnsi"/>
          <w:color w:val="000000" w:themeColor="text1"/>
          <w:sz w:val="22"/>
        </w:rPr>
        <w:t xml:space="preserve">negative trends may not have  been incorporated into the latest business plan and </w:t>
      </w:r>
      <w:r w:rsidR="00D12D4B">
        <w:rPr>
          <w:rFonts w:asciiTheme="minorHAnsi" w:hAnsiTheme="minorHAnsi"/>
          <w:color w:val="000000" w:themeColor="text1"/>
          <w:sz w:val="22"/>
        </w:rPr>
        <w:t xml:space="preserve">thus further </w:t>
      </w:r>
      <w:r w:rsidRPr="004A0051">
        <w:rPr>
          <w:rFonts w:asciiTheme="minorHAnsi" w:hAnsiTheme="minorHAnsi"/>
          <w:color w:val="000000" w:themeColor="text1"/>
          <w:sz w:val="22"/>
        </w:rPr>
        <w:t xml:space="preserve">contemplates </w:t>
      </w:r>
      <w:r w:rsidR="00D12D4B">
        <w:rPr>
          <w:rFonts w:asciiTheme="minorHAnsi" w:hAnsiTheme="minorHAnsi"/>
          <w:color w:val="000000" w:themeColor="text1"/>
          <w:sz w:val="22"/>
        </w:rPr>
        <w:t xml:space="preserve">that </w:t>
      </w:r>
      <w:r w:rsidRPr="004A0051">
        <w:rPr>
          <w:rFonts w:asciiTheme="minorHAnsi" w:hAnsiTheme="minorHAnsi"/>
          <w:color w:val="000000" w:themeColor="text1"/>
          <w:sz w:val="22"/>
        </w:rPr>
        <w:t>the analyst speaks with the group to understand how the group intends to address</w:t>
      </w:r>
      <w:r w:rsidR="00255E19">
        <w:rPr>
          <w:rFonts w:asciiTheme="minorHAnsi" w:hAnsiTheme="minorHAnsi"/>
          <w:color w:val="000000" w:themeColor="text1"/>
          <w:sz w:val="22"/>
        </w:rPr>
        <w:t xml:space="preserve"> the issue</w:t>
      </w:r>
      <w:r w:rsidRPr="004A0051">
        <w:rPr>
          <w:rFonts w:asciiTheme="minorHAnsi" w:hAnsiTheme="minorHAnsi"/>
          <w:color w:val="000000" w:themeColor="text1"/>
          <w:sz w:val="22"/>
        </w:rPr>
        <w:t xml:space="preserve">. </w:t>
      </w:r>
      <w:r w:rsidR="00D12D4B">
        <w:rPr>
          <w:rFonts w:asciiTheme="minorHAnsi" w:hAnsiTheme="minorHAnsi"/>
          <w:color w:val="000000" w:themeColor="text1"/>
          <w:sz w:val="22"/>
        </w:rPr>
        <w:t>However, it should be recognized that some trends may appear to be “negative”, e.g., a decline in the reported GCC, may actually be the result of a conscience determination by the group to more efficiently deploy capital yet remaining at sufficient levels from an ERM perspective. This</w:t>
      </w:r>
      <w:r w:rsidR="006A64B1">
        <w:rPr>
          <w:rFonts w:asciiTheme="minorHAnsi" w:hAnsiTheme="minorHAnsi"/>
          <w:color w:val="000000" w:themeColor="text1"/>
          <w:sz w:val="22"/>
        </w:rPr>
        <w:t xml:space="preserve"> procedure is not meant to suggest action </w:t>
      </w:r>
      <w:r w:rsidR="006A64B1" w:rsidRPr="000255C0">
        <w:rPr>
          <w:rFonts w:asciiTheme="minorHAnsi" w:hAnsiTheme="minorHAnsi"/>
          <w:b/>
          <w:bCs/>
          <w:color w:val="000000" w:themeColor="text1"/>
          <w:sz w:val="22"/>
        </w:rPr>
        <w:t>must</w:t>
      </w:r>
      <w:r w:rsidR="006A64B1">
        <w:rPr>
          <w:rFonts w:asciiTheme="minorHAnsi" w:hAnsiTheme="minorHAnsi"/>
          <w:color w:val="000000" w:themeColor="text1"/>
          <w:sz w:val="22"/>
        </w:rPr>
        <w:t xml:space="preserve"> be taken by a regulator, rather to </w:t>
      </w:r>
      <w:r w:rsidR="006A64B1" w:rsidRPr="000255C0">
        <w:rPr>
          <w:rFonts w:asciiTheme="minorHAnsi" w:hAnsiTheme="minorHAnsi"/>
          <w:b/>
          <w:bCs/>
          <w:color w:val="000000" w:themeColor="text1"/>
          <w:sz w:val="22"/>
        </w:rPr>
        <w:t>understand</w:t>
      </w:r>
      <w:r w:rsidR="006A64B1">
        <w:rPr>
          <w:rFonts w:asciiTheme="minorHAnsi" w:hAnsiTheme="minorHAnsi"/>
          <w:color w:val="000000" w:themeColor="text1"/>
          <w:sz w:val="22"/>
        </w:rPr>
        <w:t xml:space="preserve"> </w:t>
      </w:r>
      <w:r w:rsidR="00D12D4B">
        <w:rPr>
          <w:rFonts w:asciiTheme="minorHAnsi" w:hAnsiTheme="minorHAnsi"/>
          <w:color w:val="000000" w:themeColor="text1"/>
          <w:sz w:val="22"/>
        </w:rPr>
        <w:t xml:space="preserve">whether a trend is in fact “negative” or not, and if so, </w:t>
      </w:r>
      <w:r w:rsidR="006A64B1">
        <w:rPr>
          <w:rFonts w:asciiTheme="minorHAnsi" w:hAnsiTheme="minorHAnsi"/>
          <w:color w:val="000000" w:themeColor="text1"/>
          <w:sz w:val="22"/>
        </w:rPr>
        <w:t xml:space="preserve">what the group </w:t>
      </w:r>
      <w:r w:rsidR="00B1242A">
        <w:rPr>
          <w:rFonts w:asciiTheme="minorHAnsi" w:hAnsiTheme="minorHAnsi"/>
          <w:color w:val="000000" w:themeColor="text1"/>
          <w:sz w:val="22"/>
        </w:rPr>
        <w:t xml:space="preserve">has </w:t>
      </w:r>
      <w:r w:rsidR="006A64B1">
        <w:rPr>
          <w:rFonts w:asciiTheme="minorHAnsi" w:hAnsiTheme="minorHAnsi"/>
          <w:color w:val="000000" w:themeColor="text1"/>
          <w:sz w:val="22"/>
        </w:rPr>
        <w:t xml:space="preserve">already </w:t>
      </w:r>
      <w:r w:rsidR="00B1242A">
        <w:rPr>
          <w:rFonts w:asciiTheme="minorHAnsi" w:hAnsiTheme="minorHAnsi"/>
          <w:color w:val="000000" w:themeColor="text1"/>
          <w:sz w:val="22"/>
        </w:rPr>
        <w:t xml:space="preserve">decided or plans on </w:t>
      </w:r>
      <w:r w:rsidR="006A64B1">
        <w:rPr>
          <w:rFonts w:asciiTheme="minorHAnsi" w:hAnsiTheme="minorHAnsi"/>
          <w:color w:val="000000" w:themeColor="text1"/>
          <w:sz w:val="22"/>
        </w:rPr>
        <w:t>doing</w:t>
      </w:r>
      <w:r w:rsidR="00283C64">
        <w:rPr>
          <w:rFonts w:asciiTheme="minorHAnsi" w:hAnsiTheme="minorHAnsi"/>
          <w:color w:val="000000" w:themeColor="text1"/>
          <w:sz w:val="22"/>
        </w:rPr>
        <w:t xml:space="preserve"> to address the issue</w:t>
      </w:r>
      <w:r w:rsidR="006A64B1">
        <w:rPr>
          <w:rFonts w:asciiTheme="minorHAnsi" w:hAnsiTheme="minorHAnsi"/>
          <w:color w:val="000000" w:themeColor="text1"/>
          <w:sz w:val="22"/>
        </w:rPr>
        <w:t xml:space="preserve">. </w:t>
      </w:r>
      <w:r w:rsidR="00D12D4B">
        <w:rPr>
          <w:rFonts w:asciiTheme="minorHAnsi" w:hAnsiTheme="minorHAnsi"/>
          <w:color w:val="000000" w:themeColor="text1"/>
          <w:sz w:val="22"/>
        </w:rPr>
        <w:t>S</w:t>
      </w:r>
      <w:r w:rsidR="006A64B1">
        <w:rPr>
          <w:rFonts w:asciiTheme="minorHAnsi" w:hAnsiTheme="minorHAnsi"/>
          <w:color w:val="000000" w:themeColor="text1"/>
          <w:sz w:val="22"/>
        </w:rPr>
        <w:t xml:space="preserve">ome of what the group is </w:t>
      </w:r>
      <w:r w:rsidR="00D12D4B">
        <w:rPr>
          <w:rFonts w:asciiTheme="minorHAnsi" w:hAnsiTheme="minorHAnsi"/>
          <w:color w:val="000000" w:themeColor="text1"/>
          <w:sz w:val="22"/>
        </w:rPr>
        <w:t xml:space="preserve">currently </w:t>
      </w:r>
      <w:r w:rsidR="006A64B1">
        <w:rPr>
          <w:rFonts w:asciiTheme="minorHAnsi" w:hAnsiTheme="minorHAnsi"/>
          <w:color w:val="000000" w:themeColor="text1"/>
          <w:sz w:val="22"/>
        </w:rPr>
        <w:t>doing may already be known by the lead state, either through the ORSA, the Form F, or a period</w:t>
      </w:r>
      <w:r w:rsidR="00283C64">
        <w:rPr>
          <w:rFonts w:asciiTheme="minorHAnsi" w:hAnsiTheme="minorHAnsi"/>
          <w:color w:val="000000" w:themeColor="text1"/>
          <w:sz w:val="22"/>
        </w:rPr>
        <w:t>ic</w:t>
      </w:r>
      <w:r w:rsidR="006A64B1">
        <w:rPr>
          <w:rFonts w:asciiTheme="minorHAnsi" w:hAnsiTheme="minorHAnsi"/>
          <w:color w:val="000000" w:themeColor="text1"/>
          <w:sz w:val="22"/>
        </w:rPr>
        <w:t xml:space="preserve"> meeting with the group that some states conduct annually. Rather, the procedure provides an opportunity for the analyst to </w:t>
      </w:r>
      <w:r w:rsidR="00D12D4B">
        <w:rPr>
          <w:rFonts w:asciiTheme="minorHAnsi" w:hAnsiTheme="minorHAnsi"/>
          <w:color w:val="000000" w:themeColor="text1"/>
          <w:sz w:val="22"/>
        </w:rPr>
        <w:t xml:space="preserve">ensure </w:t>
      </w:r>
      <w:r w:rsidR="006A64B1">
        <w:rPr>
          <w:rFonts w:asciiTheme="minorHAnsi" w:hAnsiTheme="minorHAnsi"/>
          <w:color w:val="000000" w:themeColor="text1"/>
          <w:sz w:val="22"/>
        </w:rPr>
        <w:t xml:space="preserve">they understand the drivers and what if anything the group is </w:t>
      </w:r>
      <w:r w:rsidR="00B1242A">
        <w:rPr>
          <w:rFonts w:asciiTheme="minorHAnsi" w:hAnsiTheme="minorHAnsi"/>
          <w:color w:val="000000" w:themeColor="text1"/>
          <w:sz w:val="22"/>
        </w:rPr>
        <w:t xml:space="preserve">already </w:t>
      </w:r>
      <w:r w:rsidR="006A64B1">
        <w:rPr>
          <w:rFonts w:asciiTheme="minorHAnsi" w:hAnsiTheme="minorHAnsi"/>
          <w:color w:val="000000" w:themeColor="text1"/>
          <w:sz w:val="22"/>
        </w:rPr>
        <w:t>doing</w:t>
      </w:r>
      <w:r w:rsidR="00283C64">
        <w:rPr>
          <w:rFonts w:asciiTheme="minorHAnsi" w:hAnsiTheme="minorHAnsi"/>
          <w:color w:val="000000" w:themeColor="text1"/>
          <w:sz w:val="22"/>
        </w:rPr>
        <w:t xml:space="preserve"> to address</w:t>
      </w:r>
      <w:r w:rsidR="00D12D4B">
        <w:rPr>
          <w:rFonts w:asciiTheme="minorHAnsi" w:hAnsiTheme="minorHAnsi"/>
          <w:color w:val="000000" w:themeColor="text1"/>
          <w:sz w:val="22"/>
        </w:rPr>
        <w:t xml:space="preserve"> the underlying issues</w:t>
      </w:r>
      <w:r w:rsidR="00B1242A">
        <w:rPr>
          <w:rFonts w:asciiTheme="minorHAnsi" w:hAnsiTheme="minorHAnsi"/>
          <w:color w:val="000000" w:themeColor="text1"/>
          <w:sz w:val="22"/>
        </w:rPr>
        <w:t xml:space="preserve"> that the group thinks is appropriate</w:t>
      </w:r>
      <w:r w:rsidR="006A64B1">
        <w:rPr>
          <w:rFonts w:asciiTheme="minorHAnsi" w:hAnsiTheme="minorHAnsi"/>
          <w:color w:val="000000" w:themeColor="text1"/>
          <w:sz w:val="22"/>
        </w:rPr>
        <w:t xml:space="preserve">. To be clear, </w:t>
      </w:r>
      <w:r w:rsidR="00066211">
        <w:rPr>
          <w:rFonts w:asciiTheme="minorHAnsi" w:hAnsiTheme="minorHAnsi"/>
          <w:color w:val="000000" w:themeColor="text1"/>
          <w:sz w:val="22"/>
        </w:rPr>
        <w:t>increases in operating leverage are often planned, and often come with  expected future actions by the group, such as capital injections or future transactions that may reduce risk. Meanwhile, decreases in capital sometimes are not expected, and may not result in immediate action</w:t>
      </w:r>
      <w:r w:rsidR="000255C0">
        <w:rPr>
          <w:rFonts w:asciiTheme="minorHAnsi" w:hAnsiTheme="minorHAnsi"/>
          <w:color w:val="000000" w:themeColor="text1"/>
          <w:sz w:val="22"/>
        </w:rPr>
        <w:t>,</w:t>
      </w:r>
      <w:r w:rsidR="00066211">
        <w:rPr>
          <w:rFonts w:asciiTheme="minorHAnsi" w:hAnsiTheme="minorHAnsi"/>
          <w:color w:val="000000" w:themeColor="text1"/>
          <w:sz w:val="22"/>
        </w:rPr>
        <w:t xml:space="preserve"> if any, but </w:t>
      </w:r>
      <w:r w:rsidR="00D12D4B">
        <w:rPr>
          <w:rFonts w:asciiTheme="minorHAnsi" w:hAnsiTheme="minorHAnsi"/>
          <w:color w:val="000000" w:themeColor="text1"/>
          <w:sz w:val="22"/>
        </w:rPr>
        <w:t>it is</w:t>
      </w:r>
      <w:r w:rsidR="00066211">
        <w:rPr>
          <w:rFonts w:asciiTheme="minorHAnsi" w:hAnsiTheme="minorHAnsi"/>
          <w:color w:val="000000" w:themeColor="text1"/>
          <w:sz w:val="22"/>
        </w:rPr>
        <w:t xml:space="preserve"> possible that it may lead the group to contemplate future  actions</w:t>
      </w:r>
      <w:r w:rsidR="00D12D4B">
        <w:rPr>
          <w:rFonts w:asciiTheme="minorHAnsi" w:hAnsiTheme="minorHAnsi"/>
          <w:color w:val="000000" w:themeColor="text1"/>
          <w:sz w:val="22"/>
        </w:rPr>
        <w:t xml:space="preserve"> to take</w:t>
      </w:r>
      <w:r w:rsidR="00066211">
        <w:rPr>
          <w:rFonts w:asciiTheme="minorHAnsi" w:hAnsiTheme="minorHAnsi"/>
          <w:color w:val="000000" w:themeColor="text1"/>
          <w:sz w:val="22"/>
        </w:rPr>
        <w:t xml:space="preserve">. Therefore, these discussions would allow these </w:t>
      </w:r>
      <w:r w:rsidR="00255E19">
        <w:rPr>
          <w:rFonts w:asciiTheme="minorHAnsi" w:hAnsiTheme="minorHAnsi"/>
          <w:color w:val="000000" w:themeColor="text1"/>
          <w:sz w:val="22"/>
        </w:rPr>
        <w:t xml:space="preserve">potential </w:t>
      </w:r>
      <w:r w:rsidR="00066211">
        <w:rPr>
          <w:rFonts w:asciiTheme="minorHAnsi" w:hAnsiTheme="minorHAnsi"/>
          <w:color w:val="000000" w:themeColor="text1"/>
          <w:sz w:val="22"/>
        </w:rPr>
        <w:t xml:space="preserve">actions to be  </w:t>
      </w:r>
      <w:r w:rsidR="00D12D4B">
        <w:rPr>
          <w:rFonts w:asciiTheme="minorHAnsi" w:hAnsiTheme="minorHAnsi"/>
          <w:color w:val="000000" w:themeColor="text1"/>
          <w:sz w:val="22"/>
        </w:rPr>
        <w:t xml:space="preserve">better understood by the analyst and </w:t>
      </w:r>
      <w:r w:rsidR="00066211">
        <w:rPr>
          <w:rFonts w:asciiTheme="minorHAnsi" w:hAnsiTheme="minorHAnsi"/>
          <w:color w:val="000000" w:themeColor="text1"/>
          <w:sz w:val="22"/>
        </w:rPr>
        <w:t>documented.</w:t>
      </w:r>
    </w:p>
    <w:p w14:paraId="6E4F526E" w14:textId="77777777" w:rsidR="006A64B1" w:rsidRDefault="006A64B1" w:rsidP="00A35AE8">
      <w:pPr>
        <w:tabs>
          <w:tab w:val="left" w:pos="360"/>
        </w:tabs>
        <w:jc w:val="both"/>
        <w:rPr>
          <w:rFonts w:asciiTheme="minorHAnsi" w:hAnsiTheme="minorHAnsi"/>
          <w:color w:val="000000" w:themeColor="text1"/>
          <w:sz w:val="22"/>
        </w:rPr>
      </w:pPr>
    </w:p>
    <w:p w14:paraId="5B1C90C9" w14:textId="0D465E85" w:rsidR="00ED0661" w:rsidRDefault="00E6084A" w:rsidP="00A35AE8">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5c contemplates assessing if the group has the ability and resources to either reduce its risks or to raise additional capital. See the section below for further Considerations of the Group’s Capacity to Raise Capital. </w:t>
      </w:r>
      <w:r w:rsidR="00066211">
        <w:rPr>
          <w:rFonts w:asciiTheme="minorHAnsi" w:hAnsiTheme="minorHAnsi"/>
          <w:color w:val="000000" w:themeColor="text1"/>
          <w:sz w:val="22"/>
        </w:rPr>
        <w:t xml:space="preserve">This procedure is not intended to suggest the analyst has the capacity to make this determination on their own, but rather to question the reasonableness of the possibility. </w:t>
      </w:r>
      <w:r w:rsidR="00ED0661">
        <w:rPr>
          <w:rFonts w:asciiTheme="minorHAnsi" w:hAnsiTheme="minorHAnsi"/>
          <w:color w:val="000000" w:themeColor="text1"/>
          <w:sz w:val="22"/>
        </w:rPr>
        <w:t>Further, the GCC and related provisions in the NAIC’s Model Holding Company Act and corresponding regulation are not designed or otherwise intended for regulators to take regulatory action based on the reported level of a group’s GCC; regulators will use other existing tools and authorities to take action, primarily at the legal entity level.</w:t>
      </w:r>
    </w:p>
    <w:p w14:paraId="3C6EA6D4" w14:textId="77777777" w:rsidR="00ED0661" w:rsidRDefault="00ED0661" w:rsidP="00A35AE8">
      <w:pPr>
        <w:tabs>
          <w:tab w:val="left" w:pos="360"/>
        </w:tabs>
        <w:jc w:val="both"/>
        <w:rPr>
          <w:rFonts w:asciiTheme="minorHAnsi" w:hAnsiTheme="minorHAnsi"/>
          <w:color w:val="000000" w:themeColor="text1"/>
          <w:sz w:val="22"/>
        </w:rPr>
      </w:pPr>
    </w:p>
    <w:p w14:paraId="47F41B98" w14:textId="7C4B34AA" w:rsidR="00323F2F" w:rsidRDefault="00534499" w:rsidP="00A35AE8">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4B39C8" w:rsidRPr="004A0051">
        <w:rPr>
          <w:rFonts w:asciiTheme="minorHAnsi" w:hAnsiTheme="minorHAnsi"/>
          <w:color w:val="000000" w:themeColor="text1"/>
          <w:sz w:val="22"/>
        </w:rPr>
        <w:t>5d</w:t>
      </w:r>
      <w:r w:rsidRPr="004A0051">
        <w:rPr>
          <w:rFonts w:asciiTheme="minorHAnsi" w:hAnsiTheme="minorHAnsi"/>
          <w:color w:val="000000" w:themeColor="text1"/>
          <w:sz w:val="22"/>
        </w:rPr>
        <w:t xml:space="preserve"> contemplates that the group may believe no action is necessary because it believes current capital is adequate to meet its business plan and is more likely to be the case when the company experienced a </w:t>
      </w:r>
      <w:r w:rsidR="00336B54" w:rsidRPr="004A0051">
        <w:rPr>
          <w:rFonts w:asciiTheme="minorHAnsi" w:hAnsiTheme="minorHAnsi"/>
          <w:color w:val="000000" w:themeColor="text1"/>
          <w:sz w:val="22"/>
        </w:rPr>
        <w:t>one-time</w:t>
      </w:r>
      <w:r w:rsidRPr="004A0051">
        <w:rPr>
          <w:rFonts w:asciiTheme="minorHAnsi" w:hAnsiTheme="minorHAnsi"/>
          <w:color w:val="000000" w:themeColor="text1"/>
          <w:sz w:val="22"/>
        </w:rPr>
        <w:t xml:space="preserve"> </w:t>
      </w:r>
      <w:r w:rsidR="00255E19">
        <w:rPr>
          <w:rFonts w:asciiTheme="minorHAnsi" w:hAnsiTheme="minorHAnsi"/>
          <w:color w:val="000000" w:themeColor="text1"/>
          <w:sz w:val="22"/>
        </w:rPr>
        <w:t>reduction of</w:t>
      </w:r>
      <w:r w:rsidRPr="004A0051">
        <w:rPr>
          <w:rFonts w:asciiTheme="minorHAnsi" w:hAnsiTheme="minorHAnsi"/>
          <w:color w:val="000000" w:themeColor="text1"/>
          <w:sz w:val="22"/>
        </w:rPr>
        <w:t xml:space="preserve"> capital as opposed to a growth in leverage that may continue. Procedure </w:t>
      </w:r>
      <w:r w:rsidR="00E6084A" w:rsidRPr="004A0051">
        <w:rPr>
          <w:rFonts w:asciiTheme="minorHAnsi" w:hAnsiTheme="minorHAnsi"/>
          <w:color w:val="000000" w:themeColor="text1"/>
          <w:sz w:val="22"/>
        </w:rPr>
        <w:t>5</w:t>
      </w:r>
      <w:r w:rsidR="000255C0">
        <w:rPr>
          <w:rFonts w:asciiTheme="minorHAnsi" w:hAnsiTheme="minorHAnsi"/>
          <w:color w:val="000000" w:themeColor="text1"/>
          <w:sz w:val="22"/>
        </w:rPr>
        <w:t>e</w:t>
      </w:r>
      <w:r w:rsidRPr="004A0051">
        <w:rPr>
          <w:rFonts w:asciiTheme="minorHAnsi" w:hAnsiTheme="minorHAnsi"/>
          <w:color w:val="000000" w:themeColor="text1"/>
          <w:sz w:val="22"/>
        </w:rPr>
        <w:t xml:space="preserve"> is for the rare situation where the legal entity insurers have been strained  or face impending pressure contemplated within NAIC Model 385</w:t>
      </w:r>
      <w:r w:rsidR="00E6084A" w:rsidRPr="004A0051">
        <w:rPr>
          <w:rFonts w:asciiTheme="minorHAnsi" w:hAnsiTheme="minorHAnsi"/>
          <w:color w:val="000000" w:themeColor="text1"/>
          <w:sz w:val="22"/>
        </w:rPr>
        <w:t>–</w:t>
      </w:r>
      <w:r w:rsidR="00E6084A" w:rsidRPr="004A0051">
        <w:rPr>
          <w:rFonts w:asciiTheme="minorHAnsi" w:hAnsiTheme="minorHAnsi"/>
          <w:i/>
          <w:iCs/>
          <w:color w:val="000000" w:themeColor="text1"/>
          <w:sz w:val="22"/>
        </w:rPr>
        <w:t>Model Regulation to Define Standards and Commissioner's Authority for Companies Deemed to be in Hazardous Financial Condition</w:t>
      </w:r>
      <w:r w:rsidR="00E6084A" w:rsidRPr="004A0051">
        <w:rPr>
          <w:rFonts w:asciiTheme="minorHAnsi" w:hAnsiTheme="minorHAnsi"/>
          <w:color w:val="000000" w:themeColor="text1"/>
          <w:sz w:val="22"/>
        </w:rPr>
        <w:t xml:space="preserve"> </w:t>
      </w:r>
      <w:r w:rsidRPr="004A0051">
        <w:rPr>
          <w:rFonts w:asciiTheme="minorHAnsi" w:hAnsiTheme="minorHAnsi"/>
          <w:color w:val="000000" w:themeColor="text1"/>
          <w:sz w:val="22"/>
        </w:rPr>
        <w:t xml:space="preserve">that would suggest one </w:t>
      </w:r>
      <w:r w:rsidR="00255E19">
        <w:rPr>
          <w:rFonts w:asciiTheme="minorHAnsi" w:hAnsiTheme="minorHAnsi"/>
          <w:color w:val="000000" w:themeColor="text1"/>
          <w:sz w:val="22"/>
        </w:rPr>
        <w:t xml:space="preserve">or more </w:t>
      </w:r>
      <w:r w:rsidRPr="004A0051">
        <w:rPr>
          <w:rFonts w:asciiTheme="minorHAnsi" w:hAnsiTheme="minorHAnsi"/>
          <w:color w:val="000000" w:themeColor="text1"/>
          <w:sz w:val="22"/>
        </w:rPr>
        <w:t xml:space="preserve">of the insurers may be in a </w:t>
      </w:r>
      <w:r w:rsidR="00E6084A" w:rsidRPr="004A0051">
        <w:rPr>
          <w:rFonts w:asciiTheme="minorHAnsi" w:hAnsiTheme="minorHAnsi"/>
          <w:color w:val="000000" w:themeColor="text1"/>
          <w:sz w:val="22"/>
        </w:rPr>
        <w:t>h</w:t>
      </w:r>
      <w:r w:rsidRPr="004A0051">
        <w:rPr>
          <w:rFonts w:asciiTheme="minorHAnsi" w:hAnsiTheme="minorHAnsi"/>
          <w:color w:val="000000" w:themeColor="text1"/>
          <w:sz w:val="22"/>
        </w:rPr>
        <w:t xml:space="preserve">azardous </w:t>
      </w:r>
      <w:r w:rsidR="00E6084A" w:rsidRPr="004A0051">
        <w:rPr>
          <w:rFonts w:asciiTheme="minorHAnsi" w:hAnsiTheme="minorHAnsi"/>
          <w:color w:val="000000" w:themeColor="text1"/>
          <w:sz w:val="22"/>
        </w:rPr>
        <w:t>f</w:t>
      </w:r>
      <w:r w:rsidRPr="004A0051">
        <w:rPr>
          <w:rFonts w:asciiTheme="minorHAnsi" w:hAnsiTheme="minorHAnsi"/>
          <w:color w:val="000000" w:themeColor="text1"/>
          <w:sz w:val="22"/>
        </w:rPr>
        <w:t xml:space="preserve">inancial </w:t>
      </w:r>
      <w:r w:rsidR="00E6084A" w:rsidRPr="004A0051">
        <w:rPr>
          <w:rFonts w:asciiTheme="minorHAnsi" w:hAnsiTheme="minorHAnsi"/>
          <w:color w:val="000000" w:themeColor="text1"/>
          <w:sz w:val="22"/>
        </w:rPr>
        <w:t>c</w:t>
      </w:r>
      <w:r w:rsidRPr="004A0051">
        <w:rPr>
          <w:rFonts w:asciiTheme="minorHAnsi" w:hAnsiTheme="minorHAnsi"/>
          <w:color w:val="000000" w:themeColor="text1"/>
          <w:sz w:val="22"/>
        </w:rPr>
        <w:t>ondition. Procedure 5</w:t>
      </w:r>
      <w:r w:rsidR="00066211">
        <w:rPr>
          <w:rFonts w:asciiTheme="minorHAnsi" w:hAnsiTheme="minorHAnsi"/>
          <w:color w:val="000000" w:themeColor="text1"/>
          <w:sz w:val="22"/>
        </w:rPr>
        <w:t>f</w:t>
      </w:r>
      <w:r w:rsidRPr="004A0051">
        <w:rPr>
          <w:rFonts w:asciiTheme="minorHAnsi" w:hAnsiTheme="minorHAnsi"/>
          <w:color w:val="000000" w:themeColor="text1"/>
          <w:sz w:val="22"/>
        </w:rPr>
        <w:t xml:space="preserve"> is designed to suggest the analyst bring the collective supervisors of the legal entity insurers together </w:t>
      </w:r>
      <w:r w:rsidR="00323F2F" w:rsidRPr="004A0051">
        <w:rPr>
          <w:rFonts w:asciiTheme="minorHAnsi" w:hAnsiTheme="minorHAnsi"/>
          <w:color w:val="000000" w:themeColor="text1"/>
          <w:sz w:val="22"/>
        </w:rPr>
        <w:t xml:space="preserve">for a supervisory college to fully understand what is occurring and the group’s plans for addressing the </w:t>
      </w:r>
      <w:r w:rsidR="00A10770">
        <w:rPr>
          <w:rFonts w:asciiTheme="minorHAnsi" w:hAnsiTheme="minorHAnsi"/>
          <w:color w:val="000000" w:themeColor="text1"/>
          <w:sz w:val="22"/>
        </w:rPr>
        <w:t xml:space="preserve">underlying </w:t>
      </w:r>
      <w:r w:rsidR="00323F2F" w:rsidRPr="004A0051">
        <w:rPr>
          <w:rFonts w:asciiTheme="minorHAnsi" w:hAnsiTheme="minorHAnsi"/>
          <w:color w:val="000000" w:themeColor="text1"/>
          <w:sz w:val="22"/>
        </w:rPr>
        <w:t xml:space="preserve">issues. Procedure </w:t>
      </w:r>
      <w:r w:rsidR="000255C0">
        <w:rPr>
          <w:rFonts w:asciiTheme="minorHAnsi" w:hAnsiTheme="minorHAnsi"/>
          <w:color w:val="000000" w:themeColor="text1"/>
          <w:sz w:val="22"/>
        </w:rPr>
        <w:t>5g</w:t>
      </w:r>
      <w:r w:rsidR="00323F2F" w:rsidRPr="004A0051">
        <w:rPr>
          <w:rFonts w:asciiTheme="minorHAnsi" w:hAnsiTheme="minorHAnsi"/>
          <w:color w:val="000000" w:themeColor="text1"/>
          <w:sz w:val="22"/>
        </w:rPr>
        <w:t xml:space="preserve"> is an extension of Procedure 5</w:t>
      </w:r>
      <w:r w:rsidR="000255C0">
        <w:rPr>
          <w:rFonts w:asciiTheme="minorHAnsi" w:hAnsiTheme="minorHAnsi"/>
          <w:color w:val="000000" w:themeColor="text1"/>
          <w:sz w:val="22"/>
        </w:rPr>
        <w:t>f</w:t>
      </w:r>
      <w:r w:rsidR="00323F2F" w:rsidRPr="004A0051">
        <w:rPr>
          <w:rFonts w:asciiTheme="minorHAnsi" w:hAnsiTheme="minorHAnsi"/>
          <w:color w:val="000000" w:themeColor="text1"/>
          <w:sz w:val="22"/>
        </w:rPr>
        <w:t xml:space="preserve"> as it contemplates the regulators discussing whether  the proposed actions from the group are adequate. This action could represent something either informally done before an </w:t>
      </w:r>
      <w:r w:rsidR="007664B1" w:rsidRPr="004A0051">
        <w:rPr>
          <w:rFonts w:asciiTheme="minorHAnsi" w:hAnsiTheme="minorHAnsi"/>
          <w:color w:val="000000" w:themeColor="text1"/>
          <w:sz w:val="22"/>
        </w:rPr>
        <w:t>insurer</w:t>
      </w:r>
      <w:r w:rsidR="00323F2F" w:rsidRPr="004A0051">
        <w:rPr>
          <w:rFonts w:asciiTheme="minorHAnsi" w:hAnsiTheme="minorHAnsi"/>
          <w:color w:val="000000" w:themeColor="text1"/>
          <w:sz w:val="22"/>
        </w:rPr>
        <w:t xml:space="preserve"> is in a regulatory action level, or formally once an insurer is in a regulatory action level. Procedure </w:t>
      </w:r>
      <w:r w:rsidR="000255C0">
        <w:rPr>
          <w:rFonts w:asciiTheme="minorHAnsi" w:hAnsiTheme="minorHAnsi"/>
          <w:color w:val="000000" w:themeColor="text1"/>
          <w:sz w:val="22"/>
        </w:rPr>
        <w:t>5h</w:t>
      </w:r>
      <w:r w:rsidR="00323F2F" w:rsidRPr="004A0051">
        <w:rPr>
          <w:rFonts w:asciiTheme="minorHAnsi" w:hAnsiTheme="minorHAnsi"/>
          <w:color w:val="000000" w:themeColor="text1"/>
          <w:sz w:val="22"/>
        </w:rPr>
        <w:t xml:space="preserve"> is </w:t>
      </w:r>
      <w:r w:rsidR="00255E19">
        <w:rPr>
          <w:rFonts w:asciiTheme="minorHAnsi" w:hAnsiTheme="minorHAnsi"/>
          <w:color w:val="000000" w:themeColor="text1"/>
          <w:sz w:val="22"/>
        </w:rPr>
        <w:t>similar to the</w:t>
      </w:r>
      <w:r w:rsidR="00323F2F" w:rsidRPr="004A0051">
        <w:rPr>
          <w:rFonts w:asciiTheme="minorHAnsi" w:hAnsiTheme="minorHAnsi"/>
          <w:color w:val="000000" w:themeColor="text1"/>
          <w:sz w:val="22"/>
        </w:rPr>
        <w:t xml:space="preserve"> other action</w:t>
      </w:r>
      <w:r w:rsidR="00255E19">
        <w:rPr>
          <w:rFonts w:asciiTheme="minorHAnsi" w:hAnsiTheme="minorHAnsi"/>
          <w:color w:val="000000" w:themeColor="text1"/>
          <w:sz w:val="22"/>
        </w:rPr>
        <w:t>s</w:t>
      </w:r>
      <w:r w:rsidR="00323F2F" w:rsidRPr="004A0051">
        <w:rPr>
          <w:rFonts w:asciiTheme="minorHAnsi" w:hAnsiTheme="minorHAnsi"/>
          <w:color w:val="000000" w:themeColor="text1"/>
          <w:sz w:val="22"/>
        </w:rPr>
        <w:t xml:space="preserve"> contemplated within a supervisory college </w:t>
      </w:r>
      <w:r w:rsidR="00A62236" w:rsidRPr="004A0051">
        <w:rPr>
          <w:rFonts w:asciiTheme="minorHAnsi" w:hAnsiTheme="minorHAnsi"/>
          <w:color w:val="000000" w:themeColor="text1"/>
          <w:sz w:val="22"/>
        </w:rPr>
        <w:t>or</w:t>
      </w:r>
      <w:r w:rsidR="00255E19">
        <w:rPr>
          <w:rFonts w:asciiTheme="minorHAnsi" w:hAnsiTheme="minorHAnsi"/>
          <w:color w:val="000000" w:themeColor="text1"/>
          <w:sz w:val="22"/>
        </w:rPr>
        <w:t>,</w:t>
      </w:r>
      <w:r w:rsidR="00A62236" w:rsidRPr="004A0051">
        <w:rPr>
          <w:rFonts w:asciiTheme="minorHAnsi" w:hAnsiTheme="minorHAnsi"/>
          <w:color w:val="000000" w:themeColor="text1"/>
          <w:sz w:val="22"/>
        </w:rPr>
        <w:t xml:space="preserve"> for example</w:t>
      </w:r>
      <w:r w:rsidR="00255E19">
        <w:rPr>
          <w:rFonts w:asciiTheme="minorHAnsi" w:hAnsiTheme="minorHAnsi"/>
          <w:color w:val="000000" w:themeColor="text1"/>
          <w:sz w:val="22"/>
        </w:rPr>
        <w:t>,</w:t>
      </w:r>
      <w:r w:rsidR="00A62236" w:rsidRPr="004A0051">
        <w:rPr>
          <w:rFonts w:asciiTheme="minorHAnsi" w:hAnsiTheme="minorHAnsi"/>
          <w:color w:val="000000" w:themeColor="text1"/>
          <w:sz w:val="22"/>
        </w:rPr>
        <w:t xml:space="preserve"> </w:t>
      </w:r>
      <w:r w:rsidR="004B3849">
        <w:rPr>
          <w:rFonts w:asciiTheme="minorHAnsi" w:hAnsiTheme="minorHAnsi"/>
          <w:color w:val="000000" w:themeColor="text1"/>
          <w:sz w:val="22"/>
        </w:rPr>
        <w:t xml:space="preserve">to address </w:t>
      </w:r>
      <w:r w:rsidR="00A62236" w:rsidRPr="004A0051">
        <w:rPr>
          <w:rFonts w:asciiTheme="minorHAnsi" w:hAnsiTheme="minorHAnsi"/>
          <w:color w:val="000000" w:themeColor="text1"/>
          <w:sz w:val="22"/>
        </w:rPr>
        <w:t>a troubled insurance company under Accreditation requirements regarding communication with other states.</w:t>
      </w:r>
    </w:p>
    <w:p w14:paraId="42662E7F" w14:textId="77777777" w:rsidR="008123DB" w:rsidRDefault="008123DB" w:rsidP="008123DB">
      <w:pPr>
        <w:pStyle w:val="BodyTextIndent2"/>
        <w:spacing w:after="120"/>
        <w:ind w:left="0" w:firstLine="0"/>
        <w:rPr>
          <w:rFonts w:asciiTheme="minorHAnsi" w:hAnsiTheme="minorHAnsi"/>
          <w:color w:val="000000" w:themeColor="text1"/>
        </w:rPr>
      </w:pPr>
    </w:p>
    <w:p w14:paraId="65129C52" w14:textId="77777777" w:rsidR="008123DB" w:rsidRPr="00597BAB" w:rsidRDefault="008123DB" w:rsidP="008123DB">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lastRenderedPageBreak/>
        <w:t>Additional Procedures – Business Plans</w:t>
      </w:r>
    </w:p>
    <w:p w14:paraId="2D1B6FD3" w14:textId="082E9061" w:rsidR="008123DB" w:rsidRDefault="008123DB" w:rsidP="008123DB">
      <w:pPr>
        <w:pStyle w:val="BodyTextIndent2"/>
        <w:spacing w:after="120"/>
        <w:ind w:left="0" w:firstLine="0"/>
        <w:rPr>
          <w:rFonts w:asciiTheme="minorHAnsi" w:hAnsiTheme="minorHAnsi"/>
          <w:color w:val="000000" w:themeColor="text1"/>
        </w:rPr>
      </w:pPr>
      <w:r>
        <w:rPr>
          <w:rFonts w:asciiTheme="minorHAnsi" w:hAnsiTheme="minorHAnsi"/>
          <w:color w:val="000000" w:themeColor="text1"/>
        </w:rPr>
        <w:t xml:space="preserve">While there is a multitude of possibilities </w:t>
      </w:r>
      <w:r w:rsidR="00C642CB">
        <w:rPr>
          <w:rFonts w:asciiTheme="minorHAnsi" w:hAnsiTheme="minorHAnsi"/>
          <w:color w:val="000000" w:themeColor="text1"/>
        </w:rPr>
        <w:t xml:space="preserve">which are beyond the scope of </w:t>
      </w:r>
      <w:r>
        <w:rPr>
          <w:rFonts w:asciiTheme="minorHAnsi" w:hAnsiTheme="minorHAnsi"/>
          <w:color w:val="000000" w:themeColor="text1"/>
        </w:rPr>
        <w:t xml:space="preserve"> this guidance to address, the following provides some  of </w:t>
      </w:r>
      <w:r w:rsidR="00390BF5">
        <w:rPr>
          <w:rFonts w:asciiTheme="minorHAnsi" w:hAnsiTheme="minorHAnsi"/>
          <w:color w:val="000000" w:themeColor="text1"/>
        </w:rPr>
        <w:t xml:space="preserve">the </w:t>
      </w:r>
      <w:r>
        <w:rPr>
          <w:rFonts w:asciiTheme="minorHAnsi" w:hAnsiTheme="minorHAnsi"/>
          <w:color w:val="000000" w:themeColor="text1"/>
        </w:rPr>
        <w:t>related issues that may be helpful to the analyst</w:t>
      </w:r>
      <w:r w:rsidR="00C642CB">
        <w:rPr>
          <w:rFonts w:asciiTheme="minorHAnsi" w:hAnsiTheme="minorHAnsi"/>
          <w:color w:val="000000" w:themeColor="text1"/>
        </w:rPr>
        <w:t xml:space="preserve"> to consider</w:t>
      </w:r>
      <w:r>
        <w:rPr>
          <w:rFonts w:asciiTheme="minorHAnsi" w:hAnsiTheme="minorHAnsi"/>
          <w:color w:val="000000" w:themeColor="text1"/>
        </w:rPr>
        <w:t xml:space="preserve"> (See also section 6 </w:t>
      </w:r>
      <w:r w:rsidR="00C642CB">
        <w:rPr>
          <w:rFonts w:asciiTheme="minorHAnsi" w:hAnsiTheme="minorHAnsi"/>
          <w:color w:val="000000" w:themeColor="text1"/>
        </w:rPr>
        <w:t>regarding the analyst’s consideration of the</w:t>
      </w:r>
      <w:r>
        <w:rPr>
          <w:rFonts w:asciiTheme="minorHAnsi" w:hAnsiTheme="minorHAnsi"/>
          <w:color w:val="000000" w:themeColor="text1"/>
        </w:rPr>
        <w:t xml:space="preserve"> structure of the group and capital infusion issues).</w:t>
      </w:r>
    </w:p>
    <w:tbl>
      <w:tblPr>
        <w:tblStyle w:val="TableGrid"/>
        <w:tblW w:w="0" w:type="auto"/>
        <w:tblLook w:val="04A0" w:firstRow="1" w:lastRow="0" w:firstColumn="1" w:lastColumn="0" w:noHBand="0" w:noVBand="1"/>
      </w:tblPr>
      <w:tblGrid>
        <w:gridCol w:w="9926"/>
      </w:tblGrid>
      <w:tr w:rsidR="008123DB" w14:paraId="2C695E92" w14:textId="77777777" w:rsidTr="002E4EAF">
        <w:tc>
          <w:tcPr>
            <w:tcW w:w="10070" w:type="dxa"/>
          </w:tcPr>
          <w:p w14:paraId="109DAF3F" w14:textId="77777777" w:rsidR="008123DB" w:rsidRDefault="008123DB" w:rsidP="002E4EAF">
            <w:pPr>
              <w:pStyle w:val="BodyTextIndent2"/>
              <w:spacing w:after="120"/>
              <w:ind w:left="0" w:firstLine="0"/>
              <w:rPr>
                <w:rFonts w:asciiTheme="minorHAnsi" w:hAnsiTheme="minorHAnsi"/>
                <w:b/>
                <w:bCs/>
                <w:color w:val="000000" w:themeColor="text1"/>
                <w:u w:val="single"/>
              </w:rPr>
            </w:pPr>
            <w:r w:rsidRPr="00F12B6A">
              <w:rPr>
                <w:rFonts w:asciiTheme="minorHAnsi" w:hAnsiTheme="minorHAnsi"/>
                <w:b/>
                <w:bCs/>
                <w:color w:val="000000" w:themeColor="text1"/>
                <w:u w:val="single"/>
              </w:rPr>
              <w:t xml:space="preserve">Group’s </w:t>
            </w:r>
            <w:r>
              <w:rPr>
                <w:rFonts w:asciiTheme="minorHAnsi" w:hAnsiTheme="minorHAnsi"/>
                <w:b/>
                <w:bCs/>
                <w:color w:val="000000" w:themeColor="text1"/>
                <w:u w:val="single"/>
              </w:rPr>
              <w:t xml:space="preserve">Business </w:t>
            </w:r>
            <w:r w:rsidRPr="00F12B6A">
              <w:rPr>
                <w:rFonts w:asciiTheme="minorHAnsi" w:hAnsiTheme="minorHAnsi"/>
                <w:b/>
                <w:bCs/>
                <w:color w:val="000000" w:themeColor="text1"/>
                <w:u w:val="single"/>
              </w:rPr>
              <w:t>Plan</w:t>
            </w:r>
            <w:r>
              <w:rPr>
                <w:rFonts w:asciiTheme="minorHAnsi" w:hAnsiTheme="minorHAnsi"/>
                <w:b/>
                <w:bCs/>
                <w:color w:val="000000" w:themeColor="text1"/>
                <w:u w:val="single"/>
              </w:rPr>
              <w:t>:</w:t>
            </w:r>
          </w:p>
          <w:p w14:paraId="0C58C334" w14:textId="77777777" w:rsidR="008123DB" w:rsidRPr="00C81D2F" w:rsidRDefault="008123DB" w:rsidP="002E4EAF">
            <w:pPr>
              <w:pStyle w:val="BodyTextIndent2"/>
              <w:spacing w:after="120"/>
              <w:ind w:left="0" w:firstLine="0"/>
              <w:rPr>
                <w:rFonts w:asciiTheme="minorHAnsi" w:hAnsiTheme="minorHAnsi"/>
                <w:color w:val="000000" w:themeColor="text1"/>
                <w:u w:val="single"/>
              </w:rPr>
            </w:pPr>
            <w:r w:rsidRPr="00C81D2F">
              <w:rPr>
                <w:rFonts w:asciiTheme="minorHAnsi" w:hAnsiTheme="minorHAnsi"/>
                <w:color w:val="000000" w:themeColor="text1"/>
                <w:u w:val="single"/>
              </w:rPr>
              <w:t>P</w:t>
            </w:r>
            <w:r>
              <w:rPr>
                <w:rFonts w:asciiTheme="minorHAnsi" w:hAnsiTheme="minorHAnsi"/>
                <w:color w:val="000000" w:themeColor="text1"/>
                <w:u w:val="single"/>
              </w:rPr>
              <w:t>lanning P</w:t>
            </w:r>
            <w:r w:rsidRPr="00C81D2F">
              <w:rPr>
                <w:rFonts w:asciiTheme="minorHAnsi" w:hAnsiTheme="minorHAnsi"/>
                <w:color w:val="000000" w:themeColor="text1"/>
                <w:u w:val="single"/>
              </w:rPr>
              <w:t>rocess:</w:t>
            </w:r>
          </w:p>
          <w:p w14:paraId="44456806" w14:textId="77777777" w:rsidR="008123DB" w:rsidRPr="00C614EE"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Group</w:t>
            </w:r>
            <w:r w:rsidRPr="008B0562">
              <w:rPr>
                <w:rFonts w:asciiTheme="minorHAnsi" w:hAnsiTheme="minorHAnsi"/>
                <w:color w:val="000000" w:themeColor="text1"/>
              </w:rPr>
              <w:t xml:space="preserve"> system’s overall planning process (e.g., who is involved, how frequently it occurs, etc.) and how the overall initiatives are determined</w:t>
            </w:r>
          </w:p>
          <w:p w14:paraId="35B4889E"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Understand the group’s e</w:t>
            </w:r>
            <w:r w:rsidRPr="00097465">
              <w:rPr>
                <w:rFonts w:asciiTheme="minorHAnsi" w:hAnsiTheme="minorHAnsi"/>
                <w:color w:val="000000" w:themeColor="text1"/>
              </w:rPr>
              <w:t xml:space="preserve">stimate </w:t>
            </w:r>
            <w:r>
              <w:rPr>
                <w:rFonts w:asciiTheme="minorHAnsi" w:hAnsiTheme="minorHAnsi"/>
                <w:color w:val="000000" w:themeColor="text1"/>
              </w:rPr>
              <w:t xml:space="preserve">of </w:t>
            </w:r>
            <w:r w:rsidRPr="00097465">
              <w:rPr>
                <w:rFonts w:asciiTheme="minorHAnsi" w:hAnsiTheme="minorHAnsi"/>
                <w:color w:val="000000" w:themeColor="text1"/>
              </w:rPr>
              <w:t>the impact of the proposed actions on financial result</w:t>
            </w:r>
            <w:r>
              <w:rPr>
                <w:rFonts w:asciiTheme="minorHAnsi" w:hAnsiTheme="minorHAnsi"/>
                <w:color w:val="000000" w:themeColor="text1"/>
              </w:rPr>
              <w:t>s</w:t>
            </w:r>
          </w:p>
          <w:p w14:paraId="69E9F874"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sidRPr="00097465">
              <w:rPr>
                <w:rFonts w:asciiTheme="minorHAnsi" w:hAnsiTheme="minorHAnsi"/>
                <w:color w:val="000000" w:themeColor="text1"/>
              </w:rPr>
              <w:t>Review the plan’s assumptions for reasonableness</w:t>
            </w:r>
            <w:r>
              <w:rPr>
                <w:rFonts w:asciiTheme="minorHAnsi" w:hAnsiTheme="minorHAnsi"/>
                <w:color w:val="000000" w:themeColor="text1"/>
              </w:rPr>
              <w:t xml:space="preserve">. </w:t>
            </w:r>
            <w:r w:rsidRPr="00097465">
              <w:rPr>
                <w:rFonts w:asciiTheme="minorHAnsi" w:hAnsiTheme="minorHAnsi"/>
                <w:color w:val="000000" w:themeColor="text1"/>
              </w:rPr>
              <w:t>Consider the likelihood of variations in the assumptions and the resulting impact on the future financial results</w:t>
            </w:r>
          </w:p>
          <w:p w14:paraId="4FED58ED"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Consider subcategories of changes including:</w:t>
            </w:r>
          </w:p>
          <w:p w14:paraId="5F794D51"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potential changes in investment strategy</w:t>
            </w:r>
          </w:p>
          <w:p w14:paraId="4B9818BB"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potential changes in underwriting strategy or existing concentrations</w:t>
            </w:r>
          </w:p>
          <w:p w14:paraId="24F9A4E3" w14:textId="7D659A33"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impact on financing matters (</w:t>
            </w:r>
            <w:r w:rsidR="00966A3B">
              <w:rPr>
                <w:rFonts w:asciiTheme="minorHAnsi" w:hAnsiTheme="minorHAnsi"/>
                <w:color w:val="000000" w:themeColor="text1"/>
              </w:rPr>
              <w:t>e.g.,</w:t>
            </w:r>
            <w:r>
              <w:rPr>
                <w:rFonts w:asciiTheme="minorHAnsi" w:hAnsiTheme="minorHAnsi"/>
                <w:color w:val="000000" w:themeColor="text1"/>
              </w:rPr>
              <w:t xml:space="preserve"> debt, requirements, etc.)</w:t>
            </w:r>
          </w:p>
          <w:p w14:paraId="183761F9"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impact on derivatives to mitigate economic conditions</w:t>
            </w:r>
          </w:p>
          <w:p w14:paraId="1FB64834"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changes in governance or risk management procedures</w:t>
            </w:r>
          </w:p>
          <w:p w14:paraId="2EFCB5F4" w14:textId="170E913E"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 xml:space="preserve">Increased ceded </w:t>
            </w:r>
            <w:r w:rsidR="004B3849">
              <w:rPr>
                <w:rFonts w:asciiTheme="minorHAnsi" w:hAnsiTheme="minorHAnsi"/>
                <w:color w:val="000000" w:themeColor="text1"/>
              </w:rPr>
              <w:t xml:space="preserve">reinsurance </w:t>
            </w:r>
            <w:r>
              <w:rPr>
                <w:rFonts w:asciiTheme="minorHAnsi" w:hAnsiTheme="minorHAnsi"/>
                <w:color w:val="000000" w:themeColor="text1"/>
              </w:rPr>
              <w:t>transactions (common approach to reducing risk/increasing surplus):</w:t>
            </w:r>
          </w:p>
          <w:p w14:paraId="2FDD1AEC" w14:textId="77777777"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Details regarding the revised strategy</w:t>
            </w:r>
          </w:p>
          <w:p w14:paraId="505E9BF0" w14:textId="3DD982E0"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sidRPr="009C705F">
              <w:rPr>
                <w:rFonts w:asciiTheme="minorHAnsi" w:hAnsiTheme="minorHAnsi"/>
                <w:color w:val="000000" w:themeColor="text1"/>
              </w:rPr>
              <w:t>Specifics on types of coverage such as assumption reinsurance, loss portfolio transfers</w:t>
            </w:r>
          </w:p>
          <w:p w14:paraId="5891159C" w14:textId="77777777"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Transfer of risk considerations</w:t>
            </w:r>
          </w:p>
          <w:p w14:paraId="50F6F031"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47B712AB" w14:textId="77777777" w:rsidTr="002E4EAF">
        <w:tc>
          <w:tcPr>
            <w:tcW w:w="10070" w:type="dxa"/>
          </w:tcPr>
          <w:p w14:paraId="615DC78D" w14:textId="77777777" w:rsidR="008123DB" w:rsidRPr="00C81D2F" w:rsidRDefault="008123DB" w:rsidP="002E4EAF">
            <w:pPr>
              <w:pStyle w:val="BodyTextIndent2"/>
              <w:spacing w:after="120"/>
              <w:ind w:left="0" w:firstLine="0"/>
              <w:rPr>
                <w:rFonts w:asciiTheme="minorHAnsi" w:hAnsiTheme="minorHAnsi"/>
                <w:color w:val="000000" w:themeColor="text1"/>
                <w:u w:val="single"/>
              </w:rPr>
            </w:pPr>
            <w:r w:rsidRPr="00C81D2F">
              <w:rPr>
                <w:rFonts w:asciiTheme="minorHAnsi" w:hAnsiTheme="minorHAnsi"/>
                <w:color w:val="000000" w:themeColor="text1"/>
                <w:u w:val="single"/>
              </w:rPr>
              <w:t>Variances to Projections:</w:t>
            </w:r>
          </w:p>
          <w:p w14:paraId="65BD551F" w14:textId="7BDE134C"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Consider the group’s h</w:t>
            </w:r>
            <w:r w:rsidRPr="008B0562">
              <w:rPr>
                <w:rFonts w:asciiTheme="minorHAnsi" w:hAnsiTheme="minorHAnsi"/>
                <w:color w:val="000000" w:themeColor="text1"/>
              </w:rPr>
              <w:t xml:space="preserve">istory of explanations regarding variances in projected financial results and the insurer’s actual results. If analysts determine the goals of the business plan are not attainable and/or projections are unreasonable, a revised business plan may be </w:t>
            </w:r>
            <w:r w:rsidR="00966A3B" w:rsidRPr="008B0562">
              <w:rPr>
                <w:rFonts w:asciiTheme="minorHAnsi" w:hAnsiTheme="minorHAnsi"/>
                <w:color w:val="000000" w:themeColor="text1"/>
              </w:rPr>
              <w:t>requested</w:t>
            </w:r>
            <w:r w:rsidR="00966A3B">
              <w:rPr>
                <w:rFonts w:asciiTheme="minorHAnsi" w:hAnsiTheme="minorHAnsi"/>
                <w:color w:val="000000" w:themeColor="text1"/>
              </w:rPr>
              <w:t>.</w:t>
            </w:r>
          </w:p>
          <w:p w14:paraId="2B776B7E" w14:textId="7401209A"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sidRPr="00097465">
              <w:rPr>
                <w:rFonts w:asciiTheme="minorHAnsi" w:hAnsiTheme="minorHAnsi"/>
                <w:color w:val="000000" w:themeColor="text1"/>
              </w:rPr>
              <w:t xml:space="preserve">Identify any internal or external </w:t>
            </w:r>
            <w:r w:rsidR="00AB06AD">
              <w:rPr>
                <w:rFonts w:asciiTheme="minorHAnsi" w:hAnsiTheme="minorHAnsi"/>
                <w:color w:val="000000" w:themeColor="text1"/>
              </w:rPr>
              <w:t>issues</w:t>
            </w:r>
            <w:r w:rsidRPr="00097465">
              <w:rPr>
                <w:rFonts w:asciiTheme="minorHAnsi" w:hAnsiTheme="minorHAnsi"/>
                <w:color w:val="000000" w:themeColor="text1"/>
              </w:rPr>
              <w:t xml:space="preserve"> not considered in the plan that may affect future financial results. Examples of such </w:t>
            </w:r>
            <w:r w:rsidR="00AB06AD">
              <w:rPr>
                <w:rFonts w:asciiTheme="minorHAnsi" w:hAnsiTheme="minorHAnsi"/>
                <w:color w:val="000000" w:themeColor="text1"/>
              </w:rPr>
              <w:t>issues</w:t>
            </w:r>
            <w:r w:rsidRPr="00097465">
              <w:rPr>
                <w:rFonts w:asciiTheme="minorHAnsi" w:hAnsiTheme="minorHAnsi"/>
                <w:color w:val="000000" w:themeColor="text1"/>
              </w:rPr>
              <w:t xml:space="preserve"> include the following: 1) the existence of competitors to limit future sales levels; 2) recent state legislation restricting the company’s product designs; or 3) the loss of key marketing personnel.</w:t>
            </w:r>
          </w:p>
          <w:p w14:paraId="1F638376"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1A30ED74" w14:textId="77777777" w:rsidTr="002E4EAF">
        <w:tc>
          <w:tcPr>
            <w:tcW w:w="10070" w:type="dxa"/>
          </w:tcPr>
          <w:p w14:paraId="55540AED" w14:textId="77777777" w:rsidR="008123DB" w:rsidRPr="007C2BD3" w:rsidRDefault="008123DB" w:rsidP="002E4EAF">
            <w:pPr>
              <w:tabs>
                <w:tab w:val="left" w:pos="360"/>
              </w:tabs>
              <w:spacing w:after="120"/>
              <w:jc w:val="both"/>
              <w:rPr>
                <w:rFonts w:asciiTheme="minorHAnsi" w:hAnsiTheme="minorHAnsi"/>
                <w:color w:val="000000" w:themeColor="text1"/>
                <w:sz w:val="22"/>
                <w:u w:val="single"/>
              </w:rPr>
            </w:pPr>
            <w:r w:rsidRPr="007C2BD3">
              <w:rPr>
                <w:rFonts w:asciiTheme="minorHAnsi" w:hAnsiTheme="minorHAnsi"/>
                <w:color w:val="000000" w:themeColor="text1"/>
                <w:sz w:val="22"/>
                <w:u w:val="single"/>
              </w:rPr>
              <w:t>Evaluating a Business Plan:</w:t>
            </w:r>
          </w:p>
          <w:p w14:paraId="14341A04" w14:textId="77777777" w:rsidR="008123DB" w:rsidRDefault="008123DB" w:rsidP="002E4EAF">
            <w:pPr>
              <w:tabs>
                <w:tab w:val="left" w:pos="360"/>
              </w:tabs>
              <w:spacing w:after="120"/>
              <w:jc w:val="both"/>
              <w:rPr>
                <w:rFonts w:asciiTheme="minorHAnsi" w:hAnsiTheme="minorHAnsi"/>
                <w:color w:val="000000" w:themeColor="text1"/>
                <w:sz w:val="22"/>
              </w:rPr>
            </w:pPr>
          </w:p>
          <w:p w14:paraId="2DD6BEDB" w14:textId="5EF5F906" w:rsidR="008123DB" w:rsidRDefault="008123DB" w:rsidP="002E4EAF">
            <w:pPr>
              <w:tabs>
                <w:tab w:val="left" w:pos="360"/>
              </w:tabs>
              <w:spacing w:after="120"/>
              <w:jc w:val="both"/>
              <w:rPr>
                <w:rFonts w:asciiTheme="minorHAnsi" w:hAnsiTheme="minorHAnsi"/>
                <w:color w:val="000000" w:themeColor="text1"/>
                <w:sz w:val="22"/>
              </w:rPr>
            </w:pPr>
            <w:r>
              <w:rPr>
                <w:rFonts w:asciiTheme="minorHAnsi" w:hAnsiTheme="minorHAnsi"/>
                <w:color w:val="000000" w:themeColor="text1"/>
                <w:sz w:val="22"/>
              </w:rPr>
              <w:lastRenderedPageBreak/>
              <w:t>Analysts</w:t>
            </w:r>
            <w:r w:rsidRPr="00097465">
              <w:rPr>
                <w:rFonts w:asciiTheme="minorHAnsi" w:hAnsiTheme="minorHAnsi"/>
                <w:color w:val="000000" w:themeColor="text1"/>
                <w:sz w:val="22"/>
              </w:rPr>
              <w:t xml:space="preserve"> should </w:t>
            </w:r>
            <w:r>
              <w:rPr>
                <w:rFonts w:asciiTheme="minorHAnsi" w:hAnsiTheme="minorHAnsi"/>
                <w:color w:val="000000" w:themeColor="text1"/>
                <w:sz w:val="22"/>
              </w:rPr>
              <w:t xml:space="preserve">consider further detail where necessary in evaluating the proposed revised business plan but </w:t>
            </w:r>
            <w:r w:rsidRPr="00097465">
              <w:rPr>
                <w:rFonts w:asciiTheme="minorHAnsi" w:hAnsiTheme="minorHAnsi"/>
                <w:color w:val="000000" w:themeColor="text1"/>
                <w:sz w:val="22"/>
              </w:rPr>
              <w:t xml:space="preserve">also monitor, on a periodic basis, the insurer’s progress in achieving the initiatives included in the </w:t>
            </w:r>
            <w:r>
              <w:rPr>
                <w:rFonts w:asciiTheme="minorHAnsi" w:hAnsiTheme="minorHAnsi"/>
                <w:color w:val="000000" w:themeColor="text1"/>
                <w:sz w:val="22"/>
              </w:rPr>
              <w:t xml:space="preserve">group’s plan. </w:t>
            </w:r>
            <w:r w:rsidR="00AB06AD">
              <w:rPr>
                <w:rFonts w:asciiTheme="minorHAnsi" w:hAnsiTheme="minorHAnsi"/>
                <w:color w:val="000000" w:themeColor="text1"/>
                <w:sz w:val="22"/>
              </w:rPr>
              <w:t>Assuming that the analyst has determined that a decline in the GCC is to considered a “negative event, i.e., it was not the result of capital management and planning to more efficiently utilize capital while staying within sound levels to achieve ERM objectives, the goal of the plan would then be to address</w:t>
            </w:r>
            <w:r w:rsidRPr="00097465">
              <w:rPr>
                <w:rFonts w:asciiTheme="minorHAnsi" w:hAnsiTheme="minorHAnsi"/>
                <w:color w:val="000000" w:themeColor="text1"/>
                <w:sz w:val="22"/>
              </w:rPr>
              <w:t xml:space="preserve"> the improvement of the underlying causes that led to </w:t>
            </w:r>
            <w:r>
              <w:rPr>
                <w:rFonts w:asciiTheme="minorHAnsi" w:hAnsiTheme="minorHAnsi"/>
                <w:color w:val="000000" w:themeColor="text1"/>
                <w:sz w:val="22"/>
              </w:rPr>
              <w:t xml:space="preserve">the issues and </w:t>
            </w:r>
            <w:r w:rsidRPr="00097465">
              <w:rPr>
                <w:rFonts w:asciiTheme="minorHAnsi" w:hAnsiTheme="minorHAnsi"/>
                <w:color w:val="000000" w:themeColor="text1"/>
                <w:sz w:val="22"/>
              </w:rPr>
              <w:t xml:space="preserve">an improvement in subsequent </w:t>
            </w:r>
            <w:r>
              <w:rPr>
                <w:rFonts w:asciiTheme="minorHAnsi" w:hAnsiTheme="minorHAnsi"/>
                <w:color w:val="000000" w:themeColor="text1"/>
                <w:sz w:val="22"/>
              </w:rPr>
              <w:t>GCC ratio</w:t>
            </w:r>
            <w:r w:rsidRPr="00097465">
              <w:rPr>
                <w:rFonts w:asciiTheme="minorHAnsi" w:hAnsiTheme="minorHAnsi"/>
                <w:color w:val="000000" w:themeColor="text1"/>
                <w:sz w:val="22"/>
              </w:rPr>
              <w:t xml:space="preserve"> results</w:t>
            </w:r>
            <w:r>
              <w:rPr>
                <w:rFonts w:asciiTheme="minorHAnsi" w:hAnsiTheme="minorHAnsi"/>
                <w:color w:val="000000" w:themeColor="text1"/>
                <w:sz w:val="22"/>
              </w:rPr>
              <w:t>. Detail considerations for improving the plan may include the following (where considered inadequate):</w:t>
            </w:r>
          </w:p>
          <w:p w14:paraId="2264A244"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Trending comparative measures of targeted risk exposures including (where applicable):</w:t>
            </w:r>
          </w:p>
          <w:p w14:paraId="09B1C1DB"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Asset mix by detailed types</w:t>
            </w:r>
          </w:p>
          <w:p w14:paraId="0366960D"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Credit risk by detailed types</w:t>
            </w:r>
          </w:p>
          <w:p w14:paraId="119719A3"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Business writings/ratios by detailed product</w:t>
            </w:r>
          </w:p>
          <w:p w14:paraId="6CBF3C6F"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Impacts on financing items:</w:t>
            </w:r>
          </w:p>
          <w:p w14:paraId="7F7E4D54" w14:textId="56F6871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 xml:space="preserve">Projected cash flow movements for ongoing </w:t>
            </w:r>
            <w:r w:rsidR="00406067">
              <w:rPr>
                <w:rFonts w:asciiTheme="minorHAnsi" w:hAnsiTheme="minorHAnsi"/>
                <w:color w:val="000000" w:themeColor="text1"/>
              </w:rPr>
              <w:t>principal</w:t>
            </w:r>
            <w:r>
              <w:rPr>
                <w:rFonts w:asciiTheme="minorHAnsi" w:hAnsiTheme="minorHAnsi"/>
                <w:color w:val="000000" w:themeColor="text1"/>
              </w:rPr>
              <w:t xml:space="preserve"> and interest payments on debt</w:t>
            </w:r>
          </w:p>
          <w:p w14:paraId="2B699C02"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Impact on debt interest coverage ratio, other debt covenants, rating agency ratings</w:t>
            </w:r>
          </w:p>
          <w:p w14:paraId="0D92C262"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sidRPr="00D32EBD">
              <w:rPr>
                <w:rFonts w:asciiTheme="minorHAnsi" w:hAnsiTheme="minorHAnsi"/>
                <w:color w:val="000000" w:themeColor="text1"/>
              </w:rPr>
              <w:t xml:space="preserve">Discussion of impact on parental </w:t>
            </w:r>
            <w:r>
              <w:rPr>
                <w:rFonts w:asciiTheme="minorHAnsi" w:hAnsiTheme="minorHAnsi"/>
                <w:color w:val="000000" w:themeColor="text1"/>
              </w:rPr>
              <w:t>g</w:t>
            </w:r>
            <w:r w:rsidRPr="00D32EBD">
              <w:rPr>
                <w:rFonts w:asciiTheme="minorHAnsi" w:hAnsiTheme="minorHAnsi"/>
                <w:color w:val="000000" w:themeColor="text1"/>
              </w:rPr>
              <w:t>uarantees and/or capital maintenance agreements</w:t>
            </w:r>
          </w:p>
          <w:p w14:paraId="5237F248" w14:textId="77777777" w:rsidR="008123DB" w:rsidRPr="00D32EBD"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sidRPr="00D32EBD">
              <w:rPr>
                <w:rFonts w:asciiTheme="minorHAnsi" w:hAnsiTheme="minorHAnsi"/>
                <w:color w:val="000000" w:themeColor="text1"/>
              </w:rPr>
              <w:t>Expected source and form of liquidity should guarantees be called upon</w:t>
            </w:r>
          </w:p>
          <w:p w14:paraId="47569557"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Impact of reasonable possible stress scenarios</w:t>
            </w:r>
          </w:p>
          <w:p w14:paraId="5FABF4A2"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How the legal entities capital will be maintained at required levels</w:t>
            </w:r>
          </w:p>
          <w:p w14:paraId="62D4D65F"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7C5BB6DC" w14:textId="77777777" w:rsidTr="002E4EAF">
        <w:tc>
          <w:tcPr>
            <w:tcW w:w="10070" w:type="dxa"/>
          </w:tcPr>
          <w:p w14:paraId="6212470B" w14:textId="77777777" w:rsidR="008123DB" w:rsidRPr="007C2BD3" w:rsidRDefault="008123DB" w:rsidP="002E4EAF">
            <w:pPr>
              <w:spacing w:after="120"/>
              <w:jc w:val="both"/>
              <w:rPr>
                <w:rFonts w:asciiTheme="minorHAnsi" w:hAnsiTheme="minorHAnsi"/>
                <w:color w:val="000000" w:themeColor="text1"/>
              </w:rPr>
            </w:pPr>
            <w:r>
              <w:rPr>
                <w:rFonts w:asciiTheme="minorHAnsi" w:hAnsiTheme="minorHAnsi"/>
                <w:color w:val="000000" w:themeColor="text1"/>
              </w:rPr>
              <w:lastRenderedPageBreak/>
              <w:t>Consultation with Other Regulators</w:t>
            </w:r>
          </w:p>
          <w:p w14:paraId="723C4AE8"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Consult with members of the supervisory college (if applicable) or other domestic states for input in evaluating the revised business plan</w:t>
            </w:r>
          </w:p>
          <w:p w14:paraId="0E12A54A" w14:textId="77777777" w:rsidR="008123DB" w:rsidRDefault="008123DB" w:rsidP="002E4EAF">
            <w:pPr>
              <w:pStyle w:val="BodyTextIndent2"/>
              <w:spacing w:after="120"/>
              <w:ind w:left="0" w:firstLine="0"/>
              <w:rPr>
                <w:rFonts w:asciiTheme="minorHAnsi" w:hAnsiTheme="minorHAnsi"/>
                <w:color w:val="000000" w:themeColor="text1"/>
              </w:rPr>
            </w:pPr>
          </w:p>
        </w:tc>
      </w:tr>
    </w:tbl>
    <w:p w14:paraId="19123683" w14:textId="77777777" w:rsidR="00417767" w:rsidRDefault="00417767" w:rsidP="00706153">
      <w:pPr>
        <w:pStyle w:val="Heading2"/>
        <w:pBdr>
          <w:bottom w:val="single" w:sz="4" w:space="1" w:color="auto"/>
        </w:pBdr>
        <w:spacing w:after="120"/>
        <w:rPr>
          <w:rFonts w:asciiTheme="minorHAnsi" w:hAnsiTheme="minorHAnsi"/>
          <w:color w:val="000000" w:themeColor="text1"/>
          <w:sz w:val="28"/>
          <w:szCs w:val="28"/>
        </w:rPr>
      </w:pPr>
    </w:p>
    <w:p w14:paraId="743A2896" w14:textId="77777777" w:rsidR="00382400" w:rsidRDefault="00382400" w:rsidP="00706153">
      <w:pPr>
        <w:pStyle w:val="Heading2"/>
        <w:pBdr>
          <w:bottom w:val="single" w:sz="4" w:space="1" w:color="auto"/>
        </w:pBdr>
        <w:spacing w:after="120"/>
        <w:rPr>
          <w:rFonts w:asciiTheme="minorHAnsi" w:hAnsiTheme="minorHAnsi"/>
          <w:color w:val="000000" w:themeColor="text1"/>
          <w:sz w:val="28"/>
          <w:szCs w:val="28"/>
        </w:rPr>
      </w:pPr>
    </w:p>
    <w:p w14:paraId="03272EE3" w14:textId="6D5BC24E" w:rsidR="00706153" w:rsidRPr="00597BAB" w:rsidRDefault="007664B1" w:rsidP="00706153">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Considerations of </w:t>
      </w:r>
      <w:r w:rsidR="00706153">
        <w:rPr>
          <w:rFonts w:asciiTheme="minorHAnsi" w:hAnsiTheme="minorHAnsi"/>
          <w:color w:val="000000" w:themeColor="text1"/>
          <w:sz w:val="28"/>
          <w:szCs w:val="28"/>
        </w:rPr>
        <w:t>Group</w:t>
      </w:r>
      <w:r w:rsidR="00E6084A">
        <w:rPr>
          <w:rFonts w:asciiTheme="minorHAnsi" w:hAnsiTheme="minorHAnsi"/>
          <w:color w:val="000000" w:themeColor="text1"/>
          <w:sz w:val="28"/>
          <w:szCs w:val="28"/>
        </w:rPr>
        <w:t>’</w:t>
      </w:r>
      <w:r w:rsidR="00706153">
        <w:rPr>
          <w:rFonts w:asciiTheme="minorHAnsi" w:hAnsiTheme="minorHAnsi"/>
          <w:color w:val="000000" w:themeColor="text1"/>
          <w:sz w:val="28"/>
          <w:szCs w:val="28"/>
        </w:rPr>
        <w:t>s Capacity to Raise Capital</w:t>
      </w:r>
    </w:p>
    <w:p w14:paraId="380FB6C2" w14:textId="3B64BF3F" w:rsidR="00706153" w:rsidRPr="00A33EB2" w:rsidRDefault="007664B1" w:rsidP="00A33EB2">
      <w:pPr>
        <w:pStyle w:val="BodyText"/>
        <w:rPr>
          <w:rFonts w:asciiTheme="minorHAnsi" w:hAnsiTheme="minorHAnsi"/>
          <w:color w:val="000000" w:themeColor="text1"/>
        </w:rPr>
      </w:pPr>
      <w:r>
        <w:rPr>
          <w:rFonts w:asciiTheme="minorHAnsi" w:hAnsiTheme="minorHAnsi"/>
          <w:color w:val="000000" w:themeColor="text1"/>
        </w:rPr>
        <w:t xml:space="preserve">The following </w:t>
      </w:r>
      <w:r w:rsidR="005F6145">
        <w:rPr>
          <w:rFonts w:asciiTheme="minorHAnsi" w:hAnsiTheme="minorHAnsi"/>
          <w:color w:val="000000" w:themeColor="text1"/>
        </w:rPr>
        <w:t>is designed simply as a reminder of considerations the lead</w:t>
      </w:r>
      <w:r w:rsidR="00AB06AD">
        <w:rPr>
          <w:rFonts w:asciiTheme="minorHAnsi" w:hAnsiTheme="minorHAnsi"/>
          <w:color w:val="000000" w:themeColor="text1"/>
        </w:rPr>
        <w:t xml:space="preserve"> </w:t>
      </w:r>
      <w:r w:rsidR="005F6145">
        <w:rPr>
          <w:rFonts w:asciiTheme="minorHAnsi" w:hAnsiTheme="minorHAnsi"/>
          <w:color w:val="000000" w:themeColor="text1"/>
        </w:rPr>
        <w:t xml:space="preserve">state would </w:t>
      </w:r>
      <w:r w:rsidR="00A33EB2">
        <w:rPr>
          <w:rFonts w:asciiTheme="minorHAnsi" w:hAnsiTheme="minorHAnsi"/>
          <w:color w:val="000000" w:themeColor="text1"/>
        </w:rPr>
        <w:t xml:space="preserve">contemplate </w:t>
      </w:r>
      <w:r w:rsidR="005F6145">
        <w:rPr>
          <w:rFonts w:asciiTheme="minorHAnsi" w:hAnsiTheme="minorHAnsi"/>
          <w:color w:val="000000" w:themeColor="text1"/>
        </w:rPr>
        <w:t xml:space="preserve">when discussing the </w:t>
      </w:r>
      <w:r w:rsidR="00C00EA5">
        <w:rPr>
          <w:rFonts w:asciiTheme="minorHAnsi" w:hAnsiTheme="minorHAnsi"/>
          <w:color w:val="000000" w:themeColor="text1"/>
        </w:rPr>
        <w:t>group</w:t>
      </w:r>
      <w:r w:rsidR="005F6145">
        <w:rPr>
          <w:rFonts w:asciiTheme="minorHAnsi" w:hAnsiTheme="minorHAnsi"/>
          <w:color w:val="000000" w:themeColor="text1"/>
        </w:rPr>
        <w:t xml:space="preserve"> system response to the issues identified in this section. More specifically, in most situations </w:t>
      </w:r>
      <w:r>
        <w:rPr>
          <w:rFonts w:asciiTheme="minorHAnsi" w:hAnsiTheme="minorHAnsi"/>
          <w:color w:val="000000" w:themeColor="text1"/>
        </w:rPr>
        <w:t>a</w:t>
      </w:r>
      <w:r w:rsidR="005F6145">
        <w:rPr>
          <w:rFonts w:asciiTheme="minorHAnsi" w:hAnsiTheme="minorHAnsi"/>
          <w:color w:val="000000" w:themeColor="text1"/>
        </w:rPr>
        <w:t xml:space="preserve"> </w:t>
      </w:r>
      <w:r w:rsidR="00C00EA5">
        <w:rPr>
          <w:rFonts w:asciiTheme="minorHAnsi" w:hAnsiTheme="minorHAnsi"/>
          <w:color w:val="000000" w:themeColor="text1"/>
        </w:rPr>
        <w:t>group</w:t>
      </w:r>
      <w:r w:rsidR="005F6145">
        <w:rPr>
          <w:rFonts w:asciiTheme="minorHAnsi" w:hAnsiTheme="minorHAnsi"/>
          <w:color w:val="000000" w:themeColor="text1"/>
        </w:rPr>
        <w:t xml:space="preserve"> will first consider ways to reduce risk</w:t>
      </w:r>
      <w:r w:rsidR="00AB06AD">
        <w:rPr>
          <w:rFonts w:asciiTheme="minorHAnsi" w:hAnsiTheme="minorHAnsi"/>
          <w:color w:val="000000" w:themeColor="text1"/>
        </w:rPr>
        <w:t>.</w:t>
      </w:r>
      <w:r w:rsidR="005F6145">
        <w:rPr>
          <w:rFonts w:asciiTheme="minorHAnsi" w:hAnsiTheme="minorHAnsi"/>
          <w:color w:val="000000" w:themeColor="text1"/>
        </w:rPr>
        <w:t xml:space="preserve"> </w:t>
      </w:r>
      <w:r w:rsidR="00AB06AD">
        <w:rPr>
          <w:rFonts w:asciiTheme="minorHAnsi" w:hAnsiTheme="minorHAnsi"/>
          <w:color w:val="000000" w:themeColor="text1"/>
        </w:rPr>
        <w:t>I</w:t>
      </w:r>
      <w:r w:rsidR="005F6145">
        <w:rPr>
          <w:rFonts w:asciiTheme="minorHAnsi" w:hAnsiTheme="minorHAnsi"/>
          <w:color w:val="000000" w:themeColor="text1"/>
        </w:rPr>
        <w:t>n limited situations</w:t>
      </w:r>
      <w:r w:rsidR="00AB06AD">
        <w:rPr>
          <w:rFonts w:asciiTheme="minorHAnsi" w:hAnsiTheme="minorHAnsi"/>
          <w:color w:val="000000" w:themeColor="text1"/>
        </w:rPr>
        <w:t>, it</w:t>
      </w:r>
      <w:r w:rsidR="005F6145">
        <w:rPr>
          <w:rFonts w:asciiTheme="minorHAnsi" w:hAnsiTheme="minorHAnsi"/>
          <w:color w:val="000000" w:themeColor="text1"/>
        </w:rPr>
        <w:t xml:space="preserve"> may consider trying to raise additional capital. While this is typically not an option for </w:t>
      </w:r>
      <w:r>
        <w:rPr>
          <w:rFonts w:asciiTheme="minorHAnsi" w:hAnsiTheme="minorHAnsi"/>
          <w:color w:val="000000" w:themeColor="text1"/>
        </w:rPr>
        <w:t>a</w:t>
      </w:r>
      <w:r w:rsidR="005F6145">
        <w:rPr>
          <w:rFonts w:asciiTheme="minorHAnsi" w:hAnsiTheme="minorHAnsi"/>
          <w:color w:val="000000" w:themeColor="text1"/>
        </w:rPr>
        <w:t xml:space="preserve"> </w:t>
      </w:r>
      <w:r w:rsidR="00C00EA5">
        <w:rPr>
          <w:rFonts w:asciiTheme="minorHAnsi" w:hAnsiTheme="minorHAnsi"/>
          <w:color w:val="000000" w:themeColor="text1"/>
        </w:rPr>
        <w:t>group</w:t>
      </w:r>
      <w:r w:rsidR="005F6145">
        <w:rPr>
          <w:rFonts w:asciiTheme="minorHAnsi" w:hAnsiTheme="minorHAnsi"/>
          <w:color w:val="000000" w:themeColor="text1"/>
        </w:rPr>
        <w:t xml:space="preserve"> that is currently not performing as it anticipated, in some situations alternative sources of capital </w:t>
      </w:r>
      <w:r w:rsidR="00AB06AD">
        <w:rPr>
          <w:rFonts w:asciiTheme="minorHAnsi" w:hAnsiTheme="minorHAnsi"/>
          <w:color w:val="000000" w:themeColor="text1"/>
        </w:rPr>
        <w:t>may</w:t>
      </w:r>
      <w:r w:rsidR="005F6145">
        <w:rPr>
          <w:rFonts w:asciiTheme="minorHAnsi" w:hAnsiTheme="minorHAnsi"/>
          <w:color w:val="000000" w:themeColor="text1"/>
        </w:rPr>
        <w:t xml:space="preserve"> be raised if the holders of the new capital are given rights that are attractive to the holder. In addition, in some cases the </w:t>
      </w:r>
      <w:r w:rsidR="00C00EA5">
        <w:rPr>
          <w:rFonts w:asciiTheme="minorHAnsi" w:hAnsiTheme="minorHAnsi"/>
          <w:color w:val="000000" w:themeColor="text1"/>
        </w:rPr>
        <w:t>group</w:t>
      </w:r>
      <w:r w:rsidR="005F6145">
        <w:rPr>
          <w:rFonts w:asciiTheme="minorHAnsi" w:hAnsiTheme="minorHAnsi"/>
          <w:color w:val="000000" w:themeColor="text1"/>
        </w:rPr>
        <w:t xml:space="preserve"> may have the ability to issue other forms of capital (</w:t>
      </w:r>
      <w:r w:rsidR="004B3849">
        <w:rPr>
          <w:rFonts w:asciiTheme="minorHAnsi" w:hAnsiTheme="minorHAnsi"/>
          <w:color w:val="000000" w:themeColor="text1"/>
        </w:rPr>
        <w:t xml:space="preserve">e.g., </w:t>
      </w:r>
      <w:r w:rsidR="005F6145">
        <w:rPr>
          <w:rFonts w:asciiTheme="minorHAnsi" w:hAnsiTheme="minorHAnsi"/>
          <w:color w:val="000000" w:themeColor="text1"/>
        </w:rPr>
        <w:t xml:space="preserve">debt), which </w:t>
      </w:r>
      <w:r w:rsidR="004B3849">
        <w:rPr>
          <w:rFonts w:asciiTheme="minorHAnsi" w:hAnsiTheme="minorHAnsi"/>
          <w:color w:val="000000" w:themeColor="text1"/>
        </w:rPr>
        <w:t>can</w:t>
      </w:r>
      <w:r w:rsidR="005F6145">
        <w:rPr>
          <w:rFonts w:asciiTheme="minorHAnsi" w:hAnsiTheme="minorHAnsi"/>
          <w:color w:val="000000" w:themeColor="text1"/>
        </w:rPr>
        <w:t xml:space="preserve"> be used to inject into the insurance </w:t>
      </w:r>
      <w:r w:rsidR="000B71A2">
        <w:rPr>
          <w:rFonts w:asciiTheme="minorHAnsi" w:hAnsiTheme="minorHAnsi"/>
          <w:color w:val="000000" w:themeColor="text1"/>
        </w:rPr>
        <w:t>subsidiaries</w:t>
      </w:r>
      <w:r w:rsidR="005F6145">
        <w:rPr>
          <w:rFonts w:asciiTheme="minorHAnsi" w:hAnsiTheme="minorHAnsi"/>
          <w:color w:val="000000" w:themeColor="text1"/>
        </w:rPr>
        <w:t>. While these facts are not unique to the utilization of the group capital calculation, they are worth a reminder along with relevant other related details.</w:t>
      </w:r>
    </w:p>
    <w:p w14:paraId="1DDA493C" w14:textId="4995AA90" w:rsidR="00706153" w:rsidRDefault="00706153" w:rsidP="00A33EB2">
      <w:pPr>
        <w:pStyle w:val="BodyText"/>
        <w:rPr>
          <w:rFonts w:asciiTheme="minorHAnsi" w:hAnsiTheme="minorHAnsi"/>
          <w:color w:val="000000" w:themeColor="text1"/>
        </w:rPr>
      </w:pPr>
    </w:p>
    <w:p w14:paraId="2D6E66A9" w14:textId="77777777" w:rsidR="00417767" w:rsidRDefault="00417767" w:rsidP="00A33EB2">
      <w:pPr>
        <w:jc w:val="both"/>
        <w:rPr>
          <w:rFonts w:asciiTheme="minorHAnsi" w:hAnsiTheme="minorHAnsi"/>
          <w:b/>
          <w:color w:val="000000" w:themeColor="text1"/>
          <w:sz w:val="22"/>
          <w:u w:val="single"/>
        </w:rPr>
      </w:pPr>
    </w:p>
    <w:p w14:paraId="44B9F404" w14:textId="77777777" w:rsidR="00382400" w:rsidRDefault="00382400" w:rsidP="00A33EB2">
      <w:pPr>
        <w:jc w:val="both"/>
        <w:rPr>
          <w:rFonts w:asciiTheme="minorHAnsi" w:hAnsiTheme="minorHAnsi"/>
          <w:b/>
          <w:color w:val="000000" w:themeColor="text1"/>
          <w:sz w:val="22"/>
          <w:u w:val="single"/>
        </w:rPr>
      </w:pPr>
    </w:p>
    <w:p w14:paraId="0DBD456F" w14:textId="7634053D" w:rsidR="00A33EB2" w:rsidRPr="00A33EB2" w:rsidRDefault="00A33EB2" w:rsidP="00A33EB2">
      <w:pPr>
        <w:jc w:val="both"/>
        <w:rPr>
          <w:rFonts w:asciiTheme="minorHAnsi" w:hAnsiTheme="minorHAnsi"/>
          <w:b/>
          <w:color w:val="000000" w:themeColor="text1"/>
          <w:sz w:val="22"/>
          <w:u w:val="single"/>
        </w:rPr>
      </w:pPr>
      <w:r w:rsidRPr="00A33EB2">
        <w:rPr>
          <w:rFonts w:asciiTheme="minorHAnsi" w:hAnsiTheme="minorHAnsi"/>
          <w:b/>
          <w:color w:val="000000" w:themeColor="text1"/>
          <w:sz w:val="22"/>
          <w:u w:val="single"/>
        </w:rPr>
        <w:lastRenderedPageBreak/>
        <w:t>New Equity Considerations</w:t>
      </w:r>
    </w:p>
    <w:p w14:paraId="5A384E8C" w14:textId="77777777" w:rsidR="00706153" w:rsidRPr="00706153" w:rsidRDefault="00706153" w:rsidP="00A33EB2">
      <w:pPr>
        <w:jc w:val="both"/>
        <w:rPr>
          <w:rFonts w:asciiTheme="minorHAnsi" w:hAnsiTheme="minorHAnsi"/>
          <w:b/>
          <w:color w:val="000000" w:themeColor="text1"/>
          <w:sz w:val="22"/>
        </w:rPr>
      </w:pPr>
      <w:r w:rsidRPr="00706153">
        <w:rPr>
          <w:rFonts w:asciiTheme="minorHAnsi" w:hAnsiTheme="minorHAnsi"/>
          <w:b/>
          <w:color w:val="000000" w:themeColor="text1"/>
          <w:sz w:val="22"/>
        </w:rPr>
        <w:t>Public Holding Company</w:t>
      </w:r>
    </w:p>
    <w:p w14:paraId="4458E41F" w14:textId="28DC552B" w:rsidR="00A33EB2" w:rsidRDefault="005F6145" w:rsidP="00A33EB2">
      <w:pPr>
        <w:pStyle w:val="BodyText"/>
        <w:rPr>
          <w:rFonts w:asciiTheme="minorHAnsi" w:hAnsiTheme="minorHAnsi"/>
          <w:color w:val="000000" w:themeColor="text1"/>
        </w:rPr>
      </w:pPr>
      <w:r>
        <w:rPr>
          <w:rFonts w:asciiTheme="minorHAnsi" w:hAnsiTheme="minorHAnsi"/>
          <w:color w:val="000000" w:themeColor="text1"/>
        </w:rPr>
        <w:t>While no two groups are the same, issuing public stock may be limited for the reasons previously identified. In addition, regulators are reminded that a</w:t>
      </w:r>
      <w:r w:rsidR="00706153" w:rsidRPr="00706153">
        <w:rPr>
          <w:rFonts w:asciiTheme="minorHAnsi" w:hAnsiTheme="minorHAnsi"/>
          <w:color w:val="000000" w:themeColor="text1"/>
        </w:rPr>
        <w:t xml:space="preserve"> public holding company may be obligated to pay dividends in order to maintain expectations of their shareholders</w:t>
      </w:r>
      <w:r>
        <w:rPr>
          <w:rFonts w:asciiTheme="minorHAnsi" w:hAnsiTheme="minorHAnsi"/>
          <w:color w:val="000000" w:themeColor="text1"/>
        </w:rPr>
        <w:t xml:space="preserve">, making </w:t>
      </w:r>
      <w:r w:rsidR="004B3849">
        <w:rPr>
          <w:rFonts w:asciiTheme="minorHAnsi" w:hAnsiTheme="minorHAnsi"/>
          <w:color w:val="000000" w:themeColor="text1"/>
        </w:rPr>
        <w:t xml:space="preserve">the </w:t>
      </w:r>
      <w:r>
        <w:rPr>
          <w:rFonts w:asciiTheme="minorHAnsi" w:hAnsiTheme="minorHAnsi"/>
          <w:color w:val="000000" w:themeColor="text1"/>
        </w:rPr>
        <w:t>reduc</w:t>
      </w:r>
      <w:r w:rsidR="004B3849">
        <w:rPr>
          <w:rFonts w:asciiTheme="minorHAnsi" w:hAnsiTheme="minorHAnsi"/>
          <w:color w:val="000000" w:themeColor="text1"/>
        </w:rPr>
        <w:t xml:space="preserve">tion of </w:t>
      </w:r>
      <w:r>
        <w:rPr>
          <w:rFonts w:asciiTheme="minorHAnsi" w:hAnsiTheme="minorHAnsi"/>
          <w:color w:val="000000" w:themeColor="text1"/>
        </w:rPr>
        <w:t>risk a more viable action under the circumstances.</w:t>
      </w:r>
    </w:p>
    <w:p w14:paraId="4D71EBA5" w14:textId="77777777" w:rsidR="00A33EB2" w:rsidRPr="00A33EB2" w:rsidRDefault="00A33EB2" w:rsidP="00A33EB2">
      <w:pPr>
        <w:pStyle w:val="BodyText"/>
        <w:rPr>
          <w:rFonts w:asciiTheme="minorHAnsi" w:hAnsiTheme="minorHAnsi"/>
          <w:color w:val="000000" w:themeColor="text1"/>
        </w:rPr>
      </w:pPr>
    </w:p>
    <w:p w14:paraId="1960DC6A" w14:textId="4BA998D4"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Private Holding Company</w:t>
      </w:r>
    </w:p>
    <w:p w14:paraId="33F47CAA" w14:textId="4626A10F" w:rsidR="00706153" w:rsidRDefault="005F6145" w:rsidP="00A33EB2">
      <w:pPr>
        <w:pStyle w:val="BodyText"/>
        <w:rPr>
          <w:rFonts w:asciiTheme="minorHAnsi" w:hAnsiTheme="minorHAnsi"/>
          <w:color w:val="000000" w:themeColor="text1"/>
          <w:szCs w:val="22"/>
        </w:rPr>
      </w:pPr>
      <w:r w:rsidRPr="00A33EB2">
        <w:rPr>
          <w:rFonts w:asciiTheme="minorHAnsi" w:hAnsiTheme="minorHAnsi"/>
          <w:color w:val="000000" w:themeColor="text1"/>
        </w:rPr>
        <w:t>While no two groups are alike, a</w:t>
      </w:r>
      <w:r w:rsidR="00706153" w:rsidRPr="00A33EB2">
        <w:rPr>
          <w:rFonts w:asciiTheme="minorHAnsi" w:hAnsiTheme="minorHAnsi"/>
          <w:color w:val="000000" w:themeColor="text1"/>
        </w:rPr>
        <w:t xml:space="preserve"> private company has some of the same characteristics as a public company in terms of </w:t>
      </w:r>
      <w:r w:rsidR="004B3849">
        <w:rPr>
          <w:rFonts w:asciiTheme="minorHAnsi" w:hAnsiTheme="minorHAnsi"/>
          <w:color w:val="000000" w:themeColor="text1"/>
        </w:rPr>
        <w:t xml:space="preserve">owners’ </w:t>
      </w:r>
      <w:r w:rsidR="00706153" w:rsidRPr="00A33EB2">
        <w:rPr>
          <w:rFonts w:asciiTheme="minorHAnsi" w:hAnsiTheme="minorHAnsi"/>
          <w:color w:val="000000" w:themeColor="text1"/>
        </w:rPr>
        <w:t xml:space="preserve">expectations, but usually such expectations differ from a public </w:t>
      </w:r>
      <w:r w:rsidR="00966A3B" w:rsidRPr="00A33EB2">
        <w:rPr>
          <w:rFonts w:asciiTheme="minorHAnsi" w:hAnsiTheme="minorHAnsi"/>
          <w:color w:val="000000" w:themeColor="text1"/>
        </w:rPr>
        <w:t>company,</w:t>
      </w:r>
      <w:r w:rsidRPr="00A33EB2">
        <w:rPr>
          <w:rFonts w:asciiTheme="minorHAnsi" w:hAnsiTheme="minorHAnsi"/>
          <w:color w:val="000000" w:themeColor="text1"/>
        </w:rPr>
        <w:t xml:space="preserve"> and it may be more feasible for a private company given their </w:t>
      </w:r>
      <w:r w:rsidR="00A33EB2" w:rsidRPr="00A33EB2">
        <w:rPr>
          <w:rFonts w:asciiTheme="minorHAnsi" w:hAnsiTheme="minorHAnsi"/>
          <w:color w:val="000000" w:themeColor="text1"/>
        </w:rPr>
        <w:t>access to specific individuals that may have a higher interest in higher capital rights.</w:t>
      </w:r>
    </w:p>
    <w:p w14:paraId="4BA77C67" w14:textId="77777777" w:rsidR="00A33EB2" w:rsidRPr="00706153" w:rsidRDefault="00A33EB2" w:rsidP="00A33EB2">
      <w:pPr>
        <w:pStyle w:val="BodyText"/>
        <w:rPr>
          <w:rFonts w:asciiTheme="minorHAnsi" w:hAnsiTheme="minorHAnsi"/>
          <w:color w:val="000000" w:themeColor="text1"/>
          <w:szCs w:val="22"/>
        </w:rPr>
      </w:pPr>
    </w:p>
    <w:p w14:paraId="455F5B67"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Mutual Insurance Company</w:t>
      </w:r>
    </w:p>
    <w:p w14:paraId="7642497E" w14:textId="678F2EA1"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A mutual insurer is limited in terms of its access to capital because it cannot issue new </w:t>
      </w:r>
      <w:r w:rsidR="00966A3B" w:rsidRPr="00706153">
        <w:rPr>
          <w:rFonts w:asciiTheme="minorHAnsi" w:hAnsiTheme="minorHAnsi"/>
          <w:color w:val="000000" w:themeColor="text1"/>
        </w:rPr>
        <w:t>stock</w:t>
      </w:r>
      <w:r w:rsidR="00966A3B">
        <w:rPr>
          <w:rFonts w:asciiTheme="minorHAnsi" w:hAnsiTheme="minorHAnsi"/>
          <w:color w:val="000000" w:themeColor="text1"/>
        </w:rPr>
        <w:t xml:space="preserve"> but</w:t>
      </w:r>
      <w:r w:rsidR="000B71A2">
        <w:rPr>
          <w:rFonts w:asciiTheme="minorHAnsi" w:hAnsiTheme="minorHAnsi"/>
          <w:color w:val="000000" w:themeColor="text1"/>
        </w:rPr>
        <w:t xml:space="preserve"> can issue surplus notes</w:t>
      </w:r>
      <w:r w:rsidRPr="00706153">
        <w:rPr>
          <w:rFonts w:asciiTheme="minorHAnsi" w:hAnsiTheme="minorHAnsi"/>
          <w:color w:val="000000" w:themeColor="text1"/>
        </w:rPr>
        <w:t>.</w:t>
      </w:r>
    </w:p>
    <w:p w14:paraId="38E92F05" w14:textId="77777777" w:rsidR="00A33EB2" w:rsidRPr="00706153" w:rsidRDefault="00A33EB2" w:rsidP="00A33EB2">
      <w:pPr>
        <w:pStyle w:val="BodyText"/>
        <w:rPr>
          <w:rFonts w:asciiTheme="minorHAnsi" w:hAnsiTheme="minorHAnsi"/>
          <w:color w:val="000000" w:themeColor="text1"/>
        </w:rPr>
      </w:pPr>
    </w:p>
    <w:p w14:paraId="680A6720"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Mutual Holding Company</w:t>
      </w:r>
    </w:p>
    <w:p w14:paraId="7223164E" w14:textId="7AFCB4BF"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Because mutual holding companies have characteristics of both public companies and mutual companies, there are implications of how such a structure affects its operations.</w:t>
      </w:r>
    </w:p>
    <w:p w14:paraId="5995D1B9" w14:textId="77777777" w:rsidR="00A33EB2" w:rsidRPr="00706153" w:rsidRDefault="00A33EB2" w:rsidP="00A33EB2">
      <w:pPr>
        <w:pStyle w:val="BodyText"/>
        <w:rPr>
          <w:rFonts w:asciiTheme="minorHAnsi" w:hAnsiTheme="minorHAnsi"/>
          <w:color w:val="000000" w:themeColor="text1"/>
        </w:rPr>
      </w:pPr>
    </w:p>
    <w:p w14:paraId="471BACD1"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Non-profit Health Company</w:t>
      </w:r>
    </w:p>
    <w:p w14:paraId="0BC198C8" w14:textId="4BAEF08F"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Insurers that are non-profits are generally charitable organizations and it is not uncommon that some types of insurers, particularly those that provide health insurance, to have some history as a non-profit. It may be helpful to understand these types of dynamics when considering a </w:t>
      </w:r>
      <w:r w:rsidR="007664B1" w:rsidRPr="00706153">
        <w:rPr>
          <w:rFonts w:asciiTheme="minorHAnsi" w:hAnsiTheme="minorHAnsi"/>
          <w:color w:val="000000" w:themeColor="text1"/>
        </w:rPr>
        <w:t>group</w:t>
      </w:r>
      <w:r w:rsidRPr="00706153">
        <w:rPr>
          <w:rFonts w:asciiTheme="minorHAnsi" w:hAnsiTheme="minorHAnsi"/>
          <w:color w:val="000000" w:themeColor="text1"/>
        </w:rPr>
        <w:t xml:space="preserve"> structure.</w:t>
      </w:r>
    </w:p>
    <w:p w14:paraId="602D16CA" w14:textId="77777777" w:rsidR="00A33EB2" w:rsidRPr="00706153" w:rsidRDefault="00A33EB2" w:rsidP="00A33EB2">
      <w:pPr>
        <w:pStyle w:val="BodyText"/>
        <w:rPr>
          <w:rFonts w:asciiTheme="minorHAnsi" w:hAnsiTheme="minorHAnsi"/>
          <w:color w:val="000000" w:themeColor="text1"/>
        </w:rPr>
      </w:pPr>
    </w:p>
    <w:p w14:paraId="1D0EF5BE" w14:textId="77777777"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Fraternal Associations</w:t>
      </w:r>
    </w:p>
    <w:p w14:paraId="61F63FA1" w14:textId="2EB3A913"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Regulators often find similarities between a fraternal benefit society and a mutual insurer because both can be limited in terms of their ability to raise additional </w:t>
      </w:r>
      <w:r w:rsidR="00966A3B" w:rsidRPr="00706153">
        <w:rPr>
          <w:rFonts w:asciiTheme="minorHAnsi" w:hAnsiTheme="minorHAnsi"/>
          <w:color w:val="000000" w:themeColor="text1"/>
        </w:rPr>
        <w:t>funds</w:t>
      </w:r>
      <w:r w:rsidR="00966A3B">
        <w:rPr>
          <w:rFonts w:asciiTheme="minorHAnsi" w:hAnsiTheme="minorHAnsi"/>
          <w:color w:val="000000" w:themeColor="text1"/>
        </w:rPr>
        <w:t xml:space="preserve"> but</w:t>
      </w:r>
      <w:r w:rsidR="000B71A2">
        <w:rPr>
          <w:rFonts w:asciiTheme="minorHAnsi" w:hAnsiTheme="minorHAnsi"/>
          <w:color w:val="000000" w:themeColor="text1"/>
        </w:rPr>
        <w:t xml:space="preserve"> can issue surplus notes. If allowed within state law and the charter, the fraternal could assess members or adjust members policy values</w:t>
      </w:r>
      <w:r w:rsidRPr="00706153">
        <w:rPr>
          <w:rFonts w:asciiTheme="minorHAnsi" w:hAnsiTheme="minorHAnsi"/>
          <w:color w:val="000000" w:themeColor="text1"/>
        </w:rPr>
        <w:t>.</w:t>
      </w:r>
    </w:p>
    <w:p w14:paraId="16D5A731" w14:textId="77777777" w:rsidR="00A33EB2" w:rsidRPr="00706153" w:rsidRDefault="00A33EB2" w:rsidP="00A33EB2">
      <w:pPr>
        <w:pStyle w:val="BodyText"/>
        <w:rPr>
          <w:rFonts w:asciiTheme="minorHAnsi" w:hAnsiTheme="minorHAnsi"/>
          <w:color w:val="000000" w:themeColor="text1"/>
        </w:rPr>
      </w:pPr>
    </w:p>
    <w:p w14:paraId="3EF3F9E0" w14:textId="77777777"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Reciprocal Exchanges</w:t>
      </w:r>
    </w:p>
    <w:p w14:paraId="30C5DFEA" w14:textId="3D6A1BF0" w:rsidR="00706153" w:rsidRP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Regulators often find similarities between reciprocal exchanges and fraternal benefit societies and mutual insurers because they can be limited in terms of their ability to raise additional funds. Although this is a general consideration for the regulator when evaluating the </w:t>
      </w:r>
      <w:r w:rsidR="00C00EA5">
        <w:rPr>
          <w:rFonts w:asciiTheme="minorHAnsi" w:hAnsiTheme="minorHAnsi"/>
          <w:color w:val="000000" w:themeColor="text1"/>
        </w:rPr>
        <w:t>group</w:t>
      </w:r>
      <w:r w:rsidRPr="00706153">
        <w:rPr>
          <w:rFonts w:asciiTheme="minorHAnsi" w:hAnsiTheme="minorHAnsi"/>
          <w:color w:val="000000" w:themeColor="text1"/>
        </w:rPr>
        <w:t xml:space="preserve"> system, there is generally much more that must be understood before coming to this conclusion because in some cases, the reciprocal may be able to assess policies that can serve a similar purpose as raising capital.</w:t>
      </w:r>
    </w:p>
    <w:p w14:paraId="322BF02C" w14:textId="3C617101" w:rsidR="00706153" w:rsidRDefault="00706153" w:rsidP="00A33EB2">
      <w:pPr>
        <w:pStyle w:val="BodyText"/>
        <w:rPr>
          <w:rFonts w:asciiTheme="minorHAnsi" w:hAnsiTheme="minorHAnsi"/>
          <w:color w:val="000000" w:themeColor="text1"/>
        </w:rPr>
      </w:pPr>
    </w:p>
    <w:p w14:paraId="043AFB63" w14:textId="2341502E" w:rsidR="00A33EB2" w:rsidRPr="00A33EB2" w:rsidRDefault="00A33EB2" w:rsidP="00A33EB2">
      <w:pPr>
        <w:jc w:val="both"/>
        <w:rPr>
          <w:rFonts w:asciiTheme="minorHAnsi" w:hAnsiTheme="minorHAnsi"/>
          <w:b/>
          <w:color w:val="000000" w:themeColor="text1"/>
          <w:sz w:val="22"/>
          <w:u w:val="single"/>
        </w:rPr>
      </w:pPr>
      <w:r w:rsidRPr="00A33EB2">
        <w:rPr>
          <w:rFonts w:asciiTheme="minorHAnsi" w:hAnsiTheme="minorHAnsi"/>
          <w:b/>
          <w:color w:val="000000" w:themeColor="text1"/>
          <w:sz w:val="22"/>
          <w:u w:val="single"/>
        </w:rPr>
        <w:t xml:space="preserve">New </w:t>
      </w:r>
      <w:r>
        <w:rPr>
          <w:rFonts w:asciiTheme="minorHAnsi" w:hAnsiTheme="minorHAnsi"/>
          <w:b/>
          <w:color w:val="000000" w:themeColor="text1"/>
          <w:sz w:val="22"/>
          <w:u w:val="single"/>
        </w:rPr>
        <w:t>Debt</w:t>
      </w:r>
      <w:r w:rsidRPr="00A33EB2">
        <w:rPr>
          <w:rFonts w:asciiTheme="minorHAnsi" w:hAnsiTheme="minorHAnsi"/>
          <w:b/>
          <w:color w:val="000000" w:themeColor="text1"/>
          <w:sz w:val="22"/>
          <w:u w:val="single"/>
        </w:rPr>
        <w:t xml:space="preserve"> Considerations</w:t>
      </w:r>
    </w:p>
    <w:p w14:paraId="013909D6" w14:textId="77777777" w:rsidR="00A33EB2" w:rsidRDefault="00A33EB2" w:rsidP="00A33EB2">
      <w:pPr>
        <w:pStyle w:val="BodyText"/>
        <w:rPr>
          <w:rFonts w:asciiTheme="minorHAnsi" w:hAnsiTheme="minorHAnsi"/>
          <w:color w:val="000000" w:themeColor="text1"/>
        </w:rPr>
      </w:pPr>
    </w:p>
    <w:p w14:paraId="1D721C24" w14:textId="6DD1A0EE" w:rsidR="00A33EB2" w:rsidRPr="00204F6E" w:rsidRDefault="00204F6E" w:rsidP="00204F6E">
      <w:pPr>
        <w:pStyle w:val="BodyText"/>
        <w:rPr>
          <w:rFonts w:asciiTheme="minorHAnsi" w:hAnsiTheme="minorHAnsi"/>
          <w:color w:val="000000" w:themeColor="text1"/>
        </w:rPr>
      </w:pPr>
      <w:r w:rsidRPr="00204F6E">
        <w:rPr>
          <w:rFonts w:asciiTheme="minorHAnsi" w:hAnsiTheme="minorHAnsi"/>
          <w:color w:val="000000" w:themeColor="text1"/>
        </w:rPr>
        <w:t xml:space="preserve">Through discussions with the </w:t>
      </w:r>
      <w:r w:rsidR="00C00EA5">
        <w:rPr>
          <w:rFonts w:asciiTheme="minorHAnsi" w:hAnsiTheme="minorHAnsi"/>
          <w:color w:val="000000" w:themeColor="text1"/>
        </w:rPr>
        <w:t>group</w:t>
      </w:r>
      <w:r w:rsidRPr="00204F6E">
        <w:rPr>
          <w:rFonts w:asciiTheme="minorHAnsi" w:hAnsiTheme="minorHAnsi"/>
          <w:color w:val="000000" w:themeColor="text1"/>
        </w:rPr>
        <w:t xml:space="preserve">, understand the potential impact of any new debt on the </w:t>
      </w:r>
      <w:r w:rsidR="00C00EA5">
        <w:rPr>
          <w:rFonts w:asciiTheme="minorHAnsi" w:hAnsiTheme="minorHAnsi"/>
          <w:color w:val="000000" w:themeColor="text1"/>
        </w:rPr>
        <w:t>group</w:t>
      </w:r>
      <w:r w:rsidR="00A33EB2" w:rsidRPr="00204F6E">
        <w:rPr>
          <w:rFonts w:asciiTheme="minorHAnsi" w:hAnsiTheme="minorHAnsi"/>
          <w:color w:val="000000" w:themeColor="text1"/>
        </w:rPr>
        <w:t xml:space="preserve"> system</w:t>
      </w:r>
      <w:r w:rsidRPr="00204F6E">
        <w:rPr>
          <w:rFonts w:asciiTheme="minorHAnsi" w:hAnsiTheme="minorHAnsi"/>
          <w:color w:val="000000" w:themeColor="text1"/>
        </w:rPr>
        <w:t xml:space="preserve">, including specifically the extent of future additional </w:t>
      </w:r>
      <w:r w:rsidR="00A33EB2" w:rsidRPr="00204F6E">
        <w:rPr>
          <w:rFonts w:asciiTheme="minorHAnsi" w:hAnsiTheme="minorHAnsi"/>
          <w:color w:val="000000" w:themeColor="text1"/>
        </w:rPr>
        <w:t>relian</w:t>
      </w:r>
      <w:r w:rsidRPr="00204F6E">
        <w:rPr>
          <w:rFonts w:asciiTheme="minorHAnsi" w:hAnsiTheme="minorHAnsi"/>
          <w:color w:val="000000" w:themeColor="text1"/>
        </w:rPr>
        <w:t>ce</w:t>
      </w:r>
      <w:r w:rsidR="00A33EB2" w:rsidRPr="00204F6E">
        <w:rPr>
          <w:rFonts w:asciiTheme="minorHAnsi" w:hAnsiTheme="minorHAnsi"/>
          <w:color w:val="000000" w:themeColor="text1"/>
        </w:rPr>
        <w:t xml:space="preserve"> </w:t>
      </w:r>
      <w:r w:rsidRPr="00204F6E">
        <w:rPr>
          <w:rFonts w:asciiTheme="minorHAnsi" w:hAnsiTheme="minorHAnsi"/>
          <w:color w:val="000000" w:themeColor="text1"/>
        </w:rPr>
        <w:t xml:space="preserve">on </w:t>
      </w:r>
      <w:r w:rsidR="00A33EB2" w:rsidRPr="00204F6E">
        <w:rPr>
          <w:rFonts w:asciiTheme="minorHAnsi" w:hAnsiTheme="minorHAnsi"/>
          <w:color w:val="000000" w:themeColor="text1"/>
        </w:rPr>
        <w:t>the insurance operations</w:t>
      </w:r>
      <w:r w:rsidRPr="00204F6E">
        <w:rPr>
          <w:rFonts w:asciiTheme="minorHAnsi" w:hAnsiTheme="minorHAnsi"/>
          <w:color w:val="000000" w:themeColor="text1"/>
        </w:rPr>
        <w:t xml:space="preserve"> and whether those insurers have the capacity for such. </w:t>
      </w:r>
      <w:r w:rsidR="00966A3B" w:rsidRPr="00204F6E">
        <w:rPr>
          <w:rFonts w:asciiTheme="minorHAnsi" w:hAnsiTheme="minorHAnsi"/>
          <w:color w:val="000000" w:themeColor="text1"/>
        </w:rPr>
        <w:t>Also consider</w:t>
      </w:r>
      <w:r w:rsidRPr="00204F6E">
        <w:rPr>
          <w:rFonts w:asciiTheme="minorHAnsi" w:hAnsiTheme="minorHAnsi"/>
          <w:color w:val="000000" w:themeColor="text1"/>
        </w:rPr>
        <w:t xml:space="preserve"> </w:t>
      </w:r>
      <w:r w:rsidR="009C705F" w:rsidRPr="00204F6E">
        <w:rPr>
          <w:rFonts w:asciiTheme="minorHAnsi" w:hAnsiTheme="minorHAnsi"/>
          <w:color w:val="000000" w:themeColor="text1"/>
        </w:rPr>
        <w:t>an</w:t>
      </w:r>
      <w:r w:rsidRPr="00204F6E">
        <w:rPr>
          <w:rFonts w:asciiTheme="minorHAnsi" w:hAnsiTheme="minorHAnsi"/>
          <w:color w:val="000000" w:themeColor="text1"/>
        </w:rPr>
        <w:t xml:space="preserve"> updated review </w:t>
      </w:r>
      <w:r w:rsidR="000279F6">
        <w:rPr>
          <w:rFonts w:asciiTheme="minorHAnsi" w:hAnsiTheme="minorHAnsi"/>
          <w:color w:val="000000" w:themeColor="text1"/>
        </w:rPr>
        <w:t>of</w:t>
      </w:r>
      <w:r w:rsidRPr="00204F6E">
        <w:rPr>
          <w:rFonts w:asciiTheme="minorHAnsi" w:hAnsiTheme="minorHAnsi"/>
          <w:color w:val="000000" w:themeColor="text1"/>
        </w:rPr>
        <w:t xml:space="preserve"> the following</w:t>
      </w:r>
      <w:r w:rsidR="00A33EB2" w:rsidRPr="00204F6E">
        <w:rPr>
          <w:rFonts w:asciiTheme="minorHAnsi" w:hAnsiTheme="minorHAnsi"/>
          <w:color w:val="000000" w:themeColor="text1"/>
        </w:rPr>
        <w:t>:</w:t>
      </w:r>
    </w:p>
    <w:p w14:paraId="3DAE5EEE" w14:textId="0F980238"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Total debt s</w:t>
      </w:r>
      <w:r w:rsidR="00A33EB2" w:rsidRPr="00204F6E">
        <w:rPr>
          <w:rFonts w:asciiTheme="minorHAnsi" w:hAnsiTheme="minorHAnsi"/>
          <w:color w:val="000000" w:themeColor="text1"/>
        </w:rPr>
        <w:t xml:space="preserve">ervice </w:t>
      </w:r>
      <w:r w:rsidR="007664B1" w:rsidRPr="00204F6E">
        <w:rPr>
          <w:rFonts w:asciiTheme="minorHAnsi" w:hAnsiTheme="minorHAnsi"/>
          <w:color w:val="000000" w:themeColor="text1"/>
        </w:rPr>
        <w:t>requirements.</w:t>
      </w:r>
    </w:p>
    <w:p w14:paraId="7908CFE0" w14:textId="4E44DD07"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R</w:t>
      </w:r>
      <w:r w:rsidR="00A33EB2" w:rsidRPr="00204F6E">
        <w:rPr>
          <w:rFonts w:asciiTheme="minorHAnsi" w:hAnsiTheme="minorHAnsi"/>
          <w:color w:val="000000" w:themeColor="text1"/>
        </w:rPr>
        <w:t>evenue streams</w:t>
      </w:r>
      <w:r w:rsidRPr="00204F6E">
        <w:rPr>
          <w:rFonts w:asciiTheme="minorHAnsi" w:hAnsiTheme="minorHAnsi"/>
          <w:color w:val="000000" w:themeColor="text1"/>
        </w:rPr>
        <w:t xml:space="preserve"> expected to be utilized to </w:t>
      </w:r>
      <w:r w:rsidR="007664B1" w:rsidRPr="00204F6E">
        <w:rPr>
          <w:rFonts w:asciiTheme="minorHAnsi" w:hAnsiTheme="minorHAnsi"/>
          <w:color w:val="000000" w:themeColor="text1"/>
        </w:rPr>
        <w:t>service</w:t>
      </w:r>
      <w:r w:rsidR="004B3849">
        <w:rPr>
          <w:rFonts w:asciiTheme="minorHAnsi" w:hAnsiTheme="minorHAnsi"/>
          <w:color w:val="000000" w:themeColor="text1"/>
        </w:rPr>
        <w:t xml:space="preserve"> the debt</w:t>
      </w:r>
      <w:r w:rsidR="007664B1" w:rsidRPr="00204F6E">
        <w:rPr>
          <w:rFonts w:asciiTheme="minorHAnsi" w:hAnsiTheme="minorHAnsi"/>
          <w:color w:val="000000" w:themeColor="text1"/>
        </w:rPr>
        <w:t>.</w:t>
      </w:r>
    </w:p>
    <w:p w14:paraId="5F178A83" w14:textId="0E909BC3"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 xml:space="preserve">Any new </w:t>
      </w:r>
      <w:r w:rsidR="00A33EB2" w:rsidRPr="00204F6E">
        <w:rPr>
          <w:rFonts w:asciiTheme="minorHAnsi" w:hAnsiTheme="minorHAnsi"/>
          <w:color w:val="000000" w:themeColor="text1"/>
        </w:rPr>
        <w:t xml:space="preserve">guarantees for the benefit of </w:t>
      </w:r>
      <w:r w:rsidR="007664B1" w:rsidRPr="00204F6E">
        <w:rPr>
          <w:rFonts w:asciiTheme="minorHAnsi" w:hAnsiTheme="minorHAnsi"/>
          <w:color w:val="000000" w:themeColor="text1"/>
        </w:rPr>
        <w:t>affiliates</w:t>
      </w:r>
      <w:r w:rsidR="007664B1">
        <w:rPr>
          <w:rFonts w:asciiTheme="minorHAnsi" w:hAnsiTheme="minorHAnsi"/>
          <w:color w:val="000000" w:themeColor="text1"/>
        </w:rPr>
        <w:t>.</w:t>
      </w:r>
    </w:p>
    <w:p w14:paraId="2529B389" w14:textId="05CF26B0"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lastRenderedPageBreak/>
        <w:t>Any new p</w:t>
      </w:r>
      <w:r w:rsidR="00A33EB2" w:rsidRPr="00204F6E">
        <w:rPr>
          <w:rFonts w:asciiTheme="minorHAnsi" w:hAnsiTheme="minorHAnsi"/>
          <w:color w:val="000000" w:themeColor="text1"/>
        </w:rPr>
        <w:t xml:space="preserve">ledge assets for the benefit of </w:t>
      </w:r>
      <w:r w:rsidR="007664B1" w:rsidRPr="00204F6E">
        <w:rPr>
          <w:rFonts w:asciiTheme="minorHAnsi" w:hAnsiTheme="minorHAnsi"/>
          <w:color w:val="000000" w:themeColor="text1"/>
        </w:rPr>
        <w:t>affiliates</w:t>
      </w:r>
      <w:r w:rsidR="007664B1">
        <w:rPr>
          <w:rFonts w:asciiTheme="minorHAnsi" w:hAnsiTheme="minorHAnsi"/>
          <w:color w:val="000000" w:themeColor="text1"/>
        </w:rPr>
        <w:t>.</w:t>
      </w:r>
    </w:p>
    <w:p w14:paraId="4BD9507B" w14:textId="49F80EA5"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Any new c</w:t>
      </w:r>
      <w:r w:rsidR="00A33EB2" w:rsidRPr="00204F6E">
        <w:rPr>
          <w:rFonts w:asciiTheme="minorHAnsi" w:hAnsiTheme="minorHAnsi"/>
          <w:color w:val="000000" w:themeColor="text1"/>
        </w:rPr>
        <w:t>ontingent liab</w:t>
      </w:r>
      <w:r w:rsidRPr="00204F6E">
        <w:rPr>
          <w:rFonts w:asciiTheme="minorHAnsi" w:hAnsiTheme="minorHAnsi"/>
          <w:color w:val="000000" w:themeColor="text1"/>
        </w:rPr>
        <w:t xml:space="preserve">ilities </w:t>
      </w:r>
      <w:r w:rsidR="00A33EB2" w:rsidRPr="00204F6E">
        <w:rPr>
          <w:rFonts w:asciiTheme="minorHAnsi" w:hAnsiTheme="minorHAnsi"/>
          <w:color w:val="000000" w:themeColor="text1"/>
        </w:rPr>
        <w:t>on behalf of its affiliates</w:t>
      </w:r>
      <w:r w:rsidR="00A41CFA">
        <w:rPr>
          <w:rFonts w:asciiTheme="minorHAnsi" w:hAnsiTheme="minorHAnsi"/>
          <w:color w:val="000000" w:themeColor="text1"/>
        </w:rPr>
        <w:t>.</w:t>
      </w:r>
    </w:p>
    <w:p w14:paraId="7076ED14" w14:textId="77777777" w:rsidR="00A33EB2" w:rsidRPr="00706153" w:rsidRDefault="00A33EB2" w:rsidP="00A33EB2">
      <w:pPr>
        <w:pStyle w:val="BodyText"/>
        <w:rPr>
          <w:rFonts w:asciiTheme="minorHAnsi" w:hAnsiTheme="minorHAnsi"/>
          <w:color w:val="000000" w:themeColor="text1"/>
        </w:rPr>
      </w:pPr>
    </w:p>
    <w:p w14:paraId="66B2E017" w14:textId="4EE25176" w:rsidR="00417767" w:rsidRDefault="00417767" w:rsidP="00706153">
      <w:pPr>
        <w:pStyle w:val="Heading2"/>
        <w:pBdr>
          <w:bottom w:val="single" w:sz="4" w:space="1" w:color="auto"/>
        </w:pBdr>
        <w:spacing w:after="120"/>
        <w:rPr>
          <w:rFonts w:asciiTheme="minorHAnsi" w:hAnsiTheme="minorHAnsi"/>
          <w:color w:val="000000" w:themeColor="text1"/>
          <w:sz w:val="28"/>
          <w:szCs w:val="28"/>
        </w:rPr>
      </w:pPr>
    </w:p>
    <w:p w14:paraId="5B5BF1BC" w14:textId="77777777" w:rsidR="004D447A" w:rsidRPr="004D447A" w:rsidRDefault="004D447A" w:rsidP="004D447A"/>
    <w:p w14:paraId="5AA98B7E" w14:textId="7F6527C0" w:rsidR="00706153" w:rsidRPr="00706153" w:rsidRDefault="00706153" w:rsidP="00706153">
      <w:pPr>
        <w:pStyle w:val="Heading2"/>
        <w:pBdr>
          <w:bottom w:val="single" w:sz="4" w:space="1" w:color="auto"/>
        </w:pBdr>
        <w:spacing w:after="120"/>
        <w:rPr>
          <w:rFonts w:asciiTheme="minorHAnsi" w:hAnsiTheme="minorHAnsi"/>
          <w:color w:val="000000" w:themeColor="text1"/>
          <w:sz w:val="28"/>
          <w:szCs w:val="28"/>
        </w:rPr>
      </w:pPr>
      <w:r w:rsidRPr="00706153">
        <w:rPr>
          <w:rFonts w:asciiTheme="minorHAnsi" w:hAnsiTheme="minorHAnsi"/>
          <w:color w:val="000000" w:themeColor="text1"/>
          <w:sz w:val="28"/>
          <w:szCs w:val="28"/>
        </w:rPr>
        <w:t>International Holding Company Considerations</w:t>
      </w:r>
    </w:p>
    <w:p w14:paraId="6964AD11" w14:textId="4850D563" w:rsidR="00F1286F" w:rsidRDefault="00F1286F" w:rsidP="00A33EB2">
      <w:pPr>
        <w:pStyle w:val="BodyText"/>
        <w:rPr>
          <w:rFonts w:asciiTheme="minorHAnsi" w:hAnsiTheme="minorHAnsi"/>
          <w:color w:val="000000" w:themeColor="text1"/>
        </w:rPr>
      </w:pPr>
      <w:r>
        <w:rPr>
          <w:rFonts w:asciiTheme="minorHAnsi" w:hAnsiTheme="minorHAnsi"/>
          <w:b/>
          <w:bCs/>
          <w:color w:val="000000" w:themeColor="text1"/>
          <w:u w:val="single"/>
        </w:rPr>
        <w:t>International Holding Company Structure</w:t>
      </w:r>
    </w:p>
    <w:p w14:paraId="355953DD" w14:textId="08B9C274" w:rsidR="00706153" w:rsidRDefault="002C1FFF" w:rsidP="00A33EB2">
      <w:pPr>
        <w:pStyle w:val="BodyText"/>
        <w:rPr>
          <w:rFonts w:asciiTheme="minorHAnsi" w:hAnsiTheme="minorHAnsi"/>
          <w:color w:val="000000" w:themeColor="text1"/>
        </w:rPr>
      </w:pPr>
      <w:r>
        <w:rPr>
          <w:rFonts w:asciiTheme="minorHAnsi" w:hAnsiTheme="minorHAnsi"/>
          <w:color w:val="000000" w:themeColor="text1"/>
        </w:rPr>
        <w:t xml:space="preserve">This section is applicable only to those </w:t>
      </w:r>
      <w:r w:rsidR="007664B1">
        <w:rPr>
          <w:rFonts w:asciiTheme="minorHAnsi" w:hAnsiTheme="minorHAnsi"/>
          <w:color w:val="000000" w:themeColor="text1"/>
        </w:rPr>
        <w:t xml:space="preserve">international </w:t>
      </w:r>
      <w:r>
        <w:rPr>
          <w:rFonts w:asciiTheme="minorHAnsi" w:hAnsiTheme="minorHAnsi"/>
          <w:color w:val="000000" w:themeColor="text1"/>
        </w:rPr>
        <w:t xml:space="preserve">groups </w:t>
      </w:r>
      <w:r w:rsidR="004C0A5E">
        <w:rPr>
          <w:rFonts w:asciiTheme="minorHAnsi" w:hAnsiTheme="minorHAnsi"/>
          <w:color w:val="000000" w:themeColor="text1"/>
        </w:rPr>
        <w:t>that</w:t>
      </w:r>
      <w:r>
        <w:rPr>
          <w:rFonts w:asciiTheme="minorHAnsi" w:hAnsiTheme="minorHAnsi"/>
          <w:color w:val="000000" w:themeColor="text1"/>
        </w:rPr>
        <w:t xml:space="preserve"> are required to complete the GCC</w:t>
      </w:r>
      <w:r w:rsidR="00CF4729">
        <w:rPr>
          <w:rFonts w:asciiTheme="minorHAnsi" w:hAnsiTheme="minorHAnsi"/>
          <w:color w:val="000000" w:themeColor="text1"/>
        </w:rPr>
        <w:t>,</w:t>
      </w:r>
      <w:r>
        <w:rPr>
          <w:rFonts w:asciiTheme="minorHAnsi" w:hAnsiTheme="minorHAnsi"/>
          <w:color w:val="000000" w:themeColor="text1"/>
        </w:rPr>
        <w:t xml:space="preserve"> which may be relatively </w:t>
      </w:r>
      <w:r w:rsidR="00966A3B">
        <w:rPr>
          <w:rFonts w:asciiTheme="minorHAnsi" w:hAnsiTheme="minorHAnsi"/>
          <w:color w:val="000000" w:themeColor="text1"/>
        </w:rPr>
        <w:t>few</w:t>
      </w:r>
      <w:r>
        <w:rPr>
          <w:rFonts w:asciiTheme="minorHAnsi" w:hAnsiTheme="minorHAnsi"/>
          <w:color w:val="000000" w:themeColor="text1"/>
        </w:rPr>
        <w:t xml:space="preserve"> considering </w:t>
      </w:r>
      <w:r w:rsidR="004B3849">
        <w:rPr>
          <w:rFonts w:asciiTheme="minorHAnsi" w:hAnsiTheme="minorHAnsi"/>
          <w:color w:val="000000" w:themeColor="text1"/>
        </w:rPr>
        <w:t>many</w:t>
      </w:r>
      <w:r>
        <w:rPr>
          <w:rFonts w:asciiTheme="minorHAnsi" w:hAnsiTheme="minorHAnsi"/>
          <w:color w:val="000000" w:themeColor="text1"/>
        </w:rPr>
        <w:t xml:space="preserve"> international holding compan</w:t>
      </w:r>
      <w:r w:rsidR="00CF4729">
        <w:rPr>
          <w:rFonts w:asciiTheme="minorHAnsi" w:hAnsiTheme="minorHAnsi"/>
          <w:color w:val="000000" w:themeColor="text1"/>
        </w:rPr>
        <w:t>ies</w:t>
      </w:r>
      <w:r>
        <w:rPr>
          <w:rFonts w:asciiTheme="minorHAnsi" w:hAnsiTheme="minorHAnsi"/>
          <w:color w:val="000000" w:themeColor="text1"/>
        </w:rPr>
        <w:t xml:space="preserve"> </w:t>
      </w:r>
      <w:r w:rsidR="004B3849">
        <w:rPr>
          <w:rFonts w:asciiTheme="minorHAnsi" w:hAnsiTheme="minorHAnsi"/>
          <w:color w:val="000000" w:themeColor="text1"/>
        </w:rPr>
        <w:t xml:space="preserve">have a non-US groupwide supervisor and </w:t>
      </w:r>
      <w:r>
        <w:rPr>
          <w:rFonts w:asciiTheme="minorHAnsi" w:hAnsiTheme="minorHAnsi"/>
          <w:color w:val="000000" w:themeColor="text1"/>
        </w:rPr>
        <w:t>are exempt from the GCC</w:t>
      </w:r>
      <w:r w:rsidR="004B3849">
        <w:rPr>
          <w:rFonts w:asciiTheme="minorHAnsi" w:hAnsiTheme="minorHAnsi"/>
          <w:color w:val="000000" w:themeColor="text1"/>
        </w:rPr>
        <w:t>.</w:t>
      </w:r>
      <w:r w:rsidR="0043277E">
        <w:rPr>
          <w:rFonts w:asciiTheme="minorHAnsi" w:hAnsiTheme="minorHAnsi"/>
          <w:color w:val="000000" w:themeColor="text1"/>
        </w:rPr>
        <w:t xml:space="preserve"> </w:t>
      </w:r>
      <w:r w:rsidR="004B3849">
        <w:rPr>
          <w:rFonts w:asciiTheme="minorHAnsi" w:hAnsiTheme="minorHAnsi"/>
          <w:color w:val="000000" w:themeColor="text1"/>
        </w:rPr>
        <w:t>T</w:t>
      </w:r>
      <w:r w:rsidR="0043277E">
        <w:rPr>
          <w:rFonts w:asciiTheme="minorHAnsi" w:hAnsiTheme="minorHAnsi"/>
          <w:color w:val="000000" w:themeColor="text1"/>
        </w:rPr>
        <w:t xml:space="preserve">hose </w:t>
      </w:r>
      <w:r w:rsidR="004B3849">
        <w:rPr>
          <w:rFonts w:asciiTheme="minorHAnsi" w:hAnsiTheme="minorHAnsi"/>
          <w:color w:val="000000" w:themeColor="text1"/>
        </w:rPr>
        <w:t>foreign groups that are required to complete the GCC will generally file a “subgroup” GCC that included entities that are part of the group’s U.S. operations</w:t>
      </w:r>
      <w:r w:rsidR="00390BF5">
        <w:rPr>
          <w:rFonts w:asciiTheme="minorHAnsi" w:hAnsiTheme="minorHAnsi"/>
          <w:color w:val="000000" w:themeColor="text1"/>
        </w:rPr>
        <w:t>.</w:t>
      </w:r>
      <w:r w:rsidR="004B3849">
        <w:rPr>
          <w:rFonts w:asciiTheme="minorHAnsi" w:hAnsiTheme="minorHAnsi"/>
          <w:color w:val="000000" w:themeColor="text1"/>
        </w:rPr>
        <w:t xml:space="preserve"> </w:t>
      </w:r>
      <w:r>
        <w:rPr>
          <w:rFonts w:asciiTheme="minorHAnsi" w:hAnsiTheme="minorHAnsi"/>
          <w:color w:val="000000" w:themeColor="text1"/>
        </w:rPr>
        <w:t>In those situations, the a</w:t>
      </w:r>
      <w:r w:rsidR="00706153" w:rsidRPr="00706153">
        <w:rPr>
          <w:rFonts w:asciiTheme="minorHAnsi" w:hAnsiTheme="minorHAnsi"/>
          <w:color w:val="000000" w:themeColor="text1"/>
        </w:rPr>
        <w:t xml:space="preserve">nalysts should understand the structure </w:t>
      </w:r>
      <w:r>
        <w:rPr>
          <w:rFonts w:asciiTheme="minorHAnsi" w:hAnsiTheme="minorHAnsi"/>
          <w:color w:val="000000" w:themeColor="text1"/>
        </w:rPr>
        <w:t xml:space="preserve">to determine if </w:t>
      </w:r>
      <w:r w:rsidR="004B3849">
        <w:rPr>
          <w:rFonts w:asciiTheme="minorHAnsi" w:hAnsiTheme="minorHAnsi"/>
          <w:color w:val="000000" w:themeColor="text1"/>
        </w:rPr>
        <w:t>it</w:t>
      </w:r>
      <w:r>
        <w:rPr>
          <w:rFonts w:asciiTheme="minorHAnsi" w:hAnsiTheme="minorHAnsi"/>
          <w:color w:val="000000" w:themeColor="text1"/>
        </w:rPr>
        <w:t xml:space="preserve"> has any impact on this analysis. </w:t>
      </w:r>
      <w:r w:rsidR="00706153" w:rsidRPr="00706153">
        <w:rPr>
          <w:rFonts w:asciiTheme="minorHAnsi" w:hAnsiTheme="minorHAnsi"/>
          <w:color w:val="000000" w:themeColor="text1"/>
        </w:rPr>
        <w:t xml:space="preserve">For example, a German-based holding company may have advisory boards established to communicate with U.S. regulators. Analysts should direct any regulatory concerns to the </w:t>
      </w:r>
      <w:r w:rsidR="004B3849">
        <w:rPr>
          <w:rFonts w:asciiTheme="minorHAnsi" w:hAnsiTheme="minorHAnsi"/>
          <w:color w:val="000000" w:themeColor="text1"/>
        </w:rPr>
        <w:t xml:space="preserve">appropriate </w:t>
      </w:r>
      <w:r w:rsidR="00706153" w:rsidRPr="00706153">
        <w:rPr>
          <w:rFonts w:asciiTheme="minorHAnsi" w:hAnsiTheme="minorHAnsi"/>
          <w:color w:val="000000" w:themeColor="text1"/>
        </w:rPr>
        <w:t>organization contact to ensure a prompt reply or resolution</w:t>
      </w:r>
      <w:r>
        <w:rPr>
          <w:rFonts w:asciiTheme="minorHAnsi" w:hAnsiTheme="minorHAnsi"/>
          <w:color w:val="000000" w:themeColor="text1"/>
        </w:rPr>
        <w:t xml:space="preserve"> if the </w:t>
      </w:r>
      <w:r w:rsidR="004C0A5E">
        <w:rPr>
          <w:rFonts w:asciiTheme="minorHAnsi" w:hAnsiTheme="minorHAnsi"/>
          <w:color w:val="000000" w:themeColor="text1"/>
        </w:rPr>
        <w:t xml:space="preserve">insurance </w:t>
      </w:r>
      <w:r>
        <w:rPr>
          <w:rFonts w:asciiTheme="minorHAnsi" w:hAnsiTheme="minorHAnsi"/>
          <w:color w:val="000000" w:themeColor="text1"/>
        </w:rPr>
        <w:t>regulator is not</w:t>
      </w:r>
      <w:r w:rsidR="004B3849">
        <w:rPr>
          <w:rFonts w:asciiTheme="minorHAnsi" w:hAnsiTheme="minorHAnsi"/>
          <w:color w:val="000000" w:themeColor="text1"/>
        </w:rPr>
        <w:t xml:space="preserve"> responding</w:t>
      </w:r>
      <w:r w:rsidR="00706153" w:rsidRPr="00706153">
        <w:rPr>
          <w:rFonts w:asciiTheme="minorHAnsi" w:hAnsiTheme="minorHAnsi"/>
          <w:color w:val="000000" w:themeColor="text1"/>
        </w:rPr>
        <w:t>.</w:t>
      </w:r>
    </w:p>
    <w:p w14:paraId="5AA183AD" w14:textId="77777777" w:rsidR="00A33EB2" w:rsidRPr="00706153" w:rsidRDefault="00A33EB2" w:rsidP="00A33EB2">
      <w:pPr>
        <w:pStyle w:val="BodyText"/>
        <w:rPr>
          <w:rFonts w:asciiTheme="minorHAnsi" w:hAnsiTheme="minorHAnsi"/>
          <w:color w:val="000000" w:themeColor="text1"/>
        </w:rPr>
      </w:pPr>
    </w:p>
    <w:p w14:paraId="5E177536" w14:textId="77777777" w:rsidR="00F1286F" w:rsidRDefault="00F1286F" w:rsidP="00F1286F">
      <w:pPr>
        <w:pStyle w:val="BodyText"/>
        <w:rPr>
          <w:rFonts w:asciiTheme="minorHAnsi" w:hAnsiTheme="minorHAnsi"/>
          <w:color w:val="000000" w:themeColor="text1"/>
        </w:rPr>
      </w:pPr>
      <w:r>
        <w:rPr>
          <w:rFonts w:asciiTheme="minorHAnsi" w:hAnsiTheme="minorHAnsi"/>
          <w:b/>
          <w:bCs/>
          <w:color w:val="000000" w:themeColor="text1"/>
          <w:u w:val="single"/>
        </w:rPr>
        <w:t>Capital / Operational Commitment to U.S. Operations</w:t>
      </w:r>
      <w:r>
        <w:rPr>
          <w:rFonts w:asciiTheme="minorHAnsi" w:hAnsiTheme="minorHAnsi"/>
          <w:color w:val="000000" w:themeColor="text1"/>
        </w:rPr>
        <w:t xml:space="preserve"> </w:t>
      </w:r>
    </w:p>
    <w:p w14:paraId="0FFDE04D" w14:textId="5A4E5339" w:rsidR="00706153" w:rsidRP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Some foreign holding companies may consider their U.S. enterprises non-core and consequently show weaker commitment to their ongoing business operations or financial support. In recent years, after sustaining continued losses from U.S. subsidiaries, several prominent foreign holding companies decided to cease their U.S. operations and liquidate their assets.</w:t>
      </w:r>
      <w:r w:rsidR="00CF4729">
        <w:rPr>
          <w:rFonts w:asciiTheme="minorHAnsi" w:hAnsiTheme="minorHAnsi"/>
          <w:color w:val="000000" w:themeColor="text1"/>
        </w:rPr>
        <w:t xml:space="preserve"> </w:t>
      </w:r>
      <w:r w:rsidRPr="00706153">
        <w:rPr>
          <w:rFonts w:asciiTheme="minorHAnsi" w:hAnsiTheme="minorHAnsi"/>
          <w:color w:val="000000" w:themeColor="text1"/>
        </w:rPr>
        <w:t>Analysts should be aware of a holding company’s stated commitment to ensure the continued stability of U.S. operations. This commitment may include a written or verbal parental guarantee.</w:t>
      </w:r>
    </w:p>
    <w:p w14:paraId="266AADA0" w14:textId="2F9A1370" w:rsidR="006D687C" w:rsidRDefault="006D687C">
      <w:pPr>
        <w:rPr>
          <w:rFonts w:asciiTheme="minorHAnsi" w:hAnsiTheme="minorHAnsi"/>
          <w:color w:val="000000" w:themeColor="text1"/>
          <w:sz w:val="22"/>
        </w:rPr>
      </w:pPr>
      <w:r>
        <w:rPr>
          <w:rFonts w:asciiTheme="minorHAnsi" w:hAnsiTheme="minorHAnsi"/>
          <w:color w:val="000000" w:themeColor="text1"/>
        </w:rPr>
        <w:br w:type="page"/>
      </w:r>
    </w:p>
    <w:p w14:paraId="44E87080" w14:textId="77777777" w:rsidR="007664B1" w:rsidRPr="00706153" w:rsidRDefault="007664B1" w:rsidP="007664B1">
      <w:pPr>
        <w:pStyle w:val="BodyText"/>
        <w:rPr>
          <w:rFonts w:asciiTheme="minorHAnsi" w:hAnsiTheme="minorHAnsi"/>
          <w:color w:val="000000" w:themeColor="text1"/>
        </w:rPr>
      </w:pPr>
    </w:p>
    <w:p w14:paraId="6593894C" w14:textId="1C4BDE29" w:rsidR="007664B1" w:rsidRPr="00706153" w:rsidRDefault="007664B1" w:rsidP="007664B1">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Primer on the Group Capital Calculation Formula </w:t>
      </w:r>
    </w:p>
    <w:p w14:paraId="193C3D43" w14:textId="596595AF" w:rsidR="00092888" w:rsidRPr="00092888" w:rsidRDefault="00092888" w:rsidP="00092888">
      <w:pPr>
        <w:pStyle w:val="BodyText"/>
        <w:rPr>
          <w:rFonts w:asciiTheme="minorHAnsi" w:hAnsiTheme="minorHAnsi"/>
          <w:color w:val="000000" w:themeColor="text1"/>
        </w:rPr>
      </w:pPr>
      <w:r w:rsidRPr="00092888">
        <w:rPr>
          <w:rFonts w:asciiTheme="minorHAnsi" w:hAnsiTheme="minorHAnsi"/>
          <w:color w:val="000000" w:themeColor="text1"/>
        </w:rPr>
        <w:t xml:space="preserve">The National Association of Insurance Commissioners (NAIC) began development of the Group Capital Calculation (GCC) in late 2015 following extensive deliberation on potential </w:t>
      </w:r>
      <w:r w:rsidR="000A61A6">
        <w:rPr>
          <w:rFonts w:asciiTheme="minorHAnsi" w:hAnsiTheme="minorHAnsi"/>
          <w:color w:val="000000" w:themeColor="text1"/>
        </w:rPr>
        <w:t>measurement</w:t>
      </w:r>
      <w:r w:rsidRPr="00092888">
        <w:rPr>
          <w:rFonts w:asciiTheme="minorHAnsi" w:hAnsiTheme="minorHAnsi"/>
          <w:color w:val="000000" w:themeColor="text1"/>
        </w:rPr>
        <w:t xml:space="preserve"> models and methodologies. The GCC uses a bottom-up aggregation approach, accounting for all available capital/financial resources, and the required regulatory capital based on the </w:t>
      </w:r>
      <w:r w:rsidR="000A61A6">
        <w:rPr>
          <w:rFonts w:asciiTheme="minorHAnsi" w:hAnsiTheme="minorHAnsi"/>
          <w:color w:val="000000" w:themeColor="text1"/>
        </w:rPr>
        <w:t xml:space="preserve">measurement </w:t>
      </w:r>
      <w:r w:rsidRPr="00092888">
        <w:rPr>
          <w:rFonts w:asciiTheme="minorHAnsi" w:hAnsiTheme="minorHAnsi"/>
          <w:color w:val="000000" w:themeColor="text1"/>
        </w:rPr>
        <w:t>of assets and liabilities of the various corporate entities, including insurers, financial and non-financial businesses.</w:t>
      </w:r>
    </w:p>
    <w:p w14:paraId="5E8DF21F" w14:textId="77777777" w:rsidR="00092888" w:rsidRDefault="00092888" w:rsidP="00092888">
      <w:pPr>
        <w:pStyle w:val="BodyText"/>
        <w:rPr>
          <w:rFonts w:asciiTheme="minorHAnsi" w:hAnsiTheme="minorHAnsi"/>
          <w:color w:val="000000" w:themeColor="text1"/>
        </w:rPr>
      </w:pPr>
    </w:p>
    <w:p w14:paraId="3706F3A1" w14:textId="292C4799" w:rsidR="00092888" w:rsidRPr="00092888" w:rsidRDefault="00092888" w:rsidP="00092888">
      <w:pPr>
        <w:pStyle w:val="BodyText"/>
        <w:keepNext/>
        <w:keepLines/>
        <w:widowControl w:val="0"/>
        <w:rPr>
          <w:rFonts w:asciiTheme="minorHAnsi" w:hAnsiTheme="minorHAnsi"/>
          <w:b/>
          <w:bCs/>
          <w:color w:val="000000" w:themeColor="text1"/>
        </w:rPr>
      </w:pPr>
      <w:r w:rsidRPr="00092888">
        <w:rPr>
          <w:rFonts w:asciiTheme="minorHAnsi" w:hAnsiTheme="minorHAnsi"/>
          <w:b/>
          <w:bCs/>
          <w:color w:val="000000" w:themeColor="text1"/>
        </w:rPr>
        <w:t>The GCC Aggregation Methodology</w:t>
      </w:r>
    </w:p>
    <w:p w14:paraId="59A9E9C4" w14:textId="3FBBDA1C" w:rsidR="00DF7DC1" w:rsidRDefault="00092888" w:rsidP="00092888">
      <w:pPr>
        <w:pStyle w:val="BodyText"/>
        <w:keepNext/>
        <w:keepLines/>
        <w:widowControl w:val="0"/>
        <w:rPr>
          <w:rFonts w:asciiTheme="minorHAnsi" w:hAnsiTheme="minorHAnsi"/>
          <w:color w:val="000000" w:themeColor="text1"/>
        </w:rPr>
      </w:pPr>
      <w:r w:rsidRPr="00092888">
        <w:rPr>
          <w:rFonts w:asciiTheme="minorHAnsi" w:hAnsiTheme="minorHAnsi"/>
          <w:color w:val="000000" w:themeColor="text1"/>
        </w:rPr>
        <w:t xml:space="preserve">As </w:t>
      </w:r>
      <w:r w:rsidR="00E6084A">
        <w:rPr>
          <w:rFonts w:asciiTheme="minorHAnsi" w:hAnsiTheme="minorHAnsi"/>
          <w:color w:val="000000" w:themeColor="text1"/>
        </w:rPr>
        <w:t>illustrated in the sample tables</w:t>
      </w:r>
      <w:r w:rsidRPr="00092888">
        <w:rPr>
          <w:rFonts w:asciiTheme="minorHAnsi" w:hAnsiTheme="minorHAnsi"/>
          <w:color w:val="000000" w:themeColor="text1"/>
        </w:rPr>
        <w:t xml:space="preserve"> above, the proposed GCC is an aggregation or grouping of the available financial resources and calculated required capital of all legal entities in an insurance group</w:t>
      </w:r>
      <w:r w:rsidR="00DF7DC1">
        <w:rPr>
          <w:rFonts w:asciiTheme="minorHAnsi" w:hAnsiTheme="minorHAnsi"/>
          <w:color w:val="000000" w:themeColor="text1"/>
        </w:rPr>
        <w:t xml:space="preserve"> that potentially pose material risk to the insurers in the group</w:t>
      </w:r>
      <w:r w:rsidRPr="00092888">
        <w:rPr>
          <w:rFonts w:asciiTheme="minorHAnsi" w:hAnsiTheme="minorHAnsi"/>
          <w:color w:val="000000" w:themeColor="text1"/>
        </w:rPr>
        <w:t xml:space="preserve">. </w:t>
      </w:r>
      <w:r w:rsidR="00DF7DC1">
        <w:rPr>
          <w:rFonts w:asciiTheme="minorHAnsi" w:hAnsiTheme="minorHAnsi"/>
          <w:color w:val="000000" w:themeColor="text1"/>
        </w:rPr>
        <w:t>The GCC allows some discretion in determining what entities under common control but outside of the defined Insurance Group may be excluded from the scope of application in the GCC. When reviewing a group’s choice of entities to be excluded from application of the GCC, the following points should be considered:</w:t>
      </w:r>
    </w:p>
    <w:p w14:paraId="6B5C6845" w14:textId="0186E64C" w:rsidR="00DF7DC1" w:rsidRDefault="00DF7DC1" w:rsidP="00092888">
      <w:pPr>
        <w:pStyle w:val="BodyText"/>
        <w:keepNext/>
        <w:keepLines/>
        <w:widowControl w:val="0"/>
        <w:rPr>
          <w:rFonts w:asciiTheme="minorHAnsi" w:hAnsiTheme="minorHAnsi"/>
          <w:color w:val="000000" w:themeColor="text1"/>
        </w:rPr>
      </w:pPr>
    </w:p>
    <w:p w14:paraId="77F6715E" w14:textId="62153B2F"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Pr>
          <w:rFonts w:asciiTheme="minorHAnsi" w:hAnsiTheme="minorHAnsi"/>
          <w:color w:val="000000" w:themeColor="text1"/>
        </w:rPr>
        <w:t>T</w:t>
      </w:r>
      <w:r w:rsidRPr="00B90817">
        <w:rPr>
          <w:rFonts w:asciiTheme="minorHAnsi" w:hAnsiTheme="minorHAnsi"/>
          <w:color w:val="000000" w:themeColor="text1"/>
        </w:rPr>
        <w:t xml:space="preserve">he regulatory evaluation </w:t>
      </w:r>
      <w:r>
        <w:rPr>
          <w:rFonts w:asciiTheme="minorHAnsi" w:hAnsiTheme="minorHAnsi"/>
          <w:color w:val="000000" w:themeColor="text1"/>
        </w:rPr>
        <w:t>should be</w:t>
      </w:r>
      <w:r w:rsidRPr="00B90817">
        <w:rPr>
          <w:rFonts w:asciiTheme="minorHAnsi" w:hAnsiTheme="minorHAnsi"/>
          <w:color w:val="000000" w:themeColor="text1"/>
        </w:rPr>
        <w:t xml:space="preserve"> based on </w:t>
      </w:r>
      <w:r>
        <w:rPr>
          <w:rFonts w:asciiTheme="minorHAnsi" w:hAnsiTheme="minorHAnsi"/>
          <w:color w:val="000000" w:themeColor="text1"/>
        </w:rPr>
        <w:t xml:space="preserve">the criteria for material risk </w:t>
      </w:r>
      <w:r w:rsidRPr="00B90817">
        <w:rPr>
          <w:rFonts w:asciiTheme="minorHAnsi" w:hAnsiTheme="minorHAnsi"/>
          <w:color w:val="000000" w:themeColor="text1"/>
        </w:rPr>
        <w:t>(</w:t>
      </w:r>
      <w:r w:rsidR="00966A3B">
        <w:rPr>
          <w:rFonts w:asciiTheme="minorHAnsi" w:hAnsiTheme="minorHAnsi"/>
          <w:color w:val="000000" w:themeColor="text1"/>
        </w:rPr>
        <w:t>e.g.,</w:t>
      </w:r>
      <w:r w:rsidRPr="00B90817">
        <w:rPr>
          <w:rFonts w:asciiTheme="minorHAnsi" w:hAnsiTheme="minorHAnsi"/>
          <w:color w:val="000000" w:themeColor="text1"/>
        </w:rPr>
        <w:t xml:space="preserve"> structural separation; no history of cross subsidies, or other criteria</w:t>
      </w:r>
      <w:r>
        <w:rPr>
          <w:rFonts w:asciiTheme="minorHAnsi" w:hAnsiTheme="minorHAnsi"/>
          <w:color w:val="000000" w:themeColor="text1"/>
        </w:rPr>
        <w:t xml:space="preserve"> as defined in the GCC instructions</w:t>
      </w:r>
      <w:r w:rsidR="00966A3B" w:rsidRPr="00B90817">
        <w:rPr>
          <w:rFonts w:asciiTheme="minorHAnsi" w:hAnsiTheme="minorHAnsi"/>
          <w:color w:val="000000" w:themeColor="text1"/>
        </w:rPr>
        <w:t>)</w:t>
      </w:r>
      <w:r w:rsidR="00966A3B">
        <w:rPr>
          <w:rFonts w:asciiTheme="minorHAnsi" w:hAnsiTheme="minorHAnsi"/>
          <w:color w:val="000000" w:themeColor="text1"/>
        </w:rPr>
        <w:t>.</w:t>
      </w:r>
    </w:p>
    <w:p w14:paraId="44682C31" w14:textId="1D6A1C6B"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sidRPr="00B90817">
        <w:rPr>
          <w:rFonts w:asciiTheme="minorHAnsi" w:hAnsiTheme="minorHAnsi"/>
          <w:color w:val="000000" w:themeColor="text1"/>
        </w:rPr>
        <w:t xml:space="preserve">Group requests for reducing the scope of application of the base GCC should be based on </w:t>
      </w:r>
      <w:r>
        <w:rPr>
          <w:rFonts w:asciiTheme="minorHAnsi" w:hAnsiTheme="minorHAnsi"/>
          <w:color w:val="000000" w:themeColor="text1"/>
        </w:rPr>
        <w:t>supporting information and rationale provided</w:t>
      </w:r>
      <w:r w:rsidRPr="00B90817">
        <w:rPr>
          <w:rFonts w:asciiTheme="minorHAnsi" w:hAnsiTheme="minorHAnsi"/>
          <w:color w:val="000000" w:themeColor="text1"/>
        </w:rPr>
        <w:t xml:space="preserve"> by the </w:t>
      </w:r>
      <w:r w:rsidR="00966A3B" w:rsidRPr="00B90817">
        <w:rPr>
          <w:rFonts w:asciiTheme="minorHAnsi" w:hAnsiTheme="minorHAnsi"/>
          <w:color w:val="000000" w:themeColor="text1"/>
        </w:rPr>
        <w:t>Group</w:t>
      </w:r>
      <w:r w:rsidR="00966A3B">
        <w:rPr>
          <w:rFonts w:asciiTheme="minorHAnsi" w:hAnsiTheme="minorHAnsi"/>
          <w:color w:val="000000" w:themeColor="text1"/>
        </w:rPr>
        <w:t>.</w:t>
      </w:r>
    </w:p>
    <w:p w14:paraId="6B74362E" w14:textId="317C9981"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Pr>
          <w:rFonts w:asciiTheme="minorHAnsi" w:hAnsiTheme="minorHAnsi"/>
          <w:color w:val="000000" w:themeColor="text1"/>
        </w:rPr>
        <w:t>I</w:t>
      </w:r>
      <w:r w:rsidRPr="00B90817">
        <w:rPr>
          <w:rFonts w:asciiTheme="minorHAnsi" w:hAnsiTheme="minorHAnsi"/>
          <w:color w:val="000000" w:themeColor="text1"/>
        </w:rPr>
        <w:t xml:space="preserve">nformation on excluded entities </w:t>
      </w:r>
      <w:r>
        <w:rPr>
          <w:rFonts w:asciiTheme="minorHAnsi" w:hAnsiTheme="minorHAnsi"/>
          <w:color w:val="000000" w:themeColor="text1"/>
        </w:rPr>
        <w:t xml:space="preserve">should be </w:t>
      </w:r>
      <w:r w:rsidRPr="00B90817">
        <w:rPr>
          <w:rFonts w:asciiTheme="minorHAnsi" w:hAnsiTheme="minorHAnsi"/>
          <w:color w:val="000000" w:themeColor="text1"/>
        </w:rPr>
        <w:t xml:space="preserve">made available upon request </w:t>
      </w:r>
      <w:r>
        <w:rPr>
          <w:rFonts w:asciiTheme="minorHAnsi" w:hAnsiTheme="minorHAnsi"/>
          <w:color w:val="000000" w:themeColor="text1"/>
        </w:rPr>
        <w:t>by the analyst.</w:t>
      </w:r>
    </w:p>
    <w:p w14:paraId="2F3D94C1" w14:textId="77777777" w:rsidR="00DF7DC1" w:rsidRDefault="00DF7DC1" w:rsidP="00092888">
      <w:pPr>
        <w:pStyle w:val="BodyText"/>
        <w:keepNext/>
        <w:keepLines/>
        <w:widowControl w:val="0"/>
        <w:rPr>
          <w:rFonts w:asciiTheme="minorHAnsi" w:hAnsiTheme="minorHAnsi"/>
          <w:color w:val="000000" w:themeColor="text1"/>
        </w:rPr>
      </w:pPr>
    </w:p>
    <w:p w14:paraId="169FCF47" w14:textId="0AD0F756" w:rsidR="00092888" w:rsidRPr="00092888" w:rsidRDefault="00092888" w:rsidP="00092888">
      <w:pPr>
        <w:pStyle w:val="BodyText"/>
        <w:keepNext/>
        <w:keepLines/>
        <w:widowControl w:val="0"/>
        <w:rPr>
          <w:rFonts w:asciiTheme="minorHAnsi" w:hAnsiTheme="minorHAnsi"/>
          <w:color w:val="000000" w:themeColor="text1"/>
        </w:rPr>
      </w:pPr>
      <w:r w:rsidRPr="00092888">
        <w:rPr>
          <w:rFonts w:asciiTheme="minorHAnsi" w:hAnsiTheme="minorHAnsi"/>
          <w:color w:val="000000" w:themeColor="text1"/>
        </w:rPr>
        <w:t xml:space="preserve">The </w:t>
      </w:r>
      <w:r>
        <w:rPr>
          <w:rFonts w:asciiTheme="minorHAnsi" w:hAnsiTheme="minorHAnsi"/>
          <w:color w:val="000000" w:themeColor="text1"/>
        </w:rPr>
        <w:t xml:space="preserve">GCC includes the following </w:t>
      </w:r>
      <w:r w:rsidRPr="00092888">
        <w:rPr>
          <w:rFonts w:asciiTheme="minorHAnsi" w:hAnsiTheme="minorHAnsi"/>
          <w:color w:val="000000" w:themeColor="text1"/>
        </w:rPr>
        <w:t xml:space="preserve">types of entities and </w:t>
      </w:r>
      <w:r>
        <w:rPr>
          <w:rFonts w:asciiTheme="minorHAnsi" w:hAnsiTheme="minorHAnsi"/>
          <w:color w:val="000000" w:themeColor="text1"/>
        </w:rPr>
        <w:t>sets forth the general approach of calculated capital toward each.</w:t>
      </w:r>
    </w:p>
    <w:p w14:paraId="0BDF985C" w14:textId="77777777" w:rsidR="00092888" w:rsidRPr="00092888" w:rsidRDefault="00092888" w:rsidP="00092888">
      <w:pPr>
        <w:pStyle w:val="BodyText"/>
        <w:rPr>
          <w:rFonts w:asciiTheme="minorHAnsi" w:hAnsiTheme="minorHAnsi"/>
          <w:color w:val="000000" w:themeColor="text1"/>
        </w:rPr>
      </w:pPr>
    </w:p>
    <w:p w14:paraId="1BE4B26D" w14:textId="02C0F5E5" w:rsidR="00092888" w:rsidRPr="00092888" w:rsidRDefault="00092888" w:rsidP="00092888">
      <w:pPr>
        <w:pStyle w:val="BodyText"/>
        <w:rPr>
          <w:rFonts w:asciiTheme="minorHAnsi" w:hAnsiTheme="minorHAnsi"/>
          <w:color w:val="000000" w:themeColor="text1"/>
        </w:rPr>
      </w:pPr>
      <w:r w:rsidRPr="00092888">
        <w:rPr>
          <w:rFonts w:asciiTheme="minorHAnsi" w:hAnsiTheme="minorHAnsi"/>
          <w:color w:val="000000" w:themeColor="text1"/>
          <w:u w:val="single"/>
        </w:rPr>
        <w:t>U.S. Insurers –</w:t>
      </w:r>
      <w:r w:rsidRPr="00092888">
        <w:rPr>
          <w:rFonts w:asciiTheme="minorHAnsi" w:hAnsiTheme="minorHAnsi"/>
          <w:color w:val="000000" w:themeColor="text1"/>
        </w:rPr>
        <w:t xml:space="preserve"> The available capital of U.S. domiciled insurers is determined by statutory accounting principles (SAP) as defined by state law and the NAIC Accounting Practices and Procedures Manual, which defines assets, liabilities, and in-turn net available capital/financial resources, sometimes referred to as policyholder surplus. The calculated capital for these insurers is subject to state law that requires these insurers to maintain minimum capital based on the applicable NAIC Risk-Based Capital formula</w:t>
      </w:r>
      <w:r w:rsidR="00E1539C">
        <w:rPr>
          <w:rFonts w:asciiTheme="minorHAnsi" w:hAnsiTheme="minorHAnsi"/>
          <w:color w:val="000000" w:themeColor="text1"/>
        </w:rPr>
        <w:t xml:space="preserve"> at </w:t>
      </w:r>
      <w:r w:rsidR="00482C0C">
        <w:rPr>
          <w:rFonts w:asciiTheme="minorHAnsi" w:hAnsiTheme="minorHAnsi"/>
          <w:color w:val="000000" w:themeColor="text1"/>
        </w:rPr>
        <w:t>2</w:t>
      </w:r>
      <w:r w:rsidR="00E1539C">
        <w:rPr>
          <w:rFonts w:asciiTheme="minorHAnsi" w:hAnsiTheme="minorHAnsi"/>
          <w:color w:val="000000" w:themeColor="text1"/>
        </w:rPr>
        <w:t xml:space="preserve">00% x Authorized Control Level </w:t>
      </w:r>
      <w:r w:rsidRPr="00092888">
        <w:rPr>
          <w:rFonts w:asciiTheme="minorHAnsi" w:hAnsiTheme="minorHAnsi"/>
          <w:color w:val="000000" w:themeColor="text1"/>
        </w:rPr>
        <w:t>.</w:t>
      </w:r>
    </w:p>
    <w:p w14:paraId="2F9DD17F" w14:textId="77777777" w:rsidR="00092888" w:rsidRPr="00092888" w:rsidRDefault="00092888" w:rsidP="00092888">
      <w:pPr>
        <w:pStyle w:val="BodyText"/>
        <w:rPr>
          <w:rFonts w:asciiTheme="minorHAnsi" w:hAnsiTheme="minorHAnsi"/>
          <w:color w:val="000000" w:themeColor="text1"/>
        </w:rPr>
      </w:pPr>
    </w:p>
    <w:p w14:paraId="48E29BC4" w14:textId="60C6B0B0" w:rsidR="00DB480C" w:rsidRDefault="00092888" w:rsidP="00092888">
      <w:pPr>
        <w:pStyle w:val="BodyText"/>
        <w:rPr>
          <w:rFonts w:asciiTheme="minorHAnsi" w:hAnsiTheme="minorHAnsi"/>
          <w:color w:val="000000" w:themeColor="text1"/>
        </w:rPr>
      </w:pPr>
      <w:r w:rsidRPr="00092888">
        <w:rPr>
          <w:rFonts w:asciiTheme="minorHAnsi" w:hAnsiTheme="minorHAnsi"/>
          <w:color w:val="000000" w:themeColor="text1"/>
          <w:u w:val="single"/>
        </w:rPr>
        <w:t>Non-U.S. insurers</w:t>
      </w:r>
      <w:r w:rsidRPr="00092888">
        <w:rPr>
          <w:rFonts w:asciiTheme="minorHAnsi" w:hAnsiTheme="minorHAnsi"/>
          <w:color w:val="000000" w:themeColor="text1"/>
        </w:rPr>
        <w:t xml:space="preserve"> – Similar to the available capital and calculated required capital of U.S. insurers, the available and calculated capital of non-U.S. insurers is determined by reference to the home jurisdiction’s </w:t>
      </w:r>
      <w:r w:rsidR="00E1539C">
        <w:rPr>
          <w:rFonts w:asciiTheme="minorHAnsi" w:hAnsiTheme="minorHAnsi"/>
          <w:color w:val="000000" w:themeColor="text1"/>
        </w:rPr>
        <w:t xml:space="preserve">basis of accounting and </w:t>
      </w:r>
      <w:r w:rsidRPr="00092888">
        <w:rPr>
          <w:rFonts w:asciiTheme="minorHAnsi" w:hAnsiTheme="minorHAnsi"/>
          <w:color w:val="000000" w:themeColor="text1"/>
        </w:rPr>
        <w:t>capital requirements</w:t>
      </w:r>
      <w:r w:rsidR="00E1539C">
        <w:rPr>
          <w:rFonts w:asciiTheme="minorHAnsi" w:hAnsiTheme="minorHAnsi"/>
          <w:color w:val="000000" w:themeColor="text1"/>
        </w:rPr>
        <w:t xml:space="preserve"> converted to U.S. dollars</w:t>
      </w:r>
      <w:r w:rsidRPr="00092888">
        <w:rPr>
          <w:rFonts w:asciiTheme="minorHAnsi" w:hAnsiTheme="minorHAnsi"/>
          <w:color w:val="000000" w:themeColor="text1"/>
        </w:rPr>
        <w:t>. While most non-U.S. jurisdictions do not possess the same level of industry specific technical guidance, as included in the NAIC Accounting Practices and Procedures Manual, all jurisdictions have established accounting standards that insurers are required to follow to determine available capital/financial resources. In some cases, this represents local Generally Accepted Accounting Principles (GAAP), which may or may not be consistent with International Financial Reporting Standards (IFRS).</w:t>
      </w:r>
    </w:p>
    <w:p w14:paraId="72CC5F66" w14:textId="77777777" w:rsidR="004D447A" w:rsidRDefault="004D447A" w:rsidP="00092888">
      <w:pPr>
        <w:pStyle w:val="BodyText"/>
        <w:rPr>
          <w:rFonts w:asciiTheme="minorHAnsi" w:hAnsiTheme="minorHAnsi"/>
          <w:color w:val="000000" w:themeColor="text1"/>
        </w:rPr>
      </w:pPr>
    </w:p>
    <w:p w14:paraId="698C1BC9" w14:textId="77777777" w:rsidR="00DB480C" w:rsidRDefault="00DB480C" w:rsidP="00092888">
      <w:pPr>
        <w:pStyle w:val="BodyText"/>
        <w:rPr>
          <w:rFonts w:asciiTheme="minorHAnsi" w:hAnsiTheme="minorHAnsi"/>
          <w:color w:val="000000" w:themeColor="text1"/>
        </w:rPr>
      </w:pPr>
    </w:p>
    <w:p w14:paraId="547ABD11" w14:textId="49F844A0" w:rsidR="00092888" w:rsidRPr="00092888" w:rsidRDefault="002E6ED7" w:rsidP="00092888">
      <w:pPr>
        <w:pStyle w:val="BodyText"/>
        <w:rPr>
          <w:rFonts w:asciiTheme="minorHAnsi" w:hAnsiTheme="minorHAnsi"/>
          <w:color w:val="000000" w:themeColor="text1"/>
        </w:rPr>
      </w:pPr>
      <w:r>
        <w:rPr>
          <w:rFonts w:asciiTheme="minorHAnsi" w:hAnsiTheme="minorHAnsi"/>
          <w:i/>
          <w:iCs/>
          <w:color w:val="000000" w:themeColor="text1"/>
        </w:rPr>
        <w:t xml:space="preserve">DRAFTING NOTE: </w:t>
      </w:r>
      <w:r w:rsidR="00092888" w:rsidRPr="00092888">
        <w:rPr>
          <w:rFonts w:asciiTheme="minorHAnsi" w:hAnsiTheme="minorHAnsi"/>
          <w:color w:val="000000" w:themeColor="text1"/>
        </w:rPr>
        <w:t xml:space="preserve">While the GCC utilizes the available capital and home jurisdictions’ capital requirement, </w:t>
      </w:r>
      <w:r w:rsidR="00E1539C">
        <w:rPr>
          <w:rFonts w:asciiTheme="minorHAnsi" w:hAnsiTheme="minorHAnsi"/>
          <w:color w:val="000000" w:themeColor="text1"/>
        </w:rPr>
        <w:t>for jurisdictions where data is available</w:t>
      </w:r>
      <w:r w:rsidR="00405B9D">
        <w:rPr>
          <w:rFonts w:asciiTheme="minorHAnsi" w:hAnsiTheme="minorHAnsi"/>
          <w:color w:val="000000" w:themeColor="text1"/>
        </w:rPr>
        <w:t>,</w:t>
      </w:r>
      <w:r w:rsidR="00092888" w:rsidRPr="00092888">
        <w:rPr>
          <w:rFonts w:asciiTheme="minorHAnsi" w:hAnsiTheme="minorHAnsi"/>
          <w:color w:val="000000" w:themeColor="text1"/>
        </w:rPr>
        <w:t xml:space="preserve"> </w:t>
      </w:r>
      <w:r w:rsidR="00BE0099">
        <w:rPr>
          <w:rFonts w:asciiTheme="minorHAnsi" w:hAnsiTheme="minorHAnsi"/>
          <w:color w:val="000000" w:themeColor="text1"/>
        </w:rPr>
        <w:t xml:space="preserve">the use of </w:t>
      </w:r>
      <w:r w:rsidR="00092888" w:rsidRPr="00092888">
        <w:rPr>
          <w:rFonts w:asciiTheme="minorHAnsi" w:hAnsiTheme="minorHAnsi"/>
          <w:color w:val="000000" w:themeColor="text1"/>
        </w:rPr>
        <w:t>appropriate scalars</w:t>
      </w:r>
      <w:r w:rsidR="005A1BCE">
        <w:rPr>
          <w:rFonts w:asciiTheme="minorHAnsi" w:hAnsiTheme="minorHAnsi"/>
          <w:color w:val="000000" w:themeColor="text1"/>
        </w:rPr>
        <w:t xml:space="preserve"> </w:t>
      </w:r>
      <w:r w:rsidR="00BE0099">
        <w:rPr>
          <w:rFonts w:asciiTheme="minorHAnsi" w:hAnsiTheme="minorHAnsi"/>
          <w:color w:val="000000" w:themeColor="text1"/>
        </w:rPr>
        <w:t>is</w:t>
      </w:r>
      <w:r w:rsidR="005A1BCE">
        <w:rPr>
          <w:rFonts w:asciiTheme="minorHAnsi" w:hAnsiTheme="minorHAnsi"/>
          <w:color w:val="000000" w:themeColor="text1"/>
        </w:rPr>
        <w:t xml:space="preserve"> currently being explored</w:t>
      </w:r>
      <w:r w:rsidR="00092888" w:rsidRPr="00092888">
        <w:rPr>
          <w:rFonts w:asciiTheme="minorHAnsi" w:hAnsiTheme="minorHAnsi"/>
          <w:color w:val="000000" w:themeColor="text1"/>
        </w:rPr>
        <w:t xml:space="preserve"> to produce </w:t>
      </w:r>
      <w:r w:rsidR="00BE0099">
        <w:rPr>
          <w:rFonts w:asciiTheme="minorHAnsi" w:hAnsiTheme="minorHAnsi"/>
          <w:color w:val="000000" w:themeColor="text1"/>
        </w:rPr>
        <w:t xml:space="preserve">more </w:t>
      </w:r>
      <w:r w:rsidR="00092888" w:rsidRPr="00092888">
        <w:rPr>
          <w:rFonts w:asciiTheme="minorHAnsi" w:hAnsiTheme="minorHAnsi"/>
          <w:color w:val="000000" w:themeColor="text1"/>
        </w:rPr>
        <w:t>comparable measures for risk which can be aggregated into the group-wide measure.</w:t>
      </w:r>
      <w:r w:rsidR="00C76302">
        <w:rPr>
          <w:rFonts w:asciiTheme="minorHAnsi" w:hAnsiTheme="minorHAnsi"/>
          <w:color w:val="000000" w:themeColor="text1"/>
        </w:rPr>
        <w:t xml:space="preserve"> </w:t>
      </w:r>
      <w:r w:rsidR="0019618A">
        <w:rPr>
          <w:rFonts w:asciiTheme="minorHAnsi" w:hAnsiTheme="minorHAnsi"/>
          <w:color w:val="000000" w:themeColor="text1"/>
        </w:rPr>
        <w:t xml:space="preserve"> </w:t>
      </w:r>
      <w:r w:rsidR="003338EB">
        <w:rPr>
          <w:rFonts w:asciiTheme="minorHAnsi" w:hAnsiTheme="minorHAnsi"/>
          <w:color w:val="000000" w:themeColor="text1"/>
        </w:rPr>
        <w:t>One such scaling methodology is</w:t>
      </w:r>
      <w:r w:rsidR="0019618A">
        <w:rPr>
          <w:rFonts w:asciiTheme="minorHAnsi" w:hAnsiTheme="minorHAnsi"/>
          <w:color w:val="000000" w:themeColor="text1"/>
        </w:rPr>
        <w:t xml:space="preserve"> included as </w:t>
      </w:r>
      <w:r w:rsidR="00A819F4">
        <w:rPr>
          <w:rFonts w:asciiTheme="minorHAnsi" w:hAnsiTheme="minorHAnsi"/>
          <w:color w:val="000000" w:themeColor="text1"/>
        </w:rPr>
        <w:t xml:space="preserve">part of </w:t>
      </w:r>
      <w:r w:rsidR="003338EB">
        <w:rPr>
          <w:rFonts w:asciiTheme="minorHAnsi" w:hAnsiTheme="minorHAnsi"/>
          <w:color w:val="000000" w:themeColor="text1"/>
        </w:rPr>
        <w:t xml:space="preserve">sensitivity </w:t>
      </w:r>
      <w:r w:rsidR="00A819F4">
        <w:rPr>
          <w:rFonts w:asciiTheme="minorHAnsi" w:hAnsiTheme="minorHAnsi"/>
          <w:color w:val="000000" w:themeColor="text1"/>
        </w:rPr>
        <w:t>Analysis</w:t>
      </w:r>
      <w:r w:rsidR="0019618A">
        <w:rPr>
          <w:rFonts w:asciiTheme="minorHAnsi" w:hAnsiTheme="minorHAnsi"/>
          <w:color w:val="000000" w:themeColor="text1"/>
        </w:rPr>
        <w:t xml:space="preserve"> </w:t>
      </w:r>
      <w:r w:rsidR="00A819F4">
        <w:rPr>
          <w:rFonts w:asciiTheme="minorHAnsi" w:hAnsiTheme="minorHAnsi"/>
          <w:color w:val="000000" w:themeColor="text1"/>
        </w:rPr>
        <w:t xml:space="preserve">in the </w:t>
      </w:r>
      <w:r w:rsidR="0019618A">
        <w:rPr>
          <w:rFonts w:asciiTheme="minorHAnsi" w:hAnsiTheme="minorHAnsi"/>
          <w:color w:val="000000" w:themeColor="text1"/>
        </w:rPr>
        <w:t>GCC</w:t>
      </w:r>
      <w:r w:rsidR="00A819F4">
        <w:rPr>
          <w:rFonts w:asciiTheme="minorHAnsi" w:hAnsiTheme="minorHAnsi"/>
          <w:color w:val="000000" w:themeColor="text1"/>
        </w:rPr>
        <w:t xml:space="preserve"> template</w:t>
      </w:r>
      <w:r w:rsidR="00406067">
        <w:rPr>
          <w:rFonts w:asciiTheme="minorHAnsi" w:hAnsiTheme="minorHAnsi"/>
          <w:color w:val="000000" w:themeColor="text1"/>
        </w:rPr>
        <w:t>.</w:t>
      </w:r>
      <w:r w:rsidR="0019618A">
        <w:rPr>
          <w:rFonts w:asciiTheme="minorHAnsi" w:hAnsiTheme="minorHAnsi"/>
          <w:color w:val="000000" w:themeColor="text1"/>
        </w:rPr>
        <w:t xml:space="preserve"> </w:t>
      </w:r>
      <w:r w:rsidR="00C76302">
        <w:rPr>
          <w:rFonts w:asciiTheme="minorHAnsi" w:hAnsiTheme="minorHAnsi"/>
          <w:color w:val="000000" w:themeColor="text1"/>
        </w:rPr>
        <w:t>Th</w:t>
      </w:r>
      <w:r w:rsidR="007F148E">
        <w:rPr>
          <w:rFonts w:asciiTheme="minorHAnsi" w:hAnsiTheme="minorHAnsi"/>
          <w:color w:val="000000" w:themeColor="text1"/>
        </w:rPr>
        <w:t>at</w:t>
      </w:r>
      <w:r w:rsidR="00C76302">
        <w:rPr>
          <w:rFonts w:asciiTheme="minorHAnsi" w:hAnsiTheme="minorHAnsi"/>
          <w:color w:val="000000" w:themeColor="text1"/>
        </w:rPr>
        <w:t xml:space="preserve"> scalar </w:t>
      </w:r>
      <w:r w:rsidR="009969E0">
        <w:rPr>
          <w:rFonts w:asciiTheme="minorHAnsi" w:hAnsiTheme="minorHAnsi"/>
          <w:color w:val="000000" w:themeColor="text1"/>
        </w:rPr>
        <w:t xml:space="preserve">methodology </w:t>
      </w:r>
      <w:r w:rsidR="00C76302">
        <w:rPr>
          <w:rFonts w:asciiTheme="minorHAnsi" w:hAnsiTheme="minorHAnsi"/>
          <w:color w:val="000000" w:themeColor="text1"/>
        </w:rPr>
        <w:t>uses aggregated data from the U.S</w:t>
      </w:r>
      <w:r w:rsidR="009969E0">
        <w:rPr>
          <w:rFonts w:asciiTheme="minorHAnsi" w:hAnsiTheme="minorHAnsi"/>
          <w:color w:val="000000" w:themeColor="text1"/>
        </w:rPr>
        <w:t>.</w:t>
      </w:r>
      <w:r w:rsidR="00E1539C">
        <w:rPr>
          <w:rFonts w:asciiTheme="minorHAnsi" w:hAnsiTheme="minorHAnsi"/>
          <w:color w:val="000000" w:themeColor="text1"/>
        </w:rPr>
        <w:t xml:space="preserve"> </w:t>
      </w:r>
      <w:r w:rsidR="00C76302">
        <w:rPr>
          <w:rFonts w:asciiTheme="minorHAnsi" w:hAnsiTheme="minorHAnsi"/>
          <w:color w:val="000000" w:themeColor="text1"/>
        </w:rPr>
        <w:t>and other jurisdictions</w:t>
      </w:r>
      <w:r w:rsidR="00E1539C">
        <w:rPr>
          <w:rFonts w:asciiTheme="minorHAnsi" w:hAnsiTheme="minorHAnsi"/>
          <w:color w:val="000000" w:themeColor="text1"/>
        </w:rPr>
        <w:t xml:space="preserve"> at first intervention level</w:t>
      </w:r>
      <w:r w:rsidR="00C76302">
        <w:rPr>
          <w:rFonts w:asciiTheme="minorHAnsi" w:hAnsiTheme="minorHAnsi"/>
          <w:color w:val="000000" w:themeColor="text1"/>
        </w:rPr>
        <w:t xml:space="preserve"> to recognize that (for example), </w:t>
      </w:r>
      <w:r w:rsidR="00C76302">
        <w:rPr>
          <w:rFonts w:asciiTheme="minorHAnsi" w:hAnsiTheme="minorHAnsi"/>
          <w:color w:val="000000" w:themeColor="text1"/>
        </w:rPr>
        <w:lastRenderedPageBreak/>
        <w:t xml:space="preserve">state regulators often have much higher reserve requirements that are required to be carried as required capital in other jurisdictions. </w:t>
      </w:r>
      <w:r w:rsidR="00E1539C">
        <w:rPr>
          <w:rFonts w:asciiTheme="minorHAnsi" w:hAnsiTheme="minorHAnsi"/>
          <w:color w:val="000000" w:themeColor="text1"/>
        </w:rPr>
        <w:t>For jurisdictions where the data is not available, the full jurisd</w:t>
      </w:r>
      <w:r w:rsidR="00F50371">
        <w:rPr>
          <w:rFonts w:asciiTheme="minorHAnsi" w:hAnsiTheme="minorHAnsi"/>
          <w:color w:val="000000" w:themeColor="text1"/>
        </w:rPr>
        <w:t>ic</w:t>
      </w:r>
      <w:r w:rsidR="00E1539C">
        <w:rPr>
          <w:rFonts w:asciiTheme="minorHAnsi" w:hAnsiTheme="minorHAnsi"/>
          <w:color w:val="000000" w:themeColor="text1"/>
        </w:rPr>
        <w:t>tional requirement at first intervention level</w:t>
      </w:r>
      <w:r w:rsidR="00F50371">
        <w:rPr>
          <w:rFonts w:asciiTheme="minorHAnsi" w:hAnsiTheme="minorHAnsi"/>
          <w:color w:val="000000" w:themeColor="text1"/>
        </w:rPr>
        <w:t xml:space="preserve"> us used.</w:t>
      </w:r>
    </w:p>
    <w:p w14:paraId="03B41D68" w14:textId="77777777" w:rsidR="00092888" w:rsidRPr="00092888" w:rsidRDefault="00092888" w:rsidP="00092888">
      <w:pPr>
        <w:pStyle w:val="BodyText"/>
        <w:rPr>
          <w:rFonts w:asciiTheme="minorHAnsi" w:hAnsiTheme="minorHAnsi"/>
          <w:color w:val="000000" w:themeColor="text1"/>
        </w:rPr>
      </w:pPr>
    </w:p>
    <w:p w14:paraId="1DF4CD9D" w14:textId="07E38D78" w:rsidR="00092888" w:rsidRPr="00092888" w:rsidRDefault="00092888" w:rsidP="00092888">
      <w:pPr>
        <w:pStyle w:val="BodyText"/>
        <w:rPr>
          <w:rFonts w:asciiTheme="minorHAnsi" w:hAnsiTheme="minorHAnsi"/>
          <w:color w:val="000000" w:themeColor="text1"/>
        </w:rPr>
      </w:pPr>
      <w:r w:rsidRPr="00C76302">
        <w:rPr>
          <w:rFonts w:asciiTheme="minorHAnsi" w:hAnsiTheme="minorHAnsi"/>
          <w:color w:val="000000" w:themeColor="text1"/>
          <w:u w:val="single"/>
        </w:rPr>
        <w:t>U.S. Insurers Not Subject to RBC</w:t>
      </w:r>
      <w:r w:rsidR="00E6084A">
        <w:rPr>
          <w:rFonts w:asciiTheme="minorHAnsi" w:hAnsiTheme="minorHAnsi"/>
          <w:color w:val="000000" w:themeColor="text1"/>
          <w:u w:val="single"/>
        </w:rPr>
        <w:t xml:space="preserve"> </w:t>
      </w:r>
      <w:r w:rsidR="00957475">
        <w:rPr>
          <w:rFonts w:asciiTheme="minorHAnsi" w:hAnsiTheme="minorHAnsi"/>
          <w:color w:val="000000" w:themeColor="text1"/>
        </w:rPr>
        <w:t>–</w:t>
      </w:r>
      <w:r w:rsidR="00E6084A">
        <w:rPr>
          <w:rFonts w:asciiTheme="minorHAnsi" w:hAnsiTheme="minorHAnsi"/>
          <w:color w:val="000000" w:themeColor="text1"/>
        </w:rPr>
        <w:t xml:space="preserve"> </w:t>
      </w:r>
      <w:r w:rsidRPr="00092888">
        <w:rPr>
          <w:rFonts w:asciiTheme="minorHAnsi" w:hAnsiTheme="minorHAnsi"/>
          <w:color w:val="000000" w:themeColor="text1"/>
        </w:rPr>
        <w:t>Some types of U.S. insurers are not subject to an RBC formula (e.g.</w:t>
      </w:r>
      <w:r w:rsidR="000A61A6">
        <w:rPr>
          <w:rFonts w:asciiTheme="minorHAnsi" w:hAnsiTheme="minorHAnsi"/>
          <w:color w:val="000000" w:themeColor="text1"/>
        </w:rPr>
        <w:t>,</w:t>
      </w:r>
      <w:r w:rsidRPr="00092888">
        <w:rPr>
          <w:rFonts w:asciiTheme="minorHAnsi" w:hAnsiTheme="minorHAnsi"/>
          <w:color w:val="000000" w:themeColor="text1"/>
        </w:rPr>
        <w:t xml:space="preserve"> Financial Guaranty Insurers, Title Insurers). For these entities, the available capital/financial resources </w:t>
      </w:r>
      <w:r w:rsidR="00966A3B" w:rsidRPr="00092888">
        <w:rPr>
          <w:rFonts w:asciiTheme="minorHAnsi" w:hAnsiTheme="minorHAnsi"/>
          <w:color w:val="000000" w:themeColor="text1"/>
        </w:rPr>
        <w:t>are</w:t>
      </w:r>
      <w:r w:rsidRPr="00092888">
        <w:rPr>
          <w:rFonts w:asciiTheme="minorHAnsi" w:hAnsiTheme="minorHAnsi"/>
          <w:color w:val="000000" w:themeColor="text1"/>
        </w:rPr>
        <w:t xml:space="preserve"> determined by reference to state law and the NAIC Accounting Practices and Procedures Manual. However, since an RBC formula does not exist, calculated capital is determined by reference to the state minimum capital requirements set out in state law</w:t>
      </w:r>
      <w:r w:rsidR="00C76302">
        <w:rPr>
          <w:rFonts w:asciiTheme="minorHAnsi" w:hAnsiTheme="minorHAnsi"/>
          <w:color w:val="000000" w:themeColor="text1"/>
        </w:rPr>
        <w:t xml:space="preserve"> (or 300% of reserves for Title insurers)</w:t>
      </w:r>
      <w:r w:rsidRPr="00092888">
        <w:rPr>
          <w:rFonts w:asciiTheme="minorHAnsi" w:hAnsiTheme="minorHAnsi"/>
          <w:color w:val="000000" w:themeColor="text1"/>
        </w:rPr>
        <w:t>.</w:t>
      </w:r>
      <w:r w:rsidR="00C76302">
        <w:rPr>
          <w:rFonts w:asciiTheme="minorHAnsi" w:hAnsiTheme="minorHAnsi"/>
          <w:color w:val="000000" w:themeColor="text1"/>
        </w:rPr>
        <w:t xml:space="preserve"> For U.S. captive insurers, available capital is determined based upon the states accounting </w:t>
      </w:r>
      <w:r w:rsidR="00406067">
        <w:rPr>
          <w:rFonts w:asciiTheme="minorHAnsi" w:hAnsiTheme="minorHAnsi"/>
          <w:color w:val="000000" w:themeColor="text1"/>
        </w:rPr>
        <w:t>requirements,</w:t>
      </w:r>
      <w:r w:rsidR="00C76302">
        <w:rPr>
          <w:rFonts w:asciiTheme="minorHAnsi" w:hAnsiTheme="minorHAnsi"/>
          <w:color w:val="000000" w:themeColor="text1"/>
        </w:rPr>
        <w:t xml:space="preserve"> but the calculated capital is required to be calculated using the applicable RBC formula even if RBC does not apply to that entity in their state of domicile.</w:t>
      </w:r>
    </w:p>
    <w:p w14:paraId="5380B3CF" w14:textId="77777777" w:rsidR="00092888" w:rsidRPr="00092888" w:rsidRDefault="00092888" w:rsidP="00092888">
      <w:pPr>
        <w:pStyle w:val="BodyText"/>
        <w:rPr>
          <w:rFonts w:asciiTheme="minorHAnsi" w:hAnsiTheme="minorHAnsi"/>
          <w:color w:val="000000" w:themeColor="text1"/>
        </w:rPr>
      </w:pPr>
    </w:p>
    <w:p w14:paraId="1D8B695C" w14:textId="660336F1" w:rsidR="00C76302" w:rsidRDefault="00077913" w:rsidP="00092888">
      <w:pPr>
        <w:pStyle w:val="BodyText"/>
        <w:rPr>
          <w:rFonts w:asciiTheme="minorHAnsi" w:hAnsiTheme="minorHAnsi"/>
          <w:color w:val="000000" w:themeColor="text1"/>
        </w:rPr>
      </w:pPr>
      <w:r>
        <w:rPr>
          <w:rFonts w:asciiTheme="minorHAnsi" w:hAnsiTheme="minorHAnsi"/>
          <w:color w:val="000000" w:themeColor="text1"/>
          <w:u w:val="single"/>
        </w:rPr>
        <w:t xml:space="preserve">Banking or Other Financial Service Operations </w:t>
      </w:r>
      <w:r w:rsidR="00092888" w:rsidRPr="00C76302">
        <w:rPr>
          <w:rFonts w:asciiTheme="minorHAnsi" w:hAnsiTheme="minorHAnsi"/>
          <w:color w:val="000000" w:themeColor="text1"/>
          <w:u w:val="single"/>
        </w:rPr>
        <w:t>Subject to Regulatory Capital Requirements</w:t>
      </w:r>
      <w:r w:rsidR="00957475">
        <w:rPr>
          <w:rFonts w:asciiTheme="minorHAnsi" w:hAnsiTheme="minorHAnsi"/>
          <w:color w:val="000000" w:themeColor="text1"/>
          <w:u w:val="single"/>
        </w:rPr>
        <w:t xml:space="preserve"> </w:t>
      </w:r>
      <w:r w:rsidR="00957475">
        <w:rPr>
          <w:rFonts w:asciiTheme="minorHAnsi" w:hAnsiTheme="minorHAnsi"/>
          <w:color w:val="000000" w:themeColor="text1"/>
        </w:rPr>
        <w:t xml:space="preserve">– </w:t>
      </w:r>
      <w:r w:rsidR="00092888" w:rsidRPr="00092888">
        <w:rPr>
          <w:rFonts w:asciiTheme="minorHAnsi" w:hAnsiTheme="minorHAnsi"/>
          <w:color w:val="000000" w:themeColor="text1"/>
        </w:rPr>
        <w:t xml:space="preserve">Non-insurers such as banks are subject to their own </w:t>
      </w:r>
      <w:r w:rsidR="00F50371">
        <w:rPr>
          <w:rFonts w:asciiTheme="minorHAnsi" w:hAnsiTheme="minorHAnsi"/>
          <w:color w:val="000000" w:themeColor="text1"/>
        </w:rPr>
        <w:t xml:space="preserve">regulatory </w:t>
      </w:r>
      <w:r w:rsidR="00092888" w:rsidRPr="00092888">
        <w:rPr>
          <w:rFonts w:asciiTheme="minorHAnsi" w:hAnsiTheme="minorHAnsi"/>
          <w:color w:val="000000" w:themeColor="text1"/>
        </w:rPr>
        <w:t>valuation methods (typically GAAP</w:t>
      </w:r>
      <w:r w:rsidR="00F50371">
        <w:rPr>
          <w:rFonts w:asciiTheme="minorHAnsi" w:hAnsiTheme="minorHAnsi"/>
          <w:color w:val="000000" w:themeColor="text1"/>
        </w:rPr>
        <w:t xml:space="preserve"> with tiering of available capital</w:t>
      </w:r>
      <w:r w:rsidR="00092888" w:rsidRPr="00092888">
        <w:rPr>
          <w:rFonts w:asciiTheme="minorHAnsi" w:hAnsiTheme="minorHAnsi"/>
          <w:color w:val="000000" w:themeColor="text1"/>
        </w:rPr>
        <w:t>) and their own regulatory capital requirements (e.g.</w:t>
      </w:r>
      <w:r w:rsidR="00BE0099">
        <w:rPr>
          <w:rFonts w:asciiTheme="minorHAnsi" w:hAnsiTheme="minorHAnsi"/>
          <w:color w:val="000000" w:themeColor="text1"/>
        </w:rPr>
        <w:t>,</w:t>
      </w:r>
      <w:r w:rsidR="00092888" w:rsidRPr="00092888">
        <w:rPr>
          <w:rFonts w:asciiTheme="minorHAnsi" w:hAnsiTheme="minorHAnsi"/>
          <w:color w:val="000000" w:themeColor="text1"/>
        </w:rPr>
        <w:t xml:space="preserve"> OCC, Federal Reserve, </w:t>
      </w:r>
      <w:r w:rsidR="00966A3B" w:rsidRPr="00092888">
        <w:rPr>
          <w:rFonts w:asciiTheme="minorHAnsi" w:hAnsiTheme="minorHAnsi"/>
          <w:color w:val="000000" w:themeColor="text1"/>
        </w:rPr>
        <w:t>FDIC,</w:t>
      </w:r>
      <w:r w:rsidR="00092888" w:rsidRPr="00092888">
        <w:rPr>
          <w:rFonts w:asciiTheme="minorHAnsi" w:hAnsiTheme="minorHAnsi"/>
          <w:color w:val="000000" w:themeColor="text1"/>
        </w:rPr>
        <w:t xml:space="preserve"> or other requirements for banks</w:t>
      </w:r>
      <w:r w:rsidR="00406067" w:rsidRPr="00092888">
        <w:rPr>
          <w:rFonts w:asciiTheme="minorHAnsi" w:hAnsiTheme="minorHAnsi"/>
          <w:color w:val="000000" w:themeColor="text1"/>
        </w:rPr>
        <w:t>).</w:t>
      </w:r>
      <w:r w:rsidR="00406067">
        <w:rPr>
          <w:rFonts w:asciiTheme="minorHAnsi" w:hAnsiTheme="minorHAnsi"/>
          <w:color w:val="000000" w:themeColor="text1"/>
        </w:rPr>
        <w:t xml:space="preserve"> These</w:t>
      </w:r>
      <w:r w:rsidR="00C76302">
        <w:rPr>
          <w:rFonts w:asciiTheme="minorHAnsi" w:hAnsiTheme="minorHAnsi"/>
          <w:color w:val="000000" w:themeColor="text1"/>
        </w:rPr>
        <w:t xml:space="preserve"> </w:t>
      </w:r>
      <w:r w:rsidR="0024779D">
        <w:rPr>
          <w:rFonts w:asciiTheme="minorHAnsi" w:hAnsiTheme="minorHAnsi"/>
          <w:color w:val="000000" w:themeColor="text1"/>
        </w:rPr>
        <w:t xml:space="preserve">regulatory values </w:t>
      </w:r>
      <w:r w:rsidR="00C76302">
        <w:rPr>
          <w:rFonts w:asciiTheme="minorHAnsi" w:hAnsiTheme="minorHAnsi"/>
          <w:color w:val="000000" w:themeColor="text1"/>
        </w:rPr>
        <w:t>are used for the GCC.</w:t>
      </w:r>
    </w:p>
    <w:p w14:paraId="0B7EF9BF" w14:textId="0855AA85" w:rsidR="00092888" w:rsidRPr="00092888" w:rsidRDefault="00092888" w:rsidP="00092888">
      <w:pPr>
        <w:pStyle w:val="BodyText"/>
        <w:rPr>
          <w:rFonts w:asciiTheme="minorHAnsi" w:hAnsiTheme="minorHAnsi"/>
          <w:color w:val="000000" w:themeColor="text1"/>
        </w:rPr>
      </w:pPr>
    </w:p>
    <w:p w14:paraId="351F6BCA" w14:textId="6351016E" w:rsidR="00F94359" w:rsidRDefault="00077913" w:rsidP="00077913">
      <w:pPr>
        <w:pStyle w:val="BodyText"/>
        <w:rPr>
          <w:rFonts w:asciiTheme="minorHAnsi" w:hAnsiTheme="minorHAnsi"/>
          <w:color w:val="000000" w:themeColor="text1"/>
        </w:rPr>
      </w:pPr>
      <w:r w:rsidRPr="00077913">
        <w:rPr>
          <w:rFonts w:asciiTheme="minorHAnsi" w:hAnsiTheme="minorHAnsi"/>
          <w:color w:val="000000" w:themeColor="text1"/>
          <w:szCs w:val="22"/>
          <w:u w:val="single"/>
        </w:rPr>
        <w:t>Financial and non-financial operations not subject to regulatory capital requirements</w:t>
      </w:r>
      <w:r w:rsidR="00336B54">
        <w:rPr>
          <w:rFonts w:asciiTheme="minorHAnsi" w:hAnsiTheme="minorHAnsi"/>
          <w:color w:val="000000" w:themeColor="text1"/>
          <w:szCs w:val="22"/>
          <w:u w:val="single"/>
        </w:rPr>
        <w:t xml:space="preserve"> </w:t>
      </w:r>
      <w:r w:rsidR="00957475">
        <w:rPr>
          <w:rFonts w:asciiTheme="minorHAnsi" w:hAnsiTheme="minorHAnsi"/>
          <w:color w:val="000000" w:themeColor="text1"/>
          <w:szCs w:val="22"/>
          <w:u w:val="single"/>
        </w:rPr>
        <w:t>–</w:t>
      </w:r>
      <w:r w:rsidRPr="00092888">
        <w:rPr>
          <w:rFonts w:asciiTheme="minorHAnsi" w:hAnsiTheme="minorHAnsi"/>
          <w:color w:val="000000" w:themeColor="text1"/>
        </w:rPr>
        <w:t xml:space="preserve"> </w:t>
      </w:r>
      <w:r>
        <w:rPr>
          <w:rFonts w:asciiTheme="minorHAnsi" w:hAnsiTheme="minorHAnsi"/>
          <w:color w:val="000000" w:themeColor="text1"/>
        </w:rPr>
        <w:t xml:space="preserve">In general, financial entities (as defined in the GCC Instructions) are subject to a higher capital charge in the GCC than the non-financial entities. However, the </w:t>
      </w:r>
      <w:r w:rsidR="00092888" w:rsidRPr="00092888">
        <w:rPr>
          <w:rFonts w:asciiTheme="minorHAnsi" w:hAnsiTheme="minorHAnsi"/>
          <w:color w:val="000000" w:themeColor="text1"/>
        </w:rPr>
        <w:t xml:space="preserve">GCC </w:t>
      </w:r>
      <w:r>
        <w:rPr>
          <w:rFonts w:asciiTheme="minorHAnsi" w:hAnsiTheme="minorHAnsi"/>
          <w:color w:val="000000" w:themeColor="text1"/>
        </w:rPr>
        <w:t xml:space="preserve">does </w:t>
      </w:r>
      <w:r w:rsidR="00092888" w:rsidRPr="00092888">
        <w:rPr>
          <w:rFonts w:asciiTheme="minorHAnsi" w:hAnsiTheme="minorHAnsi"/>
          <w:color w:val="000000" w:themeColor="text1"/>
        </w:rPr>
        <w:t xml:space="preserve">require available capital/financial resources and calculated capital to be gathered for all </w:t>
      </w:r>
      <w:r>
        <w:rPr>
          <w:rFonts w:asciiTheme="minorHAnsi" w:hAnsiTheme="minorHAnsi"/>
          <w:color w:val="000000" w:themeColor="text1"/>
        </w:rPr>
        <w:t xml:space="preserve">such entities that </w:t>
      </w:r>
      <w:r w:rsidR="00092888" w:rsidRPr="00092888">
        <w:rPr>
          <w:rFonts w:asciiTheme="minorHAnsi" w:hAnsiTheme="minorHAnsi"/>
          <w:color w:val="000000" w:themeColor="text1"/>
        </w:rPr>
        <w:t xml:space="preserve">pose a material risk to insurers. In both cases the GCC will utilize the valuation used by such legal entities (typically U.S. GAAP) and a calculated capital based upon a risk factor. </w:t>
      </w:r>
      <w:r w:rsidR="00F94359">
        <w:rPr>
          <w:rFonts w:asciiTheme="minorHAnsi" w:hAnsiTheme="minorHAnsi"/>
          <w:color w:val="000000" w:themeColor="text1"/>
        </w:rPr>
        <w:t xml:space="preserve"> There are two important exceptions:</w:t>
      </w:r>
    </w:p>
    <w:p w14:paraId="297AAE22" w14:textId="6DC14C76" w:rsidR="00F94359" w:rsidRDefault="00F94359"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All entities within the defined insurance group (definition included in GCC </w:t>
      </w:r>
      <w:r w:rsidR="00957475">
        <w:rPr>
          <w:rFonts w:asciiTheme="minorHAnsi" w:hAnsiTheme="minorHAnsi"/>
          <w:color w:val="000000" w:themeColor="text1"/>
        </w:rPr>
        <w:t>I</w:t>
      </w:r>
      <w:r>
        <w:rPr>
          <w:rFonts w:asciiTheme="minorHAnsi" w:hAnsiTheme="minorHAnsi"/>
          <w:color w:val="000000" w:themeColor="text1"/>
        </w:rPr>
        <w:t>nstructions) must be included</w:t>
      </w:r>
    </w:p>
    <w:p w14:paraId="2B9F42FB" w14:textId="04DA11D2" w:rsidR="00212F6F" w:rsidRDefault="00762382"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All financial entities (definition included in GCC Instructions) must be included</w:t>
      </w:r>
    </w:p>
    <w:p w14:paraId="3CEA565E" w14:textId="245FB815" w:rsidR="00B178BC" w:rsidRPr="00F94359" w:rsidRDefault="00B178BC"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The level of risk </w:t>
      </w:r>
      <w:r w:rsidR="00206220">
        <w:rPr>
          <w:rFonts w:asciiTheme="minorHAnsi" w:hAnsiTheme="minorHAnsi"/>
          <w:color w:val="000000" w:themeColor="text1"/>
        </w:rPr>
        <w:t>(</w:t>
      </w:r>
      <w:r w:rsidR="00CF2E41">
        <w:rPr>
          <w:rFonts w:asciiTheme="minorHAnsi" w:hAnsiTheme="minorHAnsi"/>
          <w:color w:val="000000" w:themeColor="text1"/>
        </w:rPr>
        <w:t xml:space="preserve">low / medium / high) </w:t>
      </w:r>
      <w:r>
        <w:rPr>
          <w:rFonts w:asciiTheme="minorHAnsi" w:hAnsiTheme="minorHAnsi"/>
          <w:color w:val="000000" w:themeColor="text1"/>
        </w:rPr>
        <w:t xml:space="preserve">and associated capital calculation assigned to a financial entity </w:t>
      </w:r>
      <w:r w:rsidR="00CF2E41">
        <w:rPr>
          <w:rFonts w:asciiTheme="minorHAnsi" w:hAnsiTheme="minorHAnsi"/>
          <w:color w:val="000000" w:themeColor="text1"/>
        </w:rPr>
        <w:t xml:space="preserve">will be selected by the group </w:t>
      </w:r>
      <w:r w:rsidR="00437688">
        <w:rPr>
          <w:rFonts w:asciiTheme="minorHAnsi" w:hAnsiTheme="minorHAnsi"/>
          <w:color w:val="000000" w:themeColor="text1"/>
        </w:rPr>
        <w:t>and evaluated by the lead</w:t>
      </w:r>
      <w:r w:rsidR="00BE0099">
        <w:rPr>
          <w:rFonts w:asciiTheme="minorHAnsi" w:hAnsiTheme="minorHAnsi"/>
          <w:color w:val="000000" w:themeColor="text1"/>
        </w:rPr>
        <w:t xml:space="preserve"> </w:t>
      </w:r>
      <w:r w:rsidR="00437688">
        <w:rPr>
          <w:rFonts w:asciiTheme="minorHAnsi" w:hAnsiTheme="minorHAnsi"/>
          <w:color w:val="000000" w:themeColor="text1"/>
        </w:rPr>
        <w:t>State reviewer</w:t>
      </w:r>
    </w:p>
    <w:p w14:paraId="213FDD4B" w14:textId="51212FC4" w:rsidR="00077913" w:rsidRDefault="00F94359"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Non-financial entities that are subsidiaries of U.S. insurers, foreign </w:t>
      </w:r>
      <w:r w:rsidR="00966A3B">
        <w:rPr>
          <w:rFonts w:asciiTheme="minorHAnsi" w:hAnsiTheme="minorHAnsi"/>
          <w:color w:val="000000" w:themeColor="text1"/>
        </w:rPr>
        <w:t>insurers,</w:t>
      </w:r>
      <w:r>
        <w:rPr>
          <w:rFonts w:asciiTheme="minorHAnsi" w:hAnsiTheme="minorHAnsi"/>
          <w:color w:val="000000" w:themeColor="text1"/>
        </w:rPr>
        <w:t xml:space="preserve"> or banks where a capital charge for the non-financial entity is included in the regulated Parent’s capital formula will remain with the Parent and will not be inventoried.</w:t>
      </w:r>
      <w:r w:rsidR="009518A5">
        <w:rPr>
          <w:rFonts w:asciiTheme="minorHAnsi" w:hAnsiTheme="minorHAnsi"/>
          <w:color w:val="000000" w:themeColor="text1"/>
        </w:rPr>
        <w:t xml:space="preserve"> Regulators already have access to the financials of these entities if needed (if causing unrealized losses within the insurer).</w:t>
      </w:r>
    </w:p>
    <w:p w14:paraId="25D9EF36" w14:textId="34BAABE1" w:rsidR="00F94359" w:rsidRDefault="00F94359" w:rsidP="00077913">
      <w:pPr>
        <w:pStyle w:val="BodyText"/>
        <w:rPr>
          <w:rFonts w:asciiTheme="minorHAnsi" w:hAnsiTheme="minorHAnsi"/>
          <w:color w:val="000000" w:themeColor="text1"/>
        </w:rPr>
      </w:pPr>
    </w:p>
    <w:p w14:paraId="47FE1EEC" w14:textId="0192C2CF" w:rsidR="00FA6051" w:rsidRPr="00092888" w:rsidRDefault="00FA6051" w:rsidP="00092888">
      <w:pPr>
        <w:pStyle w:val="BodyText"/>
        <w:rPr>
          <w:rFonts w:asciiTheme="minorHAnsi" w:hAnsiTheme="minorHAnsi"/>
          <w:color w:val="000000" w:themeColor="text1"/>
        </w:rPr>
      </w:pPr>
      <w:r>
        <w:rPr>
          <w:rFonts w:asciiTheme="minorHAnsi" w:hAnsiTheme="minorHAnsi"/>
          <w:color w:val="000000" w:themeColor="text1"/>
          <w:szCs w:val="22"/>
          <w:u w:val="single"/>
        </w:rPr>
        <w:t>Eliminations</w:t>
      </w:r>
    </w:p>
    <w:p w14:paraId="7B9B7F9B" w14:textId="02DE0530" w:rsidR="005C434F" w:rsidRDefault="005C434F" w:rsidP="00284B2B">
      <w:pPr>
        <w:pStyle w:val="BodyText"/>
        <w:sectPr w:rsidR="005C434F" w:rsidSect="001A75F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60"/>
        </w:sectPr>
      </w:pPr>
      <w:r w:rsidRPr="00A94C60">
        <w:rPr>
          <w:rFonts w:asciiTheme="minorHAnsi" w:hAnsiTheme="minorHAnsi"/>
          <w:color w:val="000000" w:themeColor="text1"/>
        </w:rPr>
        <w:t>The GCC uses an aggregation and elimination approach, where each of the above legal entities’ available capital/financial resources and calculated capital are combined, then eliminations are utilized to prevent any double counting of available capital/financial resources or calculated capital. The following example illustrates the use of eliminations for both available capital/financial resources and calculated capital</w:t>
      </w:r>
      <w:r w:rsidR="00070A0F" w:rsidRPr="00A94C60">
        <w:rPr>
          <w:rFonts w:asciiTheme="minorHAnsi" w:hAnsiTheme="minorHAnsi"/>
          <w:color w:val="000000" w:themeColor="text1"/>
        </w:rPr>
        <w:t>.</w:t>
      </w:r>
      <w:r w:rsidRPr="00A94C60">
        <w:rPr>
          <w:rFonts w:asciiTheme="minorHAnsi" w:hAnsiTheme="minorHAnsi"/>
          <w:color w:val="000000" w:themeColor="text1"/>
        </w:rPr>
        <w:t xml:space="preserve"> </w:t>
      </w:r>
      <w:r w:rsidR="00406067" w:rsidRPr="00A94C60">
        <w:rPr>
          <w:rFonts w:asciiTheme="minorHAnsi" w:hAnsiTheme="minorHAnsi"/>
          <w:color w:val="000000" w:themeColor="text1"/>
        </w:rPr>
        <w:t>H</w:t>
      </w:r>
      <w:r w:rsidRPr="00A94C60">
        <w:rPr>
          <w:rFonts w:asciiTheme="minorHAnsi" w:hAnsiTheme="minorHAnsi"/>
          <w:color w:val="000000" w:themeColor="text1"/>
        </w:rPr>
        <w:t>owever</w:t>
      </w:r>
      <w:r w:rsidR="00406067" w:rsidRPr="00A94C60">
        <w:rPr>
          <w:rFonts w:asciiTheme="minorHAnsi" w:hAnsiTheme="minorHAnsi"/>
          <w:color w:val="000000" w:themeColor="text1"/>
        </w:rPr>
        <w:t>,</w:t>
      </w:r>
      <w:r w:rsidRPr="00A94C60">
        <w:rPr>
          <w:rFonts w:asciiTheme="minorHAnsi" w:hAnsiTheme="minorHAnsi"/>
          <w:color w:val="000000" w:themeColor="text1"/>
        </w:rPr>
        <w:t xml:space="preserve"> in practice the GCC only requires the </w:t>
      </w:r>
      <w:r w:rsidR="00670263" w:rsidRPr="00A94C60">
        <w:rPr>
          <w:rFonts w:asciiTheme="minorHAnsi" w:hAnsiTheme="minorHAnsi"/>
          <w:color w:val="000000" w:themeColor="text1"/>
        </w:rPr>
        <w:t xml:space="preserve">foreign insurers and </w:t>
      </w:r>
      <w:r w:rsidR="000E08AC" w:rsidRPr="00A94C60">
        <w:rPr>
          <w:rFonts w:asciiTheme="minorHAnsi" w:hAnsiTheme="minorHAnsi"/>
          <w:color w:val="000000" w:themeColor="text1"/>
        </w:rPr>
        <w:t>other financial entities</w:t>
      </w:r>
      <w:r w:rsidRPr="00A94C60">
        <w:rPr>
          <w:rFonts w:asciiTheme="minorHAnsi" w:hAnsiTheme="minorHAnsi"/>
          <w:color w:val="000000" w:themeColor="text1"/>
        </w:rPr>
        <w:t xml:space="preserve"> owned by an insurance company to be “de-stacked” </w:t>
      </w:r>
      <w:r w:rsidR="00070A0F" w:rsidRPr="00A94C60">
        <w:rPr>
          <w:rFonts w:asciiTheme="minorHAnsi" w:hAnsiTheme="minorHAnsi"/>
          <w:color w:val="000000" w:themeColor="text1"/>
        </w:rPr>
        <w:t>so if AA</w:t>
      </w:r>
      <w:r w:rsidR="00702D0D" w:rsidRPr="00A94C60">
        <w:rPr>
          <w:rFonts w:asciiTheme="minorHAnsi" w:hAnsiTheme="minorHAnsi"/>
          <w:color w:val="000000" w:themeColor="text1"/>
        </w:rPr>
        <w:t xml:space="preserve"> Holding Company was a U.S. insurer</w:t>
      </w:r>
      <w:r w:rsidR="007630EA" w:rsidRPr="00A94C60">
        <w:rPr>
          <w:rFonts w:asciiTheme="minorHAnsi" w:hAnsiTheme="minorHAnsi"/>
          <w:color w:val="000000" w:themeColor="text1"/>
        </w:rPr>
        <w:t xml:space="preserve"> (e.g.</w:t>
      </w:r>
      <w:r w:rsidR="00284B2B">
        <w:rPr>
          <w:rFonts w:asciiTheme="minorHAnsi" w:hAnsiTheme="minorHAnsi"/>
          <w:color w:val="000000" w:themeColor="text1"/>
        </w:rPr>
        <w:t>,</w:t>
      </w:r>
      <w:r w:rsidR="007630EA" w:rsidRPr="00A94C60">
        <w:rPr>
          <w:rFonts w:asciiTheme="minorHAnsi" w:hAnsiTheme="minorHAnsi"/>
          <w:color w:val="000000" w:themeColor="text1"/>
        </w:rPr>
        <w:t xml:space="preserve"> AA Insurance Company)</w:t>
      </w:r>
      <w:r w:rsidR="002A64B4" w:rsidRPr="00A94C60">
        <w:rPr>
          <w:rFonts w:asciiTheme="minorHAnsi" w:hAnsiTheme="minorHAnsi"/>
          <w:color w:val="000000" w:themeColor="text1"/>
        </w:rPr>
        <w:t xml:space="preserve"> </w:t>
      </w:r>
      <w:r w:rsidRPr="00A94C60">
        <w:rPr>
          <w:rFonts w:asciiTheme="minorHAnsi" w:hAnsiTheme="minorHAnsi"/>
          <w:color w:val="000000" w:themeColor="text1"/>
        </w:rPr>
        <w:t xml:space="preserve">the capital required </w:t>
      </w:r>
      <w:r w:rsidR="002A64B4" w:rsidRPr="00A94C60">
        <w:rPr>
          <w:rFonts w:asciiTheme="minorHAnsi" w:hAnsiTheme="minorHAnsi"/>
          <w:color w:val="000000" w:themeColor="text1"/>
        </w:rPr>
        <w:t xml:space="preserve">and calculated capital </w:t>
      </w:r>
      <w:r w:rsidRPr="00A94C60">
        <w:rPr>
          <w:rFonts w:asciiTheme="minorHAnsi" w:hAnsiTheme="minorHAnsi"/>
          <w:color w:val="000000" w:themeColor="text1"/>
        </w:rPr>
        <w:t>for DD Insurance Agency</w:t>
      </w:r>
      <w:r w:rsidR="00224B73" w:rsidRPr="00A94C60">
        <w:rPr>
          <w:rFonts w:asciiTheme="minorHAnsi" w:hAnsiTheme="minorHAnsi"/>
          <w:color w:val="000000" w:themeColor="text1"/>
        </w:rPr>
        <w:t xml:space="preserve"> as a nonfinancial entity </w:t>
      </w:r>
      <w:r w:rsidRPr="00A94C60">
        <w:rPr>
          <w:rFonts w:asciiTheme="minorHAnsi" w:hAnsiTheme="minorHAnsi"/>
          <w:color w:val="000000" w:themeColor="text1"/>
        </w:rPr>
        <w:t xml:space="preserve">would </w:t>
      </w:r>
      <w:r w:rsidR="00224B73" w:rsidRPr="00A94C60">
        <w:rPr>
          <w:rFonts w:asciiTheme="minorHAnsi" w:hAnsiTheme="minorHAnsi"/>
          <w:color w:val="000000" w:themeColor="text1"/>
        </w:rPr>
        <w:t>remain</w:t>
      </w:r>
      <w:r w:rsidRPr="00A94C60">
        <w:rPr>
          <w:rFonts w:asciiTheme="minorHAnsi" w:hAnsiTheme="minorHAnsi"/>
          <w:color w:val="000000" w:themeColor="text1"/>
        </w:rPr>
        <w:t xml:space="preserve"> in the </w:t>
      </w:r>
      <w:r w:rsidR="007630EA" w:rsidRPr="00A94C60">
        <w:rPr>
          <w:rFonts w:asciiTheme="minorHAnsi" w:hAnsiTheme="minorHAnsi"/>
          <w:color w:val="000000" w:themeColor="text1"/>
        </w:rPr>
        <w:t>values</w:t>
      </w:r>
      <w:r w:rsidRPr="00A94C60">
        <w:rPr>
          <w:rFonts w:asciiTheme="minorHAnsi" w:hAnsiTheme="minorHAnsi"/>
          <w:color w:val="000000" w:themeColor="text1"/>
        </w:rPr>
        <w:t xml:space="preserve"> of AA Insurance Company</w:t>
      </w:r>
      <w:r w:rsidR="00455EFC" w:rsidRPr="00A94C60">
        <w:rPr>
          <w:rFonts w:asciiTheme="minorHAnsi" w:hAnsiTheme="minorHAnsi"/>
          <w:color w:val="000000" w:themeColor="text1"/>
        </w:rPr>
        <w:t xml:space="preserve"> and not be de-stacked.</w:t>
      </w:r>
    </w:p>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401"/>
      </w:tblGrid>
      <w:tr w:rsidR="005C434F" w:rsidRPr="00965D14" w14:paraId="7827437D" w14:textId="77777777" w:rsidTr="00406067">
        <w:trPr>
          <w:trHeight w:val="3492"/>
        </w:trPr>
        <w:tc>
          <w:tcPr>
            <w:tcW w:w="4979" w:type="dxa"/>
          </w:tcPr>
          <w:p w14:paraId="177B478F" w14:textId="77777777" w:rsidR="005C434F" w:rsidRDefault="005C434F" w:rsidP="00406067">
            <w:pPr>
              <w:pStyle w:val="Header"/>
              <w:spacing w:after="120" w:line="276" w:lineRule="auto"/>
              <w:jc w:val="center"/>
            </w:pPr>
            <w:r>
              <w:lastRenderedPageBreak/>
              <w:br w:type="page"/>
            </w:r>
            <w:r w:rsidRPr="00172FD0">
              <w:rPr>
                <w:b/>
                <w:bCs/>
              </w:rPr>
              <w:t>EE Insurance Group (EEIG</w:t>
            </w:r>
            <w:r>
              <w:t>)</w:t>
            </w:r>
          </w:p>
          <w:p w14:paraId="6F75024D" w14:textId="77777777" w:rsidR="005C434F" w:rsidRDefault="005C434F" w:rsidP="00406067">
            <w:pPr>
              <w:pStyle w:val="Header"/>
              <w:spacing w:line="276" w:lineRule="auto"/>
              <w:jc w:val="center"/>
            </w:pPr>
            <w:r>
              <w:rPr>
                <w:noProof/>
              </w:rPr>
              <w:drawing>
                <wp:inline distT="0" distB="0" distL="0" distR="0" wp14:anchorId="21CDA3F2" wp14:editId="69173C79">
                  <wp:extent cx="2762250" cy="1311275"/>
                  <wp:effectExtent l="38100" t="19050" r="57150" b="31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6E63D81" w14:textId="77777777" w:rsidR="005C434F" w:rsidRPr="008A7F7F" w:rsidRDefault="005C434F" w:rsidP="00406067">
            <w:pPr>
              <w:pStyle w:val="Header"/>
              <w:spacing w:before="240" w:after="240" w:line="276" w:lineRule="auto"/>
              <w:jc w:val="center"/>
              <w:rPr>
                <w:b/>
                <w:bCs/>
                <w:sz w:val="6"/>
                <w:szCs w:val="6"/>
              </w:rPr>
            </w:pPr>
          </w:p>
          <w:p w14:paraId="79D26FAD" w14:textId="77777777" w:rsidR="005C434F" w:rsidRPr="008E42CA" w:rsidRDefault="005C434F" w:rsidP="00406067">
            <w:pPr>
              <w:pStyle w:val="Header"/>
              <w:spacing w:before="240" w:after="240" w:line="276" w:lineRule="auto"/>
              <w:jc w:val="center"/>
              <w:rPr>
                <w:b/>
                <w:bCs/>
                <w:sz w:val="2"/>
                <w:szCs w:val="2"/>
              </w:rPr>
            </w:pPr>
          </w:p>
          <w:p w14:paraId="19133CC1" w14:textId="77777777" w:rsidR="005C434F" w:rsidRDefault="005C434F" w:rsidP="00406067">
            <w:pPr>
              <w:pStyle w:val="Header"/>
              <w:spacing w:before="240" w:after="240" w:line="276" w:lineRule="auto"/>
              <w:jc w:val="center"/>
              <w:rPr>
                <w:b/>
                <w:bCs/>
              </w:rPr>
            </w:pPr>
            <w:r w:rsidRPr="009C497A">
              <w:rPr>
                <w:b/>
                <w:bCs/>
              </w:rPr>
              <w:t>Calculation of ARC</w:t>
            </w:r>
          </w:p>
          <w:tbl>
            <w:tblPr>
              <w:tblStyle w:val="TableGrid"/>
              <w:tblpPr w:leftFromText="180" w:rightFromText="180" w:vertAnchor="text" w:horzAnchor="margin" w:tblpY="12"/>
              <w:tblOverlap w:val="never"/>
              <w:tblW w:w="4405" w:type="dxa"/>
              <w:tblLook w:val="04A0" w:firstRow="1" w:lastRow="0" w:firstColumn="1" w:lastColumn="0" w:noHBand="0" w:noVBand="1"/>
            </w:tblPr>
            <w:tblGrid>
              <w:gridCol w:w="1549"/>
              <w:gridCol w:w="639"/>
              <w:gridCol w:w="957"/>
              <w:gridCol w:w="1260"/>
            </w:tblGrid>
            <w:tr w:rsidR="005C434F" w:rsidRPr="002A680E" w14:paraId="221B2487" w14:textId="77777777" w:rsidTr="00406067">
              <w:trPr>
                <w:trHeight w:val="429"/>
              </w:trPr>
              <w:tc>
                <w:tcPr>
                  <w:tcW w:w="1549" w:type="dxa"/>
                  <w:shd w:val="clear" w:color="auto" w:fill="C2D69B"/>
                </w:tcPr>
                <w:p w14:paraId="120E8A2A"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639" w:type="dxa"/>
                  <w:shd w:val="clear" w:color="auto" w:fill="C2D69B"/>
                </w:tcPr>
                <w:p w14:paraId="52D71CC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T</w:t>
                  </w:r>
                  <w:r w:rsidRPr="001138DB">
                    <w:rPr>
                      <w:rFonts w:eastAsia="Calibri"/>
                      <w:sz w:val="16"/>
                      <w:szCs w:val="16"/>
                    </w:rPr>
                    <w:t>AC</w:t>
                  </w:r>
                </w:p>
              </w:tc>
              <w:tc>
                <w:tcPr>
                  <w:tcW w:w="957" w:type="dxa"/>
                  <w:shd w:val="clear" w:color="auto" w:fill="C2D69B"/>
                </w:tcPr>
                <w:p w14:paraId="217744D3" w14:textId="77777777" w:rsidR="005C434F" w:rsidRPr="006757C1" w:rsidRDefault="005C434F" w:rsidP="00406067">
                  <w:pPr>
                    <w:tabs>
                      <w:tab w:val="center" w:pos="4680"/>
                      <w:tab w:val="right" w:pos="9360"/>
                    </w:tabs>
                    <w:spacing w:line="276" w:lineRule="auto"/>
                    <w:rPr>
                      <w:rFonts w:eastAsia="Calibri"/>
                      <w:sz w:val="16"/>
                      <w:szCs w:val="16"/>
                    </w:rPr>
                  </w:pPr>
                  <w:r w:rsidRPr="001138DB">
                    <w:rPr>
                      <w:rFonts w:eastAsia="Calibri"/>
                      <w:sz w:val="16"/>
                      <w:szCs w:val="16"/>
                    </w:rPr>
                    <w:t>Less:</w:t>
                  </w:r>
                  <w:r>
                    <w:rPr>
                      <w:rFonts w:eastAsia="Calibri"/>
                      <w:sz w:val="16"/>
                      <w:szCs w:val="16"/>
                    </w:rPr>
                    <w:t xml:space="preserve"> </w:t>
                  </w:r>
                  <w:r w:rsidRPr="001138DB">
                    <w:rPr>
                      <w:rFonts w:eastAsia="Calibri"/>
                      <w:sz w:val="16"/>
                      <w:szCs w:val="16"/>
                    </w:rPr>
                    <w:t>Subs’ TAC</w:t>
                  </w:r>
                </w:p>
              </w:tc>
              <w:tc>
                <w:tcPr>
                  <w:tcW w:w="1260" w:type="dxa"/>
                  <w:shd w:val="clear" w:color="auto" w:fill="C2D69B"/>
                </w:tcPr>
                <w:p w14:paraId="77982046" w14:textId="77777777" w:rsidR="005C434F" w:rsidRPr="001138DB" w:rsidRDefault="005C434F" w:rsidP="00406067">
                  <w:pPr>
                    <w:tabs>
                      <w:tab w:val="center" w:pos="4680"/>
                      <w:tab w:val="right" w:pos="9360"/>
                    </w:tabs>
                    <w:spacing w:line="276" w:lineRule="auto"/>
                    <w:jc w:val="both"/>
                    <w:rPr>
                      <w:rFonts w:eastAsia="Calibri"/>
                      <w:sz w:val="16"/>
                      <w:szCs w:val="16"/>
                    </w:rPr>
                  </w:pPr>
                  <w:r w:rsidRPr="001138DB">
                    <w:rPr>
                      <w:rFonts w:eastAsia="Calibri"/>
                      <w:sz w:val="16"/>
                      <w:szCs w:val="16"/>
                    </w:rPr>
                    <w:t>Adjusted TAC</w:t>
                  </w:r>
                </w:p>
              </w:tc>
            </w:tr>
            <w:tr w:rsidR="005C434F" w:rsidRPr="002A680E" w14:paraId="2BB63EBF" w14:textId="77777777" w:rsidTr="00406067">
              <w:trPr>
                <w:trHeight w:val="365"/>
              </w:trPr>
              <w:tc>
                <w:tcPr>
                  <w:tcW w:w="1549" w:type="dxa"/>
                  <w:shd w:val="clear" w:color="auto" w:fill="EAF1DD"/>
                </w:tcPr>
                <w:p w14:paraId="065515B4"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AA Holding Co</w:t>
                  </w:r>
                  <w:r>
                    <w:rPr>
                      <w:rFonts w:eastAsia="Calibri"/>
                      <w:sz w:val="16"/>
                      <w:szCs w:val="16"/>
                    </w:rPr>
                    <w:t>.</w:t>
                  </w:r>
                </w:p>
              </w:tc>
              <w:tc>
                <w:tcPr>
                  <w:tcW w:w="639" w:type="dxa"/>
                  <w:shd w:val="clear" w:color="auto" w:fill="EAF1DD"/>
                </w:tcPr>
                <w:p w14:paraId="092E58E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50.0</w:t>
                  </w:r>
                  <w:r>
                    <w:rPr>
                      <w:rFonts w:eastAsia="Calibri"/>
                      <w:sz w:val="16"/>
                      <w:szCs w:val="16"/>
                    </w:rPr>
                    <w:t>M</w:t>
                  </w:r>
                </w:p>
              </w:tc>
              <w:tc>
                <w:tcPr>
                  <w:tcW w:w="957" w:type="dxa"/>
                  <w:shd w:val="clear" w:color="auto" w:fill="EAF1DD"/>
                </w:tcPr>
                <w:p w14:paraId="52149C4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 xml:space="preserve"> </w:t>
                  </w:r>
                  <w:r>
                    <w:rPr>
                      <w:rFonts w:eastAsia="Calibri"/>
                      <w:sz w:val="16"/>
                      <w:szCs w:val="16"/>
                    </w:rPr>
                    <w:t>(</w:t>
                  </w:r>
                  <w:r w:rsidRPr="001138DB">
                    <w:rPr>
                      <w:rFonts w:eastAsia="Calibri"/>
                      <w:sz w:val="16"/>
                      <w:szCs w:val="16"/>
                    </w:rPr>
                    <w:t>38.0</w:t>
                  </w:r>
                  <w:r>
                    <w:rPr>
                      <w:rFonts w:eastAsia="Calibri"/>
                      <w:sz w:val="16"/>
                      <w:szCs w:val="16"/>
                    </w:rPr>
                    <w:t>M)</w:t>
                  </w:r>
                  <w:r w:rsidRPr="008E312B">
                    <w:rPr>
                      <w:rStyle w:val="FootnoteReference"/>
                      <w:sz w:val="16"/>
                      <w:szCs w:val="16"/>
                    </w:rPr>
                    <w:t>1</w:t>
                  </w:r>
                </w:p>
              </w:tc>
              <w:tc>
                <w:tcPr>
                  <w:tcW w:w="1260" w:type="dxa"/>
                  <w:shd w:val="clear" w:color="auto" w:fill="EAF1DD"/>
                </w:tcPr>
                <w:p w14:paraId="7BBD641A" w14:textId="77777777" w:rsidR="005C434F" w:rsidRPr="001138DB" w:rsidRDefault="005C434F" w:rsidP="00406067">
                  <w:pPr>
                    <w:tabs>
                      <w:tab w:val="center" w:pos="4680"/>
                      <w:tab w:val="right" w:pos="9360"/>
                    </w:tabs>
                    <w:spacing w:line="276" w:lineRule="auto"/>
                    <w:jc w:val="both"/>
                    <w:rPr>
                      <w:rFonts w:eastAsia="Calibri"/>
                      <w:sz w:val="16"/>
                      <w:szCs w:val="16"/>
                    </w:rPr>
                  </w:pPr>
                  <w:r w:rsidRPr="001138DB">
                    <w:rPr>
                      <w:rFonts w:eastAsia="Calibri"/>
                      <w:sz w:val="16"/>
                      <w:szCs w:val="16"/>
                    </w:rPr>
                    <w:t>12.0M</w:t>
                  </w:r>
                </w:p>
              </w:tc>
            </w:tr>
            <w:tr w:rsidR="005C434F" w:rsidRPr="002A680E" w14:paraId="3E03D8B1" w14:textId="77777777" w:rsidTr="00406067">
              <w:trPr>
                <w:trHeight w:val="429"/>
              </w:trPr>
              <w:tc>
                <w:tcPr>
                  <w:tcW w:w="1549" w:type="dxa"/>
                  <w:shd w:val="clear" w:color="auto" w:fill="DDD9C3"/>
                </w:tcPr>
                <w:p w14:paraId="0991DE43"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BB Life Insurance Co</w:t>
                  </w:r>
                  <w:r>
                    <w:rPr>
                      <w:rFonts w:eastAsia="Calibri"/>
                      <w:sz w:val="16"/>
                      <w:szCs w:val="16"/>
                    </w:rPr>
                    <w:t>.</w:t>
                  </w:r>
                </w:p>
              </w:tc>
              <w:tc>
                <w:tcPr>
                  <w:tcW w:w="639" w:type="dxa"/>
                  <w:shd w:val="clear" w:color="auto" w:fill="DDD9C3"/>
                </w:tcPr>
                <w:p w14:paraId="3C085EA5"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30.0</w:t>
                  </w:r>
                  <w:r>
                    <w:rPr>
                      <w:rFonts w:eastAsia="Calibri"/>
                      <w:sz w:val="16"/>
                      <w:szCs w:val="16"/>
                    </w:rPr>
                    <w:t>M</w:t>
                  </w:r>
                </w:p>
              </w:tc>
              <w:tc>
                <w:tcPr>
                  <w:tcW w:w="957" w:type="dxa"/>
                  <w:shd w:val="clear" w:color="auto" w:fill="DDD9C3"/>
                </w:tcPr>
                <w:p w14:paraId="2823C386"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DDD9C3"/>
                </w:tcPr>
                <w:p w14:paraId="7F10AE8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30.0M</w:t>
                  </w:r>
                </w:p>
              </w:tc>
            </w:tr>
            <w:tr w:rsidR="005C434F" w:rsidRPr="002A680E" w14:paraId="3BCCAA0F" w14:textId="77777777" w:rsidTr="00406067">
              <w:trPr>
                <w:trHeight w:val="347"/>
              </w:trPr>
              <w:tc>
                <w:tcPr>
                  <w:tcW w:w="1549" w:type="dxa"/>
                  <w:shd w:val="clear" w:color="auto" w:fill="EAF1DD"/>
                </w:tcPr>
                <w:p w14:paraId="349CD6F1"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CC Insurance Co</w:t>
                  </w:r>
                  <w:r>
                    <w:rPr>
                      <w:rFonts w:eastAsia="Calibri"/>
                      <w:sz w:val="16"/>
                      <w:szCs w:val="16"/>
                    </w:rPr>
                    <w:t>.</w:t>
                  </w:r>
                </w:p>
              </w:tc>
              <w:tc>
                <w:tcPr>
                  <w:tcW w:w="639" w:type="dxa"/>
                  <w:shd w:val="clear" w:color="auto" w:fill="EAF1DD"/>
                </w:tcPr>
                <w:p w14:paraId="7FEEB0D1"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w:t>
                  </w:r>
                  <w:r>
                    <w:rPr>
                      <w:rFonts w:eastAsia="Calibri"/>
                      <w:sz w:val="16"/>
                      <w:szCs w:val="16"/>
                    </w:rPr>
                    <w:t>M</w:t>
                  </w:r>
                </w:p>
              </w:tc>
              <w:tc>
                <w:tcPr>
                  <w:tcW w:w="957" w:type="dxa"/>
                  <w:shd w:val="clear" w:color="auto" w:fill="EAF1DD"/>
                </w:tcPr>
                <w:p w14:paraId="030236E5"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EAF1DD"/>
                </w:tcPr>
                <w:p w14:paraId="0700912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6.0M</w:t>
                  </w:r>
                </w:p>
              </w:tc>
            </w:tr>
            <w:tr w:rsidR="005C434F" w:rsidRPr="002A680E" w14:paraId="45BEC429" w14:textId="77777777" w:rsidTr="00406067">
              <w:trPr>
                <w:trHeight w:val="365"/>
              </w:trPr>
              <w:tc>
                <w:tcPr>
                  <w:tcW w:w="1549" w:type="dxa"/>
                  <w:shd w:val="clear" w:color="auto" w:fill="DDD9C3"/>
                </w:tcPr>
                <w:p w14:paraId="35A4D0B7"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DD Ins</w:t>
                  </w:r>
                  <w:r>
                    <w:rPr>
                      <w:rFonts w:eastAsia="Calibri"/>
                      <w:sz w:val="16"/>
                      <w:szCs w:val="16"/>
                    </w:rPr>
                    <w:t>.</w:t>
                  </w:r>
                  <w:r w:rsidRPr="006757C1">
                    <w:rPr>
                      <w:rFonts w:eastAsia="Calibri"/>
                      <w:sz w:val="16"/>
                      <w:szCs w:val="16"/>
                    </w:rPr>
                    <w:t xml:space="preserve"> Agency</w:t>
                  </w:r>
                </w:p>
              </w:tc>
              <w:tc>
                <w:tcPr>
                  <w:tcW w:w="639" w:type="dxa"/>
                  <w:shd w:val="clear" w:color="auto" w:fill="DDD9C3"/>
                </w:tcPr>
                <w:p w14:paraId="0EE7CDC8"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w:t>
                  </w:r>
                  <w:r>
                    <w:rPr>
                      <w:rFonts w:eastAsia="Calibri"/>
                      <w:sz w:val="16"/>
                      <w:szCs w:val="16"/>
                    </w:rPr>
                    <w:t>M</w:t>
                  </w:r>
                </w:p>
              </w:tc>
              <w:tc>
                <w:tcPr>
                  <w:tcW w:w="957" w:type="dxa"/>
                  <w:shd w:val="clear" w:color="auto" w:fill="DDD9C3"/>
                </w:tcPr>
                <w:p w14:paraId="6DCE2834"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DDD9C3"/>
                </w:tcPr>
                <w:p w14:paraId="18E935B9"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2.0M</w:t>
                  </w:r>
                </w:p>
              </w:tc>
            </w:tr>
            <w:tr w:rsidR="005C434F" w:rsidRPr="001C60A8" w14:paraId="4A37ABF3" w14:textId="77777777" w:rsidTr="00406067">
              <w:trPr>
                <w:trHeight w:val="429"/>
              </w:trPr>
              <w:tc>
                <w:tcPr>
                  <w:tcW w:w="1549" w:type="dxa"/>
                  <w:shd w:val="clear" w:color="auto" w:fill="DDD9C3"/>
                </w:tcPr>
                <w:p w14:paraId="42783D73" w14:textId="77777777" w:rsidR="005C434F" w:rsidRPr="001138DB" w:rsidRDefault="005C434F" w:rsidP="00406067">
                  <w:pPr>
                    <w:tabs>
                      <w:tab w:val="center" w:pos="4680"/>
                      <w:tab w:val="right" w:pos="9360"/>
                    </w:tabs>
                    <w:spacing w:line="276" w:lineRule="auto"/>
                    <w:rPr>
                      <w:rFonts w:eastAsia="Calibri"/>
                      <w:b/>
                      <w:bCs/>
                      <w:sz w:val="16"/>
                      <w:szCs w:val="16"/>
                    </w:rPr>
                  </w:pPr>
                  <w:r w:rsidRPr="001138DB">
                    <w:rPr>
                      <w:rFonts w:eastAsia="Calibri"/>
                      <w:b/>
                      <w:bCs/>
                      <w:sz w:val="16"/>
                      <w:szCs w:val="16"/>
                    </w:rPr>
                    <w:t>ARC (EEIG Group Total)</w:t>
                  </w:r>
                </w:p>
              </w:tc>
              <w:tc>
                <w:tcPr>
                  <w:tcW w:w="639" w:type="dxa"/>
                  <w:shd w:val="clear" w:color="auto" w:fill="DDD9C3"/>
                </w:tcPr>
                <w:p w14:paraId="19DA357A"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957" w:type="dxa"/>
                  <w:shd w:val="clear" w:color="auto" w:fill="DDD9C3"/>
                </w:tcPr>
                <w:p w14:paraId="634254D9" w14:textId="77777777" w:rsidR="005C434F" w:rsidRPr="001138DB" w:rsidRDefault="005C434F" w:rsidP="00406067">
                  <w:pPr>
                    <w:tabs>
                      <w:tab w:val="center" w:pos="4680"/>
                      <w:tab w:val="right" w:pos="9360"/>
                    </w:tabs>
                    <w:spacing w:line="276" w:lineRule="auto"/>
                    <w:jc w:val="center"/>
                    <w:rPr>
                      <w:rFonts w:eastAsia="Calibri"/>
                      <w:b/>
                      <w:bCs/>
                      <w:sz w:val="16"/>
                      <w:szCs w:val="16"/>
                    </w:rPr>
                  </w:pPr>
                </w:p>
              </w:tc>
              <w:tc>
                <w:tcPr>
                  <w:tcW w:w="1260" w:type="dxa"/>
                  <w:shd w:val="clear" w:color="auto" w:fill="DDD9C3"/>
                </w:tcPr>
                <w:p w14:paraId="02BDE646" w14:textId="77777777" w:rsidR="005C434F" w:rsidRPr="001138DB" w:rsidRDefault="005C434F" w:rsidP="00406067">
                  <w:pPr>
                    <w:tabs>
                      <w:tab w:val="center" w:pos="4680"/>
                      <w:tab w:val="right" w:pos="9360"/>
                    </w:tabs>
                    <w:spacing w:line="276" w:lineRule="auto"/>
                    <w:jc w:val="both"/>
                    <w:rPr>
                      <w:rFonts w:eastAsia="Calibri"/>
                      <w:b/>
                      <w:bCs/>
                      <w:sz w:val="16"/>
                      <w:szCs w:val="16"/>
                    </w:rPr>
                  </w:pPr>
                  <w:r w:rsidRPr="001138DB">
                    <w:rPr>
                      <w:rFonts w:eastAsia="Calibri"/>
                      <w:b/>
                      <w:bCs/>
                      <w:sz w:val="16"/>
                      <w:szCs w:val="16"/>
                    </w:rPr>
                    <w:t>50.0M</w:t>
                  </w:r>
                </w:p>
              </w:tc>
            </w:tr>
          </w:tbl>
          <w:p w14:paraId="54CC5CAD" w14:textId="77777777" w:rsidR="005C434F" w:rsidRPr="008E312B" w:rsidRDefault="005C434F" w:rsidP="00406067">
            <w:pPr>
              <w:rPr>
                <w:b/>
                <w:bCs/>
              </w:rPr>
            </w:pPr>
            <w:r w:rsidRPr="008E312B">
              <w:rPr>
                <w:rStyle w:val="FootnoteReference"/>
                <w:sz w:val="14"/>
                <w:szCs w:val="14"/>
              </w:rPr>
              <w:t>1</w:t>
            </w:r>
            <w:r>
              <w:rPr>
                <w:rStyle w:val="FootnoteReference"/>
                <w:sz w:val="14"/>
                <w:szCs w:val="14"/>
              </w:rPr>
              <w:t xml:space="preserve"> </w:t>
            </w:r>
            <w:r w:rsidRPr="008E312B">
              <w:rPr>
                <w:sz w:val="14"/>
                <w:szCs w:val="14"/>
              </w:rPr>
              <w:t>Amount of TAC for Subs as follows: (30.0M + 6.0M + 2.0M)</w:t>
            </w:r>
          </w:p>
          <w:p w14:paraId="3F0C29B2" w14:textId="77777777" w:rsidR="005C434F" w:rsidRDefault="005C434F" w:rsidP="00406067">
            <w:pPr>
              <w:rPr>
                <w:b/>
                <w:bCs/>
              </w:rPr>
            </w:pPr>
          </w:p>
          <w:p w14:paraId="50A86B21" w14:textId="77777777" w:rsidR="005C434F" w:rsidRPr="009C497A" w:rsidRDefault="005C434F" w:rsidP="00406067">
            <w:pPr>
              <w:rPr>
                <w:b/>
                <w:bCs/>
              </w:rPr>
            </w:pPr>
          </w:p>
        </w:tc>
        <w:tc>
          <w:tcPr>
            <w:tcW w:w="4962" w:type="dxa"/>
          </w:tcPr>
          <w:tbl>
            <w:tblPr>
              <w:tblStyle w:val="TableGrid"/>
              <w:tblpPr w:leftFromText="180" w:rightFromText="180" w:vertAnchor="page" w:horzAnchor="margin" w:tblpX="170" w:tblpY="391"/>
              <w:tblOverlap w:val="never"/>
              <w:tblW w:w="0" w:type="auto"/>
              <w:tblLook w:val="04A0" w:firstRow="1" w:lastRow="0" w:firstColumn="1" w:lastColumn="0" w:noHBand="0" w:noVBand="1"/>
            </w:tblPr>
            <w:tblGrid>
              <w:gridCol w:w="1733"/>
              <w:gridCol w:w="1229"/>
              <w:gridCol w:w="1525"/>
            </w:tblGrid>
            <w:tr w:rsidR="005C434F" w:rsidRPr="002A680E" w14:paraId="6490C52B" w14:textId="77777777" w:rsidTr="00406067">
              <w:tc>
                <w:tcPr>
                  <w:tcW w:w="1733" w:type="dxa"/>
                  <w:shd w:val="clear" w:color="auto" w:fill="C2D69B"/>
                </w:tcPr>
                <w:p w14:paraId="6822A62E"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1229" w:type="dxa"/>
                  <w:shd w:val="clear" w:color="auto" w:fill="C2D69B"/>
                </w:tcPr>
                <w:p w14:paraId="144E20B5"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Total Available Capital</w:t>
                  </w:r>
                </w:p>
              </w:tc>
              <w:tc>
                <w:tcPr>
                  <w:tcW w:w="1525" w:type="dxa"/>
                  <w:shd w:val="clear" w:color="auto" w:fill="C2D69B"/>
                </w:tcPr>
                <w:p w14:paraId="14498C1C" w14:textId="77777777" w:rsidR="005C434F" w:rsidRPr="006757C1" w:rsidRDefault="005C434F" w:rsidP="00406067">
                  <w:pPr>
                    <w:tabs>
                      <w:tab w:val="center" w:pos="4680"/>
                      <w:tab w:val="right" w:pos="9360"/>
                    </w:tabs>
                    <w:spacing w:line="276" w:lineRule="auto"/>
                    <w:ind w:right="-44"/>
                    <w:jc w:val="both"/>
                    <w:rPr>
                      <w:rFonts w:eastAsia="Calibri"/>
                      <w:sz w:val="16"/>
                      <w:szCs w:val="16"/>
                    </w:rPr>
                  </w:pPr>
                  <w:r>
                    <w:rPr>
                      <w:rFonts w:eastAsia="Calibri"/>
                      <w:sz w:val="16"/>
                      <w:szCs w:val="16"/>
                    </w:rPr>
                    <w:t xml:space="preserve">Minimum </w:t>
                  </w:r>
                  <w:r w:rsidRPr="006757C1">
                    <w:rPr>
                      <w:rFonts w:eastAsia="Calibri"/>
                      <w:sz w:val="16"/>
                      <w:szCs w:val="16"/>
                    </w:rPr>
                    <w:t>Regulatory Capital</w:t>
                  </w:r>
                </w:p>
              </w:tc>
            </w:tr>
            <w:tr w:rsidR="005C434F" w:rsidRPr="002A680E" w14:paraId="47B3BB90" w14:textId="77777777" w:rsidTr="00406067">
              <w:tc>
                <w:tcPr>
                  <w:tcW w:w="1733" w:type="dxa"/>
                  <w:shd w:val="clear" w:color="auto" w:fill="EAF1DD"/>
                </w:tcPr>
                <w:p w14:paraId="20E8E8E7"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AA Holding Company</w:t>
                  </w:r>
                </w:p>
              </w:tc>
              <w:tc>
                <w:tcPr>
                  <w:tcW w:w="1229" w:type="dxa"/>
                  <w:shd w:val="clear" w:color="auto" w:fill="EAF1DD"/>
                </w:tcPr>
                <w:p w14:paraId="223B9713" w14:textId="4A057206"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50.0 </w:t>
                  </w:r>
                  <w:r w:rsidR="00966A3B" w:rsidRPr="006757C1">
                    <w:rPr>
                      <w:rFonts w:eastAsia="Calibri"/>
                      <w:sz w:val="16"/>
                      <w:szCs w:val="16"/>
                    </w:rPr>
                    <w:t>million</w:t>
                  </w:r>
                </w:p>
              </w:tc>
              <w:tc>
                <w:tcPr>
                  <w:tcW w:w="1525" w:type="dxa"/>
                  <w:shd w:val="clear" w:color="auto" w:fill="EAF1DD"/>
                </w:tcPr>
                <w:p w14:paraId="631F6D5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0</w:t>
                  </w:r>
                  <w:r>
                    <w:rPr>
                      <w:rStyle w:val="FootnoteReference"/>
                      <w:sz w:val="14"/>
                      <w:szCs w:val="14"/>
                    </w:rPr>
                    <w:t>2</w:t>
                  </w:r>
                </w:p>
              </w:tc>
            </w:tr>
            <w:tr w:rsidR="005C434F" w:rsidRPr="002A680E" w14:paraId="363CCE52" w14:textId="77777777" w:rsidTr="00406067">
              <w:tc>
                <w:tcPr>
                  <w:tcW w:w="1733" w:type="dxa"/>
                  <w:shd w:val="clear" w:color="auto" w:fill="DDD9C3"/>
                </w:tcPr>
                <w:p w14:paraId="552F6C49"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BB Life Insurance Company</w:t>
                  </w:r>
                </w:p>
              </w:tc>
              <w:tc>
                <w:tcPr>
                  <w:tcW w:w="1229" w:type="dxa"/>
                  <w:shd w:val="clear" w:color="auto" w:fill="DDD9C3"/>
                </w:tcPr>
                <w:p w14:paraId="175A18B8" w14:textId="4DF42F2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30.0 </w:t>
                  </w:r>
                  <w:r w:rsidR="00966A3B" w:rsidRPr="006757C1">
                    <w:rPr>
                      <w:rFonts w:eastAsia="Calibri"/>
                      <w:sz w:val="16"/>
                      <w:szCs w:val="16"/>
                    </w:rPr>
                    <w:t>million</w:t>
                  </w:r>
                </w:p>
              </w:tc>
              <w:tc>
                <w:tcPr>
                  <w:tcW w:w="1525" w:type="dxa"/>
                  <w:shd w:val="clear" w:color="auto" w:fill="DDD9C3"/>
                </w:tcPr>
                <w:p w14:paraId="76730968" w14:textId="2BC1BA98"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3.0 </w:t>
                  </w:r>
                  <w:r w:rsidR="00966A3B" w:rsidRPr="006757C1">
                    <w:rPr>
                      <w:rFonts w:eastAsia="Calibri"/>
                      <w:sz w:val="16"/>
                      <w:szCs w:val="16"/>
                    </w:rPr>
                    <w:t>million</w:t>
                  </w:r>
                  <w:r>
                    <w:rPr>
                      <w:rStyle w:val="FootnoteReference"/>
                      <w:sz w:val="14"/>
                      <w:szCs w:val="14"/>
                    </w:rPr>
                    <w:t>3</w:t>
                  </w:r>
                </w:p>
              </w:tc>
            </w:tr>
            <w:tr w:rsidR="005C434F" w:rsidRPr="002A680E" w14:paraId="0808ED7B" w14:textId="77777777" w:rsidTr="00406067">
              <w:trPr>
                <w:trHeight w:val="422"/>
              </w:trPr>
              <w:tc>
                <w:tcPr>
                  <w:tcW w:w="1733" w:type="dxa"/>
                  <w:shd w:val="clear" w:color="auto" w:fill="EAF1DD"/>
                </w:tcPr>
                <w:p w14:paraId="55C3FD39"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CC Insurance Company</w:t>
                  </w:r>
                </w:p>
              </w:tc>
              <w:tc>
                <w:tcPr>
                  <w:tcW w:w="1229" w:type="dxa"/>
                  <w:shd w:val="clear" w:color="auto" w:fill="EAF1DD"/>
                </w:tcPr>
                <w:p w14:paraId="5AD660F3" w14:textId="42202160"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 </w:t>
                  </w:r>
                  <w:r w:rsidR="00966A3B" w:rsidRPr="006757C1">
                    <w:rPr>
                      <w:rFonts w:eastAsia="Calibri"/>
                      <w:sz w:val="16"/>
                      <w:szCs w:val="16"/>
                    </w:rPr>
                    <w:t>million</w:t>
                  </w:r>
                  <w:r w:rsidRPr="00F1308D">
                    <w:rPr>
                      <w:rStyle w:val="FootnoteReference"/>
                      <w:sz w:val="16"/>
                      <w:szCs w:val="16"/>
                    </w:rPr>
                    <w:t>1</w:t>
                  </w:r>
                </w:p>
              </w:tc>
              <w:tc>
                <w:tcPr>
                  <w:tcW w:w="1525" w:type="dxa"/>
                  <w:shd w:val="clear" w:color="auto" w:fill="EAF1DD"/>
                </w:tcPr>
                <w:p w14:paraId="6D524409" w14:textId="65AD36A4" w:rsidR="005C434F" w:rsidRPr="006757C1" w:rsidRDefault="005C434F" w:rsidP="00406067">
                  <w:pPr>
                    <w:tabs>
                      <w:tab w:val="left" w:pos="918"/>
                      <w:tab w:val="center" w:pos="4680"/>
                      <w:tab w:val="right" w:pos="9360"/>
                    </w:tabs>
                    <w:spacing w:line="276" w:lineRule="auto"/>
                    <w:jc w:val="both"/>
                    <w:rPr>
                      <w:rFonts w:eastAsia="Calibri"/>
                      <w:sz w:val="16"/>
                      <w:szCs w:val="16"/>
                    </w:rPr>
                  </w:pPr>
                  <w:r w:rsidRPr="006757C1">
                    <w:rPr>
                      <w:rFonts w:eastAsia="Calibri"/>
                      <w:sz w:val="16"/>
                      <w:szCs w:val="16"/>
                    </w:rPr>
                    <w:t xml:space="preserve">   1.6 </w:t>
                  </w:r>
                  <w:r w:rsidR="00966A3B" w:rsidRPr="006757C1">
                    <w:rPr>
                      <w:rFonts w:eastAsia="Calibri"/>
                      <w:sz w:val="16"/>
                      <w:szCs w:val="16"/>
                    </w:rPr>
                    <w:t>million</w:t>
                  </w:r>
                  <w:r>
                    <w:rPr>
                      <w:rStyle w:val="FootnoteReference"/>
                      <w:sz w:val="14"/>
                      <w:szCs w:val="14"/>
                    </w:rPr>
                    <w:t>3</w:t>
                  </w:r>
                </w:p>
              </w:tc>
            </w:tr>
            <w:tr w:rsidR="005C434F" w:rsidRPr="002A680E" w14:paraId="097CC2ED" w14:textId="77777777" w:rsidTr="00406067">
              <w:trPr>
                <w:trHeight w:val="260"/>
              </w:trPr>
              <w:tc>
                <w:tcPr>
                  <w:tcW w:w="1733" w:type="dxa"/>
                  <w:shd w:val="clear" w:color="auto" w:fill="DDD9C3"/>
                </w:tcPr>
                <w:p w14:paraId="598B43DA"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DD Insurance Agency</w:t>
                  </w:r>
                </w:p>
              </w:tc>
              <w:tc>
                <w:tcPr>
                  <w:tcW w:w="1229" w:type="dxa"/>
                  <w:shd w:val="clear" w:color="auto" w:fill="DDD9C3"/>
                </w:tcPr>
                <w:p w14:paraId="4EB6D690" w14:textId="41161874"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 </w:t>
                  </w:r>
                  <w:r w:rsidR="00966A3B" w:rsidRPr="006757C1">
                    <w:rPr>
                      <w:rFonts w:eastAsia="Calibri"/>
                      <w:sz w:val="16"/>
                      <w:szCs w:val="16"/>
                    </w:rPr>
                    <w:t>million</w:t>
                  </w:r>
                  <w:r w:rsidRPr="00F1308D">
                    <w:rPr>
                      <w:rStyle w:val="FootnoteReference"/>
                      <w:sz w:val="16"/>
                      <w:szCs w:val="16"/>
                    </w:rPr>
                    <w:t>1</w:t>
                  </w:r>
                </w:p>
              </w:tc>
              <w:tc>
                <w:tcPr>
                  <w:tcW w:w="1525" w:type="dxa"/>
                  <w:shd w:val="clear" w:color="auto" w:fill="DDD9C3"/>
                </w:tcPr>
                <w:p w14:paraId="5752406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0</w:t>
                  </w:r>
                  <w:r w:rsidRPr="00F1308D">
                    <w:rPr>
                      <w:rStyle w:val="FootnoteReference"/>
                      <w:sz w:val="16"/>
                      <w:szCs w:val="16"/>
                    </w:rPr>
                    <w:t>2</w:t>
                  </w:r>
                </w:p>
              </w:tc>
            </w:tr>
          </w:tbl>
          <w:p w14:paraId="124EB0FA" w14:textId="77777777" w:rsidR="005C434F" w:rsidRDefault="005C434F" w:rsidP="00406067">
            <w:pPr>
              <w:pStyle w:val="Header"/>
              <w:spacing w:after="120" w:line="276" w:lineRule="auto"/>
              <w:jc w:val="center"/>
              <w:rPr>
                <w:b/>
                <w:bCs/>
              </w:rPr>
            </w:pPr>
            <w:r w:rsidRPr="006E7770">
              <w:rPr>
                <w:b/>
                <w:bCs/>
              </w:rPr>
              <w:t>EEIG Financial Information</w:t>
            </w:r>
          </w:p>
          <w:p w14:paraId="6FE8271B" w14:textId="77777777" w:rsidR="005C434F" w:rsidRDefault="005C434F" w:rsidP="00406067">
            <w:pPr>
              <w:pStyle w:val="Header"/>
              <w:spacing w:after="120" w:line="276" w:lineRule="auto"/>
              <w:jc w:val="center"/>
              <w:rPr>
                <w:sz w:val="14"/>
                <w:szCs w:val="14"/>
              </w:rPr>
            </w:pPr>
          </w:p>
          <w:p w14:paraId="3831312B" w14:textId="77777777" w:rsidR="005C434F" w:rsidRDefault="005C434F" w:rsidP="00406067">
            <w:pPr>
              <w:jc w:val="both"/>
              <w:rPr>
                <w:sz w:val="14"/>
                <w:szCs w:val="14"/>
              </w:rPr>
            </w:pPr>
          </w:p>
          <w:p w14:paraId="523809EC" w14:textId="77777777" w:rsidR="005C434F" w:rsidRDefault="005C434F" w:rsidP="00406067">
            <w:pPr>
              <w:jc w:val="both"/>
              <w:rPr>
                <w:sz w:val="14"/>
                <w:szCs w:val="14"/>
              </w:rPr>
            </w:pPr>
          </w:p>
          <w:p w14:paraId="4AE191A1" w14:textId="77777777" w:rsidR="005C434F" w:rsidRDefault="005C434F" w:rsidP="00406067">
            <w:pPr>
              <w:jc w:val="both"/>
              <w:rPr>
                <w:sz w:val="14"/>
                <w:szCs w:val="14"/>
              </w:rPr>
            </w:pPr>
          </w:p>
          <w:p w14:paraId="4A9CA0BC" w14:textId="77777777" w:rsidR="005C434F" w:rsidRDefault="005C434F" w:rsidP="00406067">
            <w:pPr>
              <w:jc w:val="both"/>
              <w:rPr>
                <w:sz w:val="14"/>
                <w:szCs w:val="14"/>
              </w:rPr>
            </w:pPr>
          </w:p>
          <w:p w14:paraId="75CF1E91" w14:textId="77777777" w:rsidR="005C434F" w:rsidRDefault="005C434F" w:rsidP="00406067">
            <w:pPr>
              <w:jc w:val="both"/>
              <w:rPr>
                <w:sz w:val="14"/>
                <w:szCs w:val="14"/>
              </w:rPr>
            </w:pPr>
          </w:p>
          <w:p w14:paraId="25D48B73" w14:textId="77777777" w:rsidR="005C434F" w:rsidRDefault="005C434F" w:rsidP="00406067">
            <w:pPr>
              <w:jc w:val="both"/>
              <w:rPr>
                <w:sz w:val="14"/>
                <w:szCs w:val="14"/>
              </w:rPr>
            </w:pPr>
          </w:p>
          <w:p w14:paraId="65F68E78" w14:textId="77777777" w:rsidR="005C434F" w:rsidRDefault="005C434F" w:rsidP="00406067">
            <w:pPr>
              <w:jc w:val="both"/>
              <w:rPr>
                <w:sz w:val="14"/>
                <w:szCs w:val="14"/>
              </w:rPr>
            </w:pPr>
          </w:p>
          <w:p w14:paraId="3EC48DAD" w14:textId="77777777" w:rsidR="005C434F" w:rsidRDefault="005C434F" w:rsidP="00406067">
            <w:pPr>
              <w:jc w:val="both"/>
              <w:rPr>
                <w:sz w:val="14"/>
                <w:szCs w:val="14"/>
              </w:rPr>
            </w:pPr>
          </w:p>
          <w:p w14:paraId="157BF7E6" w14:textId="77777777" w:rsidR="005C434F" w:rsidRPr="00987BDC" w:rsidRDefault="005C434F" w:rsidP="00406067">
            <w:pPr>
              <w:jc w:val="both"/>
              <w:rPr>
                <w:sz w:val="14"/>
                <w:szCs w:val="14"/>
              </w:rPr>
            </w:pPr>
          </w:p>
          <w:p w14:paraId="4FE1E20F" w14:textId="77777777" w:rsidR="005C434F" w:rsidRPr="00987BDC" w:rsidRDefault="005C434F" w:rsidP="00406067">
            <w:pPr>
              <w:ind w:left="300" w:hanging="130"/>
              <w:jc w:val="both"/>
              <w:rPr>
                <w:sz w:val="14"/>
                <w:szCs w:val="14"/>
              </w:rPr>
            </w:pPr>
            <w:r w:rsidRPr="00987BDC">
              <w:rPr>
                <w:rStyle w:val="FootnoteReference"/>
                <w:sz w:val="14"/>
                <w:szCs w:val="14"/>
              </w:rPr>
              <w:t>1</w:t>
            </w:r>
            <w:r>
              <w:t xml:space="preserve"> </w:t>
            </w:r>
            <w:r w:rsidRPr="00987BDC">
              <w:rPr>
                <w:sz w:val="14"/>
                <w:szCs w:val="14"/>
              </w:rPr>
              <w:t>For Non-RBC filers this is regulatory available capital or stockholder equity</w:t>
            </w:r>
          </w:p>
          <w:p w14:paraId="27AA396F" w14:textId="77777777" w:rsidR="005C434F" w:rsidRPr="00987BDC" w:rsidRDefault="005C434F" w:rsidP="00406067">
            <w:pPr>
              <w:ind w:left="300" w:hanging="130"/>
              <w:jc w:val="both"/>
              <w:rPr>
                <w:sz w:val="14"/>
                <w:szCs w:val="14"/>
              </w:rPr>
            </w:pPr>
            <w:r>
              <w:rPr>
                <w:rStyle w:val="FootnoteReference"/>
                <w:sz w:val="14"/>
                <w:szCs w:val="14"/>
              </w:rPr>
              <w:t>2</w:t>
            </w:r>
            <w:r>
              <w:t xml:space="preserve"> </w:t>
            </w:r>
            <w:r w:rsidRPr="00987BDC">
              <w:rPr>
                <w:sz w:val="14"/>
                <w:szCs w:val="14"/>
              </w:rPr>
              <w:t>There is no regulatory capital for these entities when owned by a non-regulated entity. Calculated Capital is added @ 10.5% x stand-alone ARC</w:t>
            </w:r>
          </w:p>
          <w:p w14:paraId="486A24F3" w14:textId="77777777" w:rsidR="005C434F" w:rsidRPr="00987BDC" w:rsidRDefault="005C434F" w:rsidP="00406067">
            <w:pPr>
              <w:ind w:left="300" w:hanging="130"/>
              <w:jc w:val="both"/>
              <w:rPr>
                <w:sz w:val="14"/>
                <w:szCs w:val="14"/>
              </w:rPr>
            </w:pPr>
            <w:r>
              <w:rPr>
                <w:rStyle w:val="FootnoteReference"/>
                <w:sz w:val="14"/>
                <w:szCs w:val="14"/>
              </w:rPr>
              <w:t>3</w:t>
            </w:r>
            <w:r>
              <w:t xml:space="preserve"> </w:t>
            </w:r>
            <w:r w:rsidRPr="00987BDC">
              <w:rPr>
                <w:sz w:val="14"/>
                <w:szCs w:val="14"/>
              </w:rPr>
              <w:t xml:space="preserve">Authorized Control Level (ACL) RBC or Prescribed Capital Requirement for non-U.S. insurers </w:t>
            </w:r>
          </w:p>
          <w:p w14:paraId="2B185F03" w14:textId="77777777" w:rsidR="005C434F" w:rsidRDefault="005C434F" w:rsidP="00406067">
            <w:pPr>
              <w:spacing w:after="120"/>
              <w:jc w:val="center"/>
              <w:rPr>
                <w:b/>
                <w:bCs/>
              </w:rPr>
            </w:pPr>
          </w:p>
          <w:p w14:paraId="6101BCAC" w14:textId="77777777" w:rsidR="005C434F" w:rsidRDefault="005C434F" w:rsidP="00406067">
            <w:pPr>
              <w:spacing w:after="120"/>
              <w:jc w:val="center"/>
              <w:rPr>
                <w:b/>
                <w:bCs/>
              </w:rPr>
            </w:pPr>
            <w:r w:rsidRPr="00440CBA">
              <w:rPr>
                <w:b/>
                <w:bCs/>
              </w:rPr>
              <w:t>Calculation of MRC</w:t>
            </w:r>
          </w:p>
          <w:tbl>
            <w:tblPr>
              <w:tblStyle w:val="TableGrid"/>
              <w:tblpPr w:leftFromText="180" w:rightFromText="180" w:vertAnchor="text" w:horzAnchor="margin" w:tblpX="-10" w:tblpY="84"/>
              <w:tblOverlap w:val="never"/>
              <w:tblW w:w="5215" w:type="dxa"/>
              <w:tblLook w:val="04A0" w:firstRow="1" w:lastRow="0" w:firstColumn="1" w:lastColumn="0" w:noHBand="0" w:noVBand="1"/>
            </w:tblPr>
            <w:tblGrid>
              <w:gridCol w:w="1253"/>
              <w:gridCol w:w="812"/>
              <w:gridCol w:w="990"/>
              <w:gridCol w:w="810"/>
              <w:gridCol w:w="720"/>
              <w:gridCol w:w="630"/>
            </w:tblGrid>
            <w:tr w:rsidR="005C434F" w:rsidRPr="002A680E" w14:paraId="1E1AA710" w14:textId="77777777" w:rsidTr="00406067">
              <w:trPr>
                <w:trHeight w:val="429"/>
              </w:trPr>
              <w:tc>
                <w:tcPr>
                  <w:tcW w:w="1255" w:type="dxa"/>
                  <w:shd w:val="clear" w:color="auto" w:fill="C2D69B"/>
                </w:tcPr>
                <w:p w14:paraId="1AAFF05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810" w:type="dxa"/>
                  <w:shd w:val="clear" w:color="auto" w:fill="C2D69B"/>
                </w:tcPr>
                <w:p w14:paraId="6AA536D7" w14:textId="77777777" w:rsidR="005C434F" w:rsidRPr="006757C1" w:rsidRDefault="005C434F" w:rsidP="00406067">
                  <w:pPr>
                    <w:tabs>
                      <w:tab w:val="center" w:pos="4680"/>
                      <w:tab w:val="right" w:pos="9360"/>
                    </w:tabs>
                    <w:spacing w:line="276" w:lineRule="auto"/>
                    <w:ind w:left="-89"/>
                    <w:rPr>
                      <w:rFonts w:eastAsia="Calibri"/>
                      <w:sz w:val="16"/>
                      <w:szCs w:val="16"/>
                    </w:rPr>
                  </w:pPr>
                  <w:r>
                    <w:rPr>
                      <w:rFonts w:eastAsia="Calibri"/>
                      <w:sz w:val="16"/>
                      <w:szCs w:val="16"/>
                    </w:rPr>
                    <w:t>ACL or Calculated Capital</w:t>
                  </w:r>
                  <w:r w:rsidRPr="00987BDC">
                    <w:rPr>
                      <w:rStyle w:val="FootnoteReference"/>
                      <w:sz w:val="14"/>
                      <w:szCs w:val="14"/>
                    </w:rPr>
                    <w:t>1</w:t>
                  </w:r>
                </w:p>
              </w:tc>
              <w:tc>
                <w:tcPr>
                  <w:tcW w:w="990" w:type="dxa"/>
                  <w:shd w:val="clear" w:color="auto" w:fill="C2D69B"/>
                </w:tcPr>
                <w:p w14:paraId="5F35B723" w14:textId="77777777" w:rsidR="005C434F" w:rsidRPr="006757C1" w:rsidRDefault="005C434F" w:rsidP="00406067">
                  <w:pPr>
                    <w:tabs>
                      <w:tab w:val="center" w:pos="4680"/>
                      <w:tab w:val="right" w:pos="9360"/>
                    </w:tabs>
                    <w:spacing w:line="276" w:lineRule="auto"/>
                    <w:rPr>
                      <w:rFonts w:eastAsia="Calibri"/>
                      <w:sz w:val="16"/>
                      <w:szCs w:val="16"/>
                    </w:rPr>
                  </w:pPr>
                  <w:r w:rsidRPr="001138DB">
                    <w:rPr>
                      <w:rFonts w:eastAsia="Calibri"/>
                      <w:sz w:val="16"/>
                      <w:szCs w:val="16"/>
                    </w:rPr>
                    <w:t>Less:</w:t>
                  </w:r>
                  <w:r>
                    <w:rPr>
                      <w:rFonts w:eastAsia="Calibri"/>
                      <w:sz w:val="16"/>
                      <w:szCs w:val="16"/>
                    </w:rPr>
                    <w:t xml:space="preserve"> </w:t>
                  </w:r>
                  <w:r w:rsidRPr="001138DB">
                    <w:rPr>
                      <w:rFonts w:eastAsia="Calibri"/>
                      <w:sz w:val="16"/>
                      <w:szCs w:val="16"/>
                    </w:rPr>
                    <w:t xml:space="preserve">Subs’ </w:t>
                  </w:r>
                  <w:r>
                    <w:rPr>
                      <w:rFonts w:eastAsia="Calibri"/>
                      <w:sz w:val="16"/>
                      <w:szCs w:val="16"/>
                    </w:rPr>
                    <w:t>Calculated Capital</w:t>
                  </w:r>
                </w:p>
              </w:tc>
              <w:tc>
                <w:tcPr>
                  <w:tcW w:w="810" w:type="dxa"/>
                  <w:shd w:val="clear" w:color="auto" w:fill="C2D69B"/>
                </w:tcPr>
                <w:p w14:paraId="2ABF9C2C" w14:textId="77777777" w:rsidR="005C434F" w:rsidRPr="001138DB" w:rsidRDefault="005C434F" w:rsidP="00406067">
                  <w:pPr>
                    <w:tabs>
                      <w:tab w:val="center" w:pos="4680"/>
                      <w:tab w:val="right" w:pos="9360"/>
                    </w:tabs>
                    <w:spacing w:line="276" w:lineRule="auto"/>
                    <w:ind w:left="-104"/>
                    <w:jc w:val="both"/>
                    <w:rPr>
                      <w:rFonts w:eastAsia="Calibri"/>
                      <w:sz w:val="16"/>
                      <w:szCs w:val="16"/>
                    </w:rPr>
                  </w:pPr>
                  <w:r w:rsidRPr="001138DB">
                    <w:rPr>
                      <w:rFonts w:eastAsia="Calibri"/>
                      <w:sz w:val="16"/>
                      <w:szCs w:val="16"/>
                    </w:rPr>
                    <w:t>Adj</w:t>
                  </w:r>
                  <w:r>
                    <w:rPr>
                      <w:rFonts w:eastAsia="Calibri"/>
                      <w:sz w:val="16"/>
                      <w:szCs w:val="16"/>
                    </w:rPr>
                    <w:t>usted Calculated Capital</w:t>
                  </w:r>
                </w:p>
              </w:tc>
              <w:tc>
                <w:tcPr>
                  <w:tcW w:w="720" w:type="dxa"/>
                  <w:shd w:val="clear" w:color="auto" w:fill="C2D69B"/>
                </w:tcPr>
                <w:p w14:paraId="13D71163" w14:textId="77777777" w:rsidR="005C434F" w:rsidRDefault="005C434F" w:rsidP="00406067">
                  <w:pPr>
                    <w:tabs>
                      <w:tab w:val="center" w:pos="4680"/>
                      <w:tab w:val="right" w:pos="9360"/>
                    </w:tabs>
                    <w:spacing w:line="276" w:lineRule="auto"/>
                    <w:ind w:left="-119"/>
                    <w:jc w:val="both"/>
                    <w:rPr>
                      <w:rFonts w:eastAsia="Calibri"/>
                      <w:sz w:val="16"/>
                      <w:szCs w:val="16"/>
                    </w:rPr>
                  </w:pPr>
                  <w:r>
                    <w:rPr>
                      <w:rFonts w:eastAsia="Calibri"/>
                      <w:sz w:val="16"/>
                      <w:szCs w:val="16"/>
                    </w:rPr>
                    <w:t xml:space="preserve"> Multiply   </w:t>
                  </w:r>
                </w:p>
                <w:p w14:paraId="3CC2CECB" w14:textId="77777777" w:rsidR="005C434F" w:rsidRPr="001138DB" w:rsidRDefault="005C434F" w:rsidP="00406067">
                  <w:pPr>
                    <w:tabs>
                      <w:tab w:val="center" w:pos="4680"/>
                      <w:tab w:val="right" w:pos="9360"/>
                    </w:tabs>
                    <w:spacing w:line="276" w:lineRule="auto"/>
                    <w:ind w:left="-119"/>
                    <w:jc w:val="both"/>
                    <w:rPr>
                      <w:rFonts w:eastAsia="Calibri"/>
                      <w:sz w:val="16"/>
                      <w:szCs w:val="16"/>
                    </w:rPr>
                  </w:pPr>
                  <w:r>
                    <w:rPr>
                      <w:rFonts w:eastAsia="Calibri"/>
                      <w:sz w:val="16"/>
                      <w:szCs w:val="16"/>
                    </w:rPr>
                    <w:t xml:space="preserve"> by 2.0</w:t>
                  </w:r>
                  <w:r w:rsidRPr="00987BDC">
                    <w:rPr>
                      <w:rStyle w:val="FootnoteReference"/>
                      <w:sz w:val="14"/>
                      <w:szCs w:val="14"/>
                    </w:rPr>
                    <w:t>3</w:t>
                  </w:r>
                </w:p>
              </w:tc>
              <w:tc>
                <w:tcPr>
                  <w:tcW w:w="630" w:type="dxa"/>
                  <w:shd w:val="clear" w:color="auto" w:fill="C2D69B"/>
                </w:tcPr>
                <w:p w14:paraId="188414B2"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MRC</w:t>
                  </w:r>
                </w:p>
              </w:tc>
            </w:tr>
            <w:tr w:rsidR="005C434F" w:rsidRPr="002A680E" w14:paraId="502A185C" w14:textId="77777777" w:rsidTr="00406067">
              <w:trPr>
                <w:trHeight w:val="335"/>
              </w:trPr>
              <w:tc>
                <w:tcPr>
                  <w:tcW w:w="1255" w:type="dxa"/>
                  <w:shd w:val="clear" w:color="auto" w:fill="EAF1DD"/>
                </w:tcPr>
                <w:p w14:paraId="7F87E5B4"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AA Holding Co</w:t>
                  </w:r>
                  <w:r>
                    <w:rPr>
                      <w:rFonts w:eastAsia="Calibri"/>
                      <w:sz w:val="16"/>
                      <w:szCs w:val="16"/>
                    </w:rPr>
                    <w:t>.</w:t>
                  </w:r>
                </w:p>
              </w:tc>
              <w:tc>
                <w:tcPr>
                  <w:tcW w:w="810" w:type="dxa"/>
                  <w:shd w:val="clear" w:color="auto" w:fill="EAF1DD"/>
                </w:tcPr>
                <w:p w14:paraId="1B8422E1"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6.07M</w:t>
                  </w:r>
                </w:p>
              </w:tc>
              <w:tc>
                <w:tcPr>
                  <w:tcW w:w="990" w:type="dxa"/>
                  <w:shd w:val="clear" w:color="auto" w:fill="EAF1DD"/>
                </w:tcPr>
                <w:p w14:paraId="373AC836"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(4.81M)</w:t>
                  </w:r>
                  <w:r w:rsidRPr="00987BDC">
                    <w:rPr>
                      <w:rStyle w:val="FootnoteReference"/>
                      <w:sz w:val="14"/>
                      <w:szCs w:val="14"/>
                    </w:rPr>
                    <w:t xml:space="preserve"> 2</w:t>
                  </w:r>
                </w:p>
              </w:tc>
              <w:tc>
                <w:tcPr>
                  <w:tcW w:w="810" w:type="dxa"/>
                  <w:shd w:val="clear" w:color="auto" w:fill="EAF1DD"/>
                </w:tcPr>
                <w:p w14:paraId="651F9B7A"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1138DB">
                    <w:rPr>
                      <w:rFonts w:eastAsia="Calibri"/>
                      <w:sz w:val="16"/>
                      <w:szCs w:val="16"/>
                    </w:rPr>
                    <w:t>1</w:t>
                  </w:r>
                  <w:r>
                    <w:rPr>
                      <w:rFonts w:eastAsia="Calibri"/>
                      <w:sz w:val="16"/>
                      <w:szCs w:val="16"/>
                    </w:rPr>
                    <w:t>.26</w:t>
                  </w:r>
                  <w:r w:rsidRPr="001138DB">
                    <w:rPr>
                      <w:rFonts w:eastAsia="Calibri"/>
                      <w:sz w:val="16"/>
                      <w:szCs w:val="16"/>
                    </w:rPr>
                    <w:t>M</w:t>
                  </w:r>
                </w:p>
              </w:tc>
              <w:tc>
                <w:tcPr>
                  <w:tcW w:w="720" w:type="dxa"/>
                  <w:shd w:val="clear" w:color="auto" w:fill="EAF1DD"/>
                </w:tcPr>
                <w:p w14:paraId="089C8BB0"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EAF1DD"/>
                </w:tcPr>
                <w:p w14:paraId="78A795C8" w14:textId="77777777" w:rsidR="005C434F" w:rsidRPr="001138DB"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1.26M</w:t>
                  </w:r>
                </w:p>
              </w:tc>
            </w:tr>
            <w:tr w:rsidR="005C434F" w:rsidRPr="002A680E" w14:paraId="407C1CE2" w14:textId="77777777" w:rsidTr="00406067">
              <w:trPr>
                <w:trHeight w:val="429"/>
              </w:trPr>
              <w:tc>
                <w:tcPr>
                  <w:tcW w:w="1255" w:type="dxa"/>
                  <w:shd w:val="clear" w:color="auto" w:fill="DDD9C3"/>
                </w:tcPr>
                <w:p w14:paraId="79F56140"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 xml:space="preserve">BB Life </w:t>
                  </w:r>
                  <w:r>
                    <w:rPr>
                      <w:rFonts w:eastAsia="Calibri"/>
                      <w:sz w:val="16"/>
                      <w:szCs w:val="16"/>
                    </w:rPr>
                    <w:t>I</w:t>
                  </w:r>
                  <w:r w:rsidRPr="006757C1">
                    <w:rPr>
                      <w:rFonts w:eastAsia="Calibri"/>
                      <w:sz w:val="16"/>
                      <w:szCs w:val="16"/>
                    </w:rPr>
                    <w:t>ns</w:t>
                  </w:r>
                  <w:r>
                    <w:rPr>
                      <w:rFonts w:eastAsia="Calibri"/>
                      <w:sz w:val="16"/>
                      <w:szCs w:val="16"/>
                    </w:rPr>
                    <w:t>.</w:t>
                  </w:r>
                  <w:r w:rsidRPr="006757C1">
                    <w:rPr>
                      <w:rFonts w:eastAsia="Calibri"/>
                      <w:sz w:val="16"/>
                      <w:szCs w:val="16"/>
                    </w:rPr>
                    <w:t xml:space="preserve"> Co</w:t>
                  </w:r>
                  <w:r>
                    <w:rPr>
                      <w:rFonts w:eastAsia="Calibri"/>
                      <w:sz w:val="16"/>
                      <w:szCs w:val="16"/>
                    </w:rPr>
                    <w:t>.</w:t>
                  </w:r>
                </w:p>
              </w:tc>
              <w:tc>
                <w:tcPr>
                  <w:tcW w:w="810" w:type="dxa"/>
                  <w:shd w:val="clear" w:color="auto" w:fill="DDD9C3"/>
                </w:tcPr>
                <w:p w14:paraId="55A0E0AA"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6757C1">
                    <w:rPr>
                      <w:rFonts w:eastAsia="Calibri"/>
                      <w:sz w:val="16"/>
                      <w:szCs w:val="16"/>
                    </w:rPr>
                    <w:t>3.0</w:t>
                  </w:r>
                  <w:r>
                    <w:rPr>
                      <w:rFonts w:eastAsia="Calibri"/>
                      <w:sz w:val="16"/>
                      <w:szCs w:val="16"/>
                    </w:rPr>
                    <w:t>M</w:t>
                  </w:r>
                </w:p>
              </w:tc>
              <w:tc>
                <w:tcPr>
                  <w:tcW w:w="990" w:type="dxa"/>
                  <w:shd w:val="clear" w:color="auto" w:fill="DDD9C3"/>
                </w:tcPr>
                <w:p w14:paraId="17D7C2E3" w14:textId="77777777" w:rsidR="005C434F" w:rsidRPr="006757C1" w:rsidRDefault="005C434F" w:rsidP="00406067">
                  <w:pPr>
                    <w:tabs>
                      <w:tab w:val="center" w:pos="4680"/>
                      <w:tab w:val="right" w:pos="9360"/>
                    </w:tabs>
                    <w:spacing w:line="276" w:lineRule="auto"/>
                    <w:jc w:val="center"/>
                    <w:rPr>
                      <w:rFonts w:eastAsia="Calibri"/>
                      <w:sz w:val="16"/>
                      <w:szCs w:val="16"/>
                    </w:rPr>
                  </w:pPr>
                  <w:r>
                    <w:rPr>
                      <w:rFonts w:eastAsia="Calibri"/>
                      <w:sz w:val="16"/>
                      <w:szCs w:val="16"/>
                    </w:rPr>
                    <w:t>0</w:t>
                  </w:r>
                </w:p>
              </w:tc>
              <w:tc>
                <w:tcPr>
                  <w:tcW w:w="810" w:type="dxa"/>
                  <w:shd w:val="clear" w:color="auto" w:fill="DDD9C3"/>
                </w:tcPr>
                <w:p w14:paraId="4B5C2BDF"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6757C1">
                    <w:rPr>
                      <w:rFonts w:eastAsia="Calibri"/>
                      <w:sz w:val="16"/>
                      <w:szCs w:val="16"/>
                    </w:rPr>
                    <w:t>3.0M</w:t>
                  </w:r>
                </w:p>
              </w:tc>
              <w:tc>
                <w:tcPr>
                  <w:tcW w:w="720" w:type="dxa"/>
                  <w:shd w:val="clear" w:color="auto" w:fill="DDD9C3"/>
                </w:tcPr>
                <w:p w14:paraId="2A0BE6B3"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6.0M</w:t>
                  </w:r>
                </w:p>
              </w:tc>
              <w:tc>
                <w:tcPr>
                  <w:tcW w:w="630" w:type="dxa"/>
                  <w:shd w:val="clear" w:color="auto" w:fill="DDD9C3"/>
                </w:tcPr>
                <w:p w14:paraId="259E2EF4"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6.0M</w:t>
                  </w:r>
                </w:p>
              </w:tc>
            </w:tr>
            <w:tr w:rsidR="005C434F" w:rsidRPr="002A680E" w14:paraId="5655378E" w14:textId="77777777" w:rsidTr="00406067">
              <w:trPr>
                <w:trHeight w:val="266"/>
              </w:trPr>
              <w:tc>
                <w:tcPr>
                  <w:tcW w:w="1255" w:type="dxa"/>
                  <w:shd w:val="clear" w:color="auto" w:fill="EAF1DD"/>
                </w:tcPr>
                <w:p w14:paraId="746CE68F"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 xml:space="preserve">CC Insurance </w:t>
                  </w:r>
                  <w:r>
                    <w:rPr>
                      <w:rFonts w:eastAsia="Calibri"/>
                      <w:sz w:val="16"/>
                      <w:szCs w:val="16"/>
                    </w:rPr>
                    <w:t>C</w:t>
                  </w:r>
                  <w:r w:rsidRPr="006757C1">
                    <w:rPr>
                      <w:rFonts w:eastAsia="Calibri"/>
                      <w:sz w:val="16"/>
                      <w:szCs w:val="16"/>
                    </w:rPr>
                    <w:t>o</w:t>
                  </w:r>
                  <w:r>
                    <w:rPr>
                      <w:rFonts w:eastAsia="Calibri"/>
                      <w:sz w:val="16"/>
                      <w:szCs w:val="16"/>
                    </w:rPr>
                    <w:t>.</w:t>
                  </w:r>
                </w:p>
              </w:tc>
              <w:tc>
                <w:tcPr>
                  <w:tcW w:w="810" w:type="dxa"/>
                  <w:shd w:val="clear" w:color="auto" w:fill="EAF1DD"/>
                </w:tcPr>
                <w:p w14:paraId="10D601B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1.6M</w:t>
                  </w:r>
                </w:p>
              </w:tc>
              <w:tc>
                <w:tcPr>
                  <w:tcW w:w="990" w:type="dxa"/>
                  <w:shd w:val="clear" w:color="auto" w:fill="EAF1DD"/>
                </w:tcPr>
                <w:p w14:paraId="7D0BEC57"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810" w:type="dxa"/>
                  <w:shd w:val="clear" w:color="auto" w:fill="EAF1DD"/>
                </w:tcPr>
                <w:p w14:paraId="4D76CE46"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1.6</w:t>
                  </w:r>
                  <w:r w:rsidRPr="006757C1">
                    <w:rPr>
                      <w:rFonts w:eastAsia="Calibri"/>
                      <w:sz w:val="16"/>
                      <w:szCs w:val="16"/>
                    </w:rPr>
                    <w:t>0M</w:t>
                  </w:r>
                </w:p>
              </w:tc>
              <w:tc>
                <w:tcPr>
                  <w:tcW w:w="720" w:type="dxa"/>
                  <w:shd w:val="clear" w:color="auto" w:fill="EAF1DD"/>
                </w:tcPr>
                <w:p w14:paraId="61D43941"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EAF1DD"/>
                </w:tcPr>
                <w:p w14:paraId="25A56D0C"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1.6M</w:t>
                  </w:r>
                </w:p>
              </w:tc>
            </w:tr>
            <w:tr w:rsidR="005C434F" w:rsidRPr="002A680E" w14:paraId="19B03383" w14:textId="77777777" w:rsidTr="00406067">
              <w:trPr>
                <w:trHeight w:val="263"/>
              </w:trPr>
              <w:tc>
                <w:tcPr>
                  <w:tcW w:w="1255" w:type="dxa"/>
                  <w:shd w:val="clear" w:color="auto" w:fill="DDD9C3"/>
                </w:tcPr>
                <w:p w14:paraId="1E412665"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DD Ins</w:t>
                  </w:r>
                  <w:r>
                    <w:rPr>
                      <w:rFonts w:eastAsia="Calibri"/>
                      <w:sz w:val="16"/>
                      <w:szCs w:val="16"/>
                    </w:rPr>
                    <w:t xml:space="preserve">. </w:t>
                  </w:r>
                  <w:r w:rsidRPr="006757C1">
                    <w:rPr>
                      <w:rFonts w:eastAsia="Calibri"/>
                      <w:sz w:val="16"/>
                      <w:szCs w:val="16"/>
                    </w:rPr>
                    <w:t>Agency</w:t>
                  </w:r>
                </w:p>
              </w:tc>
              <w:tc>
                <w:tcPr>
                  <w:tcW w:w="810" w:type="dxa"/>
                  <w:shd w:val="clear" w:color="auto" w:fill="DDD9C3"/>
                </w:tcPr>
                <w:p w14:paraId="446AA21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0.21M</w:t>
                  </w:r>
                </w:p>
              </w:tc>
              <w:tc>
                <w:tcPr>
                  <w:tcW w:w="990" w:type="dxa"/>
                  <w:shd w:val="clear" w:color="auto" w:fill="DDD9C3"/>
                </w:tcPr>
                <w:p w14:paraId="49D85AEA"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810" w:type="dxa"/>
                  <w:shd w:val="clear" w:color="auto" w:fill="DDD9C3"/>
                </w:tcPr>
                <w:p w14:paraId="0C249CB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w:t>
                  </w:r>
                  <w:r>
                    <w:rPr>
                      <w:rFonts w:eastAsia="Calibri"/>
                      <w:sz w:val="16"/>
                      <w:szCs w:val="16"/>
                    </w:rPr>
                    <w:t>21</w:t>
                  </w:r>
                  <w:r w:rsidRPr="006757C1">
                    <w:rPr>
                      <w:rFonts w:eastAsia="Calibri"/>
                      <w:sz w:val="16"/>
                      <w:szCs w:val="16"/>
                    </w:rPr>
                    <w:t>M</w:t>
                  </w:r>
                </w:p>
              </w:tc>
              <w:tc>
                <w:tcPr>
                  <w:tcW w:w="720" w:type="dxa"/>
                  <w:shd w:val="clear" w:color="auto" w:fill="DDD9C3"/>
                </w:tcPr>
                <w:p w14:paraId="739C42C2"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DDD9C3"/>
                </w:tcPr>
                <w:p w14:paraId="4CBA1479"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0.21M</w:t>
                  </w:r>
                </w:p>
              </w:tc>
            </w:tr>
            <w:tr w:rsidR="005C434F" w:rsidRPr="001C60A8" w14:paraId="550A95C0" w14:textId="77777777" w:rsidTr="00406067">
              <w:trPr>
                <w:trHeight w:val="218"/>
              </w:trPr>
              <w:tc>
                <w:tcPr>
                  <w:tcW w:w="1255" w:type="dxa"/>
                  <w:shd w:val="clear" w:color="auto" w:fill="DDD9C3"/>
                </w:tcPr>
                <w:p w14:paraId="17B4DBFE" w14:textId="77777777" w:rsidR="005C434F" w:rsidRPr="001138DB" w:rsidRDefault="005C434F" w:rsidP="00406067">
                  <w:pPr>
                    <w:tabs>
                      <w:tab w:val="center" w:pos="4680"/>
                      <w:tab w:val="right" w:pos="9360"/>
                    </w:tabs>
                    <w:spacing w:line="276" w:lineRule="auto"/>
                    <w:ind w:left="-120"/>
                    <w:rPr>
                      <w:rFonts w:eastAsia="Calibri"/>
                      <w:b/>
                      <w:bCs/>
                      <w:sz w:val="16"/>
                      <w:szCs w:val="16"/>
                    </w:rPr>
                  </w:pPr>
                  <w:r>
                    <w:rPr>
                      <w:rFonts w:eastAsia="Calibri"/>
                      <w:b/>
                      <w:bCs/>
                      <w:sz w:val="16"/>
                      <w:szCs w:val="16"/>
                    </w:rPr>
                    <w:t>MRC Total</w:t>
                  </w:r>
                </w:p>
              </w:tc>
              <w:tc>
                <w:tcPr>
                  <w:tcW w:w="810" w:type="dxa"/>
                  <w:shd w:val="clear" w:color="auto" w:fill="DDD9C3"/>
                </w:tcPr>
                <w:p w14:paraId="106869FB"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990" w:type="dxa"/>
                  <w:shd w:val="clear" w:color="auto" w:fill="DDD9C3"/>
                </w:tcPr>
                <w:p w14:paraId="10B67956" w14:textId="77777777" w:rsidR="005C434F" w:rsidRPr="001138DB" w:rsidRDefault="005C434F" w:rsidP="00406067">
                  <w:pPr>
                    <w:tabs>
                      <w:tab w:val="center" w:pos="4680"/>
                      <w:tab w:val="right" w:pos="9360"/>
                    </w:tabs>
                    <w:spacing w:line="276" w:lineRule="auto"/>
                    <w:jc w:val="center"/>
                    <w:rPr>
                      <w:rFonts w:eastAsia="Calibri"/>
                      <w:b/>
                      <w:bCs/>
                      <w:sz w:val="16"/>
                      <w:szCs w:val="16"/>
                    </w:rPr>
                  </w:pPr>
                </w:p>
              </w:tc>
              <w:tc>
                <w:tcPr>
                  <w:tcW w:w="810" w:type="dxa"/>
                  <w:shd w:val="clear" w:color="auto" w:fill="DDD9C3"/>
                </w:tcPr>
                <w:p w14:paraId="43597FBB"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720" w:type="dxa"/>
                  <w:shd w:val="clear" w:color="auto" w:fill="DDD9C3"/>
                </w:tcPr>
                <w:p w14:paraId="5B85F835"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630" w:type="dxa"/>
                  <w:shd w:val="clear" w:color="auto" w:fill="DDD9C3"/>
                </w:tcPr>
                <w:p w14:paraId="3D8FE9D6" w14:textId="77777777" w:rsidR="005C434F" w:rsidRPr="001138DB" w:rsidRDefault="005C434F" w:rsidP="00406067">
                  <w:pPr>
                    <w:tabs>
                      <w:tab w:val="center" w:pos="4680"/>
                      <w:tab w:val="right" w:pos="9360"/>
                    </w:tabs>
                    <w:spacing w:line="276" w:lineRule="auto"/>
                    <w:ind w:left="-104"/>
                    <w:jc w:val="both"/>
                    <w:rPr>
                      <w:rFonts w:eastAsia="Calibri"/>
                      <w:b/>
                      <w:bCs/>
                      <w:sz w:val="16"/>
                      <w:szCs w:val="16"/>
                    </w:rPr>
                  </w:pPr>
                  <w:r>
                    <w:rPr>
                      <w:rFonts w:eastAsia="Calibri"/>
                      <w:b/>
                      <w:bCs/>
                      <w:sz w:val="16"/>
                      <w:szCs w:val="16"/>
                    </w:rPr>
                    <w:t>9.07M</w:t>
                  </w:r>
                </w:p>
              </w:tc>
            </w:tr>
          </w:tbl>
          <w:p w14:paraId="121FCCE1" w14:textId="77777777" w:rsidR="005C434F" w:rsidRPr="00987BDC" w:rsidRDefault="005C434F" w:rsidP="00406067">
            <w:pPr>
              <w:ind w:left="120" w:hanging="120"/>
              <w:rPr>
                <w:sz w:val="14"/>
                <w:szCs w:val="14"/>
              </w:rPr>
            </w:pPr>
            <w:r w:rsidRPr="00987BDC">
              <w:rPr>
                <w:rStyle w:val="FootnoteReference"/>
                <w:sz w:val="14"/>
                <w:szCs w:val="14"/>
              </w:rPr>
              <w:t>1</w:t>
            </w:r>
            <w:r w:rsidRPr="00987BDC">
              <w:rPr>
                <w:sz w:val="14"/>
                <w:szCs w:val="14"/>
              </w:rPr>
              <w:t xml:space="preserve"> Estimated post covariance factor of 10.5% @ CAL x ARC per GCC added for AA Holding Co. and DD Ins. Agency</w:t>
            </w:r>
          </w:p>
          <w:p w14:paraId="69039D51" w14:textId="77777777" w:rsidR="005C434F" w:rsidRPr="00987BDC" w:rsidRDefault="005C434F" w:rsidP="00406067">
            <w:pPr>
              <w:rPr>
                <w:sz w:val="14"/>
                <w:szCs w:val="14"/>
              </w:rPr>
            </w:pPr>
            <w:r w:rsidRPr="00987BDC">
              <w:rPr>
                <w:rStyle w:val="FootnoteReference"/>
                <w:sz w:val="14"/>
                <w:szCs w:val="14"/>
              </w:rPr>
              <w:t>2</w:t>
            </w:r>
            <w:r w:rsidRPr="00987BDC">
              <w:t xml:space="preserve"> </w:t>
            </w:r>
            <w:r w:rsidRPr="00987BDC">
              <w:rPr>
                <w:sz w:val="14"/>
                <w:szCs w:val="14"/>
              </w:rPr>
              <w:t>Amount of Calculated Capital for Subs as follows: (3.0M +1.6M + .21M)</w:t>
            </w:r>
          </w:p>
          <w:p w14:paraId="4AB71480" w14:textId="77777777" w:rsidR="005C434F" w:rsidRPr="00987BDC" w:rsidRDefault="005C434F" w:rsidP="00406067">
            <w:pPr>
              <w:rPr>
                <w:b/>
                <w:bCs/>
                <w:sz w:val="14"/>
                <w:szCs w:val="14"/>
              </w:rPr>
            </w:pPr>
            <w:bookmarkStart w:id="0" w:name="_Hlk60739963"/>
            <w:r w:rsidRPr="00987BDC">
              <w:rPr>
                <w:rStyle w:val="FootnoteReference"/>
                <w:sz w:val="14"/>
                <w:szCs w:val="14"/>
              </w:rPr>
              <w:t>3</w:t>
            </w:r>
            <w:bookmarkEnd w:id="0"/>
            <w:r w:rsidRPr="00987BDC">
              <w:t xml:space="preserve"> </w:t>
            </w:r>
            <w:r w:rsidRPr="00987BDC">
              <w:rPr>
                <w:sz w:val="14"/>
                <w:szCs w:val="14"/>
              </w:rPr>
              <w:t>Applies to U.S. insurer only to increase level to Company Action Level (CAL) RBC</w:t>
            </w:r>
          </w:p>
          <w:p w14:paraId="6C9A57CD" w14:textId="77777777" w:rsidR="005C434F" w:rsidRPr="00341D15" w:rsidRDefault="005C434F" w:rsidP="00406067">
            <w:pPr>
              <w:rPr>
                <w:b/>
                <w:bCs/>
                <w:sz w:val="14"/>
                <w:szCs w:val="14"/>
              </w:rPr>
            </w:pPr>
          </w:p>
        </w:tc>
      </w:tr>
    </w:tbl>
    <w:p w14:paraId="0FA6FA6A" w14:textId="77777777" w:rsidR="00417767" w:rsidRDefault="00417767" w:rsidP="00092888">
      <w:pPr>
        <w:pStyle w:val="BodyText"/>
      </w:pPr>
    </w:p>
    <w:p w14:paraId="40830FEC" w14:textId="691B4FA2" w:rsidR="00092888" w:rsidRPr="00092888" w:rsidRDefault="005C434F" w:rsidP="00092888">
      <w:pPr>
        <w:pStyle w:val="BodyText"/>
        <w:rPr>
          <w:rFonts w:asciiTheme="minorHAnsi" w:hAnsiTheme="minorHAnsi"/>
          <w:color w:val="000000" w:themeColor="text1"/>
        </w:rPr>
      </w:pPr>
      <w:r w:rsidRPr="00A94C60">
        <w:rPr>
          <w:rFonts w:asciiTheme="minorHAnsi" w:hAnsiTheme="minorHAnsi"/>
          <w:color w:val="000000" w:themeColor="text1"/>
        </w:rPr>
        <w:t>In the above example, available capital/financial resources are referred to as available regulatory capital (ARC) and total authorized capital (TAC</w:t>
      </w:r>
      <w:r w:rsidRPr="00A94C60">
        <w:rPr>
          <w:rFonts w:asciiTheme="minorHAnsi" w:hAnsiTheme="minorHAnsi"/>
          <w:color w:val="000000" w:themeColor="text1"/>
        </w:rPr>
        <w:footnoteReference w:id="1"/>
      </w:r>
      <w:r w:rsidRPr="00A94C60">
        <w:rPr>
          <w:rFonts w:asciiTheme="minorHAnsi" w:hAnsiTheme="minorHAnsi"/>
          <w:color w:val="000000" w:themeColor="text1"/>
        </w:rPr>
        <w:t>) and minimum calculated capital is referred to as minimal regulatory capital (MRC) and authorized control level (ACL</w:t>
      </w:r>
      <w:r w:rsidRPr="00A94C60">
        <w:rPr>
          <w:rFonts w:asciiTheme="minorHAnsi" w:hAnsiTheme="minorHAnsi"/>
          <w:color w:val="000000" w:themeColor="text1"/>
        </w:rPr>
        <w:footnoteReference w:id="2"/>
      </w:r>
      <w:r w:rsidRPr="00A94C60">
        <w:rPr>
          <w:rFonts w:asciiTheme="minorHAnsi" w:hAnsiTheme="minorHAnsi"/>
          <w:color w:val="000000" w:themeColor="text1"/>
        </w:rPr>
        <w:t xml:space="preserve">). The GCC will allow non-insurance / non-financial entities owned by RBC filers in the group to remain within the available capital and regulatory </w:t>
      </w:r>
      <w:r w:rsidR="00966A3B" w:rsidRPr="00A94C60">
        <w:rPr>
          <w:rFonts w:asciiTheme="minorHAnsi" w:hAnsiTheme="minorHAnsi"/>
          <w:color w:val="000000" w:themeColor="text1"/>
        </w:rPr>
        <w:t>capital,</w:t>
      </w:r>
      <w:r w:rsidRPr="00A94C60">
        <w:rPr>
          <w:rFonts w:asciiTheme="minorHAnsi" w:hAnsiTheme="minorHAnsi"/>
          <w:color w:val="000000" w:themeColor="text1"/>
        </w:rPr>
        <w:t xml:space="preserve"> so no eliminations are required for these entities.</w:t>
      </w:r>
      <w:r w:rsidR="00284B2B">
        <w:rPr>
          <w:rFonts w:asciiTheme="minorHAnsi" w:hAnsiTheme="minorHAnsi"/>
          <w:color w:val="000000" w:themeColor="text1"/>
        </w:rPr>
        <w:t xml:space="preserve"> </w:t>
      </w:r>
      <w:r w:rsidRPr="00A94C60">
        <w:rPr>
          <w:rFonts w:asciiTheme="minorHAnsi" w:hAnsiTheme="minorHAnsi"/>
          <w:color w:val="000000" w:themeColor="text1"/>
        </w:rPr>
        <w:t xml:space="preserve">As shown, since AA Holding Company owns each of the other business entities in the organizational chart, $38 million (which is the amount of available capital/financial resources in </w:t>
      </w:r>
      <w:r w:rsidR="00406067" w:rsidRPr="00A94C60">
        <w:rPr>
          <w:rFonts w:asciiTheme="minorHAnsi" w:hAnsiTheme="minorHAnsi"/>
          <w:color w:val="000000" w:themeColor="text1"/>
        </w:rPr>
        <w:t>the subsidiaries</w:t>
      </w:r>
      <w:r w:rsidRPr="00A94C60">
        <w:rPr>
          <w:rFonts w:asciiTheme="minorHAnsi" w:hAnsiTheme="minorHAnsi"/>
          <w:color w:val="000000" w:themeColor="text1"/>
        </w:rPr>
        <w:t xml:space="preserve"> of AA) is eliminated from the TAC column since accounting methods include those as an asset on AA Insurance Company’s balance sheet. Also, the GCC includes capital calculations for AA Holding Company and DD Insurance Agency as part of the MRC in addition to the regulatory capital already included for the insurance subsidiaries.   The MRC of the subsidiaries is eliminated from the parent’s (AA Holding Company) calculated capital. Therefore, in this example $4.81 million of calculated capital is eliminated from the MRC. Finally, the MRC of U.S. insurance subsidiary is multiplied by 2 in order to reflect Company Action Level (CAL) RBC as required in the GCC.</w:t>
      </w:r>
    </w:p>
    <w:p w14:paraId="7F06A6F9" w14:textId="77777777" w:rsidR="00092888" w:rsidRPr="00092888" w:rsidRDefault="00092888" w:rsidP="00092888">
      <w:pPr>
        <w:pStyle w:val="BodyText"/>
        <w:rPr>
          <w:rFonts w:asciiTheme="minorHAnsi" w:hAnsiTheme="minorHAnsi"/>
          <w:color w:val="000000" w:themeColor="text1"/>
        </w:rPr>
      </w:pPr>
    </w:p>
    <w:p w14:paraId="0DFC1507" w14:textId="77777777" w:rsidR="00417767" w:rsidRDefault="00417767" w:rsidP="007D6BA2">
      <w:pPr>
        <w:pStyle w:val="BodyText"/>
        <w:rPr>
          <w:rFonts w:asciiTheme="minorHAnsi" w:hAnsiTheme="minorHAnsi"/>
          <w:color w:val="000000" w:themeColor="text1"/>
          <w:szCs w:val="22"/>
          <w:u w:val="single"/>
        </w:rPr>
      </w:pPr>
    </w:p>
    <w:p w14:paraId="14ED6F4C" w14:textId="1EE2540A" w:rsidR="007D6BA2" w:rsidRPr="00092888" w:rsidRDefault="00092888" w:rsidP="007D6BA2">
      <w:pPr>
        <w:pStyle w:val="BodyText"/>
        <w:rPr>
          <w:rFonts w:asciiTheme="minorHAnsi" w:hAnsiTheme="minorHAnsi"/>
          <w:color w:val="000000" w:themeColor="text1"/>
        </w:rPr>
      </w:pPr>
      <w:r w:rsidRPr="00FA6051">
        <w:rPr>
          <w:rFonts w:asciiTheme="minorHAnsi" w:hAnsiTheme="minorHAnsi"/>
          <w:color w:val="000000" w:themeColor="text1"/>
          <w:szCs w:val="22"/>
          <w:u w:val="single"/>
        </w:rPr>
        <w:t>Debt</w:t>
      </w:r>
      <w:r w:rsidRPr="00092888">
        <w:rPr>
          <w:rFonts w:asciiTheme="minorHAnsi" w:hAnsiTheme="minorHAnsi"/>
          <w:color w:val="000000" w:themeColor="text1"/>
        </w:rPr>
        <w:t>-</w:t>
      </w:r>
      <w:r w:rsidR="00FA6051">
        <w:rPr>
          <w:rFonts w:asciiTheme="minorHAnsi" w:hAnsiTheme="minorHAnsi"/>
          <w:color w:val="000000" w:themeColor="text1"/>
        </w:rPr>
        <w:t>It</w:t>
      </w:r>
      <w:r w:rsidR="00135C7D">
        <w:rPr>
          <w:rFonts w:asciiTheme="minorHAnsi" w:hAnsiTheme="minorHAnsi"/>
          <w:color w:val="000000" w:themeColor="text1"/>
        </w:rPr>
        <w:t xml:space="preserve"> is</w:t>
      </w:r>
      <w:r w:rsidR="00FA6051">
        <w:rPr>
          <w:rFonts w:asciiTheme="minorHAnsi" w:hAnsiTheme="minorHAnsi"/>
          <w:color w:val="000000" w:themeColor="text1"/>
        </w:rPr>
        <w:t xml:space="preserve"> important to note that the available capital used in deriving the GCC recognizes a portion of the group’s </w:t>
      </w:r>
      <w:r w:rsidR="000D2280">
        <w:rPr>
          <w:rFonts w:asciiTheme="minorHAnsi" w:hAnsiTheme="minorHAnsi"/>
          <w:color w:val="000000" w:themeColor="text1"/>
        </w:rPr>
        <w:t xml:space="preserve">senior and hybrid </w:t>
      </w:r>
      <w:r w:rsidR="00FA6051">
        <w:rPr>
          <w:rFonts w:asciiTheme="minorHAnsi" w:hAnsiTheme="minorHAnsi"/>
          <w:color w:val="000000" w:themeColor="text1"/>
        </w:rPr>
        <w:t xml:space="preserve">debt as capital. </w:t>
      </w:r>
      <w:r w:rsidRPr="00092888">
        <w:rPr>
          <w:rFonts w:asciiTheme="minorHAnsi" w:hAnsiTheme="minorHAnsi"/>
          <w:color w:val="000000" w:themeColor="text1"/>
        </w:rPr>
        <w:t xml:space="preserve">This </w:t>
      </w:r>
      <w:r w:rsidR="00FA6051">
        <w:rPr>
          <w:rFonts w:asciiTheme="minorHAnsi" w:hAnsiTheme="minorHAnsi"/>
          <w:color w:val="000000" w:themeColor="text1"/>
        </w:rPr>
        <w:t xml:space="preserve">allowance </w:t>
      </w:r>
      <w:r w:rsidRPr="00092888">
        <w:rPr>
          <w:rFonts w:asciiTheme="minorHAnsi" w:hAnsiTheme="minorHAnsi"/>
          <w:color w:val="000000" w:themeColor="text1"/>
        </w:rPr>
        <w:t>re</w:t>
      </w:r>
      <w:r w:rsidR="00FA6051">
        <w:rPr>
          <w:rFonts w:asciiTheme="minorHAnsi" w:hAnsiTheme="minorHAnsi"/>
          <w:color w:val="000000" w:themeColor="text1"/>
        </w:rPr>
        <w:t xml:space="preserve">cognizes that </w:t>
      </w:r>
      <w:r w:rsidRPr="00092888">
        <w:rPr>
          <w:rFonts w:asciiTheme="minorHAnsi" w:hAnsiTheme="minorHAnsi"/>
          <w:color w:val="000000" w:themeColor="text1"/>
        </w:rPr>
        <w:t xml:space="preserve">debt that is not already recognized as available capital/financial resources under all known accounting principles (SAP, U.S. GAAP or IFRS) may have some value to the group under the U.S. insurance regulatory requirements where </w:t>
      </w:r>
      <w:r w:rsidR="007D6BA2">
        <w:rPr>
          <w:rFonts w:asciiTheme="minorHAnsi" w:hAnsiTheme="minorHAnsi"/>
          <w:color w:val="000000" w:themeColor="text1"/>
        </w:rPr>
        <w:t xml:space="preserve">such is dividend down to the insurance companies and where </w:t>
      </w:r>
      <w:r w:rsidRPr="00092888">
        <w:rPr>
          <w:rFonts w:asciiTheme="minorHAnsi" w:hAnsiTheme="minorHAnsi"/>
          <w:color w:val="000000" w:themeColor="text1"/>
        </w:rPr>
        <w:t xml:space="preserve">extraordinary dividends must be approved by the state. </w:t>
      </w:r>
      <w:r w:rsidR="00A45DEF">
        <w:rPr>
          <w:rFonts w:asciiTheme="minorHAnsi" w:hAnsiTheme="minorHAnsi"/>
          <w:color w:val="000000" w:themeColor="text1"/>
        </w:rPr>
        <w:t xml:space="preserve">Qualifying debt </w:t>
      </w:r>
      <w:r w:rsidR="00283C04">
        <w:rPr>
          <w:rFonts w:asciiTheme="minorHAnsi" w:hAnsiTheme="minorHAnsi"/>
          <w:color w:val="000000" w:themeColor="text1"/>
        </w:rPr>
        <w:t xml:space="preserve">along with limitations thereon </w:t>
      </w:r>
      <w:r w:rsidR="00A45DEF">
        <w:rPr>
          <w:rFonts w:asciiTheme="minorHAnsi" w:hAnsiTheme="minorHAnsi"/>
          <w:color w:val="000000" w:themeColor="text1"/>
        </w:rPr>
        <w:t>is described in the GCC instructions as is the calculation for the additional available capital.</w:t>
      </w:r>
      <w:r w:rsidR="00755936">
        <w:rPr>
          <w:rFonts w:asciiTheme="minorHAnsi" w:hAnsiTheme="minorHAnsi"/>
          <w:color w:val="000000" w:themeColor="text1"/>
        </w:rPr>
        <w:t xml:space="preserve"> In addition to looking at the group’s debt leverage overall consideration should be given to how the allowance for additional capital from debt interacts with changes in available capital and capital requirements from year to year. The impact of procyclical changes in the allowance for debt as capital should be assessed.</w:t>
      </w:r>
    </w:p>
    <w:p w14:paraId="5127EC6B" w14:textId="5E16E7F3" w:rsidR="00092888" w:rsidRDefault="00092888" w:rsidP="00092888">
      <w:pPr>
        <w:pStyle w:val="BodyText"/>
        <w:rPr>
          <w:rFonts w:asciiTheme="minorHAnsi" w:hAnsiTheme="minorHAnsi"/>
          <w:color w:val="000000" w:themeColor="text1"/>
        </w:rPr>
      </w:pPr>
    </w:p>
    <w:p w14:paraId="06BA7BC8" w14:textId="20E62064" w:rsidR="00092888" w:rsidRPr="007D6BA2" w:rsidRDefault="007D6BA2" w:rsidP="007D6BA2">
      <w:pPr>
        <w:pStyle w:val="BodyText"/>
        <w:rPr>
          <w:rFonts w:asciiTheme="minorHAnsi" w:hAnsiTheme="minorHAnsi"/>
          <w:color w:val="000000" w:themeColor="text1"/>
          <w:szCs w:val="22"/>
          <w:u w:val="single"/>
        </w:rPr>
      </w:pPr>
      <w:r w:rsidRPr="007D6BA2">
        <w:rPr>
          <w:rFonts w:asciiTheme="minorHAnsi" w:hAnsiTheme="minorHAnsi"/>
          <w:color w:val="000000" w:themeColor="text1"/>
          <w:szCs w:val="22"/>
          <w:u w:val="single"/>
        </w:rPr>
        <w:t>Other Information Included in the GCC</w:t>
      </w:r>
    </w:p>
    <w:p w14:paraId="604BEC84" w14:textId="6BBEC38B" w:rsidR="007664B1" w:rsidRPr="00405B9D" w:rsidRDefault="007D6BA2" w:rsidP="00A33EB2">
      <w:pPr>
        <w:pStyle w:val="BodyText"/>
        <w:rPr>
          <w:rFonts w:asciiTheme="minorHAnsi" w:hAnsiTheme="minorHAnsi"/>
          <w:color w:val="000000" w:themeColor="text1"/>
        </w:rPr>
      </w:pPr>
      <w:r>
        <w:rPr>
          <w:rFonts w:asciiTheme="minorHAnsi" w:hAnsiTheme="minorHAnsi"/>
          <w:color w:val="000000" w:themeColor="text1"/>
        </w:rPr>
        <w:t>T</w:t>
      </w:r>
      <w:r w:rsidR="00092888" w:rsidRPr="00092888">
        <w:rPr>
          <w:rFonts w:asciiTheme="minorHAnsi" w:hAnsiTheme="minorHAnsi"/>
          <w:color w:val="000000" w:themeColor="text1"/>
        </w:rPr>
        <w:t xml:space="preserve">he GCC includes selected financial information (net income, premiums, liabilities, debt, etc.) that </w:t>
      </w:r>
      <w:r>
        <w:rPr>
          <w:rFonts w:asciiTheme="minorHAnsi" w:hAnsiTheme="minorHAnsi"/>
          <w:color w:val="000000" w:themeColor="text1"/>
        </w:rPr>
        <w:t xml:space="preserve">are captured in </w:t>
      </w:r>
      <w:r w:rsidR="00D50811">
        <w:rPr>
          <w:rFonts w:asciiTheme="minorHAnsi" w:hAnsiTheme="minorHAnsi"/>
          <w:color w:val="000000" w:themeColor="text1"/>
        </w:rPr>
        <w:t xml:space="preserve">Schedule 1 and </w:t>
      </w:r>
      <w:r w:rsidR="00406067">
        <w:rPr>
          <w:rFonts w:asciiTheme="minorHAnsi" w:hAnsiTheme="minorHAnsi"/>
          <w:color w:val="000000" w:themeColor="text1"/>
        </w:rPr>
        <w:t>in the</w:t>
      </w:r>
      <w:r w:rsidR="00713AD2">
        <w:rPr>
          <w:rFonts w:asciiTheme="minorHAnsi" w:hAnsiTheme="minorHAnsi"/>
          <w:color w:val="000000" w:themeColor="text1"/>
        </w:rPr>
        <w:t xml:space="preserve"> </w:t>
      </w:r>
      <w:r>
        <w:rPr>
          <w:rFonts w:asciiTheme="minorHAnsi" w:hAnsiTheme="minorHAnsi"/>
          <w:color w:val="000000" w:themeColor="text1"/>
        </w:rPr>
        <w:t>“Analytics” tabs of the GCC that are meant to be used to help isolate potential strengths and weaknesses of the group and more specifically where such exist among the entities in the group</w:t>
      </w:r>
      <w:r w:rsidR="00135C7D">
        <w:rPr>
          <w:rFonts w:asciiTheme="minorHAnsi" w:hAnsiTheme="minorHAnsi"/>
          <w:color w:val="000000" w:themeColor="text1"/>
        </w:rPr>
        <w:t>.</w:t>
      </w:r>
      <w:r w:rsidR="009518A5">
        <w:rPr>
          <w:rFonts w:asciiTheme="minorHAnsi" w:hAnsiTheme="minorHAnsi"/>
          <w:color w:val="000000" w:themeColor="text1"/>
        </w:rPr>
        <w:t xml:space="preserve"> Some important information related to other features in the GCC also should be considered and are discussed below. </w:t>
      </w:r>
      <w:r w:rsidR="00882B5D">
        <w:rPr>
          <w:rFonts w:asciiTheme="minorHAnsi" w:hAnsiTheme="minorHAnsi"/>
          <w:color w:val="000000" w:themeColor="text1"/>
        </w:rPr>
        <w:t>Schedule 1</w:t>
      </w:r>
      <w:r w:rsidR="008A2776">
        <w:rPr>
          <w:rFonts w:asciiTheme="minorHAnsi" w:hAnsiTheme="minorHAnsi"/>
          <w:color w:val="000000" w:themeColor="text1"/>
        </w:rPr>
        <w:t>,</w:t>
      </w:r>
      <w:r w:rsidR="00882B5D">
        <w:rPr>
          <w:rFonts w:asciiTheme="minorHAnsi" w:hAnsiTheme="minorHAnsi"/>
          <w:color w:val="000000" w:themeColor="text1"/>
        </w:rPr>
        <w:t xml:space="preserve"> a simplified version of the Inventory Tab</w:t>
      </w:r>
      <w:r w:rsidR="00B678B9">
        <w:rPr>
          <w:rFonts w:asciiTheme="minorHAnsi" w:hAnsiTheme="minorHAnsi"/>
          <w:color w:val="000000" w:themeColor="text1"/>
        </w:rPr>
        <w:t xml:space="preserve">, and most analytics </w:t>
      </w:r>
      <w:r w:rsidR="00882B5D">
        <w:rPr>
          <w:rFonts w:asciiTheme="minorHAnsi" w:hAnsiTheme="minorHAnsi"/>
          <w:color w:val="000000" w:themeColor="text1"/>
        </w:rPr>
        <w:t xml:space="preserve">are required </w:t>
      </w:r>
      <w:r w:rsidR="002702C3">
        <w:rPr>
          <w:rFonts w:asciiTheme="minorHAnsi" w:hAnsiTheme="minorHAnsi"/>
          <w:color w:val="000000" w:themeColor="text1"/>
        </w:rPr>
        <w:t xml:space="preserve">in the case of </w:t>
      </w:r>
      <w:r w:rsidR="002702C3" w:rsidRPr="00405B9D">
        <w:rPr>
          <w:rFonts w:asciiTheme="minorHAnsi" w:hAnsiTheme="minorHAnsi"/>
          <w:color w:val="000000" w:themeColor="text1"/>
        </w:rPr>
        <w:t>a</w:t>
      </w:r>
      <w:r w:rsidR="0070217A" w:rsidRPr="00405B9D">
        <w:rPr>
          <w:rFonts w:asciiTheme="minorHAnsi" w:hAnsiTheme="minorHAnsi"/>
          <w:color w:val="000000" w:themeColor="text1"/>
        </w:rPr>
        <w:t xml:space="preserve"> “limited filing”</w:t>
      </w:r>
      <w:r w:rsidR="002702C3" w:rsidRPr="00405B9D">
        <w:rPr>
          <w:rFonts w:asciiTheme="minorHAnsi" w:hAnsiTheme="minorHAnsi"/>
          <w:color w:val="000000" w:themeColor="text1"/>
        </w:rPr>
        <w:t>.</w:t>
      </w:r>
      <w:r w:rsidR="00B678B9" w:rsidRPr="00405B9D">
        <w:rPr>
          <w:rFonts w:asciiTheme="minorHAnsi" w:hAnsiTheme="minorHAnsi"/>
          <w:color w:val="000000" w:themeColor="text1"/>
        </w:rPr>
        <w:t xml:space="preserve"> However, data is not required for the capital instruments, sensitivity analysis and other information tabs</w:t>
      </w:r>
      <w:r w:rsidR="007C31C5" w:rsidRPr="00405B9D">
        <w:rPr>
          <w:rFonts w:asciiTheme="minorHAnsi" w:hAnsiTheme="minorHAnsi"/>
          <w:color w:val="000000" w:themeColor="text1"/>
        </w:rPr>
        <w:t xml:space="preserve"> in a limited filing.</w:t>
      </w:r>
    </w:p>
    <w:p w14:paraId="4035A368" w14:textId="764331BF" w:rsidR="001650B1" w:rsidRDefault="001650B1" w:rsidP="00A33EB2">
      <w:pPr>
        <w:pStyle w:val="BodyText"/>
        <w:rPr>
          <w:rFonts w:asciiTheme="minorHAnsi" w:hAnsiTheme="minorHAnsi"/>
          <w:color w:val="000000" w:themeColor="text1"/>
        </w:rPr>
      </w:pPr>
    </w:p>
    <w:p w14:paraId="4A83AC18" w14:textId="674EA7B5" w:rsidR="009518A5" w:rsidRDefault="00AC6D2F" w:rsidP="009518A5">
      <w:pPr>
        <w:pStyle w:val="BodyText"/>
        <w:rPr>
          <w:rFonts w:asciiTheme="minorHAnsi" w:hAnsiTheme="minorHAnsi"/>
          <w:color w:val="000000" w:themeColor="text1"/>
        </w:rPr>
      </w:pPr>
      <w:r>
        <w:rPr>
          <w:rFonts w:asciiTheme="minorHAnsi" w:hAnsiTheme="minorHAnsi"/>
          <w:color w:val="000000" w:themeColor="text1"/>
          <w:u w:val="single"/>
        </w:rPr>
        <w:t>Grouping</w:t>
      </w:r>
      <w:r w:rsidR="009518A5">
        <w:rPr>
          <w:rFonts w:asciiTheme="minorHAnsi" w:hAnsiTheme="minorHAnsi"/>
          <w:color w:val="000000" w:themeColor="text1"/>
          <w:u w:val="single"/>
        </w:rPr>
        <w:t xml:space="preserve"> - T</w:t>
      </w:r>
      <w:r w:rsidR="009518A5">
        <w:rPr>
          <w:rFonts w:asciiTheme="minorHAnsi" w:hAnsiTheme="minorHAnsi"/>
          <w:color w:val="000000" w:themeColor="text1"/>
        </w:rPr>
        <w:t xml:space="preserve">he GCC </w:t>
      </w:r>
      <w:r w:rsidR="00FF2F26">
        <w:rPr>
          <w:rFonts w:asciiTheme="minorHAnsi" w:hAnsiTheme="minorHAnsi"/>
          <w:color w:val="000000" w:themeColor="text1"/>
        </w:rPr>
        <w:t xml:space="preserve">separately </w:t>
      </w:r>
      <w:r w:rsidR="009518A5">
        <w:rPr>
          <w:rFonts w:asciiTheme="minorHAnsi" w:hAnsiTheme="minorHAnsi"/>
          <w:color w:val="000000" w:themeColor="text1"/>
        </w:rPr>
        <w:t>allow</w:t>
      </w:r>
      <w:r w:rsidR="00135C7D">
        <w:rPr>
          <w:rFonts w:asciiTheme="minorHAnsi" w:hAnsiTheme="minorHAnsi"/>
          <w:color w:val="000000" w:themeColor="text1"/>
        </w:rPr>
        <w:t>s</w:t>
      </w:r>
      <w:r w:rsidR="004E1746">
        <w:rPr>
          <w:rFonts w:asciiTheme="minorHAnsi" w:hAnsiTheme="minorHAnsi"/>
          <w:color w:val="000000" w:themeColor="text1"/>
        </w:rPr>
        <w:t xml:space="preserve"> </w:t>
      </w:r>
      <w:r w:rsidR="003E121D">
        <w:rPr>
          <w:rFonts w:asciiTheme="minorHAnsi" w:hAnsiTheme="minorHAnsi"/>
          <w:color w:val="000000" w:themeColor="text1"/>
        </w:rPr>
        <w:t xml:space="preserve">certain </w:t>
      </w:r>
      <w:r w:rsidR="004E1746">
        <w:rPr>
          <w:rFonts w:asciiTheme="minorHAnsi" w:hAnsiTheme="minorHAnsi"/>
          <w:color w:val="000000" w:themeColor="text1"/>
        </w:rPr>
        <w:t xml:space="preserve">financial </w:t>
      </w:r>
      <w:r w:rsidR="003E121D">
        <w:rPr>
          <w:rFonts w:asciiTheme="minorHAnsi" w:hAnsiTheme="minorHAnsi"/>
          <w:color w:val="000000" w:themeColor="text1"/>
        </w:rPr>
        <w:t xml:space="preserve">entities </w:t>
      </w:r>
      <w:r w:rsidR="00490E80">
        <w:rPr>
          <w:rFonts w:asciiTheme="minorHAnsi" w:hAnsiTheme="minorHAnsi"/>
          <w:color w:val="000000" w:themeColor="text1"/>
        </w:rPr>
        <w:t>(e.g.</w:t>
      </w:r>
      <w:r w:rsidR="0042767F">
        <w:rPr>
          <w:rFonts w:asciiTheme="minorHAnsi" w:hAnsiTheme="minorHAnsi"/>
          <w:color w:val="000000" w:themeColor="text1"/>
        </w:rPr>
        <w:t>,</w:t>
      </w:r>
      <w:r w:rsidR="00490E80">
        <w:rPr>
          <w:rFonts w:asciiTheme="minorHAnsi" w:hAnsiTheme="minorHAnsi"/>
          <w:color w:val="000000" w:themeColor="text1"/>
        </w:rPr>
        <w:t xml:space="preserve"> asset managers) </w:t>
      </w:r>
      <w:r w:rsidR="00DD735F">
        <w:rPr>
          <w:rFonts w:asciiTheme="minorHAnsi" w:hAnsiTheme="minorHAnsi"/>
          <w:color w:val="000000" w:themeColor="text1"/>
        </w:rPr>
        <w:t xml:space="preserve">and </w:t>
      </w:r>
      <w:r w:rsidR="009518A5">
        <w:rPr>
          <w:rFonts w:asciiTheme="minorHAnsi" w:hAnsiTheme="minorHAnsi"/>
          <w:color w:val="000000" w:themeColor="text1"/>
        </w:rPr>
        <w:t>non</w:t>
      </w:r>
      <w:r w:rsidR="00135C7D">
        <w:rPr>
          <w:rFonts w:asciiTheme="minorHAnsi" w:hAnsiTheme="minorHAnsi"/>
          <w:color w:val="000000" w:themeColor="text1"/>
        </w:rPr>
        <w:t>-</w:t>
      </w:r>
      <w:r w:rsidR="009518A5">
        <w:rPr>
          <w:rFonts w:asciiTheme="minorHAnsi" w:hAnsiTheme="minorHAnsi"/>
          <w:color w:val="000000" w:themeColor="text1"/>
        </w:rPr>
        <w:t xml:space="preserve">financial entities included in the GCC to </w:t>
      </w:r>
      <w:r w:rsidR="009349D0">
        <w:rPr>
          <w:rFonts w:asciiTheme="minorHAnsi" w:hAnsiTheme="minorHAnsi"/>
          <w:color w:val="000000" w:themeColor="text1"/>
        </w:rPr>
        <w:t>have their values and capital calculation combined (</w:t>
      </w:r>
      <w:r w:rsidR="00DF012A">
        <w:rPr>
          <w:rFonts w:asciiTheme="minorHAnsi" w:hAnsiTheme="minorHAnsi"/>
          <w:color w:val="000000" w:themeColor="text1"/>
        </w:rPr>
        <w:t>grouped</w:t>
      </w:r>
      <w:r w:rsidR="009349D0">
        <w:rPr>
          <w:rFonts w:asciiTheme="minorHAnsi" w:hAnsiTheme="minorHAnsi"/>
          <w:color w:val="000000" w:themeColor="text1"/>
        </w:rPr>
        <w:t>)</w:t>
      </w:r>
      <w:r w:rsidR="00DF012A">
        <w:rPr>
          <w:rFonts w:asciiTheme="minorHAnsi" w:hAnsiTheme="minorHAnsi"/>
          <w:color w:val="000000" w:themeColor="text1"/>
        </w:rPr>
        <w:t xml:space="preserve"> </w:t>
      </w:r>
      <w:r w:rsidR="009518A5">
        <w:rPr>
          <w:rFonts w:asciiTheme="minorHAnsi" w:hAnsiTheme="minorHAnsi"/>
          <w:color w:val="000000" w:themeColor="text1"/>
        </w:rPr>
        <w:t xml:space="preserve">for more efficient reporting and analysis. </w:t>
      </w:r>
      <w:r w:rsidR="009349D0">
        <w:rPr>
          <w:rFonts w:asciiTheme="minorHAnsi" w:hAnsiTheme="minorHAnsi"/>
          <w:color w:val="000000" w:themeColor="text1"/>
        </w:rPr>
        <w:t>Although the GCC instructions set parameters for such grouping, t</w:t>
      </w:r>
      <w:r w:rsidR="009518A5">
        <w:rPr>
          <w:rFonts w:asciiTheme="minorHAnsi" w:hAnsiTheme="minorHAnsi"/>
          <w:color w:val="000000" w:themeColor="text1"/>
        </w:rPr>
        <w:t xml:space="preserve">he general expectation is that regulators will work with each applicable </w:t>
      </w:r>
      <w:r w:rsidR="009349D0">
        <w:rPr>
          <w:rFonts w:asciiTheme="minorHAnsi" w:hAnsiTheme="minorHAnsi"/>
          <w:color w:val="000000" w:themeColor="text1"/>
        </w:rPr>
        <w:t>GCC filer</w:t>
      </w:r>
      <w:r w:rsidR="009518A5">
        <w:rPr>
          <w:rFonts w:asciiTheme="minorHAnsi" w:hAnsiTheme="minorHAnsi"/>
          <w:color w:val="000000" w:themeColor="text1"/>
        </w:rPr>
        <w:t xml:space="preserve"> in determining where </w:t>
      </w:r>
      <w:r w:rsidR="009349D0">
        <w:rPr>
          <w:rFonts w:asciiTheme="minorHAnsi" w:hAnsiTheme="minorHAnsi"/>
          <w:color w:val="000000" w:themeColor="text1"/>
        </w:rPr>
        <w:t>grouping</w:t>
      </w:r>
      <w:r w:rsidR="009518A5">
        <w:rPr>
          <w:rFonts w:asciiTheme="minorHAnsi" w:hAnsiTheme="minorHAnsi"/>
          <w:color w:val="000000" w:themeColor="text1"/>
        </w:rPr>
        <w:t xml:space="preserve"> is and is</w:t>
      </w:r>
      <w:r w:rsidR="00325EE1">
        <w:rPr>
          <w:rFonts w:asciiTheme="minorHAnsi" w:hAnsiTheme="minorHAnsi"/>
          <w:color w:val="000000" w:themeColor="text1"/>
        </w:rPr>
        <w:t xml:space="preserve"> </w:t>
      </w:r>
      <w:r w:rsidR="009518A5">
        <w:rPr>
          <w:rFonts w:asciiTheme="minorHAnsi" w:hAnsiTheme="minorHAnsi"/>
          <w:color w:val="000000" w:themeColor="text1"/>
        </w:rPr>
        <w:t>n</w:t>
      </w:r>
      <w:r w:rsidR="00325EE1">
        <w:rPr>
          <w:rFonts w:asciiTheme="minorHAnsi" w:hAnsiTheme="minorHAnsi"/>
          <w:color w:val="000000" w:themeColor="text1"/>
        </w:rPr>
        <w:t>o</w:t>
      </w:r>
      <w:r w:rsidR="009518A5">
        <w:rPr>
          <w:rFonts w:asciiTheme="minorHAnsi" w:hAnsiTheme="minorHAnsi"/>
          <w:color w:val="000000" w:themeColor="text1"/>
        </w:rPr>
        <w:t>t appropriate outside of what is allowed within the GCC Instructions.</w:t>
      </w:r>
      <w:r w:rsidR="0042767F">
        <w:rPr>
          <w:rFonts w:asciiTheme="minorHAnsi" w:hAnsiTheme="minorHAnsi"/>
          <w:color w:val="000000" w:themeColor="text1"/>
        </w:rPr>
        <w:t xml:space="preserve"> </w:t>
      </w:r>
      <w:r w:rsidR="009349D0">
        <w:rPr>
          <w:rFonts w:asciiTheme="minorHAnsi" w:hAnsiTheme="minorHAnsi"/>
          <w:color w:val="000000" w:themeColor="text1"/>
        </w:rPr>
        <w:t>Grouping should be viewed in context of materiality.  A single entity conducting a given activity may not be material, but wh</w:t>
      </w:r>
      <w:r w:rsidR="00336B54">
        <w:rPr>
          <w:rFonts w:asciiTheme="minorHAnsi" w:hAnsiTheme="minorHAnsi"/>
          <w:color w:val="000000" w:themeColor="text1"/>
        </w:rPr>
        <w:t>e</w:t>
      </w:r>
      <w:r w:rsidR="009349D0">
        <w:rPr>
          <w:rFonts w:asciiTheme="minorHAnsi" w:hAnsiTheme="minorHAnsi"/>
          <w:color w:val="000000" w:themeColor="text1"/>
        </w:rPr>
        <w:t>n all entities conducting the same activity are</w:t>
      </w:r>
      <w:r w:rsidR="006166E1" w:rsidRPr="006166E1">
        <w:rPr>
          <w:rFonts w:asciiTheme="minorHAnsi" w:hAnsiTheme="minorHAnsi"/>
          <w:color w:val="000000" w:themeColor="text1"/>
        </w:rPr>
        <w:t xml:space="preserve"> </w:t>
      </w:r>
      <w:r w:rsidR="006166E1">
        <w:rPr>
          <w:rFonts w:asciiTheme="minorHAnsi" w:hAnsiTheme="minorHAnsi"/>
          <w:color w:val="000000" w:themeColor="text1"/>
        </w:rPr>
        <w:t>combined</w:t>
      </w:r>
      <w:r w:rsidR="00336B54">
        <w:rPr>
          <w:rFonts w:asciiTheme="minorHAnsi" w:hAnsiTheme="minorHAnsi"/>
          <w:color w:val="000000" w:themeColor="text1"/>
        </w:rPr>
        <w:t>,</w:t>
      </w:r>
      <w:r w:rsidR="009349D0">
        <w:rPr>
          <w:rFonts w:asciiTheme="minorHAnsi" w:hAnsiTheme="minorHAnsi"/>
          <w:color w:val="000000" w:themeColor="text1"/>
        </w:rPr>
        <w:t xml:space="preserve"> they can be material.</w:t>
      </w:r>
    </w:p>
    <w:p w14:paraId="765A94E2" w14:textId="386DEF02" w:rsidR="00B671AE" w:rsidRDefault="00B671AE" w:rsidP="00A33EB2">
      <w:pPr>
        <w:pStyle w:val="BodyText"/>
        <w:rPr>
          <w:rFonts w:asciiTheme="minorHAnsi" w:hAnsiTheme="minorHAnsi"/>
          <w:color w:val="000000" w:themeColor="text1"/>
          <w:u w:val="single"/>
        </w:rPr>
      </w:pPr>
    </w:p>
    <w:p w14:paraId="0AD851EB" w14:textId="2EBB6C66"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Excluded entities</w:t>
      </w:r>
      <w:r w:rsidR="00E01637" w:rsidRPr="00B671AE">
        <w:rPr>
          <w:rFonts w:asciiTheme="minorHAnsi" w:hAnsiTheme="minorHAnsi"/>
          <w:color w:val="000000" w:themeColor="text1"/>
          <w:u w:val="single"/>
        </w:rPr>
        <w:t xml:space="preserve"> </w:t>
      </w:r>
      <w:r w:rsidR="00DF012A" w:rsidRPr="00135C7D">
        <w:rPr>
          <w:rFonts w:asciiTheme="minorHAnsi" w:hAnsiTheme="minorHAnsi"/>
          <w:color w:val="000000" w:themeColor="text1"/>
        </w:rPr>
        <w:t xml:space="preserve">– The GCC provides two mechanisms for the exclusion of non-financial entities </w:t>
      </w:r>
      <w:r w:rsidR="001A0F84" w:rsidRPr="00135C7D">
        <w:rPr>
          <w:rFonts w:asciiTheme="minorHAnsi" w:hAnsiTheme="minorHAnsi"/>
          <w:color w:val="000000" w:themeColor="text1"/>
        </w:rPr>
        <w:t xml:space="preserve">in Schedule 1 and in the Inventory Tab </w:t>
      </w:r>
      <w:r w:rsidR="00DF012A" w:rsidRPr="00135C7D">
        <w:rPr>
          <w:rFonts w:asciiTheme="minorHAnsi" w:hAnsiTheme="minorHAnsi"/>
          <w:color w:val="000000" w:themeColor="text1"/>
        </w:rPr>
        <w:t>at the discretion of the lead</w:t>
      </w:r>
      <w:r w:rsidR="00135C7D">
        <w:rPr>
          <w:rFonts w:asciiTheme="minorHAnsi" w:hAnsiTheme="minorHAnsi"/>
          <w:color w:val="000000" w:themeColor="text1"/>
        </w:rPr>
        <w:t xml:space="preserve"> s</w:t>
      </w:r>
      <w:r w:rsidR="00DF012A" w:rsidRPr="00135C7D">
        <w:rPr>
          <w:rFonts w:asciiTheme="minorHAnsi" w:hAnsiTheme="minorHAnsi"/>
          <w:color w:val="000000" w:themeColor="text1"/>
        </w:rPr>
        <w:t>tate</w:t>
      </w:r>
      <w:r w:rsidR="009349D0" w:rsidRPr="00135C7D">
        <w:rPr>
          <w:rFonts w:asciiTheme="minorHAnsi" w:hAnsiTheme="minorHAnsi"/>
          <w:color w:val="000000" w:themeColor="text1"/>
        </w:rPr>
        <w:t>. State regulators should consider whether any of the information collected in the GC</w:t>
      </w:r>
      <w:r w:rsidR="00CF7F5D" w:rsidRPr="00135C7D">
        <w:rPr>
          <w:rFonts w:asciiTheme="minorHAnsi" w:hAnsiTheme="minorHAnsi"/>
          <w:color w:val="000000" w:themeColor="text1"/>
        </w:rPr>
        <w:t>C template</w:t>
      </w:r>
      <w:r w:rsidR="009349D0" w:rsidRPr="00135C7D">
        <w:rPr>
          <w:rFonts w:asciiTheme="minorHAnsi" w:hAnsiTheme="minorHAnsi"/>
          <w:color w:val="000000" w:themeColor="text1"/>
        </w:rPr>
        <w:t xml:space="preserve"> in support of</w:t>
      </w:r>
      <w:r w:rsidR="00135C7D">
        <w:rPr>
          <w:rFonts w:asciiTheme="minorHAnsi" w:hAnsiTheme="minorHAnsi"/>
          <w:color w:val="000000" w:themeColor="text1"/>
        </w:rPr>
        <w:t>,</w:t>
      </w:r>
      <w:r w:rsidR="009349D0" w:rsidRPr="00135C7D">
        <w:rPr>
          <w:rFonts w:asciiTheme="minorHAnsi" w:hAnsiTheme="minorHAnsi"/>
          <w:color w:val="000000" w:themeColor="text1"/>
        </w:rPr>
        <w:t xml:space="preserve"> is collected for an entity or group of similar entities that would otherwise be excluded </w:t>
      </w:r>
      <w:r w:rsidR="00CF7F5D" w:rsidRPr="00135C7D">
        <w:rPr>
          <w:rFonts w:asciiTheme="minorHAnsi" w:hAnsiTheme="minorHAnsi"/>
          <w:color w:val="000000" w:themeColor="text1"/>
        </w:rPr>
        <w:t>f</w:t>
      </w:r>
      <w:r w:rsidR="009349D0" w:rsidRPr="00135C7D">
        <w:rPr>
          <w:rFonts w:asciiTheme="minorHAnsi" w:hAnsiTheme="minorHAnsi"/>
          <w:color w:val="000000" w:themeColor="text1"/>
        </w:rPr>
        <w:t>rom the GCC ratio calculation. Regulators should</w:t>
      </w:r>
      <w:r w:rsidR="001A0F84" w:rsidRPr="00135C7D">
        <w:rPr>
          <w:rFonts w:asciiTheme="minorHAnsi" w:hAnsiTheme="minorHAnsi"/>
          <w:color w:val="000000" w:themeColor="text1"/>
        </w:rPr>
        <w:t xml:space="preserve"> separately </w:t>
      </w:r>
      <w:r w:rsidR="009349D0" w:rsidRPr="00135C7D">
        <w:rPr>
          <w:rFonts w:asciiTheme="minorHAnsi" w:hAnsiTheme="minorHAnsi"/>
          <w:color w:val="000000" w:themeColor="text1"/>
        </w:rPr>
        <w:t xml:space="preserve">monitor increases in the level of activity of an </w:t>
      </w:r>
      <w:r w:rsidR="001A0F84" w:rsidRPr="00135C7D">
        <w:rPr>
          <w:rFonts w:asciiTheme="minorHAnsi" w:hAnsiTheme="minorHAnsi"/>
          <w:color w:val="000000" w:themeColor="text1"/>
        </w:rPr>
        <w:t xml:space="preserve">“excluded” </w:t>
      </w:r>
      <w:r w:rsidR="009349D0" w:rsidRPr="00135C7D">
        <w:rPr>
          <w:rFonts w:asciiTheme="minorHAnsi" w:hAnsiTheme="minorHAnsi"/>
          <w:color w:val="000000" w:themeColor="text1"/>
        </w:rPr>
        <w:t xml:space="preserve">entity or group of similar entities for purposes of materiality and potential </w:t>
      </w:r>
      <w:r w:rsidR="001A0F84" w:rsidRPr="00135C7D">
        <w:rPr>
          <w:rFonts w:asciiTheme="minorHAnsi" w:hAnsiTheme="minorHAnsi"/>
          <w:color w:val="000000" w:themeColor="text1"/>
        </w:rPr>
        <w:t xml:space="preserve">subsequent </w:t>
      </w:r>
      <w:r w:rsidR="009349D0" w:rsidRPr="00135C7D">
        <w:rPr>
          <w:rFonts w:asciiTheme="minorHAnsi" w:hAnsiTheme="minorHAnsi"/>
          <w:color w:val="000000" w:themeColor="text1"/>
        </w:rPr>
        <w:t>inclusion in the GCC.</w:t>
      </w:r>
    </w:p>
    <w:p w14:paraId="6EFA3E7D" w14:textId="113C27EA" w:rsidR="00E01637" w:rsidRPr="00B671AE" w:rsidRDefault="00E01637" w:rsidP="00A33EB2">
      <w:pPr>
        <w:pStyle w:val="BodyText"/>
        <w:rPr>
          <w:rFonts w:asciiTheme="minorHAnsi" w:hAnsiTheme="minorHAnsi"/>
          <w:color w:val="000000" w:themeColor="text1"/>
          <w:u w:val="single"/>
        </w:rPr>
      </w:pPr>
    </w:p>
    <w:p w14:paraId="4BD40211" w14:textId="75182462"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Sensitivity analysis</w:t>
      </w:r>
      <w:r w:rsidR="00DF012A">
        <w:rPr>
          <w:rFonts w:asciiTheme="minorHAnsi" w:hAnsiTheme="minorHAnsi"/>
          <w:color w:val="000000" w:themeColor="text1"/>
          <w:u w:val="single"/>
        </w:rPr>
        <w:t xml:space="preserve"> </w:t>
      </w:r>
      <w:r w:rsidR="00DF012A" w:rsidRPr="00135C7D">
        <w:rPr>
          <w:rFonts w:asciiTheme="minorHAnsi" w:hAnsiTheme="minorHAnsi"/>
          <w:color w:val="000000" w:themeColor="text1"/>
        </w:rPr>
        <w:t xml:space="preserve">– </w:t>
      </w:r>
      <w:r w:rsidR="001A0F84" w:rsidRPr="00135C7D">
        <w:rPr>
          <w:rFonts w:asciiTheme="minorHAnsi" w:hAnsiTheme="minorHAnsi"/>
          <w:color w:val="000000" w:themeColor="text1"/>
        </w:rPr>
        <w:t xml:space="preserve">A </w:t>
      </w:r>
      <w:r w:rsidR="00135C7D">
        <w:rPr>
          <w:rFonts w:asciiTheme="minorHAnsi" w:hAnsiTheme="minorHAnsi"/>
          <w:color w:val="000000" w:themeColor="text1"/>
        </w:rPr>
        <w:t>t</w:t>
      </w:r>
      <w:r w:rsidR="001A0F84" w:rsidRPr="00135C7D">
        <w:rPr>
          <w:rFonts w:asciiTheme="minorHAnsi" w:hAnsiTheme="minorHAnsi"/>
          <w:color w:val="000000" w:themeColor="text1"/>
        </w:rPr>
        <w:t>ab devoted to individual s</w:t>
      </w:r>
      <w:r w:rsidR="00DF012A" w:rsidRPr="00135C7D">
        <w:rPr>
          <w:rFonts w:asciiTheme="minorHAnsi" w:hAnsiTheme="minorHAnsi"/>
          <w:color w:val="000000" w:themeColor="text1"/>
        </w:rPr>
        <w:t>ensitivity analysis is included in the GCC.  These informational items provide the regulator with impact of discretion in excluding listed entities and alternative perspectives on risk charges for non-financial entities and foreign insurers</w:t>
      </w:r>
      <w:r w:rsidR="009349D0" w:rsidRPr="00135C7D">
        <w:rPr>
          <w:rFonts w:asciiTheme="minorHAnsi" w:hAnsiTheme="minorHAnsi"/>
          <w:color w:val="000000" w:themeColor="text1"/>
        </w:rPr>
        <w:t>.</w:t>
      </w:r>
      <w:r w:rsidR="00026D3A" w:rsidRPr="00135C7D">
        <w:rPr>
          <w:rFonts w:asciiTheme="minorHAnsi" w:hAnsiTheme="minorHAnsi"/>
          <w:color w:val="000000" w:themeColor="text1"/>
        </w:rPr>
        <w:t xml:space="preserve">  Monitoring of these items can help the regulator identify areas where the GCC may be </w:t>
      </w:r>
      <w:r w:rsidR="00966A3B" w:rsidRPr="00135C7D">
        <w:rPr>
          <w:rFonts w:asciiTheme="minorHAnsi" w:hAnsiTheme="minorHAnsi"/>
          <w:color w:val="000000" w:themeColor="text1"/>
        </w:rPr>
        <w:t>improved,</w:t>
      </w:r>
      <w:r w:rsidR="001A0F84" w:rsidRPr="00135C7D">
        <w:rPr>
          <w:rFonts w:asciiTheme="minorHAnsi" w:hAnsiTheme="minorHAnsi"/>
          <w:color w:val="000000" w:themeColor="text1"/>
        </w:rPr>
        <w:t xml:space="preserve"> or capital calculations adjusted in the future</w:t>
      </w:r>
      <w:r w:rsidR="00026D3A" w:rsidRPr="00135C7D">
        <w:rPr>
          <w:rFonts w:asciiTheme="minorHAnsi" w:hAnsiTheme="minorHAnsi"/>
          <w:color w:val="000000" w:themeColor="text1"/>
        </w:rPr>
        <w:t>.</w:t>
      </w:r>
      <w:r w:rsidR="00791835">
        <w:rPr>
          <w:rFonts w:asciiTheme="minorHAnsi" w:hAnsiTheme="minorHAnsi"/>
          <w:color w:val="000000" w:themeColor="text1"/>
        </w:rPr>
        <w:t xml:space="preserve"> </w:t>
      </w:r>
      <w:r w:rsidR="0042767F">
        <w:rPr>
          <w:rFonts w:asciiTheme="minorHAnsi" w:hAnsiTheme="minorHAnsi"/>
          <w:color w:val="000000" w:themeColor="text1"/>
        </w:rPr>
        <w:t xml:space="preserve">One item included in the </w:t>
      </w:r>
      <w:r w:rsidR="00791835">
        <w:rPr>
          <w:rFonts w:asciiTheme="minorHAnsi" w:hAnsiTheme="minorHAnsi"/>
          <w:color w:val="000000" w:themeColor="text1"/>
        </w:rPr>
        <w:t xml:space="preserve">sensitivity analysis </w:t>
      </w:r>
      <w:r w:rsidR="0042767F">
        <w:rPr>
          <w:rFonts w:asciiTheme="minorHAnsi" w:hAnsiTheme="minorHAnsi"/>
          <w:color w:val="000000" w:themeColor="text1"/>
        </w:rPr>
        <w:t xml:space="preserve">is a “sensitivity test” that </w:t>
      </w:r>
      <w:r w:rsidR="00791835">
        <w:rPr>
          <w:rFonts w:asciiTheme="minorHAnsi" w:hAnsiTheme="minorHAnsi"/>
          <w:color w:val="000000" w:themeColor="text1"/>
        </w:rPr>
        <w:t xml:space="preserve">increases the overall calibration of the </w:t>
      </w:r>
      <w:r w:rsidR="0042767F">
        <w:rPr>
          <w:rFonts w:asciiTheme="minorHAnsi" w:hAnsiTheme="minorHAnsi"/>
          <w:color w:val="000000" w:themeColor="text1"/>
        </w:rPr>
        <w:t xml:space="preserve">calculated </w:t>
      </w:r>
      <w:r w:rsidR="00791835">
        <w:rPr>
          <w:rFonts w:asciiTheme="minorHAnsi" w:hAnsiTheme="minorHAnsi"/>
          <w:color w:val="000000" w:themeColor="text1"/>
        </w:rPr>
        <w:t>capital in the GCC from its normal 200% x ACL RBC calibration to 300% x ACL</w:t>
      </w:r>
      <w:r w:rsidR="0042767F">
        <w:rPr>
          <w:rFonts w:asciiTheme="minorHAnsi" w:hAnsiTheme="minorHAnsi"/>
          <w:color w:val="000000" w:themeColor="text1"/>
        </w:rPr>
        <w:t xml:space="preserve"> RBC</w:t>
      </w:r>
      <w:r w:rsidR="00791835">
        <w:rPr>
          <w:rFonts w:asciiTheme="minorHAnsi" w:hAnsiTheme="minorHAnsi"/>
          <w:color w:val="000000" w:themeColor="text1"/>
        </w:rPr>
        <w:t xml:space="preserve">. </w:t>
      </w:r>
    </w:p>
    <w:p w14:paraId="1BDEB0F4" w14:textId="77777777" w:rsidR="00E01637" w:rsidRPr="00B671AE" w:rsidRDefault="00E01637" w:rsidP="00A33EB2">
      <w:pPr>
        <w:pStyle w:val="BodyText"/>
        <w:rPr>
          <w:rFonts w:asciiTheme="minorHAnsi" w:hAnsiTheme="minorHAnsi"/>
          <w:color w:val="000000" w:themeColor="text1"/>
          <w:u w:val="single"/>
        </w:rPr>
      </w:pPr>
    </w:p>
    <w:p w14:paraId="704C1576" w14:textId="5223C19C" w:rsidR="00026D3A" w:rsidRPr="00B671AE" w:rsidRDefault="00026D3A" w:rsidP="00026D3A">
      <w:pPr>
        <w:pStyle w:val="BodyText"/>
        <w:rPr>
          <w:rFonts w:asciiTheme="minorHAnsi" w:hAnsiTheme="minorHAnsi"/>
          <w:color w:val="000000" w:themeColor="text1"/>
          <w:u w:val="single"/>
        </w:rPr>
      </w:pPr>
      <w:r w:rsidRPr="00B671AE">
        <w:rPr>
          <w:rFonts w:asciiTheme="minorHAnsi" w:hAnsiTheme="minorHAnsi"/>
          <w:color w:val="000000" w:themeColor="text1"/>
          <w:u w:val="single"/>
        </w:rPr>
        <w:t xml:space="preserve">Accounting Adjustments </w:t>
      </w:r>
      <w:r w:rsidR="00BF2221" w:rsidRPr="00135C7D">
        <w:rPr>
          <w:rFonts w:asciiTheme="minorHAnsi" w:hAnsiTheme="minorHAnsi"/>
          <w:color w:val="000000" w:themeColor="text1"/>
        </w:rPr>
        <w:t xml:space="preserve">- The impact of accounting adjustments and related </w:t>
      </w:r>
      <w:r w:rsidR="001A0F84" w:rsidRPr="00135C7D">
        <w:rPr>
          <w:rFonts w:asciiTheme="minorHAnsi" w:hAnsiTheme="minorHAnsi"/>
          <w:color w:val="000000" w:themeColor="text1"/>
        </w:rPr>
        <w:t xml:space="preserve">detailed </w:t>
      </w:r>
      <w:r w:rsidR="00BF2221" w:rsidRPr="00135C7D">
        <w:rPr>
          <w:rFonts w:asciiTheme="minorHAnsi" w:hAnsiTheme="minorHAnsi"/>
          <w:color w:val="000000" w:themeColor="text1"/>
        </w:rPr>
        <w:t>information is collected in the GCC template</w:t>
      </w:r>
      <w:r w:rsidR="001A0F84" w:rsidRPr="00135C7D">
        <w:rPr>
          <w:rFonts w:asciiTheme="minorHAnsi" w:hAnsiTheme="minorHAnsi"/>
          <w:color w:val="000000" w:themeColor="text1"/>
        </w:rPr>
        <w:t xml:space="preserve"> in the Inventory Tab and in the Other Information Tab respectively</w:t>
      </w:r>
      <w:r w:rsidR="00BF2221" w:rsidRPr="00135C7D">
        <w:rPr>
          <w:rFonts w:asciiTheme="minorHAnsi" w:hAnsiTheme="minorHAnsi"/>
          <w:color w:val="000000" w:themeColor="text1"/>
        </w:rPr>
        <w:t>.  Such adjustments can be material during the de-stacking process. For example</w:t>
      </w:r>
      <w:r w:rsidR="009951F2" w:rsidRPr="00135C7D">
        <w:rPr>
          <w:rFonts w:asciiTheme="minorHAnsi" w:hAnsiTheme="minorHAnsi"/>
          <w:color w:val="000000" w:themeColor="text1"/>
        </w:rPr>
        <w:t>,</w:t>
      </w:r>
      <w:r w:rsidR="00BF2221" w:rsidRPr="00135C7D">
        <w:rPr>
          <w:rFonts w:asciiTheme="minorHAnsi" w:hAnsiTheme="minorHAnsi"/>
          <w:color w:val="000000" w:themeColor="text1"/>
        </w:rPr>
        <w:t xml:space="preserve"> a consolidated holding company may include </w:t>
      </w:r>
      <w:r w:rsidR="009951F2" w:rsidRPr="00135C7D">
        <w:rPr>
          <w:rFonts w:asciiTheme="minorHAnsi" w:hAnsiTheme="minorHAnsi"/>
          <w:color w:val="000000" w:themeColor="text1"/>
        </w:rPr>
        <w:t>GAAP</w:t>
      </w:r>
      <w:r w:rsidR="00BF2221" w:rsidRPr="00135C7D">
        <w:rPr>
          <w:rFonts w:asciiTheme="minorHAnsi" w:hAnsiTheme="minorHAnsi"/>
          <w:color w:val="000000" w:themeColor="text1"/>
        </w:rPr>
        <w:t xml:space="preserve"> values for entities that would otherwise be valued under regulatory accounting rules </w:t>
      </w:r>
      <w:r w:rsidR="009951F2" w:rsidRPr="00135C7D">
        <w:rPr>
          <w:rFonts w:asciiTheme="minorHAnsi" w:hAnsiTheme="minorHAnsi"/>
          <w:color w:val="000000" w:themeColor="text1"/>
        </w:rPr>
        <w:t>(e.g.</w:t>
      </w:r>
      <w:r w:rsidR="000A61A6">
        <w:rPr>
          <w:rFonts w:asciiTheme="minorHAnsi" w:hAnsiTheme="minorHAnsi"/>
          <w:color w:val="000000" w:themeColor="text1"/>
        </w:rPr>
        <w:t>,</w:t>
      </w:r>
      <w:r w:rsidR="009951F2" w:rsidRPr="00135C7D">
        <w:rPr>
          <w:rFonts w:asciiTheme="minorHAnsi" w:hAnsiTheme="minorHAnsi"/>
          <w:color w:val="000000" w:themeColor="text1"/>
        </w:rPr>
        <w:t xml:space="preserve"> Statutory Accounting Principles - SAP) </w:t>
      </w:r>
      <w:r w:rsidR="00BF2221" w:rsidRPr="00135C7D">
        <w:rPr>
          <w:rFonts w:asciiTheme="minorHAnsi" w:hAnsiTheme="minorHAnsi"/>
          <w:color w:val="000000" w:themeColor="text1"/>
        </w:rPr>
        <w:t>on a stand-alone basis.</w:t>
      </w:r>
      <w:r w:rsidR="009951F2" w:rsidRPr="00135C7D">
        <w:rPr>
          <w:rFonts w:asciiTheme="minorHAnsi" w:hAnsiTheme="minorHAnsi"/>
          <w:color w:val="000000" w:themeColor="text1"/>
        </w:rPr>
        <w:t xml:space="preserve"> When the regulated entity is de-stacked the difference between the GAAP values and SAP values will be </w:t>
      </w:r>
      <w:r w:rsidR="001A0F84" w:rsidRPr="00135C7D">
        <w:rPr>
          <w:rFonts w:asciiTheme="minorHAnsi" w:hAnsiTheme="minorHAnsi"/>
          <w:color w:val="000000" w:themeColor="text1"/>
        </w:rPr>
        <w:t>removed from the group’s available capital</w:t>
      </w:r>
      <w:r w:rsidR="009951F2" w:rsidRPr="00135C7D">
        <w:rPr>
          <w:rFonts w:asciiTheme="minorHAnsi" w:hAnsiTheme="minorHAnsi"/>
          <w:color w:val="000000" w:themeColor="text1"/>
        </w:rPr>
        <w:t xml:space="preserve">. These </w:t>
      </w:r>
      <w:r w:rsidR="001A0F84" w:rsidRPr="00135C7D">
        <w:rPr>
          <w:rFonts w:asciiTheme="minorHAnsi" w:hAnsiTheme="minorHAnsi"/>
          <w:color w:val="000000" w:themeColor="text1"/>
        </w:rPr>
        <w:t xml:space="preserve">“lost” </w:t>
      </w:r>
      <w:r w:rsidR="009951F2" w:rsidRPr="00135C7D">
        <w:rPr>
          <w:rFonts w:asciiTheme="minorHAnsi" w:hAnsiTheme="minorHAnsi"/>
          <w:color w:val="000000" w:themeColor="text1"/>
        </w:rPr>
        <w:t xml:space="preserve">values can </w:t>
      </w:r>
      <w:r w:rsidR="001A0F84" w:rsidRPr="00135C7D">
        <w:rPr>
          <w:rFonts w:asciiTheme="minorHAnsi" w:hAnsiTheme="minorHAnsi"/>
          <w:color w:val="000000" w:themeColor="text1"/>
        </w:rPr>
        <w:t xml:space="preserve">result in a </w:t>
      </w:r>
      <w:r w:rsidR="009951F2" w:rsidRPr="00135C7D">
        <w:rPr>
          <w:rFonts w:asciiTheme="minorHAnsi" w:hAnsiTheme="minorHAnsi"/>
          <w:color w:val="000000" w:themeColor="text1"/>
        </w:rPr>
        <w:t>material</w:t>
      </w:r>
      <w:r w:rsidR="001A0F84" w:rsidRPr="00135C7D">
        <w:rPr>
          <w:rFonts w:asciiTheme="minorHAnsi" w:hAnsiTheme="minorHAnsi"/>
          <w:color w:val="000000" w:themeColor="text1"/>
        </w:rPr>
        <w:t xml:space="preserve"> reduction in the inventoried available capital compared to consolidated available capital.  U</w:t>
      </w:r>
      <w:r w:rsidR="009951F2" w:rsidRPr="00135C7D">
        <w:rPr>
          <w:rFonts w:asciiTheme="minorHAnsi" w:hAnsiTheme="minorHAnsi"/>
          <w:color w:val="000000" w:themeColor="text1"/>
        </w:rPr>
        <w:t xml:space="preserve">nderstanding </w:t>
      </w:r>
      <w:r w:rsidR="009951F2" w:rsidRPr="00135C7D">
        <w:rPr>
          <w:rFonts w:asciiTheme="minorHAnsi" w:hAnsiTheme="minorHAnsi"/>
          <w:color w:val="000000" w:themeColor="text1"/>
        </w:rPr>
        <w:lastRenderedPageBreak/>
        <w:t xml:space="preserve">the impact and the components of this adjustment can help the regulator when considering the impact of </w:t>
      </w:r>
      <w:r w:rsidR="001A0F84" w:rsidRPr="00135C7D">
        <w:rPr>
          <w:rFonts w:asciiTheme="minorHAnsi" w:hAnsiTheme="minorHAnsi"/>
          <w:color w:val="000000" w:themeColor="text1"/>
        </w:rPr>
        <w:t xml:space="preserve">issuing </w:t>
      </w:r>
      <w:r w:rsidR="009951F2" w:rsidRPr="00135C7D">
        <w:rPr>
          <w:rFonts w:asciiTheme="minorHAnsi" w:hAnsiTheme="minorHAnsi"/>
          <w:color w:val="000000" w:themeColor="text1"/>
        </w:rPr>
        <w:t xml:space="preserve">new debt or </w:t>
      </w:r>
      <w:r w:rsidR="001A0F84" w:rsidRPr="00135C7D">
        <w:rPr>
          <w:rFonts w:asciiTheme="minorHAnsi" w:hAnsiTheme="minorHAnsi"/>
          <w:color w:val="000000" w:themeColor="text1"/>
        </w:rPr>
        <w:t xml:space="preserve">when evaluating </w:t>
      </w:r>
      <w:r w:rsidR="009951F2" w:rsidRPr="00135C7D">
        <w:rPr>
          <w:rFonts w:asciiTheme="minorHAnsi" w:hAnsiTheme="minorHAnsi"/>
          <w:color w:val="000000" w:themeColor="text1"/>
        </w:rPr>
        <w:t>the allowance for debt as capital calculated in the GCC template.</w:t>
      </w:r>
    </w:p>
    <w:p w14:paraId="17FEA574" w14:textId="77777777" w:rsidR="00026D3A" w:rsidRDefault="00026D3A" w:rsidP="00A33EB2">
      <w:pPr>
        <w:pStyle w:val="BodyText"/>
        <w:rPr>
          <w:rFonts w:asciiTheme="minorHAnsi" w:hAnsiTheme="minorHAnsi"/>
          <w:color w:val="000000" w:themeColor="text1"/>
          <w:u w:val="single"/>
        </w:rPr>
      </w:pPr>
    </w:p>
    <w:p w14:paraId="0948B53C" w14:textId="1050E847"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Intangible Assets</w:t>
      </w:r>
      <w:r w:rsidR="00CF7F5D">
        <w:rPr>
          <w:rFonts w:asciiTheme="minorHAnsi" w:hAnsiTheme="minorHAnsi"/>
          <w:color w:val="000000" w:themeColor="text1"/>
          <w:u w:val="single"/>
        </w:rPr>
        <w:t xml:space="preserve"> </w:t>
      </w:r>
      <w:r w:rsidR="00336B54" w:rsidRPr="00135C7D">
        <w:rPr>
          <w:rFonts w:asciiTheme="minorHAnsi" w:hAnsiTheme="minorHAnsi"/>
          <w:color w:val="000000" w:themeColor="text1"/>
        </w:rPr>
        <w:t>–</w:t>
      </w:r>
      <w:r w:rsidR="00CF7F5D" w:rsidRPr="00135C7D">
        <w:rPr>
          <w:rFonts w:asciiTheme="minorHAnsi" w:hAnsiTheme="minorHAnsi"/>
          <w:color w:val="000000" w:themeColor="text1"/>
        </w:rPr>
        <w:t xml:space="preserve"> </w:t>
      </w:r>
      <w:r w:rsidR="00336B54" w:rsidRPr="00135C7D">
        <w:rPr>
          <w:rFonts w:asciiTheme="minorHAnsi" w:hAnsiTheme="minorHAnsi"/>
          <w:color w:val="000000" w:themeColor="text1"/>
        </w:rPr>
        <w:t>Acquisitions, mergers and reorganization often can create significant intangible assets at a holding company level or possibly at an operating company (other than a regulated entity) level. The GCC template collects information on intangible assets held by inventoried entities</w:t>
      </w:r>
      <w:r w:rsidR="001A0F84" w:rsidRPr="00135C7D">
        <w:rPr>
          <w:rFonts w:asciiTheme="minorHAnsi" w:hAnsiTheme="minorHAnsi"/>
          <w:color w:val="000000" w:themeColor="text1"/>
        </w:rPr>
        <w:t xml:space="preserve"> in the Other Information Tab</w:t>
      </w:r>
      <w:r w:rsidR="00336B54" w:rsidRPr="00135C7D">
        <w:rPr>
          <w:rFonts w:asciiTheme="minorHAnsi" w:hAnsiTheme="minorHAnsi"/>
          <w:color w:val="000000" w:themeColor="text1"/>
        </w:rPr>
        <w:t>.  The available capital associated with the value of entities whose assets are materially comprised of intangible assets should be evaluated in the context of fungible resources and in assessing the adequacy of the capital calculation assessed on such entities.</w:t>
      </w:r>
    </w:p>
    <w:p w14:paraId="6A90B785" w14:textId="29A8015A" w:rsidR="00E01637" w:rsidRPr="00B671AE" w:rsidRDefault="00E01637" w:rsidP="00A33EB2">
      <w:pPr>
        <w:pStyle w:val="BodyText"/>
        <w:rPr>
          <w:rFonts w:asciiTheme="minorHAnsi" w:hAnsiTheme="minorHAnsi"/>
          <w:color w:val="000000" w:themeColor="text1"/>
          <w:u w:val="single"/>
        </w:rPr>
      </w:pPr>
    </w:p>
    <w:p w14:paraId="6B10AB40" w14:textId="0E36DEC1"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Dividend pass-thru (gross view of dividends)</w:t>
      </w:r>
      <w:r w:rsidR="00E93406">
        <w:rPr>
          <w:rFonts w:asciiTheme="minorHAnsi" w:hAnsiTheme="minorHAnsi"/>
          <w:color w:val="000000" w:themeColor="text1"/>
          <w:u w:val="single"/>
        </w:rPr>
        <w:t xml:space="preserve"> </w:t>
      </w:r>
      <w:r w:rsidR="00E0435C" w:rsidRPr="00135C7D">
        <w:rPr>
          <w:rFonts w:asciiTheme="minorHAnsi" w:hAnsiTheme="minorHAnsi"/>
          <w:color w:val="000000" w:themeColor="text1"/>
        </w:rPr>
        <w:t xml:space="preserve">– Schedule 1D collects information on dividends paid and received within the group.  It also includes a </w:t>
      </w:r>
      <w:r w:rsidR="00046EB1" w:rsidRPr="00135C7D">
        <w:rPr>
          <w:rFonts w:asciiTheme="minorHAnsi" w:hAnsiTheme="minorHAnsi"/>
          <w:color w:val="000000" w:themeColor="text1"/>
        </w:rPr>
        <w:t>column that indicates whether dividends</w:t>
      </w:r>
      <w:r w:rsidR="00354687">
        <w:rPr>
          <w:rFonts w:asciiTheme="minorHAnsi" w:hAnsiTheme="minorHAnsi"/>
          <w:color w:val="000000" w:themeColor="text1"/>
        </w:rPr>
        <w:t xml:space="preserve"> were declared but not yet paid</w:t>
      </w:r>
      <w:r w:rsidR="00215553">
        <w:rPr>
          <w:rFonts w:asciiTheme="minorHAnsi" w:hAnsiTheme="minorHAnsi"/>
          <w:color w:val="000000" w:themeColor="text1"/>
        </w:rPr>
        <w:t xml:space="preserve">, </w:t>
      </w:r>
      <w:r w:rsidR="00406067">
        <w:rPr>
          <w:rFonts w:asciiTheme="minorHAnsi" w:hAnsiTheme="minorHAnsi"/>
          <w:color w:val="000000" w:themeColor="text1"/>
        </w:rPr>
        <w:t>as well as</w:t>
      </w:r>
      <w:r w:rsidR="00215553">
        <w:rPr>
          <w:rFonts w:asciiTheme="minorHAnsi" w:hAnsiTheme="minorHAnsi"/>
          <w:color w:val="000000" w:themeColor="text1"/>
        </w:rPr>
        <w:t xml:space="preserve"> cases where dividends</w:t>
      </w:r>
      <w:r w:rsidR="00046EB1" w:rsidRPr="00135C7D">
        <w:rPr>
          <w:rFonts w:asciiTheme="minorHAnsi" w:hAnsiTheme="minorHAnsi"/>
          <w:color w:val="000000" w:themeColor="text1"/>
        </w:rPr>
        <w:t xml:space="preserve"> received where retained or “passed thru” to another affiliate or paid out in dividends to shareholders.</w:t>
      </w:r>
      <w:r w:rsidR="00E0435C" w:rsidRPr="00135C7D">
        <w:rPr>
          <w:rFonts w:asciiTheme="minorHAnsi" w:hAnsiTheme="minorHAnsi"/>
          <w:color w:val="000000" w:themeColor="text1"/>
        </w:rPr>
        <w:t xml:space="preserve"> </w:t>
      </w:r>
      <w:r w:rsidR="00046EB1" w:rsidRPr="00135C7D">
        <w:rPr>
          <w:rFonts w:asciiTheme="minorHAnsi" w:hAnsiTheme="minorHAnsi"/>
          <w:color w:val="000000" w:themeColor="text1"/>
        </w:rPr>
        <w:t>This information will assist the regulator in evaluating the movement of capital within the group to fund strategic insurance and non-insurance operations or activities (e.g.</w:t>
      </w:r>
      <w:r w:rsidR="0042767F">
        <w:rPr>
          <w:rFonts w:asciiTheme="minorHAnsi" w:hAnsiTheme="minorHAnsi"/>
          <w:color w:val="000000" w:themeColor="text1"/>
        </w:rPr>
        <w:t>,</w:t>
      </w:r>
      <w:r w:rsidR="00046EB1" w:rsidRPr="00135C7D">
        <w:rPr>
          <w:rFonts w:asciiTheme="minorHAnsi" w:hAnsiTheme="minorHAnsi"/>
          <w:color w:val="000000" w:themeColor="text1"/>
        </w:rPr>
        <w:t xml:space="preserve"> expansion of activities) or to fund entity specific capital shortfalls. It also provides a window to capital leaving the group (e.g.</w:t>
      </w:r>
      <w:r w:rsidR="0042767F">
        <w:rPr>
          <w:rFonts w:asciiTheme="minorHAnsi" w:hAnsiTheme="minorHAnsi"/>
          <w:color w:val="000000" w:themeColor="text1"/>
        </w:rPr>
        <w:t>,</w:t>
      </w:r>
      <w:r w:rsidR="00046EB1" w:rsidRPr="00135C7D">
        <w:rPr>
          <w:rFonts w:asciiTheme="minorHAnsi" w:hAnsiTheme="minorHAnsi"/>
          <w:color w:val="000000" w:themeColor="text1"/>
        </w:rPr>
        <w:t xml:space="preserve"> debt repayment, stock repurchase, or dividends to shareholders).</w:t>
      </w:r>
    </w:p>
    <w:p w14:paraId="1ED6023C" w14:textId="132087F9" w:rsidR="00E01637" w:rsidRDefault="00E01637" w:rsidP="00A33EB2">
      <w:pPr>
        <w:pStyle w:val="BodyText"/>
        <w:rPr>
          <w:rFonts w:asciiTheme="minorHAnsi" w:hAnsiTheme="minorHAnsi"/>
          <w:color w:val="000000" w:themeColor="text1"/>
        </w:rPr>
      </w:pPr>
    </w:p>
    <w:p w14:paraId="2D6395DC" w14:textId="739C19BF" w:rsidR="006166E1" w:rsidRDefault="00703819" w:rsidP="00A33EB2">
      <w:pPr>
        <w:pStyle w:val="BodyText"/>
        <w:rPr>
          <w:rFonts w:asciiTheme="minorHAnsi" w:hAnsiTheme="minorHAnsi"/>
          <w:b/>
          <w:bCs/>
          <w:color w:val="000000" w:themeColor="text1"/>
        </w:rPr>
      </w:pPr>
      <w:r>
        <w:rPr>
          <w:rFonts w:asciiTheme="minorHAnsi" w:hAnsiTheme="minorHAnsi"/>
          <w:b/>
          <w:bCs/>
          <w:color w:val="000000" w:themeColor="text1"/>
        </w:rPr>
        <w:t>Considerations When Exempting Insurers</w:t>
      </w:r>
    </w:p>
    <w:p w14:paraId="7D02368E" w14:textId="526D368C" w:rsidR="00D7496E" w:rsidRDefault="00703819" w:rsidP="00A33EB2">
      <w:pPr>
        <w:pStyle w:val="BodyText"/>
        <w:rPr>
          <w:rFonts w:asciiTheme="minorHAnsi" w:hAnsiTheme="minorHAnsi"/>
          <w:bCs/>
          <w:iCs/>
          <w:color w:val="000000" w:themeColor="text1"/>
        </w:rPr>
      </w:pPr>
      <w:r>
        <w:rPr>
          <w:rFonts w:asciiTheme="minorHAnsi" w:hAnsiTheme="minorHAnsi"/>
          <w:bCs/>
          <w:iCs/>
          <w:color w:val="000000" w:themeColor="text1"/>
        </w:rPr>
        <w:t>As stated elsewhere within this guidance, the GCC and its related provisions in the NAICs Model Holding Company Act and corresponding regulation are not designed or otherwise intended for regulators to take regulatory action based on the reported level of a group’s GCC. Rather, the GCC is intended to be a tool to better understand the risks of the group, mostly through the trending of the financial information in the “Input 4-Analytics” tab.</w:t>
      </w:r>
      <w:r w:rsidR="0039599F">
        <w:rPr>
          <w:rFonts w:asciiTheme="minorHAnsi" w:hAnsiTheme="minorHAnsi"/>
          <w:bCs/>
          <w:iCs/>
          <w:color w:val="000000" w:themeColor="text1"/>
        </w:rPr>
        <w:t xml:space="preserve"> However, specific to the provisions of the NAICs Model Holding Company Act and corresponding regulation, the Group Capital Calculation (E) Working Group did believe that the GCC might be more helpful for some groups and not </w:t>
      </w:r>
      <w:r w:rsidR="00CC19A2">
        <w:rPr>
          <w:rFonts w:asciiTheme="minorHAnsi" w:hAnsiTheme="minorHAnsi"/>
          <w:bCs/>
          <w:iCs/>
          <w:color w:val="000000" w:themeColor="text1"/>
        </w:rPr>
        <w:t xml:space="preserve">as much </w:t>
      </w:r>
      <w:r w:rsidR="0039599F">
        <w:rPr>
          <w:rFonts w:asciiTheme="minorHAnsi" w:hAnsiTheme="minorHAnsi"/>
          <w:bCs/>
          <w:iCs/>
          <w:color w:val="000000" w:themeColor="text1"/>
        </w:rPr>
        <w:t xml:space="preserve">for others when it developed criteria within the Act and the regulation for exemptions. On this point, the  Working Group believed that in general the GCC would be more helpful for those groups that had </w:t>
      </w:r>
      <w:r w:rsidR="00A60869">
        <w:rPr>
          <w:rFonts w:asciiTheme="minorHAnsi" w:hAnsiTheme="minorHAnsi"/>
          <w:bCs/>
          <w:iCs/>
          <w:color w:val="000000" w:themeColor="text1"/>
        </w:rPr>
        <w:t xml:space="preserve">1) </w:t>
      </w:r>
      <w:r w:rsidR="0039599F">
        <w:rPr>
          <w:rFonts w:asciiTheme="minorHAnsi" w:hAnsiTheme="minorHAnsi"/>
          <w:bCs/>
          <w:iCs/>
          <w:color w:val="000000" w:themeColor="text1"/>
        </w:rPr>
        <w:t>non-U.S. insurers within the group</w:t>
      </w:r>
      <w:r w:rsidR="00A60869">
        <w:rPr>
          <w:rFonts w:asciiTheme="minorHAnsi" w:hAnsiTheme="minorHAnsi"/>
          <w:bCs/>
          <w:iCs/>
          <w:color w:val="000000" w:themeColor="text1"/>
        </w:rPr>
        <w:t>; 2)</w:t>
      </w:r>
      <w:r w:rsidR="0039599F">
        <w:rPr>
          <w:rFonts w:asciiTheme="minorHAnsi" w:hAnsiTheme="minorHAnsi"/>
          <w:bCs/>
          <w:iCs/>
          <w:color w:val="000000" w:themeColor="text1"/>
        </w:rPr>
        <w:t xml:space="preserve"> a bank within the group, or </w:t>
      </w:r>
      <w:r w:rsidR="00A60869">
        <w:rPr>
          <w:rFonts w:asciiTheme="minorHAnsi" w:hAnsiTheme="minorHAnsi"/>
          <w:bCs/>
          <w:iCs/>
          <w:color w:val="000000" w:themeColor="text1"/>
        </w:rPr>
        <w:t xml:space="preserve">3) </w:t>
      </w:r>
      <w:r w:rsidR="0039599F">
        <w:rPr>
          <w:rFonts w:asciiTheme="minorHAnsi" w:hAnsiTheme="minorHAnsi"/>
          <w:bCs/>
          <w:iCs/>
          <w:color w:val="000000" w:themeColor="text1"/>
        </w:rPr>
        <w:t xml:space="preserve">a more material degree of non-insurers. Specific to the point regarding </w:t>
      </w:r>
      <w:r w:rsidR="00A60869">
        <w:rPr>
          <w:rFonts w:asciiTheme="minorHAnsi" w:hAnsiTheme="minorHAnsi"/>
          <w:bCs/>
          <w:iCs/>
          <w:color w:val="000000" w:themeColor="text1"/>
        </w:rPr>
        <w:t>non-U.S. insurers or banks, the GCC is based upon the premise that the most relevant measure of capital is the actual legal entity requirements of capital from the applicable regulator. On this point, the required capital, as well as the trending of information on these particular legal entities might be the most valuable, particularly if the relative operations and assets of these entities compared to the U</w:t>
      </w:r>
      <w:r w:rsidR="00304933">
        <w:rPr>
          <w:rFonts w:asciiTheme="minorHAnsi" w:hAnsiTheme="minorHAnsi"/>
          <w:bCs/>
          <w:iCs/>
          <w:color w:val="000000" w:themeColor="text1"/>
        </w:rPr>
        <w:t>.</w:t>
      </w:r>
      <w:r w:rsidR="00A60869">
        <w:rPr>
          <w:rFonts w:asciiTheme="minorHAnsi" w:hAnsiTheme="minorHAnsi"/>
          <w:bCs/>
          <w:iCs/>
          <w:color w:val="000000" w:themeColor="text1"/>
        </w:rPr>
        <w:t>S</w:t>
      </w:r>
      <w:r w:rsidR="00304933">
        <w:rPr>
          <w:rFonts w:asciiTheme="minorHAnsi" w:hAnsiTheme="minorHAnsi"/>
          <w:bCs/>
          <w:iCs/>
          <w:color w:val="000000" w:themeColor="text1"/>
        </w:rPr>
        <w:t>.</w:t>
      </w:r>
      <w:r w:rsidR="00A60869">
        <w:rPr>
          <w:rFonts w:asciiTheme="minorHAnsi" w:hAnsiTheme="minorHAnsi"/>
          <w:bCs/>
          <w:iCs/>
          <w:color w:val="000000" w:themeColor="text1"/>
        </w:rPr>
        <w:t xml:space="preserve"> RBC filers is material. Similarly, while the calculated capital on the non-insurance entities may not be as relevant as either required capital on regulated insurers or banks, if the relative operations and assets of non-insurers to US RBC filers is material, the GCC may provide greater value to such types of groups. </w:t>
      </w:r>
    </w:p>
    <w:p w14:paraId="1DF75CD3" w14:textId="77777777" w:rsidR="00D7496E" w:rsidRDefault="00D7496E" w:rsidP="00A33EB2">
      <w:pPr>
        <w:pStyle w:val="BodyText"/>
        <w:rPr>
          <w:rFonts w:asciiTheme="minorHAnsi" w:hAnsiTheme="minorHAnsi"/>
          <w:bCs/>
          <w:iCs/>
          <w:color w:val="000000" w:themeColor="text1"/>
        </w:rPr>
      </w:pPr>
    </w:p>
    <w:p w14:paraId="4694B736" w14:textId="5721EECD" w:rsidR="00703819" w:rsidRPr="00283C64" w:rsidRDefault="00E818E2" w:rsidP="00A33EB2">
      <w:pPr>
        <w:pStyle w:val="BodyText"/>
        <w:rPr>
          <w:rFonts w:asciiTheme="minorHAnsi" w:hAnsiTheme="minorHAnsi"/>
          <w:color w:val="000000" w:themeColor="text1"/>
        </w:rPr>
      </w:pPr>
      <w:r>
        <w:rPr>
          <w:rFonts w:asciiTheme="minorHAnsi" w:hAnsiTheme="minorHAnsi"/>
          <w:bCs/>
          <w:iCs/>
          <w:color w:val="000000" w:themeColor="text1"/>
        </w:rPr>
        <w:t xml:space="preserve">To these points, the NAICs Model Holding Company Act and corresponding regulation contain possible exemptions for groups that have less than $1 billion </w:t>
      </w:r>
      <w:r w:rsidR="00304933">
        <w:rPr>
          <w:rFonts w:asciiTheme="minorHAnsi" w:hAnsiTheme="minorHAnsi"/>
          <w:bCs/>
          <w:iCs/>
          <w:color w:val="000000" w:themeColor="text1"/>
        </w:rPr>
        <w:t xml:space="preserve">in premium </w:t>
      </w:r>
      <w:r>
        <w:rPr>
          <w:rFonts w:asciiTheme="minorHAnsi" w:hAnsiTheme="minorHAnsi"/>
          <w:bCs/>
          <w:iCs/>
          <w:color w:val="000000" w:themeColor="text1"/>
        </w:rPr>
        <w:t xml:space="preserve">and that do not possess these types of situations. The possible exemptions exist after the GCC has been filed once. The general </w:t>
      </w:r>
      <w:r w:rsidR="00CC19A2">
        <w:rPr>
          <w:rFonts w:asciiTheme="minorHAnsi" w:hAnsiTheme="minorHAnsi"/>
          <w:bCs/>
          <w:iCs/>
          <w:color w:val="000000" w:themeColor="text1"/>
        </w:rPr>
        <w:t xml:space="preserve">consideration </w:t>
      </w:r>
      <w:r>
        <w:rPr>
          <w:rFonts w:asciiTheme="minorHAnsi" w:hAnsiTheme="minorHAnsi"/>
          <w:bCs/>
          <w:iCs/>
          <w:color w:val="000000" w:themeColor="text1"/>
        </w:rPr>
        <w:t>in developing th</w:t>
      </w:r>
      <w:r w:rsidR="00CC19A2">
        <w:rPr>
          <w:rFonts w:asciiTheme="minorHAnsi" w:hAnsiTheme="minorHAnsi"/>
          <w:bCs/>
          <w:iCs/>
          <w:color w:val="000000" w:themeColor="text1"/>
        </w:rPr>
        <w:t>e</w:t>
      </w:r>
      <w:r>
        <w:rPr>
          <w:rFonts w:asciiTheme="minorHAnsi" w:hAnsiTheme="minorHAnsi"/>
          <w:bCs/>
          <w:iCs/>
          <w:color w:val="000000" w:themeColor="text1"/>
        </w:rPr>
        <w:t xml:space="preserve"> requirement in the model that the GCC must first be filed once for all groups</w:t>
      </w:r>
      <w:r w:rsidR="00CC19A2">
        <w:rPr>
          <w:rFonts w:asciiTheme="minorHAnsi" w:hAnsiTheme="minorHAnsi"/>
          <w:bCs/>
          <w:iCs/>
          <w:color w:val="000000" w:themeColor="text1"/>
        </w:rPr>
        <w:t>,</w:t>
      </w:r>
      <w:r>
        <w:rPr>
          <w:rFonts w:asciiTheme="minorHAnsi" w:hAnsiTheme="minorHAnsi"/>
          <w:bCs/>
          <w:iCs/>
          <w:color w:val="000000" w:themeColor="text1"/>
        </w:rPr>
        <w:t xml:space="preserve"> was that without seeing the completed GCC, it may be difficult for the lead-state to determine if the GCC has no </w:t>
      </w:r>
      <w:r w:rsidR="00966A3B">
        <w:rPr>
          <w:rFonts w:asciiTheme="minorHAnsi" w:hAnsiTheme="minorHAnsi"/>
          <w:bCs/>
          <w:iCs/>
          <w:color w:val="000000" w:themeColor="text1"/>
        </w:rPr>
        <w:t>value or</w:t>
      </w:r>
      <w:r>
        <w:rPr>
          <w:rFonts w:asciiTheme="minorHAnsi" w:hAnsiTheme="minorHAnsi"/>
          <w:bCs/>
          <w:iCs/>
          <w:color w:val="000000" w:themeColor="text1"/>
        </w:rPr>
        <w:t xml:space="preserve"> is at least cost beneficial to require filing. However, it should also be understood that these three criteria of non-U.S. insurer, bank, or non-material non-insurers are not the only situations where the GCC would be valuable to the lead-state. As a reminder, all states are required to assess the sufficiency of capital within the holding company </w:t>
      </w:r>
      <w:r w:rsidR="006A1FFC">
        <w:rPr>
          <w:rFonts w:asciiTheme="minorHAnsi" w:hAnsiTheme="minorHAnsi"/>
          <w:bCs/>
          <w:iCs/>
          <w:color w:val="000000" w:themeColor="text1"/>
        </w:rPr>
        <w:t>structure and that prior to the GCC, th</w:t>
      </w:r>
      <w:r w:rsidR="00CC19A2">
        <w:rPr>
          <w:rFonts w:asciiTheme="minorHAnsi" w:hAnsiTheme="minorHAnsi"/>
          <w:bCs/>
          <w:iCs/>
          <w:color w:val="000000" w:themeColor="text1"/>
        </w:rPr>
        <w:t>is</w:t>
      </w:r>
      <w:r w:rsidR="006A1FFC">
        <w:rPr>
          <w:rFonts w:asciiTheme="minorHAnsi" w:hAnsiTheme="minorHAnsi"/>
          <w:bCs/>
          <w:iCs/>
          <w:color w:val="000000" w:themeColor="text1"/>
        </w:rPr>
        <w:t xml:space="preserve"> was done by states using various methods (</w:t>
      </w:r>
      <w:r w:rsidR="00966A3B">
        <w:rPr>
          <w:rFonts w:asciiTheme="minorHAnsi" w:hAnsiTheme="minorHAnsi"/>
          <w:bCs/>
          <w:iCs/>
          <w:color w:val="000000" w:themeColor="text1"/>
        </w:rPr>
        <w:t>e.g.,</w:t>
      </w:r>
      <w:r w:rsidR="006A1FFC">
        <w:rPr>
          <w:rFonts w:asciiTheme="minorHAnsi" w:hAnsiTheme="minorHAnsi"/>
          <w:bCs/>
          <w:iCs/>
          <w:color w:val="000000" w:themeColor="text1"/>
        </w:rPr>
        <w:t xml:space="preserve"> debt to equity ratios, interest coverage ratios, existing RBC ratios and relative size of insurance). The GCC is expected to enhance a state’s ability to make this assessment more easily, even if it</w:t>
      </w:r>
      <w:r w:rsidR="00966A3B">
        <w:rPr>
          <w:rFonts w:asciiTheme="minorHAnsi" w:hAnsiTheme="minorHAnsi"/>
          <w:bCs/>
          <w:iCs/>
          <w:color w:val="000000" w:themeColor="text1"/>
        </w:rPr>
        <w:t xml:space="preserve"> i</w:t>
      </w:r>
      <w:r w:rsidR="006A1FFC">
        <w:rPr>
          <w:rFonts w:asciiTheme="minorHAnsi" w:hAnsiTheme="minorHAnsi"/>
          <w:bCs/>
          <w:iCs/>
          <w:color w:val="000000" w:themeColor="text1"/>
        </w:rPr>
        <w:t>s only used as a general gauge as its intended. Therefore</w:t>
      </w:r>
      <w:r w:rsidR="00D7496E">
        <w:rPr>
          <w:rFonts w:asciiTheme="minorHAnsi" w:hAnsiTheme="minorHAnsi"/>
          <w:bCs/>
          <w:iCs/>
          <w:color w:val="000000" w:themeColor="text1"/>
        </w:rPr>
        <w:t>,</w:t>
      </w:r>
      <w:r w:rsidR="006A1FFC">
        <w:rPr>
          <w:rFonts w:asciiTheme="minorHAnsi" w:hAnsiTheme="minorHAnsi"/>
          <w:bCs/>
          <w:iCs/>
          <w:color w:val="000000" w:themeColor="text1"/>
        </w:rPr>
        <w:t xml:space="preserve"> in deciding if a group should be exempted, the lead-state will need to consider a number of factors, including how easily it can make this assessment without the GCC, again, only as a general gauge. For small groups where the U.S. RBC operations and </w:t>
      </w:r>
      <w:r w:rsidR="006A1FFC">
        <w:rPr>
          <w:rFonts w:asciiTheme="minorHAnsi" w:hAnsiTheme="minorHAnsi"/>
          <w:bCs/>
          <w:iCs/>
          <w:color w:val="000000" w:themeColor="text1"/>
        </w:rPr>
        <w:lastRenderedPageBreak/>
        <w:t>assets are much larger than the non-insurance operations, it</w:t>
      </w:r>
      <w:r w:rsidR="00966A3B">
        <w:rPr>
          <w:rFonts w:asciiTheme="minorHAnsi" w:hAnsiTheme="minorHAnsi"/>
          <w:bCs/>
          <w:iCs/>
          <w:color w:val="000000" w:themeColor="text1"/>
        </w:rPr>
        <w:t xml:space="preserve"> i</w:t>
      </w:r>
      <w:r w:rsidR="006A1FFC">
        <w:rPr>
          <w:rFonts w:asciiTheme="minorHAnsi" w:hAnsiTheme="minorHAnsi"/>
          <w:bCs/>
          <w:iCs/>
          <w:color w:val="000000" w:themeColor="text1"/>
        </w:rPr>
        <w:t xml:space="preserve">s likely the GCC would provide a smaller degree of value and exempting from the GCC may be appropriate. </w:t>
      </w:r>
      <w:r w:rsidR="00D23E25">
        <w:rPr>
          <w:rFonts w:asciiTheme="minorHAnsi" w:hAnsiTheme="minorHAnsi"/>
          <w:bCs/>
          <w:iCs/>
          <w:color w:val="000000" w:themeColor="text1"/>
        </w:rPr>
        <w:t xml:space="preserve">However, the analyst should also consider the fact that the </w:t>
      </w:r>
      <w:r w:rsidR="00966A3B">
        <w:rPr>
          <w:rFonts w:asciiTheme="minorHAnsi" w:hAnsiTheme="minorHAnsi"/>
          <w:bCs/>
          <w:iCs/>
          <w:color w:val="000000" w:themeColor="text1"/>
        </w:rPr>
        <w:t>simpler</w:t>
      </w:r>
      <w:r w:rsidR="00D23E25">
        <w:rPr>
          <w:rFonts w:asciiTheme="minorHAnsi" w:hAnsiTheme="minorHAnsi"/>
          <w:bCs/>
          <w:iCs/>
          <w:color w:val="000000" w:themeColor="text1"/>
        </w:rPr>
        <w:t xml:space="preserve"> the holding company structure, the more easily the GCC can be completed. Specifically, given all of the data included in the GCC is existing data and therefore readily available to the company, a smaller and simple structured group should be able to accumulate into the GCC template in a short period of time. Also worth considering is that </w:t>
      </w:r>
      <w:r w:rsidR="006A1FFC">
        <w:rPr>
          <w:rFonts w:asciiTheme="minorHAnsi" w:hAnsiTheme="minorHAnsi"/>
          <w:bCs/>
          <w:iCs/>
          <w:color w:val="000000" w:themeColor="text1"/>
        </w:rPr>
        <w:t>if such operations are contained within a number of different U.S. insurers where it</w:t>
      </w:r>
      <w:r w:rsidR="00966A3B">
        <w:rPr>
          <w:rFonts w:asciiTheme="minorHAnsi" w:hAnsiTheme="minorHAnsi"/>
          <w:bCs/>
          <w:iCs/>
          <w:color w:val="000000" w:themeColor="text1"/>
        </w:rPr>
        <w:t xml:space="preserve"> i</w:t>
      </w:r>
      <w:r w:rsidR="006A1FFC">
        <w:rPr>
          <w:rFonts w:asciiTheme="minorHAnsi" w:hAnsiTheme="minorHAnsi"/>
          <w:bCs/>
          <w:iCs/>
          <w:color w:val="000000" w:themeColor="text1"/>
        </w:rPr>
        <w:t xml:space="preserve">s difficult to determine the degree of double counting of capital, the GCC may provide more value. </w:t>
      </w:r>
      <w:r w:rsidR="00D23E25">
        <w:rPr>
          <w:rFonts w:asciiTheme="minorHAnsi" w:hAnsiTheme="minorHAnsi"/>
          <w:bCs/>
          <w:iCs/>
          <w:color w:val="000000" w:themeColor="text1"/>
        </w:rPr>
        <w:t xml:space="preserve">To be clear, </w:t>
      </w:r>
      <w:r w:rsidR="006A1FFC">
        <w:rPr>
          <w:rFonts w:asciiTheme="minorHAnsi" w:hAnsiTheme="minorHAnsi"/>
          <w:bCs/>
          <w:iCs/>
          <w:color w:val="000000" w:themeColor="text1"/>
        </w:rPr>
        <w:t>these are not the only situations where the GCC might be helpful</w:t>
      </w:r>
      <w:r w:rsidR="00D7496E">
        <w:rPr>
          <w:rFonts w:asciiTheme="minorHAnsi" w:hAnsiTheme="minorHAnsi"/>
          <w:bCs/>
          <w:iCs/>
          <w:color w:val="000000" w:themeColor="text1"/>
        </w:rPr>
        <w:t xml:space="preserve"> even with a relatively small group. This is because the value may come from figures the GCC requires that the state may have otherwise not been aware of. Specifically, the GCC may identify non-RBC filers who may be experiencing some level of financial difficulties. This possible identification of information the lead-state was not otherwise aware of is the primary reason the Working Group suggested the GCC be filed once before </w:t>
      </w:r>
      <w:r w:rsidR="00966A3B">
        <w:rPr>
          <w:rFonts w:asciiTheme="minorHAnsi" w:hAnsiTheme="minorHAnsi"/>
          <w:bCs/>
          <w:iCs/>
          <w:color w:val="000000" w:themeColor="text1"/>
        </w:rPr>
        <w:t>deciding</w:t>
      </w:r>
      <w:r w:rsidR="00D7496E">
        <w:rPr>
          <w:rFonts w:asciiTheme="minorHAnsi" w:hAnsiTheme="minorHAnsi"/>
          <w:bCs/>
          <w:iCs/>
          <w:color w:val="000000" w:themeColor="text1"/>
        </w:rPr>
        <w:t xml:space="preserve"> on whether a group should be exempted. While the NAIC Accreditation program may not require a state to have such authority to have the GCC filed once before exempting, this background information provided herein is intended to encourage the state to consider such possibilities before </w:t>
      </w:r>
      <w:r w:rsidR="00966A3B">
        <w:rPr>
          <w:rFonts w:asciiTheme="minorHAnsi" w:hAnsiTheme="minorHAnsi"/>
          <w:bCs/>
          <w:iCs/>
          <w:color w:val="000000" w:themeColor="text1"/>
        </w:rPr>
        <w:t>deciding</w:t>
      </w:r>
      <w:r w:rsidR="00D7496E">
        <w:rPr>
          <w:rFonts w:asciiTheme="minorHAnsi" w:hAnsiTheme="minorHAnsi"/>
          <w:bCs/>
          <w:iCs/>
          <w:color w:val="000000" w:themeColor="text1"/>
        </w:rPr>
        <w:t xml:space="preserve"> on exempting a group, particularly since it may be difficult to stop an exemption in a given year once it’s provided. In summary, as with everything else described in this documentation, the GCC requires judgement on behalf of the analyst and the lead-state which is based upon multiple factors including the existing knowledge of the group. This fact is no different when considering whether a group should be exempt.  </w:t>
      </w:r>
    </w:p>
    <w:sectPr w:rsidR="00703819" w:rsidRPr="00283C64" w:rsidSect="007D69B0">
      <w:headerReference w:type="even" r:id="rId20"/>
      <w:headerReference w:type="default" r:id="rId21"/>
      <w:footerReference w:type="even" r:id="rId22"/>
      <w:footerReference w:type="default" r:id="rId23"/>
      <w:headerReference w:type="first" r:id="rId24"/>
      <w:footerReference w:type="first" r:id="rId25"/>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7A8C" w14:textId="77777777" w:rsidR="00D077AE" w:rsidRDefault="00D077AE">
      <w:r>
        <w:separator/>
      </w:r>
    </w:p>
  </w:endnote>
  <w:endnote w:type="continuationSeparator" w:id="0">
    <w:p w14:paraId="67E9B91B" w14:textId="77777777" w:rsidR="00D077AE" w:rsidRDefault="00D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ADBD" w14:textId="77777777" w:rsidR="001A75FE" w:rsidRDefault="001A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79840"/>
      <w:docPartObj>
        <w:docPartGallery w:val="Page Numbers (Bottom of Page)"/>
        <w:docPartUnique/>
      </w:docPartObj>
    </w:sdtPr>
    <w:sdtEndPr>
      <w:rPr>
        <w:noProof/>
      </w:rPr>
    </w:sdtEndPr>
    <w:sdtContent>
      <w:p w14:paraId="44F490FF" w14:textId="77777777" w:rsidR="00D077AE" w:rsidRDefault="00D077AE" w:rsidP="001A75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6B656B" w14:textId="77777777" w:rsidR="00D077AE" w:rsidRDefault="00D07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DB93" w14:textId="77777777" w:rsidR="001A75FE" w:rsidRDefault="001A75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EF3F" w14:textId="77777777" w:rsidR="00D077AE" w:rsidRDefault="00D077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92213"/>
      <w:docPartObj>
        <w:docPartGallery w:val="Page Numbers (Bottom of Page)"/>
        <w:docPartUnique/>
      </w:docPartObj>
    </w:sdtPr>
    <w:sdtEndPr>
      <w:rPr>
        <w:noProof/>
        <w:sz w:val="22"/>
        <w:szCs w:val="22"/>
      </w:rPr>
    </w:sdtEndPr>
    <w:sdtContent>
      <w:p w14:paraId="64C4F4C8" w14:textId="68AFEBA6" w:rsidR="00D077AE" w:rsidRPr="00CC1412" w:rsidRDefault="00D077AE">
        <w:pPr>
          <w:pStyle w:val="Footer"/>
          <w:jc w:val="center"/>
          <w:rPr>
            <w:sz w:val="22"/>
            <w:szCs w:val="22"/>
          </w:rPr>
        </w:pPr>
        <w:r w:rsidRPr="00CC1412">
          <w:rPr>
            <w:sz w:val="22"/>
            <w:szCs w:val="22"/>
          </w:rPr>
          <w:fldChar w:fldCharType="begin"/>
        </w:r>
        <w:r w:rsidRPr="00CC1412">
          <w:rPr>
            <w:sz w:val="22"/>
            <w:szCs w:val="22"/>
          </w:rPr>
          <w:instrText xml:space="preserve"> PAGE   \* MERGEFORMAT </w:instrText>
        </w:r>
        <w:r w:rsidRPr="00CC1412">
          <w:rPr>
            <w:sz w:val="22"/>
            <w:szCs w:val="22"/>
          </w:rPr>
          <w:fldChar w:fldCharType="separate"/>
        </w:r>
        <w:r w:rsidRPr="00CC1412">
          <w:rPr>
            <w:noProof/>
            <w:sz w:val="22"/>
            <w:szCs w:val="22"/>
          </w:rPr>
          <w:t>2</w:t>
        </w:r>
        <w:r w:rsidRPr="00CC1412">
          <w:rPr>
            <w:noProof/>
            <w:sz w:val="22"/>
            <w:szCs w:val="22"/>
          </w:rPr>
          <w:fldChar w:fldCharType="end"/>
        </w:r>
      </w:p>
    </w:sdtContent>
  </w:sdt>
  <w:p w14:paraId="19FFCD03" w14:textId="77777777" w:rsidR="00D077AE" w:rsidRDefault="00D077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15B" w14:textId="77777777" w:rsidR="00D077AE" w:rsidRDefault="00D0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3C6" w14:textId="77777777" w:rsidR="00D077AE" w:rsidRDefault="00D077AE">
      <w:r>
        <w:separator/>
      </w:r>
    </w:p>
  </w:footnote>
  <w:footnote w:type="continuationSeparator" w:id="0">
    <w:p w14:paraId="3BC16EB6" w14:textId="77777777" w:rsidR="00D077AE" w:rsidRDefault="00D077AE">
      <w:r>
        <w:continuationSeparator/>
      </w:r>
    </w:p>
  </w:footnote>
  <w:footnote w:id="1">
    <w:p w14:paraId="3B77EBB0" w14:textId="77777777" w:rsidR="00D077AE" w:rsidRPr="008D6E80" w:rsidRDefault="00D077AE" w:rsidP="005C434F">
      <w:pPr>
        <w:pStyle w:val="FootnoteText"/>
      </w:pPr>
      <w:r>
        <w:rPr>
          <w:rStyle w:val="FootnoteReference"/>
        </w:rPr>
        <w:footnoteRef/>
      </w:r>
      <w:r>
        <w:t xml:space="preserve"> </w:t>
      </w:r>
      <w:r w:rsidRPr="008D6E80">
        <w:t>Terminology used in RBC for available capital/financial resources</w:t>
      </w:r>
    </w:p>
  </w:footnote>
  <w:footnote w:id="2">
    <w:p w14:paraId="029990D7" w14:textId="77777777" w:rsidR="00D077AE" w:rsidRDefault="00D077AE" w:rsidP="005C434F">
      <w:pPr>
        <w:pStyle w:val="FootnoteText"/>
      </w:pPr>
      <w:r w:rsidRPr="008D6E80">
        <w:rPr>
          <w:rStyle w:val="FootnoteReference"/>
        </w:rPr>
        <w:footnoteRef/>
      </w:r>
      <w:r w:rsidRPr="008D6E80">
        <w:t xml:space="preserve"> Terminology used in RBC for calculated regulatory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459" w14:textId="77777777" w:rsidR="001A75FE" w:rsidRDefault="001A7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732" w14:textId="77777777" w:rsidR="00D077AE" w:rsidRDefault="00D077AE" w:rsidP="005017AF">
    <w:pPr>
      <w:pStyle w:val="Header"/>
      <w:jc w:val="right"/>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643B9F19" w14:textId="77777777" w:rsidTr="003B46CC">
      <w:trPr>
        <w:trHeight w:val="270"/>
      </w:trPr>
      <w:tc>
        <w:tcPr>
          <w:tcW w:w="7401" w:type="dxa"/>
        </w:tcPr>
        <w:p w14:paraId="52A14A0D" w14:textId="77777777" w:rsidR="00D077AE" w:rsidRDefault="00D077AE" w:rsidP="005017AF">
          <w:pPr>
            <w:keepNext/>
            <w:outlineLvl w:val="0"/>
            <w:rPr>
              <w:rFonts w:ascii="Calibri" w:hAnsi="Calibri"/>
            </w:rPr>
          </w:pPr>
        </w:p>
      </w:tc>
      <w:tc>
        <w:tcPr>
          <w:tcW w:w="3147" w:type="dxa"/>
          <w:hideMark/>
        </w:tcPr>
        <w:p w14:paraId="10A2BA1B" w14:textId="77777777" w:rsidR="00D077AE" w:rsidRDefault="00D077AE" w:rsidP="005017AF">
          <w:pPr>
            <w:jc w:val="right"/>
            <w:rPr>
              <w:rFonts w:asciiTheme="minorHAnsi" w:hAnsiTheme="minorHAnsi"/>
              <w:b/>
              <w:sz w:val="16"/>
              <w:szCs w:val="16"/>
            </w:rPr>
          </w:pPr>
          <w:r>
            <w:rPr>
              <w:rFonts w:asciiTheme="minorHAnsi" w:hAnsiTheme="minorHAnsi"/>
              <w:b/>
              <w:sz w:val="16"/>
              <w:szCs w:val="16"/>
            </w:rPr>
            <w:t>Financial Analysis Handbook</w:t>
          </w:r>
        </w:p>
        <w:p w14:paraId="4DCA4811" w14:textId="7DF2A04E" w:rsidR="00D077AE" w:rsidRDefault="00D077AE" w:rsidP="005017AF">
          <w:pPr>
            <w:ind w:left="360"/>
            <w:jc w:val="right"/>
            <w:rPr>
              <w:b/>
            </w:rPr>
          </w:pPr>
          <w:r>
            <w:rPr>
              <w:rFonts w:asciiTheme="minorHAnsi" w:hAnsiTheme="minorHAnsi"/>
              <w:b/>
              <w:sz w:val="16"/>
              <w:szCs w:val="16"/>
            </w:rPr>
            <w:t>2022 Annual / 2023 Quarterly</w:t>
          </w:r>
        </w:p>
      </w:tc>
    </w:tr>
    <w:tr w:rsidR="00D077AE" w14:paraId="40225116" w14:textId="77777777" w:rsidTr="003B46CC">
      <w:trPr>
        <w:trHeight w:val="272"/>
      </w:trPr>
      <w:tc>
        <w:tcPr>
          <w:tcW w:w="10548" w:type="dxa"/>
          <w:gridSpan w:val="2"/>
          <w:tcBorders>
            <w:top w:val="nil"/>
            <w:left w:val="nil"/>
            <w:bottom w:val="single" w:sz="4" w:space="0" w:color="auto"/>
            <w:right w:val="nil"/>
          </w:tcBorders>
          <w:hideMark/>
        </w:tcPr>
        <w:p w14:paraId="5E5363A3" w14:textId="77777777" w:rsidR="00D077AE" w:rsidRDefault="00D077AE" w:rsidP="005017AF">
          <w:pPr>
            <w:keepNext/>
            <w:ind w:left="-18"/>
            <w:outlineLvl w:val="0"/>
            <w:rPr>
              <w:rFonts w:ascii="Calibri" w:hAnsi="Calibri"/>
              <w:sz w:val="20"/>
              <w:szCs w:val="20"/>
            </w:rPr>
          </w:pPr>
          <w:r>
            <w:rPr>
              <w:rFonts w:ascii="Calibri" w:hAnsi="Calibri"/>
              <w:b/>
              <w:sz w:val="20"/>
              <w:szCs w:val="20"/>
            </w:rPr>
            <w:t xml:space="preserve">VI.H. Group-Wide Supervision </w:t>
          </w:r>
          <w:r>
            <w:rPr>
              <w:rFonts w:ascii="Calibri" w:hAnsi="Calibri"/>
              <w:b/>
              <w:bCs/>
              <w:sz w:val="20"/>
              <w:szCs w:val="20"/>
            </w:rPr>
            <w:t>–</w:t>
          </w:r>
          <w:r>
            <w:rPr>
              <w:rFonts w:ascii="Calibri" w:hAnsi="Calibri"/>
              <w:b/>
              <w:sz w:val="20"/>
              <w:szCs w:val="20"/>
            </w:rPr>
            <w:t xml:space="preserve"> Group Capital Calculation</w:t>
          </w:r>
          <w:r>
            <w:rPr>
              <w:rFonts w:ascii="Calibri" w:hAnsi="Calibri"/>
              <w:b/>
              <w:bCs/>
              <w:sz w:val="20"/>
              <w:szCs w:val="20"/>
            </w:rPr>
            <w:t xml:space="preserve"> (Lead State) </w:t>
          </w:r>
        </w:p>
      </w:tc>
    </w:tr>
  </w:tbl>
  <w:p w14:paraId="585629AC" w14:textId="1DB0EA8D" w:rsidR="00D077AE" w:rsidRPr="005017AF" w:rsidRDefault="00D077AE" w:rsidP="005017AF">
    <w:pPr>
      <w:pStyle w:val="Header"/>
      <w:tabs>
        <w:tab w:val="clear" w:pos="4320"/>
        <w:tab w:val="left" w:pos="7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9A3" w14:textId="3B06F5C7" w:rsidR="00D077AE" w:rsidRDefault="00D077AE" w:rsidP="005017AF">
    <w:pPr>
      <w:pStyle w:val="Header"/>
      <w:jc w:val="right"/>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4022229A" w14:textId="77777777" w:rsidTr="00C869A3">
      <w:trPr>
        <w:trHeight w:val="270"/>
      </w:trPr>
      <w:tc>
        <w:tcPr>
          <w:tcW w:w="7401" w:type="dxa"/>
        </w:tcPr>
        <w:p w14:paraId="67266A1B" w14:textId="77777777" w:rsidR="00D077AE" w:rsidRDefault="00D077AE" w:rsidP="00C869A3">
          <w:pPr>
            <w:keepNext/>
            <w:outlineLvl w:val="0"/>
            <w:rPr>
              <w:rFonts w:ascii="Calibri" w:hAnsi="Calibri"/>
            </w:rPr>
          </w:pPr>
        </w:p>
      </w:tc>
      <w:tc>
        <w:tcPr>
          <w:tcW w:w="3147" w:type="dxa"/>
          <w:hideMark/>
        </w:tcPr>
        <w:p w14:paraId="47C16A1F" w14:textId="77777777" w:rsidR="00D077AE" w:rsidRDefault="00D077AE" w:rsidP="00C869A3">
          <w:pPr>
            <w:jc w:val="right"/>
            <w:rPr>
              <w:rFonts w:asciiTheme="minorHAnsi" w:hAnsiTheme="minorHAnsi"/>
              <w:b/>
              <w:sz w:val="16"/>
              <w:szCs w:val="16"/>
            </w:rPr>
          </w:pPr>
          <w:r>
            <w:rPr>
              <w:rFonts w:asciiTheme="minorHAnsi" w:hAnsiTheme="minorHAnsi"/>
              <w:b/>
              <w:sz w:val="16"/>
              <w:szCs w:val="16"/>
            </w:rPr>
            <w:t>Financial Analysis Handbook</w:t>
          </w:r>
        </w:p>
        <w:p w14:paraId="6210F8B5" w14:textId="449A2ECF" w:rsidR="00D077AE" w:rsidRDefault="00D077AE" w:rsidP="00C869A3">
          <w:pPr>
            <w:ind w:left="360"/>
            <w:jc w:val="right"/>
            <w:rPr>
              <w:b/>
            </w:rPr>
          </w:pPr>
          <w:r>
            <w:rPr>
              <w:rFonts w:asciiTheme="minorHAnsi" w:hAnsiTheme="minorHAnsi"/>
              <w:b/>
              <w:sz w:val="16"/>
              <w:szCs w:val="16"/>
            </w:rPr>
            <w:t>2022 Annual / 2023 Quarterly</w:t>
          </w:r>
        </w:p>
      </w:tc>
    </w:tr>
    <w:tr w:rsidR="00D077AE" w14:paraId="38697A66" w14:textId="77777777" w:rsidTr="00C869A3">
      <w:trPr>
        <w:trHeight w:val="272"/>
      </w:trPr>
      <w:tc>
        <w:tcPr>
          <w:tcW w:w="10548" w:type="dxa"/>
          <w:gridSpan w:val="2"/>
          <w:tcBorders>
            <w:top w:val="nil"/>
            <w:left w:val="nil"/>
            <w:bottom w:val="single" w:sz="4" w:space="0" w:color="auto"/>
            <w:right w:val="nil"/>
          </w:tcBorders>
          <w:hideMark/>
        </w:tcPr>
        <w:p w14:paraId="78964888" w14:textId="40CF3925" w:rsidR="00D077AE" w:rsidRDefault="00D077AE" w:rsidP="00C869A3">
          <w:pPr>
            <w:keepNext/>
            <w:ind w:left="-18"/>
            <w:outlineLvl w:val="0"/>
            <w:rPr>
              <w:rFonts w:ascii="Calibri" w:hAnsi="Calibri"/>
              <w:sz w:val="20"/>
              <w:szCs w:val="20"/>
            </w:rPr>
          </w:pPr>
          <w:r>
            <w:rPr>
              <w:rFonts w:ascii="Calibri" w:hAnsi="Calibri"/>
              <w:b/>
              <w:sz w:val="20"/>
              <w:szCs w:val="20"/>
            </w:rPr>
            <w:t xml:space="preserve">VI.H. Group-Wide Supervision </w:t>
          </w:r>
          <w:r>
            <w:rPr>
              <w:rFonts w:ascii="Calibri" w:hAnsi="Calibri"/>
              <w:b/>
              <w:bCs/>
              <w:sz w:val="20"/>
              <w:szCs w:val="20"/>
            </w:rPr>
            <w:t>–</w:t>
          </w:r>
          <w:r>
            <w:rPr>
              <w:rFonts w:ascii="Calibri" w:hAnsi="Calibri"/>
              <w:b/>
              <w:sz w:val="20"/>
              <w:szCs w:val="20"/>
            </w:rPr>
            <w:t xml:space="preserve"> Group Capital Calculation</w:t>
          </w:r>
          <w:r>
            <w:rPr>
              <w:rFonts w:ascii="Calibri" w:hAnsi="Calibri"/>
              <w:b/>
              <w:bCs/>
              <w:sz w:val="20"/>
              <w:szCs w:val="20"/>
            </w:rPr>
            <w:t xml:space="preserve"> (Lead State) </w:t>
          </w:r>
        </w:p>
      </w:tc>
    </w:tr>
  </w:tbl>
  <w:p w14:paraId="41897199" w14:textId="77777777" w:rsidR="00D077AE" w:rsidRDefault="00D077AE" w:rsidP="00C869A3">
    <w:pPr>
      <w:pStyle w:val="Header"/>
      <w:tabs>
        <w:tab w:val="clear" w:pos="4320"/>
        <w:tab w:val="left" w:pos="727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C4D4" w14:textId="77777777" w:rsidR="00D077AE" w:rsidRDefault="00D077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6E45AEC2" w14:textId="77777777" w:rsidTr="007D69B0">
      <w:trPr>
        <w:trHeight w:val="270"/>
      </w:trPr>
      <w:tc>
        <w:tcPr>
          <w:tcW w:w="7401" w:type="dxa"/>
        </w:tcPr>
        <w:p w14:paraId="0993D687" w14:textId="77777777" w:rsidR="00D077AE" w:rsidRDefault="00D077AE" w:rsidP="006F4DC0">
          <w:pPr>
            <w:keepNext/>
            <w:outlineLvl w:val="0"/>
            <w:rPr>
              <w:rFonts w:ascii="Calibri" w:hAnsi="Calibri"/>
            </w:rPr>
          </w:pPr>
        </w:p>
      </w:tc>
      <w:tc>
        <w:tcPr>
          <w:tcW w:w="3147" w:type="dxa"/>
          <w:hideMark/>
        </w:tcPr>
        <w:p w14:paraId="0799BB49" w14:textId="13D19E15" w:rsidR="00D077AE" w:rsidRDefault="00D077AE" w:rsidP="006F4DC0">
          <w:pPr>
            <w:jc w:val="right"/>
            <w:rPr>
              <w:rFonts w:asciiTheme="minorHAnsi" w:hAnsiTheme="minorHAnsi"/>
              <w:b/>
              <w:sz w:val="16"/>
              <w:szCs w:val="16"/>
            </w:rPr>
          </w:pPr>
          <w:r>
            <w:rPr>
              <w:rFonts w:asciiTheme="minorHAnsi" w:hAnsiTheme="minorHAnsi"/>
              <w:b/>
              <w:sz w:val="16"/>
              <w:szCs w:val="16"/>
            </w:rPr>
            <w:t>Financial Analysis Handbook</w:t>
          </w:r>
        </w:p>
        <w:p w14:paraId="2FB28283" w14:textId="62FDF64C" w:rsidR="00D077AE" w:rsidRDefault="00D077AE" w:rsidP="006F4DC0">
          <w:pPr>
            <w:ind w:left="360"/>
            <w:jc w:val="right"/>
            <w:rPr>
              <w:b/>
            </w:rPr>
          </w:pPr>
          <w:r>
            <w:rPr>
              <w:rFonts w:asciiTheme="minorHAnsi" w:hAnsiTheme="minorHAnsi"/>
              <w:b/>
              <w:sz w:val="16"/>
              <w:szCs w:val="16"/>
            </w:rPr>
            <w:t>2021 Annual / 2022 Quarterly</w:t>
          </w:r>
        </w:p>
      </w:tc>
    </w:tr>
    <w:tr w:rsidR="00D077AE" w14:paraId="0E19660D" w14:textId="77777777" w:rsidTr="006F4DC0">
      <w:trPr>
        <w:trHeight w:val="272"/>
      </w:trPr>
      <w:tc>
        <w:tcPr>
          <w:tcW w:w="10548" w:type="dxa"/>
          <w:gridSpan w:val="2"/>
          <w:tcBorders>
            <w:top w:val="nil"/>
            <w:left w:val="nil"/>
            <w:bottom w:val="single" w:sz="4" w:space="0" w:color="auto"/>
            <w:right w:val="nil"/>
          </w:tcBorders>
          <w:hideMark/>
        </w:tcPr>
        <w:p w14:paraId="105A81BF" w14:textId="77777777" w:rsidR="00D077AE" w:rsidRDefault="00D077AE" w:rsidP="00903058">
          <w:pPr>
            <w:keepNext/>
            <w:ind w:left="-18"/>
            <w:outlineLvl w:val="0"/>
            <w:rPr>
              <w:rFonts w:ascii="Calibri" w:hAnsi="Calibri"/>
              <w:b/>
              <w:sz w:val="20"/>
              <w:szCs w:val="20"/>
            </w:rPr>
          </w:pPr>
        </w:p>
        <w:p w14:paraId="024E3A26" w14:textId="4482C251" w:rsidR="00D077AE" w:rsidRPr="006F4DC0" w:rsidRDefault="00D077AE"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H.</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Pr>
              <w:rFonts w:ascii="Calibri" w:hAnsi="Calibri"/>
              <w:b/>
              <w:sz w:val="20"/>
              <w:szCs w:val="20"/>
            </w:rPr>
            <w:t>Group Capital Calculation</w:t>
          </w:r>
          <w:r w:rsidRPr="006F4DC0">
            <w:rPr>
              <w:rFonts w:ascii="Calibri" w:hAnsi="Calibri"/>
              <w:b/>
              <w:bCs/>
              <w:sz w:val="20"/>
              <w:szCs w:val="20"/>
            </w:rPr>
            <w:t xml:space="preserve"> (Lead State)</w:t>
          </w:r>
          <w:r>
            <w:rPr>
              <w:rFonts w:ascii="Calibri" w:hAnsi="Calibri"/>
              <w:b/>
              <w:bCs/>
              <w:sz w:val="20"/>
              <w:szCs w:val="20"/>
            </w:rPr>
            <w:t xml:space="preserve"> </w:t>
          </w:r>
          <w:r w:rsidRPr="006F4DC0">
            <w:rPr>
              <w:rFonts w:ascii="Calibri" w:hAnsi="Calibri"/>
              <w:b/>
              <w:bCs/>
              <w:sz w:val="20"/>
              <w:szCs w:val="20"/>
            </w:rPr>
            <w:t>–</w:t>
          </w:r>
          <w:r>
            <w:rPr>
              <w:rFonts w:ascii="Calibri" w:hAnsi="Calibri"/>
              <w:b/>
              <w:bCs/>
              <w:sz w:val="20"/>
              <w:szCs w:val="20"/>
            </w:rPr>
            <w:t xml:space="preserve"> Analyst Reference Guide</w:t>
          </w:r>
        </w:p>
      </w:tc>
    </w:tr>
  </w:tbl>
  <w:p w14:paraId="7F6CB492" w14:textId="77777777" w:rsidR="00D077AE" w:rsidRPr="006F4DC0" w:rsidRDefault="00D077AE" w:rsidP="006F4DC0">
    <w:pPr>
      <w:pStyle w:val="Header"/>
      <w:tabs>
        <w:tab w:val="clear" w:pos="4320"/>
        <w:tab w:val="clear" w:pos="8640"/>
        <w:tab w:val="left" w:pos="727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0C8C" w14:textId="77777777" w:rsidR="00D077AE" w:rsidRDefault="00D07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AB9"/>
    <w:multiLevelType w:val="hybridMultilevel"/>
    <w:tmpl w:val="D5B4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C0B"/>
    <w:multiLevelType w:val="hybridMultilevel"/>
    <w:tmpl w:val="B7E8C830"/>
    <w:lvl w:ilvl="0" w:tplc="6F4E6080">
      <w:start w:val="1"/>
      <w:numFmt w:val="bullet"/>
      <w:lvlText w:val="o"/>
      <w:lvlJc w:val="left"/>
      <w:pPr>
        <w:tabs>
          <w:tab w:val="num" w:pos="720"/>
        </w:tabs>
        <w:ind w:left="720" w:hanging="360"/>
      </w:pPr>
      <w:rPr>
        <w:rFonts w:ascii="Courier New" w:hAnsi="Courier New" w:hint="default"/>
      </w:rPr>
    </w:lvl>
    <w:lvl w:ilvl="1" w:tplc="69B22882" w:tentative="1">
      <w:start w:val="1"/>
      <w:numFmt w:val="bullet"/>
      <w:lvlText w:val="o"/>
      <w:lvlJc w:val="left"/>
      <w:pPr>
        <w:tabs>
          <w:tab w:val="num" w:pos="1440"/>
        </w:tabs>
        <w:ind w:left="1440" w:hanging="360"/>
      </w:pPr>
      <w:rPr>
        <w:rFonts w:ascii="Courier New" w:hAnsi="Courier New" w:hint="default"/>
      </w:rPr>
    </w:lvl>
    <w:lvl w:ilvl="2" w:tplc="67640190">
      <w:start w:val="1"/>
      <w:numFmt w:val="bullet"/>
      <w:lvlText w:val="o"/>
      <w:lvlJc w:val="left"/>
      <w:pPr>
        <w:tabs>
          <w:tab w:val="num" w:pos="2160"/>
        </w:tabs>
        <w:ind w:left="2160" w:hanging="360"/>
      </w:pPr>
      <w:rPr>
        <w:rFonts w:ascii="Courier New" w:hAnsi="Courier New" w:hint="default"/>
      </w:rPr>
    </w:lvl>
    <w:lvl w:ilvl="3" w:tplc="457ADA90">
      <w:numFmt w:val="bullet"/>
      <w:lvlText w:val="o"/>
      <w:lvlJc w:val="left"/>
      <w:pPr>
        <w:tabs>
          <w:tab w:val="num" w:pos="2880"/>
        </w:tabs>
        <w:ind w:left="2880" w:hanging="360"/>
      </w:pPr>
      <w:rPr>
        <w:rFonts w:ascii="Courier New" w:hAnsi="Courier New" w:hint="default"/>
      </w:rPr>
    </w:lvl>
    <w:lvl w:ilvl="4" w:tplc="72BE78DC" w:tentative="1">
      <w:start w:val="1"/>
      <w:numFmt w:val="bullet"/>
      <w:lvlText w:val="o"/>
      <w:lvlJc w:val="left"/>
      <w:pPr>
        <w:tabs>
          <w:tab w:val="num" w:pos="3600"/>
        </w:tabs>
        <w:ind w:left="3600" w:hanging="360"/>
      </w:pPr>
      <w:rPr>
        <w:rFonts w:ascii="Courier New" w:hAnsi="Courier New" w:hint="default"/>
      </w:rPr>
    </w:lvl>
    <w:lvl w:ilvl="5" w:tplc="07024B88" w:tentative="1">
      <w:start w:val="1"/>
      <w:numFmt w:val="bullet"/>
      <w:lvlText w:val="o"/>
      <w:lvlJc w:val="left"/>
      <w:pPr>
        <w:tabs>
          <w:tab w:val="num" w:pos="4320"/>
        </w:tabs>
        <w:ind w:left="4320" w:hanging="360"/>
      </w:pPr>
      <w:rPr>
        <w:rFonts w:ascii="Courier New" w:hAnsi="Courier New" w:hint="default"/>
      </w:rPr>
    </w:lvl>
    <w:lvl w:ilvl="6" w:tplc="24D0AA9E" w:tentative="1">
      <w:start w:val="1"/>
      <w:numFmt w:val="bullet"/>
      <w:lvlText w:val="o"/>
      <w:lvlJc w:val="left"/>
      <w:pPr>
        <w:tabs>
          <w:tab w:val="num" w:pos="5040"/>
        </w:tabs>
        <w:ind w:left="5040" w:hanging="360"/>
      </w:pPr>
      <w:rPr>
        <w:rFonts w:ascii="Courier New" w:hAnsi="Courier New" w:hint="default"/>
      </w:rPr>
    </w:lvl>
    <w:lvl w:ilvl="7" w:tplc="FD60E8C0" w:tentative="1">
      <w:start w:val="1"/>
      <w:numFmt w:val="bullet"/>
      <w:lvlText w:val="o"/>
      <w:lvlJc w:val="left"/>
      <w:pPr>
        <w:tabs>
          <w:tab w:val="num" w:pos="5760"/>
        </w:tabs>
        <w:ind w:left="5760" w:hanging="360"/>
      </w:pPr>
      <w:rPr>
        <w:rFonts w:ascii="Courier New" w:hAnsi="Courier New" w:hint="default"/>
      </w:rPr>
    </w:lvl>
    <w:lvl w:ilvl="8" w:tplc="B198915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14B30D5"/>
    <w:multiLevelType w:val="hybridMultilevel"/>
    <w:tmpl w:val="31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A09"/>
    <w:multiLevelType w:val="hybridMultilevel"/>
    <w:tmpl w:val="112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040AD"/>
    <w:multiLevelType w:val="hybridMultilevel"/>
    <w:tmpl w:val="F8A2ECB8"/>
    <w:lvl w:ilvl="0" w:tplc="E566FBD8">
      <w:start w:val="1"/>
      <w:numFmt w:val="bullet"/>
      <w:lvlText w:val="o"/>
      <w:lvlJc w:val="left"/>
      <w:pPr>
        <w:tabs>
          <w:tab w:val="num" w:pos="720"/>
        </w:tabs>
        <w:ind w:left="720" w:hanging="360"/>
      </w:pPr>
      <w:rPr>
        <w:rFonts w:ascii="Courier New" w:hAnsi="Courier New" w:hint="default"/>
      </w:rPr>
    </w:lvl>
    <w:lvl w:ilvl="1" w:tplc="252C89E0" w:tentative="1">
      <w:start w:val="1"/>
      <w:numFmt w:val="bullet"/>
      <w:lvlText w:val="o"/>
      <w:lvlJc w:val="left"/>
      <w:pPr>
        <w:tabs>
          <w:tab w:val="num" w:pos="1440"/>
        </w:tabs>
        <w:ind w:left="1440" w:hanging="360"/>
      </w:pPr>
      <w:rPr>
        <w:rFonts w:ascii="Courier New" w:hAnsi="Courier New" w:hint="default"/>
      </w:rPr>
    </w:lvl>
    <w:lvl w:ilvl="2" w:tplc="B84AA568">
      <w:start w:val="1"/>
      <w:numFmt w:val="bullet"/>
      <w:lvlText w:val="o"/>
      <w:lvlJc w:val="left"/>
      <w:pPr>
        <w:tabs>
          <w:tab w:val="num" w:pos="2160"/>
        </w:tabs>
        <w:ind w:left="2160" w:hanging="360"/>
      </w:pPr>
      <w:rPr>
        <w:rFonts w:ascii="Courier New" w:hAnsi="Courier New" w:hint="default"/>
      </w:rPr>
    </w:lvl>
    <w:lvl w:ilvl="3" w:tplc="0714FC68">
      <w:numFmt w:val="none"/>
      <w:lvlText w:val=""/>
      <w:lvlJc w:val="left"/>
      <w:pPr>
        <w:tabs>
          <w:tab w:val="num" w:pos="360"/>
        </w:tabs>
      </w:pPr>
    </w:lvl>
    <w:lvl w:ilvl="4" w:tplc="E68AEF40" w:tentative="1">
      <w:start w:val="1"/>
      <w:numFmt w:val="bullet"/>
      <w:lvlText w:val="o"/>
      <w:lvlJc w:val="left"/>
      <w:pPr>
        <w:tabs>
          <w:tab w:val="num" w:pos="3600"/>
        </w:tabs>
        <w:ind w:left="3600" w:hanging="360"/>
      </w:pPr>
      <w:rPr>
        <w:rFonts w:ascii="Courier New" w:hAnsi="Courier New" w:hint="default"/>
      </w:rPr>
    </w:lvl>
    <w:lvl w:ilvl="5" w:tplc="00609ECE" w:tentative="1">
      <w:start w:val="1"/>
      <w:numFmt w:val="bullet"/>
      <w:lvlText w:val="o"/>
      <w:lvlJc w:val="left"/>
      <w:pPr>
        <w:tabs>
          <w:tab w:val="num" w:pos="4320"/>
        </w:tabs>
        <w:ind w:left="4320" w:hanging="360"/>
      </w:pPr>
      <w:rPr>
        <w:rFonts w:ascii="Courier New" w:hAnsi="Courier New" w:hint="default"/>
      </w:rPr>
    </w:lvl>
    <w:lvl w:ilvl="6" w:tplc="B64652D6" w:tentative="1">
      <w:start w:val="1"/>
      <w:numFmt w:val="bullet"/>
      <w:lvlText w:val="o"/>
      <w:lvlJc w:val="left"/>
      <w:pPr>
        <w:tabs>
          <w:tab w:val="num" w:pos="5040"/>
        </w:tabs>
        <w:ind w:left="5040" w:hanging="360"/>
      </w:pPr>
      <w:rPr>
        <w:rFonts w:ascii="Courier New" w:hAnsi="Courier New" w:hint="default"/>
      </w:rPr>
    </w:lvl>
    <w:lvl w:ilvl="7" w:tplc="346EC6E0" w:tentative="1">
      <w:start w:val="1"/>
      <w:numFmt w:val="bullet"/>
      <w:lvlText w:val="o"/>
      <w:lvlJc w:val="left"/>
      <w:pPr>
        <w:tabs>
          <w:tab w:val="num" w:pos="5760"/>
        </w:tabs>
        <w:ind w:left="5760" w:hanging="360"/>
      </w:pPr>
      <w:rPr>
        <w:rFonts w:ascii="Courier New" w:hAnsi="Courier New" w:hint="default"/>
      </w:rPr>
    </w:lvl>
    <w:lvl w:ilvl="8" w:tplc="FB2A257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0661F9B"/>
    <w:multiLevelType w:val="hybridMultilevel"/>
    <w:tmpl w:val="5DC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70E0C"/>
    <w:multiLevelType w:val="hybridMultilevel"/>
    <w:tmpl w:val="3B1C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E94549"/>
    <w:multiLevelType w:val="hybridMultilevel"/>
    <w:tmpl w:val="70C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3EA0"/>
    <w:multiLevelType w:val="hybridMultilevel"/>
    <w:tmpl w:val="9D4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12"/>
  </w:num>
  <w:num w:numId="8">
    <w:abstractNumId w:val="2"/>
  </w:num>
  <w:num w:numId="9">
    <w:abstractNumId w:val="9"/>
  </w:num>
  <w:num w:numId="10">
    <w:abstractNumId w:val="11"/>
  </w:num>
  <w:num w:numId="11">
    <w:abstractNumId w:val="3"/>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2FAA"/>
    <w:rsid w:val="00003252"/>
    <w:rsid w:val="000039CE"/>
    <w:rsid w:val="000055FA"/>
    <w:rsid w:val="00013134"/>
    <w:rsid w:val="000176E0"/>
    <w:rsid w:val="00022E3E"/>
    <w:rsid w:val="00024429"/>
    <w:rsid w:val="0002482B"/>
    <w:rsid w:val="000255C0"/>
    <w:rsid w:val="00025B65"/>
    <w:rsid w:val="00026D3A"/>
    <w:rsid w:val="000279F6"/>
    <w:rsid w:val="00027E0E"/>
    <w:rsid w:val="00030B31"/>
    <w:rsid w:val="00031410"/>
    <w:rsid w:val="000340D2"/>
    <w:rsid w:val="000345CC"/>
    <w:rsid w:val="00042AAB"/>
    <w:rsid w:val="00044163"/>
    <w:rsid w:val="000449B3"/>
    <w:rsid w:val="00046EB1"/>
    <w:rsid w:val="00050C43"/>
    <w:rsid w:val="00052EE0"/>
    <w:rsid w:val="00053C4B"/>
    <w:rsid w:val="00054C79"/>
    <w:rsid w:val="00056511"/>
    <w:rsid w:val="000570DE"/>
    <w:rsid w:val="000579B4"/>
    <w:rsid w:val="0006234E"/>
    <w:rsid w:val="00066211"/>
    <w:rsid w:val="00067691"/>
    <w:rsid w:val="00070A0F"/>
    <w:rsid w:val="00070D48"/>
    <w:rsid w:val="00072DD5"/>
    <w:rsid w:val="00072EAF"/>
    <w:rsid w:val="0007391B"/>
    <w:rsid w:val="000766C0"/>
    <w:rsid w:val="00077913"/>
    <w:rsid w:val="00084558"/>
    <w:rsid w:val="00085C2B"/>
    <w:rsid w:val="00085DF7"/>
    <w:rsid w:val="00090207"/>
    <w:rsid w:val="0009284E"/>
    <w:rsid w:val="00092888"/>
    <w:rsid w:val="00095097"/>
    <w:rsid w:val="000A2E3B"/>
    <w:rsid w:val="000A2F61"/>
    <w:rsid w:val="000A3CD4"/>
    <w:rsid w:val="000A61A6"/>
    <w:rsid w:val="000A653E"/>
    <w:rsid w:val="000B0B62"/>
    <w:rsid w:val="000B71A2"/>
    <w:rsid w:val="000C05CA"/>
    <w:rsid w:val="000C24AF"/>
    <w:rsid w:val="000C5A08"/>
    <w:rsid w:val="000D09F7"/>
    <w:rsid w:val="000D1FE6"/>
    <w:rsid w:val="000D2280"/>
    <w:rsid w:val="000D468C"/>
    <w:rsid w:val="000D4C69"/>
    <w:rsid w:val="000E08AC"/>
    <w:rsid w:val="000E576D"/>
    <w:rsid w:val="000F6A3C"/>
    <w:rsid w:val="00102604"/>
    <w:rsid w:val="00102C9F"/>
    <w:rsid w:val="001043B4"/>
    <w:rsid w:val="00107C5B"/>
    <w:rsid w:val="00111059"/>
    <w:rsid w:val="00114322"/>
    <w:rsid w:val="0011645D"/>
    <w:rsid w:val="00121521"/>
    <w:rsid w:val="00121E88"/>
    <w:rsid w:val="001221D8"/>
    <w:rsid w:val="00124203"/>
    <w:rsid w:val="0012662A"/>
    <w:rsid w:val="00127CC3"/>
    <w:rsid w:val="00135C7D"/>
    <w:rsid w:val="00135C89"/>
    <w:rsid w:val="00137E70"/>
    <w:rsid w:val="0014063A"/>
    <w:rsid w:val="001451B9"/>
    <w:rsid w:val="001453E9"/>
    <w:rsid w:val="00145E48"/>
    <w:rsid w:val="00146889"/>
    <w:rsid w:val="00147B3F"/>
    <w:rsid w:val="001508C4"/>
    <w:rsid w:val="001528A3"/>
    <w:rsid w:val="00152C7B"/>
    <w:rsid w:val="00152E18"/>
    <w:rsid w:val="00153CBF"/>
    <w:rsid w:val="00154297"/>
    <w:rsid w:val="00154718"/>
    <w:rsid w:val="001554A5"/>
    <w:rsid w:val="001624C3"/>
    <w:rsid w:val="001650B1"/>
    <w:rsid w:val="00165190"/>
    <w:rsid w:val="001706D3"/>
    <w:rsid w:val="00170F32"/>
    <w:rsid w:val="00170FC8"/>
    <w:rsid w:val="0017254C"/>
    <w:rsid w:val="0017379A"/>
    <w:rsid w:val="0017648F"/>
    <w:rsid w:val="00176D01"/>
    <w:rsid w:val="001802AF"/>
    <w:rsid w:val="00181197"/>
    <w:rsid w:val="00182818"/>
    <w:rsid w:val="001838CB"/>
    <w:rsid w:val="001839A8"/>
    <w:rsid w:val="00190120"/>
    <w:rsid w:val="0019102B"/>
    <w:rsid w:val="00191D3D"/>
    <w:rsid w:val="0019234E"/>
    <w:rsid w:val="00195B2B"/>
    <w:rsid w:val="0019618A"/>
    <w:rsid w:val="00196F17"/>
    <w:rsid w:val="001A0F84"/>
    <w:rsid w:val="001A1163"/>
    <w:rsid w:val="001A2910"/>
    <w:rsid w:val="001A4D5B"/>
    <w:rsid w:val="001A631B"/>
    <w:rsid w:val="001A74FD"/>
    <w:rsid w:val="001A75FE"/>
    <w:rsid w:val="001B070A"/>
    <w:rsid w:val="001B29FE"/>
    <w:rsid w:val="001B4141"/>
    <w:rsid w:val="001B50CF"/>
    <w:rsid w:val="001B6AE4"/>
    <w:rsid w:val="001B7BEB"/>
    <w:rsid w:val="001C460F"/>
    <w:rsid w:val="001C4C8F"/>
    <w:rsid w:val="001C6C7D"/>
    <w:rsid w:val="001D2F8E"/>
    <w:rsid w:val="001D579C"/>
    <w:rsid w:val="001D7D32"/>
    <w:rsid w:val="001E2CB9"/>
    <w:rsid w:val="001E330D"/>
    <w:rsid w:val="001E4731"/>
    <w:rsid w:val="001E4BBC"/>
    <w:rsid w:val="001F5ACD"/>
    <w:rsid w:val="001F69E4"/>
    <w:rsid w:val="00203F25"/>
    <w:rsid w:val="00204F6E"/>
    <w:rsid w:val="00206220"/>
    <w:rsid w:val="00206807"/>
    <w:rsid w:val="00207DA4"/>
    <w:rsid w:val="00212513"/>
    <w:rsid w:val="00212708"/>
    <w:rsid w:val="00212F6F"/>
    <w:rsid w:val="00215553"/>
    <w:rsid w:val="002175E7"/>
    <w:rsid w:val="002206A3"/>
    <w:rsid w:val="00221BFD"/>
    <w:rsid w:val="00224B73"/>
    <w:rsid w:val="002259DC"/>
    <w:rsid w:val="00226CA8"/>
    <w:rsid w:val="00227331"/>
    <w:rsid w:val="00230FBF"/>
    <w:rsid w:val="00232217"/>
    <w:rsid w:val="0024779D"/>
    <w:rsid w:val="00255E19"/>
    <w:rsid w:val="00264DDD"/>
    <w:rsid w:val="002702C3"/>
    <w:rsid w:val="00272D93"/>
    <w:rsid w:val="00274AC5"/>
    <w:rsid w:val="00275220"/>
    <w:rsid w:val="0028228B"/>
    <w:rsid w:val="00283C04"/>
    <w:rsid w:val="00283C64"/>
    <w:rsid w:val="00284B2B"/>
    <w:rsid w:val="00291497"/>
    <w:rsid w:val="00291B04"/>
    <w:rsid w:val="00297802"/>
    <w:rsid w:val="002A38B3"/>
    <w:rsid w:val="002A64B4"/>
    <w:rsid w:val="002A723E"/>
    <w:rsid w:val="002A7F76"/>
    <w:rsid w:val="002B5684"/>
    <w:rsid w:val="002C1FFF"/>
    <w:rsid w:val="002C63F1"/>
    <w:rsid w:val="002C69DA"/>
    <w:rsid w:val="002C7564"/>
    <w:rsid w:val="002D0516"/>
    <w:rsid w:val="002D059D"/>
    <w:rsid w:val="002D0F3C"/>
    <w:rsid w:val="002D4AE8"/>
    <w:rsid w:val="002D4D1A"/>
    <w:rsid w:val="002D5EE5"/>
    <w:rsid w:val="002D6FD4"/>
    <w:rsid w:val="002E03EB"/>
    <w:rsid w:val="002E0EB1"/>
    <w:rsid w:val="002E4EAF"/>
    <w:rsid w:val="002E599D"/>
    <w:rsid w:val="002E6ED7"/>
    <w:rsid w:val="002F19C8"/>
    <w:rsid w:val="002F6F17"/>
    <w:rsid w:val="0030111F"/>
    <w:rsid w:val="00302176"/>
    <w:rsid w:val="00302421"/>
    <w:rsid w:val="00302F61"/>
    <w:rsid w:val="00304933"/>
    <w:rsid w:val="00304A86"/>
    <w:rsid w:val="0030520B"/>
    <w:rsid w:val="0030578B"/>
    <w:rsid w:val="00305934"/>
    <w:rsid w:val="00305C91"/>
    <w:rsid w:val="00307008"/>
    <w:rsid w:val="0030781E"/>
    <w:rsid w:val="00310128"/>
    <w:rsid w:val="0031083F"/>
    <w:rsid w:val="00311A4D"/>
    <w:rsid w:val="00311EF5"/>
    <w:rsid w:val="003159AB"/>
    <w:rsid w:val="00323F2F"/>
    <w:rsid w:val="0032529C"/>
    <w:rsid w:val="00325648"/>
    <w:rsid w:val="00325EE1"/>
    <w:rsid w:val="00326E05"/>
    <w:rsid w:val="003275DB"/>
    <w:rsid w:val="00330CE9"/>
    <w:rsid w:val="003338EB"/>
    <w:rsid w:val="00336B54"/>
    <w:rsid w:val="003372C2"/>
    <w:rsid w:val="003450AF"/>
    <w:rsid w:val="003504CB"/>
    <w:rsid w:val="003514EB"/>
    <w:rsid w:val="00351F9B"/>
    <w:rsid w:val="003521BE"/>
    <w:rsid w:val="00354687"/>
    <w:rsid w:val="00355594"/>
    <w:rsid w:val="00365A12"/>
    <w:rsid w:val="00366421"/>
    <w:rsid w:val="003702DC"/>
    <w:rsid w:val="00372F10"/>
    <w:rsid w:val="00382400"/>
    <w:rsid w:val="00385B85"/>
    <w:rsid w:val="003863D9"/>
    <w:rsid w:val="00387E2E"/>
    <w:rsid w:val="00390BF5"/>
    <w:rsid w:val="00391580"/>
    <w:rsid w:val="00392560"/>
    <w:rsid w:val="0039599F"/>
    <w:rsid w:val="00395A8B"/>
    <w:rsid w:val="003A152D"/>
    <w:rsid w:val="003A7433"/>
    <w:rsid w:val="003B2A4F"/>
    <w:rsid w:val="003B2F6C"/>
    <w:rsid w:val="003B46CC"/>
    <w:rsid w:val="003B4F29"/>
    <w:rsid w:val="003B6348"/>
    <w:rsid w:val="003C206B"/>
    <w:rsid w:val="003C219B"/>
    <w:rsid w:val="003C2E35"/>
    <w:rsid w:val="003C42AF"/>
    <w:rsid w:val="003C500A"/>
    <w:rsid w:val="003C68C9"/>
    <w:rsid w:val="003D6827"/>
    <w:rsid w:val="003E082E"/>
    <w:rsid w:val="003E121D"/>
    <w:rsid w:val="003E5182"/>
    <w:rsid w:val="003E62C1"/>
    <w:rsid w:val="003F01F5"/>
    <w:rsid w:val="003F211D"/>
    <w:rsid w:val="003F4860"/>
    <w:rsid w:val="003F4932"/>
    <w:rsid w:val="004016F2"/>
    <w:rsid w:val="0040385D"/>
    <w:rsid w:val="00405B9D"/>
    <w:rsid w:val="00406067"/>
    <w:rsid w:val="00406AF7"/>
    <w:rsid w:val="004110CA"/>
    <w:rsid w:val="00417767"/>
    <w:rsid w:val="00421279"/>
    <w:rsid w:val="00424DD0"/>
    <w:rsid w:val="0042767F"/>
    <w:rsid w:val="0043063B"/>
    <w:rsid w:val="0043075C"/>
    <w:rsid w:val="00430C32"/>
    <w:rsid w:val="0043277E"/>
    <w:rsid w:val="004345D8"/>
    <w:rsid w:val="00437688"/>
    <w:rsid w:val="00444C71"/>
    <w:rsid w:val="00444D8D"/>
    <w:rsid w:val="004535C6"/>
    <w:rsid w:val="004553B0"/>
    <w:rsid w:val="00455EFC"/>
    <w:rsid w:val="00465673"/>
    <w:rsid w:val="0046793D"/>
    <w:rsid w:val="00473B21"/>
    <w:rsid w:val="00473D79"/>
    <w:rsid w:val="0047757E"/>
    <w:rsid w:val="004778D5"/>
    <w:rsid w:val="00482C0C"/>
    <w:rsid w:val="00487807"/>
    <w:rsid w:val="00487819"/>
    <w:rsid w:val="00490E80"/>
    <w:rsid w:val="004966DB"/>
    <w:rsid w:val="004A0051"/>
    <w:rsid w:val="004A63BE"/>
    <w:rsid w:val="004B09EE"/>
    <w:rsid w:val="004B3849"/>
    <w:rsid w:val="004B39C8"/>
    <w:rsid w:val="004B6948"/>
    <w:rsid w:val="004C0A5E"/>
    <w:rsid w:val="004C2939"/>
    <w:rsid w:val="004C65B5"/>
    <w:rsid w:val="004C6CDD"/>
    <w:rsid w:val="004C7B0A"/>
    <w:rsid w:val="004D2DCF"/>
    <w:rsid w:val="004D447A"/>
    <w:rsid w:val="004D5B15"/>
    <w:rsid w:val="004E1746"/>
    <w:rsid w:val="004E3CE5"/>
    <w:rsid w:val="004F509D"/>
    <w:rsid w:val="004F574C"/>
    <w:rsid w:val="004F7DBD"/>
    <w:rsid w:val="005017AF"/>
    <w:rsid w:val="00513461"/>
    <w:rsid w:val="0052159D"/>
    <w:rsid w:val="0052619C"/>
    <w:rsid w:val="005336B1"/>
    <w:rsid w:val="00534499"/>
    <w:rsid w:val="00535B94"/>
    <w:rsid w:val="00535C71"/>
    <w:rsid w:val="00541348"/>
    <w:rsid w:val="005418EA"/>
    <w:rsid w:val="00541D5B"/>
    <w:rsid w:val="00546130"/>
    <w:rsid w:val="00551F4B"/>
    <w:rsid w:val="00555D7F"/>
    <w:rsid w:val="00557BD5"/>
    <w:rsid w:val="005607A6"/>
    <w:rsid w:val="00561E4E"/>
    <w:rsid w:val="0056288F"/>
    <w:rsid w:val="00564935"/>
    <w:rsid w:val="005652DD"/>
    <w:rsid w:val="00567D09"/>
    <w:rsid w:val="00570675"/>
    <w:rsid w:val="00577A59"/>
    <w:rsid w:val="005801B0"/>
    <w:rsid w:val="00582AB1"/>
    <w:rsid w:val="005853EC"/>
    <w:rsid w:val="005855B8"/>
    <w:rsid w:val="00590D75"/>
    <w:rsid w:val="005915A3"/>
    <w:rsid w:val="00592F98"/>
    <w:rsid w:val="0059305C"/>
    <w:rsid w:val="00596F3C"/>
    <w:rsid w:val="00597BAB"/>
    <w:rsid w:val="005A1BCE"/>
    <w:rsid w:val="005A5259"/>
    <w:rsid w:val="005A53DE"/>
    <w:rsid w:val="005A5BD1"/>
    <w:rsid w:val="005A7561"/>
    <w:rsid w:val="005B64D6"/>
    <w:rsid w:val="005C2772"/>
    <w:rsid w:val="005C434F"/>
    <w:rsid w:val="005C488E"/>
    <w:rsid w:val="005C5F6D"/>
    <w:rsid w:val="005C7E93"/>
    <w:rsid w:val="005D45A3"/>
    <w:rsid w:val="005E0E56"/>
    <w:rsid w:val="005E1A15"/>
    <w:rsid w:val="005E502F"/>
    <w:rsid w:val="005E50DF"/>
    <w:rsid w:val="005F0457"/>
    <w:rsid w:val="005F2CA0"/>
    <w:rsid w:val="005F5A14"/>
    <w:rsid w:val="005F6145"/>
    <w:rsid w:val="005F75E4"/>
    <w:rsid w:val="0060449A"/>
    <w:rsid w:val="00605593"/>
    <w:rsid w:val="00607880"/>
    <w:rsid w:val="006135E7"/>
    <w:rsid w:val="006135FF"/>
    <w:rsid w:val="00614734"/>
    <w:rsid w:val="006166E1"/>
    <w:rsid w:val="00616C5B"/>
    <w:rsid w:val="00620AB2"/>
    <w:rsid w:val="0062226F"/>
    <w:rsid w:val="0062477F"/>
    <w:rsid w:val="00624A87"/>
    <w:rsid w:val="00625464"/>
    <w:rsid w:val="00626293"/>
    <w:rsid w:val="006303B2"/>
    <w:rsid w:val="0063261B"/>
    <w:rsid w:val="0064039C"/>
    <w:rsid w:val="006411E9"/>
    <w:rsid w:val="00643935"/>
    <w:rsid w:val="0064767D"/>
    <w:rsid w:val="00652FB9"/>
    <w:rsid w:val="0066031F"/>
    <w:rsid w:val="00661AAF"/>
    <w:rsid w:val="00661DF8"/>
    <w:rsid w:val="00664E0D"/>
    <w:rsid w:val="00665B4F"/>
    <w:rsid w:val="00667598"/>
    <w:rsid w:val="00670263"/>
    <w:rsid w:val="00670CFB"/>
    <w:rsid w:val="006827D2"/>
    <w:rsid w:val="00683817"/>
    <w:rsid w:val="00685CB3"/>
    <w:rsid w:val="00686990"/>
    <w:rsid w:val="00687B62"/>
    <w:rsid w:val="006962FD"/>
    <w:rsid w:val="00697E9B"/>
    <w:rsid w:val="006A0631"/>
    <w:rsid w:val="006A1FFC"/>
    <w:rsid w:val="006A64B1"/>
    <w:rsid w:val="006A796D"/>
    <w:rsid w:val="006B256A"/>
    <w:rsid w:val="006C3349"/>
    <w:rsid w:val="006C498A"/>
    <w:rsid w:val="006C5416"/>
    <w:rsid w:val="006C61FF"/>
    <w:rsid w:val="006C6958"/>
    <w:rsid w:val="006D687C"/>
    <w:rsid w:val="006E0319"/>
    <w:rsid w:val="006E4215"/>
    <w:rsid w:val="006E671F"/>
    <w:rsid w:val="006F3764"/>
    <w:rsid w:val="006F4767"/>
    <w:rsid w:val="006F4DC0"/>
    <w:rsid w:val="0070217A"/>
    <w:rsid w:val="00702D0D"/>
    <w:rsid w:val="00703819"/>
    <w:rsid w:val="00703C80"/>
    <w:rsid w:val="00704BE3"/>
    <w:rsid w:val="00704F1F"/>
    <w:rsid w:val="00706066"/>
    <w:rsid w:val="00706153"/>
    <w:rsid w:val="00707AA2"/>
    <w:rsid w:val="0071351D"/>
    <w:rsid w:val="00713AD2"/>
    <w:rsid w:val="00714366"/>
    <w:rsid w:val="007166C5"/>
    <w:rsid w:val="00716810"/>
    <w:rsid w:val="00716E3D"/>
    <w:rsid w:val="00721FE2"/>
    <w:rsid w:val="00723BAC"/>
    <w:rsid w:val="00726486"/>
    <w:rsid w:val="00730E9F"/>
    <w:rsid w:val="00734450"/>
    <w:rsid w:val="0073549B"/>
    <w:rsid w:val="0073682F"/>
    <w:rsid w:val="00743AAF"/>
    <w:rsid w:val="00746866"/>
    <w:rsid w:val="007528C8"/>
    <w:rsid w:val="00752A8D"/>
    <w:rsid w:val="00752BFA"/>
    <w:rsid w:val="0075492E"/>
    <w:rsid w:val="00755936"/>
    <w:rsid w:val="00757991"/>
    <w:rsid w:val="00757A38"/>
    <w:rsid w:val="00760BE2"/>
    <w:rsid w:val="00762382"/>
    <w:rsid w:val="007630EA"/>
    <w:rsid w:val="007643E6"/>
    <w:rsid w:val="007664B1"/>
    <w:rsid w:val="00771316"/>
    <w:rsid w:val="00772A69"/>
    <w:rsid w:val="00773E66"/>
    <w:rsid w:val="00774C16"/>
    <w:rsid w:val="007762E0"/>
    <w:rsid w:val="00791835"/>
    <w:rsid w:val="007955DD"/>
    <w:rsid w:val="00796D06"/>
    <w:rsid w:val="007B125D"/>
    <w:rsid w:val="007B1D27"/>
    <w:rsid w:val="007B1F6B"/>
    <w:rsid w:val="007B485C"/>
    <w:rsid w:val="007B4866"/>
    <w:rsid w:val="007B7001"/>
    <w:rsid w:val="007C19A4"/>
    <w:rsid w:val="007C21EA"/>
    <w:rsid w:val="007C31C5"/>
    <w:rsid w:val="007C35C9"/>
    <w:rsid w:val="007C63C8"/>
    <w:rsid w:val="007C68C6"/>
    <w:rsid w:val="007D0809"/>
    <w:rsid w:val="007D1269"/>
    <w:rsid w:val="007D3FB6"/>
    <w:rsid w:val="007D5842"/>
    <w:rsid w:val="007D61B1"/>
    <w:rsid w:val="007D64A7"/>
    <w:rsid w:val="007D69B0"/>
    <w:rsid w:val="007D6BA2"/>
    <w:rsid w:val="007E3915"/>
    <w:rsid w:val="007E5742"/>
    <w:rsid w:val="007E5E58"/>
    <w:rsid w:val="007E718F"/>
    <w:rsid w:val="007E782C"/>
    <w:rsid w:val="007F0045"/>
    <w:rsid w:val="007F148E"/>
    <w:rsid w:val="008015A0"/>
    <w:rsid w:val="00801698"/>
    <w:rsid w:val="00802F37"/>
    <w:rsid w:val="00803A3D"/>
    <w:rsid w:val="00806714"/>
    <w:rsid w:val="0081033C"/>
    <w:rsid w:val="00810492"/>
    <w:rsid w:val="008123DB"/>
    <w:rsid w:val="008306FD"/>
    <w:rsid w:val="0083383D"/>
    <w:rsid w:val="008401B5"/>
    <w:rsid w:val="008403DA"/>
    <w:rsid w:val="00840656"/>
    <w:rsid w:val="008410E9"/>
    <w:rsid w:val="0084331E"/>
    <w:rsid w:val="00843B8C"/>
    <w:rsid w:val="00843F8C"/>
    <w:rsid w:val="00845622"/>
    <w:rsid w:val="008553CD"/>
    <w:rsid w:val="0085681C"/>
    <w:rsid w:val="00863697"/>
    <w:rsid w:val="00863A39"/>
    <w:rsid w:val="00867B62"/>
    <w:rsid w:val="00871D54"/>
    <w:rsid w:val="00880CDA"/>
    <w:rsid w:val="00881BE8"/>
    <w:rsid w:val="00882B5D"/>
    <w:rsid w:val="00891196"/>
    <w:rsid w:val="00892C15"/>
    <w:rsid w:val="00892FF5"/>
    <w:rsid w:val="008A1048"/>
    <w:rsid w:val="008A2193"/>
    <w:rsid w:val="008A2776"/>
    <w:rsid w:val="008A4FD6"/>
    <w:rsid w:val="008A67E4"/>
    <w:rsid w:val="008B0562"/>
    <w:rsid w:val="008B07CA"/>
    <w:rsid w:val="008B20E7"/>
    <w:rsid w:val="008B2C4A"/>
    <w:rsid w:val="008B2D72"/>
    <w:rsid w:val="008B4906"/>
    <w:rsid w:val="008B6567"/>
    <w:rsid w:val="008B786B"/>
    <w:rsid w:val="008C08DE"/>
    <w:rsid w:val="008C3802"/>
    <w:rsid w:val="008C6774"/>
    <w:rsid w:val="008D1141"/>
    <w:rsid w:val="008D4AE8"/>
    <w:rsid w:val="008D569A"/>
    <w:rsid w:val="008D56CD"/>
    <w:rsid w:val="008D6402"/>
    <w:rsid w:val="008D714D"/>
    <w:rsid w:val="008E44AF"/>
    <w:rsid w:val="008E5587"/>
    <w:rsid w:val="008E64A0"/>
    <w:rsid w:val="008E6CBD"/>
    <w:rsid w:val="008E6D94"/>
    <w:rsid w:val="008E7258"/>
    <w:rsid w:val="008F5E7F"/>
    <w:rsid w:val="00900898"/>
    <w:rsid w:val="0090118D"/>
    <w:rsid w:val="00903058"/>
    <w:rsid w:val="009040A4"/>
    <w:rsid w:val="00904878"/>
    <w:rsid w:val="009063DD"/>
    <w:rsid w:val="00906651"/>
    <w:rsid w:val="009108EB"/>
    <w:rsid w:val="00910D8D"/>
    <w:rsid w:val="00910F2D"/>
    <w:rsid w:val="009149FC"/>
    <w:rsid w:val="00915747"/>
    <w:rsid w:val="009167E1"/>
    <w:rsid w:val="009222B4"/>
    <w:rsid w:val="009252E7"/>
    <w:rsid w:val="00925C30"/>
    <w:rsid w:val="00930D79"/>
    <w:rsid w:val="009349D0"/>
    <w:rsid w:val="00934A20"/>
    <w:rsid w:val="00934BD9"/>
    <w:rsid w:val="00935690"/>
    <w:rsid w:val="0094168C"/>
    <w:rsid w:val="009425D4"/>
    <w:rsid w:val="009432EA"/>
    <w:rsid w:val="009449CE"/>
    <w:rsid w:val="009508F8"/>
    <w:rsid w:val="009509A7"/>
    <w:rsid w:val="009518A5"/>
    <w:rsid w:val="0095244B"/>
    <w:rsid w:val="00952B1D"/>
    <w:rsid w:val="009552A8"/>
    <w:rsid w:val="009558BE"/>
    <w:rsid w:val="00957475"/>
    <w:rsid w:val="0096083D"/>
    <w:rsid w:val="00962AB2"/>
    <w:rsid w:val="00963CF7"/>
    <w:rsid w:val="00964320"/>
    <w:rsid w:val="009651EF"/>
    <w:rsid w:val="00966A3B"/>
    <w:rsid w:val="00966BF1"/>
    <w:rsid w:val="00967286"/>
    <w:rsid w:val="00967994"/>
    <w:rsid w:val="00967F41"/>
    <w:rsid w:val="009713BC"/>
    <w:rsid w:val="00971430"/>
    <w:rsid w:val="00971CFD"/>
    <w:rsid w:val="009743BF"/>
    <w:rsid w:val="00975E6D"/>
    <w:rsid w:val="00975FF4"/>
    <w:rsid w:val="0098769D"/>
    <w:rsid w:val="00990768"/>
    <w:rsid w:val="009951F2"/>
    <w:rsid w:val="00995280"/>
    <w:rsid w:val="009969E0"/>
    <w:rsid w:val="009A1314"/>
    <w:rsid w:val="009A188B"/>
    <w:rsid w:val="009B0D62"/>
    <w:rsid w:val="009B11BF"/>
    <w:rsid w:val="009B1B86"/>
    <w:rsid w:val="009B47C4"/>
    <w:rsid w:val="009C1448"/>
    <w:rsid w:val="009C23C2"/>
    <w:rsid w:val="009C3FE4"/>
    <w:rsid w:val="009C44D3"/>
    <w:rsid w:val="009C5CBB"/>
    <w:rsid w:val="009C5F32"/>
    <w:rsid w:val="009C656A"/>
    <w:rsid w:val="009C705F"/>
    <w:rsid w:val="009C7499"/>
    <w:rsid w:val="009D3D2A"/>
    <w:rsid w:val="009E0073"/>
    <w:rsid w:val="009E08C0"/>
    <w:rsid w:val="009E1895"/>
    <w:rsid w:val="009E2789"/>
    <w:rsid w:val="009E2A45"/>
    <w:rsid w:val="009E68EB"/>
    <w:rsid w:val="009E7CB3"/>
    <w:rsid w:val="009F7656"/>
    <w:rsid w:val="00A00D67"/>
    <w:rsid w:val="00A0130B"/>
    <w:rsid w:val="00A02084"/>
    <w:rsid w:val="00A07D9B"/>
    <w:rsid w:val="00A10770"/>
    <w:rsid w:val="00A10C1E"/>
    <w:rsid w:val="00A16B4A"/>
    <w:rsid w:val="00A2558E"/>
    <w:rsid w:val="00A26272"/>
    <w:rsid w:val="00A27388"/>
    <w:rsid w:val="00A301F3"/>
    <w:rsid w:val="00A307AE"/>
    <w:rsid w:val="00A33EB2"/>
    <w:rsid w:val="00A3473C"/>
    <w:rsid w:val="00A35AE8"/>
    <w:rsid w:val="00A4005D"/>
    <w:rsid w:val="00A41220"/>
    <w:rsid w:val="00A41CFA"/>
    <w:rsid w:val="00A42A32"/>
    <w:rsid w:val="00A45DEF"/>
    <w:rsid w:val="00A463DD"/>
    <w:rsid w:val="00A513FB"/>
    <w:rsid w:val="00A51AB9"/>
    <w:rsid w:val="00A547E4"/>
    <w:rsid w:val="00A5482F"/>
    <w:rsid w:val="00A5619E"/>
    <w:rsid w:val="00A60869"/>
    <w:rsid w:val="00A62081"/>
    <w:rsid w:val="00A62236"/>
    <w:rsid w:val="00A625EA"/>
    <w:rsid w:val="00A7364C"/>
    <w:rsid w:val="00A7727F"/>
    <w:rsid w:val="00A81880"/>
    <w:rsid w:val="00A819F4"/>
    <w:rsid w:val="00A84662"/>
    <w:rsid w:val="00A864E3"/>
    <w:rsid w:val="00A87570"/>
    <w:rsid w:val="00A94406"/>
    <w:rsid w:val="00A94C60"/>
    <w:rsid w:val="00A958C5"/>
    <w:rsid w:val="00AA10D2"/>
    <w:rsid w:val="00AA4174"/>
    <w:rsid w:val="00AA711D"/>
    <w:rsid w:val="00AA79D7"/>
    <w:rsid w:val="00AB06AD"/>
    <w:rsid w:val="00AB079B"/>
    <w:rsid w:val="00AB4D26"/>
    <w:rsid w:val="00AC0684"/>
    <w:rsid w:val="00AC1296"/>
    <w:rsid w:val="00AC6D2F"/>
    <w:rsid w:val="00AC73CE"/>
    <w:rsid w:val="00AD00CD"/>
    <w:rsid w:val="00AD06D5"/>
    <w:rsid w:val="00AD7233"/>
    <w:rsid w:val="00AD7F7B"/>
    <w:rsid w:val="00AE00A4"/>
    <w:rsid w:val="00AE0314"/>
    <w:rsid w:val="00AE0DA6"/>
    <w:rsid w:val="00AE425B"/>
    <w:rsid w:val="00AF15E3"/>
    <w:rsid w:val="00AF22FB"/>
    <w:rsid w:val="00AF2542"/>
    <w:rsid w:val="00AF6793"/>
    <w:rsid w:val="00B01A4C"/>
    <w:rsid w:val="00B04BDA"/>
    <w:rsid w:val="00B04D52"/>
    <w:rsid w:val="00B10345"/>
    <w:rsid w:val="00B1242A"/>
    <w:rsid w:val="00B12ECE"/>
    <w:rsid w:val="00B131A0"/>
    <w:rsid w:val="00B17162"/>
    <w:rsid w:val="00B178BC"/>
    <w:rsid w:val="00B202A8"/>
    <w:rsid w:val="00B20C7B"/>
    <w:rsid w:val="00B235E5"/>
    <w:rsid w:val="00B26390"/>
    <w:rsid w:val="00B27FCF"/>
    <w:rsid w:val="00B30C2E"/>
    <w:rsid w:val="00B319D9"/>
    <w:rsid w:val="00B33DFD"/>
    <w:rsid w:val="00B37BA2"/>
    <w:rsid w:val="00B40404"/>
    <w:rsid w:val="00B41AE8"/>
    <w:rsid w:val="00B42F1F"/>
    <w:rsid w:val="00B444C0"/>
    <w:rsid w:val="00B52DDB"/>
    <w:rsid w:val="00B53014"/>
    <w:rsid w:val="00B574A6"/>
    <w:rsid w:val="00B60BE7"/>
    <w:rsid w:val="00B65E81"/>
    <w:rsid w:val="00B671AE"/>
    <w:rsid w:val="00B678B9"/>
    <w:rsid w:val="00B67A40"/>
    <w:rsid w:val="00B701A9"/>
    <w:rsid w:val="00B727F3"/>
    <w:rsid w:val="00B75D68"/>
    <w:rsid w:val="00B821BE"/>
    <w:rsid w:val="00B82C56"/>
    <w:rsid w:val="00B8469F"/>
    <w:rsid w:val="00B85D21"/>
    <w:rsid w:val="00B8696A"/>
    <w:rsid w:val="00B87B7F"/>
    <w:rsid w:val="00B90817"/>
    <w:rsid w:val="00B9312B"/>
    <w:rsid w:val="00B94688"/>
    <w:rsid w:val="00BA3C44"/>
    <w:rsid w:val="00BB4C49"/>
    <w:rsid w:val="00BB70F9"/>
    <w:rsid w:val="00BB7AEB"/>
    <w:rsid w:val="00BC3CFF"/>
    <w:rsid w:val="00BC6A00"/>
    <w:rsid w:val="00BC6B82"/>
    <w:rsid w:val="00BD18BF"/>
    <w:rsid w:val="00BD2C9A"/>
    <w:rsid w:val="00BD5438"/>
    <w:rsid w:val="00BE0099"/>
    <w:rsid w:val="00BE10BE"/>
    <w:rsid w:val="00BE1225"/>
    <w:rsid w:val="00BE2B78"/>
    <w:rsid w:val="00BE7D36"/>
    <w:rsid w:val="00BE7E37"/>
    <w:rsid w:val="00BF178B"/>
    <w:rsid w:val="00BF2221"/>
    <w:rsid w:val="00BF3A97"/>
    <w:rsid w:val="00BF5349"/>
    <w:rsid w:val="00BF539D"/>
    <w:rsid w:val="00BF5EA7"/>
    <w:rsid w:val="00BF641C"/>
    <w:rsid w:val="00C00EA5"/>
    <w:rsid w:val="00C06D35"/>
    <w:rsid w:val="00C0738E"/>
    <w:rsid w:val="00C10191"/>
    <w:rsid w:val="00C10C2C"/>
    <w:rsid w:val="00C11012"/>
    <w:rsid w:val="00C1145C"/>
    <w:rsid w:val="00C13864"/>
    <w:rsid w:val="00C138E5"/>
    <w:rsid w:val="00C13943"/>
    <w:rsid w:val="00C15744"/>
    <w:rsid w:val="00C16093"/>
    <w:rsid w:val="00C21661"/>
    <w:rsid w:val="00C22F6F"/>
    <w:rsid w:val="00C241DF"/>
    <w:rsid w:val="00C31BB8"/>
    <w:rsid w:val="00C32153"/>
    <w:rsid w:val="00C32462"/>
    <w:rsid w:val="00C34E61"/>
    <w:rsid w:val="00C3504E"/>
    <w:rsid w:val="00C47272"/>
    <w:rsid w:val="00C5090A"/>
    <w:rsid w:val="00C516E5"/>
    <w:rsid w:val="00C5336E"/>
    <w:rsid w:val="00C53E92"/>
    <w:rsid w:val="00C559B5"/>
    <w:rsid w:val="00C55CB3"/>
    <w:rsid w:val="00C60F63"/>
    <w:rsid w:val="00C614EE"/>
    <w:rsid w:val="00C642CB"/>
    <w:rsid w:val="00C64DA2"/>
    <w:rsid w:val="00C74F09"/>
    <w:rsid w:val="00C75350"/>
    <w:rsid w:val="00C76302"/>
    <w:rsid w:val="00C84898"/>
    <w:rsid w:val="00C85F93"/>
    <w:rsid w:val="00C869A3"/>
    <w:rsid w:val="00C903F8"/>
    <w:rsid w:val="00C91103"/>
    <w:rsid w:val="00C914FF"/>
    <w:rsid w:val="00C96C7E"/>
    <w:rsid w:val="00CA3C1D"/>
    <w:rsid w:val="00CA5F5C"/>
    <w:rsid w:val="00CA6299"/>
    <w:rsid w:val="00CB0C25"/>
    <w:rsid w:val="00CB45CE"/>
    <w:rsid w:val="00CB6203"/>
    <w:rsid w:val="00CB7C33"/>
    <w:rsid w:val="00CC1412"/>
    <w:rsid w:val="00CC19A2"/>
    <w:rsid w:val="00CC4ACB"/>
    <w:rsid w:val="00CC7013"/>
    <w:rsid w:val="00CC75A8"/>
    <w:rsid w:val="00CD6965"/>
    <w:rsid w:val="00CE0040"/>
    <w:rsid w:val="00CE5860"/>
    <w:rsid w:val="00CF0402"/>
    <w:rsid w:val="00CF2E41"/>
    <w:rsid w:val="00CF3C14"/>
    <w:rsid w:val="00CF4729"/>
    <w:rsid w:val="00CF4C92"/>
    <w:rsid w:val="00CF7F5D"/>
    <w:rsid w:val="00D01844"/>
    <w:rsid w:val="00D041C9"/>
    <w:rsid w:val="00D0568A"/>
    <w:rsid w:val="00D071A9"/>
    <w:rsid w:val="00D073E9"/>
    <w:rsid w:val="00D077AE"/>
    <w:rsid w:val="00D07894"/>
    <w:rsid w:val="00D11CE4"/>
    <w:rsid w:val="00D12D4B"/>
    <w:rsid w:val="00D149E3"/>
    <w:rsid w:val="00D22D3C"/>
    <w:rsid w:val="00D23E25"/>
    <w:rsid w:val="00D26795"/>
    <w:rsid w:val="00D27476"/>
    <w:rsid w:val="00D30328"/>
    <w:rsid w:val="00D3048C"/>
    <w:rsid w:val="00D32EBD"/>
    <w:rsid w:val="00D34D11"/>
    <w:rsid w:val="00D363C1"/>
    <w:rsid w:val="00D40F9A"/>
    <w:rsid w:val="00D43147"/>
    <w:rsid w:val="00D46F65"/>
    <w:rsid w:val="00D504D0"/>
    <w:rsid w:val="00D50811"/>
    <w:rsid w:val="00D54136"/>
    <w:rsid w:val="00D54710"/>
    <w:rsid w:val="00D6767E"/>
    <w:rsid w:val="00D70121"/>
    <w:rsid w:val="00D70846"/>
    <w:rsid w:val="00D74318"/>
    <w:rsid w:val="00D7496E"/>
    <w:rsid w:val="00D75128"/>
    <w:rsid w:val="00D8104C"/>
    <w:rsid w:val="00D81741"/>
    <w:rsid w:val="00D912D5"/>
    <w:rsid w:val="00D96A0D"/>
    <w:rsid w:val="00DA1EF9"/>
    <w:rsid w:val="00DA23BF"/>
    <w:rsid w:val="00DA41C9"/>
    <w:rsid w:val="00DA736D"/>
    <w:rsid w:val="00DB480C"/>
    <w:rsid w:val="00DB5B9D"/>
    <w:rsid w:val="00DB5F4C"/>
    <w:rsid w:val="00DD38AB"/>
    <w:rsid w:val="00DD52C2"/>
    <w:rsid w:val="00DD735F"/>
    <w:rsid w:val="00DE1912"/>
    <w:rsid w:val="00DE5728"/>
    <w:rsid w:val="00DF012A"/>
    <w:rsid w:val="00DF55BA"/>
    <w:rsid w:val="00DF6D64"/>
    <w:rsid w:val="00DF7DC1"/>
    <w:rsid w:val="00E01637"/>
    <w:rsid w:val="00E03BDD"/>
    <w:rsid w:val="00E03CEA"/>
    <w:rsid w:val="00E0435C"/>
    <w:rsid w:val="00E07C35"/>
    <w:rsid w:val="00E07F72"/>
    <w:rsid w:val="00E11E11"/>
    <w:rsid w:val="00E1539C"/>
    <w:rsid w:val="00E15C68"/>
    <w:rsid w:val="00E20EE9"/>
    <w:rsid w:val="00E22F26"/>
    <w:rsid w:val="00E23177"/>
    <w:rsid w:val="00E24398"/>
    <w:rsid w:val="00E25C4B"/>
    <w:rsid w:val="00E2652A"/>
    <w:rsid w:val="00E30346"/>
    <w:rsid w:val="00E31BCC"/>
    <w:rsid w:val="00E3477A"/>
    <w:rsid w:val="00E36E73"/>
    <w:rsid w:val="00E4293A"/>
    <w:rsid w:val="00E50F7D"/>
    <w:rsid w:val="00E531C5"/>
    <w:rsid w:val="00E54888"/>
    <w:rsid w:val="00E55401"/>
    <w:rsid w:val="00E5685D"/>
    <w:rsid w:val="00E56911"/>
    <w:rsid w:val="00E6084A"/>
    <w:rsid w:val="00E61BE3"/>
    <w:rsid w:val="00E6273E"/>
    <w:rsid w:val="00E64095"/>
    <w:rsid w:val="00E642B5"/>
    <w:rsid w:val="00E64453"/>
    <w:rsid w:val="00E64CD4"/>
    <w:rsid w:val="00E6535B"/>
    <w:rsid w:val="00E728FE"/>
    <w:rsid w:val="00E744CB"/>
    <w:rsid w:val="00E749B6"/>
    <w:rsid w:val="00E818E2"/>
    <w:rsid w:val="00E8324A"/>
    <w:rsid w:val="00E93406"/>
    <w:rsid w:val="00E93DC5"/>
    <w:rsid w:val="00EA4E41"/>
    <w:rsid w:val="00EA6260"/>
    <w:rsid w:val="00EA7E43"/>
    <w:rsid w:val="00EB1005"/>
    <w:rsid w:val="00EB590E"/>
    <w:rsid w:val="00EB5CA6"/>
    <w:rsid w:val="00EB64C4"/>
    <w:rsid w:val="00EB7952"/>
    <w:rsid w:val="00ED0661"/>
    <w:rsid w:val="00EE39AD"/>
    <w:rsid w:val="00EE48E5"/>
    <w:rsid w:val="00EE57A9"/>
    <w:rsid w:val="00EE6E19"/>
    <w:rsid w:val="00EF21EC"/>
    <w:rsid w:val="00EF2DD6"/>
    <w:rsid w:val="00EF67F0"/>
    <w:rsid w:val="00F02A7C"/>
    <w:rsid w:val="00F044BB"/>
    <w:rsid w:val="00F078F5"/>
    <w:rsid w:val="00F10A48"/>
    <w:rsid w:val="00F1286F"/>
    <w:rsid w:val="00F14175"/>
    <w:rsid w:val="00F14E49"/>
    <w:rsid w:val="00F21029"/>
    <w:rsid w:val="00F21BF4"/>
    <w:rsid w:val="00F27C4A"/>
    <w:rsid w:val="00F319A0"/>
    <w:rsid w:val="00F33694"/>
    <w:rsid w:val="00F35752"/>
    <w:rsid w:val="00F40CFE"/>
    <w:rsid w:val="00F42F28"/>
    <w:rsid w:val="00F46226"/>
    <w:rsid w:val="00F47F22"/>
    <w:rsid w:val="00F50371"/>
    <w:rsid w:val="00F51875"/>
    <w:rsid w:val="00F5243D"/>
    <w:rsid w:val="00F53D1A"/>
    <w:rsid w:val="00F7103E"/>
    <w:rsid w:val="00F71A16"/>
    <w:rsid w:val="00F73CD2"/>
    <w:rsid w:val="00F744CF"/>
    <w:rsid w:val="00F80EFF"/>
    <w:rsid w:val="00F84075"/>
    <w:rsid w:val="00F84D57"/>
    <w:rsid w:val="00F85520"/>
    <w:rsid w:val="00F91641"/>
    <w:rsid w:val="00F94359"/>
    <w:rsid w:val="00FA1FBD"/>
    <w:rsid w:val="00FA32AF"/>
    <w:rsid w:val="00FA4BC3"/>
    <w:rsid w:val="00FA6051"/>
    <w:rsid w:val="00FB06A5"/>
    <w:rsid w:val="00FB664B"/>
    <w:rsid w:val="00FC13CC"/>
    <w:rsid w:val="00FC2ECB"/>
    <w:rsid w:val="00FC33A3"/>
    <w:rsid w:val="00FD0A46"/>
    <w:rsid w:val="00FD13A0"/>
    <w:rsid w:val="00FD3705"/>
    <w:rsid w:val="00FE0989"/>
    <w:rsid w:val="00FE3236"/>
    <w:rsid w:val="00FE4E1C"/>
    <w:rsid w:val="00FF02A6"/>
    <w:rsid w:val="00FF2F26"/>
    <w:rsid w:val="00FF3AEC"/>
    <w:rsid w:val="00FF3CA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CF07C85"/>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link w:val="BodyTextIndent2Char"/>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1"/>
      </w:numPr>
    </w:pPr>
  </w:style>
  <w:style w:type="numbering" w:customStyle="1" w:styleId="Style4">
    <w:name w:val="Style4"/>
    <w:rsid w:val="00E50F7D"/>
    <w:pPr>
      <w:numPr>
        <w:numId w:val="2"/>
      </w:numPr>
    </w:pPr>
  </w:style>
  <w:style w:type="numbering" w:customStyle="1" w:styleId="Style5">
    <w:name w:val="Style5"/>
    <w:rsid w:val="00E50F7D"/>
    <w:pPr>
      <w:numPr>
        <w:numId w:val="3"/>
      </w:numPr>
    </w:pPr>
  </w:style>
  <w:style w:type="numbering" w:customStyle="1" w:styleId="Style6">
    <w:name w:val="Style6"/>
    <w:rsid w:val="00E50F7D"/>
    <w:pPr>
      <w:numPr>
        <w:numId w:val="4"/>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uiPriority w:val="99"/>
    <w:rsid w:val="00355594"/>
    <w:rPr>
      <w:sz w:val="20"/>
      <w:szCs w:val="20"/>
    </w:rPr>
  </w:style>
  <w:style w:type="character" w:customStyle="1" w:styleId="FootnoteTextChar">
    <w:name w:val="Footnote Text Char"/>
    <w:basedOn w:val="DefaultParagraphFont"/>
    <w:link w:val="FootnoteText"/>
    <w:uiPriority w:val="99"/>
    <w:rsid w:val="00355594"/>
  </w:style>
  <w:style w:type="character" w:styleId="FootnoteReference">
    <w:name w:val="footnote reference"/>
    <w:basedOn w:val="DefaultParagraphFont"/>
    <w:uiPriority w:val="99"/>
    <w:rsid w:val="00355594"/>
    <w:rPr>
      <w:vertAlign w:val="superscript"/>
    </w:rPr>
  </w:style>
  <w:style w:type="table" w:styleId="TableGrid">
    <w:name w:val="Table Grid"/>
    <w:basedOn w:val="TableNormal"/>
    <w:uiPriority w:val="59"/>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Indent3BodyCalibriBoldText1After61">
    <w:name w:val="Style Body Text Indent 3 + +Body (Calibri) Bold Text 1 After:  6...1"/>
    <w:basedOn w:val="BodyTextIndent3"/>
    <w:rsid w:val="008D4AE8"/>
    <w:pPr>
      <w:shd w:val="clear" w:color="auto" w:fill="D9D9D9" w:themeFill="background1" w:themeFillShade="D9"/>
      <w:spacing w:after="120"/>
      <w:ind w:left="720" w:hanging="720"/>
      <w:jc w:val="both"/>
    </w:pPr>
    <w:rPr>
      <w:rFonts w:asciiTheme="minorHAnsi" w:hAnsiTheme="minorHAnsi"/>
      <w:b/>
      <w:bCs/>
      <w:color w:val="000000" w:themeColor="text1"/>
      <w:sz w:val="22"/>
      <w:szCs w:val="20"/>
    </w:rPr>
  </w:style>
  <w:style w:type="character" w:customStyle="1" w:styleId="FooterChar">
    <w:name w:val="Footer Char"/>
    <w:basedOn w:val="DefaultParagraphFont"/>
    <w:link w:val="Footer"/>
    <w:uiPriority w:val="99"/>
    <w:rsid w:val="00204F6E"/>
    <w:rPr>
      <w:sz w:val="24"/>
      <w:szCs w:val="24"/>
    </w:rPr>
  </w:style>
  <w:style w:type="character" w:styleId="Hyperlink">
    <w:name w:val="Hyperlink"/>
    <w:basedOn w:val="DefaultParagraphFont"/>
    <w:uiPriority w:val="99"/>
    <w:semiHidden/>
    <w:unhideWhenUsed/>
    <w:rsid w:val="00092888"/>
    <w:rPr>
      <w:color w:val="0000FF"/>
      <w:u w:val="single"/>
    </w:rPr>
  </w:style>
  <w:style w:type="paragraph" w:customStyle="1" w:styleId="Default">
    <w:name w:val="Default"/>
    <w:rsid w:val="00092888"/>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A62081"/>
    <w:rPr>
      <w:b/>
      <w:bCs/>
      <w:sz w:val="24"/>
      <w:szCs w:val="24"/>
    </w:rPr>
  </w:style>
  <w:style w:type="character" w:customStyle="1" w:styleId="BodyTextIndent2Char">
    <w:name w:val="Body Text Indent 2 Char"/>
    <w:basedOn w:val="DefaultParagraphFont"/>
    <w:link w:val="BodyTextIndent2"/>
    <w:rsid w:val="008123D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7">
      <w:bodyDiv w:val="1"/>
      <w:marLeft w:val="0"/>
      <w:marRight w:val="0"/>
      <w:marTop w:val="0"/>
      <w:marBottom w:val="0"/>
      <w:divBdr>
        <w:top w:val="none" w:sz="0" w:space="0" w:color="auto"/>
        <w:left w:val="none" w:sz="0" w:space="0" w:color="auto"/>
        <w:bottom w:val="none" w:sz="0" w:space="0" w:color="auto"/>
        <w:right w:val="none" w:sz="0" w:space="0" w:color="auto"/>
      </w:divBdr>
    </w:div>
    <w:div w:id="354815858">
      <w:bodyDiv w:val="1"/>
      <w:marLeft w:val="0"/>
      <w:marRight w:val="0"/>
      <w:marTop w:val="0"/>
      <w:marBottom w:val="0"/>
      <w:divBdr>
        <w:top w:val="none" w:sz="0" w:space="0" w:color="auto"/>
        <w:left w:val="none" w:sz="0" w:space="0" w:color="auto"/>
        <w:bottom w:val="none" w:sz="0" w:space="0" w:color="auto"/>
        <w:right w:val="none" w:sz="0" w:space="0" w:color="auto"/>
      </w:divBdr>
    </w:div>
    <w:div w:id="413474423">
      <w:bodyDiv w:val="1"/>
      <w:marLeft w:val="0"/>
      <w:marRight w:val="0"/>
      <w:marTop w:val="0"/>
      <w:marBottom w:val="0"/>
      <w:divBdr>
        <w:top w:val="none" w:sz="0" w:space="0" w:color="auto"/>
        <w:left w:val="none" w:sz="0" w:space="0" w:color="auto"/>
        <w:bottom w:val="none" w:sz="0" w:space="0" w:color="auto"/>
        <w:right w:val="none" w:sz="0" w:space="0" w:color="auto"/>
      </w:divBdr>
    </w:div>
    <w:div w:id="423575410">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 w:id="740371798">
      <w:bodyDiv w:val="1"/>
      <w:marLeft w:val="0"/>
      <w:marRight w:val="0"/>
      <w:marTop w:val="0"/>
      <w:marBottom w:val="0"/>
      <w:divBdr>
        <w:top w:val="none" w:sz="0" w:space="0" w:color="auto"/>
        <w:left w:val="none" w:sz="0" w:space="0" w:color="auto"/>
        <w:bottom w:val="none" w:sz="0" w:space="0" w:color="auto"/>
        <w:right w:val="none" w:sz="0" w:space="0" w:color="auto"/>
      </w:divBdr>
      <w:divsChild>
        <w:div w:id="227425407">
          <w:marLeft w:val="1181"/>
          <w:marRight w:val="0"/>
          <w:marTop w:val="77"/>
          <w:marBottom w:val="0"/>
          <w:divBdr>
            <w:top w:val="none" w:sz="0" w:space="0" w:color="auto"/>
            <w:left w:val="none" w:sz="0" w:space="0" w:color="auto"/>
            <w:bottom w:val="none" w:sz="0" w:space="0" w:color="auto"/>
            <w:right w:val="none" w:sz="0" w:space="0" w:color="auto"/>
          </w:divBdr>
        </w:div>
        <w:div w:id="1779449929">
          <w:marLeft w:val="1181"/>
          <w:marRight w:val="0"/>
          <w:marTop w:val="77"/>
          <w:marBottom w:val="0"/>
          <w:divBdr>
            <w:top w:val="none" w:sz="0" w:space="0" w:color="auto"/>
            <w:left w:val="none" w:sz="0" w:space="0" w:color="auto"/>
            <w:bottom w:val="none" w:sz="0" w:space="0" w:color="auto"/>
            <w:right w:val="none" w:sz="0" w:space="0" w:color="auto"/>
          </w:divBdr>
        </w:div>
        <w:div w:id="1974408291">
          <w:marLeft w:val="1181"/>
          <w:marRight w:val="0"/>
          <w:marTop w:val="77"/>
          <w:marBottom w:val="0"/>
          <w:divBdr>
            <w:top w:val="none" w:sz="0" w:space="0" w:color="auto"/>
            <w:left w:val="none" w:sz="0" w:space="0" w:color="auto"/>
            <w:bottom w:val="none" w:sz="0" w:space="0" w:color="auto"/>
            <w:right w:val="none" w:sz="0" w:space="0" w:color="auto"/>
          </w:divBdr>
        </w:div>
      </w:divsChild>
    </w:div>
    <w:div w:id="761611618">
      <w:bodyDiv w:val="1"/>
      <w:marLeft w:val="0"/>
      <w:marRight w:val="0"/>
      <w:marTop w:val="0"/>
      <w:marBottom w:val="0"/>
      <w:divBdr>
        <w:top w:val="none" w:sz="0" w:space="0" w:color="auto"/>
        <w:left w:val="none" w:sz="0" w:space="0" w:color="auto"/>
        <w:bottom w:val="none" w:sz="0" w:space="0" w:color="auto"/>
        <w:right w:val="none" w:sz="0" w:space="0" w:color="auto"/>
      </w:divBdr>
    </w:div>
    <w:div w:id="829910706">
      <w:bodyDiv w:val="1"/>
      <w:marLeft w:val="0"/>
      <w:marRight w:val="0"/>
      <w:marTop w:val="0"/>
      <w:marBottom w:val="0"/>
      <w:divBdr>
        <w:top w:val="none" w:sz="0" w:space="0" w:color="auto"/>
        <w:left w:val="none" w:sz="0" w:space="0" w:color="auto"/>
        <w:bottom w:val="none" w:sz="0" w:space="0" w:color="auto"/>
        <w:right w:val="none" w:sz="0" w:space="0" w:color="auto"/>
      </w:divBdr>
    </w:div>
    <w:div w:id="1198817262">
      <w:bodyDiv w:val="1"/>
      <w:marLeft w:val="0"/>
      <w:marRight w:val="0"/>
      <w:marTop w:val="0"/>
      <w:marBottom w:val="0"/>
      <w:divBdr>
        <w:top w:val="none" w:sz="0" w:space="0" w:color="auto"/>
        <w:left w:val="none" w:sz="0" w:space="0" w:color="auto"/>
        <w:bottom w:val="none" w:sz="0" w:space="0" w:color="auto"/>
        <w:right w:val="none" w:sz="0" w:space="0" w:color="auto"/>
      </w:divBdr>
    </w:div>
    <w:div w:id="1232541418">
      <w:bodyDiv w:val="1"/>
      <w:marLeft w:val="0"/>
      <w:marRight w:val="0"/>
      <w:marTop w:val="0"/>
      <w:marBottom w:val="0"/>
      <w:divBdr>
        <w:top w:val="none" w:sz="0" w:space="0" w:color="auto"/>
        <w:left w:val="none" w:sz="0" w:space="0" w:color="auto"/>
        <w:bottom w:val="none" w:sz="0" w:space="0" w:color="auto"/>
        <w:right w:val="none" w:sz="0" w:space="0" w:color="auto"/>
      </w:divBdr>
    </w:div>
    <w:div w:id="1328434386">
      <w:bodyDiv w:val="1"/>
      <w:marLeft w:val="0"/>
      <w:marRight w:val="0"/>
      <w:marTop w:val="0"/>
      <w:marBottom w:val="0"/>
      <w:divBdr>
        <w:top w:val="none" w:sz="0" w:space="0" w:color="auto"/>
        <w:left w:val="none" w:sz="0" w:space="0" w:color="auto"/>
        <w:bottom w:val="none" w:sz="0" w:space="0" w:color="auto"/>
        <w:right w:val="none" w:sz="0" w:space="0" w:color="auto"/>
      </w:divBdr>
    </w:div>
    <w:div w:id="1578634031">
      <w:bodyDiv w:val="1"/>
      <w:marLeft w:val="0"/>
      <w:marRight w:val="0"/>
      <w:marTop w:val="0"/>
      <w:marBottom w:val="0"/>
      <w:divBdr>
        <w:top w:val="none" w:sz="0" w:space="0" w:color="auto"/>
        <w:left w:val="none" w:sz="0" w:space="0" w:color="auto"/>
        <w:bottom w:val="none" w:sz="0" w:space="0" w:color="auto"/>
        <w:right w:val="none" w:sz="0" w:space="0" w:color="auto"/>
      </w:divBdr>
    </w:div>
    <w:div w:id="1607613856">
      <w:bodyDiv w:val="1"/>
      <w:marLeft w:val="0"/>
      <w:marRight w:val="0"/>
      <w:marTop w:val="0"/>
      <w:marBottom w:val="0"/>
      <w:divBdr>
        <w:top w:val="none" w:sz="0" w:space="0" w:color="auto"/>
        <w:left w:val="none" w:sz="0" w:space="0" w:color="auto"/>
        <w:bottom w:val="none" w:sz="0" w:space="0" w:color="auto"/>
        <w:right w:val="none" w:sz="0" w:space="0" w:color="auto"/>
      </w:divBdr>
      <w:divsChild>
        <w:div w:id="60443167">
          <w:marLeft w:val="1181"/>
          <w:marRight w:val="0"/>
          <w:marTop w:val="77"/>
          <w:marBottom w:val="0"/>
          <w:divBdr>
            <w:top w:val="none" w:sz="0" w:space="0" w:color="auto"/>
            <w:left w:val="none" w:sz="0" w:space="0" w:color="auto"/>
            <w:bottom w:val="none" w:sz="0" w:space="0" w:color="auto"/>
            <w:right w:val="none" w:sz="0" w:space="0" w:color="auto"/>
          </w:divBdr>
        </w:div>
        <w:div w:id="552083331">
          <w:marLeft w:val="1181"/>
          <w:marRight w:val="0"/>
          <w:marTop w:val="77"/>
          <w:marBottom w:val="0"/>
          <w:divBdr>
            <w:top w:val="none" w:sz="0" w:space="0" w:color="auto"/>
            <w:left w:val="none" w:sz="0" w:space="0" w:color="auto"/>
            <w:bottom w:val="none" w:sz="0" w:space="0" w:color="auto"/>
            <w:right w:val="none" w:sz="0" w:space="0" w:color="auto"/>
          </w:divBdr>
        </w:div>
        <w:div w:id="1453205376">
          <w:marLeft w:val="1181"/>
          <w:marRight w:val="0"/>
          <w:marTop w:val="77"/>
          <w:marBottom w:val="0"/>
          <w:divBdr>
            <w:top w:val="none" w:sz="0" w:space="0" w:color="auto"/>
            <w:left w:val="none" w:sz="0" w:space="0" w:color="auto"/>
            <w:bottom w:val="none" w:sz="0" w:space="0" w:color="auto"/>
            <w:right w:val="none" w:sz="0" w:space="0" w:color="auto"/>
          </w:divBdr>
        </w:div>
      </w:divsChild>
    </w:div>
    <w:div w:id="1785347831">
      <w:bodyDiv w:val="1"/>
      <w:marLeft w:val="0"/>
      <w:marRight w:val="0"/>
      <w:marTop w:val="0"/>
      <w:marBottom w:val="0"/>
      <w:divBdr>
        <w:top w:val="none" w:sz="0" w:space="0" w:color="auto"/>
        <w:left w:val="none" w:sz="0" w:space="0" w:color="auto"/>
        <w:bottom w:val="none" w:sz="0" w:space="0" w:color="auto"/>
        <w:right w:val="none" w:sz="0" w:space="0" w:color="auto"/>
      </w:divBdr>
    </w:div>
    <w:div w:id="2009020377">
      <w:bodyDiv w:val="1"/>
      <w:marLeft w:val="0"/>
      <w:marRight w:val="0"/>
      <w:marTop w:val="0"/>
      <w:marBottom w:val="0"/>
      <w:divBdr>
        <w:top w:val="none" w:sz="0" w:space="0" w:color="auto"/>
        <w:left w:val="none" w:sz="0" w:space="0" w:color="auto"/>
        <w:bottom w:val="none" w:sz="0" w:space="0" w:color="auto"/>
        <w:right w:val="none" w:sz="0" w:space="0" w:color="auto"/>
      </w:divBdr>
    </w:div>
    <w:div w:id="2076664111">
      <w:bodyDiv w:val="1"/>
      <w:marLeft w:val="0"/>
      <w:marRight w:val="0"/>
      <w:marTop w:val="0"/>
      <w:marBottom w:val="0"/>
      <w:divBdr>
        <w:top w:val="none" w:sz="0" w:space="0" w:color="auto"/>
        <w:left w:val="none" w:sz="0" w:space="0" w:color="auto"/>
        <w:bottom w:val="none" w:sz="0" w:space="0" w:color="auto"/>
        <w:right w:val="none" w:sz="0" w:space="0" w:color="auto"/>
      </w:divBdr>
    </w:div>
    <w:div w:id="20775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index_smi.htm" TargetMode="Externa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39F17-4F73-44B4-B745-9338EBFD9A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70D3933-B8E0-47D0-ACA7-159A71B88E8C}">
      <dgm:prSet phldrT="[Text]" custT="1"/>
      <dgm:spPr/>
      <dgm:t>
        <a:bodyPr/>
        <a:lstStyle/>
        <a:p>
          <a:r>
            <a:rPr lang="en-US" sz="1000"/>
            <a:t>AA Holding Co </a:t>
          </a:r>
        </a:p>
        <a:p>
          <a:r>
            <a:rPr lang="en-US" sz="1000"/>
            <a:t>(Non operating Holding Company</a:t>
          </a:r>
          <a:r>
            <a:rPr lang="en-US" sz="1100"/>
            <a:t>)</a:t>
          </a:r>
        </a:p>
      </dgm:t>
    </dgm:pt>
    <dgm:pt modelId="{B854F276-A026-4505-8759-BF5D458C20A4}" type="parTrans" cxnId="{B170F5D7-93F1-46A3-90D0-513E239A0F81}">
      <dgm:prSet/>
      <dgm:spPr/>
      <dgm:t>
        <a:bodyPr/>
        <a:lstStyle/>
        <a:p>
          <a:endParaRPr lang="en-US"/>
        </a:p>
      </dgm:t>
    </dgm:pt>
    <dgm:pt modelId="{BE5F1E90-458F-4C32-9DFF-DB0DA446D1D0}" type="sibTrans" cxnId="{B170F5D7-93F1-46A3-90D0-513E239A0F81}">
      <dgm:prSet/>
      <dgm:spPr/>
      <dgm:t>
        <a:bodyPr/>
        <a:lstStyle/>
        <a:p>
          <a:endParaRPr lang="en-US"/>
        </a:p>
      </dgm:t>
    </dgm:pt>
    <dgm:pt modelId="{B8F2D162-D6A9-4FE6-A7E0-2D8CA8437486}">
      <dgm:prSet phldrT="[Text]" custT="1"/>
      <dgm:spPr/>
      <dgm:t>
        <a:bodyPr/>
        <a:lstStyle/>
        <a:p>
          <a:r>
            <a:rPr lang="en-US" sz="1000"/>
            <a:t>BB Life Ins.Co.</a:t>
          </a:r>
        </a:p>
        <a:p>
          <a:r>
            <a:rPr lang="en-US" sz="1000"/>
            <a:t>(U.S. RBC Filer)</a:t>
          </a:r>
        </a:p>
      </dgm:t>
    </dgm:pt>
    <dgm:pt modelId="{B9D238A5-E3BA-4847-B38E-1F31BC53F21F}" type="parTrans" cxnId="{77675E01-35A5-4614-B940-48A56752376B}">
      <dgm:prSet/>
      <dgm:spPr/>
      <dgm:t>
        <a:bodyPr/>
        <a:lstStyle/>
        <a:p>
          <a:endParaRPr lang="en-US"/>
        </a:p>
      </dgm:t>
    </dgm:pt>
    <dgm:pt modelId="{1ADE16BB-F7B3-4AC1-B492-8AA7022075AE}" type="sibTrans" cxnId="{77675E01-35A5-4614-B940-48A56752376B}">
      <dgm:prSet/>
      <dgm:spPr/>
      <dgm:t>
        <a:bodyPr/>
        <a:lstStyle/>
        <a:p>
          <a:endParaRPr lang="en-US"/>
        </a:p>
      </dgm:t>
    </dgm:pt>
    <dgm:pt modelId="{01C9C3C8-8395-4D81-BCCA-552A3333038E}">
      <dgm:prSet phldrT="[Text]" custT="1"/>
      <dgm:spPr/>
      <dgm:t>
        <a:bodyPr/>
        <a:lstStyle/>
        <a:p>
          <a:r>
            <a:rPr lang="en-US" sz="1000"/>
            <a:t>DD Insurance Agen</a:t>
          </a:r>
          <a:r>
            <a:rPr lang="en-US" sz="1100"/>
            <a:t>cy</a:t>
          </a:r>
        </a:p>
      </dgm:t>
    </dgm:pt>
    <dgm:pt modelId="{BC744148-8474-43C5-90D7-CA6CBEB02897}" type="sibTrans" cxnId="{3D8BA7C9-7DAE-4467-A9E9-505FA6AB44CE}">
      <dgm:prSet/>
      <dgm:spPr/>
      <dgm:t>
        <a:bodyPr/>
        <a:lstStyle/>
        <a:p>
          <a:endParaRPr lang="en-US"/>
        </a:p>
      </dgm:t>
    </dgm:pt>
    <dgm:pt modelId="{BD17BCD5-0139-4404-87C0-AECEB1530B20}" type="parTrans" cxnId="{3D8BA7C9-7DAE-4467-A9E9-505FA6AB44CE}">
      <dgm:prSet/>
      <dgm:spPr/>
      <dgm:t>
        <a:bodyPr/>
        <a:lstStyle/>
        <a:p>
          <a:endParaRPr lang="en-US"/>
        </a:p>
      </dgm:t>
    </dgm:pt>
    <dgm:pt modelId="{42BED83F-FD49-4C5F-A715-7F9E4A29DCA4}">
      <dgm:prSet phldrT="[Text]" custT="1"/>
      <dgm:spPr/>
      <dgm:t>
        <a:bodyPr/>
        <a:lstStyle/>
        <a:p>
          <a:r>
            <a:rPr lang="en-US" sz="1000"/>
            <a:t>CC Insurance Co. (Non-U.S. Insurer)</a:t>
          </a:r>
        </a:p>
      </dgm:t>
    </dgm:pt>
    <dgm:pt modelId="{2419DA9A-05CE-4476-A452-D13FE5DA0E01}" type="sibTrans" cxnId="{6DB79B46-75D8-4EE7-A2FE-6C0F67B6459D}">
      <dgm:prSet/>
      <dgm:spPr/>
      <dgm:t>
        <a:bodyPr/>
        <a:lstStyle/>
        <a:p>
          <a:endParaRPr lang="en-US"/>
        </a:p>
      </dgm:t>
    </dgm:pt>
    <dgm:pt modelId="{2B918A9D-93EC-4134-875D-C1DD388E0D07}" type="parTrans" cxnId="{6DB79B46-75D8-4EE7-A2FE-6C0F67B6459D}">
      <dgm:prSet/>
      <dgm:spPr/>
      <dgm:t>
        <a:bodyPr/>
        <a:lstStyle/>
        <a:p>
          <a:endParaRPr lang="en-US"/>
        </a:p>
      </dgm:t>
    </dgm:pt>
    <dgm:pt modelId="{66EB63D9-1B00-419A-A927-A1232530F838}" type="pres">
      <dgm:prSet presAssocID="{B1839F17-4F73-44B4-B745-9338EBFD9A74}" presName="hierChild1" presStyleCnt="0">
        <dgm:presLayoutVars>
          <dgm:orgChart val="1"/>
          <dgm:chPref val="1"/>
          <dgm:dir/>
          <dgm:animOne val="branch"/>
          <dgm:animLvl val="lvl"/>
          <dgm:resizeHandles/>
        </dgm:presLayoutVars>
      </dgm:prSet>
      <dgm:spPr/>
    </dgm:pt>
    <dgm:pt modelId="{AC3A8A50-EC05-4294-B350-F7953A127D22}" type="pres">
      <dgm:prSet presAssocID="{F70D3933-B8E0-47D0-ACA7-159A71B88E8C}" presName="hierRoot1" presStyleCnt="0">
        <dgm:presLayoutVars>
          <dgm:hierBranch val="init"/>
        </dgm:presLayoutVars>
      </dgm:prSet>
      <dgm:spPr/>
    </dgm:pt>
    <dgm:pt modelId="{D7C7484A-761C-495F-88BF-EF11EA92FEFE}" type="pres">
      <dgm:prSet presAssocID="{F70D3933-B8E0-47D0-ACA7-159A71B88E8C}" presName="rootComposite1" presStyleCnt="0"/>
      <dgm:spPr/>
    </dgm:pt>
    <dgm:pt modelId="{55CB603D-3B75-436E-AB27-4A9D8D3C5C34}" type="pres">
      <dgm:prSet presAssocID="{F70D3933-B8E0-47D0-ACA7-159A71B88E8C}" presName="rootText1" presStyleLbl="node0" presStyleIdx="0" presStyleCnt="1" custScaleX="145705" custScaleY="173792" custLinFactNeighborY="-9587">
        <dgm:presLayoutVars>
          <dgm:chPref val="3"/>
        </dgm:presLayoutVars>
      </dgm:prSet>
      <dgm:spPr/>
    </dgm:pt>
    <dgm:pt modelId="{D3821A94-6F60-47D4-9A80-9C626F14CA50}" type="pres">
      <dgm:prSet presAssocID="{F70D3933-B8E0-47D0-ACA7-159A71B88E8C}" presName="rootConnector1" presStyleLbl="node1" presStyleIdx="0" presStyleCnt="0"/>
      <dgm:spPr/>
    </dgm:pt>
    <dgm:pt modelId="{BCC10E5F-FB97-48F7-9C23-C648A7A25C32}" type="pres">
      <dgm:prSet presAssocID="{F70D3933-B8E0-47D0-ACA7-159A71B88E8C}" presName="hierChild2" presStyleCnt="0"/>
      <dgm:spPr/>
    </dgm:pt>
    <dgm:pt modelId="{9B4E1A28-F9B1-4187-8994-2661A59CA529}" type="pres">
      <dgm:prSet presAssocID="{B9D238A5-E3BA-4847-B38E-1F31BC53F21F}" presName="Name37" presStyleLbl="parChTrans1D2" presStyleIdx="0" presStyleCnt="3"/>
      <dgm:spPr/>
    </dgm:pt>
    <dgm:pt modelId="{F43CACC6-772E-4A77-BF53-46B7F7B656B3}" type="pres">
      <dgm:prSet presAssocID="{B8F2D162-D6A9-4FE6-A7E0-2D8CA8437486}" presName="hierRoot2" presStyleCnt="0">
        <dgm:presLayoutVars>
          <dgm:hierBranch val="init"/>
        </dgm:presLayoutVars>
      </dgm:prSet>
      <dgm:spPr/>
    </dgm:pt>
    <dgm:pt modelId="{C243C026-0C65-49EF-AC02-AD71EA6F25B6}" type="pres">
      <dgm:prSet presAssocID="{B8F2D162-D6A9-4FE6-A7E0-2D8CA8437486}" presName="rootComposite" presStyleCnt="0"/>
      <dgm:spPr/>
    </dgm:pt>
    <dgm:pt modelId="{8AFBD964-D685-42F4-AAD7-885F8463A5A4}" type="pres">
      <dgm:prSet presAssocID="{B8F2D162-D6A9-4FE6-A7E0-2D8CA8437486}" presName="rootText" presStyleLbl="node2" presStyleIdx="0" presStyleCnt="3" custScaleX="118953" custScaleY="142133">
        <dgm:presLayoutVars>
          <dgm:chPref val="3"/>
        </dgm:presLayoutVars>
      </dgm:prSet>
      <dgm:spPr/>
    </dgm:pt>
    <dgm:pt modelId="{FF722FF0-CCC8-4B2D-8106-E0F364C35432}" type="pres">
      <dgm:prSet presAssocID="{B8F2D162-D6A9-4FE6-A7E0-2D8CA8437486}" presName="rootConnector" presStyleLbl="node2" presStyleIdx="0" presStyleCnt="3"/>
      <dgm:spPr/>
    </dgm:pt>
    <dgm:pt modelId="{F2CC9526-391E-40C8-B110-BDCEA17693E9}" type="pres">
      <dgm:prSet presAssocID="{B8F2D162-D6A9-4FE6-A7E0-2D8CA8437486}" presName="hierChild4" presStyleCnt="0"/>
      <dgm:spPr/>
    </dgm:pt>
    <dgm:pt modelId="{0A0F2E45-E98E-44A5-9DB8-824E084C9653}" type="pres">
      <dgm:prSet presAssocID="{B8F2D162-D6A9-4FE6-A7E0-2D8CA8437486}" presName="hierChild5" presStyleCnt="0"/>
      <dgm:spPr/>
    </dgm:pt>
    <dgm:pt modelId="{831CAD5B-063D-4A1A-AC3C-508E06B5DBED}" type="pres">
      <dgm:prSet presAssocID="{2B918A9D-93EC-4134-875D-C1DD388E0D07}" presName="Name37" presStyleLbl="parChTrans1D2" presStyleIdx="1" presStyleCnt="3"/>
      <dgm:spPr/>
    </dgm:pt>
    <dgm:pt modelId="{560BA45F-24C1-4075-BAC6-FA040A389404}" type="pres">
      <dgm:prSet presAssocID="{42BED83F-FD49-4C5F-A715-7F9E4A29DCA4}" presName="hierRoot2" presStyleCnt="0">
        <dgm:presLayoutVars>
          <dgm:hierBranch val="init"/>
        </dgm:presLayoutVars>
      </dgm:prSet>
      <dgm:spPr/>
    </dgm:pt>
    <dgm:pt modelId="{EA1CB612-8DFA-4B57-9AFE-39CB0FF4B432}" type="pres">
      <dgm:prSet presAssocID="{42BED83F-FD49-4C5F-A715-7F9E4A29DCA4}" presName="rootComposite" presStyleCnt="0"/>
      <dgm:spPr/>
    </dgm:pt>
    <dgm:pt modelId="{A52463BC-3162-40E8-9230-9D560235078A}" type="pres">
      <dgm:prSet presAssocID="{42BED83F-FD49-4C5F-A715-7F9E4A29DCA4}" presName="rootText" presStyleLbl="node2" presStyleIdx="1" presStyleCnt="3" custScaleX="136135" custScaleY="132650" custLinFactNeighborX="2067">
        <dgm:presLayoutVars>
          <dgm:chPref val="3"/>
        </dgm:presLayoutVars>
      </dgm:prSet>
      <dgm:spPr/>
    </dgm:pt>
    <dgm:pt modelId="{607094CB-45E7-4618-9251-DC6446538159}" type="pres">
      <dgm:prSet presAssocID="{42BED83F-FD49-4C5F-A715-7F9E4A29DCA4}" presName="rootConnector" presStyleLbl="node2" presStyleIdx="1" presStyleCnt="3"/>
      <dgm:spPr/>
    </dgm:pt>
    <dgm:pt modelId="{A6F2319C-2F75-4820-80EF-7FAD5F50AB3B}" type="pres">
      <dgm:prSet presAssocID="{42BED83F-FD49-4C5F-A715-7F9E4A29DCA4}" presName="hierChild4" presStyleCnt="0"/>
      <dgm:spPr/>
    </dgm:pt>
    <dgm:pt modelId="{E4F3A3C7-1ACC-4AD8-8579-ED44117D3EB0}" type="pres">
      <dgm:prSet presAssocID="{42BED83F-FD49-4C5F-A715-7F9E4A29DCA4}" presName="hierChild5" presStyleCnt="0"/>
      <dgm:spPr/>
    </dgm:pt>
    <dgm:pt modelId="{6ABA3874-FD3E-4CD5-A093-895F22049223}" type="pres">
      <dgm:prSet presAssocID="{BD17BCD5-0139-4404-87C0-AECEB1530B20}" presName="Name37" presStyleLbl="parChTrans1D2" presStyleIdx="2" presStyleCnt="3"/>
      <dgm:spPr/>
    </dgm:pt>
    <dgm:pt modelId="{1EF0BACC-C366-4D6E-A72D-CB072EFBF13F}" type="pres">
      <dgm:prSet presAssocID="{01C9C3C8-8395-4D81-BCCA-552A3333038E}" presName="hierRoot2" presStyleCnt="0">
        <dgm:presLayoutVars>
          <dgm:hierBranch val="init"/>
        </dgm:presLayoutVars>
      </dgm:prSet>
      <dgm:spPr/>
    </dgm:pt>
    <dgm:pt modelId="{B2448799-4EBA-4CE8-9E6E-45F7B683E135}" type="pres">
      <dgm:prSet presAssocID="{01C9C3C8-8395-4D81-BCCA-552A3333038E}" presName="rootComposite" presStyleCnt="0"/>
      <dgm:spPr/>
    </dgm:pt>
    <dgm:pt modelId="{AF767317-C575-4567-A17C-45B492CE798A}" type="pres">
      <dgm:prSet presAssocID="{01C9C3C8-8395-4D81-BCCA-552A3333038E}" presName="rootText" presStyleLbl="node2" presStyleIdx="2" presStyleCnt="3" custScaleY="125776">
        <dgm:presLayoutVars>
          <dgm:chPref val="3"/>
        </dgm:presLayoutVars>
      </dgm:prSet>
      <dgm:spPr/>
    </dgm:pt>
    <dgm:pt modelId="{E7BD76D8-2BDE-45A0-AC08-C62F1BCC5D22}" type="pres">
      <dgm:prSet presAssocID="{01C9C3C8-8395-4D81-BCCA-552A3333038E}" presName="rootConnector" presStyleLbl="node2" presStyleIdx="2" presStyleCnt="3"/>
      <dgm:spPr/>
    </dgm:pt>
    <dgm:pt modelId="{0D68EC32-89D8-4431-8F5C-1383C584953B}" type="pres">
      <dgm:prSet presAssocID="{01C9C3C8-8395-4D81-BCCA-552A3333038E}" presName="hierChild4" presStyleCnt="0"/>
      <dgm:spPr/>
    </dgm:pt>
    <dgm:pt modelId="{18D9A887-80E3-494D-881C-2D64465D3D52}" type="pres">
      <dgm:prSet presAssocID="{01C9C3C8-8395-4D81-BCCA-552A3333038E}" presName="hierChild5" presStyleCnt="0"/>
      <dgm:spPr/>
    </dgm:pt>
    <dgm:pt modelId="{BE87BC36-0AAD-4A87-98BC-7978BF677045}" type="pres">
      <dgm:prSet presAssocID="{F70D3933-B8E0-47D0-ACA7-159A71B88E8C}" presName="hierChild3" presStyleCnt="0"/>
      <dgm:spPr/>
    </dgm:pt>
  </dgm:ptLst>
  <dgm:cxnLst>
    <dgm:cxn modelId="{77675E01-35A5-4614-B940-48A56752376B}" srcId="{F70D3933-B8E0-47D0-ACA7-159A71B88E8C}" destId="{B8F2D162-D6A9-4FE6-A7E0-2D8CA8437486}" srcOrd="0" destOrd="0" parTransId="{B9D238A5-E3BA-4847-B38E-1F31BC53F21F}" sibTransId="{1ADE16BB-F7B3-4AC1-B492-8AA7022075AE}"/>
    <dgm:cxn modelId="{49F2FC01-D784-44E9-8100-68DB7027509E}" type="presOf" srcId="{BD17BCD5-0139-4404-87C0-AECEB1530B20}" destId="{6ABA3874-FD3E-4CD5-A093-895F22049223}" srcOrd="0" destOrd="0" presId="urn:microsoft.com/office/officeart/2005/8/layout/orgChart1"/>
    <dgm:cxn modelId="{16200407-A616-4EA1-AF66-F1669FBED426}" type="presOf" srcId="{F70D3933-B8E0-47D0-ACA7-159A71B88E8C}" destId="{D3821A94-6F60-47D4-9A80-9C626F14CA50}" srcOrd="1" destOrd="0" presId="urn:microsoft.com/office/officeart/2005/8/layout/orgChart1"/>
    <dgm:cxn modelId="{414B5839-FEDB-42B1-B9CD-ED333AD32982}" type="presOf" srcId="{42BED83F-FD49-4C5F-A715-7F9E4A29DCA4}" destId="{607094CB-45E7-4618-9251-DC6446538159}" srcOrd="1" destOrd="0" presId="urn:microsoft.com/office/officeart/2005/8/layout/orgChart1"/>
    <dgm:cxn modelId="{FFE14A40-3DC7-4324-80B1-44AD5D494193}" type="presOf" srcId="{B9D238A5-E3BA-4847-B38E-1F31BC53F21F}" destId="{9B4E1A28-F9B1-4187-8994-2661A59CA529}" srcOrd="0" destOrd="0" presId="urn:microsoft.com/office/officeart/2005/8/layout/orgChart1"/>
    <dgm:cxn modelId="{0A242C60-77A2-4FD9-919A-98EADEE8DED5}" type="presOf" srcId="{01C9C3C8-8395-4D81-BCCA-552A3333038E}" destId="{AF767317-C575-4567-A17C-45B492CE798A}" srcOrd="0" destOrd="0" presId="urn:microsoft.com/office/officeart/2005/8/layout/orgChart1"/>
    <dgm:cxn modelId="{6DB79B46-75D8-4EE7-A2FE-6C0F67B6459D}" srcId="{F70D3933-B8E0-47D0-ACA7-159A71B88E8C}" destId="{42BED83F-FD49-4C5F-A715-7F9E4A29DCA4}" srcOrd="1" destOrd="0" parTransId="{2B918A9D-93EC-4134-875D-C1DD388E0D07}" sibTransId="{2419DA9A-05CE-4476-A452-D13FE5DA0E01}"/>
    <dgm:cxn modelId="{34C0BD70-0B95-42D3-8349-6DF0D0AAB40F}" type="presOf" srcId="{B8F2D162-D6A9-4FE6-A7E0-2D8CA8437486}" destId="{8AFBD964-D685-42F4-AAD7-885F8463A5A4}" srcOrd="0" destOrd="0" presId="urn:microsoft.com/office/officeart/2005/8/layout/orgChart1"/>
    <dgm:cxn modelId="{F1388A73-78D9-40DE-B631-0ABCDEBA9641}" type="presOf" srcId="{F70D3933-B8E0-47D0-ACA7-159A71B88E8C}" destId="{55CB603D-3B75-436E-AB27-4A9D8D3C5C34}" srcOrd="0" destOrd="0" presId="urn:microsoft.com/office/officeart/2005/8/layout/orgChart1"/>
    <dgm:cxn modelId="{34203597-8418-4446-81E5-388842B4DF2D}" type="presOf" srcId="{B1839F17-4F73-44B4-B745-9338EBFD9A74}" destId="{66EB63D9-1B00-419A-A927-A1232530F838}" srcOrd="0" destOrd="0" presId="urn:microsoft.com/office/officeart/2005/8/layout/orgChart1"/>
    <dgm:cxn modelId="{C6C126B6-C61D-4B44-B676-4AA2E3293295}" type="presOf" srcId="{2B918A9D-93EC-4134-875D-C1DD388E0D07}" destId="{831CAD5B-063D-4A1A-AC3C-508E06B5DBED}" srcOrd="0" destOrd="0" presId="urn:microsoft.com/office/officeart/2005/8/layout/orgChart1"/>
    <dgm:cxn modelId="{876CE3C4-271A-4D14-B5A9-A1D964FD0C98}" type="presOf" srcId="{42BED83F-FD49-4C5F-A715-7F9E4A29DCA4}" destId="{A52463BC-3162-40E8-9230-9D560235078A}" srcOrd="0" destOrd="0" presId="urn:microsoft.com/office/officeart/2005/8/layout/orgChart1"/>
    <dgm:cxn modelId="{3D8BA7C9-7DAE-4467-A9E9-505FA6AB44CE}" srcId="{F70D3933-B8E0-47D0-ACA7-159A71B88E8C}" destId="{01C9C3C8-8395-4D81-BCCA-552A3333038E}" srcOrd="2" destOrd="0" parTransId="{BD17BCD5-0139-4404-87C0-AECEB1530B20}" sibTransId="{BC744148-8474-43C5-90D7-CA6CBEB02897}"/>
    <dgm:cxn modelId="{B170F5D7-93F1-46A3-90D0-513E239A0F81}" srcId="{B1839F17-4F73-44B4-B745-9338EBFD9A74}" destId="{F70D3933-B8E0-47D0-ACA7-159A71B88E8C}" srcOrd="0" destOrd="0" parTransId="{B854F276-A026-4505-8759-BF5D458C20A4}" sibTransId="{BE5F1E90-458F-4C32-9DFF-DB0DA446D1D0}"/>
    <dgm:cxn modelId="{FE758FE0-C8FE-432F-B2CA-3DA7598E27C5}" type="presOf" srcId="{B8F2D162-D6A9-4FE6-A7E0-2D8CA8437486}" destId="{FF722FF0-CCC8-4B2D-8106-E0F364C35432}" srcOrd="1" destOrd="0" presId="urn:microsoft.com/office/officeart/2005/8/layout/orgChart1"/>
    <dgm:cxn modelId="{DB0D5EE4-0087-4835-916E-99D672C94CEE}" type="presOf" srcId="{01C9C3C8-8395-4D81-BCCA-552A3333038E}" destId="{E7BD76D8-2BDE-45A0-AC08-C62F1BCC5D22}" srcOrd="1" destOrd="0" presId="urn:microsoft.com/office/officeart/2005/8/layout/orgChart1"/>
    <dgm:cxn modelId="{9C516A96-1961-435E-A1DC-7325E668A0B4}" type="presParOf" srcId="{66EB63D9-1B00-419A-A927-A1232530F838}" destId="{AC3A8A50-EC05-4294-B350-F7953A127D22}" srcOrd="0" destOrd="0" presId="urn:microsoft.com/office/officeart/2005/8/layout/orgChart1"/>
    <dgm:cxn modelId="{50C4673C-9CFE-4523-92C4-AEE07C294860}" type="presParOf" srcId="{AC3A8A50-EC05-4294-B350-F7953A127D22}" destId="{D7C7484A-761C-495F-88BF-EF11EA92FEFE}" srcOrd="0" destOrd="0" presId="urn:microsoft.com/office/officeart/2005/8/layout/orgChart1"/>
    <dgm:cxn modelId="{A1C06FF9-7E3B-416D-BCC1-7BDCEFF09F58}" type="presParOf" srcId="{D7C7484A-761C-495F-88BF-EF11EA92FEFE}" destId="{55CB603D-3B75-436E-AB27-4A9D8D3C5C34}" srcOrd="0" destOrd="0" presId="urn:microsoft.com/office/officeart/2005/8/layout/orgChart1"/>
    <dgm:cxn modelId="{201F6D5F-B337-492C-8CD4-141EF8067325}" type="presParOf" srcId="{D7C7484A-761C-495F-88BF-EF11EA92FEFE}" destId="{D3821A94-6F60-47D4-9A80-9C626F14CA50}" srcOrd="1" destOrd="0" presId="urn:microsoft.com/office/officeart/2005/8/layout/orgChart1"/>
    <dgm:cxn modelId="{2AC0438D-CA27-4398-AAFC-004E9E3ECAAA}" type="presParOf" srcId="{AC3A8A50-EC05-4294-B350-F7953A127D22}" destId="{BCC10E5F-FB97-48F7-9C23-C648A7A25C32}" srcOrd="1" destOrd="0" presId="urn:microsoft.com/office/officeart/2005/8/layout/orgChart1"/>
    <dgm:cxn modelId="{F1BDB77D-2200-4E87-873A-DAAD399663DC}" type="presParOf" srcId="{BCC10E5F-FB97-48F7-9C23-C648A7A25C32}" destId="{9B4E1A28-F9B1-4187-8994-2661A59CA529}" srcOrd="0" destOrd="0" presId="urn:microsoft.com/office/officeart/2005/8/layout/orgChart1"/>
    <dgm:cxn modelId="{E9EC38CF-6EAC-4CFA-A136-84EDB1209655}" type="presParOf" srcId="{BCC10E5F-FB97-48F7-9C23-C648A7A25C32}" destId="{F43CACC6-772E-4A77-BF53-46B7F7B656B3}" srcOrd="1" destOrd="0" presId="urn:microsoft.com/office/officeart/2005/8/layout/orgChart1"/>
    <dgm:cxn modelId="{3ABA6B48-8607-464D-83ED-036C13D53C10}" type="presParOf" srcId="{F43CACC6-772E-4A77-BF53-46B7F7B656B3}" destId="{C243C026-0C65-49EF-AC02-AD71EA6F25B6}" srcOrd="0" destOrd="0" presId="urn:microsoft.com/office/officeart/2005/8/layout/orgChart1"/>
    <dgm:cxn modelId="{42757A2C-05B6-4862-807F-E53BEA94FC4C}" type="presParOf" srcId="{C243C026-0C65-49EF-AC02-AD71EA6F25B6}" destId="{8AFBD964-D685-42F4-AAD7-885F8463A5A4}" srcOrd="0" destOrd="0" presId="urn:microsoft.com/office/officeart/2005/8/layout/orgChart1"/>
    <dgm:cxn modelId="{0CDEBE7A-7DB8-412B-9F89-5B5A3FC2556F}" type="presParOf" srcId="{C243C026-0C65-49EF-AC02-AD71EA6F25B6}" destId="{FF722FF0-CCC8-4B2D-8106-E0F364C35432}" srcOrd="1" destOrd="0" presId="urn:microsoft.com/office/officeart/2005/8/layout/orgChart1"/>
    <dgm:cxn modelId="{806FB389-15A0-4857-AB4A-2BF80E773EEA}" type="presParOf" srcId="{F43CACC6-772E-4A77-BF53-46B7F7B656B3}" destId="{F2CC9526-391E-40C8-B110-BDCEA17693E9}" srcOrd="1" destOrd="0" presId="urn:microsoft.com/office/officeart/2005/8/layout/orgChart1"/>
    <dgm:cxn modelId="{9C1D5AF3-4364-48FC-81D7-3B07C60CC667}" type="presParOf" srcId="{F43CACC6-772E-4A77-BF53-46B7F7B656B3}" destId="{0A0F2E45-E98E-44A5-9DB8-824E084C9653}" srcOrd="2" destOrd="0" presId="urn:microsoft.com/office/officeart/2005/8/layout/orgChart1"/>
    <dgm:cxn modelId="{3F5A6FF4-4A9A-49E4-8E0F-DEF827278AD0}" type="presParOf" srcId="{BCC10E5F-FB97-48F7-9C23-C648A7A25C32}" destId="{831CAD5B-063D-4A1A-AC3C-508E06B5DBED}" srcOrd="2" destOrd="0" presId="urn:microsoft.com/office/officeart/2005/8/layout/orgChart1"/>
    <dgm:cxn modelId="{756D72DE-B112-47F4-9635-9684CF4106C1}" type="presParOf" srcId="{BCC10E5F-FB97-48F7-9C23-C648A7A25C32}" destId="{560BA45F-24C1-4075-BAC6-FA040A389404}" srcOrd="3" destOrd="0" presId="urn:microsoft.com/office/officeart/2005/8/layout/orgChart1"/>
    <dgm:cxn modelId="{F4C65F43-9082-4AC7-9EDF-BCE31B53D3FE}" type="presParOf" srcId="{560BA45F-24C1-4075-BAC6-FA040A389404}" destId="{EA1CB612-8DFA-4B57-9AFE-39CB0FF4B432}" srcOrd="0" destOrd="0" presId="urn:microsoft.com/office/officeart/2005/8/layout/orgChart1"/>
    <dgm:cxn modelId="{52B3A718-8CFA-41E6-BB8F-3C54867DFE5F}" type="presParOf" srcId="{EA1CB612-8DFA-4B57-9AFE-39CB0FF4B432}" destId="{A52463BC-3162-40E8-9230-9D560235078A}" srcOrd="0" destOrd="0" presId="urn:microsoft.com/office/officeart/2005/8/layout/orgChart1"/>
    <dgm:cxn modelId="{66E578C9-5ED4-403F-A779-85A944F7A5EA}" type="presParOf" srcId="{EA1CB612-8DFA-4B57-9AFE-39CB0FF4B432}" destId="{607094CB-45E7-4618-9251-DC6446538159}" srcOrd="1" destOrd="0" presId="urn:microsoft.com/office/officeart/2005/8/layout/orgChart1"/>
    <dgm:cxn modelId="{51FF3987-43E4-40FA-A790-15F57D08DC7D}" type="presParOf" srcId="{560BA45F-24C1-4075-BAC6-FA040A389404}" destId="{A6F2319C-2F75-4820-80EF-7FAD5F50AB3B}" srcOrd="1" destOrd="0" presId="urn:microsoft.com/office/officeart/2005/8/layout/orgChart1"/>
    <dgm:cxn modelId="{961877EA-7871-4DA1-BDF7-26151D046A9C}" type="presParOf" srcId="{560BA45F-24C1-4075-BAC6-FA040A389404}" destId="{E4F3A3C7-1ACC-4AD8-8579-ED44117D3EB0}" srcOrd="2" destOrd="0" presId="urn:microsoft.com/office/officeart/2005/8/layout/orgChart1"/>
    <dgm:cxn modelId="{4AD5F614-9D1B-4FC8-9D33-91EE89BC711E}" type="presParOf" srcId="{BCC10E5F-FB97-48F7-9C23-C648A7A25C32}" destId="{6ABA3874-FD3E-4CD5-A093-895F22049223}" srcOrd="4" destOrd="0" presId="urn:microsoft.com/office/officeart/2005/8/layout/orgChart1"/>
    <dgm:cxn modelId="{95F644BC-CC8E-4837-81E7-DFDA8FECA916}" type="presParOf" srcId="{BCC10E5F-FB97-48F7-9C23-C648A7A25C32}" destId="{1EF0BACC-C366-4D6E-A72D-CB072EFBF13F}" srcOrd="5" destOrd="0" presId="urn:microsoft.com/office/officeart/2005/8/layout/orgChart1"/>
    <dgm:cxn modelId="{B8B2B6A3-5730-4B9E-81E1-7769DEBD4C08}" type="presParOf" srcId="{1EF0BACC-C366-4D6E-A72D-CB072EFBF13F}" destId="{B2448799-4EBA-4CE8-9E6E-45F7B683E135}" srcOrd="0" destOrd="0" presId="urn:microsoft.com/office/officeart/2005/8/layout/orgChart1"/>
    <dgm:cxn modelId="{475DC1C3-6063-441B-BB60-1276454A084B}" type="presParOf" srcId="{B2448799-4EBA-4CE8-9E6E-45F7B683E135}" destId="{AF767317-C575-4567-A17C-45B492CE798A}" srcOrd="0" destOrd="0" presId="urn:microsoft.com/office/officeart/2005/8/layout/orgChart1"/>
    <dgm:cxn modelId="{7CD5E94E-6B30-4FF8-8965-DEC679667620}" type="presParOf" srcId="{B2448799-4EBA-4CE8-9E6E-45F7B683E135}" destId="{E7BD76D8-2BDE-45A0-AC08-C62F1BCC5D22}" srcOrd="1" destOrd="0" presId="urn:microsoft.com/office/officeart/2005/8/layout/orgChart1"/>
    <dgm:cxn modelId="{CD0B646D-8929-4791-A490-F7F350EF900C}" type="presParOf" srcId="{1EF0BACC-C366-4D6E-A72D-CB072EFBF13F}" destId="{0D68EC32-89D8-4431-8F5C-1383C584953B}" srcOrd="1" destOrd="0" presId="urn:microsoft.com/office/officeart/2005/8/layout/orgChart1"/>
    <dgm:cxn modelId="{B356B3E2-2D36-41B0-A61C-892A4A476AA1}" type="presParOf" srcId="{1EF0BACC-C366-4D6E-A72D-CB072EFBF13F}" destId="{18D9A887-80E3-494D-881C-2D64465D3D52}" srcOrd="2" destOrd="0" presId="urn:microsoft.com/office/officeart/2005/8/layout/orgChart1"/>
    <dgm:cxn modelId="{87E25AD3-B091-4574-9D61-1C3CA37406CA}" type="presParOf" srcId="{AC3A8A50-EC05-4294-B350-F7953A127D22}" destId="{BE87BC36-0AAD-4A87-98BC-7978BF67704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A3874-FD3E-4CD5-A093-895F22049223}">
      <dsp:nvSpPr>
        <dsp:cNvPr id="0" name=""/>
        <dsp:cNvSpPr/>
      </dsp:nvSpPr>
      <dsp:spPr>
        <a:xfrm>
          <a:off x="1381125" y="604321"/>
          <a:ext cx="1033051" cy="179381"/>
        </a:xfrm>
        <a:custGeom>
          <a:avLst/>
          <a:gdLst/>
          <a:ahLst/>
          <a:cxnLst/>
          <a:rect l="0" t="0" r="0" b="0"/>
          <a:pathLst>
            <a:path>
              <a:moveTo>
                <a:pt x="0" y="0"/>
              </a:moveTo>
              <a:lnTo>
                <a:pt x="0" y="106358"/>
              </a:lnTo>
              <a:lnTo>
                <a:pt x="1033051" y="106358"/>
              </a:lnTo>
              <a:lnTo>
                <a:pt x="1033051"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CAD5B-063D-4A1A-AC3C-508E06B5DBED}">
      <dsp:nvSpPr>
        <dsp:cNvPr id="0" name=""/>
        <dsp:cNvSpPr/>
      </dsp:nvSpPr>
      <dsp:spPr>
        <a:xfrm>
          <a:off x="1335405" y="604321"/>
          <a:ext cx="91440" cy="179381"/>
        </a:xfrm>
        <a:custGeom>
          <a:avLst/>
          <a:gdLst/>
          <a:ahLst/>
          <a:cxnLst/>
          <a:rect l="0" t="0" r="0" b="0"/>
          <a:pathLst>
            <a:path>
              <a:moveTo>
                <a:pt x="45720" y="0"/>
              </a:moveTo>
              <a:lnTo>
                <a:pt x="45720" y="106358"/>
              </a:lnTo>
              <a:lnTo>
                <a:pt x="125999" y="106358"/>
              </a:lnTo>
              <a:lnTo>
                <a:pt x="125999"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E1A28-F9B1-4187-8994-2661A59CA529}">
      <dsp:nvSpPr>
        <dsp:cNvPr id="0" name=""/>
        <dsp:cNvSpPr/>
      </dsp:nvSpPr>
      <dsp:spPr>
        <a:xfrm>
          <a:off x="413977" y="604321"/>
          <a:ext cx="967147" cy="179381"/>
        </a:xfrm>
        <a:custGeom>
          <a:avLst/>
          <a:gdLst/>
          <a:ahLst/>
          <a:cxnLst/>
          <a:rect l="0" t="0" r="0" b="0"/>
          <a:pathLst>
            <a:path>
              <a:moveTo>
                <a:pt x="967147" y="0"/>
              </a:moveTo>
              <a:lnTo>
                <a:pt x="967147" y="106358"/>
              </a:lnTo>
              <a:lnTo>
                <a:pt x="0" y="106358"/>
              </a:lnTo>
              <a:lnTo>
                <a:pt x="0"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B603D-3B75-436E-AB27-4A9D8D3C5C34}">
      <dsp:nvSpPr>
        <dsp:cNvPr id="0" name=""/>
        <dsp:cNvSpPr/>
      </dsp:nvSpPr>
      <dsp:spPr>
        <a:xfrm>
          <a:off x="874471" y="2"/>
          <a:ext cx="1013307" cy="6043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AA Holding Co </a:t>
          </a:r>
        </a:p>
        <a:p>
          <a:pPr marL="0" lvl="0" indent="0" algn="ctr" defTabSz="444500">
            <a:lnSpc>
              <a:spcPct val="90000"/>
            </a:lnSpc>
            <a:spcBef>
              <a:spcPct val="0"/>
            </a:spcBef>
            <a:spcAft>
              <a:spcPct val="35000"/>
            </a:spcAft>
            <a:buNone/>
          </a:pPr>
          <a:r>
            <a:rPr lang="en-US" sz="1000" kern="1200"/>
            <a:t>(Non operating Holding Company</a:t>
          </a:r>
          <a:r>
            <a:rPr lang="en-US" sz="1100" kern="1200"/>
            <a:t>)</a:t>
          </a:r>
        </a:p>
      </dsp:txBody>
      <dsp:txXfrm>
        <a:off x="874471" y="2"/>
        <a:ext cx="1013307" cy="604319"/>
      </dsp:txXfrm>
    </dsp:sp>
    <dsp:sp modelId="{8AFBD964-D685-42F4-AAD7-885F8463A5A4}">
      <dsp:nvSpPr>
        <dsp:cNvPr id="0" name=""/>
        <dsp:cNvSpPr/>
      </dsp:nvSpPr>
      <dsp:spPr>
        <a:xfrm>
          <a:off x="347" y="783703"/>
          <a:ext cx="827260" cy="494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BB Life Ins.Co.</a:t>
          </a:r>
        </a:p>
        <a:p>
          <a:pPr marL="0" lvl="0" indent="0" algn="ctr" defTabSz="444500">
            <a:lnSpc>
              <a:spcPct val="90000"/>
            </a:lnSpc>
            <a:spcBef>
              <a:spcPct val="0"/>
            </a:spcBef>
            <a:spcAft>
              <a:spcPct val="35000"/>
            </a:spcAft>
            <a:buNone/>
          </a:pPr>
          <a:r>
            <a:rPr lang="en-US" sz="1000" kern="1200"/>
            <a:t>(U.S. RBC Filer)</a:t>
          </a:r>
        </a:p>
      </dsp:txBody>
      <dsp:txXfrm>
        <a:off x="347" y="783703"/>
        <a:ext cx="827260" cy="494233"/>
      </dsp:txXfrm>
    </dsp:sp>
    <dsp:sp modelId="{A52463BC-3162-40E8-9230-9D560235078A}">
      <dsp:nvSpPr>
        <dsp:cNvPr id="0" name=""/>
        <dsp:cNvSpPr/>
      </dsp:nvSpPr>
      <dsp:spPr>
        <a:xfrm>
          <a:off x="988027" y="783703"/>
          <a:ext cx="946753" cy="46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CC Insurance Co. (Non-U.S. Insurer)</a:t>
          </a:r>
        </a:p>
      </dsp:txBody>
      <dsp:txXfrm>
        <a:off x="988027" y="783703"/>
        <a:ext cx="946753" cy="461258"/>
      </dsp:txXfrm>
    </dsp:sp>
    <dsp:sp modelId="{AF767317-C575-4567-A17C-45B492CE798A}">
      <dsp:nvSpPr>
        <dsp:cNvPr id="0" name=""/>
        <dsp:cNvSpPr/>
      </dsp:nvSpPr>
      <dsp:spPr>
        <a:xfrm>
          <a:off x="2066450" y="783703"/>
          <a:ext cx="695451" cy="437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DD Insurance Agen</a:t>
          </a:r>
          <a:r>
            <a:rPr lang="en-US" sz="1100" kern="1200"/>
            <a:t>cy</a:t>
          </a:r>
        </a:p>
      </dsp:txBody>
      <dsp:txXfrm>
        <a:off x="2066450" y="783703"/>
        <a:ext cx="695451" cy="437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4299-F571-4311-928A-EF8F9B68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10942</Words>
  <Characters>62370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73166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Daveline, Dan</cp:lastModifiedBy>
  <cp:revision>3</cp:revision>
  <cp:lastPrinted>2016-12-20T17:58:00Z</cp:lastPrinted>
  <dcterms:created xsi:type="dcterms:W3CDTF">2021-09-13T21:01:00Z</dcterms:created>
  <dcterms:modified xsi:type="dcterms:W3CDTF">2021-09-13T21:02:00Z</dcterms:modified>
</cp:coreProperties>
</file>