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0436" w14:textId="07B1C982" w:rsidR="00882632" w:rsidRDefault="00882632" w:rsidP="0029788D">
      <w:pPr>
        <w:jc w:val="center"/>
        <w:rPr>
          <w:b/>
          <w:bCs/>
        </w:rPr>
      </w:pPr>
      <w:r>
        <w:rPr>
          <w:b/>
          <w:bCs/>
        </w:rPr>
        <w:t xml:space="preserve">Criteria to Assess VM-20 Solutions for Modeling Non-guaranteed </w:t>
      </w:r>
      <w:r w:rsidR="0029788D">
        <w:rPr>
          <w:b/>
          <w:bCs/>
        </w:rPr>
        <w:t xml:space="preserve">YRT </w:t>
      </w:r>
      <w:r>
        <w:rPr>
          <w:b/>
          <w:bCs/>
        </w:rPr>
        <w:t>Reinsurance</w:t>
      </w:r>
    </w:p>
    <w:p w14:paraId="1BCDE999" w14:textId="77777777" w:rsidR="00390449" w:rsidRDefault="00390449" w:rsidP="00390449"/>
    <w:p w14:paraId="027E9556" w14:textId="521311B5" w:rsidR="00390449" w:rsidRDefault="00CF78C9" w:rsidP="00390449">
      <w:r>
        <w:t xml:space="preserve">Below is a list of </w:t>
      </w:r>
      <w:r w:rsidR="00390449">
        <w:t xml:space="preserve">potential criteria </w:t>
      </w:r>
      <w:r>
        <w:t xml:space="preserve">that could be used </w:t>
      </w:r>
      <w:r w:rsidR="00390449">
        <w:t xml:space="preserve">to assess </w:t>
      </w:r>
      <w:r>
        <w:t xml:space="preserve">proposed VM-20 amendments regarding non-guaranteed </w:t>
      </w:r>
      <w:r w:rsidR="0029788D">
        <w:t xml:space="preserve">YRT </w:t>
      </w:r>
      <w:r>
        <w:t>reinsurance</w:t>
      </w:r>
      <w:r w:rsidR="00390449">
        <w:t xml:space="preserve">.  </w:t>
      </w:r>
    </w:p>
    <w:p w14:paraId="40D9B721" w14:textId="7B534015" w:rsidR="00734F97" w:rsidRDefault="00734F97" w:rsidP="00390449"/>
    <w:tbl>
      <w:tblPr>
        <w:tblStyle w:val="TableGrid"/>
        <w:tblW w:w="0" w:type="auto"/>
        <w:tblLook w:val="04A0" w:firstRow="1" w:lastRow="0" w:firstColumn="1" w:lastColumn="0" w:noHBand="0" w:noVBand="1"/>
      </w:tblPr>
      <w:tblGrid>
        <w:gridCol w:w="1925"/>
        <w:gridCol w:w="7425"/>
      </w:tblGrid>
      <w:tr w:rsidR="00734F97" w14:paraId="3220A370" w14:textId="77777777" w:rsidTr="00F103D9">
        <w:tc>
          <w:tcPr>
            <w:tcW w:w="1925" w:type="dxa"/>
          </w:tcPr>
          <w:p w14:paraId="77C5BFA9" w14:textId="64E9FF7A" w:rsidR="00734F97" w:rsidRDefault="00734F97" w:rsidP="00390449">
            <w:r>
              <w:t>Consideration</w:t>
            </w:r>
          </w:p>
        </w:tc>
        <w:tc>
          <w:tcPr>
            <w:tcW w:w="7425" w:type="dxa"/>
          </w:tcPr>
          <w:p w14:paraId="7856B9BE" w14:textId="6D295D59" w:rsidR="00734F97" w:rsidRDefault="00734F97" w:rsidP="00390449">
            <w:r>
              <w:t>Potential APF selection criteria</w:t>
            </w:r>
            <w:r w:rsidR="00E06EEE">
              <w:t xml:space="preserve"> and other requirements</w:t>
            </w:r>
          </w:p>
        </w:tc>
      </w:tr>
      <w:tr w:rsidR="00734F97" w14:paraId="2FA7D03E" w14:textId="77777777" w:rsidTr="00F103D9">
        <w:tc>
          <w:tcPr>
            <w:tcW w:w="1925" w:type="dxa"/>
          </w:tcPr>
          <w:p w14:paraId="11F2CF3E" w14:textId="489848AA" w:rsidR="00734F97" w:rsidRDefault="003C0A1A" w:rsidP="00734F97">
            <w:pPr>
              <w:pStyle w:val="ListParagraph"/>
              <w:numPr>
                <w:ilvl w:val="0"/>
                <w:numId w:val="3"/>
              </w:numPr>
              <w:rPr>
                <w:rFonts w:eastAsia="Times New Roman"/>
              </w:rPr>
            </w:pPr>
            <w:r>
              <w:rPr>
                <w:rFonts w:eastAsia="Times New Roman"/>
              </w:rPr>
              <w:t xml:space="preserve">1. </w:t>
            </w:r>
            <w:r w:rsidR="00734F97">
              <w:rPr>
                <w:rFonts w:eastAsia="Times New Roman"/>
              </w:rPr>
              <w:t>Level of prescription</w:t>
            </w:r>
          </w:p>
          <w:p w14:paraId="61741009" w14:textId="77777777" w:rsidR="00734F97" w:rsidRDefault="00734F97" w:rsidP="00390449"/>
        </w:tc>
        <w:tc>
          <w:tcPr>
            <w:tcW w:w="7425" w:type="dxa"/>
          </w:tcPr>
          <w:p w14:paraId="6295A9A5" w14:textId="6566679C" w:rsidR="00734F97" w:rsidRPr="00074997" w:rsidRDefault="00074997" w:rsidP="00074997">
            <w:pPr>
              <w:pStyle w:val="ListParagraph"/>
              <w:numPr>
                <w:ilvl w:val="1"/>
                <w:numId w:val="3"/>
              </w:numPr>
              <w:ind w:left="393"/>
              <w:rPr>
                <w:rFonts w:eastAsia="Times New Roman"/>
              </w:rPr>
            </w:pPr>
            <w:r>
              <w:rPr>
                <w:rFonts w:eastAsia="Times New Roman"/>
              </w:rPr>
              <w:t>The APF should b</w:t>
            </w:r>
            <w:r w:rsidR="00734F97">
              <w:rPr>
                <w:rFonts w:eastAsia="Times New Roman"/>
              </w:rPr>
              <w:t>e principles-based</w:t>
            </w:r>
            <w:r>
              <w:rPr>
                <w:rFonts w:eastAsia="Times New Roman"/>
              </w:rPr>
              <w:t xml:space="preserve">, as defined in </w:t>
            </w:r>
            <w:r w:rsidRPr="00074997">
              <w:rPr>
                <w:rFonts w:eastAsia="Times New Roman"/>
              </w:rPr>
              <w:t>VM Section I, Overview of Reserve Concepts:</w:t>
            </w:r>
          </w:p>
          <w:p w14:paraId="229A05F8" w14:textId="68057492" w:rsidR="00734F97" w:rsidRDefault="00074997" w:rsidP="00734F97">
            <w:pPr>
              <w:pStyle w:val="ListParagraph"/>
              <w:numPr>
                <w:ilvl w:val="2"/>
                <w:numId w:val="3"/>
              </w:numPr>
              <w:ind w:left="753"/>
              <w:rPr>
                <w:rFonts w:eastAsia="Times New Roman"/>
              </w:rPr>
            </w:pPr>
            <w:r>
              <w:rPr>
                <w:rFonts w:eastAsia="Times New Roman"/>
              </w:rPr>
              <w:t>U</w:t>
            </w:r>
            <w:r w:rsidR="00734F97">
              <w:rPr>
                <w:rFonts w:eastAsia="Times New Roman"/>
              </w:rPr>
              <w:t>ses one or more methods, or one or more assumptions, determined by the insurer pursuant to requirements of Model #820 and the Valuation Manual</w:t>
            </w:r>
          </w:p>
          <w:p w14:paraId="09E3CB92" w14:textId="1D482D33" w:rsidR="00734F97" w:rsidRDefault="00734F97" w:rsidP="00734F97">
            <w:pPr>
              <w:pStyle w:val="ListParagraph"/>
              <w:numPr>
                <w:ilvl w:val="2"/>
                <w:numId w:val="3"/>
              </w:numPr>
              <w:ind w:left="753"/>
              <w:rPr>
                <w:rFonts w:eastAsia="Times New Roman"/>
              </w:rPr>
            </w:pPr>
            <w:r>
              <w:rPr>
                <w:rFonts w:eastAsia="Times New Roman"/>
              </w:rPr>
              <w:t>Reflects risks that are associated with the policies being valued capable of materially affecting the reserve</w:t>
            </w:r>
          </w:p>
          <w:p w14:paraId="3C980941" w14:textId="0F29E724" w:rsidR="00734F97" w:rsidRPr="004E253E" w:rsidRDefault="002721DE" w:rsidP="004E253E">
            <w:pPr>
              <w:pStyle w:val="ListParagraph"/>
              <w:ind w:left="29"/>
              <w:rPr>
                <w:rFonts w:eastAsia="Times New Roman"/>
              </w:rPr>
            </w:pPr>
            <w:r>
              <w:rPr>
                <w:rFonts w:eastAsia="Times New Roman"/>
              </w:rPr>
              <w:t>Note: The definition above does not preclude the use of appropriate guardrails</w:t>
            </w:r>
            <w:r w:rsidR="00E06EEE">
              <w:rPr>
                <w:rFonts w:eastAsia="Times New Roman"/>
              </w:rPr>
              <w:t xml:space="preserve"> or the use of a formulaic component.</w:t>
            </w:r>
          </w:p>
        </w:tc>
      </w:tr>
      <w:tr w:rsidR="00734F97" w14:paraId="7363A2A5" w14:textId="77777777" w:rsidTr="00F103D9">
        <w:tc>
          <w:tcPr>
            <w:tcW w:w="1925" w:type="dxa"/>
          </w:tcPr>
          <w:p w14:paraId="689D6742" w14:textId="222D29B0" w:rsidR="00734F97" w:rsidRDefault="003C0A1A" w:rsidP="00734F97">
            <w:pPr>
              <w:pStyle w:val="ListParagraph"/>
              <w:numPr>
                <w:ilvl w:val="0"/>
                <w:numId w:val="3"/>
              </w:numPr>
              <w:rPr>
                <w:rFonts w:eastAsia="Times New Roman"/>
              </w:rPr>
            </w:pPr>
            <w:r>
              <w:rPr>
                <w:rFonts w:eastAsia="Times New Roman"/>
              </w:rPr>
              <w:t xml:space="preserve">2. </w:t>
            </w:r>
            <w:r w:rsidR="00734F97">
              <w:rPr>
                <w:rFonts w:eastAsia="Times New Roman"/>
              </w:rPr>
              <w:t>Modeling complexity</w:t>
            </w:r>
          </w:p>
          <w:p w14:paraId="72B418D0" w14:textId="77777777" w:rsidR="00734F97" w:rsidRDefault="00734F97" w:rsidP="00390449"/>
        </w:tc>
        <w:tc>
          <w:tcPr>
            <w:tcW w:w="7425" w:type="dxa"/>
          </w:tcPr>
          <w:p w14:paraId="74801FBF" w14:textId="77777777" w:rsidR="00074997" w:rsidRDefault="00074997" w:rsidP="00734F97">
            <w:pPr>
              <w:pStyle w:val="ListParagraph"/>
              <w:numPr>
                <w:ilvl w:val="1"/>
                <w:numId w:val="3"/>
              </w:numPr>
              <w:ind w:left="393"/>
              <w:rPr>
                <w:rFonts w:eastAsia="Times New Roman"/>
              </w:rPr>
            </w:pPr>
            <w:r>
              <w:rPr>
                <w:rFonts w:eastAsia="Times New Roman"/>
              </w:rPr>
              <w:t>The APF should b</w:t>
            </w:r>
            <w:r w:rsidR="00734F97">
              <w:rPr>
                <w:rFonts w:eastAsia="Times New Roman"/>
              </w:rPr>
              <w:t>e practical to implement</w:t>
            </w:r>
          </w:p>
          <w:p w14:paraId="04B324E0" w14:textId="66EF20BB" w:rsidR="00734F97" w:rsidRDefault="00074997" w:rsidP="00734F97">
            <w:pPr>
              <w:pStyle w:val="ListParagraph"/>
              <w:numPr>
                <w:ilvl w:val="1"/>
                <w:numId w:val="3"/>
              </w:numPr>
              <w:ind w:left="393"/>
              <w:rPr>
                <w:rFonts w:eastAsia="Times New Roman"/>
              </w:rPr>
            </w:pPr>
            <w:r>
              <w:rPr>
                <w:rFonts w:eastAsia="Times New Roman"/>
              </w:rPr>
              <w:t xml:space="preserve">The APF should be </w:t>
            </w:r>
            <w:r w:rsidR="00734F97">
              <w:rPr>
                <w:rFonts w:eastAsia="Times New Roman"/>
              </w:rPr>
              <w:t>auditable</w:t>
            </w:r>
          </w:p>
          <w:p w14:paraId="7EC79A72" w14:textId="393777B2" w:rsidR="00E06EEE" w:rsidRDefault="00E06EEE" w:rsidP="00734F97">
            <w:pPr>
              <w:pStyle w:val="ListParagraph"/>
              <w:numPr>
                <w:ilvl w:val="1"/>
                <w:numId w:val="3"/>
              </w:numPr>
              <w:ind w:left="393"/>
              <w:rPr>
                <w:rFonts w:eastAsia="Times New Roman"/>
              </w:rPr>
            </w:pPr>
            <w:r>
              <w:rPr>
                <w:rFonts w:eastAsia="Times New Roman"/>
              </w:rPr>
              <w:t>The APF should allow simplified methods</w:t>
            </w:r>
          </w:p>
          <w:p w14:paraId="0228D442" w14:textId="1D662CE6" w:rsidR="00734F97" w:rsidRPr="004E253E" w:rsidRDefault="005808F7" w:rsidP="004E253E">
            <w:pPr>
              <w:pStyle w:val="ListParagraph"/>
              <w:numPr>
                <w:ilvl w:val="1"/>
                <w:numId w:val="3"/>
              </w:numPr>
              <w:ind w:left="393"/>
              <w:rPr>
                <w:rFonts w:eastAsia="Times New Roman"/>
              </w:rPr>
            </w:pPr>
            <w:r>
              <w:rPr>
                <w:rFonts w:eastAsia="Times New Roman"/>
              </w:rPr>
              <w:t xml:space="preserve">The APF should </w:t>
            </w:r>
            <w:r w:rsidR="00E06EEE">
              <w:rPr>
                <w:rFonts w:eastAsia="Times New Roman"/>
              </w:rPr>
              <w:t>provide a</w:t>
            </w:r>
            <w:r>
              <w:rPr>
                <w:rFonts w:eastAsia="Times New Roman"/>
              </w:rPr>
              <w:t xml:space="preserve"> safe harbor (e.g. use ½ c</w:t>
            </w:r>
            <w:r w:rsidRPr="00C62A57">
              <w:rPr>
                <w:rFonts w:eastAsia="Times New Roman"/>
                <w:vertAlign w:val="subscript"/>
              </w:rPr>
              <w:t>x</w:t>
            </w:r>
            <w:r>
              <w:rPr>
                <w:rFonts w:eastAsia="Times New Roman"/>
              </w:rPr>
              <w:t xml:space="preserve"> if a company has a de minimis amount of YRT reinsurance</w:t>
            </w:r>
            <w:r w:rsidR="00FA2D11">
              <w:rPr>
                <w:rFonts w:eastAsia="Times New Roman"/>
              </w:rPr>
              <w:t xml:space="preserve"> or</w:t>
            </w:r>
            <w:r w:rsidR="001A48D4">
              <w:rPr>
                <w:rFonts w:eastAsia="Times New Roman"/>
              </w:rPr>
              <w:t xml:space="preserve"> </w:t>
            </w:r>
            <w:r w:rsidR="00FA2D11">
              <w:rPr>
                <w:rFonts w:eastAsia="Times New Roman"/>
              </w:rPr>
              <w:t>t</w:t>
            </w:r>
            <w:r w:rsidR="00882632">
              <w:rPr>
                <w:rFonts w:eastAsia="Times New Roman"/>
              </w:rPr>
              <w:t xml:space="preserve">he </w:t>
            </w:r>
            <w:r w:rsidR="001A48D4">
              <w:rPr>
                <w:rFonts w:eastAsia="Times New Roman"/>
              </w:rPr>
              <w:t>product</w:t>
            </w:r>
            <w:r w:rsidR="00882632">
              <w:rPr>
                <w:rFonts w:eastAsia="Times New Roman"/>
              </w:rPr>
              <w:t xml:space="preserve"> type (e.g. term)</w:t>
            </w:r>
            <w:r w:rsidR="001A48D4">
              <w:rPr>
                <w:rFonts w:eastAsia="Times New Roman"/>
              </w:rPr>
              <w:t xml:space="preserve"> </w:t>
            </w:r>
            <w:r w:rsidR="00882632">
              <w:rPr>
                <w:rFonts w:eastAsia="Times New Roman"/>
              </w:rPr>
              <w:t xml:space="preserve">produces a </w:t>
            </w:r>
            <w:proofErr w:type="gramStart"/>
            <w:r w:rsidR="001A48D4">
              <w:rPr>
                <w:rFonts w:eastAsia="Times New Roman"/>
              </w:rPr>
              <w:t>small modeled</w:t>
            </w:r>
            <w:proofErr w:type="gramEnd"/>
            <w:r w:rsidR="001A48D4">
              <w:rPr>
                <w:rFonts w:eastAsia="Times New Roman"/>
              </w:rPr>
              <w:t xml:space="preserve"> reserve credit</w:t>
            </w:r>
            <w:r>
              <w:rPr>
                <w:rFonts w:eastAsia="Times New Roman"/>
              </w:rPr>
              <w:t>)</w:t>
            </w:r>
            <w:r w:rsidR="00E06EEE">
              <w:rPr>
                <w:rFonts w:eastAsia="Times New Roman"/>
              </w:rPr>
              <w:t>.  This is in the spirit of the definition of PBR as reflecting risks that are “capable of materially impacting the reserve.”</w:t>
            </w:r>
          </w:p>
        </w:tc>
      </w:tr>
      <w:tr w:rsidR="00734F97" w14:paraId="11BDA4DE" w14:textId="77777777" w:rsidTr="00F103D9">
        <w:tc>
          <w:tcPr>
            <w:tcW w:w="1925" w:type="dxa"/>
          </w:tcPr>
          <w:p w14:paraId="29A559F8" w14:textId="01C66238" w:rsidR="00734F97" w:rsidRDefault="003C0A1A" w:rsidP="00734F97">
            <w:pPr>
              <w:pStyle w:val="ListParagraph"/>
              <w:numPr>
                <w:ilvl w:val="0"/>
                <w:numId w:val="3"/>
              </w:numPr>
              <w:rPr>
                <w:rFonts w:eastAsia="Times New Roman"/>
              </w:rPr>
            </w:pPr>
            <w:r>
              <w:rPr>
                <w:rFonts w:eastAsia="Times New Roman"/>
              </w:rPr>
              <w:t xml:space="preserve">3. </w:t>
            </w:r>
            <w:r w:rsidR="00734F97">
              <w:rPr>
                <w:rFonts w:eastAsia="Times New Roman"/>
              </w:rPr>
              <w:t>Variation in</w:t>
            </w:r>
            <w:r w:rsidR="00C62A57">
              <w:rPr>
                <w:rFonts w:eastAsia="Times New Roman"/>
              </w:rPr>
              <w:t xml:space="preserve"> interpretations leading to variation in</w:t>
            </w:r>
            <w:r w:rsidR="00734F97">
              <w:rPr>
                <w:rFonts w:eastAsia="Times New Roman"/>
              </w:rPr>
              <w:t xml:space="preserve"> results</w:t>
            </w:r>
          </w:p>
          <w:p w14:paraId="39415080" w14:textId="77777777" w:rsidR="00734F97" w:rsidRDefault="00734F97" w:rsidP="00390449"/>
        </w:tc>
        <w:tc>
          <w:tcPr>
            <w:tcW w:w="7425" w:type="dxa"/>
          </w:tcPr>
          <w:p w14:paraId="2CCA2EEC" w14:textId="6CE44A0D" w:rsidR="001B2E4D" w:rsidRPr="001B2E4D" w:rsidRDefault="00000A11" w:rsidP="001B2E4D">
            <w:pPr>
              <w:pStyle w:val="ListParagraph"/>
              <w:numPr>
                <w:ilvl w:val="1"/>
                <w:numId w:val="3"/>
              </w:numPr>
              <w:ind w:left="393"/>
              <w:rPr>
                <w:rFonts w:eastAsia="Times New Roman"/>
              </w:rPr>
            </w:pPr>
            <w:r>
              <w:rPr>
                <w:rFonts w:eastAsia="Times New Roman"/>
              </w:rPr>
              <w:t>The APF should c</w:t>
            </w:r>
            <w:r w:rsidR="00734F97">
              <w:rPr>
                <w:rFonts w:eastAsia="Times New Roman"/>
              </w:rPr>
              <w:t xml:space="preserve">ontain an appropriate degree of alignment between the </w:t>
            </w:r>
            <w:r w:rsidR="00F51341">
              <w:rPr>
                <w:rFonts w:eastAsia="Times New Roman"/>
              </w:rPr>
              <w:t xml:space="preserve">modeled </w:t>
            </w:r>
            <w:r w:rsidR="00734F97">
              <w:rPr>
                <w:rFonts w:eastAsia="Times New Roman"/>
              </w:rPr>
              <w:t>reinsurance premium</w:t>
            </w:r>
            <w:r>
              <w:rPr>
                <w:rFonts w:eastAsia="Times New Roman"/>
              </w:rPr>
              <w:t>s paid</w:t>
            </w:r>
            <w:r w:rsidR="00F51341">
              <w:rPr>
                <w:rFonts w:eastAsia="Times New Roman"/>
              </w:rPr>
              <w:t xml:space="preserve"> by the ceding company</w:t>
            </w:r>
            <w:r w:rsidR="00734F97">
              <w:rPr>
                <w:rFonts w:eastAsia="Times New Roman"/>
              </w:rPr>
              <w:t xml:space="preserve"> and the </w:t>
            </w:r>
            <w:r w:rsidR="00F51341">
              <w:rPr>
                <w:rFonts w:eastAsia="Times New Roman"/>
              </w:rPr>
              <w:t>modeled death claims paid by the assuming company</w:t>
            </w:r>
            <w:r w:rsidR="00734F97">
              <w:rPr>
                <w:rFonts w:eastAsia="Times New Roman"/>
              </w:rPr>
              <w:t>.</w:t>
            </w:r>
          </w:p>
          <w:p w14:paraId="086F22F7" w14:textId="77777777" w:rsidR="00C62A57" w:rsidRDefault="001B2E4D" w:rsidP="00734F97">
            <w:pPr>
              <w:pStyle w:val="ListParagraph"/>
              <w:numPr>
                <w:ilvl w:val="1"/>
                <w:numId w:val="3"/>
              </w:numPr>
              <w:ind w:left="393"/>
              <w:rPr>
                <w:rFonts w:eastAsia="Times New Roman"/>
              </w:rPr>
            </w:pPr>
            <w:r>
              <w:rPr>
                <w:rFonts w:eastAsia="Times New Roman"/>
              </w:rPr>
              <w:t>The APF should allow for variations</w:t>
            </w:r>
            <w:r w:rsidR="00C62A57">
              <w:rPr>
                <w:rFonts w:eastAsia="Times New Roman"/>
              </w:rPr>
              <w:t xml:space="preserve"> in results</w:t>
            </w:r>
            <w:r>
              <w:rPr>
                <w:rFonts w:eastAsia="Times New Roman"/>
              </w:rPr>
              <w:t xml:space="preserve"> due to</w:t>
            </w:r>
            <w:r w:rsidR="00C62A57">
              <w:rPr>
                <w:rFonts w:eastAsia="Times New Roman"/>
              </w:rPr>
              <w:t xml:space="preserve"> treaty differences</w:t>
            </w:r>
          </w:p>
          <w:p w14:paraId="4C7E27F0" w14:textId="69DDE1E3" w:rsidR="00C006E5" w:rsidRDefault="00C62A57" w:rsidP="00C006E5">
            <w:pPr>
              <w:pStyle w:val="ListParagraph"/>
              <w:numPr>
                <w:ilvl w:val="1"/>
                <w:numId w:val="3"/>
              </w:numPr>
              <w:ind w:left="393"/>
              <w:rPr>
                <w:rFonts w:eastAsia="Times New Roman"/>
              </w:rPr>
            </w:pPr>
            <w:r>
              <w:rPr>
                <w:rFonts w:eastAsia="Times New Roman"/>
              </w:rPr>
              <w:t>The APF should allow for variations in results from</w:t>
            </w:r>
            <w:r w:rsidR="001B2E4D">
              <w:rPr>
                <w:rFonts w:eastAsia="Times New Roman"/>
              </w:rPr>
              <w:t xml:space="preserve"> </w:t>
            </w:r>
            <w:r>
              <w:rPr>
                <w:rFonts w:eastAsia="Times New Roman"/>
              </w:rPr>
              <w:t xml:space="preserve">established </w:t>
            </w:r>
            <w:r w:rsidR="001B2E4D">
              <w:rPr>
                <w:rFonts w:eastAsia="Times New Roman"/>
              </w:rPr>
              <w:t>relationships between a reinsurer and the ceding company</w:t>
            </w:r>
            <w:r w:rsidR="0075708D">
              <w:rPr>
                <w:rFonts w:eastAsia="Times New Roman"/>
              </w:rPr>
              <w:t xml:space="preserve"> that can be supported in the PBR Actuarial Report, and there should be</w:t>
            </w:r>
            <w:r w:rsidR="00C006E5">
              <w:rPr>
                <w:rFonts w:eastAsia="Times New Roman"/>
              </w:rPr>
              <w:t xml:space="preserve"> appropriate application of</w:t>
            </w:r>
            <w:r w:rsidR="00C006E5" w:rsidRPr="00C006E5">
              <w:rPr>
                <w:rFonts w:eastAsia="Times New Roman"/>
              </w:rPr>
              <w:t xml:space="preserve"> ASOP 56 Section 3.1.6 (Assumptions used as Input)</w:t>
            </w:r>
          </w:p>
          <w:p w14:paraId="43594C77" w14:textId="77777777" w:rsidR="00E33983" w:rsidRDefault="00E33983" w:rsidP="00E33983">
            <w:pPr>
              <w:pStyle w:val="ListParagraph"/>
              <w:numPr>
                <w:ilvl w:val="1"/>
                <w:numId w:val="3"/>
              </w:numPr>
              <w:ind w:left="393"/>
              <w:rPr>
                <w:rFonts w:eastAsia="Times New Roman"/>
              </w:rPr>
            </w:pPr>
            <w:r>
              <w:rPr>
                <w:rFonts w:eastAsia="Times New Roman"/>
              </w:rPr>
              <w:t>The APF should contain clear and unambiguous language</w:t>
            </w:r>
          </w:p>
          <w:p w14:paraId="19BA0E27" w14:textId="4794FB8D" w:rsidR="00E33983" w:rsidRPr="004E253E" w:rsidRDefault="00E33983" w:rsidP="004E253E">
            <w:pPr>
              <w:pStyle w:val="ListParagraph"/>
              <w:numPr>
                <w:ilvl w:val="1"/>
                <w:numId w:val="3"/>
              </w:numPr>
              <w:ind w:left="393"/>
              <w:rPr>
                <w:rFonts w:eastAsia="Times New Roman"/>
              </w:rPr>
            </w:pPr>
            <w:r>
              <w:rPr>
                <w:rFonts w:eastAsia="Times New Roman"/>
              </w:rPr>
              <w:t>The wording of the APF should not result in a wide range of company interpretations (i.e., there are clear requirements).  It</w:t>
            </w:r>
            <w:r w:rsidRPr="00000A11">
              <w:rPr>
                <w:rFonts w:eastAsia="Times New Roman"/>
              </w:rPr>
              <w:t xml:space="preserve"> should produce similar reserve credits for two identical companies, (i.e. companies with the same products, </w:t>
            </w:r>
            <w:proofErr w:type="spellStart"/>
            <w:r w:rsidRPr="00000A11">
              <w:rPr>
                <w:rFonts w:eastAsia="Times New Roman"/>
              </w:rPr>
              <w:t>inforce</w:t>
            </w:r>
            <w:proofErr w:type="spellEnd"/>
            <w:r w:rsidRPr="00000A11">
              <w:rPr>
                <w:rFonts w:eastAsia="Times New Roman"/>
              </w:rPr>
              <w:t>, mortality experience, reinsurance treaties, etc.).</w:t>
            </w:r>
          </w:p>
        </w:tc>
      </w:tr>
      <w:tr w:rsidR="00734F97" w14:paraId="78F303BB" w14:textId="77777777" w:rsidTr="00F103D9">
        <w:tc>
          <w:tcPr>
            <w:tcW w:w="1925" w:type="dxa"/>
          </w:tcPr>
          <w:p w14:paraId="4EC13D4B" w14:textId="0E4B0F43" w:rsidR="00734F97" w:rsidRDefault="003C0A1A" w:rsidP="00734F97">
            <w:pPr>
              <w:pStyle w:val="ListParagraph"/>
              <w:numPr>
                <w:ilvl w:val="0"/>
                <w:numId w:val="3"/>
              </w:numPr>
              <w:rPr>
                <w:rFonts w:eastAsia="Times New Roman"/>
              </w:rPr>
            </w:pPr>
            <w:r>
              <w:rPr>
                <w:rFonts w:eastAsia="Times New Roman"/>
              </w:rPr>
              <w:t xml:space="preserve">4. </w:t>
            </w:r>
            <w:r w:rsidR="00734F97">
              <w:rPr>
                <w:rFonts w:eastAsia="Times New Roman"/>
              </w:rPr>
              <w:t>Potential for asymmetry between assumed and ceded interpretation</w:t>
            </w:r>
          </w:p>
          <w:p w14:paraId="59FAC48A" w14:textId="77777777" w:rsidR="00734F97" w:rsidRDefault="00734F97" w:rsidP="00390449"/>
        </w:tc>
        <w:tc>
          <w:tcPr>
            <w:tcW w:w="7425" w:type="dxa"/>
          </w:tcPr>
          <w:p w14:paraId="5F6E4AD9" w14:textId="0B443DB3" w:rsidR="00734F97" w:rsidRDefault="00F51341" w:rsidP="00734F97">
            <w:pPr>
              <w:pStyle w:val="ListParagraph"/>
              <w:numPr>
                <w:ilvl w:val="1"/>
                <w:numId w:val="3"/>
              </w:numPr>
              <w:ind w:left="393"/>
              <w:rPr>
                <w:rFonts w:eastAsia="Times New Roman"/>
              </w:rPr>
            </w:pPr>
            <w:r>
              <w:rPr>
                <w:rFonts w:eastAsia="Times New Roman"/>
              </w:rPr>
              <w:t>Although mirror reserving is not a VM-20 requirement</w:t>
            </w:r>
            <w:r w:rsidR="00375B53">
              <w:rPr>
                <w:rFonts w:eastAsia="Times New Roman"/>
              </w:rPr>
              <w:t xml:space="preserve"> (VM-20 Section 8.C.1)</w:t>
            </w:r>
            <w:r>
              <w:rPr>
                <w:rFonts w:eastAsia="Times New Roman"/>
              </w:rPr>
              <w:t xml:space="preserve">, the APF should </w:t>
            </w:r>
            <w:r w:rsidR="00926929" w:rsidRPr="00E33983">
              <w:t xml:space="preserve">provide guidance </w:t>
            </w:r>
            <w:r w:rsidR="00A73B5B" w:rsidRPr="00E33983">
              <w:t>on modeling non-guaranteed reinsurance features to</w:t>
            </w:r>
            <w:r w:rsidR="00A13102" w:rsidRPr="00E33983">
              <w:t xml:space="preserve"> be considered</w:t>
            </w:r>
            <w:r w:rsidR="00926929" w:rsidRPr="00E33983">
              <w:t xml:space="preserve"> </w:t>
            </w:r>
            <w:r w:rsidR="00E66632">
              <w:t xml:space="preserve">by </w:t>
            </w:r>
            <w:r w:rsidR="00926929" w:rsidRPr="00E33983">
              <w:t>both ceding companies and assuming companies that promotes</w:t>
            </w:r>
            <w:r w:rsidR="00734F97" w:rsidRPr="00E33983">
              <w:rPr>
                <w:rFonts w:eastAsia="Times New Roman"/>
              </w:rPr>
              <w:t xml:space="preserve"> </w:t>
            </w:r>
            <w:r w:rsidR="00734F97">
              <w:rPr>
                <w:rFonts w:eastAsia="Times New Roman"/>
              </w:rPr>
              <w:t xml:space="preserve">a reasonable relationship between </w:t>
            </w:r>
            <w:r>
              <w:rPr>
                <w:rFonts w:eastAsia="Times New Roman"/>
              </w:rPr>
              <w:t xml:space="preserve">1) </w:t>
            </w:r>
            <w:r w:rsidR="00734F97">
              <w:rPr>
                <w:rFonts w:eastAsia="Times New Roman"/>
              </w:rPr>
              <w:t>the ceding company’s pre-reinsurance reserves vs. 2) the ceding company’s post reinsurance ceded reserve + the reserve held by the assuming company.</w:t>
            </w:r>
          </w:p>
          <w:p w14:paraId="7B96CAC0" w14:textId="77777777" w:rsidR="00375B53" w:rsidRDefault="00375B53" w:rsidP="00375B53">
            <w:pPr>
              <w:rPr>
                <w:rFonts w:ascii="Segoe UI" w:eastAsia="Times New Roman" w:hAnsi="Segoe UI" w:cs="Segoe UI"/>
                <w:color w:val="1A1A1A"/>
                <w:sz w:val="20"/>
                <w:szCs w:val="20"/>
              </w:rPr>
            </w:pPr>
          </w:p>
          <w:p w14:paraId="0452D647" w14:textId="39833D18" w:rsidR="00734F97" w:rsidRPr="004E253E" w:rsidRDefault="00375B53" w:rsidP="004E253E">
            <w:pPr>
              <w:rPr>
                <w:rFonts w:asciiTheme="minorHAnsi" w:eastAsia="Times New Roman" w:hAnsiTheme="minorHAnsi" w:cstheme="minorHAnsi"/>
                <w:color w:val="1A1A1A"/>
                <w:sz w:val="16"/>
                <w:szCs w:val="16"/>
              </w:rPr>
            </w:pPr>
            <w:r w:rsidRPr="00375B53">
              <w:rPr>
                <w:rFonts w:asciiTheme="minorHAnsi" w:eastAsia="Times New Roman" w:hAnsiTheme="minorHAnsi" w:cstheme="minorHAnsi"/>
                <w:color w:val="1A1A1A"/>
                <w:sz w:val="16"/>
                <w:szCs w:val="16"/>
              </w:rPr>
              <w:t>VM-20 Section 8.C.1:  The company shall use assumptions and margins that are appropriate for each company pursuant to a reinsurance agreement. In such instance, the ceding and assuming companies are not required to use the same assumptions and margins for the reinsured policies.</w:t>
            </w:r>
          </w:p>
        </w:tc>
      </w:tr>
      <w:tr w:rsidR="00734F97" w14:paraId="267229C7" w14:textId="77777777" w:rsidTr="00FD0A07">
        <w:tc>
          <w:tcPr>
            <w:tcW w:w="1925" w:type="dxa"/>
          </w:tcPr>
          <w:p w14:paraId="4AB82B27" w14:textId="1DD89DD0" w:rsidR="00734F97" w:rsidRDefault="003C0A1A" w:rsidP="00734F97">
            <w:pPr>
              <w:pStyle w:val="ListParagraph"/>
              <w:numPr>
                <w:ilvl w:val="0"/>
                <w:numId w:val="3"/>
              </w:numPr>
              <w:rPr>
                <w:rFonts w:eastAsia="Times New Roman"/>
              </w:rPr>
            </w:pPr>
            <w:r>
              <w:rPr>
                <w:rFonts w:eastAsia="Times New Roman"/>
              </w:rPr>
              <w:lastRenderedPageBreak/>
              <w:t xml:space="preserve">5. </w:t>
            </w:r>
            <w:r w:rsidR="00734F97">
              <w:rPr>
                <w:rFonts w:eastAsia="Times New Roman"/>
              </w:rPr>
              <w:t>Defined level of risk sharing</w:t>
            </w:r>
          </w:p>
          <w:p w14:paraId="5BA83E80" w14:textId="77777777" w:rsidR="00734F97" w:rsidRDefault="00734F97" w:rsidP="00390449"/>
        </w:tc>
        <w:tc>
          <w:tcPr>
            <w:tcW w:w="7425" w:type="dxa"/>
          </w:tcPr>
          <w:p w14:paraId="373C2C36" w14:textId="0641C51D" w:rsidR="00375B53" w:rsidRDefault="00375B53" w:rsidP="00074997">
            <w:pPr>
              <w:pStyle w:val="ListParagraph"/>
              <w:numPr>
                <w:ilvl w:val="0"/>
                <w:numId w:val="4"/>
              </w:numPr>
              <w:rPr>
                <w:rFonts w:eastAsia="Times New Roman"/>
              </w:rPr>
            </w:pPr>
            <w:r>
              <w:rPr>
                <w:rFonts w:eastAsia="Times New Roman"/>
              </w:rPr>
              <w:t xml:space="preserve">The APF should contain provisions for appropriate risk sharing between </w:t>
            </w:r>
            <w:r w:rsidR="00605979">
              <w:rPr>
                <w:rFonts w:eastAsia="Times New Roman"/>
              </w:rPr>
              <w:t xml:space="preserve">reinsurance counterparties such that the level of assuming company loss acceptance produced is </w:t>
            </w:r>
            <w:r w:rsidR="00AE64C4">
              <w:rPr>
                <w:rFonts w:eastAsia="Times New Roman"/>
              </w:rPr>
              <w:t xml:space="preserve">realistic and </w:t>
            </w:r>
            <w:r w:rsidR="00605979">
              <w:rPr>
                <w:rFonts w:eastAsia="Times New Roman"/>
              </w:rPr>
              <w:t>consistent with the projected scenario</w:t>
            </w:r>
            <w:r w:rsidR="00343E4D">
              <w:rPr>
                <w:rFonts w:eastAsia="Times New Roman"/>
              </w:rPr>
              <w:t xml:space="preserve"> and treaty provisions</w:t>
            </w:r>
            <w:r w:rsidR="00605979">
              <w:rPr>
                <w:rFonts w:eastAsia="Times New Roman"/>
              </w:rPr>
              <w:t>.</w:t>
            </w:r>
          </w:p>
          <w:p w14:paraId="543AD79A" w14:textId="3F0E4B02" w:rsidR="00074997" w:rsidRDefault="00375B53" w:rsidP="00074997">
            <w:pPr>
              <w:pStyle w:val="ListParagraph"/>
              <w:numPr>
                <w:ilvl w:val="0"/>
                <w:numId w:val="4"/>
              </w:numPr>
              <w:rPr>
                <w:rFonts w:eastAsia="Times New Roman"/>
              </w:rPr>
            </w:pPr>
            <w:r>
              <w:rPr>
                <w:rFonts w:eastAsia="Times New Roman"/>
              </w:rPr>
              <w:t xml:space="preserve">The </w:t>
            </w:r>
            <w:r w:rsidR="00CB7D76">
              <w:rPr>
                <w:rFonts w:eastAsia="Times New Roman"/>
              </w:rPr>
              <w:t xml:space="preserve">approach for setting assumptions for non-guaranteed reinsurance elements under the </w:t>
            </w:r>
            <w:r>
              <w:rPr>
                <w:rFonts w:eastAsia="Times New Roman"/>
              </w:rPr>
              <w:t xml:space="preserve">APF should </w:t>
            </w:r>
            <w:r w:rsidR="00CB7D76">
              <w:rPr>
                <w:rFonts w:eastAsia="Times New Roman"/>
              </w:rPr>
              <w:t>be consistent with the considerations in</w:t>
            </w:r>
            <w:r w:rsidR="00BA566B">
              <w:rPr>
                <w:rFonts w:eastAsia="Times New Roman"/>
              </w:rPr>
              <w:t xml:space="preserve"> VM-20 Section 8.C.7</w:t>
            </w:r>
            <w:r w:rsidR="00A13102">
              <w:rPr>
                <w:rFonts w:eastAsia="Times New Roman"/>
              </w:rPr>
              <w:t xml:space="preserve">. In addition to the economic environment considered in 8.C.7.b, </w:t>
            </w:r>
            <w:r w:rsidR="00CB7D76">
              <w:rPr>
                <w:rFonts w:eastAsia="Times New Roman"/>
              </w:rPr>
              <w:t xml:space="preserve">the NGE assumptions should reflect </w:t>
            </w:r>
            <w:r w:rsidR="00E11BFC">
              <w:rPr>
                <w:rFonts w:eastAsia="Times New Roman"/>
              </w:rPr>
              <w:t>other relevant moderately adverse conditions</w:t>
            </w:r>
            <w:r w:rsidR="00CB7D76">
              <w:rPr>
                <w:rFonts w:eastAsia="Times New Roman"/>
              </w:rPr>
              <w:t xml:space="preserve"> </w:t>
            </w:r>
            <w:r w:rsidR="00E11BFC">
              <w:rPr>
                <w:rFonts w:eastAsia="Times New Roman"/>
              </w:rPr>
              <w:t>– including a moderately adverse mortality scenario.</w:t>
            </w:r>
          </w:p>
          <w:p w14:paraId="57B67772" w14:textId="44B8AA1C" w:rsidR="004C5C35" w:rsidRDefault="004C5C35" w:rsidP="00074997">
            <w:pPr>
              <w:pStyle w:val="ListParagraph"/>
              <w:numPr>
                <w:ilvl w:val="0"/>
                <w:numId w:val="4"/>
              </w:numPr>
              <w:rPr>
                <w:rFonts w:eastAsia="Times New Roman"/>
              </w:rPr>
            </w:pPr>
            <w:r>
              <w:rPr>
                <w:rFonts w:eastAsia="Times New Roman"/>
              </w:rPr>
              <w:t>The APF should reflect that assumptions used in determining the modeled reserve should account for any actions that the counterparty has taken or is likely to take (VM-20 Sections 8.C.8 and 8.C.10)</w:t>
            </w:r>
          </w:p>
          <w:p w14:paraId="6B6ACA65" w14:textId="77777777" w:rsidR="00982603" w:rsidRDefault="00982603" w:rsidP="00982603">
            <w:pPr>
              <w:pStyle w:val="ListParagraph"/>
              <w:ind w:left="360"/>
              <w:rPr>
                <w:sz w:val="16"/>
                <w:szCs w:val="16"/>
              </w:rPr>
            </w:pPr>
          </w:p>
          <w:p w14:paraId="1DA158C1" w14:textId="77777777" w:rsidR="0091094A" w:rsidRPr="0091094A" w:rsidRDefault="00982603" w:rsidP="0091094A">
            <w:pPr>
              <w:rPr>
                <w:sz w:val="16"/>
                <w:szCs w:val="16"/>
              </w:rPr>
            </w:pPr>
            <w:r w:rsidRPr="0052560B">
              <w:rPr>
                <w:sz w:val="16"/>
                <w:szCs w:val="16"/>
              </w:rPr>
              <w:t>VM-20 8.C.7</w:t>
            </w:r>
            <w:r w:rsidR="0052560B" w:rsidRPr="0052560B">
              <w:rPr>
                <w:sz w:val="16"/>
                <w:szCs w:val="16"/>
              </w:rPr>
              <w:t>:</w:t>
            </w:r>
            <w:r w:rsidRPr="0052560B">
              <w:rPr>
                <w:sz w:val="16"/>
                <w:szCs w:val="16"/>
              </w:rPr>
              <w:t xml:space="preserve">  The company shall assume that the counterparties to a reinsurance agreement are knowledgeable about the contingencies involved in the agreement and likely to exercise the terms of the agreement to their respective advantage</w:t>
            </w:r>
            <w:r w:rsidRPr="00A13102">
              <w:rPr>
                <w:sz w:val="16"/>
                <w:szCs w:val="16"/>
              </w:rPr>
              <w:t xml:space="preserve">, </w:t>
            </w:r>
            <w:r w:rsidRPr="000E081B">
              <w:rPr>
                <w:sz w:val="16"/>
                <w:szCs w:val="16"/>
              </w:rPr>
              <w:t>taking into account the context of the agreement in the entire economic relationship between the parties</w:t>
            </w:r>
            <w:r w:rsidRPr="00E33983">
              <w:rPr>
                <w:sz w:val="16"/>
                <w:szCs w:val="16"/>
              </w:rPr>
              <w:t>.</w:t>
            </w:r>
            <w:r w:rsidR="0092724A">
              <w:rPr>
                <w:b/>
                <w:bCs/>
                <w:sz w:val="16"/>
                <w:szCs w:val="16"/>
              </w:rPr>
              <w:t xml:space="preserve"> </w:t>
            </w:r>
            <w:r w:rsidR="0091094A" w:rsidRPr="0091094A">
              <w:rPr>
                <w:sz w:val="16"/>
                <w:szCs w:val="16"/>
              </w:rPr>
              <w:t>In setting assumptions for the NGE in reinsurance cash flows, the company shall include, but not be limited to, the following:</w:t>
            </w:r>
          </w:p>
          <w:p w14:paraId="51D6A9DF" w14:textId="77777777" w:rsidR="0091094A" w:rsidRPr="0091094A" w:rsidRDefault="0091094A" w:rsidP="0091094A">
            <w:pPr>
              <w:rPr>
                <w:sz w:val="16"/>
                <w:szCs w:val="16"/>
              </w:rPr>
            </w:pPr>
            <w:r w:rsidRPr="0091094A">
              <w:rPr>
                <w:sz w:val="16"/>
                <w:szCs w:val="16"/>
              </w:rPr>
              <w:t>a. The usual and customary practices associated with such agreements.</w:t>
            </w:r>
          </w:p>
          <w:p w14:paraId="333FADF9" w14:textId="77777777" w:rsidR="0091094A" w:rsidRPr="0091094A" w:rsidRDefault="0091094A" w:rsidP="0091094A">
            <w:pPr>
              <w:rPr>
                <w:sz w:val="16"/>
                <w:szCs w:val="16"/>
              </w:rPr>
            </w:pPr>
            <w:r w:rsidRPr="0091094A">
              <w:rPr>
                <w:sz w:val="16"/>
                <w:szCs w:val="16"/>
              </w:rPr>
              <w:t xml:space="preserve">b. Past practices by the parties concerning the changing of terms, in an </w:t>
            </w:r>
            <w:commentRangeStart w:id="0"/>
            <w:r w:rsidRPr="0091094A">
              <w:rPr>
                <w:sz w:val="16"/>
                <w:szCs w:val="16"/>
              </w:rPr>
              <w:t>economic</w:t>
            </w:r>
            <w:commentRangeEnd w:id="0"/>
            <w:r w:rsidR="00A13102">
              <w:rPr>
                <w:rStyle w:val="CommentReference"/>
              </w:rPr>
              <w:commentReference w:id="0"/>
            </w:r>
            <w:r w:rsidRPr="0091094A">
              <w:rPr>
                <w:sz w:val="16"/>
                <w:szCs w:val="16"/>
              </w:rPr>
              <w:t xml:space="preserve"> environment </w:t>
            </w:r>
            <w:proofErr w:type="gramStart"/>
            <w:r w:rsidRPr="0091094A">
              <w:rPr>
                <w:sz w:val="16"/>
                <w:szCs w:val="16"/>
              </w:rPr>
              <w:t>similar to</w:t>
            </w:r>
            <w:proofErr w:type="gramEnd"/>
            <w:r w:rsidRPr="0091094A">
              <w:rPr>
                <w:sz w:val="16"/>
                <w:szCs w:val="16"/>
              </w:rPr>
              <w:t xml:space="preserve"> that projected.</w:t>
            </w:r>
          </w:p>
          <w:p w14:paraId="2D01FAC1" w14:textId="77777777" w:rsidR="0091094A" w:rsidRPr="0091094A" w:rsidRDefault="0091094A" w:rsidP="0091094A">
            <w:pPr>
              <w:rPr>
                <w:sz w:val="16"/>
                <w:szCs w:val="16"/>
              </w:rPr>
            </w:pPr>
            <w:r w:rsidRPr="0091094A">
              <w:rPr>
                <w:sz w:val="16"/>
                <w:szCs w:val="16"/>
              </w:rPr>
              <w:t>c. Any limits placed upon either party’s ability to exercise contractual options in the reinsurance agreement.</w:t>
            </w:r>
          </w:p>
          <w:p w14:paraId="3FFD9B06" w14:textId="77777777" w:rsidR="0091094A" w:rsidRPr="0091094A" w:rsidRDefault="0091094A" w:rsidP="0091094A">
            <w:pPr>
              <w:rPr>
                <w:sz w:val="16"/>
                <w:szCs w:val="16"/>
              </w:rPr>
            </w:pPr>
            <w:r w:rsidRPr="0091094A">
              <w:rPr>
                <w:sz w:val="16"/>
                <w:szCs w:val="16"/>
              </w:rPr>
              <w:t>d. The ability of the direct-writing company to modify the terms of its policies in response to changes in reinsurance terms.</w:t>
            </w:r>
          </w:p>
          <w:p w14:paraId="7B62BE7F" w14:textId="2B7E58CC" w:rsidR="00982603" w:rsidRPr="0052560B" w:rsidRDefault="0091094A" w:rsidP="0091094A">
            <w:pPr>
              <w:rPr>
                <w:rFonts w:eastAsia="Times New Roman"/>
                <w:sz w:val="16"/>
                <w:szCs w:val="16"/>
              </w:rPr>
            </w:pPr>
            <w:r w:rsidRPr="0091094A">
              <w:rPr>
                <w:sz w:val="16"/>
                <w:szCs w:val="16"/>
              </w:rPr>
              <w:t>e. Actions that might be taken by a party if the counterparty is in financial difficulty.</w:t>
            </w:r>
          </w:p>
          <w:p w14:paraId="7ACC7A6C" w14:textId="77777777" w:rsidR="0092724A" w:rsidRDefault="0092724A" w:rsidP="0092724A">
            <w:pPr>
              <w:rPr>
                <w:sz w:val="16"/>
                <w:szCs w:val="16"/>
              </w:rPr>
            </w:pPr>
          </w:p>
          <w:p w14:paraId="1759C23D" w14:textId="0BCDBC8F" w:rsidR="0092724A" w:rsidRDefault="0092724A" w:rsidP="0092724A">
            <w:pPr>
              <w:rPr>
                <w:sz w:val="16"/>
                <w:szCs w:val="16"/>
              </w:rPr>
            </w:pPr>
            <w:r>
              <w:rPr>
                <w:sz w:val="16"/>
                <w:szCs w:val="16"/>
              </w:rPr>
              <w:t xml:space="preserve">VM-20 8.C.8: </w:t>
            </w:r>
            <w:r w:rsidRPr="0092724A">
              <w:rPr>
                <w:sz w:val="16"/>
                <w:szCs w:val="16"/>
              </w:rPr>
              <w:t>The company shall account for any actions that the ceding company and, if different, the direct-writing company have taken or are likely to take that could affect the expected cash flows of the reinsured business in determining assumptions for the modeled reserve.</w:t>
            </w:r>
          </w:p>
          <w:p w14:paraId="71DAD5FE" w14:textId="77777777" w:rsidR="0092724A" w:rsidRDefault="0092724A" w:rsidP="0092724A">
            <w:pPr>
              <w:rPr>
                <w:sz w:val="16"/>
                <w:szCs w:val="16"/>
              </w:rPr>
            </w:pPr>
          </w:p>
          <w:p w14:paraId="607292AF" w14:textId="406A250D" w:rsidR="0092724A" w:rsidRPr="0092724A" w:rsidRDefault="0092724A" w:rsidP="0092724A">
            <w:pPr>
              <w:rPr>
                <w:sz w:val="16"/>
                <w:szCs w:val="16"/>
              </w:rPr>
            </w:pPr>
            <w:r>
              <w:rPr>
                <w:sz w:val="16"/>
                <w:szCs w:val="16"/>
              </w:rPr>
              <w:t xml:space="preserve">VM-20 8.C.10: </w:t>
            </w:r>
            <w:r w:rsidRPr="0092724A">
              <w:rPr>
                <w:sz w:val="16"/>
                <w:szCs w:val="16"/>
              </w:rPr>
              <w:t>The company shall use assumptions in determining the modeled reserve that account for any actions that the assuming company has taken or is likely to take that could affect the expected cash flows of the reinsured business.</w:t>
            </w:r>
          </w:p>
        </w:tc>
      </w:tr>
      <w:tr w:rsidR="00341FCC" w14:paraId="3A7BE2EB" w14:textId="77777777" w:rsidTr="00FD0A07">
        <w:tc>
          <w:tcPr>
            <w:tcW w:w="1925" w:type="dxa"/>
          </w:tcPr>
          <w:p w14:paraId="2B4F72FD" w14:textId="6B561FC9" w:rsidR="00341FCC" w:rsidRDefault="003C0A1A" w:rsidP="00734F97">
            <w:pPr>
              <w:pStyle w:val="ListParagraph"/>
              <w:numPr>
                <w:ilvl w:val="0"/>
                <w:numId w:val="3"/>
              </w:numPr>
              <w:rPr>
                <w:rFonts w:eastAsia="Times New Roman"/>
              </w:rPr>
            </w:pPr>
            <w:r>
              <w:rPr>
                <w:rFonts w:eastAsia="Times New Roman"/>
              </w:rPr>
              <w:t xml:space="preserve">6. </w:t>
            </w:r>
            <w:r w:rsidR="000B585F">
              <w:rPr>
                <w:rFonts w:eastAsia="Times New Roman"/>
              </w:rPr>
              <w:t xml:space="preserve">Consideration of </w:t>
            </w:r>
            <w:r w:rsidR="00196666">
              <w:rPr>
                <w:rFonts w:eastAsia="Times New Roman"/>
              </w:rPr>
              <w:t>m</w:t>
            </w:r>
            <w:r w:rsidR="00341FCC">
              <w:rPr>
                <w:rFonts w:eastAsia="Times New Roman"/>
              </w:rPr>
              <w:t>ortality improvement beyond the valuation date</w:t>
            </w:r>
          </w:p>
        </w:tc>
        <w:tc>
          <w:tcPr>
            <w:tcW w:w="7425" w:type="dxa"/>
          </w:tcPr>
          <w:p w14:paraId="21FB2309" w14:textId="54D0261E" w:rsidR="00341FCC" w:rsidRPr="004E253E" w:rsidRDefault="001E6EE6" w:rsidP="004E253E">
            <w:pPr>
              <w:pStyle w:val="ListParagraph"/>
              <w:numPr>
                <w:ilvl w:val="0"/>
                <w:numId w:val="5"/>
              </w:numPr>
              <w:rPr>
                <w:rFonts w:eastAsia="Times New Roman"/>
              </w:rPr>
            </w:pPr>
            <w:r w:rsidRPr="004E253E">
              <w:rPr>
                <w:rFonts w:eastAsia="Times New Roman"/>
              </w:rPr>
              <w:t>Differences between the future mortality improvement assumption in the VM-20 prudent estimate mortality (currently not allowed) and any future mortality improvement assumption embedded in the current scale of YRT premiums should not</w:t>
            </w:r>
            <w:r w:rsidR="000552F7" w:rsidRPr="004E253E">
              <w:rPr>
                <w:rFonts w:eastAsia="Times New Roman"/>
              </w:rPr>
              <w:t xml:space="preserve"> be the primary driver</w:t>
            </w:r>
            <w:r w:rsidRPr="004E253E">
              <w:rPr>
                <w:rFonts w:eastAsia="Times New Roman"/>
              </w:rPr>
              <w:t xml:space="preserve"> to a</w:t>
            </w:r>
            <w:r w:rsidR="000552F7" w:rsidRPr="004E253E">
              <w:rPr>
                <w:rFonts w:eastAsia="Times New Roman"/>
              </w:rPr>
              <w:t>n</w:t>
            </w:r>
            <w:r w:rsidRPr="004E253E">
              <w:rPr>
                <w:rFonts w:eastAsia="Times New Roman"/>
              </w:rPr>
              <w:t xml:space="preserve"> </w:t>
            </w:r>
            <w:r w:rsidR="000552F7" w:rsidRPr="004E253E">
              <w:rPr>
                <w:rFonts w:eastAsia="Times New Roman"/>
              </w:rPr>
              <w:t>undue</w:t>
            </w:r>
            <w:r w:rsidRPr="004E253E">
              <w:rPr>
                <w:rFonts w:eastAsia="Times New Roman"/>
              </w:rPr>
              <w:t xml:space="preserve"> reduction in the</w:t>
            </w:r>
            <w:r w:rsidR="00AE491B" w:rsidRPr="004E253E">
              <w:rPr>
                <w:rFonts w:eastAsia="Times New Roman"/>
              </w:rPr>
              <w:t xml:space="preserve"> aggregate reserve for the business, that is the sum of the </w:t>
            </w:r>
            <w:r w:rsidRPr="004E253E">
              <w:rPr>
                <w:rFonts w:eastAsia="Times New Roman"/>
              </w:rPr>
              <w:t xml:space="preserve">ceding company’s post-reinsurance reserve </w:t>
            </w:r>
            <w:r w:rsidR="00AE491B" w:rsidRPr="004E253E">
              <w:rPr>
                <w:rFonts w:eastAsia="Times New Roman"/>
              </w:rPr>
              <w:t>and</w:t>
            </w:r>
            <w:r w:rsidRPr="004E253E">
              <w:rPr>
                <w:rFonts w:eastAsia="Times New Roman"/>
              </w:rPr>
              <w:t xml:space="preserve"> the assuming company’s reserve</w:t>
            </w:r>
            <w:r w:rsidR="00747B93" w:rsidRPr="004E253E">
              <w:rPr>
                <w:rFonts w:eastAsia="Times New Roman"/>
              </w:rPr>
              <w:t xml:space="preserve"> </w:t>
            </w:r>
          </w:p>
        </w:tc>
      </w:tr>
      <w:tr w:rsidR="00E64F1F" w14:paraId="59993641" w14:textId="77777777" w:rsidTr="00FD0A07">
        <w:tc>
          <w:tcPr>
            <w:tcW w:w="1925" w:type="dxa"/>
          </w:tcPr>
          <w:p w14:paraId="29E4DE5A" w14:textId="167868AF" w:rsidR="00E64F1F" w:rsidRDefault="003C0A1A" w:rsidP="00734F97">
            <w:pPr>
              <w:pStyle w:val="ListParagraph"/>
              <w:numPr>
                <w:ilvl w:val="0"/>
                <w:numId w:val="3"/>
              </w:numPr>
              <w:rPr>
                <w:rFonts w:eastAsia="Times New Roman"/>
              </w:rPr>
            </w:pPr>
            <w:r>
              <w:rPr>
                <w:rFonts w:eastAsia="Times New Roman"/>
              </w:rPr>
              <w:t xml:space="preserve">7. </w:t>
            </w:r>
            <w:r w:rsidR="00E64F1F">
              <w:rPr>
                <w:rFonts w:eastAsia="Times New Roman"/>
              </w:rPr>
              <w:t>Requirements outside the Valuation Manual</w:t>
            </w:r>
          </w:p>
        </w:tc>
        <w:tc>
          <w:tcPr>
            <w:tcW w:w="7425" w:type="dxa"/>
          </w:tcPr>
          <w:p w14:paraId="61240D87" w14:textId="4962B82A" w:rsidR="00E64F1F" w:rsidRDefault="00E64F1F" w:rsidP="00734F97">
            <w:pPr>
              <w:pStyle w:val="ListParagraph"/>
              <w:numPr>
                <w:ilvl w:val="1"/>
                <w:numId w:val="3"/>
              </w:numPr>
              <w:ind w:left="393"/>
              <w:rPr>
                <w:rFonts w:eastAsia="Times New Roman"/>
              </w:rPr>
            </w:pPr>
            <w:r>
              <w:rPr>
                <w:rFonts w:eastAsia="Times New Roman"/>
              </w:rPr>
              <w:t xml:space="preserve">The APF </w:t>
            </w:r>
            <w:r w:rsidR="00E06EEE">
              <w:rPr>
                <w:rFonts w:eastAsia="Times New Roman"/>
              </w:rPr>
              <w:t>must</w:t>
            </w:r>
            <w:r>
              <w:rPr>
                <w:rFonts w:eastAsia="Times New Roman"/>
              </w:rPr>
              <w:t xml:space="preserve"> coordinate and align with the Accounting Practices and Procedures Manual</w:t>
            </w:r>
            <w:r w:rsidR="004A0B03">
              <w:rPr>
                <w:rFonts w:eastAsia="Times New Roman"/>
              </w:rPr>
              <w:t xml:space="preserve"> (APPM)</w:t>
            </w:r>
            <w:r>
              <w:rPr>
                <w:rFonts w:eastAsia="Times New Roman"/>
              </w:rPr>
              <w:t>, or if needed, acknowledge that changes would be required</w:t>
            </w:r>
          </w:p>
          <w:p w14:paraId="4DD03505" w14:textId="6F875501" w:rsidR="00E64F1F" w:rsidRDefault="005808F7" w:rsidP="00E64F1F">
            <w:pPr>
              <w:pStyle w:val="ListParagraph"/>
              <w:numPr>
                <w:ilvl w:val="2"/>
                <w:numId w:val="3"/>
              </w:numPr>
              <w:ind w:left="786"/>
              <w:rPr>
                <w:rFonts w:eastAsia="Times New Roman"/>
              </w:rPr>
            </w:pPr>
            <w:r>
              <w:rPr>
                <w:rFonts w:eastAsia="Times New Roman"/>
              </w:rPr>
              <w:t>The APF should consider SSAP No. 61R</w:t>
            </w:r>
          </w:p>
          <w:p w14:paraId="4C32F2CB" w14:textId="3E3858DF" w:rsidR="005808F7" w:rsidRDefault="005808F7" w:rsidP="00E64F1F">
            <w:pPr>
              <w:pStyle w:val="ListParagraph"/>
              <w:numPr>
                <w:ilvl w:val="2"/>
                <w:numId w:val="3"/>
              </w:numPr>
              <w:ind w:left="786"/>
              <w:rPr>
                <w:rFonts w:eastAsia="Times New Roman"/>
              </w:rPr>
            </w:pPr>
            <w:r>
              <w:rPr>
                <w:rFonts w:eastAsia="Times New Roman"/>
              </w:rPr>
              <w:t xml:space="preserve">The APF should consider </w:t>
            </w:r>
            <w:r w:rsidR="004A0B03">
              <w:rPr>
                <w:rFonts w:eastAsia="Times New Roman"/>
              </w:rPr>
              <w:t xml:space="preserve">APPM </w:t>
            </w:r>
            <w:r>
              <w:rPr>
                <w:rFonts w:eastAsia="Times New Roman"/>
              </w:rPr>
              <w:t>Appendix A-791</w:t>
            </w:r>
          </w:p>
        </w:tc>
      </w:tr>
      <w:tr w:rsidR="00734F97" w14:paraId="74655753" w14:textId="77777777" w:rsidTr="00FD0A07">
        <w:tc>
          <w:tcPr>
            <w:tcW w:w="1925" w:type="dxa"/>
          </w:tcPr>
          <w:p w14:paraId="3A6E80CC" w14:textId="1C0EE8FE" w:rsidR="00734F97" w:rsidRDefault="003C0A1A" w:rsidP="00734F97">
            <w:pPr>
              <w:pStyle w:val="ListParagraph"/>
              <w:numPr>
                <w:ilvl w:val="0"/>
                <w:numId w:val="3"/>
              </w:numPr>
              <w:rPr>
                <w:rFonts w:eastAsia="Times New Roman"/>
              </w:rPr>
            </w:pPr>
            <w:r>
              <w:rPr>
                <w:rFonts w:eastAsia="Times New Roman"/>
              </w:rPr>
              <w:t xml:space="preserve">8. </w:t>
            </w:r>
            <w:r w:rsidR="00734F97">
              <w:rPr>
                <w:rFonts w:eastAsia="Times New Roman"/>
              </w:rPr>
              <w:t>Other</w:t>
            </w:r>
            <w:r w:rsidR="00B02834">
              <w:rPr>
                <w:rFonts w:eastAsia="Times New Roman"/>
              </w:rPr>
              <w:t xml:space="preserve"> considerations</w:t>
            </w:r>
            <w:r w:rsidR="00734F97">
              <w:rPr>
                <w:rFonts w:eastAsia="Times New Roman"/>
              </w:rPr>
              <w:t xml:space="preserve"> not shown </w:t>
            </w:r>
            <w:r w:rsidR="00B02834">
              <w:rPr>
                <w:rFonts w:eastAsia="Times New Roman"/>
              </w:rPr>
              <w:t>above</w:t>
            </w:r>
          </w:p>
          <w:p w14:paraId="285AD0BB" w14:textId="77777777" w:rsidR="00734F97" w:rsidRDefault="00734F97" w:rsidP="00390449"/>
        </w:tc>
        <w:tc>
          <w:tcPr>
            <w:tcW w:w="7425" w:type="dxa"/>
          </w:tcPr>
          <w:p w14:paraId="6D27C14C" w14:textId="6E27F446" w:rsidR="00734F97" w:rsidRDefault="00B02834" w:rsidP="00734F97">
            <w:pPr>
              <w:pStyle w:val="ListParagraph"/>
              <w:numPr>
                <w:ilvl w:val="1"/>
                <w:numId w:val="3"/>
              </w:numPr>
              <w:ind w:left="393"/>
              <w:rPr>
                <w:rFonts w:eastAsia="Times New Roman"/>
              </w:rPr>
            </w:pPr>
            <w:r>
              <w:rPr>
                <w:rFonts w:eastAsia="Times New Roman"/>
              </w:rPr>
              <w:t>The APF should p</w:t>
            </w:r>
            <w:r w:rsidR="00734F97">
              <w:rPr>
                <w:rFonts w:eastAsia="Times New Roman"/>
              </w:rPr>
              <w:t>romote a level playing field (e.g. not favor large companies over small companies</w:t>
            </w:r>
            <w:r w:rsidR="001E6EE6">
              <w:rPr>
                <w:rFonts w:eastAsia="Times New Roman"/>
              </w:rPr>
              <w:t>, not favor companies with YRT reinsurance over companies without YRT reinsurance</w:t>
            </w:r>
            <w:r w:rsidR="00734F97">
              <w:rPr>
                <w:rFonts w:eastAsia="Times New Roman"/>
              </w:rPr>
              <w:t>)</w:t>
            </w:r>
          </w:p>
          <w:p w14:paraId="292F6A69" w14:textId="58A8A67E"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encourage the use of captives</w:t>
            </w:r>
          </w:p>
          <w:p w14:paraId="1B1203E8" w14:textId="7FBAEE53"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lead to market disruption (e.g. discouraging use of YRT reinsurance; greatly increasing cost to consumers)</w:t>
            </w:r>
          </w:p>
          <w:p w14:paraId="1D2C92E1" w14:textId="02B13DFE"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discourage innovation</w:t>
            </w:r>
          </w:p>
          <w:p w14:paraId="7D29312A" w14:textId="77777777" w:rsidR="00860DFF" w:rsidRPr="00B02834" w:rsidRDefault="00860DFF" w:rsidP="00860DFF">
            <w:pPr>
              <w:pStyle w:val="ListParagraph"/>
              <w:numPr>
                <w:ilvl w:val="1"/>
                <w:numId w:val="3"/>
              </w:numPr>
              <w:ind w:left="393"/>
              <w:rPr>
                <w:rFonts w:eastAsia="Times New Roman"/>
              </w:rPr>
            </w:pPr>
            <w:r>
              <w:rPr>
                <w:rFonts w:eastAsia="Times New Roman"/>
              </w:rPr>
              <w:t xml:space="preserve">The APF should handle all existing types of non-guaranteed reinsurance.  </w:t>
            </w:r>
            <w:r w:rsidRPr="00B02834">
              <w:rPr>
                <w:rFonts w:eastAsia="Times New Roman"/>
              </w:rPr>
              <w:t xml:space="preserve">While the most commonly considered non-guaranteed </w:t>
            </w:r>
            <w:proofErr w:type="gramStart"/>
            <w:r w:rsidRPr="00B02834">
              <w:rPr>
                <w:rFonts w:eastAsia="Times New Roman"/>
              </w:rPr>
              <w:t>reinsurance</w:t>
            </w:r>
            <w:proofErr w:type="gramEnd"/>
            <w:r w:rsidRPr="00B02834">
              <w:rPr>
                <w:rFonts w:eastAsia="Times New Roman"/>
              </w:rPr>
              <w:t xml:space="preserve"> feature </w:t>
            </w:r>
            <w:r w:rsidRPr="00B02834">
              <w:rPr>
                <w:rFonts w:eastAsia="Times New Roman"/>
              </w:rPr>
              <w:lastRenderedPageBreak/>
              <w:t xml:space="preserve">is future YRT premium rates, other non-guaranteed features are also to be considered, such as non-guaranteed expense allowances.  </w:t>
            </w:r>
          </w:p>
          <w:p w14:paraId="3F066BE0" w14:textId="3DC14FD7" w:rsidR="00734F97" w:rsidRPr="004E253E" w:rsidRDefault="00860DFF" w:rsidP="004E253E">
            <w:pPr>
              <w:pStyle w:val="ListParagraph"/>
              <w:numPr>
                <w:ilvl w:val="1"/>
                <w:numId w:val="3"/>
              </w:numPr>
              <w:ind w:left="393"/>
              <w:rPr>
                <w:rFonts w:eastAsia="Times New Roman"/>
              </w:rPr>
            </w:pPr>
            <w:r>
              <w:rPr>
                <w:rFonts w:eastAsia="Times New Roman"/>
              </w:rPr>
              <w:t>The APF should ideally contain language flexible enough to address emerging reinsurance structures that have not yet been seen in the marketplace</w:t>
            </w:r>
          </w:p>
        </w:tc>
      </w:tr>
      <w:tr w:rsidR="004E253E" w14:paraId="324C076B" w14:textId="77777777" w:rsidTr="00FD0A07">
        <w:tc>
          <w:tcPr>
            <w:tcW w:w="1925" w:type="dxa"/>
          </w:tcPr>
          <w:p w14:paraId="21E452C9" w14:textId="7E22751E" w:rsidR="004E253E" w:rsidRDefault="003C0A1A" w:rsidP="00734F97">
            <w:pPr>
              <w:pStyle w:val="ListParagraph"/>
              <w:numPr>
                <w:ilvl w:val="0"/>
                <w:numId w:val="3"/>
              </w:numPr>
              <w:rPr>
                <w:rFonts w:eastAsia="Times New Roman"/>
              </w:rPr>
            </w:pPr>
            <w:r>
              <w:rPr>
                <w:rFonts w:eastAsia="Times New Roman"/>
              </w:rPr>
              <w:lastRenderedPageBreak/>
              <w:t xml:space="preserve">9. </w:t>
            </w:r>
            <w:r w:rsidR="004E253E">
              <w:rPr>
                <w:rFonts w:eastAsia="Times New Roman"/>
              </w:rPr>
              <w:t>Outstanding Questions</w:t>
            </w:r>
          </w:p>
        </w:tc>
        <w:tc>
          <w:tcPr>
            <w:tcW w:w="7425" w:type="dxa"/>
          </w:tcPr>
          <w:p w14:paraId="4F48AE1A" w14:textId="4BF7DA69" w:rsidR="004E253E" w:rsidRDefault="004E253E" w:rsidP="00734F97">
            <w:pPr>
              <w:pStyle w:val="ListParagraph"/>
              <w:numPr>
                <w:ilvl w:val="1"/>
                <w:numId w:val="3"/>
              </w:numPr>
              <w:ind w:left="393"/>
              <w:rPr>
                <w:rFonts w:eastAsia="Times New Roman"/>
              </w:rPr>
            </w:pPr>
            <w:r w:rsidRPr="004E253E">
              <w:rPr>
                <w:rFonts w:eastAsia="Times New Roman"/>
              </w:rPr>
              <w:t xml:space="preserve">Should negative reserve credits be avoided, i.e. should there be a floor on the reserve credit (such as ½ </w:t>
            </w:r>
            <w:proofErr w:type="spellStart"/>
            <w:r w:rsidRPr="004E253E">
              <w:rPr>
                <w:rFonts w:eastAsia="Times New Roman"/>
              </w:rPr>
              <w:t>Cx</w:t>
            </w:r>
            <w:proofErr w:type="spellEnd"/>
            <w:r w:rsidRPr="004E253E">
              <w:rPr>
                <w:rFonts w:eastAsia="Times New Roman"/>
              </w:rPr>
              <w:t>)?</w:t>
            </w:r>
          </w:p>
        </w:tc>
      </w:tr>
    </w:tbl>
    <w:p w14:paraId="43CE5054" w14:textId="77777777" w:rsidR="00734F97" w:rsidRDefault="00734F97" w:rsidP="00390449"/>
    <w:p w14:paraId="62D33A9F" w14:textId="77777777" w:rsidR="00756CEE" w:rsidRDefault="00756CEE" w:rsidP="00390449"/>
    <w:p w14:paraId="1461E25F" w14:textId="77777777" w:rsidR="00046C14" w:rsidRPr="00390449" w:rsidRDefault="00046C14" w:rsidP="00390449"/>
    <w:sectPr w:rsidR="00046C14" w:rsidRPr="003904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Neal, Scott" w:date="2020-10-20T10:13:00Z" w:initials="OS">
    <w:p w14:paraId="1B74D077" w14:textId="789E7756" w:rsidR="00716311" w:rsidRDefault="00716311">
      <w:pPr>
        <w:pStyle w:val="CommentText"/>
      </w:pPr>
      <w:r>
        <w:rPr>
          <w:rStyle w:val="CommentReference"/>
        </w:rPr>
        <w:annotationRef/>
      </w:r>
      <w:r>
        <w:t>Consider changing 8.C.7.b economic environment in Valuation Manual</w:t>
      </w:r>
      <w:r w:rsidR="00CE352E">
        <w:t xml:space="preserve"> to encompass more potential moderately adverse environments – such as a moderately adverse mortality environment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74D0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6DE" w16cex:dateUtc="2020-10-20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4D077" w16cid:durableId="233936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018F5"/>
    <w:multiLevelType w:val="hybridMultilevel"/>
    <w:tmpl w:val="078E4B54"/>
    <w:lvl w:ilvl="0" w:tplc="0409000F">
      <w:start w:val="1"/>
      <w:numFmt w:val="decimal"/>
      <w:lvlText w:val="%1."/>
      <w:lvlJc w:val="left"/>
      <w:pPr>
        <w:ind w:left="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58ED3847"/>
    <w:multiLevelType w:val="hybridMultilevel"/>
    <w:tmpl w:val="9B9C3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1E23623"/>
    <w:multiLevelType w:val="hybridMultilevel"/>
    <w:tmpl w:val="33D869EC"/>
    <w:lvl w:ilvl="0" w:tplc="E9A615D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7A29"/>
    <w:multiLevelType w:val="hybridMultilevel"/>
    <w:tmpl w:val="B576FA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9"/>
    <w:rsid w:val="00000A11"/>
    <w:rsid w:val="000166C9"/>
    <w:rsid w:val="00046C14"/>
    <w:rsid w:val="000552F7"/>
    <w:rsid w:val="00074997"/>
    <w:rsid w:val="000B585F"/>
    <w:rsid w:val="000E081B"/>
    <w:rsid w:val="000E7A65"/>
    <w:rsid w:val="00137F1D"/>
    <w:rsid w:val="00196666"/>
    <w:rsid w:val="001A48D4"/>
    <w:rsid w:val="001B2E4D"/>
    <w:rsid w:val="001E6EE6"/>
    <w:rsid w:val="001F5822"/>
    <w:rsid w:val="002404E1"/>
    <w:rsid w:val="002721DE"/>
    <w:rsid w:val="0029788D"/>
    <w:rsid w:val="002F534A"/>
    <w:rsid w:val="00341FCC"/>
    <w:rsid w:val="00343E4D"/>
    <w:rsid w:val="00375B53"/>
    <w:rsid w:val="00390449"/>
    <w:rsid w:val="00393232"/>
    <w:rsid w:val="003A2E18"/>
    <w:rsid w:val="003C0A1A"/>
    <w:rsid w:val="003D1FB8"/>
    <w:rsid w:val="00474BD9"/>
    <w:rsid w:val="004A0B03"/>
    <w:rsid w:val="004C5C35"/>
    <w:rsid w:val="004E253E"/>
    <w:rsid w:val="0052560B"/>
    <w:rsid w:val="00575C7A"/>
    <w:rsid w:val="005808F7"/>
    <w:rsid w:val="005D5C38"/>
    <w:rsid w:val="00605979"/>
    <w:rsid w:val="00617740"/>
    <w:rsid w:val="0066723B"/>
    <w:rsid w:val="00716311"/>
    <w:rsid w:val="00716968"/>
    <w:rsid w:val="00734F97"/>
    <w:rsid w:val="00747B93"/>
    <w:rsid w:val="00756CEE"/>
    <w:rsid w:val="0075708D"/>
    <w:rsid w:val="0076688B"/>
    <w:rsid w:val="00813B79"/>
    <w:rsid w:val="00860DFF"/>
    <w:rsid w:val="00873FB1"/>
    <w:rsid w:val="00882632"/>
    <w:rsid w:val="008935E6"/>
    <w:rsid w:val="0091094A"/>
    <w:rsid w:val="00926929"/>
    <w:rsid w:val="0092724A"/>
    <w:rsid w:val="00982603"/>
    <w:rsid w:val="009C6EED"/>
    <w:rsid w:val="00A045AD"/>
    <w:rsid w:val="00A13102"/>
    <w:rsid w:val="00A268DF"/>
    <w:rsid w:val="00A31CEA"/>
    <w:rsid w:val="00A73B5B"/>
    <w:rsid w:val="00AA7718"/>
    <w:rsid w:val="00AA7C54"/>
    <w:rsid w:val="00AE491B"/>
    <w:rsid w:val="00AE64C4"/>
    <w:rsid w:val="00AF4DA6"/>
    <w:rsid w:val="00B02834"/>
    <w:rsid w:val="00B929A2"/>
    <w:rsid w:val="00B95D0A"/>
    <w:rsid w:val="00BA566B"/>
    <w:rsid w:val="00BF13AE"/>
    <w:rsid w:val="00BF432F"/>
    <w:rsid w:val="00C006E5"/>
    <w:rsid w:val="00C02C0F"/>
    <w:rsid w:val="00C62A57"/>
    <w:rsid w:val="00C673FC"/>
    <w:rsid w:val="00C73C3C"/>
    <w:rsid w:val="00CB7D76"/>
    <w:rsid w:val="00CE352E"/>
    <w:rsid w:val="00CF78C9"/>
    <w:rsid w:val="00DC7065"/>
    <w:rsid w:val="00E06EEE"/>
    <w:rsid w:val="00E11BFC"/>
    <w:rsid w:val="00E33983"/>
    <w:rsid w:val="00E64F1F"/>
    <w:rsid w:val="00E66632"/>
    <w:rsid w:val="00EA42B2"/>
    <w:rsid w:val="00EC3DD5"/>
    <w:rsid w:val="00EF33DE"/>
    <w:rsid w:val="00F103D9"/>
    <w:rsid w:val="00F11B2B"/>
    <w:rsid w:val="00F51341"/>
    <w:rsid w:val="00FA2D11"/>
    <w:rsid w:val="00FD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549C"/>
  <w15:chartTrackingRefBased/>
  <w15:docId w15:val="{8251115A-78B1-4FFB-9375-367EAB2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49"/>
    <w:pPr>
      <w:ind w:left="720"/>
    </w:pPr>
  </w:style>
  <w:style w:type="table" w:styleId="TableGrid">
    <w:name w:val="Table Grid"/>
    <w:basedOn w:val="TableNormal"/>
    <w:uiPriority w:val="39"/>
    <w:rsid w:val="0073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03"/>
    <w:rPr>
      <w:rFonts w:ascii="Segoe UI" w:hAnsi="Segoe UI" w:cs="Segoe UI"/>
      <w:sz w:val="18"/>
      <w:szCs w:val="18"/>
    </w:rPr>
  </w:style>
  <w:style w:type="character" w:styleId="CommentReference">
    <w:name w:val="annotation reference"/>
    <w:basedOn w:val="DefaultParagraphFont"/>
    <w:uiPriority w:val="99"/>
    <w:semiHidden/>
    <w:unhideWhenUsed/>
    <w:rsid w:val="00A73B5B"/>
    <w:rPr>
      <w:sz w:val="16"/>
      <w:szCs w:val="16"/>
    </w:rPr>
  </w:style>
  <w:style w:type="paragraph" w:styleId="CommentText">
    <w:name w:val="annotation text"/>
    <w:basedOn w:val="Normal"/>
    <w:link w:val="CommentTextChar"/>
    <w:uiPriority w:val="99"/>
    <w:semiHidden/>
    <w:unhideWhenUsed/>
    <w:rsid w:val="00A73B5B"/>
    <w:rPr>
      <w:sz w:val="20"/>
      <w:szCs w:val="20"/>
    </w:rPr>
  </w:style>
  <w:style w:type="character" w:customStyle="1" w:styleId="CommentTextChar">
    <w:name w:val="Comment Text Char"/>
    <w:basedOn w:val="DefaultParagraphFont"/>
    <w:link w:val="CommentText"/>
    <w:uiPriority w:val="99"/>
    <w:semiHidden/>
    <w:rsid w:val="00A73B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3B5B"/>
    <w:rPr>
      <w:b/>
      <w:bCs/>
    </w:rPr>
  </w:style>
  <w:style w:type="character" w:customStyle="1" w:styleId="CommentSubjectChar">
    <w:name w:val="Comment Subject Char"/>
    <w:basedOn w:val="CommentTextChar"/>
    <w:link w:val="CommentSubject"/>
    <w:uiPriority w:val="99"/>
    <w:semiHidden/>
    <w:rsid w:val="00A73B5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57799">
      <w:bodyDiv w:val="1"/>
      <w:marLeft w:val="0"/>
      <w:marRight w:val="0"/>
      <w:marTop w:val="0"/>
      <w:marBottom w:val="0"/>
      <w:divBdr>
        <w:top w:val="none" w:sz="0" w:space="0" w:color="auto"/>
        <w:left w:val="none" w:sz="0" w:space="0" w:color="auto"/>
        <w:bottom w:val="none" w:sz="0" w:space="0" w:color="auto"/>
        <w:right w:val="none" w:sz="0" w:space="0" w:color="auto"/>
      </w:divBdr>
    </w:div>
    <w:div w:id="1078867243">
      <w:bodyDiv w:val="1"/>
      <w:marLeft w:val="0"/>
      <w:marRight w:val="0"/>
      <w:marTop w:val="0"/>
      <w:marBottom w:val="0"/>
      <w:divBdr>
        <w:top w:val="none" w:sz="0" w:space="0" w:color="auto"/>
        <w:left w:val="none" w:sz="0" w:space="0" w:color="auto"/>
        <w:bottom w:val="none" w:sz="0" w:space="0" w:color="auto"/>
        <w:right w:val="none" w:sz="0" w:space="0" w:color="auto"/>
      </w:divBdr>
      <w:divsChild>
        <w:div w:id="1649280165">
          <w:marLeft w:val="0"/>
          <w:marRight w:val="0"/>
          <w:marTop w:val="0"/>
          <w:marBottom w:val="0"/>
          <w:divBdr>
            <w:top w:val="none" w:sz="0" w:space="0" w:color="auto"/>
            <w:left w:val="none" w:sz="0" w:space="0" w:color="auto"/>
            <w:bottom w:val="none" w:sz="0" w:space="0" w:color="auto"/>
            <w:right w:val="none" w:sz="0" w:space="0" w:color="auto"/>
          </w:divBdr>
          <w:divsChild>
            <w:div w:id="1037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997">
      <w:bodyDiv w:val="1"/>
      <w:marLeft w:val="0"/>
      <w:marRight w:val="0"/>
      <w:marTop w:val="0"/>
      <w:marBottom w:val="0"/>
      <w:divBdr>
        <w:top w:val="none" w:sz="0" w:space="0" w:color="auto"/>
        <w:left w:val="none" w:sz="0" w:space="0" w:color="auto"/>
        <w:bottom w:val="none" w:sz="0" w:space="0" w:color="auto"/>
        <w:right w:val="none" w:sz="0" w:space="0" w:color="auto"/>
      </w:divBdr>
      <w:divsChild>
        <w:div w:id="1090852438">
          <w:marLeft w:val="0"/>
          <w:marRight w:val="0"/>
          <w:marTop w:val="0"/>
          <w:marBottom w:val="0"/>
          <w:divBdr>
            <w:top w:val="none" w:sz="0" w:space="0" w:color="auto"/>
            <w:left w:val="none" w:sz="0" w:space="0" w:color="auto"/>
            <w:bottom w:val="none" w:sz="0" w:space="0" w:color="auto"/>
            <w:right w:val="none" w:sz="0" w:space="0" w:color="auto"/>
          </w:divBdr>
          <w:divsChild>
            <w:div w:id="17947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386A-E013-41E1-B01D-3F2DEA57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dc:creator>
  <cp:keywords/>
  <dc:description/>
  <cp:lastModifiedBy>O'Neal, Scott</cp:lastModifiedBy>
  <cp:revision>5</cp:revision>
  <dcterms:created xsi:type="dcterms:W3CDTF">2020-11-05T15:00:00Z</dcterms:created>
  <dcterms:modified xsi:type="dcterms:W3CDTF">2020-11-12T21:45:00Z</dcterms:modified>
</cp:coreProperties>
</file>