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905A" w14:textId="6DE7DEFA" w:rsidR="00844EFA" w:rsidRPr="000B28F6" w:rsidRDefault="00BC7220" w:rsidP="00087886">
      <w:pPr>
        <w:jc w:val="center"/>
        <w:rPr>
          <w:rFonts w:cstheme="minorHAnsi"/>
          <w:b/>
          <w:bCs/>
          <w:sz w:val="24"/>
          <w:szCs w:val="24"/>
          <w:u w:val="single"/>
        </w:rPr>
      </w:pPr>
      <w:r w:rsidRPr="00E52A0A">
        <w:rPr>
          <w:rFonts w:cstheme="minorHAnsi"/>
          <w:b/>
          <w:bCs/>
          <w:sz w:val="32"/>
          <w:szCs w:val="32"/>
          <w:u w:val="single"/>
        </w:rPr>
        <w:t>Cyber Vulnerability</w:t>
      </w:r>
      <w:r w:rsidR="004C0FF9" w:rsidRPr="00E52A0A">
        <w:rPr>
          <w:rFonts w:cstheme="minorHAnsi"/>
          <w:b/>
          <w:bCs/>
          <w:sz w:val="32"/>
          <w:szCs w:val="32"/>
          <w:u w:val="single"/>
        </w:rPr>
        <w:t xml:space="preserve"> </w:t>
      </w:r>
      <w:r w:rsidR="00E52A0A">
        <w:rPr>
          <w:rFonts w:cstheme="minorHAnsi"/>
          <w:b/>
          <w:bCs/>
          <w:sz w:val="32"/>
          <w:szCs w:val="32"/>
          <w:u w:val="single"/>
        </w:rPr>
        <w:t>Response Plan</w:t>
      </w:r>
    </w:p>
    <w:p w14:paraId="7F6B92D7" w14:textId="5CED3378" w:rsidR="00087886" w:rsidRPr="000B28F6" w:rsidRDefault="00087886" w:rsidP="00087886">
      <w:pPr>
        <w:jc w:val="center"/>
        <w:rPr>
          <w:rFonts w:cstheme="minorHAnsi"/>
          <w:b/>
          <w:bCs/>
          <w:sz w:val="24"/>
          <w:szCs w:val="24"/>
          <w:u w:val="single"/>
        </w:rPr>
      </w:pPr>
    </w:p>
    <w:p w14:paraId="12DC7C0E" w14:textId="0DB64B0E" w:rsidR="00087886" w:rsidRPr="00004FA9" w:rsidRDefault="00004FA9" w:rsidP="00004FA9">
      <w:pPr>
        <w:jc w:val="both"/>
        <w:rPr>
          <w:rFonts w:cstheme="minorHAnsi"/>
          <w:b/>
          <w:bCs/>
          <w:smallCaps/>
          <w:sz w:val="28"/>
          <w:szCs w:val="28"/>
          <w:u w:val="single"/>
        </w:rPr>
      </w:pPr>
      <w:r>
        <w:rPr>
          <w:rFonts w:cstheme="minorHAnsi"/>
          <w:b/>
          <w:bCs/>
          <w:smallCaps/>
          <w:sz w:val="28"/>
          <w:szCs w:val="28"/>
          <w:u w:val="single"/>
        </w:rPr>
        <w:t>o</w:t>
      </w:r>
      <w:r w:rsidR="002A44B6" w:rsidRPr="00004FA9">
        <w:rPr>
          <w:rFonts w:cstheme="minorHAnsi"/>
          <w:b/>
          <w:bCs/>
          <w:smallCaps/>
          <w:sz w:val="28"/>
          <w:szCs w:val="28"/>
          <w:u w:val="single"/>
        </w:rPr>
        <w:t>verview</w:t>
      </w:r>
    </w:p>
    <w:p w14:paraId="3FEE190A" w14:textId="575F6037" w:rsidR="00092662" w:rsidRPr="000B28F6" w:rsidRDefault="00C742C4" w:rsidP="004A35C7">
      <w:pPr>
        <w:jc w:val="both"/>
        <w:rPr>
          <w:rFonts w:cstheme="minorHAnsi"/>
          <w:sz w:val="24"/>
          <w:szCs w:val="24"/>
        </w:rPr>
      </w:pPr>
      <w:r w:rsidRPr="000B28F6">
        <w:rPr>
          <w:rFonts w:cstheme="minorHAnsi"/>
          <w:sz w:val="24"/>
          <w:szCs w:val="24"/>
        </w:rPr>
        <w:t xml:space="preserve">Cyber vulnerabilities have become increasingly prevalent and significant as cyber criminals seek to exploit vulnerabilities to breach a company’s IT security defenses. </w:t>
      </w:r>
      <w:r w:rsidR="00092662" w:rsidRPr="000B28F6">
        <w:rPr>
          <w:rFonts w:cstheme="minorHAnsi"/>
          <w:sz w:val="24"/>
          <w:szCs w:val="24"/>
        </w:rPr>
        <w:t xml:space="preserve">Conducting a preliminary investigation </w:t>
      </w:r>
      <w:r w:rsidR="001A1A20" w:rsidRPr="000B28F6">
        <w:rPr>
          <w:rFonts w:cstheme="minorHAnsi"/>
          <w:sz w:val="24"/>
          <w:szCs w:val="24"/>
        </w:rPr>
        <w:t xml:space="preserve">of </w:t>
      </w:r>
      <w:r w:rsidR="00527A72">
        <w:rPr>
          <w:rFonts w:cstheme="minorHAnsi"/>
          <w:sz w:val="24"/>
          <w:szCs w:val="24"/>
        </w:rPr>
        <w:t xml:space="preserve">possible exposure to these </w:t>
      </w:r>
      <w:r w:rsidR="00092662" w:rsidRPr="000B28F6">
        <w:rPr>
          <w:rFonts w:cstheme="minorHAnsi"/>
          <w:sz w:val="24"/>
          <w:szCs w:val="24"/>
        </w:rPr>
        <w:t xml:space="preserve">vulnerabilities as they arise </w:t>
      </w:r>
      <w:r w:rsidR="001A1A20" w:rsidRPr="000B28F6">
        <w:rPr>
          <w:rFonts w:cstheme="minorHAnsi"/>
          <w:sz w:val="24"/>
          <w:szCs w:val="24"/>
        </w:rPr>
        <w:t>can help</w:t>
      </w:r>
      <w:r w:rsidR="00092662" w:rsidRPr="000B28F6">
        <w:rPr>
          <w:rFonts w:cstheme="minorHAnsi"/>
          <w:sz w:val="24"/>
          <w:szCs w:val="24"/>
        </w:rPr>
        <w:t xml:space="preserve"> financial regulators evaluate the operational resiliency of</w:t>
      </w:r>
      <w:r w:rsidR="001A1A20" w:rsidRPr="000B28F6">
        <w:rPr>
          <w:rFonts w:cstheme="minorHAnsi"/>
          <w:sz w:val="24"/>
          <w:szCs w:val="24"/>
        </w:rPr>
        <w:t xml:space="preserve"> their groups/domestic</w:t>
      </w:r>
      <w:r w:rsidR="00092662" w:rsidRPr="000B28F6">
        <w:rPr>
          <w:rFonts w:cstheme="minorHAnsi"/>
          <w:sz w:val="24"/>
          <w:szCs w:val="24"/>
        </w:rPr>
        <w:t xml:space="preserve"> insurance companies and determine </w:t>
      </w:r>
      <w:r w:rsidR="00085A19">
        <w:rPr>
          <w:rFonts w:cstheme="minorHAnsi"/>
          <w:sz w:val="24"/>
          <w:szCs w:val="24"/>
        </w:rPr>
        <w:t>whether</w:t>
      </w:r>
      <w:r w:rsidR="00092662" w:rsidRPr="000B28F6">
        <w:rPr>
          <w:rFonts w:cstheme="minorHAnsi"/>
          <w:sz w:val="24"/>
          <w:szCs w:val="24"/>
        </w:rPr>
        <w:t xml:space="preserve"> a cyber event </w:t>
      </w:r>
      <w:r w:rsidR="00085A19">
        <w:rPr>
          <w:rFonts w:cstheme="minorHAnsi"/>
          <w:sz w:val="24"/>
          <w:szCs w:val="24"/>
        </w:rPr>
        <w:t>has occurred that would require further investigation</w:t>
      </w:r>
      <w:r w:rsidR="001A1A20" w:rsidRPr="000B28F6">
        <w:rPr>
          <w:rFonts w:cstheme="minorHAnsi"/>
          <w:sz w:val="24"/>
          <w:szCs w:val="24"/>
        </w:rPr>
        <w:t>.</w:t>
      </w:r>
    </w:p>
    <w:p w14:paraId="73A75A00" w14:textId="327243B8" w:rsidR="00C742C4" w:rsidRPr="000B28F6" w:rsidRDefault="00527A72" w:rsidP="004A35C7">
      <w:pPr>
        <w:jc w:val="both"/>
        <w:rPr>
          <w:rFonts w:cstheme="minorHAnsi"/>
          <w:sz w:val="24"/>
          <w:szCs w:val="24"/>
        </w:rPr>
      </w:pPr>
      <w:r>
        <w:rPr>
          <w:rFonts w:cstheme="minorHAnsi"/>
          <w:sz w:val="24"/>
          <w:szCs w:val="24"/>
        </w:rPr>
        <w:t xml:space="preserve">However, it is important to note </w:t>
      </w:r>
      <w:r w:rsidR="00004FA9">
        <w:rPr>
          <w:rFonts w:cstheme="minorHAnsi"/>
          <w:sz w:val="24"/>
          <w:szCs w:val="24"/>
        </w:rPr>
        <w:t xml:space="preserve">that </w:t>
      </w:r>
      <w:r w:rsidR="00004FA9" w:rsidRPr="000B28F6">
        <w:rPr>
          <w:rFonts w:cstheme="minorHAnsi"/>
          <w:sz w:val="24"/>
          <w:szCs w:val="24"/>
        </w:rPr>
        <w:t>reported</w:t>
      </w:r>
      <w:r w:rsidR="00C742C4" w:rsidRPr="000B28F6">
        <w:rPr>
          <w:rFonts w:cstheme="minorHAnsi"/>
          <w:sz w:val="24"/>
          <w:szCs w:val="24"/>
        </w:rPr>
        <w:t xml:space="preserve"> vulnerabilities do not necessarily indicate a cyber breach that would trigger formal notifications and consumer protection requirements, as companies </w:t>
      </w:r>
      <w:r w:rsidR="00085A19">
        <w:rPr>
          <w:rFonts w:cstheme="minorHAnsi"/>
          <w:sz w:val="24"/>
          <w:szCs w:val="24"/>
        </w:rPr>
        <w:t>should be addressing</w:t>
      </w:r>
      <w:r w:rsidR="00C742C4" w:rsidRPr="000B28F6">
        <w:rPr>
          <w:rFonts w:cstheme="minorHAnsi"/>
          <w:sz w:val="24"/>
          <w:szCs w:val="24"/>
        </w:rPr>
        <w:t xml:space="preserve"> vulnerabilities before they can be exploited. As such, many states assign the responsibility for investigation of significant reported vulnerabilities to financial regulators either as a follow-up to ongoing financial exam work in assessing and monitoring IT security controls or as part of an ad-hoc </w:t>
      </w:r>
      <w:r w:rsidR="00725415">
        <w:rPr>
          <w:rFonts w:cstheme="minorHAnsi"/>
          <w:sz w:val="24"/>
          <w:szCs w:val="24"/>
        </w:rPr>
        <w:t xml:space="preserve">financial analysis </w:t>
      </w:r>
      <w:r w:rsidR="00C742C4" w:rsidRPr="000B28F6">
        <w:rPr>
          <w:rFonts w:cstheme="minorHAnsi"/>
          <w:sz w:val="24"/>
          <w:szCs w:val="24"/>
        </w:rPr>
        <w:t xml:space="preserve">inquiry where appropriate. </w:t>
      </w:r>
      <w:r w:rsidR="00933939">
        <w:rPr>
          <w:rFonts w:cstheme="minorHAnsi"/>
          <w:sz w:val="24"/>
          <w:szCs w:val="24"/>
        </w:rPr>
        <w:t xml:space="preserve">Recent examples of such vulnerabilities </w:t>
      </w:r>
      <w:r w:rsidR="00B822B1">
        <w:rPr>
          <w:rFonts w:cstheme="minorHAnsi"/>
          <w:sz w:val="24"/>
          <w:szCs w:val="24"/>
        </w:rPr>
        <w:t xml:space="preserve">include </w:t>
      </w:r>
      <w:r w:rsidR="00933939">
        <w:rPr>
          <w:rFonts w:cstheme="minorHAnsi"/>
          <w:sz w:val="24"/>
          <w:szCs w:val="24"/>
        </w:rPr>
        <w:t>the Microsoft Exchange server weaknesses, SolarWinds remote code execution vulnerability,</w:t>
      </w:r>
      <w:r w:rsidR="009479A3">
        <w:rPr>
          <w:rFonts w:cstheme="minorHAnsi"/>
          <w:sz w:val="24"/>
          <w:szCs w:val="24"/>
        </w:rPr>
        <w:t xml:space="preserve"> </w:t>
      </w:r>
      <w:r w:rsidR="00933939">
        <w:rPr>
          <w:rFonts w:cstheme="minorHAnsi"/>
          <w:sz w:val="24"/>
          <w:szCs w:val="24"/>
        </w:rPr>
        <w:t>and Qualys cloud storage vulnerability.</w:t>
      </w:r>
      <w:r w:rsidR="001467F8">
        <w:rPr>
          <w:rFonts w:cstheme="minorHAnsi"/>
          <w:sz w:val="24"/>
          <w:szCs w:val="24"/>
        </w:rPr>
        <w:t xml:space="preserve"> Vulnerabilities include threats to the company’s internal systems as well as breaches at third parties which host, or have easy access to, company confidential data.</w:t>
      </w:r>
    </w:p>
    <w:p w14:paraId="37FAB0B4" w14:textId="1427A81F" w:rsidR="00381317" w:rsidRPr="000B28F6" w:rsidRDefault="00C742C4" w:rsidP="00381317">
      <w:pPr>
        <w:jc w:val="both"/>
        <w:rPr>
          <w:rFonts w:cstheme="minorHAnsi"/>
          <w:sz w:val="24"/>
          <w:szCs w:val="24"/>
        </w:rPr>
      </w:pPr>
      <w:r w:rsidRPr="000B28F6">
        <w:rPr>
          <w:rFonts w:cstheme="minorHAnsi"/>
          <w:sz w:val="24"/>
          <w:szCs w:val="24"/>
        </w:rPr>
        <w:t xml:space="preserve">The primary purpose of this </w:t>
      </w:r>
      <w:r w:rsidR="00527A72">
        <w:rPr>
          <w:rFonts w:cstheme="minorHAnsi"/>
          <w:sz w:val="24"/>
          <w:szCs w:val="24"/>
        </w:rPr>
        <w:t>document</w:t>
      </w:r>
      <w:r w:rsidRPr="000B28F6">
        <w:rPr>
          <w:rFonts w:cstheme="minorHAnsi"/>
          <w:sz w:val="24"/>
          <w:szCs w:val="24"/>
        </w:rPr>
        <w:t xml:space="preserve"> is to guide examiners </w:t>
      </w:r>
      <w:r w:rsidR="00725415">
        <w:rPr>
          <w:rFonts w:cstheme="minorHAnsi"/>
          <w:sz w:val="24"/>
          <w:szCs w:val="24"/>
        </w:rPr>
        <w:t xml:space="preserve">and/or analysts </w:t>
      </w:r>
      <w:r w:rsidRPr="000B28F6">
        <w:rPr>
          <w:rFonts w:cstheme="minorHAnsi"/>
          <w:sz w:val="24"/>
          <w:szCs w:val="24"/>
        </w:rPr>
        <w:t xml:space="preserve">through the ad-hoc inquiry that may be necessary when a cyber exposure or vulnerability has been identified </w:t>
      </w:r>
      <w:r w:rsidR="00085A19">
        <w:rPr>
          <w:rFonts w:cstheme="minorHAnsi"/>
          <w:sz w:val="24"/>
          <w:szCs w:val="24"/>
        </w:rPr>
        <w:t xml:space="preserve">or alleged </w:t>
      </w:r>
      <w:r w:rsidRPr="000B28F6">
        <w:rPr>
          <w:rFonts w:cstheme="minorHAnsi"/>
          <w:sz w:val="24"/>
          <w:szCs w:val="24"/>
        </w:rPr>
        <w:t xml:space="preserve">in the period between full-scope examinations. </w:t>
      </w:r>
    </w:p>
    <w:p w14:paraId="341042C6" w14:textId="582C7990" w:rsidR="00044FB4" w:rsidRPr="000B28F6" w:rsidRDefault="000140FC" w:rsidP="00A95B16">
      <w:pPr>
        <w:jc w:val="both"/>
        <w:rPr>
          <w:rFonts w:cstheme="minorHAnsi"/>
          <w:sz w:val="24"/>
          <w:szCs w:val="24"/>
        </w:rPr>
      </w:pPr>
      <w:r w:rsidRPr="000B28F6">
        <w:rPr>
          <w:rFonts w:cstheme="minorHAnsi"/>
          <w:sz w:val="24"/>
          <w:szCs w:val="24"/>
        </w:rPr>
        <w:t>T</w:t>
      </w:r>
      <w:r w:rsidR="0079723E" w:rsidRPr="000B28F6">
        <w:rPr>
          <w:rFonts w:cstheme="minorHAnsi"/>
          <w:sz w:val="24"/>
          <w:szCs w:val="24"/>
        </w:rPr>
        <w:t xml:space="preserve">he results of </w:t>
      </w:r>
      <w:r w:rsidRPr="000B28F6">
        <w:rPr>
          <w:rFonts w:cstheme="minorHAnsi"/>
          <w:sz w:val="24"/>
          <w:szCs w:val="24"/>
        </w:rPr>
        <w:t xml:space="preserve">the ad-hoc </w:t>
      </w:r>
      <w:r w:rsidR="0079723E" w:rsidRPr="000B28F6">
        <w:rPr>
          <w:rFonts w:cstheme="minorHAnsi"/>
          <w:sz w:val="24"/>
          <w:szCs w:val="24"/>
        </w:rPr>
        <w:t>inquiry</w:t>
      </w:r>
      <w:r w:rsidRPr="000B28F6">
        <w:rPr>
          <w:rFonts w:cstheme="minorHAnsi"/>
          <w:sz w:val="24"/>
          <w:szCs w:val="24"/>
        </w:rPr>
        <w:t xml:space="preserve"> may warrant additional </w:t>
      </w:r>
      <w:r w:rsidR="0079723E" w:rsidRPr="000B28F6">
        <w:rPr>
          <w:rFonts w:cstheme="minorHAnsi"/>
          <w:sz w:val="24"/>
          <w:szCs w:val="24"/>
        </w:rPr>
        <w:t>investigation</w:t>
      </w:r>
      <w:r w:rsidR="00725415">
        <w:rPr>
          <w:rFonts w:cstheme="minorHAnsi"/>
          <w:sz w:val="24"/>
          <w:szCs w:val="24"/>
        </w:rPr>
        <w:t xml:space="preserve"> to follow up on concerns related to IT controls</w:t>
      </w:r>
      <w:r w:rsidR="00024A49" w:rsidRPr="000B28F6">
        <w:rPr>
          <w:rFonts w:cstheme="minorHAnsi"/>
          <w:sz w:val="24"/>
          <w:szCs w:val="24"/>
        </w:rPr>
        <w:t xml:space="preserve">, </w:t>
      </w:r>
      <w:r w:rsidRPr="000B28F6">
        <w:rPr>
          <w:rFonts w:cstheme="minorHAnsi"/>
          <w:sz w:val="24"/>
          <w:szCs w:val="24"/>
        </w:rPr>
        <w:t xml:space="preserve">which could include </w:t>
      </w:r>
      <w:r w:rsidR="00024A49" w:rsidRPr="000B28F6">
        <w:rPr>
          <w:rFonts w:cstheme="minorHAnsi"/>
          <w:sz w:val="24"/>
          <w:szCs w:val="24"/>
        </w:rPr>
        <w:t xml:space="preserve">calling a targeted examination, performing interim work, </w:t>
      </w:r>
      <w:r w:rsidR="00381317" w:rsidRPr="000B28F6">
        <w:rPr>
          <w:rFonts w:cstheme="minorHAnsi"/>
          <w:sz w:val="24"/>
          <w:szCs w:val="24"/>
        </w:rPr>
        <w:t>and</w:t>
      </w:r>
      <w:r w:rsidR="00725415">
        <w:rPr>
          <w:rFonts w:cstheme="minorHAnsi"/>
          <w:sz w:val="24"/>
          <w:szCs w:val="24"/>
        </w:rPr>
        <w:t>/or</w:t>
      </w:r>
      <w:r w:rsidR="00381317" w:rsidRPr="000B28F6">
        <w:rPr>
          <w:rFonts w:cstheme="minorHAnsi"/>
          <w:sz w:val="24"/>
          <w:szCs w:val="24"/>
        </w:rPr>
        <w:t xml:space="preserve"> </w:t>
      </w:r>
      <w:r w:rsidR="00725415">
        <w:rPr>
          <w:rFonts w:cstheme="minorHAnsi"/>
          <w:sz w:val="24"/>
          <w:szCs w:val="24"/>
        </w:rPr>
        <w:t>follow-up on recommendations</w:t>
      </w:r>
      <w:r w:rsidR="00024A49" w:rsidRPr="000B28F6">
        <w:rPr>
          <w:rFonts w:cstheme="minorHAnsi"/>
          <w:sz w:val="24"/>
          <w:szCs w:val="24"/>
        </w:rPr>
        <w:t xml:space="preserve"> by the department analyst</w:t>
      </w:r>
      <w:r w:rsidR="00381317" w:rsidRPr="000B28F6">
        <w:rPr>
          <w:rFonts w:cstheme="minorHAnsi"/>
          <w:sz w:val="24"/>
          <w:szCs w:val="24"/>
        </w:rPr>
        <w:t xml:space="preserve">. </w:t>
      </w:r>
      <w:r w:rsidR="00AA4D72" w:rsidRPr="000B28F6">
        <w:rPr>
          <w:rFonts w:cstheme="minorHAnsi"/>
          <w:sz w:val="24"/>
          <w:szCs w:val="24"/>
        </w:rPr>
        <w:t xml:space="preserve">If additional investigation is warranted, examiners should consult Exhibit C – IT Work Program in the Financial Condition Examiners Handbook to identify relevant procedures. </w:t>
      </w:r>
      <w:bookmarkStart w:id="0" w:name="_Hlk78985781"/>
      <w:r w:rsidR="00381317" w:rsidRPr="000B28F6">
        <w:rPr>
          <w:rFonts w:cstheme="minorHAnsi"/>
          <w:sz w:val="24"/>
          <w:szCs w:val="24"/>
        </w:rPr>
        <w:t>If, after investigating potential vulnerabilities, the domestic/Lead State determines that a cyber breach has occurred, information on the breach should be promptly shared with market conduct regulators and other impacted states in accordance with existing regulatory guidance.</w:t>
      </w:r>
      <w:bookmarkEnd w:id="0"/>
      <w:r w:rsidR="00381317" w:rsidRPr="000B28F6">
        <w:rPr>
          <w:rFonts w:cstheme="minorHAnsi"/>
          <w:sz w:val="24"/>
          <w:szCs w:val="24"/>
        </w:rPr>
        <w:t xml:space="preserve"> </w:t>
      </w:r>
      <w:r w:rsidR="00725415">
        <w:rPr>
          <w:rFonts w:cstheme="minorHAnsi"/>
          <w:sz w:val="24"/>
          <w:szCs w:val="24"/>
        </w:rPr>
        <w:t xml:space="preserve">Guidance in the </w:t>
      </w:r>
      <w:hyperlink r:id="rId5" w:history="1">
        <w:r w:rsidR="00725415" w:rsidRPr="002931BD">
          <w:rPr>
            <w:rStyle w:val="Hyperlink"/>
            <w:rFonts w:cstheme="minorHAnsi"/>
            <w:i/>
            <w:iCs/>
            <w:sz w:val="24"/>
            <w:szCs w:val="24"/>
          </w:rPr>
          <w:t>Market Regulation Handbook</w:t>
        </w:r>
      </w:hyperlink>
      <w:r w:rsidR="00725415">
        <w:rPr>
          <w:rFonts w:cstheme="minorHAnsi"/>
          <w:sz w:val="24"/>
          <w:szCs w:val="24"/>
        </w:rPr>
        <w:t xml:space="preserve"> can then be utilized </w:t>
      </w:r>
      <w:r w:rsidR="009D245F">
        <w:rPr>
          <w:rFonts w:cstheme="minorHAnsi"/>
          <w:sz w:val="24"/>
          <w:szCs w:val="24"/>
        </w:rPr>
        <w:t>in situations where a breach has occurred</w:t>
      </w:r>
      <w:r w:rsidR="00022321">
        <w:rPr>
          <w:rFonts w:cstheme="minorHAnsi"/>
          <w:sz w:val="24"/>
          <w:szCs w:val="24"/>
        </w:rPr>
        <w:t xml:space="preserve">, specifically the post-breach checklist in </w:t>
      </w:r>
      <w:r w:rsidR="00B26424">
        <w:rPr>
          <w:rFonts w:cstheme="minorHAnsi"/>
          <w:sz w:val="24"/>
          <w:szCs w:val="24"/>
        </w:rPr>
        <w:t>Addendum A to Operations/Management Standard 17 Chapter 20 – General Examination Standards.</w:t>
      </w:r>
    </w:p>
    <w:p w14:paraId="763CB3B6" w14:textId="5C917D73" w:rsidR="00087886" w:rsidRPr="000B28F6" w:rsidRDefault="008322C0" w:rsidP="00421491">
      <w:pPr>
        <w:keepNext/>
        <w:keepLines/>
        <w:jc w:val="both"/>
        <w:rPr>
          <w:rFonts w:cstheme="minorHAnsi"/>
          <w:b/>
          <w:bCs/>
          <w:sz w:val="24"/>
          <w:szCs w:val="24"/>
          <w:u w:val="single"/>
        </w:rPr>
      </w:pPr>
      <w:r w:rsidRPr="000B28F6">
        <w:rPr>
          <w:rFonts w:cstheme="minorHAnsi"/>
          <w:b/>
          <w:bCs/>
          <w:sz w:val="24"/>
          <w:szCs w:val="24"/>
          <w:u w:val="single"/>
        </w:rPr>
        <w:t>Terms &amp; Definitions</w:t>
      </w:r>
    </w:p>
    <w:p w14:paraId="2A8C0F1F" w14:textId="380CC2CB" w:rsidR="00665CAA" w:rsidRPr="000B28F6" w:rsidRDefault="00665CAA" w:rsidP="00421491">
      <w:pPr>
        <w:pStyle w:val="ListParagraph"/>
        <w:numPr>
          <w:ilvl w:val="0"/>
          <w:numId w:val="3"/>
        </w:numPr>
        <w:jc w:val="both"/>
        <w:rPr>
          <w:rFonts w:cstheme="minorHAnsi"/>
          <w:b/>
          <w:bCs/>
          <w:sz w:val="24"/>
          <w:szCs w:val="24"/>
          <w:u w:val="single"/>
        </w:rPr>
      </w:pPr>
      <w:r w:rsidRPr="000B28F6">
        <w:rPr>
          <w:rFonts w:cstheme="minorHAnsi"/>
          <w:b/>
          <w:bCs/>
          <w:sz w:val="24"/>
          <w:szCs w:val="24"/>
          <w:u w:val="single"/>
        </w:rPr>
        <w:t>Vulnerability</w:t>
      </w:r>
      <w:r w:rsidR="0078630E" w:rsidRPr="000B28F6">
        <w:rPr>
          <w:rFonts w:cstheme="minorHAnsi"/>
          <w:sz w:val="24"/>
          <w:szCs w:val="24"/>
        </w:rPr>
        <w:t xml:space="preserve"> - Weakness in an information system, system security procedures, internal controls, or implementation that could be exploited or triggered by a threat source.</w:t>
      </w:r>
    </w:p>
    <w:p w14:paraId="4FC4FEF5" w14:textId="5B92B28E" w:rsidR="00665CAA" w:rsidRPr="000B28F6" w:rsidRDefault="00665CAA" w:rsidP="00421491">
      <w:pPr>
        <w:pStyle w:val="ListParagraph"/>
        <w:numPr>
          <w:ilvl w:val="0"/>
          <w:numId w:val="3"/>
        </w:numPr>
        <w:jc w:val="both"/>
        <w:rPr>
          <w:rFonts w:cstheme="minorHAnsi"/>
          <w:b/>
          <w:bCs/>
          <w:sz w:val="24"/>
          <w:szCs w:val="24"/>
          <w:u w:val="single"/>
        </w:rPr>
      </w:pPr>
      <w:r w:rsidRPr="000B28F6">
        <w:rPr>
          <w:rFonts w:cstheme="minorHAnsi"/>
          <w:b/>
          <w:bCs/>
          <w:sz w:val="24"/>
          <w:szCs w:val="24"/>
          <w:u w:val="single"/>
        </w:rPr>
        <w:lastRenderedPageBreak/>
        <w:t>Incident</w:t>
      </w:r>
      <w:r w:rsidR="0078630E" w:rsidRPr="000B28F6">
        <w:rPr>
          <w:rFonts w:cstheme="minorHAnsi"/>
          <w:sz w:val="24"/>
          <w:szCs w:val="24"/>
        </w:rPr>
        <w:t xml:space="preserve"> - </w:t>
      </w:r>
      <w:r w:rsidR="008322C0" w:rsidRPr="000B28F6">
        <w:rPr>
          <w:rFonts w:cstheme="minorHAnsi"/>
          <w:sz w:val="24"/>
          <w:szCs w:val="24"/>
        </w:rPr>
        <w:t>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206E45C9" w14:textId="046693E9" w:rsidR="00665CAA" w:rsidRPr="000B28F6" w:rsidRDefault="00665CAA" w:rsidP="00421491">
      <w:pPr>
        <w:pStyle w:val="ListParagraph"/>
        <w:numPr>
          <w:ilvl w:val="0"/>
          <w:numId w:val="3"/>
        </w:numPr>
        <w:jc w:val="both"/>
        <w:rPr>
          <w:rFonts w:cstheme="minorHAnsi"/>
          <w:b/>
          <w:bCs/>
          <w:sz w:val="24"/>
          <w:szCs w:val="24"/>
          <w:u w:val="single"/>
        </w:rPr>
      </w:pPr>
      <w:r w:rsidRPr="000B28F6">
        <w:rPr>
          <w:rFonts w:cstheme="minorHAnsi"/>
          <w:b/>
          <w:bCs/>
          <w:sz w:val="24"/>
          <w:szCs w:val="24"/>
          <w:u w:val="single"/>
        </w:rPr>
        <w:t>Breach</w:t>
      </w:r>
      <w:r w:rsidR="0078630E" w:rsidRPr="000B28F6">
        <w:rPr>
          <w:rFonts w:cstheme="minorHAnsi"/>
          <w:sz w:val="24"/>
          <w:szCs w:val="24"/>
        </w:rPr>
        <w:t xml:space="preserve"> - The loss of control, compromise, unauthorized disclosure, unauthorized acquisition, or any similar occurrence where: a person other than an authorized user accesses or potentially accesses personally identifiable information; or an authorized user accesses personally identifiable information for another than authorized purpose.</w:t>
      </w:r>
    </w:p>
    <w:p w14:paraId="4EF27A6C" w14:textId="7724D675" w:rsidR="0078630E" w:rsidRPr="000B28F6" w:rsidRDefault="0078630E" w:rsidP="00421491">
      <w:pPr>
        <w:ind w:left="360"/>
        <w:jc w:val="both"/>
        <w:rPr>
          <w:rStyle w:val="Hyperlink"/>
          <w:rFonts w:cstheme="minorHAnsi"/>
          <w:sz w:val="24"/>
          <w:szCs w:val="24"/>
        </w:rPr>
      </w:pPr>
      <w:r w:rsidRPr="000B28F6">
        <w:rPr>
          <w:rFonts w:cstheme="minorHAnsi"/>
          <w:sz w:val="24"/>
          <w:szCs w:val="24"/>
        </w:rPr>
        <w:t xml:space="preserve">*Definitions provided by the NIST glossary linked </w:t>
      </w:r>
      <w:hyperlink r:id="rId6" w:history="1">
        <w:r w:rsidRPr="000B28F6">
          <w:rPr>
            <w:rStyle w:val="Hyperlink"/>
            <w:rFonts w:cstheme="minorHAnsi"/>
            <w:sz w:val="24"/>
            <w:szCs w:val="24"/>
          </w:rPr>
          <w:t>here.</w:t>
        </w:r>
      </w:hyperlink>
      <w:r w:rsidR="008322C0" w:rsidRPr="000B28F6">
        <w:rPr>
          <w:rStyle w:val="Hyperlink"/>
          <w:rFonts w:cstheme="minorHAnsi"/>
          <w:sz w:val="24"/>
          <w:szCs w:val="24"/>
        </w:rPr>
        <w:t xml:space="preserve"> </w:t>
      </w:r>
      <w:r w:rsidR="008322C0" w:rsidRPr="000B28F6">
        <w:rPr>
          <w:rFonts w:cstheme="minorHAnsi"/>
          <w:i/>
          <w:iCs/>
          <w:sz w:val="24"/>
          <w:szCs w:val="24"/>
        </w:rPr>
        <w:t>(</w:t>
      </w:r>
      <w:r w:rsidR="007E627E" w:rsidRPr="000B28F6">
        <w:rPr>
          <w:rFonts w:cstheme="minorHAnsi"/>
          <w:i/>
          <w:iCs/>
          <w:sz w:val="24"/>
          <w:szCs w:val="24"/>
        </w:rPr>
        <w:t>NIST SP 800-53 rev. 5,</w:t>
      </w:r>
      <w:r w:rsidR="008322C0" w:rsidRPr="000B28F6">
        <w:rPr>
          <w:rFonts w:cstheme="minorHAnsi"/>
          <w:i/>
          <w:iCs/>
          <w:sz w:val="24"/>
          <w:szCs w:val="24"/>
        </w:rPr>
        <w:t xml:space="preserve"> page 421)</w:t>
      </w:r>
    </w:p>
    <w:p w14:paraId="3A418FB9" w14:textId="4D692AE2" w:rsidR="00DB0F33" w:rsidRPr="000B28F6" w:rsidRDefault="005735A6" w:rsidP="006862C2">
      <w:pPr>
        <w:jc w:val="both"/>
        <w:rPr>
          <w:rFonts w:cstheme="minorHAnsi"/>
          <w:b/>
          <w:bCs/>
          <w:smallCaps/>
          <w:sz w:val="28"/>
          <w:szCs w:val="28"/>
          <w:u w:val="single"/>
        </w:rPr>
      </w:pPr>
      <w:r w:rsidRPr="000B28F6">
        <w:rPr>
          <w:rFonts w:cstheme="minorHAnsi"/>
          <w:b/>
          <w:bCs/>
          <w:smallCaps/>
          <w:sz w:val="28"/>
          <w:szCs w:val="28"/>
          <w:u w:val="single"/>
        </w:rPr>
        <w:t>action items for regulators after a vulnerability has been identified</w:t>
      </w:r>
    </w:p>
    <w:p w14:paraId="5F475E1A" w14:textId="77777777" w:rsidR="005735A6" w:rsidRPr="000B28F6" w:rsidRDefault="005735A6" w:rsidP="005735A6">
      <w:pPr>
        <w:jc w:val="both"/>
        <w:rPr>
          <w:rFonts w:cstheme="minorHAnsi"/>
          <w:sz w:val="24"/>
          <w:szCs w:val="24"/>
        </w:rPr>
      </w:pPr>
      <w:r w:rsidRPr="000B28F6">
        <w:rPr>
          <w:rFonts w:cstheme="minorHAnsi"/>
          <w:sz w:val="24"/>
          <w:szCs w:val="24"/>
        </w:rPr>
        <w:t>The following section provides common questions and answers to help regulators determine an appropriate course of action in responding to identification of an emerging vulnerability.</w:t>
      </w:r>
    </w:p>
    <w:p w14:paraId="3277B5E9" w14:textId="506A49C7" w:rsidR="0000565D" w:rsidRDefault="0000565D" w:rsidP="005735A6">
      <w:pPr>
        <w:pStyle w:val="ListParagraph"/>
        <w:numPr>
          <w:ilvl w:val="0"/>
          <w:numId w:val="16"/>
        </w:numPr>
        <w:jc w:val="both"/>
        <w:rPr>
          <w:rFonts w:cstheme="minorHAnsi"/>
          <w:sz w:val="24"/>
          <w:szCs w:val="24"/>
        </w:rPr>
      </w:pPr>
      <w:r w:rsidRPr="0000565D">
        <w:rPr>
          <w:rFonts w:eastAsia="Times New Roman" w:cstheme="minorHAnsi"/>
          <w:b/>
          <w:bCs/>
          <w:sz w:val="24"/>
          <w:szCs w:val="24"/>
        </w:rPr>
        <w:t xml:space="preserve">Which insurers should </w:t>
      </w:r>
      <w:r w:rsidR="003457F2">
        <w:rPr>
          <w:rFonts w:eastAsia="Times New Roman" w:cstheme="minorHAnsi"/>
          <w:b/>
          <w:bCs/>
          <w:sz w:val="24"/>
          <w:szCs w:val="24"/>
        </w:rPr>
        <w:t>regulators</w:t>
      </w:r>
      <w:r w:rsidR="003457F2" w:rsidRPr="0000565D">
        <w:rPr>
          <w:rFonts w:eastAsia="Times New Roman" w:cstheme="minorHAnsi"/>
          <w:b/>
          <w:bCs/>
          <w:sz w:val="24"/>
          <w:szCs w:val="24"/>
        </w:rPr>
        <w:t xml:space="preserve"> </w:t>
      </w:r>
      <w:r w:rsidRPr="0000565D">
        <w:rPr>
          <w:rFonts w:eastAsia="Times New Roman" w:cstheme="minorHAnsi"/>
          <w:b/>
          <w:bCs/>
          <w:sz w:val="24"/>
          <w:szCs w:val="24"/>
        </w:rPr>
        <w:t xml:space="preserve">contact regarding </w:t>
      </w:r>
      <w:r w:rsidR="00725415">
        <w:rPr>
          <w:rFonts w:eastAsia="Times New Roman" w:cstheme="minorHAnsi"/>
          <w:b/>
          <w:bCs/>
          <w:sz w:val="24"/>
          <w:szCs w:val="24"/>
        </w:rPr>
        <w:t>an</w:t>
      </w:r>
      <w:r w:rsidR="00725415" w:rsidRPr="0000565D">
        <w:rPr>
          <w:rFonts w:eastAsia="Times New Roman" w:cstheme="minorHAnsi"/>
          <w:b/>
          <w:bCs/>
          <w:sz w:val="24"/>
          <w:szCs w:val="24"/>
        </w:rPr>
        <w:t xml:space="preserve"> </w:t>
      </w:r>
      <w:r w:rsidR="00D8597D">
        <w:rPr>
          <w:rFonts w:eastAsia="Times New Roman" w:cstheme="minorHAnsi"/>
          <w:b/>
          <w:bCs/>
          <w:sz w:val="24"/>
          <w:szCs w:val="24"/>
        </w:rPr>
        <w:t>identified vulnerability</w:t>
      </w:r>
      <w:r w:rsidR="00D8597D" w:rsidRPr="003457F2">
        <w:rPr>
          <w:rFonts w:cstheme="minorHAnsi"/>
          <w:sz w:val="24"/>
          <w:szCs w:val="24"/>
        </w:rPr>
        <w:t>?</w:t>
      </w:r>
    </w:p>
    <w:p w14:paraId="5B70D71D" w14:textId="207DA204" w:rsidR="00EC1B6E" w:rsidRPr="00EC1B6E" w:rsidRDefault="00EC1B6E" w:rsidP="00EC1B6E">
      <w:pPr>
        <w:pStyle w:val="ListParagraph"/>
        <w:jc w:val="both"/>
        <w:rPr>
          <w:rFonts w:cstheme="minorHAnsi"/>
          <w:sz w:val="24"/>
          <w:szCs w:val="24"/>
        </w:rPr>
      </w:pPr>
      <w:r>
        <w:rPr>
          <w:rFonts w:eastAsia="Times New Roman" w:cstheme="minorHAnsi"/>
          <w:sz w:val="24"/>
          <w:szCs w:val="24"/>
        </w:rPr>
        <w:t xml:space="preserve">Professional judgement should be used by the department </w:t>
      </w:r>
      <w:r w:rsidR="00004FA9">
        <w:rPr>
          <w:rFonts w:eastAsia="Times New Roman" w:cstheme="minorHAnsi"/>
          <w:sz w:val="24"/>
          <w:szCs w:val="24"/>
        </w:rPr>
        <w:t>in</w:t>
      </w:r>
      <w:r>
        <w:rPr>
          <w:rFonts w:eastAsia="Times New Roman" w:cstheme="minorHAnsi"/>
          <w:sz w:val="24"/>
          <w:szCs w:val="24"/>
        </w:rPr>
        <w:t xml:space="preserve"> determin</w:t>
      </w:r>
      <w:r w:rsidR="00004FA9">
        <w:rPr>
          <w:rFonts w:eastAsia="Times New Roman" w:cstheme="minorHAnsi"/>
          <w:sz w:val="24"/>
          <w:szCs w:val="24"/>
        </w:rPr>
        <w:t>ing which</w:t>
      </w:r>
      <w:r>
        <w:rPr>
          <w:rFonts w:eastAsia="Times New Roman" w:cstheme="minorHAnsi"/>
          <w:sz w:val="24"/>
          <w:szCs w:val="24"/>
        </w:rPr>
        <w:t xml:space="preserve"> insurers to contact based on the size and severity of the vulnerability identified. </w:t>
      </w:r>
    </w:p>
    <w:p w14:paraId="0C79F120" w14:textId="77777777" w:rsidR="00D8597D" w:rsidRDefault="00D8597D" w:rsidP="003457F2">
      <w:pPr>
        <w:pStyle w:val="ListParagraph"/>
        <w:jc w:val="both"/>
        <w:rPr>
          <w:rFonts w:cstheme="minorHAnsi"/>
          <w:sz w:val="24"/>
          <w:szCs w:val="24"/>
        </w:rPr>
      </w:pPr>
    </w:p>
    <w:p w14:paraId="4FF1F1B9" w14:textId="532D5099" w:rsidR="005735A6" w:rsidRPr="000B28F6" w:rsidRDefault="005735A6" w:rsidP="005735A6">
      <w:pPr>
        <w:pStyle w:val="ListParagraph"/>
        <w:numPr>
          <w:ilvl w:val="0"/>
          <w:numId w:val="16"/>
        </w:numPr>
        <w:jc w:val="both"/>
        <w:rPr>
          <w:rFonts w:cstheme="minorHAnsi"/>
          <w:sz w:val="24"/>
          <w:szCs w:val="24"/>
        </w:rPr>
      </w:pPr>
      <w:r w:rsidRPr="000B28F6">
        <w:rPr>
          <w:rFonts w:eastAsia="Times New Roman" w:cstheme="minorHAnsi"/>
          <w:b/>
          <w:bCs/>
          <w:sz w:val="24"/>
          <w:szCs w:val="24"/>
        </w:rPr>
        <w:t>Which state(s) should lead the effort of responding to notification of an emerging vulnerability?</w:t>
      </w:r>
    </w:p>
    <w:p w14:paraId="0FD31DBA" w14:textId="77777777" w:rsidR="005735A6" w:rsidRPr="000B28F6" w:rsidRDefault="005735A6" w:rsidP="005735A6">
      <w:pPr>
        <w:pStyle w:val="ListParagraph"/>
        <w:jc w:val="both"/>
        <w:rPr>
          <w:rFonts w:cstheme="minorHAnsi"/>
          <w:sz w:val="24"/>
          <w:szCs w:val="24"/>
        </w:rPr>
      </w:pPr>
      <w:r w:rsidRPr="000B28F6">
        <w:rPr>
          <w:rFonts w:cstheme="minorHAnsi"/>
          <w:sz w:val="24"/>
          <w:szCs w:val="24"/>
        </w:rPr>
        <w:t>In recognition of the Lead State approach to financial regulation and deference to a domestic regulator, as well as to reduce the number of overlapping requests and to create efficiencies for both insurers and regulators, the Lead State (for groups) and/or domestic regulator should lead the effort of investigating significant vulnerabilities.</w:t>
      </w:r>
    </w:p>
    <w:p w14:paraId="3128220B" w14:textId="77777777" w:rsidR="005735A6" w:rsidRPr="000B28F6" w:rsidRDefault="005735A6" w:rsidP="005735A6">
      <w:pPr>
        <w:pStyle w:val="ListParagraph"/>
        <w:jc w:val="both"/>
        <w:rPr>
          <w:rFonts w:cstheme="minorHAnsi"/>
          <w:sz w:val="24"/>
          <w:szCs w:val="24"/>
        </w:rPr>
      </w:pPr>
    </w:p>
    <w:p w14:paraId="6BAEBFAF" w14:textId="77777777" w:rsidR="005735A6" w:rsidRPr="000B28F6" w:rsidRDefault="005735A6" w:rsidP="005735A6">
      <w:pPr>
        <w:pStyle w:val="ListParagraph"/>
        <w:numPr>
          <w:ilvl w:val="0"/>
          <w:numId w:val="16"/>
        </w:numPr>
        <w:jc w:val="both"/>
        <w:rPr>
          <w:rFonts w:cstheme="minorHAnsi"/>
          <w:sz w:val="24"/>
          <w:szCs w:val="24"/>
        </w:rPr>
      </w:pPr>
      <w:r w:rsidRPr="000B28F6">
        <w:rPr>
          <w:rFonts w:cstheme="minorHAnsi"/>
          <w:b/>
          <w:bCs/>
          <w:sz w:val="24"/>
          <w:szCs w:val="24"/>
        </w:rPr>
        <w:t>What area of the department should take responsibility for investigating cyber vulnerabilities and breaches?</w:t>
      </w:r>
    </w:p>
    <w:p w14:paraId="29FC858D" w14:textId="45E563F1" w:rsidR="005735A6" w:rsidRDefault="005735A6" w:rsidP="005735A6">
      <w:pPr>
        <w:pStyle w:val="ListParagraph"/>
        <w:jc w:val="both"/>
        <w:rPr>
          <w:rFonts w:cstheme="minorHAnsi"/>
          <w:sz w:val="24"/>
          <w:szCs w:val="24"/>
        </w:rPr>
      </w:pPr>
      <w:r w:rsidRPr="000B28F6">
        <w:rPr>
          <w:rFonts w:cstheme="minorHAnsi"/>
          <w:sz w:val="24"/>
          <w:szCs w:val="24"/>
        </w:rPr>
        <w:t xml:space="preserve">While it is up to each department to determine which area should take responsibility for investigating </w:t>
      </w:r>
      <w:r w:rsidR="00022321">
        <w:rPr>
          <w:rFonts w:cstheme="minorHAnsi"/>
          <w:sz w:val="24"/>
          <w:szCs w:val="24"/>
        </w:rPr>
        <w:t>vulnerabilit</w:t>
      </w:r>
      <w:r w:rsidR="0043140C">
        <w:rPr>
          <w:rFonts w:cstheme="minorHAnsi"/>
          <w:sz w:val="24"/>
          <w:szCs w:val="24"/>
        </w:rPr>
        <w:t>ies</w:t>
      </w:r>
      <w:r w:rsidRPr="000B28F6">
        <w:rPr>
          <w:rFonts w:cstheme="minorHAnsi"/>
          <w:sz w:val="24"/>
          <w:szCs w:val="24"/>
        </w:rPr>
        <w:t xml:space="preserve">, which could be impacted by subject matter expertise and availability, the NAIC has primarily </w:t>
      </w:r>
      <w:r w:rsidR="001341CB">
        <w:rPr>
          <w:rFonts w:cstheme="minorHAnsi"/>
          <w:sz w:val="24"/>
          <w:szCs w:val="24"/>
        </w:rPr>
        <w:t>classified</w:t>
      </w:r>
      <w:r w:rsidR="001341CB" w:rsidRPr="000B28F6">
        <w:rPr>
          <w:rFonts w:cstheme="minorHAnsi"/>
          <w:sz w:val="24"/>
          <w:szCs w:val="24"/>
        </w:rPr>
        <w:t xml:space="preserve"> </w:t>
      </w:r>
      <w:r w:rsidRPr="000B28F6">
        <w:rPr>
          <w:rFonts w:cstheme="minorHAnsi"/>
          <w:sz w:val="24"/>
          <w:szCs w:val="24"/>
        </w:rPr>
        <w:t xml:space="preserve">follow-up procedures for known breaches as a market regulation activity and has included such procedures in the Market Regulation Handbook. This is primarily due to the importance of ensuring adequate consumer protection post breach. However, given that a breach can also affect an insurer’s solvency position, coordination with financial regulators in post-breach follow-up activities </w:t>
      </w:r>
      <w:r w:rsidR="003457F2">
        <w:rPr>
          <w:rFonts w:cstheme="minorHAnsi"/>
          <w:sz w:val="24"/>
          <w:szCs w:val="24"/>
        </w:rPr>
        <w:t xml:space="preserve">is encouraged. </w:t>
      </w:r>
    </w:p>
    <w:p w14:paraId="579C3821" w14:textId="77777777" w:rsidR="005735A6" w:rsidRDefault="005735A6" w:rsidP="005735A6">
      <w:pPr>
        <w:pStyle w:val="ListParagraph"/>
        <w:jc w:val="both"/>
        <w:rPr>
          <w:rFonts w:cstheme="minorHAnsi"/>
          <w:sz w:val="24"/>
          <w:szCs w:val="24"/>
        </w:rPr>
      </w:pPr>
    </w:p>
    <w:p w14:paraId="1F2235E3" w14:textId="183A7831" w:rsidR="005735A6" w:rsidRDefault="005735A6" w:rsidP="005735A6">
      <w:pPr>
        <w:pStyle w:val="ListParagraph"/>
        <w:jc w:val="both"/>
        <w:rPr>
          <w:rFonts w:cstheme="minorHAnsi"/>
          <w:sz w:val="24"/>
          <w:szCs w:val="24"/>
        </w:rPr>
      </w:pPr>
      <w:r w:rsidRPr="000B28F6">
        <w:rPr>
          <w:rFonts w:cstheme="minorHAnsi"/>
          <w:sz w:val="24"/>
          <w:szCs w:val="24"/>
        </w:rPr>
        <w:t xml:space="preserve">Investigations related to significant vulnerabilities are </w:t>
      </w:r>
      <w:r w:rsidR="001341CB">
        <w:rPr>
          <w:rFonts w:cstheme="minorHAnsi"/>
          <w:sz w:val="24"/>
          <w:szCs w:val="24"/>
        </w:rPr>
        <w:t>typically</w:t>
      </w:r>
      <w:r w:rsidRPr="000B28F6">
        <w:rPr>
          <w:rFonts w:cstheme="minorHAnsi"/>
          <w:sz w:val="24"/>
          <w:szCs w:val="24"/>
        </w:rPr>
        <w:t xml:space="preserve"> viewed as following up on financial exam work to assess IT security controls. As such, </w:t>
      </w:r>
      <w:r w:rsidR="003457F2">
        <w:rPr>
          <w:rFonts w:cstheme="minorHAnsi"/>
          <w:sz w:val="24"/>
          <w:szCs w:val="24"/>
        </w:rPr>
        <w:t xml:space="preserve">it is recommended that </w:t>
      </w:r>
      <w:r w:rsidRPr="000B28F6">
        <w:rPr>
          <w:rFonts w:cstheme="minorHAnsi"/>
          <w:sz w:val="24"/>
          <w:szCs w:val="24"/>
        </w:rPr>
        <w:t xml:space="preserve">financial regulators take the lead in </w:t>
      </w:r>
      <w:r w:rsidR="001341CB">
        <w:rPr>
          <w:rFonts w:cstheme="minorHAnsi"/>
          <w:sz w:val="24"/>
          <w:szCs w:val="24"/>
        </w:rPr>
        <w:t xml:space="preserve">addressing </w:t>
      </w:r>
      <w:r w:rsidRPr="000B28F6">
        <w:rPr>
          <w:rFonts w:cstheme="minorHAnsi"/>
          <w:sz w:val="24"/>
          <w:szCs w:val="24"/>
        </w:rPr>
        <w:t xml:space="preserve">significant </w:t>
      </w:r>
      <w:r w:rsidR="001341CB">
        <w:rPr>
          <w:rFonts w:cstheme="minorHAnsi"/>
          <w:sz w:val="24"/>
          <w:szCs w:val="24"/>
        </w:rPr>
        <w:t xml:space="preserve">identified </w:t>
      </w:r>
      <w:r w:rsidRPr="000B28F6">
        <w:rPr>
          <w:rFonts w:cstheme="minorHAnsi"/>
          <w:sz w:val="24"/>
          <w:szCs w:val="24"/>
        </w:rPr>
        <w:t xml:space="preserve">vulnerabilities. </w:t>
      </w:r>
      <w:r w:rsidRPr="000B28F6">
        <w:rPr>
          <w:rFonts w:cstheme="minorHAnsi"/>
          <w:sz w:val="24"/>
          <w:szCs w:val="24"/>
        </w:rPr>
        <w:lastRenderedPageBreak/>
        <w:t xml:space="preserve">However, given the potential for a vulnerability exposure to turn into a breach, </w:t>
      </w:r>
      <w:r w:rsidR="001341CB">
        <w:rPr>
          <w:rFonts w:cstheme="minorHAnsi"/>
          <w:sz w:val="24"/>
          <w:szCs w:val="24"/>
        </w:rPr>
        <w:t xml:space="preserve">early </w:t>
      </w:r>
      <w:r w:rsidRPr="000B28F6">
        <w:rPr>
          <w:rFonts w:cstheme="minorHAnsi"/>
          <w:sz w:val="24"/>
          <w:szCs w:val="24"/>
        </w:rPr>
        <w:t xml:space="preserve">coordination with market regulation </w:t>
      </w:r>
      <w:r w:rsidR="003457F2">
        <w:rPr>
          <w:rFonts w:cstheme="minorHAnsi"/>
          <w:sz w:val="24"/>
          <w:szCs w:val="24"/>
        </w:rPr>
        <w:t>is encouraged</w:t>
      </w:r>
      <w:r w:rsidRPr="000B28F6">
        <w:rPr>
          <w:rFonts w:cstheme="minorHAnsi"/>
          <w:sz w:val="24"/>
          <w:szCs w:val="24"/>
        </w:rPr>
        <w:t>.</w:t>
      </w:r>
    </w:p>
    <w:p w14:paraId="7EFF36A3" w14:textId="0699C506" w:rsidR="005735A6" w:rsidRDefault="005735A6" w:rsidP="005735A6">
      <w:pPr>
        <w:pStyle w:val="ListParagraph"/>
        <w:jc w:val="both"/>
        <w:rPr>
          <w:rFonts w:cstheme="minorHAnsi"/>
          <w:sz w:val="24"/>
          <w:szCs w:val="24"/>
        </w:rPr>
      </w:pPr>
    </w:p>
    <w:p w14:paraId="54283A04" w14:textId="68AC29B0" w:rsidR="005735A6" w:rsidRDefault="005735A6" w:rsidP="005735A6">
      <w:pPr>
        <w:pStyle w:val="ListParagraph"/>
        <w:numPr>
          <w:ilvl w:val="0"/>
          <w:numId w:val="16"/>
        </w:numPr>
        <w:jc w:val="both"/>
        <w:rPr>
          <w:rFonts w:cstheme="minorHAnsi"/>
          <w:sz w:val="24"/>
          <w:szCs w:val="24"/>
        </w:rPr>
      </w:pPr>
      <w:r w:rsidRPr="005735A6">
        <w:rPr>
          <w:rFonts w:cstheme="minorHAnsi"/>
          <w:b/>
          <w:bCs/>
          <w:sz w:val="24"/>
          <w:szCs w:val="24"/>
        </w:rPr>
        <w:t xml:space="preserve">Does the adoption status of the </w:t>
      </w:r>
      <w:hyperlink r:id="rId7" w:history="1">
        <w:r w:rsidRPr="00B26424">
          <w:rPr>
            <w:rStyle w:val="Hyperlink"/>
            <w:rFonts w:cstheme="minorHAnsi"/>
            <w:b/>
            <w:bCs/>
            <w:sz w:val="24"/>
            <w:szCs w:val="24"/>
          </w:rPr>
          <w:t>NAIC’s Insurance Da</w:t>
        </w:r>
        <w:r w:rsidRPr="00B26424">
          <w:rPr>
            <w:rStyle w:val="Hyperlink"/>
            <w:rFonts w:cstheme="minorHAnsi"/>
            <w:b/>
            <w:bCs/>
            <w:sz w:val="24"/>
            <w:szCs w:val="24"/>
          </w:rPr>
          <w:t>t</w:t>
        </w:r>
        <w:r w:rsidRPr="00B26424">
          <w:rPr>
            <w:rStyle w:val="Hyperlink"/>
            <w:rFonts w:cstheme="minorHAnsi"/>
            <w:b/>
            <w:bCs/>
            <w:sz w:val="24"/>
            <w:szCs w:val="24"/>
          </w:rPr>
          <w:t>a Security Model Law</w:t>
        </w:r>
      </w:hyperlink>
      <w:r w:rsidRPr="005735A6">
        <w:rPr>
          <w:rFonts w:cstheme="minorHAnsi"/>
          <w:b/>
          <w:bCs/>
          <w:sz w:val="24"/>
          <w:szCs w:val="24"/>
        </w:rPr>
        <w:t xml:space="preserve"> </w:t>
      </w:r>
      <w:r w:rsidR="00AA2251">
        <w:rPr>
          <w:rFonts w:cstheme="minorHAnsi"/>
          <w:b/>
          <w:bCs/>
          <w:sz w:val="24"/>
          <w:szCs w:val="24"/>
        </w:rPr>
        <w:t xml:space="preserve">(or </w:t>
      </w:r>
      <w:r w:rsidR="001467F8">
        <w:rPr>
          <w:rFonts w:cstheme="minorHAnsi"/>
          <w:b/>
          <w:bCs/>
          <w:sz w:val="24"/>
          <w:szCs w:val="24"/>
        </w:rPr>
        <w:t xml:space="preserve">other relevant </w:t>
      </w:r>
      <w:r w:rsidR="00AA2251">
        <w:rPr>
          <w:rFonts w:cstheme="minorHAnsi"/>
          <w:b/>
          <w:bCs/>
          <w:sz w:val="24"/>
          <w:szCs w:val="24"/>
        </w:rPr>
        <w:t xml:space="preserve">state law) </w:t>
      </w:r>
      <w:r w:rsidRPr="005735A6">
        <w:rPr>
          <w:rFonts w:cstheme="minorHAnsi"/>
          <w:b/>
          <w:bCs/>
          <w:sz w:val="24"/>
          <w:szCs w:val="24"/>
        </w:rPr>
        <w:t>affect a state’s</w:t>
      </w:r>
      <w:r>
        <w:rPr>
          <w:rFonts w:cstheme="minorHAnsi"/>
          <w:sz w:val="24"/>
          <w:szCs w:val="24"/>
        </w:rPr>
        <w:t xml:space="preserve"> </w:t>
      </w:r>
      <w:r w:rsidRPr="005735A6">
        <w:rPr>
          <w:rFonts w:cstheme="minorHAnsi"/>
          <w:b/>
          <w:bCs/>
          <w:sz w:val="24"/>
          <w:szCs w:val="24"/>
        </w:rPr>
        <w:t>response</w:t>
      </w:r>
      <w:r w:rsidR="0000565D">
        <w:rPr>
          <w:rFonts w:cstheme="minorHAnsi"/>
          <w:sz w:val="24"/>
          <w:szCs w:val="24"/>
        </w:rPr>
        <w:t>?</w:t>
      </w:r>
    </w:p>
    <w:p w14:paraId="02A7B898" w14:textId="4678D0CC" w:rsidR="00F026BB" w:rsidRDefault="006177CC" w:rsidP="00F026BB">
      <w:pPr>
        <w:pStyle w:val="ListParagraph"/>
        <w:jc w:val="both"/>
        <w:rPr>
          <w:rFonts w:cstheme="minorHAnsi"/>
          <w:sz w:val="24"/>
          <w:szCs w:val="24"/>
        </w:rPr>
      </w:pPr>
      <w:r w:rsidRPr="006177CC">
        <w:rPr>
          <w:rFonts w:cstheme="minorHAnsi"/>
          <w:sz w:val="24"/>
          <w:szCs w:val="24"/>
        </w:rPr>
        <w:t xml:space="preserve">As this </w:t>
      </w:r>
      <w:r w:rsidR="001341CB">
        <w:rPr>
          <w:rFonts w:cstheme="minorHAnsi"/>
          <w:sz w:val="24"/>
          <w:szCs w:val="24"/>
        </w:rPr>
        <w:t>guidance focuses primarily on addressing an identified</w:t>
      </w:r>
      <w:r w:rsidRPr="006177CC">
        <w:rPr>
          <w:rFonts w:cstheme="minorHAnsi"/>
          <w:sz w:val="24"/>
          <w:szCs w:val="24"/>
        </w:rPr>
        <w:t xml:space="preserve"> vulnerability, as opposed to a</w:t>
      </w:r>
      <w:r>
        <w:rPr>
          <w:rFonts w:cstheme="minorHAnsi"/>
          <w:sz w:val="24"/>
          <w:szCs w:val="24"/>
        </w:rPr>
        <w:t>n</w:t>
      </w:r>
      <w:r w:rsidRPr="006177CC">
        <w:rPr>
          <w:rFonts w:cstheme="minorHAnsi"/>
          <w:sz w:val="24"/>
          <w:szCs w:val="24"/>
        </w:rPr>
        <w:t xml:space="preserve"> </w:t>
      </w:r>
      <w:r>
        <w:rPr>
          <w:rFonts w:cstheme="minorHAnsi"/>
          <w:sz w:val="24"/>
          <w:szCs w:val="24"/>
        </w:rPr>
        <w:t>incident or breach</w:t>
      </w:r>
      <w:r w:rsidRPr="006177CC">
        <w:rPr>
          <w:rFonts w:cstheme="minorHAnsi"/>
          <w:sz w:val="24"/>
          <w:szCs w:val="24"/>
        </w:rPr>
        <w:t xml:space="preserve">, it is not clear whether information on the </w:t>
      </w:r>
      <w:r w:rsidR="001341CB">
        <w:rPr>
          <w:rFonts w:cstheme="minorHAnsi"/>
          <w:sz w:val="24"/>
          <w:szCs w:val="24"/>
        </w:rPr>
        <w:t>vulnerability</w:t>
      </w:r>
      <w:r w:rsidR="001341CB" w:rsidRPr="006177CC">
        <w:rPr>
          <w:rFonts w:cstheme="minorHAnsi"/>
          <w:sz w:val="24"/>
          <w:szCs w:val="24"/>
        </w:rPr>
        <w:t xml:space="preserve"> </w:t>
      </w:r>
      <w:r w:rsidRPr="006177CC">
        <w:rPr>
          <w:rFonts w:cstheme="minorHAnsi"/>
          <w:sz w:val="24"/>
          <w:szCs w:val="24"/>
        </w:rPr>
        <w:t xml:space="preserve">and how it has been addressed would be reported to the department unless or until an actual </w:t>
      </w:r>
      <w:r w:rsidR="001341CB">
        <w:rPr>
          <w:rFonts w:cstheme="minorHAnsi"/>
          <w:sz w:val="24"/>
          <w:szCs w:val="24"/>
        </w:rPr>
        <w:t xml:space="preserve">incident or </w:t>
      </w:r>
      <w:r w:rsidRPr="006177CC">
        <w:rPr>
          <w:rFonts w:cstheme="minorHAnsi"/>
          <w:sz w:val="24"/>
          <w:szCs w:val="24"/>
        </w:rPr>
        <w:t xml:space="preserve">breach has occurred. As </w:t>
      </w:r>
      <w:r w:rsidR="00D534CF">
        <w:rPr>
          <w:rFonts w:cstheme="minorHAnsi"/>
          <w:sz w:val="24"/>
          <w:szCs w:val="24"/>
        </w:rPr>
        <w:t>a result</w:t>
      </w:r>
      <w:r w:rsidRPr="006177CC">
        <w:rPr>
          <w:rFonts w:cstheme="minorHAnsi"/>
          <w:sz w:val="24"/>
          <w:szCs w:val="24"/>
        </w:rPr>
        <w:t xml:space="preserve">, it may be appropriate to </w:t>
      </w:r>
      <w:r w:rsidR="001341CB">
        <w:rPr>
          <w:rFonts w:cstheme="minorHAnsi"/>
          <w:sz w:val="24"/>
          <w:szCs w:val="24"/>
        </w:rPr>
        <w:t>proactively address an identified vulnerability</w:t>
      </w:r>
      <w:r w:rsidRPr="006177CC">
        <w:rPr>
          <w:rFonts w:cstheme="minorHAnsi"/>
          <w:sz w:val="24"/>
          <w:szCs w:val="24"/>
        </w:rPr>
        <w:t xml:space="preserve"> even if your department has reporting requirements already in place. </w:t>
      </w:r>
      <w:r w:rsidR="001341CB">
        <w:rPr>
          <w:rFonts w:cstheme="minorHAnsi"/>
          <w:sz w:val="24"/>
          <w:szCs w:val="24"/>
        </w:rPr>
        <w:t>Proactive investigation of identified vulnerabilities with</w:t>
      </w:r>
      <w:r w:rsidRPr="006177CC">
        <w:rPr>
          <w:rFonts w:cstheme="minorHAnsi"/>
          <w:sz w:val="24"/>
          <w:szCs w:val="24"/>
        </w:rPr>
        <w:t xml:space="preserve"> insurers may help prevent breaches from occurring that the department would otherwise have to address down the line. </w:t>
      </w:r>
      <w:r w:rsidR="001341CB">
        <w:rPr>
          <w:rFonts w:cstheme="minorHAnsi"/>
          <w:sz w:val="24"/>
          <w:szCs w:val="24"/>
        </w:rPr>
        <w:t>However, b</w:t>
      </w:r>
      <w:r w:rsidRPr="006177CC">
        <w:rPr>
          <w:rFonts w:cstheme="minorHAnsi"/>
          <w:sz w:val="24"/>
          <w:szCs w:val="24"/>
        </w:rPr>
        <w:t xml:space="preserve">efore </w:t>
      </w:r>
      <w:r w:rsidR="001341CB">
        <w:rPr>
          <w:rFonts w:cstheme="minorHAnsi"/>
          <w:sz w:val="24"/>
          <w:szCs w:val="24"/>
        </w:rPr>
        <w:t>taking steps to address an identified vulnerability</w:t>
      </w:r>
      <w:r w:rsidRPr="006177CC">
        <w:rPr>
          <w:rFonts w:cstheme="minorHAnsi"/>
          <w:sz w:val="24"/>
          <w:szCs w:val="24"/>
        </w:rPr>
        <w:t xml:space="preserve">, </w:t>
      </w:r>
      <w:r w:rsidR="001341CB">
        <w:rPr>
          <w:rFonts w:cstheme="minorHAnsi"/>
          <w:sz w:val="24"/>
          <w:szCs w:val="24"/>
        </w:rPr>
        <w:t>the regulator should</w:t>
      </w:r>
      <w:r w:rsidRPr="006177CC">
        <w:rPr>
          <w:rFonts w:cstheme="minorHAnsi"/>
          <w:sz w:val="24"/>
          <w:szCs w:val="24"/>
        </w:rPr>
        <w:t xml:space="preserve"> ensure that the department has not yet received a notice from the insurer on this </w:t>
      </w:r>
      <w:r w:rsidR="001341CB">
        <w:rPr>
          <w:rFonts w:cstheme="minorHAnsi"/>
          <w:sz w:val="24"/>
          <w:szCs w:val="24"/>
        </w:rPr>
        <w:t>exposure</w:t>
      </w:r>
      <w:r w:rsidRPr="006177CC">
        <w:rPr>
          <w:rFonts w:cstheme="minorHAnsi"/>
          <w:sz w:val="24"/>
          <w:szCs w:val="24"/>
        </w:rPr>
        <w:t>.</w:t>
      </w:r>
      <w:r w:rsidR="00D534CF">
        <w:rPr>
          <w:rFonts w:cstheme="minorHAnsi"/>
          <w:sz w:val="24"/>
          <w:szCs w:val="24"/>
        </w:rPr>
        <w:t xml:space="preserve"> </w:t>
      </w:r>
    </w:p>
    <w:p w14:paraId="0CE1429D" w14:textId="77777777" w:rsidR="006177CC" w:rsidRPr="00F026BB" w:rsidRDefault="006177CC" w:rsidP="00F026BB">
      <w:pPr>
        <w:pStyle w:val="ListParagraph"/>
        <w:jc w:val="both"/>
        <w:rPr>
          <w:rFonts w:cstheme="minorHAnsi"/>
          <w:sz w:val="24"/>
          <w:szCs w:val="24"/>
        </w:rPr>
      </w:pPr>
    </w:p>
    <w:p w14:paraId="5BA9C41F" w14:textId="1EBBCA4E" w:rsidR="00BB20EE" w:rsidRDefault="00D8597D" w:rsidP="005735A6">
      <w:pPr>
        <w:pStyle w:val="ListParagraph"/>
        <w:numPr>
          <w:ilvl w:val="0"/>
          <w:numId w:val="16"/>
        </w:numPr>
        <w:jc w:val="both"/>
        <w:rPr>
          <w:rFonts w:cstheme="minorHAnsi"/>
          <w:b/>
          <w:bCs/>
          <w:sz w:val="24"/>
          <w:szCs w:val="24"/>
        </w:rPr>
      </w:pPr>
      <w:r w:rsidRPr="003457F2">
        <w:rPr>
          <w:rFonts w:cstheme="minorHAnsi"/>
          <w:b/>
          <w:bCs/>
          <w:sz w:val="24"/>
          <w:szCs w:val="24"/>
        </w:rPr>
        <w:t>If the investigation of cyber vulnerabilities identifies a need to take additional steps</w:t>
      </w:r>
      <w:r w:rsidR="001341CB">
        <w:rPr>
          <w:rFonts w:cstheme="minorHAnsi"/>
          <w:b/>
          <w:bCs/>
          <w:sz w:val="24"/>
          <w:szCs w:val="24"/>
        </w:rPr>
        <w:t xml:space="preserve"> in addressing IT control processes</w:t>
      </w:r>
      <w:r w:rsidRPr="003457F2">
        <w:rPr>
          <w:rFonts w:cstheme="minorHAnsi"/>
          <w:b/>
          <w:bCs/>
          <w:sz w:val="24"/>
          <w:szCs w:val="24"/>
        </w:rPr>
        <w:t>, how can this work be performed so that it can be utilized on the next full scope exam?</w:t>
      </w:r>
    </w:p>
    <w:p w14:paraId="50C30127" w14:textId="77777777" w:rsidR="00B26424" w:rsidRDefault="001959AD" w:rsidP="00EC5F34">
      <w:pPr>
        <w:pStyle w:val="ListParagraph"/>
        <w:jc w:val="both"/>
        <w:rPr>
          <w:rFonts w:cstheme="minorHAnsi"/>
          <w:sz w:val="24"/>
          <w:szCs w:val="24"/>
        </w:rPr>
      </w:pPr>
      <w:r>
        <w:rPr>
          <w:rFonts w:cstheme="minorHAnsi"/>
          <w:sz w:val="24"/>
          <w:szCs w:val="24"/>
        </w:rPr>
        <w:t xml:space="preserve">The most effective way to conduct </w:t>
      </w:r>
      <w:r w:rsidR="004137C5">
        <w:rPr>
          <w:rFonts w:cstheme="minorHAnsi"/>
          <w:sz w:val="24"/>
          <w:szCs w:val="24"/>
        </w:rPr>
        <w:t>this</w:t>
      </w:r>
      <w:r>
        <w:rPr>
          <w:rFonts w:cstheme="minorHAnsi"/>
          <w:sz w:val="24"/>
          <w:szCs w:val="24"/>
        </w:rPr>
        <w:t xml:space="preserve"> investigation in a manner that would allow the results to be integrated into an upcoming full-scope exam would be to utilize the interim work concept </w:t>
      </w:r>
      <w:r w:rsidR="004137C5">
        <w:rPr>
          <w:rFonts w:cstheme="minorHAnsi"/>
          <w:sz w:val="24"/>
          <w:szCs w:val="24"/>
        </w:rPr>
        <w:t xml:space="preserve">as </w:t>
      </w:r>
      <w:r>
        <w:rPr>
          <w:rFonts w:cstheme="minorHAnsi"/>
          <w:sz w:val="24"/>
          <w:szCs w:val="24"/>
        </w:rPr>
        <w:t xml:space="preserve">defined by the </w:t>
      </w:r>
      <w:bookmarkStart w:id="1" w:name="_Hlk78986892"/>
      <w:r w:rsidR="00EC5F34">
        <w:rPr>
          <w:rFonts w:cstheme="minorHAnsi"/>
          <w:i/>
          <w:iCs/>
          <w:sz w:val="24"/>
          <w:szCs w:val="24"/>
        </w:rPr>
        <w:t xml:space="preserve">Financial Condition </w:t>
      </w:r>
      <w:r w:rsidR="00EC5F34" w:rsidRPr="00EC5F34">
        <w:rPr>
          <w:rFonts w:cstheme="minorHAnsi"/>
          <w:i/>
          <w:iCs/>
          <w:sz w:val="24"/>
          <w:szCs w:val="24"/>
        </w:rPr>
        <w:t>Examiners Handbook</w:t>
      </w:r>
      <w:r w:rsidR="00EC5F34">
        <w:rPr>
          <w:rFonts w:cstheme="minorHAnsi"/>
          <w:sz w:val="24"/>
          <w:szCs w:val="24"/>
        </w:rPr>
        <w:t xml:space="preserve"> </w:t>
      </w:r>
      <w:bookmarkEnd w:id="1"/>
      <w:r>
        <w:rPr>
          <w:rFonts w:cstheme="minorHAnsi"/>
          <w:sz w:val="24"/>
          <w:szCs w:val="24"/>
        </w:rPr>
        <w:t xml:space="preserve">(see </w:t>
      </w:r>
      <w:r w:rsidR="00EC5F34">
        <w:rPr>
          <w:rFonts w:cstheme="minorHAnsi"/>
          <w:sz w:val="24"/>
          <w:szCs w:val="24"/>
        </w:rPr>
        <w:t xml:space="preserve">Section 1-1, </w:t>
      </w:r>
      <w:r>
        <w:rPr>
          <w:rFonts w:cstheme="minorHAnsi"/>
          <w:sz w:val="24"/>
          <w:szCs w:val="24"/>
        </w:rPr>
        <w:t xml:space="preserve">part I). </w:t>
      </w:r>
      <w:r w:rsidR="00EC5F34" w:rsidRPr="00EC5F34">
        <w:rPr>
          <w:rFonts w:cstheme="minorHAnsi"/>
          <w:sz w:val="24"/>
          <w:szCs w:val="24"/>
        </w:rPr>
        <w:t xml:space="preserve">Interim work </w:t>
      </w:r>
      <w:r w:rsidR="004137C5">
        <w:rPr>
          <w:rFonts w:cstheme="minorHAnsi"/>
          <w:sz w:val="24"/>
          <w:szCs w:val="24"/>
        </w:rPr>
        <w:t xml:space="preserve">is intended to provide examiners the opportunity to conduct exam procedures in areas that are considered inherently risky but are not known to present an immediate concern. </w:t>
      </w:r>
      <w:r w:rsidR="00782EF3">
        <w:rPr>
          <w:rFonts w:cstheme="minorHAnsi"/>
          <w:sz w:val="24"/>
          <w:szCs w:val="24"/>
        </w:rPr>
        <w:t xml:space="preserve"> </w:t>
      </w:r>
      <w:r w:rsidR="00EC5F34" w:rsidRPr="00EC5F34">
        <w:rPr>
          <w:rFonts w:cstheme="minorHAnsi"/>
          <w:sz w:val="24"/>
          <w:szCs w:val="24"/>
        </w:rPr>
        <w:t>A separate examination report is not required in the interim period as information</w:t>
      </w:r>
      <w:r w:rsidR="00EC5F34">
        <w:rPr>
          <w:rFonts w:cstheme="minorHAnsi"/>
          <w:sz w:val="24"/>
          <w:szCs w:val="24"/>
        </w:rPr>
        <w:t xml:space="preserve"> </w:t>
      </w:r>
      <w:r w:rsidR="00EC5F34" w:rsidRPr="00EC5F34">
        <w:rPr>
          <w:rFonts w:cstheme="minorHAnsi"/>
          <w:sz w:val="24"/>
          <w:szCs w:val="24"/>
        </w:rPr>
        <w:t>deemed appropriate for report purposes will be included within the full-scope examination report.</w:t>
      </w:r>
      <w:r w:rsidR="004137C5">
        <w:rPr>
          <w:rFonts w:cstheme="minorHAnsi"/>
          <w:sz w:val="24"/>
          <w:szCs w:val="24"/>
        </w:rPr>
        <w:t xml:space="preserve"> However, results of interim work are expected to be documented in Exhibit AA—Summary Review Memorandum.</w:t>
      </w:r>
      <w:r w:rsidR="00475C43">
        <w:rPr>
          <w:rFonts w:cstheme="minorHAnsi"/>
          <w:sz w:val="24"/>
          <w:szCs w:val="24"/>
        </w:rPr>
        <w:t xml:space="preserve"> </w:t>
      </w:r>
    </w:p>
    <w:p w14:paraId="1644108E" w14:textId="77777777" w:rsidR="00A954A9" w:rsidRDefault="00A954A9" w:rsidP="00EC5F34">
      <w:pPr>
        <w:pStyle w:val="ListParagraph"/>
        <w:jc w:val="both"/>
        <w:rPr>
          <w:rFonts w:cstheme="minorHAnsi"/>
          <w:sz w:val="24"/>
          <w:szCs w:val="24"/>
        </w:rPr>
      </w:pPr>
    </w:p>
    <w:p w14:paraId="1AF0ED2F" w14:textId="6143FBA4" w:rsidR="00A954A9" w:rsidRPr="00A51A2F" w:rsidRDefault="00A954A9" w:rsidP="00EC5F34">
      <w:pPr>
        <w:pStyle w:val="ListParagraph"/>
        <w:jc w:val="both"/>
        <w:rPr>
          <w:rFonts w:cstheme="minorHAnsi"/>
          <w:i/>
          <w:iCs/>
          <w:sz w:val="24"/>
          <w:szCs w:val="24"/>
          <w:u w:val="single"/>
        </w:rPr>
      </w:pPr>
      <w:r w:rsidRPr="00A51A2F">
        <w:rPr>
          <w:rFonts w:cstheme="minorHAnsi"/>
          <w:i/>
          <w:iCs/>
          <w:sz w:val="24"/>
          <w:szCs w:val="24"/>
          <w:u w:val="single"/>
        </w:rPr>
        <w:t>E</w:t>
      </w:r>
      <w:r w:rsidR="00B26424" w:rsidRPr="00A51A2F">
        <w:rPr>
          <w:rFonts w:cstheme="minorHAnsi"/>
          <w:i/>
          <w:iCs/>
          <w:sz w:val="24"/>
          <w:szCs w:val="24"/>
          <w:u w:val="single"/>
        </w:rPr>
        <w:t>xample</w:t>
      </w:r>
      <w:r w:rsidRPr="00A51A2F">
        <w:rPr>
          <w:rFonts w:cstheme="minorHAnsi"/>
          <w:i/>
          <w:iCs/>
          <w:sz w:val="24"/>
          <w:szCs w:val="24"/>
          <w:u w:val="single"/>
        </w:rPr>
        <w:t xml:space="preserve"> Scenario:</w:t>
      </w:r>
    </w:p>
    <w:p w14:paraId="60D243D5" w14:textId="2EB05A95" w:rsidR="00A954A9" w:rsidRDefault="00A954A9" w:rsidP="00EC5F34">
      <w:pPr>
        <w:pStyle w:val="ListParagraph"/>
        <w:jc w:val="both"/>
        <w:rPr>
          <w:rFonts w:cstheme="minorHAnsi"/>
          <w:sz w:val="24"/>
          <w:szCs w:val="24"/>
        </w:rPr>
      </w:pPr>
      <w:r>
        <w:rPr>
          <w:rFonts w:cstheme="minorHAnsi"/>
          <w:sz w:val="24"/>
          <w:szCs w:val="24"/>
        </w:rPr>
        <w:t>L</w:t>
      </w:r>
      <w:r w:rsidR="00B26424">
        <w:rPr>
          <w:rFonts w:cstheme="minorHAnsi"/>
          <w:sz w:val="24"/>
          <w:szCs w:val="24"/>
        </w:rPr>
        <w:t xml:space="preserve">et’s assume a software vulnerability was identified and the team wants to check the insurer’s patch management protocols. </w:t>
      </w:r>
      <w:r>
        <w:rPr>
          <w:rFonts w:cstheme="minorHAnsi"/>
          <w:sz w:val="24"/>
          <w:szCs w:val="24"/>
        </w:rPr>
        <w:t>To investigate the vulnerability, t</w:t>
      </w:r>
      <w:r w:rsidR="00B26424">
        <w:rPr>
          <w:rFonts w:cstheme="minorHAnsi"/>
          <w:sz w:val="24"/>
          <w:szCs w:val="24"/>
        </w:rPr>
        <w:t xml:space="preserve">he team performs interim work and </w:t>
      </w:r>
      <w:r>
        <w:rPr>
          <w:rFonts w:cstheme="minorHAnsi"/>
          <w:sz w:val="24"/>
          <w:szCs w:val="24"/>
        </w:rPr>
        <w:t>learns</w:t>
      </w:r>
      <w:r w:rsidR="00B26424">
        <w:rPr>
          <w:rFonts w:cstheme="minorHAnsi"/>
          <w:sz w:val="24"/>
          <w:szCs w:val="24"/>
        </w:rPr>
        <w:t xml:space="preserve"> that the company has an updated patch negating the vulnerability. Additionally, the team selects a sample of insurer servers to verify they are at the right version/patch level</w:t>
      </w:r>
      <w:r>
        <w:rPr>
          <w:rFonts w:cstheme="minorHAnsi"/>
          <w:sz w:val="24"/>
          <w:szCs w:val="24"/>
        </w:rPr>
        <w:t>. The team concludes that the insurer as taken appropriate steps to mitigate concerns related to this vulnerability.</w:t>
      </w:r>
      <w:r w:rsidR="00B26424">
        <w:rPr>
          <w:rFonts w:cstheme="minorHAnsi"/>
          <w:sz w:val="24"/>
          <w:szCs w:val="24"/>
        </w:rPr>
        <w:t xml:space="preserve"> </w:t>
      </w:r>
    </w:p>
    <w:p w14:paraId="5FAB24EA" w14:textId="77777777" w:rsidR="00A954A9" w:rsidRDefault="00A954A9" w:rsidP="00EC5F34">
      <w:pPr>
        <w:pStyle w:val="ListParagraph"/>
        <w:jc w:val="both"/>
        <w:rPr>
          <w:rFonts w:cstheme="minorHAnsi"/>
          <w:sz w:val="24"/>
          <w:szCs w:val="24"/>
        </w:rPr>
      </w:pPr>
    </w:p>
    <w:p w14:paraId="6FC761EC" w14:textId="015D3146" w:rsidR="00FD1B33" w:rsidRPr="000B28F6" w:rsidRDefault="00B26424" w:rsidP="00A51A2F">
      <w:pPr>
        <w:pStyle w:val="ListParagraph"/>
        <w:jc w:val="both"/>
      </w:pPr>
      <w:r>
        <w:rPr>
          <w:rFonts w:cstheme="minorHAnsi"/>
          <w:sz w:val="24"/>
          <w:szCs w:val="24"/>
        </w:rPr>
        <w:t xml:space="preserve">At the time of the </w:t>
      </w:r>
      <w:r w:rsidR="00A954A9">
        <w:rPr>
          <w:rFonts w:cstheme="minorHAnsi"/>
          <w:sz w:val="24"/>
          <w:szCs w:val="24"/>
        </w:rPr>
        <w:t xml:space="preserve">full-scope </w:t>
      </w:r>
      <w:r>
        <w:rPr>
          <w:rFonts w:cstheme="minorHAnsi"/>
          <w:sz w:val="24"/>
          <w:szCs w:val="24"/>
        </w:rPr>
        <w:t xml:space="preserve">exam, </w:t>
      </w:r>
      <w:r w:rsidR="00D848A4">
        <w:rPr>
          <w:rFonts w:cstheme="minorHAnsi"/>
          <w:sz w:val="24"/>
          <w:szCs w:val="24"/>
        </w:rPr>
        <w:t xml:space="preserve">this work could be used to help address the DSS 05.01 procedure on Exhibit C. However, before leveraging interim work, the exam team should perform roll-forward procedures to determine whether the processes tested in the interim period are still in place and substantially the same, as changes may impact the conclusions that were reached in the interim period. For additional guidance </w:t>
      </w:r>
      <w:r w:rsidR="00A954A9">
        <w:rPr>
          <w:rFonts w:cstheme="minorHAnsi"/>
          <w:sz w:val="24"/>
          <w:szCs w:val="24"/>
        </w:rPr>
        <w:t>about</w:t>
      </w:r>
      <w:r>
        <w:rPr>
          <w:rFonts w:cstheme="minorHAnsi"/>
          <w:sz w:val="24"/>
          <w:szCs w:val="24"/>
        </w:rPr>
        <w:t xml:space="preserve"> roll</w:t>
      </w:r>
      <w:r w:rsidR="00A954A9">
        <w:rPr>
          <w:rFonts w:cstheme="minorHAnsi"/>
          <w:sz w:val="24"/>
          <w:szCs w:val="24"/>
        </w:rPr>
        <w:t xml:space="preserve">ing </w:t>
      </w:r>
      <w:r>
        <w:rPr>
          <w:rFonts w:cstheme="minorHAnsi"/>
          <w:sz w:val="24"/>
          <w:szCs w:val="24"/>
        </w:rPr>
        <w:t xml:space="preserve">forward interim work procedures </w:t>
      </w:r>
      <w:r w:rsidR="00A954A9">
        <w:rPr>
          <w:rFonts w:cstheme="minorHAnsi"/>
          <w:sz w:val="24"/>
          <w:szCs w:val="24"/>
        </w:rPr>
        <w:t xml:space="preserve">for use in the full-scope exam, see Section 1-1 </w:t>
      </w:r>
      <w:r>
        <w:rPr>
          <w:rFonts w:cstheme="minorHAnsi"/>
          <w:sz w:val="24"/>
          <w:szCs w:val="24"/>
        </w:rPr>
        <w:t xml:space="preserve">in the </w:t>
      </w:r>
      <w:r w:rsidR="00A954A9">
        <w:rPr>
          <w:rFonts w:cstheme="minorHAnsi"/>
          <w:i/>
          <w:iCs/>
          <w:sz w:val="24"/>
          <w:szCs w:val="24"/>
        </w:rPr>
        <w:t xml:space="preserve">Financial Condition </w:t>
      </w:r>
      <w:r w:rsidRPr="00B26424">
        <w:rPr>
          <w:rFonts w:cstheme="minorHAnsi"/>
          <w:i/>
          <w:iCs/>
          <w:sz w:val="24"/>
          <w:szCs w:val="24"/>
        </w:rPr>
        <w:t>Exam</w:t>
      </w:r>
      <w:r>
        <w:rPr>
          <w:rFonts w:cstheme="minorHAnsi"/>
          <w:i/>
          <w:iCs/>
          <w:sz w:val="24"/>
          <w:szCs w:val="24"/>
        </w:rPr>
        <w:t>iners</w:t>
      </w:r>
      <w:r w:rsidRPr="00B26424">
        <w:rPr>
          <w:rFonts w:cstheme="minorHAnsi"/>
          <w:i/>
          <w:iCs/>
          <w:sz w:val="24"/>
          <w:szCs w:val="24"/>
        </w:rPr>
        <w:t xml:space="preserve"> Handbook</w:t>
      </w:r>
      <w:r w:rsidR="00F07FF9">
        <w:rPr>
          <w:rFonts w:cstheme="minorHAnsi"/>
          <w:sz w:val="24"/>
          <w:szCs w:val="24"/>
        </w:rPr>
        <w:t>.</w:t>
      </w:r>
    </w:p>
    <w:p w14:paraId="6C9C7CDA" w14:textId="2CB9D1F9" w:rsidR="00FD1B33" w:rsidRPr="000B28F6" w:rsidRDefault="005735A6" w:rsidP="006862C2">
      <w:pPr>
        <w:jc w:val="both"/>
        <w:rPr>
          <w:rFonts w:cstheme="minorHAnsi"/>
          <w:b/>
          <w:bCs/>
          <w:smallCaps/>
          <w:sz w:val="28"/>
          <w:szCs w:val="28"/>
          <w:u w:val="single"/>
        </w:rPr>
      </w:pPr>
      <w:r>
        <w:rPr>
          <w:rFonts w:cstheme="minorHAnsi"/>
          <w:b/>
          <w:bCs/>
          <w:smallCaps/>
          <w:sz w:val="28"/>
          <w:szCs w:val="28"/>
          <w:u w:val="single"/>
        </w:rPr>
        <w:t>p</w:t>
      </w:r>
      <w:r w:rsidR="000F0B88" w:rsidRPr="000B28F6">
        <w:rPr>
          <w:rFonts w:cstheme="minorHAnsi"/>
          <w:b/>
          <w:bCs/>
          <w:smallCaps/>
          <w:sz w:val="28"/>
          <w:szCs w:val="28"/>
          <w:u w:val="single"/>
        </w:rPr>
        <w:t xml:space="preserve">ossible </w:t>
      </w:r>
      <w:r>
        <w:rPr>
          <w:rFonts w:cstheme="minorHAnsi"/>
          <w:b/>
          <w:bCs/>
          <w:smallCaps/>
          <w:sz w:val="28"/>
          <w:szCs w:val="28"/>
          <w:u w:val="single"/>
        </w:rPr>
        <w:t>q</w:t>
      </w:r>
      <w:r w:rsidR="000F0B88" w:rsidRPr="000B28F6">
        <w:rPr>
          <w:rFonts w:cstheme="minorHAnsi"/>
          <w:b/>
          <w:bCs/>
          <w:smallCaps/>
          <w:sz w:val="28"/>
          <w:szCs w:val="28"/>
          <w:u w:val="single"/>
        </w:rPr>
        <w:t xml:space="preserve">uestions </w:t>
      </w:r>
      <w:r>
        <w:rPr>
          <w:rFonts w:cstheme="minorHAnsi"/>
          <w:b/>
          <w:bCs/>
          <w:smallCaps/>
          <w:sz w:val="28"/>
          <w:szCs w:val="28"/>
          <w:u w:val="single"/>
        </w:rPr>
        <w:t>i</w:t>
      </w:r>
      <w:r w:rsidR="000F0B88" w:rsidRPr="000B28F6">
        <w:rPr>
          <w:rFonts w:cstheme="minorHAnsi"/>
          <w:b/>
          <w:bCs/>
          <w:smallCaps/>
          <w:sz w:val="28"/>
          <w:szCs w:val="28"/>
          <w:u w:val="single"/>
        </w:rPr>
        <w:t xml:space="preserve">n </w:t>
      </w:r>
      <w:r>
        <w:rPr>
          <w:rFonts w:cstheme="minorHAnsi"/>
          <w:b/>
          <w:bCs/>
          <w:smallCaps/>
          <w:sz w:val="28"/>
          <w:szCs w:val="28"/>
          <w:u w:val="single"/>
        </w:rPr>
        <w:t>d</w:t>
      </w:r>
      <w:r w:rsidR="000F0B88" w:rsidRPr="000B28F6">
        <w:rPr>
          <w:rFonts w:cstheme="minorHAnsi"/>
          <w:b/>
          <w:bCs/>
          <w:smallCaps/>
          <w:sz w:val="28"/>
          <w:szCs w:val="28"/>
          <w:u w:val="single"/>
        </w:rPr>
        <w:t xml:space="preserve">etermining an </w:t>
      </w:r>
      <w:r>
        <w:rPr>
          <w:rFonts w:cstheme="minorHAnsi"/>
          <w:b/>
          <w:bCs/>
          <w:smallCaps/>
          <w:sz w:val="28"/>
          <w:szCs w:val="28"/>
          <w:u w:val="single"/>
        </w:rPr>
        <w:t>i</w:t>
      </w:r>
      <w:r w:rsidR="000F0B88" w:rsidRPr="000B28F6">
        <w:rPr>
          <w:rFonts w:cstheme="minorHAnsi"/>
          <w:b/>
          <w:bCs/>
          <w:smallCaps/>
          <w:sz w:val="28"/>
          <w:szCs w:val="28"/>
          <w:u w:val="single"/>
        </w:rPr>
        <w:t xml:space="preserve">nsurer’s </w:t>
      </w:r>
      <w:r>
        <w:rPr>
          <w:rFonts w:cstheme="minorHAnsi"/>
          <w:b/>
          <w:bCs/>
          <w:smallCaps/>
          <w:sz w:val="28"/>
          <w:szCs w:val="28"/>
          <w:u w:val="single"/>
        </w:rPr>
        <w:t>e</w:t>
      </w:r>
      <w:r w:rsidR="000F0B88" w:rsidRPr="000B28F6">
        <w:rPr>
          <w:rFonts w:cstheme="minorHAnsi"/>
          <w:b/>
          <w:bCs/>
          <w:smallCaps/>
          <w:sz w:val="28"/>
          <w:szCs w:val="28"/>
          <w:u w:val="single"/>
        </w:rPr>
        <w:t xml:space="preserve">xposure to </w:t>
      </w:r>
      <w:r w:rsidR="00FD1B33" w:rsidRPr="000B28F6">
        <w:rPr>
          <w:rFonts w:cstheme="minorHAnsi"/>
          <w:b/>
          <w:bCs/>
          <w:smallCaps/>
          <w:sz w:val="28"/>
          <w:szCs w:val="28"/>
          <w:u w:val="single"/>
        </w:rPr>
        <w:t xml:space="preserve">a </w:t>
      </w:r>
      <w:r>
        <w:rPr>
          <w:rFonts w:cstheme="minorHAnsi"/>
          <w:b/>
          <w:bCs/>
          <w:smallCaps/>
          <w:sz w:val="28"/>
          <w:szCs w:val="28"/>
          <w:u w:val="single"/>
        </w:rPr>
        <w:t>k</w:t>
      </w:r>
      <w:r w:rsidR="00FD1B33" w:rsidRPr="000B28F6">
        <w:rPr>
          <w:rFonts w:cstheme="minorHAnsi"/>
          <w:b/>
          <w:bCs/>
          <w:smallCaps/>
          <w:sz w:val="28"/>
          <w:szCs w:val="28"/>
          <w:u w:val="single"/>
        </w:rPr>
        <w:t xml:space="preserve">nown </w:t>
      </w:r>
      <w:r>
        <w:rPr>
          <w:rFonts w:cstheme="minorHAnsi"/>
          <w:b/>
          <w:bCs/>
          <w:smallCaps/>
          <w:sz w:val="28"/>
          <w:szCs w:val="28"/>
          <w:u w:val="single"/>
        </w:rPr>
        <w:t>v</w:t>
      </w:r>
      <w:r w:rsidR="00FD1B33" w:rsidRPr="000B28F6">
        <w:rPr>
          <w:rFonts w:cstheme="minorHAnsi"/>
          <w:b/>
          <w:bCs/>
          <w:smallCaps/>
          <w:sz w:val="28"/>
          <w:szCs w:val="28"/>
          <w:u w:val="single"/>
        </w:rPr>
        <w:t>ulnerability</w:t>
      </w:r>
    </w:p>
    <w:p w14:paraId="20FB5030" w14:textId="0E82CA08" w:rsidR="005735A6" w:rsidRPr="000B28F6" w:rsidRDefault="005735A6" w:rsidP="005735A6">
      <w:pPr>
        <w:rPr>
          <w:rFonts w:cstheme="minorHAnsi"/>
          <w:sz w:val="24"/>
          <w:szCs w:val="24"/>
        </w:rPr>
      </w:pPr>
      <w:r w:rsidRPr="000B28F6">
        <w:rPr>
          <w:rFonts w:cstheme="minorHAnsi"/>
          <w:sz w:val="24"/>
          <w:szCs w:val="24"/>
        </w:rPr>
        <w:t xml:space="preserve">The following questions can be used to help </w:t>
      </w:r>
      <w:r w:rsidR="00AA5631">
        <w:rPr>
          <w:rFonts w:cstheme="minorHAnsi"/>
          <w:sz w:val="24"/>
          <w:szCs w:val="24"/>
        </w:rPr>
        <w:t>a regulator</w:t>
      </w:r>
      <w:r w:rsidRPr="000B28F6">
        <w:rPr>
          <w:rFonts w:cstheme="minorHAnsi"/>
          <w:sz w:val="24"/>
          <w:szCs w:val="24"/>
        </w:rPr>
        <w:t xml:space="preserve"> determine an insurer’s exposure to a known vulnerability</w:t>
      </w:r>
      <w:r w:rsidR="00AA5631">
        <w:rPr>
          <w:rFonts w:cstheme="minorHAnsi"/>
          <w:sz w:val="24"/>
          <w:szCs w:val="24"/>
        </w:rPr>
        <w:t>, as well as any steps taken to mitigate and address the vulnerability (if exposed)</w:t>
      </w:r>
      <w:r w:rsidRPr="000B28F6">
        <w:rPr>
          <w:rFonts w:cstheme="minorHAnsi"/>
          <w:sz w:val="24"/>
          <w:szCs w:val="24"/>
        </w:rPr>
        <w:t xml:space="preserve">. These questions should be customized to the specific situation identified. As the topics addressed and questions raised are largely in-line with topics covered during an examination IT review, </w:t>
      </w:r>
      <w:r w:rsidR="00AA5631">
        <w:rPr>
          <w:rFonts w:cstheme="minorHAnsi"/>
          <w:sz w:val="24"/>
          <w:szCs w:val="24"/>
        </w:rPr>
        <w:t>regulators</w:t>
      </w:r>
      <w:r w:rsidR="00AA5631" w:rsidRPr="000B28F6">
        <w:rPr>
          <w:rFonts w:cstheme="minorHAnsi"/>
          <w:sz w:val="24"/>
          <w:szCs w:val="24"/>
        </w:rPr>
        <w:t xml:space="preserve"> </w:t>
      </w:r>
      <w:r w:rsidRPr="000B28F6">
        <w:rPr>
          <w:rFonts w:cstheme="minorHAnsi"/>
          <w:sz w:val="24"/>
          <w:szCs w:val="24"/>
        </w:rPr>
        <w:t xml:space="preserve">are encouraged to work with their IT specialists, if necessary, to </w:t>
      </w:r>
      <w:r w:rsidR="00AA5631">
        <w:rPr>
          <w:rFonts w:cstheme="minorHAnsi"/>
          <w:sz w:val="24"/>
          <w:szCs w:val="24"/>
        </w:rPr>
        <w:t xml:space="preserve">customize the inquiries, </w:t>
      </w:r>
      <w:r w:rsidRPr="000B28F6">
        <w:rPr>
          <w:rFonts w:cstheme="minorHAnsi"/>
          <w:sz w:val="24"/>
          <w:szCs w:val="24"/>
        </w:rPr>
        <w:t xml:space="preserve">evaluate the appropriateness of responses received and determine if any additional follow-up is necessary. If specialist resources are not available to a state in this area, NAIC IT security staff may be available to assist in this regard.  Where appropriate, </w:t>
      </w:r>
      <w:r w:rsidR="00AA5631">
        <w:rPr>
          <w:rFonts w:cstheme="minorHAnsi"/>
          <w:sz w:val="24"/>
          <w:szCs w:val="24"/>
        </w:rPr>
        <w:t>corresponding topics</w:t>
      </w:r>
      <w:r w:rsidRPr="000B28F6">
        <w:rPr>
          <w:rFonts w:cstheme="minorHAnsi"/>
          <w:sz w:val="24"/>
          <w:szCs w:val="24"/>
        </w:rPr>
        <w:t xml:space="preserve"> from </w:t>
      </w:r>
      <w:hyperlink r:id="rId8" w:history="1">
        <w:r w:rsidRPr="002931BD">
          <w:rPr>
            <w:rStyle w:val="Hyperlink"/>
            <w:rFonts w:cstheme="minorHAnsi"/>
            <w:sz w:val="24"/>
            <w:szCs w:val="24"/>
          </w:rPr>
          <w:t xml:space="preserve">Exhibit C </w:t>
        </w:r>
        <w:r w:rsidR="00AA5631" w:rsidRPr="002931BD">
          <w:rPr>
            <w:rStyle w:val="Hyperlink"/>
            <w:rFonts w:cstheme="minorHAnsi"/>
            <w:sz w:val="24"/>
            <w:szCs w:val="24"/>
          </w:rPr>
          <w:t>– Evaluation of Controls in Information Technology</w:t>
        </w:r>
      </w:hyperlink>
      <w:r w:rsidR="00AA5631">
        <w:rPr>
          <w:rFonts w:cstheme="minorHAnsi"/>
          <w:sz w:val="24"/>
          <w:szCs w:val="24"/>
        </w:rPr>
        <w:t xml:space="preserve"> from the </w:t>
      </w:r>
      <w:r w:rsidR="00AA5631" w:rsidRPr="00AA5631">
        <w:rPr>
          <w:rFonts w:cstheme="minorHAnsi"/>
          <w:i/>
          <w:iCs/>
          <w:sz w:val="24"/>
          <w:szCs w:val="24"/>
        </w:rPr>
        <w:t>Financial Condition Examiners Handbook</w:t>
      </w:r>
      <w:r w:rsidR="00AA5631" w:rsidRPr="00AA5631">
        <w:rPr>
          <w:rFonts w:cstheme="minorHAnsi"/>
          <w:sz w:val="24"/>
          <w:szCs w:val="24"/>
        </w:rPr>
        <w:t xml:space="preserve"> </w:t>
      </w:r>
      <w:r w:rsidRPr="000B28F6">
        <w:rPr>
          <w:rFonts w:cstheme="minorHAnsi"/>
          <w:sz w:val="24"/>
          <w:szCs w:val="24"/>
        </w:rPr>
        <w:t>have been included to assist in evaluating an insurer’s response to a specific question.</w:t>
      </w:r>
    </w:p>
    <w:p w14:paraId="15DEABD4" w14:textId="4EB80AC8" w:rsidR="00022381" w:rsidRPr="000B28F6" w:rsidRDefault="00022381" w:rsidP="00022381">
      <w:pPr>
        <w:pStyle w:val="xmsonormal"/>
        <w:numPr>
          <w:ilvl w:val="0"/>
          <w:numId w:val="12"/>
        </w:numPr>
        <w:spacing w:after="160" w:line="252" w:lineRule="auto"/>
        <w:rPr>
          <w:rFonts w:asciiTheme="minorHAnsi" w:eastAsia="Times New Roman" w:hAnsiTheme="minorHAnsi" w:cstheme="minorHAnsi"/>
          <w:sz w:val="24"/>
          <w:szCs w:val="24"/>
        </w:rPr>
      </w:pPr>
      <w:r w:rsidRPr="000B28F6">
        <w:rPr>
          <w:rFonts w:asciiTheme="minorHAnsi" w:eastAsia="Times New Roman" w:hAnsiTheme="minorHAnsi" w:cstheme="minorHAnsi"/>
          <w:sz w:val="24"/>
          <w:szCs w:val="24"/>
        </w:rPr>
        <w:t xml:space="preserve">Does the insurance company have any </w:t>
      </w:r>
      <w:r w:rsidR="00FF24A1">
        <w:rPr>
          <w:rFonts w:asciiTheme="minorHAnsi" w:eastAsia="Times New Roman" w:hAnsiTheme="minorHAnsi" w:cstheme="minorHAnsi"/>
          <w:sz w:val="24"/>
          <w:szCs w:val="24"/>
        </w:rPr>
        <w:t>exposure to the</w:t>
      </w:r>
      <w:r w:rsidR="00933939">
        <w:rPr>
          <w:rFonts w:asciiTheme="minorHAnsi" w:eastAsia="Times New Roman" w:hAnsiTheme="minorHAnsi" w:cstheme="minorHAnsi"/>
          <w:sz w:val="24"/>
          <w:szCs w:val="24"/>
        </w:rPr>
        <w:t xml:space="preserve"> discovered</w:t>
      </w:r>
      <w:r w:rsidR="00FF24A1">
        <w:rPr>
          <w:rFonts w:asciiTheme="minorHAnsi" w:eastAsia="Times New Roman" w:hAnsiTheme="minorHAnsi" w:cstheme="minorHAnsi"/>
          <w:sz w:val="24"/>
          <w:szCs w:val="24"/>
        </w:rPr>
        <w:t xml:space="preserve"> vulnerability</w:t>
      </w:r>
      <w:r w:rsidR="00933939">
        <w:rPr>
          <w:rFonts w:asciiTheme="minorHAnsi" w:eastAsia="Times New Roman" w:hAnsiTheme="minorHAnsi" w:cstheme="minorHAnsi"/>
          <w:sz w:val="24"/>
          <w:szCs w:val="24"/>
        </w:rPr>
        <w:t>?</w:t>
      </w:r>
      <w:r w:rsidR="00FF24A1">
        <w:rPr>
          <w:rFonts w:asciiTheme="minorHAnsi" w:eastAsia="Times New Roman" w:hAnsiTheme="minorHAnsi" w:cstheme="minorHAnsi"/>
          <w:sz w:val="24"/>
          <w:szCs w:val="24"/>
        </w:rPr>
        <w:t xml:space="preserve"> </w:t>
      </w:r>
    </w:p>
    <w:p w14:paraId="1A72A8F4" w14:textId="02E74F61" w:rsidR="00022381" w:rsidRPr="000B28F6" w:rsidRDefault="00DC5EB8" w:rsidP="00022381">
      <w:pPr>
        <w:pStyle w:val="xmsonormal"/>
        <w:numPr>
          <w:ilvl w:val="0"/>
          <w:numId w:val="12"/>
        </w:numPr>
        <w:rPr>
          <w:rFonts w:asciiTheme="minorHAnsi" w:eastAsia="Times New Roman" w:hAnsiTheme="minorHAnsi" w:cstheme="minorHAnsi"/>
          <w:sz w:val="24"/>
          <w:szCs w:val="24"/>
        </w:rPr>
      </w:pPr>
      <w:r>
        <w:rPr>
          <w:rFonts w:asciiTheme="minorHAnsi" w:eastAsia="Times New Roman" w:hAnsiTheme="minorHAnsi" w:cstheme="minorHAnsi"/>
          <w:sz w:val="24"/>
          <w:szCs w:val="24"/>
        </w:rPr>
        <w:t>If applicable, h</w:t>
      </w:r>
      <w:r w:rsidR="00022381" w:rsidRPr="000B28F6">
        <w:rPr>
          <w:rFonts w:asciiTheme="minorHAnsi" w:eastAsia="Times New Roman" w:hAnsiTheme="minorHAnsi" w:cstheme="minorHAnsi"/>
          <w:sz w:val="24"/>
          <w:szCs w:val="24"/>
        </w:rPr>
        <w:t xml:space="preserve">as the insurance company deployed updates to affected </w:t>
      </w:r>
      <w:r w:rsidR="000F0B88" w:rsidRPr="000B28F6">
        <w:rPr>
          <w:rFonts w:asciiTheme="minorHAnsi" w:eastAsia="Times New Roman" w:hAnsiTheme="minorHAnsi" w:cstheme="minorHAnsi"/>
          <w:sz w:val="24"/>
          <w:szCs w:val="24"/>
        </w:rPr>
        <w:t>[</w:t>
      </w:r>
      <w:r w:rsidR="000F0B88" w:rsidRPr="000B28F6">
        <w:rPr>
          <w:rFonts w:asciiTheme="minorHAnsi" w:eastAsia="Times New Roman" w:hAnsiTheme="minorHAnsi" w:cstheme="minorHAnsi"/>
          <w:i/>
          <w:iCs/>
          <w:sz w:val="24"/>
          <w:szCs w:val="24"/>
        </w:rPr>
        <w:t>application</w:t>
      </w:r>
      <w:r w:rsidR="000F0B88" w:rsidRPr="000B28F6">
        <w:rPr>
          <w:rFonts w:asciiTheme="minorHAnsi" w:eastAsia="Times New Roman" w:hAnsiTheme="minorHAnsi" w:cstheme="minorHAnsi"/>
          <w:sz w:val="24"/>
          <w:szCs w:val="24"/>
        </w:rPr>
        <w:t>]</w:t>
      </w:r>
      <w:r w:rsidR="00022381" w:rsidRPr="000B28F6">
        <w:rPr>
          <w:rFonts w:asciiTheme="minorHAnsi" w:eastAsia="Times New Roman" w:hAnsiTheme="minorHAnsi" w:cstheme="minorHAnsi"/>
          <w:sz w:val="24"/>
          <w:szCs w:val="24"/>
        </w:rPr>
        <w:t xml:space="preserve"> servers?</w:t>
      </w:r>
    </w:p>
    <w:p w14:paraId="175C525B" w14:textId="7AE6D03B" w:rsidR="000F0B88" w:rsidRDefault="000F0B88" w:rsidP="00022381">
      <w:pPr>
        <w:pStyle w:val="xmsonormal"/>
        <w:numPr>
          <w:ilvl w:val="1"/>
          <w:numId w:val="12"/>
        </w:numPr>
        <w:rPr>
          <w:rFonts w:asciiTheme="minorHAnsi" w:eastAsia="Times New Roman" w:hAnsiTheme="minorHAnsi" w:cstheme="minorHAnsi"/>
          <w:sz w:val="24"/>
          <w:szCs w:val="24"/>
        </w:rPr>
      </w:pPr>
      <w:r w:rsidRPr="000B28F6">
        <w:rPr>
          <w:rFonts w:asciiTheme="minorHAnsi" w:eastAsia="Times New Roman" w:hAnsiTheme="minorHAnsi" w:cstheme="minorHAnsi"/>
          <w:sz w:val="24"/>
          <w:szCs w:val="24"/>
        </w:rPr>
        <w:t>What are the insurance company’s patch management protocols?</w:t>
      </w:r>
    </w:p>
    <w:p w14:paraId="03CF6039" w14:textId="7C581CAE" w:rsidR="001467F8" w:rsidRDefault="001467F8" w:rsidP="00022381">
      <w:pPr>
        <w:pStyle w:val="xmsonormal"/>
        <w:numPr>
          <w:ilvl w:val="1"/>
          <w:numId w:val="12"/>
        </w:numPr>
        <w:rPr>
          <w:rFonts w:asciiTheme="minorHAnsi" w:eastAsia="Times New Roman" w:hAnsiTheme="minorHAnsi" w:cstheme="minorHAnsi"/>
          <w:sz w:val="24"/>
          <w:szCs w:val="24"/>
        </w:rPr>
      </w:pPr>
      <w:r>
        <w:rPr>
          <w:rFonts w:asciiTheme="minorHAnsi" w:eastAsia="Times New Roman" w:hAnsiTheme="minorHAnsi" w:cstheme="minorHAnsi"/>
          <w:sz w:val="24"/>
          <w:szCs w:val="24"/>
        </w:rPr>
        <w:t>Was the recommended patch applied?</w:t>
      </w:r>
    </w:p>
    <w:p w14:paraId="5B5135D2" w14:textId="309D189A" w:rsidR="001467F8" w:rsidRPr="000B28F6" w:rsidRDefault="001467F8" w:rsidP="00022381">
      <w:pPr>
        <w:pStyle w:val="xmsonormal"/>
        <w:numPr>
          <w:ilvl w:val="1"/>
          <w:numId w:val="12"/>
        </w:numPr>
        <w:rPr>
          <w:rFonts w:asciiTheme="minorHAnsi" w:eastAsia="Times New Roman" w:hAnsiTheme="minorHAnsi" w:cstheme="minorHAnsi"/>
          <w:sz w:val="24"/>
          <w:szCs w:val="24"/>
        </w:rPr>
      </w:pPr>
      <w:r>
        <w:rPr>
          <w:rFonts w:asciiTheme="minorHAnsi" w:eastAsia="Times New Roman" w:hAnsiTheme="minorHAnsi" w:cstheme="minorHAnsi"/>
          <w:sz w:val="24"/>
          <w:szCs w:val="24"/>
        </w:rPr>
        <w:t>What steps were taken between when the vulnerability was discovered and when the patch was applied to mitigate the risk?</w:t>
      </w:r>
    </w:p>
    <w:p w14:paraId="12B66900" w14:textId="11D6EA45" w:rsidR="001467F8" w:rsidRDefault="00022381" w:rsidP="001467F8">
      <w:pPr>
        <w:pStyle w:val="xmsonormal"/>
        <w:numPr>
          <w:ilvl w:val="1"/>
          <w:numId w:val="12"/>
        </w:numPr>
        <w:rPr>
          <w:rFonts w:asciiTheme="minorHAnsi" w:eastAsia="Times New Roman" w:hAnsiTheme="minorHAnsi" w:cstheme="minorHAnsi"/>
          <w:sz w:val="24"/>
          <w:szCs w:val="24"/>
        </w:rPr>
      </w:pPr>
      <w:r w:rsidRPr="000B28F6">
        <w:rPr>
          <w:rFonts w:asciiTheme="minorHAnsi" w:eastAsia="Times New Roman" w:hAnsiTheme="minorHAnsi" w:cstheme="minorHAnsi"/>
          <w:sz w:val="24"/>
          <w:szCs w:val="24"/>
        </w:rPr>
        <w:t xml:space="preserve">If the insurance company has not been able to patch, have they followed </w:t>
      </w:r>
      <w:r w:rsidR="000F0B88" w:rsidRPr="000B28F6">
        <w:rPr>
          <w:rFonts w:asciiTheme="minorHAnsi" w:eastAsia="Times New Roman" w:hAnsiTheme="minorHAnsi" w:cstheme="minorHAnsi"/>
          <w:sz w:val="24"/>
          <w:szCs w:val="24"/>
        </w:rPr>
        <w:t>[</w:t>
      </w:r>
      <w:r w:rsidR="000F0B88" w:rsidRPr="000B28F6">
        <w:rPr>
          <w:rFonts w:asciiTheme="minorHAnsi" w:eastAsia="Times New Roman" w:hAnsiTheme="minorHAnsi" w:cstheme="minorHAnsi"/>
          <w:i/>
          <w:iCs/>
          <w:sz w:val="24"/>
          <w:szCs w:val="24"/>
        </w:rPr>
        <w:t xml:space="preserve">application </w:t>
      </w:r>
      <w:r w:rsidR="00D8240A">
        <w:rPr>
          <w:rFonts w:asciiTheme="minorHAnsi" w:eastAsia="Times New Roman" w:hAnsiTheme="minorHAnsi" w:cstheme="minorHAnsi"/>
          <w:i/>
          <w:iCs/>
          <w:sz w:val="24"/>
          <w:szCs w:val="24"/>
        </w:rPr>
        <w:t>vendor/</w:t>
      </w:r>
      <w:r w:rsidR="000F0B88" w:rsidRPr="000B28F6">
        <w:rPr>
          <w:rFonts w:asciiTheme="minorHAnsi" w:eastAsia="Times New Roman" w:hAnsiTheme="minorHAnsi" w:cstheme="minorHAnsi"/>
          <w:i/>
          <w:iCs/>
          <w:sz w:val="24"/>
          <w:szCs w:val="24"/>
        </w:rPr>
        <w:t>developer</w:t>
      </w:r>
      <w:r w:rsidR="000F0B88" w:rsidRPr="000B28F6">
        <w:rPr>
          <w:rFonts w:asciiTheme="minorHAnsi" w:eastAsia="Times New Roman" w:hAnsiTheme="minorHAnsi" w:cstheme="minorHAnsi"/>
          <w:sz w:val="24"/>
          <w:szCs w:val="24"/>
        </w:rPr>
        <w:t>]</w:t>
      </w:r>
      <w:r w:rsidRPr="000B28F6">
        <w:rPr>
          <w:rFonts w:asciiTheme="minorHAnsi" w:eastAsia="Times New Roman" w:hAnsiTheme="minorHAnsi" w:cstheme="minorHAnsi"/>
          <w:sz w:val="24"/>
          <w:szCs w:val="24"/>
        </w:rPr>
        <w:t xml:space="preserve"> instructions for how to mitigate through reconfiguration?</w:t>
      </w:r>
      <w:r w:rsidR="006F52C3">
        <w:rPr>
          <w:rFonts w:asciiTheme="minorHAnsi" w:eastAsia="Times New Roman" w:hAnsiTheme="minorHAnsi" w:cstheme="minorHAnsi"/>
          <w:sz w:val="24"/>
          <w:szCs w:val="24"/>
        </w:rPr>
        <w:t xml:space="preserve"> </w:t>
      </w:r>
    </w:p>
    <w:p w14:paraId="7CE61801" w14:textId="7E87A232" w:rsidR="006F52C3" w:rsidRPr="006F52C3" w:rsidRDefault="006F52C3" w:rsidP="006F52C3">
      <w:pPr>
        <w:pStyle w:val="xmsonormal"/>
        <w:ind w:left="2160"/>
        <w:rPr>
          <w:rFonts w:asciiTheme="minorHAnsi" w:eastAsia="Times New Roman" w:hAnsiTheme="minorHAnsi" w:cstheme="minorHAnsi"/>
          <w:i/>
          <w:iCs/>
          <w:sz w:val="20"/>
          <w:szCs w:val="20"/>
        </w:rPr>
      </w:pPr>
      <w:r w:rsidRPr="006F52C3">
        <w:rPr>
          <w:rFonts w:asciiTheme="minorHAnsi" w:eastAsia="Times New Roman" w:hAnsiTheme="minorHAnsi" w:cstheme="minorHAnsi"/>
          <w:i/>
          <w:iCs/>
          <w:sz w:val="20"/>
          <w:szCs w:val="20"/>
        </w:rPr>
        <w:t>See Exhibit C ITPQ question #5</w:t>
      </w:r>
    </w:p>
    <w:p w14:paraId="0C576BF5" w14:textId="70AE62A6" w:rsidR="006F52C3" w:rsidRPr="001467F8" w:rsidRDefault="006F52C3" w:rsidP="001467F8">
      <w:pPr>
        <w:pStyle w:val="xmsonormal"/>
        <w:numPr>
          <w:ilvl w:val="1"/>
          <w:numId w:val="12"/>
        </w:numPr>
        <w:rPr>
          <w:rFonts w:asciiTheme="minorHAnsi" w:eastAsia="Times New Roman" w:hAnsiTheme="minorHAnsi" w:cstheme="minorHAnsi"/>
          <w:sz w:val="24"/>
          <w:szCs w:val="24"/>
        </w:rPr>
      </w:pPr>
      <w:r w:rsidRPr="006F52C3">
        <w:rPr>
          <w:rFonts w:asciiTheme="minorHAnsi" w:eastAsia="Times New Roman" w:hAnsiTheme="minorHAnsi" w:cstheme="minorHAnsi"/>
          <w:sz w:val="24"/>
          <w:szCs w:val="24"/>
        </w:rPr>
        <w:t>Has the insurance company taken steps to investigate their systems and logs for exploitation, persistence, or evidence of lateral movement? If so, has the insurance company remediated any identified exploitation or persistence and investigated their environment for indications of lateral movement?</w:t>
      </w:r>
    </w:p>
    <w:p w14:paraId="24A5F85C" w14:textId="5B0B7698" w:rsidR="001467F8" w:rsidRPr="001467F8" w:rsidRDefault="001467F8" w:rsidP="001467F8">
      <w:pPr>
        <w:pStyle w:val="xmsonormal"/>
        <w:ind w:left="1440" w:firstLine="720"/>
        <w:rPr>
          <w:rFonts w:asciiTheme="minorHAnsi" w:hAnsiTheme="minorHAnsi" w:cstheme="minorHAnsi"/>
          <w:i/>
          <w:iCs/>
          <w:sz w:val="20"/>
          <w:szCs w:val="20"/>
        </w:rPr>
      </w:pPr>
      <w:r>
        <w:rPr>
          <w:rFonts w:asciiTheme="minorHAnsi" w:hAnsiTheme="minorHAnsi" w:cstheme="minorHAnsi"/>
          <w:i/>
          <w:iCs/>
          <w:sz w:val="20"/>
          <w:szCs w:val="20"/>
        </w:rPr>
        <w:t>See Exhibit C DSS 05.07</w:t>
      </w:r>
    </w:p>
    <w:p w14:paraId="7B643969" w14:textId="77777777" w:rsidR="00113CA1" w:rsidRPr="00113CA1" w:rsidRDefault="00113CA1" w:rsidP="00113CA1">
      <w:pPr>
        <w:pStyle w:val="xmsonormal"/>
        <w:ind w:left="2160"/>
        <w:rPr>
          <w:rFonts w:asciiTheme="minorHAnsi" w:hAnsiTheme="minorHAnsi" w:cstheme="minorHAnsi"/>
          <w:i/>
          <w:iCs/>
          <w:sz w:val="20"/>
          <w:szCs w:val="20"/>
        </w:rPr>
      </w:pPr>
    </w:p>
    <w:p w14:paraId="0AD900E9" w14:textId="28A25289" w:rsidR="00DC5EB8" w:rsidRDefault="006F52C3" w:rsidP="00933939">
      <w:pPr>
        <w:pStyle w:val="xmsonormal"/>
        <w:numPr>
          <w:ilvl w:val="0"/>
          <w:numId w:val="13"/>
        </w:numPr>
        <w:rPr>
          <w:rFonts w:asciiTheme="minorHAnsi" w:eastAsia="Times New Roman" w:hAnsiTheme="minorHAnsi" w:cstheme="minorHAnsi"/>
          <w:sz w:val="24"/>
          <w:szCs w:val="24"/>
        </w:rPr>
      </w:pPr>
      <w:r>
        <w:rPr>
          <w:rFonts w:asciiTheme="minorHAnsi" w:eastAsia="Times New Roman" w:hAnsiTheme="minorHAnsi" w:cstheme="minorHAnsi"/>
          <w:sz w:val="24"/>
          <w:szCs w:val="24"/>
        </w:rPr>
        <w:t>For vulnerabilities derived from breaches at insurer third parties:</w:t>
      </w:r>
      <w:r w:rsidR="00DC5EB8">
        <w:rPr>
          <w:rFonts w:asciiTheme="minorHAnsi" w:eastAsia="Times New Roman" w:hAnsiTheme="minorHAnsi" w:cstheme="minorHAnsi"/>
          <w:sz w:val="24"/>
          <w:szCs w:val="24"/>
        </w:rPr>
        <w:t xml:space="preserve"> </w:t>
      </w:r>
    </w:p>
    <w:p w14:paraId="470AD692" w14:textId="4085DA45" w:rsidR="00DC5EB8" w:rsidRDefault="00DC5EB8" w:rsidP="009333CB">
      <w:pPr>
        <w:pStyle w:val="xmsonormal"/>
        <w:numPr>
          <w:ilvl w:val="1"/>
          <w:numId w:val="18"/>
        </w:numPr>
        <w:tabs>
          <w:tab w:val="clear" w:pos="1440"/>
        </w:tabs>
        <w:rPr>
          <w:rFonts w:asciiTheme="minorHAnsi" w:eastAsia="Times New Roman" w:hAnsiTheme="minorHAnsi" w:cstheme="minorHAnsi"/>
          <w:sz w:val="24"/>
          <w:szCs w:val="24"/>
        </w:rPr>
      </w:pPr>
      <w:r>
        <w:rPr>
          <w:rFonts w:asciiTheme="minorHAnsi" w:eastAsia="Times New Roman" w:hAnsiTheme="minorHAnsi" w:cstheme="minorHAnsi"/>
          <w:sz w:val="24"/>
          <w:szCs w:val="24"/>
        </w:rPr>
        <w:t>Was company data exposed</w:t>
      </w:r>
      <w:r w:rsidR="009333CB">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or does the 3</w:t>
      </w:r>
      <w:r w:rsidRPr="001467F8">
        <w:rPr>
          <w:rFonts w:asciiTheme="minorHAnsi" w:eastAsia="Times New Roman" w:hAnsiTheme="minorHAnsi" w:cstheme="minorHAnsi"/>
          <w:sz w:val="24"/>
          <w:szCs w:val="24"/>
          <w:vertAlign w:val="superscript"/>
        </w:rPr>
        <w:t>rd</w:t>
      </w:r>
      <w:r>
        <w:rPr>
          <w:rFonts w:asciiTheme="minorHAnsi" w:eastAsia="Times New Roman" w:hAnsiTheme="minorHAnsi" w:cstheme="minorHAnsi"/>
          <w:sz w:val="24"/>
          <w:szCs w:val="24"/>
        </w:rPr>
        <w:t xml:space="preserve"> party have easy access to your data</w:t>
      </w:r>
      <w:r w:rsidR="009333CB">
        <w:rPr>
          <w:rFonts w:asciiTheme="minorHAnsi" w:eastAsia="Times New Roman" w:hAnsiTheme="minorHAnsi" w:cstheme="minorHAnsi"/>
          <w:sz w:val="24"/>
          <w:szCs w:val="24"/>
        </w:rPr>
        <w:t>?</w:t>
      </w:r>
    </w:p>
    <w:p w14:paraId="3B617F2A" w14:textId="77777777" w:rsidR="009333CB" w:rsidRDefault="00DC5EB8" w:rsidP="009333CB">
      <w:pPr>
        <w:pStyle w:val="xmsonormal"/>
        <w:numPr>
          <w:ilvl w:val="1"/>
          <w:numId w:val="18"/>
        </w:numPr>
        <w:tabs>
          <w:tab w:val="clear" w:pos="1440"/>
        </w:tabs>
        <w:rPr>
          <w:rFonts w:asciiTheme="minorHAnsi" w:eastAsia="Times New Roman" w:hAnsiTheme="minorHAnsi" w:cstheme="minorHAnsi"/>
          <w:sz w:val="24"/>
          <w:szCs w:val="24"/>
        </w:rPr>
      </w:pPr>
      <w:r>
        <w:rPr>
          <w:rFonts w:asciiTheme="minorHAnsi" w:eastAsia="Times New Roman" w:hAnsiTheme="minorHAnsi" w:cstheme="minorHAnsi"/>
          <w:sz w:val="24"/>
          <w:szCs w:val="24"/>
        </w:rPr>
        <w:t>Has access been restricted</w:t>
      </w:r>
      <w:r w:rsidR="009333CB">
        <w:rPr>
          <w:rFonts w:asciiTheme="minorHAnsi" w:eastAsia="Times New Roman" w:hAnsiTheme="minorHAnsi" w:cstheme="minorHAnsi"/>
          <w:sz w:val="24"/>
          <w:szCs w:val="24"/>
        </w:rPr>
        <w:t>?</w:t>
      </w:r>
    </w:p>
    <w:p w14:paraId="1F03356F" w14:textId="77777777" w:rsidR="009333CB" w:rsidRDefault="009333CB" w:rsidP="009333CB">
      <w:pPr>
        <w:pStyle w:val="xmsonormal"/>
        <w:numPr>
          <w:ilvl w:val="1"/>
          <w:numId w:val="18"/>
        </w:numPr>
        <w:tabs>
          <w:tab w:val="clear" w:pos="1440"/>
        </w:tabs>
        <w:rPr>
          <w:rFonts w:asciiTheme="minorHAnsi" w:eastAsia="Times New Roman" w:hAnsiTheme="minorHAnsi" w:cstheme="minorHAnsi"/>
          <w:sz w:val="24"/>
          <w:szCs w:val="24"/>
        </w:rPr>
      </w:pPr>
      <w:r>
        <w:rPr>
          <w:rFonts w:asciiTheme="minorHAnsi" w:eastAsia="Times New Roman" w:hAnsiTheme="minorHAnsi" w:cstheme="minorHAnsi"/>
          <w:sz w:val="24"/>
          <w:szCs w:val="24"/>
        </w:rPr>
        <w:t>W</w:t>
      </w:r>
      <w:r w:rsidR="00DC5EB8">
        <w:rPr>
          <w:rFonts w:asciiTheme="minorHAnsi" w:eastAsia="Times New Roman" w:hAnsiTheme="minorHAnsi" w:cstheme="minorHAnsi"/>
          <w:sz w:val="24"/>
          <w:szCs w:val="24"/>
        </w:rPr>
        <w:t>hat steps have been taken to mitigate</w:t>
      </w:r>
      <w:r>
        <w:rPr>
          <w:rFonts w:asciiTheme="minorHAnsi" w:eastAsia="Times New Roman" w:hAnsiTheme="minorHAnsi" w:cstheme="minorHAnsi"/>
          <w:sz w:val="24"/>
          <w:szCs w:val="24"/>
        </w:rPr>
        <w:t xml:space="preserve"> the risk that your data was exposed?</w:t>
      </w:r>
    </w:p>
    <w:p w14:paraId="1734120D" w14:textId="1842F583" w:rsidR="00DC5EB8" w:rsidRDefault="009333CB" w:rsidP="009333CB">
      <w:pPr>
        <w:pStyle w:val="xmsonormal"/>
        <w:numPr>
          <w:ilvl w:val="1"/>
          <w:numId w:val="18"/>
        </w:numPr>
        <w:tabs>
          <w:tab w:val="clear" w:pos="1440"/>
        </w:tabs>
        <w:rPr>
          <w:rFonts w:asciiTheme="minorHAnsi" w:eastAsia="Times New Roman" w:hAnsiTheme="minorHAnsi" w:cstheme="minorHAnsi"/>
          <w:sz w:val="24"/>
          <w:szCs w:val="24"/>
        </w:rPr>
      </w:pPr>
      <w:r>
        <w:rPr>
          <w:rFonts w:asciiTheme="minorHAnsi" w:eastAsia="Times New Roman" w:hAnsiTheme="minorHAnsi" w:cstheme="minorHAnsi"/>
          <w:sz w:val="24"/>
          <w:szCs w:val="24"/>
        </w:rPr>
        <w:t>W</w:t>
      </w:r>
      <w:r w:rsidR="00DC5EB8">
        <w:rPr>
          <w:rFonts w:asciiTheme="minorHAnsi" w:eastAsia="Times New Roman" w:hAnsiTheme="minorHAnsi" w:cstheme="minorHAnsi"/>
          <w:sz w:val="24"/>
          <w:szCs w:val="24"/>
        </w:rPr>
        <w:t>hat communication has taken place</w:t>
      </w:r>
      <w:r>
        <w:rPr>
          <w:rFonts w:asciiTheme="minorHAnsi" w:eastAsia="Times New Roman" w:hAnsiTheme="minorHAnsi" w:cstheme="minorHAnsi"/>
          <w:sz w:val="24"/>
          <w:szCs w:val="24"/>
        </w:rPr>
        <w:t>?</w:t>
      </w:r>
    </w:p>
    <w:p w14:paraId="63BA1F1B" w14:textId="7A86C15E" w:rsidR="001467F8" w:rsidRPr="001467F8" w:rsidRDefault="001467F8" w:rsidP="009333CB">
      <w:pPr>
        <w:pStyle w:val="xmsonormal"/>
        <w:numPr>
          <w:ilvl w:val="1"/>
          <w:numId w:val="18"/>
        </w:numPr>
        <w:tabs>
          <w:tab w:val="clear" w:pos="144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Has </w:t>
      </w:r>
      <w:r w:rsidRPr="001467F8">
        <w:rPr>
          <w:rFonts w:asciiTheme="minorHAnsi" w:eastAsia="Times New Roman" w:hAnsiTheme="minorHAnsi" w:cstheme="minorHAnsi"/>
          <w:sz w:val="24"/>
          <w:szCs w:val="24"/>
        </w:rPr>
        <w:t>the insurance company addressed this issue with their third-party service providers, if applicable?</w:t>
      </w:r>
    </w:p>
    <w:p w14:paraId="2A094421" w14:textId="5DB97109" w:rsidR="00CA4682" w:rsidRPr="000B28F6" w:rsidRDefault="001467F8" w:rsidP="009333CB">
      <w:pPr>
        <w:pStyle w:val="xmsonormal"/>
        <w:ind w:left="1440" w:firstLine="720"/>
        <w:rPr>
          <w:rFonts w:cstheme="minorHAnsi"/>
          <w:sz w:val="24"/>
          <w:szCs w:val="24"/>
        </w:rPr>
      </w:pPr>
      <w:r w:rsidRPr="001467F8">
        <w:rPr>
          <w:rFonts w:asciiTheme="minorHAnsi" w:eastAsia="Times New Roman" w:hAnsiTheme="minorHAnsi" w:cstheme="minorHAnsi"/>
          <w:i/>
          <w:iCs/>
          <w:sz w:val="20"/>
          <w:szCs w:val="20"/>
        </w:rPr>
        <w:t>See Exhibit C ITPQ Question #3</w:t>
      </w:r>
    </w:p>
    <w:p w14:paraId="503E31BC" w14:textId="47D5C449" w:rsidR="00E7757B" w:rsidRPr="0051163C" w:rsidRDefault="00CA4682" w:rsidP="0051163C">
      <w:pPr>
        <w:keepNext/>
        <w:keepLines/>
        <w:jc w:val="center"/>
        <w:rPr>
          <w:rFonts w:cstheme="minorHAnsi"/>
          <w:b/>
          <w:bCs/>
          <w:sz w:val="32"/>
          <w:szCs w:val="32"/>
          <w:u w:val="single"/>
        </w:rPr>
      </w:pPr>
      <w:r w:rsidRPr="0051163C">
        <w:rPr>
          <w:rFonts w:cstheme="minorHAnsi"/>
          <w:b/>
          <w:bCs/>
          <w:sz w:val="32"/>
          <w:szCs w:val="32"/>
          <w:u w:val="single"/>
        </w:rPr>
        <w:t>Conclusions &amp; Next Steps</w:t>
      </w:r>
    </w:p>
    <w:p w14:paraId="6ED8112A" w14:textId="3FBC9AE5" w:rsidR="002377FF" w:rsidRPr="000B28F6" w:rsidRDefault="002377FF" w:rsidP="00E7757B">
      <w:pPr>
        <w:keepNext/>
        <w:keepLines/>
        <w:jc w:val="both"/>
        <w:rPr>
          <w:rFonts w:cstheme="minorHAnsi"/>
          <w:b/>
          <w:bCs/>
          <w:sz w:val="24"/>
          <w:szCs w:val="24"/>
          <w:u w:val="single"/>
        </w:rPr>
      </w:pPr>
    </w:p>
    <w:p w14:paraId="1F73343E" w14:textId="2CF0DD91" w:rsidR="00CA4682" w:rsidRDefault="007E2F7F" w:rsidP="00E7757B">
      <w:pPr>
        <w:keepNext/>
        <w:keepLines/>
        <w:pBdr>
          <w:bottom w:val="single" w:sz="12" w:space="1" w:color="auto"/>
        </w:pBdr>
        <w:jc w:val="both"/>
        <w:rPr>
          <w:rFonts w:cstheme="minorHAnsi"/>
          <w:sz w:val="24"/>
          <w:szCs w:val="24"/>
        </w:rPr>
      </w:pPr>
      <w:r>
        <w:rPr>
          <w:rFonts w:cstheme="minorHAnsi"/>
          <w:b/>
          <w:bCs/>
          <w:noProof/>
          <w:sz w:val="24"/>
          <w:szCs w:val="24"/>
          <w:u w:val="single"/>
        </w:rPr>
        <mc:AlternateContent>
          <mc:Choice Requires="wps">
            <w:drawing>
              <wp:anchor distT="0" distB="0" distL="114300" distR="114300" simplePos="0" relativeHeight="251659264" behindDoc="0" locked="0" layoutInCell="1" allowOverlap="1" wp14:anchorId="278DBB04" wp14:editId="6B6B91D1">
                <wp:simplePos x="0" y="0"/>
                <wp:positionH relativeFrom="column">
                  <wp:posOffset>-22860</wp:posOffset>
                </wp:positionH>
                <wp:positionV relativeFrom="paragraph">
                  <wp:posOffset>247015</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439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9.45pt" to="468.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" strokecolor="#4472c4 [3204]" strokeweight=".5pt">
                <v:stroke joinstyle="miter"/>
              </v:line>
            </w:pict>
          </mc:Fallback>
        </mc:AlternateContent>
      </w:r>
      <w:r w:rsidR="0078397F">
        <w:rPr>
          <w:noProof/>
        </w:rPr>
        <w:drawing>
          <wp:inline distT="0" distB="0" distL="0" distR="0" wp14:anchorId="64D038E6" wp14:editId="1C5C8D7E">
            <wp:extent cx="5943600" cy="2849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49880"/>
                    </a:xfrm>
                    <a:prstGeom prst="rect">
                      <a:avLst/>
                    </a:prstGeom>
                  </pic:spPr>
                </pic:pic>
              </a:graphicData>
            </a:graphic>
          </wp:inline>
        </w:drawing>
      </w:r>
    </w:p>
    <w:p w14:paraId="2F70CDDB" w14:textId="77777777" w:rsidR="0078397F" w:rsidRPr="00732FD8" w:rsidRDefault="0078397F" w:rsidP="00E7757B">
      <w:pPr>
        <w:keepNext/>
        <w:keepLines/>
        <w:pBdr>
          <w:bottom w:val="single" w:sz="12" w:space="1" w:color="auto"/>
        </w:pBdr>
        <w:jc w:val="both"/>
        <w:rPr>
          <w:rFonts w:cstheme="minorHAnsi"/>
          <w:sz w:val="24"/>
          <w:szCs w:val="24"/>
        </w:rPr>
      </w:pPr>
    </w:p>
    <w:p w14:paraId="51D81C38" w14:textId="77777777" w:rsidR="0078397F" w:rsidRPr="000B28F6" w:rsidRDefault="0078397F" w:rsidP="00E7757B">
      <w:pPr>
        <w:keepNext/>
        <w:keepLines/>
        <w:jc w:val="both"/>
        <w:rPr>
          <w:rFonts w:cstheme="minorHAnsi"/>
          <w:b/>
          <w:bCs/>
          <w:sz w:val="24"/>
          <w:szCs w:val="24"/>
          <w:u w:val="single"/>
        </w:rPr>
      </w:pPr>
    </w:p>
    <w:p w14:paraId="370EF782" w14:textId="7FA6ABA8" w:rsidR="005C7AC3" w:rsidRPr="0051163C" w:rsidRDefault="009079D9" w:rsidP="007E2F7F">
      <w:pPr>
        <w:keepNext/>
        <w:keepLines/>
        <w:jc w:val="center"/>
        <w:rPr>
          <w:rFonts w:cstheme="minorHAnsi"/>
          <w:b/>
          <w:bCs/>
          <w:sz w:val="32"/>
          <w:szCs w:val="32"/>
          <w:u w:val="single"/>
        </w:rPr>
      </w:pPr>
      <w:r w:rsidRPr="005C7AC3">
        <w:rPr>
          <w:rFonts w:cstheme="minorHAnsi"/>
          <w:b/>
          <w:bCs/>
          <w:sz w:val="32"/>
          <w:szCs w:val="32"/>
          <w:u w:val="single"/>
        </w:rPr>
        <w:t>Additional Resources</w:t>
      </w:r>
    </w:p>
    <w:p w14:paraId="1ECE3D9D" w14:textId="3C7030DA" w:rsidR="002157A8" w:rsidRPr="0078397F" w:rsidRDefault="002157A8" w:rsidP="00421491">
      <w:pPr>
        <w:keepNext/>
        <w:keepLines/>
        <w:jc w:val="both"/>
        <w:rPr>
          <w:rFonts w:cstheme="minorHAnsi"/>
          <w:b/>
          <w:bCs/>
          <w:sz w:val="24"/>
          <w:szCs w:val="24"/>
        </w:rPr>
      </w:pPr>
      <w:r w:rsidRPr="0078397F">
        <w:rPr>
          <w:rFonts w:cstheme="minorHAnsi"/>
          <w:b/>
          <w:bCs/>
          <w:sz w:val="24"/>
          <w:szCs w:val="24"/>
        </w:rPr>
        <w:t>Cyber Alerts &amp; Bulletins:</w:t>
      </w:r>
    </w:p>
    <w:p w14:paraId="05646F8F" w14:textId="3C14D9AB" w:rsidR="000245E5" w:rsidRPr="005C7AC3" w:rsidRDefault="002931BD" w:rsidP="00421491">
      <w:pPr>
        <w:keepNext/>
        <w:keepLines/>
        <w:jc w:val="both"/>
        <w:rPr>
          <w:rFonts w:cstheme="minorHAnsi"/>
          <w:sz w:val="24"/>
          <w:szCs w:val="24"/>
        </w:rPr>
      </w:pPr>
      <w:hyperlink r:id="rId10" w:history="1">
        <w:r w:rsidR="000245E5" w:rsidRPr="005C7AC3">
          <w:rPr>
            <w:rStyle w:val="Hyperlink"/>
            <w:rFonts w:cstheme="minorHAnsi"/>
            <w:sz w:val="24"/>
            <w:szCs w:val="24"/>
          </w:rPr>
          <w:t>https://us-cert.cisa.gov/ncas</w:t>
        </w:r>
      </w:hyperlink>
    </w:p>
    <w:p w14:paraId="31C8F4AB" w14:textId="26C118CE" w:rsidR="003105C2" w:rsidRDefault="003105C2" w:rsidP="00421491">
      <w:pPr>
        <w:jc w:val="both"/>
        <w:rPr>
          <w:rFonts w:cstheme="minorHAnsi"/>
          <w:i/>
          <w:iCs/>
          <w:sz w:val="24"/>
          <w:szCs w:val="24"/>
        </w:rPr>
      </w:pPr>
    </w:p>
    <w:p w14:paraId="58E167AF" w14:textId="6A8A4146" w:rsidR="005C7AC3" w:rsidRPr="0078397F" w:rsidRDefault="005C7AC3" w:rsidP="005C7AC3">
      <w:pPr>
        <w:keepNext/>
        <w:keepLines/>
        <w:jc w:val="both"/>
        <w:rPr>
          <w:rFonts w:cstheme="minorHAnsi"/>
          <w:b/>
          <w:bCs/>
          <w:sz w:val="24"/>
          <w:szCs w:val="24"/>
        </w:rPr>
      </w:pPr>
      <w:r w:rsidRPr="0078397F">
        <w:rPr>
          <w:rFonts w:cstheme="minorHAnsi"/>
          <w:b/>
          <w:bCs/>
          <w:sz w:val="24"/>
          <w:szCs w:val="24"/>
        </w:rPr>
        <w:t>Publicly disclosed cyber vulnerabilities:</w:t>
      </w:r>
    </w:p>
    <w:p w14:paraId="29670212" w14:textId="6973264C" w:rsidR="003105C2" w:rsidRDefault="002931BD" w:rsidP="00421491">
      <w:pPr>
        <w:jc w:val="both"/>
        <w:rPr>
          <w:rFonts w:cstheme="minorHAnsi"/>
          <w:sz w:val="24"/>
          <w:szCs w:val="24"/>
        </w:rPr>
      </w:pPr>
      <w:hyperlink r:id="rId11" w:history="1">
        <w:r w:rsidR="00380FD9" w:rsidRPr="00F14558">
          <w:rPr>
            <w:rStyle w:val="Hyperlink"/>
            <w:rFonts w:cstheme="minorHAnsi"/>
            <w:sz w:val="24"/>
            <w:szCs w:val="24"/>
          </w:rPr>
          <w:t>https://cve.mitre.org/</w:t>
        </w:r>
      </w:hyperlink>
    </w:p>
    <w:p w14:paraId="6D71F2A7" w14:textId="6791C088" w:rsidR="005C7AC3" w:rsidRDefault="005C7AC3" w:rsidP="00421491">
      <w:pPr>
        <w:jc w:val="both"/>
        <w:rPr>
          <w:rFonts w:cstheme="minorHAnsi"/>
          <w:sz w:val="24"/>
          <w:szCs w:val="24"/>
        </w:rPr>
      </w:pPr>
    </w:p>
    <w:p w14:paraId="5D94043C" w14:textId="5BBAB680" w:rsidR="005C7AC3" w:rsidRPr="0078397F" w:rsidRDefault="005C7AC3" w:rsidP="005C7AC3">
      <w:pPr>
        <w:keepNext/>
        <w:keepLines/>
        <w:jc w:val="both"/>
        <w:rPr>
          <w:rFonts w:cstheme="minorHAnsi"/>
          <w:b/>
          <w:bCs/>
          <w:sz w:val="24"/>
          <w:szCs w:val="24"/>
        </w:rPr>
      </w:pPr>
      <w:r w:rsidRPr="0078397F">
        <w:rPr>
          <w:rFonts w:cstheme="minorHAnsi"/>
          <w:b/>
          <w:bCs/>
          <w:sz w:val="24"/>
          <w:szCs w:val="24"/>
        </w:rPr>
        <w:t>National vulnerability database:</w:t>
      </w:r>
    </w:p>
    <w:p w14:paraId="653F42C8" w14:textId="5A994DAA" w:rsidR="00380FD9" w:rsidRDefault="002931BD" w:rsidP="00421491">
      <w:pPr>
        <w:jc w:val="both"/>
        <w:rPr>
          <w:rFonts w:cstheme="minorHAnsi"/>
          <w:sz w:val="24"/>
          <w:szCs w:val="24"/>
        </w:rPr>
      </w:pPr>
      <w:hyperlink r:id="rId12" w:history="1">
        <w:r w:rsidR="005C7AC3" w:rsidRPr="00405F5B">
          <w:rPr>
            <w:rStyle w:val="Hyperlink"/>
            <w:rFonts w:cstheme="minorHAnsi"/>
            <w:sz w:val="24"/>
            <w:szCs w:val="24"/>
          </w:rPr>
          <w:t>https://nvd.nist.gov/</w:t>
        </w:r>
      </w:hyperlink>
    </w:p>
    <w:p w14:paraId="51F467DA" w14:textId="07DD3BFB" w:rsidR="005C7AC3" w:rsidRDefault="005C7AC3" w:rsidP="00421491">
      <w:pPr>
        <w:jc w:val="both"/>
        <w:rPr>
          <w:rFonts w:cstheme="minorHAnsi"/>
          <w:sz w:val="24"/>
          <w:szCs w:val="24"/>
        </w:rPr>
      </w:pPr>
    </w:p>
    <w:p w14:paraId="782E237B" w14:textId="77777777" w:rsidR="005C7AC3" w:rsidRPr="0078397F" w:rsidRDefault="005C7AC3" w:rsidP="005C7AC3">
      <w:pPr>
        <w:keepNext/>
        <w:keepLines/>
        <w:jc w:val="both"/>
        <w:rPr>
          <w:rFonts w:cstheme="minorHAnsi"/>
          <w:b/>
          <w:bCs/>
          <w:sz w:val="24"/>
          <w:szCs w:val="24"/>
        </w:rPr>
      </w:pPr>
      <w:r w:rsidRPr="0078397F">
        <w:rPr>
          <w:rFonts w:cstheme="minorHAnsi"/>
          <w:b/>
          <w:bCs/>
          <w:sz w:val="24"/>
          <w:szCs w:val="24"/>
        </w:rPr>
        <w:t>Reported breach tracker for health information:</w:t>
      </w:r>
    </w:p>
    <w:p w14:paraId="279F96FE" w14:textId="75B1A611" w:rsidR="005C7AC3" w:rsidRDefault="002931BD" w:rsidP="005C7AC3">
      <w:pPr>
        <w:keepNext/>
        <w:keepLines/>
        <w:jc w:val="both"/>
        <w:rPr>
          <w:rFonts w:cstheme="minorHAnsi"/>
          <w:sz w:val="24"/>
          <w:szCs w:val="24"/>
        </w:rPr>
      </w:pPr>
      <w:hyperlink r:id="rId13" w:history="1">
        <w:r w:rsidR="005C7AC3" w:rsidRPr="005C7AC3">
          <w:rPr>
            <w:rStyle w:val="Hyperlink"/>
            <w:rFonts w:cstheme="minorHAnsi"/>
            <w:sz w:val="24"/>
            <w:szCs w:val="24"/>
          </w:rPr>
          <w:t>https://ocrportal.hhs.gov/ocr/breach/breach_report.jsf</w:t>
        </w:r>
      </w:hyperlink>
    </w:p>
    <w:p w14:paraId="4D52AFC6" w14:textId="77777777" w:rsidR="005C7AC3" w:rsidRPr="00CF16EC" w:rsidRDefault="005C7AC3" w:rsidP="00421491">
      <w:pPr>
        <w:jc w:val="both"/>
        <w:rPr>
          <w:rFonts w:cstheme="minorHAnsi"/>
          <w:sz w:val="24"/>
          <w:szCs w:val="24"/>
        </w:rPr>
      </w:pPr>
    </w:p>
    <w:sectPr w:rsidR="005C7AC3" w:rsidRPr="00CF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F63"/>
    <w:multiLevelType w:val="hybridMultilevel"/>
    <w:tmpl w:val="DBCA5036"/>
    <w:lvl w:ilvl="0" w:tplc="288ABEB2">
      <w:start w:val="1"/>
      <w:numFmt w:val="decimal"/>
      <w:lvlText w:val="%1."/>
      <w:lvlJc w:val="left"/>
      <w:pPr>
        <w:ind w:left="720" w:hanging="360"/>
      </w:pPr>
      <w:rPr>
        <w:rFonts w:cstheme="min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92C0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15:restartNumberingAfterBreak="0">
    <w:nsid w:val="2A7F14BE"/>
    <w:multiLevelType w:val="multilevel"/>
    <w:tmpl w:val="8D64AC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1B76AD"/>
    <w:multiLevelType w:val="multilevel"/>
    <w:tmpl w:val="35E855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A16020"/>
    <w:multiLevelType w:val="hybridMultilevel"/>
    <w:tmpl w:val="08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E0579"/>
    <w:multiLevelType w:val="hybridMultilevel"/>
    <w:tmpl w:val="3DF0B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7E4268"/>
    <w:multiLevelType w:val="hybridMultilevel"/>
    <w:tmpl w:val="C85E6C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01EE7"/>
    <w:multiLevelType w:val="multilevel"/>
    <w:tmpl w:val="550C1E7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85207B"/>
    <w:multiLevelType w:val="hybridMultilevel"/>
    <w:tmpl w:val="AF4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30B14"/>
    <w:multiLevelType w:val="multilevel"/>
    <w:tmpl w:val="35E855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C00949"/>
    <w:multiLevelType w:val="hybridMultilevel"/>
    <w:tmpl w:val="BA7E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B6567"/>
    <w:multiLevelType w:val="multilevel"/>
    <w:tmpl w:val="94A85D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CF58E5"/>
    <w:multiLevelType w:val="hybridMultilevel"/>
    <w:tmpl w:val="0E20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92FE2"/>
    <w:multiLevelType w:val="hybridMultilevel"/>
    <w:tmpl w:val="62F834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A94DFF"/>
    <w:multiLevelType w:val="multilevel"/>
    <w:tmpl w:val="E012BE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2EF792A"/>
    <w:multiLevelType w:val="hybridMultilevel"/>
    <w:tmpl w:val="2258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00C27"/>
    <w:multiLevelType w:val="hybridMultilevel"/>
    <w:tmpl w:val="EB303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E74273"/>
    <w:multiLevelType w:val="hybridMultilevel"/>
    <w:tmpl w:val="5112B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5"/>
  </w:num>
  <w:num w:numId="4">
    <w:abstractNumId w:val="6"/>
  </w:num>
  <w:num w:numId="5">
    <w:abstractNumId w:val="17"/>
  </w:num>
  <w:num w:numId="6">
    <w:abstractNumId w:val="16"/>
  </w:num>
  <w:num w:numId="7">
    <w:abstractNumId w:val="1"/>
  </w:num>
  <w:num w:numId="8">
    <w:abstractNumId w:val="13"/>
  </w:num>
  <w:num w:numId="9">
    <w:abstractNumId w:val="5"/>
  </w:num>
  <w:num w:numId="10">
    <w:abstractNumId w:val="12"/>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86"/>
    <w:rsid w:val="00004FA9"/>
    <w:rsid w:val="0000565D"/>
    <w:rsid w:val="000140FC"/>
    <w:rsid w:val="00022321"/>
    <w:rsid w:val="00022381"/>
    <w:rsid w:val="000245E5"/>
    <w:rsid w:val="00024A49"/>
    <w:rsid w:val="00044FB4"/>
    <w:rsid w:val="00053215"/>
    <w:rsid w:val="00065824"/>
    <w:rsid w:val="00072263"/>
    <w:rsid w:val="000763D5"/>
    <w:rsid w:val="000773B5"/>
    <w:rsid w:val="00085A19"/>
    <w:rsid w:val="00087886"/>
    <w:rsid w:val="00092662"/>
    <w:rsid w:val="000A0B37"/>
    <w:rsid w:val="000B28F6"/>
    <w:rsid w:val="000B2A0C"/>
    <w:rsid w:val="000F0179"/>
    <w:rsid w:val="000F0B88"/>
    <w:rsid w:val="000F4B08"/>
    <w:rsid w:val="00106821"/>
    <w:rsid w:val="00110AD1"/>
    <w:rsid w:val="00113CA1"/>
    <w:rsid w:val="00117B46"/>
    <w:rsid w:val="001316D2"/>
    <w:rsid w:val="00131EDD"/>
    <w:rsid w:val="001341CB"/>
    <w:rsid w:val="001346D8"/>
    <w:rsid w:val="001467F8"/>
    <w:rsid w:val="00172832"/>
    <w:rsid w:val="0017385C"/>
    <w:rsid w:val="00183385"/>
    <w:rsid w:val="001959AD"/>
    <w:rsid w:val="001A1A20"/>
    <w:rsid w:val="001A7C54"/>
    <w:rsid w:val="001D6B11"/>
    <w:rsid w:val="001E5696"/>
    <w:rsid w:val="002157A8"/>
    <w:rsid w:val="00216012"/>
    <w:rsid w:val="002246C3"/>
    <w:rsid w:val="00225D63"/>
    <w:rsid w:val="002377FF"/>
    <w:rsid w:val="0026473D"/>
    <w:rsid w:val="00267075"/>
    <w:rsid w:val="00280B36"/>
    <w:rsid w:val="002931BD"/>
    <w:rsid w:val="002A0E76"/>
    <w:rsid w:val="002A3939"/>
    <w:rsid w:val="002A44B6"/>
    <w:rsid w:val="002A7666"/>
    <w:rsid w:val="002C0281"/>
    <w:rsid w:val="002C6E9E"/>
    <w:rsid w:val="002F67A1"/>
    <w:rsid w:val="003002CB"/>
    <w:rsid w:val="003105C2"/>
    <w:rsid w:val="003457F2"/>
    <w:rsid w:val="00355893"/>
    <w:rsid w:val="00362E80"/>
    <w:rsid w:val="003656FB"/>
    <w:rsid w:val="00380FD9"/>
    <w:rsid w:val="00381317"/>
    <w:rsid w:val="00387A9C"/>
    <w:rsid w:val="003C402E"/>
    <w:rsid w:val="003D0B94"/>
    <w:rsid w:val="0040570C"/>
    <w:rsid w:val="00406641"/>
    <w:rsid w:val="004137C5"/>
    <w:rsid w:val="004144DB"/>
    <w:rsid w:val="00421491"/>
    <w:rsid w:val="004266F0"/>
    <w:rsid w:val="0043140C"/>
    <w:rsid w:val="00435F9F"/>
    <w:rsid w:val="00447F48"/>
    <w:rsid w:val="004530DB"/>
    <w:rsid w:val="004736F7"/>
    <w:rsid w:val="00475C43"/>
    <w:rsid w:val="004A35C7"/>
    <w:rsid w:val="004C0FF9"/>
    <w:rsid w:val="004D7424"/>
    <w:rsid w:val="004F2532"/>
    <w:rsid w:val="00506E61"/>
    <w:rsid w:val="0051163C"/>
    <w:rsid w:val="00527A72"/>
    <w:rsid w:val="00540FD6"/>
    <w:rsid w:val="005735A6"/>
    <w:rsid w:val="005C7AC3"/>
    <w:rsid w:val="006106BD"/>
    <w:rsid w:val="006177CC"/>
    <w:rsid w:val="00634823"/>
    <w:rsid w:val="00665CAA"/>
    <w:rsid w:val="00666F5B"/>
    <w:rsid w:val="006756F0"/>
    <w:rsid w:val="006862C2"/>
    <w:rsid w:val="006E6809"/>
    <w:rsid w:val="006F52C3"/>
    <w:rsid w:val="00725415"/>
    <w:rsid w:val="00732FD8"/>
    <w:rsid w:val="00737ADC"/>
    <w:rsid w:val="00737F9F"/>
    <w:rsid w:val="00746B26"/>
    <w:rsid w:val="00757A8A"/>
    <w:rsid w:val="007606CC"/>
    <w:rsid w:val="00782EF3"/>
    <w:rsid w:val="0078397F"/>
    <w:rsid w:val="0078630E"/>
    <w:rsid w:val="0079723E"/>
    <w:rsid w:val="007B712B"/>
    <w:rsid w:val="007E2F7F"/>
    <w:rsid w:val="007E627E"/>
    <w:rsid w:val="007E7A14"/>
    <w:rsid w:val="007F1D84"/>
    <w:rsid w:val="00827A23"/>
    <w:rsid w:val="008322C0"/>
    <w:rsid w:val="00844E60"/>
    <w:rsid w:val="00844EFA"/>
    <w:rsid w:val="00852E5D"/>
    <w:rsid w:val="00865C16"/>
    <w:rsid w:val="008729F9"/>
    <w:rsid w:val="008A68ED"/>
    <w:rsid w:val="008C3821"/>
    <w:rsid w:val="008D4451"/>
    <w:rsid w:val="008D6FD6"/>
    <w:rsid w:val="008F31B6"/>
    <w:rsid w:val="009079D9"/>
    <w:rsid w:val="00922637"/>
    <w:rsid w:val="009333CB"/>
    <w:rsid w:val="009336E4"/>
    <w:rsid w:val="00933939"/>
    <w:rsid w:val="009479A3"/>
    <w:rsid w:val="009A027C"/>
    <w:rsid w:val="009D245F"/>
    <w:rsid w:val="00A05225"/>
    <w:rsid w:val="00A36F0C"/>
    <w:rsid w:val="00A51A2F"/>
    <w:rsid w:val="00A61282"/>
    <w:rsid w:val="00A760A5"/>
    <w:rsid w:val="00A8703A"/>
    <w:rsid w:val="00A94CAA"/>
    <w:rsid w:val="00A954A9"/>
    <w:rsid w:val="00A95B16"/>
    <w:rsid w:val="00AA2251"/>
    <w:rsid w:val="00AA4D72"/>
    <w:rsid w:val="00AA5631"/>
    <w:rsid w:val="00AB552F"/>
    <w:rsid w:val="00AB7C76"/>
    <w:rsid w:val="00AD1BEC"/>
    <w:rsid w:val="00AD692A"/>
    <w:rsid w:val="00AE1B07"/>
    <w:rsid w:val="00AE5E07"/>
    <w:rsid w:val="00B0036A"/>
    <w:rsid w:val="00B1162B"/>
    <w:rsid w:val="00B26424"/>
    <w:rsid w:val="00B30F03"/>
    <w:rsid w:val="00B36CCE"/>
    <w:rsid w:val="00B56132"/>
    <w:rsid w:val="00B764F8"/>
    <w:rsid w:val="00B822B1"/>
    <w:rsid w:val="00BB20EE"/>
    <w:rsid w:val="00BC3606"/>
    <w:rsid w:val="00BC7220"/>
    <w:rsid w:val="00BD002C"/>
    <w:rsid w:val="00BF6451"/>
    <w:rsid w:val="00C41C38"/>
    <w:rsid w:val="00C44EF8"/>
    <w:rsid w:val="00C67E48"/>
    <w:rsid w:val="00C7133D"/>
    <w:rsid w:val="00C7184D"/>
    <w:rsid w:val="00C742C4"/>
    <w:rsid w:val="00C92C4A"/>
    <w:rsid w:val="00CA4682"/>
    <w:rsid w:val="00CB1E41"/>
    <w:rsid w:val="00CC4552"/>
    <w:rsid w:val="00CD4840"/>
    <w:rsid w:val="00CD7543"/>
    <w:rsid w:val="00CE7273"/>
    <w:rsid w:val="00CF16EC"/>
    <w:rsid w:val="00CF33D4"/>
    <w:rsid w:val="00D07216"/>
    <w:rsid w:val="00D130E1"/>
    <w:rsid w:val="00D149FB"/>
    <w:rsid w:val="00D534CF"/>
    <w:rsid w:val="00D8240A"/>
    <w:rsid w:val="00D848A4"/>
    <w:rsid w:val="00D8597D"/>
    <w:rsid w:val="00D91B98"/>
    <w:rsid w:val="00DB0F33"/>
    <w:rsid w:val="00DC5EB8"/>
    <w:rsid w:val="00E52A0A"/>
    <w:rsid w:val="00E7757B"/>
    <w:rsid w:val="00E83E4B"/>
    <w:rsid w:val="00E978B1"/>
    <w:rsid w:val="00EA5B3C"/>
    <w:rsid w:val="00EB37A5"/>
    <w:rsid w:val="00EC1B6E"/>
    <w:rsid w:val="00EC5F34"/>
    <w:rsid w:val="00EE2CF6"/>
    <w:rsid w:val="00EF1E45"/>
    <w:rsid w:val="00EF5795"/>
    <w:rsid w:val="00F026BB"/>
    <w:rsid w:val="00F07FF9"/>
    <w:rsid w:val="00F15D3B"/>
    <w:rsid w:val="00F272A2"/>
    <w:rsid w:val="00F74F68"/>
    <w:rsid w:val="00FD1B33"/>
    <w:rsid w:val="00FD2895"/>
    <w:rsid w:val="00FE762C"/>
    <w:rsid w:val="00FF24A1"/>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FBAD"/>
  <w15:docId w15:val="{C2232B1F-A33D-467B-99BE-F038A381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86"/>
    <w:pPr>
      <w:ind w:left="720"/>
      <w:contextualSpacing/>
    </w:pPr>
  </w:style>
  <w:style w:type="character" w:styleId="Hyperlink">
    <w:name w:val="Hyperlink"/>
    <w:basedOn w:val="DefaultParagraphFont"/>
    <w:uiPriority w:val="99"/>
    <w:unhideWhenUsed/>
    <w:rsid w:val="006756F0"/>
    <w:rPr>
      <w:color w:val="0563C1" w:themeColor="hyperlink"/>
      <w:u w:val="single"/>
    </w:rPr>
  </w:style>
  <w:style w:type="character" w:customStyle="1" w:styleId="UnresolvedMention1">
    <w:name w:val="Unresolved Mention1"/>
    <w:basedOn w:val="DefaultParagraphFont"/>
    <w:uiPriority w:val="99"/>
    <w:semiHidden/>
    <w:unhideWhenUsed/>
    <w:rsid w:val="006756F0"/>
    <w:rPr>
      <w:color w:val="605E5C"/>
      <w:shd w:val="clear" w:color="auto" w:fill="E1DFDD"/>
    </w:rPr>
  </w:style>
  <w:style w:type="character" w:styleId="CommentReference">
    <w:name w:val="annotation reference"/>
    <w:basedOn w:val="DefaultParagraphFont"/>
    <w:uiPriority w:val="99"/>
    <w:semiHidden/>
    <w:unhideWhenUsed/>
    <w:rsid w:val="001D6B11"/>
    <w:rPr>
      <w:sz w:val="16"/>
      <w:szCs w:val="16"/>
    </w:rPr>
  </w:style>
  <w:style w:type="paragraph" w:styleId="CommentText">
    <w:name w:val="annotation text"/>
    <w:basedOn w:val="Normal"/>
    <w:link w:val="CommentTextChar"/>
    <w:uiPriority w:val="99"/>
    <w:semiHidden/>
    <w:unhideWhenUsed/>
    <w:rsid w:val="001D6B11"/>
    <w:pPr>
      <w:spacing w:line="240" w:lineRule="auto"/>
    </w:pPr>
    <w:rPr>
      <w:sz w:val="20"/>
      <w:szCs w:val="20"/>
    </w:rPr>
  </w:style>
  <w:style w:type="character" w:customStyle="1" w:styleId="CommentTextChar">
    <w:name w:val="Comment Text Char"/>
    <w:basedOn w:val="DefaultParagraphFont"/>
    <w:link w:val="CommentText"/>
    <w:uiPriority w:val="99"/>
    <w:semiHidden/>
    <w:rsid w:val="001D6B11"/>
    <w:rPr>
      <w:sz w:val="20"/>
      <w:szCs w:val="20"/>
    </w:rPr>
  </w:style>
  <w:style w:type="paragraph" w:styleId="CommentSubject">
    <w:name w:val="annotation subject"/>
    <w:basedOn w:val="CommentText"/>
    <w:next w:val="CommentText"/>
    <w:link w:val="CommentSubjectChar"/>
    <w:uiPriority w:val="99"/>
    <w:semiHidden/>
    <w:unhideWhenUsed/>
    <w:rsid w:val="001D6B11"/>
    <w:rPr>
      <w:b/>
      <w:bCs/>
    </w:rPr>
  </w:style>
  <w:style w:type="character" w:customStyle="1" w:styleId="CommentSubjectChar">
    <w:name w:val="Comment Subject Char"/>
    <w:basedOn w:val="CommentTextChar"/>
    <w:link w:val="CommentSubject"/>
    <w:uiPriority w:val="99"/>
    <w:semiHidden/>
    <w:rsid w:val="001D6B11"/>
    <w:rPr>
      <w:b/>
      <w:bCs/>
      <w:sz w:val="20"/>
      <w:szCs w:val="20"/>
    </w:rPr>
  </w:style>
  <w:style w:type="character" w:styleId="FollowedHyperlink">
    <w:name w:val="FollowedHyperlink"/>
    <w:basedOn w:val="DefaultParagraphFont"/>
    <w:uiPriority w:val="99"/>
    <w:semiHidden/>
    <w:unhideWhenUsed/>
    <w:rsid w:val="001D6B11"/>
    <w:rPr>
      <w:color w:val="954F72" w:themeColor="followedHyperlink"/>
      <w:u w:val="single"/>
    </w:rPr>
  </w:style>
  <w:style w:type="paragraph" w:styleId="BalloonText">
    <w:name w:val="Balloon Text"/>
    <w:basedOn w:val="Normal"/>
    <w:link w:val="BalloonTextChar"/>
    <w:uiPriority w:val="99"/>
    <w:semiHidden/>
    <w:unhideWhenUsed/>
    <w:rsid w:val="00D0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16"/>
    <w:rPr>
      <w:rFonts w:ascii="Segoe UI" w:hAnsi="Segoe UI" w:cs="Segoe UI"/>
      <w:sz w:val="18"/>
      <w:szCs w:val="18"/>
    </w:rPr>
  </w:style>
  <w:style w:type="paragraph" w:styleId="Revision">
    <w:name w:val="Revision"/>
    <w:hidden/>
    <w:uiPriority w:val="99"/>
    <w:semiHidden/>
    <w:rsid w:val="00E7757B"/>
    <w:pPr>
      <w:spacing w:after="0" w:line="240" w:lineRule="auto"/>
    </w:pPr>
  </w:style>
  <w:style w:type="character" w:styleId="UnresolvedMention">
    <w:name w:val="Unresolved Mention"/>
    <w:basedOn w:val="DefaultParagraphFont"/>
    <w:uiPriority w:val="99"/>
    <w:semiHidden/>
    <w:unhideWhenUsed/>
    <w:rsid w:val="00B0036A"/>
    <w:rPr>
      <w:color w:val="605E5C"/>
      <w:shd w:val="clear" w:color="auto" w:fill="E1DFDD"/>
    </w:rPr>
  </w:style>
  <w:style w:type="paragraph" w:customStyle="1" w:styleId="xmsonormal">
    <w:name w:val="x_msonormal"/>
    <w:basedOn w:val="Normal"/>
    <w:rsid w:val="0002238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5050">
      <w:bodyDiv w:val="1"/>
      <w:marLeft w:val="0"/>
      <w:marRight w:val="0"/>
      <w:marTop w:val="0"/>
      <w:marBottom w:val="0"/>
      <w:divBdr>
        <w:top w:val="none" w:sz="0" w:space="0" w:color="auto"/>
        <w:left w:val="none" w:sz="0" w:space="0" w:color="auto"/>
        <w:bottom w:val="none" w:sz="0" w:space="0" w:color="auto"/>
        <w:right w:val="none" w:sz="0" w:space="0" w:color="auto"/>
      </w:divBdr>
    </w:div>
    <w:div w:id="83650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iteplus.naic.org/statenet/financial_exam_feh_updates_sec4_exam_exhibits.htm" TargetMode="External"/><Relationship Id="rId13" Type="http://schemas.openxmlformats.org/officeDocument/2006/relationships/hyperlink" Target="https://ocrportal.hhs.gov/ocr/breach/breach_report.jsf" TargetMode="External"/><Relationship Id="rId3" Type="http://schemas.openxmlformats.org/officeDocument/2006/relationships/settings" Target="settings.xml"/><Relationship Id="rId7" Type="http://schemas.openxmlformats.org/officeDocument/2006/relationships/hyperlink" Target="https://content.naic.org/sites/default/files/MO668.pdf" TargetMode="External"/><Relationship Id="rId12" Type="http://schemas.openxmlformats.org/officeDocument/2006/relationships/hyperlink" Target="https://nvd.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vlpubs.nist.gov/nistpubs/SpecialPublications/NIST.SP.800-53r5.pdf" TargetMode="External"/><Relationship Id="rId11" Type="http://schemas.openxmlformats.org/officeDocument/2006/relationships/hyperlink" Target="https://cve.mitre.org/" TargetMode="External"/><Relationship Id="rId5" Type="http://schemas.openxmlformats.org/officeDocument/2006/relationships/hyperlink" Target="https://content.naic.org/cipr_topics/topic_market_conduct_regulation.htm" TargetMode="External"/><Relationship Id="rId15" Type="http://schemas.openxmlformats.org/officeDocument/2006/relationships/theme" Target="theme/theme1.xml"/><Relationship Id="rId10" Type="http://schemas.openxmlformats.org/officeDocument/2006/relationships/hyperlink" Target="https://us-cert.cisa.gov/nca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63D65C-18F4-41DA-8DE0-6B049B14B204}">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Steilen, Jacob</dc:creator>
  <cp:keywords/>
  <dc:description/>
  <cp:lastModifiedBy>Steilen, Jacob</cp:lastModifiedBy>
  <cp:revision>4</cp:revision>
  <dcterms:created xsi:type="dcterms:W3CDTF">2021-09-20T15:03:00Z</dcterms:created>
  <dcterms:modified xsi:type="dcterms:W3CDTF">2021-10-14T16:16:00Z</dcterms:modified>
</cp:coreProperties>
</file>